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6.xml" ContentType="application/vnd.openxmlformats-officedocument.drawingml.chart+xml"/>
  <Override PartName="/word/theme/themeOverride22.xml" ContentType="application/vnd.openxmlformats-officedocument.themeOverride+xml"/>
  <Override PartName="/word/charts/chart27.xml" ContentType="application/vnd.openxmlformats-officedocument.drawingml.chart+xml"/>
  <Override PartName="/word/theme/themeOverride23.xml" ContentType="application/vnd.openxmlformats-officedocument.themeOverride+xml"/>
  <Override PartName="/word/charts/chart28.xml" ContentType="application/vnd.openxmlformats-officedocument.drawingml.chart+xml"/>
  <Override PartName="/word/theme/themeOverride24.xml" ContentType="application/vnd.openxmlformats-officedocument.themeOverride+xml"/>
  <Override PartName="/word/charts/chart29.xml" ContentType="application/vnd.openxmlformats-officedocument.drawingml.chart+xml"/>
  <Override PartName="/word/theme/themeOverride25.xml" ContentType="application/vnd.openxmlformats-officedocument.themeOverride+xml"/>
  <Override PartName="/word/charts/chart30.xml" ContentType="application/vnd.openxmlformats-officedocument.drawingml.chart+xml"/>
  <Override PartName="/word/theme/themeOverride26.xml" ContentType="application/vnd.openxmlformats-officedocument.themeOverride+xml"/>
  <Override PartName="/word/charts/chart31.xml" ContentType="application/vnd.openxmlformats-officedocument.drawingml.chart+xml"/>
  <Override PartName="/word/theme/themeOverride27.xml" ContentType="application/vnd.openxmlformats-officedocument.themeOverride+xml"/>
  <Override PartName="/word/charts/chart32.xml" ContentType="application/vnd.openxmlformats-officedocument.drawingml.chart+xml"/>
  <Override PartName="/word/theme/themeOverride28.xml" ContentType="application/vnd.openxmlformats-officedocument.themeOverride+xml"/>
  <Override PartName="/word/charts/chart33.xml" ContentType="application/vnd.openxmlformats-officedocument.drawingml.chart+xml"/>
  <Override PartName="/word/theme/themeOverride29.xml" ContentType="application/vnd.openxmlformats-officedocument.themeOverride+xml"/>
  <Override PartName="/word/charts/chart34.xml" ContentType="application/vnd.openxmlformats-officedocument.drawingml.chart+xml"/>
  <Override PartName="/word/theme/themeOverride30.xml" ContentType="application/vnd.openxmlformats-officedocument.themeOverride+xml"/>
  <Override PartName="/word/charts/chart35.xml" ContentType="application/vnd.openxmlformats-officedocument.drawingml.chart+xml"/>
  <Override PartName="/word/theme/themeOverride31.xml" ContentType="application/vnd.openxmlformats-officedocument.themeOverride+xml"/>
  <Override PartName="/word/charts/chart36.xml" ContentType="application/vnd.openxmlformats-officedocument.drawingml.chart+xml"/>
  <Override PartName="/word/theme/themeOverride32.xml" ContentType="application/vnd.openxmlformats-officedocument.themeOverride+xml"/>
  <Override PartName="/word/charts/chart37.xml" ContentType="application/vnd.openxmlformats-officedocument.drawingml.chart+xml"/>
  <Override PartName="/word/theme/themeOverride33.xml" ContentType="application/vnd.openxmlformats-officedocument.themeOverride+xml"/>
  <Override PartName="/word/charts/chart38.xml" ContentType="application/vnd.openxmlformats-officedocument.drawingml.chart+xml"/>
  <Override PartName="/word/theme/themeOverride34.xml" ContentType="application/vnd.openxmlformats-officedocument.themeOverride+xml"/>
  <Override PartName="/word/charts/chart39.xml" ContentType="application/vnd.openxmlformats-officedocument.drawingml.chart+xml"/>
  <Override PartName="/word/theme/themeOverride35.xml" ContentType="application/vnd.openxmlformats-officedocument.themeOverride+xml"/>
  <Override PartName="/word/charts/chart40.xml" ContentType="application/vnd.openxmlformats-officedocument.drawingml.chart+xml"/>
  <Override PartName="/word/theme/themeOverride36.xml" ContentType="application/vnd.openxmlformats-officedocument.themeOverride+xml"/>
  <Override PartName="/word/charts/chart41.xml" ContentType="application/vnd.openxmlformats-officedocument.drawingml.chart+xml"/>
  <Override PartName="/word/theme/themeOverride37.xml" ContentType="application/vnd.openxmlformats-officedocument.themeOverride+xml"/>
  <Override PartName="/word/charts/chart42.xml" ContentType="application/vnd.openxmlformats-officedocument.drawingml.chart+xml"/>
  <Override PartName="/word/theme/themeOverride38.xml" ContentType="application/vnd.openxmlformats-officedocument.themeOverride+xml"/>
  <Override PartName="/word/charts/chart43.xml" ContentType="application/vnd.openxmlformats-officedocument.drawingml.chart+xml"/>
  <Override PartName="/word/theme/themeOverride39.xml" ContentType="application/vnd.openxmlformats-officedocument.themeOverride+xml"/>
  <Override PartName="/word/charts/chart44.xml" ContentType="application/vnd.openxmlformats-officedocument.drawingml.chart+xml"/>
  <Override PartName="/word/theme/themeOverride40.xml" ContentType="application/vnd.openxmlformats-officedocument.themeOverride+xml"/>
  <Override PartName="/word/charts/chart45.xml" ContentType="application/vnd.openxmlformats-officedocument.drawingml.chart+xml"/>
  <Override PartName="/word/theme/themeOverride41.xml" ContentType="application/vnd.openxmlformats-officedocument.themeOverride+xml"/>
  <Override PartName="/word/charts/chart46.xml" ContentType="application/vnd.openxmlformats-officedocument.drawingml.chart+xml"/>
  <Override PartName="/word/theme/themeOverride42.xml" ContentType="application/vnd.openxmlformats-officedocument.themeOverride+xml"/>
  <Override PartName="/word/charts/chart47.xml" ContentType="application/vnd.openxmlformats-officedocument.drawingml.chart+xml"/>
  <Override PartName="/word/theme/themeOverride43.xml" ContentType="application/vnd.openxmlformats-officedocument.themeOverride+xml"/>
  <Override PartName="/word/charts/chart48.xml" ContentType="application/vnd.openxmlformats-officedocument.drawingml.chart+xml"/>
  <Override PartName="/word/theme/themeOverride44.xml" ContentType="application/vnd.openxmlformats-officedocument.themeOverride+xml"/>
  <Override PartName="/word/charts/chart49.xml" ContentType="application/vnd.openxmlformats-officedocument.drawingml.chart+xml"/>
  <Override PartName="/word/theme/themeOverride45.xml" ContentType="application/vnd.openxmlformats-officedocument.themeOverride+xml"/>
  <Override PartName="/word/charts/chart50.xml" ContentType="application/vnd.openxmlformats-officedocument.drawingml.chart+xml"/>
  <Override PartName="/word/theme/themeOverride46.xml" ContentType="application/vnd.openxmlformats-officedocument.themeOverride+xml"/>
  <Override PartName="/word/drawings/drawing1.xml" ContentType="application/vnd.openxmlformats-officedocument.drawingml.chartshapes+xml"/>
  <Override PartName="/word/charts/chart51.xml" ContentType="application/vnd.openxmlformats-officedocument.drawingml.chart+xml"/>
  <Override PartName="/word/theme/themeOverride47.xml" ContentType="application/vnd.openxmlformats-officedocument.themeOverride+xml"/>
  <Override PartName="/word/drawings/drawing2.xml" ContentType="application/vnd.openxmlformats-officedocument.drawingml.chartshapes+xml"/>
  <Override PartName="/word/charts/chart52.xml" ContentType="application/vnd.openxmlformats-officedocument.drawingml.chart+xml"/>
  <Override PartName="/word/theme/themeOverride48.xml" ContentType="application/vnd.openxmlformats-officedocument.themeOverride+xml"/>
  <Override PartName="/word/charts/chart53.xml" ContentType="application/vnd.openxmlformats-officedocument.drawingml.chart+xml"/>
  <Override PartName="/word/theme/themeOverride49.xml" ContentType="application/vnd.openxmlformats-officedocument.themeOverride+xml"/>
  <Override PartName="/word/header5.xml" ContentType="application/vnd.openxmlformats-officedocument.wordprocessingml.header+xml"/>
  <Override PartName="/word/charts/chart54.xml" ContentType="application/vnd.openxmlformats-officedocument.drawingml.chart+xml"/>
  <Override PartName="/word/theme/themeOverride50.xml" ContentType="application/vnd.openxmlformats-officedocument.themeOverride+xml"/>
  <Override PartName="/word/charts/chart55.xml" ContentType="application/vnd.openxmlformats-officedocument.drawingml.chart+xml"/>
  <Override PartName="/word/theme/themeOverride51.xml" ContentType="application/vnd.openxmlformats-officedocument.themeOverride+xml"/>
  <Override PartName="/word/charts/chart56.xml" ContentType="application/vnd.openxmlformats-officedocument.drawingml.chart+xml"/>
  <Override PartName="/word/theme/themeOverride52.xml" ContentType="application/vnd.openxmlformats-officedocument.themeOverride+xml"/>
  <Override PartName="/word/charts/chart57.xml" ContentType="application/vnd.openxmlformats-officedocument.drawingml.chart+xml"/>
  <Override PartName="/word/theme/themeOverride53.xml" ContentType="application/vnd.openxmlformats-officedocument.themeOverride+xml"/>
  <Override PartName="/word/header6.xml" ContentType="application/vnd.openxmlformats-officedocument.wordprocessingml.header+xml"/>
  <Override PartName="/word/charts/chart58.xml" ContentType="application/vnd.openxmlformats-officedocument.drawingml.chart+xml"/>
  <Override PartName="/word/theme/themeOverride54.xml" ContentType="application/vnd.openxmlformats-officedocument.themeOverride+xml"/>
  <Override PartName="/word/charts/chart59.xml" ContentType="application/vnd.openxmlformats-officedocument.drawingml.chart+xml"/>
  <Override PartName="/word/theme/themeOverride55.xml" ContentType="application/vnd.openxmlformats-officedocument.themeOverride+xml"/>
  <Override PartName="/word/header7.xml" ContentType="application/vnd.openxmlformats-officedocument.wordprocessingml.header+xml"/>
  <Override PartName="/word/charts/chart60.xml" ContentType="application/vnd.openxmlformats-officedocument.drawingml.chart+xml"/>
  <Override PartName="/word/theme/themeOverride56.xml" ContentType="application/vnd.openxmlformats-officedocument.themeOverride+xml"/>
  <Override PartName="/word/charts/chart61.xml" ContentType="application/vnd.openxmlformats-officedocument.drawingml.chart+xml"/>
  <Override PartName="/word/theme/themeOverride57.xml" ContentType="application/vnd.openxmlformats-officedocument.themeOverride+xml"/>
  <Override PartName="/word/header8.xml" ContentType="application/vnd.openxmlformats-officedocument.wordprocessingml.header+xml"/>
  <Override PartName="/word/charts/chart62.xml" ContentType="application/vnd.openxmlformats-officedocument.drawingml.chart+xml"/>
  <Override PartName="/word/theme/themeOverride58.xml" ContentType="application/vnd.openxmlformats-officedocument.themeOverride+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11D" w:rsidRPr="001F63BA" w:rsidRDefault="001C411D" w:rsidP="0059556D">
      <w:pPr>
        <w:tabs>
          <w:tab w:val="left" w:pos="0"/>
        </w:tabs>
        <w:spacing w:line="360" w:lineRule="auto"/>
        <w:jc w:val="center"/>
        <w:rPr>
          <w:rFonts w:ascii="GHEA Grapalat" w:hAnsi="GHEA Grapalat"/>
          <w:b/>
          <w:lang w:val="en-US"/>
        </w:rPr>
      </w:pPr>
      <w:r w:rsidRPr="001F63BA">
        <w:rPr>
          <w:rFonts w:ascii="GHEA Grapalat" w:hAnsi="GHEA Grapalat"/>
          <w:b/>
          <w:lang w:val="en-US"/>
        </w:rPr>
        <w:t>ՀԱՅԱՍՏԱՆԻ ՀԱՆՐԱՊԵՏՈՒԹՅԱՆ 2022 ԹՎԱԿԱՆԻ ՊԵՏԱԿԱՆ ԲՅՈՒՋԵԻ</w:t>
      </w:r>
    </w:p>
    <w:p w:rsidR="001C411D" w:rsidRPr="001F63BA" w:rsidRDefault="001C411D" w:rsidP="0059556D">
      <w:pPr>
        <w:tabs>
          <w:tab w:val="left" w:pos="0"/>
        </w:tabs>
        <w:spacing w:line="360" w:lineRule="auto"/>
        <w:jc w:val="center"/>
        <w:rPr>
          <w:rFonts w:ascii="GHEA Grapalat" w:hAnsi="GHEA Grapalat"/>
          <w:b/>
          <w:lang w:val="en-US"/>
        </w:rPr>
      </w:pPr>
      <w:r w:rsidRPr="001F63BA">
        <w:rPr>
          <w:rFonts w:ascii="GHEA Grapalat" w:hAnsi="GHEA Grapalat"/>
          <w:b/>
          <w:lang w:val="en-US"/>
        </w:rPr>
        <w:t>ԿԱՏԱՐՄԱՆ ՎԵՐԼՈՒԾՈՒԹՅՈՒՆ</w:t>
      </w:r>
    </w:p>
    <w:p w:rsidR="001C411D" w:rsidRPr="001F63BA" w:rsidRDefault="001C411D" w:rsidP="00EA4DFC">
      <w:pPr>
        <w:pStyle w:val="TOC1"/>
        <w:rPr>
          <w:color w:val="auto"/>
        </w:rPr>
      </w:pPr>
    </w:p>
    <w:p w:rsidR="001C411D" w:rsidRPr="001F63BA" w:rsidRDefault="001C411D" w:rsidP="00D07995">
      <w:pPr>
        <w:pStyle w:val="TOC1"/>
        <w:jc w:val="center"/>
        <w:rPr>
          <w:color w:val="auto"/>
        </w:rPr>
      </w:pPr>
      <w:r w:rsidRPr="001F63BA">
        <w:rPr>
          <w:color w:val="auto"/>
        </w:rPr>
        <w:t>ԲՈՎԱՆԴԱԿՈՒԹՅՈՒՆ</w:t>
      </w:r>
    </w:p>
    <w:p w:rsidR="001C411D" w:rsidRPr="001F63BA" w:rsidRDefault="001C411D" w:rsidP="00250F7B">
      <w:pPr>
        <w:rPr>
          <w:lang w:val="en-US"/>
        </w:rPr>
      </w:pPr>
    </w:p>
    <w:bookmarkStart w:id="0" w:name="_Toc354657489"/>
    <w:bookmarkStart w:id="1" w:name="_Toc353882532"/>
    <w:bookmarkStart w:id="2" w:name="_Toc322445784"/>
    <w:bookmarkStart w:id="3" w:name="_Toc322445706"/>
    <w:bookmarkStart w:id="4" w:name="_Toc291747924"/>
    <w:bookmarkStart w:id="5" w:name="_Toc291747554"/>
    <w:bookmarkStart w:id="6" w:name="_Toc291747225"/>
    <w:bookmarkStart w:id="7" w:name="_Toc290409635"/>
    <w:p w:rsidR="001C411D" w:rsidRPr="001F63BA" w:rsidRDefault="001C411D">
      <w:pPr>
        <w:pStyle w:val="TOC1"/>
        <w:rPr>
          <w:rFonts w:ascii="Calibri" w:hAnsi="Calibri" w:cs="Times New Roman"/>
          <w:b w:val="0"/>
          <w:bCs w:val="0"/>
          <w:caps w:val="0"/>
          <w:color w:val="auto"/>
          <w:sz w:val="22"/>
          <w:szCs w:val="22"/>
        </w:rPr>
      </w:pPr>
      <w:r w:rsidRPr="001F63BA">
        <w:rPr>
          <w:color w:val="auto"/>
        </w:rPr>
        <w:fldChar w:fldCharType="begin"/>
      </w:r>
      <w:r w:rsidRPr="001F63BA">
        <w:rPr>
          <w:color w:val="auto"/>
        </w:rPr>
        <w:instrText xml:space="preserve"> TOC \o "1-3" \h \z \u </w:instrText>
      </w:r>
      <w:r w:rsidRPr="001F63BA">
        <w:rPr>
          <w:color w:val="auto"/>
        </w:rPr>
        <w:fldChar w:fldCharType="separate"/>
      </w:r>
      <w:hyperlink w:anchor="_Toc132204196" w:history="1">
        <w:r w:rsidRPr="001F63BA">
          <w:rPr>
            <w:rStyle w:val="Hyperlink"/>
            <w:rFonts w:cs="Sylfaen"/>
            <w:color w:val="auto"/>
          </w:rPr>
          <w:t>ՕԳՏԱԳՈՐԾՎԱԾ ՀԱՊԱՎՈՒՄՆԵՐ</w:t>
        </w:r>
        <w:r w:rsidRPr="001F63BA">
          <w:rPr>
            <w:webHidden/>
            <w:color w:val="auto"/>
          </w:rPr>
          <w:tab/>
        </w:r>
        <w:r w:rsidRPr="001F63BA">
          <w:rPr>
            <w:webHidden/>
            <w:color w:val="auto"/>
          </w:rPr>
          <w:fldChar w:fldCharType="begin"/>
        </w:r>
        <w:r w:rsidRPr="001F63BA">
          <w:rPr>
            <w:webHidden/>
            <w:color w:val="auto"/>
          </w:rPr>
          <w:instrText xml:space="preserve"> PAGEREF _Toc132204196 \h </w:instrText>
        </w:r>
        <w:r w:rsidRPr="001F63BA">
          <w:rPr>
            <w:webHidden/>
            <w:color w:val="auto"/>
          </w:rPr>
        </w:r>
        <w:r w:rsidRPr="001F63BA">
          <w:rPr>
            <w:webHidden/>
            <w:color w:val="auto"/>
          </w:rPr>
          <w:fldChar w:fldCharType="separate"/>
        </w:r>
        <w:r w:rsidR="00676596">
          <w:rPr>
            <w:webHidden/>
            <w:color w:val="auto"/>
          </w:rPr>
          <w:t>7</w:t>
        </w:r>
        <w:r w:rsidRPr="001F63BA">
          <w:rPr>
            <w:webHidden/>
            <w:color w:val="auto"/>
          </w:rPr>
          <w:fldChar w:fldCharType="end"/>
        </w:r>
      </w:hyperlink>
    </w:p>
    <w:p w:rsidR="001C411D" w:rsidRPr="001F63BA" w:rsidRDefault="001C411D">
      <w:pPr>
        <w:pStyle w:val="TOC1"/>
        <w:rPr>
          <w:rStyle w:val="Hyperlink"/>
          <w:color w:val="auto"/>
        </w:rPr>
      </w:pPr>
    </w:p>
    <w:p w:rsidR="001C411D" w:rsidRPr="001F63BA" w:rsidRDefault="008333FB">
      <w:pPr>
        <w:pStyle w:val="TOC1"/>
        <w:rPr>
          <w:rFonts w:ascii="Calibri" w:hAnsi="Calibri" w:cs="Times New Roman"/>
          <w:b w:val="0"/>
          <w:bCs w:val="0"/>
          <w:caps w:val="0"/>
          <w:color w:val="auto"/>
          <w:sz w:val="22"/>
          <w:szCs w:val="22"/>
        </w:rPr>
      </w:pPr>
      <w:hyperlink w:anchor="_Toc132204197" w:history="1">
        <w:r w:rsidR="001C411D" w:rsidRPr="001F63BA">
          <w:rPr>
            <w:rStyle w:val="Hyperlink"/>
            <w:rFonts w:cs="Sylfaen"/>
            <w:color w:val="auto"/>
          </w:rPr>
          <w:t>ՀԱՅԱՍՏԱՆԻ ՀԱՆՐԱՊԵՏՈՒԹՅԱՆ 2022 ԹՎԱԿԱՆԻ ՊԵՏԱԿԱՆ ԲՅՈՒՋԵԻ ԿԱՏԱՐՄԱՆ      ԱՄՓՈՓԱԳԻՐ</w:t>
        </w:r>
        <w:r w:rsidR="001C411D" w:rsidRPr="001F63BA">
          <w:rPr>
            <w:webHidden/>
            <w:color w:val="auto"/>
          </w:rPr>
          <w:tab/>
        </w:r>
        <w:r w:rsidR="001C411D" w:rsidRPr="001F63BA">
          <w:rPr>
            <w:webHidden/>
            <w:color w:val="auto"/>
          </w:rPr>
          <w:fldChar w:fldCharType="begin"/>
        </w:r>
        <w:r w:rsidR="001C411D" w:rsidRPr="001F63BA">
          <w:rPr>
            <w:webHidden/>
            <w:color w:val="auto"/>
          </w:rPr>
          <w:instrText xml:space="preserve"> PAGEREF _Toc132204197 \h </w:instrText>
        </w:r>
        <w:r w:rsidR="001C411D" w:rsidRPr="001F63BA">
          <w:rPr>
            <w:webHidden/>
            <w:color w:val="auto"/>
          </w:rPr>
        </w:r>
        <w:r w:rsidR="001C411D" w:rsidRPr="001F63BA">
          <w:rPr>
            <w:webHidden/>
            <w:color w:val="auto"/>
          </w:rPr>
          <w:fldChar w:fldCharType="separate"/>
        </w:r>
        <w:r w:rsidR="00676596">
          <w:rPr>
            <w:webHidden/>
            <w:color w:val="auto"/>
          </w:rPr>
          <w:t>9</w:t>
        </w:r>
        <w:r w:rsidR="001C411D" w:rsidRPr="001F63BA">
          <w:rPr>
            <w:webHidden/>
            <w:color w:val="auto"/>
          </w:rPr>
          <w:fldChar w:fldCharType="end"/>
        </w:r>
      </w:hyperlink>
    </w:p>
    <w:p w:rsidR="001C411D" w:rsidRPr="001F63BA" w:rsidRDefault="001C411D">
      <w:pPr>
        <w:pStyle w:val="TOC1"/>
        <w:rPr>
          <w:rStyle w:val="Hyperlink"/>
          <w:color w:val="auto"/>
        </w:rPr>
      </w:pPr>
    </w:p>
    <w:p w:rsidR="001C411D" w:rsidRPr="001F63BA" w:rsidRDefault="008333FB">
      <w:pPr>
        <w:pStyle w:val="TOC1"/>
        <w:rPr>
          <w:rFonts w:ascii="Calibri" w:hAnsi="Calibri" w:cs="Times New Roman"/>
          <w:b w:val="0"/>
          <w:bCs w:val="0"/>
          <w:caps w:val="0"/>
          <w:color w:val="auto"/>
          <w:sz w:val="22"/>
          <w:szCs w:val="22"/>
        </w:rPr>
      </w:pPr>
      <w:hyperlink w:anchor="_Toc132204198" w:history="1">
        <w:r w:rsidR="001C411D" w:rsidRPr="001F63BA">
          <w:rPr>
            <w:rStyle w:val="Hyperlink"/>
            <w:rFonts w:cs="Sylfaen"/>
            <w:color w:val="auto"/>
          </w:rPr>
          <w:t>2022 ԹՎԱԿԱՆԻ ՍՈ</w:t>
        </w:r>
        <w:r w:rsidR="001C411D" w:rsidRPr="001F63BA">
          <w:rPr>
            <w:rStyle w:val="Hyperlink"/>
            <w:rFonts w:cs="Sylfaen"/>
            <w:color w:val="auto"/>
          </w:rPr>
          <w:t>Ց</w:t>
        </w:r>
        <w:r w:rsidR="001C411D" w:rsidRPr="001F63BA">
          <w:rPr>
            <w:rStyle w:val="Hyperlink"/>
            <w:rFonts w:cs="Sylfaen"/>
            <w:color w:val="auto"/>
          </w:rPr>
          <w:t>ԻԱԼ-ՏՆՏԵՍԱԿԱՆ ԶԱՐԳԱՑՄԱՆ ԵՎ ՀԱՐԿԱԲՅՈՒՋԵՏԱՅԻՆ ՔԱՂԱ</w:t>
        </w:r>
        <w:r w:rsidR="001C411D" w:rsidRPr="001F63BA">
          <w:rPr>
            <w:rStyle w:val="Hyperlink"/>
            <w:rFonts w:cs="Sylfaen"/>
            <w:color w:val="auto"/>
          </w:rPr>
          <w:t>Ք</w:t>
        </w:r>
        <w:r w:rsidR="001C411D" w:rsidRPr="001F63BA">
          <w:rPr>
            <w:rStyle w:val="Hyperlink"/>
            <w:rFonts w:cs="Sylfaen"/>
            <w:color w:val="auto"/>
          </w:rPr>
          <w:t xml:space="preserve">ԱԿԱՆՈՒԹՅԱՆ ՀԻՄՆԱԿԱՆ </w:t>
        </w:r>
        <w:r w:rsidR="001C411D" w:rsidRPr="001F63BA">
          <w:rPr>
            <w:rStyle w:val="Hyperlink"/>
            <w:rFonts w:cs="Sylfaen"/>
            <w:color w:val="auto"/>
          </w:rPr>
          <w:t>Ո</w:t>
        </w:r>
        <w:r w:rsidR="001C411D" w:rsidRPr="001F63BA">
          <w:rPr>
            <w:rStyle w:val="Hyperlink"/>
            <w:rFonts w:cs="Sylfaen"/>
            <w:color w:val="auto"/>
          </w:rPr>
          <w:t>ՒՂՂՈՒԹՅՈՒՆՆԵՐԸ</w:t>
        </w:r>
        <w:r w:rsidR="001C411D" w:rsidRPr="001F63BA">
          <w:rPr>
            <w:webHidden/>
            <w:color w:val="auto"/>
          </w:rPr>
          <w:tab/>
        </w:r>
        <w:r w:rsidR="001C411D" w:rsidRPr="001F63BA">
          <w:rPr>
            <w:webHidden/>
            <w:color w:val="auto"/>
          </w:rPr>
          <w:fldChar w:fldCharType="begin"/>
        </w:r>
        <w:r w:rsidR="001C411D" w:rsidRPr="001F63BA">
          <w:rPr>
            <w:webHidden/>
            <w:color w:val="auto"/>
          </w:rPr>
          <w:instrText xml:space="preserve"> PAGEREF _Toc132204198 \h </w:instrText>
        </w:r>
        <w:r w:rsidR="001C411D" w:rsidRPr="001F63BA">
          <w:rPr>
            <w:webHidden/>
            <w:color w:val="auto"/>
          </w:rPr>
        </w:r>
        <w:r w:rsidR="001C411D" w:rsidRPr="001F63BA">
          <w:rPr>
            <w:webHidden/>
            <w:color w:val="auto"/>
          </w:rPr>
          <w:fldChar w:fldCharType="separate"/>
        </w:r>
        <w:r w:rsidR="00676596">
          <w:rPr>
            <w:webHidden/>
            <w:color w:val="auto"/>
          </w:rPr>
          <w:t>17</w:t>
        </w:r>
        <w:r w:rsidR="001C411D" w:rsidRPr="001F63BA">
          <w:rPr>
            <w:webHidden/>
            <w:color w:val="auto"/>
          </w:rPr>
          <w:fldChar w:fldCharType="end"/>
        </w:r>
      </w:hyperlink>
    </w:p>
    <w:p w:rsidR="001C411D" w:rsidRPr="001F63BA" w:rsidRDefault="001C411D">
      <w:pPr>
        <w:pStyle w:val="TOC2"/>
        <w:rPr>
          <w:rStyle w:val="Hyperlink"/>
          <w:color w:val="auto"/>
          <w:lang w:val="en-US"/>
        </w:rPr>
      </w:pPr>
    </w:p>
    <w:p w:rsidR="001C411D" w:rsidRPr="001F63BA" w:rsidRDefault="008333FB">
      <w:pPr>
        <w:pStyle w:val="TOC2"/>
        <w:rPr>
          <w:rFonts w:ascii="Calibri" w:hAnsi="Calibri"/>
          <w:bCs w:val="0"/>
          <w:sz w:val="22"/>
          <w:szCs w:val="22"/>
          <w:lang w:val="en-US"/>
        </w:rPr>
      </w:pPr>
      <w:hyperlink w:anchor="_Toc132204199" w:history="1">
        <w:r w:rsidR="001C411D" w:rsidRPr="001F63BA">
          <w:rPr>
            <w:rStyle w:val="Hyperlink"/>
            <w:color w:val="auto"/>
          </w:rPr>
          <w:t>Տնտեսական զարգացում</w:t>
        </w:r>
        <w:r w:rsidR="001C411D" w:rsidRPr="001F63BA">
          <w:rPr>
            <w:webHidden/>
          </w:rPr>
          <w:tab/>
        </w:r>
        <w:r w:rsidR="001C411D" w:rsidRPr="001F63BA">
          <w:rPr>
            <w:webHidden/>
          </w:rPr>
          <w:fldChar w:fldCharType="begin"/>
        </w:r>
        <w:r w:rsidR="001C411D" w:rsidRPr="001F63BA">
          <w:rPr>
            <w:webHidden/>
          </w:rPr>
          <w:instrText xml:space="preserve"> PAGEREF _Toc132204199 \h </w:instrText>
        </w:r>
        <w:r w:rsidR="001C411D" w:rsidRPr="001F63BA">
          <w:rPr>
            <w:webHidden/>
          </w:rPr>
        </w:r>
        <w:r w:rsidR="001C411D" w:rsidRPr="001F63BA">
          <w:rPr>
            <w:webHidden/>
          </w:rPr>
          <w:fldChar w:fldCharType="separate"/>
        </w:r>
        <w:r w:rsidR="00676596">
          <w:rPr>
            <w:webHidden/>
          </w:rPr>
          <w:t>18</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0" w:history="1">
        <w:r w:rsidR="001C411D" w:rsidRPr="001F63BA">
          <w:rPr>
            <w:rStyle w:val="Hyperlink"/>
            <w:color w:val="auto"/>
          </w:rPr>
          <w:t>Տարածքային կառավարում և տեղական ինքնակառավարում</w:t>
        </w:r>
        <w:r w:rsidR="001C411D" w:rsidRPr="001F63BA">
          <w:rPr>
            <w:webHidden/>
          </w:rPr>
          <w:tab/>
        </w:r>
        <w:r w:rsidR="001C411D" w:rsidRPr="001F63BA">
          <w:rPr>
            <w:webHidden/>
          </w:rPr>
          <w:fldChar w:fldCharType="begin"/>
        </w:r>
        <w:r w:rsidR="001C411D" w:rsidRPr="001F63BA">
          <w:rPr>
            <w:webHidden/>
          </w:rPr>
          <w:instrText xml:space="preserve"> PAGEREF _Toc132204200 \h </w:instrText>
        </w:r>
        <w:r w:rsidR="001C411D" w:rsidRPr="001F63BA">
          <w:rPr>
            <w:webHidden/>
          </w:rPr>
        </w:r>
        <w:r w:rsidR="001C411D" w:rsidRPr="001F63BA">
          <w:rPr>
            <w:webHidden/>
          </w:rPr>
          <w:fldChar w:fldCharType="separate"/>
        </w:r>
        <w:r w:rsidR="00676596">
          <w:rPr>
            <w:webHidden/>
          </w:rPr>
          <w:t>31</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1" w:history="1">
        <w:r w:rsidR="001C411D" w:rsidRPr="001F63BA">
          <w:rPr>
            <w:rStyle w:val="Hyperlink"/>
            <w:color w:val="auto"/>
          </w:rPr>
          <w:t>Ճանապարհային տնտեսություն</w:t>
        </w:r>
        <w:r w:rsidR="001C411D" w:rsidRPr="001F63BA">
          <w:rPr>
            <w:webHidden/>
          </w:rPr>
          <w:tab/>
        </w:r>
        <w:r w:rsidR="001C411D" w:rsidRPr="001F63BA">
          <w:rPr>
            <w:webHidden/>
          </w:rPr>
          <w:fldChar w:fldCharType="begin"/>
        </w:r>
        <w:r w:rsidR="001C411D" w:rsidRPr="001F63BA">
          <w:rPr>
            <w:webHidden/>
          </w:rPr>
          <w:instrText xml:space="preserve"> PAGEREF _Toc132204201 \h </w:instrText>
        </w:r>
        <w:r w:rsidR="001C411D" w:rsidRPr="001F63BA">
          <w:rPr>
            <w:webHidden/>
          </w:rPr>
        </w:r>
        <w:r w:rsidR="001C411D" w:rsidRPr="001F63BA">
          <w:rPr>
            <w:webHidden/>
          </w:rPr>
          <w:fldChar w:fldCharType="separate"/>
        </w:r>
        <w:r w:rsidR="00676596">
          <w:rPr>
            <w:webHidden/>
          </w:rPr>
          <w:t>35</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2" w:history="1">
        <w:r w:rsidR="001C411D" w:rsidRPr="001F63BA">
          <w:rPr>
            <w:rStyle w:val="Hyperlink"/>
            <w:color w:val="auto"/>
          </w:rPr>
          <w:t>Էներգետիկա</w:t>
        </w:r>
        <w:r w:rsidR="001C411D" w:rsidRPr="001F63BA">
          <w:rPr>
            <w:webHidden/>
          </w:rPr>
          <w:tab/>
        </w:r>
        <w:r w:rsidR="001C411D" w:rsidRPr="001F63BA">
          <w:rPr>
            <w:webHidden/>
          </w:rPr>
          <w:fldChar w:fldCharType="begin"/>
        </w:r>
        <w:r w:rsidR="001C411D" w:rsidRPr="001F63BA">
          <w:rPr>
            <w:webHidden/>
          </w:rPr>
          <w:instrText xml:space="preserve"> PAGEREF _Toc132204202 \h </w:instrText>
        </w:r>
        <w:r w:rsidR="001C411D" w:rsidRPr="001F63BA">
          <w:rPr>
            <w:webHidden/>
          </w:rPr>
        </w:r>
        <w:r w:rsidR="001C411D" w:rsidRPr="001F63BA">
          <w:rPr>
            <w:webHidden/>
          </w:rPr>
          <w:fldChar w:fldCharType="separate"/>
        </w:r>
        <w:r w:rsidR="00676596">
          <w:rPr>
            <w:webHidden/>
          </w:rPr>
          <w:t>39</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3" w:history="1">
        <w:r w:rsidR="001C411D" w:rsidRPr="001F63BA">
          <w:rPr>
            <w:rStyle w:val="Hyperlink"/>
            <w:color w:val="auto"/>
          </w:rPr>
          <w:t>Ընդերքի բնագավառ</w:t>
        </w:r>
        <w:r w:rsidR="001C411D" w:rsidRPr="001F63BA">
          <w:rPr>
            <w:webHidden/>
          </w:rPr>
          <w:tab/>
        </w:r>
        <w:r w:rsidR="001C411D" w:rsidRPr="001F63BA">
          <w:rPr>
            <w:webHidden/>
          </w:rPr>
          <w:fldChar w:fldCharType="begin"/>
        </w:r>
        <w:r w:rsidR="001C411D" w:rsidRPr="001F63BA">
          <w:rPr>
            <w:webHidden/>
          </w:rPr>
          <w:instrText xml:space="preserve"> PAGEREF _Toc132204203 \h </w:instrText>
        </w:r>
        <w:r w:rsidR="001C411D" w:rsidRPr="001F63BA">
          <w:rPr>
            <w:webHidden/>
          </w:rPr>
        </w:r>
        <w:r w:rsidR="001C411D" w:rsidRPr="001F63BA">
          <w:rPr>
            <w:webHidden/>
          </w:rPr>
          <w:fldChar w:fldCharType="separate"/>
        </w:r>
        <w:r w:rsidR="00676596">
          <w:rPr>
            <w:webHidden/>
          </w:rPr>
          <w:t>43</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4" w:history="1">
        <w:r w:rsidR="001C411D" w:rsidRPr="001F63BA">
          <w:rPr>
            <w:rStyle w:val="Hyperlink"/>
            <w:color w:val="auto"/>
          </w:rPr>
          <w:t>Ջրային տնտեսություն</w:t>
        </w:r>
        <w:r w:rsidR="001C411D" w:rsidRPr="001F63BA">
          <w:rPr>
            <w:webHidden/>
          </w:rPr>
          <w:tab/>
        </w:r>
        <w:r w:rsidR="001C411D" w:rsidRPr="001F63BA">
          <w:rPr>
            <w:webHidden/>
          </w:rPr>
          <w:fldChar w:fldCharType="begin"/>
        </w:r>
        <w:r w:rsidR="001C411D" w:rsidRPr="001F63BA">
          <w:rPr>
            <w:webHidden/>
          </w:rPr>
          <w:instrText xml:space="preserve"> PAGEREF _Toc132204204 \h </w:instrText>
        </w:r>
        <w:r w:rsidR="001C411D" w:rsidRPr="001F63BA">
          <w:rPr>
            <w:webHidden/>
          </w:rPr>
        </w:r>
        <w:r w:rsidR="001C411D" w:rsidRPr="001F63BA">
          <w:rPr>
            <w:webHidden/>
          </w:rPr>
          <w:fldChar w:fldCharType="separate"/>
        </w:r>
        <w:r w:rsidR="00676596">
          <w:rPr>
            <w:webHidden/>
          </w:rPr>
          <w:t>45</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5" w:history="1">
        <w:r w:rsidR="001C411D" w:rsidRPr="001F63BA">
          <w:rPr>
            <w:rStyle w:val="Hyperlink"/>
            <w:color w:val="auto"/>
          </w:rPr>
          <w:t>Հանրային ծառայությունների կարգավորում</w:t>
        </w:r>
        <w:r w:rsidR="001C411D" w:rsidRPr="001F63BA">
          <w:rPr>
            <w:webHidden/>
          </w:rPr>
          <w:tab/>
        </w:r>
        <w:r w:rsidR="001C411D" w:rsidRPr="001F63BA">
          <w:rPr>
            <w:webHidden/>
          </w:rPr>
          <w:fldChar w:fldCharType="begin"/>
        </w:r>
        <w:r w:rsidR="001C411D" w:rsidRPr="001F63BA">
          <w:rPr>
            <w:webHidden/>
          </w:rPr>
          <w:instrText xml:space="preserve"> PAGEREF _Toc132204205 \h </w:instrText>
        </w:r>
        <w:r w:rsidR="001C411D" w:rsidRPr="001F63BA">
          <w:rPr>
            <w:webHidden/>
          </w:rPr>
        </w:r>
        <w:r w:rsidR="001C411D" w:rsidRPr="001F63BA">
          <w:rPr>
            <w:webHidden/>
          </w:rPr>
          <w:fldChar w:fldCharType="separate"/>
        </w:r>
        <w:r w:rsidR="00676596">
          <w:rPr>
            <w:webHidden/>
          </w:rPr>
          <w:t>46</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6" w:history="1">
        <w:r w:rsidR="001C411D" w:rsidRPr="001F63BA">
          <w:rPr>
            <w:rStyle w:val="Hyperlink"/>
            <w:color w:val="auto"/>
          </w:rPr>
          <w:t>Քաղաքացիական ավիացիա</w:t>
        </w:r>
        <w:r w:rsidR="001C411D" w:rsidRPr="001F63BA">
          <w:rPr>
            <w:webHidden/>
          </w:rPr>
          <w:tab/>
        </w:r>
        <w:r w:rsidR="001C411D" w:rsidRPr="001F63BA">
          <w:rPr>
            <w:webHidden/>
          </w:rPr>
          <w:fldChar w:fldCharType="begin"/>
        </w:r>
        <w:r w:rsidR="001C411D" w:rsidRPr="001F63BA">
          <w:rPr>
            <w:webHidden/>
          </w:rPr>
          <w:instrText xml:space="preserve"> PAGEREF _Toc132204206 \h </w:instrText>
        </w:r>
        <w:r w:rsidR="001C411D" w:rsidRPr="001F63BA">
          <w:rPr>
            <w:webHidden/>
          </w:rPr>
        </w:r>
        <w:r w:rsidR="001C411D" w:rsidRPr="001F63BA">
          <w:rPr>
            <w:webHidden/>
          </w:rPr>
          <w:fldChar w:fldCharType="separate"/>
        </w:r>
        <w:r w:rsidR="00676596">
          <w:rPr>
            <w:webHidden/>
          </w:rPr>
          <w:t>48</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7" w:history="1">
        <w:r w:rsidR="001C411D" w:rsidRPr="001F63BA">
          <w:rPr>
            <w:rStyle w:val="Hyperlink"/>
            <w:color w:val="auto"/>
          </w:rPr>
          <w:t>Պետական գույքի կառավարում</w:t>
        </w:r>
        <w:r w:rsidR="001C411D" w:rsidRPr="001F63BA">
          <w:rPr>
            <w:webHidden/>
          </w:rPr>
          <w:tab/>
        </w:r>
        <w:r w:rsidR="001C411D" w:rsidRPr="001F63BA">
          <w:rPr>
            <w:webHidden/>
          </w:rPr>
          <w:fldChar w:fldCharType="begin"/>
        </w:r>
        <w:r w:rsidR="001C411D" w:rsidRPr="001F63BA">
          <w:rPr>
            <w:webHidden/>
          </w:rPr>
          <w:instrText xml:space="preserve"> PAGEREF _Toc132204207 \h </w:instrText>
        </w:r>
        <w:r w:rsidR="001C411D" w:rsidRPr="001F63BA">
          <w:rPr>
            <w:webHidden/>
          </w:rPr>
        </w:r>
        <w:r w:rsidR="001C411D" w:rsidRPr="001F63BA">
          <w:rPr>
            <w:webHidden/>
          </w:rPr>
          <w:fldChar w:fldCharType="separate"/>
        </w:r>
        <w:r w:rsidR="00676596">
          <w:rPr>
            <w:webHidden/>
          </w:rPr>
          <w:t>48</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8" w:history="1">
        <w:r w:rsidR="001C411D" w:rsidRPr="001F63BA">
          <w:rPr>
            <w:rStyle w:val="Hyperlink"/>
            <w:color w:val="auto"/>
          </w:rPr>
          <w:t>Միգրացիա</w:t>
        </w:r>
        <w:r w:rsidR="001C411D" w:rsidRPr="001F63BA">
          <w:rPr>
            <w:webHidden/>
          </w:rPr>
          <w:tab/>
        </w:r>
        <w:r w:rsidR="001C411D" w:rsidRPr="001F63BA">
          <w:rPr>
            <w:webHidden/>
          </w:rPr>
          <w:fldChar w:fldCharType="begin"/>
        </w:r>
        <w:r w:rsidR="001C411D" w:rsidRPr="001F63BA">
          <w:rPr>
            <w:webHidden/>
          </w:rPr>
          <w:instrText xml:space="preserve"> PAGEREF _Toc132204208 \h </w:instrText>
        </w:r>
        <w:r w:rsidR="001C411D" w:rsidRPr="001F63BA">
          <w:rPr>
            <w:webHidden/>
          </w:rPr>
        </w:r>
        <w:r w:rsidR="001C411D" w:rsidRPr="001F63BA">
          <w:rPr>
            <w:webHidden/>
          </w:rPr>
          <w:fldChar w:fldCharType="separate"/>
        </w:r>
        <w:r w:rsidR="00676596">
          <w:rPr>
            <w:webHidden/>
          </w:rPr>
          <w:t>50</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09" w:history="1">
        <w:r w:rsidR="001C411D" w:rsidRPr="001F63BA">
          <w:rPr>
            <w:rStyle w:val="Hyperlink"/>
            <w:color w:val="auto"/>
          </w:rPr>
          <w:t>Բարձր տեխնոլոգիական արդյունաբերություն</w:t>
        </w:r>
        <w:r w:rsidR="001C411D" w:rsidRPr="001F63BA">
          <w:rPr>
            <w:webHidden/>
          </w:rPr>
          <w:tab/>
        </w:r>
        <w:r w:rsidR="001C411D" w:rsidRPr="001F63BA">
          <w:rPr>
            <w:webHidden/>
          </w:rPr>
          <w:fldChar w:fldCharType="begin"/>
        </w:r>
        <w:r w:rsidR="001C411D" w:rsidRPr="001F63BA">
          <w:rPr>
            <w:webHidden/>
          </w:rPr>
          <w:instrText xml:space="preserve"> PAGEREF _Toc132204209 \h </w:instrText>
        </w:r>
        <w:r w:rsidR="001C411D" w:rsidRPr="001F63BA">
          <w:rPr>
            <w:webHidden/>
          </w:rPr>
        </w:r>
        <w:r w:rsidR="001C411D" w:rsidRPr="001F63BA">
          <w:rPr>
            <w:webHidden/>
          </w:rPr>
          <w:fldChar w:fldCharType="separate"/>
        </w:r>
        <w:r w:rsidR="00676596">
          <w:rPr>
            <w:webHidden/>
          </w:rPr>
          <w:t>53</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0" w:history="1">
        <w:r w:rsidR="001C411D" w:rsidRPr="001F63BA">
          <w:rPr>
            <w:rStyle w:val="Hyperlink"/>
            <w:color w:val="auto"/>
          </w:rPr>
          <w:t>Քաղաքաշինություն</w:t>
        </w:r>
        <w:r w:rsidR="001C411D" w:rsidRPr="001F63BA">
          <w:rPr>
            <w:webHidden/>
          </w:rPr>
          <w:tab/>
        </w:r>
        <w:r w:rsidR="001C411D" w:rsidRPr="001F63BA">
          <w:rPr>
            <w:webHidden/>
          </w:rPr>
          <w:fldChar w:fldCharType="begin"/>
        </w:r>
        <w:r w:rsidR="001C411D" w:rsidRPr="001F63BA">
          <w:rPr>
            <w:webHidden/>
          </w:rPr>
          <w:instrText xml:space="preserve"> PAGEREF _Toc132204210 \h </w:instrText>
        </w:r>
        <w:r w:rsidR="001C411D" w:rsidRPr="001F63BA">
          <w:rPr>
            <w:webHidden/>
          </w:rPr>
        </w:r>
        <w:r w:rsidR="001C411D" w:rsidRPr="001F63BA">
          <w:rPr>
            <w:webHidden/>
          </w:rPr>
          <w:fldChar w:fldCharType="separate"/>
        </w:r>
        <w:r w:rsidR="00676596">
          <w:rPr>
            <w:webHidden/>
          </w:rPr>
          <w:t>55</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1" w:history="1">
        <w:r w:rsidR="001C411D" w:rsidRPr="001F63BA">
          <w:rPr>
            <w:rStyle w:val="Hyperlink"/>
            <w:color w:val="auto"/>
          </w:rPr>
          <w:t>Արտակարգ իրավիճակների ոլորտ</w:t>
        </w:r>
        <w:r w:rsidR="001C411D" w:rsidRPr="001F63BA">
          <w:rPr>
            <w:webHidden/>
          </w:rPr>
          <w:tab/>
        </w:r>
        <w:r w:rsidR="001C411D" w:rsidRPr="001F63BA">
          <w:rPr>
            <w:webHidden/>
          </w:rPr>
          <w:fldChar w:fldCharType="begin"/>
        </w:r>
        <w:r w:rsidR="001C411D" w:rsidRPr="001F63BA">
          <w:rPr>
            <w:webHidden/>
          </w:rPr>
          <w:instrText xml:space="preserve"> PAGEREF _Toc132204211 \h </w:instrText>
        </w:r>
        <w:r w:rsidR="001C411D" w:rsidRPr="001F63BA">
          <w:rPr>
            <w:webHidden/>
          </w:rPr>
        </w:r>
        <w:r w:rsidR="001C411D" w:rsidRPr="001F63BA">
          <w:rPr>
            <w:webHidden/>
          </w:rPr>
          <w:fldChar w:fldCharType="separate"/>
        </w:r>
        <w:r w:rsidR="00676596">
          <w:rPr>
            <w:webHidden/>
          </w:rPr>
          <w:t>56</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2" w:history="1">
        <w:r w:rsidR="001C411D" w:rsidRPr="001F63BA">
          <w:rPr>
            <w:rStyle w:val="Hyperlink"/>
            <w:color w:val="auto"/>
          </w:rPr>
          <w:t>Արտաքին քաղաքականություն</w:t>
        </w:r>
        <w:r w:rsidR="001C411D" w:rsidRPr="001F63BA">
          <w:rPr>
            <w:webHidden/>
          </w:rPr>
          <w:tab/>
        </w:r>
        <w:r w:rsidR="001C411D" w:rsidRPr="001F63BA">
          <w:rPr>
            <w:webHidden/>
          </w:rPr>
          <w:fldChar w:fldCharType="begin"/>
        </w:r>
        <w:r w:rsidR="001C411D" w:rsidRPr="001F63BA">
          <w:rPr>
            <w:webHidden/>
          </w:rPr>
          <w:instrText xml:space="preserve"> PAGEREF _Toc132204212 \h </w:instrText>
        </w:r>
        <w:r w:rsidR="001C411D" w:rsidRPr="001F63BA">
          <w:rPr>
            <w:webHidden/>
          </w:rPr>
        </w:r>
        <w:r w:rsidR="001C411D" w:rsidRPr="001F63BA">
          <w:rPr>
            <w:webHidden/>
          </w:rPr>
          <w:fldChar w:fldCharType="separate"/>
        </w:r>
        <w:r w:rsidR="00676596">
          <w:rPr>
            <w:webHidden/>
          </w:rPr>
          <w:t>61</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3" w:history="1">
        <w:r w:rsidR="001C411D" w:rsidRPr="001F63BA">
          <w:rPr>
            <w:rStyle w:val="Hyperlink"/>
            <w:color w:val="auto"/>
          </w:rPr>
          <w:t>Արդարադատություն</w:t>
        </w:r>
        <w:r w:rsidR="001C411D" w:rsidRPr="001F63BA">
          <w:rPr>
            <w:webHidden/>
          </w:rPr>
          <w:tab/>
        </w:r>
        <w:r w:rsidR="001C411D" w:rsidRPr="001F63BA">
          <w:rPr>
            <w:webHidden/>
          </w:rPr>
          <w:fldChar w:fldCharType="begin"/>
        </w:r>
        <w:r w:rsidR="001C411D" w:rsidRPr="001F63BA">
          <w:rPr>
            <w:webHidden/>
          </w:rPr>
          <w:instrText xml:space="preserve"> PAGEREF _Toc132204213 \h </w:instrText>
        </w:r>
        <w:r w:rsidR="001C411D" w:rsidRPr="001F63BA">
          <w:rPr>
            <w:webHidden/>
          </w:rPr>
        </w:r>
        <w:r w:rsidR="001C411D" w:rsidRPr="001F63BA">
          <w:rPr>
            <w:webHidden/>
          </w:rPr>
          <w:fldChar w:fldCharType="separate"/>
        </w:r>
        <w:r w:rsidR="00676596">
          <w:rPr>
            <w:webHidden/>
          </w:rPr>
          <w:t>67</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4" w:history="1">
        <w:r w:rsidR="001C411D" w:rsidRPr="001F63BA">
          <w:rPr>
            <w:rStyle w:val="Hyperlink"/>
            <w:color w:val="auto"/>
          </w:rPr>
          <w:t>Սփյուռք</w:t>
        </w:r>
        <w:r w:rsidR="001C411D" w:rsidRPr="001F63BA">
          <w:rPr>
            <w:webHidden/>
          </w:rPr>
          <w:tab/>
        </w:r>
        <w:r w:rsidR="001C411D" w:rsidRPr="001F63BA">
          <w:rPr>
            <w:webHidden/>
          </w:rPr>
          <w:fldChar w:fldCharType="begin"/>
        </w:r>
        <w:r w:rsidR="001C411D" w:rsidRPr="001F63BA">
          <w:rPr>
            <w:webHidden/>
          </w:rPr>
          <w:instrText xml:space="preserve"> PAGEREF _Toc132204214 \h </w:instrText>
        </w:r>
        <w:r w:rsidR="001C411D" w:rsidRPr="001F63BA">
          <w:rPr>
            <w:webHidden/>
          </w:rPr>
        </w:r>
        <w:r w:rsidR="001C411D" w:rsidRPr="001F63BA">
          <w:rPr>
            <w:webHidden/>
          </w:rPr>
          <w:fldChar w:fldCharType="separate"/>
        </w:r>
        <w:r w:rsidR="00676596">
          <w:rPr>
            <w:webHidden/>
          </w:rPr>
          <w:t>75</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5" w:history="1">
        <w:r w:rsidR="001C411D" w:rsidRPr="001F63BA">
          <w:rPr>
            <w:rStyle w:val="Hyperlink"/>
            <w:color w:val="auto"/>
          </w:rPr>
          <w:t>Կրթություն</w:t>
        </w:r>
        <w:r w:rsidR="001C411D" w:rsidRPr="001F63BA">
          <w:rPr>
            <w:webHidden/>
          </w:rPr>
          <w:tab/>
        </w:r>
        <w:r w:rsidR="001C411D" w:rsidRPr="001F63BA">
          <w:rPr>
            <w:webHidden/>
          </w:rPr>
          <w:fldChar w:fldCharType="begin"/>
        </w:r>
        <w:r w:rsidR="001C411D" w:rsidRPr="001F63BA">
          <w:rPr>
            <w:webHidden/>
          </w:rPr>
          <w:instrText xml:space="preserve"> PAGEREF _Toc132204215 \h </w:instrText>
        </w:r>
        <w:r w:rsidR="001C411D" w:rsidRPr="001F63BA">
          <w:rPr>
            <w:webHidden/>
          </w:rPr>
        </w:r>
        <w:r w:rsidR="001C411D" w:rsidRPr="001F63BA">
          <w:rPr>
            <w:webHidden/>
          </w:rPr>
          <w:fldChar w:fldCharType="separate"/>
        </w:r>
        <w:r w:rsidR="00676596">
          <w:rPr>
            <w:webHidden/>
          </w:rPr>
          <w:t>79</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6" w:history="1">
        <w:r w:rsidR="001C411D" w:rsidRPr="001F63BA">
          <w:rPr>
            <w:rStyle w:val="Hyperlink"/>
            <w:color w:val="auto"/>
          </w:rPr>
          <w:t>Գիտություն</w:t>
        </w:r>
        <w:r w:rsidR="001C411D" w:rsidRPr="001F63BA">
          <w:rPr>
            <w:webHidden/>
          </w:rPr>
          <w:tab/>
        </w:r>
        <w:r w:rsidR="001C411D" w:rsidRPr="001F63BA">
          <w:rPr>
            <w:webHidden/>
          </w:rPr>
          <w:fldChar w:fldCharType="begin"/>
        </w:r>
        <w:r w:rsidR="001C411D" w:rsidRPr="001F63BA">
          <w:rPr>
            <w:webHidden/>
          </w:rPr>
          <w:instrText xml:space="preserve"> PAGEREF _Toc132204216 \h </w:instrText>
        </w:r>
        <w:r w:rsidR="001C411D" w:rsidRPr="001F63BA">
          <w:rPr>
            <w:webHidden/>
          </w:rPr>
        </w:r>
        <w:r w:rsidR="001C411D" w:rsidRPr="001F63BA">
          <w:rPr>
            <w:webHidden/>
          </w:rPr>
          <w:fldChar w:fldCharType="separate"/>
        </w:r>
        <w:r w:rsidR="00676596">
          <w:rPr>
            <w:webHidden/>
          </w:rPr>
          <w:t>83</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7" w:history="1">
        <w:r w:rsidR="001C411D" w:rsidRPr="001F63BA">
          <w:rPr>
            <w:rStyle w:val="Hyperlink"/>
            <w:color w:val="auto"/>
          </w:rPr>
          <w:t>Մշակույթ</w:t>
        </w:r>
        <w:r w:rsidR="001C411D" w:rsidRPr="001F63BA">
          <w:rPr>
            <w:webHidden/>
          </w:rPr>
          <w:tab/>
        </w:r>
        <w:r w:rsidR="001C411D" w:rsidRPr="001F63BA">
          <w:rPr>
            <w:webHidden/>
          </w:rPr>
          <w:fldChar w:fldCharType="begin"/>
        </w:r>
        <w:r w:rsidR="001C411D" w:rsidRPr="001F63BA">
          <w:rPr>
            <w:webHidden/>
          </w:rPr>
          <w:instrText xml:space="preserve"> PAGEREF _Toc132204217 \h </w:instrText>
        </w:r>
        <w:r w:rsidR="001C411D" w:rsidRPr="001F63BA">
          <w:rPr>
            <w:webHidden/>
          </w:rPr>
        </w:r>
        <w:r w:rsidR="001C411D" w:rsidRPr="001F63BA">
          <w:rPr>
            <w:webHidden/>
          </w:rPr>
          <w:fldChar w:fldCharType="separate"/>
        </w:r>
        <w:r w:rsidR="00676596">
          <w:rPr>
            <w:webHidden/>
          </w:rPr>
          <w:t>87</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8" w:history="1">
        <w:r w:rsidR="001C411D" w:rsidRPr="001F63BA">
          <w:rPr>
            <w:rStyle w:val="Hyperlink"/>
            <w:color w:val="auto"/>
          </w:rPr>
          <w:t>Սպորտ</w:t>
        </w:r>
        <w:r w:rsidR="001C411D" w:rsidRPr="001F63BA">
          <w:rPr>
            <w:webHidden/>
          </w:rPr>
          <w:tab/>
        </w:r>
        <w:r w:rsidR="001C411D" w:rsidRPr="001F63BA">
          <w:rPr>
            <w:webHidden/>
          </w:rPr>
          <w:fldChar w:fldCharType="begin"/>
        </w:r>
        <w:r w:rsidR="001C411D" w:rsidRPr="001F63BA">
          <w:rPr>
            <w:webHidden/>
          </w:rPr>
          <w:instrText xml:space="preserve"> PAGEREF _Toc132204218 \h </w:instrText>
        </w:r>
        <w:r w:rsidR="001C411D" w:rsidRPr="001F63BA">
          <w:rPr>
            <w:webHidden/>
          </w:rPr>
        </w:r>
        <w:r w:rsidR="001C411D" w:rsidRPr="001F63BA">
          <w:rPr>
            <w:webHidden/>
          </w:rPr>
          <w:fldChar w:fldCharType="separate"/>
        </w:r>
        <w:r w:rsidR="00676596">
          <w:rPr>
            <w:webHidden/>
          </w:rPr>
          <w:t>89</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19" w:history="1">
        <w:r w:rsidR="001C411D" w:rsidRPr="001F63BA">
          <w:rPr>
            <w:rStyle w:val="Hyperlink"/>
            <w:color w:val="auto"/>
          </w:rPr>
          <w:t>Երիտասարդություն</w:t>
        </w:r>
        <w:r w:rsidR="001C411D" w:rsidRPr="001F63BA">
          <w:rPr>
            <w:webHidden/>
          </w:rPr>
          <w:tab/>
        </w:r>
        <w:r w:rsidR="001C411D" w:rsidRPr="001F63BA">
          <w:rPr>
            <w:webHidden/>
          </w:rPr>
          <w:fldChar w:fldCharType="begin"/>
        </w:r>
        <w:r w:rsidR="001C411D" w:rsidRPr="001F63BA">
          <w:rPr>
            <w:webHidden/>
          </w:rPr>
          <w:instrText xml:space="preserve"> PAGEREF _Toc132204219 \h </w:instrText>
        </w:r>
        <w:r w:rsidR="001C411D" w:rsidRPr="001F63BA">
          <w:rPr>
            <w:webHidden/>
          </w:rPr>
        </w:r>
        <w:r w:rsidR="001C411D" w:rsidRPr="001F63BA">
          <w:rPr>
            <w:webHidden/>
          </w:rPr>
          <w:fldChar w:fldCharType="separate"/>
        </w:r>
        <w:r w:rsidR="00676596">
          <w:rPr>
            <w:webHidden/>
          </w:rPr>
          <w:t>90</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0" w:history="1">
        <w:r w:rsidR="001C411D" w:rsidRPr="001F63BA">
          <w:rPr>
            <w:rStyle w:val="Hyperlink"/>
            <w:color w:val="auto"/>
          </w:rPr>
          <w:t>Առողջապահություն</w:t>
        </w:r>
        <w:r w:rsidR="001C411D" w:rsidRPr="001F63BA">
          <w:rPr>
            <w:webHidden/>
          </w:rPr>
          <w:tab/>
        </w:r>
        <w:r w:rsidR="001C411D" w:rsidRPr="001F63BA">
          <w:rPr>
            <w:webHidden/>
          </w:rPr>
          <w:fldChar w:fldCharType="begin"/>
        </w:r>
        <w:r w:rsidR="001C411D" w:rsidRPr="001F63BA">
          <w:rPr>
            <w:webHidden/>
          </w:rPr>
          <w:instrText xml:space="preserve"> PAGEREF _Toc132204220 \h </w:instrText>
        </w:r>
        <w:r w:rsidR="001C411D" w:rsidRPr="001F63BA">
          <w:rPr>
            <w:webHidden/>
          </w:rPr>
        </w:r>
        <w:r w:rsidR="001C411D" w:rsidRPr="001F63BA">
          <w:rPr>
            <w:webHidden/>
          </w:rPr>
          <w:fldChar w:fldCharType="separate"/>
        </w:r>
        <w:r w:rsidR="00676596">
          <w:rPr>
            <w:webHidden/>
          </w:rPr>
          <w:t>91</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1" w:history="1">
        <w:r w:rsidR="001C411D" w:rsidRPr="001F63BA">
          <w:rPr>
            <w:rStyle w:val="Hyperlink"/>
            <w:color w:val="auto"/>
          </w:rPr>
          <w:t>Աշխատանք և սոցիալական պաշտպանություն</w:t>
        </w:r>
        <w:r w:rsidR="001C411D" w:rsidRPr="001F63BA">
          <w:rPr>
            <w:webHidden/>
          </w:rPr>
          <w:tab/>
        </w:r>
        <w:r w:rsidR="001C411D" w:rsidRPr="001F63BA">
          <w:rPr>
            <w:webHidden/>
          </w:rPr>
          <w:fldChar w:fldCharType="begin"/>
        </w:r>
        <w:r w:rsidR="001C411D" w:rsidRPr="001F63BA">
          <w:rPr>
            <w:webHidden/>
          </w:rPr>
          <w:instrText xml:space="preserve"> PAGEREF _Toc132204221 \h </w:instrText>
        </w:r>
        <w:r w:rsidR="001C411D" w:rsidRPr="001F63BA">
          <w:rPr>
            <w:webHidden/>
          </w:rPr>
        </w:r>
        <w:r w:rsidR="001C411D" w:rsidRPr="001F63BA">
          <w:rPr>
            <w:webHidden/>
          </w:rPr>
          <w:fldChar w:fldCharType="separate"/>
        </w:r>
        <w:r w:rsidR="00676596">
          <w:rPr>
            <w:webHidden/>
          </w:rPr>
          <w:t>94</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2" w:history="1">
        <w:r w:rsidR="001C411D" w:rsidRPr="001F63BA">
          <w:rPr>
            <w:rStyle w:val="Hyperlink"/>
            <w:color w:val="auto"/>
          </w:rPr>
          <w:t>Շրջակա միջավայր</w:t>
        </w:r>
        <w:r w:rsidR="001C411D" w:rsidRPr="001F63BA">
          <w:rPr>
            <w:webHidden/>
          </w:rPr>
          <w:tab/>
        </w:r>
        <w:r w:rsidR="001C411D" w:rsidRPr="001F63BA">
          <w:rPr>
            <w:webHidden/>
          </w:rPr>
          <w:fldChar w:fldCharType="begin"/>
        </w:r>
        <w:r w:rsidR="001C411D" w:rsidRPr="001F63BA">
          <w:rPr>
            <w:webHidden/>
          </w:rPr>
          <w:instrText xml:space="preserve"> PAGEREF _Toc132204222 \h </w:instrText>
        </w:r>
        <w:r w:rsidR="001C411D" w:rsidRPr="001F63BA">
          <w:rPr>
            <w:webHidden/>
          </w:rPr>
        </w:r>
        <w:r w:rsidR="001C411D" w:rsidRPr="001F63BA">
          <w:rPr>
            <w:webHidden/>
          </w:rPr>
          <w:fldChar w:fldCharType="separate"/>
        </w:r>
        <w:r w:rsidR="00676596">
          <w:rPr>
            <w:webHidden/>
          </w:rPr>
          <w:t>106</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3" w:history="1">
        <w:r w:rsidR="001C411D" w:rsidRPr="001F63BA">
          <w:rPr>
            <w:rStyle w:val="Hyperlink"/>
            <w:color w:val="auto"/>
          </w:rPr>
          <w:t>Անշարժ գույքի կադաստր</w:t>
        </w:r>
        <w:r w:rsidR="001C411D" w:rsidRPr="001F63BA">
          <w:rPr>
            <w:webHidden/>
          </w:rPr>
          <w:tab/>
        </w:r>
        <w:r w:rsidR="001C411D" w:rsidRPr="001F63BA">
          <w:rPr>
            <w:webHidden/>
          </w:rPr>
          <w:fldChar w:fldCharType="begin"/>
        </w:r>
        <w:r w:rsidR="001C411D" w:rsidRPr="001F63BA">
          <w:rPr>
            <w:webHidden/>
          </w:rPr>
          <w:instrText xml:space="preserve"> PAGEREF _Toc132204223 \h </w:instrText>
        </w:r>
        <w:r w:rsidR="001C411D" w:rsidRPr="001F63BA">
          <w:rPr>
            <w:webHidden/>
          </w:rPr>
        </w:r>
        <w:r w:rsidR="001C411D" w:rsidRPr="001F63BA">
          <w:rPr>
            <w:webHidden/>
          </w:rPr>
          <w:fldChar w:fldCharType="separate"/>
        </w:r>
        <w:r w:rsidR="00676596">
          <w:rPr>
            <w:webHidden/>
          </w:rPr>
          <w:t>112</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4" w:history="1">
        <w:r w:rsidR="001C411D" w:rsidRPr="001F63BA">
          <w:rPr>
            <w:rStyle w:val="Hyperlink"/>
            <w:color w:val="auto"/>
          </w:rPr>
          <w:t>Հասարակական կարգի պահպանություն</w:t>
        </w:r>
        <w:r w:rsidR="001C411D" w:rsidRPr="001F63BA">
          <w:rPr>
            <w:webHidden/>
          </w:rPr>
          <w:tab/>
        </w:r>
        <w:r w:rsidR="001C411D" w:rsidRPr="001F63BA">
          <w:rPr>
            <w:webHidden/>
          </w:rPr>
          <w:fldChar w:fldCharType="begin"/>
        </w:r>
        <w:r w:rsidR="001C411D" w:rsidRPr="001F63BA">
          <w:rPr>
            <w:webHidden/>
          </w:rPr>
          <w:instrText xml:space="preserve"> PAGEREF _Toc132204224 \h </w:instrText>
        </w:r>
        <w:r w:rsidR="001C411D" w:rsidRPr="001F63BA">
          <w:rPr>
            <w:webHidden/>
          </w:rPr>
        </w:r>
        <w:r w:rsidR="001C411D" w:rsidRPr="001F63BA">
          <w:rPr>
            <w:webHidden/>
          </w:rPr>
          <w:fldChar w:fldCharType="separate"/>
        </w:r>
        <w:r w:rsidR="00676596">
          <w:rPr>
            <w:webHidden/>
          </w:rPr>
          <w:t>115</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5" w:history="1">
        <w:r w:rsidR="001C411D" w:rsidRPr="001F63BA">
          <w:rPr>
            <w:rStyle w:val="Hyperlink"/>
            <w:color w:val="auto"/>
          </w:rPr>
          <w:t>Բյուջեների կազմման բնագավառ</w:t>
        </w:r>
        <w:r w:rsidR="001C411D" w:rsidRPr="001F63BA">
          <w:rPr>
            <w:webHidden/>
          </w:rPr>
          <w:tab/>
        </w:r>
        <w:r w:rsidR="001C411D" w:rsidRPr="001F63BA">
          <w:rPr>
            <w:webHidden/>
          </w:rPr>
          <w:fldChar w:fldCharType="begin"/>
        </w:r>
        <w:r w:rsidR="001C411D" w:rsidRPr="001F63BA">
          <w:rPr>
            <w:webHidden/>
          </w:rPr>
          <w:instrText xml:space="preserve"> PAGEREF _Toc132204225 \h </w:instrText>
        </w:r>
        <w:r w:rsidR="001C411D" w:rsidRPr="001F63BA">
          <w:rPr>
            <w:webHidden/>
          </w:rPr>
        </w:r>
        <w:r w:rsidR="001C411D" w:rsidRPr="001F63BA">
          <w:rPr>
            <w:webHidden/>
          </w:rPr>
          <w:fldChar w:fldCharType="separate"/>
        </w:r>
        <w:r w:rsidR="00676596">
          <w:rPr>
            <w:webHidden/>
          </w:rPr>
          <w:t>119</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6" w:history="1">
        <w:r w:rsidR="001C411D" w:rsidRPr="001F63BA">
          <w:rPr>
            <w:rStyle w:val="Hyperlink"/>
            <w:color w:val="auto"/>
          </w:rPr>
          <w:t>Հաշվապահական հաշվառում և աուդիտորական գործունեություն</w:t>
        </w:r>
        <w:r w:rsidR="001C411D" w:rsidRPr="001F63BA">
          <w:rPr>
            <w:webHidden/>
          </w:rPr>
          <w:tab/>
        </w:r>
        <w:r w:rsidR="001C411D" w:rsidRPr="001F63BA">
          <w:rPr>
            <w:webHidden/>
          </w:rPr>
          <w:fldChar w:fldCharType="begin"/>
        </w:r>
        <w:r w:rsidR="001C411D" w:rsidRPr="001F63BA">
          <w:rPr>
            <w:webHidden/>
          </w:rPr>
          <w:instrText xml:space="preserve"> PAGEREF _Toc132204226 \h </w:instrText>
        </w:r>
        <w:r w:rsidR="001C411D" w:rsidRPr="001F63BA">
          <w:rPr>
            <w:webHidden/>
          </w:rPr>
        </w:r>
        <w:r w:rsidR="001C411D" w:rsidRPr="001F63BA">
          <w:rPr>
            <w:webHidden/>
          </w:rPr>
          <w:fldChar w:fldCharType="separate"/>
        </w:r>
        <w:r w:rsidR="00676596">
          <w:rPr>
            <w:webHidden/>
          </w:rPr>
          <w:t>120</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7" w:history="1">
        <w:r w:rsidR="001C411D" w:rsidRPr="001F63BA">
          <w:rPr>
            <w:rStyle w:val="Hyperlink"/>
            <w:color w:val="auto"/>
          </w:rPr>
          <w:t>Եկամուտների քաղաքականություն</w:t>
        </w:r>
        <w:r w:rsidR="001C411D" w:rsidRPr="001F63BA">
          <w:rPr>
            <w:webHidden/>
          </w:rPr>
          <w:tab/>
        </w:r>
        <w:r w:rsidR="001C411D" w:rsidRPr="001F63BA">
          <w:rPr>
            <w:webHidden/>
          </w:rPr>
          <w:fldChar w:fldCharType="begin"/>
        </w:r>
        <w:r w:rsidR="001C411D" w:rsidRPr="001F63BA">
          <w:rPr>
            <w:webHidden/>
          </w:rPr>
          <w:instrText xml:space="preserve"> PAGEREF _Toc132204227 \h </w:instrText>
        </w:r>
        <w:r w:rsidR="001C411D" w:rsidRPr="001F63BA">
          <w:rPr>
            <w:webHidden/>
          </w:rPr>
        </w:r>
        <w:r w:rsidR="001C411D" w:rsidRPr="001F63BA">
          <w:rPr>
            <w:webHidden/>
          </w:rPr>
          <w:fldChar w:fldCharType="separate"/>
        </w:r>
        <w:r w:rsidR="00676596">
          <w:rPr>
            <w:webHidden/>
          </w:rPr>
          <w:t>121</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8" w:history="1">
        <w:r w:rsidR="001C411D" w:rsidRPr="001F63BA">
          <w:rPr>
            <w:rStyle w:val="Hyperlink"/>
            <w:color w:val="auto"/>
          </w:rPr>
          <w:t>Պետական եկամուտների վարչարարություն</w:t>
        </w:r>
        <w:r w:rsidR="001C411D" w:rsidRPr="001F63BA">
          <w:rPr>
            <w:webHidden/>
          </w:rPr>
          <w:tab/>
        </w:r>
        <w:r w:rsidR="001C411D" w:rsidRPr="001F63BA">
          <w:rPr>
            <w:webHidden/>
          </w:rPr>
          <w:fldChar w:fldCharType="begin"/>
        </w:r>
        <w:r w:rsidR="001C411D" w:rsidRPr="001F63BA">
          <w:rPr>
            <w:webHidden/>
          </w:rPr>
          <w:instrText xml:space="preserve"> PAGEREF _Toc132204228 \h </w:instrText>
        </w:r>
        <w:r w:rsidR="001C411D" w:rsidRPr="001F63BA">
          <w:rPr>
            <w:webHidden/>
          </w:rPr>
        </w:r>
        <w:r w:rsidR="001C411D" w:rsidRPr="001F63BA">
          <w:rPr>
            <w:webHidden/>
          </w:rPr>
          <w:fldChar w:fldCharType="separate"/>
        </w:r>
        <w:r w:rsidR="00676596">
          <w:rPr>
            <w:webHidden/>
          </w:rPr>
          <w:t>123</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29" w:history="1">
        <w:r w:rsidR="001C411D" w:rsidRPr="001F63BA">
          <w:rPr>
            <w:rStyle w:val="Hyperlink"/>
            <w:color w:val="auto"/>
          </w:rPr>
          <w:t>Կապիտալի շուկայի զարգացում</w:t>
        </w:r>
        <w:r w:rsidR="001C411D" w:rsidRPr="001F63BA">
          <w:rPr>
            <w:webHidden/>
          </w:rPr>
          <w:tab/>
        </w:r>
        <w:r w:rsidR="001C411D" w:rsidRPr="001F63BA">
          <w:rPr>
            <w:webHidden/>
          </w:rPr>
          <w:fldChar w:fldCharType="begin"/>
        </w:r>
        <w:r w:rsidR="001C411D" w:rsidRPr="001F63BA">
          <w:rPr>
            <w:webHidden/>
          </w:rPr>
          <w:instrText xml:space="preserve"> PAGEREF _Toc132204229 \h </w:instrText>
        </w:r>
        <w:r w:rsidR="001C411D" w:rsidRPr="001F63BA">
          <w:rPr>
            <w:webHidden/>
          </w:rPr>
        </w:r>
        <w:r w:rsidR="001C411D" w:rsidRPr="001F63BA">
          <w:rPr>
            <w:webHidden/>
          </w:rPr>
          <w:fldChar w:fldCharType="separate"/>
        </w:r>
        <w:r w:rsidR="00676596">
          <w:rPr>
            <w:webHidden/>
          </w:rPr>
          <w:t>128</w:t>
        </w:r>
        <w:r w:rsidR="001C411D" w:rsidRPr="001F63BA">
          <w:rPr>
            <w:webHidden/>
          </w:rPr>
          <w:fldChar w:fldCharType="end"/>
        </w:r>
      </w:hyperlink>
    </w:p>
    <w:p w:rsidR="001C411D" w:rsidRPr="001F63BA" w:rsidRDefault="001C411D">
      <w:pPr>
        <w:pStyle w:val="TOC1"/>
        <w:rPr>
          <w:rStyle w:val="Hyperlink"/>
          <w:color w:val="auto"/>
        </w:rPr>
      </w:pPr>
    </w:p>
    <w:p w:rsidR="001C411D" w:rsidRPr="001F63BA" w:rsidRDefault="008333FB">
      <w:pPr>
        <w:pStyle w:val="TOC1"/>
        <w:rPr>
          <w:rFonts w:ascii="Calibri" w:hAnsi="Calibri" w:cs="Times New Roman"/>
          <w:b w:val="0"/>
          <w:bCs w:val="0"/>
          <w:caps w:val="0"/>
          <w:color w:val="auto"/>
          <w:sz w:val="22"/>
          <w:szCs w:val="22"/>
        </w:rPr>
      </w:pPr>
      <w:hyperlink w:anchor="_Toc132204230" w:history="1">
        <w:r w:rsidR="001C411D" w:rsidRPr="001F63BA">
          <w:rPr>
            <w:rStyle w:val="Hyperlink"/>
            <w:rFonts w:cs="Sylfaen"/>
            <w:color w:val="auto"/>
          </w:rPr>
          <w:t>ՀԱՅԱՍՏԱՆԻ ՀԱՆՐԱՊԵՏ</w:t>
        </w:r>
        <w:r w:rsidR="001C411D" w:rsidRPr="001F63BA">
          <w:rPr>
            <w:rStyle w:val="Hyperlink"/>
            <w:rFonts w:cs="Sylfaen"/>
            <w:color w:val="auto"/>
          </w:rPr>
          <w:t>Ո</w:t>
        </w:r>
        <w:r w:rsidR="001C411D" w:rsidRPr="001F63BA">
          <w:rPr>
            <w:rStyle w:val="Hyperlink"/>
            <w:rFonts w:cs="Sylfaen"/>
            <w:color w:val="auto"/>
          </w:rPr>
          <w:t>ՒԹ</w:t>
        </w:r>
        <w:r w:rsidR="001C411D" w:rsidRPr="001F63BA">
          <w:rPr>
            <w:rStyle w:val="Hyperlink"/>
            <w:rFonts w:cs="Sylfaen"/>
            <w:color w:val="auto"/>
          </w:rPr>
          <w:t>Յ</w:t>
        </w:r>
        <w:r w:rsidR="001C411D" w:rsidRPr="001F63BA">
          <w:rPr>
            <w:rStyle w:val="Hyperlink"/>
            <w:rFonts w:cs="Sylfaen"/>
            <w:color w:val="auto"/>
          </w:rPr>
          <w:t xml:space="preserve">ԱՆ ՄԱԿՐՈՏՆՏԵՍԱԿԱՆ ԵՎ ՀԱՐԿԱԲՅՈՒՋԵՏԱՅԻՆ   ԶԱՐԳԱՑՈՒՄՆԵՐԸ 2022 </w:t>
        </w:r>
        <w:r w:rsidR="001C411D" w:rsidRPr="001F63BA">
          <w:rPr>
            <w:rStyle w:val="Hyperlink"/>
            <w:rFonts w:cs="Sylfaen"/>
            <w:color w:val="auto"/>
          </w:rPr>
          <w:t>Թ</w:t>
        </w:r>
        <w:r w:rsidR="001C411D" w:rsidRPr="001F63BA">
          <w:rPr>
            <w:rStyle w:val="Hyperlink"/>
            <w:rFonts w:cs="Sylfaen"/>
            <w:color w:val="auto"/>
          </w:rPr>
          <w:t>ՎԱԿԱՆԻՆ</w:t>
        </w:r>
        <w:r w:rsidR="001C411D" w:rsidRPr="001F63BA">
          <w:rPr>
            <w:webHidden/>
            <w:color w:val="auto"/>
          </w:rPr>
          <w:tab/>
        </w:r>
        <w:r w:rsidR="001C411D" w:rsidRPr="001F63BA">
          <w:rPr>
            <w:webHidden/>
            <w:color w:val="auto"/>
          </w:rPr>
          <w:fldChar w:fldCharType="begin"/>
        </w:r>
        <w:r w:rsidR="001C411D" w:rsidRPr="001F63BA">
          <w:rPr>
            <w:webHidden/>
            <w:color w:val="auto"/>
          </w:rPr>
          <w:instrText xml:space="preserve"> PAGEREF _Toc132204230 \h </w:instrText>
        </w:r>
        <w:r w:rsidR="001C411D" w:rsidRPr="001F63BA">
          <w:rPr>
            <w:webHidden/>
            <w:color w:val="auto"/>
          </w:rPr>
        </w:r>
        <w:r w:rsidR="001C411D" w:rsidRPr="001F63BA">
          <w:rPr>
            <w:webHidden/>
            <w:color w:val="auto"/>
          </w:rPr>
          <w:fldChar w:fldCharType="separate"/>
        </w:r>
        <w:r w:rsidR="00676596">
          <w:rPr>
            <w:webHidden/>
            <w:color w:val="auto"/>
          </w:rPr>
          <w:t>130</w:t>
        </w:r>
        <w:r w:rsidR="001C411D" w:rsidRPr="001F63BA">
          <w:rPr>
            <w:webHidden/>
            <w:color w:val="auto"/>
          </w:rPr>
          <w:fldChar w:fldCharType="end"/>
        </w:r>
      </w:hyperlink>
    </w:p>
    <w:p w:rsidR="001C411D" w:rsidRPr="001F63BA" w:rsidRDefault="008333FB">
      <w:pPr>
        <w:pStyle w:val="TOC2"/>
        <w:rPr>
          <w:rFonts w:ascii="Calibri" w:hAnsi="Calibri"/>
          <w:bCs w:val="0"/>
          <w:sz w:val="22"/>
          <w:szCs w:val="22"/>
          <w:lang w:val="en-US"/>
        </w:rPr>
      </w:pPr>
      <w:hyperlink w:anchor="_Toc132204231" w:history="1">
        <w:r w:rsidR="001C411D" w:rsidRPr="001F63BA">
          <w:rPr>
            <w:rStyle w:val="Hyperlink"/>
            <w:color w:val="auto"/>
          </w:rPr>
          <w:t>ՄԱԿՐՈՏՆՏԵՍԱԿԱՆ ԶԱՐԳԱՑՈՒՄՆԵՐ</w:t>
        </w:r>
        <w:r w:rsidR="001C411D" w:rsidRPr="001F63BA">
          <w:rPr>
            <w:webHidden/>
          </w:rPr>
          <w:tab/>
        </w:r>
        <w:r w:rsidR="001C411D" w:rsidRPr="001F63BA">
          <w:rPr>
            <w:webHidden/>
          </w:rPr>
          <w:fldChar w:fldCharType="begin"/>
        </w:r>
        <w:r w:rsidR="001C411D" w:rsidRPr="001F63BA">
          <w:rPr>
            <w:webHidden/>
          </w:rPr>
          <w:instrText xml:space="preserve"> PAGEREF _Toc132204231 \h </w:instrText>
        </w:r>
        <w:r w:rsidR="001C411D" w:rsidRPr="001F63BA">
          <w:rPr>
            <w:webHidden/>
          </w:rPr>
        </w:r>
        <w:r w:rsidR="001C411D" w:rsidRPr="001F63BA">
          <w:rPr>
            <w:webHidden/>
          </w:rPr>
          <w:fldChar w:fldCharType="separate"/>
        </w:r>
        <w:r w:rsidR="00676596">
          <w:rPr>
            <w:webHidden/>
          </w:rPr>
          <w:t>130</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32" w:history="1">
        <w:r w:rsidR="001C411D" w:rsidRPr="001F63BA">
          <w:rPr>
            <w:rStyle w:val="Hyperlink"/>
            <w:color w:val="auto"/>
          </w:rPr>
          <w:t>Արտաքին միջավայրի զարգացումներ</w:t>
        </w:r>
        <w:r w:rsidR="001C411D" w:rsidRPr="001F63BA">
          <w:rPr>
            <w:webHidden/>
          </w:rPr>
          <w:tab/>
        </w:r>
        <w:r w:rsidR="001C411D" w:rsidRPr="001F63BA">
          <w:rPr>
            <w:webHidden/>
          </w:rPr>
          <w:fldChar w:fldCharType="begin"/>
        </w:r>
        <w:r w:rsidR="001C411D" w:rsidRPr="001F63BA">
          <w:rPr>
            <w:webHidden/>
          </w:rPr>
          <w:instrText xml:space="preserve"> PAGEREF _Toc132204232 \h </w:instrText>
        </w:r>
        <w:r w:rsidR="001C411D" w:rsidRPr="001F63BA">
          <w:rPr>
            <w:webHidden/>
          </w:rPr>
        </w:r>
        <w:r w:rsidR="001C411D" w:rsidRPr="001F63BA">
          <w:rPr>
            <w:webHidden/>
          </w:rPr>
          <w:fldChar w:fldCharType="separate"/>
        </w:r>
        <w:r w:rsidR="00676596">
          <w:rPr>
            <w:webHidden/>
          </w:rPr>
          <w:t>130</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33" w:history="1">
        <w:r w:rsidR="001C411D" w:rsidRPr="001F63BA">
          <w:rPr>
            <w:rStyle w:val="Hyperlink"/>
            <w:color w:val="auto"/>
          </w:rPr>
          <w:t>ՀՀ մակրոտնտեսական զարգացումներ</w:t>
        </w:r>
        <w:r w:rsidR="001C411D" w:rsidRPr="001F63BA">
          <w:rPr>
            <w:webHidden/>
          </w:rPr>
          <w:tab/>
        </w:r>
        <w:r w:rsidR="001C411D" w:rsidRPr="001F63BA">
          <w:rPr>
            <w:webHidden/>
          </w:rPr>
          <w:fldChar w:fldCharType="begin"/>
        </w:r>
        <w:r w:rsidR="001C411D" w:rsidRPr="001F63BA">
          <w:rPr>
            <w:webHidden/>
          </w:rPr>
          <w:instrText xml:space="preserve"> PAGEREF _Toc132204233 \h </w:instrText>
        </w:r>
        <w:r w:rsidR="001C411D" w:rsidRPr="001F63BA">
          <w:rPr>
            <w:webHidden/>
          </w:rPr>
        </w:r>
        <w:r w:rsidR="001C411D" w:rsidRPr="001F63BA">
          <w:rPr>
            <w:webHidden/>
          </w:rPr>
          <w:fldChar w:fldCharType="separate"/>
        </w:r>
        <w:r w:rsidR="00676596">
          <w:rPr>
            <w:webHidden/>
          </w:rPr>
          <w:t>133</w:t>
        </w:r>
        <w:r w:rsidR="001C411D" w:rsidRPr="001F63BA">
          <w:rPr>
            <w:webHidden/>
          </w:rPr>
          <w:fldChar w:fldCharType="end"/>
        </w:r>
      </w:hyperlink>
    </w:p>
    <w:p w:rsidR="001C411D" w:rsidRPr="001F63BA" w:rsidRDefault="001C411D">
      <w:pPr>
        <w:pStyle w:val="TOC2"/>
        <w:rPr>
          <w:rStyle w:val="Hyperlink"/>
          <w:color w:val="auto"/>
          <w:lang w:val="en-US"/>
        </w:rPr>
      </w:pPr>
    </w:p>
    <w:p w:rsidR="001C411D" w:rsidRPr="001F63BA" w:rsidRDefault="008333FB">
      <w:pPr>
        <w:pStyle w:val="TOC2"/>
        <w:rPr>
          <w:rFonts w:ascii="Calibri" w:hAnsi="Calibri"/>
          <w:bCs w:val="0"/>
          <w:sz w:val="22"/>
          <w:szCs w:val="22"/>
          <w:lang w:val="en-US"/>
        </w:rPr>
      </w:pPr>
      <w:hyperlink w:anchor="_Toc132204234" w:history="1">
        <w:r w:rsidR="001C411D" w:rsidRPr="001F63BA">
          <w:rPr>
            <w:rStyle w:val="Hyperlink"/>
            <w:color w:val="auto"/>
          </w:rPr>
          <w:t>ՀԱՐԿԱԲՅՈՒՋԵՏԱՅԻՆ ՔԱՂԱՔԱԿԱՆՈՒԹՅԱՆ ՀԻՄՆԱԿԱՆ ԶԱՐԳԱՑՈՒՄՆԵՐԸ</w:t>
        </w:r>
        <w:r w:rsidR="001C411D" w:rsidRPr="001F63BA">
          <w:rPr>
            <w:webHidden/>
          </w:rPr>
          <w:tab/>
        </w:r>
        <w:r w:rsidR="001C411D" w:rsidRPr="001F63BA">
          <w:rPr>
            <w:webHidden/>
          </w:rPr>
          <w:fldChar w:fldCharType="begin"/>
        </w:r>
        <w:r w:rsidR="001C411D" w:rsidRPr="001F63BA">
          <w:rPr>
            <w:webHidden/>
          </w:rPr>
          <w:instrText xml:space="preserve"> PAGEREF _Toc132204234 \h </w:instrText>
        </w:r>
        <w:r w:rsidR="001C411D" w:rsidRPr="001F63BA">
          <w:rPr>
            <w:webHidden/>
          </w:rPr>
        </w:r>
        <w:r w:rsidR="001C411D" w:rsidRPr="001F63BA">
          <w:rPr>
            <w:webHidden/>
          </w:rPr>
          <w:fldChar w:fldCharType="separate"/>
        </w:r>
        <w:r w:rsidR="00676596">
          <w:rPr>
            <w:webHidden/>
          </w:rPr>
          <w:t>157</w:t>
        </w:r>
        <w:r w:rsidR="001C411D" w:rsidRPr="001F63BA">
          <w:rPr>
            <w:webHidden/>
          </w:rPr>
          <w:fldChar w:fldCharType="end"/>
        </w:r>
      </w:hyperlink>
    </w:p>
    <w:p w:rsidR="001C411D" w:rsidRPr="001F63BA" w:rsidRDefault="001C411D">
      <w:pPr>
        <w:pStyle w:val="TOC1"/>
        <w:rPr>
          <w:rStyle w:val="Hyperlink"/>
          <w:color w:val="auto"/>
        </w:rPr>
      </w:pPr>
    </w:p>
    <w:p w:rsidR="001C411D" w:rsidRPr="001F63BA" w:rsidRDefault="008333FB">
      <w:pPr>
        <w:pStyle w:val="TOC1"/>
        <w:rPr>
          <w:rFonts w:ascii="Calibri" w:hAnsi="Calibri" w:cs="Times New Roman"/>
          <w:b w:val="0"/>
          <w:bCs w:val="0"/>
          <w:caps w:val="0"/>
          <w:color w:val="auto"/>
          <w:sz w:val="22"/>
          <w:szCs w:val="22"/>
        </w:rPr>
      </w:pPr>
      <w:hyperlink w:anchor="_Toc132204235" w:history="1">
        <w:r w:rsidR="001C411D" w:rsidRPr="001F63BA">
          <w:rPr>
            <w:rStyle w:val="Hyperlink"/>
            <w:rFonts w:cs="Sylfaen"/>
            <w:color w:val="auto"/>
          </w:rPr>
          <w:t>ՀԱՅԱՍՏԱՆԻ ՀԱ</w:t>
        </w:r>
        <w:r w:rsidR="001C411D" w:rsidRPr="001F63BA">
          <w:rPr>
            <w:rStyle w:val="Hyperlink"/>
            <w:rFonts w:cs="Sylfaen"/>
            <w:color w:val="auto"/>
          </w:rPr>
          <w:t>Ն</w:t>
        </w:r>
        <w:r w:rsidR="001C411D" w:rsidRPr="001F63BA">
          <w:rPr>
            <w:rStyle w:val="Hyperlink"/>
            <w:rFonts w:cs="Sylfaen"/>
            <w:color w:val="auto"/>
          </w:rPr>
          <w:t>ՐԱՊԵՏՈՒԹ</w:t>
        </w:r>
        <w:r w:rsidR="001C411D" w:rsidRPr="001F63BA">
          <w:rPr>
            <w:rStyle w:val="Hyperlink"/>
            <w:rFonts w:cs="Sylfaen"/>
            <w:color w:val="auto"/>
          </w:rPr>
          <w:t>Յ</w:t>
        </w:r>
        <w:r w:rsidR="001C411D" w:rsidRPr="001F63BA">
          <w:rPr>
            <w:rStyle w:val="Hyperlink"/>
            <w:rFonts w:cs="Sylfaen"/>
            <w:color w:val="auto"/>
          </w:rPr>
          <w:t>Ա</w:t>
        </w:r>
        <w:r w:rsidR="001C411D" w:rsidRPr="001F63BA">
          <w:rPr>
            <w:rStyle w:val="Hyperlink"/>
            <w:rFonts w:cs="Sylfaen"/>
            <w:color w:val="auto"/>
          </w:rPr>
          <w:t>Ն 2022 ԹՎԱԿԱՆԻ ՊԵՏԱԿԱՆ ԲՅՈՒՋԵԻ ԵԿԱՄՈՒՏՆԵՐԸ</w:t>
        </w:r>
        <w:r w:rsidR="001C411D" w:rsidRPr="001F63BA">
          <w:rPr>
            <w:webHidden/>
            <w:color w:val="auto"/>
          </w:rPr>
          <w:tab/>
        </w:r>
        <w:r w:rsidR="001C411D" w:rsidRPr="001F63BA">
          <w:rPr>
            <w:webHidden/>
            <w:color w:val="auto"/>
          </w:rPr>
          <w:fldChar w:fldCharType="begin"/>
        </w:r>
        <w:r w:rsidR="001C411D" w:rsidRPr="001F63BA">
          <w:rPr>
            <w:webHidden/>
            <w:color w:val="auto"/>
          </w:rPr>
          <w:instrText xml:space="preserve"> PAGEREF _Toc132204235 \h </w:instrText>
        </w:r>
        <w:r w:rsidR="001C411D" w:rsidRPr="001F63BA">
          <w:rPr>
            <w:webHidden/>
            <w:color w:val="auto"/>
          </w:rPr>
        </w:r>
        <w:r w:rsidR="001C411D" w:rsidRPr="001F63BA">
          <w:rPr>
            <w:webHidden/>
            <w:color w:val="auto"/>
          </w:rPr>
          <w:fldChar w:fldCharType="separate"/>
        </w:r>
        <w:r w:rsidR="00676596">
          <w:rPr>
            <w:webHidden/>
            <w:color w:val="auto"/>
          </w:rPr>
          <w:t>168</w:t>
        </w:r>
        <w:r w:rsidR="001C411D" w:rsidRPr="001F63BA">
          <w:rPr>
            <w:webHidden/>
            <w:color w:val="auto"/>
          </w:rPr>
          <w:fldChar w:fldCharType="end"/>
        </w:r>
      </w:hyperlink>
    </w:p>
    <w:p w:rsidR="001C411D" w:rsidRPr="001F63BA" w:rsidRDefault="001C411D" w:rsidP="00D07995">
      <w:pPr>
        <w:pStyle w:val="TOC2"/>
        <w:spacing w:line="240" w:lineRule="auto"/>
        <w:rPr>
          <w:rStyle w:val="Hyperlink"/>
          <w:color w:val="auto"/>
          <w:lang w:val="en-US"/>
        </w:rPr>
      </w:pPr>
    </w:p>
    <w:p w:rsidR="001C411D" w:rsidRPr="001F63BA" w:rsidRDefault="008333FB">
      <w:pPr>
        <w:pStyle w:val="TOC2"/>
        <w:rPr>
          <w:rFonts w:ascii="Calibri" w:hAnsi="Calibri"/>
          <w:bCs w:val="0"/>
          <w:sz w:val="22"/>
          <w:szCs w:val="22"/>
          <w:lang w:val="en-US"/>
        </w:rPr>
      </w:pPr>
      <w:hyperlink w:anchor="_Toc132204236" w:history="1">
        <w:r w:rsidR="001C411D" w:rsidRPr="001F63BA">
          <w:rPr>
            <w:rStyle w:val="Hyperlink"/>
            <w:color w:val="auto"/>
          </w:rPr>
          <w:t>Հարկային եկամուտներ և պետական տուրքեր</w:t>
        </w:r>
        <w:r w:rsidR="001C411D" w:rsidRPr="001F63BA">
          <w:rPr>
            <w:webHidden/>
          </w:rPr>
          <w:tab/>
        </w:r>
        <w:r w:rsidR="001C411D" w:rsidRPr="001F63BA">
          <w:rPr>
            <w:webHidden/>
          </w:rPr>
          <w:fldChar w:fldCharType="begin"/>
        </w:r>
        <w:r w:rsidR="001C411D" w:rsidRPr="001F63BA">
          <w:rPr>
            <w:webHidden/>
          </w:rPr>
          <w:instrText xml:space="preserve"> PAGEREF _Toc132204236 \h </w:instrText>
        </w:r>
        <w:r w:rsidR="001C411D" w:rsidRPr="001F63BA">
          <w:rPr>
            <w:webHidden/>
          </w:rPr>
        </w:r>
        <w:r w:rsidR="001C411D" w:rsidRPr="001F63BA">
          <w:rPr>
            <w:webHidden/>
          </w:rPr>
          <w:fldChar w:fldCharType="separate"/>
        </w:r>
        <w:r w:rsidR="00676596">
          <w:rPr>
            <w:webHidden/>
          </w:rPr>
          <w:t>170</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37" w:history="1">
        <w:r w:rsidR="001C411D" w:rsidRPr="001F63BA">
          <w:rPr>
            <w:rStyle w:val="Hyperlink"/>
            <w:color w:val="auto"/>
          </w:rPr>
          <w:t>Պաշտոնական դրամաշնորհներ</w:t>
        </w:r>
        <w:r w:rsidR="001C411D" w:rsidRPr="001F63BA">
          <w:rPr>
            <w:webHidden/>
          </w:rPr>
          <w:tab/>
        </w:r>
        <w:r w:rsidR="001C411D" w:rsidRPr="001F63BA">
          <w:rPr>
            <w:webHidden/>
          </w:rPr>
          <w:fldChar w:fldCharType="begin"/>
        </w:r>
        <w:r w:rsidR="001C411D" w:rsidRPr="001F63BA">
          <w:rPr>
            <w:webHidden/>
          </w:rPr>
          <w:instrText xml:space="preserve"> PAGEREF _Toc132204237 \h </w:instrText>
        </w:r>
        <w:r w:rsidR="001C411D" w:rsidRPr="001F63BA">
          <w:rPr>
            <w:webHidden/>
          </w:rPr>
        </w:r>
        <w:r w:rsidR="001C411D" w:rsidRPr="001F63BA">
          <w:rPr>
            <w:webHidden/>
          </w:rPr>
          <w:fldChar w:fldCharType="separate"/>
        </w:r>
        <w:r w:rsidR="00676596">
          <w:rPr>
            <w:webHidden/>
          </w:rPr>
          <w:t>184</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38" w:history="1">
        <w:r w:rsidR="001C411D" w:rsidRPr="001F63BA">
          <w:rPr>
            <w:rStyle w:val="Hyperlink"/>
            <w:color w:val="auto"/>
          </w:rPr>
          <w:t>Այլ եկամուտներ</w:t>
        </w:r>
        <w:r w:rsidR="001C411D" w:rsidRPr="001F63BA">
          <w:rPr>
            <w:webHidden/>
          </w:rPr>
          <w:tab/>
        </w:r>
        <w:r w:rsidR="001C411D" w:rsidRPr="001F63BA">
          <w:rPr>
            <w:webHidden/>
          </w:rPr>
          <w:fldChar w:fldCharType="begin"/>
        </w:r>
        <w:r w:rsidR="001C411D" w:rsidRPr="001F63BA">
          <w:rPr>
            <w:webHidden/>
          </w:rPr>
          <w:instrText xml:space="preserve"> PAGEREF _Toc132204238 \h </w:instrText>
        </w:r>
        <w:r w:rsidR="001C411D" w:rsidRPr="001F63BA">
          <w:rPr>
            <w:webHidden/>
          </w:rPr>
        </w:r>
        <w:r w:rsidR="001C411D" w:rsidRPr="001F63BA">
          <w:rPr>
            <w:webHidden/>
          </w:rPr>
          <w:fldChar w:fldCharType="separate"/>
        </w:r>
        <w:r w:rsidR="00676596">
          <w:rPr>
            <w:webHidden/>
          </w:rPr>
          <w:t>188</w:t>
        </w:r>
        <w:r w:rsidR="001C411D" w:rsidRPr="001F63BA">
          <w:rPr>
            <w:webHidden/>
          </w:rPr>
          <w:fldChar w:fldCharType="end"/>
        </w:r>
      </w:hyperlink>
    </w:p>
    <w:p w:rsidR="001C411D" w:rsidRPr="001F63BA" w:rsidRDefault="001C411D">
      <w:pPr>
        <w:pStyle w:val="TOC1"/>
        <w:rPr>
          <w:rStyle w:val="Hyperlink"/>
          <w:color w:val="auto"/>
        </w:rPr>
      </w:pPr>
    </w:p>
    <w:p w:rsidR="001C411D" w:rsidRPr="001F63BA" w:rsidRDefault="008333FB">
      <w:pPr>
        <w:pStyle w:val="TOC1"/>
        <w:rPr>
          <w:rFonts w:ascii="Calibri" w:hAnsi="Calibri" w:cs="Times New Roman"/>
          <w:b w:val="0"/>
          <w:bCs w:val="0"/>
          <w:caps w:val="0"/>
          <w:color w:val="auto"/>
          <w:sz w:val="22"/>
          <w:szCs w:val="22"/>
        </w:rPr>
      </w:pPr>
      <w:hyperlink w:anchor="_Toc132204239" w:history="1">
        <w:r w:rsidR="001C411D" w:rsidRPr="001F63BA">
          <w:rPr>
            <w:rStyle w:val="Hyperlink"/>
            <w:rFonts w:cs="Sylfaen"/>
            <w:color w:val="auto"/>
          </w:rPr>
          <w:t>ՀԱՅԱՍՏԱՆԻ</w:t>
        </w:r>
        <w:r w:rsidR="001C411D" w:rsidRPr="001F63BA">
          <w:rPr>
            <w:rStyle w:val="Hyperlink"/>
            <w:rFonts w:cs="Sylfaen"/>
            <w:color w:val="auto"/>
            <w:lang w:val="de-AT"/>
          </w:rPr>
          <w:t xml:space="preserve"> </w:t>
        </w:r>
        <w:r w:rsidR="001C411D" w:rsidRPr="001F63BA">
          <w:rPr>
            <w:rStyle w:val="Hyperlink"/>
            <w:rFonts w:cs="Sylfaen"/>
            <w:color w:val="auto"/>
          </w:rPr>
          <w:t>ՀԱՆՐԱՊԵՏՈՒԹՅ</w:t>
        </w:r>
        <w:r w:rsidR="001C411D" w:rsidRPr="001F63BA">
          <w:rPr>
            <w:rStyle w:val="Hyperlink"/>
            <w:rFonts w:cs="Sylfaen"/>
            <w:color w:val="auto"/>
          </w:rPr>
          <w:t>Ա</w:t>
        </w:r>
        <w:r w:rsidR="001C411D" w:rsidRPr="001F63BA">
          <w:rPr>
            <w:rStyle w:val="Hyperlink"/>
            <w:rFonts w:cs="Sylfaen"/>
            <w:color w:val="auto"/>
          </w:rPr>
          <w:t xml:space="preserve">Ն 2022 </w:t>
        </w:r>
        <w:r w:rsidR="001C411D" w:rsidRPr="001F63BA">
          <w:rPr>
            <w:rStyle w:val="Hyperlink"/>
            <w:rFonts w:cs="Sylfaen"/>
            <w:color w:val="auto"/>
          </w:rPr>
          <w:t>Թ</w:t>
        </w:r>
        <w:r w:rsidR="001C411D" w:rsidRPr="001F63BA">
          <w:rPr>
            <w:rStyle w:val="Hyperlink"/>
            <w:rFonts w:cs="Sylfaen"/>
            <w:color w:val="auto"/>
          </w:rPr>
          <w:t>ՎԱԿԱՆԻ ՊԵՏԱԿԱՆ ԲՅՈՒՋԵԻ ԾԱԽՍԵՐԸ</w:t>
        </w:r>
        <w:r w:rsidR="001C411D" w:rsidRPr="001F63BA">
          <w:rPr>
            <w:webHidden/>
            <w:color w:val="auto"/>
          </w:rPr>
          <w:tab/>
        </w:r>
        <w:r w:rsidR="001C411D" w:rsidRPr="001F63BA">
          <w:rPr>
            <w:webHidden/>
            <w:color w:val="auto"/>
          </w:rPr>
          <w:fldChar w:fldCharType="begin"/>
        </w:r>
        <w:r w:rsidR="001C411D" w:rsidRPr="001F63BA">
          <w:rPr>
            <w:webHidden/>
            <w:color w:val="auto"/>
          </w:rPr>
          <w:instrText xml:space="preserve"> PAGEREF _Toc132204239 \h </w:instrText>
        </w:r>
        <w:r w:rsidR="001C411D" w:rsidRPr="001F63BA">
          <w:rPr>
            <w:webHidden/>
            <w:color w:val="auto"/>
          </w:rPr>
        </w:r>
        <w:r w:rsidR="001C411D" w:rsidRPr="001F63BA">
          <w:rPr>
            <w:webHidden/>
            <w:color w:val="auto"/>
          </w:rPr>
          <w:fldChar w:fldCharType="separate"/>
        </w:r>
        <w:r w:rsidR="00676596">
          <w:rPr>
            <w:webHidden/>
            <w:color w:val="auto"/>
          </w:rPr>
          <w:t>192</w:t>
        </w:r>
        <w:r w:rsidR="001C411D" w:rsidRPr="001F63BA">
          <w:rPr>
            <w:webHidden/>
            <w:color w:val="auto"/>
          </w:rPr>
          <w:fldChar w:fldCharType="end"/>
        </w:r>
      </w:hyperlink>
    </w:p>
    <w:p w:rsidR="001C411D" w:rsidRPr="001F63BA" w:rsidRDefault="001C411D">
      <w:pPr>
        <w:pStyle w:val="TOC2"/>
        <w:rPr>
          <w:rStyle w:val="Hyperlink"/>
          <w:color w:val="auto"/>
          <w:lang w:val="en-US"/>
        </w:rPr>
      </w:pPr>
    </w:p>
    <w:p w:rsidR="001C411D" w:rsidRPr="001F63BA" w:rsidRDefault="008333FB">
      <w:pPr>
        <w:pStyle w:val="TOC2"/>
        <w:rPr>
          <w:rFonts w:ascii="Calibri" w:hAnsi="Calibri"/>
          <w:bCs w:val="0"/>
          <w:sz w:val="22"/>
          <w:szCs w:val="22"/>
          <w:lang w:val="en-US"/>
        </w:rPr>
      </w:pPr>
      <w:hyperlink w:anchor="_Toc132204240" w:history="1">
        <w:r w:rsidR="001C411D" w:rsidRPr="001F63BA">
          <w:rPr>
            <w:rStyle w:val="Hyperlink"/>
            <w:color w:val="auto"/>
          </w:rPr>
          <w:t>Տնտեսագիտական դասակարգում</w:t>
        </w:r>
        <w:r w:rsidR="001C411D" w:rsidRPr="001F63BA">
          <w:rPr>
            <w:webHidden/>
          </w:rPr>
          <w:tab/>
        </w:r>
        <w:r w:rsidR="001C411D" w:rsidRPr="001F63BA">
          <w:rPr>
            <w:webHidden/>
          </w:rPr>
          <w:fldChar w:fldCharType="begin"/>
        </w:r>
        <w:r w:rsidR="001C411D" w:rsidRPr="001F63BA">
          <w:rPr>
            <w:webHidden/>
          </w:rPr>
          <w:instrText xml:space="preserve"> PAGEREF _Toc132204240 \h </w:instrText>
        </w:r>
        <w:r w:rsidR="001C411D" w:rsidRPr="001F63BA">
          <w:rPr>
            <w:webHidden/>
          </w:rPr>
        </w:r>
        <w:r w:rsidR="001C411D" w:rsidRPr="001F63BA">
          <w:rPr>
            <w:webHidden/>
          </w:rPr>
          <w:fldChar w:fldCharType="separate"/>
        </w:r>
        <w:r w:rsidR="00676596">
          <w:rPr>
            <w:webHidden/>
          </w:rPr>
          <w:t>192</w:t>
        </w:r>
        <w:r w:rsidR="001C411D" w:rsidRPr="001F63BA">
          <w:rPr>
            <w:webHidden/>
          </w:rPr>
          <w:fldChar w:fldCharType="end"/>
        </w:r>
      </w:hyperlink>
    </w:p>
    <w:p w:rsidR="001C411D" w:rsidRPr="001F63BA" w:rsidRDefault="008333FB">
      <w:pPr>
        <w:pStyle w:val="TOC2"/>
        <w:rPr>
          <w:rFonts w:ascii="Calibri" w:hAnsi="Calibri"/>
          <w:bCs w:val="0"/>
          <w:sz w:val="22"/>
          <w:szCs w:val="22"/>
          <w:lang w:val="en-US"/>
        </w:rPr>
      </w:pPr>
      <w:hyperlink w:anchor="_Toc132204241" w:history="1">
        <w:r w:rsidR="001C411D" w:rsidRPr="001F63BA">
          <w:rPr>
            <w:rStyle w:val="Hyperlink"/>
            <w:color w:val="auto"/>
          </w:rPr>
          <w:t>Ծրագրային դասակարգում</w:t>
        </w:r>
        <w:r w:rsidR="001C411D" w:rsidRPr="001F63BA">
          <w:rPr>
            <w:webHidden/>
          </w:rPr>
          <w:tab/>
        </w:r>
        <w:r w:rsidR="001C411D" w:rsidRPr="001F63BA">
          <w:rPr>
            <w:webHidden/>
          </w:rPr>
          <w:fldChar w:fldCharType="begin"/>
        </w:r>
        <w:r w:rsidR="001C411D" w:rsidRPr="001F63BA">
          <w:rPr>
            <w:webHidden/>
          </w:rPr>
          <w:instrText xml:space="preserve"> PAGEREF _Toc132204241 \h </w:instrText>
        </w:r>
        <w:r w:rsidR="001C411D" w:rsidRPr="001F63BA">
          <w:rPr>
            <w:webHidden/>
          </w:rPr>
        </w:r>
        <w:r w:rsidR="001C411D" w:rsidRPr="001F63BA">
          <w:rPr>
            <w:webHidden/>
          </w:rPr>
          <w:fldChar w:fldCharType="separate"/>
        </w:r>
        <w:r w:rsidR="00676596">
          <w:rPr>
            <w:webHidden/>
          </w:rPr>
          <w:t>200</w:t>
        </w:r>
        <w:r w:rsidR="001C411D" w:rsidRPr="001F63BA">
          <w:rPr>
            <w:webHidden/>
          </w:rPr>
          <w:fldChar w:fldCharType="end"/>
        </w:r>
      </w:hyperlink>
    </w:p>
    <w:p w:rsidR="001C411D" w:rsidRPr="001F63BA" w:rsidRDefault="001C411D">
      <w:pPr>
        <w:pStyle w:val="TOC1"/>
        <w:rPr>
          <w:rStyle w:val="Hyperlink"/>
          <w:color w:val="auto"/>
        </w:rPr>
      </w:pPr>
    </w:p>
    <w:p w:rsidR="001C411D" w:rsidRPr="001F63BA" w:rsidRDefault="008333FB">
      <w:pPr>
        <w:pStyle w:val="TOC1"/>
        <w:rPr>
          <w:rFonts w:ascii="Calibri" w:hAnsi="Calibri" w:cs="Times New Roman"/>
          <w:b w:val="0"/>
          <w:bCs w:val="0"/>
          <w:caps w:val="0"/>
          <w:color w:val="auto"/>
          <w:sz w:val="22"/>
          <w:szCs w:val="22"/>
        </w:rPr>
      </w:pPr>
      <w:hyperlink w:anchor="_Toc132204242" w:history="1">
        <w:r w:rsidR="001C411D" w:rsidRPr="001F63BA">
          <w:rPr>
            <w:rStyle w:val="Hyperlink"/>
            <w:rFonts w:cs="Sylfaen"/>
            <w:color w:val="auto"/>
          </w:rPr>
          <w:t xml:space="preserve">ՀԱՅԱՍՏԱՆԻ ՀԱՆՐԱՊԵՏՈՒԹՅԱՆ 2022 </w:t>
        </w:r>
        <w:r w:rsidR="001C411D" w:rsidRPr="001F63BA">
          <w:rPr>
            <w:rStyle w:val="Hyperlink"/>
            <w:rFonts w:cs="Sylfaen"/>
            <w:color w:val="auto"/>
          </w:rPr>
          <w:t>Թ</w:t>
        </w:r>
        <w:r w:rsidR="001C411D" w:rsidRPr="001F63BA">
          <w:rPr>
            <w:rStyle w:val="Hyperlink"/>
            <w:rFonts w:cs="Sylfaen"/>
            <w:color w:val="auto"/>
          </w:rPr>
          <w:t>ՎԱԿԱՆԻ ՊԵՏԱԿԱՆ ԲՅՈՒՋԵԻ ՊԱԿԱՍՈՒՐԴԸ</w:t>
        </w:r>
        <w:r w:rsidR="001C411D" w:rsidRPr="001F63BA">
          <w:rPr>
            <w:webHidden/>
            <w:color w:val="auto"/>
          </w:rPr>
          <w:tab/>
        </w:r>
        <w:r w:rsidR="001C411D" w:rsidRPr="001F63BA">
          <w:rPr>
            <w:webHidden/>
            <w:color w:val="auto"/>
          </w:rPr>
          <w:fldChar w:fldCharType="begin"/>
        </w:r>
        <w:r w:rsidR="001C411D" w:rsidRPr="001F63BA">
          <w:rPr>
            <w:webHidden/>
            <w:color w:val="auto"/>
          </w:rPr>
          <w:instrText xml:space="preserve"> PAGEREF _Toc132204242 \h </w:instrText>
        </w:r>
        <w:r w:rsidR="001C411D" w:rsidRPr="001F63BA">
          <w:rPr>
            <w:webHidden/>
            <w:color w:val="auto"/>
          </w:rPr>
        </w:r>
        <w:r w:rsidR="001C411D" w:rsidRPr="001F63BA">
          <w:rPr>
            <w:webHidden/>
            <w:color w:val="auto"/>
          </w:rPr>
          <w:fldChar w:fldCharType="separate"/>
        </w:r>
        <w:r w:rsidR="00676596">
          <w:rPr>
            <w:webHidden/>
            <w:color w:val="auto"/>
          </w:rPr>
          <w:t>317</w:t>
        </w:r>
        <w:r w:rsidR="001C411D" w:rsidRPr="001F63BA">
          <w:rPr>
            <w:webHidden/>
            <w:color w:val="auto"/>
          </w:rPr>
          <w:fldChar w:fldCharType="end"/>
        </w:r>
      </w:hyperlink>
    </w:p>
    <w:p w:rsidR="001C411D" w:rsidRPr="001F63BA" w:rsidRDefault="001C411D">
      <w:pPr>
        <w:pStyle w:val="TOC1"/>
        <w:rPr>
          <w:rStyle w:val="Hyperlink"/>
          <w:color w:val="auto"/>
        </w:rPr>
      </w:pPr>
    </w:p>
    <w:p w:rsidR="001C411D" w:rsidRPr="001F63BA" w:rsidRDefault="008333FB">
      <w:pPr>
        <w:pStyle w:val="TOC1"/>
        <w:rPr>
          <w:rFonts w:ascii="Calibri" w:hAnsi="Calibri" w:cs="Times New Roman"/>
          <w:b w:val="0"/>
          <w:bCs w:val="0"/>
          <w:caps w:val="0"/>
          <w:color w:val="auto"/>
          <w:sz w:val="22"/>
          <w:szCs w:val="22"/>
        </w:rPr>
      </w:pPr>
      <w:hyperlink w:anchor="_Toc132204243" w:history="1">
        <w:r w:rsidR="001C411D" w:rsidRPr="001F63BA">
          <w:rPr>
            <w:rStyle w:val="Hyperlink"/>
            <w:rFonts w:cs="Sylfaen"/>
            <w:color w:val="auto"/>
          </w:rPr>
          <w:t>ՀԱՅԱՍՏԱՆԻ ՀԱՆՐԱՊԵՏՈՒԹՅԱՆ ՊԵՏԱԿԱՆ ՊԱՐՏՔԸ</w:t>
        </w:r>
        <w:r w:rsidR="001C411D" w:rsidRPr="001F63BA">
          <w:rPr>
            <w:webHidden/>
            <w:color w:val="auto"/>
          </w:rPr>
          <w:tab/>
        </w:r>
        <w:r w:rsidR="001C411D" w:rsidRPr="001F63BA">
          <w:rPr>
            <w:webHidden/>
            <w:color w:val="auto"/>
          </w:rPr>
          <w:fldChar w:fldCharType="begin"/>
        </w:r>
        <w:r w:rsidR="001C411D" w:rsidRPr="001F63BA">
          <w:rPr>
            <w:webHidden/>
            <w:color w:val="auto"/>
          </w:rPr>
          <w:instrText xml:space="preserve"> PAGEREF _Toc132204243 \h </w:instrText>
        </w:r>
        <w:r w:rsidR="001C411D" w:rsidRPr="001F63BA">
          <w:rPr>
            <w:webHidden/>
            <w:color w:val="auto"/>
          </w:rPr>
        </w:r>
        <w:r w:rsidR="001C411D" w:rsidRPr="001F63BA">
          <w:rPr>
            <w:webHidden/>
            <w:color w:val="auto"/>
          </w:rPr>
          <w:fldChar w:fldCharType="separate"/>
        </w:r>
        <w:r w:rsidR="00676596">
          <w:rPr>
            <w:webHidden/>
            <w:color w:val="auto"/>
          </w:rPr>
          <w:t>326</w:t>
        </w:r>
        <w:r w:rsidR="001C411D" w:rsidRPr="001F63BA">
          <w:rPr>
            <w:webHidden/>
            <w:color w:val="auto"/>
          </w:rPr>
          <w:fldChar w:fldCharType="end"/>
        </w:r>
      </w:hyperlink>
    </w:p>
    <w:p w:rsidR="001C411D" w:rsidRPr="001F63BA" w:rsidRDefault="001C411D" w:rsidP="00EA7A56">
      <w:pPr>
        <w:rPr>
          <w:rFonts w:ascii="GHEA Grapalat" w:hAnsi="GHEA Grapalat"/>
          <w:b/>
          <w:sz w:val="20"/>
          <w:szCs w:val="20"/>
          <w:lang w:val="en-US"/>
        </w:rPr>
        <w:sectPr w:rsidR="001C411D" w:rsidRPr="001F63BA" w:rsidSect="00A41AD1">
          <w:headerReference w:type="default" r:id="rId8"/>
          <w:footerReference w:type="default" r:id="rId9"/>
          <w:pgSz w:w="11909" w:h="16834" w:code="9"/>
          <w:pgMar w:top="1134" w:right="567" w:bottom="567" w:left="1134" w:header="720" w:footer="397" w:gutter="0"/>
          <w:pgNumType w:start="5"/>
          <w:cols w:space="720"/>
          <w:docGrid w:linePitch="360"/>
        </w:sectPr>
      </w:pPr>
      <w:r w:rsidRPr="001F63BA">
        <w:fldChar w:fldCharType="end"/>
      </w:r>
      <w:bookmarkEnd w:id="0"/>
      <w:bookmarkEnd w:id="1"/>
      <w:bookmarkEnd w:id="2"/>
      <w:bookmarkEnd w:id="3"/>
      <w:bookmarkEnd w:id="4"/>
      <w:bookmarkEnd w:id="5"/>
      <w:bookmarkEnd w:id="6"/>
      <w:bookmarkEnd w:id="7"/>
    </w:p>
    <w:p w:rsidR="001C411D" w:rsidRPr="001F63BA" w:rsidRDefault="001C411D" w:rsidP="00F80CD0">
      <w:pPr>
        <w:pStyle w:val="Heading1"/>
        <w:rPr>
          <w:rFonts w:ascii="GHEA Grapalat" w:hAnsi="GHEA Grapalat" w:cs="Sylfaen"/>
          <w:sz w:val="22"/>
          <w:szCs w:val="22"/>
        </w:rPr>
      </w:pPr>
      <w:bookmarkStart w:id="8" w:name="_Toc132204196"/>
      <w:bookmarkStart w:id="9" w:name="_Toc511744930"/>
      <w:bookmarkStart w:id="10" w:name="_Toc6389277"/>
      <w:r w:rsidRPr="001F63BA">
        <w:rPr>
          <w:rFonts w:ascii="GHEA Grapalat" w:hAnsi="GHEA Grapalat" w:cs="Sylfaen"/>
          <w:sz w:val="22"/>
          <w:szCs w:val="22"/>
        </w:rPr>
        <w:lastRenderedPageBreak/>
        <w:t>ՕԳՏԱԳՈՐԾՎԱԾ ՀԱՊԱՎՈՒՄՆԵՐ</w:t>
      </w:r>
      <w:bookmarkEnd w:id="8"/>
    </w:p>
    <w:p w:rsidR="001C411D" w:rsidRPr="001F63BA" w:rsidRDefault="001C411D" w:rsidP="00ED5303">
      <w:pPr>
        <w:ind w:firstLine="567"/>
        <w:rPr>
          <w:rFonts w:ascii="GHEA Grapalat" w:hAnsi="GHEA Grapalat"/>
          <w:sz w:val="22"/>
          <w:szCs w:val="22"/>
          <w:lang w:val="en-US"/>
        </w:rPr>
      </w:pP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ՀՀ – Հայաստանի Հանրապետություն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ԱՊՀ – Անկախ պետությունների համագործակցություն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ԱՄՆ – Ամերիկայի Միացյալ Նահանգներ</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ԱՄՆ ՄԶԳ – Ամերիկայի Միացյալ Նահանգների Միջազգային զարգացման գործակալություն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ՌԴ – Ռուսաստանի Դաշնություն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ՄԱԿ – Միավորված ազգերի կազմակերպություն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ՅՈՒՆԵՍԿՕ – Միավորված ազգերի կրթական, գիտական և մշակութային կազմակերպություն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ԱՄՀ – Արժույթի միջազգային հիմնադրամ</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ՀԲ – Համաշխարհային բանկ</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ՎԶՄԲ – Վերակառուցման և զարգացման միջազգային բանկ</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ԶՄԸ – Զարգացման միջազգային ընկերակցություն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ԵՄ – Եվրոպական միություն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ԵՆԲ – Եվրոպական ներդրումային բանկ</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ՎԶԵԲ – Վերակառուցման և զարգացման եվրոպական բանկ</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ԱՀԿ – Առևտրի համաշխարհային կազմակերպություն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ԱԶԲ – Ասիական զարգացման բանկ</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ԵԱՏՄ – Եվրասիական տնտեսական միություն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ԱՍՀՆ – Աշխատանքի և սոցիալական հարցերի նախարարություն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ԲՏԱՆ – Բարձր տեխնոլոգիական արդյունաբերության նախարարություն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ԿԳՄՍՆ – Կրթության, գիտության, մշակույթի և սպորտի նախարարություն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ՏԿԵՆ – Տարածքային կառավարման և ենթակառուցվածքների նախարարություն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ՖՆ – Ֆինանսների նախարարություն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ԿԲ – Կենտրոնական բանկ</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ՊԵԿ – Պետական եկամուտների կոմիտե</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ՄՍԾ – Միասնական սոցիալական ծառայություն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ՓԲԸ – Փակ բաժնետիրական ընկերություն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ՓՄՁ – Փոքր և միջին ձեռնարկատիրություն / ձեռնարկություն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ՊՈԱԿ – Պետական ոչ առևտրային կազմակերպություն</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ՄԻԱՎ – Մարդու իմունային անբավարարության վիրուս</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ՀՆԱ – Համախառն ներքին արդյունք</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ԱԱՀ – Ավելացված արժեքի հարկ</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ՄԿՈՒ – Մասնագիտական կրթություն և ուսուցում</w:t>
      </w:r>
    </w:p>
    <w:p w:rsidR="001C411D" w:rsidRPr="001F63BA" w:rsidRDefault="001C411D" w:rsidP="00637812">
      <w:pPr>
        <w:spacing w:line="360" w:lineRule="auto"/>
        <w:ind w:firstLine="567"/>
        <w:jc w:val="both"/>
        <w:rPr>
          <w:rFonts w:ascii="GHEA Grapalat" w:hAnsi="GHEA Grapalat"/>
          <w:sz w:val="22"/>
          <w:szCs w:val="22"/>
        </w:rPr>
      </w:pPr>
      <w:r w:rsidRPr="001F63BA">
        <w:rPr>
          <w:rFonts w:ascii="GHEA Grapalat" w:hAnsi="GHEA Grapalat"/>
          <w:sz w:val="22"/>
          <w:szCs w:val="22"/>
        </w:rPr>
        <w:t>ԶԼՄ – Զանգվածային լրատվության միջոց</w:t>
      </w:r>
    </w:p>
    <w:p w:rsidR="001C411D" w:rsidRPr="001F63BA" w:rsidRDefault="001C411D" w:rsidP="00E57D98">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ՀԸԳՀ - </w:t>
      </w:r>
      <w:r w:rsidRPr="001F63BA">
        <w:rPr>
          <w:rFonts w:ascii="GHEA Grapalat" w:hAnsi="GHEA Grapalat"/>
          <w:sz w:val="22"/>
          <w:szCs w:val="22"/>
          <w:lang w:val="en-US"/>
        </w:rPr>
        <w:t>Հ</w:t>
      </w:r>
      <w:r w:rsidRPr="001F63BA">
        <w:rPr>
          <w:rFonts w:ascii="GHEA Grapalat" w:hAnsi="GHEA Grapalat"/>
          <w:sz w:val="22"/>
          <w:szCs w:val="22"/>
        </w:rPr>
        <w:t xml:space="preserve">ամապարփակ </w:t>
      </w:r>
      <w:r w:rsidRPr="001F63BA">
        <w:rPr>
          <w:rFonts w:ascii="GHEA Grapalat" w:hAnsi="GHEA Grapalat"/>
          <w:sz w:val="22"/>
          <w:szCs w:val="22"/>
          <w:lang w:val="en-US"/>
        </w:rPr>
        <w:t>և</w:t>
      </w:r>
      <w:r w:rsidRPr="001F63BA">
        <w:rPr>
          <w:rFonts w:ascii="GHEA Grapalat" w:hAnsi="GHEA Grapalat"/>
          <w:sz w:val="22"/>
          <w:szCs w:val="22"/>
        </w:rPr>
        <w:t xml:space="preserve"> ընդլայնված գործընկերության համաձայնագիր</w:t>
      </w:r>
    </w:p>
    <w:p w:rsidR="001C411D" w:rsidRPr="001F63BA" w:rsidRDefault="001C411D" w:rsidP="00E57D98">
      <w:pPr>
        <w:spacing w:line="360" w:lineRule="auto"/>
        <w:ind w:firstLine="567"/>
        <w:jc w:val="both"/>
        <w:rPr>
          <w:rFonts w:ascii="GHEA Grapalat" w:hAnsi="GHEA Grapalat"/>
          <w:sz w:val="22"/>
          <w:szCs w:val="22"/>
        </w:rPr>
        <w:sectPr w:rsidR="001C411D" w:rsidRPr="001F63BA" w:rsidSect="00A41AD1">
          <w:headerReference w:type="default" r:id="rId10"/>
          <w:pgSz w:w="11909" w:h="16834" w:code="9"/>
          <w:pgMar w:top="1134" w:right="567" w:bottom="567" w:left="1134" w:header="720" w:footer="397" w:gutter="0"/>
          <w:cols w:space="720"/>
          <w:docGrid w:linePitch="360"/>
        </w:sectPr>
      </w:pPr>
    </w:p>
    <w:p w:rsidR="001C411D" w:rsidRPr="001F63BA" w:rsidRDefault="001C411D" w:rsidP="00F80CD0">
      <w:pPr>
        <w:pStyle w:val="Heading1"/>
        <w:rPr>
          <w:rFonts w:ascii="GHEA Grapalat" w:hAnsi="GHEA Grapalat" w:cs="Sylfaen"/>
          <w:sz w:val="22"/>
          <w:szCs w:val="22"/>
        </w:rPr>
      </w:pPr>
      <w:bookmarkStart w:id="11" w:name="_Toc132204197"/>
      <w:bookmarkStart w:id="12" w:name="_Toc100247626"/>
      <w:r w:rsidRPr="001F63BA">
        <w:rPr>
          <w:rFonts w:ascii="GHEA Grapalat" w:hAnsi="GHEA Grapalat" w:cs="Sylfaen"/>
          <w:sz w:val="22"/>
          <w:szCs w:val="22"/>
        </w:rPr>
        <w:lastRenderedPageBreak/>
        <w:t>ՀԱՅԱՍՏԱՆԻ ՀԱՆՐԱՊԵՏՈՒԹՅԱՆ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ՊԵՏԱԿԱՆ ԲՅՈՒՋԵԻ ԿԱՏԱՐՄԱՆ ԱՄՓՈՓԱԳԻՐ</w:t>
      </w:r>
      <w:r w:rsidRPr="001F63BA">
        <w:rPr>
          <w:rStyle w:val="FootnoteReference"/>
          <w:rFonts w:ascii="GHEA Grapalat" w:hAnsi="GHEA Grapalat"/>
          <w:sz w:val="22"/>
          <w:szCs w:val="22"/>
        </w:rPr>
        <w:footnoteReference w:id="1"/>
      </w:r>
      <w:bookmarkEnd w:id="11"/>
    </w:p>
    <w:p w:rsidR="001C411D" w:rsidRPr="001F63BA"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1C411D" w:rsidRPr="001F63BA" w:rsidRDefault="001C411D" w:rsidP="00AA5F3D">
      <w:pPr>
        <w:spacing w:line="360" w:lineRule="auto"/>
        <w:rPr>
          <w:rFonts w:ascii="GHEA Grapalat" w:hAnsi="GHEA Grapalat"/>
          <w:b/>
          <w:sz w:val="22"/>
          <w:szCs w:val="22"/>
        </w:rPr>
      </w:pPr>
      <w:r w:rsidRPr="001F63BA">
        <w:rPr>
          <w:rFonts w:ascii="GHEA Grapalat" w:hAnsi="GHEA Grapalat"/>
          <w:b/>
          <w:sz w:val="22"/>
          <w:szCs w:val="22"/>
        </w:rPr>
        <w:t>ՄԱԿՐՈՏՆՏԵՍԱԿԱՆ ԵՎ ՀԱՐԿԱԲՅՈՒՋԵՏԱՅԻՆ ԱՄՓՈՓԱԳԻՐ</w:t>
      </w:r>
      <w:bookmarkEnd w:id="12"/>
    </w:p>
    <w:p w:rsidR="001C411D" w:rsidRPr="001F63BA" w:rsidRDefault="001C411D" w:rsidP="00BB1B4B">
      <w:pPr>
        <w:pStyle w:val="ListParagraph"/>
        <w:numPr>
          <w:ilvl w:val="0"/>
          <w:numId w:val="12"/>
        </w:numPr>
        <w:spacing w:before="100" w:beforeAutospacing="1" w:after="0" w:afterAutospacing="1" w:line="360" w:lineRule="auto"/>
        <w:ind w:left="426" w:hanging="426"/>
        <w:contextualSpacing w:val="0"/>
        <w:jc w:val="both"/>
        <w:rPr>
          <w:rFonts w:ascii="GHEA Grapalat" w:hAnsi="GHEA Grapalat"/>
          <w:lang w:val="hy-AM"/>
        </w:rPr>
      </w:pPr>
      <w:r w:rsidRPr="001F63BA">
        <w:rPr>
          <w:rFonts w:ascii="GHEA Grapalat" w:hAnsi="GHEA Grapalat"/>
          <w:lang w:val="hy-AM"/>
        </w:rPr>
        <w:t>2022 թվականին ռուս-ուկրաինական հակամարտության զարգացումների արդյունքում համաշխարհային տնտեսությունում, այդ թվում՝ ՀՀ գործընկեր երկրների տնտեսություններում տեղի է ունեցել տնտեսական աճի դանդաղում՝ պայմանավորված համաշխարհային մատակարարման շղթաների խաթարմամբ, դրա արդյունքում պարենային և հումքային ապրանքների միջազգային գների բարձրացմամբ, ձևավորված բարձր գնաճային միջավայրը մեղմելուն ուղղված</w:t>
      </w:r>
      <w:r w:rsidRPr="001F63BA">
        <w:rPr>
          <w:rFonts w:ascii="GHEA Grapalat" w:hAnsi="GHEA Grapalat"/>
          <w:lang w:val="en-US"/>
        </w:rPr>
        <w:t>՝</w:t>
      </w:r>
      <w:r w:rsidRPr="001F63BA">
        <w:rPr>
          <w:rFonts w:ascii="GHEA Grapalat" w:hAnsi="GHEA Grapalat"/>
          <w:lang w:val="hy-AM"/>
        </w:rPr>
        <w:t xml:space="preserve"> կենտրոնական բանկերի զսպող դրամավարկային քաղաքականությամբ: Կենտրոնական բանկերի կողմից իրականացված քաղաքականության արդյունքում ձևավորված բարձր գնաճային ճնշումները տարվա ընթացքում թուլացել են՝ շարունակելով բարձր մնալ պատմական միջին մակարդակից:</w:t>
      </w:r>
    </w:p>
    <w:p w:rsidR="001C411D" w:rsidRPr="001F63BA" w:rsidRDefault="001C411D" w:rsidP="00BB1B4B">
      <w:pPr>
        <w:pStyle w:val="ListParagraph"/>
        <w:numPr>
          <w:ilvl w:val="0"/>
          <w:numId w:val="12"/>
        </w:numPr>
        <w:autoSpaceDE w:val="0"/>
        <w:autoSpaceDN w:val="0"/>
        <w:adjustRightInd w:val="0"/>
        <w:spacing w:after="0" w:line="336" w:lineRule="auto"/>
        <w:ind w:left="450"/>
        <w:contextualSpacing w:val="0"/>
        <w:jc w:val="both"/>
        <w:rPr>
          <w:rFonts w:ascii="GHEA Grapalat" w:hAnsi="GHEA Grapalat"/>
          <w:lang w:val="hy-AM"/>
        </w:rPr>
      </w:pPr>
      <w:r w:rsidRPr="001F63BA">
        <w:rPr>
          <w:rFonts w:ascii="GHEA Grapalat" w:hAnsi="GHEA Grapalat"/>
          <w:lang w:val="hy-AM"/>
        </w:rPr>
        <w:t>Համավարակի և Արցախյան պատերազմի շոկերից հետո տնտեսության 2021 թվականի վերականգնման տեմպեր</w:t>
      </w:r>
      <w:r w:rsidRPr="001F63BA">
        <w:rPr>
          <w:rFonts w:ascii="GHEA Grapalat" w:hAnsi="GHEA Grapalat"/>
          <w:lang w:val="en-US"/>
        </w:rPr>
        <w:t>ն</w:t>
      </w:r>
      <w:r w:rsidRPr="001F63BA">
        <w:rPr>
          <w:rFonts w:ascii="GHEA Grapalat" w:hAnsi="GHEA Grapalat"/>
          <w:lang w:val="hy-AM"/>
        </w:rPr>
        <w:t xml:space="preserve"> արագացան 2022 թվականի տարեսկզբին։ Չնայած փետրվարի վերջերից սկիզբ առած ռուս-ուկրաինական հակամարտության և Ռուսաստանի դեմ կիրառված պատժամիջոցների բացասական ազդեցությունների հետևանքով տնտեսական ակտիվության մարտ ամսի որոշակի դանդաղմանը, ապրիլ ամսից դեպի Հայաստան մարդկանց ներհոսք</w:t>
      </w:r>
      <w:r w:rsidRPr="001F63BA">
        <w:rPr>
          <w:rFonts w:ascii="GHEA Grapalat" w:hAnsi="GHEA Grapalat"/>
          <w:lang w:val="en-US"/>
        </w:rPr>
        <w:t>ի</w:t>
      </w:r>
      <w:r w:rsidRPr="001F63BA">
        <w:rPr>
          <w:rFonts w:ascii="GHEA Grapalat" w:hAnsi="GHEA Grapalat"/>
          <w:lang w:val="hy-AM"/>
        </w:rPr>
        <w:t>, զբոսաշրջության զգալի ավելացման և տեղեկատվական տեխնոլոգիաների ոլորտի ընկերությունների</w:t>
      </w:r>
      <w:r w:rsidRPr="001F63BA">
        <w:rPr>
          <w:rFonts w:ascii="GHEA Grapalat" w:hAnsi="GHEA Grapalat"/>
          <w:lang w:val="en-US"/>
        </w:rPr>
        <w:t>՝</w:t>
      </w:r>
      <w:r w:rsidRPr="001F63BA">
        <w:rPr>
          <w:rFonts w:ascii="GHEA Grapalat" w:hAnsi="GHEA Grapalat"/>
          <w:lang w:val="hy-AM"/>
        </w:rPr>
        <w:t xml:space="preserve"> ՀՀ տեղափոխման, ինչպես նաև սեպտեմբերին դեպի Հայաստան միգրանտների նոր հոսքի արդյունքում տնտեսական ակտիվության աճի տեմպերը կտրուկ արագացան</w:t>
      </w:r>
      <w:r w:rsidRPr="001F63BA">
        <w:rPr>
          <w:rFonts w:ascii="GHEA Grapalat" w:hAnsi="GHEA Grapalat"/>
          <w:lang w:val="en-US"/>
        </w:rPr>
        <w:t>,</w:t>
      </w:r>
      <w:r w:rsidRPr="001F63BA">
        <w:rPr>
          <w:rFonts w:ascii="GHEA Grapalat" w:hAnsi="GHEA Grapalat"/>
          <w:lang w:val="hy-AM"/>
        </w:rPr>
        <w:t xml:space="preserve"> հատկապես՝ ծառայությունների ոլորտում: Արդյունքում 2022</w:t>
      </w:r>
      <w:r w:rsidRPr="001F63BA">
        <w:rPr>
          <w:rFonts w:ascii="GHEA Grapalat" w:hAnsi="GHEA Grapalat"/>
          <w:lang w:val="en-US"/>
        </w:rPr>
        <w:t xml:space="preserve"> </w:t>
      </w:r>
      <w:r w:rsidRPr="001F63BA">
        <w:rPr>
          <w:rFonts w:ascii="GHEA Grapalat" w:hAnsi="GHEA Grapalat"/>
          <w:lang w:val="hy-AM"/>
        </w:rPr>
        <w:t>թ</w:t>
      </w:r>
      <w:r w:rsidRPr="001F63BA">
        <w:rPr>
          <w:rFonts w:ascii="GHEA Grapalat" w:hAnsi="GHEA Grapalat"/>
          <w:lang w:val="en-US"/>
        </w:rPr>
        <w:t>վականին</w:t>
      </w:r>
      <w:r w:rsidRPr="001F63BA">
        <w:rPr>
          <w:rFonts w:ascii="GHEA Grapalat" w:hAnsi="GHEA Grapalat"/>
          <w:lang w:val="hy-AM"/>
        </w:rPr>
        <w:t xml:space="preserve"> գրանցվեց 12.6% տնտեսական աճ: 2022 թվականին տնտեսության բոլոր ճյուղերում, բացառությամբ գյուղատնտեսության, գրանցվեց ավելացված արժեքի աճ: Տնտեսական աճն ուղեկցվեց ներքին և արտաքին պահանջարկի աճով: </w:t>
      </w:r>
    </w:p>
    <w:p w:rsidR="001C411D" w:rsidRPr="001F63BA" w:rsidRDefault="001C411D" w:rsidP="00BB1B4B">
      <w:pPr>
        <w:pStyle w:val="ListParagraph"/>
        <w:numPr>
          <w:ilvl w:val="0"/>
          <w:numId w:val="12"/>
        </w:numPr>
        <w:autoSpaceDE w:val="0"/>
        <w:autoSpaceDN w:val="0"/>
        <w:adjustRightInd w:val="0"/>
        <w:spacing w:after="0" w:line="336" w:lineRule="auto"/>
        <w:ind w:left="450"/>
        <w:contextualSpacing w:val="0"/>
        <w:jc w:val="both"/>
        <w:rPr>
          <w:rFonts w:ascii="GHEA Grapalat" w:hAnsi="GHEA Grapalat"/>
          <w:lang w:val="hy-AM"/>
        </w:rPr>
      </w:pPr>
      <w:r w:rsidRPr="001F63BA">
        <w:rPr>
          <w:rFonts w:ascii="GHEA Grapalat" w:hAnsi="GHEA Grapalat" w:cs="GHEA Grapalat"/>
          <w:lang w:val="hy-AM"/>
        </w:rPr>
        <w:t xml:space="preserve">2022 թվականի պետական բյուջեով կանխատեսվում էր 7.0% տնտեսական աճ, սակայն, </w:t>
      </w:r>
      <w:bookmarkStart w:id="13" w:name="_Hlk131889805"/>
      <w:r w:rsidRPr="001F63BA">
        <w:rPr>
          <w:rFonts w:ascii="GHEA Grapalat" w:hAnsi="GHEA Grapalat" w:cs="GHEA Grapalat"/>
          <w:lang w:val="hy-AM"/>
        </w:rPr>
        <w:t>պայմանավորված ռուս-ուկրաինական հակամարտության և Ռուսաստանի դեմ կիրառված պատժամիջոցների արդյունքում ՀՀ համար ձևավորված նպաստավոր տնտեսական զարգացումներով (մասնավորապես` հակամարտող երկրներից դեպի Հայաստան մարդկանց ներհոսք, ՌԴ-ից ՏՏ ոլորտի աշխատակիցների և ընկերությունների</w:t>
      </w:r>
      <w:r w:rsidRPr="001F63BA">
        <w:rPr>
          <w:rFonts w:ascii="GHEA Grapalat" w:hAnsi="GHEA Grapalat" w:cs="GHEA Grapalat"/>
          <w:lang w:val="en-US"/>
        </w:rPr>
        <w:t>՝</w:t>
      </w:r>
      <w:r w:rsidRPr="001F63BA">
        <w:rPr>
          <w:rFonts w:ascii="GHEA Grapalat" w:hAnsi="GHEA Grapalat" w:cs="GHEA Grapalat"/>
          <w:lang w:val="hy-AM"/>
        </w:rPr>
        <w:t xml:space="preserve"> ՀՀ տեղափոխում, դեպի ՌԴ արտահանման պահանջարկի զգալի ավելացում, ինչպես նաև դեպի Հայաստան միջազգային </w:t>
      </w:r>
      <w:r w:rsidRPr="001F63BA">
        <w:rPr>
          <w:rFonts w:ascii="GHEA Grapalat" w:hAnsi="GHEA Grapalat" w:cs="GHEA Grapalat"/>
          <w:lang w:val="hy-AM"/>
        </w:rPr>
        <w:lastRenderedPageBreak/>
        <w:t>զբոսաշրջության բարձր աճ)</w:t>
      </w:r>
      <w:r w:rsidRPr="001F63BA">
        <w:rPr>
          <w:rFonts w:ascii="GHEA Grapalat" w:hAnsi="GHEA Grapalat" w:cs="GHEA Grapalat"/>
          <w:lang w:val="en-US"/>
        </w:rPr>
        <w:t>,</w:t>
      </w:r>
      <w:r w:rsidRPr="001F63BA">
        <w:rPr>
          <w:rFonts w:ascii="GHEA Grapalat" w:hAnsi="GHEA Grapalat" w:cs="GHEA Grapalat"/>
          <w:lang w:val="hy-AM"/>
        </w:rPr>
        <w:t xml:space="preserve"> 2023 թվականի պետական բյուջեով 2022 թվականի տնտեսական աճի կանխատեսումը վերանայվեց 11.0%-ի։ Սակայն հետագա տնտեսական զարգացումներն ընթացան սպասվածից ավելի նպաստավոր պայմաններում և արդյունքում գրանցվեց 12.6% տնտեսական աճ՝ սկզբնական կանխատեսումից շեղվելով 5.6, իսկ վերանայվածից՝ 1.6 տոկոսային կետով</w:t>
      </w:r>
      <w:bookmarkEnd w:id="13"/>
      <w:r w:rsidRPr="001F63BA">
        <w:rPr>
          <w:rFonts w:ascii="GHEA Grapalat" w:hAnsi="GHEA Grapalat" w:cs="GHEA Grapalat"/>
          <w:lang w:val="hy-AM"/>
        </w:rPr>
        <w:t>։</w:t>
      </w:r>
    </w:p>
    <w:p w:rsidR="001C411D" w:rsidRPr="001F63BA" w:rsidRDefault="001C411D" w:rsidP="00BB1B4B">
      <w:pPr>
        <w:pStyle w:val="ListParagraph"/>
        <w:numPr>
          <w:ilvl w:val="0"/>
          <w:numId w:val="12"/>
        </w:numPr>
        <w:autoSpaceDE w:val="0"/>
        <w:autoSpaceDN w:val="0"/>
        <w:adjustRightInd w:val="0"/>
        <w:spacing w:after="0" w:line="336" w:lineRule="auto"/>
        <w:ind w:left="426" w:hanging="284"/>
        <w:contextualSpacing w:val="0"/>
        <w:jc w:val="both"/>
        <w:rPr>
          <w:rFonts w:ascii="GHEA Grapalat" w:hAnsi="GHEA Grapalat"/>
          <w:lang w:val="hy-AM"/>
        </w:rPr>
      </w:pPr>
      <w:r w:rsidRPr="001F63BA">
        <w:rPr>
          <w:rFonts w:ascii="GHEA Grapalat" w:hAnsi="GHEA Grapalat"/>
          <w:lang w:val="hy-AM"/>
        </w:rPr>
        <w:t xml:space="preserve">2022 թվականին </w:t>
      </w:r>
      <w:r w:rsidRPr="001F63BA">
        <w:rPr>
          <w:rFonts w:ascii="GHEA Grapalat" w:hAnsi="GHEA Grapalat" w:cs="Sylfaen"/>
          <w:lang w:val="hy-AM"/>
        </w:rPr>
        <w:t>ՀՀ 2022 թվականի պետական բյուջեի</w:t>
      </w:r>
      <w:r w:rsidRPr="001F63BA">
        <w:rPr>
          <w:rFonts w:ascii="GHEA Grapalat" w:hAnsi="GHEA Grapalat"/>
          <w:lang w:val="hy-AM"/>
        </w:rPr>
        <w:t xml:space="preserve"> կանխատեսումների և նախորդ տարվա համեմատ տեղի է ունեցել տնտեսության արտաքին դիրքի զգալի բարելավում, ինչի արդյունքում ընթացիկ հաշվի պակասուրդը կազմել է ՀՆԱ-ի 0.9%-ը: Ընթացիկ հաշվի և նրա բաղադրատարրերի ցուցանիշների կանխատեսումներից շեղումը հիմնականում պայմանավորվել է ռուս-ուկրաինական հակամարտության և ՌԴ-ի նկատմամբ կիրառվող աննախադեպ պատժամիջոցների հետևանքով դեպի ՀՀ մարդկանց և կապիտալի մեծ ներհոսքերով: </w:t>
      </w:r>
    </w:p>
    <w:p w:rsidR="001C411D" w:rsidRPr="001F63BA" w:rsidRDefault="001C411D" w:rsidP="00BB1B4B">
      <w:pPr>
        <w:pStyle w:val="ListParagraph"/>
        <w:numPr>
          <w:ilvl w:val="0"/>
          <w:numId w:val="12"/>
        </w:numPr>
        <w:autoSpaceDE w:val="0"/>
        <w:autoSpaceDN w:val="0"/>
        <w:adjustRightInd w:val="0"/>
        <w:spacing w:after="0" w:line="336" w:lineRule="auto"/>
        <w:ind w:left="426" w:hanging="284"/>
        <w:contextualSpacing w:val="0"/>
        <w:jc w:val="both"/>
        <w:rPr>
          <w:rFonts w:ascii="GHEA Grapalat" w:hAnsi="GHEA Grapalat"/>
          <w:lang w:val="hy-AM"/>
        </w:rPr>
      </w:pPr>
      <w:r w:rsidRPr="001F63BA">
        <w:rPr>
          <w:rFonts w:ascii="GHEA Grapalat" w:hAnsi="GHEA Grapalat"/>
          <w:lang w:val="hy-AM"/>
        </w:rPr>
        <w:t>202</w:t>
      </w:r>
      <w:r w:rsidRPr="001F63BA">
        <w:rPr>
          <w:rFonts w:ascii="GHEA Grapalat" w:hAnsi="GHEA Grapalat"/>
          <w:lang w:val="en-US"/>
        </w:rPr>
        <w:t>2</w:t>
      </w:r>
      <w:r w:rsidRPr="001F63BA">
        <w:rPr>
          <w:rFonts w:ascii="GHEA Grapalat" w:hAnsi="GHEA Grapalat"/>
          <w:lang w:val="hy-AM"/>
        </w:rPr>
        <w:t xml:space="preserve"> թվականի դեկտեմբերին 12-ամսյա գնաճը կազմել է 8.3%՝ գերազանցելով ՀՀ կենտրոնական բանկի նպատակային՝ 4+/-1.5% ցուցանիշը: Տարվա ընթացքում, հաշվի առնելով ինչպես ներքին տնտեսությունում, այնպես էլ միջազգային պարենային շուկաներում գնաճային զարգացումները և գնաճային սպասումների որոշակի արագացումը, ՀՀ ԿԲ-ն բարձրացրել է վերաֆինանսավորման տոկոսադրույք</w:t>
      </w:r>
      <w:r w:rsidRPr="001F63BA">
        <w:rPr>
          <w:rFonts w:ascii="GHEA Grapalat" w:hAnsi="GHEA Grapalat"/>
          <w:lang w:val="en-US"/>
        </w:rPr>
        <w:t>ն</w:t>
      </w:r>
      <w:r w:rsidRPr="001F63BA">
        <w:rPr>
          <w:rFonts w:ascii="GHEA Grapalat" w:hAnsi="GHEA Grapalat"/>
          <w:lang w:val="hy-AM"/>
        </w:rPr>
        <w:t xml:space="preserve"> ընդհանուր առմամբ 3.0 տոկոսային կետով՝ սահմանելով այն 10.75%:</w:t>
      </w:r>
    </w:p>
    <w:p w:rsidR="001C411D" w:rsidRPr="001F63BA" w:rsidRDefault="001C411D" w:rsidP="00BB1B4B">
      <w:pPr>
        <w:pStyle w:val="ListParagraph"/>
        <w:numPr>
          <w:ilvl w:val="0"/>
          <w:numId w:val="12"/>
        </w:numPr>
        <w:spacing w:before="100" w:beforeAutospacing="1" w:after="100" w:afterAutospacing="1" w:line="336" w:lineRule="auto"/>
        <w:ind w:left="426" w:hanging="358"/>
        <w:contextualSpacing w:val="0"/>
        <w:jc w:val="both"/>
        <w:rPr>
          <w:rFonts w:ascii="GHEA Grapalat" w:hAnsi="GHEA Grapalat" w:cs="GHEA Grapalat"/>
          <w:lang w:val="hy-AM"/>
        </w:rPr>
      </w:pPr>
      <w:r w:rsidRPr="001F63BA">
        <w:rPr>
          <w:rFonts w:ascii="GHEA Grapalat" w:hAnsi="GHEA Grapalat"/>
          <w:lang w:val="hy-AM"/>
        </w:rPr>
        <w:t>2021 թվականին գրանցված</w:t>
      </w:r>
      <w:r w:rsidRPr="001F63BA">
        <w:rPr>
          <w:rFonts w:ascii="GHEA Grapalat" w:hAnsi="GHEA Grapalat"/>
          <w:lang w:val="en-US"/>
        </w:rPr>
        <w:t>՝</w:t>
      </w:r>
      <w:r w:rsidRPr="001F63BA">
        <w:rPr>
          <w:rFonts w:ascii="GHEA Grapalat" w:hAnsi="GHEA Grapalat"/>
          <w:lang w:val="hy-AM"/>
        </w:rPr>
        <w:t xml:space="preserve"> վարկերի ծավալների անկումից հետո 2022 թվականի ընթացքում վարկերի ծավալները որոշակիորեն աճել են՝ չնայած ԱՄՆ դոլարի նկատմամբ դրամի արժևորումը հանգեցրել է դրամային արտահայտությամբ արտարժութային վարկերի էական նվազման։ Ավանդների ծավալները նույնպես աճել են, թեպետ աճի տեմպի վրա նվազեցնող ազդեցություն է ունեցել ԱՄՆ դոլարի նկատմամբ դրամի արժևորումը: 2022 թվականի ընթացքում ՀՀ դրամով վարկերի և ավանդների տոկոսադրույքներ</w:t>
      </w:r>
      <w:r w:rsidRPr="001F63BA">
        <w:rPr>
          <w:rFonts w:ascii="GHEA Grapalat" w:hAnsi="GHEA Grapalat"/>
          <w:lang w:val="en-US"/>
        </w:rPr>
        <w:t>ն</w:t>
      </w:r>
      <w:r w:rsidRPr="001F63BA">
        <w:rPr>
          <w:rFonts w:ascii="GHEA Grapalat" w:hAnsi="GHEA Grapalat"/>
          <w:lang w:val="hy-AM"/>
        </w:rPr>
        <w:t xml:space="preserve"> էականորեն չեն փոփոխվել, իսկ ՀՀ պետական պարտատոմսերի շուկայում նկատվել է ՊՊ տեղաբաշխման միջին կշռված եկամտաբերության աճ: ՀՀ եվրապարտատոմսերի երկրորդային շուկայում եկամտաբերություն</w:t>
      </w:r>
      <w:r w:rsidRPr="001F63BA">
        <w:rPr>
          <w:rFonts w:ascii="GHEA Grapalat" w:hAnsi="GHEA Grapalat"/>
          <w:lang w:val="en-US"/>
        </w:rPr>
        <w:t>-</w:t>
      </w:r>
      <w:r w:rsidRPr="001F63BA">
        <w:rPr>
          <w:rFonts w:ascii="GHEA Grapalat" w:hAnsi="GHEA Grapalat"/>
          <w:lang w:val="hy-AM"/>
        </w:rPr>
        <w:t xml:space="preserve">ները 2022 թվականին զգալի աճ են գրանցել: </w:t>
      </w:r>
    </w:p>
    <w:p w:rsidR="001C411D" w:rsidRPr="001F63BA" w:rsidRDefault="001C411D" w:rsidP="00BB1B4B">
      <w:pPr>
        <w:pStyle w:val="ListParagraph"/>
        <w:numPr>
          <w:ilvl w:val="0"/>
          <w:numId w:val="12"/>
        </w:numPr>
        <w:spacing w:before="100" w:beforeAutospacing="1" w:after="100" w:afterAutospacing="1" w:line="336" w:lineRule="auto"/>
        <w:ind w:left="426" w:hanging="358"/>
        <w:contextualSpacing w:val="0"/>
        <w:jc w:val="both"/>
        <w:rPr>
          <w:rFonts w:ascii="GHEA Grapalat" w:hAnsi="GHEA Grapalat" w:cs="GHEA Grapalat"/>
          <w:lang w:val="hy-AM"/>
        </w:rPr>
      </w:pPr>
      <w:r w:rsidRPr="001F63BA">
        <w:rPr>
          <w:rFonts w:ascii="GHEA Grapalat" w:hAnsi="GHEA Grapalat" w:cs="GHEA Grapalat"/>
          <w:lang w:val="hy-AM"/>
        </w:rPr>
        <w:t>2022 թվականին հարկաբյուջետային քաղաքականությունն ուղղված է եղել տնտեսական շոկերին արդյունավետ արձագանքելու միջոցով մակրոտնտեսական և հարկաբյուջետային կայունության ապահովմանը: Այդ նպատակից ելնելով</w:t>
      </w:r>
      <w:r w:rsidRPr="001F63BA">
        <w:rPr>
          <w:rFonts w:ascii="GHEA Grapalat" w:hAnsi="GHEA Grapalat" w:cs="GHEA Grapalat"/>
          <w:lang w:val="en-US"/>
        </w:rPr>
        <w:t>՝</w:t>
      </w:r>
      <w:r w:rsidRPr="001F63BA">
        <w:rPr>
          <w:rFonts w:ascii="GHEA Grapalat" w:hAnsi="GHEA Grapalat" w:cs="GHEA Grapalat"/>
          <w:lang w:val="hy-AM"/>
        </w:rPr>
        <w:t xml:space="preserve"> տարվա ընթացքում կանխատեսվածից բարձր տնտեսական աճի պայմաններում </w:t>
      </w:r>
      <w:bookmarkStart w:id="14" w:name="_Hlk131890057"/>
      <w:r w:rsidR="005A2A7C" w:rsidRPr="001F63BA">
        <w:rPr>
          <w:rFonts w:ascii="GHEA Grapalat" w:hAnsi="GHEA Grapalat" w:cs="GHEA Grapalat"/>
          <w:lang w:val="hy-AM"/>
        </w:rPr>
        <w:t>Կառավարությ</w:t>
      </w:r>
      <w:r w:rsidRPr="001F63BA">
        <w:rPr>
          <w:rFonts w:ascii="GHEA Grapalat" w:hAnsi="GHEA Grapalat" w:cs="GHEA Grapalat"/>
          <w:lang w:val="hy-AM"/>
        </w:rPr>
        <w:t xml:space="preserve">ունը </w:t>
      </w:r>
      <w:bookmarkStart w:id="15" w:name="_Hlk131890048"/>
      <w:bookmarkEnd w:id="14"/>
      <w:r w:rsidRPr="001F63BA">
        <w:rPr>
          <w:rFonts w:ascii="GHEA Grapalat" w:hAnsi="GHEA Grapalat" w:cs="GHEA Grapalat"/>
          <w:lang w:val="hy-AM"/>
        </w:rPr>
        <w:t>պլանավորված չեզոք հարկաբյուջետային քաղաքականության փոխարեն իրականացրել է զսպող քաղաքականություն՝ միևնույն ժամանակ իրականացնելով տնտեսական ներուժի բարձրացմանը միտված միջոցառումներ և նպաստելով պարտքի կայունության ապահովմանը:</w:t>
      </w:r>
      <w:bookmarkEnd w:id="15"/>
    </w:p>
    <w:p w:rsidR="001C411D" w:rsidRPr="001F63BA" w:rsidRDefault="001C411D" w:rsidP="00BB1B4B">
      <w:pPr>
        <w:pStyle w:val="ListParagraph"/>
        <w:numPr>
          <w:ilvl w:val="0"/>
          <w:numId w:val="12"/>
        </w:numPr>
        <w:spacing w:before="100" w:beforeAutospacing="1" w:after="100" w:afterAutospacing="1" w:line="336" w:lineRule="auto"/>
        <w:ind w:left="426" w:hanging="358"/>
        <w:contextualSpacing w:val="0"/>
        <w:jc w:val="both"/>
        <w:rPr>
          <w:rFonts w:ascii="GHEA Grapalat" w:hAnsi="GHEA Grapalat" w:cs="GHEA Grapalat"/>
          <w:lang w:val="hy-AM"/>
        </w:rPr>
      </w:pPr>
      <w:r w:rsidRPr="001F63BA">
        <w:rPr>
          <w:rFonts w:ascii="GHEA Grapalat" w:hAnsi="GHEA Grapalat" w:cs="GHEA Grapalat"/>
          <w:lang w:val="hy-AM"/>
        </w:rPr>
        <w:lastRenderedPageBreak/>
        <w:t>Հարկաբյուջետային քաղաքականության վերոնշյալ ուղղության ապահովման պայմաններում հարկաբյուջետային քաղաքականության ջանքերը թույլ են տվել ապահովելու ՀՆԱ</w:t>
      </w:r>
      <w:r w:rsidRPr="001F63BA">
        <w:rPr>
          <w:rFonts w:ascii="GHEA Grapalat" w:hAnsi="GHEA Grapalat" w:cs="GHEA Grapalat"/>
          <w:lang w:val="en-US"/>
        </w:rPr>
        <w:t xml:space="preserve">-ի </w:t>
      </w:r>
      <w:r w:rsidRPr="001F63BA">
        <w:rPr>
          <w:rFonts w:ascii="GHEA Grapalat" w:hAnsi="GHEA Grapalat" w:cs="GHEA Grapalat"/>
          <w:lang w:val="hy-AM"/>
        </w:rPr>
        <w:t xml:space="preserve">համեմատությամբ պետական բյուջեի պակասուրդի նվազում: Արդյունքում, բյուջեով պլանավորված` ՀՆԱ-ի նկատմամբ 3.0% պակասուրդը տարվա ընթացքում վերանայվել է դեպի ներքև (դառնալով 2.1% և 2.5%՝ համապատասխանաբար 2022-2024թթ. ՄԺԾԾ-ի և 2023թ. բյուջեի կանխատեսումներում), և փաստացի կազմել է 2.1%՝ նախորդ տարվա համեմատ նվազելով 2.5 տոկոսային կետով: </w:t>
      </w:r>
    </w:p>
    <w:p w:rsidR="001C411D" w:rsidRPr="001F63BA" w:rsidRDefault="001C411D" w:rsidP="00BB1B4B">
      <w:pPr>
        <w:pStyle w:val="ListParagraph"/>
        <w:numPr>
          <w:ilvl w:val="0"/>
          <w:numId w:val="12"/>
        </w:numPr>
        <w:spacing w:before="100" w:beforeAutospacing="1" w:after="100" w:afterAutospacing="1" w:line="336" w:lineRule="auto"/>
        <w:ind w:left="426" w:hanging="358"/>
        <w:contextualSpacing w:val="0"/>
        <w:jc w:val="both"/>
        <w:rPr>
          <w:rFonts w:ascii="GHEA Grapalat" w:hAnsi="GHEA Grapalat" w:cs="GHEA Grapalat"/>
          <w:lang w:val="hy-AM"/>
        </w:rPr>
      </w:pPr>
      <w:bookmarkStart w:id="16" w:name="_Hlk131890515"/>
      <w:r w:rsidRPr="001F63BA">
        <w:rPr>
          <w:rFonts w:ascii="GHEA Grapalat" w:hAnsi="GHEA Grapalat" w:cs="GHEA Grapalat"/>
          <w:lang w:val="hy-AM"/>
        </w:rPr>
        <w:t>Պետական բյուջեի պակասուրդի նվազման, բարձր տնտեսական աճի և փոխարժեքի արժևորման պայմաններում</w:t>
      </w:r>
      <w:bookmarkEnd w:id="16"/>
      <w:r w:rsidRPr="001F63BA">
        <w:rPr>
          <w:rFonts w:ascii="GHEA Grapalat" w:hAnsi="GHEA Grapalat" w:cs="GHEA Grapalat"/>
          <w:lang w:val="hy-AM"/>
        </w:rPr>
        <w:t xml:space="preserve"> </w:t>
      </w:r>
      <w:r w:rsidR="005A2A7C" w:rsidRPr="001F63BA">
        <w:rPr>
          <w:rFonts w:ascii="GHEA Grapalat" w:hAnsi="GHEA Grapalat" w:cs="GHEA Grapalat"/>
          <w:lang w:val="hy-AM"/>
        </w:rPr>
        <w:t>Կառավարությ</w:t>
      </w:r>
      <w:r w:rsidRPr="001F63BA">
        <w:rPr>
          <w:rFonts w:ascii="GHEA Grapalat" w:hAnsi="GHEA Grapalat" w:cs="GHEA Grapalat"/>
          <w:lang w:val="hy-AM"/>
        </w:rPr>
        <w:t>ան պարտք/ՀՆԱ հարաբերակցությունն էականորեն նվազել է՝ կազմելով 46.7%՝ կանխատեսված 60.2%-ի փոխարեն (որը տարվա ընթացքում վերանայվել է դեպի ներքև</w:t>
      </w:r>
      <w:r w:rsidRPr="001F63BA">
        <w:rPr>
          <w:rFonts w:ascii="GHEA Grapalat" w:hAnsi="GHEA Grapalat" w:cs="GHEA Grapalat"/>
          <w:lang w:val="en-US"/>
        </w:rPr>
        <w:t>՝</w:t>
      </w:r>
      <w:r w:rsidRPr="001F63BA">
        <w:rPr>
          <w:rFonts w:ascii="GHEA Grapalat" w:hAnsi="GHEA Grapalat" w:cs="GHEA Grapalat"/>
          <w:lang w:val="hy-AM"/>
        </w:rPr>
        <w:t xml:space="preserve"> դառնալով 58.4% և 50.1% համապատասխանաբար 2022-2024թթ. ՄԺԾԾ-ի և 2023թ. բյուջեի կանխատեսումներում)՝ նախորդ տարվա համեմատ նվազելով 13.6 տոկոսային կետով:</w:t>
      </w:r>
    </w:p>
    <w:p w:rsidR="001C411D" w:rsidRPr="001F63BA" w:rsidRDefault="001C411D" w:rsidP="00BB1B4B">
      <w:pPr>
        <w:pStyle w:val="ListParagraph"/>
        <w:numPr>
          <w:ilvl w:val="0"/>
          <w:numId w:val="12"/>
        </w:numPr>
        <w:autoSpaceDE w:val="0"/>
        <w:autoSpaceDN w:val="0"/>
        <w:adjustRightInd w:val="0"/>
        <w:spacing w:after="0" w:line="336" w:lineRule="auto"/>
        <w:ind w:left="426" w:hanging="284"/>
        <w:contextualSpacing w:val="0"/>
        <w:jc w:val="both"/>
        <w:rPr>
          <w:rFonts w:ascii="GHEA Grapalat" w:hAnsi="GHEA Grapalat"/>
          <w:lang w:val="hy-AM"/>
        </w:rPr>
      </w:pPr>
      <w:r w:rsidRPr="001F63BA">
        <w:rPr>
          <w:rFonts w:ascii="GHEA Grapalat" w:hAnsi="GHEA Grapalat"/>
          <w:lang w:val="hy-AM"/>
        </w:rPr>
        <w:t>Հարկաբյուջետային քաղաքականության ուղղությանը համահունչ 2022</w:t>
      </w:r>
      <w:r w:rsidRPr="001F63BA">
        <w:rPr>
          <w:rFonts w:ascii="GHEA Grapalat" w:hAnsi="GHEA Grapalat"/>
          <w:lang w:val="en-US"/>
        </w:rPr>
        <w:t xml:space="preserve"> </w:t>
      </w:r>
      <w:r w:rsidRPr="001F63BA">
        <w:rPr>
          <w:rFonts w:ascii="GHEA Grapalat" w:hAnsi="GHEA Grapalat"/>
          <w:lang w:val="hy-AM"/>
        </w:rPr>
        <w:t>թ</w:t>
      </w:r>
      <w:r w:rsidRPr="001F63BA">
        <w:rPr>
          <w:rFonts w:ascii="GHEA Grapalat" w:hAnsi="GHEA Grapalat"/>
          <w:lang w:val="en-US"/>
        </w:rPr>
        <w:t>վականի</w:t>
      </w:r>
      <w:r w:rsidRPr="001F63BA">
        <w:rPr>
          <w:rFonts w:ascii="GHEA Grapalat" w:hAnsi="GHEA Grapalat"/>
          <w:lang w:val="hy-AM"/>
        </w:rPr>
        <w:t xml:space="preserve"> արդյունքներով տեղի է ունեցել պետական բյուջեի ծախսերի կառուցվածքի բարելավում՝ ընթացիկ ծախսերի նվազման և կապիտալ ծախսերի աճի տեսքով: Մասնավորապես՝ ընթացիկ ծախսերի կշիռը ՀՆԱ-ի նկատմամբ կազմել է 21.9%՝ նախորդ տարվա համեմատ նվազելով 3.7 տոկոսային կետով, իսկ կապիտալ ծախսերի (ոչ ֆինանսական ակտիվների գծով ծախսեր) կշիռը ՀՆԱ-ի նկատմամբ կազմել </w:t>
      </w:r>
      <w:r w:rsidRPr="001F63BA">
        <w:rPr>
          <w:rFonts w:ascii="GHEA Grapalat" w:hAnsi="GHEA Grapalat"/>
          <w:lang w:val="en-US"/>
        </w:rPr>
        <w:t xml:space="preserve">է </w:t>
      </w:r>
      <w:r w:rsidRPr="001F63BA">
        <w:rPr>
          <w:rFonts w:ascii="GHEA Grapalat" w:hAnsi="GHEA Grapalat"/>
          <w:lang w:val="hy-AM"/>
        </w:rPr>
        <w:t xml:space="preserve">4.6%` նախորդ տարվա համեմատ աճելով 1.5 տոկոսային կետով: </w:t>
      </w:r>
    </w:p>
    <w:p w:rsidR="001C411D" w:rsidRPr="001F63BA" w:rsidRDefault="001C411D" w:rsidP="00BB1B4B">
      <w:pPr>
        <w:pStyle w:val="ListParagraph"/>
        <w:numPr>
          <w:ilvl w:val="0"/>
          <w:numId w:val="12"/>
        </w:numPr>
        <w:autoSpaceDE w:val="0"/>
        <w:autoSpaceDN w:val="0"/>
        <w:adjustRightInd w:val="0"/>
        <w:spacing w:after="0" w:line="336" w:lineRule="auto"/>
        <w:ind w:left="426" w:hanging="284"/>
        <w:contextualSpacing w:val="0"/>
        <w:jc w:val="both"/>
        <w:rPr>
          <w:rFonts w:ascii="GHEA Grapalat" w:hAnsi="GHEA Grapalat"/>
          <w:lang w:val="hy-AM"/>
        </w:rPr>
      </w:pPr>
      <w:r w:rsidRPr="001F63BA">
        <w:rPr>
          <w:rFonts w:ascii="GHEA Grapalat" w:hAnsi="GHEA Grapalat"/>
          <w:lang w:val="hy-AM"/>
        </w:rPr>
        <w:t>COVID-19 համավարակ</w:t>
      </w:r>
      <w:r w:rsidRPr="001F63BA">
        <w:rPr>
          <w:rFonts w:ascii="GHEA Grapalat" w:hAnsi="GHEA Grapalat"/>
          <w:lang w:val="en-US"/>
        </w:rPr>
        <w:t>ի</w:t>
      </w:r>
      <w:r w:rsidRPr="001F63BA">
        <w:rPr>
          <w:rFonts w:ascii="GHEA Grapalat" w:hAnsi="GHEA Grapalat"/>
          <w:lang w:val="hy-AM"/>
        </w:rPr>
        <w:t xml:space="preserve"> և Արցախյան պատերազմի բացասական հետևանքների մեղմման ուղղությամբ իրականացվող հարկաբյուջետային միջոցառումները շարունակվել են նաև 2022 թվականին: Բացի այդ, իրականացվել են նաև արտարժույթի մեծ ներհոսքի հետևանքով դրամի արժևորման և ստեղծված բարձր գնաճային միջավայրի հետևանքների մեղմման հարկաբյուջետային միջոցառումներ: 2022 թվականին</w:t>
      </w:r>
      <w:r w:rsidRPr="001F63BA">
        <w:rPr>
          <w:rFonts w:ascii="GHEA Grapalat" w:hAnsi="GHEA Grapalat"/>
          <w:lang w:val="en-US"/>
        </w:rPr>
        <w:t xml:space="preserve"> </w:t>
      </w:r>
      <w:r w:rsidRPr="001F63BA">
        <w:rPr>
          <w:rFonts w:ascii="GHEA Grapalat" w:hAnsi="GHEA Grapalat"/>
          <w:lang w:val="hy-AM"/>
        </w:rPr>
        <w:t>ՀՀ պետական բյուջեից կորոնավիրուսի տնտեսական հետևանքների նվազեցման և վերացման նպատակով իրականացված միջոցառումների գծով հատկացված միջոցների ծավալը կազմել է 16.1 մլրդ դրամ, որը ՀՆԱ</w:t>
      </w:r>
      <w:r w:rsidRPr="001F63BA">
        <w:rPr>
          <w:rFonts w:ascii="GHEA Grapalat" w:hAnsi="GHEA Grapalat"/>
          <w:lang w:val="hy-AM"/>
        </w:rPr>
        <w:noBreakHyphen/>
        <w:t>ի մեջ կազմում է 0.2 տոկոս: Արցախյան պատերազմի հետևանքների հակազդման ուղղությամբ հատկացված միջոցները կազմել են շուրջ 2.0 մլրդ դրամ:</w:t>
      </w:r>
      <w:r w:rsidRPr="001F63BA">
        <w:rPr>
          <w:lang w:val="hy-AM"/>
        </w:rPr>
        <w:t xml:space="preserve"> </w:t>
      </w:r>
      <w:bookmarkStart w:id="17" w:name="_Hlk131890735"/>
      <w:r w:rsidRPr="001F63BA">
        <w:rPr>
          <w:rFonts w:ascii="GHEA Grapalat" w:hAnsi="GHEA Grapalat"/>
          <w:lang w:val="hy-AM"/>
        </w:rPr>
        <w:t xml:space="preserve">Դեպի ՀՀ կապիտալի լրացուցիչ հոսքերով պայմանավորված ՀՀ դրամի արժևորման պայմաններում արտահանելի հատվածին աջակցելու նպատակով </w:t>
      </w:r>
      <w:r w:rsidR="005A2A7C" w:rsidRPr="001F63BA">
        <w:rPr>
          <w:rFonts w:ascii="GHEA Grapalat" w:hAnsi="GHEA Grapalat"/>
          <w:lang w:val="hy-AM"/>
        </w:rPr>
        <w:t>Կառավարությ</w:t>
      </w:r>
      <w:r w:rsidRPr="001F63BA">
        <w:rPr>
          <w:rFonts w:ascii="GHEA Grapalat" w:hAnsi="GHEA Grapalat"/>
          <w:lang w:val="hy-AM"/>
        </w:rPr>
        <w:t>ունը նախատեսել է աջակցության միջոցառումներ, որոնց ծավալը կազմել է 2.6 մլրդ դրամ: 2022 թվականին իրականացվել են նաև սոցիալական և տնտեսական միջոցառումներ նաև բարձր գնաճի հետևանքների մեղմման նպատակով</w:t>
      </w:r>
      <w:bookmarkEnd w:id="17"/>
      <w:r w:rsidRPr="001F63BA">
        <w:rPr>
          <w:rFonts w:ascii="GHEA Grapalat" w:hAnsi="GHEA Grapalat"/>
          <w:lang w:val="hy-AM"/>
        </w:rPr>
        <w:t xml:space="preserve">: </w:t>
      </w:r>
    </w:p>
    <w:p w:rsidR="001C411D" w:rsidRPr="001F63BA" w:rsidRDefault="001C411D" w:rsidP="00EA053A">
      <w:pPr>
        <w:pStyle w:val="ListParagraph"/>
        <w:autoSpaceDE w:val="0"/>
        <w:autoSpaceDN w:val="0"/>
        <w:adjustRightInd w:val="0"/>
        <w:spacing w:after="0" w:line="336" w:lineRule="auto"/>
        <w:ind w:left="426"/>
        <w:jc w:val="both"/>
        <w:rPr>
          <w:rFonts w:ascii="GHEA Grapalat" w:hAnsi="GHEA Grapalat"/>
          <w:lang w:val="en-US"/>
        </w:rPr>
      </w:pPr>
    </w:p>
    <w:p w:rsidR="001C411D" w:rsidRPr="001F63BA" w:rsidRDefault="001C411D" w:rsidP="00AA5F3D">
      <w:pPr>
        <w:spacing w:line="360" w:lineRule="auto"/>
        <w:rPr>
          <w:rFonts w:ascii="GHEA Grapalat" w:hAnsi="GHEA Grapalat"/>
          <w:b/>
          <w:sz w:val="22"/>
          <w:szCs w:val="22"/>
        </w:rPr>
      </w:pPr>
      <w:r w:rsidRPr="001F63BA">
        <w:rPr>
          <w:rFonts w:ascii="GHEA Grapalat" w:hAnsi="GHEA Grapalat"/>
          <w:b/>
          <w:sz w:val="22"/>
          <w:szCs w:val="22"/>
        </w:rPr>
        <w:t>ՀՀ ՊԵՏԱԿԱՆ ԲՅՈՒՋԵԻ ԿԱՏԱՐՄԱՆ ԱՄՓՈՓ ՑՈՒՑԱՆԻՇՆԵՐԸ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lastRenderedPageBreak/>
        <w:t>ՀՀ 202</w:t>
      </w:r>
      <w:r w:rsidRPr="001F63BA">
        <w:rPr>
          <w:rFonts w:ascii="GHEA Grapalat" w:hAnsi="GHEA Grapalat"/>
          <w:lang w:val="en-US"/>
        </w:rPr>
        <w:t>2</w:t>
      </w:r>
      <w:r w:rsidRPr="001F63BA">
        <w:rPr>
          <w:rFonts w:ascii="GHEA Grapalat" w:hAnsi="GHEA Grapalat"/>
          <w:lang w:val="hy-AM"/>
        </w:rPr>
        <w:t xml:space="preserve"> թվականի պետական բյուջեի մասին օրենքով հաստատված եկամուտների և ծախսերի` Կառավարությանն օրենսդրությամբ վերապահված լիազորությունների շրջանակներում կատարված փոփոխությունների արդյունքում ձևավորված ծրագրային ցուցանիշները կատարվել են եկամուտների գծով՝ </w:t>
      </w:r>
      <w:r w:rsidRPr="001F63BA">
        <w:rPr>
          <w:rFonts w:ascii="GHEA Grapalat" w:hAnsi="GHEA Grapalat"/>
          <w:lang w:val="en-US"/>
        </w:rPr>
        <w:t>100.2</w:t>
      </w:r>
      <w:r w:rsidRPr="001F63BA">
        <w:rPr>
          <w:rFonts w:ascii="GHEA Grapalat" w:hAnsi="GHEA Grapalat"/>
          <w:lang w:val="hy-AM"/>
        </w:rPr>
        <w:t xml:space="preserve">%-ով՝ կազմելով </w:t>
      </w:r>
      <w:r w:rsidRPr="001F63BA">
        <w:rPr>
          <w:rFonts w:ascii="GHEA Grapalat" w:hAnsi="GHEA Grapalat"/>
          <w:lang w:val="en-US"/>
        </w:rPr>
        <w:t>2,063.1</w:t>
      </w:r>
      <w:r w:rsidRPr="001F63BA">
        <w:rPr>
          <w:rFonts w:ascii="GHEA Grapalat" w:hAnsi="GHEA Grapalat"/>
          <w:lang w:val="hy-AM"/>
        </w:rPr>
        <w:t xml:space="preserve"> մլրդ դրամ, ծախսերի գծով՝ 98%-ով՝ կազմելով 2,</w:t>
      </w:r>
      <w:r w:rsidRPr="001F63BA">
        <w:rPr>
          <w:rFonts w:ascii="GHEA Grapalat" w:hAnsi="GHEA Grapalat"/>
          <w:lang w:val="en-US"/>
        </w:rPr>
        <w:t>242.6</w:t>
      </w:r>
      <w:r w:rsidRPr="001F63BA">
        <w:rPr>
          <w:rFonts w:ascii="GHEA Grapalat" w:hAnsi="GHEA Grapalat"/>
          <w:lang w:val="hy-AM"/>
        </w:rPr>
        <w:t xml:space="preserve"> մլրդ դրամ: Հարկ է նշել, որ հաշվետու տարում ապահովվել է պետական բյուջեի ծախսային ծրագրերի շրջանակներում պետական մարմինների կողմից՝ սահմանված կարգով ստանձնված պարտավորությունների ամբողջական և ժամանակին կատարումը: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t>Նախորդ տարվա համեմատ պետական բյուջեի և՛ եկամուտներում, և՛ ծախսերում արձանագրվել է աճ: Մասնավորապես</w:t>
      </w:r>
      <w:r w:rsidRPr="001F63BA">
        <w:rPr>
          <w:rFonts w:ascii="GHEA Grapalat" w:hAnsi="GHEA Grapalat"/>
          <w:lang w:val="en-US"/>
        </w:rPr>
        <w:t>՝</w:t>
      </w:r>
      <w:r w:rsidRPr="001F63BA">
        <w:rPr>
          <w:rFonts w:ascii="GHEA Grapalat" w:hAnsi="GHEA Grapalat"/>
          <w:lang w:val="hy-AM"/>
        </w:rPr>
        <w:t xml:space="preserve"> եկամուտներն աճել են </w:t>
      </w:r>
      <w:r w:rsidRPr="001F63BA">
        <w:rPr>
          <w:rFonts w:ascii="GHEA Grapalat" w:hAnsi="GHEA Grapalat"/>
          <w:lang w:val="en-US"/>
        </w:rPr>
        <w:t>22.5</w:t>
      </w:r>
      <w:r w:rsidRPr="001F63BA">
        <w:rPr>
          <w:rFonts w:ascii="GHEA Grapalat" w:hAnsi="GHEA Grapalat"/>
          <w:lang w:val="hy-AM"/>
        </w:rPr>
        <w:t>%</w:t>
      </w:r>
      <w:r w:rsidRPr="001F63BA">
        <w:rPr>
          <w:rFonts w:ascii="GHEA Grapalat" w:hAnsi="GHEA Grapalat"/>
          <w:lang w:val="hy-AM"/>
        </w:rPr>
        <w:noBreakHyphen/>
        <w:t xml:space="preserve">ով կամ </w:t>
      </w:r>
      <w:r w:rsidRPr="001F63BA">
        <w:rPr>
          <w:rFonts w:ascii="GHEA Grapalat" w:hAnsi="GHEA Grapalat"/>
          <w:lang w:val="en-US"/>
        </w:rPr>
        <w:t>379.3</w:t>
      </w:r>
      <w:r w:rsidRPr="001F63BA">
        <w:rPr>
          <w:rFonts w:ascii="GHEA Grapalat" w:hAnsi="GHEA Grapalat"/>
          <w:lang w:val="hy-AM"/>
        </w:rPr>
        <w:t xml:space="preserve"> մլրդ դրամով՝ </w:t>
      </w:r>
      <w:r w:rsidRPr="001F63BA">
        <w:rPr>
          <w:rFonts w:ascii="GHEA Grapalat" w:hAnsi="GHEA Grapalat"/>
          <w:lang w:val="en-US"/>
        </w:rPr>
        <w:t xml:space="preserve">հիմնականում </w:t>
      </w:r>
      <w:r w:rsidRPr="001F63BA">
        <w:rPr>
          <w:rFonts w:ascii="GHEA Grapalat" w:hAnsi="GHEA Grapalat"/>
          <w:lang w:val="hy-AM"/>
        </w:rPr>
        <w:t xml:space="preserve">պայմանավորված հարկային եկամուտների և պետական տուրքերի աճով, ծախսերը՝ </w:t>
      </w:r>
      <w:r w:rsidRPr="001F63BA">
        <w:rPr>
          <w:rFonts w:ascii="GHEA Grapalat" w:hAnsi="GHEA Grapalat"/>
          <w:lang w:val="en-US"/>
        </w:rPr>
        <w:t>11.9</w:t>
      </w:r>
      <w:r w:rsidRPr="001F63BA">
        <w:rPr>
          <w:rFonts w:ascii="GHEA Grapalat" w:hAnsi="GHEA Grapalat"/>
          <w:lang w:val="hy-AM"/>
        </w:rPr>
        <w:t xml:space="preserve">%-ով կամ </w:t>
      </w:r>
      <w:r w:rsidRPr="001F63BA">
        <w:rPr>
          <w:rFonts w:ascii="GHEA Grapalat" w:hAnsi="GHEA Grapalat"/>
          <w:lang w:val="en-US"/>
        </w:rPr>
        <w:t>238.3</w:t>
      </w:r>
      <w:r w:rsidRPr="001F63BA">
        <w:rPr>
          <w:rFonts w:ascii="Courier New" w:hAnsi="Courier New" w:cs="Courier New"/>
          <w:lang w:val="hy-AM"/>
        </w:rPr>
        <w:t> </w:t>
      </w:r>
      <w:r w:rsidRPr="001F63BA">
        <w:rPr>
          <w:rFonts w:ascii="GHEA Grapalat" w:hAnsi="GHEA Grapalat"/>
          <w:lang w:val="hy-AM"/>
        </w:rPr>
        <w:t xml:space="preserve">մլրդ դրամով՝ </w:t>
      </w:r>
      <w:r w:rsidRPr="001F63BA">
        <w:rPr>
          <w:rFonts w:ascii="GHEA Grapalat" w:hAnsi="GHEA Grapalat"/>
          <w:lang w:val="en-US"/>
        </w:rPr>
        <w:t xml:space="preserve">մեծ մասամբ </w:t>
      </w:r>
      <w:r w:rsidRPr="001F63BA">
        <w:rPr>
          <w:rFonts w:ascii="GHEA Grapalat" w:hAnsi="GHEA Grapalat"/>
          <w:lang w:val="hy-AM"/>
        </w:rPr>
        <w:t xml:space="preserve">պայմանավորված </w:t>
      </w:r>
      <w:r w:rsidRPr="001F63BA">
        <w:rPr>
          <w:rFonts w:ascii="GHEA Grapalat" w:hAnsi="GHEA Grapalat"/>
          <w:lang w:val="en-US"/>
        </w:rPr>
        <w:t>կապիտալ</w:t>
      </w:r>
      <w:r w:rsidRPr="001F63BA">
        <w:rPr>
          <w:rFonts w:ascii="GHEA Grapalat" w:hAnsi="GHEA Grapalat"/>
          <w:lang w:val="hy-AM"/>
        </w:rPr>
        <w:t xml:space="preserve"> ծախսերի աճով:</w:t>
      </w:r>
    </w:p>
    <w:p w:rsidR="001C411D" w:rsidRPr="001F63BA"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1C411D" w:rsidRPr="001F63BA" w:rsidRDefault="001C411D" w:rsidP="00AA5F3D">
      <w:pPr>
        <w:spacing w:line="360" w:lineRule="auto"/>
        <w:ind w:firstLine="284"/>
        <w:rPr>
          <w:rFonts w:ascii="GHEA Grapalat" w:hAnsi="GHEA Grapalat"/>
          <w:b/>
          <w:sz w:val="22"/>
          <w:szCs w:val="22"/>
        </w:rPr>
      </w:pPr>
      <w:r w:rsidRPr="001F63BA">
        <w:rPr>
          <w:rFonts w:ascii="GHEA Grapalat" w:hAnsi="GHEA Grapalat"/>
          <w:b/>
          <w:sz w:val="22"/>
          <w:szCs w:val="22"/>
        </w:rPr>
        <w:t>Հ</w:t>
      </w:r>
      <w:r w:rsidRPr="001F63BA">
        <w:rPr>
          <w:rFonts w:ascii="GHEA Grapalat" w:hAnsi="GHEA Grapalat"/>
          <w:b/>
          <w:sz w:val="22"/>
          <w:szCs w:val="22"/>
          <w:lang w:val="en-US"/>
        </w:rPr>
        <w:t>Հ</w:t>
      </w:r>
      <w:r w:rsidRPr="001F63BA">
        <w:rPr>
          <w:rFonts w:ascii="GHEA Grapalat" w:hAnsi="GHEA Grapalat"/>
          <w:b/>
          <w:sz w:val="22"/>
          <w:szCs w:val="22"/>
        </w:rPr>
        <w:t xml:space="preserve"> պետական բյուջեի եկամուտները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cs="GHEA Grapalat"/>
        </w:rPr>
        <w:t>202</w:t>
      </w:r>
      <w:r w:rsidRPr="001F63BA">
        <w:rPr>
          <w:rFonts w:ascii="GHEA Grapalat" w:hAnsi="GHEA Grapalat" w:cs="GHEA Grapalat"/>
          <w:lang w:val="en-US"/>
        </w:rPr>
        <w:t>2</w:t>
      </w:r>
      <w:r w:rsidRPr="001F63BA">
        <w:rPr>
          <w:rFonts w:ascii="GHEA Grapalat" w:hAnsi="GHEA Grapalat" w:cs="GHEA Grapalat"/>
        </w:rPr>
        <w:t xml:space="preserve"> թվականի պետական բյուջեի եկամուտներում 202</w:t>
      </w:r>
      <w:r w:rsidRPr="001F63BA">
        <w:rPr>
          <w:rFonts w:ascii="GHEA Grapalat" w:hAnsi="GHEA Grapalat" w:cs="GHEA Grapalat"/>
          <w:lang w:val="en-US"/>
        </w:rPr>
        <w:t>1</w:t>
      </w:r>
      <w:r w:rsidRPr="001F63BA">
        <w:rPr>
          <w:rFonts w:ascii="GHEA Grapalat" w:hAnsi="GHEA Grapalat" w:cs="GHEA Grapalat"/>
        </w:rPr>
        <w:t xml:space="preserve"> թվականի համեմատ </w:t>
      </w:r>
      <w:r w:rsidRPr="001F63BA">
        <w:rPr>
          <w:rFonts w:ascii="GHEA Grapalat" w:hAnsi="GHEA Grapalat" w:cs="GHEA Grapalat"/>
          <w:lang w:val="en-US"/>
        </w:rPr>
        <w:t>0.9</w:t>
      </w:r>
      <w:r w:rsidRPr="001F63BA">
        <w:rPr>
          <w:rFonts w:ascii="GHEA Grapalat" w:hAnsi="GHEA Grapalat" w:cs="GHEA Grapalat"/>
        </w:rPr>
        <w:t xml:space="preserve"> տոկոսային կետով ավելացել է այլ եկամուտների տեսակարար կշիռը, հարկային եկամուտների և պետական տուրքերի տեսակարար կշիռը </w:t>
      </w:r>
      <w:r w:rsidRPr="001F63BA">
        <w:rPr>
          <w:rFonts w:ascii="GHEA Grapalat" w:hAnsi="GHEA Grapalat" w:cs="GHEA Grapalat"/>
          <w:lang w:val="en-US"/>
        </w:rPr>
        <w:t xml:space="preserve">նույնքան </w:t>
      </w:r>
      <w:r w:rsidRPr="001F63BA">
        <w:rPr>
          <w:rFonts w:ascii="GHEA Grapalat" w:hAnsi="GHEA Grapalat" w:cs="GHEA Grapalat"/>
        </w:rPr>
        <w:t>նվազել</w:t>
      </w:r>
      <w:r w:rsidRPr="001F63BA">
        <w:rPr>
          <w:rFonts w:ascii="GHEA Grapalat" w:hAnsi="GHEA Grapalat" w:cs="GHEA Grapalat"/>
          <w:lang w:val="en-US"/>
        </w:rPr>
        <w:t xml:space="preserve"> է,</w:t>
      </w:r>
      <w:r w:rsidRPr="001F63BA">
        <w:rPr>
          <w:rFonts w:ascii="GHEA Grapalat" w:hAnsi="GHEA Grapalat" w:cs="GHEA Grapalat"/>
        </w:rPr>
        <w:t xml:space="preserve"> </w:t>
      </w:r>
      <w:r w:rsidRPr="001F63BA">
        <w:rPr>
          <w:rFonts w:ascii="GHEA Grapalat" w:hAnsi="GHEA Grapalat" w:cs="GHEA Grapalat"/>
          <w:lang w:val="en-US"/>
        </w:rPr>
        <w:t xml:space="preserve">իսկ </w:t>
      </w:r>
      <w:r w:rsidRPr="001F63BA">
        <w:rPr>
          <w:rFonts w:ascii="GHEA Grapalat" w:hAnsi="GHEA Grapalat" w:cs="GHEA Grapalat"/>
        </w:rPr>
        <w:t>պաշտոնական դրամաշնորհների</w:t>
      </w:r>
      <w:r w:rsidRPr="001F63BA">
        <w:rPr>
          <w:rFonts w:ascii="GHEA Grapalat" w:hAnsi="GHEA Grapalat" w:cs="GHEA Grapalat"/>
          <w:lang w:val="en-US"/>
        </w:rPr>
        <w:t xml:space="preserve"> </w:t>
      </w:r>
      <w:r w:rsidRPr="001F63BA">
        <w:rPr>
          <w:rFonts w:ascii="GHEA Grapalat" w:hAnsi="GHEA Grapalat" w:cs="GHEA Grapalat"/>
        </w:rPr>
        <w:t>տեսակարար կշիռը</w:t>
      </w:r>
      <w:r w:rsidRPr="001F63BA">
        <w:rPr>
          <w:rFonts w:ascii="GHEA Grapalat" w:hAnsi="GHEA Grapalat" w:cs="GHEA Grapalat"/>
          <w:lang w:val="en-US"/>
        </w:rPr>
        <w:t xml:space="preserve"> մնացել է գրեթե անփոփոխ:</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cs="GHEA Grapalat"/>
        </w:rPr>
      </w:pPr>
      <w:r w:rsidRPr="001F63BA">
        <w:rPr>
          <w:rFonts w:ascii="GHEA Grapalat" w:hAnsi="GHEA Grapalat"/>
          <w:lang w:val="hy-AM"/>
        </w:rPr>
        <w:t>202</w:t>
      </w:r>
      <w:r w:rsidRPr="001F63BA">
        <w:rPr>
          <w:rFonts w:ascii="GHEA Grapalat" w:hAnsi="GHEA Grapalat"/>
          <w:lang w:val="en-US"/>
        </w:rPr>
        <w:t>2</w:t>
      </w:r>
      <w:r w:rsidRPr="001F63BA">
        <w:rPr>
          <w:rFonts w:ascii="GHEA Grapalat" w:hAnsi="GHEA Grapalat"/>
          <w:lang w:val="hy-AM"/>
        </w:rPr>
        <w:t xml:space="preserve"> թվականի ընթացքում </w:t>
      </w:r>
      <w:r w:rsidRPr="001F63BA">
        <w:rPr>
          <w:rFonts w:ascii="GHEA Grapalat" w:hAnsi="GHEA Grapalat" w:cs="GHEA Grapalat"/>
        </w:rPr>
        <w:t>ՀՀ պետական բյուջե են մուտքագրվել շուրջ 1,926.0 մլրդ դրամ հարկային եկամուտներ և պետական տուրքեր, որոնք 104.4%</w:t>
      </w:r>
      <w:r w:rsidRPr="001F63BA">
        <w:rPr>
          <w:rFonts w:ascii="GHEA Grapalat" w:hAnsi="GHEA Grapalat" w:cs="GHEA Grapalat"/>
        </w:rPr>
        <w:noBreakHyphen/>
        <w:t>ով ապահովել են Օրենքով հաստատված ցուցանիշը և 100%</w:t>
      </w:r>
      <w:r w:rsidRPr="001F63BA">
        <w:rPr>
          <w:rFonts w:ascii="GHEA Grapalat" w:hAnsi="GHEA Grapalat" w:cs="GHEA Grapalat"/>
        </w:rPr>
        <w:noBreakHyphen/>
        <w:t>ով՝ ճշտված ծրագրով սահմանված ցուցանիշը: 2021 թվականի համեմատ հարկային եկամուտներն ու պետական տուրքերն աճել են 21.4%</w:t>
      </w:r>
      <w:r w:rsidRPr="001F63BA">
        <w:rPr>
          <w:rFonts w:ascii="GHEA Grapalat" w:hAnsi="GHEA Grapalat" w:cs="GHEA Grapalat"/>
        </w:rPr>
        <w:noBreakHyphen/>
        <w:t>ով կամ 339.1 մլրդ դրամով, որը հիմնականում պայմանավորված է ԱԱՀ-ի, շահութահարկի և եկամտային հարկի գծով մուտքերի աճով: 2021 թվականի համեմատ գրեթե բոլոր հարկատեսակների գծով արձանագրվել է մուտքերի աճ, բացառությամբ մաքսատուրքի գծով մուտքերի: Հարկ է նշել, որ 2022 թվականի պետական բյուջեի հարկային եկամուտների ցուցանիշի վրա զգալի դրական ազդեցություն են ունեցել տնտեսական ակտիվության, ներմուծման և արտահանման աճը, հարկունակ ոլորտների իրացման շրջանառությունների, աշխատատեղերի ու միջին աշխատավարձի ավելացումը: Միաժամանակ, 2022 թվականի պետական բյուջեի հարկային եկամուտների ցուցանիշի վրա նվազեցնող ազդեցություն է ունեցել ԱԱՀ-ի, եկամտային հարկի և ակցիզային հարկի գծով վերադարձված գումարների աճը, որոնք կազմել են 261.9 մլրդ դրամ՝ 45.3%</w:t>
      </w:r>
      <w:r w:rsidRPr="001F63BA">
        <w:rPr>
          <w:rFonts w:ascii="GHEA Grapalat" w:hAnsi="GHEA Grapalat" w:cs="GHEA Grapalat"/>
        </w:rPr>
        <w:noBreakHyphen/>
        <w:t>ով գերազանցելով նախորդ տարվա համապատասխան ցուցանիշը: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cs="GHEA Grapalat"/>
        </w:rPr>
      </w:pPr>
      <w:r w:rsidRPr="001F63BA">
        <w:rPr>
          <w:rFonts w:ascii="GHEA Grapalat" w:hAnsi="GHEA Grapalat" w:cs="GHEA Grapalat"/>
        </w:rPr>
        <w:t>2022 թվականին արտաքին աղբյուրներից տրամադրվել են շուրջ 15 մլրդ դրամ պաշտոնական դրամաշնորհներ` կազմելով տարեկան ճշտված ծրագրի 75.4%</w:t>
      </w:r>
      <w:r w:rsidRPr="001F63BA">
        <w:rPr>
          <w:rFonts w:ascii="GHEA Grapalat" w:hAnsi="GHEA Grapalat" w:cs="GHEA Grapalat"/>
        </w:rPr>
        <w:noBreakHyphen/>
        <w:t xml:space="preserve">ը, այսինքն` կանխատեսվածից պակաս է ստացվել շուրջ 4.9 մլրդ դրամ: Դրամաշնորհներից 8.7 մլրդ դրամը ստացվել է </w:t>
      </w:r>
      <w:r w:rsidRPr="001F63BA">
        <w:rPr>
          <w:rFonts w:ascii="GHEA Grapalat" w:hAnsi="GHEA Grapalat" w:cs="GHEA Grapalat"/>
        </w:rPr>
        <w:lastRenderedPageBreak/>
        <w:t>նպատակային, իսկ 6.2 մլրդ դրամը՝ բյուջետային աջակցության շրջանակներում, որոնք ապահովել են համապատասխանաբար 60.1% և 117.1% կատարողական:</w:t>
      </w:r>
      <w:r w:rsidRPr="001F63BA">
        <w:rPr>
          <w:rFonts w:ascii="GHEA Grapalat" w:hAnsi="GHEA Grapalat" w:cs="GHEA Grapalat"/>
          <w:lang w:val="en-US"/>
        </w:rPr>
        <w:t xml:space="preserve"> Պաշտոնական դրամաշնորհների</w:t>
      </w:r>
      <w:r w:rsidRPr="001F63BA">
        <w:rPr>
          <w:rFonts w:ascii="GHEA Grapalat" w:hAnsi="GHEA Grapalat" w:cs="GHEA Grapalat"/>
        </w:rPr>
        <w:t xml:space="preserve"> ցուցանիշը</w:t>
      </w:r>
      <w:r w:rsidRPr="001F63BA">
        <w:rPr>
          <w:rFonts w:ascii="GHEA Grapalat" w:hAnsi="GHEA Grapalat" w:cs="GHEA Grapalat"/>
          <w:lang w:val="en-US"/>
        </w:rPr>
        <w:t xml:space="preserve"> հիմնականում</w:t>
      </w:r>
      <w:r w:rsidRPr="001F63BA">
        <w:rPr>
          <w:rFonts w:ascii="GHEA Grapalat" w:hAnsi="GHEA Grapalat" w:cs="GHEA Grapalat"/>
        </w:rPr>
        <w:t xml:space="preserve"> պայմանավորված է նպատակային ծրագրերի կատարողականով</w:t>
      </w:r>
      <w:r w:rsidRPr="001F63BA">
        <w:rPr>
          <w:rFonts w:ascii="GHEA Grapalat" w:hAnsi="GHEA Grapalat" w:cs="GHEA Grapalat"/>
          <w:lang w:val="en-US"/>
        </w:rPr>
        <w:t>, ինչպես նաև արտարժույթների ծրագրված և փաստացի փոխարժեքների տարբերություններով</w:t>
      </w:r>
      <w:r w:rsidRPr="001F63BA">
        <w:rPr>
          <w:rFonts w:ascii="GHEA Grapalat" w:hAnsi="GHEA Grapalat"/>
          <w:bCs/>
        </w:rPr>
        <w:t xml:space="preserve">: </w:t>
      </w:r>
      <w:r w:rsidRPr="001F63BA">
        <w:rPr>
          <w:rFonts w:ascii="GHEA Grapalat" w:hAnsi="GHEA Grapalat" w:cs="GHEA Grapalat"/>
        </w:rPr>
        <w:t xml:space="preserve">Ոչ նպատակային դրամաշնորհների բարձր ցուցանիշը պայմանավորված է </w:t>
      </w:r>
      <w:r w:rsidRPr="001F63BA">
        <w:rPr>
          <w:rFonts w:ascii="GHEA Grapalat" w:hAnsi="GHEA Grapalat" w:cs="GHEA Grapalat"/>
          <w:lang w:val="en-US"/>
        </w:rPr>
        <w:t xml:space="preserve">ԵՄ </w:t>
      </w:r>
      <w:r w:rsidRPr="001F63BA">
        <w:rPr>
          <w:rFonts w:ascii="GHEA Grapalat" w:hAnsi="GHEA Grapalat" w:cs="GHEA Grapalat"/>
        </w:rPr>
        <w:t>«COVID-19 համավարակի դիմակայման Հայաստանի պայմանագիր» ծրագրի</w:t>
      </w:r>
      <w:r w:rsidRPr="001F63BA">
        <w:rPr>
          <w:rFonts w:ascii="GHEA Grapalat" w:hAnsi="GHEA Grapalat" w:cs="GHEA Grapalat"/>
          <w:lang w:val="en-US"/>
        </w:rPr>
        <w:t xml:space="preserve"> շրջանակներում 2021 թվականին նախատեսված 6 մլն եվրո</w:t>
      </w:r>
      <w:r w:rsidRPr="001F63BA">
        <w:rPr>
          <w:rFonts w:ascii="GHEA Grapalat" w:hAnsi="GHEA Grapalat" w:cs="GHEA Grapalat"/>
        </w:rPr>
        <w:t xml:space="preserve"> </w:t>
      </w:r>
      <w:r w:rsidRPr="001F63BA">
        <w:rPr>
          <w:rFonts w:ascii="GHEA Grapalat" w:hAnsi="GHEA Grapalat" w:cs="GHEA Grapalat"/>
          <w:lang w:val="en-US"/>
        </w:rPr>
        <w:t>դ</w:t>
      </w:r>
      <w:r w:rsidRPr="001F63BA">
        <w:rPr>
          <w:rFonts w:ascii="GHEA Grapalat" w:hAnsi="GHEA Grapalat" w:cs="GHEA Grapalat"/>
        </w:rPr>
        <w:t>րամաշնորհը 2022 թվականին</w:t>
      </w:r>
      <w:r w:rsidRPr="001F63BA">
        <w:rPr>
          <w:rFonts w:ascii="GHEA Grapalat" w:hAnsi="GHEA Grapalat" w:cs="GHEA Grapalat"/>
          <w:lang w:val="en-US"/>
        </w:rPr>
        <w:t xml:space="preserve"> հատկացվելու հանգամանքով</w:t>
      </w:r>
      <w:r w:rsidRPr="001F63BA">
        <w:rPr>
          <w:rFonts w:ascii="GHEA Grapalat" w:hAnsi="GHEA Grapalat" w:cs="GHEA Grapalat"/>
        </w:rPr>
        <w:t>:</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cs="GHEA Grapalat"/>
          <w:lang w:val="en-US"/>
        </w:rPr>
      </w:pPr>
      <w:r w:rsidRPr="001F63BA">
        <w:rPr>
          <w:rFonts w:ascii="GHEA Grapalat" w:hAnsi="GHEA Grapalat" w:cs="GHEA Grapalat"/>
          <w:lang w:val="en-US"/>
        </w:rPr>
        <w:t>2022 թվականին ՀՀ պետական բյուջեի այլ եկամուտները կազմել են 122.1 մլրդ դրամ՝ 7.8%-ով գերազանցելով ծրագրված ցուցանիշը: Վերջինս հիմնականում պայմանավորված է իրավախախտումների համար կիրառվող պատժամիջոցներից մուտքերի և ապրանքների մատակարարումից ու ծառայությունների մատուցումից ստացված մուտքերի տարեկան ծրագրային ցուցանիշների գերազանցմամբ: Նախորդ տարվա համեմատ այլ եկամուտների 44.5% (37.6 մլրդ դրամ) աճը հիմնականում պայմանավորված է օրենքով և այլ իրավական ակտերով սահմանված այլ եկամուտների և բանկերում ու այլ ֆինանսավարկային հաստատություններում բյուջեի ժամանակավոր ազատ միջոցների տեղաբաշխումից և դեպոզիտներից ստացված տոկոսավճարների գծով մուտքերի աճով:</w:t>
      </w:r>
    </w:p>
    <w:p w:rsidR="001C411D" w:rsidRPr="001F63BA"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1C411D" w:rsidRPr="001F63BA" w:rsidRDefault="001C411D" w:rsidP="00AA5F3D">
      <w:pPr>
        <w:spacing w:line="360" w:lineRule="auto"/>
        <w:ind w:firstLine="284"/>
        <w:rPr>
          <w:rFonts w:ascii="GHEA Grapalat" w:hAnsi="GHEA Grapalat"/>
          <w:b/>
          <w:sz w:val="22"/>
          <w:szCs w:val="22"/>
        </w:rPr>
      </w:pPr>
      <w:r w:rsidRPr="001F63BA">
        <w:rPr>
          <w:rFonts w:ascii="GHEA Grapalat" w:hAnsi="GHEA Grapalat"/>
          <w:b/>
          <w:sz w:val="22"/>
          <w:szCs w:val="22"/>
        </w:rPr>
        <w:t>ՀՀ պետական բյուջեի ծախսերը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cs="GHEA Grapalat"/>
        </w:rPr>
        <w:t>ՀՀ 20</w:t>
      </w:r>
      <w:r w:rsidRPr="001F63BA">
        <w:rPr>
          <w:rFonts w:ascii="GHEA Grapalat" w:hAnsi="GHEA Grapalat" w:cs="GHEA Grapalat"/>
          <w:lang w:val="de-AT"/>
        </w:rPr>
        <w:t>22</w:t>
      </w:r>
      <w:r w:rsidRPr="001F63BA">
        <w:rPr>
          <w:rFonts w:ascii="GHEA Grapalat" w:hAnsi="GHEA Grapalat" w:cs="GHEA Grapalat"/>
        </w:rPr>
        <w:t xml:space="preserve"> թվականի</w:t>
      </w:r>
      <w:r w:rsidRPr="001F63BA">
        <w:rPr>
          <w:rFonts w:ascii="GHEA Grapalat" w:hAnsi="GHEA Grapalat" w:cs="GHEA Grapalat"/>
          <w:lang w:val="de-AT"/>
        </w:rPr>
        <w:t xml:space="preserve"> </w:t>
      </w:r>
      <w:r w:rsidRPr="001F63BA">
        <w:rPr>
          <w:rFonts w:ascii="GHEA Grapalat" w:hAnsi="GHEA Grapalat" w:cs="GHEA Grapalat"/>
        </w:rPr>
        <w:t>պետական բյուջեի</w:t>
      </w:r>
      <w:r w:rsidRPr="001F63BA">
        <w:rPr>
          <w:rFonts w:ascii="GHEA Grapalat" w:hAnsi="GHEA Grapalat" w:cs="GHEA Grapalat"/>
          <w:lang w:val="de-AT"/>
        </w:rPr>
        <w:t xml:space="preserve"> </w:t>
      </w:r>
      <w:r w:rsidRPr="001F63BA">
        <w:rPr>
          <w:rFonts w:ascii="GHEA Grapalat" w:hAnsi="GHEA Grapalat" w:cs="GHEA Grapalat"/>
          <w:lang w:val="en-US"/>
        </w:rPr>
        <w:t>մասին</w:t>
      </w:r>
      <w:r w:rsidRPr="001F63BA">
        <w:rPr>
          <w:rFonts w:ascii="GHEA Grapalat" w:hAnsi="GHEA Grapalat" w:cs="GHEA Grapalat"/>
          <w:lang w:val="de-AT"/>
        </w:rPr>
        <w:t xml:space="preserve"> </w:t>
      </w:r>
      <w:r w:rsidRPr="001F63BA">
        <w:rPr>
          <w:rFonts w:ascii="GHEA Grapalat" w:hAnsi="GHEA Grapalat" w:cs="GHEA Grapalat"/>
          <w:lang w:val="en-US"/>
        </w:rPr>
        <w:t>օրենքով</w:t>
      </w:r>
      <w:r w:rsidRPr="001F63BA">
        <w:rPr>
          <w:rFonts w:ascii="GHEA Grapalat" w:hAnsi="GHEA Grapalat" w:cs="GHEA Grapalat"/>
          <w:lang w:val="de-AT"/>
        </w:rPr>
        <w:t xml:space="preserve"> </w:t>
      </w:r>
      <w:r w:rsidRPr="001F63BA">
        <w:rPr>
          <w:rFonts w:ascii="GHEA Grapalat" w:hAnsi="GHEA Grapalat" w:cs="GHEA Grapalat"/>
        </w:rPr>
        <w:t>նախատեսվել էր</w:t>
      </w:r>
      <w:r w:rsidRPr="001F63BA">
        <w:rPr>
          <w:rFonts w:ascii="GHEA Grapalat" w:hAnsi="GHEA Grapalat" w:cs="GHEA Grapalat"/>
          <w:lang w:val="de-AT"/>
        </w:rPr>
        <w:t xml:space="preserve"> </w:t>
      </w:r>
      <w:r w:rsidRPr="001F63BA">
        <w:rPr>
          <w:rFonts w:ascii="GHEA Grapalat" w:hAnsi="GHEA Grapalat" w:cs="GHEA Grapalat"/>
          <w:lang w:val="en-US"/>
        </w:rPr>
        <w:t>թվով</w:t>
      </w:r>
      <w:r w:rsidRPr="001F63BA">
        <w:rPr>
          <w:rFonts w:ascii="GHEA Grapalat" w:hAnsi="GHEA Grapalat" w:cs="GHEA Grapalat"/>
        </w:rPr>
        <w:t xml:space="preserve"> </w:t>
      </w:r>
      <w:r w:rsidRPr="001F63BA">
        <w:rPr>
          <w:rFonts w:ascii="GHEA Grapalat" w:hAnsi="GHEA Grapalat" w:cs="GHEA Grapalat"/>
          <w:lang w:val="de-AT"/>
        </w:rPr>
        <w:t>174</w:t>
      </w:r>
      <w:r w:rsidRPr="001F63BA">
        <w:rPr>
          <w:rFonts w:ascii="GHEA Grapalat" w:hAnsi="GHEA Grapalat" w:cs="GHEA Grapalat"/>
        </w:rPr>
        <w:t xml:space="preserve"> ծրագրերի իրականացում 46 պետական մարմինների և </w:t>
      </w:r>
      <w:r w:rsidRPr="001F63BA">
        <w:rPr>
          <w:rFonts w:ascii="GHEA Grapalat" w:hAnsi="GHEA Grapalat" w:cs="GHEA Grapalat"/>
          <w:lang w:val="en-US"/>
        </w:rPr>
        <w:t>Կ</w:t>
      </w:r>
      <w:r w:rsidRPr="001F63BA">
        <w:rPr>
          <w:rFonts w:ascii="GHEA Grapalat" w:hAnsi="GHEA Grapalat" w:cs="GHEA Grapalat"/>
        </w:rPr>
        <w:t xml:space="preserve">առավարության պատասխանատվության ներքո: </w:t>
      </w:r>
      <w:r w:rsidRPr="001F63BA">
        <w:rPr>
          <w:rFonts w:ascii="GHEA Grapalat" w:hAnsi="GHEA Grapalat" w:cs="GHEA Grapalat"/>
          <w:lang w:val="en-US"/>
        </w:rPr>
        <w:t>Կառավարության</w:t>
      </w:r>
      <w:r w:rsidRPr="001F63BA">
        <w:rPr>
          <w:rFonts w:ascii="GHEA Grapalat" w:hAnsi="GHEA Grapalat" w:cs="GHEA Grapalat"/>
          <w:lang w:val="de-AT"/>
        </w:rPr>
        <w:t xml:space="preserve"> </w:t>
      </w:r>
      <w:r w:rsidRPr="001F63BA">
        <w:rPr>
          <w:rFonts w:ascii="GHEA Grapalat" w:hAnsi="GHEA Grapalat" w:cs="GHEA Grapalat"/>
          <w:lang w:val="en-US"/>
        </w:rPr>
        <w:t>կատարած</w:t>
      </w:r>
      <w:r w:rsidRPr="001F63BA">
        <w:rPr>
          <w:rFonts w:ascii="GHEA Grapalat" w:hAnsi="GHEA Grapalat" w:cs="GHEA Grapalat"/>
          <w:lang w:val="de-AT"/>
        </w:rPr>
        <w:t xml:space="preserve"> </w:t>
      </w:r>
      <w:r w:rsidRPr="001F63BA">
        <w:rPr>
          <w:rFonts w:ascii="GHEA Grapalat" w:hAnsi="GHEA Grapalat" w:cs="GHEA Grapalat"/>
          <w:lang w:val="en-US"/>
        </w:rPr>
        <w:t>ճշտումների</w:t>
      </w:r>
      <w:r w:rsidRPr="001F63BA">
        <w:rPr>
          <w:rFonts w:ascii="GHEA Grapalat" w:hAnsi="GHEA Grapalat" w:cs="GHEA Grapalat"/>
          <w:lang w:val="de-AT"/>
        </w:rPr>
        <w:t xml:space="preserve"> </w:t>
      </w:r>
      <w:r w:rsidRPr="001F63BA">
        <w:rPr>
          <w:rFonts w:ascii="GHEA Grapalat" w:hAnsi="GHEA Grapalat" w:cs="GHEA Grapalat"/>
          <w:lang w:val="en-US"/>
        </w:rPr>
        <w:t>արդյունքում</w:t>
      </w:r>
      <w:r w:rsidRPr="001F63BA">
        <w:rPr>
          <w:rFonts w:ascii="GHEA Grapalat" w:hAnsi="GHEA Grapalat" w:cs="GHEA Grapalat"/>
          <w:lang w:val="de-AT"/>
        </w:rPr>
        <w:t xml:space="preserve"> </w:t>
      </w:r>
      <w:r w:rsidRPr="001F63BA">
        <w:rPr>
          <w:rFonts w:ascii="GHEA Grapalat" w:hAnsi="GHEA Grapalat" w:cs="GHEA Grapalat"/>
          <w:lang w:val="en-US"/>
        </w:rPr>
        <w:t>նախատեսված</w:t>
      </w:r>
      <w:r w:rsidRPr="001F63BA">
        <w:rPr>
          <w:rFonts w:ascii="GHEA Grapalat" w:hAnsi="GHEA Grapalat" w:cs="GHEA Grapalat"/>
          <w:lang w:val="de-AT"/>
        </w:rPr>
        <w:t xml:space="preserve"> </w:t>
      </w:r>
      <w:r w:rsidRPr="001F63BA">
        <w:rPr>
          <w:rFonts w:ascii="GHEA Grapalat" w:hAnsi="GHEA Grapalat" w:cs="GHEA Grapalat"/>
          <w:lang w:val="en-US"/>
        </w:rPr>
        <w:t>ծրագրերի</w:t>
      </w:r>
      <w:r w:rsidRPr="001F63BA">
        <w:rPr>
          <w:rFonts w:ascii="GHEA Grapalat" w:hAnsi="GHEA Grapalat" w:cs="GHEA Grapalat"/>
          <w:lang w:val="de-AT"/>
        </w:rPr>
        <w:t xml:space="preserve"> </w:t>
      </w:r>
      <w:r w:rsidRPr="001F63BA">
        <w:rPr>
          <w:rFonts w:ascii="GHEA Grapalat" w:hAnsi="GHEA Grapalat" w:cs="GHEA Grapalat"/>
          <w:lang w:val="en-US"/>
        </w:rPr>
        <w:t>թիվը</w:t>
      </w:r>
      <w:r w:rsidRPr="001F63BA">
        <w:rPr>
          <w:rFonts w:ascii="GHEA Grapalat" w:hAnsi="GHEA Grapalat" w:cs="GHEA Grapalat"/>
          <w:lang w:val="de-AT"/>
        </w:rPr>
        <w:t xml:space="preserve"> </w:t>
      </w:r>
      <w:r w:rsidRPr="001F63BA">
        <w:rPr>
          <w:rFonts w:ascii="GHEA Grapalat" w:hAnsi="GHEA Grapalat" w:cs="GHEA Grapalat"/>
          <w:lang w:val="en-US"/>
        </w:rPr>
        <w:t>կազմել</w:t>
      </w:r>
      <w:r w:rsidRPr="001F63BA">
        <w:rPr>
          <w:rFonts w:ascii="GHEA Grapalat" w:hAnsi="GHEA Grapalat" w:cs="GHEA Grapalat"/>
          <w:lang w:val="de-AT"/>
        </w:rPr>
        <w:t xml:space="preserve"> </w:t>
      </w:r>
      <w:r w:rsidRPr="001F63BA">
        <w:rPr>
          <w:rFonts w:ascii="GHEA Grapalat" w:hAnsi="GHEA Grapalat" w:cs="GHEA Grapalat"/>
          <w:lang w:val="en-US"/>
        </w:rPr>
        <w:t>է</w:t>
      </w:r>
      <w:r w:rsidRPr="001F63BA">
        <w:rPr>
          <w:rFonts w:ascii="GHEA Grapalat" w:hAnsi="GHEA Grapalat" w:cs="GHEA Grapalat"/>
          <w:lang w:val="de-AT"/>
        </w:rPr>
        <w:t xml:space="preserve"> 175,</w:t>
      </w:r>
      <w:r w:rsidRPr="001F63BA">
        <w:rPr>
          <w:rFonts w:ascii="GHEA Grapalat" w:hAnsi="GHEA Grapalat" w:cs="GHEA Grapalat"/>
        </w:rPr>
        <w:t xml:space="preserve"> որից փաստացի միջոցներ են օգտագործվել 1</w:t>
      </w:r>
      <w:r w:rsidRPr="001F63BA">
        <w:rPr>
          <w:rFonts w:ascii="GHEA Grapalat" w:hAnsi="GHEA Grapalat" w:cs="GHEA Grapalat"/>
          <w:lang w:val="de-AT"/>
        </w:rPr>
        <w:t>71</w:t>
      </w:r>
      <w:r w:rsidRPr="001F63BA">
        <w:rPr>
          <w:rFonts w:ascii="GHEA Grapalat" w:hAnsi="GHEA Grapalat" w:cs="GHEA Grapalat"/>
        </w:rPr>
        <w:t xml:space="preserve">-ի գծով, իսկ </w:t>
      </w:r>
      <w:r w:rsidRPr="001F63BA">
        <w:rPr>
          <w:rFonts w:ascii="GHEA Grapalat" w:hAnsi="GHEA Grapalat" w:cs="GHEA Grapalat"/>
          <w:lang w:val="en-US"/>
        </w:rPr>
        <w:t>Կ</w:t>
      </w:r>
      <w:r w:rsidRPr="001F63BA">
        <w:rPr>
          <w:rFonts w:ascii="GHEA Grapalat" w:hAnsi="GHEA Grapalat" w:cs="GHEA Grapalat"/>
        </w:rPr>
        <w:t>առավարության պատասխանատվությամբ 3 ծրագրերի շրջանակներում նախատեսված միջոցներն ըստ անհրաժեշտության վերաբաշխվել են համապատասխան ծրագրերին և միջոցառումներին:</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t>ՀՀ 202</w:t>
      </w:r>
      <w:r w:rsidRPr="001F63BA">
        <w:rPr>
          <w:rFonts w:ascii="GHEA Grapalat" w:hAnsi="GHEA Grapalat"/>
          <w:lang w:val="en-US"/>
        </w:rPr>
        <w:t>2</w:t>
      </w:r>
      <w:r w:rsidRPr="001F63BA">
        <w:rPr>
          <w:rFonts w:ascii="GHEA Grapalat" w:hAnsi="GHEA Grapalat"/>
          <w:lang w:val="hy-AM"/>
        </w:rPr>
        <w:t xml:space="preserve"> թվականի պետական բյուջեի փաստացի ծախսեր</w:t>
      </w:r>
      <w:r w:rsidRPr="001F63BA">
        <w:rPr>
          <w:rFonts w:ascii="GHEA Grapalat" w:hAnsi="GHEA Grapalat"/>
          <w:lang w:val="en-US"/>
        </w:rPr>
        <w:t xml:space="preserve">ում </w:t>
      </w:r>
      <w:r w:rsidRPr="001F63BA">
        <w:rPr>
          <w:rFonts w:ascii="GHEA Grapalat" w:hAnsi="GHEA Grapalat" w:cs="GHEA Grapalat"/>
        </w:rPr>
        <w:t xml:space="preserve">ամենամեծ տեսակարար կշիռները՝ </w:t>
      </w:r>
      <w:r w:rsidRPr="001F63BA">
        <w:rPr>
          <w:rFonts w:ascii="GHEA Grapalat" w:hAnsi="GHEA Grapalat" w:cs="GHEA Grapalat"/>
          <w:lang w:val="en-US"/>
        </w:rPr>
        <w:t>27.4</w:t>
      </w:r>
      <w:r w:rsidRPr="001F63BA">
        <w:rPr>
          <w:rFonts w:ascii="GHEA Grapalat" w:hAnsi="GHEA Grapalat" w:cs="GHEA Grapalat"/>
        </w:rPr>
        <w:t xml:space="preserve">% և </w:t>
      </w:r>
      <w:r w:rsidRPr="001F63BA">
        <w:rPr>
          <w:rFonts w:ascii="GHEA Grapalat" w:hAnsi="GHEA Grapalat" w:cs="GHEA Grapalat"/>
          <w:lang w:val="en-US"/>
        </w:rPr>
        <w:t>21.4</w:t>
      </w:r>
      <w:r w:rsidRPr="001F63BA">
        <w:rPr>
          <w:rFonts w:ascii="GHEA Grapalat" w:hAnsi="GHEA Grapalat" w:cs="GHEA Grapalat"/>
        </w:rPr>
        <w:t xml:space="preserve">%, ունեցել են համապատասխանաբար ՀՀ աշխատանքի և սոցիալական հարցերի նախարարության </w:t>
      </w:r>
      <w:r w:rsidRPr="001F63BA">
        <w:rPr>
          <w:rFonts w:ascii="GHEA Grapalat" w:hAnsi="GHEA Grapalat" w:cs="GHEA Grapalat"/>
          <w:lang w:val="en-US"/>
        </w:rPr>
        <w:t>ու</w:t>
      </w:r>
      <w:r w:rsidRPr="001F63BA">
        <w:rPr>
          <w:rFonts w:ascii="GHEA Grapalat" w:hAnsi="GHEA Grapalat" w:cs="GHEA Grapalat"/>
        </w:rPr>
        <w:t xml:space="preserve"> ՀՀ պաշտպանության նախարարության պատասխանատվությամբ իրականացվող ծրագրերը</w:t>
      </w:r>
      <w:r w:rsidRPr="001F63BA">
        <w:rPr>
          <w:rFonts w:ascii="GHEA Grapalat" w:hAnsi="GHEA Grapalat" w:cs="GHEA Grapalat"/>
          <w:lang w:val="en-US"/>
        </w:rPr>
        <w:t>:</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cs="GHEA Grapalat"/>
        </w:rPr>
      </w:pPr>
      <w:r w:rsidRPr="001F63BA">
        <w:rPr>
          <w:rFonts w:ascii="GHEA Grapalat" w:hAnsi="GHEA Grapalat" w:cs="GHEA Grapalat"/>
        </w:rPr>
        <w:t>2021 թվականի համեմատ ՀՀ պետական բյուջեի ծախսերի</w:t>
      </w:r>
      <w:r w:rsidRPr="001F63BA">
        <w:rPr>
          <w:rFonts w:ascii="GHEA Grapalat" w:hAnsi="GHEA Grapalat" w:cs="GHEA Grapalat"/>
          <w:lang w:val="en-US"/>
        </w:rPr>
        <w:t xml:space="preserve"> 11.9%</w:t>
      </w:r>
      <w:r w:rsidRPr="001F63BA">
        <w:rPr>
          <w:rFonts w:ascii="GHEA Grapalat" w:hAnsi="GHEA Grapalat"/>
          <w:lang w:val="hy-AM"/>
        </w:rPr>
        <w:t xml:space="preserve"> կամ </w:t>
      </w:r>
      <w:r w:rsidRPr="001F63BA">
        <w:rPr>
          <w:rFonts w:ascii="GHEA Grapalat" w:hAnsi="GHEA Grapalat"/>
          <w:lang w:val="en-US"/>
        </w:rPr>
        <w:t>238.3</w:t>
      </w:r>
      <w:r w:rsidRPr="001F63BA">
        <w:rPr>
          <w:rFonts w:ascii="GHEA Grapalat" w:hAnsi="GHEA Grapalat"/>
          <w:lang w:val="hy-AM"/>
        </w:rPr>
        <w:t xml:space="preserve"> մլրդ դրամով </w:t>
      </w:r>
      <w:r w:rsidRPr="001F63BA">
        <w:rPr>
          <w:rFonts w:ascii="GHEA Grapalat" w:hAnsi="GHEA Grapalat" w:cs="GHEA Grapalat"/>
        </w:rPr>
        <w:t>աճը հիմնականում պայմանավորված է ՀՀ պաշտպանության</w:t>
      </w:r>
      <w:r w:rsidRPr="001F63BA">
        <w:rPr>
          <w:rFonts w:ascii="GHEA Grapalat" w:hAnsi="GHEA Grapalat" w:cs="GHEA Grapalat"/>
          <w:lang w:val="en-US"/>
        </w:rPr>
        <w:t xml:space="preserve"> նախարարության ծախսերի՝ 42.4%</w:t>
      </w:r>
      <w:r w:rsidRPr="001F63BA">
        <w:rPr>
          <w:rFonts w:ascii="GHEA Grapalat" w:hAnsi="GHEA Grapalat" w:cs="GHEA Grapalat"/>
        </w:rPr>
        <w:t>, ՀՀ կրթության, գիտության, մշակույթի և սպորտի</w:t>
      </w:r>
      <w:r w:rsidRPr="001F63BA">
        <w:rPr>
          <w:rFonts w:ascii="GHEA Grapalat" w:hAnsi="GHEA Grapalat" w:cs="GHEA Grapalat"/>
          <w:lang w:val="en-US"/>
        </w:rPr>
        <w:t xml:space="preserve"> նախարարության ծախսերի՝ 15.9%</w:t>
      </w:r>
      <w:r w:rsidRPr="001F63BA">
        <w:rPr>
          <w:rFonts w:ascii="GHEA Grapalat" w:hAnsi="GHEA Grapalat" w:cs="GHEA Grapalat"/>
        </w:rPr>
        <w:t>, ՀՀ տարածքային կառավարման և ենթակառուցվածքների</w:t>
      </w:r>
      <w:r w:rsidRPr="001F63BA">
        <w:rPr>
          <w:rFonts w:ascii="GHEA Grapalat" w:hAnsi="GHEA Grapalat" w:cs="GHEA Grapalat"/>
          <w:lang w:val="en-US"/>
        </w:rPr>
        <w:t xml:space="preserve"> նախարարության ծախսերի՝ 10.9%</w:t>
      </w:r>
      <w:r w:rsidRPr="001F63BA">
        <w:rPr>
          <w:rFonts w:ascii="GHEA Grapalat" w:hAnsi="GHEA Grapalat" w:cs="GHEA Grapalat"/>
        </w:rPr>
        <w:t xml:space="preserve"> և ՀՀ ֆինանսների նախարարությ</w:t>
      </w:r>
      <w:r w:rsidRPr="001F63BA">
        <w:rPr>
          <w:rFonts w:ascii="GHEA Grapalat" w:hAnsi="GHEA Grapalat" w:cs="GHEA Grapalat"/>
          <w:lang w:val="en-US"/>
        </w:rPr>
        <w:t>ան</w:t>
      </w:r>
      <w:r w:rsidRPr="001F63BA">
        <w:rPr>
          <w:rFonts w:ascii="GHEA Grapalat" w:hAnsi="GHEA Grapalat" w:cs="GHEA Grapalat"/>
        </w:rPr>
        <w:t xml:space="preserve"> ծախսերի</w:t>
      </w:r>
      <w:r w:rsidRPr="001F63BA">
        <w:rPr>
          <w:rFonts w:ascii="GHEA Grapalat" w:hAnsi="GHEA Grapalat" w:cs="GHEA Grapalat"/>
          <w:lang w:val="en-US"/>
        </w:rPr>
        <w:t xml:space="preserve"> 9.2%</w:t>
      </w:r>
      <w:r w:rsidRPr="001F63BA">
        <w:rPr>
          <w:rFonts w:ascii="GHEA Grapalat" w:hAnsi="GHEA Grapalat" w:cs="GHEA Grapalat"/>
        </w:rPr>
        <w:t xml:space="preserve"> աճով:</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lastRenderedPageBreak/>
        <w:t>Ըստ տնտեսագիտական կառուցվածքի պետական բյուջեի ծախսերի 8</w:t>
      </w:r>
      <w:r w:rsidRPr="001F63BA">
        <w:rPr>
          <w:rFonts w:ascii="GHEA Grapalat" w:hAnsi="GHEA Grapalat"/>
          <w:lang w:val="en-US"/>
        </w:rPr>
        <w:t>3</w:t>
      </w:r>
      <w:r w:rsidRPr="001F63BA">
        <w:rPr>
          <w:rFonts w:ascii="GHEA Grapalat" w:hAnsi="GHEA Grapalat"/>
          <w:lang w:val="hy-AM"/>
        </w:rPr>
        <w:t>%-ը կամ 1,</w:t>
      </w:r>
      <w:r w:rsidRPr="001F63BA">
        <w:rPr>
          <w:rFonts w:ascii="GHEA Grapalat" w:hAnsi="GHEA Grapalat"/>
          <w:lang w:val="en-US"/>
        </w:rPr>
        <w:t>862.2</w:t>
      </w:r>
      <w:r w:rsidRPr="001F63BA">
        <w:rPr>
          <w:rFonts w:ascii="GHEA Grapalat" w:hAnsi="GHEA Grapalat"/>
          <w:lang w:val="hy-AM"/>
        </w:rPr>
        <w:t xml:space="preserve"> մլրդ դրամը բաժին է ընկել ընթացիկ ծախսերին, 1</w:t>
      </w:r>
      <w:r w:rsidRPr="001F63BA">
        <w:rPr>
          <w:rFonts w:ascii="GHEA Grapalat" w:hAnsi="GHEA Grapalat"/>
          <w:lang w:val="en-US"/>
        </w:rPr>
        <w:t>7</w:t>
      </w:r>
      <w:r w:rsidRPr="001F63BA">
        <w:rPr>
          <w:rFonts w:ascii="GHEA Grapalat" w:hAnsi="GHEA Grapalat"/>
          <w:lang w:val="hy-AM"/>
        </w:rPr>
        <w:t xml:space="preserve">%-ը կամ </w:t>
      </w:r>
      <w:r w:rsidRPr="001F63BA">
        <w:rPr>
          <w:rFonts w:ascii="GHEA Grapalat" w:hAnsi="GHEA Grapalat"/>
          <w:lang w:val="en-US"/>
        </w:rPr>
        <w:t>380.4</w:t>
      </w:r>
      <w:r w:rsidRPr="001F63BA">
        <w:rPr>
          <w:rFonts w:ascii="GHEA Grapalat" w:hAnsi="GHEA Grapalat"/>
          <w:lang w:val="hy-AM"/>
        </w:rPr>
        <w:t xml:space="preserve"> մլրդ դրամը՝ ոչ ֆինանսական ակտիվների հետ գործառնություններին</w:t>
      </w:r>
      <w:r w:rsidRPr="001F63BA">
        <w:rPr>
          <w:rFonts w:ascii="GHEA Grapalat" w:hAnsi="GHEA Grapalat"/>
          <w:lang w:val="en-US"/>
        </w:rPr>
        <w:t>:</w:t>
      </w:r>
      <w:r w:rsidRPr="001F63BA">
        <w:rPr>
          <w:rFonts w:ascii="GHEA Grapalat" w:hAnsi="GHEA Grapalat"/>
          <w:lang w:val="hy-AM"/>
        </w:rPr>
        <w:t xml:space="preserve"> </w:t>
      </w:r>
      <w:r w:rsidRPr="001F63BA">
        <w:rPr>
          <w:rFonts w:ascii="GHEA Grapalat" w:hAnsi="GHEA Grapalat"/>
          <w:lang w:val="en-US"/>
        </w:rPr>
        <w:t>Ն</w:t>
      </w:r>
      <w:r w:rsidRPr="001F63BA">
        <w:rPr>
          <w:rFonts w:ascii="GHEA Grapalat" w:hAnsi="GHEA Grapalat"/>
          <w:lang w:val="hy-AM"/>
        </w:rPr>
        <w:t>ախորդ տարվա համեմատ</w:t>
      </w:r>
      <w:r w:rsidRPr="001F63BA">
        <w:rPr>
          <w:rFonts w:ascii="GHEA Grapalat" w:hAnsi="GHEA Grapalat"/>
          <w:lang w:val="en-US"/>
        </w:rPr>
        <w:t xml:space="preserve"> ծախսերի</w:t>
      </w:r>
      <w:r w:rsidRPr="001F63BA">
        <w:rPr>
          <w:rFonts w:ascii="GHEA Grapalat" w:hAnsi="GHEA Grapalat"/>
          <w:lang w:val="hy-AM"/>
        </w:rPr>
        <w:t xml:space="preserve"> աճը </w:t>
      </w:r>
      <w:r w:rsidRPr="001F63BA">
        <w:rPr>
          <w:rFonts w:ascii="GHEA Grapalat" w:hAnsi="GHEA Grapalat"/>
        </w:rPr>
        <w:t xml:space="preserve">հիմնականում պայմանավորված </w:t>
      </w:r>
      <w:r w:rsidRPr="001F63BA">
        <w:rPr>
          <w:rFonts w:ascii="GHEA Grapalat" w:hAnsi="GHEA Grapalat"/>
          <w:lang w:val="en-US"/>
        </w:rPr>
        <w:t xml:space="preserve">է </w:t>
      </w:r>
      <w:r w:rsidRPr="001F63BA">
        <w:rPr>
          <w:rFonts w:ascii="GHEA Grapalat" w:hAnsi="GHEA Grapalat"/>
        </w:rPr>
        <w:t>կապիտալ ծախսերի, կենսաթոշակների</w:t>
      </w:r>
      <w:r w:rsidRPr="001F63BA">
        <w:rPr>
          <w:rFonts w:ascii="GHEA Grapalat" w:hAnsi="GHEA Grapalat"/>
          <w:lang w:val="en-US"/>
        </w:rPr>
        <w:t xml:space="preserve"> և</w:t>
      </w:r>
      <w:r w:rsidRPr="001F63BA">
        <w:rPr>
          <w:rFonts w:ascii="GHEA Grapalat" w:hAnsi="GHEA Grapalat"/>
        </w:rPr>
        <w:t xml:space="preserve"> դրամաշնորհների </w:t>
      </w:r>
      <w:r w:rsidRPr="001F63BA">
        <w:rPr>
          <w:rFonts w:ascii="GHEA Grapalat" w:hAnsi="GHEA Grapalat"/>
          <w:lang w:val="en-US"/>
        </w:rPr>
        <w:t>գծով ծախսերի</w:t>
      </w:r>
      <w:r w:rsidRPr="001F63BA">
        <w:rPr>
          <w:rFonts w:ascii="GHEA Grapalat" w:hAnsi="GHEA Grapalat"/>
        </w:rPr>
        <w:t xml:space="preserve"> աճով</w:t>
      </w:r>
      <w:r w:rsidRPr="001F63BA">
        <w:rPr>
          <w:rFonts w:ascii="GHEA Grapalat" w:hAnsi="GHEA Grapalat"/>
          <w:lang w:val="hy-AM"/>
        </w:rPr>
        <w:t xml:space="preserve">: </w:t>
      </w:r>
      <w:r w:rsidRPr="001F63BA">
        <w:rPr>
          <w:rFonts w:ascii="GHEA Grapalat" w:hAnsi="GHEA Grapalat" w:cs="GHEA Grapalat"/>
        </w:rPr>
        <w:t>Կապիտալ ծախսերի առաջանցիկ աճով պայմանավորված՝ պետական բյուջեի ծախսերում 6.2 տոկոսային կետով նվազել է ընթացիկ ծախսերի տեսակարար կշիռը և նույնքան ավելացել ոչ ֆինանսական ակտիվների հետ գործառնությունների տեսակարար կշիռը:</w:t>
      </w:r>
    </w:p>
    <w:p w:rsidR="001C411D" w:rsidRPr="001F63BA"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1C411D" w:rsidRPr="001F63BA" w:rsidRDefault="001C411D" w:rsidP="00AA5F3D">
      <w:pPr>
        <w:spacing w:line="360" w:lineRule="auto"/>
        <w:ind w:firstLine="284"/>
        <w:rPr>
          <w:rFonts w:ascii="GHEA Grapalat" w:hAnsi="GHEA Grapalat"/>
          <w:b/>
          <w:sz w:val="22"/>
          <w:szCs w:val="22"/>
        </w:rPr>
      </w:pPr>
      <w:r w:rsidRPr="001F63BA">
        <w:rPr>
          <w:rFonts w:ascii="GHEA Grapalat" w:hAnsi="GHEA Grapalat"/>
          <w:b/>
          <w:sz w:val="22"/>
          <w:szCs w:val="22"/>
        </w:rPr>
        <w:t>ՀՀ պետական բյուջեի պակասուրդը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t xml:space="preserve">2022 թվականին ՀՀ պետական բյուջեն կատարվել է 179.5 մլրդ դրամ պակասուրդով՝ կազմելով ծրագրի 78.1%-ը և 44%-ով (140.9 մլրդ դրամով) զիջելով նախորդ տարվա ցուցանիշը: Ծրագրի համեմատ պակասուրդի ցածր մակարդակը հիմնականում պայմանավորված է եկամուտների՝ ծրագրվածից ավել հավաքագրման և ծախսերի </w:t>
      </w:r>
      <w:r w:rsidRPr="001F63BA">
        <w:rPr>
          <w:rFonts w:ascii="GHEA Grapalat" w:hAnsi="GHEA Grapalat"/>
          <w:lang w:val="en-US"/>
        </w:rPr>
        <w:t xml:space="preserve">համեմատաբար </w:t>
      </w:r>
      <w:r w:rsidRPr="001F63BA">
        <w:rPr>
          <w:rFonts w:ascii="GHEA Grapalat" w:hAnsi="GHEA Grapalat"/>
          <w:lang w:val="hy-AM"/>
        </w:rPr>
        <w:t>ցածր կատարողականով, որի արդյունքում ֆինանսավորման ներքին աղբյուրներում նախատեսված` բյուջեի ազատ միջոցներից օգտագործվել է 20.2 մլրդ դրամ՝ նախատեսված 41.5 մլրդ դրամի փոխարեն: Արտաքին աջակցությամբ իրականացվող ծրագրերի շրջանակներում հաշվետու տարվա ընթացքում ստացվել է նախատեսված վարկային միջոցների 83%-ը՝ 165.8 մլրդ դրամ:</w:t>
      </w:r>
      <w:r w:rsidRPr="001F63BA">
        <w:rPr>
          <w:rFonts w:ascii="GHEA Grapalat" w:hAnsi="GHEA Grapalat"/>
          <w:lang w:val="en-US"/>
        </w:rPr>
        <w:t xml:space="preserve"> </w:t>
      </w:r>
      <w:r w:rsidRPr="001F63BA">
        <w:rPr>
          <w:rFonts w:ascii="GHEA Grapalat" w:hAnsi="GHEA Grapalat"/>
          <w:lang w:val="hy-AM"/>
        </w:rPr>
        <w:t xml:space="preserve">Հաշվետու տարում պակասուրդը </w:t>
      </w:r>
      <w:r w:rsidRPr="001F63BA">
        <w:rPr>
          <w:rFonts w:ascii="GHEA Grapalat" w:hAnsi="GHEA Grapalat"/>
          <w:lang w:val="en-US"/>
        </w:rPr>
        <w:t>288.1</w:t>
      </w:r>
      <w:r w:rsidRPr="001F63BA">
        <w:rPr>
          <w:rFonts w:ascii="GHEA Grapalat" w:hAnsi="GHEA Grapalat"/>
          <w:lang w:val="hy-AM"/>
        </w:rPr>
        <w:t xml:space="preserve"> մլրդ դրամով (93</w:t>
      </w:r>
      <w:r w:rsidRPr="001F63BA">
        <w:rPr>
          <w:rFonts w:ascii="GHEA Grapalat" w:hAnsi="GHEA Grapalat"/>
          <w:lang w:val="en-US"/>
        </w:rPr>
        <w:t>.4</w:t>
      </w:r>
      <w:r w:rsidRPr="001F63BA">
        <w:rPr>
          <w:rFonts w:ascii="GHEA Grapalat" w:hAnsi="GHEA Grapalat"/>
          <w:lang w:val="hy-AM"/>
        </w:rPr>
        <w:t xml:space="preserve">% կատարողական) ֆինանսավորվել է ներքին, </w:t>
      </w:r>
      <w:r w:rsidRPr="001F63BA">
        <w:rPr>
          <w:rFonts w:ascii="GHEA Grapalat" w:hAnsi="GHEA Grapalat"/>
          <w:lang w:val="en-US"/>
        </w:rPr>
        <w:t>-108.6</w:t>
      </w:r>
      <w:r w:rsidRPr="001F63BA">
        <w:rPr>
          <w:rFonts w:ascii="GHEA Grapalat" w:hAnsi="GHEA Grapalat"/>
          <w:lang w:val="hy-AM"/>
        </w:rPr>
        <w:t xml:space="preserve"> մլրդ դրամով (</w:t>
      </w:r>
      <w:r w:rsidRPr="001F63BA">
        <w:rPr>
          <w:rFonts w:ascii="GHEA Grapalat" w:hAnsi="GHEA Grapalat"/>
          <w:lang w:val="en-US"/>
        </w:rPr>
        <w:t>138</w:t>
      </w:r>
      <w:r w:rsidRPr="001F63BA">
        <w:rPr>
          <w:rFonts w:ascii="GHEA Grapalat" w:hAnsi="GHEA Grapalat"/>
          <w:lang w:val="hy-AM"/>
        </w:rPr>
        <w:t>% կատարողական)՝ արտաքին աղբյուրների հաշվին:</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t>2021 թվականի համեմատ զգալիորեն փոխվել է պակասուրդի ֆինանսավորման աղբյուրների կառուցվածքը: Եթե նախորդ տարի պակասուրդը զգալի չափով (68.4%-ով) ֆինանսավորվել էր արտաքին աղբյուրներից՝ պայմանավորված արտարժութային պետական պարտատոմսերի թողարկմամբ, ապա 2022 թվականին պակասուրդն ամբողջությամբ ֆինանսավորվել է ներքին աղբյուրների հաշվին:</w:t>
      </w:r>
    </w:p>
    <w:p w:rsidR="001C411D" w:rsidRPr="001F63BA"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rsidR="001C411D" w:rsidRPr="001F63BA" w:rsidRDefault="001C411D" w:rsidP="00AA5F3D">
      <w:pPr>
        <w:spacing w:line="360" w:lineRule="auto"/>
        <w:rPr>
          <w:rFonts w:ascii="GHEA Grapalat" w:hAnsi="GHEA Grapalat"/>
          <w:b/>
          <w:sz w:val="22"/>
          <w:szCs w:val="22"/>
        </w:rPr>
      </w:pPr>
      <w:r w:rsidRPr="001F63BA">
        <w:rPr>
          <w:rFonts w:ascii="GHEA Grapalat" w:hAnsi="GHEA Grapalat"/>
          <w:b/>
          <w:sz w:val="22"/>
          <w:szCs w:val="22"/>
        </w:rPr>
        <w:t>ՀՀ ՊԵՏԱԿԱՆ ՊԱՐՏՔԸ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t>2022 թվականի դեկտեմբերի 31-ի դրությամբ ՀՀ պետական պարտքը կազմել է 4,186.7 մլրդ դրամ (10,637.7 մլն ԱՄՆ դոլար)</w:t>
      </w:r>
      <w:r w:rsidRPr="001F63BA">
        <w:rPr>
          <w:rFonts w:ascii="GHEA Grapalat" w:hAnsi="GHEA Grapalat"/>
          <w:lang w:val="en-US"/>
        </w:rPr>
        <w:t>՝ նախորդ տարեվերջի 4,429.6 մլրդ դրամի (9,225.6 մլն ԱՄՆ դոլարի) համեմատ</w:t>
      </w:r>
      <w:r w:rsidRPr="001F63BA">
        <w:rPr>
          <w:rFonts w:ascii="GHEA Grapalat" w:hAnsi="GHEA Grapalat"/>
          <w:lang w:val="hy-AM"/>
        </w:rPr>
        <w:t xml:space="preserve">: ՀՀ դրամով և ԱՄՆ դոլարով արտահայտված` նախորդ տարեվերջի համեմատ ՀՀ պետական պարտքի ցուցանիշները փոփոխվել են անհամաչափորեն` համապատասխանաբար նվազել 5.5%-ով և աճել 15.3%-ով: Դա պայմանավորված է եղել 2021 թվականի տարեվերջի և 2022 թվականի տարեվերջի դրությամբ ձևավորված ԱՄՆ դոլար / ՀՀ դրամ փոխարժեքների տարբերությամբ, որը փոփոխվել է 18%-ով՝ 480.14-ից նվազելով մինչև 393.57: ՀՀ պետական </w:t>
      </w:r>
      <w:r w:rsidRPr="001F63BA">
        <w:rPr>
          <w:rFonts w:ascii="GHEA Grapalat" w:hAnsi="GHEA Grapalat"/>
          <w:lang w:val="hy-AM"/>
        </w:rPr>
        <w:lastRenderedPageBreak/>
        <w:t>պարտքում 2,53</w:t>
      </w:r>
      <w:r w:rsidRPr="001F63BA">
        <w:rPr>
          <w:rFonts w:ascii="GHEA Grapalat" w:hAnsi="GHEA Grapalat"/>
          <w:lang w:val="en-US"/>
        </w:rPr>
        <w:t>6.7</w:t>
      </w:r>
      <w:r w:rsidRPr="001F63BA">
        <w:rPr>
          <w:rFonts w:ascii="GHEA Grapalat" w:hAnsi="GHEA Grapalat"/>
          <w:lang w:val="hy-AM"/>
        </w:rPr>
        <w:t xml:space="preserve"> մլրդ դրամը (6,4</w:t>
      </w:r>
      <w:r w:rsidRPr="001F63BA">
        <w:rPr>
          <w:rFonts w:ascii="GHEA Grapalat" w:hAnsi="GHEA Grapalat"/>
          <w:lang w:val="en-US"/>
        </w:rPr>
        <w:t>45.4</w:t>
      </w:r>
      <w:r w:rsidRPr="001F63BA">
        <w:rPr>
          <w:rFonts w:ascii="GHEA Grapalat" w:hAnsi="GHEA Grapalat"/>
          <w:lang w:val="hy-AM"/>
        </w:rPr>
        <w:t xml:space="preserve"> մլն ԱՄՆ դոլարը) կազմել է արտաքին պարտքը, 1,6</w:t>
      </w:r>
      <w:r w:rsidRPr="001F63BA">
        <w:rPr>
          <w:rFonts w:ascii="GHEA Grapalat" w:hAnsi="GHEA Grapalat"/>
          <w:lang w:val="en-US"/>
        </w:rPr>
        <w:t>50.0</w:t>
      </w:r>
      <w:r w:rsidRPr="001F63BA">
        <w:rPr>
          <w:rFonts w:ascii="GHEA Grapalat" w:hAnsi="GHEA Grapalat"/>
          <w:lang w:val="hy-AM"/>
        </w:rPr>
        <w:t xml:space="preserve"> մլրդ դրամը (4,1</w:t>
      </w:r>
      <w:r w:rsidRPr="001F63BA">
        <w:rPr>
          <w:rFonts w:ascii="GHEA Grapalat" w:hAnsi="GHEA Grapalat"/>
          <w:lang w:val="en-US"/>
        </w:rPr>
        <w:t>92.3</w:t>
      </w:r>
      <w:r w:rsidRPr="001F63BA">
        <w:rPr>
          <w:rFonts w:ascii="GHEA Grapalat" w:hAnsi="GHEA Grapalat"/>
          <w:lang w:val="hy-AM"/>
        </w:rPr>
        <w:t xml:space="preserve"> մլն ԱՄՆ դոլարը)՝ ներքին պարտքը:</w:t>
      </w:r>
    </w:p>
    <w:p w:rsidR="001C411D" w:rsidRPr="001F63BA" w:rsidRDefault="001C411D" w:rsidP="00BB1B4B">
      <w:pPr>
        <w:pStyle w:val="ListParagraph"/>
        <w:numPr>
          <w:ilvl w:val="0"/>
          <w:numId w:val="12"/>
        </w:numPr>
        <w:tabs>
          <w:tab w:val="left" w:pos="426"/>
        </w:tabs>
        <w:autoSpaceDE w:val="0"/>
        <w:autoSpaceDN w:val="0"/>
        <w:adjustRightInd w:val="0"/>
        <w:spacing w:after="0" w:line="336" w:lineRule="auto"/>
        <w:ind w:left="284" w:hanging="284"/>
        <w:contextualSpacing w:val="0"/>
        <w:jc w:val="both"/>
        <w:rPr>
          <w:rFonts w:ascii="GHEA Grapalat" w:hAnsi="GHEA Grapalat"/>
          <w:lang w:val="hy-AM"/>
        </w:rPr>
      </w:pPr>
      <w:r w:rsidRPr="001F63BA">
        <w:rPr>
          <w:rFonts w:ascii="GHEA Grapalat" w:hAnsi="GHEA Grapalat"/>
          <w:lang w:val="hy-AM"/>
        </w:rPr>
        <w:t>ՀՀ կառավարության պարտքը 202</w:t>
      </w:r>
      <w:r w:rsidRPr="001F63BA">
        <w:rPr>
          <w:rFonts w:ascii="GHEA Grapalat" w:hAnsi="GHEA Grapalat"/>
          <w:lang w:val="en-US"/>
        </w:rPr>
        <w:t>2</w:t>
      </w:r>
      <w:r w:rsidRPr="001F63BA">
        <w:rPr>
          <w:rFonts w:ascii="GHEA Grapalat" w:hAnsi="GHEA Grapalat"/>
          <w:lang w:val="hy-AM"/>
        </w:rPr>
        <w:t xml:space="preserve"> թվականի դեկտեմբերի 31-ի դրությամբ կազմել է </w:t>
      </w:r>
      <w:r w:rsidRPr="001F63BA">
        <w:rPr>
          <w:rFonts w:ascii="GHEA Grapalat" w:hAnsi="GHEA Grapalat"/>
          <w:lang w:val="en-US"/>
        </w:rPr>
        <w:t>3,969.7</w:t>
      </w:r>
      <w:r w:rsidRPr="001F63BA">
        <w:rPr>
          <w:rFonts w:ascii="Courier New" w:hAnsi="Courier New" w:cs="Courier New"/>
          <w:lang w:val="en-US"/>
        </w:rPr>
        <w:t> </w:t>
      </w:r>
      <w:r w:rsidRPr="001F63BA">
        <w:rPr>
          <w:rFonts w:ascii="GHEA Grapalat" w:hAnsi="GHEA Grapalat"/>
          <w:lang w:val="hy-AM"/>
        </w:rPr>
        <w:t>մլրդ դրամ (</w:t>
      </w:r>
      <w:r w:rsidRPr="001F63BA">
        <w:rPr>
          <w:rFonts w:ascii="GHEA Grapalat" w:hAnsi="GHEA Grapalat"/>
          <w:lang w:val="en-US"/>
        </w:rPr>
        <w:t>10,086.4</w:t>
      </w:r>
      <w:r w:rsidRPr="001F63BA">
        <w:rPr>
          <w:rFonts w:ascii="GHEA Grapalat" w:hAnsi="GHEA Grapalat"/>
          <w:lang w:val="hy-AM"/>
        </w:rPr>
        <w:t xml:space="preserve"> մլն ԱՄՆ դոլար), որից արտաքին պարտքը՝ 2,</w:t>
      </w:r>
      <w:r w:rsidRPr="001F63BA">
        <w:rPr>
          <w:rFonts w:ascii="GHEA Grapalat" w:hAnsi="GHEA Grapalat"/>
          <w:lang w:val="en-US"/>
        </w:rPr>
        <w:t>319.7</w:t>
      </w:r>
      <w:r w:rsidRPr="001F63BA">
        <w:rPr>
          <w:rFonts w:ascii="GHEA Grapalat" w:hAnsi="GHEA Grapalat"/>
          <w:lang w:val="hy-AM"/>
        </w:rPr>
        <w:t xml:space="preserve"> մլրդ դրամ (</w:t>
      </w:r>
      <w:r w:rsidRPr="001F63BA">
        <w:rPr>
          <w:rFonts w:ascii="GHEA Grapalat" w:hAnsi="GHEA Grapalat"/>
          <w:lang w:val="en-US"/>
        </w:rPr>
        <w:t>5,894.1</w:t>
      </w:r>
      <w:r w:rsidRPr="001F63BA">
        <w:rPr>
          <w:rFonts w:ascii="GHEA Grapalat" w:hAnsi="GHEA Grapalat"/>
          <w:lang w:val="hy-AM"/>
        </w:rPr>
        <w:t xml:space="preserve"> մլն ԱՄՆ դոլար), իսկ ներքին պարտքը՝ 1,</w:t>
      </w:r>
      <w:r w:rsidRPr="001F63BA">
        <w:rPr>
          <w:rFonts w:ascii="GHEA Grapalat" w:hAnsi="GHEA Grapalat"/>
          <w:lang w:val="en-US"/>
        </w:rPr>
        <w:t>650.0</w:t>
      </w:r>
      <w:r w:rsidRPr="001F63BA">
        <w:rPr>
          <w:rFonts w:ascii="GHEA Grapalat" w:hAnsi="GHEA Grapalat"/>
          <w:lang w:val="hy-AM"/>
        </w:rPr>
        <w:t xml:space="preserve"> մլրդ դրամ (</w:t>
      </w:r>
      <w:r w:rsidRPr="001F63BA">
        <w:rPr>
          <w:rFonts w:ascii="GHEA Grapalat" w:hAnsi="GHEA Grapalat"/>
          <w:lang w:val="en-US"/>
        </w:rPr>
        <w:t>4,192.3</w:t>
      </w:r>
      <w:r w:rsidRPr="001F63BA">
        <w:rPr>
          <w:rFonts w:ascii="GHEA Grapalat" w:hAnsi="GHEA Grapalat"/>
          <w:lang w:val="hy-AM"/>
        </w:rPr>
        <w:t xml:space="preserve"> մլն ԱՄՆ դոլար):</w:t>
      </w:r>
      <w:r w:rsidRPr="001F63BA">
        <w:rPr>
          <w:rFonts w:ascii="GHEA Grapalat" w:hAnsi="GHEA Grapalat"/>
          <w:lang w:val="en-US"/>
        </w:rPr>
        <w:t xml:space="preserve"> Ն</w:t>
      </w:r>
      <w:r w:rsidR="005A2A7C" w:rsidRPr="001F63BA">
        <w:rPr>
          <w:rFonts w:ascii="GHEA Grapalat" w:hAnsi="GHEA Grapalat"/>
          <w:lang w:val="hy-AM"/>
        </w:rPr>
        <w:t xml:space="preserve">ախորդ տարեվերջի համեմատ </w:t>
      </w:r>
      <w:r w:rsidR="005A2A7C" w:rsidRPr="001F63BA">
        <w:rPr>
          <w:rFonts w:ascii="GHEA Grapalat" w:hAnsi="GHEA Grapalat"/>
          <w:lang w:val="en-US"/>
        </w:rPr>
        <w:t>Կառավարությ</w:t>
      </w:r>
      <w:r w:rsidRPr="001F63BA">
        <w:rPr>
          <w:rFonts w:ascii="GHEA Grapalat" w:hAnsi="GHEA Grapalat"/>
          <w:lang w:val="en-US"/>
        </w:rPr>
        <w:t>ան</w:t>
      </w:r>
      <w:r w:rsidRPr="001F63BA">
        <w:rPr>
          <w:rFonts w:ascii="GHEA Grapalat" w:hAnsi="GHEA Grapalat"/>
          <w:lang w:val="hy-AM"/>
        </w:rPr>
        <w:t xml:space="preserve"> պարտքը</w:t>
      </w:r>
      <w:r w:rsidRPr="001F63BA">
        <w:rPr>
          <w:rFonts w:ascii="GHEA Grapalat" w:hAnsi="GHEA Grapalat"/>
          <w:lang w:val="en-US"/>
        </w:rPr>
        <w:t>՝ արտահայտված դրամով և ԱՄՆ դոլարով, հ</w:t>
      </w:r>
      <w:r w:rsidRPr="001F63BA">
        <w:rPr>
          <w:rFonts w:ascii="GHEA Grapalat" w:hAnsi="GHEA Grapalat"/>
          <w:lang w:val="hy-AM"/>
        </w:rPr>
        <w:t>ամապատասխանաբար նվազել</w:t>
      </w:r>
      <w:r w:rsidRPr="001F63BA">
        <w:rPr>
          <w:rFonts w:ascii="GHEA Grapalat" w:hAnsi="GHEA Grapalat"/>
          <w:lang w:val="en-US"/>
        </w:rPr>
        <w:t xml:space="preserve"> է</w:t>
      </w:r>
      <w:r w:rsidRPr="001F63BA">
        <w:rPr>
          <w:rFonts w:ascii="GHEA Grapalat" w:hAnsi="GHEA Grapalat"/>
          <w:lang w:val="hy-AM"/>
        </w:rPr>
        <w:t xml:space="preserve"> 5.</w:t>
      </w:r>
      <w:r w:rsidRPr="001F63BA">
        <w:rPr>
          <w:rFonts w:ascii="GHEA Grapalat" w:hAnsi="GHEA Grapalat"/>
          <w:lang w:val="en-US"/>
        </w:rPr>
        <w:t>7</w:t>
      </w:r>
      <w:r w:rsidRPr="001F63BA">
        <w:rPr>
          <w:rFonts w:ascii="GHEA Grapalat" w:hAnsi="GHEA Grapalat"/>
          <w:lang w:val="hy-AM"/>
        </w:rPr>
        <w:t>%-ով և աճել 15%-ով:</w:t>
      </w:r>
      <w:r w:rsidRPr="001F63BA">
        <w:rPr>
          <w:rFonts w:ascii="GHEA Grapalat" w:hAnsi="GHEA Grapalat"/>
          <w:lang w:val="en-US"/>
        </w:rPr>
        <w:t xml:space="preserve"> Ընդ որում, </w:t>
      </w:r>
      <w:r w:rsidR="005A2A7C" w:rsidRPr="001F63BA">
        <w:rPr>
          <w:rFonts w:ascii="GHEA Grapalat" w:hAnsi="GHEA Grapalat"/>
          <w:lang w:val="en-US"/>
        </w:rPr>
        <w:t>Կառավարությ</w:t>
      </w:r>
      <w:r w:rsidRPr="001F63BA">
        <w:rPr>
          <w:rFonts w:ascii="GHEA Grapalat" w:hAnsi="GHEA Grapalat"/>
          <w:lang w:val="en-US"/>
        </w:rPr>
        <w:t>ան արտաքին պարտքը նվազել է և՛ դրամային, և՛ դոլարային արտահայտությամբ:</w:t>
      </w:r>
    </w:p>
    <w:p w:rsidR="001C411D" w:rsidRPr="001F63BA" w:rsidRDefault="001C411D" w:rsidP="0040365A">
      <w:pPr>
        <w:autoSpaceDE w:val="0"/>
        <w:autoSpaceDN w:val="0"/>
        <w:adjustRightInd w:val="0"/>
        <w:spacing w:line="336" w:lineRule="auto"/>
        <w:jc w:val="both"/>
        <w:rPr>
          <w:rFonts w:ascii="GHEA Grapalat" w:hAnsi="GHEA Grapalat"/>
          <w:b/>
          <w:sz w:val="22"/>
          <w:szCs w:val="22"/>
          <w:lang w:val="en-US" w:eastAsia="ru-RU"/>
        </w:rPr>
      </w:pPr>
    </w:p>
    <w:p w:rsidR="001C411D" w:rsidRPr="001F63BA" w:rsidRDefault="001C411D" w:rsidP="0040365A">
      <w:pPr>
        <w:autoSpaceDE w:val="0"/>
        <w:autoSpaceDN w:val="0"/>
        <w:adjustRightInd w:val="0"/>
        <w:spacing w:line="336" w:lineRule="auto"/>
        <w:jc w:val="both"/>
        <w:rPr>
          <w:rFonts w:ascii="GHEA Grapalat" w:hAnsi="GHEA Grapalat"/>
          <w:sz w:val="22"/>
          <w:szCs w:val="22"/>
          <w:lang w:val="en-US"/>
        </w:rPr>
      </w:pPr>
      <w:r w:rsidRPr="001F63BA">
        <w:rPr>
          <w:rFonts w:ascii="GHEA Grapalat" w:hAnsi="GHEA Grapalat"/>
          <w:b/>
          <w:sz w:val="22"/>
          <w:szCs w:val="22"/>
          <w:lang w:eastAsia="ru-RU"/>
        </w:rPr>
        <w:t>Աղյուսակ</w:t>
      </w:r>
      <w:r w:rsidRPr="001F63BA">
        <w:rPr>
          <w:rFonts w:ascii="GHEA Grapalat" w:hAnsi="GHEA Grapalat"/>
          <w:b/>
          <w:sz w:val="22"/>
          <w:szCs w:val="22"/>
          <w:lang w:val="en-US" w:eastAsia="ru-RU"/>
        </w:rPr>
        <w:t xml:space="preserve"> 1</w:t>
      </w:r>
      <w:r w:rsidRPr="001F63BA">
        <w:rPr>
          <w:rFonts w:ascii="GHEA Grapalat" w:hAnsi="GHEA Grapalat"/>
          <w:b/>
          <w:sz w:val="22"/>
          <w:szCs w:val="22"/>
          <w:lang w:eastAsia="ru-RU"/>
        </w:rPr>
        <w:t xml:space="preserve">. </w:t>
      </w:r>
      <w:r w:rsidRPr="001F63BA">
        <w:rPr>
          <w:rFonts w:ascii="GHEA Grapalat" w:hAnsi="GHEA Grapalat"/>
          <w:sz w:val="22"/>
          <w:szCs w:val="22"/>
          <w:lang w:eastAsia="ru-RU"/>
        </w:rPr>
        <w:t>Մակրոտնտեսական և հարկաբյուջետային հիմնական ցուցանիշների միտումները 2018-2022 թվականներին</w:t>
      </w:r>
      <w:r w:rsidRPr="001F63BA">
        <w:rPr>
          <w:rStyle w:val="FootnoteReference"/>
          <w:rFonts w:ascii="GHEA Grapalat" w:hAnsi="GHEA Grapalat"/>
          <w:sz w:val="22"/>
          <w:szCs w:val="22"/>
          <w:lang w:eastAsia="ru-RU"/>
        </w:rPr>
        <w:footnoteReference w:id="2"/>
      </w:r>
    </w:p>
    <w:tbl>
      <w:tblPr>
        <w:tblW w:w="10179"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3279"/>
        <w:gridCol w:w="976"/>
        <w:gridCol w:w="1065"/>
        <w:gridCol w:w="957"/>
        <w:gridCol w:w="996"/>
        <w:gridCol w:w="1785"/>
        <w:gridCol w:w="1121"/>
      </w:tblGrid>
      <w:tr w:rsidR="001C411D" w:rsidRPr="001F63BA" w:rsidTr="00A817E9">
        <w:trPr>
          <w:trHeight w:val="119"/>
          <w:jc w:val="center"/>
        </w:trPr>
        <w:tc>
          <w:tcPr>
            <w:tcW w:w="3279" w:type="dxa"/>
            <w:vMerge w:val="restart"/>
            <w:tcBorders>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p>
        </w:tc>
        <w:tc>
          <w:tcPr>
            <w:tcW w:w="976" w:type="dxa"/>
            <w:vMerge w:val="restart"/>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r w:rsidRPr="001F63BA">
              <w:rPr>
                <w:rFonts w:ascii="GHEA Grapalat" w:hAnsi="GHEA Grapalat" w:cs="Arial"/>
                <w:b/>
                <w:bCs/>
                <w:noProof w:val="0"/>
                <w:sz w:val="18"/>
                <w:szCs w:val="18"/>
              </w:rPr>
              <w:t>2018</w:t>
            </w:r>
            <w:r w:rsidRPr="001F63BA">
              <w:rPr>
                <w:rFonts w:ascii="GHEA Grapalat" w:hAnsi="GHEA Grapalat"/>
                <w:b/>
                <w:bCs/>
                <w:noProof w:val="0"/>
                <w:sz w:val="18"/>
                <w:szCs w:val="18"/>
              </w:rPr>
              <w:t>թ</w:t>
            </w:r>
            <w:r w:rsidRPr="001F63BA">
              <w:rPr>
                <w:rFonts w:ascii="GHEA Grapalat" w:hAnsi="GHEA Grapalat" w:cs="Arial"/>
                <w:b/>
                <w:bCs/>
                <w:noProof w:val="0"/>
                <w:sz w:val="18"/>
                <w:szCs w:val="18"/>
              </w:rPr>
              <w:t>.</w:t>
            </w:r>
          </w:p>
        </w:tc>
        <w:tc>
          <w:tcPr>
            <w:tcW w:w="1065" w:type="dxa"/>
            <w:vMerge w:val="restart"/>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r w:rsidRPr="001F63BA">
              <w:rPr>
                <w:rFonts w:ascii="GHEA Grapalat" w:hAnsi="GHEA Grapalat" w:cs="Arial"/>
                <w:b/>
                <w:bCs/>
                <w:noProof w:val="0"/>
                <w:sz w:val="18"/>
                <w:szCs w:val="18"/>
              </w:rPr>
              <w:t>2019թ.</w:t>
            </w:r>
          </w:p>
        </w:tc>
        <w:tc>
          <w:tcPr>
            <w:tcW w:w="957" w:type="dxa"/>
            <w:vMerge w:val="restart"/>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r w:rsidRPr="001F63BA">
              <w:rPr>
                <w:rFonts w:ascii="GHEA Grapalat" w:hAnsi="GHEA Grapalat" w:cs="Arial"/>
                <w:b/>
                <w:bCs/>
                <w:noProof w:val="0"/>
                <w:sz w:val="18"/>
                <w:szCs w:val="18"/>
              </w:rPr>
              <w:t>2020</w:t>
            </w:r>
            <w:r w:rsidRPr="001F63BA">
              <w:rPr>
                <w:rFonts w:ascii="GHEA Grapalat" w:hAnsi="GHEA Grapalat"/>
                <w:b/>
                <w:bCs/>
                <w:noProof w:val="0"/>
                <w:sz w:val="18"/>
                <w:szCs w:val="18"/>
              </w:rPr>
              <w:t>թ</w:t>
            </w:r>
            <w:r w:rsidRPr="001F63BA">
              <w:rPr>
                <w:rFonts w:ascii="GHEA Grapalat" w:hAnsi="GHEA Grapalat" w:cs="Arial"/>
                <w:b/>
                <w:bCs/>
                <w:noProof w:val="0"/>
                <w:sz w:val="18"/>
                <w:szCs w:val="18"/>
              </w:rPr>
              <w:t>.</w:t>
            </w:r>
          </w:p>
        </w:tc>
        <w:tc>
          <w:tcPr>
            <w:tcW w:w="996" w:type="dxa"/>
            <w:vMerge w:val="restart"/>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r w:rsidRPr="001F63BA">
              <w:rPr>
                <w:rFonts w:ascii="GHEA Grapalat" w:hAnsi="GHEA Grapalat" w:cs="Arial"/>
                <w:b/>
                <w:bCs/>
                <w:noProof w:val="0"/>
                <w:sz w:val="18"/>
                <w:szCs w:val="18"/>
              </w:rPr>
              <w:t>2021</w:t>
            </w:r>
            <w:r w:rsidRPr="001F63BA">
              <w:rPr>
                <w:rFonts w:ascii="GHEA Grapalat" w:hAnsi="GHEA Grapalat"/>
                <w:b/>
                <w:bCs/>
                <w:noProof w:val="0"/>
                <w:sz w:val="18"/>
                <w:szCs w:val="18"/>
              </w:rPr>
              <w:t>թ</w:t>
            </w:r>
            <w:r w:rsidRPr="001F63BA">
              <w:rPr>
                <w:rFonts w:ascii="GHEA Grapalat" w:hAnsi="GHEA Grapalat" w:cs="Arial"/>
                <w:b/>
                <w:bCs/>
                <w:noProof w:val="0"/>
                <w:sz w:val="18"/>
                <w:szCs w:val="18"/>
              </w:rPr>
              <w:t>.</w:t>
            </w:r>
          </w:p>
        </w:tc>
        <w:tc>
          <w:tcPr>
            <w:tcW w:w="1785" w:type="dxa"/>
            <w:tcBorders>
              <w:left w:val="single" w:sz="4" w:space="0" w:color="FFFFFF"/>
              <w:right w:val="single" w:sz="4" w:space="0" w:color="FFFFFF"/>
            </w:tcBorders>
            <w:shd w:val="clear" w:color="auto" w:fill="4F81BD"/>
          </w:tcPr>
          <w:p w:rsidR="001C411D" w:rsidRPr="001F63BA" w:rsidRDefault="001C411D" w:rsidP="000B7C3D">
            <w:pPr>
              <w:autoSpaceDE w:val="0"/>
              <w:autoSpaceDN w:val="0"/>
              <w:adjustRightInd w:val="0"/>
              <w:jc w:val="center"/>
              <w:rPr>
                <w:rFonts w:ascii="GHEA Grapalat" w:hAnsi="GHEA Grapalat" w:cs="Arial"/>
                <w:b/>
                <w:bCs/>
                <w:noProof w:val="0"/>
                <w:sz w:val="18"/>
                <w:szCs w:val="18"/>
              </w:rPr>
            </w:pPr>
          </w:p>
        </w:tc>
        <w:tc>
          <w:tcPr>
            <w:tcW w:w="1121" w:type="dxa"/>
            <w:vMerge w:val="restart"/>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r w:rsidRPr="001F63BA">
              <w:rPr>
                <w:rFonts w:ascii="GHEA Grapalat" w:hAnsi="GHEA Grapalat" w:cs="Arial"/>
                <w:b/>
                <w:bCs/>
                <w:noProof w:val="0"/>
                <w:sz w:val="18"/>
                <w:szCs w:val="18"/>
              </w:rPr>
              <w:t>2022</w:t>
            </w:r>
            <w:r w:rsidRPr="001F63BA">
              <w:rPr>
                <w:rFonts w:ascii="GHEA Grapalat" w:hAnsi="GHEA Grapalat"/>
                <w:b/>
                <w:bCs/>
                <w:noProof w:val="0"/>
                <w:sz w:val="18"/>
                <w:szCs w:val="18"/>
              </w:rPr>
              <w:t>թ</w:t>
            </w:r>
            <w:r w:rsidRPr="001F63BA">
              <w:rPr>
                <w:rFonts w:ascii="GHEA Grapalat" w:hAnsi="GHEA Grapalat" w:cs="Arial"/>
                <w:b/>
                <w:bCs/>
                <w:noProof w:val="0"/>
                <w:sz w:val="18"/>
                <w:szCs w:val="18"/>
              </w:rPr>
              <w:t>.</w:t>
            </w:r>
          </w:p>
          <w:p w:rsidR="001C411D" w:rsidRPr="001F63BA" w:rsidRDefault="001C411D" w:rsidP="000B7C3D">
            <w:pPr>
              <w:autoSpaceDE w:val="0"/>
              <w:autoSpaceDN w:val="0"/>
              <w:adjustRightInd w:val="0"/>
              <w:jc w:val="center"/>
              <w:rPr>
                <w:rFonts w:ascii="GHEA Grapalat" w:hAnsi="GHEA Grapalat" w:cs="Arial"/>
                <w:b/>
                <w:noProof w:val="0"/>
                <w:sz w:val="18"/>
                <w:szCs w:val="18"/>
              </w:rPr>
            </w:pPr>
            <w:r w:rsidRPr="001F63BA">
              <w:rPr>
                <w:rFonts w:ascii="GHEA Grapalat" w:hAnsi="GHEA Grapalat"/>
                <w:b/>
                <w:bCs/>
                <w:noProof w:val="0"/>
                <w:sz w:val="18"/>
                <w:szCs w:val="18"/>
              </w:rPr>
              <w:t>փաստ</w:t>
            </w:r>
          </w:p>
        </w:tc>
      </w:tr>
      <w:tr w:rsidR="001C411D" w:rsidRPr="001F63BA" w:rsidTr="007E70F4">
        <w:trPr>
          <w:trHeight w:val="1294"/>
          <w:jc w:val="center"/>
        </w:trPr>
        <w:tc>
          <w:tcPr>
            <w:tcW w:w="3279" w:type="dxa"/>
            <w:vMerge/>
            <w:tcBorders>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p>
        </w:tc>
        <w:tc>
          <w:tcPr>
            <w:tcW w:w="976" w:type="dxa"/>
            <w:vMerge/>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p>
        </w:tc>
        <w:tc>
          <w:tcPr>
            <w:tcW w:w="1065" w:type="dxa"/>
            <w:vMerge/>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p>
        </w:tc>
        <w:tc>
          <w:tcPr>
            <w:tcW w:w="957" w:type="dxa"/>
            <w:vMerge/>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p>
        </w:tc>
        <w:tc>
          <w:tcPr>
            <w:tcW w:w="996" w:type="dxa"/>
            <w:vMerge/>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jc w:val="center"/>
              <w:rPr>
                <w:rFonts w:ascii="GHEA Grapalat" w:hAnsi="GHEA Grapalat" w:cs="Arial"/>
                <w:b/>
                <w:bCs/>
                <w:noProof w:val="0"/>
                <w:sz w:val="18"/>
                <w:szCs w:val="18"/>
              </w:rPr>
            </w:pPr>
          </w:p>
        </w:tc>
        <w:tc>
          <w:tcPr>
            <w:tcW w:w="1785" w:type="dxa"/>
            <w:tcBorders>
              <w:top w:val="single" w:sz="4" w:space="0" w:color="FFFFFF"/>
              <w:left w:val="single" w:sz="4" w:space="0" w:color="FFFFFF"/>
              <w:right w:val="single" w:sz="4" w:space="0" w:color="FFFFFF"/>
            </w:tcBorders>
            <w:shd w:val="clear" w:color="auto" w:fill="4F81BD"/>
            <w:vAlign w:val="center"/>
          </w:tcPr>
          <w:p w:rsidR="001C411D" w:rsidRPr="001F63BA" w:rsidRDefault="001C411D" w:rsidP="00B02330">
            <w:pPr>
              <w:autoSpaceDE w:val="0"/>
              <w:autoSpaceDN w:val="0"/>
              <w:adjustRightInd w:val="0"/>
              <w:jc w:val="center"/>
              <w:rPr>
                <w:rFonts w:ascii="GHEA Grapalat" w:hAnsi="GHEA Grapalat" w:cs="Arial"/>
                <w:b/>
                <w:bCs/>
                <w:noProof w:val="0"/>
                <w:sz w:val="18"/>
                <w:szCs w:val="18"/>
                <w:lang w:val="en-US"/>
              </w:rPr>
            </w:pPr>
            <w:r w:rsidRPr="001F63BA">
              <w:rPr>
                <w:rFonts w:ascii="GHEA Grapalat" w:hAnsi="GHEA Grapalat" w:cs="Arial"/>
                <w:b/>
                <w:bCs/>
                <w:noProof w:val="0"/>
                <w:sz w:val="18"/>
                <w:szCs w:val="18"/>
              </w:rPr>
              <w:t xml:space="preserve">2022թ. </w:t>
            </w:r>
            <w:r w:rsidRPr="001F63BA">
              <w:rPr>
                <w:rFonts w:ascii="GHEA Grapalat" w:hAnsi="GHEA Grapalat" w:cs="Arial"/>
                <w:b/>
                <w:bCs/>
                <w:noProof w:val="0"/>
                <w:sz w:val="18"/>
                <w:szCs w:val="18"/>
                <w:lang w:val="en-US"/>
              </w:rPr>
              <w:t>պետական բյուջեի մասին օրենք</w:t>
            </w:r>
            <w:r w:rsidRPr="001F63BA">
              <w:rPr>
                <w:rFonts w:ascii="GHEA Grapalat" w:hAnsi="GHEA Grapalat" w:cs="Calibri"/>
                <w:b/>
                <w:bCs/>
                <w:noProof w:val="0"/>
                <w:sz w:val="18"/>
                <w:szCs w:val="18"/>
              </w:rPr>
              <w:t xml:space="preserve"> </w:t>
            </w:r>
            <w:r w:rsidRPr="001F63BA">
              <w:rPr>
                <w:rFonts w:ascii="GHEA Grapalat" w:hAnsi="GHEA Grapalat" w:cs="Calibri"/>
                <w:b/>
                <w:bCs/>
                <w:noProof w:val="0"/>
                <w:sz w:val="18"/>
                <w:szCs w:val="18"/>
                <w:lang w:val="en-US"/>
              </w:rPr>
              <w:t xml:space="preserve">/ </w:t>
            </w:r>
            <w:r w:rsidRPr="001F63BA">
              <w:rPr>
                <w:rFonts w:ascii="GHEA Grapalat" w:hAnsi="GHEA Grapalat" w:cs="Calibri"/>
                <w:b/>
                <w:bCs/>
                <w:noProof w:val="0"/>
                <w:sz w:val="18"/>
                <w:szCs w:val="18"/>
              </w:rPr>
              <w:t>2022թ. պետական բյուջեի ուղերձ</w:t>
            </w:r>
          </w:p>
        </w:tc>
        <w:tc>
          <w:tcPr>
            <w:tcW w:w="1121" w:type="dxa"/>
            <w:vMerge/>
            <w:tcBorders>
              <w:left w:val="single" w:sz="4" w:space="0" w:color="FFFFFF"/>
              <w:right w:val="single" w:sz="4" w:space="0" w:color="FFFFFF"/>
            </w:tcBorders>
            <w:shd w:val="clear" w:color="auto" w:fill="4F81BD"/>
            <w:vAlign w:val="center"/>
          </w:tcPr>
          <w:p w:rsidR="001C411D" w:rsidRPr="001F63BA" w:rsidRDefault="001C411D" w:rsidP="000B7C3D">
            <w:pPr>
              <w:autoSpaceDE w:val="0"/>
              <w:autoSpaceDN w:val="0"/>
              <w:adjustRightInd w:val="0"/>
              <w:rPr>
                <w:rFonts w:ascii="GHEA Grapalat" w:hAnsi="GHEA Grapalat" w:cs="Arial"/>
                <w:b/>
                <w:bCs/>
                <w:noProof w:val="0"/>
                <w:sz w:val="18"/>
                <w:szCs w:val="18"/>
              </w:rPr>
            </w:pPr>
          </w:p>
        </w:tc>
      </w:tr>
      <w:tr w:rsidR="001C411D" w:rsidRPr="001F63BA" w:rsidTr="00A817E9">
        <w:trPr>
          <w:trHeight w:val="279"/>
          <w:jc w:val="center"/>
        </w:trPr>
        <w:tc>
          <w:tcPr>
            <w:tcW w:w="10179" w:type="dxa"/>
            <w:gridSpan w:val="7"/>
            <w:tcBorders>
              <w:top w:val="single" w:sz="4" w:space="0" w:color="548DD4"/>
            </w:tcBorders>
            <w:vAlign w:val="center"/>
          </w:tcPr>
          <w:p w:rsidR="001C411D" w:rsidRPr="001F63BA" w:rsidRDefault="001C411D" w:rsidP="000B7C3D">
            <w:pPr>
              <w:autoSpaceDE w:val="0"/>
              <w:autoSpaceDN w:val="0"/>
              <w:adjustRightInd w:val="0"/>
              <w:rPr>
                <w:rFonts w:ascii="GHEA Grapalat" w:hAnsi="GHEA Grapalat" w:cs="Arial"/>
                <w:noProof w:val="0"/>
                <w:sz w:val="18"/>
                <w:szCs w:val="18"/>
              </w:rPr>
            </w:pPr>
            <w:r w:rsidRPr="001F63BA">
              <w:rPr>
                <w:rFonts w:ascii="GHEA Grapalat" w:hAnsi="GHEA Grapalat"/>
                <w:b/>
                <w:noProof w:val="0"/>
                <w:sz w:val="18"/>
                <w:szCs w:val="18"/>
              </w:rPr>
              <w:t>Հիմնական մակրոտնտեսական ցուցանիշներ</w:t>
            </w:r>
          </w:p>
        </w:tc>
      </w:tr>
      <w:tr w:rsidR="001C411D" w:rsidRPr="001F63BA" w:rsidTr="00A817E9">
        <w:trPr>
          <w:trHeight w:val="189"/>
          <w:jc w:val="center"/>
        </w:trPr>
        <w:tc>
          <w:tcPr>
            <w:tcW w:w="3279" w:type="dxa"/>
            <w:tcBorders>
              <w:top w:val="single" w:sz="4" w:space="0" w:color="548DD4"/>
            </w:tcBorders>
          </w:tcPr>
          <w:p w:rsidR="001C411D" w:rsidRPr="001F63BA" w:rsidRDefault="001C411D" w:rsidP="000B7C3D">
            <w:pPr>
              <w:autoSpaceDE w:val="0"/>
              <w:autoSpaceDN w:val="0"/>
              <w:adjustRightInd w:val="0"/>
              <w:rPr>
                <w:rFonts w:ascii="GHEA Grapalat" w:hAnsi="GHEA Grapalat"/>
                <w:b/>
                <w:noProof w:val="0"/>
                <w:sz w:val="18"/>
                <w:szCs w:val="18"/>
              </w:rPr>
            </w:pPr>
            <w:r w:rsidRPr="001F63BA">
              <w:rPr>
                <w:rFonts w:ascii="GHEA Grapalat" w:hAnsi="GHEA Grapalat"/>
                <w:b/>
                <w:noProof w:val="0"/>
                <w:sz w:val="18"/>
                <w:szCs w:val="18"/>
              </w:rPr>
              <w:t>Անվանական ՀՆԱ, մլրդ դրամ</w:t>
            </w:r>
          </w:p>
        </w:tc>
        <w:tc>
          <w:tcPr>
            <w:tcW w:w="976" w:type="dxa"/>
            <w:tcBorders>
              <w:top w:val="single" w:sz="4" w:space="0" w:color="548DD4"/>
            </w:tcBorders>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6,017.0</w:t>
            </w:r>
          </w:p>
        </w:tc>
        <w:tc>
          <w:tcPr>
            <w:tcW w:w="1065" w:type="dxa"/>
            <w:tcBorders>
              <w:top w:val="single" w:sz="4" w:space="0" w:color="548DD4"/>
            </w:tcBorders>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6,543.3</w:t>
            </w:r>
          </w:p>
        </w:tc>
        <w:tc>
          <w:tcPr>
            <w:tcW w:w="957" w:type="dxa"/>
            <w:tcBorders>
              <w:top w:val="single" w:sz="4" w:space="0" w:color="548DD4"/>
            </w:tcBorders>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6,181.9</w:t>
            </w:r>
          </w:p>
        </w:tc>
        <w:tc>
          <w:tcPr>
            <w:tcW w:w="996" w:type="dxa"/>
            <w:tcBorders>
              <w:top w:val="single" w:sz="4" w:space="0" w:color="548DD4"/>
            </w:tcBorders>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6,983.0</w:t>
            </w:r>
          </w:p>
        </w:tc>
        <w:tc>
          <w:tcPr>
            <w:tcW w:w="1785" w:type="dxa"/>
            <w:tcBorders>
              <w:top w:val="single" w:sz="4" w:space="0" w:color="548DD4"/>
            </w:tcBorders>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7,869.4</w:t>
            </w:r>
          </w:p>
        </w:tc>
        <w:tc>
          <w:tcPr>
            <w:tcW w:w="1121"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8,496.8</w:t>
            </w:r>
          </w:p>
        </w:tc>
      </w:tr>
      <w:tr w:rsidR="001C411D" w:rsidRPr="001F63BA" w:rsidTr="00A817E9">
        <w:trPr>
          <w:trHeight w:val="189"/>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 xml:space="preserve">ՀՆԱ-ի իրական աճ, % </w:t>
            </w:r>
          </w:p>
        </w:tc>
        <w:tc>
          <w:tcPr>
            <w:tcW w:w="97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5.2</w:t>
            </w:r>
          </w:p>
        </w:tc>
        <w:tc>
          <w:tcPr>
            <w:tcW w:w="106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7.6</w:t>
            </w:r>
          </w:p>
        </w:tc>
        <w:tc>
          <w:tcPr>
            <w:tcW w:w="957"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-7.2</w:t>
            </w:r>
          </w:p>
        </w:tc>
        <w:tc>
          <w:tcPr>
            <w:tcW w:w="99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5.7</w:t>
            </w:r>
          </w:p>
        </w:tc>
        <w:tc>
          <w:tcPr>
            <w:tcW w:w="178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7.0</w:t>
            </w:r>
          </w:p>
        </w:tc>
        <w:tc>
          <w:tcPr>
            <w:tcW w:w="1121"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12.6</w:t>
            </w:r>
          </w:p>
        </w:tc>
      </w:tr>
      <w:tr w:rsidR="001C411D" w:rsidRPr="001F63BA" w:rsidTr="00A817E9">
        <w:trPr>
          <w:trHeight w:val="189"/>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ՀՆԱ դեֆլյատորի աճ, %</w:t>
            </w:r>
          </w:p>
        </w:tc>
        <w:tc>
          <w:tcPr>
            <w:tcW w:w="97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2.8</w:t>
            </w:r>
          </w:p>
        </w:tc>
        <w:tc>
          <w:tcPr>
            <w:tcW w:w="106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1.0</w:t>
            </w:r>
          </w:p>
        </w:tc>
        <w:tc>
          <w:tcPr>
            <w:tcW w:w="957"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1.8</w:t>
            </w:r>
          </w:p>
        </w:tc>
        <w:tc>
          <w:tcPr>
            <w:tcW w:w="99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6.9</w:t>
            </w:r>
          </w:p>
        </w:tc>
        <w:tc>
          <w:tcPr>
            <w:tcW w:w="178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4.6</w:t>
            </w:r>
          </w:p>
        </w:tc>
        <w:tc>
          <w:tcPr>
            <w:tcW w:w="1121"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8.1</w:t>
            </w:r>
          </w:p>
        </w:tc>
      </w:tr>
      <w:tr w:rsidR="001C411D" w:rsidRPr="001F63BA" w:rsidTr="00A817E9">
        <w:trPr>
          <w:trHeight w:val="189"/>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Գնաճ (ժամանակաշրջանի վերջ), %</w:t>
            </w:r>
          </w:p>
        </w:tc>
        <w:tc>
          <w:tcPr>
            <w:tcW w:w="97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1.8</w:t>
            </w:r>
          </w:p>
        </w:tc>
        <w:tc>
          <w:tcPr>
            <w:tcW w:w="106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0.7</w:t>
            </w:r>
          </w:p>
        </w:tc>
        <w:tc>
          <w:tcPr>
            <w:tcW w:w="957"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3.7</w:t>
            </w:r>
          </w:p>
        </w:tc>
        <w:tc>
          <w:tcPr>
            <w:tcW w:w="99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7.7</w:t>
            </w:r>
          </w:p>
        </w:tc>
        <w:tc>
          <w:tcPr>
            <w:tcW w:w="178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5.2</w:t>
            </w:r>
          </w:p>
        </w:tc>
        <w:tc>
          <w:tcPr>
            <w:tcW w:w="1121"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8.3</w:t>
            </w:r>
          </w:p>
        </w:tc>
      </w:tr>
      <w:tr w:rsidR="001C411D" w:rsidRPr="001F63BA" w:rsidTr="00A817E9">
        <w:trPr>
          <w:trHeight w:val="189"/>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Գնաճ (միջին), %</w:t>
            </w:r>
          </w:p>
        </w:tc>
        <w:tc>
          <w:tcPr>
            <w:tcW w:w="97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2.5</w:t>
            </w:r>
          </w:p>
        </w:tc>
        <w:tc>
          <w:tcPr>
            <w:tcW w:w="106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1.4</w:t>
            </w:r>
          </w:p>
        </w:tc>
        <w:tc>
          <w:tcPr>
            <w:tcW w:w="957"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1.2</w:t>
            </w:r>
          </w:p>
        </w:tc>
        <w:tc>
          <w:tcPr>
            <w:tcW w:w="99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7.2</w:t>
            </w:r>
          </w:p>
        </w:tc>
        <w:tc>
          <w:tcPr>
            <w:tcW w:w="1785" w:type="dxa"/>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5.6</w:t>
            </w:r>
          </w:p>
        </w:tc>
        <w:tc>
          <w:tcPr>
            <w:tcW w:w="1121"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8.6</w:t>
            </w:r>
          </w:p>
        </w:tc>
      </w:tr>
      <w:tr w:rsidR="001C411D" w:rsidRPr="001F63BA" w:rsidTr="00A817E9">
        <w:trPr>
          <w:trHeight w:val="101"/>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 xml:space="preserve">Գործազրկության մակարդակը </w:t>
            </w:r>
          </w:p>
        </w:tc>
        <w:tc>
          <w:tcPr>
            <w:tcW w:w="97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w:t>
            </w:r>
          </w:p>
        </w:tc>
        <w:tc>
          <w:tcPr>
            <w:tcW w:w="106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18.3</w:t>
            </w:r>
          </w:p>
        </w:tc>
        <w:tc>
          <w:tcPr>
            <w:tcW w:w="957"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18.2</w:t>
            </w:r>
          </w:p>
        </w:tc>
        <w:tc>
          <w:tcPr>
            <w:tcW w:w="99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15.5</w:t>
            </w:r>
          </w:p>
        </w:tc>
        <w:tc>
          <w:tcPr>
            <w:tcW w:w="178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w:t>
            </w:r>
          </w:p>
        </w:tc>
        <w:tc>
          <w:tcPr>
            <w:tcW w:w="1121"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13.0</w:t>
            </w:r>
          </w:p>
        </w:tc>
      </w:tr>
      <w:tr w:rsidR="001C411D" w:rsidRPr="001F63BA" w:rsidTr="00A817E9">
        <w:trPr>
          <w:trHeight w:val="101"/>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1 շնչին ընկնող ՀՆԱ, ԱՄՆ դոլար</w:t>
            </w:r>
            <w:r w:rsidRPr="001F63BA">
              <w:rPr>
                <w:rFonts w:ascii="GHEA Grapalat" w:hAnsi="GHEA Grapalat"/>
                <w:noProof w:val="0"/>
                <w:sz w:val="18"/>
                <w:szCs w:val="18"/>
                <w:vertAlign w:val="superscript"/>
              </w:rPr>
              <w:footnoteReference w:id="3"/>
            </w:r>
          </w:p>
        </w:tc>
        <w:tc>
          <w:tcPr>
            <w:tcW w:w="97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4,196</w:t>
            </w:r>
          </w:p>
        </w:tc>
        <w:tc>
          <w:tcPr>
            <w:tcW w:w="106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4,597</w:t>
            </w:r>
          </w:p>
        </w:tc>
        <w:tc>
          <w:tcPr>
            <w:tcW w:w="957"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4,269</w:t>
            </w:r>
          </w:p>
        </w:tc>
        <w:tc>
          <w:tcPr>
            <w:tcW w:w="996"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4,679</w:t>
            </w:r>
          </w:p>
        </w:tc>
        <w:tc>
          <w:tcPr>
            <w:tcW w:w="1785"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5,148</w:t>
            </w:r>
          </w:p>
        </w:tc>
        <w:tc>
          <w:tcPr>
            <w:tcW w:w="1121" w:type="dxa"/>
            <w:vAlign w:val="center"/>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6,569</w:t>
            </w:r>
          </w:p>
        </w:tc>
      </w:tr>
      <w:tr w:rsidR="001C411D" w:rsidRPr="001F63BA" w:rsidTr="00A817E9">
        <w:trPr>
          <w:trHeight w:val="101"/>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Հիմնական միջոցներում ներդրումներ / ՀՆԱ, %</w:t>
            </w:r>
          </w:p>
        </w:tc>
        <w:tc>
          <w:tcPr>
            <w:tcW w:w="976"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16.7</w:t>
            </w:r>
          </w:p>
        </w:tc>
        <w:tc>
          <w:tcPr>
            <w:tcW w:w="1065"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15.8</w:t>
            </w:r>
          </w:p>
        </w:tc>
        <w:tc>
          <w:tcPr>
            <w:tcW w:w="957"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17.8</w:t>
            </w:r>
          </w:p>
        </w:tc>
        <w:tc>
          <w:tcPr>
            <w:tcW w:w="996"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18.3</w:t>
            </w:r>
          </w:p>
        </w:tc>
        <w:tc>
          <w:tcPr>
            <w:tcW w:w="1785"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lang w:val="en-US"/>
              </w:rPr>
            </w:pPr>
            <w:r w:rsidRPr="001F63BA">
              <w:rPr>
                <w:rFonts w:ascii="GHEA Grapalat" w:hAnsi="GHEA Grapalat"/>
                <w:noProof w:val="0"/>
                <w:sz w:val="18"/>
                <w:szCs w:val="18"/>
                <w:lang w:val="en-US"/>
              </w:rPr>
              <w:t>18.7</w:t>
            </w:r>
          </w:p>
        </w:tc>
        <w:tc>
          <w:tcPr>
            <w:tcW w:w="1121"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17.5</w:t>
            </w:r>
          </w:p>
        </w:tc>
      </w:tr>
      <w:tr w:rsidR="001C411D" w:rsidRPr="001F63BA" w:rsidTr="00A817E9">
        <w:trPr>
          <w:trHeight w:val="101"/>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rPr>
            </w:pPr>
            <w:r w:rsidRPr="001F63BA">
              <w:rPr>
                <w:rFonts w:ascii="GHEA Grapalat" w:hAnsi="GHEA Grapalat"/>
                <w:noProof w:val="0"/>
                <w:sz w:val="18"/>
                <w:szCs w:val="18"/>
              </w:rPr>
              <w:t>Արտահանում / ՀՆԱ, %</w:t>
            </w:r>
          </w:p>
        </w:tc>
        <w:tc>
          <w:tcPr>
            <w:tcW w:w="976"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39.4</w:t>
            </w:r>
          </w:p>
        </w:tc>
        <w:tc>
          <w:tcPr>
            <w:tcW w:w="1065"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41.4</w:t>
            </w:r>
          </w:p>
        </w:tc>
        <w:tc>
          <w:tcPr>
            <w:tcW w:w="957"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29.8</w:t>
            </w:r>
          </w:p>
        </w:tc>
        <w:tc>
          <w:tcPr>
            <w:tcW w:w="996"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35.3</w:t>
            </w:r>
          </w:p>
        </w:tc>
        <w:tc>
          <w:tcPr>
            <w:tcW w:w="1785"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lang w:val="en-US"/>
              </w:rPr>
            </w:pPr>
            <w:r w:rsidRPr="001F63BA">
              <w:rPr>
                <w:rFonts w:ascii="GHEA Grapalat" w:hAnsi="GHEA Grapalat"/>
                <w:noProof w:val="0"/>
                <w:sz w:val="18"/>
                <w:szCs w:val="18"/>
                <w:lang w:val="en-US"/>
              </w:rPr>
              <w:t>34.5</w:t>
            </w:r>
          </w:p>
        </w:tc>
        <w:tc>
          <w:tcPr>
            <w:tcW w:w="1121" w:type="dxa"/>
            <w:vAlign w:val="center"/>
          </w:tcPr>
          <w:p w:rsidR="001C411D" w:rsidRPr="001F63BA" w:rsidRDefault="001C411D" w:rsidP="000B7C3D">
            <w:pPr>
              <w:autoSpaceDE w:val="0"/>
              <w:autoSpaceDN w:val="0"/>
              <w:adjustRightInd w:val="0"/>
              <w:jc w:val="center"/>
              <w:rPr>
                <w:rFonts w:ascii="GHEA Grapalat" w:hAnsi="GHEA Grapalat"/>
                <w:noProof w:val="0"/>
                <w:sz w:val="18"/>
                <w:szCs w:val="18"/>
              </w:rPr>
            </w:pPr>
            <w:r w:rsidRPr="001F63BA">
              <w:rPr>
                <w:rFonts w:ascii="GHEA Grapalat" w:hAnsi="GHEA Grapalat"/>
                <w:noProof w:val="0"/>
                <w:sz w:val="18"/>
                <w:szCs w:val="18"/>
              </w:rPr>
              <w:t>47.7</w:t>
            </w:r>
          </w:p>
        </w:tc>
      </w:tr>
      <w:tr w:rsidR="001C411D" w:rsidRPr="001F63BA" w:rsidTr="00A817E9">
        <w:trPr>
          <w:trHeight w:val="101"/>
          <w:jc w:val="center"/>
        </w:trPr>
        <w:tc>
          <w:tcPr>
            <w:tcW w:w="3279" w:type="dxa"/>
          </w:tcPr>
          <w:p w:rsidR="001C411D" w:rsidRPr="001F63BA" w:rsidRDefault="001C411D" w:rsidP="000B7C3D">
            <w:pPr>
              <w:autoSpaceDE w:val="0"/>
              <w:autoSpaceDN w:val="0"/>
              <w:adjustRightInd w:val="0"/>
              <w:rPr>
                <w:rFonts w:ascii="GHEA Grapalat" w:hAnsi="GHEA Grapalat"/>
                <w:noProof w:val="0"/>
                <w:sz w:val="18"/>
                <w:szCs w:val="18"/>
                <w:lang w:val="en-GB"/>
              </w:rPr>
            </w:pPr>
            <w:r w:rsidRPr="001F63BA">
              <w:rPr>
                <w:rFonts w:ascii="GHEA Grapalat" w:hAnsi="GHEA Grapalat"/>
                <w:noProof w:val="0"/>
                <w:sz w:val="18"/>
                <w:szCs w:val="18"/>
              </w:rPr>
              <w:t xml:space="preserve">Ընթացիկ հաշիվ </w:t>
            </w:r>
            <w:r w:rsidRPr="001F63BA">
              <w:rPr>
                <w:rFonts w:ascii="GHEA Grapalat" w:hAnsi="GHEA Grapalat"/>
                <w:noProof w:val="0"/>
                <w:sz w:val="18"/>
                <w:szCs w:val="18"/>
                <w:lang w:val="en-GB"/>
              </w:rPr>
              <w:t>/</w:t>
            </w:r>
            <w:r w:rsidRPr="001F63BA">
              <w:rPr>
                <w:rFonts w:ascii="GHEA Grapalat" w:hAnsi="GHEA Grapalat"/>
                <w:noProof w:val="0"/>
                <w:sz w:val="18"/>
                <w:szCs w:val="18"/>
              </w:rPr>
              <w:t xml:space="preserve"> ՀՆԱ, %</w:t>
            </w:r>
          </w:p>
        </w:tc>
        <w:tc>
          <w:tcPr>
            <w:tcW w:w="976" w:type="dxa"/>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-7.4</w:t>
            </w:r>
          </w:p>
        </w:tc>
        <w:tc>
          <w:tcPr>
            <w:tcW w:w="1065" w:type="dxa"/>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-7.3</w:t>
            </w:r>
          </w:p>
        </w:tc>
        <w:tc>
          <w:tcPr>
            <w:tcW w:w="957" w:type="dxa"/>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-3.8</w:t>
            </w:r>
          </w:p>
        </w:tc>
        <w:tc>
          <w:tcPr>
            <w:tcW w:w="996" w:type="dxa"/>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-3.7</w:t>
            </w:r>
          </w:p>
        </w:tc>
        <w:tc>
          <w:tcPr>
            <w:tcW w:w="1785" w:type="dxa"/>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-3.0</w:t>
            </w:r>
          </w:p>
        </w:tc>
        <w:tc>
          <w:tcPr>
            <w:tcW w:w="1121" w:type="dxa"/>
          </w:tcPr>
          <w:p w:rsidR="001C411D" w:rsidRPr="001F63BA" w:rsidRDefault="001C411D" w:rsidP="000B7C3D">
            <w:pPr>
              <w:autoSpaceDE w:val="0"/>
              <w:autoSpaceDN w:val="0"/>
              <w:adjustRightInd w:val="0"/>
              <w:jc w:val="center"/>
              <w:rPr>
                <w:rFonts w:ascii="GHEA Grapalat" w:hAnsi="GHEA Grapalat" w:cs="Arial"/>
                <w:noProof w:val="0"/>
                <w:sz w:val="18"/>
                <w:szCs w:val="18"/>
              </w:rPr>
            </w:pPr>
            <w:r w:rsidRPr="001F63BA">
              <w:rPr>
                <w:rFonts w:ascii="GHEA Grapalat" w:hAnsi="GHEA Grapalat" w:cs="Arial"/>
                <w:noProof w:val="0"/>
                <w:sz w:val="18"/>
                <w:szCs w:val="18"/>
              </w:rPr>
              <w:t>0.9</w:t>
            </w:r>
          </w:p>
        </w:tc>
      </w:tr>
      <w:tr w:rsidR="001C411D" w:rsidRPr="001F63BA" w:rsidTr="00A817E9">
        <w:trPr>
          <w:trHeight w:val="352"/>
          <w:jc w:val="center"/>
        </w:trPr>
        <w:tc>
          <w:tcPr>
            <w:tcW w:w="10179" w:type="dxa"/>
            <w:gridSpan w:val="7"/>
            <w:vAlign w:val="center"/>
          </w:tcPr>
          <w:p w:rsidR="001C411D" w:rsidRPr="001F63BA" w:rsidRDefault="001C411D" w:rsidP="000B7C3D">
            <w:pPr>
              <w:rPr>
                <w:rFonts w:ascii="GHEA Grapalat" w:hAnsi="GHEA Grapalat" w:cs="Calibri"/>
                <w:noProof w:val="0"/>
                <w:sz w:val="18"/>
                <w:szCs w:val="18"/>
              </w:rPr>
            </w:pPr>
            <w:r w:rsidRPr="001F63BA">
              <w:rPr>
                <w:rFonts w:ascii="GHEA Grapalat" w:hAnsi="GHEA Grapalat"/>
                <w:b/>
                <w:sz w:val="18"/>
                <w:szCs w:val="18"/>
              </w:rPr>
              <w:t>Հարկաբյուջետային ցուցանիշներ (մլրդ դրամ)</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Պետական բյուջեի եկամուտներ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1,341.7</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1,565.5</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1,560.7</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1,683.8</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1,947.8</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2,063.1</w:t>
            </w:r>
          </w:p>
        </w:tc>
      </w:tr>
      <w:tr w:rsidR="001C411D" w:rsidRPr="001F63BA" w:rsidTr="00A817E9">
        <w:trPr>
          <w:trHeight w:val="101"/>
          <w:jc w:val="center"/>
        </w:trPr>
        <w:tc>
          <w:tcPr>
            <w:tcW w:w="3279" w:type="dxa"/>
            <w:vAlign w:val="center"/>
          </w:tcPr>
          <w:p w:rsidR="001C411D" w:rsidRPr="001F63BA" w:rsidRDefault="001C411D" w:rsidP="000B7C3D">
            <w:pPr>
              <w:ind w:firstLineChars="300" w:firstLine="540"/>
              <w:rPr>
                <w:rFonts w:ascii="GHEA Grapalat" w:hAnsi="GHEA Grapalat" w:cs="Calibri"/>
                <w:i/>
                <w:iCs/>
                <w:noProof w:val="0"/>
                <w:sz w:val="18"/>
                <w:szCs w:val="18"/>
                <w:lang w:val="en-US"/>
              </w:rPr>
            </w:pPr>
            <w:r w:rsidRPr="001F63BA">
              <w:rPr>
                <w:rFonts w:ascii="GHEA Grapalat" w:hAnsi="GHEA Grapalat" w:cs="Calibri"/>
                <w:i/>
                <w:iCs/>
                <w:noProof w:val="0"/>
                <w:sz w:val="18"/>
                <w:szCs w:val="18"/>
              </w:rPr>
              <w:t>Հարկային եկամուտներ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1,258.1</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1,464.3</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1,385.2</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1,586.9</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1,843.9</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1,926.0</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Պետական բյուջեի ծախսեր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1,447.1</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1,629.4</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1,894.6</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2,004.3</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2,184.0</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2,242.6</w:t>
            </w:r>
          </w:p>
        </w:tc>
      </w:tr>
      <w:tr w:rsidR="001C411D" w:rsidRPr="001F63BA" w:rsidTr="00A817E9">
        <w:trPr>
          <w:trHeight w:val="101"/>
          <w:jc w:val="center"/>
        </w:trPr>
        <w:tc>
          <w:tcPr>
            <w:tcW w:w="3279" w:type="dxa"/>
            <w:vAlign w:val="center"/>
          </w:tcPr>
          <w:p w:rsidR="001C411D" w:rsidRPr="001F63BA" w:rsidRDefault="001C411D" w:rsidP="000B7C3D">
            <w:pPr>
              <w:ind w:firstLineChars="200" w:firstLine="360"/>
              <w:rPr>
                <w:rFonts w:ascii="GHEA Grapalat" w:hAnsi="GHEA Grapalat" w:cs="Calibri"/>
                <w:i/>
                <w:iCs/>
                <w:noProof w:val="0"/>
                <w:sz w:val="18"/>
                <w:szCs w:val="18"/>
                <w:lang w:val="en-US"/>
              </w:rPr>
            </w:pPr>
            <w:r w:rsidRPr="001F63BA">
              <w:rPr>
                <w:rFonts w:ascii="GHEA Grapalat" w:hAnsi="GHEA Grapalat" w:cs="Calibri"/>
                <w:i/>
                <w:iCs/>
                <w:noProof w:val="0"/>
                <w:sz w:val="18"/>
                <w:szCs w:val="18"/>
              </w:rPr>
              <w:t>Ընթացիկ ծախսեր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1,299.0</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1,437.1</w:t>
            </w:r>
          </w:p>
        </w:tc>
        <w:tc>
          <w:tcPr>
            <w:tcW w:w="957" w:type="dxa"/>
            <w:vAlign w:val="center"/>
          </w:tcPr>
          <w:p w:rsidR="001C411D" w:rsidRPr="001F63BA" w:rsidRDefault="001C411D" w:rsidP="00B02330">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1,668.</w:t>
            </w:r>
            <w:r w:rsidRPr="001F63BA">
              <w:rPr>
                <w:rFonts w:ascii="GHEA Grapalat" w:hAnsi="GHEA Grapalat" w:cs="Calibri"/>
                <w:noProof w:val="0"/>
                <w:sz w:val="18"/>
                <w:szCs w:val="18"/>
                <w:lang w:val="en-US"/>
              </w:rPr>
              <w:t>5</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1,788.0</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1,842.2</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1,862.2</w:t>
            </w:r>
          </w:p>
        </w:tc>
      </w:tr>
      <w:tr w:rsidR="001C411D" w:rsidRPr="001F63BA" w:rsidTr="00A817E9">
        <w:trPr>
          <w:trHeight w:val="101"/>
          <w:jc w:val="center"/>
        </w:trPr>
        <w:tc>
          <w:tcPr>
            <w:tcW w:w="3279" w:type="dxa"/>
            <w:vAlign w:val="center"/>
          </w:tcPr>
          <w:p w:rsidR="001C411D" w:rsidRPr="001F63BA" w:rsidRDefault="001C411D" w:rsidP="000B7C3D">
            <w:pPr>
              <w:ind w:firstLineChars="200" w:firstLine="360"/>
              <w:rPr>
                <w:rFonts w:ascii="GHEA Grapalat" w:hAnsi="GHEA Grapalat" w:cs="Calibri"/>
                <w:i/>
                <w:iCs/>
                <w:noProof w:val="0"/>
                <w:sz w:val="18"/>
                <w:szCs w:val="18"/>
              </w:rPr>
            </w:pPr>
            <w:r w:rsidRPr="001F63BA">
              <w:rPr>
                <w:rFonts w:ascii="GHEA Grapalat" w:hAnsi="GHEA Grapalat" w:cs="Calibri"/>
                <w:i/>
                <w:iCs/>
                <w:noProof w:val="0"/>
                <w:sz w:val="18"/>
                <w:szCs w:val="18"/>
              </w:rPr>
              <w:t>Ոչ ֆինանսական ակտիվների  հետ գործառնություններ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148.1</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192.3</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226.2</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216.3</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341.9</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380.4</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Պետական բյուջեի պակասուրդ</w:t>
            </w:r>
            <w:r w:rsidRPr="001F63BA">
              <w:rPr>
                <w:rFonts w:ascii="Courier New" w:hAnsi="Courier New" w:cs="Courier New"/>
                <w:noProof w:val="0"/>
                <w:sz w:val="16"/>
                <w:szCs w:val="16"/>
              </w:rPr>
              <w:t> </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105.4</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63.9</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334.0</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320.5</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236.3</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179.5</w:t>
            </w:r>
          </w:p>
        </w:tc>
      </w:tr>
      <w:tr w:rsidR="001C411D" w:rsidRPr="001F63BA" w:rsidTr="00A817E9">
        <w:trPr>
          <w:trHeight w:val="101"/>
          <w:jc w:val="center"/>
        </w:trPr>
        <w:tc>
          <w:tcPr>
            <w:tcW w:w="3279" w:type="dxa"/>
            <w:vAlign w:val="center"/>
          </w:tcPr>
          <w:p w:rsidR="001C411D" w:rsidRPr="001F63BA" w:rsidRDefault="005A2A7C"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Կառավարությ</w:t>
            </w:r>
            <w:r w:rsidR="001C411D" w:rsidRPr="001F63BA">
              <w:rPr>
                <w:rFonts w:ascii="GHEA Grapalat" w:hAnsi="GHEA Grapalat" w:cs="Calibri"/>
                <w:noProof w:val="0"/>
                <w:sz w:val="18"/>
                <w:szCs w:val="18"/>
              </w:rPr>
              <w:t>ան պարտք</w:t>
            </w:r>
          </w:p>
        </w:tc>
        <w:tc>
          <w:tcPr>
            <w:tcW w:w="976" w:type="dxa"/>
            <w:vAlign w:val="center"/>
          </w:tcPr>
          <w:p w:rsidR="001C411D" w:rsidRPr="001F63BA" w:rsidRDefault="001C411D" w:rsidP="00E310BF">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3,082.</w:t>
            </w:r>
            <w:r w:rsidRPr="001F63BA">
              <w:rPr>
                <w:rFonts w:ascii="GHEA Grapalat" w:hAnsi="GHEA Grapalat" w:cs="Calibri"/>
                <w:noProof w:val="0"/>
                <w:sz w:val="18"/>
                <w:szCs w:val="18"/>
                <w:lang w:val="en-US"/>
              </w:rPr>
              <w:t>5</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3,277.3</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3,923.9</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4,209.8</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4,740.8</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3,969.7</w:t>
            </w:r>
          </w:p>
        </w:tc>
      </w:tr>
      <w:tr w:rsidR="001C411D" w:rsidRPr="001F63BA" w:rsidTr="00A817E9">
        <w:trPr>
          <w:trHeight w:val="272"/>
          <w:jc w:val="center"/>
        </w:trPr>
        <w:tc>
          <w:tcPr>
            <w:tcW w:w="10179" w:type="dxa"/>
            <w:gridSpan w:val="7"/>
            <w:vAlign w:val="center"/>
          </w:tcPr>
          <w:p w:rsidR="001C411D" w:rsidRPr="001F63BA" w:rsidRDefault="001C411D" w:rsidP="000B7C3D">
            <w:pPr>
              <w:rPr>
                <w:rFonts w:ascii="GHEA Grapalat" w:hAnsi="GHEA Grapalat" w:cs="Calibri"/>
                <w:noProof w:val="0"/>
                <w:sz w:val="18"/>
                <w:szCs w:val="18"/>
              </w:rPr>
            </w:pPr>
            <w:r w:rsidRPr="001F63BA">
              <w:rPr>
                <w:rFonts w:ascii="GHEA Grapalat" w:hAnsi="GHEA Grapalat"/>
                <w:b/>
                <w:sz w:val="18"/>
                <w:szCs w:val="18"/>
              </w:rPr>
              <w:t>Հարկաբյուջետային ցուցանիշները (ՀՆԱ-ի նկատմամբ %)</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Պետական բյուջեի եկամուտներ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22.3</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23.9</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25.2</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24.1</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24.8</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24.3</w:t>
            </w:r>
          </w:p>
        </w:tc>
      </w:tr>
      <w:tr w:rsidR="001C411D" w:rsidRPr="001F63BA" w:rsidTr="00A817E9">
        <w:trPr>
          <w:trHeight w:val="101"/>
          <w:jc w:val="center"/>
        </w:trPr>
        <w:tc>
          <w:tcPr>
            <w:tcW w:w="3279" w:type="dxa"/>
            <w:vAlign w:val="center"/>
          </w:tcPr>
          <w:p w:rsidR="001C411D" w:rsidRPr="001F63BA" w:rsidRDefault="001C411D" w:rsidP="000B7C3D">
            <w:pPr>
              <w:ind w:firstLineChars="300" w:firstLine="540"/>
              <w:rPr>
                <w:rFonts w:ascii="GHEA Grapalat" w:hAnsi="GHEA Grapalat" w:cs="Calibri"/>
                <w:i/>
                <w:iCs/>
                <w:noProof w:val="0"/>
                <w:sz w:val="18"/>
                <w:szCs w:val="18"/>
                <w:lang w:val="en-US"/>
              </w:rPr>
            </w:pPr>
            <w:r w:rsidRPr="001F63BA">
              <w:rPr>
                <w:rFonts w:ascii="GHEA Grapalat" w:hAnsi="GHEA Grapalat" w:cs="Calibri"/>
                <w:i/>
                <w:iCs/>
                <w:noProof w:val="0"/>
                <w:sz w:val="18"/>
                <w:szCs w:val="18"/>
              </w:rPr>
              <w:t>Հարկային եկամուտներ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20.9</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22.4</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22.4</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22.7</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23.4</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22.7</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Պետական բյուջեի ծախսեր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24.0</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24.9</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30.6</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28.7</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27.8</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26.4</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i/>
                <w:iCs/>
                <w:noProof w:val="0"/>
                <w:sz w:val="18"/>
                <w:szCs w:val="18"/>
                <w:lang w:val="en-US"/>
              </w:rPr>
            </w:pPr>
            <w:r w:rsidRPr="001F63BA">
              <w:rPr>
                <w:rFonts w:ascii="GHEA Grapalat" w:hAnsi="GHEA Grapalat" w:cs="Calibri"/>
                <w:i/>
                <w:iCs/>
                <w:noProof w:val="0"/>
                <w:sz w:val="18"/>
                <w:szCs w:val="18"/>
              </w:rPr>
              <w:t xml:space="preserve">     Ընթացիկ ծախսեր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21.6</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22.0</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27.0</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25.6</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23.4</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21.9</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i/>
                <w:iCs/>
                <w:noProof w:val="0"/>
                <w:sz w:val="18"/>
                <w:szCs w:val="18"/>
              </w:rPr>
            </w:pPr>
            <w:r w:rsidRPr="001F63BA">
              <w:rPr>
                <w:rFonts w:ascii="GHEA Grapalat" w:hAnsi="GHEA Grapalat" w:cs="Calibri"/>
                <w:i/>
                <w:iCs/>
                <w:noProof w:val="0"/>
                <w:sz w:val="18"/>
                <w:szCs w:val="18"/>
              </w:rPr>
              <w:lastRenderedPageBreak/>
              <w:t xml:space="preserve">    Ոչ ֆինանսական ակտիվների  հետ գործառնություններ</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2.5</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2.9</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3.7</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3.1</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4.3</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4.5</w:t>
            </w:r>
          </w:p>
        </w:tc>
      </w:tr>
      <w:tr w:rsidR="001C411D" w:rsidRPr="001F63BA" w:rsidTr="00A817E9">
        <w:trPr>
          <w:trHeight w:val="101"/>
          <w:jc w:val="center"/>
        </w:trPr>
        <w:tc>
          <w:tcPr>
            <w:tcW w:w="3279" w:type="dxa"/>
            <w:vAlign w:val="center"/>
          </w:tcPr>
          <w:p w:rsidR="001C411D" w:rsidRPr="001F63BA" w:rsidRDefault="001C411D"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Պետական բյուջեի պակասուրդ</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1.8</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1.0</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5.4</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4.6</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3.0</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2.1</w:t>
            </w:r>
          </w:p>
        </w:tc>
      </w:tr>
      <w:tr w:rsidR="001C411D" w:rsidRPr="001F63BA" w:rsidTr="00A817E9">
        <w:trPr>
          <w:trHeight w:val="101"/>
          <w:jc w:val="center"/>
        </w:trPr>
        <w:tc>
          <w:tcPr>
            <w:tcW w:w="3279" w:type="dxa"/>
            <w:vAlign w:val="center"/>
          </w:tcPr>
          <w:p w:rsidR="001C411D" w:rsidRPr="001F63BA" w:rsidRDefault="005A2A7C" w:rsidP="000B7C3D">
            <w:pPr>
              <w:rPr>
                <w:rFonts w:ascii="GHEA Grapalat" w:hAnsi="GHEA Grapalat" w:cs="Calibri"/>
                <w:noProof w:val="0"/>
                <w:sz w:val="18"/>
                <w:szCs w:val="18"/>
                <w:lang w:val="en-US"/>
              </w:rPr>
            </w:pPr>
            <w:r w:rsidRPr="001F63BA">
              <w:rPr>
                <w:rFonts w:ascii="GHEA Grapalat" w:hAnsi="GHEA Grapalat" w:cs="Calibri"/>
                <w:noProof w:val="0"/>
                <w:sz w:val="18"/>
                <w:szCs w:val="18"/>
              </w:rPr>
              <w:t>Կառավարությ</w:t>
            </w:r>
            <w:r w:rsidR="001C411D" w:rsidRPr="001F63BA">
              <w:rPr>
                <w:rFonts w:ascii="GHEA Grapalat" w:hAnsi="GHEA Grapalat" w:cs="Calibri"/>
                <w:noProof w:val="0"/>
                <w:sz w:val="18"/>
                <w:szCs w:val="18"/>
              </w:rPr>
              <w:t>ան պարտք</w:t>
            </w:r>
          </w:p>
        </w:tc>
        <w:tc>
          <w:tcPr>
            <w:tcW w:w="97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51.2</w:t>
            </w:r>
          </w:p>
        </w:tc>
        <w:tc>
          <w:tcPr>
            <w:tcW w:w="106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50.1</w:t>
            </w:r>
          </w:p>
        </w:tc>
        <w:tc>
          <w:tcPr>
            <w:tcW w:w="957"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63.5</w:t>
            </w:r>
          </w:p>
        </w:tc>
        <w:tc>
          <w:tcPr>
            <w:tcW w:w="996"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60.3</w:t>
            </w:r>
          </w:p>
        </w:tc>
        <w:tc>
          <w:tcPr>
            <w:tcW w:w="1785"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60.2</w:t>
            </w:r>
          </w:p>
        </w:tc>
        <w:tc>
          <w:tcPr>
            <w:tcW w:w="1121" w:type="dxa"/>
            <w:vAlign w:val="center"/>
          </w:tcPr>
          <w:p w:rsidR="001C411D" w:rsidRPr="001F63BA" w:rsidRDefault="001C411D" w:rsidP="000B7C3D">
            <w:pPr>
              <w:jc w:val="center"/>
              <w:rPr>
                <w:rFonts w:ascii="GHEA Grapalat" w:hAnsi="GHEA Grapalat" w:cs="Calibri"/>
                <w:noProof w:val="0"/>
                <w:sz w:val="18"/>
                <w:szCs w:val="18"/>
                <w:lang w:val="en-US"/>
              </w:rPr>
            </w:pPr>
            <w:r w:rsidRPr="001F63BA">
              <w:rPr>
                <w:rFonts w:ascii="GHEA Grapalat" w:hAnsi="GHEA Grapalat" w:cs="Calibri"/>
                <w:noProof w:val="0"/>
                <w:sz w:val="18"/>
                <w:szCs w:val="18"/>
              </w:rPr>
              <w:t>46.7</w:t>
            </w:r>
          </w:p>
        </w:tc>
      </w:tr>
    </w:tbl>
    <w:p w:rsidR="001C411D" w:rsidRPr="001F63BA" w:rsidRDefault="001C411D" w:rsidP="00E42444">
      <w:pPr>
        <w:pStyle w:val="ListParagraph"/>
        <w:tabs>
          <w:tab w:val="left" w:pos="426"/>
        </w:tabs>
        <w:autoSpaceDE w:val="0"/>
        <w:autoSpaceDN w:val="0"/>
        <w:adjustRightInd w:val="0"/>
        <w:spacing w:after="0" w:line="336" w:lineRule="auto"/>
        <w:ind w:left="0"/>
        <w:contextualSpacing w:val="0"/>
        <w:jc w:val="both"/>
        <w:rPr>
          <w:rFonts w:ascii="GHEA Grapalat" w:hAnsi="GHEA Grapalat"/>
          <w:lang w:val="en-US"/>
        </w:rPr>
        <w:sectPr w:rsidR="001C411D" w:rsidRPr="001F63BA" w:rsidSect="00A41AD1">
          <w:headerReference w:type="default" r:id="rId11"/>
          <w:pgSz w:w="11909" w:h="16834" w:code="9"/>
          <w:pgMar w:top="1134" w:right="567" w:bottom="567" w:left="1134" w:header="720" w:footer="397" w:gutter="0"/>
          <w:cols w:space="720"/>
          <w:docGrid w:linePitch="360"/>
        </w:sectPr>
      </w:pPr>
    </w:p>
    <w:p w:rsidR="001C411D" w:rsidRPr="001F63BA" w:rsidRDefault="001C411D" w:rsidP="00F80CD0">
      <w:pPr>
        <w:pStyle w:val="Heading1"/>
        <w:rPr>
          <w:rFonts w:ascii="GHEA Grapalat" w:hAnsi="GHEA Grapalat" w:cs="Sylfaen"/>
          <w:sz w:val="22"/>
          <w:szCs w:val="22"/>
        </w:rPr>
      </w:pPr>
      <w:bookmarkStart w:id="18" w:name="_Toc132204198"/>
      <w:r w:rsidRPr="001F63BA">
        <w:rPr>
          <w:rFonts w:ascii="GHEA Grapalat" w:hAnsi="GHEA Grapalat" w:cs="Sylfaen"/>
          <w:sz w:val="22"/>
          <w:szCs w:val="22"/>
        </w:rPr>
        <w:lastRenderedPageBreak/>
        <w:t xml:space="preserve">2022 ԹՎԱԿԱՆԻ ՍՈՑԻԱԼ-ՏՆՏԵՍԱԿԱՆ ԶԱՐԳԱՑՄԱՆ ԵՎ ՀԱՐԿԱԲՅՈՒՋԵՏԱՅԻՆ ՔԱՂԱՔԱԿԱՆՈՒԹՅԱՆ </w:t>
      </w:r>
      <w:bookmarkStart w:id="19" w:name="_Toc290409636"/>
      <w:r w:rsidRPr="001F63BA">
        <w:rPr>
          <w:rFonts w:ascii="GHEA Grapalat" w:hAnsi="GHEA Grapalat" w:cs="Sylfaen"/>
          <w:sz w:val="22"/>
          <w:szCs w:val="22"/>
        </w:rPr>
        <w:t>ՀԻՄՆԱԿԱՆ ՈՒՂՂՈՒԹՅՈՒՆՆԵՐԸ</w:t>
      </w:r>
      <w:bookmarkEnd w:id="9"/>
      <w:bookmarkEnd w:id="10"/>
      <w:bookmarkEnd w:id="18"/>
      <w:bookmarkEnd w:id="19"/>
    </w:p>
    <w:p w:rsidR="001C411D" w:rsidRPr="001F63BA" w:rsidRDefault="001C411D" w:rsidP="00F80CD0">
      <w:pPr>
        <w:spacing w:line="360" w:lineRule="auto"/>
        <w:ind w:firstLine="567"/>
        <w:jc w:val="both"/>
        <w:rPr>
          <w:rFonts w:ascii="GHEA Grapalat" w:hAnsi="GHEA Grapalat"/>
          <w:sz w:val="22"/>
          <w:szCs w:val="22"/>
        </w:rPr>
      </w:pPr>
    </w:p>
    <w:p w:rsidR="001C411D" w:rsidRPr="001F63BA" w:rsidRDefault="001C411D" w:rsidP="00FA3AD1">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պետական բյուջեն հաստատվել էր </w:t>
      </w:r>
      <w:r w:rsidR="005A2A7C" w:rsidRPr="001F63BA">
        <w:rPr>
          <w:rFonts w:ascii="GHEA Grapalat" w:hAnsi="GHEA Grapalat"/>
          <w:sz w:val="22"/>
          <w:szCs w:val="22"/>
        </w:rPr>
        <w:t>Կառավարությ</w:t>
      </w:r>
      <w:r w:rsidRPr="001F63BA">
        <w:rPr>
          <w:rFonts w:ascii="GHEA Grapalat" w:hAnsi="GHEA Grapalat"/>
          <w:sz w:val="22"/>
          <w:szCs w:val="22"/>
        </w:rPr>
        <w:t xml:space="preserve">ան գործունեության ծրագրի նպատակների ու ներդրված հարկաբյուջետային արդիականացված կանոնների հիման վրա: Ըստ այդմ՝ 2022 թվականի հարկաբյուջետային քաղաքականության նպատակն է եղել նպաստել </w:t>
      </w:r>
      <w:r w:rsidR="005A2A7C" w:rsidRPr="001F63BA">
        <w:rPr>
          <w:rFonts w:ascii="GHEA Grapalat" w:hAnsi="GHEA Grapalat"/>
          <w:sz w:val="22"/>
          <w:szCs w:val="22"/>
        </w:rPr>
        <w:t>Կառավարությ</w:t>
      </w:r>
      <w:r w:rsidRPr="001F63BA">
        <w:rPr>
          <w:rFonts w:ascii="GHEA Grapalat" w:hAnsi="GHEA Grapalat"/>
          <w:sz w:val="22"/>
          <w:szCs w:val="22"/>
        </w:rPr>
        <w:t xml:space="preserve">ան ծրագրով թիրախավորված 7% տնտեսական աճի ապահովմանը՝ շեշտադրելով պետական ներդրումների մասնաբաժնի էական մեծացումը և ծախսերի իրականացման արդյունավետության բարձրացումը, ինչպես նաև պարտքի կայունության պահպանմանը: </w:t>
      </w:r>
    </w:p>
    <w:p w:rsidR="001C411D" w:rsidRPr="001F63BA" w:rsidRDefault="001C411D" w:rsidP="00FA3AD1">
      <w:pPr>
        <w:spacing w:line="360" w:lineRule="auto"/>
        <w:ind w:firstLine="567"/>
        <w:jc w:val="both"/>
        <w:rPr>
          <w:rFonts w:ascii="GHEA Grapalat" w:hAnsi="GHEA Grapalat"/>
          <w:sz w:val="22"/>
          <w:szCs w:val="22"/>
        </w:rPr>
      </w:pPr>
      <w:r w:rsidRPr="001F63BA">
        <w:rPr>
          <w:rFonts w:ascii="GHEA Grapalat" w:hAnsi="GHEA Grapalat"/>
          <w:sz w:val="22"/>
          <w:szCs w:val="22"/>
        </w:rPr>
        <w:t>Տարվա ընթացքում ՀՀ համար ձևավորված նպաստավոր տնտեսական զարգացումներով (մասնավորապես` դեպի Հայաստան մարդկանց ներհոսքի աճ, ՌԴ-ից ՏՏ ոլորտի աշխատակիցների և ընկերությունների</w:t>
      </w:r>
      <w:r w:rsidRPr="001F63BA">
        <w:rPr>
          <w:rFonts w:ascii="GHEA Grapalat" w:hAnsi="GHEA Grapalat"/>
          <w:sz w:val="22"/>
          <w:szCs w:val="22"/>
          <w:lang w:val="en-US"/>
        </w:rPr>
        <w:t>՝</w:t>
      </w:r>
      <w:r w:rsidRPr="001F63BA">
        <w:rPr>
          <w:rFonts w:ascii="GHEA Grapalat" w:hAnsi="GHEA Grapalat"/>
          <w:sz w:val="22"/>
          <w:szCs w:val="22"/>
        </w:rPr>
        <w:t xml:space="preserve"> ՀՀ տեղափոխում, դեպի ՌԴ արտահանման պահանջարկի զգալի ավելացում, ինչպես նաև դեպի Հայաստան միջազգային զբոսաշրջության բարձր աճ) պայմանավորված տնտեսական աճ</w:t>
      </w:r>
      <w:r w:rsidRPr="001F63BA">
        <w:rPr>
          <w:rFonts w:ascii="GHEA Grapalat" w:hAnsi="GHEA Grapalat"/>
          <w:sz w:val="22"/>
          <w:szCs w:val="22"/>
          <w:lang w:val="en-US"/>
        </w:rPr>
        <w:t>ն</w:t>
      </w:r>
      <w:r w:rsidRPr="001F63BA">
        <w:rPr>
          <w:rFonts w:ascii="GHEA Grapalat" w:hAnsi="GHEA Grapalat"/>
          <w:sz w:val="22"/>
          <w:szCs w:val="22"/>
        </w:rPr>
        <w:t xml:space="preserve"> էապես գերազանցել է թիրախավորված մակարդակը, որի պայմաններում հարկաբյուջետային քաղաքականությունը եղել է հակապարբերաշրջանային՝ պլանավորված չեզոքի փոխարեն լինելով զսպող և միևնույն ժամանակ իրականացնելով տնտեսական ներուժի բարձրացմանը միտված միջոցառումներ և նպաստելով պարտքի կայունության ապահովմանը:</w:t>
      </w:r>
    </w:p>
    <w:p w:rsidR="001C411D" w:rsidRPr="001F63BA" w:rsidRDefault="001C411D" w:rsidP="00FA3AD1">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բարձր տնտեսական աճը և հարկաբյուջետային քաղաքականության ջանքերը թույլ են տվել ապահովելու ՀՆԱ համեմատությամբ պետական բյուջեի պակասուրդի և </w:t>
      </w:r>
      <w:r w:rsidR="005A2A7C" w:rsidRPr="001F63BA">
        <w:rPr>
          <w:rFonts w:ascii="GHEA Grapalat" w:hAnsi="GHEA Grapalat"/>
          <w:sz w:val="22"/>
          <w:szCs w:val="22"/>
        </w:rPr>
        <w:t>Կառավարությ</w:t>
      </w:r>
      <w:r w:rsidRPr="001F63BA">
        <w:rPr>
          <w:rFonts w:ascii="GHEA Grapalat" w:hAnsi="GHEA Grapalat"/>
          <w:sz w:val="22"/>
          <w:szCs w:val="22"/>
        </w:rPr>
        <w:t xml:space="preserve">ան պարտքի նվազում, որը նպաստել է 2022-2026թթ. պարտքի բեռի նվազեցման ծրագրի թիրախների՝ նախանշված ժամանակահատվածից շուտ իրականացման համար՝ միաժամանակ չխաթարելով 2020 թվականի շոկերից հետո տնտեսության վերականգնումը։ Պետական բյուջեի պակասուրդի նվազման, բարձր տնտեսական աճի և փոխարժեքի արժևորման պայմաններում </w:t>
      </w:r>
      <w:r w:rsidR="005A2A7C" w:rsidRPr="001F63BA">
        <w:rPr>
          <w:rFonts w:ascii="GHEA Grapalat" w:hAnsi="GHEA Grapalat"/>
          <w:sz w:val="22"/>
          <w:szCs w:val="22"/>
        </w:rPr>
        <w:t>Կառավարությ</w:t>
      </w:r>
      <w:r w:rsidRPr="001F63BA">
        <w:rPr>
          <w:rFonts w:ascii="GHEA Grapalat" w:hAnsi="GHEA Grapalat"/>
          <w:sz w:val="22"/>
          <w:szCs w:val="22"/>
        </w:rPr>
        <w:t>ան պարտք/ՀՆԱ հարաբերակցությունը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վերջի դրությամբ եղել է 50%-ից ցածր՝ կազմելով 46.7% և նախորդ տարվա համեմատ նվազելով 13.6 տոկոսային կետով:</w:t>
      </w:r>
    </w:p>
    <w:p w:rsidR="001C411D" w:rsidRPr="001F63BA" w:rsidRDefault="001C411D" w:rsidP="00FA3AD1">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ին վերականգնվել է հարկաբյուջետային կանոնների բնականոն իրավիճակների տրամաբանությունը՝ համահունչ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cs="GHEA Grapalat"/>
          <w:sz w:val="22"/>
          <w:szCs w:val="22"/>
        </w:rPr>
        <w:t>ի</w:t>
      </w:r>
      <w:r w:rsidRPr="001F63BA">
        <w:rPr>
          <w:rFonts w:ascii="GHEA Grapalat" w:hAnsi="GHEA Grapalat"/>
          <w:sz w:val="22"/>
          <w:szCs w:val="22"/>
        </w:rPr>
        <w:t xml:space="preserve"> </w:t>
      </w:r>
      <w:r w:rsidRPr="001F63BA">
        <w:rPr>
          <w:rFonts w:ascii="GHEA Grapalat" w:hAnsi="GHEA Grapalat" w:cs="GHEA Grapalat"/>
          <w:sz w:val="22"/>
          <w:szCs w:val="22"/>
        </w:rPr>
        <w:t>պետական</w:t>
      </w:r>
      <w:r w:rsidRPr="001F63BA">
        <w:rPr>
          <w:rFonts w:ascii="GHEA Grapalat" w:hAnsi="GHEA Grapalat"/>
          <w:sz w:val="22"/>
          <w:szCs w:val="22"/>
        </w:rPr>
        <w:t xml:space="preserve"> </w:t>
      </w:r>
      <w:r w:rsidRPr="001F63BA">
        <w:rPr>
          <w:rFonts w:ascii="GHEA Grapalat" w:hAnsi="GHEA Grapalat" w:cs="GHEA Grapalat"/>
          <w:sz w:val="22"/>
          <w:szCs w:val="22"/>
        </w:rPr>
        <w:t>բյուջեի</w:t>
      </w:r>
      <w:r w:rsidRPr="001F63BA">
        <w:rPr>
          <w:rFonts w:ascii="GHEA Grapalat" w:hAnsi="GHEA Grapalat"/>
          <w:sz w:val="22"/>
          <w:szCs w:val="22"/>
        </w:rPr>
        <w:t xml:space="preserve"> </w:t>
      </w:r>
      <w:r w:rsidRPr="001F63BA">
        <w:rPr>
          <w:rFonts w:ascii="GHEA Grapalat" w:hAnsi="GHEA Grapalat" w:cs="GHEA Grapalat"/>
          <w:sz w:val="22"/>
          <w:szCs w:val="22"/>
        </w:rPr>
        <w:t>ուղերձում</w:t>
      </w:r>
      <w:r w:rsidRPr="001F63BA">
        <w:rPr>
          <w:rFonts w:ascii="GHEA Grapalat" w:hAnsi="GHEA Grapalat"/>
          <w:sz w:val="22"/>
          <w:szCs w:val="22"/>
        </w:rPr>
        <w:t xml:space="preserve"> </w:t>
      </w:r>
      <w:r w:rsidRPr="001F63BA">
        <w:rPr>
          <w:rFonts w:ascii="GHEA Grapalat" w:hAnsi="GHEA Grapalat" w:cs="GHEA Grapalat"/>
          <w:sz w:val="22"/>
          <w:szCs w:val="22"/>
        </w:rPr>
        <w:t>նախանշած</w:t>
      </w:r>
      <w:r w:rsidRPr="001F63BA">
        <w:rPr>
          <w:rFonts w:ascii="GHEA Grapalat" w:hAnsi="GHEA Grapalat"/>
          <w:sz w:val="22"/>
          <w:szCs w:val="22"/>
        </w:rPr>
        <w:t xml:space="preserve"> </w:t>
      </w:r>
      <w:r w:rsidRPr="001F63BA">
        <w:rPr>
          <w:rFonts w:ascii="GHEA Grapalat" w:hAnsi="GHEA Grapalat" w:cs="GHEA Grapalat"/>
          <w:sz w:val="22"/>
          <w:szCs w:val="22"/>
        </w:rPr>
        <w:t>քաղաքականությանը։</w:t>
      </w:r>
      <w:r w:rsidRPr="001F63BA">
        <w:rPr>
          <w:rFonts w:ascii="GHEA Grapalat" w:hAnsi="GHEA Grapalat"/>
          <w:sz w:val="22"/>
          <w:szCs w:val="22"/>
        </w:rPr>
        <w:t xml:space="preserve"> </w:t>
      </w:r>
      <w:r w:rsidRPr="001F63BA">
        <w:rPr>
          <w:rFonts w:ascii="GHEA Grapalat" w:hAnsi="GHEA Grapalat" w:cs="GHEA Grapalat"/>
          <w:sz w:val="22"/>
          <w:szCs w:val="22"/>
        </w:rPr>
        <w:t>Այսպես</w:t>
      </w:r>
      <w:r w:rsidRPr="001F63BA">
        <w:rPr>
          <w:rFonts w:ascii="GHEA Grapalat" w:hAnsi="GHEA Grapalat"/>
          <w:sz w:val="22"/>
          <w:szCs w:val="22"/>
        </w:rPr>
        <w:t>,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w:t>
      </w:r>
      <w:r w:rsidRPr="001F63BA">
        <w:rPr>
          <w:rFonts w:ascii="GHEA Grapalat" w:hAnsi="GHEA Grapalat" w:cs="GHEA Grapalat"/>
          <w:sz w:val="22"/>
          <w:szCs w:val="22"/>
        </w:rPr>
        <w:t>պետական</w:t>
      </w:r>
      <w:r w:rsidRPr="001F63BA">
        <w:rPr>
          <w:rFonts w:ascii="GHEA Grapalat" w:hAnsi="GHEA Grapalat"/>
          <w:sz w:val="22"/>
          <w:szCs w:val="22"/>
        </w:rPr>
        <w:t xml:space="preserve"> </w:t>
      </w:r>
      <w:r w:rsidRPr="001F63BA">
        <w:rPr>
          <w:rFonts w:ascii="GHEA Grapalat" w:hAnsi="GHEA Grapalat" w:cs="GHEA Grapalat"/>
          <w:sz w:val="22"/>
          <w:szCs w:val="22"/>
        </w:rPr>
        <w:t>բյուջեի</w:t>
      </w:r>
      <w:r w:rsidRPr="001F63BA">
        <w:rPr>
          <w:rFonts w:ascii="GHEA Grapalat" w:hAnsi="GHEA Grapalat"/>
          <w:sz w:val="22"/>
          <w:szCs w:val="22"/>
        </w:rPr>
        <w:t xml:space="preserve"> </w:t>
      </w:r>
      <w:r w:rsidRPr="001F63BA">
        <w:rPr>
          <w:rFonts w:ascii="GHEA Grapalat" w:hAnsi="GHEA Grapalat" w:cs="GHEA Grapalat"/>
          <w:sz w:val="22"/>
          <w:szCs w:val="22"/>
        </w:rPr>
        <w:t>կապիտալ</w:t>
      </w:r>
      <w:r w:rsidRPr="001F63BA">
        <w:rPr>
          <w:rFonts w:ascii="GHEA Grapalat" w:hAnsi="GHEA Grapalat"/>
          <w:sz w:val="22"/>
          <w:szCs w:val="22"/>
        </w:rPr>
        <w:t xml:space="preserve"> </w:t>
      </w:r>
      <w:r w:rsidRPr="001F63BA">
        <w:rPr>
          <w:rFonts w:ascii="GHEA Grapalat" w:hAnsi="GHEA Grapalat" w:cs="GHEA Grapalat"/>
          <w:sz w:val="22"/>
          <w:szCs w:val="22"/>
        </w:rPr>
        <w:t>ծախսերը</w:t>
      </w:r>
      <w:r w:rsidRPr="001F63BA">
        <w:rPr>
          <w:rFonts w:ascii="GHEA Grapalat" w:hAnsi="GHEA Grapalat"/>
          <w:sz w:val="22"/>
          <w:szCs w:val="22"/>
        </w:rPr>
        <w:t xml:space="preserve"> </w:t>
      </w:r>
      <w:r w:rsidRPr="001F63BA">
        <w:rPr>
          <w:rFonts w:ascii="GHEA Grapalat" w:hAnsi="GHEA Grapalat" w:cs="GHEA Grapalat"/>
          <w:sz w:val="22"/>
          <w:szCs w:val="22"/>
        </w:rPr>
        <w:t>գերազանցել</w:t>
      </w:r>
      <w:r w:rsidRPr="001F63BA">
        <w:rPr>
          <w:rFonts w:ascii="GHEA Grapalat" w:hAnsi="GHEA Grapalat"/>
          <w:sz w:val="22"/>
          <w:szCs w:val="22"/>
        </w:rPr>
        <w:t xml:space="preserve"> </w:t>
      </w:r>
      <w:r w:rsidRPr="001F63BA">
        <w:rPr>
          <w:rFonts w:ascii="GHEA Grapalat" w:hAnsi="GHEA Grapalat" w:cs="GHEA Grapalat"/>
          <w:sz w:val="22"/>
          <w:szCs w:val="22"/>
        </w:rPr>
        <w:t>են</w:t>
      </w:r>
      <w:r w:rsidRPr="001F63BA">
        <w:rPr>
          <w:rFonts w:ascii="GHEA Grapalat" w:hAnsi="GHEA Grapalat"/>
          <w:sz w:val="22"/>
          <w:szCs w:val="22"/>
        </w:rPr>
        <w:t xml:space="preserve"> </w:t>
      </w:r>
      <w:r w:rsidRPr="001F63BA">
        <w:rPr>
          <w:rFonts w:ascii="GHEA Grapalat" w:hAnsi="GHEA Grapalat" w:cs="GHEA Grapalat"/>
          <w:sz w:val="22"/>
          <w:szCs w:val="22"/>
        </w:rPr>
        <w:t>պետական</w:t>
      </w:r>
      <w:r w:rsidRPr="001F63BA">
        <w:rPr>
          <w:rFonts w:ascii="GHEA Grapalat" w:hAnsi="GHEA Grapalat"/>
          <w:sz w:val="22"/>
          <w:szCs w:val="22"/>
        </w:rPr>
        <w:t xml:space="preserve"> </w:t>
      </w:r>
      <w:r w:rsidRPr="001F63BA">
        <w:rPr>
          <w:rFonts w:ascii="GHEA Grapalat" w:hAnsi="GHEA Grapalat" w:cs="GHEA Grapalat"/>
          <w:sz w:val="22"/>
          <w:szCs w:val="22"/>
        </w:rPr>
        <w:t>բյուջեի</w:t>
      </w:r>
      <w:r w:rsidRPr="001F63BA">
        <w:rPr>
          <w:rFonts w:ascii="GHEA Grapalat" w:hAnsi="GHEA Grapalat"/>
          <w:sz w:val="22"/>
          <w:szCs w:val="22"/>
        </w:rPr>
        <w:t xml:space="preserve"> պակասուրդը, իսկ ընթացիկ առաջնային ծախսերի աճի տեմպի համապատասխանությունը եկամուտ գեներացնելու հնարավորություններն արտահայտող </w:t>
      </w:r>
      <w:r w:rsidRPr="001F63BA">
        <w:rPr>
          <w:rFonts w:ascii="GHEA Grapalat" w:hAnsi="GHEA Grapalat"/>
          <w:sz w:val="22"/>
          <w:szCs w:val="22"/>
        </w:rPr>
        <w:lastRenderedPageBreak/>
        <w:t>երկարաժամկետ միջին ՀՆԱ աճի ցուցանիշին ընդհանուր առմամբ ապահովվել է՝ ըստ նախորդ տարվա նկատմամբ ընթացիկ առաջնային ծախսերի աճի ցուցանիշի հաշվարկի:</w:t>
      </w:r>
    </w:p>
    <w:p w:rsidR="001C411D" w:rsidRPr="001F63BA" w:rsidRDefault="001C411D" w:rsidP="00FA3AD1">
      <w:pPr>
        <w:spacing w:line="360" w:lineRule="auto"/>
        <w:ind w:firstLine="567"/>
        <w:jc w:val="both"/>
        <w:rPr>
          <w:rFonts w:ascii="GHEA Grapalat" w:hAnsi="GHEA Grapalat"/>
          <w:sz w:val="22"/>
          <w:szCs w:val="22"/>
        </w:rPr>
      </w:pPr>
      <w:r w:rsidRPr="001F63BA">
        <w:rPr>
          <w:rFonts w:ascii="GHEA Grapalat" w:hAnsi="GHEA Grapalat"/>
          <w:sz w:val="22"/>
          <w:szCs w:val="22"/>
        </w:rPr>
        <w:t>Հարկաբյուջետային հակազդող քաղաքականության միջոցառումներն ուղղվել են կապիտալ ծախսերի ընդլայնմանը, համավարակի, ինչպես նաև Արցախյան պատերազմի՝ 2022 թվականին շարունակվող բացասական սոցիալ-տնտեսական հետևանքների չեզոքացմանը՝ Կառավարության հաստատած հակաճգնաժամային միջոցառումների փաթեթի շրջանակներում: Բացի այդ,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w:t>
      </w:r>
      <w:r w:rsidR="005A2A7C" w:rsidRPr="001F63BA">
        <w:rPr>
          <w:rFonts w:ascii="GHEA Grapalat" w:hAnsi="GHEA Grapalat"/>
          <w:sz w:val="22"/>
          <w:szCs w:val="22"/>
        </w:rPr>
        <w:t>Կառավարությ</w:t>
      </w:r>
      <w:r w:rsidRPr="001F63BA">
        <w:rPr>
          <w:rFonts w:ascii="GHEA Grapalat" w:hAnsi="GHEA Grapalat"/>
          <w:sz w:val="22"/>
          <w:szCs w:val="22"/>
        </w:rPr>
        <w:t>ունը նախատեսել և իրականացրել է աջակցության միջոցառումներ դեպի ՀՀ կապիտալի լրացուցիչ հոսքերով պայմանավորված ՀՀ դրամի արժևորման պայմաններում արտահանելի հատվածին աջակցելու, ինչպես նաև բարձր գնաճի սոցիալական և տնտեսական հետևանքները մեղմելու նպատակով:</w:t>
      </w:r>
    </w:p>
    <w:p w:rsidR="001C411D" w:rsidRPr="001F63BA" w:rsidRDefault="001C411D" w:rsidP="00FA3AD1">
      <w:pPr>
        <w:spacing w:line="360" w:lineRule="auto"/>
        <w:ind w:firstLine="567"/>
        <w:jc w:val="both"/>
        <w:rPr>
          <w:rFonts w:ascii="GHEA Grapalat" w:hAnsi="GHEA Grapalat"/>
          <w:sz w:val="22"/>
          <w:szCs w:val="22"/>
        </w:rPr>
      </w:pPr>
      <w:r w:rsidRPr="001F63BA">
        <w:rPr>
          <w:rFonts w:ascii="GHEA Grapalat" w:hAnsi="GHEA Grapalat"/>
          <w:sz w:val="22"/>
          <w:szCs w:val="22"/>
        </w:rPr>
        <w:t>Արդյունքում, հաշվետու տարվա ընթացքում տնտեսական իրավիճակին համարժեք հարկաբյուջետային քաղաքականության իրականացումը և դրամավարկային քաղաքականության հետ դրա արդյունավետ կոորդինացումը թույլ են տվել ՀՀ-ում ապահովել կայուն մակրոմիջավայրի առկայություն, հիմքեր ստեղծել միջնաժամկետում տնտեսական աճի ներուժի բարձրացման ու պարտքի կայունության ամրապնդման համար։</w:t>
      </w:r>
    </w:p>
    <w:p w:rsidR="001C411D" w:rsidRPr="001F63BA" w:rsidRDefault="001C411D" w:rsidP="00B7253D">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20" w:name="_Toc132204199"/>
      <w:r w:rsidRPr="001F63BA">
        <w:t>Տնտեսական զարգացում</w:t>
      </w:r>
      <w:bookmarkEnd w:id="20"/>
    </w:p>
    <w:p w:rsidR="001C411D" w:rsidRPr="001F63BA" w:rsidRDefault="001C411D" w:rsidP="0010587B">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տնտեսական զարգացման քաղաքականության շրջանակը կառուցվել է ՀՀ կառավարության` 2019 թվականի փետրվարի 8-ի թիվ 65-Ա որոշմամբ հաստատված ծրագրի առաջնահերթությունների և 2021 թվականի օգոստոսի </w:t>
      </w:r>
      <w:r w:rsidRPr="001F63BA">
        <w:rPr>
          <w:rFonts w:ascii="GHEA Grapalat" w:hAnsi="GHEA Grapalat"/>
          <w:sz w:val="22"/>
          <w:szCs w:val="22"/>
          <w:lang w:val="de-AT"/>
        </w:rPr>
        <w:t>18</w:t>
      </w:r>
      <w:r w:rsidRPr="001F63BA">
        <w:rPr>
          <w:rFonts w:ascii="GHEA Grapalat" w:hAnsi="GHEA Grapalat"/>
          <w:sz w:val="22"/>
          <w:szCs w:val="22"/>
        </w:rPr>
        <w:t xml:space="preserve">-ի N1363-Ա որոշմամբ հաստատված </w:t>
      </w:r>
      <w:r w:rsidR="005A2A7C" w:rsidRPr="001F63BA">
        <w:rPr>
          <w:rFonts w:ascii="GHEA Grapalat" w:hAnsi="GHEA Grapalat"/>
          <w:sz w:val="22"/>
          <w:szCs w:val="22"/>
        </w:rPr>
        <w:t>Կառավարությ</w:t>
      </w:r>
      <w:r w:rsidRPr="001F63BA">
        <w:rPr>
          <w:rFonts w:ascii="GHEA Grapalat" w:hAnsi="GHEA Grapalat"/>
          <w:sz w:val="22"/>
          <w:szCs w:val="22"/>
        </w:rPr>
        <w:t xml:space="preserve">ան հնգամյա ծրագրի շուրջ: </w:t>
      </w:r>
      <w:r w:rsidRPr="001F63BA">
        <w:rPr>
          <w:rFonts w:ascii="GHEA Grapalat" w:hAnsi="GHEA Grapalat"/>
          <w:sz w:val="22"/>
          <w:szCs w:val="22"/>
          <w:lang w:val="en-US"/>
        </w:rPr>
        <w:t>Իրականացված միջոցառումների</w:t>
      </w:r>
      <w:r w:rsidRPr="001F63BA">
        <w:rPr>
          <w:rFonts w:ascii="GHEA Grapalat" w:hAnsi="GHEA Grapalat"/>
          <w:sz w:val="22"/>
          <w:szCs w:val="22"/>
        </w:rPr>
        <w:t xml:space="preserve"> հիմնական նպատակ</w:t>
      </w:r>
      <w:r w:rsidRPr="001F63BA">
        <w:rPr>
          <w:rFonts w:ascii="GHEA Grapalat" w:hAnsi="GHEA Grapalat"/>
          <w:sz w:val="22"/>
          <w:szCs w:val="22"/>
          <w:lang w:val="en-US"/>
        </w:rPr>
        <w:t>ը եղել</w:t>
      </w:r>
      <w:r w:rsidRPr="001F63BA">
        <w:rPr>
          <w:rFonts w:ascii="GHEA Grapalat" w:hAnsi="GHEA Grapalat"/>
          <w:sz w:val="22"/>
          <w:szCs w:val="22"/>
        </w:rPr>
        <w:t xml:space="preserve"> է տնտեսական հնարավորությունների ընդլայնումը և դրանց հավասար հասանելիության ապահովումը, մարդու ստեղծարար հմտությունների զարգացումը և իրացման միջոցով միջին խավի բարեկեցության աճն ու աղքատության կրճատումը, արտահանումը խթանող պայմանների ապահովումն ու միջավայրի ձևավորումը: </w:t>
      </w:r>
    </w:p>
    <w:p w:rsidR="001C411D" w:rsidRPr="001F63BA" w:rsidRDefault="001C411D" w:rsidP="0010587B">
      <w:pPr>
        <w:spacing w:line="360" w:lineRule="auto"/>
        <w:ind w:firstLine="567"/>
        <w:jc w:val="both"/>
        <w:rPr>
          <w:rFonts w:ascii="GHEA Grapalat" w:hAnsi="GHEA Grapalat"/>
          <w:sz w:val="22"/>
          <w:szCs w:val="22"/>
        </w:rPr>
      </w:pPr>
      <w:r w:rsidRPr="001F63BA">
        <w:rPr>
          <w:rFonts w:ascii="GHEA Grapalat" w:hAnsi="GHEA Grapalat"/>
          <w:sz w:val="22"/>
          <w:szCs w:val="22"/>
        </w:rPr>
        <w:t>Այս համատեքստում Կառավարությունը մինչև 2026 թվականը թիրախավորել է ՀՆԱ-ի տարեկան միջին աճի նվազագույն մակարդակը հասցնել 7%-ի (բարենպաստ արտաքին տնտեսական պայմաններում՝ 9%-ի), ֆորմալ հատվածի ոչ պետական ոլորտի աշխատավարձի և դրան հավասարեցված այլ վճարումների ֆոնդը՝ ՀՆԱ-ի 25%-ի և 10%-ից ցածր գործազրկության մակարդակ:</w:t>
      </w:r>
    </w:p>
    <w:p w:rsidR="001C411D" w:rsidRPr="001F63BA" w:rsidRDefault="001C411D" w:rsidP="0010587B">
      <w:pPr>
        <w:spacing w:line="360" w:lineRule="auto"/>
        <w:ind w:firstLine="567"/>
        <w:jc w:val="both"/>
        <w:rPr>
          <w:rFonts w:ascii="GHEA Grapalat" w:hAnsi="GHEA Grapalat"/>
          <w:sz w:val="22"/>
          <w:szCs w:val="22"/>
        </w:rPr>
      </w:pPr>
      <w:r w:rsidRPr="001F63BA">
        <w:rPr>
          <w:rFonts w:ascii="GHEA Grapalat" w:hAnsi="GHEA Grapalat"/>
          <w:sz w:val="22"/>
          <w:szCs w:val="22"/>
        </w:rPr>
        <w:t xml:space="preserve"> Մրցունակության երկարաժամկետ աճի պահպանման նպատակով, բացի ներդրումների և զբաղվածության ընդլայնումից, անհրաժեշտ է եղել զգալիորեն բարձրացնել կապիտալի և </w:t>
      </w:r>
      <w:r w:rsidRPr="001F63BA">
        <w:rPr>
          <w:rFonts w:ascii="GHEA Grapalat" w:hAnsi="GHEA Grapalat"/>
          <w:sz w:val="22"/>
          <w:szCs w:val="22"/>
        </w:rPr>
        <w:lastRenderedPageBreak/>
        <w:t>աշխատանքի արտադրողականությունը՝ ընդլայնելով քաղաքացիներին հասանելի տնտեսական հնարավորությունների դաշտը:</w:t>
      </w:r>
    </w:p>
    <w:p w:rsidR="001C411D" w:rsidRPr="001F63BA" w:rsidRDefault="001C411D" w:rsidP="0010587B">
      <w:pPr>
        <w:spacing w:line="360" w:lineRule="auto"/>
        <w:ind w:firstLine="567"/>
        <w:jc w:val="both"/>
        <w:rPr>
          <w:rFonts w:ascii="GHEA Grapalat" w:hAnsi="GHEA Grapalat"/>
          <w:sz w:val="22"/>
          <w:szCs w:val="22"/>
          <w:lang w:val="en-US"/>
        </w:rPr>
      </w:pPr>
      <w:r w:rsidRPr="001F63BA">
        <w:rPr>
          <w:rFonts w:ascii="GHEA Grapalat" w:hAnsi="GHEA Grapalat"/>
          <w:sz w:val="22"/>
          <w:szCs w:val="22"/>
        </w:rPr>
        <w:t>Գործարար և ներդրումային միջավայրի ճկունությունն ապահովելու նպատակով իրականացվել են կառուցվածքային բարեփոխումներ, որոնք նպատակ ունեն ընդլայնել ՀՀ քաղաքացիներին հասանելի տնտեսական հնարավորությունների դաշտը և առավելագույնս խրախուսելու հատկապես գիտելիք ձևավորող ներքին և օտարերկրյա մասնավոր ներդրումները, բարձրացնելու վերջիններիս շահութաբերությունը։ Այս տեսանկյունից Կառավարության առաջնահերթ նպատակներն են կապիտալի և ֆինանսական միջոցների հասանելիության բարձրացումը, գործարար և աշխատանքային հարաբերությունների ճկունության բարձրացումը, ենթակառուցվածքների ու ռեսուրսների հաս</w:t>
      </w:r>
      <w:r w:rsidRPr="001F63BA">
        <w:rPr>
          <w:rFonts w:ascii="GHEA Grapalat" w:hAnsi="GHEA Grapalat"/>
          <w:sz w:val="22"/>
          <w:szCs w:val="22"/>
          <w:lang w:val="en-US"/>
        </w:rPr>
        <w:t>ա</w:t>
      </w:r>
      <w:r w:rsidRPr="001F63BA">
        <w:rPr>
          <w:rFonts w:ascii="GHEA Grapalat" w:hAnsi="GHEA Grapalat"/>
          <w:sz w:val="22"/>
          <w:szCs w:val="22"/>
        </w:rPr>
        <w:t>նելիության բարձրացումը, ինչպես նաև ռիսկերի նվազեցումը առաջնահերթ ծրագրերի համար, տնտեսության թվայնացման և տեղեկատվության հասանելիության մակարդակի բարձրացումը</w:t>
      </w:r>
      <w:r w:rsidRPr="001F63BA">
        <w:rPr>
          <w:rFonts w:ascii="GHEA Grapalat" w:hAnsi="GHEA Grapalat"/>
          <w:sz w:val="22"/>
          <w:szCs w:val="22"/>
          <w:lang w:val="en-US"/>
        </w:rPr>
        <w:t>:</w:t>
      </w:r>
    </w:p>
    <w:p w:rsidR="001C411D" w:rsidRPr="001F63BA" w:rsidRDefault="001C411D" w:rsidP="0010587B">
      <w:pPr>
        <w:spacing w:line="360" w:lineRule="auto"/>
        <w:ind w:firstLine="567"/>
        <w:jc w:val="both"/>
        <w:rPr>
          <w:rFonts w:ascii="GHEA Grapalat" w:hAnsi="GHEA Grapalat"/>
          <w:sz w:val="22"/>
          <w:szCs w:val="22"/>
        </w:rPr>
      </w:pPr>
      <w:r w:rsidRPr="001F63BA">
        <w:rPr>
          <w:rFonts w:ascii="GHEA Grapalat" w:hAnsi="GHEA Grapalat"/>
          <w:sz w:val="22"/>
          <w:szCs w:val="22"/>
        </w:rPr>
        <w:t xml:space="preserve"> Միջազգային մրցունակության աճն ապահովելու նպատակով Կառավարությունը որդեգրել էր գիտելիքահենք և նորարարական տնտեսություն ձևավորելու տեսլականը և գիտելիքն ու նորարարությունը հռչակել տնտեսական զարգացման հիմնական շարժիչ ուժ։ Կառավարության տնտեսական քաղաքականությունը հիմնվում էր գիտելիքի ներմուծման, ստեղծման, արտահանման և դրա արդյունավետ կիրառման վրա: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Տնտեսական աճի ներառականության առանցք է դարձել բնակչության շարժունակության և տեղեկացվածության բարձր մակարդակի ապահովումը, ստեղծարար կարողությունների զարգացումն ու իրացումը՝ կրթության, առողջապահության և տնտեսական ենթակառուցվածքների հնարավորինս հավասար հասանելիության ապահովումը։ Ավելին, մրցունակության աճը և ներառականությունն ապահովող կարևոր գործոններից էր քաղաքացիների լայն ներգրավվածության ապահովումը և բարձր որակավորում ունեցող մարդկային ռեսուրսի առկայությունը տնտեսության բոլոր ճյուղերում: Առանց տնտեսապես ակտիվ քաղաքացիների տեսակարար կշռի զգալի աճի հնարավոր չէ տնտեսական աճի ապահովումը, որը ենթադրում է նաև տնտեսական կյանքում կանանց և երիտասարդների մասնակցության դերի զգալի աճ: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Այս իմաստով բարեփոխումների առանջնահերթ ուղղություններ են համարվել նաև՝</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Հողային օրենսգրքի բարեփոխումները՝ միտված արտադրողական գյուղատնտեսության ձևավորմանը,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Ջրային ոլորտի բարեփոխումները՝ ուղղված ջրային ռեսուրսների խնայողությանը, կառավարման արդյունավետության բարձրացմանը,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lastRenderedPageBreak/>
        <w:t>Քաղաքաշինության ոլորտի բարեփոխումները՝ ուղղված ոլորտի ներուժի ընդլայնմանը, տարածքային համաչափ զարգացմանը, ինչպես նաև գործընթացների ու կարգավորումների արդիականացմանը: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Արդյունաբերության մրցունակության աճ</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Հայաստանի Հանրապետության կայուն տնտեսական զարգացման տեսանկյունից Հայաստանի Հանրապետության կառավարությունը կարևորում է արտահանմանն ուղղված պետական աջակ</w:t>
      </w:r>
      <w:r w:rsidRPr="001F63BA">
        <w:rPr>
          <w:rFonts w:ascii="GHEA Grapalat" w:hAnsi="GHEA Grapalat"/>
          <w:sz w:val="22"/>
          <w:szCs w:val="22"/>
        </w:rPr>
        <w:softHyphen/>
        <w:t>ցու</w:t>
      </w:r>
      <w:r w:rsidRPr="001F63BA">
        <w:rPr>
          <w:rFonts w:ascii="GHEA Grapalat" w:hAnsi="GHEA Grapalat"/>
          <w:sz w:val="22"/>
          <w:szCs w:val="22"/>
        </w:rPr>
        <w:softHyphen/>
        <w:t>թյունը՝ համապա</w:t>
      </w:r>
      <w:r w:rsidRPr="001F63BA">
        <w:rPr>
          <w:rFonts w:ascii="GHEA Grapalat" w:hAnsi="GHEA Grapalat"/>
          <w:sz w:val="22"/>
          <w:szCs w:val="22"/>
        </w:rPr>
        <w:softHyphen/>
        <w:t xml:space="preserve">տասխան գործիքների կիրառմամբ: 2022 թվականի ընթացքում ծրագրի իրականացման շրջանակներում մի շարք արդյունաբերական կազմակերպություններ ստացել են պետական աջակցություն միջազգային ցուցահանդեսներին մասնակցության նպատակով, ինչը դրական է ազդել այդ ընկերությունների արտահանման և արտադրության ծավալների աճի վրա։ Մասնավորապես՝ կազմակերպվել և անցկացվել են հայ-իրանական (գործարար հատվածից մասնակցել է ավելի քան 100 ներկայացուցիչ) և Հայաստան-Իրաքյան Քուրդիստան (գործարար հատվածից մասնակցել է ավելի քան 200 ներկայացուցիչ) գործարար համաժողովները, Միլանում՝ իտալական կողմի հետ համատեղ, կազմակերպվել են գործարար համաժողով և ցուցահանդես։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ՀՀ-ից ապրանքների արտահանման, թիրախային շուկաներում հայկական արտադրանքի վաճառքի ծավալների մեծացման և ՀՀ բիզնեսի համար նոր գործընկերների ձեռք բերման նպատակով իրականացվել են «Պրոդէքսպո 2022» միջազգային ցուցահանդեսին, «Ներդրումային ամենամյա համաժողով 2022» միջոցառմանը ՀՀ մասնակցության ապահովման կազմակերպչական, ինչպես նաև 2022 թվականի հուլիսի 10-13-ը ք</w:t>
      </w:r>
      <w:r w:rsidRPr="001F63BA">
        <w:rPr>
          <w:rFonts w:ascii="MS Mincho" w:eastAsia="MS Mincho" w:hAnsi="MS Mincho" w:cs="MS Mincho" w:hint="eastAsia"/>
          <w:sz w:val="22"/>
          <w:szCs w:val="22"/>
        </w:rPr>
        <w:t>․</w:t>
      </w:r>
      <w:r w:rsidRPr="001F63BA">
        <w:rPr>
          <w:rFonts w:ascii="GHEA Grapalat" w:hAnsi="GHEA Grapalat"/>
          <w:sz w:val="22"/>
          <w:szCs w:val="22"/>
        </w:rPr>
        <w:t xml:space="preserve"> Եկատերինբուրգում կայացած «ԻՆՆՈՊՐՈՄ» 12-րդ միջազգային արդյունաբերական ցուցահանդեսի շրջանակներում՝ ազգային տաղավարով Հայաստանը ներկայացնելու ուղղությամբ աշխատանքներ։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ՀՀ կառավարության 2015 թվականի սեպտեմբերի 17-ի N 1118-Ն որոշմամբ </w:t>
      </w:r>
      <w:r w:rsidR="005A2A7C" w:rsidRPr="001F63BA">
        <w:rPr>
          <w:rFonts w:ascii="GHEA Grapalat" w:hAnsi="GHEA Grapalat"/>
          <w:sz w:val="22"/>
          <w:szCs w:val="22"/>
        </w:rPr>
        <w:t>Կառավարությ</w:t>
      </w:r>
      <w:r w:rsidRPr="001F63BA">
        <w:rPr>
          <w:rFonts w:ascii="GHEA Grapalat" w:hAnsi="GHEA Grapalat"/>
          <w:sz w:val="22"/>
          <w:szCs w:val="22"/>
        </w:rPr>
        <w:t xml:space="preserve">ան կողմից մաքսատուրքից ազատման արտոնություն է տրամադրվել 58 ներդրումային ծրագրի։ Ծրագրերի շրջանակներում նախատեսվում է իրականացնել 289 մլրդ դրամի ներդրում և ստեղծել 5106 նոր աշխատատեղ։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Արտոնությունները տրամադրվել են մշակող արդյունաբերության (թեթև արդյունաբերություն, ալկոհոլային և ոչ ալկոհոլային խմիչքների արտադրություն, ալյումինե արտադրատեսակների արտադրություն, պոլիգրաֆիական արտադրատեսակների արտադրություն, կենցաղային տեխնիկայի արտադրություն), առողջապահության, հանքարդյունաբերության և գյուղատնտեսության ոլորտներում (ջերմոցային տնտեսություններ) գործունեություն ծավալող ընկերություններին:</w:t>
      </w:r>
    </w:p>
    <w:p w:rsidR="001437BE" w:rsidRPr="001F63BA" w:rsidRDefault="001437BE" w:rsidP="00AC199C">
      <w:pPr>
        <w:spacing w:line="360" w:lineRule="auto"/>
        <w:ind w:firstLine="567"/>
        <w:jc w:val="both"/>
        <w:rPr>
          <w:rFonts w:ascii="GHEA Grapalat" w:hAnsi="GHEA Grapalat"/>
          <w:sz w:val="22"/>
          <w:szCs w:val="22"/>
        </w:rPr>
      </w:pPr>
    </w:p>
    <w:p w:rsidR="001C411D" w:rsidRPr="001F63BA" w:rsidRDefault="001C411D" w:rsidP="00AC199C">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Փոքր և միջին ձեռնարկատիրության զարգացում</w:t>
      </w:r>
      <w:r w:rsidRPr="001F63BA">
        <w:rPr>
          <w:rStyle w:val="FootnoteReference"/>
          <w:rFonts w:ascii="GHEA Grapalat" w:hAnsi="GHEA Grapalat"/>
          <w:sz w:val="22"/>
          <w:szCs w:val="22"/>
          <w:u w:val="single"/>
        </w:rPr>
        <w:footnoteReference w:id="4"/>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Փոքր և միջին ձեռնարկատիրությունը Հայաստանի տ</w:t>
      </w:r>
      <w:r w:rsidRPr="001F63BA">
        <w:rPr>
          <w:rFonts w:ascii="GHEA Grapalat" w:hAnsi="GHEA Grapalat"/>
          <w:sz w:val="22"/>
          <w:szCs w:val="22"/>
        </w:rPr>
        <w:softHyphen/>
        <w:t>նտեսության մրցունակության բարձրացման, ներա</w:t>
      </w:r>
      <w:r w:rsidRPr="001F63BA">
        <w:rPr>
          <w:rFonts w:ascii="GHEA Grapalat" w:hAnsi="GHEA Grapalat"/>
          <w:sz w:val="22"/>
          <w:szCs w:val="22"/>
        </w:rPr>
        <w:softHyphen/>
        <w:t>ռա</w:t>
      </w:r>
      <w:r w:rsidRPr="001F63BA">
        <w:rPr>
          <w:rFonts w:ascii="GHEA Grapalat" w:hAnsi="GHEA Grapalat"/>
          <w:sz w:val="22"/>
          <w:szCs w:val="22"/>
        </w:rPr>
        <w:softHyphen/>
        <w:t>կա</w:t>
      </w:r>
      <w:r w:rsidRPr="001F63BA">
        <w:rPr>
          <w:rFonts w:ascii="GHEA Grapalat" w:hAnsi="GHEA Grapalat"/>
          <w:sz w:val="22"/>
          <w:szCs w:val="22"/>
        </w:rPr>
        <w:softHyphen/>
        <w:t>նութ</w:t>
      </w:r>
      <w:r w:rsidRPr="001F63BA">
        <w:rPr>
          <w:rFonts w:ascii="GHEA Grapalat" w:hAnsi="GHEA Grapalat"/>
          <w:sz w:val="22"/>
          <w:szCs w:val="22"/>
        </w:rPr>
        <w:softHyphen/>
        <w:t>յան և կայուն զարգացման ապահովման կա</w:t>
      </w:r>
      <w:r w:rsidRPr="001F63BA">
        <w:rPr>
          <w:rFonts w:ascii="GHEA Grapalat" w:hAnsi="GHEA Grapalat"/>
          <w:sz w:val="22"/>
          <w:szCs w:val="22"/>
        </w:rPr>
        <w:softHyphen/>
        <w:t>րևո</w:t>
      </w:r>
      <w:r w:rsidRPr="001F63BA">
        <w:rPr>
          <w:rFonts w:ascii="GHEA Grapalat" w:hAnsi="GHEA Grapalat"/>
          <w:sz w:val="22"/>
          <w:szCs w:val="22"/>
        </w:rPr>
        <w:softHyphen/>
        <w:t>րա</w:t>
      </w:r>
      <w:r w:rsidRPr="001F63BA">
        <w:rPr>
          <w:rFonts w:ascii="GHEA Grapalat" w:hAnsi="GHEA Grapalat"/>
          <w:sz w:val="22"/>
          <w:szCs w:val="22"/>
        </w:rPr>
        <w:softHyphen/>
        <w:t>գույն գործոն</w:t>
      </w:r>
      <w:r w:rsidRPr="001F63BA">
        <w:rPr>
          <w:rFonts w:ascii="GHEA Grapalat" w:hAnsi="GHEA Grapalat"/>
          <w:sz w:val="22"/>
          <w:szCs w:val="22"/>
        </w:rPr>
        <w:softHyphen/>
        <w:t>ներից է: Կառավարությունը ձեռ</w:t>
      </w:r>
      <w:r w:rsidRPr="001F63BA">
        <w:rPr>
          <w:rFonts w:ascii="GHEA Grapalat" w:hAnsi="GHEA Grapalat"/>
          <w:sz w:val="22"/>
          <w:szCs w:val="22"/>
        </w:rPr>
        <w:softHyphen/>
        <w:t>նար</w:t>
      </w:r>
      <w:r w:rsidRPr="001F63BA">
        <w:rPr>
          <w:rFonts w:ascii="GHEA Grapalat" w:hAnsi="GHEA Grapalat"/>
          <w:sz w:val="22"/>
          <w:szCs w:val="22"/>
        </w:rPr>
        <w:softHyphen/>
        <w:t>կա</w:t>
      </w:r>
      <w:r w:rsidRPr="001F63BA">
        <w:rPr>
          <w:rFonts w:ascii="GHEA Grapalat" w:hAnsi="GHEA Grapalat"/>
          <w:sz w:val="22"/>
          <w:szCs w:val="22"/>
        </w:rPr>
        <w:softHyphen/>
        <w:t>տի</w:t>
      </w:r>
      <w:r w:rsidRPr="001F63BA">
        <w:rPr>
          <w:rFonts w:ascii="GHEA Grapalat" w:hAnsi="GHEA Grapalat"/>
          <w:sz w:val="22"/>
          <w:szCs w:val="22"/>
        </w:rPr>
        <w:softHyphen/>
        <w:t>րա</w:t>
      </w:r>
      <w:r w:rsidRPr="001F63BA">
        <w:rPr>
          <w:rFonts w:ascii="GHEA Grapalat" w:hAnsi="GHEA Grapalat"/>
          <w:sz w:val="22"/>
          <w:szCs w:val="22"/>
        </w:rPr>
        <w:softHyphen/>
        <w:t>կան գոր</w:t>
      </w:r>
      <w:r w:rsidRPr="001F63BA">
        <w:rPr>
          <w:rFonts w:ascii="GHEA Grapalat" w:hAnsi="GHEA Grapalat"/>
          <w:sz w:val="22"/>
          <w:szCs w:val="22"/>
        </w:rPr>
        <w:softHyphen/>
        <w:t>ծունեությունն առանցքային է համարում կենսունակ մասնավոր հատված ունենալու համար և դիտարկում է այն որպես ներառական տնտեսական զարգացման, նոր ներդրումների ներգրավման և արտադ</w:t>
      </w:r>
      <w:r w:rsidRPr="001F63BA">
        <w:rPr>
          <w:rFonts w:ascii="GHEA Grapalat" w:hAnsi="GHEA Grapalat"/>
          <w:sz w:val="22"/>
          <w:szCs w:val="22"/>
        </w:rPr>
        <w:softHyphen/>
        <w:t>րո</w:t>
      </w:r>
      <w:r w:rsidRPr="001F63BA">
        <w:rPr>
          <w:rFonts w:ascii="GHEA Grapalat" w:hAnsi="GHEA Grapalat"/>
          <w:sz w:val="22"/>
          <w:szCs w:val="22"/>
        </w:rPr>
        <w:softHyphen/>
        <w:t>ղա</w:t>
      </w:r>
      <w:r w:rsidRPr="001F63BA">
        <w:rPr>
          <w:rFonts w:ascii="GHEA Grapalat" w:hAnsi="GHEA Grapalat"/>
          <w:sz w:val="22"/>
          <w:szCs w:val="22"/>
        </w:rPr>
        <w:softHyphen/>
        <w:t xml:space="preserve">կանության բարձրացման հիմնական խթան: </w:t>
      </w:r>
    </w:p>
    <w:p w:rsidR="001C411D" w:rsidRPr="001F63BA" w:rsidRDefault="001C411D" w:rsidP="000E61B5">
      <w:pPr>
        <w:spacing w:line="360" w:lineRule="auto"/>
        <w:ind w:firstLine="567"/>
        <w:jc w:val="both"/>
        <w:rPr>
          <w:rFonts w:ascii="GHEA Grapalat" w:hAnsi="GHEA Grapalat"/>
          <w:sz w:val="22"/>
          <w:szCs w:val="22"/>
          <w:lang w:val="en-US"/>
        </w:rPr>
      </w:pPr>
      <w:r w:rsidRPr="001F63BA">
        <w:rPr>
          <w:rFonts w:ascii="GHEA Grapalat" w:hAnsi="GHEA Grapalat"/>
          <w:sz w:val="22"/>
          <w:szCs w:val="22"/>
        </w:rPr>
        <w:t>ՓՄՁ հետագա զարգացումը խթանելու նպատակով Կառավարությունը 2020 թվականի օգոստոսին ընդունել է «Փոքր և միջին ձեռնարկատիրության զարգացման 2020-2024 թվականների ռազմավարությունը», որը նպաստ</w:t>
      </w:r>
      <w:r w:rsidRPr="001F63BA">
        <w:rPr>
          <w:rFonts w:ascii="GHEA Grapalat" w:hAnsi="GHEA Grapalat"/>
          <w:sz w:val="22"/>
          <w:szCs w:val="22"/>
          <w:lang w:val="en-US"/>
        </w:rPr>
        <w:t>ում է</w:t>
      </w:r>
      <w:r w:rsidRPr="001F63BA">
        <w:rPr>
          <w:rFonts w:ascii="GHEA Grapalat" w:hAnsi="GHEA Grapalat"/>
          <w:sz w:val="22"/>
          <w:szCs w:val="22"/>
        </w:rPr>
        <w:t xml:space="preserve"> ՓՄՁ մրցունակության բարձրացմանը այնպիսի առանցքային ոլորտներում, ինչպիսիք են կարգավորող և ինստիտուցիոնալ դաշտը, ռեսուրսների, այդ թվում՝ նաև ֆինանսների հասանելիությունը, շուկաների հասանելիությունը, մարդկային կապիտալի և ձեռնարկատիրական մշակույթի զար</w:t>
      </w:r>
      <w:r w:rsidRPr="001F63BA">
        <w:rPr>
          <w:rFonts w:ascii="GHEA Grapalat" w:hAnsi="GHEA Grapalat"/>
          <w:sz w:val="22"/>
          <w:szCs w:val="22"/>
        </w:rPr>
        <w:softHyphen/>
        <w:t>գացումը։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Զբոսաշրջության զարգացում</w:t>
      </w:r>
      <w:r w:rsidRPr="001F63BA">
        <w:rPr>
          <w:rStyle w:val="FootnoteReference"/>
          <w:rFonts w:ascii="GHEA Grapalat" w:hAnsi="GHEA Grapalat"/>
          <w:sz w:val="22"/>
          <w:szCs w:val="22"/>
          <w:u w:val="single"/>
        </w:rPr>
        <w:footnoteReference w:id="5"/>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Զբոսաշրջության ոլորտի զարգացման քաղաքականությունն ուղղված է եղել Հայաստանի ճանաչելիության բարձրացմանը և հայկական զբոսաշրջային արդյունքի դիվերսիֆիկացմանը, թիրախավորված զբոսաշրջային շուկաներում առավել ակտիվ մարքեթինգային քաղաքականության իրականացմանը, նոր զբոսաշրջային երթուղիների ձևավորմանն ու ինստիտուցիոնալ բարեփոխումների իրականացմանը։ </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B55B3">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Գործարար և ներդրումային միջավայր</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Գործարար միջավայրի բարելավման համար մեծապես կարևորվել են պարզ, թափանցիկ, արագ, կանխատեսելի և հնարավորինս քիչ ծախսատար պետական կարգավորումներն ու վարչական ընթացակարգերը, հավասար մրցակցային պայմանները, տեղեկատվության առավելագույն հասանելիությունը և գործարարությանն օժանդակող զարգացած շուկայական ենթակառուցվածքներ ապահովելու քաղաքականությունը: Գործարար միջավայրի բարելավման նպատակով իրականացվող </w:t>
      </w:r>
      <w:r w:rsidRPr="001F63BA">
        <w:rPr>
          <w:rFonts w:ascii="GHEA Grapalat" w:hAnsi="GHEA Grapalat"/>
          <w:sz w:val="22"/>
          <w:szCs w:val="22"/>
        </w:rPr>
        <w:lastRenderedPageBreak/>
        <w:t>ծրագրերը թիրախավորել են գործարարությամբ զբաղվելուն խոչընդոտող վարչարարական բնույթի խնդիրների լուծումը՝ նպաստելով գործարար գաղափարների իրագործմանը տնտեսության բոլոր ճյուղերում:</w:t>
      </w:r>
      <w:r w:rsidRPr="001F63BA">
        <w:rPr>
          <w:rFonts w:ascii="Calibri" w:hAnsi="Calibri" w:cs="Calibri"/>
          <w:sz w:val="22"/>
          <w:szCs w:val="22"/>
        </w:rPr>
        <w:t xml:space="preserve">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Թիրախային գործողությունների իրականացման արդյունքում բարձրացվել է գործարարներին ծառայություններ մատուցող մարմինների գործունեության թափանցիկությունը, և թեթևացվել է առկա վարչարարական բեռը: Իրականացված գործողությունները նպաստել են Հայաստանում ազատ և մրցակցային գործարար միջավայրի կայացմանը և ամրապնդմանը, որը երկիրն ավելի գրավիչ է դարձրել օտարերկրյա ներդրողների համար։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Գործարար միջավայրի ճկունությունն ապահովելու նպատակով իրականացվել են կառուցվածքային բարեփոխումներ, որոնք նպատակ են ունեցել ընդլայնելու Հայաստանի Հանրապետության քաղաքացիներին հասանելի տնտեսական հնարավորությունների դաշտը և առավելագույնս խրախուսելու հատկապես գիտելիք ձևավորող ներքին և օտարերկրյա մասնավոր ներդրումները։</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Ներդրումային քաղաքականության նպատակներից են եղել ներդրումների պաշտպանության անհրաժեշտ երաշխիքների ապահովումը՝ միջազգային լավագույն պրակտիկաների ձևաչափով՝ կարևորելով ազատ ու հավասար մրցակցությունը, բիզնեսի համար կանխատեսելիությունը և առաջնային դիրքի պահպանման նպատակով դրա շարունակական բարելավումը։ Ներդրումային քաղաքականության առաջնահերթ թիրախը համարվել է նորարարական, նոր գիտելիք ստեղծող ծրագրերի իրագործման համար առավել արագ և ճկուն գործընթացների, ինչպես նաև մրցունակության գործոնների առավելագույն հասանելիության ապահովումը։ </w:t>
      </w:r>
    </w:p>
    <w:p w:rsidR="001C411D" w:rsidRPr="001F63BA" w:rsidRDefault="001C411D" w:rsidP="00AB55B3">
      <w:pPr>
        <w:spacing w:line="360" w:lineRule="auto"/>
        <w:ind w:firstLine="567"/>
        <w:jc w:val="both"/>
        <w:rPr>
          <w:rFonts w:ascii="GHEA Grapalat" w:hAnsi="GHEA Grapalat"/>
          <w:sz w:val="22"/>
          <w:szCs w:val="22"/>
        </w:rPr>
      </w:pPr>
      <w:r w:rsidRPr="001F63BA">
        <w:rPr>
          <w:rFonts w:ascii="GHEA Grapalat" w:hAnsi="GHEA Grapalat"/>
          <w:sz w:val="22"/>
          <w:szCs w:val="22"/>
        </w:rPr>
        <w:t xml:space="preserve"> </w:t>
      </w:r>
    </w:p>
    <w:p w:rsidR="001C411D" w:rsidRPr="001F63BA" w:rsidRDefault="001C411D" w:rsidP="00AC199C">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Հանրային ներդրումներ</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Հանրային ներդրումների կառավարման համակարգի վերափոխման և կատարելագործման գործընթացի շրջանակներում ենթադրվում է հանրային կապիտալ ներդրումների արդյունավետության բարձրացում ու կատարողականի աճ՝ միտված hանրային ներդրումային միջոցների առավել արդյունավետ և նպատակային օգտագործմանը։ Վերջինիս նպատակն է՝ ապահովել հանրային ներդրումային ծրագրերի համապատասխանությունը </w:t>
      </w:r>
      <w:r w:rsidR="000E2BFA" w:rsidRPr="001F63BA">
        <w:rPr>
          <w:rFonts w:ascii="GHEA Grapalat" w:hAnsi="GHEA Grapalat"/>
          <w:sz w:val="22"/>
          <w:szCs w:val="22"/>
        </w:rPr>
        <w:t>Կառավարությ</w:t>
      </w:r>
      <w:r w:rsidRPr="001F63BA">
        <w:rPr>
          <w:rFonts w:ascii="GHEA Grapalat" w:hAnsi="GHEA Grapalat"/>
          <w:sz w:val="22"/>
          <w:szCs w:val="22"/>
        </w:rPr>
        <w:t xml:space="preserve">ան գերակայություններին և ռազմավարական առաջնահերթություններին, ինչն իր հերթին նպաստում է ծրագրերի իրականացման արդյունավետության աճին։ Հանրային սահմանափակ միջոցների արդյունավետ օգտագործման հիմնախնդրին համակարգային հանգուցալուծում տալու նպատակով վարվող քաղաքականության հիմքում դրվել են ներդրումային առաջնահերթությունների որոշման համակարգը և ինստիտուցիոնալ կարողությունների շարունակական զարգացումը: Այս </w:t>
      </w:r>
      <w:r w:rsidRPr="001F63BA">
        <w:rPr>
          <w:rFonts w:ascii="GHEA Grapalat" w:hAnsi="GHEA Grapalat"/>
          <w:sz w:val="22"/>
          <w:szCs w:val="22"/>
        </w:rPr>
        <w:lastRenderedPageBreak/>
        <w:t>համատեքստում իրականացվում են համապարփակ և շարունակական աշխատանքներ՝ ուղղված օրենսդրական և ինստիտուցիոնալ միջավայրի բարելավմանը։</w:t>
      </w:r>
    </w:p>
    <w:p w:rsidR="001C411D" w:rsidRPr="001F63BA" w:rsidRDefault="001C411D" w:rsidP="000E61B5">
      <w:pPr>
        <w:spacing w:line="360" w:lineRule="auto"/>
        <w:ind w:firstLine="567"/>
        <w:jc w:val="both"/>
        <w:rPr>
          <w:rFonts w:ascii="GHEA Grapalat" w:hAnsi="GHEA Grapalat"/>
          <w:sz w:val="22"/>
          <w:szCs w:val="22"/>
          <w:lang w:val="en-US"/>
        </w:rPr>
      </w:pPr>
      <w:r w:rsidRPr="001F63BA">
        <w:rPr>
          <w:rFonts w:ascii="GHEA Grapalat" w:hAnsi="GHEA Grapalat"/>
          <w:sz w:val="22"/>
          <w:szCs w:val="22"/>
        </w:rPr>
        <w:t>Պետություն-մասնավոր գործընկերության (ՊՄԳ) տեսակետից կարևորվել է մասնավոր հատվածի մարդկային, ֆինանսական ռեսուրսների, մասնագիտական փորձի և հնարավորությունների ներգրավումը հանրային բարիքի ստեղծման գործընթացում։ Վերջինիս շրջանակներում նախատեսվել են պետություն-մասնավոր գործընկերությունից բխող իրավահարաբերությունների օրենսդրական կարգավորման ամբողջականացման ուղղված աշխատանքներ՝ միտված խթանելու երկրում հանրային ենթակառուցվածքների բարելավումը, ձևավորելու արդյունավետ ՊՄԳ ծրագրերի մշակման, իրագործման և կառավարման համար բարենպաստ, միջազգային լավագույն փորձին համապատասխան միջավայր։</w:t>
      </w:r>
    </w:p>
    <w:p w:rsidR="001C411D" w:rsidRPr="001F63BA" w:rsidRDefault="001C411D" w:rsidP="00874192">
      <w:pPr>
        <w:spacing w:line="360" w:lineRule="auto"/>
        <w:ind w:firstLine="567"/>
        <w:jc w:val="both"/>
        <w:rPr>
          <w:rFonts w:ascii="GHEA Grapalat" w:hAnsi="GHEA Grapalat"/>
          <w:sz w:val="22"/>
          <w:szCs w:val="22"/>
        </w:rPr>
      </w:pPr>
      <w:r w:rsidRPr="001F63BA">
        <w:rPr>
          <w:rFonts w:ascii="GHEA Grapalat" w:hAnsi="GHEA Grapalat"/>
          <w:sz w:val="22"/>
          <w:szCs w:val="22"/>
        </w:rPr>
        <w:t xml:space="preserve">Նախաձեռնվել </w:t>
      </w:r>
      <w:r w:rsidRPr="001F63BA">
        <w:rPr>
          <w:rFonts w:ascii="GHEA Grapalat" w:hAnsi="GHEA Grapalat"/>
          <w:sz w:val="22"/>
          <w:szCs w:val="22"/>
          <w:lang w:val="en-US"/>
        </w:rPr>
        <w:t>են</w:t>
      </w:r>
      <w:r w:rsidRPr="001F63BA">
        <w:rPr>
          <w:rFonts w:ascii="GHEA Grapalat" w:hAnsi="GHEA Grapalat"/>
          <w:sz w:val="22"/>
          <w:szCs w:val="22"/>
        </w:rPr>
        <w:t xml:space="preserve"> կանաչ և կայուն տնտեսական զարգացման ռազմավարության մշակման աշխատանքներ։ Ռազմավարությամբ հստակ արտացոլված կլինեն կանաչ և կայուն տնտեսության զարգացման ուղղությունները և նախատեսվող գործողությունների շրջանակը, ինչպես նաև կանաչ տնտեսության խթանման և կայուն զարգացման երկարաժամկետ նպատակների իրագործման մեխանիզմները։ 2022 թվականի սեպտեմբերի 9-ին ՀՀ ԷՆ N 1503-Լ հրամանով հաստատվել է «Բնական ռեսուրսների տնտեսական ցիկլում առավել երկար պահպանման նախադրյալների ստեղծման ճանապարհային քարտեզը»։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E56B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 xml:space="preserve">Եվրասիական տնտեսական միության հետ համագործակցության շրջանակում՝ </w:t>
      </w:r>
    </w:p>
    <w:p w:rsidR="001C411D" w:rsidRPr="001F63BA" w:rsidRDefault="001C411D" w:rsidP="00BB1B4B">
      <w:pPr>
        <w:numPr>
          <w:ilvl w:val="0"/>
          <w:numId w:val="1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Ընդունվել է «Գործունեության իրականացման ծանուցման մասին» օրենքում փոփոխություն կատարելու մասին» օրենքը, որով ծանուցման ենթակա գործունեություն իրականացնող անձանց հնարավորություն է տրվում տեղեկացումը կամ անհրաժեշտ փաստաթղթերի ուղարկումն իրականացնել նաև համացանցային կայք-էջում հասանելի /www.trade.gov.am/ «Թույլատվական փաստաթղթեր (sw.gov.am)» համակարգի միջոցով։</w:t>
      </w:r>
    </w:p>
    <w:p w:rsidR="001C411D" w:rsidRPr="001F63BA" w:rsidRDefault="001C411D" w:rsidP="00BB1B4B">
      <w:pPr>
        <w:numPr>
          <w:ilvl w:val="0"/>
          <w:numId w:val="1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ՀՀ նախաձեռնությամբ հայկական արտադրության երկու ապրանքատեսակ ներառվել են արդյունաբերական ապրանքների եվրասիական ռեեստրում, ինչը հնարավորություն է տալիս ՀՀ տնտեսվարողներին մասնակցելու ԵԱՏՄ անդամ-պետություններում պետական (մունիցիպալ) գնումներին։ </w:t>
      </w:r>
    </w:p>
    <w:p w:rsidR="001C411D" w:rsidRPr="001F63BA" w:rsidRDefault="001C411D" w:rsidP="00BB1B4B">
      <w:pPr>
        <w:numPr>
          <w:ilvl w:val="0"/>
          <w:numId w:val="1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ԵԱՏՄ անդամ պետությունների տնտեսական կայունության ապահովման նպատակով՝ ԵԱՏՄ անդամ երկրների կողմից, այդ թվում՝ ՀՀ-ի կողմից ներկայացված առաջարկների հիման վրա ընդունվել են ԵՏՀ Խորհրդի մի շարք որոշումներ, որոնց համաձայն ներմուծման մաքսատուրքի վճարումից վեց ամիս ժամկետով ազատվել են ԵԱՏՄ անդամ պետությունների տնտեսությունների </w:t>
      </w:r>
      <w:r w:rsidRPr="001F63BA">
        <w:rPr>
          <w:rFonts w:ascii="GHEA Grapalat" w:hAnsi="GHEA Grapalat"/>
          <w:sz w:val="22"/>
          <w:szCs w:val="22"/>
        </w:rPr>
        <w:lastRenderedPageBreak/>
        <w:t>համար առավել կարևոր ապրանքատեսակներ (հայկական կողմի առաջարկով՝ 128 ապրանքատեսակ)։ Նշյալ սակագնային արտոնությունը որոշ տեսակի ապրանքների hանդեպ ԵՏՀ խորհրդի համապատասխան որոշումներով երկարաձգվել է ևս 6 ամսով (մինչև 2023 թվականի մարտի 31-ը)։</w:t>
      </w:r>
    </w:p>
    <w:p w:rsidR="001C411D" w:rsidRPr="001F63BA" w:rsidRDefault="001C411D" w:rsidP="00BB1B4B">
      <w:pPr>
        <w:numPr>
          <w:ilvl w:val="0"/>
          <w:numId w:val="1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ԵՏՀ Խորհրդի որոշմամբ ժամանակավորապես դադարեցվել է ԵԱՏՄ մաքսային տարածք ներմուծվող հերբիցիդների նկատմամբ կիրառվող հակագնագցման տուրքի կիրառումը, որը դրական ազդեցություն է ունեցել գյուղատնտեսության ոլորտի վրա։</w:t>
      </w:r>
    </w:p>
    <w:p w:rsidR="001C411D" w:rsidRPr="001F63BA" w:rsidRDefault="001C411D" w:rsidP="00BB1B4B">
      <w:pPr>
        <w:numPr>
          <w:ilvl w:val="0"/>
          <w:numId w:val="1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2022 թվականին </w:t>
      </w:r>
      <w:r w:rsidRPr="001F63BA">
        <w:rPr>
          <w:rFonts w:ascii="GHEA Grapalat" w:hAnsi="GHEA Grapalat"/>
          <w:sz w:val="22"/>
          <w:szCs w:val="22"/>
          <w:lang w:val="en-US"/>
        </w:rPr>
        <w:t>ԵԱՏՄ</w:t>
      </w:r>
      <w:r w:rsidRPr="001F63BA">
        <w:rPr>
          <w:rFonts w:ascii="GHEA Grapalat" w:hAnsi="GHEA Grapalat"/>
          <w:sz w:val="22"/>
          <w:szCs w:val="22"/>
        </w:rPr>
        <w:t xml:space="preserve"> հետ համագործակցության շրջանակներում շարունակվել են նավթի և նավթամթերքների ընդհանուր շուկայի ձևավորմանն ուղղված աշխատանքներ, մասնավորապես՝ քննարկվել են «Եվրասիական տնտեսական միության ընդհանուր շուկայի ձևավորման մասին» Համաձայնագրի, «Եվրասիական տնտեսական միության ընդհանուր շուկաներում նավթի և նավթամթերքների առևտրի» կարգի և «Եվրասիական տնտեսական միության ընդհանուր շուկաներում նավթի և նավթամթերքների բիրժային առևտրի իրականացման» կարգի նախագծերը։</w:t>
      </w:r>
    </w:p>
    <w:p w:rsidR="001C411D" w:rsidRPr="001F63BA" w:rsidRDefault="001C411D" w:rsidP="00A01C2F">
      <w:pPr>
        <w:spacing w:line="360" w:lineRule="auto"/>
        <w:ind w:firstLine="567"/>
        <w:jc w:val="both"/>
        <w:rPr>
          <w:rFonts w:ascii="GHEA Grapalat" w:hAnsi="GHEA Grapalat"/>
          <w:sz w:val="22"/>
          <w:szCs w:val="22"/>
        </w:rPr>
      </w:pPr>
      <w:r w:rsidRPr="001F63BA">
        <w:rPr>
          <w:rFonts w:ascii="GHEA Grapalat" w:hAnsi="GHEA Grapalat"/>
          <w:sz w:val="22"/>
          <w:szCs w:val="22"/>
        </w:rPr>
        <w:t>Ընթացել են նաև ալկոհոլային միասնական շուկայի ձևավորման և այդ շուկաներում սահմանափակումների վերացմանն ուղղված աշխատանքներ, շարունակվել են քննարկումները «Եվրասիական տնտեսական միության շրջանակներում ալկոհոլային շուկայի կարգավորման մասին» Համաձայնագրի նախագծի շուրջ։</w:t>
      </w:r>
    </w:p>
    <w:p w:rsidR="001C411D" w:rsidRPr="001F63BA" w:rsidRDefault="001C411D" w:rsidP="00BB1B4B">
      <w:pPr>
        <w:numPr>
          <w:ilvl w:val="0"/>
          <w:numId w:val="1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 թվականի ընթացքում շարունակական աշխատանքներ են տարվել ԵԱՏՄ շրջանակներում երրորդ երկրների հետ նախատեսվող և գործող ազատ առևտրի, ին</w:t>
      </w:r>
      <w:r w:rsidRPr="001F63BA">
        <w:rPr>
          <w:rFonts w:ascii="GHEA Grapalat" w:hAnsi="GHEA Grapalat"/>
          <w:sz w:val="22"/>
          <w:szCs w:val="22"/>
          <w:lang w:val="en-US"/>
        </w:rPr>
        <w:t>չ</w:t>
      </w:r>
      <w:r w:rsidRPr="001F63BA">
        <w:rPr>
          <w:rFonts w:ascii="GHEA Grapalat" w:hAnsi="GHEA Grapalat"/>
          <w:sz w:val="22"/>
          <w:szCs w:val="22"/>
        </w:rPr>
        <w:t xml:space="preserve">պես նաև առևտրատնտեսական համագործակցության համաձայնագրերի շրջանակներում տվյալ երկրի շուկա ՀՀ արտադրատեսակների մուտքի ազատականացման ուղղությամբ, մասնավորապես՝ </w:t>
      </w:r>
    </w:p>
    <w:p w:rsidR="001C411D" w:rsidRPr="001F63BA" w:rsidRDefault="001C411D" w:rsidP="00040F7F">
      <w:pPr>
        <w:spacing w:line="360" w:lineRule="auto"/>
        <w:ind w:firstLine="567"/>
        <w:jc w:val="both"/>
        <w:rPr>
          <w:rFonts w:ascii="GHEA Grapalat" w:hAnsi="GHEA Grapalat"/>
          <w:sz w:val="22"/>
          <w:szCs w:val="22"/>
          <w:lang w:val="en-US"/>
        </w:rPr>
      </w:pPr>
      <w:r w:rsidRPr="001F63BA">
        <w:rPr>
          <w:rFonts w:ascii="GHEA Grapalat" w:hAnsi="GHEA Grapalat"/>
          <w:sz w:val="22"/>
          <w:szCs w:val="22"/>
        </w:rPr>
        <w:t>- 2022 թվականի մարտի 14-ին ստորագրվել և 2022 թվականի հունիսի 22-ին հաստատվել է «Եվրասիական տնտեսական միության և դրա անդամ պետությունների՝ մի կողմից, և Իրանի Իսլամական Հանրապետության՝ մյուս կողմից, միջև 2018 թվականի մայիսի 17-ին կնքված ազատ առևտրի գոտու ձևավորմանն ուղղված ժամանակավոր համաձայնագրին» կից արձանագրությունը։ Արձանագրությամբ պայմանագրի գործողությունը երկարաձգվել է մինչև 2025 թվականի հոկտեմբերի 27-ը, և նախատեսվում է առևտրի արտոնյալ պայմանների պահպանումը մինչև ԵԱՏՄ անդամ երկրներ-Իրան ազատ առևտրի համաձայնա</w:t>
      </w:r>
      <w:r w:rsidRPr="001F63BA">
        <w:rPr>
          <w:rFonts w:ascii="GHEA Grapalat" w:hAnsi="GHEA Grapalat"/>
          <w:sz w:val="22"/>
          <w:szCs w:val="22"/>
          <w:lang w:val="en-US"/>
        </w:rPr>
        <w:t>գ</w:t>
      </w:r>
      <w:r w:rsidRPr="001F63BA">
        <w:rPr>
          <w:rFonts w:ascii="GHEA Grapalat" w:hAnsi="GHEA Grapalat"/>
          <w:sz w:val="22"/>
          <w:szCs w:val="22"/>
        </w:rPr>
        <w:t>րի կնքումը</w:t>
      </w:r>
      <w:r w:rsidRPr="001F63BA">
        <w:rPr>
          <w:rFonts w:ascii="GHEA Grapalat" w:hAnsi="GHEA Grapalat"/>
          <w:sz w:val="22"/>
          <w:szCs w:val="22"/>
          <w:lang w:val="en-US"/>
        </w:rPr>
        <w:t>.</w:t>
      </w:r>
    </w:p>
    <w:p w:rsidR="001C411D" w:rsidRPr="001F63BA" w:rsidRDefault="001C411D" w:rsidP="00040F7F">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 «Եվրասիական տնտեսական միության և նրա անդամ պետությունների՝ մի կողմից, և Սինգապուրի Հանրապետության՝ մյուս կողմից, միջև համապարփակ տնտեսական համագործակցության մասին» շրջանակային համաձայնագիրը ստորագրվել է 2022 թվականի մայիսի </w:t>
      </w:r>
      <w:r w:rsidRPr="001F63BA">
        <w:rPr>
          <w:rFonts w:ascii="GHEA Grapalat" w:hAnsi="GHEA Grapalat"/>
          <w:sz w:val="22"/>
          <w:szCs w:val="22"/>
        </w:rPr>
        <w:lastRenderedPageBreak/>
        <w:t>19-ին։ 2022 թվականի ընթացքում աշխատանքներ են տարվել նշյալ համաձայնագրի վավերացման ուղղությամբ</w:t>
      </w:r>
      <w:r w:rsidRPr="001F63BA">
        <w:rPr>
          <w:rFonts w:ascii="GHEA Grapalat" w:hAnsi="GHEA Grapalat"/>
          <w:sz w:val="22"/>
          <w:szCs w:val="22"/>
          <w:lang w:val="en-US"/>
        </w:rPr>
        <w:t>.</w:t>
      </w:r>
    </w:p>
    <w:p w:rsidR="001C411D" w:rsidRPr="001F63BA" w:rsidRDefault="001C411D" w:rsidP="00A01C2F">
      <w:pPr>
        <w:spacing w:line="360" w:lineRule="auto"/>
        <w:ind w:firstLine="567"/>
        <w:jc w:val="both"/>
        <w:rPr>
          <w:rFonts w:ascii="GHEA Grapalat" w:hAnsi="GHEA Grapalat"/>
          <w:sz w:val="22"/>
          <w:szCs w:val="22"/>
          <w:lang w:val="en-US"/>
        </w:rPr>
      </w:pPr>
      <w:r w:rsidRPr="001F63BA">
        <w:rPr>
          <w:rFonts w:ascii="GHEA Grapalat" w:hAnsi="GHEA Grapalat"/>
          <w:sz w:val="22"/>
          <w:szCs w:val="22"/>
        </w:rPr>
        <w:t>- Բանակցությունների հաջորդական փուլեր են իրականացվել ԵԱՏՄ շրջանակներում Իրանի և Եգիպտոսի հետ</w:t>
      </w:r>
      <w:r w:rsidRPr="001F63BA">
        <w:rPr>
          <w:rFonts w:ascii="GHEA Grapalat" w:hAnsi="GHEA Grapalat"/>
          <w:sz w:val="22"/>
          <w:szCs w:val="22"/>
          <w:lang w:val="en-US"/>
        </w:rPr>
        <w:t>.</w:t>
      </w:r>
    </w:p>
    <w:p w:rsidR="001C411D" w:rsidRPr="001F63BA" w:rsidRDefault="001C411D" w:rsidP="00A01C2F">
      <w:pPr>
        <w:spacing w:line="360" w:lineRule="auto"/>
        <w:ind w:firstLine="567"/>
        <w:jc w:val="both"/>
        <w:rPr>
          <w:rFonts w:ascii="GHEA Grapalat" w:hAnsi="GHEA Grapalat"/>
          <w:sz w:val="22"/>
          <w:szCs w:val="22"/>
          <w:lang w:val="en-US"/>
        </w:rPr>
      </w:pPr>
      <w:r w:rsidRPr="001F63BA">
        <w:rPr>
          <w:rFonts w:ascii="GHEA Grapalat" w:hAnsi="GHEA Grapalat"/>
          <w:sz w:val="22"/>
          <w:szCs w:val="22"/>
        </w:rPr>
        <w:t>- Կայացել է ԵԱՏՄ-Վիետնամ ազատ առևտրի համաձայնագրի շրջանակներում հիմնված համատեղ կոմիտեի չորրորդ նիստը։ Նիստի արձանագրությամբ ամրագրվել է հայկական կողմի հետաքրքրությունը կոնյակի արտադրանքի՝ վիետնամական շուկա մուտքի ազատականացման վերաբերյալ</w:t>
      </w:r>
      <w:r w:rsidRPr="001F63BA">
        <w:rPr>
          <w:rFonts w:ascii="GHEA Grapalat" w:hAnsi="GHEA Grapalat"/>
          <w:sz w:val="22"/>
          <w:szCs w:val="22"/>
          <w:lang w:val="en-US"/>
        </w:rPr>
        <w:t>.</w:t>
      </w:r>
    </w:p>
    <w:p w:rsidR="001C411D" w:rsidRPr="001F63BA" w:rsidRDefault="001C411D" w:rsidP="00A01C2F">
      <w:pPr>
        <w:spacing w:line="360" w:lineRule="auto"/>
        <w:ind w:firstLine="567"/>
        <w:jc w:val="both"/>
        <w:rPr>
          <w:rFonts w:ascii="GHEA Grapalat" w:hAnsi="GHEA Grapalat"/>
          <w:sz w:val="22"/>
          <w:szCs w:val="22"/>
        </w:rPr>
      </w:pPr>
      <w:r w:rsidRPr="001F63BA">
        <w:rPr>
          <w:rFonts w:ascii="GHEA Grapalat" w:hAnsi="GHEA Grapalat"/>
          <w:sz w:val="22"/>
          <w:szCs w:val="22"/>
        </w:rPr>
        <w:t>- Կայացել է ԵԱՏՄ-Չինաստան առևտրատնտեսական համագործակցության համաձայնագրի իրագործման նպատակով հիմնված համատեղ փորձագիտական խմբի նիստը, որի ընթացքում քննարկվել են ԵԱՏՄ անդամ երկրների և Չինաստանի միջև փոխադարձ առևտրի խոչընդոտների, մաքսային համագործակցության, պետական գնումների, լոգիստիկայի, ոլորտային համագործակցության այլ հարցեր։</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E56B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Գյուղատնտեսություն</w:t>
      </w:r>
    </w:p>
    <w:p w:rsidR="001C411D" w:rsidRPr="001F63BA" w:rsidRDefault="001C411D" w:rsidP="00A01C2F">
      <w:pPr>
        <w:spacing w:line="360" w:lineRule="auto"/>
        <w:ind w:firstLine="567"/>
        <w:jc w:val="both"/>
        <w:rPr>
          <w:rFonts w:ascii="GHEA Grapalat" w:hAnsi="GHEA Grapalat"/>
          <w:sz w:val="22"/>
          <w:szCs w:val="22"/>
        </w:rPr>
      </w:pPr>
      <w:r w:rsidRPr="001F63BA">
        <w:rPr>
          <w:rFonts w:ascii="GHEA Grapalat" w:hAnsi="GHEA Grapalat"/>
          <w:sz w:val="22"/>
          <w:szCs w:val="22"/>
        </w:rPr>
        <w:t>Ագրոպարենային համակարգի զարգացման քաղաքա</w:t>
      </w:r>
      <w:r w:rsidRPr="001F63BA">
        <w:rPr>
          <w:rFonts w:ascii="GHEA Grapalat" w:hAnsi="GHEA Grapalat"/>
          <w:sz w:val="22"/>
          <w:szCs w:val="22"/>
        </w:rPr>
        <w:softHyphen/>
        <w:t xml:space="preserve">կանության մեջ որպես հիմնական գերակայություններ են դրված եղել՝ գյուղատնտեսության ռեսուրսային ներուժի արդյունավետ օգտագործումը, պարենային անվտանգության մակարդակի բարձրացումը, առաջադիմական տեխնոլոգիաների ներդրումը, գյուղատնտեսության ինտենսիվացման մակարդակի բարձրացումը, բնակլիմայական ռիսկերի մեղմումն ու տնտեսավարողների եկամուտների ավելացումը: </w:t>
      </w:r>
    </w:p>
    <w:p w:rsidR="001C411D" w:rsidRPr="001F63BA" w:rsidRDefault="001C411D" w:rsidP="00A01C2F">
      <w:pPr>
        <w:spacing w:line="360" w:lineRule="auto"/>
        <w:ind w:firstLine="567"/>
        <w:jc w:val="both"/>
        <w:rPr>
          <w:rFonts w:ascii="GHEA Grapalat" w:hAnsi="GHEA Grapalat"/>
          <w:sz w:val="22"/>
          <w:szCs w:val="22"/>
        </w:rPr>
      </w:pPr>
      <w:r w:rsidRPr="001F63BA">
        <w:rPr>
          <w:rFonts w:ascii="GHEA Grapalat" w:hAnsi="GHEA Grapalat"/>
          <w:sz w:val="22"/>
          <w:szCs w:val="22"/>
        </w:rPr>
        <w:t>Գյուղատնտեսության ոլորտում Կառավարության կողմից իրականացվող քաղաքականությունն ուղղված է եղել գյուղատնտեսության ինտենսիվացմանը, արտադրողականության բարձրացմանը, հողային ռեսուրսների՝ նպատակային և ջրային ռեսուրսների խնայողաբար ու արդյունավետ օգտագործմանը, պարենային անվտանգության ապահովման մակարդակի բարձրացմանը, անասնաբուծության և բուսաբուծության զարգացմանը, արդիական տեխնոլոգիաների ներդրմանը, արտադրված արտադրանքի իրացմանն ու արտահանման խթանմանը, գյուղատնտեսական ամբողջ արժեշղթայում ընդգրկված սուբյեկտների՝ գյուղացիական տնտեսությունների, կոոպերատիվների, գյուղատնտեսական մթերք վերամշակողների եկամուտների ավելացմանը։</w:t>
      </w:r>
    </w:p>
    <w:p w:rsidR="001C411D" w:rsidRPr="001F63BA" w:rsidRDefault="001C411D" w:rsidP="00A01C2F">
      <w:pPr>
        <w:spacing w:line="360" w:lineRule="auto"/>
        <w:ind w:firstLine="567"/>
        <w:jc w:val="both"/>
        <w:rPr>
          <w:rFonts w:ascii="GHEA Grapalat" w:hAnsi="GHEA Grapalat"/>
          <w:sz w:val="22"/>
          <w:szCs w:val="22"/>
        </w:rPr>
      </w:pPr>
      <w:r w:rsidRPr="001F63BA">
        <w:rPr>
          <w:rFonts w:ascii="GHEA Grapalat" w:hAnsi="GHEA Grapalat"/>
          <w:sz w:val="22"/>
          <w:szCs w:val="22"/>
        </w:rPr>
        <w:t xml:space="preserve">Նշված քաղաքականության իրականացման նպատակով 2022 թվականին պետական բյուջեով նախատեսված ծախսերն առաջնահերթ նպատակաուղղվել են հետևյալ ծրագրերի իրականացմանը.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lastRenderedPageBreak/>
        <w:t>գյուղատնտեսության ոլորտում տնտեսավարողներին և գյուղատնտեսական մթերքների վերամշակող սուբյեկտներին վարկերի տոկոսադրույքների սուբսիդավորման և փոխհատուցման մեխանիզմների կիրառում,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մատչելի մեխանիզմներով՝ լիզինգով գյուղատնտեսական և ագրոպարենային ոլորտի տեխնիկական միջոցների մատակարարում,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ժամանակակից տեխնոլոգիայով մշակվող ինտենսիվ այգեգործության, բարձրարժեք մշակաբույսերի արտադրության խթանման, ոռոգման արդիական տեխնոլոգիաների, ջրավազանների, կարկտապաշտպան ցանցերի ներդրման միջոցառումներ,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փոխհատուցման մեխանիզմների կիրառմամբ ջերմատնային տնտեսությունների, «խելացի» անասնաշենքերի ներդրում,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խաղողագործության և գինեգործության զարգացման միջոցառումներ,</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հողերի ագրոքիմիական հետազոտություններ և բերրիության բարձրացում,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անասնաբուծության զարգացմանն ուղղված պետական աջակցության ծրագրերի իրականացում,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անասնապահության ոլորտում առաջադիմական տեխնոլոգիաների ներդրում,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գյուղատնտեսությունում ապահովագրական փորձնական ծրագրի իրականացում, նոր պրոդուկտների ներդրում,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տեղեկատվական և խորհրդատվական ոլորտի ամրապնդում և զարգացում,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սերմերի որակի ստուգում և պետական սորտափորձարկում,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բույսերի պաշտպանության միջոցառումներ,</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գյուղատնտեսական կենդանիների վարակիչ հիվանդությունների դեմ հակահամաճարակային միջոցառումներ,</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աշնանացան ցորենի արտադրության խթանում,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հանքային պարարտանյութերի ձեռքբերման մատչելիության ապահովում,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բնական կերհանդակների նպատակային և համակարգված օգտագործում։</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շարունակվել են իրականացվել գյուղատնտեսության ոլորտի պետական օժանդ</w:t>
      </w:r>
      <w:r w:rsidRPr="001F63BA">
        <w:rPr>
          <w:rFonts w:ascii="GHEA Grapalat" w:hAnsi="GHEA Grapalat" w:cs="Sylfaen"/>
          <w:sz w:val="22"/>
          <w:szCs w:val="22"/>
          <w:lang w:val="en-US"/>
        </w:rPr>
        <w:t>ակ</w:t>
      </w:r>
      <w:r w:rsidRPr="001F63BA">
        <w:rPr>
          <w:rFonts w:ascii="GHEA Grapalat" w:hAnsi="GHEA Grapalat"/>
          <w:sz w:val="22"/>
          <w:szCs w:val="22"/>
        </w:rPr>
        <w:t>ության ծրագրերը, որոնց արդյունավետության բարձրացման նպատակով պարբերաբար կատարվել են մի շարք փոփոխություններ և լրացումներ։</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Որպես 2022 թվականի հիմնական ձեռքբերում կարելի է առանձնացնել Խոշոր եղջերավոր կենդանիների համարակալման և հաշվառման ծրագրի մեկնարկը։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նոյեմբերի 15–ից հանրապետության բոլոր մարզերում առաջին անգամ մեկնարկել է Խոշոր եղջերավոր կենդանիների համարակալման և հաշվառման ծրագիրը։ Ծրագրի </w:t>
      </w:r>
      <w:r w:rsidRPr="001F63BA">
        <w:rPr>
          <w:rFonts w:ascii="GHEA Grapalat" w:hAnsi="GHEA Grapalat"/>
          <w:sz w:val="22"/>
          <w:szCs w:val="22"/>
        </w:rPr>
        <w:lastRenderedPageBreak/>
        <w:t xml:space="preserve">նպատակն է սննդամթերքի և կենդանիների առողջության ու շրջակա միջավայրի անվտանգության ապահովումը: </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Ծրագրի շրջանակներում վերապատրաստվել են անաս</w:t>
      </w:r>
      <w:r w:rsidRPr="001F63BA">
        <w:rPr>
          <w:rFonts w:ascii="GHEA Grapalat" w:hAnsi="GHEA Grapalat"/>
          <w:sz w:val="22"/>
          <w:szCs w:val="22"/>
          <w:lang w:val="en-US"/>
        </w:rPr>
        <w:t>ն</w:t>
      </w:r>
      <w:r w:rsidRPr="001F63BA">
        <w:rPr>
          <w:rFonts w:ascii="GHEA Grapalat" w:hAnsi="GHEA Grapalat"/>
          <w:sz w:val="22"/>
          <w:szCs w:val="22"/>
        </w:rPr>
        <w:t>աբույժ</w:t>
      </w:r>
      <w:r w:rsidRPr="001F63BA">
        <w:rPr>
          <w:rFonts w:ascii="GHEA Grapalat" w:hAnsi="GHEA Grapalat"/>
          <w:sz w:val="22"/>
          <w:szCs w:val="22"/>
          <w:lang w:val="en-US"/>
        </w:rPr>
        <w:t>ն</w:t>
      </w:r>
      <w:r w:rsidRPr="001F63BA">
        <w:rPr>
          <w:rFonts w:ascii="GHEA Grapalat" w:hAnsi="GHEA Grapalat"/>
          <w:sz w:val="22"/>
          <w:szCs w:val="22"/>
        </w:rPr>
        <w:t>երը, իրականացվել են իրազեկման աշխատանքներ հանրապետության բոլոր մարզերում, ձեռք են բերվել միջազգային ստանդարտներին համապատասխան ականջապիտակներ և պարագաներ, մշակվել և ներդրվել է հավաքագրված տվյալների էլեկտրոնային համակարգ։ Արդյունքում, արդեն համարակալվել է շուրջ 200 000 գլուխ խոշոր եղջերավոր կենդանի, որոնց տվյալները մուտքագրվում և պահպանվում են էլեկտրոնային համակարգի միջոցով։</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Խոշոր եղջերավոր կենդանիների համարակալման և հաշվառման ծրագիրը հնարավորություն կընձեռի ստեղծելու և ներդնելու կենդանիների ու մարդկանց համար ընդհանուր վարակիչ հիվանդությունների կանխարգելման ու վերահսկման նոր արդյունավետ համակարգ: Ծրագիրը կնպաստի նաև կայուն անասնահամաճարակային իրավիճակի ապահովմանը, հետագծելիության ապահովման նոր մեխանիզմի ներդրմանը, կենտրոնացված տվյալների բազայի ձևավորմանը, կենդանիների տեղաշարժի վերահսկմանը, ինչպես նաև նախադրյալներ կստեղծի </w:t>
      </w:r>
      <w:r w:rsidR="000E2BFA" w:rsidRPr="001F63BA">
        <w:rPr>
          <w:rFonts w:ascii="GHEA Grapalat" w:hAnsi="GHEA Grapalat"/>
          <w:sz w:val="22"/>
          <w:szCs w:val="22"/>
        </w:rPr>
        <w:t>Կառավարությ</w:t>
      </w:r>
      <w:r w:rsidRPr="001F63BA">
        <w:rPr>
          <w:rFonts w:ascii="GHEA Grapalat" w:hAnsi="GHEA Grapalat"/>
          <w:sz w:val="22"/>
          <w:szCs w:val="22"/>
        </w:rPr>
        <w:t>ան կողմից առավել նպատակային ծրագրերի իրականացման և անասնաբուծության ոլորտի կայուն զարգացման համար:</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ՀՀ Ազգային Ժողովի կողմից 2022 թվականի հոկտեմբերի 26-ին ընդունվել է «Աշխարհագրական նշումների մասին» օրենքում լրացումներ և փոփոխություններ կատարելու մասին» ՀՕ-398-Ն օրենքը, իսկ Կառավարության կողմից 2023 թվականի հունվարի 19-ին՝ «Հայաստանի Հանրապետության կառավարության 2011 թվականի մարտի 10-ի N 310-Ն որոշման մեջ փոփոխություններ և լրացումներ կատարելու մասին N 75-Ն որոշումը։ Կատարված օրենսդրական փոփոխությունները հնարավորություն կտան արտադրանքի տեխնիկական հատկորոշումների պահպանման նկատմամբ հսկողություն իրականացնելու ցանկություն ունեցող մարմիններին հավատարմագրվելու, իսկ </w:t>
      </w:r>
      <w:r w:rsidRPr="001F63BA">
        <w:rPr>
          <w:rFonts w:ascii="GHEA Grapalat" w:hAnsi="GHEA Grapalat"/>
          <w:sz w:val="22"/>
          <w:szCs w:val="22"/>
          <w:lang w:val="en-US"/>
        </w:rPr>
        <w:t>Է</w:t>
      </w:r>
      <w:r w:rsidRPr="001F63BA">
        <w:rPr>
          <w:rFonts w:ascii="GHEA Grapalat" w:hAnsi="GHEA Grapalat"/>
          <w:sz w:val="22"/>
          <w:szCs w:val="22"/>
        </w:rPr>
        <w:t>կոնոմիկայի նախարարությանը՝ օրենքով սահմանված կարգով դիմելու Մտավոր սեփականության գործակալություն՝ աշխարհագրական նշումով, ծագման տեղանունով կամ երաշխավորված ավանդական արտադրանք գրանցելու նպատակով։ Ակնկալվում է, որ առաջիկայում կգրանցվեն աշխարհագրական նշումով շուրջ 10 անվանում արտադրատեսակ, իսկ աշխարհագրական նշումներով արտադրանքների գրանցումը կխթանի նաև ոլորտային ասոցիացիաների ստեղծմանը։ Կազմավորվել է «Հայաստանի գինիներ» ՀԿ-ն, բացի այդ ՀՀ 4 մարզերում ստեղծվել են խաղողագործների միություններ:</w:t>
      </w:r>
    </w:p>
    <w:p w:rsidR="001C411D" w:rsidRPr="001F63BA" w:rsidRDefault="001C411D" w:rsidP="000E61B5">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Գերմանիայի Դաշնության Բեռլին քաղաքում ստեղծվել է մեկ հավաքական պահեստ և Եվրոպայում հայկական գինիների առցանց վաճառքի հարթակ, որը հասանելի է </w:t>
      </w:r>
      <w:r w:rsidRPr="001F63BA">
        <w:rPr>
          <w:rFonts w:ascii="GHEA Grapalat" w:hAnsi="GHEA Grapalat"/>
          <w:sz w:val="22"/>
          <w:szCs w:val="22"/>
        </w:rPr>
        <w:lastRenderedPageBreak/>
        <w:t>https://winesofarmenia.store/ կայքով: 2022 թվականին հարթակում ներկայացված ընկերությունների թիվն ավելացել է 8-ով՝ կազմելով 29, իսկ գինու տեսականին հասել է 93-ի</w:t>
      </w:r>
      <w:r w:rsidRPr="001F63BA">
        <w:rPr>
          <w:rFonts w:ascii="GHEA Grapalat" w:hAnsi="GHEA Grapalat"/>
          <w:sz w:val="22"/>
          <w:szCs w:val="22"/>
          <w:lang w:val="en-US"/>
        </w:rPr>
        <w:t>:</w:t>
      </w:r>
    </w:p>
    <w:p w:rsidR="001C411D" w:rsidRPr="001F63BA" w:rsidRDefault="001C411D" w:rsidP="000E61B5">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Շարունակվել է Գյուղատնտեսական հումքի մթերումների (գնումների) նպատակով տրամադրվող վարկերի տոկոսադրույքների սուբսիդավորման ծրագրի իրականացումը, որի շրջանակներում 2022 թվականին հաստատվել է 135 շահառուի 255 հայտ շուրջ 23615.5 մլն դրամի չափով, որոնց շրջանակներում գյուղացիական տնտեսությունների հետ կնքվել </w:t>
      </w:r>
      <w:r w:rsidRPr="001F63BA">
        <w:rPr>
          <w:rFonts w:ascii="GHEA Grapalat" w:hAnsi="GHEA Grapalat"/>
          <w:sz w:val="22"/>
          <w:szCs w:val="22"/>
          <w:lang w:val="en-US"/>
        </w:rPr>
        <w:t>է</w:t>
      </w:r>
      <w:r w:rsidRPr="001F63BA">
        <w:rPr>
          <w:rFonts w:ascii="GHEA Grapalat" w:hAnsi="GHEA Grapalat"/>
          <w:sz w:val="22"/>
          <w:szCs w:val="22"/>
        </w:rPr>
        <w:t xml:space="preserve"> 10353 հատ բերքի գնման պայմանագիր, իսկ սուբսիդավորման ընդհանուր գումարը կազմել է 37</w:t>
      </w:r>
      <w:r w:rsidRPr="001F63BA">
        <w:rPr>
          <w:rFonts w:ascii="GHEA Grapalat" w:hAnsi="GHEA Grapalat"/>
          <w:sz w:val="22"/>
          <w:szCs w:val="22"/>
          <w:lang w:val="en-US"/>
        </w:rPr>
        <w:t>39</w:t>
      </w:r>
      <w:r w:rsidRPr="001F63BA">
        <w:rPr>
          <w:rFonts w:ascii="GHEA Grapalat" w:hAnsi="GHEA Grapalat"/>
          <w:sz w:val="22"/>
          <w:szCs w:val="22"/>
        </w:rPr>
        <w:t>.</w:t>
      </w:r>
      <w:r w:rsidRPr="001F63BA">
        <w:rPr>
          <w:rFonts w:ascii="GHEA Grapalat" w:hAnsi="GHEA Grapalat"/>
          <w:sz w:val="22"/>
          <w:szCs w:val="22"/>
          <w:lang w:val="en-US"/>
        </w:rPr>
        <w:t>2</w:t>
      </w:r>
      <w:r w:rsidRPr="001F63BA">
        <w:rPr>
          <w:rFonts w:ascii="GHEA Grapalat" w:hAnsi="GHEA Grapalat"/>
          <w:sz w:val="22"/>
          <w:szCs w:val="22"/>
        </w:rPr>
        <w:t xml:space="preserve"> մլն դրամ: Ծրագրի շրջանակներում 2022 թվականին ՀՀ կառավարության 2021 թվականի հուլիսի 15-ի N 1168</w:t>
      </w:r>
      <w:r w:rsidRPr="001F63BA">
        <w:rPr>
          <w:rFonts w:ascii="GHEA Grapalat" w:hAnsi="GHEA Grapalat"/>
          <w:sz w:val="22"/>
          <w:szCs w:val="22"/>
          <w:lang w:val="en-US"/>
        </w:rPr>
        <w:noBreakHyphen/>
      </w:r>
      <w:r w:rsidRPr="001F63BA">
        <w:rPr>
          <w:rFonts w:ascii="GHEA Grapalat" w:hAnsi="GHEA Grapalat"/>
          <w:sz w:val="22"/>
          <w:szCs w:val="22"/>
        </w:rPr>
        <w:t>Լ որոշման հիման վրա 9 շահառուի տրամադրվել է բյուջետային երաշխիք 5</w:t>
      </w:r>
      <w:r w:rsidRPr="001F63BA">
        <w:rPr>
          <w:rFonts w:ascii="MS Mincho" w:eastAsia="MS Mincho" w:hAnsi="MS Mincho" w:cs="MS Mincho" w:hint="eastAsia"/>
          <w:sz w:val="22"/>
          <w:szCs w:val="22"/>
        </w:rPr>
        <w:t>․</w:t>
      </w:r>
      <w:r w:rsidRPr="001F63BA">
        <w:rPr>
          <w:rFonts w:ascii="GHEA Grapalat" w:hAnsi="GHEA Grapalat"/>
          <w:sz w:val="22"/>
          <w:szCs w:val="22"/>
        </w:rPr>
        <w:t>3 մլրդ դրամի չափով</w:t>
      </w:r>
      <w:r w:rsidRPr="001F63BA">
        <w:rPr>
          <w:rFonts w:ascii="GHEA Grapalat" w:hAnsi="GHEA Grapalat"/>
          <w:sz w:val="22"/>
          <w:szCs w:val="22"/>
          <w:lang w:val="en-US"/>
        </w:rPr>
        <w:t>:</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Հայաստանի Հանրապետությունում ագրոպարենային ոլորտի սարքավորումների լիզինգի աջակցության ծրագրի շրջանակում 2022 թվականին հաստատվել է 185 շահառուի 275 լիզինգի հայտ 16425.6 մլն դրամի չափով, որոնց շրջանակներում ձեռք է բերվել 710 միավոր սարքավորում, իսկ տրամադրված սուբսիդավորման գումարը կազմել է 285</w:t>
      </w:r>
      <w:r w:rsidRPr="001F63BA">
        <w:rPr>
          <w:rFonts w:ascii="GHEA Grapalat" w:hAnsi="GHEA Grapalat"/>
          <w:sz w:val="22"/>
          <w:szCs w:val="22"/>
          <w:lang w:val="en-US"/>
        </w:rPr>
        <w:t>6.1</w:t>
      </w:r>
      <w:r w:rsidRPr="001F63BA">
        <w:rPr>
          <w:rFonts w:ascii="GHEA Grapalat" w:hAnsi="GHEA Grapalat"/>
          <w:sz w:val="22"/>
          <w:szCs w:val="22"/>
        </w:rPr>
        <w:t xml:space="preserve"> մլն դրամ։ Շուրջ 598.55 մլն դրամի օժանդակություն է տրամադրվել կոնյակի սպիրտի 100 հազար (100 տոկոսանոց սպիրտի հաշվարկով) լիտրը գերազանցելուց հետո այլ խմբաքանակների իրացման համար։</w:t>
      </w:r>
    </w:p>
    <w:p w:rsidR="001C411D" w:rsidRPr="001F63BA" w:rsidRDefault="001C411D" w:rsidP="000E61B5">
      <w:pPr>
        <w:spacing w:line="360" w:lineRule="auto"/>
        <w:ind w:firstLine="567"/>
        <w:jc w:val="both"/>
        <w:rPr>
          <w:rFonts w:ascii="GHEA Grapalat" w:hAnsi="GHEA Grapalat"/>
          <w:sz w:val="22"/>
          <w:szCs w:val="22"/>
        </w:rPr>
      </w:pPr>
      <w:r w:rsidRPr="001F63BA">
        <w:rPr>
          <w:rFonts w:ascii="GHEA Grapalat" w:hAnsi="GHEA Grapalat"/>
          <w:sz w:val="22"/>
          <w:szCs w:val="22"/>
        </w:rPr>
        <w:t>Իրականացված միջոցառումների արդյունքում՝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 թվականին մթերվել է շուրջ 277.2 հազար տոննա պտուղբանջարեղեն և խաղող, որը 2021 թվականի ցուցանիշը գերազանցել է 6.1 հազար տոննայով կամ 2.3 %-ով,</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սննդամթերքների և խմիչքների արտադրությունը համադրելի գներով 2022 թվականին կազմել է 830.2 մլրդ դրամ, որը նախորդ տարվա համեմատ աճել է 5.9%-ով,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 2022 թվականին գինու արտահանման ծավալը կազմել է շուրջ 4.6 մլն լիտր</w:t>
      </w:r>
      <w:r w:rsidRPr="001F63BA">
        <w:rPr>
          <w:rFonts w:ascii="GHEA Grapalat" w:hAnsi="GHEA Grapalat"/>
          <w:sz w:val="22"/>
          <w:szCs w:val="22"/>
          <w:lang w:val="en-US"/>
        </w:rPr>
        <w:t>՝</w:t>
      </w:r>
      <w:r w:rsidRPr="001F63BA">
        <w:rPr>
          <w:rFonts w:ascii="GHEA Grapalat" w:hAnsi="GHEA Grapalat"/>
          <w:sz w:val="22"/>
          <w:szCs w:val="22"/>
        </w:rPr>
        <w:t xml:space="preserve"> 2021 թվականի 3.0 մլն լիտրի դիմաց, կամ արտահանման ծավալն ավելացել է 53.3%-ով։ Գինեգործական ընկերությունների քանակը 202</w:t>
      </w:r>
      <w:r w:rsidRPr="001F63BA">
        <w:rPr>
          <w:rFonts w:ascii="GHEA Grapalat" w:hAnsi="GHEA Grapalat"/>
          <w:sz w:val="22"/>
          <w:szCs w:val="22"/>
          <w:lang w:val="en-US"/>
        </w:rPr>
        <w:t>1</w:t>
      </w:r>
      <w:r w:rsidRPr="001F63BA">
        <w:rPr>
          <w:rFonts w:ascii="GHEA Grapalat" w:hAnsi="GHEA Grapalat"/>
          <w:sz w:val="22"/>
          <w:szCs w:val="22"/>
        </w:rPr>
        <w:t xml:space="preserve"> թվականի նկատմամբ աճել է 65%-ով՝ հասնելով 111-ի։ ՀՀ-ում 1 շնչի հաշվով գինու սպառումը վերջին 4 տարում գրեթե կրկնապատկվել է,</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ընդհանուր առմամբ 2022 թվականին ագրոպարենային արտադրանքի արտահանումը 2021 թվականի նկատմամբ ավելացել է 33.1%-ով։</w:t>
      </w:r>
    </w:p>
    <w:p w:rsidR="001C411D" w:rsidRPr="001F63BA" w:rsidRDefault="001C411D" w:rsidP="001F6CB3">
      <w:pPr>
        <w:spacing w:line="360" w:lineRule="auto"/>
        <w:ind w:firstLine="567"/>
        <w:jc w:val="both"/>
        <w:rPr>
          <w:rFonts w:ascii="GHEA Grapalat" w:hAnsi="GHEA Grapalat"/>
          <w:sz w:val="22"/>
          <w:szCs w:val="22"/>
        </w:rPr>
      </w:pPr>
    </w:p>
    <w:p w:rsidR="001C411D" w:rsidRPr="001F63BA" w:rsidRDefault="001C411D" w:rsidP="001F6CB3">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 xml:space="preserve">Արտաքին տնտեսական քաղաքականություն </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սեպտեմբերի 26-ին Երևանում առցանց ձևաչափով տեղի է ունեցել ՀՀ-ԵՄ ՀԸԳՀ-ի ներքո գործող Աշխարհագրական նշումների ենթակոմիտեի երրորդ նիստը։ Նիստի ընթացքում քննարկվել են ՀԸԳՀ-ով ամրագրված «Կոնյակ» և «Շամպայն» աշխարհագրական նշումի </w:t>
      </w:r>
      <w:r w:rsidRPr="001F63BA">
        <w:rPr>
          <w:rFonts w:ascii="GHEA Grapalat" w:hAnsi="GHEA Grapalat"/>
          <w:sz w:val="22"/>
          <w:szCs w:val="22"/>
        </w:rPr>
        <w:lastRenderedPageBreak/>
        <w:t>վերաբերյալ դրույթների իրականացման ուղղությամբ տարվող աշխատանքների ներկա վիճակը, աշխարհագրական նշումների վերաբերյալ օրենսդրական զարգացումները և այլ հարցեր։</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սեպտեմբերի 29-30-ը Բրյուսելում տեղի է ունեցել ՀԸԳՀ Առևտրի հարցերով գործընկերության կոմիտեի չորրորդ նիստը: Նիստի ընթացքում կողմերը քննարկել են ՀԸԳՀ </w:t>
      </w:r>
      <w:r w:rsidRPr="001F63BA">
        <w:rPr>
          <w:rFonts w:ascii="GHEA Grapalat" w:hAnsi="GHEA Grapalat"/>
          <w:sz w:val="22"/>
          <w:szCs w:val="22"/>
          <w:lang w:val="en-US"/>
        </w:rPr>
        <w:t>«</w:t>
      </w:r>
      <w:r w:rsidRPr="001F63BA">
        <w:rPr>
          <w:rFonts w:ascii="GHEA Grapalat" w:hAnsi="GHEA Grapalat"/>
          <w:sz w:val="22"/>
          <w:szCs w:val="22"/>
        </w:rPr>
        <w:t>Առևտուր և առևտրին առնչվող հարցեր</w:t>
      </w:r>
      <w:r w:rsidRPr="001F63BA">
        <w:rPr>
          <w:rFonts w:ascii="GHEA Grapalat" w:hAnsi="GHEA Grapalat"/>
          <w:sz w:val="22"/>
          <w:szCs w:val="22"/>
          <w:lang w:val="en-US"/>
        </w:rPr>
        <w:t>»</w:t>
      </w:r>
      <w:r w:rsidRPr="001F63BA">
        <w:rPr>
          <w:rFonts w:ascii="GHEA Grapalat" w:hAnsi="GHEA Grapalat"/>
          <w:sz w:val="22"/>
          <w:szCs w:val="22"/>
        </w:rPr>
        <w:t xml:space="preserve"> մասի ներքո համագործակցության շրջանակներում իրականացվող միջոցառումները և համապատասխան 12 ճանապարհային քարտեզներում զարգացումները: Ներկայացվել և քննարկվել են նաև ՀՀ-ԵՄ ՀԸԳՀ Հոդված 237-ով ամրագրված՝ «Կոնյակ» աշխարհագրական նշման վերաբերյալ դրույթների իրականացման գործընթացին առնչվող</w:t>
      </w:r>
      <w:r w:rsidRPr="001F63BA">
        <w:rPr>
          <w:rFonts w:ascii="GHEA Grapalat" w:hAnsi="GHEA Grapalat"/>
          <w:sz w:val="22"/>
          <w:szCs w:val="22"/>
          <w:lang w:val="en-US"/>
        </w:rPr>
        <w:t>,</w:t>
      </w:r>
      <w:r w:rsidRPr="001F63BA">
        <w:rPr>
          <w:rFonts w:ascii="GHEA Grapalat" w:hAnsi="GHEA Grapalat"/>
          <w:sz w:val="22"/>
          <w:szCs w:val="22"/>
        </w:rPr>
        <w:t xml:space="preserve"> ինչպես նաև ՀՀ-ԵՄ առևտրատնտեսական համագործակցությանն ուղղված այլ հարցեր: </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 xml:space="preserve">Վերանայվել են ՀՀ-ԵՄ ՀԸԳՀ Մաս VI-ի («Առևտուր և առևտրին առնչվող հարցեր») ներքո 12 ճանապարհային քարտեզները: Ճանապարհային քարտեզներում ներառված են ՀՀ-ԵՄ ՀԸԳՀ համապատասխան </w:t>
      </w:r>
      <w:r w:rsidRPr="001F63BA">
        <w:rPr>
          <w:rFonts w:ascii="GHEA Grapalat" w:hAnsi="GHEA Grapalat"/>
          <w:sz w:val="22"/>
          <w:szCs w:val="22"/>
          <w:lang w:val="en-US"/>
        </w:rPr>
        <w:t>գ</w:t>
      </w:r>
      <w:r w:rsidRPr="001F63BA">
        <w:rPr>
          <w:rFonts w:ascii="GHEA Grapalat" w:hAnsi="GHEA Grapalat"/>
          <w:sz w:val="22"/>
          <w:szCs w:val="22"/>
        </w:rPr>
        <w:t>լխի համապատասխան հոդվածների ներքո ամրագրված ՀՀ-ԵՄ պայմանավորվածությունների իրականացման ընթացիկ իրավիճակը, երկկողմ համագործակցու</w:t>
      </w:r>
      <w:r w:rsidRPr="001F63BA">
        <w:rPr>
          <w:rFonts w:ascii="GHEA Grapalat" w:hAnsi="GHEA Grapalat"/>
          <w:sz w:val="22"/>
          <w:szCs w:val="22"/>
          <w:lang w:val="en-US"/>
        </w:rPr>
        <w:t>-</w:t>
      </w:r>
      <w:r w:rsidRPr="001F63BA">
        <w:rPr>
          <w:rFonts w:ascii="GHEA Grapalat" w:hAnsi="GHEA Grapalat"/>
          <w:sz w:val="22"/>
          <w:szCs w:val="22"/>
        </w:rPr>
        <w:t xml:space="preserve">թյանն առնչվող զարգացումները։ Դիտանցման արդյունքում լրամշակված և ամփոփված ճանապարհային քարտեզները քննարկվել են եվրոպական կողմի հետ՝ ՀՀ-ԵՄ Առևտրի հարցերով գործընկերության կոմիտեի չորրորդ նիստի ընթացքում: </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ՀՀ-ԵՄ առևտրատնտեսական համագործակցության ապահովման շրջանակներում ՀՀ-ԵՄ Առևտրի հարցերով գործընկերության կոմիտեի երրորդ նիստի «Գործառնական եզրակացություններ» փաստաթղթում նշված ՀՀ-ԵՄ ՀԸԳՀ Մաս VI-ի («Առևտուր և առևտրին առնչվող հարցեր») բոլոր գլուխների ներքո երկկողմ պայմանավորվածությունները շրջանառվել են համապատասխան պետական կառավարման մարմիններին, տեղեկատվությունը հավաքագրվել, ամփոփվել և ամրագրված ժամկետներում տրամադրվել է եվրոպական կողմին։ </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ԵՄ Արևելյան գործընկերության «Վերականգնում, դիմակայունություն և բարեփոխում. Արևելյան գործընկերության (ԱլԳ) առաջնահերթությունները 2020-ից հետո» շրջանակներում ԵՄ-ից ակնկալվող 2</w:t>
      </w:r>
      <w:r w:rsidRPr="001F63BA">
        <w:rPr>
          <w:rFonts w:ascii="GHEA Grapalat" w:hAnsi="GHEA Grapalat"/>
          <w:sz w:val="22"/>
          <w:szCs w:val="22"/>
          <w:lang w:val="en-US"/>
        </w:rPr>
        <w:t>.</w:t>
      </w:r>
      <w:r w:rsidRPr="001F63BA">
        <w:rPr>
          <w:rFonts w:ascii="GHEA Grapalat" w:hAnsi="GHEA Grapalat"/>
          <w:sz w:val="22"/>
          <w:szCs w:val="22"/>
        </w:rPr>
        <w:t xml:space="preserve">6 մլրդ եվրոյի չափով օժանդակության՝ ՀՀ էկոնոմիկայի նախարարության իրավասության ներքո գտնվող ուղենիշ 1-ի շրջանակներում`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t>մ</w:t>
      </w:r>
      <w:r w:rsidRPr="001F63BA">
        <w:rPr>
          <w:rFonts w:ascii="GHEA Grapalat" w:hAnsi="GHEA Grapalat"/>
          <w:sz w:val="22"/>
          <w:szCs w:val="22"/>
        </w:rPr>
        <w:t xml:space="preserve">շակվել է ծրագրերի ներկայացման համընդհանուր ձևաչափ, որի շրջանակներում հավաքագրվել և վերջնականացվել են ՀՀ էկոնոմիկայի նախարարության, ինչպես նաև շահառու մարմինների (ՀՀ </w:t>
      </w:r>
      <w:r w:rsidRPr="001F63BA">
        <w:rPr>
          <w:rFonts w:ascii="GHEA Grapalat" w:hAnsi="GHEA Grapalat"/>
          <w:sz w:val="22"/>
          <w:szCs w:val="22"/>
          <w:lang w:val="en-US"/>
        </w:rPr>
        <w:t>ԿԲ</w:t>
      </w:r>
      <w:r w:rsidRPr="001F63BA">
        <w:rPr>
          <w:rFonts w:ascii="GHEA Grapalat" w:hAnsi="GHEA Grapalat"/>
          <w:sz w:val="22"/>
          <w:szCs w:val="22"/>
        </w:rPr>
        <w:t xml:space="preserve">, ՀՀ </w:t>
      </w:r>
      <w:r w:rsidRPr="001F63BA">
        <w:rPr>
          <w:rFonts w:ascii="GHEA Grapalat" w:hAnsi="GHEA Grapalat"/>
          <w:sz w:val="22"/>
          <w:szCs w:val="22"/>
          <w:lang w:val="en-US"/>
        </w:rPr>
        <w:t>ԿԳՄՍՆ</w:t>
      </w:r>
      <w:r w:rsidRPr="001F63BA">
        <w:rPr>
          <w:rFonts w:ascii="GHEA Grapalat" w:hAnsi="GHEA Grapalat"/>
          <w:sz w:val="22"/>
          <w:szCs w:val="22"/>
        </w:rPr>
        <w:t>) ոլորտային ծրագրերը,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t>ա</w:t>
      </w:r>
      <w:r w:rsidRPr="001F63BA">
        <w:rPr>
          <w:rFonts w:ascii="GHEA Grapalat" w:hAnsi="GHEA Grapalat"/>
          <w:sz w:val="22"/>
          <w:szCs w:val="22"/>
        </w:rPr>
        <w:t>պահովվել է ՀՀ էկոնոմիկայի նախարարության համապատասխան պաշտոնյաների ներգրավվածությունը գործընթացը համակարգող աշխատանքային խմբի աշխատանքներին,</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lastRenderedPageBreak/>
        <w:t>ե</w:t>
      </w:r>
      <w:r w:rsidRPr="001F63BA">
        <w:rPr>
          <w:rFonts w:ascii="GHEA Grapalat" w:hAnsi="GHEA Grapalat"/>
          <w:sz w:val="22"/>
          <w:szCs w:val="22"/>
        </w:rPr>
        <w:t xml:space="preserve">վրոպական գործընկերների և </w:t>
      </w:r>
      <w:r w:rsidR="000E2BFA" w:rsidRPr="001F63BA">
        <w:rPr>
          <w:rFonts w:ascii="GHEA Grapalat" w:hAnsi="GHEA Grapalat"/>
          <w:sz w:val="22"/>
          <w:szCs w:val="22"/>
        </w:rPr>
        <w:t>Կառավարությ</w:t>
      </w:r>
      <w:r w:rsidRPr="001F63BA">
        <w:rPr>
          <w:rFonts w:ascii="GHEA Grapalat" w:hAnsi="GHEA Grapalat"/>
          <w:sz w:val="22"/>
          <w:szCs w:val="22"/>
        </w:rPr>
        <w:t>ան հետ համատեղ քննարկվել և սահմանվել են ՀՀ էկոնոմիկայի նախարարության իրավասության ներքո գտնվող ուղենիշ 1-ի շրջանակներում առաջնահերթ ծրագրերն ու ուղղությունները,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Առևտրային քաղաքականության թափանցիկության և կանխատեսելիության ապահովման նպատակով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որպես Հայաստանի Հանրապետության ծանուցումների պատասխանատու մարմին</w:t>
      </w:r>
      <w:r w:rsidRPr="001F63BA">
        <w:rPr>
          <w:rFonts w:ascii="GHEA Grapalat" w:hAnsi="GHEA Grapalat"/>
          <w:sz w:val="22"/>
          <w:szCs w:val="22"/>
          <w:lang w:val="en-US"/>
        </w:rPr>
        <w:t>՝</w:t>
      </w:r>
      <w:r w:rsidRPr="001F63BA">
        <w:rPr>
          <w:rFonts w:ascii="GHEA Grapalat" w:hAnsi="GHEA Grapalat"/>
          <w:sz w:val="22"/>
          <w:szCs w:val="22"/>
        </w:rPr>
        <w:t xml:space="preserve"> ՀՀ էկոնոմիկայի նախարարության կողմից ԱՀԿ քարտուղարություն </w:t>
      </w:r>
      <w:r w:rsidRPr="001F63BA">
        <w:rPr>
          <w:rFonts w:ascii="GHEA Grapalat" w:hAnsi="GHEA Grapalat"/>
          <w:sz w:val="22"/>
          <w:szCs w:val="22"/>
          <w:lang w:val="en-US"/>
        </w:rPr>
        <w:t>են</w:t>
      </w:r>
      <w:r w:rsidRPr="001F63BA">
        <w:rPr>
          <w:rFonts w:ascii="GHEA Grapalat" w:hAnsi="GHEA Grapalat"/>
          <w:sz w:val="22"/>
          <w:szCs w:val="22"/>
        </w:rPr>
        <w:t xml:space="preserve"> ներկայացվել ՀՀ առևտրային քաղաքականություններին և կիրառվող միջոցներին առնչվող` ԱՀԿ համաձայնագրերով սահմանված 40 ծանուցումներ</w:t>
      </w:r>
      <w:r w:rsidRPr="001F63BA">
        <w:rPr>
          <w:rFonts w:ascii="GHEA Grapalat" w:hAnsi="GHEA Grapalat"/>
          <w:sz w:val="22"/>
          <w:szCs w:val="22"/>
          <w:lang w:val="en-US"/>
        </w:rPr>
        <w:t>,</w:t>
      </w:r>
      <w:r w:rsidRPr="001F63BA">
        <w:rPr>
          <w:rFonts w:ascii="GHEA Grapalat" w:hAnsi="GHEA Grapalat"/>
          <w:sz w:val="22"/>
          <w:szCs w:val="22"/>
        </w:rPr>
        <w:t xml:space="preserve"> որոնց նախագծերը նախապատրաստվել և համաձայնեցվել են համապատասխան շահագրգիռ մարմինների հետ։ </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ԱՀԿ ընթացակարգերին համապատասխան շարունակվել է ԵԱՏՄ անդամակցությամբ պայմանավորված ԱՀԿ-ում ՀՀ մաքսատուրքերի սահմանային ամրագրված դրույքաչափերի պարտավորությունների փոփոխության բանակցային գործընթացը՝ այդ նպատակով ԵԱՏՄ շրջանակներում ձևավորված բանակցային խմբի շրջանակներում։ Բանակցությունների հիմնական գործընթացներ</w:t>
      </w:r>
      <w:r w:rsidRPr="001F63BA">
        <w:rPr>
          <w:rFonts w:ascii="GHEA Grapalat" w:hAnsi="GHEA Grapalat"/>
          <w:sz w:val="22"/>
          <w:szCs w:val="22"/>
          <w:lang w:val="en-US"/>
        </w:rPr>
        <w:t>ն</w:t>
      </w:r>
      <w:r w:rsidRPr="001F63BA">
        <w:rPr>
          <w:rFonts w:ascii="GHEA Grapalat" w:hAnsi="GHEA Grapalat"/>
          <w:sz w:val="22"/>
          <w:szCs w:val="22"/>
        </w:rPr>
        <w:t xml:space="preserve"> ընթացել են ԵՄ-ի հետ՝ գյուղատնտեսական ապրանքների փոխհատուցումային առաջարկների շուրջ (եվրոպական կողմի հետ երկկողմ ձևաչափով կայացել են երկու քննարկումներ)։ </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 xml:space="preserve">Միևնույն ժամանակ, տեսակոնֆերանսի ձևաչափով կազմակերպվել և ԵԱՏՄ անդամ-պետությունների և ԵՏՀ մասնակցությամբ անց են կացվել ԵԱՏՄ շրջանակներում գործող բանակցային խմբի երկու նիստեր, որոնց ընթացքում քննարկվել են գյուղատնտեսական ապրանքների մասով ԵՄ կողմից ներկայացված առաջարկություններն ու դրանց հիման վրա տրամադրվելիք հնարավոր փոխհատուցումային տարբերակները։ </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ՀՀ կողմից իրականացված հետևողական աշխատանքների շնորհիվ ԱՀԿ քարտուղարության Ապրանքների առևտրի խորհրդի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նոյեմբերի 24-ի նիստի որոշմամբ վերոնշյալ բանակցությունների ավարտի վերջնաժամկետը երկարաձգվել է մինչև 2024</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հունվարի 2</w:t>
      </w:r>
      <w:r w:rsidRPr="001F63BA">
        <w:rPr>
          <w:rFonts w:ascii="GHEA Grapalat" w:hAnsi="GHEA Grapalat"/>
          <w:sz w:val="22"/>
          <w:szCs w:val="22"/>
          <w:lang w:val="en-US"/>
        </w:rPr>
        <w:noBreakHyphen/>
      </w:r>
      <w:r w:rsidRPr="001F63BA">
        <w:rPr>
          <w:rFonts w:ascii="GHEA Grapalat" w:hAnsi="GHEA Grapalat"/>
          <w:sz w:val="22"/>
          <w:szCs w:val="22"/>
        </w:rPr>
        <w:t>ը:</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ՀՀ անունից դիրքորոշումներ են ներկայացվել նաև ԱՀԿ տարբեր ոլորտային կոմիտեների նիստերի և այլ քննարկումների շրջանակներում, </w:t>
      </w:r>
      <w:r w:rsidRPr="001F63BA">
        <w:rPr>
          <w:rFonts w:ascii="GHEA Grapalat" w:hAnsi="GHEA Grapalat"/>
          <w:sz w:val="22"/>
          <w:szCs w:val="22"/>
          <w:lang w:val="en-US"/>
        </w:rPr>
        <w:t>ի</w:t>
      </w:r>
      <w:r w:rsidRPr="001F63BA">
        <w:rPr>
          <w:rFonts w:ascii="GHEA Grapalat" w:hAnsi="GHEA Grapalat"/>
          <w:sz w:val="22"/>
          <w:szCs w:val="22"/>
        </w:rPr>
        <w:t>րականացվել են աշխատանքներ ԱՀԿ Առևտրի դյուրացման մասին համաձայնագրի դրույթներով սահմանված պարտավորությունների կատարման ապահովման ուղղությամբ։</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t>ԱՀԿ-ում գործող նորմերին համապատասխանեցնելու նպատակով փորձաքննության են ենթարկվել և կարծիք է ներկայացվել միջազգային և ներպետական 23 փաստաթղթերի (այդ թվում՝ ԵԱՏՄ և ԱՊՀ շրջանակներում կնքվող առևտրային բնույթի 7 համաձայնագրերի դրույթների) և օրենսդրական փաթեթների նախագծերի առնչությամբ։</w:t>
      </w:r>
    </w:p>
    <w:p w:rsidR="001C411D" w:rsidRPr="001F63BA" w:rsidRDefault="001C411D" w:rsidP="001F6CB3">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 xml:space="preserve"> Մասնակցություն է ապահովվել ԵՏՀ-ի կողմից կազմակերպված և ԱՀԿ առնչվող հարցերով թվով 45 տեսակոնֆերանսներին և քննարկումներին։</w:t>
      </w:r>
    </w:p>
    <w:p w:rsidR="001C411D" w:rsidRPr="001F63BA" w:rsidRDefault="001C411D" w:rsidP="000E61B5">
      <w:pPr>
        <w:spacing w:line="360" w:lineRule="auto"/>
        <w:ind w:firstLine="567"/>
        <w:jc w:val="both"/>
        <w:rPr>
          <w:rFonts w:ascii="GHEA Grapalat" w:hAnsi="GHEA Grapalat"/>
          <w:sz w:val="22"/>
          <w:szCs w:val="22"/>
          <w:lang w:val="en-US"/>
        </w:rPr>
      </w:pPr>
    </w:p>
    <w:p w:rsidR="001C411D" w:rsidRPr="001F63BA" w:rsidRDefault="001C411D" w:rsidP="00AC199C">
      <w:pPr>
        <w:pStyle w:val="Heading2"/>
        <w:spacing w:before="0"/>
      </w:pPr>
      <w:bookmarkStart w:id="21" w:name="_Toc132204200"/>
      <w:r w:rsidRPr="001F63BA">
        <w:t>Տարածքային կառավարում և տեղական ինքնակառավարում</w:t>
      </w:r>
      <w:bookmarkEnd w:id="21"/>
    </w:p>
    <w:p w:rsidR="001C411D" w:rsidRPr="001F63BA" w:rsidRDefault="001C411D" w:rsidP="00AC199C">
      <w:pPr>
        <w:spacing w:line="480" w:lineRule="auto"/>
        <w:ind w:firstLine="567"/>
        <w:jc w:val="both"/>
        <w:rPr>
          <w:rFonts w:ascii="GHEA Grapalat" w:hAnsi="GHEA Grapalat"/>
          <w:b/>
          <w:i/>
          <w:sz w:val="22"/>
          <w:szCs w:val="22"/>
        </w:rPr>
      </w:pPr>
      <w:r w:rsidRPr="001F63BA">
        <w:rPr>
          <w:rFonts w:ascii="GHEA Grapalat" w:hAnsi="GHEA Grapalat" w:cs="Tahoma"/>
          <w:b/>
          <w:i/>
          <w:sz w:val="22"/>
          <w:szCs w:val="22"/>
        </w:rPr>
        <w:t>Տեղական ինքնակառավարման բնագավառ</w:t>
      </w:r>
    </w:p>
    <w:p w:rsidR="001C411D" w:rsidRPr="001F63BA" w:rsidRDefault="001C411D" w:rsidP="00AC199C">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Վարչատարածքային բարեփոխումների շարունակականության ապահովում</w:t>
      </w:r>
    </w:p>
    <w:p w:rsidR="001C411D" w:rsidRPr="001F63BA" w:rsidRDefault="001C411D" w:rsidP="009F551A">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հունիսի 9-ին Ազգային ժողովի կողմից ընդունվ</w:t>
      </w:r>
      <w:r w:rsidRPr="001F63BA">
        <w:rPr>
          <w:rFonts w:ascii="GHEA Grapalat" w:hAnsi="GHEA Grapalat"/>
          <w:sz w:val="22"/>
          <w:szCs w:val="22"/>
          <w:lang w:val="en-US"/>
        </w:rPr>
        <w:t>ել են</w:t>
      </w:r>
      <w:r w:rsidRPr="001F63BA">
        <w:rPr>
          <w:rFonts w:ascii="GHEA Grapalat" w:hAnsi="GHEA Grapalat"/>
          <w:sz w:val="22"/>
          <w:szCs w:val="22"/>
        </w:rPr>
        <w:t xml:space="preserve"> «Հայաստանի Հանրապետության վարչատարածքային բաժանման մասին» օրենքում փոփոխություններ և լրացումներ կատարելու մասին», «Տեղական ինքնակառավարման մասին» օրենքում լրացում և փոփոխություն կատարելու մասին» օրենքները, որոնց համաձայն թվով 13 համայնքների ներառմամբ ձևավորվեցին թվով 4 համայնքային փնջեր: Այժմ Հայաստանի Հանրապետությունում առկա է թվով 71 համայնք՝ ներառյալ Երևանը, Գյումրին և թվով 5 ազգային փոքրամասնություններով կոմպակտ բնակեցված համայնքներ: Բոլոր 4 համայնքային փնջերում դեկտեմբերին անցկացվեցին ավագանու համամասնական ընտրակարգով ընտրություններ:</w:t>
      </w:r>
    </w:p>
    <w:p w:rsidR="001C411D" w:rsidRPr="001F63BA" w:rsidRDefault="001C411D" w:rsidP="009F551A">
      <w:pPr>
        <w:spacing w:line="360" w:lineRule="auto"/>
        <w:ind w:firstLine="567"/>
        <w:jc w:val="both"/>
        <w:rPr>
          <w:rFonts w:ascii="GHEA Grapalat" w:hAnsi="GHEA Grapalat"/>
          <w:sz w:val="22"/>
          <w:szCs w:val="22"/>
        </w:rPr>
      </w:pPr>
      <w:r w:rsidRPr="001F63BA">
        <w:rPr>
          <w:rFonts w:ascii="GHEA Grapalat" w:hAnsi="GHEA Grapalat"/>
          <w:sz w:val="22"/>
          <w:szCs w:val="22"/>
        </w:rPr>
        <w:t xml:space="preserve">Շարունակվել են </w:t>
      </w:r>
      <w:r w:rsidRPr="001F63BA">
        <w:rPr>
          <w:rFonts w:ascii="GHEA Grapalat" w:hAnsi="GHEA Grapalat"/>
          <w:sz w:val="22"/>
          <w:szCs w:val="22"/>
          <w:lang w:val="en-US"/>
        </w:rPr>
        <w:t>մ</w:t>
      </w:r>
      <w:r w:rsidRPr="001F63BA">
        <w:rPr>
          <w:rFonts w:ascii="GHEA Grapalat" w:hAnsi="GHEA Grapalat"/>
          <w:sz w:val="22"/>
          <w:szCs w:val="22"/>
        </w:rPr>
        <w:t>իավորված համայնքներին ՏԻՄ բարեփոխումների աջակցման ծրագրերը, որոնց շրջանակներում ընդհանուր 58 միավորված համայնքներին տրամադրվել են թվով 466 միավոր կոմունալ, ինքնագնաց և կցովի գյուղատնտեսական տեխնիկա, 45 միկրոավտոբուս, 3,625 աղբի կոնտեյներ, տեղադրվել են 121 արևային պանելներ, այս ամենը</w:t>
      </w:r>
      <w:r w:rsidRPr="001F63BA">
        <w:rPr>
          <w:rFonts w:ascii="GHEA Grapalat" w:hAnsi="GHEA Grapalat"/>
          <w:sz w:val="22"/>
          <w:szCs w:val="22"/>
          <w:lang w:val="en-US"/>
        </w:rPr>
        <w:t>՝</w:t>
      </w:r>
      <w:r w:rsidRPr="001F63BA">
        <w:rPr>
          <w:rFonts w:ascii="GHEA Grapalat" w:hAnsi="GHEA Grapalat"/>
          <w:sz w:val="22"/>
          <w:szCs w:val="22"/>
        </w:rPr>
        <w:t xml:space="preserve"> 10</w:t>
      </w:r>
      <w:r w:rsidRPr="001F63BA">
        <w:rPr>
          <w:rFonts w:ascii="GHEA Grapalat" w:hAnsi="GHEA Grapalat"/>
          <w:sz w:val="22"/>
          <w:szCs w:val="22"/>
          <w:lang w:val="en-US"/>
        </w:rPr>
        <w:t>.</w:t>
      </w:r>
      <w:r w:rsidRPr="001F63BA">
        <w:rPr>
          <w:rFonts w:ascii="GHEA Grapalat" w:hAnsi="GHEA Grapalat"/>
          <w:sz w:val="22"/>
          <w:szCs w:val="22"/>
        </w:rPr>
        <w:t>5 մլրդ դրամ արժեքով՝ համարժեք 21</w:t>
      </w:r>
      <w:r w:rsidRPr="001F63BA">
        <w:rPr>
          <w:rFonts w:ascii="GHEA Grapalat" w:hAnsi="GHEA Grapalat"/>
          <w:sz w:val="22"/>
          <w:szCs w:val="22"/>
          <w:lang w:val="en-US"/>
        </w:rPr>
        <w:t>.</w:t>
      </w:r>
      <w:r w:rsidRPr="001F63BA">
        <w:rPr>
          <w:rFonts w:ascii="GHEA Grapalat" w:hAnsi="GHEA Grapalat"/>
          <w:sz w:val="22"/>
          <w:szCs w:val="22"/>
        </w:rPr>
        <w:t>9 մլն ԱՄՆ դոլարին:</w:t>
      </w:r>
    </w:p>
    <w:p w:rsidR="001C411D" w:rsidRPr="001F63BA" w:rsidRDefault="001C411D" w:rsidP="009F551A">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մշակվել է ՀՀ-ում լիազորությունների ապակենտրոնացման հայեցակարգի նախագիծը, որում նկարագրված են ապակենտրոնացման գործընթացի սկզբունքները, նպատակները, խնդիրները և ոլորտային ուղղությունները: </w:t>
      </w:r>
    </w:p>
    <w:p w:rsidR="001C411D" w:rsidRPr="001F63BA" w:rsidRDefault="001C411D" w:rsidP="009F551A">
      <w:pPr>
        <w:spacing w:line="360" w:lineRule="auto"/>
        <w:ind w:firstLine="567"/>
        <w:jc w:val="both"/>
        <w:rPr>
          <w:rFonts w:ascii="GHEA Grapalat" w:hAnsi="GHEA Grapalat"/>
          <w:sz w:val="22"/>
          <w:szCs w:val="22"/>
        </w:rPr>
      </w:pPr>
      <w:r w:rsidRPr="001F63BA">
        <w:rPr>
          <w:rFonts w:ascii="GHEA Grapalat" w:hAnsi="GHEA Grapalat"/>
          <w:sz w:val="22"/>
          <w:szCs w:val="22"/>
        </w:rPr>
        <w:t xml:space="preserve">Քաղաքացիների սպասարկման գրասենյակ (ՔՍԳ) է հիմնվել </w:t>
      </w:r>
      <w:r w:rsidRPr="001F63BA">
        <w:rPr>
          <w:rFonts w:ascii="GHEA Grapalat" w:hAnsi="GHEA Grapalat"/>
          <w:sz w:val="22"/>
          <w:szCs w:val="22"/>
          <w:lang w:val="en-US"/>
        </w:rPr>
        <w:t>7</w:t>
      </w:r>
      <w:r w:rsidRPr="001F63BA">
        <w:rPr>
          <w:rFonts w:ascii="GHEA Grapalat" w:hAnsi="GHEA Grapalat"/>
          <w:sz w:val="22"/>
          <w:szCs w:val="22"/>
        </w:rPr>
        <w:t xml:space="preserve"> միավորված բազմաբնակավայր համայնքում։ Ներկա դրությամբ ՔՍԳ-ներ են գործում </w:t>
      </w:r>
      <w:r w:rsidRPr="001F63BA">
        <w:rPr>
          <w:rFonts w:ascii="GHEA Grapalat" w:hAnsi="GHEA Grapalat"/>
          <w:sz w:val="22"/>
          <w:szCs w:val="22"/>
          <w:lang w:val="en-US"/>
        </w:rPr>
        <w:t>Հայաստանի Հ</w:t>
      </w:r>
      <w:r w:rsidRPr="001F63BA">
        <w:rPr>
          <w:rFonts w:ascii="GHEA Grapalat" w:hAnsi="GHEA Grapalat"/>
          <w:sz w:val="22"/>
          <w:szCs w:val="22"/>
        </w:rPr>
        <w:t>անրապետության 5</w:t>
      </w:r>
      <w:r w:rsidRPr="001F63BA">
        <w:rPr>
          <w:rFonts w:ascii="GHEA Grapalat" w:hAnsi="GHEA Grapalat"/>
          <w:sz w:val="22"/>
          <w:szCs w:val="22"/>
          <w:lang w:val="en-US"/>
        </w:rPr>
        <w:t>6</w:t>
      </w:r>
      <w:r w:rsidRPr="001F63BA">
        <w:rPr>
          <w:rFonts w:ascii="GHEA Grapalat" w:hAnsi="GHEA Grapalat"/>
          <w:sz w:val="22"/>
          <w:szCs w:val="22"/>
        </w:rPr>
        <w:t xml:space="preserve"> միավորված համայնքների 7</w:t>
      </w:r>
      <w:r w:rsidRPr="001F63BA">
        <w:rPr>
          <w:rFonts w:ascii="GHEA Grapalat" w:hAnsi="GHEA Grapalat"/>
          <w:sz w:val="22"/>
          <w:szCs w:val="22"/>
          <w:lang w:val="en-US"/>
        </w:rPr>
        <w:t>5</w:t>
      </w:r>
      <w:r w:rsidRPr="001F63BA">
        <w:rPr>
          <w:rFonts w:ascii="GHEA Grapalat" w:hAnsi="GHEA Grapalat"/>
          <w:sz w:val="22"/>
          <w:szCs w:val="22"/>
        </w:rPr>
        <w:t xml:space="preserve"> բնակավայրերում:</w:t>
      </w:r>
      <w:r w:rsidRPr="001F63BA">
        <w:rPr>
          <w:rFonts w:ascii="GHEA Grapalat" w:hAnsi="GHEA Grapalat"/>
          <w:sz w:val="22"/>
          <w:szCs w:val="22"/>
        </w:rPr>
        <w:tab/>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7A6E1F">
      <w:pPr>
        <w:spacing w:line="360" w:lineRule="auto"/>
        <w:ind w:firstLine="567"/>
        <w:jc w:val="both"/>
        <w:rPr>
          <w:rFonts w:ascii="GHEA Grapalat" w:hAnsi="GHEA Grapalat" w:cs="Tahoma"/>
          <w:b/>
          <w:i/>
          <w:sz w:val="22"/>
          <w:szCs w:val="22"/>
        </w:rPr>
      </w:pPr>
      <w:r w:rsidRPr="001F63BA">
        <w:rPr>
          <w:rFonts w:ascii="GHEA Grapalat" w:hAnsi="GHEA Grapalat" w:cs="Tahoma"/>
          <w:b/>
          <w:i/>
          <w:sz w:val="22"/>
          <w:szCs w:val="22"/>
        </w:rPr>
        <w:t>Տարածքային կառավարման բնագավառ</w:t>
      </w:r>
    </w:p>
    <w:p w:rsidR="001C411D" w:rsidRPr="001F63BA" w:rsidRDefault="001C411D" w:rsidP="009F551A">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դեկտեմբերի 29-ի</w:t>
      </w:r>
      <w:r w:rsidRPr="001F63BA">
        <w:rPr>
          <w:rFonts w:ascii="GHEA Grapalat" w:hAnsi="GHEA Grapalat"/>
          <w:sz w:val="22"/>
          <w:szCs w:val="22"/>
          <w:lang w:val="en-US"/>
        </w:rPr>
        <w:t>ն ընդունվել է</w:t>
      </w:r>
      <w:r w:rsidRPr="001F63BA">
        <w:rPr>
          <w:rFonts w:ascii="GHEA Grapalat" w:hAnsi="GHEA Grapalat"/>
          <w:sz w:val="22"/>
          <w:szCs w:val="22"/>
        </w:rPr>
        <w:t xml:space="preserve"> «Հայաստանի Հանրապետության մարզպետների աշխատակազմերի կանոնադրությունները հաստատելու մասին»</w:t>
      </w:r>
      <w:r w:rsidRPr="001F63BA">
        <w:rPr>
          <w:rFonts w:ascii="GHEA Grapalat" w:hAnsi="GHEA Grapalat"/>
          <w:sz w:val="22"/>
          <w:szCs w:val="22"/>
          <w:lang w:val="en-US"/>
        </w:rPr>
        <w:t xml:space="preserve"> </w:t>
      </w:r>
      <w:r w:rsidRPr="001F63BA">
        <w:rPr>
          <w:rFonts w:ascii="GHEA Grapalat" w:hAnsi="GHEA Grapalat"/>
          <w:sz w:val="22"/>
          <w:szCs w:val="22"/>
        </w:rPr>
        <w:t>ՀՀ վարչապետի N</w:t>
      </w:r>
      <w:r w:rsidRPr="001F63BA">
        <w:rPr>
          <w:rFonts w:ascii="Courier New" w:hAnsi="Courier New" w:cs="Courier New"/>
          <w:sz w:val="22"/>
          <w:szCs w:val="22"/>
          <w:lang w:val="en-US"/>
        </w:rPr>
        <w:t> </w:t>
      </w:r>
      <w:r w:rsidRPr="001F63BA">
        <w:rPr>
          <w:rFonts w:ascii="GHEA Grapalat" w:hAnsi="GHEA Grapalat"/>
          <w:sz w:val="22"/>
          <w:szCs w:val="22"/>
        </w:rPr>
        <w:t>1550-Լ որոշ</w:t>
      </w:r>
      <w:r w:rsidRPr="001F63BA">
        <w:rPr>
          <w:rFonts w:ascii="GHEA Grapalat" w:hAnsi="GHEA Grapalat"/>
          <w:sz w:val="22"/>
          <w:szCs w:val="22"/>
          <w:lang w:val="en-US"/>
        </w:rPr>
        <w:t>ումը</w:t>
      </w:r>
      <w:r w:rsidRPr="001F63BA">
        <w:rPr>
          <w:rFonts w:ascii="GHEA Grapalat" w:hAnsi="GHEA Grapalat"/>
          <w:sz w:val="22"/>
          <w:szCs w:val="22"/>
        </w:rPr>
        <w:t xml:space="preserve">։ </w:t>
      </w:r>
    </w:p>
    <w:p w:rsidR="001C411D" w:rsidRPr="001F63BA" w:rsidRDefault="001C411D" w:rsidP="00752E0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 xml:space="preserve">2022 թվականին մշակվել են </w:t>
      </w:r>
      <w:r w:rsidRPr="001F63BA">
        <w:rPr>
          <w:rFonts w:ascii="GHEA Grapalat" w:hAnsi="GHEA Grapalat"/>
          <w:sz w:val="22"/>
          <w:szCs w:val="22"/>
        </w:rPr>
        <w:t>«Համայնքային ծառայության մասին» ՀՀ օրենքում փոփոխություններ և լրացումներ կատարելու մասին» օրենքի նախագ</w:t>
      </w:r>
      <w:r w:rsidRPr="001F63BA">
        <w:rPr>
          <w:rFonts w:ascii="GHEA Grapalat" w:hAnsi="GHEA Grapalat"/>
          <w:sz w:val="22"/>
          <w:szCs w:val="22"/>
          <w:lang w:val="en-US"/>
        </w:rPr>
        <w:t>իծը</w:t>
      </w:r>
      <w:r w:rsidRPr="001F63BA">
        <w:rPr>
          <w:rFonts w:ascii="GHEA Grapalat" w:hAnsi="GHEA Grapalat"/>
          <w:sz w:val="22"/>
          <w:szCs w:val="22"/>
        </w:rPr>
        <w:t>, ոլորտը կարգավորող ենթաօրենսդրական ակտերում փոփոխությունների և լրացումների նախագծեր,</w:t>
      </w:r>
      <w:r w:rsidRPr="001F63BA">
        <w:rPr>
          <w:rFonts w:ascii="GHEA Grapalat" w:hAnsi="GHEA Grapalat"/>
          <w:sz w:val="22"/>
          <w:szCs w:val="22"/>
          <w:lang w:val="en-US"/>
        </w:rPr>
        <w:t xml:space="preserve"> իրականացվել է</w:t>
      </w:r>
      <w:r w:rsidRPr="001F63BA">
        <w:rPr>
          <w:rFonts w:ascii="GHEA Grapalat" w:hAnsi="GHEA Grapalat"/>
          <w:sz w:val="22"/>
          <w:szCs w:val="22"/>
        </w:rPr>
        <w:t xml:space="preserve"> համայնքային ծառայողների վերապատրաստման համակարգի արդիականացում:</w:t>
      </w:r>
      <w:r w:rsidRPr="001F63BA">
        <w:rPr>
          <w:rFonts w:ascii="GHEA Grapalat" w:hAnsi="GHEA Grapalat"/>
          <w:sz w:val="22"/>
          <w:szCs w:val="22"/>
          <w:lang w:val="en-US"/>
        </w:rPr>
        <w:t xml:space="preserve"> </w:t>
      </w:r>
      <w:r w:rsidRPr="001F63BA">
        <w:rPr>
          <w:rFonts w:ascii="GHEA Grapalat" w:hAnsi="GHEA Grapalat"/>
          <w:sz w:val="22"/>
          <w:szCs w:val="22"/>
        </w:rPr>
        <w:t>Համայնքային ծառայության համակարգի ինստիտուցիոնալ բարեփոխումների շրջանակներում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մշակվել և ՀՀ տարածքային կառավարման և ենթակառուցվածքների նախարարի 2022 թվականի նոյեմբերի 16-ի N 3116 հրամանով հաստատվել </w:t>
      </w:r>
      <w:r w:rsidRPr="001F63BA">
        <w:rPr>
          <w:rFonts w:ascii="GHEA Grapalat" w:hAnsi="GHEA Grapalat"/>
          <w:sz w:val="22"/>
          <w:szCs w:val="22"/>
          <w:lang w:val="en-US"/>
        </w:rPr>
        <w:t xml:space="preserve">են </w:t>
      </w:r>
      <w:r w:rsidRPr="001F63BA">
        <w:rPr>
          <w:rFonts w:ascii="GHEA Grapalat" w:hAnsi="GHEA Grapalat"/>
          <w:sz w:val="22"/>
          <w:szCs w:val="22"/>
        </w:rPr>
        <w:t>Երևանի քաղաքապետարանի և վարչական շրջանների ղեկավարների աշխատակազմերի համայնքային ծառայողների վերապատրաստման նոր ծրագրերը։</w:t>
      </w:r>
    </w:p>
    <w:p w:rsidR="001C411D" w:rsidRPr="001F63BA" w:rsidRDefault="001C411D" w:rsidP="00752E0D">
      <w:pPr>
        <w:spacing w:line="360" w:lineRule="auto"/>
        <w:ind w:firstLine="567"/>
        <w:jc w:val="both"/>
        <w:rPr>
          <w:rFonts w:ascii="GHEA Grapalat" w:hAnsi="GHEA Grapalat"/>
          <w:sz w:val="22"/>
          <w:szCs w:val="22"/>
        </w:rPr>
      </w:pPr>
      <w:r w:rsidRPr="001F63BA">
        <w:rPr>
          <w:rFonts w:ascii="GHEA Grapalat" w:hAnsi="GHEA Grapalat"/>
          <w:sz w:val="22"/>
          <w:szCs w:val="22"/>
        </w:rPr>
        <w:t>Սահմանամերձ համայնքներում իրականացվող սոցիալական ու տնտեսական աջակցության ծրագրերի շարունակության ապահովման շրջանակներում 2022 թվականին ՀՀ պետական բյուջեից հատկացվել է 988.9 մլն դրամ սահմանամերձ 23 համայնքների 82 բնակավայրերին՝ գազի, էլեկտրաէներգիայի և ոռոգման ջրի սակագնի մասնակի փոխհատուցման և անշարժ գույքի հարկի ամբողջական փոխհատուցման համար։</w:t>
      </w:r>
    </w:p>
    <w:p w:rsidR="001C411D" w:rsidRPr="001F63BA" w:rsidRDefault="001C411D" w:rsidP="005C3D5D">
      <w:pPr>
        <w:spacing w:line="360" w:lineRule="auto"/>
        <w:ind w:firstLine="567"/>
        <w:jc w:val="both"/>
        <w:rPr>
          <w:rFonts w:ascii="GHEA Grapalat" w:hAnsi="GHEA Grapalat"/>
          <w:sz w:val="22"/>
          <w:szCs w:val="22"/>
        </w:rPr>
      </w:pPr>
      <w:r w:rsidRPr="001F63BA">
        <w:rPr>
          <w:rFonts w:ascii="GHEA Grapalat" w:hAnsi="GHEA Grapalat"/>
          <w:sz w:val="22"/>
          <w:szCs w:val="22"/>
        </w:rPr>
        <w:t>Տարվ</w:t>
      </w:r>
      <w:r w:rsidRPr="001F63BA">
        <w:rPr>
          <w:rFonts w:ascii="GHEA Grapalat" w:hAnsi="GHEA Grapalat"/>
          <w:sz w:val="22"/>
          <w:szCs w:val="22"/>
          <w:lang w:val="en-US"/>
        </w:rPr>
        <w:t>ել</w:t>
      </w:r>
      <w:r w:rsidRPr="001F63BA">
        <w:rPr>
          <w:rFonts w:ascii="GHEA Grapalat" w:hAnsi="GHEA Grapalat"/>
          <w:sz w:val="22"/>
          <w:szCs w:val="22"/>
        </w:rPr>
        <w:t xml:space="preserve"> են աշխատանքներ Հայաստանի Հանրապետության 2022-2027 թվականների տարածքային զարգացման ռազմավարությ</w:t>
      </w:r>
      <w:r w:rsidRPr="001F63BA">
        <w:rPr>
          <w:rFonts w:ascii="GHEA Grapalat" w:hAnsi="GHEA Grapalat"/>
          <w:sz w:val="22"/>
          <w:szCs w:val="22"/>
          <w:lang w:val="en-US"/>
        </w:rPr>
        <w:t>ան</w:t>
      </w:r>
      <w:r w:rsidRPr="001F63BA">
        <w:rPr>
          <w:rFonts w:ascii="GHEA Grapalat" w:hAnsi="GHEA Grapalat"/>
          <w:sz w:val="22"/>
          <w:szCs w:val="22"/>
        </w:rPr>
        <w:t xml:space="preserve"> մշակման ուղղությամբ։ 2021-2022թթ</w:t>
      </w:r>
      <w:r w:rsidRPr="001F63BA">
        <w:rPr>
          <w:rFonts w:ascii="GHEA Grapalat" w:hAnsi="GHEA Grapalat"/>
          <w:sz w:val="22"/>
          <w:szCs w:val="22"/>
          <w:lang w:val="en-US"/>
        </w:rPr>
        <w:t>.</w:t>
      </w:r>
      <w:r w:rsidRPr="001F63BA">
        <w:rPr>
          <w:rFonts w:ascii="GHEA Grapalat" w:hAnsi="GHEA Grapalat"/>
          <w:sz w:val="22"/>
          <w:szCs w:val="22"/>
        </w:rPr>
        <w:t xml:space="preserve"> համայնքների միավորման գործընթացի ավարտից հետո կազմվել է </w:t>
      </w:r>
      <w:r w:rsidRPr="001F63BA">
        <w:rPr>
          <w:rFonts w:ascii="GHEA Grapalat" w:hAnsi="GHEA Grapalat"/>
          <w:sz w:val="22"/>
          <w:szCs w:val="22"/>
          <w:lang w:val="en-US"/>
        </w:rPr>
        <w:t>ռ</w:t>
      </w:r>
      <w:r w:rsidRPr="001F63BA">
        <w:rPr>
          <w:rFonts w:ascii="GHEA Grapalat" w:hAnsi="GHEA Grapalat"/>
          <w:sz w:val="22"/>
          <w:szCs w:val="22"/>
        </w:rPr>
        <w:t>ազմավարության ժամանակացույցը և մշակվում են հիմնական թիրախները։</w:t>
      </w:r>
    </w:p>
    <w:p w:rsidR="001C411D" w:rsidRPr="001F63BA" w:rsidRDefault="001C411D" w:rsidP="007A6E1F">
      <w:pPr>
        <w:spacing w:line="360" w:lineRule="auto"/>
        <w:ind w:firstLine="567"/>
        <w:jc w:val="both"/>
        <w:rPr>
          <w:rFonts w:ascii="GHEA Grapalat" w:hAnsi="GHEA Grapalat"/>
          <w:sz w:val="22"/>
          <w:szCs w:val="22"/>
        </w:rPr>
      </w:pPr>
    </w:p>
    <w:p w:rsidR="001C411D" w:rsidRPr="001F63BA" w:rsidRDefault="001C411D" w:rsidP="005C3D5D">
      <w:pPr>
        <w:spacing w:line="360" w:lineRule="auto"/>
        <w:ind w:left="567"/>
        <w:jc w:val="both"/>
        <w:rPr>
          <w:rFonts w:ascii="GHEA Grapalat" w:hAnsi="GHEA Grapalat"/>
          <w:sz w:val="22"/>
          <w:szCs w:val="22"/>
          <w:u w:val="single"/>
        </w:rPr>
      </w:pPr>
      <w:r w:rsidRPr="001F63BA">
        <w:rPr>
          <w:rFonts w:ascii="GHEA Grapalat" w:hAnsi="GHEA Grapalat"/>
          <w:sz w:val="22"/>
          <w:szCs w:val="22"/>
          <w:u w:val="single"/>
        </w:rPr>
        <w:t>Տարածքային (կապիտալ) ծրագրերի աջակցության և կոշտ թափոնների կառավարման բնագավառ</w:t>
      </w:r>
    </w:p>
    <w:p w:rsidR="001C411D" w:rsidRPr="001F63BA" w:rsidRDefault="001C411D" w:rsidP="00CA0872">
      <w:pPr>
        <w:spacing w:line="360" w:lineRule="auto"/>
        <w:ind w:firstLine="567"/>
        <w:jc w:val="both"/>
        <w:rPr>
          <w:rFonts w:ascii="GHEA Grapalat" w:hAnsi="GHEA Grapalat"/>
          <w:sz w:val="22"/>
          <w:szCs w:val="22"/>
        </w:rPr>
      </w:pPr>
      <w:r w:rsidRPr="001F63BA">
        <w:rPr>
          <w:rFonts w:ascii="GHEA Grapalat" w:hAnsi="GHEA Grapalat"/>
          <w:i/>
          <w:sz w:val="22"/>
          <w:szCs w:val="22"/>
        </w:rPr>
        <w:t>ՀՀ համայնքների տնտեսական և սոցիալական ենթակառուցվածքների զարգացմանն ուղղված սուբվենցիայի տրամադրման գործընթացի</w:t>
      </w:r>
      <w:r w:rsidRPr="001F63BA">
        <w:rPr>
          <w:rFonts w:ascii="GHEA Grapalat" w:hAnsi="GHEA Grapalat"/>
          <w:sz w:val="22"/>
          <w:szCs w:val="22"/>
        </w:rPr>
        <w:t xml:space="preserve"> շրջանակներում 2022 թվականի ընթացքում կարգավորվել ու հստակեցվել են ՀՀ համայնքների տնտեսական և սոցիալական ենթակառուցվածքների զարգացմանն ուղղված սուբվենցիայի տրամադրման գործընթացը և ոլորտային առաջնահերթությունները։ 2022 թվականին սուբվենցիայի հայտերի գնահատման միջգերատեսչական հանձնաժողովի կողմից հաստատվել է ՀՀ համայնքներից ներկայացված 2022 թվականի թվով 363 սուբվենցիայի ամբողջական փաթեթ՝ 74.694 մլրդ դրամ ընդհանուր արժեքով: Նշված ծրագրերից 306-ն իրականցվել են կամ ընթացքում գտնվող ծրագրեր են, այդ թվում</w:t>
      </w:r>
      <w:r w:rsidRPr="001F63BA">
        <w:rPr>
          <w:rFonts w:ascii="GHEA Grapalat" w:hAnsi="GHEA Grapalat"/>
          <w:sz w:val="22"/>
          <w:szCs w:val="22"/>
          <w:lang w:val="en-US"/>
        </w:rPr>
        <w:t>՝</w:t>
      </w:r>
      <w:r w:rsidRPr="001F63BA">
        <w:rPr>
          <w:rFonts w:ascii="GHEA Grapalat" w:hAnsi="GHEA Grapalat"/>
          <w:sz w:val="22"/>
          <w:szCs w:val="22"/>
        </w:rPr>
        <w:t xml:space="preserve"> 86 ծրագիր ամբողջությամբ ավարտվել է։ </w:t>
      </w:r>
    </w:p>
    <w:p w:rsidR="001C411D" w:rsidRPr="001F63BA" w:rsidRDefault="001C411D" w:rsidP="00CA0872">
      <w:pPr>
        <w:spacing w:line="360" w:lineRule="auto"/>
        <w:ind w:firstLine="567"/>
        <w:jc w:val="both"/>
        <w:rPr>
          <w:rFonts w:ascii="GHEA Grapalat" w:hAnsi="GHEA Grapalat"/>
          <w:sz w:val="22"/>
          <w:szCs w:val="22"/>
        </w:rPr>
      </w:pPr>
      <w:r w:rsidRPr="001F63BA">
        <w:rPr>
          <w:rFonts w:ascii="GHEA Grapalat" w:hAnsi="GHEA Grapalat"/>
          <w:sz w:val="22"/>
          <w:szCs w:val="22"/>
        </w:rPr>
        <w:t xml:space="preserve">Միաժամանակ 2021 թվականից 2022 թվական տեղափոխված սուբվենցիոն ծրագրերի մասով իրականացված մշտադիտարկման աշխատանքների արդյունքներով 2021 թվականին հաստատված </w:t>
      </w:r>
      <w:r w:rsidRPr="001F63BA">
        <w:rPr>
          <w:rFonts w:ascii="GHEA Grapalat" w:hAnsi="GHEA Grapalat"/>
          <w:sz w:val="22"/>
          <w:szCs w:val="22"/>
        </w:rPr>
        <w:lastRenderedPageBreak/>
        <w:t xml:space="preserve">678 սուբվենցիոն ծրագրերից 588-ը փաստացի ավարտվել են, 37-ը չեն իրականացվել, մնացածն ընթացքի մեջ են։ </w:t>
      </w:r>
    </w:p>
    <w:p w:rsidR="001C411D" w:rsidRPr="001F63BA" w:rsidRDefault="001C411D" w:rsidP="00CA0872">
      <w:pPr>
        <w:spacing w:line="360" w:lineRule="auto"/>
        <w:ind w:firstLine="567"/>
        <w:jc w:val="both"/>
        <w:rPr>
          <w:rFonts w:ascii="GHEA Grapalat" w:hAnsi="GHEA Grapalat"/>
          <w:sz w:val="22"/>
          <w:szCs w:val="22"/>
        </w:rPr>
      </w:pPr>
      <w:r w:rsidRPr="001F63BA">
        <w:rPr>
          <w:rFonts w:ascii="GHEA Grapalat" w:hAnsi="GHEA Grapalat"/>
          <w:sz w:val="22"/>
          <w:szCs w:val="22"/>
        </w:rPr>
        <w:t>2020 և 2021 թվականներին հաստատված և 2022 թվական տեղափոխված սուբվենցիոն ծրագրերի, ինչպես նաև 2022 թվականին հաստատված ծրագրերի համ</w:t>
      </w:r>
      <w:r w:rsidR="000E2BFA" w:rsidRPr="001F63BA">
        <w:rPr>
          <w:rFonts w:ascii="GHEA Grapalat" w:hAnsi="GHEA Grapalat"/>
          <w:sz w:val="22"/>
          <w:szCs w:val="22"/>
        </w:rPr>
        <w:t xml:space="preserve">աֆինանսավորման համար մշակվել և </w:t>
      </w:r>
      <w:r w:rsidR="000E2BFA" w:rsidRPr="001F63BA">
        <w:rPr>
          <w:rFonts w:ascii="GHEA Grapalat" w:hAnsi="GHEA Grapalat"/>
          <w:sz w:val="22"/>
          <w:szCs w:val="22"/>
          <w:lang w:val="en-US"/>
        </w:rPr>
        <w:t>Կ</w:t>
      </w:r>
      <w:r w:rsidRPr="001F63BA">
        <w:rPr>
          <w:rFonts w:ascii="GHEA Grapalat" w:hAnsi="GHEA Grapalat"/>
          <w:sz w:val="22"/>
          <w:szCs w:val="22"/>
        </w:rPr>
        <w:t>առավարության թվով 18 որոշումներով հաստատվել է ՝ 576 ծրագրի ու ենթածրագրի համաֆինանսավորման տրամադրումը: Դրա հետ մեկտեղ, 2022 թվականին ՀՀ համայնքներից հավաքագրվել, ուսումնասիրվել է 2023 թվականի թվով 447 սուբվենցիայի նախնական հայտ՝ 112.7 մլրդ դրամ ընդհանուր արժեքով, այդ թվում՝ 59.4 մլրդ դրամ ՀՀ պետական բյուջեի համաֆինանսավորմամբ, որոնցից թվով 44 ամբողջական փաթեթ քննարկվել է միջգերատեսչական հանձաժողովի 28.12.2022թ. կայացած նիստում։ Հարկ է նշել, որ 2021 և 2022 թվականներին սկսված, սակայն եղանակային պատճառներով չավարտված սուբվենցիոն ծրագրերի պայմանագրերի ժամկետները երկարաձգվել են մինչև 2023 թվականի նոյեմբերի 1-ը:</w:t>
      </w:r>
    </w:p>
    <w:p w:rsidR="001C411D" w:rsidRPr="001F63BA" w:rsidRDefault="001C411D" w:rsidP="00CA0872">
      <w:pPr>
        <w:spacing w:line="360" w:lineRule="auto"/>
        <w:ind w:firstLine="567"/>
        <w:jc w:val="both"/>
        <w:rPr>
          <w:rFonts w:ascii="GHEA Grapalat" w:hAnsi="GHEA Grapalat"/>
          <w:sz w:val="22"/>
          <w:szCs w:val="22"/>
        </w:rPr>
      </w:pPr>
      <w:r w:rsidRPr="001F63BA">
        <w:rPr>
          <w:rFonts w:ascii="GHEA Grapalat" w:hAnsi="GHEA Grapalat"/>
          <w:i/>
          <w:sz w:val="22"/>
          <w:szCs w:val="22"/>
        </w:rPr>
        <w:t>Կոշտ կենցաղային թափոնների կառավարման և աղբահանության գործընթաց</w:t>
      </w:r>
      <w:r w:rsidRPr="001F63BA">
        <w:rPr>
          <w:rFonts w:ascii="GHEA Grapalat" w:hAnsi="GHEA Grapalat"/>
          <w:i/>
          <w:sz w:val="22"/>
          <w:szCs w:val="22"/>
          <w:lang w:val="en-US"/>
        </w:rPr>
        <w:t>:</w:t>
      </w:r>
      <w:r w:rsidRPr="001F63BA">
        <w:rPr>
          <w:rFonts w:ascii="GHEA Grapalat" w:hAnsi="GHEA Grapalat"/>
          <w:sz w:val="22"/>
          <w:szCs w:val="22"/>
          <w:lang w:val="en-US"/>
        </w:rPr>
        <w:t xml:space="preserve"> </w:t>
      </w:r>
      <w:r w:rsidRPr="001F63BA">
        <w:rPr>
          <w:rFonts w:ascii="GHEA Grapalat" w:hAnsi="GHEA Grapalat"/>
          <w:sz w:val="22"/>
          <w:szCs w:val="22"/>
        </w:rPr>
        <w:t>Մշակվել և ՀՀ կառավարության 24.11.2022թ</w:t>
      </w:r>
      <w:r w:rsidRPr="001F63BA">
        <w:rPr>
          <w:rFonts w:ascii="GHEA Grapalat" w:hAnsi="GHEA Grapalat"/>
          <w:sz w:val="22"/>
          <w:szCs w:val="22"/>
          <w:lang w:val="en-US"/>
        </w:rPr>
        <w:t>.</w:t>
      </w:r>
      <w:r w:rsidRPr="001F63BA">
        <w:rPr>
          <w:rFonts w:ascii="GHEA Grapalat" w:hAnsi="GHEA Grapalat"/>
          <w:sz w:val="22"/>
          <w:szCs w:val="22"/>
        </w:rPr>
        <w:t xml:space="preserve"> թիվ 1799-Ա որոշմամբ հավանության են արժանացել «Աղբահանության և սանիտարական մաքրման մասին ՀՀ օրենքում փոփոխություններ կատարելու մասին» և «Վարչական իրավախախտումների վերաբերյալ օրենսգրքում լրացումներ ու փոփոխություններ կատարելու մասին» ՀՀ օրենքների նախագծերը, որոնցով առաջարկվում է օրենսդրական և ինստիտուցիոնալ հենք ստեղծելով՝ բարելավել աղբահանության և կոշտ թափոնների կառավարման ոլորտը։</w:t>
      </w:r>
    </w:p>
    <w:p w:rsidR="001C411D" w:rsidRPr="001F63BA" w:rsidRDefault="001C411D" w:rsidP="007E0795">
      <w:pPr>
        <w:spacing w:line="360" w:lineRule="auto"/>
        <w:ind w:firstLine="567"/>
        <w:jc w:val="both"/>
        <w:rPr>
          <w:rFonts w:ascii="GHEA Grapalat" w:hAnsi="GHEA Grapalat"/>
          <w:sz w:val="22"/>
          <w:szCs w:val="22"/>
        </w:rPr>
      </w:pPr>
      <w:r w:rsidRPr="001F63BA">
        <w:rPr>
          <w:rFonts w:ascii="GHEA Grapalat" w:hAnsi="GHEA Grapalat"/>
          <w:sz w:val="22"/>
          <w:szCs w:val="22"/>
        </w:rPr>
        <w:t>Մշակվել, շահագրգիռ գերատեսչությունների հետ քննարկվել և ՀՀ վարչապետի աշխատակազմ են ներկայացվել՝</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«Աղբի հավաքման և փոխադրման համար ներգրավվող կազմակերպությունների գործունեության նվազագույն պայմանների» նախագիծը,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«Շինարարական աղբի հավաքման, տեղափոխման</w:t>
      </w:r>
      <w:r w:rsidRPr="001F63BA">
        <w:rPr>
          <w:rFonts w:ascii="GHEA Grapalat" w:hAnsi="GHEA Grapalat"/>
          <w:sz w:val="22"/>
          <w:szCs w:val="22"/>
          <w:lang w:val="en-US"/>
        </w:rPr>
        <w:t>,</w:t>
      </w:r>
      <w:r w:rsidRPr="001F63BA">
        <w:rPr>
          <w:rFonts w:ascii="GHEA Grapalat" w:hAnsi="GHEA Grapalat"/>
          <w:sz w:val="22"/>
          <w:szCs w:val="22"/>
        </w:rPr>
        <w:t xml:space="preserve"> հեռացման </w:t>
      </w:r>
      <w:r w:rsidRPr="001F63BA">
        <w:rPr>
          <w:rFonts w:ascii="GHEA Grapalat" w:hAnsi="GHEA Grapalat"/>
          <w:sz w:val="22"/>
          <w:szCs w:val="22"/>
          <w:lang w:val="en-US"/>
        </w:rPr>
        <w:t>և/</w:t>
      </w:r>
      <w:r w:rsidRPr="001F63BA">
        <w:rPr>
          <w:rFonts w:ascii="GHEA Grapalat" w:hAnsi="GHEA Grapalat"/>
          <w:sz w:val="22"/>
          <w:szCs w:val="22"/>
        </w:rPr>
        <w:t>կամ օգտահանման ընթացակարգը,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«Աղբի ժամանակավոր պահման համար փոխաբեռնման կայանների շահագործման նորմերի» նախագիծը,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«Աղբահանության ծառայությունների մատուցման տիպային պայմանագրի» նախագիծը,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«Խոշոր եզրաչափի աղբի հավաքման, տեղափոխման, հեռացման և/կամ օգտահանման ընթացակարգի» նախագիծը,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«Կենսաքայքայվող թափոնների հավաքման և օգտահանման ընթացակարգի» նախագիծը։</w:t>
      </w:r>
    </w:p>
    <w:p w:rsidR="001C411D" w:rsidRPr="001F63BA" w:rsidRDefault="001C411D" w:rsidP="00282C34">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ՎԶԵԲ-ի աջակցությամբ իրականացվող «Կոտայքի և Գեղարքունիքի մարզերի կոշտ կենցաղային թափոնների կառավարման ծրագրի» շրջանակներում իրականացվել են Հրազդան համայնքում կառուցվող նոր սանիտարական աղբավայրի և Ակունք և Մարտունի համայնքներում փոխաբեռնման կայանների կառուցապատման աշխատանքները, որոնց ամբողջական ավարտը նախատեսվում է 2023 թվականի առաջին կիսամյակում։ Միաժամանակ, երկու մարզերի բոլոր բնակավայրերում ԵՄ չափանիշներին համապատասխան աղբահանության ինտեգրված համակարգի ներդրման նպատակով մշակվել են երկու մարզերի բոլոր բնակավայրերի աղբահանության սխեմաները և քննարկվել բոլոր համայնքների ու վարչական շրջանների ղեկավարների հետ։ Նշված սխեմաների հիման վրա նախատեսվում է 2023 թվականին ձեռք բերել անհրաժեշտ մեքե</w:t>
      </w:r>
      <w:r w:rsidRPr="001F63BA">
        <w:rPr>
          <w:rFonts w:ascii="GHEA Grapalat" w:hAnsi="GHEA Grapalat"/>
          <w:sz w:val="22"/>
          <w:szCs w:val="22"/>
          <w:lang w:val="en-US"/>
        </w:rPr>
        <w:t>ն</w:t>
      </w:r>
      <w:r w:rsidRPr="001F63BA">
        <w:rPr>
          <w:rFonts w:ascii="GHEA Grapalat" w:hAnsi="GHEA Grapalat"/>
          <w:sz w:val="22"/>
          <w:szCs w:val="22"/>
        </w:rPr>
        <w:t xml:space="preserve">ասարքավորումները։ Մշակվել է «Կորպորատիվ զարգացման, շահառուների մասնակցության և համայնքապետարանների աջակցության» ենթածրագրի տեխնիկական առաջադրանքը, որի հիման վրա հայտարարվել է միջազգային մրցույթ՝ ծրագրի խորհրդատուի ընտրության համար։ </w:t>
      </w:r>
    </w:p>
    <w:p w:rsidR="001C411D" w:rsidRPr="001F63BA" w:rsidRDefault="001C411D" w:rsidP="00282C34">
      <w:pPr>
        <w:spacing w:line="360" w:lineRule="auto"/>
        <w:ind w:firstLine="567"/>
        <w:jc w:val="both"/>
        <w:rPr>
          <w:rFonts w:ascii="GHEA Grapalat" w:hAnsi="GHEA Grapalat"/>
          <w:sz w:val="22"/>
          <w:szCs w:val="22"/>
          <w:lang w:val="en-US"/>
        </w:rPr>
      </w:pPr>
      <w:r w:rsidRPr="001F63BA">
        <w:rPr>
          <w:rFonts w:ascii="GHEA Grapalat" w:hAnsi="GHEA Grapalat"/>
          <w:sz w:val="22"/>
          <w:szCs w:val="22"/>
        </w:rPr>
        <w:t>Մշակվել է «Հանրապետության 8 մարզերում կոշտ թափոնների ինտեգրված համակարգի ներդրման» ծրագրային առաջարկը, որի մեկնարկը նախատեսվում է 2023 թվականին։ Ծրագրով ակնկալվում է հանրապետության 8 մարզերում կառուցել ԵՄ նորմերին համապատասխան թվով 4 սանիտարական աղբավայր, 16 փոխաբեռնման կայան և ներդնել աղբի հետ գործածության ինտեգրված համակարգ։</w:t>
      </w:r>
    </w:p>
    <w:p w:rsidR="001C411D" w:rsidRPr="001F63BA" w:rsidRDefault="001C411D" w:rsidP="00282C34">
      <w:pPr>
        <w:spacing w:line="360" w:lineRule="auto"/>
        <w:ind w:firstLine="567"/>
        <w:jc w:val="both"/>
        <w:rPr>
          <w:rFonts w:ascii="GHEA Grapalat" w:hAnsi="GHEA Grapalat"/>
          <w:sz w:val="22"/>
          <w:szCs w:val="22"/>
        </w:rPr>
      </w:pPr>
      <w:r w:rsidRPr="001F63BA">
        <w:rPr>
          <w:rFonts w:ascii="GHEA Grapalat" w:hAnsi="GHEA Grapalat"/>
          <w:i/>
          <w:sz w:val="22"/>
          <w:szCs w:val="22"/>
          <w:lang w:val="en-US"/>
        </w:rPr>
        <w:t>«</w:t>
      </w:r>
      <w:r w:rsidRPr="001F63BA">
        <w:rPr>
          <w:rFonts w:ascii="GHEA Grapalat" w:hAnsi="GHEA Grapalat"/>
          <w:i/>
          <w:sz w:val="22"/>
          <w:szCs w:val="22"/>
        </w:rPr>
        <w:t>Դպրոցների սեյսմիկ անվտանգության բարելավ</w:t>
      </w:r>
      <w:r w:rsidRPr="001F63BA">
        <w:rPr>
          <w:rFonts w:ascii="GHEA Grapalat" w:hAnsi="GHEA Grapalat"/>
          <w:i/>
          <w:sz w:val="22"/>
          <w:szCs w:val="22"/>
          <w:lang w:val="en-US"/>
        </w:rPr>
        <w:t>ում»</w:t>
      </w:r>
      <w:r w:rsidRPr="001F63BA">
        <w:rPr>
          <w:rFonts w:ascii="GHEA Grapalat" w:hAnsi="GHEA Grapalat"/>
          <w:i/>
          <w:sz w:val="22"/>
          <w:szCs w:val="22"/>
        </w:rPr>
        <w:t xml:space="preserve"> ծրագիր</w:t>
      </w:r>
      <w:r w:rsidRPr="001F63BA">
        <w:rPr>
          <w:rFonts w:ascii="GHEA Grapalat" w:hAnsi="GHEA Grapalat"/>
          <w:i/>
          <w:sz w:val="22"/>
          <w:szCs w:val="22"/>
          <w:lang w:val="en-US"/>
        </w:rPr>
        <w:t>:</w:t>
      </w:r>
      <w:r w:rsidRPr="001F63BA">
        <w:rPr>
          <w:rFonts w:ascii="GHEA Grapalat" w:hAnsi="GHEA Grapalat"/>
          <w:sz w:val="22"/>
          <w:szCs w:val="22"/>
          <w:lang w:val="en-US"/>
        </w:rPr>
        <w:t xml:space="preserve"> </w:t>
      </w:r>
      <w:r w:rsidRPr="001F63BA">
        <w:rPr>
          <w:rFonts w:ascii="GHEA Grapalat" w:hAnsi="GHEA Grapalat"/>
          <w:sz w:val="22"/>
          <w:szCs w:val="22"/>
        </w:rPr>
        <w:t>Մշակվել և ՀՀ կառավարության 2022 թվականի հոկտեմբերի 27-ի N 1666-Ն որոշմամբ հաստատվել է «Հայաստանի Հանրապետության կառավարության 2015 թվականի հուլիսի 23-ի» N 797-Ն որոշման մեջ փոփոխություններ և լրացումներ կատարելու մասին» ՀՀ կառավարության որոշման նախագիծը, որով հստակեցվել են սեյսմիկ անվտանգության բարելավման ծրագրում ընդգրկված դպրոցների ցանկը, մինչ 2022 թվականի սեպտեմբեր ամիսը հանրապետությունում իրականացված դպրոցաշինության ծրագրերը և կառուցված ու հիմնանորոգված դպրոցների ցանկը, այդ թվում՝ ըստ ֆինանսական գնահատականների ու ֆինանսավորման աղբյուրների։</w:t>
      </w:r>
      <w:r w:rsidRPr="001F63BA">
        <w:rPr>
          <w:rFonts w:ascii="GHEA Grapalat" w:hAnsi="GHEA Grapalat"/>
          <w:sz w:val="22"/>
          <w:szCs w:val="22"/>
          <w:lang w:val="en-US"/>
        </w:rPr>
        <w:t xml:space="preserve"> </w:t>
      </w:r>
      <w:r w:rsidRPr="001F63BA">
        <w:rPr>
          <w:rFonts w:ascii="GHEA Grapalat" w:hAnsi="GHEA Grapalat"/>
          <w:sz w:val="22"/>
          <w:szCs w:val="22"/>
        </w:rPr>
        <w:t>Ծրագրի շրջանկաներում թվով 23 դպրոցում իրականացվել են շինարարական աշխատանքներ, այդ թվում՝ 3 դպրոցի շինարարական աշխատանքներն ավարտվել են, 15 դպրոցի համար իրականացվել են նախագծման աշխատանքներ։</w:t>
      </w:r>
    </w:p>
    <w:p w:rsidR="001C411D" w:rsidRPr="001F63BA" w:rsidRDefault="001C411D" w:rsidP="00282C34">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Հաշվի առնելով շինարարական նյութերի գների աճի և ԱՄՆ դոլարի արժեզրկումը` ԱԶԲ-ի, ՀՏԶՀ-ի և ՀՀ </w:t>
      </w:r>
      <w:r w:rsidRPr="001F63BA">
        <w:rPr>
          <w:rFonts w:ascii="GHEA Grapalat" w:hAnsi="GHEA Grapalat"/>
          <w:sz w:val="22"/>
          <w:szCs w:val="22"/>
          <w:lang w:val="en-US"/>
        </w:rPr>
        <w:t>ՖՆ</w:t>
      </w:r>
      <w:r w:rsidRPr="001F63BA">
        <w:rPr>
          <w:rFonts w:ascii="GHEA Grapalat" w:hAnsi="GHEA Grapalat"/>
          <w:sz w:val="22"/>
          <w:szCs w:val="22"/>
        </w:rPr>
        <w:t xml:space="preserve"> հետ քննարկվել </w:t>
      </w:r>
      <w:r w:rsidRPr="001F63BA">
        <w:rPr>
          <w:rFonts w:ascii="GHEA Grapalat" w:hAnsi="GHEA Grapalat"/>
          <w:sz w:val="22"/>
          <w:szCs w:val="22"/>
          <w:lang w:val="en-US"/>
        </w:rPr>
        <w:t>է</w:t>
      </w:r>
      <w:r w:rsidRPr="001F63BA">
        <w:rPr>
          <w:rFonts w:ascii="GHEA Grapalat" w:hAnsi="GHEA Grapalat"/>
          <w:sz w:val="22"/>
          <w:szCs w:val="22"/>
        </w:rPr>
        <w:t xml:space="preserve"> լրացուցիչ ֆինանսական միջոցների ներգրավման հարցը՝ Սեյսմիկ անվտանգության բարելավման ծրագրով նախատեսված 46 դպրոցների շինարարական աշխատանքներն ապահովելու նպատակով։ Արդյունքում մշակվել և ստորագր</w:t>
      </w:r>
      <w:r w:rsidRPr="001F63BA">
        <w:rPr>
          <w:rFonts w:ascii="GHEA Grapalat" w:hAnsi="GHEA Grapalat"/>
          <w:sz w:val="22"/>
          <w:szCs w:val="22"/>
          <w:lang w:val="en-US"/>
        </w:rPr>
        <w:t>վ</w:t>
      </w:r>
      <w:r w:rsidRPr="001F63BA">
        <w:rPr>
          <w:rFonts w:ascii="GHEA Grapalat" w:hAnsi="GHEA Grapalat"/>
          <w:sz w:val="22"/>
          <w:szCs w:val="22"/>
        </w:rPr>
        <w:t>ել է համապատասխան հուշագիր՝ լրացուցիչ ֆինանսավորման ներգրավման նպատակով։</w:t>
      </w:r>
    </w:p>
    <w:p w:rsidR="001C411D" w:rsidRPr="001F63BA" w:rsidRDefault="001C411D" w:rsidP="00282C34">
      <w:pPr>
        <w:spacing w:line="360" w:lineRule="auto"/>
        <w:ind w:firstLine="567"/>
        <w:jc w:val="both"/>
        <w:rPr>
          <w:rFonts w:ascii="GHEA Grapalat" w:hAnsi="GHEA Grapalat"/>
          <w:sz w:val="22"/>
          <w:szCs w:val="22"/>
        </w:rPr>
      </w:pPr>
      <w:r w:rsidRPr="001F63BA">
        <w:rPr>
          <w:rFonts w:ascii="GHEA Grapalat" w:hAnsi="GHEA Grapalat"/>
          <w:i/>
          <w:sz w:val="22"/>
          <w:szCs w:val="22"/>
          <w:lang w:val="en-US"/>
        </w:rPr>
        <w:lastRenderedPageBreak/>
        <w:t>«</w:t>
      </w:r>
      <w:r w:rsidRPr="001F63BA">
        <w:rPr>
          <w:rFonts w:ascii="GHEA Grapalat" w:hAnsi="GHEA Grapalat"/>
          <w:i/>
          <w:sz w:val="22"/>
          <w:szCs w:val="22"/>
        </w:rPr>
        <w:t>Գյումրու քաղաքա</w:t>
      </w:r>
      <w:r w:rsidRPr="001F63BA">
        <w:rPr>
          <w:rFonts w:ascii="GHEA Grapalat" w:hAnsi="GHEA Grapalat"/>
          <w:i/>
          <w:sz w:val="22"/>
          <w:szCs w:val="22"/>
          <w:lang w:val="en-US"/>
        </w:rPr>
        <w:t xml:space="preserve">յին </w:t>
      </w:r>
      <w:r w:rsidRPr="001F63BA">
        <w:rPr>
          <w:rFonts w:ascii="GHEA Grapalat" w:hAnsi="GHEA Grapalat"/>
          <w:i/>
          <w:sz w:val="22"/>
          <w:szCs w:val="22"/>
        </w:rPr>
        <w:t>ճանապարհներ</w:t>
      </w:r>
      <w:r w:rsidRPr="001F63BA">
        <w:rPr>
          <w:rFonts w:ascii="GHEA Grapalat" w:hAnsi="GHEA Grapalat"/>
          <w:i/>
          <w:sz w:val="22"/>
          <w:szCs w:val="22"/>
          <w:lang w:val="en-US"/>
        </w:rPr>
        <w:t>»</w:t>
      </w:r>
      <w:r w:rsidRPr="001F63BA">
        <w:rPr>
          <w:rFonts w:ascii="GHEA Grapalat" w:hAnsi="GHEA Grapalat"/>
          <w:i/>
          <w:sz w:val="22"/>
          <w:szCs w:val="22"/>
        </w:rPr>
        <w:t xml:space="preserve"> ծրագիր</w:t>
      </w:r>
      <w:r w:rsidRPr="001F63BA">
        <w:rPr>
          <w:rFonts w:ascii="GHEA Grapalat" w:hAnsi="GHEA Grapalat"/>
          <w:i/>
          <w:sz w:val="22"/>
          <w:szCs w:val="22"/>
          <w:lang w:val="en-US"/>
        </w:rPr>
        <w:t>:</w:t>
      </w:r>
      <w:r w:rsidRPr="001F63BA">
        <w:rPr>
          <w:rFonts w:ascii="GHEA Grapalat" w:hAnsi="GHEA Grapalat"/>
          <w:sz w:val="22"/>
          <w:szCs w:val="22"/>
        </w:rPr>
        <w:t xml:space="preserve"> </w:t>
      </w:r>
      <w:r w:rsidRPr="001F63BA">
        <w:rPr>
          <w:rFonts w:ascii="GHEA Grapalat" w:hAnsi="GHEA Grapalat"/>
          <w:sz w:val="22"/>
          <w:szCs w:val="22"/>
          <w:lang w:val="en-US"/>
        </w:rPr>
        <w:t>ՎԶԵԲ</w:t>
      </w:r>
      <w:r w:rsidRPr="001F63BA">
        <w:rPr>
          <w:rFonts w:ascii="GHEA Grapalat" w:hAnsi="GHEA Grapalat"/>
          <w:sz w:val="22"/>
          <w:szCs w:val="22"/>
        </w:rPr>
        <w:t xml:space="preserve"> աջակցությամբ իրականացվող «Գյումրու քաղաքային ճանապարհներ» ծրագրի շրջանակներում համակարգվել են ծրագրի ընթացիկ աշխատանքները։ Ծրագրի շրջանակներում 2022 թվականին շահագործման են հանձնվել 2021 թվականին հիմնանորոգված և 31</w:t>
      </w:r>
      <w:r w:rsidRPr="001F63BA">
        <w:rPr>
          <w:rFonts w:ascii="GHEA Grapalat" w:hAnsi="GHEA Grapalat"/>
          <w:sz w:val="22"/>
          <w:szCs w:val="22"/>
          <w:lang w:val="en-US"/>
        </w:rPr>
        <w:t>.</w:t>
      </w:r>
      <w:r w:rsidRPr="001F63BA">
        <w:rPr>
          <w:rFonts w:ascii="GHEA Grapalat" w:hAnsi="GHEA Grapalat"/>
          <w:sz w:val="22"/>
          <w:szCs w:val="22"/>
        </w:rPr>
        <w:t>12</w:t>
      </w:r>
      <w:r w:rsidRPr="001F63BA">
        <w:rPr>
          <w:rFonts w:ascii="GHEA Grapalat" w:hAnsi="GHEA Grapalat"/>
          <w:sz w:val="22"/>
          <w:szCs w:val="22"/>
          <w:lang w:val="en-US"/>
        </w:rPr>
        <w:t>.</w:t>
      </w:r>
      <w:r w:rsidRPr="001F63BA">
        <w:rPr>
          <w:rFonts w:ascii="GHEA Grapalat" w:hAnsi="GHEA Grapalat"/>
          <w:sz w:val="22"/>
          <w:szCs w:val="22"/>
        </w:rPr>
        <w:t>2021թ. ավարտված թվով 15 փողոցները։</w:t>
      </w:r>
    </w:p>
    <w:p w:rsidR="001C411D" w:rsidRPr="001F63BA" w:rsidRDefault="001C411D" w:rsidP="00282C34">
      <w:pPr>
        <w:spacing w:line="360" w:lineRule="auto"/>
        <w:ind w:firstLine="567"/>
        <w:jc w:val="both"/>
        <w:rPr>
          <w:rFonts w:ascii="GHEA Grapalat" w:hAnsi="GHEA Grapalat"/>
          <w:sz w:val="22"/>
          <w:szCs w:val="22"/>
        </w:rPr>
      </w:pPr>
      <w:r w:rsidRPr="001F63BA">
        <w:rPr>
          <w:rFonts w:ascii="GHEA Grapalat" w:hAnsi="GHEA Grapalat"/>
          <w:sz w:val="22"/>
          <w:szCs w:val="22"/>
        </w:rPr>
        <w:t xml:space="preserve"> Իրականացվել են 2021 թվականին սկսված և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 xml:space="preserve">ին շարունակված երկրորդ փուլում ընդգրկված </w:t>
      </w:r>
      <w:r w:rsidRPr="001F63BA">
        <w:rPr>
          <w:rFonts w:ascii="GHEA Grapalat" w:hAnsi="GHEA Grapalat"/>
          <w:sz w:val="22"/>
          <w:szCs w:val="22"/>
          <w:lang w:val="en-US"/>
        </w:rPr>
        <w:t>մեկ</w:t>
      </w:r>
      <w:r w:rsidRPr="001F63BA">
        <w:rPr>
          <w:rFonts w:ascii="GHEA Grapalat" w:hAnsi="GHEA Grapalat"/>
          <w:sz w:val="22"/>
          <w:szCs w:val="22"/>
        </w:rPr>
        <w:t xml:space="preserve"> չափաբաժնով փողոցների հիմնանորոգման աշխատանքները՝ շուրջ 2</w:t>
      </w:r>
      <w:r w:rsidRPr="001F63BA">
        <w:rPr>
          <w:rFonts w:ascii="GHEA Grapalat" w:hAnsi="GHEA Grapalat"/>
          <w:sz w:val="22"/>
          <w:szCs w:val="22"/>
          <w:lang w:val="en-US"/>
        </w:rPr>
        <w:t>.</w:t>
      </w:r>
      <w:r w:rsidRPr="001F63BA">
        <w:rPr>
          <w:rFonts w:ascii="GHEA Grapalat" w:hAnsi="GHEA Grapalat"/>
          <w:sz w:val="22"/>
          <w:szCs w:val="22"/>
        </w:rPr>
        <w:t>5 կմ երկարությամբ, որոնց շինարարական աշխատանքներն ավարտվել են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ի հուլիսի 31</w:t>
      </w:r>
      <w:r w:rsidRPr="001F63BA">
        <w:rPr>
          <w:rFonts w:ascii="GHEA Grapalat" w:hAnsi="GHEA Grapalat"/>
          <w:sz w:val="22"/>
          <w:szCs w:val="22"/>
          <w:lang w:val="en-US"/>
        </w:rPr>
        <w:noBreakHyphen/>
      </w:r>
      <w:r w:rsidRPr="001F63BA">
        <w:rPr>
          <w:rFonts w:ascii="GHEA Grapalat" w:hAnsi="GHEA Grapalat"/>
          <w:sz w:val="22"/>
          <w:szCs w:val="22"/>
        </w:rPr>
        <w:t>ին։ </w:t>
      </w:r>
    </w:p>
    <w:p w:rsidR="001C411D" w:rsidRPr="001F63BA" w:rsidRDefault="001C411D" w:rsidP="00282C34">
      <w:pPr>
        <w:spacing w:line="360" w:lineRule="auto"/>
        <w:ind w:firstLine="567"/>
        <w:jc w:val="both"/>
        <w:rPr>
          <w:rFonts w:ascii="GHEA Grapalat" w:hAnsi="GHEA Grapalat"/>
          <w:sz w:val="22"/>
          <w:szCs w:val="22"/>
        </w:rPr>
      </w:pPr>
      <w:r w:rsidRPr="001F63BA">
        <w:rPr>
          <w:rFonts w:ascii="GHEA Grapalat" w:hAnsi="GHEA Grapalat"/>
          <w:sz w:val="22"/>
          <w:szCs w:val="22"/>
        </w:rPr>
        <w:t xml:space="preserve"> ՎԶԵԲ-ի հետ քննարկման արդյունքներով քաղաքի Անի թաղամասի փողոցաշինության և նույն թաղամասի ու Շիրակացի փողոցի արտաքին լուսավորության արդիականացման նպատակով իրականացվել է տեխնիկատնտեսական հիմնավորում միջազգային փորձագետի միջոցով</w:t>
      </w:r>
      <w:r w:rsidRPr="001F63BA">
        <w:rPr>
          <w:rFonts w:ascii="GHEA Grapalat" w:hAnsi="GHEA Grapalat"/>
          <w:sz w:val="22"/>
          <w:szCs w:val="22"/>
          <w:lang w:val="en-US"/>
        </w:rPr>
        <w:t>,</w:t>
      </w:r>
      <w:r w:rsidRPr="001F63BA">
        <w:rPr>
          <w:rFonts w:ascii="GHEA Grapalat" w:hAnsi="GHEA Grapalat"/>
          <w:sz w:val="22"/>
          <w:szCs w:val="22"/>
        </w:rPr>
        <w:t xml:space="preserve"> և 2022 թվականի դեկտեմբեր ամսին հիմնավորման վերջնական հաշվետվությունը ներկայացվել է ՎԶԵԲ-ի դիտարկմանը։ </w:t>
      </w:r>
    </w:p>
    <w:p w:rsidR="008D7282" w:rsidRPr="001F63BA" w:rsidRDefault="008D7282" w:rsidP="00282C34">
      <w:pPr>
        <w:spacing w:line="360" w:lineRule="auto"/>
        <w:ind w:firstLine="567"/>
        <w:jc w:val="both"/>
        <w:rPr>
          <w:rFonts w:ascii="GHEA Grapalat" w:hAnsi="GHEA Grapalat"/>
          <w:sz w:val="22"/>
          <w:szCs w:val="22"/>
        </w:rPr>
      </w:pPr>
    </w:p>
    <w:p w:rsidR="001C411D" w:rsidRPr="001F63BA" w:rsidRDefault="001C411D" w:rsidP="007A6E1F">
      <w:pPr>
        <w:pStyle w:val="Heading2"/>
        <w:spacing w:before="0"/>
      </w:pPr>
      <w:bookmarkStart w:id="22" w:name="_Toc132204201"/>
      <w:r w:rsidRPr="001F63BA">
        <w:t>Ճանապարհային տնտեսություն</w:t>
      </w:r>
      <w:bookmarkEnd w:id="22"/>
    </w:p>
    <w:p w:rsidR="001C411D" w:rsidRPr="001F63BA" w:rsidRDefault="001C411D" w:rsidP="00B17B06">
      <w:pPr>
        <w:spacing w:line="360" w:lineRule="auto"/>
        <w:ind w:firstLine="567"/>
        <w:jc w:val="both"/>
        <w:rPr>
          <w:rFonts w:ascii="GHEA Grapalat" w:hAnsi="GHEA Grapalat"/>
          <w:sz w:val="22"/>
          <w:szCs w:val="22"/>
          <w:lang w:val="en-US"/>
        </w:rPr>
      </w:pPr>
      <w:r w:rsidRPr="001F63BA">
        <w:rPr>
          <w:rFonts w:ascii="GHEA Grapalat" w:hAnsi="GHEA Grapalat"/>
          <w:sz w:val="22"/>
          <w:szCs w:val="22"/>
        </w:rPr>
        <w:t>Ճանապարհային ոլորտի մասով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իրականացվել են մի շարք ծրագրեր‚ որոնց շրջանակում կատարվել են ճանապարհների վերականգնման‚ հիմնանորոգման, միջին նորոգման աշխատանքներ‚ ինչպես նաև վարկային ծրագրերով իրականացվող ճանապարհաշինական աշխատանքներ և մի շարք միջոցառումներ։ Մասնավորապես</w:t>
      </w:r>
      <w:r w:rsidRPr="001F63BA">
        <w:rPr>
          <w:rFonts w:ascii="GHEA Grapalat" w:hAnsi="GHEA Grapalat"/>
          <w:sz w:val="22"/>
          <w:szCs w:val="22"/>
          <w:lang w:val="en-US"/>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 թվականին իրականացվել են շուրջ 542</w:t>
      </w:r>
      <w:r w:rsidRPr="001F63BA">
        <w:rPr>
          <w:rFonts w:ascii="GHEA Grapalat" w:hAnsi="GHEA Grapalat"/>
          <w:sz w:val="22"/>
          <w:szCs w:val="22"/>
          <w:lang w:val="en-US"/>
        </w:rPr>
        <w:t>.</w:t>
      </w:r>
      <w:r w:rsidRPr="001F63BA">
        <w:rPr>
          <w:rFonts w:ascii="GHEA Grapalat" w:hAnsi="GHEA Grapalat"/>
          <w:sz w:val="22"/>
          <w:szCs w:val="22"/>
        </w:rPr>
        <w:t>4 կմ ընդհանուր երկարությամբ ճանապարհահատվածների կառուցման, հիմնանորոգման և միջին նորոգման աշխատանքներ, այդ թվում՝ ՀՀ պետական բյուջեի միջոցներով՝ շուրջ 465</w:t>
      </w:r>
      <w:r w:rsidRPr="001F63BA">
        <w:rPr>
          <w:rFonts w:ascii="GHEA Grapalat" w:hAnsi="GHEA Grapalat"/>
          <w:sz w:val="22"/>
          <w:szCs w:val="22"/>
          <w:lang w:val="en-US"/>
        </w:rPr>
        <w:t>.</w:t>
      </w:r>
      <w:r w:rsidRPr="001F63BA">
        <w:rPr>
          <w:rFonts w:ascii="GHEA Grapalat" w:hAnsi="GHEA Grapalat"/>
          <w:sz w:val="22"/>
          <w:szCs w:val="22"/>
        </w:rPr>
        <w:t>6 կմ ընդհանուր երկարությամբ միջպետական, հանրապետական, մարզային (տեղական) նշանակության ավտոմոբիլային ճանապարհների հիմնանորոգման, միջին նորոգման, վերակառուցման և կառուցման աշխատանքներ (այդ թվում՝ հիմնանորոգում՝ 301.5 կմ, միջին նորոգում՝ 164</w:t>
      </w:r>
      <w:r w:rsidRPr="001F63BA">
        <w:rPr>
          <w:rFonts w:ascii="GHEA Grapalat" w:hAnsi="GHEA Grapalat"/>
          <w:sz w:val="22"/>
          <w:szCs w:val="22"/>
          <w:lang w:val="en-US"/>
        </w:rPr>
        <w:t>.</w:t>
      </w:r>
      <w:r w:rsidRPr="001F63BA">
        <w:rPr>
          <w:rFonts w:ascii="GHEA Grapalat" w:hAnsi="GHEA Grapalat"/>
          <w:sz w:val="22"/>
          <w:szCs w:val="22"/>
        </w:rPr>
        <w:t>14 կմ), իսկ վարկային ծրագրերով նորոգվել և վերակառուցվել են շուրջ 76.8 կմ ընդհանուր երկարությամբ միջպետական, հանրապետական, մարզային (տեղական) նշանակության ճանապարհահատվածներ, այդ թվում՝ «Հյուսիս-Հարավ ճանապարհային միջանցքի ներդրումային ծրագիր» Տրանշ 3՝ 50</w:t>
      </w:r>
      <w:r w:rsidRPr="001F63BA">
        <w:rPr>
          <w:rFonts w:ascii="GHEA Grapalat" w:hAnsi="GHEA Grapalat"/>
          <w:sz w:val="22"/>
          <w:szCs w:val="22"/>
          <w:lang w:val="en-US"/>
        </w:rPr>
        <w:t>.</w:t>
      </w:r>
      <w:r w:rsidRPr="001F63BA">
        <w:rPr>
          <w:rFonts w:ascii="GHEA Grapalat" w:hAnsi="GHEA Grapalat"/>
          <w:sz w:val="22"/>
          <w:szCs w:val="22"/>
        </w:rPr>
        <w:t>1 կմ, «Մ-6, Վանաձոր Ալավերդի-Բագրատաշեն միջպետական նշանակության ճանապարհի վերականգն</w:t>
      </w:r>
      <w:r w:rsidRPr="001F63BA">
        <w:rPr>
          <w:rFonts w:ascii="GHEA Grapalat" w:hAnsi="GHEA Grapalat"/>
          <w:sz w:val="22"/>
          <w:szCs w:val="22"/>
          <w:lang w:val="en-US"/>
        </w:rPr>
        <w:t xml:space="preserve">ում </w:t>
      </w:r>
      <w:r w:rsidRPr="001F63BA">
        <w:rPr>
          <w:rFonts w:ascii="GHEA Grapalat" w:hAnsi="GHEA Grapalat"/>
          <w:sz w:val="22"/>
          <w:szCs w:val="22"/>
        </w:rPr>
        <w:t>և բարելավում» ծրագիր՝ 9</w:t>
      </w:r>
      <w:r w:rsidRPr="001F63BA">
        <w:rPr>
          <w:rFonts w:ascii="GHEA Grapalat" w:hAnsi="GHEA Grapalat"/>
          <w:sz w:val="22"/>
          <w:szCs w:val="22"/>
          <w:lang w:val="en-US"/>
        </w:rPr>
        <w:t>.</w:t>
      </w:r>
      <w:r w:rsidRPr="001F63BA">
        <w:rPr>
          <w:rFonts w:ascii="GHEA Grapalat" w:hAnsi="GHEA Grapalat"/>
          <w:sz w:val="22"/>
          <w:szCs w:val="22"/>
        </w:rPr>
        <w:t>8 կմ, «Կենսական նշանակության ճանապարհային ցանցի բարելավում» ծրագիր՝ 9</w:t>
      </w:r>
      <w:r w:rsidRPr="001F63BA">
        <w:rPr>
          <w:rFonts w:ascii="GHEA Grapalat" w:hAnsi="GHEA Grapalat"/>
          <w:sz w:val="22"/>
          <w:szCs w:val="22"/>
          <w:lang w:val="en-US"/>
        </w:rPr>
        <w:t>.</w:t>
      </w:r>
      <w:r w:rsidRPr="001F63BA">
        <w:rPr>
          <w:rFonts w:ascii="GHEA Grapalat" w:hAnsi="GHEA Grapalat"/>
          <w:sz w:val="22"/>
          <w:szCs w:val="22"/>
        </w:rPr>
        <w:t>1 կմ, «Ճանապարհային անվտանգության մակարդակի բարձրացման բարելավում» ծրագիր («սև կետեր»)՝ 7</w:t>
      </w:r>
      <w:r w:rsidRPr="001F63BA">
        <w:rPr>
          <w:rFonts w:ascii="GHEA Grapalat" w:hAnsi="GHEA Grapalat"/>
          <w:sz w:val="22"/>
          <w:szCs w:val="22"/>
          <w:lang w:val="en-US"/>
        </w:rPr>
        <w:t>.</w:t>
      </w:r>
      <w:r w:rsidRPr="001F63BA">
        <w:rPr>
          <w:rFonts w:ascii="GHEA Grapalat" w:hAnsi="GHEA Grapalat"/>
          <w:sz w:val="22"/>
          <w:szCs w:val="22"/>
        </w:rPr>
        <w:t>8 կմ</w:t>
      </w:r>
      <w:r w:rsidRPr="001F63BA">
        <w:rPr>
          <w:rFonts w:ascii="GHEA Grapalat" w:hAnsi="GHEA Grapalat"/>
          <w:sz w:val="22"/>
          <w:szCs w:val="22"/>
          <w:lang w:val="en-US"/>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lastRenderedPageBreak/>
        <w:t>Ավարտվել է «Կենսական նշանակության ճանապարհային ցանցի բարելավման լրացուցիչ ֆինանսավորում» ծրագիրը։ Համաշխարհային բանկի «Կենսական նշանակության ճանապարհային ցանցի բարելավման լրացուցիչ ֆինանսավորում» ԼՖ2 ծրագրի շրջանակներում 68</w:t>
      </w:r>
      <w:r w:rsidRPr="001F63BA">
        <w:rPr>
          <w:rFonts w:ascii="GHEA Grapalat" w:hAnsi="GHEA Grapalat"/>
          <w:sz w:val="22"/>
          <w:szCs w:val="22"/>
          <w:lang w:val="en-US"/>
        </w:rPr>
        <w:t>.</w:t>
      </w:r>
      <w:r w:rsidRPr="001F63BA">
        <w:rPr>
          <w:rFonts w:ascii="GHEA Grapalat" w:hAnsi="GHEA Grapalat"/>
          <w:sz w:val="22"/>
          <w:szCs w:val="22"/>
        </w:rPr>
        <w:t>74 կմ ընդհանուր երկարությամբ նախատեսված 12 ճանապարհահատվածներից հիմնանորոգվել և շահագործման են հանձնվել թվով 11 ճանապարհահատվածներ (ընդհանուր</w:t>
      </w:r>
      <w:r w:rsidRPr="001F63BA">
        <w:rPr>
          <w:rFonts w:ascii="GHEA Grapalat" w:hAnsi="GHEA Grapalat"/>
          <w:sz w:val="22"/>
          <w:szCs w:val="22"/>
          <w:lang w:val="en-US"/>
        </w:rPr>
        <w:t>՝</w:t>
      </w:r>
      <w:r w:rsidRPr="001F63BA">
        <w:rPr>
          <w:rFonts w:ascii="GHEA Grapalat" w:hAnsi="GHEA Grapalat"/>
          <w:sz w:val="22"/>
          <w:szCs w:val="22"/>
        </w:rPr>
        <w:t xml:space="preserve"> 60</w:t>
      </w:r>
      <w:r w:rsidRPr="001F63BA">
        <w:rPr>
          <w:rFonts w:ascii="GHEA Grapalat" w:hAnsi="GHEA Grapalat"/>
          <w:sz w:val="22"/>
          <w:szCs w:val="22"/>
          <w:lang w:val="en-US"/>
        </w:rPr>
        <w:t>.</w:t>
      </w:r>
      <w:r w:rsidRPr="001F63BA">
        <w:rPr>
          <w:rFonts w:ascii="GHEA Grapalat" w:hAnsi="GHEA Grapalat"/>
          <w:sz w:val="22"/>
          <w:szCs w:val="22"/>
        </w:rPr>
        <w:t>54 կմ, որից 4</w:t>
      </w:r>
      <w:r w:rsidRPr="001F63BA">
        <w:rPr>
          <w:rFonts w:ascii="GHEA Grapalat" w:hAnsi="GHEA Grapalat"/>
          <w:sz w:val="22"/>
          <w:szCs w:val="22"/>
          <w:lang w:val="en-US"/>
        </w:rPr>
        <w:t>.</w:t>
      </w:r>
      <w:r w:rsidRPr="001F63BA">
        <w:rPr>
          <w:rFonts w:ascii="GHEA Grapalat" w:hAnsi="GHEA Grapalat"/>
          <w:sz w:val="22"/>
          <w:szCs w:val="22"/>
        </w:rPr>
        <w:t>7 կմ՝ 2022թ</w:t>
      </w:r>
      <w:r w:rsidRPr="001F63BA">
        <w:rPr>
          <w:rFonts w:ascii="GHEA Grapalat" w:hAnsi="GHEA Grapalat"/>
          <w:sz w:val="22"/>
          <w:szCs w:val="22"/>
          <w:lang w:val="en-US"/>
        </w:rPr>
        <w:t>.</w:t>
      </w:r>
      <w:r w:rsidRPr="001F63BA">
        <w:rPr>
          <w:rFonts w:ascii="GHEA Grapalat" w:hAnsi="GHEA Grapalat"/>
          <w:sz w:val="22"/>
          <w:szCs w:val="22"/>
        </w:rPr>
        <w:t>)։ Ծրագրի շահառու 16 համայնքներից 14-ում իրականացված «Անվտանգ գյուղեր» միջոցառման տեղամասերի քանակը կազմել 20 (որից 1 համայնքի 2 տեղամասեր՝ 2022թ</w:t>
      </w:r>
      <w:r w:rsidRPr="001F63BA">
        <w:rPr>
          <w:rFonts w:ascii="GHEA Grapalat" w:hAnsi="GHEA Grapalat"/>
          <w:sz w:val="22"/>
          <w:szCs w:val="22"/>
          <w:lang w:val="en-US"/>
        </w:rPr>
        <w:t>.</w:t>
      </w:r>
      <w:r w:rsidRPr="001F63BA">
        <w:rPr>
          <w:rFonts w:ascii="GHEA Grapalat" w:hAnsi="GHEA Grapalat"/>
          <w:sz w:val="22"/>
          <w:szCs w:val="22"/>
        </w:rPr>
        <w:t>)</w:t>
      </w:r>
      <w:r w:rsidRPr="001F63BA">
        <w:rPr>
          <w:rFonts w:ascii="GHEA Grapalat" w:hAnsi="GHEA Grapalat"/>
          <w:sz w:val="22"/>
          <w:szCs w:val="22"/>
          <w:lang w:val="en-US"/>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 թվականի ընթացքում շարունակվել են ԱԶԲ աջակցությամբ իրականացվող Մ6, Վանաձոր-Ալավերդի-Վրաստանի սահման միջպետական նշանակության ավտոճանապարհի ծրագրով (կմ 38+450-կմ90+191 հատված) նախատեսված շինարարական աշխատանքները։ Ծրագրի շրջանակներում հիմնանորոգվում է 51</w:t>
      </w:r>
      <w:r w:rsidRPr="001F63BA">
        <w:rPr>
          <w:rFonts w:ascii="GHEA Grapalat" w:hAnsi="GHEA Grapalat"/>
          <w:sz w:val="22"/>
          <w:szCs w:val="22"/>
          <w:lang w:val="en-US"/>
        </w:rPr>
        <w:t>.</w:t>
      </w:r>
      <w:r w:rsidRPr="001F63BA">
        <w:rPr>
          <w:rFonts w:ascii="GHEA Grapalat" w:hAnsi="GHEA Grapalat"/>
          <w:sz w:val="22"/>
          <w:szCs w:val="22"/>
        </w:rPr>
        <w:t>13 կմ ճանապարհահատված։ 2022թ</w:t>
      </w:r>
      <w:r w:rsidRPr="001F63BA">
        <w:rPr>
          <w:rFonts w:ascii="GHEA Grapalat" w:hAnsi="GHEA Grapalat"/>
          <w:sz w:val="22"/>
          <w:szCs w:val="22"/>
          <w:lang w:val="en-US"/>
        </w:rPr>
        <w:t>.</w:t>
      </w:r>
      <w:r w:rsidRPr="001F63BA">
        <w:rPr>
          <w:rFonts w:ascii="GHEA Grapalat" w:hAnsi="GHEA Grapalat"/>
          <w:sz w:val="22"/>
          <w:szCs w:val="22"/>
        </w:rPr>
        <w:t xml:space="preserve"> դեկտեմբերի 31-ի դրությամբ բոլոր հիմնական աշխատանքներն ավարտված են։ Նախատեսվում է լրացուցիչ իրականացնել քարաթափման և երթևեկության անվտանգության ապահովման աշխատանքներ, որոնք կավարտվեն մինչև 2023թ</w:t>
      </w:r>
      <w:r w:rsidRPr="001F63BA">
        <w:rPr>
          <w:rFonts w:ascii="GHEA Grapalat" w:hAnsi="GHEA Grapalat"/>
          <w:sz w:val="22"/>
          <w:szCs w:val="22"/>
          <w:lang w:val="en-US"/>
        </w:rPr>
        <w:t>.</w:t>
      </w:r>
      <w:r w:rsidRPr="001F63BA">
        <w:rPr>
          <w:rFonts w:ascii="GHEA Grapalat" w:hAnsi="GHEA Grapalat"/>
          <w:sz w:val="22"/>
          <w:szCs w:val="22"/>
        </w:rPr>
        <w:t xml:space="preserve"> մարտի 3-րդ տասնօրյակը</w:t>
      </w:r>
      <w:r w:rsidRPr="001F63BA">
        <w:rPr>
          <w:rFonts w:ascii="GHEA Grapalat" w:hAnsi="GHEA Grapalat"/>
          <w:sz w:val="22"/>
          <w:szCs w:val="22"/>
          <w:lang w:val="en-US"/>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Հյուսիս-հարավ ճանապարհային միջանցքի Տրանշ 2-ի՝ Աշտարակ-Թալին 42 կմ հատվածի վերակառուցման գործող ծրագրի շրջանակներում շինարարությունը նախատեսվում է վերսկսել երկու հատվածներով։ 2022 թվականի ընթացքում իրականացվել է Ագարակի հնագիտական վայրը շրջ</w:t>
      </w:r>
      <w:r w:rsidRPr="001F63BA">
        <w:rPr>
          <w:rFonts w:ascii="GHEA Grapalat" w:hAnsi="GHEA Grapalat"/>
          <w:sz w:val="22"/>
          <w:szCs w:val="22"/>
          <w:lang w:val="en-US"/>
        </w:rPr>
        <w:t>ա</w:t>
      </w:r>
      <w:r w:rsidRPr="001F63BA">
        <w:rPr>
          <w:rFonts w:ascii="GHEA Grapalat" w:hAnsi="GHEA Grapalat"/>
          <w:sz w:val="22"/>
          <w:szCs w:val="22"/>
        </w:rPr>
        <w:t xml:space="preserve">նցող 8 կմ հատվածի շինարարության </w:t>
      </w:r>
      <w:r w:rsidRPr="001F63BA">
        <w:rPr>
          <w:rFonts w:ascii="GHEA Grapalat" w:hAnsi="GHEA Grapalat"/>
          <w:sz w:val="22"/>
          <w:szCs w:val="22"/>
          <w:lang w:val="en-US"/>
        </w:rPr>
        <w:t>կ</w:t>
      </w:r>
      <w:r w:rsidRPr="001F63BA">
        <w:rPr>
          <w:rFonts w:ascii="GHEA Grapalat" w:hAnsi="GHEA Grapalat"/>
          <w:sz w:val="22"/>
          <w:szCs w:val="22"/>
        </w:rPr>
        <w:t>ապալառու ընկերության ընտրության մրցութային գործընթացը։ Շինարարության մեկնարկը նախատեսված է 2023 թվականին։ Կիրականացվ</w:t>
      </w:r>
      <w:r w:rsidRPr="001F63BA">
        <w:rPr>
          <w:rFonts w:ascii="GHEA Grapalat" w:hAnsi="GHEA Grapalat"/>
          <w:sz w:val="22"/>
          <w:szCs w:val="22"/>
          <w:lang w:val="en-US"/>
        </w:rPr>
        <w:t>են</w:t>
      </w:r>
      <w:r w:rsidRPr="001F63BA">
        <w:rPr>
          <w:rFonts w:ascii="GHEA Grapalat" w:hAnsi="GHEA Grapalat"/>
          <w:sz w:val="22"/>
          <w:szCs w:val="22"/>
        </w:rPr>
        <w:t xml:space="preserve"> Ագարակի հնագիտական վայրը շրջանցող 8 կմ և 34 կմ անավարտ հատվածների շինարարական աշխատանքներ: 34 կմ հատվածի </w:t>
      </w:r>
      <w:r w:rsidRPr="001F63BA">
        <w:rPr>
          <w:rFonts w:ascii="GHEA Grapalat" w:hAnsi="GHEA Grapalat"/>
          <w:sz w:val="22"/>
          <w:szCs w:val="22"/>
          <w:lang w:val="en-US"/>
        </w:rPr>
        <w:t>կ</w:t>
      </w:r>
      <w:r w:rsidRPr="001F63BA">
        <w:rPr>
          <w:rFonts w:ascii="GHEA Grapalat" w:hAnsi="GHEA Grapalat"/>
          <w:sz w:val="22"/>
          <w:szCs w:val="22"/>
        </w:rPr>
        <w:t>ապալառուի ընտրության միջազգային մրցութային գործընթաց</w:t>
      </w:r>
      <w:r w:rsidRPr="001F63BA">
        <w:rPr>
          <w:rFonts w:ascii="GHEA Grapalat" w:hAnsi="GHEA Grapalat"/>
          <w:sz w:val="22"/>
          <w:szCs w:val="22"/>
          <w:lang w:val="en-US"/>
        </w:rPr>
        <w:t>ն</w:t>
      </w:r>
      <w:r w:rsidRPr="001F63BA">
        <w:rPr>
          <w:rFonts w:ascii="GHEA Grapalat" w:hAnsi="GHEA Grapalat"/>
          <w:sz w:val="22"/>
          <w:szCs w:val="22"/>
        </w:rPr>
        <w:t xml:space="preserve"> ակնկալվում է ավարտել 2023 թվականին, իսկ շինարարական աշխատանքները՝ 2024 թվականի 2-րդ կիսամյակում</w:t>
      </w:r>
      <w:r w:rsidRPr="001F63BA">
        <w:rPr>
          <w:rFonts w:ascii="GHEA Grapalat" w:hAnsi="GHEA Grapalat"/>
          <w:sz w:val="22"/>
          <w:szCs w:val="22"/>
          <w:lang w:val="en-US"/>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սեպտեմբերին </w:t>
      </w:r>
      <w:r w:rsidRPr="001F63BA">
        <w:rPr>
          <w:rFonts w:ascii="GHEA Grapalat" w:hAnsi="GHEA Grapalat"/>
          <w:sz w:val="22"/>
          <w:szCs w:val="22"/>
          <w:lang w:val="en-US"/>
        </w:rPr>
        <w:t>ա</w:t>
      </w:r>
      <w:r w:rsidRPr="001F63BA">
        <w:rPr>
          <w:rFonts w:ascii="GHEA Grapalat" w:hAnsi="GHEA Grapalat"/>
          <w:sz w:val="22"/>
          <w:szCs w:val="22"/>
        </w:rPr>
        <w:t>վարտվել են Տրանշ 3՝ Թալին-Լանջիկ՝ 18</w:t>
      </w:r>
      <w:r w:rsidRPr="001F63BA">
        <w:rPr>
          <w:rFonts w:ascii="MS Mincho" w:eastAsia="MS Mincho" w:hAnsi="MS Mincho" w:cs="MS Mincho" w:hint="eastAsia"/>
          <w:sz w:val="22"/>
          <w:szCs w:val="22"/>
        </w:rPr>
        <w:t>․</w:t>
      </w:r>
      <w:r w:rsidRPr="001F63BA">
        <w:rPr>
          <w:rFonts w:ascii="GHEA Grapalat" w:hAnsi="GHEA Grapalat"/>
          <w:sz w:val="22"/>
          <w:szCs w:val="22"/>
        </w:rPr>
        <w:t>7 կմ հատվածի հիմնական ճանապարհի ասֆալտապատման աշխատանքները։ Երկկողմանի երթևեկությունը բաց է 2022 թվականի հոկտեմբերի կեսից։ Լանջիկ-Գյումրի՝ շուրջ 27</w:t>
      </w:r>
      <w:r w:rsidRPr="001F63BA">
        <w:rPr>
          <w:rFonts w:ascii="GHEA Grapalat" w:hAnsi="GHEA Grapalat"/>
          <w:sz w:val="22"/>
          <w:szCs w:val="22"/>
          <w:lang w:val="en-US"/>
        </w:rPr>
        <w:t>.</w:t>
      </w:r>
      <w:r w:rsidRPr="001F63BA">
        <w:rPr>
          <w:rFonts w:ascii="GHEA Grapalat" w:hAnsi="GHEA Grapalat"/>
          <w:sz w:val="22"/>
          <w:szCs w:val="22"/>
        </w:rPr>
        <w:t>5</w:t>
      </w:r>
      <w:r w:rsidRPr="001F63BA">
        <w:rPr>
          <w:rFonts w:ascii="GHEA Grapalat" w:hAnsi="GHEA Grapalat"/>
          <w:sz w:val="22"/>
          <w:szCs w:val="22"/>
          <w:lang w:val="en-US"/>
        </w:rPr>
        <w:t xml:space="preserve"> </w:t>
      </w:r>
      <w:r w:rsidRPr="001F63BA">
        <w:rPr>
          <w:rFonts w:ascii="GHEA Grapalat" w:hAnsi="GHEA Grapalat"/>
          <w:sz w:val="22"/>
          <w:szCs w:val="22"/>
        </w:rPr>
        <w:t>կմ հատվածում իրականացվել են խոշորահատիկ շերտի և մաշման շերտի տեղադրման աշխատանքներ</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Ավարտվել են Տրանշ 4-ի՝ Քաջարան-Ագարակ (Իրանի սահման) շուրջ 45 կմ ընդհանուր երկարությամբ հատվածի մանրամասն նախագծման աշխատանքները։ Մանրամասն նախագիծն անցել է պարզ և համալիր փորձաքննությունները և ստացել դրական եզրակացություն</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lastRenderedPageBreak/>
        <w:t>Սիսիան-Քաջարան ճանապարհահատվածի կառուցման մանրամասն նախագիծը և շինարարության նախահաշիվը պատրաստ է և անցել է բոլոր անհրաժեշտ փորձաքննությունները: 202</w:t>
      </w:r>
      <w:r w:rsidRPr="001F63BA">
        <w:rPr>
          <w:rFonts w:ascii="GHEA Grapalat" w:hAnsi="GHEA Grapalat"/>
          <w:sz w:val="22"/>
          <w:szCs w:val="22"/>
          <w:lang w:val="en-US"/>
        </w:rPr>
        <w:t xml:space="preserve">2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ի սկզբին հայտարարվել է շինարարության մրցույթի առաջին՝ նախաորակավորման փուլը: Նախաորակավորման հայտերի գնահատման փուլն արդեն իսկ ավարտվել է, և գնահատման հաշվետվությունը ներկայացվել է դոնորներին</w:t>
      </w:r>
      <w:r w:rsidRPr="001F63BA">
        <w:rPr>
          <w:rFonts w:ascii="GHEA Grapalat" w:hAnsi="GHEA Grapalat"/>
          <w:sz w:val="22"/>
          <w:szCs w:val="22"/>
          <w:lang w:val="en-US"/>
        </w:rPr>
        <w:t>՝</w:t>
      </w:r>
      <w:r w:rsidRPr="001F63BA">
        <w:rPr>
          <w:rFonts w:ascii="GHEA Grapalat" w:hAnsi="GHEA Grapalat"/>
          <w:sz w:val="22"/>
          <w:szCs w:val="22"/>
        </w:rPr>
        <w:t xml:space="preserve"> հաստատման, որից հետո այն կներկայացվի ծրագրի </w:t>
      </w:r>
      <w:r w:rsidRPr="001F63BA">
        <w:rPr>
          <w:rFonts w:ascii="GHEA Grapalat" w:hAnsi="GHEA Grapalat"/>
          <w:sz w:val="22"/>
          <w:szCs w:val="22"/>
          <w:lang w:val="en-US"/>
        </w:rPr>
        <w:t>կ</w:t>
      </w:r>
      <w:r w:rsidRPr="001F63BA">
        <w:rPr>
          <w:rFonts w:ascii="GHEA Grapalat" w:hAnsi="GHEA Grapalat"/>
          <w:sz w:val="22"/>
          <w:szCs w:val="22"/>
        </w:rPr>
        <w:t xml:space="preserve">առավարման </w:t>
      </w:r>
      <w:r w:rsidRPr="001F63BA">
        <w:rPr>
          <w:rFonts w:ascii="GHEA Grapalat" w:hAnsi="GHEA Grapalat"/>
          <w:sz w:val="22"/>
          <w:szCs w:val="22"/>
          <w:lang w:val="en-US"/>
        </w:rPr>
        <w:t>խ</w:t>
      </w:r>
      <w:r w:rsidRPr="001F63BA">
        <w:rPr>
          <w:rFonts w:ascii="GHEA Grapalat" w:hAnsi="GHEA Grapalat"/>
          <w:sz w:val="22"/>
          <w:szCs w:val="22"/>
        </w:rPr>
        <w:t>որհրդի հա</w:t>
      </w:r>
      <w:r w:rsidRPr="001F63BA">
        <w:rPr>
          <w:rFonts w:ascii="GHEA Grapalat" w:hAnsi="GHEA Grapalat"/>
          <w:sz w:val="22"/>
          <w:szCs w:val="22"/>
          <w:lang w:val="en-US"/>
        </w:rPr>
        <w:t>ս</w:t>
      </w:r>
      <w:r w:rsidRPr="001F63BA">
        <w:rPr>
          <w:rFonts w:ascii="GHEA Grapalat" w:hAnsi="GHEA Grapalat"/>
          <w:sz w:val="22"/>
          <w:szCs w:val="22"/>
        </w:rPr>
        <w:t>տատմանը: ՀՀ կառավարության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հունիսի 30-ի թիվ 981</w:t>
      </w:r>
      <w:r w:rsidRPr="001F63BA">
        <w:rPr>
          <w:rFonts w:ascii="GHEA Grapalat" w:hAnsi="GHEA Grapalat"/>
          <w:sz w:val="22"/>
          <w:szCs w:val="22"/>
          <w:lang w:val="en-US"/>
        </w:rPr>
        <w:noBreakHyphen/>
      </w:r>
      <w:r w:rsidRPr="001F63BA">
        <w:rPr>
          <w:rFonts w:ascii="GHEA Grapalat" w:hAnsi="GHEA Grapalat"/>
          <w:sz w:val="22"/>
          <w:szCs w:val="22"/>
        </w:rPr>
        <w:t xml:space="preserve">Ն որոշմամբ </w:t>
      </w:r>
      <w:r w:rsidRPr="001F63BA">
        <w:rPr>
          <w:rFonts w:ascii="GHEA Grapalat" w:hAnsi="GHEA Grapalat"/>
          <w:sz w:val="22"/>
          <w:szCs w:val="22"/>
          <w:lang w:val="en-US"/>
        </w:rPr>
        <w:t>ծ</w:t>
      </w:r>
      <w:r w:rsidRPr="001F63BA">
        <w:rPr>
          <w:rFonts w:ascii="GHEA Grapalat" w:hAnsi="GHEA Grapalat"/>
          <w:sz w:val="22"/>
          <w:szCs w:val="22"/>
        </w:rPr>
        <w:t>րագրի նախագծի օտարման գոտու սահմաններում գտնվող հողամասերը ճանաչվել են հանրության գերակա շահ</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Տրանշ 4-ի Քաջարանի թունելի կառուցման մանրամասն նախագիծ</w:t>
      </w:r>
      <w:r w:rsidRPr="001F63BA">
        <w:rPr>
          <w:rFonts w:ascii="GHEA Grapalat" w:hAnsi="GHEA Grapalat"/>
          <w:sz w:val="22"/>
          <w:szCs w:val="22"/>
          <w:lang w:val="en-US"/>
        </w:rPr>
        <w:t>ն</w:t>
      </w:r>
      <w:r w:rsidRPr="001F63BA">
        <w:rPr>
          <w:rFonts w:ascii="GHEA Grapalat" w:hAnsi="GHEA Grapalat"/>
          <w:sz w:val="22"/>
          <w:szCs w:val="22"/>
        </w:rPr>
        <w:t xml:space="preserve"> անցել է պետական համալիր փորձաքննություն։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 xml:space="preserve">ին մեկնարկել են հողերի օտարման և տարաբնակեցման ծրագրի իրականացման աշխատանքները: Իրանի Իսլամական Հանրապետության հետ քննարկվում </w:t>
      </w:r>
      <w:r w:rsidRPr="001F63BA">
        <w:rPr>
          <w:rFonts w:ascii="GHEA Grapalat" w:hAnsi="GHEA Grapalat"/>
          <w:sz w:val="22"/>
          <w:szCs w:val="22"/>
          <w:lang w:val="en-US"/>
        </w:rPr>
        <w:t>են</w:t>
      </w:r>
      <w:r w:rsidRPr="001F63BA">
        <w:rPr>
          <w:rFonts w:ascii="GHEA Grapalat" w:hAnsi="GHEA Grapalat"/>
          <w:sz w:val="22"/>
          <w:szCs w:val="22"/>
        </w:rPr>
        <w:t xml:space="preserve"> իրանական ընկերությունների կողմից </w:t>
      </w:r>
      <w:r w:rsidRPr="001F63BA">
        <w:rPr>
          <w:rFonts w:ascii="GHEA Grapalat" w:hAnsi="GHEA Grapalat"/>
          <w:sz w:val="22"/>
          <w:szCs w:val="22"/>
          <w:lang w:val="en-US"/>
        </w:rPr>
        <w:t>ծ</w:t>
      </w:r>
      <w:r w:rsidRPr="001F63BA">
        <w:rPr>
          <w:rFonts w:ascii="GHEA Grapalat" w:hAnsi="GHEA Grapalat"/>
          <w:sz w:val="22"/>
          <w:szCs w:val="22"/>
        </w:rPr>
        <w:t>րագիրը ֆինանսավորվելու և շինարարական աշխատանքներ</w:t>
      </w:r>
      <w:r w:rsidRPr="001F63BA">
        <w:rPr>
          <w:rFonts w:ascii="GHEA Grapalat" w:hAnsi="GHEA Grapalat"/>
          <w:sz w:val="22"/>
          <w:szCs w:val="22"/>
          <w:lang w:val="en-US"/>
        </w:rPr>
        <w:t>ն</w:t>
      </w:r>
      <w:r w:rsidRPr="001F63BA">
        <w:rPr>
          <w:rFonts w:ascii="GHEA Grapalat" w:hAnsi="GHEA Grapalat"/>
          <w:sz w:val="22"/>
          <w:szCs w:val="22"/>
        </w:rPr>
        <w:t xml:space="preserve"> իրականացնելու </w:t>
      </w:r>
      <w:r w:rsidRPr="001F63BA">
        <w:rPr>
          <w:rFonts w:ascii="GHEA Grapalat" w:hAnsi="GHEA Grapalat"/>
          <w:sz w:val="22"/>
          <w:szCs w:val="22"/>
          <w:lang w:val="en-US"/>
        </w:rPr>
        <w:t>հարցերը.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 թվականի օգոստոսի 14-ին շահագործման է հանձնվ</w:t>
      </w:r>
      <w:r w:rsidRPr="001F63BA">
        <w:rPr>
          <w:rFonts w:ascii="GHEA Grapalat" w:hAnsi="GHEA Grapalat"/>
          <w:sz w:val="22"/>
          <w:szCs w:val="22"/>
          <w:lang w:val="en-US"/>
        </w:rPr>
        <w:t>ե</w:t>
      </w:r>
      <w:r w:rsidRPr="001F63BA">
        <w:rPr>
          <w:rFonts w:ascii="GHEA Grapalat" w:hAnsi="GHEA Grapalat"/>
          <w:sz w:val="22"/>
          <w:szCs w:val="22"/>
        </w:rPr>
        <w:t xml:space="preserve">լ Բագրատաշենի կամուրջը։ Թերությունների հայտնաբերման և վերացման ժամկետը նախատեսված է 2 տարի, որի ողջ պատասխանատվությունը պայմանագրային հիմունքներով կրում է </w:t>
      </w:r>
      <w:r w:rsidRPr="001F63BA">
        <w:rPr>
          <w:rFonts w:ascii="GHEA Grapalat" w:hAnsi="GHEA Grapalat"/>
          <w:sz w:val="22"/>
          <w:szCs w:val="22"/>
          <w:lang w:val="en-US"/>
        </w:rPr>
        <w:t>ծ</w:t>
      </w:r>
      <w:r w:rsidRPr="001F63BA">
        <w:rPr>
          <w:rFonts w:ascii="GHEA Grapalat" w:hAnsi="GHEA Grapalat"/>
          <w:sz w:val="22"/>
          <w:szCs w:val="22"/>
        </w:rPr>
        <w:t xml:space="preserve">րագրի </w:t>
      </w:r>
      <w:r w:rsidRPr="001F63BA">
        <w:rPr>
          <w:rFonts w:ascii="GHEA Grapalat" w:hAnsi="GHEA Grapalat"/>
          <w:sz w:val="22"/>
          <w:szCs w:val="22"/>
          <w:lang w:val="en-US"/>
        </w:rPr>
        <w:t>կ</w:t>
      </w:r>
      <w:r w:rsidRPr="001F63BA">
        <w:rPr>
          <w:rFonts w:ascii="GHEA Grapalat" w:hAnsi="GHEA Grapalat"/>
          <w:sz w:val="22"/>
          <w:szCs w:val="22"/>
        </w:rPr>
        <w:t>ապալառու ընկերությունը</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Իրականացվել են</w:t>
      </w:r>
      <w:r w:rsidRPr="001F63BA">
        <w:rPr>
          <w:rFonts w:ascii="GHEA Grapalat" w:hAnsi="GHEA Grapalat"/>
          <w:sz w:val="22"/>
          <w:szCs w:val="22"/>
          <w:lang w:val="en-US"/>
        </w:rPr>
        <w:t xml:space="preserve"> </w:t>
      </w:r>
      <w:r w:rsidRPr="001F63BA">
        <w:rPr>
          <w:rFonts w:ascii="GHEA Grapalat" w:hAnsi="GHEA Grapalat"/>
          <w:sz w:val="22"/>
          <w:szCs w:val="22"/>
        </w:rPr>
        <w:t>և</w:t>
      </w:r>
      <w:r w:rsidRPr="001F63BA">
        <w:rPr>
          <w:rFonts w:ascii="GHEA Grapalat" w:hAnsi="GHEA Grapalat"/>
          <w:sz w:val="22"/>
          <w:szCs w:val="22"/>
          <w:lang w:val="en-US"/>
        </w:rPr>
        <w:t xml:space="preserve"> </w:t>
      </w:r>
      <w:r w:rsidRPr="001F63BA">
        <w:rPr>
          <w:rFonts w:ascii="GHEA Grapalat" w:hAnsi="GHEA Grapalat"/>
          <w:sz w:val="22"/>
          <w:szCs w:val="22"/>
        </w:rPr>
        <w:t>ընդունվել են շահագործման Մ-2 և Մ-4 միջպետական նշանակության ճանապարհների վրա թվով 9 վտանգավոր կետերի վերացման աշխատանքներ</w:t>
      </w:r>
      <w:r w:rsidRPr="001F63BA">
        <w:rPr>
          <w:rFonts w:ascii="GHEA Grapalat" w:hAnsi="GHEA Grapalat"/>
          <w:sz w:val="22"/>
          <w:szCs w:val="22"/>
          <w:lang w:val="en-US"/>
        </w:rPr>
        <w:t>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Մ-2, Մ-3, Մ-4, Մ-7, Մ-11 և Մ-14 միջպետական նշանակության ճանապարհների վրա նախանշված 10 և 12 վտանգավոր կետերի վերացման շրջանակներում իրականացվող աշխատանքները հստակեցվել և ընդլայնվել են։ Աշխատանքները կիրականացվեն 2023</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rPr>
        <w:t xml:space="preserve">2022 թվականի ընթացքում իրականացված հիմնանորոգման, «սև կետերի», </w:t>
      </w:r>
      <w:r w:rsidRPr="001F63BA">
        <w:rPr>
          <w:rFonts w:ascii="GHEA Grapalat" w:hAnsi="GHEA Grapalat"/>
          <w:sz w:val="22"/>
          <w:szCs w:val="22"/>
          <w:lang w:val="en-US"/>
        </w:rPr>
        <w:t>կենսական նշանակության ճանապարհների</w:t>
      </w:r>
      <w:r w:rsidRPr="001F63BA">
        <w:rPr>
          <w:rFonts w:ascii="GHEA Grapalat" w:hAnsi="GHEA Grapalat"/>
          <w:sz w:val="22"/>
          <w:szCs w:val="22"/>
        </w:rPr>
        <w:t xml:space="preserve"> ծրագրերի շրջանակներում կազմված նախագծերի հիման վրա իրականացվել </w:t>
      </w:r>
      <w:r w:rsidRPr="001F63BA">
        <w:rPr>
          <w:rFonts w:ascii="GHEA Grapalat" w:hAnsi="GHEA Grapalat"/>
          <w:sz w:val="22"/>
          <w:szCs w:val="22"/>
          <w:lang w:val="en-US"/>
        </w:rPr>
        <w:t>է</w:t>
      </w:r>
      <w:r w:rsidRPr="001F63BA">
        <w:rPr>
          <w:rFonts w:ascii="GHEA Grapalat" w:hAnsi="GHEA Grapalat"/>
          <w:sz w:val="22"/>
          <w:szCs w:val="22"/>
        </w:rPr>
        <w:t xml:space="preserve"> հին ճանապարհային կահավորանքի փոխարինումը նորով</w:t>
      </w:r>
      <w:r w:rsidRPr="001F63BA">
        <w:rPr>
          <w:rFonts w:ascii="GHEA Grapalat" w:hAnsi="GHEA Grapalat"/>
          <w:sz w:val="22"/>
          <w:szCs w:val="22"/>
          <w:lang w:val="en-US"/>
        </w:rPr>
        <w:t>,</w:t>
      </w:r>
      <w:r w:rsidRPr="001F63BA">
        <w:rPr>
          <w:rFonts w:ascii="GHEA Grapalat" w:hAnsi="GHEA Grapalat"/>
          <w:sz w:val="22"/>
          <w:szCs w:val="22"/>
        </w:rPr>
        <w:t xml:space="preserve"> և դրանց մասով </w:t>
      </w:r>
      <w:r w:rsidRPr="001F63BA">
        <w:rPr>
          <w:rFonts w:ascii="GHEA Grapalat" w:hAnsi="GHEA Grapalat"/>
          <w:sz w:val="22"/>
          <w:szCs w:val="22"/>
          <w:lang w:val="en-US"/>
        </w:rPr>
        <w:t>պետական ճանապարհային մարմնի կողմից տրվել են մասնագիտական եզրակացություններ.</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Իրականացվել են միջպետական և հանրապետական նշանակության ավտոմոբիլային ճանապարհների 2331.6 կմ ընթացիկ ամառային և 3288 կմ ընթացիկ ձմեռային պահպանման աշխատանքներ.</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lastRenderedPageBreak/>
        <w:t>Իրականացվել են ընդհանուր օգտագործման ավտոմոբիլային ճանապարհների վրա</w:t>
      </w:r>
      <w:r w:rsidRPr="001F63BA">
        <w:rPr>
          <w:rFonts w:ascii="GHEA Grapalat" w:hAnsi="GHEA Grapalat"/>
          <w:sz w:val="22"/>
          <w:szCs w:val="22"/>
        </w:rPr>
        <w:t xml:space="preserve"> գտնվող և առանձին պահպանման հանձնվող 3 թունելների, 5 կամուրջների, 789.675 կմ պարսպող համակարգերի պահպանման և գծանշման աշխատանքներ</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2022 թվականին իրականացվել </w:t>
      </w:r>
      <w:r w:rsidRPr="001F63BA">
        <w:rPr>
          <w:rFonts w:ascii="GHEA Grapalat" w:hAnsi="GHEA Grapalat"/>
          <w:sz w:val="22"/>
          <w:szCs w:val="22"/>
          <w:lang w:val="en-US"/>
        </w:rPr>
        <w:t xml:space="preserve">են </w:t>
      </w:r>
      <w:r w:rsidRPr="001F63BA">
        <w:rPr>
          <w:rFonts w:ascii="GHEA Grapalat" w:hAnsi="GHEA Grapalat"/>
          <w:sz w:val="22"/>
          <w:szCs w:val="22"/>
        </w:rPr>
        <w:t>Գեղարքունիքի, Լոռու, Շիրակի, Սյունիքի, Վայոց ձորի, Տավուշի մարզերի միջպետական և հանրապետական նշանակության ավտոմոբիլային ճանապարհների գծանշման աշխատանքներ՝ 245.735.8 մ</w:t>
      </w:r>
      <w:r w:rsidRPr="001F63BA">
        <w:rPr>
          <w:rFonts w:ascii="GHEA Grapalat" w:hAnsi="GHEA Grapalat"/>
          <w:sz w:val="22"/>
          <w:szCs w:val="22"/>
          <w:vertAlign w:val="superscript"/>
        </w:rPr>
        <w:t>2</w:t>
      </w:r>
      <w:r w:rsidRPr="001F63BA">
        <w:rPr>
          <w:rFonts w:ascii="GHEA Grapalat" w:hAnsi="GHEA Grapalat"/>
          <w:sz w:val="22"/>
          <w:szCs w:val="22"/>
        </w:rPr>
        <w:t xml:space="preserve"> ծավալով</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t>Մ</w:t>
      </w:r>
      <w:r w:rsidRPr="001F63BA">
        <w:rPr>
          <w:rFonts w:ascii="GHEA Grapalat" w:hAnsi="GHEA Grapalat"/>
          <w:sz w:val="22"/>
          <w:szCs w:val="22"/>
        </w:rPr>
        <w:t>իջպետական նշանակության ավտոմոբիլային ճանապարհների ասֆալտբետոնե ծածկի անհարթության միջազգային ցուցիչը (ԱՄՑ) 2021թ. 4</w:t>
      </w:r>
      <w:r w:rsidRPr="001F63BA">
        <w:rPr>
          <w:rFonts w:ascii="GHEA Grapalat" w:hAnsi="GHEA Grapalat"/>
          <w:sz w:val="22"/>
          <w:szCs w:val="22"/>
          <w:lang w:val="en-US"/>
        </w:rPr>
        <w:t>.</w:t>
      </w:r>
      <w:r w:rsidRPr="001F63BA">
        <w:rPr>
          <w:rFonts w:ascii="GHEA Grapalat" w:hAnsi="GHEA Grapalat"/>
          <w:sz w:val="22"/>
          <w:szCs w:val="22"/>
        </w:rPr>
        <w:t>5 մմ/մ-ից 2022թ. նվազել է 4 մմ/մ, այսինքն՝ ցուցանիշը բարելավել է 0</w:t>
      </w:r>
      <w:r w:rsidRPr="001F63BA">
        <w:rPr>
          <w:rFonts w:ascii="GHEA Grapalat" w:hAnsi="GHEA Grapalat"/>
          <w:sz w:val="22"/>
          <w:szCs w:val="22"/>
          <w:lang w:val="en-US"/>
        </w:rPr>
        <w:t>.</w:t>
      </w:r>
      <w:r w:rsidRPr="001F63BA">
        <w:rPr>
          <w:rFonts w:ascii="GHEA Grapalat" w:hAnsi="GHEA Grapalat"/>
          <w:sz w:val="22"/>
          <w:szCs w:val="22"/>
        </w:rPr>
        <w:t>5 մմ/մ-ով</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Իրականացվել են 3 միջպետական նշանակության ավտոմոբիլային ճանապարհների 5 կետերում տեղակայված ավտոմոբիլային տրանսպորտի ինտենսիվությունը չափող առցանց աշխատող SIEMENS մակնիշի հաշվիչներից ստացված տվյալների վերլուծություն։ Իրականացվել են նաև միջպետական նշանակության թվով 67 և հանրապետական նշանակության թվով </w:t>
      </w:r>
      <w:r w:rsidRPr="001F63BA">
        <w:rPr>
          <w:rFonts w:ascii="GHEA Grapalat" w:hAnsi="GHEA Grapalat"/>
          <w:sz w:val="22"/>
          <w:szCs w:val="22"/>
          <w:lang w:val="en-US"/>
        </w:rPr>
        <w:t>34</w:t>
      </w:r>
      <w:r w:rsidRPr="001F63BA">
        <w:rPr>
          <w:rFonts w:ascii="GHEA Grapalat" w:hAnsi="GHEA Grapalat"/>
          <w:sz w:val="22"/>
          <w:szCs w:val="22"/>
        </w:rPr>
        <w:t xml:space="preserve"> ճանապարհահատվածների</w:t>
      </w:r>
      <w:r w:rsidRPr="001F63BA">
        <w:rPr>
          <w:rFonts w:ascii="GHEA Grapalat" w:hAnsi="GHEA Grapalat"/>
          <w:sz w:val="22"/>
          <w:szCs w:val="22"/>
          <w:lang w:val="en-US"/>
        </w:rPr>
        <w:t xml:space="preserve"> (ընդհանուր՝ 101)</w:t>
      </w:r>
      <w:r w:rsidRPr="001F63BA">
        <w:rPr>
          <w:rFonts w:ascii="GHEA Grapalat" w:hAnsi="GHEA Grapalat"/>
          <w:sz w:val="22"/>
          <w:szCs w:val="22"/>
        </w:rPr>
        <w:t xml:space="preserve"> տվյալների շարժական հաշվիչների գրանցման միջին օրական ինտենսիվության տվյալների հավաքագրում և վերլուծություն</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գույքագրվել և տեսաձայնագրվել են միջպետական և հանրապետական նշանակության ճանապարհահատվածներ և տրանսպորտային հանգույցներ՝ շուրջ 602.44 կմ ընդհանուր երկարությամբ (ներառյալ I տեխնիկական կարգը), այդ թվում</w:t>
      </w:r>
      <w:r w:rsidRPr="001F63BA">
        <w:rPr>
          <w:rFonts w:ascii="GHEA Grapalat" w:hAnsi="GHEA Grapalat"/>
          <w:sz w:val="22"/>
          <w:szCs w:val="22"/>
          <w:lang w:val="en-US"/>
        </w:rPr>
        <w:t>՝</w:t>
      </w:r>
      <w:r w:rsidRPr="001F63BA">
        <w:rPr>
          <w:rFonts w:ascii="GHEA Grapalat" w:hAnsi="GHEA Grapalat"/>
          <w:sz w:val="22"/>
          <w:szCs w:val="22"/>
        </w:rPr>
        <w:t xml:space="preserve"> միջպետական նշանակության` 157.34 կմ</w:t>
      </w:r>
      <w:r w:rsidRPr="001F63BA">
        <w:rPr>
          <w:rFonts w:ascii="GHEA Grapalat" w:hAnsi="GHEA Grapalat"/>
          <w:sz w:val="22"/>
          <w:szCs w:val="22"/>
          <w:lang w:val="en-US"/>
        </w:rPr>
        <w:t>,</w:t>
      </w:r>
      <w:r w:rsidRPr="001F63BA">
        <w:rPr>
          <w:rFonts w:ascii="GHEA Grapalat" w:hAnsi="GHEA Grapalat"/>
          <w:sz w:val="22"/>
          <w:szCs w:val="22"/>
        </w:rPr>
        <w:t xml:space="preserve"> որից 15.4 կմ I տեխնիկական կարգի, և հանրապետական նշանակության` 445.1 կմ ավտոմոբիլային ճանապարհներ</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մշակվել են մի շարք օրենսդրական և ենթաօրենսդրական իրավական ակտեր, այդ թվում՝ ՀՀ ավտոմոբիլային ճանապարհների 2023-2033 թվականների ռազմավարությունը և 2023-2027 թվականների գործողությունների ծրագիրը</w:t>
      </w:r>
      <w:r w:rsidRPr="001F63BA">
        <w:rPr>
          <w:rFonts w:ascii="MS Mincho" w:eastAsia="MS Mincho" w:hAnsi="MS Mincho" w:cs="MS Mincho" w:hint="eastAsia"/>
          <w:sz w:val="22"/>
          <w:szCs w:val="22"/>
        </w:rPr>
        <w:t>․</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Ուսումնասիրվել են ՀՀ ընդհանուր օգտագործման պետական ավտոմոբիլային ճանապարհների օտարման շերտում և պաշտպանական գոտում սպասարկման օբյեկտների և հաղորդակցուղիների տեղադրման, ինչպես նաև հողամասերի նպատակային նշանակության փոփոխության</w:t>
      </w:r>
      <w:r w:rsidRPr="001F63BA">
        <w:rPr>
          <w:rFonts w:ascii="GHEA Grapalat" w:hAnsi="GHEA Grapalat"/>
          <w:sz w:val="22"/>
          <w:szCs w:val="22"/>
          <w:lang w:val="en-US"/>
        </w:rPr>
        <w:t xml:space="preserve"> </w:t>
      </w:r>
      <w:r w:rsidRPr="001F63BA">
        <w:rPr>
          <w:rFonts w:ascii="GHEA Grapalat" w:hAnsi="GHEA Grapalat"/>
          <w:sz w:val="22"/>
          <w:szCs w:val="22"/>
        </w:rPr>
        <w:t>նպատակով ներկայացված շուրջ 900 փաթեթներ</w:t>
      </w:r>
      <w:r w:rsidRPr="001F63BA">
        <w:rPr>
          <w:rFonts w:ascii="GHEA Grapalat" w:hAnsi="GHEA Grapalat"/>
          <w:sz w:val="22"/>
          <w:szCs w:val="22"/>
          <w:lang w:val="en-US"/>
        </w:rPr>
        <w:t>,</w:t>
      </w:r>
      <w:r w:rsidRPr="001F63BA">
        <w:rPr>
          <w:rFonts w:ascii="GHEA Grapalat" w:hAnsi="GHEA Grapalat"/>
          <w:sz w:val="22"/>
          <w:szCs w:val="22"/>
        </w:rPr>
        <w:t xml:space="preserve"> և հաղորդակցուղիների տեղադրման մասով տրվել են տեխնիկական պայմաններ։</w:t>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7A6E1F">
      <w:pPr>
        <w:pStyle w:val="Heading2"/>
        <w:spacing w:before="0"/>
      </w:pPr>
      <w:bookmarkStart w:id="23" w:name="_Toc132204202"/>
      <w:r w:rsidRPr="001F63BA">
        <w:lastRenderedPageBreak/>
        <w:t>Էներգետիկա</w:t>
      </w:r>
      <w:bookmarkEnd w:id="23"/>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էներգետիկայի բնագավառում շարունակվել են աշխատանքները սպառողներին անխափան և հուսալի էլեկտրամատակարարման </w:t>
      </w:r>
      <w:r w:rsidRPr="001F63BA">
        <w:rPr>
          <w:rFonts w:ascii="GHEA Grapalat" w:hAnsi="GHEA Grapalat"/>
          <w:sz w:val="22"/>
          <w:szCs w:val="22"/>
          <w:lang w:val="en-US"/>
        </w:rPr>
        <w:t>ու</w:t>
      </w:r>
      <w:r w:rsidRPr="001F63BA">
        <w:rPr>
          <w:rFonts w:ascii="GHEA Grapalat" w:hAnsi="GHEA Grapalat"/>
          <w:sz w:val="22"/>
          <w:szCs w:val="22"/>
        </w:rPr>
        <w:t xml:space="preserve"> գազամատակարարման ապահովման, ինչպես նաև Հայաստանի էներգետիկ անվտանգության մակարդակի բարձրացման նպատակով:</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փետրվարի 1-ից էլեկտրաէներգետիկական համակարգում անցում է կատարվել էլեկտրաէներգետիկական մեծածախ շուկայի նոր մոդելին։ </w:t>
      </w:r>
      <w:r w:rsidRPr="001F63BA">
        <w:rPr>
          <w:rFonts w:ascii="GHEA Grapalat" w:hAnsi="GHEA Grapalat"/>
          <w:sz w:val="22"/>
          <w:szCs w:val="22"/>
          <w:lang w:val="en-US"/>
        </w:rPr>
        <w:t>2022 թվականի դեկտեմբերին օ</w:t>
      </w:r>
      <w:r w:rsidRPr="001F63BA">
        <w:rPr>
          <w:rFonts w:ascii="GHEA Grapalat" w:hAnsi="GHEA Grapalat"/>
          <w:sz w:val="22"/>
          <w:szCs w:val="22"/>
        </w:rPr>
        <w:t>րական սպառվող էլեկտրաէներգիայի 13.8%-ը վաճառվում է ազատականացված շուկայում՝ չկարգավորվող գներով։ Աստիճա</w:t>
      </w:r>
      <w:r w:rsidRPr="001F63BA">
        <w:rPr>
          <w:rFonts w:ascii="GHEA Grapalat" w:hAnsi="GHEA Grapalat"/>
          <w:sz w:val="22"/>
          <w:szCs w:val="22"/>
          <w:lang w:val="en-US"/>
        </w:rPr>
        <w:t>նա</w:t>
      </w:r>
      <w:r w:rsidRPr="001F63BA">
        <w:rPr>
          <w:rFonts w:ascii="GHEA Grapalat" w:hAnsi="GHEA Grapalat"/>
          <w:sz w:val="22"/>
          <w:szCs w:val="22"/>
        </w:rPr>
        <w:t>կան ազատականացումը խթան է հանդիսացել էլեկտրաէներգիայի միջպետական առևտրի համար։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Հայաստանից Վրաստան արտահանվել է 365 մլն կՎտ</w:t>
      </w:r>
      <w:r w:rsidRPr="001F63BA">
        <w:rPr>
          <w:rFonts w:ascii="GHEA Grapalat" w:hAnsi="GHEA Grapalat"/>
          <w:sz w:val="22"/>
          <w:szCs w:val="22"/>
          <w:lang w:val="en-US"/>
        </w:rPr>
        <w:t>Ժ</w:t>
      </w:r>
      <w:r w:rsidRPr="001F63BA">
        <w:rPr>
          <w:rFonts w:ascii="GHEA Grapalat" w:hAnsi="GHEA Grapalat"/>
          <w:sz w:val="22"/>
          <w:szCs w:val="22"/>
        </w:rPr>
        <w:t xml:space="preserve"> էլեկտրաէներգիա, որն ավելին է, քան նախորդ 10 տարիներին միասին։</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ՀՀ և ԻԻՀ միջև կնքվել է գազի բնագավառում համագործակցության մասին փոխըմբռնման հուշագիր, որով մինչև 2030</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վականը</w:t>
      </w:r>
      <w:r w:rsidRPr="001F63BA">
        <w:rPr>
          <w:rFonts w:ascii="GHEA Grapalat" w:hAnsi="GHEA Grapalat"/>
          <w:sz w:val="22"/>
          <w:szCs w:val="22"/>
        </w:rPr>
        <w:t xml:space="preserve"> կերկարաձգվի գազ էլեկտրաէներգիայի դիմաց պայմանագիրը։ </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Շարունակվել են ԵԱՏՄ ընդհանուր էլեկտրաէներգետիկական և գազի շուկաների հետ ձևավորման նպատակով անհրաժեշտ իրավական ակտերի մշակման աշխատանքները։</w:t>
      </w:r>
    </w:p>
    <w:p w:rsidR="001C411D" w:rsidRPr="001F63BA" w:rsidRDefault="001C411D" w:rsidP="00867AA0">
      <w:pPr>
        <w:spacing w:line="360" w:lineRule="auto"/>
        <w:ind w:firstLine="567"/>
        <w:jc w:val="both"/>
        <w:rPr>
          <w:rFonts w:ascii="GHEA Grapalat" w:hAnsi="GHEA Grapalat"/>
          <w:sz w:val="22"/>
          <w:szCs w:val="22"/>
          <w:lang w:val="en-US"/>
        </w:rPr>
      </w:pPr>
      <w:r w:rsidRPr="001F63BA">
        <w:rPr>
          <w:rFonts w:ascii="GHEA Grapalat" w:hAnsi="GHEA Grapalat"/>
          <w:sz w:val="22"/>
          <w:szCs w:val="22"/>
        </w:rPr>
        <w:t>Մասդար Արմենիա ծրագիր» ներդրումային ծրագրի շրջանակներում իրականացվում է 200 ՄՎտ հզորության «Այգ-1» արևային ֆոտովոլտային կայանի կառուցման ծրագիրը: «Մասրիկ-1» 55 ՄՎտ հզորությամբ արևային ֆոտովոլտային կայանի կառուցման ծրագ</w:t>
      </w:r>
      <w:r w:rsidRPr="001F63BA">
        <w:rPr>
          <w:rFonts w:ascii="GHEA Grapalat" w:hAnsi="GHEA Grapalat"/>
          <w:sz w:val="22"/>
          <w:szCs w:val="22"/>
          <w:lang w:val="en-US"/>
        </w:rPr>
        <w:t>րի շրջանակներում,</w:t>
      </w:r>
      <w:r w:rsidRPr="001F63BA">
        <w:rPr>
          <w:rFonts w:ascii="GHEA Grapalat" w:hAnsi="GHEA Grapalat"/>
          <w:sz w:val="22"/>
          <w:szCs w:val="22"/>
        </w:rPr>
        <w:t xml:space="preserve"> թեև ձգձգումներով, սակայն աշխատանքներ տարվել են։</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Զգալիորեն աճել է ինքնավար էներգաարտադրողների (սեփական կարիքների համար էլեկտրաէերգիա արտադրող արևային կայաններ) թիվ</w:t>
      </w:r>
      <w:r w:rsidRPr="001F63BA">
        <w:rPr>
          <w:rFonts w:ascii="GHEA Grapalat" w:hAnsi="GHEA Grapalat"/>
          <w:sz w:val="22"/>
          <w:szCs w:val="22"/>
          <w:lang w:val="en-US"/>
        </w:rPr>
        <w:t>ը</w:t>
      </w:r>
      <w:r w:rsidRPr="001F63BA">
        <w:rPr>
          <w:rFonts w:ascii="GHEA Grapalat" w:hAnsi="GHEA Grapalat"/>
          <w:sz w:val="22"/>
          <w:szCs w:val="22"/>
        </w:rPr>
        <w:t>՝ 01.01.2023թ</w:t>
      </w:r>
      <w:r w:rsidRPr="001F63BA">
        <w:rPr>
          <w:rFonts w:ascii="GHEA Grapalat" w:hAnsi="GHEA Grapalat"/>
          <w:sz w:val="22"/>
          <w:szCs w:val="22"/>
          <w:lang w:val="en-US"/>
        </w:rPr>
        <w:t>.</w:t>
      </w:r>
      <w:r w:rsidRPr="001F63BA">
        <w:rPr>
          <w:rFonts w:ascii="GHEA Grapalat" w:hAnsi="GHEA Grapalat"/>
          <w:sz w:val="22"/>
          <w:szCs w:val="22"/>
        </w:rPr>
        <w:t xml:space="preserve"> դրությամբ ինքնավար էներգաարտադրողների թիվը կազմում է 10282՝ գումարային 196.87 ՄՎտ հզորությամբ:</w:t>
      </w:r>
    </w:p>
    <w:p w:rsidR="001C411D" w:rsidRPr="001F63BA" w:rsidRDefault="001C411D" w:rsidP="004349FF">
      <w:pPr>
        <w:spacing w:line="360" w:lineRule="auto"/>
        <w:ind w:firstLine="567"/>
        <w:jc w:val="both"/>
        <w:rPr>
          <w:rFonts w:ascii="GHEA Grapalat" w:hAnsi="GHEA Grapalat"/>
          <w:sz w:val="22"/>
          <w:szCs w:val="22"/>
          <w:lang w:val="en-US"/>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արևային կայանների էլեկտրաէներգիայի արտադրանքը կազմել է</w:t>
      </w:r>
      <w:r w:rsidRPr="001F63BA">
        <w:rPr>
          <w:rFonts w:ascii="Courier New" w:hAnsi="Courier New" w:cs="Courier New"/>
          <w:sz w:val="22"/>
          <w:szCs w:val="22"/>
        </w:rPr>
        <w:t> </w:t>
      </w:r>
      <w:r w:rsidRPr="001F63BA">
        <w:rPr>
          <w:rFonts w:ascii="GHEA Grapalat" w:hAnsi="GHEA Grapalat"/>
          <w:sz w:val="22"/>
          <w:szCs w:val="22"/>
        </w:rPr>
        <w:t>241</w:t>
      </w:r>
      <w:r w:rsidRPr="001F63BA">
        <w:rPr>
          <w:rFonts w:ascii="GHEA Grapalat" w:hAnsi="GHEA Grapalat"/>
          <w:sz w:val="22"/>
          <w:szCs w:val="22"/>
          <w:lang w:val="en-US"/>
        </w:rPr>
        <w:t>.</w:t>
      </w:r>
      <w:r w:rsidRPr="001F63BA">
        <w:rPr>
          <w:rFonts w:ascii="GHEA Grapalat" w:hAnsi="GHEA Grapalat"/>
          <w:sz w:val="22"/>
          <w:szCs w:val="22"/>
        </w:rPr>
        <w:t>33 մլն կՎտժ, ինչը 151</w:t>
      </w:r>
      <w:r w:rsidRPr="001F63BA">
        <w:rPr>
          <w:rFonts w:ascii="GHEA Grapalat" w:hAnsi="GHEA Grapalat"/>
          <w:sz w:val="22"/>
          <w:szCs w:val="22"/>
          <w:lang w:val="en-US"/>
        </w:rPr>
        <w:t>.</w:t>
      </w:r>
      <w:r w:rsidRPr="001F63BA">
        <w:rPr>
          <w:rFonts w:ascii="GHEA Grapalat" w:hAnsi="GHEA Grapalat"/>
          <w:sz w:val="22"/>
          <w:szCs w:val="22"/>
        </w:rPr>
        <w:t>74 մլն կՎտժ-ով կամ 170%-ով ավել է</w:t>
      </w:r>
      <w:r w:rsidRPr="001F63BA">
        <w:rPr>
          <w:rFonts w:ascii="GHEA Grapalat" w:hAnsi="GHEA Grapalat"/>
          <w:sz w:val="22"/>
          <w:szCs w:val="22"/>
          <w:lang w:val="en-US"/>
        </w:rPr>
        <w:t>,</w:t>
      </w:r>
      <w:r w:rsidRPr="001F63BA">
        <w:rPr>
          <w:rFonts w:ascii="GHEA Grapalat" w:hAnsi="GHEA Grapalat"/>
          <w:sz w:val="22"/>
          <w:szCs w:val="22"/>
        </w:rPr>
        <w:t xml:space="preserve"> քան 2021 թվականին։ Այս ցուցանիշի մեջ ներառված չէ ինքնավար արևային կայանների արտադրանքի աճը, քանի որ դրանց արտադրանքի հաշվառում չի իրականացվում։</w:t>
      </w:r>
    </w:p>
    <w:p w:rsidR="001C411D" w:rsidRPr="001F63BA" w:rsidRDefault="001C411D" w:rsidP="00867AA0">
      <w:pPr>
        <w:spacing w:line="360" w:lineRule="auto"/>
        <w:ind w:firstLine="567"/>
        <w:jc w:val="both"/>
        <w:rPr>
          <w:rFonts w:ascii="GHEA Grapalat" w:hAnsi="GHEA Grapalat"/>
          <w:sz w:val="22"/>
          <w:szCs w:val="22"/>
          <w:lang w:val="en-US"/>
        </w:rPr>
      </w:pPr>
      <w:r w:rsidRPr="001F63BA">
        <w:rPr>
          <w:rFonts w:ascii="GHEA Grapalat" w:hAnsi="GHEA Grapalat"/>
          <w:sz w:val="22"/>
          <w:szCs w:val="22"/>
        </w:rPr>
        <w:t>01.01.2023թ</w:t>
      </w:r>
      <w:r w:rsidRPr="001F63BA">
        <w:rPr>
          <w:rFonts w:ascii="GHEA Grapalat" w:hAnsi="GHEA Grapalat"/>
          <w:sz w:val="22"/>
          <w:szCs w:val="22"/>
          <w:lang w:val="en-US"/>
        </w:rPr>
        <w:t>.</w:t>
      </w:r>
      <w:r w:rsidRPr="001F63BA">
        <w:rPr>
          <w:rFonts w:ascii="GHEA Grapalat" w:hAnsi="GHEA Grapalat"/>
          <w:sz w:val="22"/>
          <w:szCs w:val="22"/>
        </w:rPr>
        <w:t xml:space="preserve"> դրությամբ էլեկտրաէներգիա են արտադրում 4 հողմային էլեկտրակայաններ՝ գումարային շուրջ 4.23 ՄՎտ դրվածքային հզորությամբ, կառուցման փուլում է գտնվում 1 հողմակայան՝ 4 ՄՎտ դրվածքային հզորությամբ:</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Մշակվել և Կառավարության քննար</w:t>
      </w:r>
      <w:r w:rsidRPr="001F63BA">
        <w:rPr>
          <w:rFonts w:ascii="GHEA Grapalat" w:hAnsi="GHEA Grapalat"/>
          <w:sz w:val="22"/>
          <w:szCs w:val="22"/>
          <w:lang w:val="en-US"/>
        </w:rPr>
        <w:t>կ</w:t>
      </w:r>
      <w:r w:rsidRPr="001F63BA">
        <w:rPr>
          <w:rFonts w:ascii="GHEA Grapalat" w:hAnsi="GHEA Grapalat"/>
          <w:sz w:val="22"/>
          <w:szCs w:val="22"/>
        </w:rPr>
        <w:t xml:space="preserve">մանն են ներկայացվել էլեկտրաէներգետիկայի և գազամատակարարման համակարգերը կանոնակարգող թվով 9 նոր իրավական ակտերի նախագծեր։ </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փետրվարին հրապարակվել է 2020</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ՀՀ էներգետիկ հաշվեկշիռը և տեղադրվել </w:t>
      </w:r>
      <w:hyperlink r:id="rId12" w:history="1">
        <w:r w:rsidRPr="001F63BA">
          <w:rPr>
            <w:rFonts w:ascii="GHEA Grapalat" w:hAnsi="GHEA Grapalat"/>
            <w:sz w:val="22"/>
            <w:szCs w:val="22"/>
          </w:rPr>
          <w:t>www.mtad.am</w:t>
        </w:r>
      </w:hyperlink>
      <w:r w:rsidRPr="001F63BA">
        <w:rPr>
          <w:rFonts w:ascii="GHEA Grapalat" w:hAnsi="GHEA Grapalat"/>
          <w:sz w:val="22"/>
          <w:szCs w:val="22"/>
        </w:rPr>
        <w:t xml:space="preserve"> կայքում: </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Հաջողությամբ իրականացվում է բնակարանների և բնակելի տների էներգաարդյունավետ վերանորոգման աշխատանքների պետական աջակցության ծրագիրը։</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Սուբվենցիոն ծրագրերի շրջանակներում 2022 թվականին քննարկվել են ընդհանուր շուրջ 57 համայնքի՝ 227 բնակավայրի, լուսավորության արդիականացման, արևային ՖՎ համակարգերի տեղակայման և գազաֆիկացման հայտեր:</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 xml:space="preserve">Իրականացվել </w:t>
      </w:r>
      <w:r w:rsidRPr="001F63BA">
        <w:rPr>
          <w:rFonts w:ascii="GHEA Grapalat" w:hAnsi="GHEA Grapalat"/>
          <w:sz w:val="22"/>
          <w:szCs w:val="22"/>
          <w:lang w:val="en-US"/>
        </w:rPr>
        <w:t xml:space="preserve">է </w:t>
      </w:r>
      <w:r w:rsidRPr="001F63BA">
        <w:rPr>
          <w:rFonts w:ascii="GHEA Grapalat" w:hAnsi="GHEA Grapalat"/>
          <w:sz w:val="22"/>
          <w:szCs w:val="22"/>
        </w:rPr>
        <w:t>ՀՀ կառավարության 2011 թվականի դեկտեմբերի 29-ի N 1918-Ն և N 1920-Ն որոշումներով սահմանված կարգերով հողերի նպատակային և գործառնական նշանակության փոփոխման շուրջ 838 առաջարկների քննարկում:</w:t>
      </w:r>
    </w:p>
    <w:p w:rsidR="001C411D" w:rsidRPr="001F63BA" w:rsidRDefault="001C411D" w:rsidP="00867AA0">
      <w:pPr>
        <w:spacing w:line="360" w:lineRule="auto"/>
        <w:ind w:firstLine="567"/>
        <w:jc w:val="both"/>
        <w:rPr>
          <w:rFonts w:ascii="GHEA Grapalat" w:hAnsi="GHEA Grapalat"/>
          <w:sz w:val="22"/>
          <w:szCs w:val="22"/>
        </w:rPr>
      </w:pPr>
      <w:r w:rsidRPr="001F63BA">
        <w:rPr>
          <w:rFonts w:ascii="GHEA Grapalat" w:hAnsi="GHEA Grapalat"/>
          <w:sz w:val="22"/>
          <w:szCs w:val="22"/>
        </w:rPr>
        <w:t>«Բարձրավոլտ էլեկտրացանցեր» ՓԲԸ-ի սեփական միջոցների հաշվին իրականացվել են «Լիճք» 220/110/35 կՎ լարման ենթակայանի վերակառուցման աշխատանքները։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ենթակայանն ամբողջությամբ դրվել է լարման տակ:</w:t>
      </w:r>
    </w:p>
    <w:p w:rsidR="001C411D" w:rsidRPr="001F63BA" w:rsidRDefault="001C411D" w:rsidP="002E295C">
      <w:pPr>
        <w:spacing w:line="360" w:lineRule="auto"/>
        <w:ind w:firstLine="567"/>
        <w:jc w:val="both"/>
        <w:rPr>
          <w:rFonts w:ascii="GHEA Grapalat" w:hAnsi="GHEA Grapalat"/>
          <w:sz w:val="22"/>
          <w:szCs w:val="22"/>
        </w:rPr>
      </w:pPr>
      <w:r w:rsidRPr="001F63BA">
        <w:rPr>
          <w:rFonts w:ascii="GHEA Grapalat" w:hAnsi="GHEA Grapalat"/>
          <w:sz w:val="22"/>
          <w:szCs w:val="22"/>
        </w:rPr>
        <w:t>Վերակառուցման և զարգացման միջազգային բանկի աջակցությամբ իրականացվող «էլեկտրամատակարարման հուսալիության ծրագրի լրացուցիչ ֆինանսավորում» ծրագրի շրջանակներում շարունակվել են «Վանաձոր-1», «Չարենցավան-3» և «Զովունի» ենթակայանների վերակառուցման շինարարական, անհրաժեշտ սարքերի ու սարքավորումների ներկրման աշխատանքները: «Վանաձոր-1» ենթակայանի վերակառուցման աշխատանքներն ավարտվել են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Ենթակայանը սահմանված կարգով ամբողջությամբ դրվել է լարման տակ: Իրականացվում են «Չարենցավան-3» ենթակայանի վերակառուցման աշխատանքները, </w:t>
      </w:r>
      <w:r w:rsidRPr="001F63BA">
        <w:rPr>
          <w:rFonts w:ascii="GHEA Grapalat" w:hAnsi="GHEA Grapalat"/>
          <w:sz w:val="22"/>
          <w:szCs w:val="22"/>
          <w:lang w:val="en-US"/>
        </w:rPr>
        <w:t>որոնք</w:t>
      </w:r>
      <w:r w:rsidRPr="001F63BA">
        <w:rPr>
          <w:rFonts w:ascii="GHEA Grapalat" w:hAnsi="GHEA Grapalat"/>
          <w:sz w:val="22"/>
          <w:szCs w:val="22"/>
        </w:rPr>
        <w:t xml:space="preserve"> նախատեսվում է ավարտել 2023</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«Զովունի» ենթակայանի վերակառուցման նպատակով ստացվել են նախագծային աշխատանքների համալիր փորձաքննություն անցնելու դրական եզրակացությունը և շինարարության թույլտվությունը, որից հետո ենթակայանում մեկնարկել են վերակառուցման աշխատանքները: Ենթակայանի վերակառուցման աշխատանքները նախատեսվում է ավարտել 2024</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Հաշվետու ժամանակահատվածում </w:t>
      </w:r>
      <w:r w:rsidRPr="001F63BA">
        <w:rPr>
          <w:rFonts w:ascii="GHEA Grapalat" w:hAnsi="GHEA Grapalat"/>
          <w:sz w:val="22"/>
          <w:szCs w:val="22"/>
          <w:lang w:val="en-US"/>
        </w:rPr>
        <w:t>ծ</w:t>
      </w:r>
      <w:r w:rsidRPr="001F63BA">
        <w:rPr>
          <w:rFonts w:ascii="GHEA Grapalat" w:hAnsi="GHEA Grapalat"/>
          <w:sz w:val="22"/>
          <w:szCs w:val="22"/>
        </w:rPr>
        <w:t>րագրի շրջանակներում իրականացվել են մոտ 926</w:t>
      </w:r>
      <w:r w:rsidRPr="001F63BA">
        <w:rPr>
          <w:rFonts w:ascii="GHEA Grapalat" w:hAnsi="GHEA Grapalat"/>
          <w:sz w:val="22"/>
          <w:szCs w:val="22"/>
          <w:lang w:val="en-US"/>
        </w:rPr>
        <w:t>.</w:t>
      </w:r>
      <w:r w:rsidRPr="001F63BA">
        <w:rPr>
          <w:rFonts w:ascii="GHEA Grapalat" w:hAnsi="GHEA Grapalat"/>
          <w:sz w:val="22"/>
          <w:szCs w:val="22"/>
        </w:rPr>
        <w:t>3 հազ</w:t>
      </w:r>
      <w:r w:rsidRPr="001F63BA">
        <w:rPr>
          <w:rFonts w:ascii="GHEA Grapalat" w:hAnsi="GHEA Grapalat"/>
          <w:sz w:val="22"/>
          <w:szCs w:val="22"/>
          <w:lang w:val="en-US"/>
        </w:rPr>
        <w:t>.</w:t>
      </w:r>
      <w:r w:rsidRPr="001F63BA">
        <w:rPr>
          <w:rFonts w:ascii="GHEA Grapalat" w:hAnsi="GHEA Grapalat"/>
          <w:sz w:val="22"/>
          <w:szCs w:val="22"/>
        </w:rPr>
        <w:t xml:space="preserve"> ԱՄՆ դոլարի աշխատանքներ:</w:t>
      </w:r>
    </w:p>
    <w:p w:rsidR="001C411D" w:rsidRPr="001F63BA" w:rsidRDefault="001C411D" w:rsidP="00994CF2">
      <w:pPr>
        <w:spacing w:line="360" w:lineRule="auto"/>
        <w:ind w:firstLine="567"/>
        <w:jc w:val="both"/>
        <w:rPr>
          <w:rFonts w:ascii="GHEA Grapalat" w:hAnsi="GHEA Grapalat"/>
          <w:sz w:val="22"/>
          <w:szCs w:val="22"/>
        </w:rPr>
      </w:pPr>
      <w:r w:rsidRPr="001F63BA">
        <w:rPr>
          <w:rFonts w:ascii="GHEA Grapalat" w:hAnsi="GHEA Grapalat"/>
          <w:sz w:val="22"/>
          <w:szCs w:val="22"/>
        </w:rPr>
        <w:t xml:space="preserve">Վերակառուցման և զարգացման միջազգային բանկի աջակցությամբ իրականացվող «էլեկտրահաղորդման ցանցի բարելավում» </w:t>
      </w:r>
      <w:r w:rsidRPr="001F63BA">
        <w:rPr>
          <w:rFonts w:ascii="GHEA Grapalat" w:hAnsi="GHEA Grapalat"/>
          <w:sz w:val="22"/>
          <w:szCs w:val="22"/>
          <w:lang w:val="en-US"/>
        </w:rPr>
        <w:t>ծ</w:t>
      </w:r>
      <w:r w:rsidRPr="001F63BA">
        <w:rPr>
          <w:rFonts w:ascii="GHEA Grapalat" w:hAnsi="GHEA Grapalat"/>
          <w:sz w:val="22"/>
          <w:szCs w:val="22"/>
        </w:rPr>
        <w:t>րագ</w:t>
      </w:r>
      <w:r w:rsidRPr="001F63BA">
        <w:rPr>
          <w:rFonts w:ascii="GHEA Grapalat" w:hAnsi="GHEA Grapalat"/>
          <w:sz w:val="22"/>
          <w:szCs w:val="22"/>
          <w:lang w:val="en-US"/>
        </w:rPr>
        <w:t>րի</w:t>
      </w:r>
      <w:r w:rsidRPr="001F63BA">
        <w:rPr>
          <w:rFonts w:ascii="GHEA Grapalat" w:hAnsi="GHEA Grapalat"/>
          <w:sz w:val="22"/>
          <w:szCs w:val="22"/>
        </w:rPr>
        <w:t xml:space="preserve"> շրջանակներում շարունակվել են «Արարատ-2» ենթակայանի վերակառուցման շինարարական, անհրաժեշտ սարքերի ու սարքավորումների </w:t>
      </w:r>
      <w:r w:rsidRPr="001F63BA">
        <w:rPr>
          <w:rFonts w:ascii="GHEA Grapalat" w:hAnsi="GHEA Grapalat"/>
          <w:sz w:val="22"/>
          <w:szCs w:val="22"/>
        </w:rPr>
        <w:lastRenderedPageBreak/>
        <w:t>ներկրման աշխատանքները: Ենթակայանի վերակառուցման աշխատանքները նախատեսվում է ավարտել 2024</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Հաշվետու ժամանակահատվածում </w:t>
      </w:r>
      <w:r w:rsidRPr="001F63BA">
        <w:rPr>
          <w:rFonts w:ascii="GHEA Grapalat" w:hAnsi="GHEA Grapalat"/>
          <w:sz w:val="22"/>
          <w:szCs w:val="22"/>
          <w:lang w:val="en-US"/>
        </w:rPr>
        <w:t>ծ</w:t>
      </w:r>
      <w:r w:rsidRPr="001F63BA">
        <w:rPr>
          <w:rFonts w:ascii="GHEA Grapalat" w:hAnsi="GHEA Grapalat"/>
          <w:sz w:val="22"/>
          <w:szCs w:val="22"/>
        </w:rPr>
        <w:t>րագրի շրջանակներում իրականացվել են մոտ 44 հազ. ԱՄՆ դոլարի աշխատանքներ:</w:t>
      </w:r>
    </w:p>
    <w:p w:rsidR="001C411D" w:rsidRPr="001F63BA" w:rsidRDefault="001C411D" w:rsidP="00994CF2">
      <w:pPr>
        <w:spacing w:line="360" w:lineRule="auto"/>
        <w:ind w:firstLine="567"/>
        <w:jc w:val="both"/>
        <w:rPr>
          <w:rFonts w:ascii="GHEA Grapalat" w:hAnsi="GHEA Grapalat"/>
          <w:sz w:val="22"/>
          <w:szCs w:val="22"/>
        </w:rPr>
      </w:pPr>
      <w:r w:rsidRPr="001F63BA">
        <w:rPr>
          <w:rFonts w:ascii="GHEA Grapalat" w:hAnsi="GHEA Grapalat"/>
          <w:sz w:val="22"/>
          <w:szCs w:val="22"/>
        </w:rPr>
        <w:t>Ասիական զարգացման բանկի աջակցությամբ իրականացվող «Էլեկտրաէներգիայի հաղորդման ցանցի վերակառուցում» ծրագրի շրջանակներում SCADA/EMS համակարգերի ընդլայնման ու արդիականացման և պահուստային կարգավարական կառավարման կենտրոնի կառուցման աշխատանքներն ավարտվել են սահմանված ժամկետում՝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հունիսին, և իրականացվել են նախատեսված բոլոր վճարումները։ Հաշվետու ժամանակահատվածում </w:t>
      </w:r>
      <w:r w:rsidRPr="001F63BA">
        <w:rPr>
          <w:rFonts w:ascii="GHEA Grapalat" w:hAnsi="GHEA Grapalat"/>
          <w:sz w:val="22"/>
          <w:szCs w:val="22"/>
          <w:lang w:val="en-US"/>
        </w:rPr>
        <w:t>ծ</w:t>
      </w:r>
      <w:r w:rsidRPr="001F63BA">
        <w:rPr>
          <w:rFonts w:ascii="GHEA Grapalat" w:hAnsi="GHEA Grapalat"/>
          <w:sz w:val="22"/>
          <w:szCs w:val="22"/>
        </w:rPr>
        <w:t>րագրի շրջանակներում իրականացվել են մոտ 739</w:t>
      </w:r>
      <w:r w:rsidRPr="001F63BA">
        <w:rPr>
          <w:rFonts w:ascii="GHEA Grapalat" w:hAnsi="GHEA Grapalat"/>
          <w:sz w:val="22"/>
          <w:szCs w:val="22"/>
          <w:lang w:val="en-US"/>
        </w:rPr>
        <w:t>.</w:t>
      </w:r>
      <w:r w:rsidRPr="001F63BA">
        <w:rPr>
          <w:rFonts w:ascii="GHEA Grapalat" w:hAnsi="GHEA Grapalat"/>
          <w:sz w:val="22"/>
          <w:szCs w:val="22"/>
        </w:rPr>
        <w:t>6 հազ</w:t>
      </w:r>
      <w:r w:rsidRPr="001F63BA">
        <w:rPr>
          <w:rFonts w:ascii="GHEA Grapalat" w:hAnsi="GHEA Grapalat"/>
          <w:sz w:val="22"/>
          <w:szCs w:val="22"/>
          <w:lang w:val="en-US"/>
        </w:rPr>
        <w:t>.</w:t>
      </w:r>
      <w:r w:rsidRPr="001F63BA">
        <w:rPr>
          <w:rFonts w:ascii="GHEA Grapalat" w:hAnsi="GHEA Grapalat"/>
          <w:sz w:val="22"/>
          <w:szCs w:val="22"/>
        </w:rPr>
        <w:t xml:space="preserve"> ԱՄՆ դոլարի աշխատանքներ:</w:t>
      </w:r>
    </w:p>
    <w:p w:rsidR="001C411D" w:rsidRPr="001F63BA" w:rsidRDefault="001C411D" w:rsidP="00994CF2">
      <w:pPr>
        <w:spacing w:line="360" w:lineRule="auto"/>
        <w:ind w:firstLine="567"/>
        <w:jc w:val="both"/>
        <w:rPr>
          <w:rFonts w:ascii="GHEA Grapalat" w:hAnsi="GHEA Grapalat"/>
          <w:sz w:val="22"/>
          <w:szCs w:val="22"/>
        </w:rPr>
      </w:pPr>
      <w:r w:rsidRPr="001F63BA">
        <w:rPr>
          <w:rFonts w:ascii="GHEA Grapalat" w:hAnsi="GHEA Grapalat"/>
          <w:sz w:val="22"/>
          <w:szCs w:val="22"/>
        </w:rPr>
        <w:t>Հայկական ԱԷԿ-ի երկրորդ էներգաբլոկի շահագործման նախագծային ժամկետի երկարաձգ</w:t>
      </w:r>
      <w:r w:rsidRPr="001F63BA">
        <w:rPr>
          <w:rFonts w:ascii="GHEA Grapalat" w:hAnsi="GHEA Grapalat"/>
          <w:sz w:val="22"/>
          <w:szCs w:val="22"/>
          <w:lang w:val="en-US"/>
        </w:rPr>
        <w:t>ման</w:t>
      </w:r>
      <w:r w:rsidRPr="001F63BA">
        <w:rPr>
          <w:rFonts w:ascii="GHEA Grapalat" w:hAnsi="GHEA Grapalat"/>
          <w:sz w:val="22"/>
          <w:szCs w:val="22"/>
        </w:rPr>
        <w:t xml:space="preserve"> և արդիականաց</w:t>
      </w:r>
      <w:r w:rsidRPr="001F63BA">
        <w:rPr>
          <w:rFonts w:ascii="GHEA Grapalat" w:hAnsi="GHEA Grapalat"/>
          <w:sz w:val="22"/>
          <w:szCs w:val="22"/>
          <w:lang w:val="en-US"/>
        </w:rPr>
        <w:t>ման</w:t>
      </w:r>
      <w:r w:rsidRPr="001F63BA">
        <w:rPr>
          <w:rFonts w:ascii="GHEA Grapalat" w:hAnsi="GHEA Grapalat"/>
          <w:sz w:val="22"/>
          <w:szCs w:val="22"/>
        </w:rPr>
        <w:t xml:space="preserve"> ծրագրի շրջանակներում Հայկական ԱԷԿ-ի շահագործման ժամկետի երկարացման աշխատանքների ֆինանսավորման նպատակով ՀՀ կառավարությունը 11.06.2020թ. ընդունել է </w:t>
      </w:r>
      <w:r w:rsidRPr="001F63BA">
        <w:rPr>
          <w:rFonts w:ascii="GHEA Grapalat" w:hAnsi="GHEA Grapalat"/>
          <w:sz w:val="22"/>
          <w:szCs w:val="22"/>
          <w:lang w:val="en-US"/>
        </w:rPr>
        <w:t>N</w:t>
      </w:r>
      <w:r w:rsidRPr="001F63BA">
        <w:rPr>
          <w:rFonts w:ascii="GHEA Grapalat" w:hAnsi="GHEA Grapalat"/>
          <w:sz w:val="22"/>
          <w:szCs w:val="22"/>
        </w:rPr>
        <w:t xml:space="preserve"> 953-Ն որոշումը, որի համաձայն՝ «Հայկական ատոմային էլեկտրակայան» ՓԲ ընկերությանը 2020-2022թթ. ընթացքում ՀՀ պետական բյուջեից տրամադրվելու է 63</w:t>
      </w:r>
      <w:r w:rsidRPr="001F63BA">
        <w:rPr>
          <w:rFonts w:ascii="GHEA Grapalat" w:hAnsi="GHEA Grapalat"/>
          <w:sz w:val="22"/>
          <w:szCs w:val="22"/>
          <w:lang w:val="en-US"/>
        </w:rPr>
        <w:t>.</w:t>
      </w:r>
      <w:r w:rsidRPr="001F63BA">
        <w:rPr>
          <w:rFonts w:ascii="GHEA Grapalat" w:hAnsi="GHEA Grapalat"/>
          <w:sz w:val="22"/>
          <w:szCs w:val="22"/>
        </w:rPr>
        <w:t>2 մլրդ դրամ գումարի չափով բյուջետային վարկ։ Պայմանավորված նախկինում COVID-19-ի համավարակով, ռուս-ուկրաինական պատերազմի արդյունքում առաջացած արտադրական, լոգիստիկ և պատժամիջոցային սահմանափակումներով</w:t>
      </w:r>
      <w:r w:rsidRPr="001F63BA">
        <w:rPr>
          <w:rFonts w:ascii="GHEA Grapalat" w:hAnsi="GHEA Grapalat"/>
          <w:sz w:val="22"/>
          <w:szCs w:val="22"/>
          <w:lang w:val="en-US"/>
        </w:rPr>
        <w:t>, ծ</w:t>
      </w:r>
      <w:r w:rsidRPr="001F63BA">
        <w:rPr>
          <w:rFonts w:ascii="GHEA Grapalat" w:hAnsi="GHEA Grapalat"/>
          <w:sz w:val="22"/>
          <w:szCs w:val="22"/>
        </w:rPr>
        <w:t xml:space="preserve">րագրի իրականացման մրցութային գործընթացների երկարաձգմամբ, ինչպես նաև որոշ սարքավորումների արդիականացման տեխնիկական պահանջների փոփոխմամբ՝ </w:t>
      </w:r>
      <w:r w:rsidRPr="001F63BA">
        <w:rPr>
          <w:rFonts w:ascii="GHEA Grapalat" w:hAnsi="GHEA Grapalat"/>
          <w:sz w:val="22"/>
          <w:szCs w:val="22"/>
          <w:lang w:val="en-US"/>
        </w:rPr>
        <w:t>ո</w:t>
      </w:r>
      <w:r w:rsidRPr="001F63BA">
        <w:rPr>
          <w:rFonts w:ascii="GHEA Grapalat" w:hAnsi="GHEA Grapalat"/>
          <w:sz w:val="22"/>
          <w:szCs w:val="22"/>
        </w:rPr>
        <w:t>րոշման մեջ ՀՀ կառավարության 01</w:t>
      </w:r>
      <w:r w:rsidRPr="001F63BA">
        <w:rPr>
          <w:rFonts w:ascii="GHEA Grapalat" w:hAnsi="GHEA Grapalat"/>
          <w:sz w:val="22"/>
          <w:szCs w:val="22"/>
          <w:lang w:val="en-US"/>
        </w:rPr>
        <w:t>.</w:t>
      </w:r>
      <w:r w:rsidRPr="001F63BA">
        <w:rPr>
          <w:rFonts w:ascii="GHEA Grapalat" w:hAnsi="GHEA Grapalat"/>
          <w:sz w:val="22"/>
          <w:szCs w:val="22"/>
        </w:rPr>
        <w:t>12</w:t>
      </w:r>
      <w:r w:rsidRPr="001F63BA">
        <w:rPr>
          <w:rFonts w:ascii="GHEA Grapalat" w:hAnsi="GHEA Grapalat"/>
          <w:sz w:val="22"/>
          <w:szCs w:val="22"/>
          <w:lang w:val="en-US"/>
        </w:rPr>
        <w:t>.</w:t>
      </w:r>
      <w:r w:rsidRPr="001F63BA">
        <w:rPr>
          <w:rFonts w:ascii="GHEA Grapalat" w:hAnsi="GHEA Grapalat"/>
          <w:sz w:val="22"/>
          <w:szCs w:val="22"/>
        </w:rPr>
        <w:t>2022թ</w:t>
      </w:r>
      <w:r w:rsidRPr="001F63BA">
        <w:rPr>
          <w:rFonts w:ascii="GHEA Grapalat" w:hAnsi="GHEA Grapalat"/>
          <w:sz w:val="22"/>
          <w:szCs w:val="22"/>
          <w:lang w:val="en-US"/>
        </w:rPr>
        <w:t>.</w:t>
      </w:r>
      <w:r w:rsidRPr="001F63BA">
        <w:rPr>
          <w:rFonts w:ascii="GHEA Grapalat" w:hAnsi="GHEA Grapalat"/>
          <w:sz w:val="22"/>
          <w:szCs w:val="22"/>
        </w:rPr>
        <w:t xml:space="preserve"> </w:t>
      </w:r>
      <w:r w:rsidRPr="001F63BA">
        <w:rPr>
          <w:rFonts w:ascii="GHEA Grapalat" w:hAnsi="GHEA Grapalat"/>
          <w:sz w:val="22"/>
          <w:szCs w:val="22"/>
          <w:lang w:val="en-US"/>
        </w:rPr>
        <w:t>N</w:t>
      </w:r>
      <w:r w:rsidRPr="001F63BA">
        <w:rPr>
          <w:rFonts w:ascii="Courier New" w:hAnsi="Courier New" w:cs="Courier New"/>
          <w:sz w:val="22"/>
          <w:szCs w:val="22"/>
          <w:lang w:val="en-US"/>
        </w:rPr>
        <w:t> </w:t>
      </w:r>
      <w:r w:rsidRPr="001F63BA">
        <w:rPr>
          <w:rFonts w:ascii="GHEA Grapalat" w:hAnsi="GHEA Grapalat"/>
          <w:sz w:val="22"/>
          <w:szCs w:val="22"/>
        </w:rPr>
        <w:t>1829</w:t>
      </w:r>
      <w:r w:rsidRPr="001F63BA">
        <w:rPr>
          <w:rFonts w:ascii="GHEA Grapalat" w:hAnsi="GHEA Grapalat"/>
          <w:sz w:val="22"/>
          <w:szCs w:val="22"/>
          <w:lang w:val="en-US"/>
        </w:rPr>
        <w:noBreakHyphen/>
      </w:r>
      <w:r w:rsidRPr="001F63BA">
        <w:rPr>
          <w:rFonts w:ascii="GHEA Grapalat" w:hAnsi="GHEA Grapalat"/>
          <w:sz w:val="22"/>
          <w:szCs w:val="22"/>
        </w:rPr>
        <w:t xml:space="preserve">Ն որոշմամբ կատարվել են փոփոխություններ, որի համաձայն </w:t>
      </w:r>
      <w:r w:rsidRPr="001F63BA">
        <w:rPr>
          <w:rFonts w:ascii="GHEA Grapalat" w:hAnsi="GHEA Grapalat"/>
          <w:sz w:val="22"/>
          <w:szCs w:val="22"/>
          <w:lang w:val="en-US"/>
        </w:rPr>
        <w:t>ը</w:t>
      </w:r>
      <w:r w:rsidRPr="001F63BA">
        <w:rPr>
          <w:rFonts w:ascii="GHEA Grapalat" w:hAnsi="GHEA Grapalat"/>
          <w:sz w:val="22"/>
          <w:szCs w:val="22"/>
        </w:rPr>
        <w:t>նկերությանը 2020-2022թթ. ընթացքում ՀՀ պետական բյուջեից տրամադրվող բյուջետային վարկի ժամկետները տեղափոխ</w:t>
      </w:r>
      <w:r w:rsidRPr="001F63BA">
        <w:rPr>
          <w:rFonts w:ascii="GHEA Grapalat" w:hAnsi="GHEA Grapalat"/>
          <w:sz w:val="22"/>
          <w:szCs w:val="22"/>
          <w:lang w:val="en-US"/>
        </w:rPr>
        <w:t>վ</w:t>
      </w:r>
      <w:r w:rsidRPr="001F63BA">
        <w:rPr>
          <w:rFonts w:ascii="GHEA Grapalat" w:hAnsi="GHEA Grapalat"/>
          <w:sz w:val="22"/>
          <w:szCs w:val="22"/>
        </w:rPr>
        <w:t xml:space="preserve">ել են 2020-2025թթ.։ Իրականացվում են արդիականացման և շահագործման ժամկետի երկարաձգման </w:t>
      </w:r>
      <w:r w:rsidRPr="001F63BA">
        <w:rPr>
          <w:rFonts w:ascii="GHEA Grapalat" w:hAnsi="GHEA Grapalat"/>
          <w:sz w:val="22"/>
          <w:szCs w:val="22"/>
          <w:lang w:val="en-US"/>
        </w:rPr>
        <w:t>ծ</w:t>
      </w:r>
      <w:r w:rsidRPr="001F63BA">
        <w:rPr>
          <w:rFonts w:ascii="GHEA Grapalat" w:hAnsi="GHEA Grapalat"/>
          <w:sz w:val="22"/>
          <w:szCs w:val="22"/>
        </w:rPr>
        <w:t>րագրով նախատեսված աշխատանքները, ինչպես նաև կազմակերպվում են մրցութային գործընթացներ՝ 2023</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և հետագա տարիների աշխատանքների իրականացման համար: Հաշվետու ժամանակահատվածում ծրագրի շրջանակներում իրականացվել են մոտ 16 մլրդ ՀՀ դրամի վճարումներ: Կատարված վճարումները համարվում են 2021</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հատկացված բյուջետային վարկի մնացորդներ։</w:t>
      </w:r>
    </w:p>
    <w:p w:rsidR="001C411D" w:rsidRPr="001F63BA" w:rsidRDefault="001C411D" w:rsidP="00994CF2">
      <w:pPr>
        <w:spacing w:line="360" w:lineRule="auto"/>
        <w:ind w:firstLine="567"/>
        <w:jc w:val="both"/>
        <w:rPr>
          <w:rFonts w:ascii="GHEA Grapalat" w:hAnsi="GHEA Grapalat"/>
          <w:sz w:val="22"/>
          <w:szCs w:val="22"/>
        </w:rPr>
      </w:pPr>
      <w:r w:rsidRPr="001F63BA">
        <w:rPr>
          <w:rFonts w:ascii="GHEA Grapalat" w:hAnsi="GHEA Grapalat"/>
          <w:sz w:val="22"/>
          <w:szCs w:val="22"/>
        </w:rPr>
        <w:t>Հայկական ԱԷԿ-ի արդիականացման աշխատանքների արդյունքում կայանը կշահագործվի մինչև 2026</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վականը</w:t>
      </w:r>
      <w:r w:rsidRPr="001F63BA">
        <w:rPr>
          <w:rFonts w:ascii="GHEA Grapalat" w:hAnsi="GHEA Grapalat"/>
          <w:sz w:val="22"/>
          <w:szCs w:val="22"/>
        </w:rPr>
        <w:t>։ 1995</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 xml:space="preserve">ից ի վեր առաջին անգամ ՀԱԷԿ-ն աշխատում է 100% ջերմային հզորությամբ 92%-ի փոխարեն։ Մեկնարկել են Հայկական ԱԷԿ-ի 2-րդ էներգաբլոկի շահագործման նախագծային ժամկետի կրկնակի երկարաձգման 2026-2036թթ նպատակով նախապատրաստական աշխատանքները, ինչպես նաև իրականացվում են Հայաստանում նոր </w:t>
      </w:r>
      <w:r w:rsidRPr="001F63BA">
        <w:rPr>
          <w:rFonts w:ascii="GHEA Grapalat" w:hAnsi="GHEA Grapalat"/>
          <w:sz w:val="22"/>
          <w:szCs w:val="22"/>
        </w:rPr>
        <w:lastRenderedPageBreak/>
        <w:t>միջուկային էներգաբլոկ կառուցելու նպատակով տեխնիկատնտեսական հիմնավորման մշակման աշխատանքներ։</w:t>
      </w:r>
    </w:p>
    <w:p w:rsidR="001C411D" w:rsidRPr="001F63BA" w:rsidRDefault="001C411D" w:rsidP="00DD13C0">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Հայաստան-Վրաստան 400 կՎ լարման էլեկտրահաղորդման օդային գծի և համապատասխան ենթակայանների կառուցման ծրագրի շրջանակներում </w:t>
      </w:r>
      <w:r w:rsidRPr="001F63BA">
        <w:rPr>
          <w:rFonts w:ascii="GHEA Grapalat" w:hAnsi="GHEA Grapalat"/>
          <w:sz w:val="22"/>
          <w:szCs w:val="22"/>
          <w:lang w:val="en-US"/>
        </w:rPr>
        <w:t>ծ</w:t>
      </w:r>
      <w:r w:rsidRPr="001F63BA">
        <w:rPr>
          <w:rFonts w:ascii="GHEA Grapalat" w:hAnsi="GHEA Grapalat"/>
          <w:sz w:val="22"/>
          <w:szCs w:val="22"/>
        </w:rPr>
        <w:t xml:space="preserve">րագրի խորհրդատու «Fichtner GmbH &amp; Co.KG» ընկերության կողմից պատրաստվել են երեք լոտերով </w:t>
      </w:r>
      <w:r w:rsidRPr="001F63BA">
        <w:rPr>
          <w:rFonts w:ascii="GHEA Grapalat" w:hAnsi="GHEA Grapalat"/>
          <w:sz w:val="22"/>
          <w:szCs w:val="22"/>
          <w:lang w:val="en-US"/>
        </w:rPr>
        <w:t>ծ</w:t>
      </w:r>
      <w:r w:rsidRPr="001F63BA">
        <w:rPr>
          <w:rFonts w:ascii="GHEA Grapalat" w:hAnsi="GHEA Grapalat"/>
          <w:sz w:val="22"/>
          <w:szCs w:val="22"/>
        </w:rPr>
        <w:t xml:space="preserve">րագրի գլխավոր կապալառուների ընտրության մրցութային փաստաթղթերի փաթեթների նախագծերը, որոնք սահմանված կարգով </w:t>
      </w:r>
      <w:r w:rsidRPr="001F63BA">
        <w:rPr>
          <w:rFonts w:ascii="GHEA Grapalat" w:hAnsi="GHEA Grapalat"/>
          <w:sz w:val="22"/>
          <w:szCs w:val="22"/>
          <w:lang w:val="en-US"/>
        </w:rPr>
        <w:t>ծ</w:t>
      </w:r>
      <w:r w:rsidRPr="001F63BA">
        <w:rPr>
          <w:rFonts w:ascii="GHEA Grapalat" w:hAnsi="GHEA Grapalat"/>
          <w:sz w:val="22"/>
          <w:szCs w:val="22"/>
        </w:rPr>
        <w:t>րագիրն իրականացնող «Բարձրավոլտ էլեկտրացանցեր» ՓԲԸ կողմից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նոյեմբերի 10-ին ներկայացվել է </w:t>
      </w:r>
      <w:r w:rsidRPr="001F63BA">
        <w:rPr>
          <w:rFonts w:ascii="GHEA Grapalat" w:hAnsi="GHEA Grapalat"/>
          <w:sz w:val="22"/>
          <w:szCs w:val="22"/>
          <w:lang w:val="en-US"/>
        </w:rPr>
        <w:t>բ</w:t>
      </w:r>
      <w:r w:rsidRPr="001F63BA">
        <w:rPr>
          <w:rFonts w:ascii="GHEA Grapalat" w:hAnsi="GHEA Grapalat"/>
          <w:sz w:val="22"/>
          <w:szCs w:val="22"/>
        </w:rPr>
        <w:t>անկի վերջնական հաստատմանը: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նոյեմբերի 16-ին </w:t>
      </w:r>
      <w:r w:rsidRPr="001F63BA">
        <w:rPr>
          <w:rFonts w:ascii="GHEA Grapalat" w:hAnsi="GHEA Grapalat"/>
          <w:sz w:val="22"/>
          <w:szCs w:val="22"/>
          <w:lang w:val="en-US"/>
        </w:rPr>
        <w:t>խ</w:t>
      </w:r>
      <w:r w:rsidRPr="001F63BA">
        <w:rPr>
          <w:rFonts w:ascii="GHEA Grapalat" w:hAnsi="GHEA Grapalat"/>
          <w:sz w:val="22"/>
          <w:szCs w:val="22"/>
        </w:rPr>
        <w:t xml:space="preserve">որհրդատուն տեղեկացրել է </w:t>
      </w:r>
      <w:r w:rsidRPr="001F63BA">
        <w:rPr>
          <w:rFonts w:ascii="GHEA Grapalat" w:hAnsi="GHEA Grapalat"/>
          <w:sz w:val="22"/>
          <w:szCs w:val="22"/>
          <w:lang w:val="en-US"/>
        </w:rPr>
        <w:t>ը</w:t>
      </w:r>
      <w:r w:rsidRPr="001F63BA">
        <w:rPr>
          <w:rFonts w:ascii="GHEA Grapalat" w:hAnsi="GHEA Grapalat"/>
          <w:sz w:val="22"/>
          <w:szCs w:val="22"/>
        </w:rPr>
        <w:t>նկերությանը, որ 2016</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հաշվարկված </w:t>
      </w:r>
      <w:r w:rsidRPr="001F63BA">
        <w:rPr>
          <w:rFonts w:ascii="GHEA Grapalat" w:hAnsi="GHEA Grapalat"/>
          <w:sz w:val="22"/>
          <w:szCs w:val="22"/>
          <w:lang w:val="en-US"/>
        </w:rPr>
        <w:t>ծ</w:t>
      </w:r>
      <w:r w:rsidRPr="001F63BA">
        <w:rPr>
          <w:rFonts w:ascii="GHEA Grapalat" w:hAnsi="GHEA Grapalat"/>
          <w:sz w:val="22"/>
          <w:szCs w:val="22"/>
        </w:rPr>
        <w:t>րագրի բյուջեն (234</w:t>
      </w:r>
      <w:r w:rsidRPr="001F63BA">
        <w:rPr>
          <w:rFonts w:ascii="Courier New" w:hAnsi="Courier New" w:cs="Courier New"/>
          <w:sz w:val="22"/>
          <w:szCs w:val="22"/>
          <w:lang w:val="en-US"/>
        </w:rPr>
        <w:t> </w:t>
      </w:r>
      <w:r w:rsidRPr="001F63BA">
        <w:rPr>
          <w:rFonts w:ascii="GHEA Grapalat" w:hAnsi="GHEA Grapalat"/>
          <w:sz w:val="22"/>
          <w:szCs w:val="22"/>
        </w:rPr>
        <w:t xml:space="preserve">մլն եվրո) այլևս արդի չէ՝ բարձր լարման հաստատուն հոսանքի շուկայի զարգացման, հումքի գների բարձրացման, տարածաշրջանային ճգնաժամի, համաշխարհային ֆինանսական շուկայի և գնաճի հետ կապված, մինչդեռ </w:t>
      </w:r>
      <w:r w:rsidRPr="001F63BA">
        <w:rPr>
          <w:rFonts w:ascii="GHEA Grapalat" w:hAnsi="GHEA Grapalat"/>
          <w:sz w:val="22"/>
          <w:szCs w:val="22"/>
          <w:lang w:val="en-US"/>
        </w:rPr>
        <w:t>ծ</w:t>
      </w:r>
      <w:r w:rsidRPr="001F63BA">
        <w:rPr>
          <w:rFonts w:ascii="GHEA Grapalat" w:hAnsi="GHEA Grapalat"/>
          <w:sz w:val="22"/>
          <w:szCs w:val="22"/>
        </w:rPr>
        <w:t>րագրի շրջանակներում վարկային և դրամաշնորհային համաձայնագրերով հատկացված միջոցները կազմում են 188</w:t>
      </w:r>
      <w:r w:rsidRPr="001F63BA">
        <w:rPr>
          <w:rFonts w:ascii="GHEA Grapalat" w:hAnsi="GHEA Grapalat"/>
          <w:sz w:val="22"/>
          <w:szCs w:val="22"/>
          <w:lang w:val="en-US"/>
        </w:rPr>
        <w:t>.</w:t>
      </w:r>
      <w:r w:rsidRPr="001F63BA">
        <w:rPr>
          <w:rFonts w:ascii="GHEA Grapalat" w:hAnsi="GHEA Grapalat"/>
          <w:sz w:val="22"/>
          <w:szCs w:val="22"/>
        </w:rPr>
        <w:t xml:space="preserve">75 մլն եվրո (ներառյալ </w:t>
      </w:r>
      <w:r w:rsidRPr="001F63BA">
        <w:rPr>
          <w:rFonts w:ascii="GHEA Grapalat" w:hAnsi="GHEA Grapalat"/>
          <w:sz w:val="22"/>
          <w:szCs w:val="22"/>
          <w:lang w:val="en-US"/>
        </w:rPr>
        <w:t>խ</w:t>
      </w:r>
      <w:r w:rsidRPr="001F63BA">
        <w:rPr>
          <w:rFonts w:ascii="GHEA Grapalat" w:hAnsi="GHEA Grapalat"/>
          <w:sz w:val="22"/>
          <w:szCs w:val="22"/>
        </w:rPr>
        <w:t>որհրդատուի և տեխնիկական աջակցության 5</w:t>
      </w:r>
      <w:r w:rsidRPr="001F63BA">
        <w:rPr>
          <w:rFonts w:ascii="GHEA Grapalat" w:hAnsi="GHEA Grapalat"/>
          <w:sz w:val="22"/>
          <w:szCs w:val="22"/>
          <w:lang w:val="en-US"/>
        </w:rPr>
        <w:t>.</w:t>
      </w:r>
      <w:r w:rsidRPr="001F63BA">
        <w:rPr>
          <w:rFonts w:ascii="GHEA Grapalat" w:hAnsi="GHEA Grapalat"/>
          <w:sz w:val="22"/>
          <w:szCs w:val="22"/>
        </w:rPr>
        <w:t xml:space="preserve">87 մլն եվրո գումարը): Խորհրդատուն իրականացրել է </w:t>
      </w:r>
      <w:r w:rsidRPr="001F63BA">
        <w:rPr>
          <w:rFonts w:ascii="GHEA Grapalat" w:hAnsi="GHEA Grapalat"/>
          <w:sz w:val="22"/>
          <w:szCs w:val="22"/>
          <w:lang w:val="en-US"/>
        </w:rPr>
        <w:t>ծ</w:t>
      </w:r>
      <w:r w:rsidRPr="001F63BA">
        <w:rPr>
          <w:rFonts w:ascii="GHEA Grapalat" w:hAnsi="GHEA Grapalat"/>
          <w:sz w:val="22"/>
          <w:szCs w:val="22"/>
        </w:rPr>
        <w:t xml:space="preserve">րագրի իրականացման շատ մոտավոր վերահաշվարկ, որը կազմում է 335 մլն եվրո (առանց խորհրդատվական ծախսերի): Խորհրդատուի կատարած ծախսերի մոտավոր գնահատման մասով իր կարծիքն է հայտնել նաև </w:t>
      </w:r>
      <w:r w:rsidRPr="001F63BA">
        <w:rPr>
          <w:rFonts w:ascii="GHEA Grapalat" w:hAnsi="GHEA Grapalat"/>
          <w:sz w:val="22"/>
          <w:szCs w:val="22"/>
          <w:lang w:val="en-US"/>
        </w:rPr>
        <w:t>բ</w:t>
      </w:r>
      <w:r w:rsidRPr="001F63BA">
        <w:rPr>
          <w:rFonts w:ascii="GHEA Grapalat" w:hAnsi="GHEA Grapalat"/>
          <w:sz w:val="22"/>
          <w:szCs w:val="22"/>
        </w:rPr>
        <w:t xml:space="preserve">անկը, որի համաձայն՝ անհրաժեշտ է մրցութային գործընթացի շարունակմանը զուգահեռ սկսել գործընթացներ ֆինանսավորման բացը լրացնելու նպատակով: Բանկը տեղեկացրել է նաև, որ </w:t>
      </w:r>
      <w:r w:rsidRPr="001F63BA">
        <w:rPr>
          <w:rFonts w:ascii="GHEA Grapalat" w:hAnsi="GHEA Grapalat"/>
          <w:sz w:val="22"/>
          <w:szCs w:val="22"/>
          <w:lang w:val="en-US"/>
        </w:rPr>
        <w:t>ծ</w:t>
      </w:r>
      <w:r w:rsidRPr="001F63BA">
        <w:rPr>
          <w:rFonts w:ascii="GHEA Grapalat" w:hAnsi="GHEA Grapalat"/>
          <w:sz w:val="22"/>
          <w:szCs w:val="22"/>
        </w:rPr>
        <w:t xml:space="preserve">րագրի համար լրացուցիչ ֆինանսավորում տրամադրելու հարցում արդեն իրենց հետաքրքրությունն են հայտնել Համաշխարհային բանկը և Զարգացման ֆրանսիական գործակալությունը: ՄՓՓ-ները սահմանված կարգով </w:t>
      </w:r>
      <w:r w:rsidRPr="001F63BA">
        <w:rPr>
          <w:rFonts w:ascii="GHEA Grapalat" w:hAnsi="GHEA Grapalat"/>
          <w:sz w:val="22"/>
          <w:szCs w:val="22"/>
          <w:lang w:val="en-US"/>
        </w:rPr>
        <w:t>բ</w:t>
      </w:r>
      <w:r w:rsidRPr="001F63BA">
        <w:rPr>
          <w:rFonts w:ascii="GHEA Grapalat" w:hAnsi="GHEA Grapalat"/>
          <w:sz w:val="22"/>
          <w:szCs w:val="22"/>
        </w:rPr>
        <w:t xml:space="preserve">անկի և </w:t>
      </w:r>
      <w:r w:rsidRPr="001F63BA">
        <w:rPr>
          <w:rFonts w:ascii="GHEA Grapalat" w:hAnsi="GHEA Grapalat"/>
          <w:sz w:val="22"/>
          <w:szCs w:val="22"/>
          <w:lang w:val="en-US"/>
        </w:rPr>
        <w:t>ՏԿԵՆ</w:t>
      </w:r>
      <w:r w:rsidRPr="001F63BA">
        <w:rPr>
          <w:rFonts w:ascii="GHEA Grapalat" w:hAnsi="GHEA Grapalat"/>
          <w:sz w:val="22"/>
          <w:szCs w:val="22"/>
        </w:rPr>
        <w:t xml:space="preserve"> վարկային և դրամաշնորհային ծրագրերի կառավարման խորհրդի հաստատումից հետո հայտերի ներկայացման նպատակով կտրամադրվեն նախաորակավորված հայտատուներին: Հաշվետու ժամանակահատվածում ծրագրի շրջանակներում իրականացվել են մոտ 177</w:t>
      </w:r>
      <w:r w:rsidRPr="001F63BA">
        <w:rPr>
          <w:rFonts w:ascii="GHEA Grapalat" w:hAnsi="GHEA Grapalat"/>
          <w:sz w:val="22"/>
          <w:szCs w:val="22"/>
          <w:lang w:val="en-US"/>
        </w:rPr>
        <w:t>.</w:t>
      </w:r>
      <w:r w:rsidRPr="001F63BA">
        <w:rPr>
          <w:rFonts w:ascii="GHEA Grapalat" w:hAnsi="GHEA Grapalat"/>
          <w:sz w:val="22"/>
          <w:szCs w:val="22"/>
        </w:rPr>
        <w:t>7 հազ. եվրոյի աշխատանքներ:</w:t>
      </w:r>
    </w:p>
    <w:p w:rsidR="001C411D" w:rsidRPr="001F63BA" w:rsidRDefault="001C411D" w:rsidP="007A3EE0">
      <w:pPr>
        <w:spacing w:line="360" w:lineRule="auto"/>
        <w:ind w:firstLine="567"/>
        <w:jc w:val="both"/>
        <w:rPr>
          <w:rFonts w:ascii="GHEA Grapalat" w:hAnsi="GHEA Grapalat"/>
          <w:sz w:val="22"/>
          <w:szCs w:val="22"/>
        </w:rPr>
      </w:pPr>
      <w:r w:rsidRPr="001F63BA">
        <w:rPr>
          <w:rFonts w:ascii="GHEA Grapalat" w:hAnsi="GHEA Grapalat"/>
          <w:sz w:val="22"/>
          <w:szCs w:val="22"/>
        </w:rPr>
        <w:t>Իրան-Հայաստան 400 կՎ լարման էլեկտրահաղորդման օդային գծի և ենթակայանի կառուցման ծրագրի շրջանակներում հաշվետու ժամանակահատվածում էլեկտրահաղորդման օդային գծում կատարվել են հենարանների հիմքերի բետոնացման և հենարանների մոտեցման</w:t>
      </w:r>
      <w:r w:rsidRPr="001F63BA">
        <w:rPr>
          <w:rFonts w:ascii="GHEA Grapalat" w:hAnsi="GHEA Grapalat"/>
          <w:sz w:val="22"/>
          <w:szCs w:val="22"/>
          <w:lang w:val="en-US"/>
        </w:rPr>
        <w:t>,</w:t>
      </w:r>
      <w:r w:rsidRPr="001F63BA">
        <w:rPr>
          <w:rFonts w:ascii="GHEA Grapalat" w:hAnsi="GHEA Grapalat"/>
          <w:sz w:val="22"/>
          <w:szCs w:val="22"/>
        </w:rPr>
        <w:t xml:space="preserve"> ճանապարհների կառուցման և սարքեր</w:t>
      </w:r>
      <w:r w:rsidRPr="001F63BA">
        <w:rPr>
          <w:rFonts w:ascii="GHEA Grapalat" w:hAnsi="GHEA Grapalat"/>
          <w:sz w:val="22"/>
          <w:szCs w:val="22"/>
          <w:lang w:val="en-US"/>
        </w:rPr>
        <w:t>ի ու</w:t>
      </w:r>
      <w:r w:rsidRPr="001F63BA">
        <w:rPr>
          <w:rFonts w:ascii="GHEA Grapalat" w:hAnsi="GHEA Grapalat"/>
          <w:sz w:val="22"/>
          <w:szCs w:val="22"/>
        </w:rPr>
        <w:t xml:space="preserve"> սարքավորումների ներկրման աշխատանքներ։ </w:t>
      </w:r>
      <w:r w:rsidRPr="001F63BA">
        <w:rPr>
          <w:rFonts w:ascii="GHEA Grapalat" w:hAnsi="GHEA Grapalat"/>
          <w:sz w:val="22"/>
          <w:szCs w:val="22"/>
          <w:lang w:val="en-US"/>
        </w:rPr>
        <w:t xml:space="preserve">Շինարարական աշխատանքներ են կատարվել նաև </w:t>
      </w:r>
      <w:r w:rsidRPr="001F63BA">
        <w:rPr>
          <w:rFonts w:ascii="GHEA Grapalat" w:hAnsi="GHEA Grapalat"/>
          <w:sz w:val="22"/>
          <w:szCs w:val="22"/>
        </w:rPr>
        <w:t xml:space="preserve">«Նորավան» ենթակայանում: Ծրագրի իրականացման ընթացքը քննարկվել է Իրանի Իսլամական Հանրապետության և Հայաստանի Հանրապետության միջկառավարական համատեղ հանձնաժողովի 17-րդ նիստում և փորձագիտական հանձնախմբերի հանդիպումների ընթացքում: Հաշվի առնելով, որ </w:t>
      </w:r>
      <w:r w:rsidRPr="001F63BA">
        <w:rPr>
          <w:rFonts w:ascii="GHEA Grapalat" w:hAnsi="GHEA Grapalat"/>
          <w:sz w:val="22"/>
          <w:szCs w:val="22"/>
          <w:lang w:val="en-US"/>
        </w:rPr>
        <w:t>ծ</w:t>
      </w:r>
      <w:r w:rsidRPr="001F63BA">
        <w:rPr>
          <w:rFonts w:ascii="GHEA Grapalat" w:hAnsi="GHEA Grapalat"/>
          <w:sz w:val="22"/>
          <w:szCs w:val="22"/>
        </w:rPr>
        <w:t xml:space="preserve">րագրի իրականացումը գտնվում է երկու երկրների </w:t>
      </w:r>
      <w:r w:rsidRPr="001F63BA">
        <w:rPr>
          <w:rFonts w:ascii="GHEA Grapalat" w:hAnsi="GHEA Grapalat"/>
          <w:sz w:val="22"/>
          <w:szCs w:val="22"/>
        </w:rPr>
        <w:lastRenderedPageBreak/>
        <w:t>համապատասխան նախարարությունների և միջկառավարական հանձնաժողովի անմիջական վերահսկողության ներքո՝ պայմանավորվածու</w:t>
      </w:r>
      <w:r w:rsidRPr="001F63BA">
        <w:rPr>
          <w:rFonts w:ascii="GHEA Grapalat" w:hAnsi="GHEA Grapalat"/>
          <w:sz w:val="22"/>
          <w:szCs w:val="22"/>
          <w:lang w:val="en-US"/>
        </w:rPr>
        <w:t>-</w:t>
      </w:r>
      <w:r w:rsidRPr="001F63BA">
        <w:rPr>
          <w:rFonts w:ascii="GHEA Grapalat" w:hAnsi="GHEA Grapalat"/>
          <w:sz w:val="22"/>
          <w:szCs w:val="22"/>
        </w:rPr>
        <w:t xml:space="preserve">թյուն է ձեռք բերվել յուրաքանչյուր եռամսյակ </w:t>
      </w:r>
      <w:r w:rsidRPr="001F63BA">
        <w:rPr>
          <w:rFonts w:ascii="GHEA Grapalat" w:hAnsi="GHEA Grapalat"/>
          <w:sz w:val="22"/>
          <w:szCs w:val="22"/>
          <w:lang w:val="en-US"/>
        </w:rPr>
        <w:t>ծ</w:t>
      </w:r>
      <w:r w:rsidRPr="001F63BA">
        <w:rPr>
          <w:rFonts w:ascii="GHEA Grapalat" w:hAnsi="GHEA Grapalat"/>
          <w:sz w:val="22"/>
          <w:szCs w:val="22"/>
        </w:rPr>
        <w:t>րագրի տեղանքում կազմակերպել աշխատանքների ընթացքի քննարկում ԻԻՀ էներգետիկայի նախարարի տեղակալի և ՀՀ տարածքային կառավարման և ենթակառուցվածքների նախարարի տեղակալի մասնակցությամբ և դրանց մասին զեկուցել միջկառավարական հանձնաժողովի համանախագահներին: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դեկտեմբերի 30-ին </w:t>
      </w:r>
      <w:r w:rsidRPr="001F63BA">
        <w:rPr>
          <w:rFonts w:ascii="GHEA Grapalat" w:hAnsi="GHEA Grapalat"/>
          <w:sz w:val="22"/>
          <w:szCs w:val="22"/>
          <w:lang w:val="en-US"/>
        </w:rPr>
        <w:t>ծ</w:t>
      </w:r>
      <w:r w:rsidRPr="001F63BA">
        <w:rPr>
          <w:rFonts w:ascii="GHEA Grapalat" w:hAnsi="GHEA Grapalat"/>
          <w:sz w:val="22"/>
          <w:szCs w:val="22"/>
        </w:rPr>
        <w:t xml:space="preserve">րագրի պատվիրատու «Բարձրավոլտ էլեկտրացանցեր» ՓԲԸ և </w:t>
      </w:r>
      <w:r w:rsidRPr="001F63BA">
        <w:rPr>
          <w:rFonts w:ascii="GHEA Grapalat" w:hAnsi="GHEA Grapalat"/>
          <w:sz w:val="22"/>
          <w:szCs w:val="22"/>
          <w:lang w:val="en-US"/>
        </w:rPr>
        <w:t>ծ</w:t>
      </w:r>
      <w:r w:rsidRPr="001F63BA">
        <w:rPr>
          <w:rFonts w:ascii="GHEA Grapalat" w:hAnsi="GHEA Grapalat"/>
          <w:sz w:val="22"/>
          <w:szCs w:val="22"/>
        </w:rPr>
        <w:t xml:space="preserve">րագրի կապալառու «Սանիր» ընկերության կողմից ստորագրվել է լրացուցիչ համաձայնագիր </w:t>
      </w:r>
      <w:r w:rsidRPr="001F63BA">
        <w:rPr>
          <w:rFonts w:ascii="GHEA Grapalat" w:hAnsi="GHEA Grapalat"/>
          <w:sz w:val="22"/>
          <w:szCs w:val="22"/>
          <w:lang w:val="en-US"/>
        </w:rPr>
        <w:t>N</w:t>
      </w:r>
      <w:r w:rsidRPr="001F63BA">
        <w:rPr>
          <w:rFonts w:ascii="GHEA Grapalat" w:hAnsi="GHEA Grapalat"/>
          <w:sz w:val="22"/>
          <w:szCs w:val="22"/>
        </w:rPr>
        <w:t xml:space="preserve"> 7-ը, ըստ որի կապալառուի հետ կնքված պայմանագրի գործողության ժամկետը երկարաձգվել է մինչև 2023</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դեկտեմբերի</w:t>
      </w:r>
      <w:r w:rsidRPr="001F63BA">
        <w:rPr>
          <w:rFonts w:ascii="GHEA Grapalat" w:hAnsi="GHEA Grapalat"/>
          <w:sz w:val="22"/>
          <w:szCs w:val="22"/>
          <w:lang w:val="en-US"/>
        </w:rPr>
        <w:t xml:space="preserve"> </w:t>
      </w:r>
      <w:r w:rsidRPr="001F63BA">
        <w:rPr>
          <w:rFonts w:ascii="GHEA Grapalat" w:hAnsi="GHEA Grapalat"/>
          <w:sz w:val="22"/>
          <w:szCs w:val="22"/>
        </w:rPr>
        <w:t xml:space="preserve">31-ը: Տեղի են ունեցել փոփոխություններ </w:t>
      </w:r>
      <w:r w:rsidRPr="001F63BA">
        <w:rPr>
          <w:rFonts w:ascii="GHEA Grapalat" w:hAnsi="GHEA Grapalat"/>
          <w:sz w:val="22"/>
          <w:szCs w:val="22"/>
          <w:lang w:val="en-US"/>
        </w:rPr>
        <w:t>պ</w:t>
      </w:r>
      <w:r w:rsidRPr="001F63BA">
        <w:rPr>
          <w:rFonts w:ascii="GHEA Grapalat" w:hAnsi="GHEA Grapalat"/>
          <w:sz w:val="22"/>
          <w:szCs w:val="22"/>
        </w:rPr>
        <w:t xml:space="preserve">այմանագրին կից գնացուցակի ապրանքների և աշխատանքների ծավալներում, որոնց արդյունքում </w:t>
      </w:r>
      <w:r w:rsidRPr="001F63BA">
        <w:rPr>
          <w:rFonts w:ascii="GHEA Grapalat" w:hAnsi="GHEA Grapalat"/>
          <w:sz w:val="22"/>
          <w:szCs w:val="22"/>
          <w:lang w:val="en-US"/>
        </w:rPr>
        <w:t>պ</w:t>
      </w:r>
      <w:r w:rsidRPr="001F63BA">
        <w:rPr>
          <w:rFonts w:ascii="GHEA Grapalat" w:hAnsi="GHEA Grapalat"/>
          <w:sz w:val="22"/>
          <w:szCs w:val="22"/>
        </w:rPr>
        <w:t xml:space="preserve">այմանագրի ընդհանուր գինը նվազել է 1,052,762.49 եվրոյով: Լրացուցիչ համաձայնագիր </w:t>
      </w:r>
      <w:r w:rsidRPr="001F63BA">
        <w:rPr>
          <w:rFonts w:ascii="GHEA Grapalat" w:hAnsi="GHEA Grapalat"/>
          <w:sz w:val="22"/>
          <w:szCs w:val="22"/>
          <w:lang w:val="en-US"/>
        </w:rPr>
        <w:t xml:space="preserve">N </w:t>
      </w:r>
      <w:r w:rsidRPr="001F63BA">
        <w:rPr>
          <w:rFonts w:ascii="GHEA Grapalat" w:hAnsi="GHEA Grapalat"/>
          <w:sz w:val="22"/>
          <w:szCs w:val="22"/>
        </w:rPr>
        <w:t xml:space="preserve">7-ով նախատեսվում է ժամանակացույցով սահմանված կետերի ժամկետների խախտման դեպքում տույժի կիրառում՝ ուշացած յուրաքանչյուր օրացուցային օրվա համար ժամանակացույցով սահմանված համապատասխան կետի աշխատանքի արժեքի 0,05%-ի չափով: Հաշվետու ժամանակահատվածում ծրագրի շրջանակներում իրականացվել են մոտ </w:t>
      </w:r>
      <w:r w:rsidRPr="001F63BA">
        <w:rPr>
          <w:rFonts w:ascii="GHEA Grapalat" w:hAnsi="GHEA Grapalat"/>
          <w:sz w:val="22"/>
          <w:szCs w:val="22"/>
          <w:lang w:val="en-US"/>
        </w:rPr>
        <w:t>3.</w:t>
      </w:r>
      <w:r w:rsidRPr="001F63BA">
        <w:rPr>
          <w:rFonts w:ascii="GHEA Grapalat" w:hAnsi="GHEA Grapalat"/>
          <w:sz w:val="22"/>
          <w:szCs w:val="22"/>
        </w:rPr>
        <w:t>5 մլն եվրոյի աշխատանքներ:</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386B88">
      <w:pPr>
        <w:pStyle w:val="Heading2"/>
        <w:spacing w:before="0"/>
      </w:pPr>
      <w:bookmarkStart w:id="24" w:name="_Toc132204203"/>
      <w:r w:rsidRPr="001F63BA">
        <w:t>Ընդերքի բնագավառ</w:t>
      </w:r>
      <w:bookmarkEnd w:id="24"/>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Ընդերքի օգտագործման գործընթացը կարգավորող, պետական կառավարումը և վերահսկողությունն ապահովող նորմատիվ իրավական ակտերի մշակման ապահովման նպատակով հաշվետու ժամանակահատվածում մշակվել և ընդունվել են հետևյալ իրավական ակտերը.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2022 </w:t>
      </w:r>
      <w:r w:rsidRPr="001F63BA">
        <w:rPr>
          <w:rFonts w:ascii="GHEA Grapalat" w:hAnsi="GHEA Grapalat"/>
          <w:sz w:val="22"/>
          <w:szCs w:val="22"/>
          <w:lang w:val="en-US"/>
        </w:rPr>
        <w:t>թվականի</w:t>
      </w:r>
      <w:r w:rsidRPr="001F63BA">
        <w:rPr>
          <w:rFonts w:ascii="GHEA Grapalat" w:hAnsi="GHEA Grapalat"/>
          <w:sz w:val="22"/>
          <w:szCs w:val="22"/>
        </w:rPr>
        <w:t xml:space="preserve"> մարտի 4-ի ««Հայաստանի Հանրապետության բյուջետային համակարգի մասին» օրենքում լրացումներ կատարելու մասին» ՀՕ-52-Ն և ««Տեղական ինքնակառավարման մասին» օրենքում լրացումներ կատարելու մասին» ՀՕ-53-Ն օրենքները,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մայիսի 25-ի «ՀՀ ընդերքի մասին օրենսգրքում փոփոխություններ և լրացումներ կատարելու մասին» ՀՕ-143-Ն օրենքը,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Համաշխարհային բանկի աջակցությամբ մշակվել և Վարչապետի աշխատակազմ է ներկայացվել Հանքարդյունաբերության ոլորտի զարգացման ռազմավարության նախագիծը։ </w:t>
      </w:r>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Հանքարդյունաբերության ոլորտի զարգացման ռազմավարության հիմնական նպատակն է ոլորտի կարգավորմանն ու առաջընթացին օժանդակելը, ինչպես նաև այն կօգնի ապահովել, որ հանքարդյունաբերությունն ունենա դրական և օրինաչափ դերակատարում Հայաստանի կայուն </w:t>
      </w:r>
      <w:r w:rsidRPr="001F63BA">
        <w:rPr>
          <w:rFonts w:ascii="GHEA Grapalat" w:hAnsi="GHEA Grapalat"/>
          <w:sz w:val="22"/>
          <w:szCs w:val="22"/>
        </w:rPr>
        <w:lastRenderedPageBreak/>
        <w:t>զարգացման և տնտեսական աճին նպաստելու հարցում: Այն միտված է տնտեսության երկարաժամկետ զարգացմանը, բնական ռեսուրսների արդյունավետ շահագործմանը, բնապահպանական և սոցիալական ռիսկերի կառավարմանն ու նվազեցմանը։</w:t>
      </w:r>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Ընթացքի մեջ են գտնվում մի շարք օրենսդրական փոփոխությունների նախաձեռնություններ։</w:t>
      </w:r>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01.01.2022թ</w:t>
      </w:r>
      <w:r w:rsidRPr="001F63BA">
        <w:rPr>
          <w:rFonts w:ascii="GHEA Grapalat" w:hAnsi="GHEA Grapalat"/>
          <w:sz w:val="22"/>
          <w:szCs w:val="22"/>
          <w:lang w:val="en-US"/>
        </w:rPr>
        <w:t>.</w:t>
      </w:r>
      <w:r w:rsidRPr="001F63BA">
        <w:rPr>
          <w:rFonts w:ascii="GHEA Grapalat" w:hAnsi="GHEA Grapalat"/>
          <w:sz w:val="22"/>
          <w:szCs w:val="22"/>
        </w:rPr>
        <w:t xml:space="preserve"> դրությամբ </w:t>
      </w:r>
      <w:r w:rsidRPr="001F63BA">
        <w:rPr>
          <w:rFonts w:ascii="GHEA Grapalat" w:hAnsi="GHEA Grapalat"/>
          <w:sz w:val="22"/>
          <w:szCs w:val="22"/>
          <w:lang w:val="en-US"/>
        </w:rPr>
        <w:t>ը</w:t>
      </w:r>
      <w:r w:rsidRPr="001F63BA">
        <w:rPr>
          <w:rFonts w:ascii="GHEA Grapalat" w:hAnsi="GHEA Grapalat"/>
          <w:sz w:val="22"/>
          <w:szCs w:val="22"/>
        </w:rPr>
        <w:t>նդերքաբանական փորձաքննության գործընթացում ներգրավված է եղել 8 հաշվետվություն: 2022 թվականի ընթացքում փոր</w:t>
      </w:r>
      <w:r w:rsidRPr="001F63BA">
        <w:rPr>
          <w:rFonts w:ascii="GHEA Grapalat" w:hAnsi="GHEA Grapalat"/>
          <w:sz w:val="22"/>
          <w:szCs w:val="22"/>
        </w:rPr>
        <w:softHyphen/>
      </w:r>
      <w:r w:rsidRPr="001F63BA">
        <w:rPr>
          <w:rFonts w:ascii="GHEA Grapalat" w:hAnsi="GHEA Grapalat"/>
          <w:sz w:val="22"/>
          <w:szCs w:val="22"/>
        </w:rPr>
        <w:softHyphen/>
        <w:t>ձաքննության է ներկայացվել օգտակար հանածոների հան</w:t>
      </w:r>
      <w:r w:rsidRPr="001F63BA">
        <w:rPr>
          <w:rFonts w:ascii="GHEA Grapalat" w:hAnsi="GHEA Grapalat"/>
          <w:sz w:val="22"/>
          <w:szCs w:val="22"/>
        </w:rPr>
        <w:softHyphen/>
        <w:t>քա</w:t>
      </w:r>
      <w:r w:rsidRPr="001F63BA">
        <w:rPr>
          <w:rFonts w:ascii="GHEA Grapalat" w:hAnsi="GHEA Grapalat"/>
          <w:sz w:val="22"/>
          <w:szCs w:val="22"/>
        </w:rPr>
        <w:softHyphen/>
        <w:t>վայրերի և (կամ) տեղամասերի պաշարների հաշվարկման (վերահաշվարկման) և (կամ) երկրա</w:t>
      </w:r>
      <w:r w:rsidRPr="001F63BA">
        <w:rPr>
          <w:rFonts w:ascii="GHEA Grapalat" w:hAnsi="GHEA Grapalat"/>
          <w:sz w:val="22"/>
          <w:szCs w:val="22"/>
        </w:rPr>
        <w:softHyphen/>
        <w:t>բա</w:t>
      </w:r>
      <w:r w:rsidRPr="001F63BA">
        <w:rPr>
          <w:rFonts w:ascii="GHEA Grapalat" w:hAnsi="GHEA Grapalat"/>
          <w:sz w:val="22"/>
          <w:szCs w:val="22"/>
        </w:rPr>
        <w:softHyphen/>
        <w:t>նատնտե</w:t>
      </w:r>
      <w:r w:rsidRPr="001F63BA">
        <w:rPr>
          <w:rFonts w:ascii="GHEA Grapalat" w:hAnsi="GHEA Grapalat"/>
          <w:sz w:val="22"/>
          <w:szCs w:val="22"/>
        </w:rPr>
        <w:softHyphen/>
        <w:t>սա</w:t>
      </w:r>
      <w:r w:rsidRPr="001F63BA">
        <w:rPr>
          <w:rFonts w:ascii="GHEA Grapalat" w:hAnsi="GHEA Grapalat"/>
          <w:sz w:val="22"/>
          <w:szCs w:val="22"/>
        </w:rPr>
        <w:softHyphen/>
        <w:t>գի</w:t>
      </w:r>
      <w:r w:rsidRPr="001F63BA">
        <w:rPr>
          <w:rFonts w:ascii="GHEA Grapalat" w:hAnsi="GHEA Grapalat"/>
          <w:sz w:val="22"/>
          <w:szCs w:val="22"/>
        </w:rPr>
        <w:softHyphen/>
        <w:t>տա</w:t>
      </w:r>
      <w:r w:rsidRPr="001F63BA">
        <w:rPr>
          <w:rFonts w:ascii="GHEA Grapalat" w:hAnsi="GHEA Grapalat"/>
          <w:sz w:val="22"/>
          <w:szCs w:val="22"/>
        </w:rPr>
        <w:softHyphen/>
        <w:t>կան գնահատման (վերագնահատման) աշխատանքների արդյունքների մասին 23 հաշվետվություն:</w:t>
      </w:r>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Հաշվետու ժամանակահատվածում նախարարի հրամանով հաստատվել են թվով 13 հանքավայրերի կոնդիցիաների պարամետրերը և (կամ) պաշարները</w:t>
      </w:r>
      <w:r w:rsidRPr="001F63BA">
        <w:rPr>
          <w:rFonts w:ascii="GHEA Grapalat" w:hAnsi="GHEA Grapalat"/>
          <w:sz w:val="22"/>
          <w:szCs w:val="22"/>
          <w:lang w:val="en-US"/>
        </w:rPr>
        <w:t>,</w:t>
      </w:r>
      <w:r w:rsidRPr="001F63BA">
        <w:rPr>
          <w:rFonts w:ascii="GHEA Grapalat" w:hAnsi="GHEA Grapalat"/>
          <w:sz w:val="22"/>
          <w:szCs w:val="22"/>
        </w:rPr>
        <w:t xml:space="preserve"> և չ</w:t>
      </w:r>
      <w:r w:rsidRPr="001F63BA">
        <w:rPr>
          <w:rFonts w:ascii="GHEA Grapalat" w:hAnsi="GHEA Grapalat"/>
          <w:sz w:val="22"/>
          <w:szCs w:val="22"/>
          <w:lang w:val="en-US"/>
        </w:rPr>
        <w:t>են</w:t>
      </w:r>
      <w:r w:rsidRPr="001F63BA">
        <w:rPr>
          <w:rFonts w:ascii="GHEA Grapalat" w:hAnsi="GHEA Grapalat"/>
          <w:sz w:val="22"/>
          <w:szCs w:val="22"/>
        </w:rPr>
        <w:t xml:space="preserve"> հաստատվել 1 հանքավայրի պաշարներ, հաստատվածներից 12-ը՝ ոչ մետաղական և 1-ը՝ հանքային ջրի (դրանցից 6-ը 2021 թվականին ներկայացված հաշվետվություններ են): Փորձաքննության տարբեր փուլերում են գտնվում թվով 17 հանքավայրերի և (կամ) տեղամասերի վերաբերյալ հաշվետվություններ:</w:t>
      </w:r>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Մեկ պատուհանի սկզբունքի կիրառմամբ 2022 թվականի ընթացքում տրամադրվել է 66 ընդերքօգտագործման իրավունք, որից 35-ը՝ օգտակար հանածոյի արդյունահանման նպատակով, 31-ը (որից 4-ը մետաղական)՝ երկրաբանական ուսումնասիրությունների նպատակով, ինչպես նաև մերժվել է ընդերքօգտագործման իրավունք հայցելու 40 հայտ:</w:t>
      </w:r>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Հայաստանի Հանրապետության տարածքից հանքային հումքի տեսակների արտահանման 8 գլխավոր լիցենզիա է տրամադրվել:</w:t>
      </w:r>
    </w:p>
    <w:p w:rsidR="001C411D" w:rsidRPr="001F63BA" w:rsidRDefault="001C411D" w:rsidP="00CC278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ՀՀ </w:t>
      </w:r>
      <w:r w:rsidRPr="001F63BA">
        <w:rPr>
          <w:rFonts w:ascii="GHEA Grapalat" w:hAnsi="GHEA Grapalat"/>
          <w:sz w:val="22"/>
          <w:szCs w:val="22"/>
          <w:lang w:val="en-US"/>
        </w:rPr>
        <w:t>ՏԿԵՆ</w:t>
      </w:r>
      <w:r w:rsidRPr="001F63BA">
        <w:rPr>
          <w:rFonts w:ascii="GHEA Grapalat" w:hAnsi="GHEA Grapalat"/>
          <w:sz w:val="22"/>
          <w:szCs w:val="22"/>
        </w:rPr>
        <w:t xml:space="preserve"> կողմից</w:t>
      </w:r>
      <w:r w:rsidRPr="001F63BA">
        <w:rPr>
          <w:rFonts w:ascii="GHEA Grapalat" w:hAnsi="GHEA Grapalat"/>
          <w:sz w:val="22"/>
          <w:szCs w:val="22"/>
          <w:lang w:val="en-US"/>
        </w:rPr>
        <w:t>,</w:t>
      </w:r>
      <w:r w:rsidRPr="001F63BA">
        <w:rPr>
          <w:rFonts w:ascii="GHEA Grapalat" w:hAnsi="GHEA Grapalat"/>
          <w:sz w:val="22"/>
          <w:szCs w:val="22"/>
        </w:rPr>
        <w:t xml:space="preserve"> սկսած 16.01.2022թ-ից</w:t>
      </w:r>
      <w:r w:rsidRPr="001F63BA">
        <w:rPr>
          <w:rFonts w:ascii="GHEA Grapalat" w:hAnsi="GHEA Grapalat"/>
          <w:sz w:val="22"/>
          <w:szCs w:val="22"/>
          <w:lang w:val="en-US"/>
        </w:rPr>
        <w:t>,</w:t>
      </w:r>
      <w:r w:rsidRPr="001F63BA">
        <w:rPr>
          <w:rFonts w:ascii="GHEA Grapalat" w:hAnsi="GHEA Grapalat"/>
          <w:sz w:val="22"/>
          <w:szCs w:val="22"/>
        </w:rPr>
        <w:t xml:space="preserve"> տրվել է 956 գրավոր զգուշացում և ծանուցում ընդերքօգտագործման իրավունք ունեցող կազմակերպություններին, այդ թվում՝ օգտակար հանածոների արդյունահանման նպատակով երկրաբանական ուսումնասիրության իրավունք ունեցող կազմակերպություններին տրվել է 110 զգուշացում և ծանուցում։ Տրված</w:t>
      </w:r>
      <w:r w:rsidRPr="001F63BA">
        <w:rPr>
          <w:rFonts w:ascii="GHEA Grapalat" w:hAnsi="GHEA Grapalat"/>
          <w:sz w:val="22"/>
          <w:szCs w:val="22"/>
          <w:lang w:val="en-US"/>
        </w:rPr>
        <w:t xml:space="preserve"> </w:t>
      </w:r>
      <w:r w:rsidRPr="001F63BA">
        <w:rPr>
          <w:rFonts w:ascii="GHEA Grapalat" w:hAnsi="GHEA Grapalat"/>
          <w:sz w:val="22"/>
          <w:szCs w:val="22"/>
        </w:rPr>
        <w:t>զգուշացումների արդյունքում պետական բյուջե է մուտքագրվել 90</w:t>
      </w:r>
      <w:r w:rsidRPr="001F63BA">
        <w:rPr>
          <w:rFonts w:ascii="GHEA Grapalat" w:hAnsi="GHEA Grapalat"/>
          <w:sz w:val="22"/>
          <w:szCs w:val="22"/>
          <w:lang w:val="en-US"/>
        </w:rPr>
        <w:t>.0 մլն</w:t>
      </w:r>
      <w:r w:rsidRPr="001F63BA">
        <w:rPr>
          <w:rFonts w:ascii="GHEA Grapalat" w:hAnsi="GHEA Grapalat"/>
          <w:sz w:val="22"/>
          <w:szCs w:val="22"/>
        </w:rPr>
        <w:t xml:space="preserve"> դրամ։</w:t>
      </w:r>
    </w:p>
    <w:p w:rsidR="001C411D" w:rsidRPr="001F63BA" w:rsidRDefault="001C411D" w:rsidP="00CC2785">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Զգուշացմամբ տրված խախտումները սահմանված ժամկետներում չվերացնելու հիմքով՝ </w:t>
      </w:r>
      <w:r w:rsidRPr="001F63BA">
        <w:rPr>
          <w:rFonts w:ascii="GHEA Grapalat" w:hAnsi="GHEA Grapalat"/>
          <w:sz w:val="22"/>
          <w:szCs w:val="22"/>
          <w:lang w:val="en-US"/>
        </w:rPr>
        <w:t>ՏԿԵՆ</w:t>
      </w:r>
      <w:r w:rsidRPr="001F63BA">
        <w:rPr>
          <w:rFonts w:ascii="GHEA Grapalat" w:hAnsi="GHEA Grapalat"/>
          <w:sz w:val="22"/>
          <w:szCs w:val="22"/>
        </w:rPr>
        <w:t xml:space="preserve"> կողմից իրականացված վարչական վարույթի արդյունքում դադարեցվել է 1 ընդերքօգտագործման իրավունք, լուծարման հիմքով դադարեցվել է 2 ընդերքօգտագործման իրավունք, 4 ընդերքօգտագործման իրավունք դատարանի վճռի հիմքով վերակա</w:t>
      </w:r>
      <w:r w:rsidRPr="001F63BA">
        <w:rPr>
          <w:rFonts w:ascii="GHEA Grapalat" w:hAnsi="GHEA Grapalat"/>
          <w:sz w:val="22"/>
          <w:szCs w:val="22"/>
          <w:lang w:val="en-US"/>
        </w:rPr>
        <w:t>ն</w:t>
      </w:r>
      <w:r w:rsidRPr="001F63BA">
        <w:rPr>
          <w:rFonts w:ascii="GHEA Grapalat" w:hAnsi="GHEA Grapalat"/>
          <w:sz w:val="22"/>
          <w:szCs w:val="22"/>
        </w:rPr>
        <w:t>գնվել է, 13 ընդերքօգտագործման իրավունք դադարեցնելու նպատակով ներկայացվել է միջնորդագիր:</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695F26">
      <w:pPr>
        <w:pStyle w:val="Heading2"/>
        <w:spacing w:before="0"/>
      </w:pPr>
      <w:bookmarkStart w:id="25" w:name="_Toc132204204"/>
      <w:r w:rsidRPr="001F63BA">
        <w:lastRenderedPageBreak/>
        <w:t>Ջրային տնտեսություն</w:t>
      </w:r>
      <w:bookmarkEnd w:id="25"/>
    </w:p>
    <w:p w:rsidR="001C411D" w:rsidRPr="001F63BA" w:rsidRDefault="001C411D" w:rsidP="00921282">
      <w:pPr>
        <w:spacing w:line="360" w:lineRule="auto"/>
        <w:ind w:firstLine="567"/>
        <w:jc w:val="both"/>
        <w:rPr>
          <w:rFonts w:ascii="GHEA Grapalat" w:hAnsi="GHEA Grapalat"/>
          <w:sz w:val="22"/>
          <w:szCs w:val="22"/>
        </w:rPr>
      </w:pPr>
      <w:r w:rsidRPr="001F63BA">
        <w:rPr>
          <w:rFonts w:ascii="GHEA Grapalat" w:hAnsi="GHEA Grapalat"/>
          <w:sz w:val="22"/>
          <w:szCs w:val="22"/>
        </w:rPr>
        <w:t>Ջրային տնտեսու</w:t>
      </w:r>
      <w:r w:rsidRPr="001F63BA">
        <w:rPr>
          <w:rFonts w:ascii="GHEA Grapalat" w:hAnsi="GHEA Grapalat"/>
          <w:sz w:val="22"/>
          <w:szCs w:val="22"/>
        </w:rPr>
        <w:softHyphen/>
        <w:t>թյան ոլորտում ջրային կոմիտեի համակարգմամբ 2022 թվականի ընթացքում կատարվել են հետևյալ հիմնական աշխատանք</w:t>
      </w:r>
      <w:r w:rsidRPr="001F63BA">
        <w:rPr>
          <w:rFonts w:ascii="GHEA Grapalat" w:hAnsi="GHEA Grapalat"/>
          <w:sz w:val="22"/>
          <w:szCs w:val="22"/>
        </w:rPr>
        <w:softHyphen/>
        <w:t>ները.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2022 թվականի ընթացքում «Վեոլիա Ջուր» ՓԲԸ-ի սպասարկման տարածքում ջրամատակարարման միջին կշռային տևողությունը Երևան քաղաքում եղել է 23.2 ժամ/օր, այլ քաղաքային համայնքներում` 20.6 ժամ/օր, իսկ գյուղական տարածքներում` 20.2 ժամ/օր:</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Ոռոգման նպատակով ջրառ իրականացնող «Ջրառ» ՓԲԸ-ի, ինչպես նաև ոռոգման ջուր մատակարարող 15 ջրօգտագործողների ընկերությունների գործունեության արդյունքներով ապահովվել է 90.2 հազ. հա հողատարածքների կայուն ջրամատակարարումը: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 xml:space="preserve">Ոռոգման և խմելու ջրամատակարարման ծառայությունների դիմաց հավաքագրումների գծով 2022 թվականին համակարգի գանձումը կազմել է շուրջ 31.96 մլրդ դրամ` 2021 թվականի 27.38 մլրդ դրամի փոխարեն կամ ավել է գանձվել 4.58 մլրդ դրամ։ </w:t>
      </w:r>
    </w:p>
    <w:p w:rsidR="001C411D" w:rsidRPr="001F63BA" w:rsidRDefault="001C411D" w:rsidP="00921282">
      <w:pPr>
        <w:spacing w:line="360" w:lineRule="auto"/>
        <w:ind w:firstLine="567"/>
        <w:jc w:val="both"/>
        <w:rPr>
          <w:rFonts w:ascii="GHEA Grapalat" w:hAnsi="GHEA Grapalat"/>
          <w:sz w:val="22"/>
          <w:szCs w:val="22"/>
        </w:rPr>
      </w:pPr>
      <w:r w:rsidRPr="001F63BA">
        <w:rPr>
          <w:rFonts w:ascii="GHEA Grapalat" w:hAnsi="GHEA Grapalat"/>
          <w:sz w:val="22"/>
          <w:szCs w:val="22"/>
        </w:rPr>
        <w:t>Խմելու ջրի մասով գանձվել է շուրջ 27.3 մլրդ դրամ` 2021 թվականի 23.1 մլրդ դրամի դիմաց կամ ավել է գանձվել շուրջ 4.2 մլրդ դրամ, իսկ ոռոգման ոլորտում գանձվել է 4.66 մլրդ դրամ՝ 2021 թվականի 4.29 մլրդ դրամի դիմաց կամ ավել է գանձվել շուրջ 0.37 մլրդ դրամ, որը նաև նախորդ տարիների համեմատ ամենաբարձր ցուցանիշն է։</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t>2022</w:t>
      </w:r>
      <w:r w:rsidRPr="001F63BA">
        <w:rPr>
          <w:rFonts w:ascii="GHEA Grapalat" w:hAnsi="GHEA Grapalat"/>
          <w:sz w:val="22"/>
          <w:szCs w:val="22"/>
        </w:rPr>
        <w:t xml:space="preserve"> թվականի հունիսի 2-ին ընդունվել է «Ոռոգման նպատակով 2022 թվականին Սևանա լճից ջրառի մասին» ՀՀ կառավարության N 782-Ա որոշումը, որով ոռոգման նպատակով Սևանա լճից 2022 թվականի ջրառի չափաքանակը սահմանվել է մինչև 170.0 մլն մ</w:t>
      </w:r>
      <w:r w:rsidRPr="001F63BA">
        <w:rPr>
          <w:rFonts w:ascii="GHEA Grapalat" w:hAnsi="GHEA Grapalat"/>
          <w:sz w:val="22"/>
          <w:szCs w:val="22"/>
          <w:vertAlign w:val="superscript"/>
          <w:lang w:val="en-US"/>
        </w:rPr>
        <w:t>3</w:t>
      </w:r>
      <w:r w:rsidRPr="001F63BA">
        <w:rPr>
          <w:rFonts w:ascii="GHEA Grapalat" w:hAnsi="GHEA Grapalat"/>
          <w:sz w:val="22"/>
          <w:szCs w:val="22"/>
        </w:rPr>
        <w:t xml:space="preserve">: </w:t>
      </w:r>
    </w:p>
    <w:p w:rsidR="001C411D" w:rsidRPr="001F63BA" w:rsidRDefault="001C411D" w:rsidP="00921282">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հունիսի 3-ից մինչև հոկտեմբերի 27-ը Սևանա լճից ոռոգման նպատակով բաց է թողնվել 165.1 մլն</w:t>
      </w:r>
      <w:r w:rsidRPr="001F63BA">
        <w:rPr>
          <w:rFonts w:ascii="GHEA Grapalat" w:hAnsi="GHEA Grapalat"/>
          <w:sz w:val="22"/>
          <w:szCs w:val="22"/>
          <w:lang w:val="en-US"/>
        </w:rPr>
        <w:t xml:space="preserve"> </w:t>
      </w:r>
      <w:r w:rsidRPr="001F63BA">
        <w:rPr>
          <w:rFonts w:ascii="GHEA Grapalat" w:hAnsi="GHEA Grapalat"/>
          <w:sz w:val="22"/>
          <w:szCs w:val="22"/>
        </w:rPr>
        <w:t>մ</w:t>
      </w:r>
      <w:r w:rsidRPr="001F63BA">
        <w:rPr>
          <w:rFonts w:ascii="GHEA Grapalat" w:hAnsi="GHEA Grapalat"/>
          <w:sz w:val="22"/>
          <w:szCs w:val="22"/>
          <w:vertAlign w:val="superscript"/>
          <w:lang w:val="en-US"/>
        </w:rPr>
        <w:t>3</w:t>
      </w:r>
      <w:r w:rsidRPr="001F63BA">
        <w:rPr>
          <w:rFonts w:ascii="GHEA Grapalat" w:hAnsi="GHEA Grapalat"/>
          <w:sz w:val="22"/>
          <w:szCs w:val="22"/>
        </w:rPr>
        <w:t xml:space="preserve"> ջուր, նախորդ տարվա ոռոգման շրջանում բաց է թողնվել 227.7 մլն մ</w:t>
      </w:r>
      <w:r w:rsidRPr="001F63BA">
        <w:rPr>
          <w:rFonts w:ascii="GHEA Grapalat" w:hAnsi="GHEA Grapalat"/>
          <w:sz w:val="22"/>
          <w:szCs w:val="22"/>
          <w:vertAlign w:val="superscript"/>
          <w:lang w:val="en-US"/>
        </w:rPr>
        <w:t>3</w:t>
      </w:r>
      <w:r w:rsidRPr="001F63BA">
        <w:rPr>
          <w:rFonts w:ascii="GHEA Grapalat" w:hAnsi="GHEA Grapalat"/>
          <w:sz w:val="22"/>
          <w:szCs w:val="22"/>
        </w:rPr>
        <w:t xml:space="preserve"> ջուր կամ պակաս է բաց թողնվել շուրջ 62.6 մլն մ</w:t>
      </w:r>
      <w:r w:rsidRPr="001F63BA">
        <w:rPr>
          <w:rFonts w:ascii="GHEA Grapalat" w:hAnsi="GHEA Grapalat"/>
          <w:sz w:val="22"/>
          <w:szCs w:val="22"/>
          <w:vertAlign w:val="superscript"/>
          <w:lang w:val="en-US"/>
        </w:rPr>
        <w:t>3</w:t>
      </w:r>
      <w:r w:rsidRPr="001F63BA">
        <w:rPr>
          <w:rFonts w:ascii="GHEA Grapalat" w:hAnsi="GHEA Grapalat"/>
          <w:sz w:val="22"/>
          <w:szCs w:val="22"/>
        </w:rPr>
        <w:t xml:space="preserve"> ջուր: Արփա-Սևան թունելով 2022 թվականի դեկտեմբերի 31-ի դրությամբ Սևանա լիճ է տեղափոխվել շուրջ 168.6 մլն մ</w:t>
      </w:r>
      <w:r w:rsidRPr="001F63BA">
        <w:rPr>
          <w:rFonts w:ascii="GHEA Grapalat" w:hAnsi="GHEA Grapalat"/>
          <w:sz w:val="22"/>
          <w:szCs w:val="22"/>
          <w:vertAlign w:val="superscript"/>
          <w:lang w:val="en-US"/>
        </w:rPr>
        <w:t>3</w:t>
      </w:r>
      <w:r w:rsidRPr="001F63BA">
        <w:rPr>
          <w:rFonts w:ascii="GHEA Grapalat" w:hAnsi="GHEA Grapalat"/>
          <w:sz w:val="22"/>
          <w:szCs w:val="22"/>
        </w:rPr>
        <w:t xml:space="preserve"> ջուր, 2021 թվականին՝ 157.5 մլն մ</w:t>
      </w:r>
      <w:r w:rsidRPr="001F63BA">
        <w:rPr>
          <w:rFonts w:ascii="GHEA Grapalat" w:hAnsi="GHEA Grapalat"/>
          <w:sz w:val="22"/>
          <w:szCs w:val="22"/>
          <w:vertAlign w:val="superscript"/>
          <w:lang w:val="en-US"/>
        </w:rPr>
        <w:t>3</w:t>
      </w:r>
      <w:r w:rsidRPr="001F63BA">
        <w:rPr>
          <w:rFonts w:ascii="GHEA Grapalat" w:hAnsi="GHEA Grapalat"/>
          <w:sz w:val="22"/>
          <w:szCs w:val="22"/>
          <w:lang w:val="en-US"/>
        </w:rPr>
        <w:t>-ի</w:t>
      </w:r>
      <w:r w:rsidRPr="001F63BA">
        <w:rPr>
          <w:rFonts w:ascii="GHEA Grapalat" w:hAnsi="GHEA Grapalat"/>
          <w:sz w:val="22"/>
          <w:szCs w:val="22"/>
        </w:rPr>
        <w:t xml:space="preserve"> դիմաց կամ ավել է տեղափոխվել շուրջ 11.1 մլն մ</w:t>
      </w:r>
      <w:r w:rsidRPr="001F63BA">
        <w:rPr>
          <w:rFonts w:ascii="GHEA Grapalat" w:hAnsi="GHEA Grapalat"/>
          <w:sz w:val="22"/>
          <w:szCs w:val="22"/>
          <w:vertAlign w:val="superscript"/>
          <w:lang w:val="en-US"/>
        </w:rPr>
        <w:t>3</w:t>
      </w:r>
      <w:r w:rsidRPr="001F63BA">
        <w:rPr>
          <w:rFonts w:ascii="GHEA Grapalat" w:hAnsi="GHEA Grapalat"/>
          <w:sz w:val="22"/>
          <w:szCs w:val="22"/>
        </w:rPr>
        <w:t xml:space="preserve"> ջուր: Սևանա լճի մակարդակը 2022 թվականի դեկտեմբերի 31-ի դրությամբ կազմել է 1900.28 մ,</w:t>
      </w:r>
      <w:r w:rsidRPr="001F63BA">
        <w:rPr>
          <w:rFonts w:ascii="GHEA Grapalat" w:hAnsi="GHEA Grapalat"/>
          <w:sz w:val="22"/>
          <w:szCs w:val="22"/>
          <w:lang w:val="en-US"/>
        </w:rPr>
        <w:t xml:space="preserve"> </w:t>
      </w:r>
      <w:r w:rsidRPr="001F63BA">
        <w:rPr>
          <w:rFonts w:ascii="GHEA Grapalat" w:hAnsi="GHEA Grapalat"/>
          <w:sz w:val="22"/>
          <w:szCs w:val="22"/>
        </w:rPr>
        <w:t>նախորդ տարվա նույն օրվա դրությամբ եղել է 1900.43 մ: Նախորդ տարվա համեմատ Սևանա լճի մակարդակ</w:t>
      </w:r>
      <w:r w:rsidRPr="001F63BA">
        <w:rPr>
          <w:rFonts w:ascii="GHEA Grapalat" w:hAnsi="GHEA Grapalat"/>
          <w:sz w:val="22"/>
          <w:szCs w:val="22"/>
          <w:lang w:val="en-US"/>
        </w:rPr>
        <w:t>ն</w:t>
      </w:r>
      <w:r w:rsidRPr="001F63BA">
        <w:rPr>
          <w:rFonts w:ascii="GHEA Grapalat" w:hAnsi="GHEA Grapalat"/>
          <w:sz w:val="22"/>
          <w:szCs w:val="22"/>
        </w:rPr>
        <w:t xml:space="preserve"> իջել է 15 սմ-ով: </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t>Փոքր</w:t>
      </w:r>
      <w:r w:rsidRPr="001F63BA">
        <w:rPr>
          <w:rFonts w:ascii="GHEA Grapalat" w:hAnsi="GHEA Grapalat"/>
          <w:sz w:val="22"/>
          <w:szCs w:val="22"/>
        </w:rPr>
        <w:t xml:space="preserve"> և միջին ջրամբարաշինություն ծրագրում ներառված 15 ջրամբարներից չորս ջրամբարների՝ Աստղաձորի, Արգիճիի, Ելփինի, Քասախի մասով նախագծանախահաշվային փաստաթղթերի մշակման աշխատանքները մեկնարկ</w:t>
      </w:r>
      <w:r w:rsidRPr="001F63BA">
        <w:rPr>
          <w:rFonts w:ascii="GHEA Grapalat" w:hAnsi="GHEA Grapalat"/>
          <w:sz w:val="22"/>
          <w:szCs w:val="22"/>
          <w:lang w:val="en-US"/>
        </w:rPr>
        <w:t>ել</w:t>
      </w:r>
      <w:r w:rsidRPr="001F63BA">
        <w:rPr>
          <w:rFonts w:ascii="GHEA Grapalat" w:hAnsi="GHEA Grapalat"/>
          <w:sz w:val="22"/>
          <w:szCs w:val="22"/>
        </w:rPr>
        <w:t xml:space="preserve"> են։ Երկու ջրամբարների՝ Լիճքի և Արթիկի մասով հայտարարվել է նախագծանախահաշվային փաստաթղթերի ձեռքբերման կրկնակի մրցույթ: Հինգ ջրամբարների՝ Խնձորուտի, Վերնաշենի, Գետիկվանքի, Հախում-2-ի, Կողբի մասով մեկնարկվել </w:t>
      </w:r>
      <w:r w:rsidRPr="001F63BA">
        <w:rPr>
          <w:rFonts w:ascii="GHEA Grapalat" w:hAnsi="GHEA Grapalat"/>
          <w:sz w:val="22"/>
          <w:szCs w:val="22"/>
        </w:rPr>
        <w:lastRenderedPageBreak/>
        <w:t>են տեխնիկատնտեսական հիմնավորման նախապատրաստական աշխատանքները: Չորս ջրամբարների՝ Խնձորեսկի, Զիրակի, Խաչիկի, Սելավ-Մաստարայի մասով քննարկվում են ջրամբարների կառուցման իրականացվելիության հարցերը՝ պայմանավորված սահմանային կամ ջրապահովվածության խնդիրներով:</w:t>
      </w:r>
    </w:p>
    <w:p w:rsidR="001C411D" w:rsidRPr="001F63BA" w:rsidRDefault="001C411D" w:rsidP="00921282">
      <w:pPr>
        <w:spacing w:line="360" w:lineRule="auto"/>
        <w:ind w:firstLine="567"/>
        <w:jc w:val="both"/>
        <w:rPr>
          <w:rFonts w:ascii="GHEA Grapalat" w:hAnsi="GHEA Grapalat"/>
          <w:sz w:val="22"/>
          <w:szCs w:val="22"/>
        </w:rPr>
      </w:pPr>
      <w:r w:rsidRPr="001F63BA">
        <w:rPr>
          <w:rFonts w:ascii="GHEA Grapalat" w:hAnsi="GHEA Grapalat"/>
          <w:sz w:val="22"/>
          <w:szCs w:val="22"/>
        </w:rPr>
        <w:t>Օրվա կարգավորման թվով 31 ջրավազանների կառուցման և վերակառուցման համար Ջրային կոմիտեի հետ կնքված համապատասխան պայմանագրերի շրջանակներում խորհրդատուների կողմից իրականացվում են նախագծանախահաշվային փաստաթղթերի մշակման աշխատանքներ։</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695F26">
      <w:pPr>
        <w:pStyle w:val="Heading2"/>
        <w:spacing w:before="0"/>
      </w:pPr>
      <w:bookmarkStart w:id="26" w:name="_Toc89428259"/>
      <w:bookmarkStart w:id="27" w:name="_Toc132204205"/>
      <w:r w:rsidRPr="001F63BA">
        <w:t>Հանրային ծառայությունների կարգավորում</w:t>
      </w:r>
      <w:bookmarkEnd w:id="26"/>
      <w:bookmarkEnd w:id="27"/>
      <w:r w:rsidRPr="001F63BA">
        <w:t xml:space="preserve"> </w:t>
      </w:r>
    </w:p>
    <w:p w:rsidR="001C411D" w:rsidRPr="001F63BA" w:rsidRDefault="001C411D" w:rsidP="007A724F">
      <w:pPr>
        <w:spacing w:line="360" w:lineRule="auto"/>
        <w:ind w:firstLine="567"/>
        <w:jc w:val="both"/>
        <w:rPr>
          <w:rFonts w:ascii="GHEA Grapalat" w:hAnsi="GHEA Grapalat"/>
          <w:sz w:val="22"/>
          <w:szCs w:val="22"/>
          <w:lang w:val="en-US"/>
        </w:rPr>
      </w:pPr>
      <w:r w:rsidRPr="001F63BA">
        <w:rPr>
          <w:rFonts w:ascii="GHEA Grapalat" w:hAnsi="GHEA Grapalat"/>
          <w:sz w:val="22"/>
          <w:szCs w:val="22"/>
        </w:rPr>
        <w:t>2022 թվականի փետրվարի 1-ից մեկնարկել է էլեկտրաէներգետիկական շուկայի նոր ազատական մոդելը՝ առաջին տարում որոշակի սահմանափակումներով։ Մասնավորապես</w:t>
      </w:r>
      <w:r w:rsidRPr="001F63BA">
        <w:rPr>
          <w:rFonts w:ascii="GHEA Grapalat" w:hAnsi="GHEA Grapalat"/>
          <w:sz w:val="22"/>
          <w:szCs w:val="22"/>
          <w:lang w:val="en-US"/>
        </w:rPr>
        <w:t>՝</w:t>
      </w:r>
      <w:r w:rsidRPr="001F63BA">
        <w:rPr>
          <w:rFonts w:ascii="GHEA Grapalat" w:hAnsi="GHEA Grapalat"/>
          <w:sz w:val="22"/>
          <w:szCs w:val="22"/>
        </w:rPr>
        <w:t xml:space="preserve"> ներդրվել են մրցակցային շուկայի բաղադրիչներ (որոշ դեպքերում սակագնային կարգավորումից անցում է կատարվել շուկայական՝ market based մեխանիզմների)՝ միտված մենաշնորհը մրցակցությամբ փոխարինելուն, մրցակցային պայմաններով նոր մասնակիցների մուտքը էլեկտրաէներգետիկական շուկա ապահովելուն, երկարաժամկետ պլանավորումը լավարկելուն և համակարգում առաջացած շեղումների համար պատասխանատվության արդարացի մեխանիզմ ներդնելուն, սպառողներին էլեկտրական էներգիայի մրցակցային մատակարարներին ընտրելու հնարավորություն ընձեռելուն, այլ երկրների հետ էլեկտրական էներգիայի առևտուրը խթանելուն և այլն։</w:t>
      </w:r>
    </w:p>
    <w:p w:rsidR="001C411D" w:rsidRPr="001F63BA" w:rsidRDefault="001C411D" w:rsidP="007A724F">
      <w:pPr>
        <w:spacing w:line="360" w:lineRule="auto"/>
        <w:ind w:firstLine="567"/>
        <w:jc w:val="both"/>
        <w:rPr>
          <w:rFonts w:ascii="GHEA Grapalat" w:hAnsi="GHEA Grapalat"/>
          <w:sz w:val="22"/>
          <w:szCs w:val="22"/>
          <w:lang w:val="en-US"/>
        </w:rPr>
      </w:pPr>
      <w:r w:rsidRPr="001F63BA">
        <w:rPr>
          <w:rFonts w:ascii="GHEA Grapalat" w:hAnsi="GHEA Grapalat"/>
          <w:sz w:val="22"/>
          <w:szCs w:val="22"/>
        </w:rPr>
        <w:t>Հաշվի առնելով էլեկտրաէներգետիկական համակարգում գործող ընկերությունների սակագների հաշվարկման մեթոդ</w:t>
      </w:r>
      <w:r w:rsidRPr="001F63BA">
        <w:rPr>
          <w:rFonts w:ascii="GHEA Grapalat" w:hAnsi="GHEA Grapalat"/>
          <w:sz w:val="22"/>
          <w:szCs w:val="22"/>
          <w:lang w:val="en-US"/>
        </w:rPr>
        <w:t>աբանությունը</w:t>
      </w:r>
      <w:r w:rsidRPr="001F63BA">
        <w:rPr>
          <w:rFonts w:ascii="GHEA Grapalat" w:hAnsi="GHEA Grapalat"/>
          <w:sz w:val="22"/>
          <w:szCs w:val="22"/>
        </w:rPr>
        <w:t>, պետություն-մասնավոր գործընկերության պայմանագրերի ու լիցենզիայի պայմանների պահանջները, էներգետիկ հաշվեկշիռների և ընկերությունների ֆինանսատնտեսական գործունեության վրա ազդող մի շարք այլ գործոնների փոփոխությունները՝ ՀՀ հանրային ծառայությունները կարգավորող հանձնաժողովը 2022 թվականի տարեվերջին վերահաշվարկել է սակագնային կարգավորման ենթակա խոշոր արտադրողներից առաքվող էլեկտրական էներգիայի (հզորության), ծառայություններ մատուցողների կողմից էլեկտրական էներգիայի հաղորդման, էլեկտրաէներգետիկական համակարգի օպերատորի, շուկայի օպերատորի, հաշվեկշռման (նվազագույն և առավելագույն) և էլեկտրական էներգիայի բաշխման ծառայությունների մատուցման սակագները։ Էլեկտրաէներգետիկական համակարգի սակագների վերանայման արդյունքում սպառողներին վաճառվող էլեկտրական էներգիայի սակագների վերանայման անհրաժեշտություն չի առաջացել</w:t>
      </w:r>
      <w:r w:rsidRPr="001F63BA">
        <w:rPr>
          <w:rFonts w:ascii="GHEA Grapalat" w:hAnsi="GHEA Grapalat"/>
          <w:sz w:val="22"/>
          <w:szCs w:val="22"/>
          <w:lang w:val="en-US"/>
        </w:rPr>
        <w:t>,</w:t>
      </w:r>
      <w:r w:rsidRPr="001F63BA">
        <w:rPr>
          <w:rFonts w:ascii="GHEA Grapalat" w:hAnsi="GHEA Grapalat"/>
          <w:sz w:val="22"/>
          <w:szCs w:val="22"/>
        </w:rPr>
        <w:t xml:space="preserve"> և դրանք մնացել են անփոփոխ։ Բացի այդ, ելնելով սղաճի և արտարժույթի փոխարժեքի փոփոխություններից՝ հանձնաժողովի նախաձեռնությամբ 2 </w:t>
      </w:r>
      <w:r w:rsidRPr="001F63BA">
        <w:rPr>
          <w:rFonts w:ascii="GHEA Grapalat" w:hAnsi="GHEA Grapalat"/>
          <w:sz w:val="22"/>
          <w:szCs w:val="22"/>
        </w:rPr>
        <w:lastRenderedPageBreak/>
        <w:t>անգամ վերանայվել են օրենքով սահմանված գնման երաշխիք ունեցող վերականգնվող էներգետիկ ռեսուրսների օգտագործմամբ էլեկտրական էներգիա արտադրող կայաններից առաքվող էլեկտրական էներգիայի վաճառքի սակագները։</w:t>
      </w:r>
    </w:p>
    <w:p w:rsidR="001C411D" w:rsidRPr="001F63BA" w:rsidRDefault="001C411D" w:rsidP="007A724F">
      <w:pPr>
        <w:spacing w:line="360" w:lineRule="auto"/>
        <w:ind w:firstLine="567"/>
        <w:jc w:val="both"/>
        <w:rPr>
          <w:rFonts w:ascii="GHEA Grapalat" w:hAnsi="GHEA Grapalat"/>
          <w:sz w:val="22"/>
          <w:szCs w:val="22"/>
        </w:rPr>
      </w:pPr>
      <w:r w:rsidRPr="001F63BA">
        <w:rPr>
          <w:rFonts w:ascii="GHEA Grapalat" w:hAnsi="GHEA Grapalat"/>
          <w:sz w:val="22"/>
          <w:szCs w:val="22"/>
        </w:rPr>
        <w:t>ՀՀ տարածքում էլեկտրոնային հաղորդակցության ծառայությունների հասանելիության և ենթակառուցվածքների զարգացման ուղղությամբ իրականացված աշխատանքների արդյունքում ՀՀ բոլոր բնակավայրերն ապահովված են շարժական կապի ծածկույթով, ինչպես նաև լարային և (կամ) անլար տեխնոլոգիաների կիրառմամբ ամրակցված հեռախոսակապի և լայնաշերտ ինտերնետ ծառայությունների հասանելիությամբ։ Ընդ որում, բոլոր 100% բնակավայրերն ապահովված են շարժական կապի 2G, 3G և 4G+(LTE Advanced) տեխնոլոգիաների ծածկույթներով։ Բնակավայրերում առնվազն երկու օպերատորի փոխադարձ ներթափանցելի 4G+(LTE Advanced) տեխնոլոգիայի ծածկույթը կազմել է 91% (911 բնակավայր), իսկ երեք օպերատորինը՝ 12.8% (128 բնակավայր), որը բնակչության ընդգրկվածության առումով կազմում է 69%: Բացի այդ, ամրակցված լայնաշերտ ինտերնետ ծառայությունների լարային տեխնոլոգիաների հասանելիությամբ ապահովված է 628 (62.7%) բնակավայր, այդ թվում՝ 565 բնակավայրերում (56.5%), որոնք ընդգրկում են ՀՀ բնակչության ավելի քան 96</w:t>
      </w:r>
      <w:r w:rsidRPr="001F63BA">
        <w:rPr>
          <w:rFonts w:ascii="GHEA Grapalat" w:hAnsi="GHEA Grapalat"/>
          <w:sz w:val="22"/>
          <w:szCs w:val="22"/>
          <w:lang w:val="en-US"/>
        </w:rPr>
        <w:t>.</w:t>
      </w:r>
      <w:r w:rsidRPr="001F63BA">
        <w:rPr>
          <w:rFonts w:ascii="GHEA Grapalat" w:hAnsi="GHEA Grapalat"/>
          <w:sz w:val="22"/>
          <w:szCs w:val="22"/>
        </w:rPr>
        <w:t>5%-ը, հասանելի են դարձել օպտիկամանրաթելային ցանցերը, իսկ հանրապետության մնացած 37</w:t>
      </w:r>
      <w:r w:rsidRPr="001F63BA">
        <w:rPr>
          <w:rFonts w:ascii="GHEA Grapalat" w:hAnsi="GHEA Grapalat"/>
          <w:sz w:val="22"/>
          <w:szCs w:val="22"/>
          <w:lang w:val="en-US"/>
        </w:rPr>
        <w:t>.</w:t>
      </w:r>
      <w:r w:rsidRPr="001F63BA">
        <w:rPr>
          <w:rFonts w:ascii="GHEA Grapalat" w:hAnsi="GHEA Grapalat"/>
          <w:sz w:val="22"/>
          <w:szCs w:val="22"/>
        </w:rPr>
        <w:t>3% բնակավայրերն ապահովված են առնվազն 2</w:t>
      </w:r>
      <w:r w:rsidRPr="001F63BA">
        <w:rPr>
          <w:rFonts w:ascii="GHEA Grapalat" w:hAnsi="GHEA Grapalat"/>
          <w:sz w:val="22"/>
          <w:szCs w:val="22"/>
          <w:lang w:val="en-US"/>
        </w:rPr>
        <w:t xml:space="preserve"> </w:t>
      </w:r>
      <w:r w:rsidRPr="001F63BA">
        <w:rPr>
          <w:rFonts w:ascii="GHEA Grapalat" w:hAnsi="GHEA Grapalat"/>
          <w:sz w:val="22"/>
          <w:szCs w:val="22"/>
        </w:rPr>
        <w:t xml:space="preserve">Մբիթ/վրկ արագությամբ լայնաշերտ ինտերնետի հասանելիությամբ։ </w:t>
      </w:r>
    </w:p>
    <w:p w:rsidR="001C411D" w:rsidRPr="001F63BA" w:rsidRDefault="001C411D" w:rsidP="007A724F">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ընթացքում լիցենզավորված 23 օպերատորներից 15-ին տրամադրվել է ցանցի լիցենզիա՝ մարզային բնակավայրերում հանրային էլեկտրոնային հաղորդակցության ցանցի շահագործման համար, ինչը նպաստել է մարզերում ամրակցված լայնաշերտ ինտերնետ հասանելիության ցանցեր</w:t>
      </w:r>
      <w:r w:rsidRPr="001F63BA">
        <w:rPr>
          <w:rFonts w:ascii="GHEA Grapalat" w:hAnsi="GHEA Grapalat"/>
          <w:sz w:val="22"/>
          <w:szCs w:val="22"/>
          <w:lang w:val="en-US"/>
        </w:rPr>
        <w:t>ի</w:t>
      </w:r>
      <w:r w:rsidRPr="001F63BA">
        <w:rPr>
          <w:rFonts w:ascii="GHEA Grapalat" w:hAnsi="GHEA Grapalat"/>
          <w:sz w:val="22"/>
          <w:szCs w:val="22"/>
        </w:rPr>
        <w:t xml:space="preserve"> և դրանց փոխադարձ ներթափանցելիության ցուցանիշների զարգացմանը:</w:t>
      </w:r>
    </w:p>
    <w:p w:rsidR="001C411D" w:rsidRPr="001F63BA" w:rsidRDefault="001C411D" w:rsidP="007A724F">
      <w:pPr>
        <w:spacing w:line="360" w:lineRule="auto"/>
        <w:ind w:firstLine="567"/>
        <w:jc w:val="both"/>
        <w:rPr>
          <w:rFonts w:ascii="GHEA Grapalat" w:hAnsi="GHEA Grapalat"/>
          <w:sz w:val="22"/>
          <w:szCs w:val="22"/>
        </w:rPr>
      </w:pPr>
      <w:r w:rsidRPr="001F63BA">
        <w:rPr>
          <w:rFonts w:ascii="GHEA Grapalat" w:hAnsi="GHEA Grapalat"/>
          <w:sz w:val="22"/>
          <w:szCs w:val="22"/>
        </w:rPr>
        <w:t>Ավելացել են ընդհանուր լայնաշերտ ինտերնետ ծառայությունների մատուցման ծավալները, որոնց բաժանորդների թվաքանակը 2022 թվականի տարեվերջի դրությամբ կազմել է 3 783 269 (աճել է 20.5%-ով), որից՝ շարժական լայնաշերտ ինտերնետի բաժանորդների քանակը՝ 3 272 488 (աճել է 22.4%-ով), իսկ ամրակցված լայնաշերտ ինտերնետ հասանելիության բաժանորդների քանակը՝ 510 781 (աճել է 9.5%-ով), միևնույն ժամանակ նախորդ տարվա համեմատությամբ հանրապետությունում օգտագործված ֆիքսված (լարային) լայնաշերտ ինտերնետ կապի հոսքեր</w:t>
      </w:r>
      <w:r w:rsidRPr="001F63BA">
        <w:rPr>
          <w:rFonts w:ascii="GHEA Grapalat" w:hAnsi="GHEA Grapalat"/>
          <w:sz w:val="22"/>
          <w:szCs w:val="22"/>
          <w:lang w:val="en-US"/>
        </w:rPr>
        <w:t>ն</w:t>
      </w:r>
      <w:r w:rsidRPr="001F63BA">
        <w:rPr>
          <w:rFonts w:ascii="GHEA Grapalat" w:hAnsi="GHEA Grapalat"/>
          <w:sz w:val="22"/>
          <w:szCs w:val="22"/>
        </w:rPr>
        <w:t xml:space="preserve"> աճել են շուրջ 24.3%-ով, իսկ շարժական լայնաշերտ ինտերնետ կապի հոսքերը՝ 23.8%-ով: </w:t>
      </w:r>
    </w:p>
    <w:p w:rsidR="001C411D" w:rsidRPr="001F63BA" w:rsidRDefault="001C411D" w:rsidP="007A724F">
      <w:pPr>
        <w:spacing w:line="360" w:lineRule="auto"/>
        <w:ind w:firstLine="567"/>
        <w:jc w:val="both"/>
        <w:rPr>
          <w:rFonts w:ascii="GHEA Grapalat" w:hAnsi="GHEA Grapalat"/>
          <w:sz w:val="22"/>
          <w:szCs w:val="22"/>
        </w:rPr>
      </w:pPr>
    </w:p>
    <w:p w:rsidR="001C411D" w:rsidRPr="001F63BA" w:rsidRDefault="001C411D" w:rsidP="00695F26">
      <w:pPr>
        <w:pStyle w:val="Heading2"/>
        <w:spacing w:before="0"/>
      </w:pPr>
      <w:bookmarkStart w:id="28" w:name="_Toc132204206"/>
      <w:r w:rsidRPr="001F63BA">
        <w:lastRenderedPageBreak/>
        <w:t>Քաղաքացիական ավիացիա</w:t>
      </w:r>
      <w:bookmarkEnd w:id="28"/>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 xml:space="preserve">Իրականացվել է ինստիտուցիոնալ համագործակցություն Քաղաքացիական ավիացիայի միջազգային կազմակերպության (ICAO), Թռիչքների անվտանգության եվրոպական գործակալության (EASA) հետ, ԵՏՀ տրանսպորտի և ենթակառուցվածքի հարցերով խորհրդատվական կոմիտեի քաղաքացիական ավիացիայի ենթակոմիտեի շրջանակներում: </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ԵՄ թռիչքների անվտանգության ցուցակից դուրս գալու կապակցությամբ ՀՀ Քաղաքացիական ավիացիայի կոմիտեն համագործակցում է Թռիչքների անվտանգության եվրոպական գործակալության (EASA)</w:t>
      </w:r>
      <w:r w:rsidRPr="001F63BA">
        <w:rPr>
          <w:rFonts w:ascii="GHEA Grapalat" w:hAnsi="GHEA Grapalat"/>
          <w:sz w:val="22"/>
          <w:szCs w:val="22"/>
          <w:lang w:val="en-US"/>
        </w:rPr>
        <w:t xml:space="preserve"> հետ</w:t>
      </w:r>
      <w:r w:rsidRPr="001F63BA">
        <w:rPr>
          <w:rFonts w:ascii="GHEA Grapalat" w:hAnsi="GHEA Grapalat"/>
          <w:sz w:val="22"/>
          <w:szCs w:val="22"/>
        </w:rPr>
        <w:t>: Համագործակցության շրջանակներում</w:t>
      </w:r>
      <w:r w:rsidRPr="001F63BA">
        <w:rPr>
          <w:rFonts w:ascii="GHEA Grapalat" w:hAnsi="GHEA Grapalat"/>
          <w:sz w:val="22"/>
          <w:szCs w:val="22"/>
          <w:lang w:val="en-US"/>
        </w:rPr>
        <w:t>,</w:t>
      </w:r>
      <w:r w:rsidRPr="001F63BA">
        <w:rPr>
          <w:rFonts w:ascii="GHEA Grapalat" w:hAnsi="GHEA Grapalat"/>
          <w:sz w:val="22"/>
          <w:szCs w:val="22"/>
        </w:rPr>
        <w:t xml:space="preserve"> մասնավորապես</w:t>
      </w:r>
      <w:r w:rsidRPr="001F63BA">
        <w:rPr>
          <w:rFonts w:ascii="GHEA Grapalat" w:hAnsi="GHEA Grapalat"/>
          <w:sz w:val="22"/>
          <w:szCs w:val="22"/>
          <w:lang w:val="en-US"/>
        </w:rPr>
        <w:t>,</w:t>
      </w:r>
      <w:r w:rsidRPr="001F63BA">
        <w:rPr>
          <w:rFonts w:ascii="GHEA Grapalat" w:hAnsi="GHEA Grapalat"/>
          <w:sz w:val="22"/>
          <w:szCs w:val="22"/>
        </w:rPr>
        <w:t xml:space="preserve"> իրականացվել են մի շարք ընթացակարգերի մշակում և ներդրում, դասընթացների կազմակերպում:</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 xml:space="preserve">Թռիչքային և ավիացիոն անվտանգության մակարդակի բարձրացման նպատակով ոլորտի կանոնակարգման շրջանակներում Քաղաքացիական ավիացիայի կոմիտեի կողմից մշակվել և ընդունվել են </w:t>
      </w:r>
      <w:r w:rsidRPr="001F63BA">
        <w:rPr>
          <w:rFonts w:ascii="GHEA Grapalat" w:hAnsi="GHEA Grapalat"/>
          <w:sz w:val="22"/>
          <w:szCs w:val="22"/>
          <w:lang w:val="en-US"/>
        </w:rPr>
        <w:t>17</w:t>
      </w:r>
      <w:r w:rsidRPr="001F63BA">
        <w:rPr>
          <w:rFonts w:ascii="GHEA Grapalat" w:hAnsi="GHEA Grapalat"/>
          <w:sz w:val="22"/>
          <w:szCs w:val="22"/>
        </w:rPr>
        <w:t xml:space="preserve"> նորմատիվ իրավական ակտեր: Մշակված և շրջանառված նորմատիվ իրավական ակտերի թվում են Քաղաքացիական ավիացիայի կոմիտեի կառուցվածքային և ֆինանսական փոփոխություններ կատարելու մասին ՀՀ կառավարության որոշման նախագիծ</w:t>
      </w:r>
      <w:r w:rsidRPr="001F63BA">
        <w:rPr>
          <w:rFonts w:ascii="GHEA Grapalat" w:hAnsi="GHEA Grapalat"/>
          <w:sz w:val="22"/>
          <w:szCs w:val="22"/>
          <w:lang w:val="en-US"/>
        </w:rPr>
        <w:t>ը</w:t>
      </w:r>
      <w:r w:rsidRPr="001F63BA">
        <w:rPr>
          <w:rFonts w:ascii="GHEA Grapalat" w:hAnsi="GHEA Grapalat"/>
          <w:sz w:val="22"/>
          <w:szCs w:val="22"/>
        </w:rPr>
        <w:t xml:space="preserve"> և Պետական տուրքի մասին օրենքում լրացում կատարելու մասին ՀՀ օրենքի նախագիծը, որոնց ընդունումը և իրականացումը կնպաստեն Քաղաքացիական ավիացիայի կոմիտեի թռիչքային և ավիացիոն անվտանգության շարունակական բարձրացմանը, որակի ապահովման, կառավարման և վերահսկողության գործառույթների արդյունավետ իրականացմանը, ինչպես նաև կոմիտեի կողմից մատուցվող մի շարք ծառայությունների վճարովի մատուցմանը՝ միաժամանակ գանձվող պետական տուրքերն ուղղելով պետական բյուջե, այդ թվում՝ վերը նշված փոփոխություններով պայմանավորված առաջացող լրացուցիչ ծախսերի ֆինանսավորման նպատակով:</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 xml:space="preserve">Տրամադրվել է 2 օդանավ շահագործողի վկայական` «Հայկական Ազգային Ավիաուղիներ» (Ֆլայ Արնա) ավիաընկերությանը և «Հայկական Ավիաուղիներ» սահմանափակ պատասխանատվությամբ ընկերությանը: Երկարաձգվել </w:t>
      </w:r>
      <w:r w:rsidRPr="001F63BA">
        <w:rPr>
          <w:rFonts w:ascii="GHEA Grapalat" w:hAnsi="GHEA Grapalat"/>
          <w:sz w:val="22"/>
          <w:szCs w:val="22"/>
          <w:lang w:val="en-US"/>
        </w:rPr>
        <w:t xml:space="preserve">են </w:t>
      </w:r>
      <w:r w:rsidRPr="001F63BA">
        <w:rPr>
          <w:rFonts w:ascii="GHEA Grapalat" w:hAnsi="GHEA Grapalat"/>
          <w:sz w:val="22"/>
          <w:szCs w:val="22"/>
        </w:rPr>
        <w:t>«Ավիակոմպանիա Արմենիա», «Արմենիան Հելիքոփթերս», «ՆովԷյր» ավիաընկերությունների օդանավ շահագործողի վկայական</w:t>
      </w:r>
      <w:r w:rsidRPr="001F63BA">
        <w:rPr>
          <w:rFonts w:ascii="GHEA Grapalat" w:hAnsi="GHEA Grapalat"/>
          <w:sz w:val="22"/>
          <w:szCs w:val="22"/>
          <w:lang w:val="en-US"/>
        </w:rPr>
        <w:t>ներ</w:t>
      </w:r>
      <w:r w:rsidRPr="001F63BA">
        <w:rPr>
          <w:rFonts w:ascii="GHEA Grapalat" w:hAnsi="GHEA Grapalat"/>
          <w:sz w:val="22"/>
          <w:szCs w:val="22"/>
        </w:rPr>
        <w:t>ի գործողության ժամկետ</w:t>
      </w:r>
      <w:r w:rsidRPr="001F63BA">
        <w:rPr>
          <w:rFonts w:ascii="GHEA Grapalat" w:hAnsi="GHEA Grapalat"/>
          <w:sz w:val="22"/>
          <w:szCs w:val="22"/>
          <w:lang w:val="en-US"/>
        </w:rPr>
        <w:t>ներ</w:t>
      </w:r>
      <w:r w:rsidRPr="001F63BA">
        <w:rPr>
          <w:rFonts w:ascii="GHEA Grapalat" w:hAnsi="GHEA Grapalat"/>
          <w:sz w:val="22"/>
          <w:szCs w:val="22"/>
        </w:rPr>
        <w:t xml:space="preserve">ը: </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Կանոնավոր առևտրային օդային փոխադրումների իրականացման հավաստագիր է տրամադրվել «Հայկական Ազգային Ավիաուղիներ» (Ֆլայ Արնա) ավիաընկերությանը: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695F26">
      <w:pPr>
        <w:pStyle w:val="Heading2"/>
        <w:spacing w:before="0"/>
      </w:pPr>
      <w:bookmarkStart w:id="29" w:name="_Toc132204207"/>
      <w:r w:rsidRPr="001F63BA">
        <w:t>Պետական գույքի կառավարում</w:t>
      </w:r>
      <w:bookmarkEnd w:id="29"/>
    </w:p>
    <w:p w:rsidR="001C411D" w:rsidRPr="001F63BA" w:rsidRDefault="001C411D" w:rsidP="00D30C57">
      <w:pPr>
        <w:spacing w:line="360" w:lineRule="auto"/>
        <w:ind w:firstLine="567"/>
        <w:jc w:val="both"/>
        <w:rPr>
          <w:rFonts w:ascii="GHEA Grapalat" w:hAnsi="GHEA Grapalat"/>
          <w:sz w:val="22"/>
          <w:szCs w:val="22"/>
          <w:lang w:val="en-US"/>
        </w:rPr>
      </w:pPr>
      <w:r w:rsidRPr="001F63BA">
        <w:rPr>
          <w:rFonts w:ascii="GHEA Grapalat" w:hAnsi="GHEA Grapalat"/>
          <w:sz w:val="22"/>
          <w:szCs w:val="22"/>
        </w:rPr>
        <w:t>Հաշվետու ժամանակահատվածում պետական գույքի կառավարման առանձին բնագավառներում ձեռք են բերվել հետևյալ արդյունքները</w:t>
      </w:r>
      <w:r w:rsidRPr="001F63BA">
        <w:rPr>
          <w:rFonts w:ascii="GHEA Grapalat" w:hAnsi="GHEA Grapalat"/>
          <w:sz w:val="22"/>
          <w:szCs w:val="22"/>
          <w:lang w:val="en-US"/>
        </w:rPr>
        <w:t>:</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Պետական գույքի էլեկտրոնային հաշվառման համակարգում գրանցված է 10600 միավոր պետական սեփականություն հանդիսացող անշարժ գույք՝ 8205342.62 մ</w:t>
      </w:r>
      <w:r w:rsidRPr="001F63BA">
        <w:rPr>
          <w:rFonts w:ascii="GHEA Grapalat" w:hAnsi="GHEA Grapalat"/>
          <w:sz w:val="22"/>
          <w:szCs w:val="22"/>
          <w:vertAlign w:val="superscript"/>
          <w:lang w:val="en-US"/>
        </w:rPr>
        <w:t>2</w:t>
      </w:r>
      <w:r w:rsidRPr="001F63BA">
        <w:rPr>
          <w:rFonts w:ascii="GHEA Grapalat" w:hAnsi="GHEA Grapalat"/>
          <w:sz w:val="22"/>
          <w:szCs w:val="22"/>
        </w:rPr>
        <w:t xml:space="preserve"> ընդհանուր մակերեսով, 193 իրավաբանական անձանց գույքի կազմում ընդգրկված 2630 միավոր անշարժ գույք՝ 1313749.4</w:t>
      </w:r>
      <w:r w:rsidRPr="001F63BA">
        <w:rPr>
          <w:rFonts w:ascii="Courier New" w:hAnsi="Courier New" w:cs="Courier New"/>
          <w:sz w:val="22"/>
          <w:szCs w:val="22"/>
          <w:lang w:val="en-US"/>
        </w:rPr>
        <w:t> </w:t>
      </w:r>
      <w:r w:rsidRPr="001F63BA">
        <w:rPr>
          <w:rFonts w:ascii="GHEA Grapalat" w:hAnsi="GHEA Grapalat"/>
          <w:sz w:val="22"/>
          <w:szCs w:val="22"/>
        </w:rPr>
        <w:t>մ</w:t>
      </w:r>
      <w:r w:rsidRPr="001F63BA">
        <w:rPr>
          <w:rFonts w:ascii="GHEA Grapalat" w:hAnsi="GHEA Grapalat"/>
          <w:sz w:val="22"/>
          <w:szCs w:val="22"/>
          <w:vertAlign w:val="superscript"/>
        </w:rPr>
        <w:t>2</w:t>
      </w:r>
      <w:r w:rsidRPr="001F63BA">
        <w:rPr>
          <w:rFonts w:ascii="GHEA Grapalat" w:hAnsi="GHEA Grapalat"/>
          <w:sz w:val="22"/>
          <w:szCs w:val="22"/>
        </w:rPr>
        <w:t xml:space="preserve"> ընդհանուր մակերեսով, 3877 միավոր տրանսպորտային միջոց, 251 անվանում (քանակը՝ 13852) մտավոր սեփականության օբյեկտ, ընդհանուր օգտագործման ավտոմոբիլային ճանապարհների երկարությունը կազմում է 7742.19 կմ (այդ թվում` միջպետական նշանակության` 1721.34 կմ, հանրապետական նշանակության` 2065.75 կմ, մարզային նշանակության` 3955.1 կմ):</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Հաշվետու ժամանակահատվածում լուծարվող կազմակերպություններում և հիմնադրամներում իրականացվել </w:t>
      </w:r>
      <w:r w:rsidRPr="001F63BA">
        <w:rPr>
          <w:rFonts w:ascii="GHEA Grapalat" w:hAnsi="GHEA Grapalat"/>
          <w:sz w:val="22"/>
          <w:szCs w:val="22"/>
          <w:lang w:val="en-US"/>
        </w:rPr>
        <w:t>են</w:t>
      </w:r>
      <w:r w:rsidRPr="001F63BA">
        <w:rPr>
          <w:rFonts w:ascii="GHEA Grapalat" w:hAnsi="GHEA Grapalat"/>
          <w:sz w:val="22"/>
          <w:szCs w:val="22"/>
        </w:rPr>
        <w:t xml:space="preserve"> շուրջ 532,832.0 հազ.</w:t>
      </w:r>
      <w:r w:rsidRPr="001F63BA">
        <w:rPr>
          <w:rFonts w:ascii="GHEA Grapalat" w:hAnsi="GHEA Grapalat"/>
          <w:sz w:val="22"/>
          <w:szCs w:val="22"/>
          <w:lang w:val="en-US"/>
        </w:rPr>
        <w:t xml:space="preserve"> </w:t>
      </w:r>
      <w:r w:rsidRPr="001F63BA">
        <w:rPr>
          <w:rFonts w:ascii="GHEA Grapalat" w:hAnsi="GHEA Grapalat"/>
          <w:sz w:val="22"/>
          <w:szCs w:val="22"/>
        </w:rPr>
        <w:t>դրամի վճարումներ, որից ՀՀ պետական բյուջե` 459,005.0</w:t>
      </w:r>
      <w:r w:rsidRPr="001F63BA">
        <w:rPr>
          <w:rFonts w:ascii="Courier New" w:hAnsi="Courier New" w:cs="Courier New"/>
          <w:sz w:val="22"/>
          <w:szCs w:val="22"/>
          <w:lang w:val="en-US"/>
        </w:rPr>
        <w:t> </w:t>
      </w:r>
      <w:r w:rsidRPr="001F63BA">
        <w:rPr>
          <w:rFonts w:ascii="GHEA Grapalat" w:hAnsi="GHEA Grapalat"/>
          <w:sz w:val="22"/>
          <w:szCs w:val="22"/>
        </w:rPr>
        <w:t>հազ.</w:t>
      </w:r>
      <w:r w:rsidRPr="001F63BA">
        <w:rPr>
          <w:rFonts w:ascii="GHEA Grapalat" w:hAnsi="GHEA Grapalat"/>
          <w:sz w:val="22"/>
          <w:szCs w:val="22"/>
          <w:lang w:val="en-US"/>
        </w:rPr>
        <w:t xml:space="preserve"> </w:t>
      </w:r>
      <w:r w:rsidRPr="001F63BA">
        <w:rPr>
          <w:rFonts w:ascii="GHEA Grapalat" w:hAnsi="GHEA Grapalat"/>
          <w:sz w:val="22"/>
          <w:szCs w:val="22"/>
        </w:rPr>
        <w:t xml:space="preserve">դրամ գումար, </w:t>
      </w:r>
      <w:r w:rsidRPr="001F63BA">
        <w:rPr>
          <w:rFonts w:ascii="GHEA Grapalat" w:hAnsi="GHEA Grapalat"/>
          <w:sz w:val="22"/>
          <w:szCs w:val="22"/>
          <w:lang w:val="en-US"/>
        </w:rPr>
        <w:t>Պետական գույքի կառավարման կ</w:t>
      </w:r>
      <w:r w:rsidRPr="001F63BA">
        <w:rPr>
          <w:rFonts w:ascii="GHEA Grapalat" w:hAnsi="GHEA Grapalat"/>
          <w:sz w:val="22"/>
          <w:szCs w:val="22"/>
        </w:rPr>
        <w:t>ոմիտեի ենթակայության շահույթով աշխատած 4 ընկերություն ՀՀ պետական բյուջե են փոխանցել 4</w:t>
      </w:r>
      <w:r w:rsidRPr="001F63BA">
        <w:rPr>
          <w:rFonts w:ascii="GHEA Grapalat" w:hAnsi="GHEA Grapalat"/>
          <w:sz w:val="22"/>
          <w:szCs w:val="22"/>
          <w:lang w:val="en-US"/>
        </w:rPr>
        <w:t>3</w:t>
      </w:r>
      <w:r w:rsidRPr="001F63BA">
        <w:rPr>
          <w:rFonts w:ascii="GHEA Grapalat" w:hAnsi="GHEA Grapalat"/>
          <w:sz w:val="22"/>
          <w:szCs w:val="22"/>
        </w:rPr>
        <w:t>,</w:t>
      </w:r>
      <w:r w:rsidRPr="001F63BA">
        <w:rPr>
          <w:rFonts w:ascii="GHEA Grapalat" w:hAnsi="GHEA Grapalat"/>
          <w:sz w:val="22"/>
          <w:szCs w:val="22"/>
          <w:lang w:val="en-US"/>
        </w:rPr>
        <w:t>568.1</w:t>
      </w:r>
      <w:r w:rsidRPr="001F63BA">
        <w:rPr>
          <w:rFonts w:ascii="GHEA Grapalat" w:hAnsi="GHEA Grapalat"/>
          <w:sz w:val="22"/>
          <w:szCs w:val="22"/>
        </w:rPr>
        <w:t xml:space="preserve"> հազ.</w:t>
      </w:r>
      <w:r w:rsidRPr="001F63BA">
        <w:rPr>
          <w:rFonts w:ascii="GHEA Grapalat" w:hAnsi="GHEA Grapalat"/>
          <w:sz w:val="22"/>
          <w:szCs w:val="22"/>
          <w:lang w:val="en-US"/>
        </w:rPr>
        <w:t xml:space="preserve"> </w:t>
      </w:r>
      <w:r w:rsidRPr="001F63BA">
        <w:rPr>
          <w:rFonts w:ascii="GHEA Grapalat" w:hAnsi="GHEA Grapalat"/>
          <w:sz w:val="22"/>
          <w:szCs w:val="22"/>
        </w:rPr>
        <w:t>դրամ շահութաբաժնի գումար: Լուծարումից հետո ՀՀ պետական բյուջե է փոխանցվել 9,284,725.0 հազ.</w:t>
      </w:r>
      <w:r w:rsidRPr="001F63BA">
        <w:rPr>
          <w:rFonts w:ascii="GHEA Grapalat" w:hAnsi="GHEA Grapalat"/>
          <w:sz w:val="22"/>
          <w:szCs w:val="22"/>
          <w:lang w:val="en-US"/>
        </w:rPr>
        <w:t xml:space="preserve"> </w:t>
      </w:r>
      <w:r w:rsidRPr="001F63BA">
        <w:rPr>
          <w:rFonts w:ascii="GHEA Grapalat" w:hAnsi="GHEA Grapalat"/>
          <w:sz w:val="22"/>
          <w:szCs w:val="22"/>
        </w:rPr>
        <w:t>դրամ գումար։</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Բարենպաստ ներդրումային միջավայր ստեղծելու և պետական գույքի արդյունավետությունը բարձրացնելու միջոցառման շրջանակներում ընդունված իրավական ակտերի համաձայն հրապարակային սակարկություններով օտարվել է 15 անվանում անշարժ գույք, որոնց վաճառքի գինը կազմել է 18,572,295,215 դրամ։ ԸՆդ որում</w:t>
      </w:r>
      <w:r w:rsidRPr="001F63BA">
        <w:rPr>
          <w:rFonts w:ascii="GHEA Grapalat" w:hAnsi="GHEA Grapalat"/>
          <w:sz w:val="22"/>
          <w:szCs w:val="22"/>
          <w:lang w:val="en-US"/>
        </w:rPr>
        <w:t>,</w:t>
      </w:r>
      <w:r w:rsidRPr="001F63BA">
        <w:rPr>
          <w:rFonts w:ascii="GHEA Grapalat" w:hAnsi="GHEA Grapalat"/>
          <w:sz w:val="22"/>
          <w:szCs w:val="22"/>
        </w:rPr>
        <w:t xml:space="preserve"> կնքված 9 օտարման պայմանագրերով գնորդները ստանձնել են 82,340,60,000 դրամի ներդրումային և 5 պայմանագրերով</w:t>
      </w:r>
      <w:r w:rsidRPr="001F63BA">
        <w:rPr>
          <w:rFonts w:ascii="GHEA Grapalat" w:hAnsi="GHEA Grapalat"/>
          <w:sz w:val="22"/>
          <w:szCs w:val="22"/>
          <w:lang w:val="en-US"/>
        </w:rPr>
        <w:t>՝</w:t>
      </w:r>
      <w:r w:rsidRPr="001F63BA">
        <w:rPr>
          <w:rFonts w:ascii="GHEA Grapalat" w:hAnsi="GHEA Grapalat"/>
          <w:sz w:val="22"/>
          <w:szCs w:val="22"/>
        </w:rPr>
        <w:t xml:space="preserve"> 203 սոցիալական երաշխիքների ապահովման պարտավորություններ։ </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Բնակչության սոցիալական խնդիրն</w:t>
      </w:r>
      <w:r w:rsidR="000E2BFA" w:rsidRPr="001F63BA">
        <w:rPr>
          <w:rFonts w:ascii="GHEA Grapalat" w:hAnsi="GHEA Grapalat"/>
          <w:sz w:val="22"/>
          <w:szCs w:val="22"/>
        </w:rPr>
        <w:t xml:space="preserve">երի լուծման ոլորտում մշակվել և </w:t>
      </w:r>
      <w:r w:rsidR="000E2BFA" w:rsidRPr="001F63BA">
        <w:rPr>
          <w:rFonts w:ascii="GHEA Grapalat" w:hAnsi="GHEA Grapalat"/>
          <w:sz w:val="22"/>
          <w:szCs w:val="22"/>
          <w:lang w:val="en-US"/>
        </w:rPr>
        <w:t>Կ</w:t>
      </w:r>
      <w:r w:rsidRPr="001F63BA">
        <w:rPr>
          <w:rFonts w:ascii="GHEA Grapalat" w:hAnsi="GHEA Grapalat"/>
          <w:sz w:val="22"/>
          <w:szCs w:val="22"/>
        </w:rPr>
        <w:t xml:space="preserve">առավարության կողմից ընդունվել են 1988-1992 թվականներին Ադրբեջանի Հանրապետությունից բռնագաղթած և ՀՀ քաղաքացիություն ստացած անձանց կողմից զբաղեցրած բնակելի տարածքները սեփականաշնորհելու մասին </w:t>
      </w:r>
      <w:r w:rsidR="000E2BFA" w:rsidRPr="001F63BA">
        <w:rPr>
          <w:rFonts w:ascii="GHEA Grapalat" w:hAnsi="GHEA Grapalat"/>
          <w:sz w:val="22"/>
          <w:szCs w:val="22"/>
          <w:lang w:val="en-US"/>
        </w:rPr>
        <w:t>Կ</w:t>
      </w:r>
      <w:r w:rsidRPr="001F63BA">
        <w:rPr>
          <w:rFonts w:ascii="GHEA Grapalat" w:hAnsi="GHEA Grapalat"/>
          <w:sz w:val="22"/>
          <w:szCs w:val="22"/>
        </w:rPr>
        <w:t>առավարության</w:t>
      </w:r>
      <w:r w:rsidRPr="001F63BA">
        <w:rPr>
          <w:rFonts w:ascii="GHEA Grapalat" w:hAnsi="GHEA Grapalat"/>
          <w:sz w:val="22"/>
          <w:szCs w:val="22"/>
          <w:lang w:val="en-US"/>
        </w:rPr>
        <w:t xml:space="preserve"> 2</w:t>
      </w:r>
      <w:r w:rsidRPr="001F63BA">
        <w:rPr>
          <w:rFonts w:ascii="GHEA Grapalat" w:hAnsi="GHEA Grapalat"/>
          <w:sz w:val="22"/>
          <w:szCs w:val="22"/>
        </w:rPr>
        <w:t xml:space="preserve"> որոշում՝ վերջիններիս ընտանիքների կողմից զբաղեցրած բնակելի տարածքներն իրենց ընտանիքներին սեփականաշնորհելու նպատակով (12 բնակելի տարածք, 10 ընտանիք, 17 անձ), իսկ տեղաբնակ հանդիսացող ՀՀ քաղաքացիների</w:t>
      </w:r>
      <w:r w:rsidRPr="001F63BA">
        <w:rPr>
          <w:rFonts w:ascii="GHEA Grapalat" w:hAnsi="GHEA Grapalat"/>
          <w:sz w:val="22"/>
          <w:szCs w:val="22"/>
          <w:lang w:val="en-US"/>
        </w:rPr>
        <w:t>ն՝</w:t>
      </w:r>
      <w:r w:rsidRPr="001F63BA">
        <w:rPr>
          <w:rFonts w:ascii="GHEA Grapalat" w:hAnsi="GHEA Grapalat"/>
          <w:sz w:val="22"/>
          <w:szCs w:val="22"/>
        </w:rPr>
        <w:t xml:space="preserve"> իրենց կողմից զբաղեցրած բնակելի տարածքները նվիրելու նպատակով մշակվել և ընդունվել է </w:t>
      </w:r>
      <w:r w:rsidR="000E2BFA" w:rsidRPr="001F63BA">
        <w:rPr>
          <w:rFonts w:ascii="GHEA Grapalat" w:hAnsi="GHEA Grapalat"/>
          <w:sz w:val="22"/>
          <w:szCs w:val="22"/>
        </w:rPr>
        <w:t>Կառավարությ</w:t>
      </w:r>
      <w:r w:rsidRPr="001F63BA">
        <w:rPr>
          <w:rFonts w:ascii="GHEA Grapalat" w:hAnsi="GHEA Grapalat"/>
          <w:sz w:val="22"/>
          <w:szCs w:val="22"/>
        </w:rPr>
        <w:t xml:space="preserve">ան </w:t>
      </w:r>
      <w:r w:rsidRPr="001F63BA">
        <w:rPr>
          <w:rFonts w:ascii="GHEA Grapalat" w:hAnsi="GHEA Grapalat"/>
          <w:sz w:val="22"/>
          <w:szCs w:val="22"/>
          <w:lang w:val="en-US"/>
        </w:rPr>
        <w:t xml:space="preserve">3 </w:t>
      </w:r>
      <w:r w:rsidRPr="001F63BA">
        <w:rPr>
          <w:rFonts w:ascii="GHEA Grapalat" w:hAnsi="GHEA Grapalat"/>
          <w:sz w:val="22"/>
          <w:szCs w:val="22"/>
        </w:rPr>
        <w:t>որոշում (26 բնակելի տարածք, 25 ընտանիք, 55 անձ):</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Հաշվետու ժամանակահատվածում պետական գույքի օտարումից ստացված միջոցները կազմել են 3,291,977.4 հազ.</w:t>
      </w:r>
      <w:r w:rsidRPr="001F63BA">
        <w:rPr>
          <w:rFonts w:ascii="GHEA Grapalat" w:hAnsi="GHEA Grapalat"/>
          <w:sz w:val="22"/>
          <w:szCs w:val="22"/>
          <w:lang w:val="en-US"/>
        </w:rPr>
        <w:t xml:space="preserve"> </w:t>
      </w:r>
      <w:r w:rsidRPr="001F63BA">
        <w:rPr>
          <w:rFonts w:ascii="GHEA Grapalat" w:hAnsi="GHEA Grapalat"/>
          <w:sz w:val="22"/>
          <w:szCs w:val="22"/>
        </w:rPr>
        <w:t>դրամ, որից ՀՀ պետական բյուջե է փոխանցվել 2,438,993.7 հազ.</w:t>
      </w:r>
      <w:r w:rsidRPr="001F63BA">
        <w:rPr>
          <w:rFonts w:ascii="GHEA Grapalat" w:hAnsi="GHEA Grapalat"/>
          <w:sz w:val="22"/>
          <w:szCs w:val="22"/>
          <w:lang w:val="en-US"/>
        </w:rPr>
        <w:t xml:space="preserve"> </w:t>
      </w:r>
      <w:r w:rsidRPr="001F63BA">
        <w:rPr>
          <w:rFonts w:ascii="GHEA Grapalat" w:hAnsi="GHEA Grapalat"/>
          <w:sz w:val="22"/>
          <w:szCs w:val="22"/>
        </w:rPr>
        <w:t>դրամ, պետական գույքի մասնավորեցումից ստացված միջոցները կազմել են 845,281.2 հազ.</w:t>
      </w:r>
      <w:r w:rsidRPr="001F63BA">
        <w:rPr>
          <w:rFonts w:ascii="GHEA Grapalat" w:hAnsi="GHEA Grapalat"/>
          <w:sz w:val="22"/>
          <w:szCs w:val="22"/>
          <w:lang w:val="en-US"/>
        </w:rPr>
        <w:t xml:space="preserve"> </w:t>
      </w:r>
      <w:r w:rsidRPr="001F63BA">
        <w:rPr>
          <w:rFonts w:ascii="GHEA Grapalat" w:hAnsi="GHEA Grapalat"/>
          <w:sz w:val="22"/>
          <w:szCs w:val="22"/>
        </w:rPr>
        <w:t>դրամ, որից ՀՀ պետական բյուջե է փոխանցվել 607,020.1 հազ.</w:t>
      </w:r>
      <w:r w:rsidRPr="001F63BA">
        <w:rPr>
          <w:rFonts w:ascii="GHEA Grapalat" w:hAnsi="GHEA Grapalat"/>
          <w:sz w:val="22"/>
          <w:szCs w:val="22"/>
          <w:lang w:val="en-US"/>
        </w:rPr>
        <w:t xml:space="preserve"> </w:t>
      </w:r>
      <w:r w:rsidRPr="001F63BA">
        <w:rPr>
          <w:rFonts w:ascii="GHEA Grapalat" w:hAnsi="GHEA Grapalat"/>
          <w:sz w:val="22"/>
          <w:szCs w:val="22"/>
        </w:rPr>
        <w:t>դրամ, պետական գույքի վարձակալությունից ՀՀ պետական բյուջե է մուտքագրվել 470,288.7 հազ.</w:t>
      </w:r>
      <w:r w:rsidRPr="001F63BA">
        <w:rPr>
          <w:rFonts w:ascii="GHEA Grapalat" w:hAnsi="GHEA Grapalat"/>
          <w:sz w:val="22"/>
          <w:szCs w:val="22"/>
          <w:lang w:val="en-US"/>
        </w:rPr>
        <w:t xml:space="preserve"> </w:t>
      </w:r>
      <w:r w:rsidRPr="001F63BA">
        <w:rPr>
          <w:rFonts w:ascii="GHEA Grapalat" w:hAnsi="GHEA Grapalat"/>
          <w:sz w:val="22"/>
          <w:szCs w:val="22"/>
        </w:rPr>
        <w:t xml:space="preserve">դրամ, ՀՀ պետական սեփականություն </w:t>
      </w:r>
      <w:r w:rsidRPr="001F63BA">
        <w:rPr>
          <w:rFonts w:ascii="GHEA Grapalat" w:hAnsi="GHEA Grapalat"/>
          <w:sz w:val="22"/>
          <w:szCs w:val="22"/>
        </w:rPr>
        <w:lastRenderedPageBreak/>
        <w:t>հանդիսացող շենքերի և շինությունների տանիքներին ու ձեղնահարկերում կապի սարքավորումների տեղակայման և սպասարկման պայմանագրերից հավաքագրվել է 318,577.0</w:t>
      </w:r>
      <w:r w:rsidRPr="001F63BA">
        <w:rPr>
          <w:rFonts w:ascii="Courier New" w:hAnsi="Courier New" w:cs="Courier New"/>
          <w:sz w:val="22"/>
          <w:szCs w:val="22"/>
          <w:lang w:val="en-US"/>
        </w:rPr>
        <w:t> </w:t>
      </w:r>
      <w:r w:rsidRPr="001F63BA">
        <w:rPr>
          <w:rFonts w:ascii="GHEA Grapalat" w:hAnsi="GHEA Grapalat"/>
          <w:sz w:val="22"/>
          <w:szCs w:val="22"/>
        </w:rPr>
        <w:t>հազ. դրամ, որից 78,923.3 հազ. դրամը մուտքագրվել է ՀՀ պետական բյուջե: Պետական սեփականություն համարվող հողերի կադաստրային արժեքի վճարումից մուտքերը կազմել են 4,014,603.6 հազ.</w:t>
      </w:r>
      <w:r w:rsidRPr="001F63BA">
        <w:rPr>
          <w:rFonts w:ascii="GHEA Grapalat" w:hAnsi="GHEA Grapalat"/>
          <w:sz w:val="22"/>
          <w:szCs w:val="22"/>
          <w:lang w:val="en-US"/>
        </w:rPr>
        <w:t xml:space="preserve"> </w:t>
      </w:r>
      <w:r w:rsidRPr="001F63BA">
        <w:rPr>
          <w:rFonts w:ascii="GHEA Grapalat" w:hAnsi="GHEA Grapalat"/>
          <w:sz w:val="22"/>
          <w:szCs w:val="22"/>
        </w:rPr>
        <w:t xml:space="preserve">դրամ: </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Վերը նշված հոդվածներով ստացված դրամական միջոցները կազմել են 8,940,727.9 հազ.</w:t>
      </w:r>
      <w:r w:rsidRPr="001F63BA">
        <w:rPr>
          <w:rFonts w:ascii="GHEA Grapalat" w:hAnsi="GHEA Grapalat"/>
          <w:sz w:val="22"/>
          <w:szCs w:val="22"/>
          <w:lang w:val="en-US"/>
        </w:rPr>
        <w:t xml:space="preserve"> </w:t>
      </w:r>
      <w:r w:rsidRPr="001F63BA">
        <w:rPr>
          <w:rFonts w:ascii="GHEA Grapalat" w:hAnsi="GHEA Grapalat"/>
          <w:sz w:val="22"/>
          <w:szCs w:val="22"/>
        </w:rPr>
        <w:t>դրամ, որից ՀՀ պետական բյուջե է փոխանցվել 7,609,829.4 հազ.</w:t>
      </w:r>
      <w:r w:rsidRPr="001F63BA">
        <w:rPr>
          <w:rFonts w:ascii="GHEA Grapalat" w:hAnsi="GHEA Grapalat"/>
          <w:sz w:val="22"/>
          <w:szCs w:val="22"/>
          <w:lang w:val="en-US"/>
        </w:rPr>
        <w:t xml:space="preserve"> </w:t>
      </w:r>
      <w:r w:rsidRPr="001F63BA">
        <w:rPr>
          <w:rFonts w:ascii="GHEA Grapalat" w:hAnsi="GHEA Grapalat"/>
          <w:sz w:val="22"/>
          <w:szCs w:val="22"/>
        </w:rPr>
        <w:t>դրամ։</w:t>
      </w:r>
    </w:p>
    <w:p w:rsidR="001C411D" w:rsidRPr="001F63BA" w:rsidRDefault="001C411D" w:rsidP="00D30C57">
      <w:pPr>
        <w:spacing w:line="360" w:lineRule="auto"/>
        <w:ind w:firstLine="567"/>
        <w:jc w:val="both"/>
        <w:rPr>
          <w:rFonts w:ascii="GHEA Grapalat" w:hAnsi="GHEA Grapalat"/>
          <w:sz w:val="22"/>
          <w:szCs w:val="22"/>
        </w:rPr>
      </w:pPr>
      <w:r w:rsidRPr="001F63BA">
        <w:rPr>
          <w:rFonts w:ascii="GHEA Grapalat" w:hAnsi="GHEA Grapalat"/>
          <w:sz w:val="22"/>
          <w:szCs w:val="22"/>
        </w:rPr>
        <w:t>Պետական գույքային հարաբերությունները կանոնակարգող օրենսդրության բարեփոխման ոլորտում ընդունվել է 24 իրավական ակտ, 5 ենթաօրենսդրական ակտ, մշակվել և օրենսդրությամբ սահմանված կարգով շրջանառության մեջ է դրվել 7 իրավական ակտի նախագիծ:</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695F26">
      <w:pPr>
        <w:pStyle w:val="Heading2"/>
        <w:spacing w:before="0"/>
      </w:pPr>
      <w:bookmarkStart w:id="30" w:name="_Toc132204208"/>
      <w:r w:rsidRPr="001F63BA">
        <w:t>Միգրացիա</w:t>
      </w:r>
      <w:bookmarkEnd w:id="30"/>
    </w:p>
    <w:p w:rsidR="001C411D" w:rsidRPr="001F63BA" w:rsidRDefault="001C411D" w:rsidP="000B4A4F">
      <w:pPr>
        <w:spacing w:line="360" w:lineRule="auto"/>
        <w:ind w:firstLine="567"/>
        <w:jc w:val="both"/>
        <w:rPr>
          <w:rFonts w:ascii="GHEA Grapalat" w:hAnsi="GHEA Grapalat"/>
          <w:sz w:val="22"/>
          <w:szCs w:val="22"/>
        </w:rPr>
      </w:pPr>
      <w:r w:rsidRPr="001F63BA">
        <w:rPr>
          <w:rFonts w:ascii="GHEA Grapalat" w:hAnsi="GHEA Grapalat"/>
          <w:sz w:val="22"/>
          <w:szCs w:val="22"/>
        </w:rPr>
        <w:t>2021</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դեկտեմբերի 16-ին </w:t>
      </w:r>
      <w:r w:rsidR="000E2BFA" w:rsidRPr="001F63BA">
        <w:rPr>
          <w:rFonts w:ascii="GHEA Grapalat" w:hAnsi="GHEA Grapalat"/>
          <w:sz w:val="22"/>
          <w:szCs w:val="22"/>
          <w:lang w:val="en-US"/>
        </w:rPr>
        <w:t>Կ</w:t>
      </w:r>
      <w:r w:rsidRPr="001F63BA">
        <w:rPr>
          <w:rFonts w:ascii="GHEA Grapalat" w:hAnsi="GHEA Grapalat"/>
          <w:sz w:val="22"/>
          <w:szCs w:val="22"/>
        </w:rPr>
        <w:t>առավարություն</w:t>
      </w:r>
      <w:r w:rsidRPr="001F63BA">
        <w:rPr>
          <w:rFonts w:ascii="GHEA Grapalat" w:hAnsi="GHEA Grapalat"/>
          <w:sz w:val="22"/>
          <w:szCs w:val="22"/>
          <w:lang w:val="en-US"/>
        </w:rPr>
        <w:t>ն</w:t>
      </w:r>
      <w:r w:rsidRPr="001F63BA">
        <w:rPr>
          <w:rFonts w:ascii="GHEA Grapalat" w:hAnsi="GHEA Grapalat"/>
          <w:sz w:val="22"/>
          <w:szCs w:val="22"/>
        </w:rPr>
        <w:t xml:space="preserve"> ընդունել է N 2087-Ն որոշումը, որով հաստատվել է օտարերկրացի աշխատողի ներգրավման միասնական էլեկտրոնային հարթակի վարման կարգը։</w:t>
      </w:r>
      <w:r w:rsidRPr="001F63BA">
        <w:rPr>
          <w:rFonts w:ascii="GHEA Grapalat" w:hAnsi="GHEA Grapalat"/>
          <w:sz w:val="22"/>
          <w:szCs w:val="22"/>
          <w:lang w:val="en-US"/>
        </w:rPr>
        <w:t xml:space="preserve"> </w:t>
      </w:r>
      <w:r w:rsidRPr="001F63BA">
        <w:rPr>
          <w:rFonts w:ascii="GHEA Grapalat" w:hAnsi="GHEA Grapalat"/>
          <w:sz w:val="22"/>
          <w:szCs w:val="22"/>
        </w:rPr>
        <w:t xml:space="preserve">Հաշվետու տարում </w:t>
      </w:r>
      <w:r w:rsidRPr="001F63BA">
        <w:rPr>
          <w:rFonts w:ascii="GHEA Grapalat" w:hAnsi="GHEA Grapalat"/>
          <w:sz w:val="22"/>
          <w:szCs w:val="22"/>
          <w:lang w:val="en-US"/>
        </w:rPr>
        <w:t>հ</w:t>
      </w:r>
      <w:r w:rsidRPr="001F63BA">
        <w:rPr>
          <w:rFonts w:ascii="GHEA Grapalat" w:hAnsi="GHEA Grapalat"/>
          <w:sz w:val="22"/>
          <w:szCs w:val="22"/>
        </w:rPr>
        <w:t>արթակի միջոցով Հայաստանի Հանրապետությունում աշխատանքի թույլտվություն և դրա հիմքով ժամանակավոր կացության կարգավիճակ տրամադրելու համար դիմել է 92 երկրի 2 468 քաղաքացի։</w:t>
      </w:r>
      <w:r w:rsidRPr="001F63BA">
        <w:rPr>
          <w:rFonts w:ascii="GHEA Grapalat" w:hAnsi="GHEA Grapalat"/>
          <w:sz w:val="22"/>
          <w:szCs w:val="22"/>
          <w:lang w:val="en-US"/>
        </w:rPr>
        <w:t xml:space="preserve"> </w:t>
      </w:r>
      <w:r w:rsidRPr="001F63BA">
        <w:rPr>
          <w:rFonts w:ascii="GHEA Grapalat" w:hAnsi="GHEA Grapalat"/>
          <w:sz w:val="22"/>
          <w:szCs w:val="22"/>
        </w:rPr>
        <w:t xml:space="preserve">ԵԱՏՄ անդամ պետությունների քաղաքացիներից </w:t>
      </w:r>
      <w:r w:rsidRPr="001F63BA">
        <w:rPr>
          <w:rFonts w:ascii="GHEA Grapalat" w:hAnsi="GHEA Grapalat"/>
          <w:sz w:val="22"/>
          <w:szCs w:val="22"/>
          <w:lang w:val="en-US"/>
        </w:rPr>
        <w:t>հ</w:t>
      </w:r>
      <w:r w:rsidRPr="001F63BA">
        <w:rPr>
          <w:rFonts w:ascii="GHEA Grapalat" w:hAnsi="GHEA Grapalat"/>
          <w:sz w:val="22"/>
          <w:szCs w:val="22"/>
        </w:rPr>
        <w:t>արթակում ստացվել է ՀՀ-ում բնակության օրինականությունը հավաստող տեղեկանքի տրամադրման 6341 դիմում։</w:t>
      </w:r>
    </w:p>
    <w:p w:rsidR="001C411D" w:rsidRPr="001F63BA" w:rsidRDefault="001C411D" w:rsidP="00F73F75">
      <w:pPr>
        <w:spacing w:line="360" w:lineRule="auto"/>
        <w:ind w:firstLine="567"/>
        <w:jc w:val="both"/>
        <w:rPr>
          <w:rFonts w:ascii="GHEA Grapalat" w:hAnsi="GHEA Grapalat"/>
          <w:sz w:val="22"/>
          <w:szCs w:val="22"/>
        </w:rPr>
      </w:pPr>
      <w:r w:rsidRPr="001F63BA">
        <w:rPr>
          <w:rFonts w:ascii="GHEA Grapalat" w:hAnsi="GHEA Grapalat"/>
          <w:sz w:val="22"/>
          <w:szCs w:val="22"/>
        </w:rPr>
        <w:t xml:space="preserve">Միգրացիոն ծառայությանը վերապահվել </w:t>
      </w:r>
      <w:r w:rsidRPr="001F63BA">
        <w:rPr>
          <w:rFonts w:ascii="GHEA Grapalat" w:hAnsi="GHEA Grapalat"/>
          <w:sz w:val="22"/>
          <w:szCs w:val="22"/>
          <w:lang w:val="en-US"/>
        </w:rPr>
        <w:t>են</w:t>
      </w:r>
      <w:r w:rsidRPr="001F63BA">
        <w:rPr>
          <w:rFonts w:ascii="GHEA Grapalat" w:hAnsi="GHEA Grapalat"/>
          <w:sz w:val="22"/>
          <w:szCs w:val="22"/>
        </w:rPr>
        <w:t xml:space="preserve"> օտարերկրացուն աշխատանքի թույլտվության կամ աշխատանքի հիմքով ժամանակավոր կացության կարգավիճակի տրամադրման համար պետական տուրքի գանձման աշխատանքները:</w:t>
      </w:r>
    </w:p>
    <w:p w:rsidR="001C411D" w:rsidRPr="001F63BA" w:rsidRDefault="001C411D" w:rsidP="00F73F75">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հունվարի 1</w:t>
      </w:r>
      <w:r w:rsidRPr="001F63BA">
        <w:rPr>
          <w:rFonts w:ascii="GHEA Grapalat" w:hAnsi="GHEA Grapalat"/>
          <w:sz w:val="22"/>
          <w:szCs w:val="22"/>
          <w:lang w:val="en-US"/>
        </w:rPr>
        <w:t>-</w:t>
      </w:r>
      <w:r w:rsidRPr="001F63BA">
        <w:rPr>
          <w:rFonts w:ascii="GHEA Grapalat" w:hAnsi="GHEA Grapalat"/>
          <w:sz w:val="22"/>
          <w:szCs w:val="22"/>
        </w:rPr>
        <w:t xml:space="preserve">ից գործարկվել է </w:t>
      </w:r>
      <w:r w:rsidRPr="001F63BA">
        <w:rPr>
          <w:rFonts w:ascii="GHEA Grapalat" w:hAnsi="GHEA Grapalat"/>
          <w:sz w:val="22"/>
          <w:szCs w:val="22"/>
          <w:lang w:val="en-US"/>
        </w:rPr>
        <w:t>օ</w:t>
      </w:r>
      <w:r w:rsidRPr="001F63BA">
        <w:rPr>
          <w:rFonts w:ascii="GHEA Grapalat" w:hAnsi="GHEA Grapalat"/>
          <w:sz w:val="22"/>
          <w:szCs w:val="22"/>
        </w:rPr>
        <w:t xml:space="preserve">տարերկրացի աշխատողի ներգրավման միասնական էլեկտրոնային հարթակը՝ </w:t>
      </w:r>
      <w:hyperlink r:id="rId13" w:history="1">
        <w:r w:rsidRPr="001F63BA">
          <w:rPr>
            <w:sz w:val="22"/>
            <w:szCs w:val="22"/>
          </w:rPr>
          <w:t>www.workpermit.am</w:t>
        </w:r>
      </w:hyperlink>
      <w:r w:rsidRPr="001F63BA">
        <w:rPr>
          <w:rFonts w:ascii="GHEA Grapalat" w:hAnsi="GHEA Grapalat"/>
          <w:sz w:val="22"/>
          <w:szCs w:val="22"/>
        </w:rPr>
        <w:t xml:space="preserve">, որը հնարավորություն է տալիս դիմումները ներկայացնել առցանց և այս գործընթացում ներգրավված բոլոր պետական մարմինների համար ապահովում է միաժամանակյա հասանելիություն։ </w:t>
      </w:r>
    </w:p>
    <w:p w:rsidR="001C411D" w:rsidRPr="001F63BA" w:rsidRDefault="001C411D" w:rsidP="00F73F75">
      <w:pPr>
        <w:spacing w:line="360" w:lineRule="auto"/>
        <w:ind w:firstLine="567"/>
        <w:jc w:val="both"/>
        <w:rPr>
          <w:rFonts w:ascii="GHEA Grapalat" w:hAnsi="GHEA Grapalat"/>
          <w:sz w:val="22"/>
          <w:szCs w:val="22"/>
        </w:rPr>
      </w:pPr>
      <w:r w:rsidRPr="001F63BA">
        <w:rPr>
          <w:rFonts w:ascii="GHEA Grapalat" w:hAnsi="GHEA Grapalat"/>
          <w:sz w:val="22"/>
          <w:szCs w:val="22"/>
        </w:rPr>
        <w:t>ՀՀ կառավարության 2019 թ</w:t>
      </w:r>
      <w:r w:rsidRPr="001F63BA">
        <w:rPr>
          <w:rFonts w:ascii="GHEA Grapalat" w:hAnsi="GHEA Grapalat"/>
          <w:sz w:val="22"/>
          <w:szCs w:val="22"/>
          <w:lang w:val="en-US"/>
        </w:rPr>
        <w:t>վականի</w:t>
      </w:r>
      <w:r w:rsidRPr="001F63BA">
        <w:rPr>
          <w:rFonts w:ascii="GHEA Grapalat" w:hAnsi="GHEA Grapalat"/>
          <w:sz w:val="22"/>
          <w:szCs w:val="22"/>
        </w:rPr>
        <w:t xml:space="preserve"> նոյեմբերի 21-ի թիվ 1666-Ն որոշմամբ մեկնարկ է տրվել Երևան քաղաքի վարչական շրջանների ժամանակավոր կացարաններում բնակվող, 1988-1992 թվականներին Ադրբեջանից բռնի տեղահանված ընտանիքների բնակարանային խնդիրը՝ բնակարանների գնման վկայագրերի տրամադրման միջոցով լուծելուն ուղղված ծրագրի առաջին, ՀՀ կառավարության 2020 թ</w:t>
      </w:r>
      <w:r w:rsidRPr="001F63BA">
        <w:rPr>
          <w:rFonts w:ascii="GHEA Grapalat" w:hAnsi="GHEA Grapalat"/>
          <w:sz w:val="22"/>
          <w:szCs w:val="22"/>
          <w:lang w:val="en-US"/>
        </w:rPr>
        <w:t>վականի</w:t>
      </w:r>
      <w:r w:rsidRPr="001F63BA">
        <w:rPr>
          <w:rFonts w:ascii="GHEA Grapalat" w:hAnsi="GHEA Grapalat"/>
          <w:sz w:val="22"/>
          <w:szCs w:val="22"/>
        </w:rPr>
        <w:t xml:space="preserve"> մայիսի 27-ի թիվ 866-Ն որոշմամբ՝ երկրորդ, իսկ ՀՀ կառավարության 2021 թվականի ապրիլի 29-ի թիվ 697-Ն որոշմամբ՝ երրորդ փուլը։ Վերջինիս </w:t>
      </w:r>
      <w:r w:rsidRPr="001F63BA">
        <w:rPr>
          <w:rFonts w:ascii="GHEA Grapalat" w:hAnsi="GHEA Grapalat"/>
          <w:sz w:val="22"/>
          <w:szCs w:val="22"/>
        </w:rPr>
        <w:lastRenderedPageBreak/>
        <w:t>իրականացմամբ ավարտին է հասցվում Երևան քաղաքում ժամանակավոր կացարաններում բնակվող Ադրբեջանից բռնի տեղահանված ընտանիքների բնակարանային խնդրի լուծումը։</w:t>
      </w:r>
      <w:r w:rsidRPr="001F63BA">
        <w:rPr>
          <w:rFonts w:ascii="GHEA Grapalat" w:hAnsi="GHEA Grapalat"/>
          <w:sz w:val="22"/>
          <w:szCs w:val="22"/>
          <w:lang w:val="en-US"/>
        </w:rPr>
        <w:t xml:space="preserve"> </w:t>
      </w:r>
      <w:r w:rsidRPr="001F63BA">
        <w:rPr>
          <w:rFonts w:ascii="GHEA Grapalat" w:hAnsi="GHEA Grapalat"/>
          <w:sz w:val="22"/>
          <w:szCs w:val="22"/>
        </w:rPr>
        <w:t xml:space="preserve">Երևան քաղաքում ծրագրի իրականացման շրջանակներում բնակարանի գնման վկայագրեր են ստացել 273 ընտանիքներ, որոնցից 218-ը 2022 թվականի դեկտեմբերի 31-ի դրությամբ իրացրել են վկայագրերը և գնել բնակարաններ։ 2022 թվականի դեկտեմբերի 1-ին </w:t>
      </w:r>
      <w:r w:rsidR="000E2BFA" w:rsidRPr="001F63BA">
        <w:rPr>
          <w:rFonts w:ascii="GHEA Grapalat" w:hAnsi="GHEA Grapalat"/>
          <w:sz w:val="22"/>
          <w:szCs w:val="22"/>
          <w:lang w:val="en-US"/>
        </w:rPr>
        <w:t>Կ</w:t>
      </w:r>
      <w:r w:rsidRPr="001F63BA">
        <w:rPr>
          <w:rFonts w:ascii="GHEA Grapalat" w:hAnsi="GHEA Grapalat"/>
          <w:sz w:val="22"/>
          <w:szCs w:val="22"/>
        </w:rPr>
        <w:t xml:space="preserve">առավարությունն ընդունել է թիվ 1860-Ն որոշումը, որով ծրագրի իրականացումը մեկնարկել է ՀՀ մարզերում։ ՀՀ տասը մարզերում արձանագրվել են ծրագրի հավակնորդ շահառու 194 ընտանիքներ։ </w:t>
      </w:r>
    </w:p>
    <w:p w:rsidR="001C411D" w:rsidRPr="001F63BA" w:rsidRDefault="001C411D" w:rsidP="000B4A4F">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2022 թվականի նոյեմբերի 10-ին </w:t>
      </w:r>
      <w:r w:rsidR="00BE4EC4" w:rsidRPr="001F63BA">
        <w:rPr>
          <w:rFonts w:ascii="GHEA Grapalat" w:hAnsi="GHEA Grapalat"/>
          <w:sz w:val="22"/>
          <w:szCs w:val="22"/>
          <w:lang w:val="en-US"/>
        </w:rPr>
        <w:t>ՀՀ կ</w:t>
      </w:r>
      <w:r w:rsidRPr="001F63BA">
        <w:rPr>
          <w:rFonts w:ascii="GHEA Grapalat" w:hAnsi="GHEA Grapalat"/>
          <w:sz w:val="22"/>
          <w:szCs w:val="22"/>
        </w:rPr>
        <w:t>առավարության թիվ 1711-Ն որոշմամբ հաստատվել է ծրագիր, որով նախատեսվում է փոխհատուցման տրամադրում ՀՀ-ում փախստական ճանաչված անձանց բնակարաններ վարձակալելու համար։ Փոխհատուցումը տրամադրվում է 6 ամիս ժամկետով՝ 60 000 ՀՀ դրամի չափով։ Միգրացիոն ծառայության Հանրակացարաններ ՊՈԱԿ-ի սպասարկման ենթակա Երևան քաղաքի Մոլդովական 29/1 հասցեի Ինտեգրման կենտրոն-ում սենյակներ են հատկացվել ՀՀ-ում նոր փախստական ճանաչված 12 ընտանիքների, իսկ ՀՀ Արարատի մարզի Դարբնիկ համայնքի Անդրանիկի 4 հասցեում գտնվող սոցիալական տանը բնակարան է հատկացվել 1 ընտանիքի։</w:t>
      </w:r>
    </w:p>
    <w:p w:rsidR="001C411D" w:rsidRPr="001F63BA" w:rsidRDefault="001C411D" w:rsidP="00AC597B">
      <w:pPr>
        <w:spacing w:line="360" w:lineRule="auto"/>
        <w:ind w:firstLine="567"/>
        <w:jc w:val="both"/>
        <w:rPr>
          <w:rFonts w:ascii="GHEA Grapalat" w:hAnsi="GHEA Grapalat"/>
          <w:sz w:val="22"/>
          <w:szCs w:val="22"/>
          <w:lang w:val="en-US"/>
        </w:rPr>
      </w:pPr>
      <w:r w:rsidRPr="001F63BA">
        <w:rPr>
          <w:rFonts w:ascii="GHEA Grapalat" w:hAnsi="GHEA Grapalat"/>
          <w:sz w:val="22"/>
          <w:szCs w:val="22"/>
        </w:rPr>
        <w:t>Ե</w:t>
      </w:r>
      <w:r w:rsidRPr="001F63BA">
        <w:rPr>
          <w:rFonts w:ascii="GHEA Grapalat" w:hAnsi="GHEA Grapalat"/>
          <w:sz w:val="22"/>
          <w:szCs w:val="22"/>
          <w:lang w:val="en-US"/>
        </w:rPr>
        <w:t>Մ</w:t>
      </w:r>
      <w:r w:rsidRPr="001F63BA">
        <w:rPr>
          <w:rFonts w:ascii="GHEA Grapalat" w:hAnsi="GHEA Grapalat"/>
          <w:sz w:val="22"/>
          <w:szCs w:val="22"/>
        </w:rPr>
        <w:t xml:space="preserve"> և ՌԴ հետ կնքված ռեադմիսիոն համաձայնագրերի շրջանակներում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 xml:space="preserve">ի դեկտեմբերի 31-ի դրությամբ ստացվել և սահմանված կարգով ընթացք </w:t>
      </w:r>
      <w:r w:rsidRPr="001F63BA">
        <w:rPr>
          <w:rFonts w:ascii="GHEA Grapalat" w:hAnsi="GHEA Grapalat"/>
          <w:sz w:val="22"/>
          <w:szCs w:val="22"/>
          <w:lang w:val="en-US"/>
        </w:rPr>
        <w:t>է</w:t>
      </w:r>
      <w:r w:rsidRPr="001F63BA">
        <w:rPr>
          <w:rFonts w:ascii="GHEA Grapalat" w:hAnsi="GHEA Grapalat"/>
          <w:sz w:val="22"/>
          <w:szCs w:val="22"/>
        </w:rPr>
        <w:t xml:space="preserve"> տրվել 539 ռեադմիսիոն հայցեր</w:t>
      </w:r>
      <w:r w:rsidRPr="001F63BA">
        <w:rPr>
          <w:rFonts w:ascii="GHEA Grapalat" w:hAnsi="GHEA Grapalat"/>
          <w:sz w:val="22"/>
          <w:szCs w:val="22"/>
          <w:lang w:val="en-US"/>
        </w:rPr>
        <w:t>ի</w:t>
      </w:r>
      <w:r w:rsidRPr="001F63BA">
        <w:rPr>
          <w:rFonts w:ascii="GHEA Grapalat" w:hAnsi="GHEA Grapalat"/>
          <w:sz w:val="22"/>
          <w:szCs w:val="22"/>
        </w:rPr>
        <w:t>՝ 904 անձանց մասին:</w:t>
      </w:r>
    </w:p>
    <w:p w:rsidR="001C411D" w:rsidRPr="001F63BA" w:rsidRDefault="001C411D" w:rsidP="00AC597B">
      <w:pPr>
        <w:spacing w:line="360" w:lineRule="auto"/>
        <w:ind w:firstLine="567"/>
        <w:jc w:val="both"/>
        <w:rPr>
          <w:rFonts w:ascii="GHEA Grapalat" w:hAnsi="GHEA Grapalat"/>
          <w:sz w:val="22"/>
          <w:szCs w:val="22"/>
          <w:lang w:val="en-US"/>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ի ընթացքում Գերմանիայից կազմակերպվել են 4 չարթերային չվերթներ</w:t>
      </w:r>
      <w:r w:rsidRPr="001F63BA">
        <w:rPr>
          <w:rFonts w:ascii="GHEA Grapalat" w:hAnsi="GHEA Grapalat"/>
          <w:sz w:val="22"/>
          <w:szCs w:val="22"/>
          <w:lang w:val="en-US"/>
        </w:rPr>
        <w:t>,</w:t>
      </w:r>
      <w:r w:rsidRPr="001F63BA">
        <w:rPr>
          <w:rFonts w:ascii="GHEA Grapalat" w:hAnsi="GHEA Grapalat"/>
          <w:sz w:val="22"/>
          <w:szCs w:val="22"/>
        </w:rPr>
        <w:t xml:space="preserve"> և Հայաստան են վերադարձվել ՀՀ 140 քաղաքացիներ։</w:t>
      </w:r>
    </w:p>
    <w:p w:rsidR="001C411D" w:rsidRPr="001F63BA" w:rsidRDefault="001C411D" w:rsidP="00AC597B">
      <w:pPr>
        <w:spacing w:line="360" w:lineRule="auto"/>
        <w:ind w:firstLine="567"/>
        <w:jc w:val="both"/>
        <w:rPr>
          <w:rFonts w:ascii="GHEA Grapalat" w:hAnsi="GHEA Grapalat"/>
          <w:sz w:val="22"/>
          <w:szCs w:val="22"/>
        </w:rPr>
      </w:pPr>
      <w:r w:rsidRPr="001F63BA">
        <w:rPr>
          <w:rFonts w:ascii="GHEA Grapalat" w:hAnsi="GHEA Grapalat"/>
          <w:sz w:val="22"/>
          <w:szCs w:val="22"/>
        </w:rPr>
        <w:t>ՀՀ կառավարության և Ռ</w:t>
      </w:r>
      <w:r w:rsidRPr="001F63BA">
        <w:rPr>
          <w:rFonts w:ascii="GHEA Grapalat" w:hAnsi="GHEA Grapalat"/>
          <w:sz w:val="22"/>
          <w:szCs w:val="22"/>
          <w:lang w:val="en-US"/>
        </w:rPr>
        <w:t>Դ</w:t>
      </w:r>
      <w:r w:rsidRPr="001F63BA">
        <w:rPr>
          <w:rFonts w:ascii="GHEA Grapalat" w:hAnsi="GHEA Grapalat"/>
          <w:sz w:val="22"/>
          <w:szCs w:val="22"/>
        </w:rPr>
        <w:t xml:space="preserve"> </w:t>
      </w:r>
      <w:r w:rsidRPr="001F63BA">
        <w:rPr>
          <w:rFonts w:ascii="GHEA Grapalat" w:hAnsi="GHEA Grapalat"/>
          <w:sz w:val="22"/>
          <w:szCs w:val="22"/>
          <w:lang w:val="en-US"/>
        </w:rPr>
        <w:t>կ</w:t>
      </w:r>
      <w:r w:rsidRPr="001F63BA">
        <w:rPr>
          <w:rFonts w:ascii="GHEA Grapalat" w:hAnsi="GHEA Grapalat"/>
          <w:sz w:val="22"/>
          <w:szCs w:val="22"/>
        </w:rPr>
        <w:t>առավարության միջև հետընդունման (ռեադմիսիայի) մասին 2010 թվականի օգոստոսի 20-ի համաձայնագրի շրջանակներում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 ընթա</w:t>
      </w:r>
      <w:r w:rsidRPr="001F63BA">
        <w:rPr>
          <w:rFonts w:ascii="GHEA Grapalat" w:hAnsi="GHEA Grapalat"/>
          <w:sz w:val="22"/>
          <w:szCs w:val="22"/>
        </w:rPr>
        <w:t xml:space="preserve">ցքում ՌԴ ՆԳՆ միգրացիայի հարցերով գլխավոր վարչության կողմից ստացվել և ընթացք </w:t>
      </w:r>
      <w:r w:rsidRPr="001F63BA">
        <w:rPr>
          <w:rFonts w:ascii="GHEA Grapalat" w:hAnsi="GHEA Grapalat"/>
          <w:sz w:val="22"/>
          <w:szCs w:val="22"/>
          <w:lang w:val="en-US"/>
        </w:rPr>
        <w:t>է</w:t>
      </w:r>
      <w:r w:rsidRPr="001F63BA">
        <w:rPr>
          <w:rFonts w:ascii="GHEA Grapalat" w:hAnsi="GHEA Grapalat"/>
          <w:sz w:val="22"/>
          <w:szCs w:val="22"/>
        </w:rPr>
        <w:t xml:space="preserve"> տրվել 49 տարանցման հայցեր</w:t>
      </w:r>
      <w:r w:rsidRPr="001F63BA">
        <w:rPr>
          <w:rFonts w:ascii="GHEA Grapalat" w:hAnsi="GHEA Grapalat"/>
          <w:sz w:val="22"/>
          <w:szCs w:val="22"/>
          <w:lang w:val="en-US"/>
        </w:rPr>
        <w:t>ի</w:t>
      </w:r>
      <w:r w:rsidRPr="001F63BA">
        <w:rPr>
          <w:rFonts w:ascii="GHEA Grapalat" w:hAnsi="GHEA Grapalat"/>
          <w:sz w:val="22"/>
          <w:szCs w:val="22"/>
        </w:rPr>
        <w:t>՝ Հայաստանի Հանրապետության տարածքով Մոլդովայի Հանրապետության 47 քաղաքացիների և Վրաստանի 2 քաղաքացու տարանցման մասին։</w:t>
      </w:r>
    </w:p>
    <w:p w:rsidR="001C411D" w:rsidRPr="001F63BA" w:rsidRDefault="001C411D" w:rsidP="00AC597B">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ՀՀ </w:t>
      </w:r>
      <w:r w:rsidR="00BE4EC4" w:rsidRPr="001F63BA">
        <w:rPr>
          <w:rFonts w:ascii="GHEA Grapalat" w:hAnsi="GHEA Grapalat"/>
          <w:sz w:val="22"/>
          <w:szCs w:val="22"/>
          <w:lang w:val="en-US"/>
        </w:rPr>
        <w:t>կ</w:t>
      </w:r>
      <w:r w:rsidRPr="001F63BA">
        <w:rPr>
          <w:rFonts w:ascii="GHEA Grapalat" w:hAnsi="GHEA Grapalat"/>
          <w:sz w:val="22"/>
          <w:szCs w:val="22"/>
        </w:rPr>
        <w:t>առավարության 2020</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մարտի 19-ի N 336-Լ որոշմամբ հա</w:t>
      </w:r>
      <w:r w:rsidRPr="001F63BA">
        <w:rPr>
          <w:rFonts w:ascii="GHEA Grapalat" w:hAnsi="GHEA Grapalat"/>
          <w:sz w:val="22"/>
          <w:szCs w:val="22"/>
          <w:lang w:val="en-US"/>
        </w:rPr>
        <w:t>ս</w:t>
      </w:r>
      <w:r w:rsidRPr="001F63BA">
        <w:rPr>
          <w:rFonts w:ascii="GHEA Grapalat" w:hAnsi="GHEA Grapalat"/>
          <w:sz w:val="22"/>
          <w:szCs w:val="22"/>
        </w:rPr>
        <w:t>տատված «Հայաստանի Հանրապետություն վերադարձող (այդ թվում՝ հարկադիր վերադարձող) քաղաքացիների վերաինտեգրմանն ուղղված առաջնային աջակցության պետական ծրագրի» շրջանակում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 xml:space="preserve">ի ընթացքում ընդունվել է 24 դիմում, որի արդյունքում 21 դիմում բավարարվել է, 2-ը դադարեցվել </w:t>
      </w:r>
      <w:r w:rsidRPr="001F63BA">
        <w:rPr>
          <w:rFonts w:ascii="GHEA Grapalat" w:hAnsi="GHEA Grapalat"/>
          <w:sz w:val="22"/>
          <w:szCs w:val="22"/>
          <w:lang w:val="en-US"/>
        </w:rPr>
        <w:t>են</w:t>
      </w:r>
      <w:r w:rsidRPr="001F63BA">
        <w:rPr>
          <w:rFonts w:ascii="GHEA Grapalat" w:hAnsi="GHEA Grapalat"/>
          <w:sz w:val="22"/>
          <w:szCs w:val="22"/>
        </w:rPr>
        <w:t>, 1-ը՝ մերժվել։</w:t>
      </w:r>
    </w:p>
    <w:p w:rsidR="001C411D" w:rsidRPr="001F63BA" w:rsidRDefault="001C411D" w:rsidP="00F73F75">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մայիսի 4-ին վավերացվել է 2013</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w:t>
      </w:r>
      <w:r w:rsidRPr="001F63BA">
        <w:rPr>
          <w:rFonts w:ascii="GHEA Grapalat" w:hAnsi="GHEA Grapalat"/>
          <w:sz w:val="22"/>
          <w:szCs w:val="22"/>
        </w:rPr>
        <w:t>ի ապրիլի 19-ին «Հայաստանի Հանրապետության և Եվրոպական Միության միջև առանց թու</w:t>
      </w:r>
      <w:r w:rsidRPr="001F63BA">
        <w:rPr>
          <w:rFonts w:ascii="GHEA Grapalat" w:hAnsi="GHEA Grapalat"/>
          <w:sz w:val="22"/>
          <w:szCs w:val="22"/>
          <w:lang w:val="en-US"/>
        </w:rPr>
        <w:t>յ</w:t>
      </w:r>
      <w:r w:rsidRPr="001F63BA">
        <w:rPr>
          <w:rFonts w:ascii="GHEA Grapalat" w:hAnsi="GHEA Grapalat"/>
          <w:sz w:val="22"/>
          <w:szCs w:val="22"/>
        </w:rPr>
        <w:t xml:space="preserve">լտվության բնակվող անձանց </w:t>
      </w:r>
      <w:r w:rsidRPr="001F63BA">
        <w:rPr>
          <w:rFonts w:ascii="GHEA Grapalat" w:hAnsi="GHEA Grapalat"/>
          <w:sz w:val="22"/>
          <w:szCs w:val="22"/>
        </w:rPr>
        <w:lastRenderedPageBreak/>
        <w:t>հետընդունման (ռեադմիսիայի) մասին» համաձայնագրի շրջանակներում Լիտվայի Հանրապետության հետ ստորագրված կիրարկման երկկողմ համաձայնագիրը,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հունիսի 15-ին վավերացվել և հոկտեմբերի 5-ից ուժի մեջ է մտել Լեհաստանի Հանրապետության հետ ստորագրված կիրարկման երկկողմ համաձայնագիրը: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մայիսի 4-ին վավերացվել և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հուլիսի 9-ից ուժի մեջ է մտել «Հայաստանի Հանրապետության </w:t>
      </w:r>
      <w:r w:rsidR="00BE4EC4" w:rsidRPr="001F63BA">
        <w:rPr>
          <w:rFonts w:ascii="GHEA Grapalat" w:hAnsi="GHEA Grapalat"/>
          <w:sz w:val="22"/>
          <w:szCs w:val="22"/>
          <w:lang w:val="en-US"/>
        </w:rPr>
        <w:t>կ</w:t>
      </w:r>
      <w:r w:rsidRPr="001F63BA">
        <w:rPr>
          <w:rFonts w:ascii="GHEA Grapalat" w:hAnsi="GHEA Grapalat"/>
          <w:sz w:val="22"/>
          <w:szCs w:val="22"/>
        </w:rPr>
        <w:t xml:space="preserve">առավարության և Բելառուսի Հանրապետության </w:t>
      </w:r>
      <w:r w:rsidR="00BE4EC4" w:rsidRPr="001F63BA">
        <w:rPr>
          <w:rFonts w:ascii="GHEA Grapalat" w:hAnsi="GHEA Grapalat"/>
          <w:sz w:val="22"/>
          <w:szCs w:val="22"/>
          <w:lang w:val="en-US"/>
        </w:rPr>
        <w:t>կ</w:t>
      </w:r>
      <w:r w:rsidRPr="001F63BA">
        <w:rPr>
          <w:rFonts w:ascii="GHEA Grapalat" w:hAnsi="GHEA Grapalat"/>
          <w:sz w:val="22"/>
          <w:szCs w:val="22"/>
        </w:rPr>
        <w:t>առավարության միջև հետընդունման (ռեադմիսիայի) մասին» համաձայնագիրը:</w:t>
      </w:r>
    </w:p>
    <w:p w:rsidR="001C411D" w:rsidRPr="001F63BA" w:rsidRDefault="001C411D" w:rsidP="00F73F75">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հոկտեմբերի 27-ին առցանց ձևաչափով կայացած</w:t>
      </w:r>
      <w:r w:rsidRPr="001F63BA">
        <w:rPr>
          <w:rFonts w:ascii="GHEA Grapalat" w:hAnsi="GHEA Grapalat"/>
          <w:sz w:val="22"/>
          <w:szCs w:val="22"/>
          <w:lang w:val="en-US"/>
        </w:rPr>
        <w:t>՝</w:t>
      </w:r>
      <w:r w:rsidRPr="001F63BA">
        <w:rPr>
          <w:rFonts w:ascii="GHEA Grapalat" w:hAnsi="GHEA Grapalat"/>
          <w:sz w:val="22"/>
          <w:szCs w:val="22"/>
        </w:rPr>
        <w:t xml:space="preserve"> Եվրոպական միգրացիոն ցանցի ղեկավար կազմի 34-րդ նիստի շրջանակում ստորագրվել է Եվրոպական միգրացիոն ցանցին Հայաստանի՝ դիտորդի կարգավիճակով միանալու վերաբերյալ պաշտոնական փաստաթուղթը։ </w:t>
      </w:r>
    </w:p>
    <w:p w:rsidR="001C411D" w:rsidRPr="001F63BA" w:rsidRDefault="001C411D" w:rsidP="002D14C9">
      <w:pPr>
        <w:spacing w:line="360" w:lineRule="auto"/>
        <w:ind w:firstLine="567"/>
        <w:jc w:val="both"/>
        <w:rPr>
          <w:rFonts w:ascii="GHEA Grapalat" w:hAnsi="GHEA Grapalat"/>
          <w:sz w:val="22"/>
          <w:szCs w:val="22"/>
        </w:rPr>
      </w:pPr>
      <w:r w:rsidRPr="001F63BA">
        <w:rPr>
          <w:rFonts w:ascii="GHEA Grapalat" w:hAnsi="GHEA Grapalat"/>
          <w:sz w:val="22"/>
          <w:szCs w:val="22"/>
        </w:rPr>
        <w:t>2021</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մարտի 15-ին մեկնարկել էր Եվրոպական Միության կողմից ֆինանսավորվող և Միգրացիոն քաղաքականության միջազգային կենտրոնի կողմից իրականացվող «ԵՄ-ն հանուն միգրանտների ներուժի հզորացման՝ ի նպաստ Հայաստանի զարգացման» (EU4IMPACT ARMENIA) ծրագիրը։</w:t>
      </w:r>
      <w:r w:rsidRPr="001F63BA">
        <w:rPr>
          <w:rFonts w:ascii="GHEA Grapalat" w:hAnsi="GHEA Grapalat"/>
          <w:sz w:val="22"/>
          <w:szCs w:val="22"/>
          <w:lang w:val="en-US"/>
        </w:rPr>
        <w:t xml:space="preserve"> </w:t>
      </w:r>
      <w:r w:rsidRPr="001F63BA">
        <w:rPr>
          <w:rFonts w:ascii="GHEA Grapalat" w:hAnsi="GHEA Grapalat"/>
          <w:sz w:val="22"/>
          <w:szCs w:val="22"/>
        </w:rPr>
        <w:t>Դրամաշնորհ ստացած 59 շահառու ներկայացնում են Հայաստանի բոլոր մարզերը: Շահառուների կողմից առաջարկվող բիզնես գաղափարները բազմազան են և</w:t>
      </w:r>
      <w:r w:rsidRPr="001F63BA">
        <w:rPr>
          <w:rFonts w:ascii="GHEA Grapalat" w:hAnsi="GHEA Grapalat"/>
          <w:sz w:val="22"/>
          <w:szCs w:val="22"/>
          <w:lang w:val="en-US"/>
        </w:rPr>
        <w:t>,</w:t>
      </w:r>
      <w:r w:rsidRPr="001F63BA">
        <w:rPr>
          <w:rFonts w:ascii="GHEA Grapalat" w:hAnsi="GHEA Grapalat"/>
          <w:sz w:val="22"/>
          <w:szCs w:val="22"/>
        </w:rPr>
        <w:t xml:space="preserve"> մասնավորապես</w:t>
      </w:r>
      <w:r w:rsidRPr="001F63BA">
        <w:rPr>
          <w:rFonts w:ascii="GHEA Grapalat" w:hAnsi="GHEA Grapalat"/>
          <w:sz w:val="22"/>
          <w:szCs w:val="22"/>
          <w:lang w:val="en-US"/>
        </w:rPr>
        <w:t>,</w:t>
      </w:r>
      <w:r w:rsidRPr="001F63BA">
        <w:rPr>
          <w:rFonts w:ascii="GHEA Grapalat" w:hAnsi="GHEA Grapalat"/>
          <w:sz w:val="22"/>
          <w:szCs w:val="22"/>
        </w:rPr>
        <w:t xml:space="preserve"> իրականացվելու են ծառայությունների մատուցման, արտադրության և գյուղատնտեսության ոլորտներում: </w:t>
      </w:r>
    </w:p>
    <w:p w:rsidR="001C411D" w:rsidRPr="001F63BA" w:rsidRDefault="001C411D" w:rsidP="002D14C9">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ընթացքում ՀՀ-ում ապաստան ստանալու խնդրանքով Միգրացիոն ծառայություն են դիմել 968 օտարերկրացիներ և քաղաքացիություն չունեցող 4 անձ: Նրանցից 2022 թվականի ընթացքում ՀՀ-ում փախստական են ճանաչվել և ապաստան են ստացել 358 օտարերկրացի, 1-ը ճանաչվել է փախստական, սակայն չի ստացել ապաստան: Կազմակերպվել է ՀՀ-ում ապաստան հայցող` «Հատուկ կացարան» ՊՈԱԿ-ում չտեղավորված 83 օտարերկրացիներին ՀՀ օրենսդրությամբ սահմանված կարգով դրամական օգնության տրամադրում` կենսաապահովման հիմնական կարիքները հոգալու նպատակով: </w:t>
      </w:r>
    </w:p>
    <w:p w:rsidR="001C411D" w:rsidRPr="001F63BA" w:rsidRDefault="001C411D" w:rsidP="002D14C9">
      <w:pPr>
        <w:spacing w:line="360" w:lineRule="auto"/>
        <w:ind w:firstLine="567"/>
        <w:jc w:val="both"/>
        <w:rPr>
          <w:rFonts w:ascii="GHEA Grapalat" w:hAnsi="GHEA Grapalat"/>
          <w:sz w:val="22"/>
          <w:szCs w:val="22"/>
          <w:lang w:val="en-US"/>
        </w:rPr>
      </w:pPr>
      <w:r w:rsidRPr="001F63BA">
        <w:rPr>
          <w:rFonts w:ascii="GHEA Grapalat" w:hAnsi="GHEA Grapalat"/>
          <w:sz w:val="22"/>
          <w:szCs w:val="22"/>
        </w:rPr>
        <w:t>Միգրացիոն ծառայության պետը մասն</w:t>
      </w:r>
      <w:r w:rsidRPr="001F63BA">
        <w:rPr>
          <w:rFonts w:ascii="GHEA Grapalat" w:hAnsi="GHEA Grapalat"/>
          <w:sz w:val="22"/>
          <w:szCs w:val="22"/>
          <w:lang w:val="en-US"/>
        </w:rPr>
        <w:t>ա</w:t>
      </w:r>
      <w:r w:rsidRPr="001F63BA">
        <w:rPr>
          <w:rFonts w:ascii="GHEA Grapalat" w:hAnsi="GHEA Grapalat"/>
          <w:sz w:val="22"/>
          <w:szCs w:val="22"/>
        </w:rPr>
        <w:t>կցել է մայիսի 9-ին Նյու Յորքում կայացած առաջին Միգրացիայի դիտարկման միջազգային ֆորումին՝ կարևորելով ֆորումի ձևաչափը որպես «</w:t>
      </w:r>
      <w:r w:rsidRPr="001F63BA">
        <w:rPr>
          <w:rFonts w:ascii="GHEA Grapalat" w:hAnsi="GHEA Grapalat"/>
          <w:sz w:val="22"/>
          <w:szCs w:val="22"/>
          <w:lang w:val="en-US"/>
        </w:rPr>
        <w:t>Ա</w:t>
      </w:r>
      <w:r w:rsidRPr="001F63BA">
        <w:rPr>
          <w:rFonts w:ascii="GHEA Grapalat" w:hAnsi="GHEA Grapalat"/>
          <w:sz w:val="22"/>
          <w:szCs w:val="22"/>
        </w:rPr>
        <w:t>նվտանգ, կանոնավոր և ապահով միգրացիայի» և «Փախստականների մասին»</w:t>
      </w:r>
      <w:r w:rsidRPr="001F63BA">
        <w:rPr>
          <w:rFonts w:ascii="GHEA Grapalat" w:hAnsi="GHEA Grapalat"/>
          <w:sz w:val="22"/>
          <w:szCs w:val="22"/>
          <w:lang w:val="en-US"/>
        </w:rPr>
        <w:t xml:space="preserve"> </w:t>
      </w:r>
      <w:r w:rsidRPr="001F63BA">
        <w:rPr>
          <w:rFonts w:ascii="GHEA Grapalat" w:hAnsi="GHEA Grapalat"/>
          <w:sz w:val="22"/>
          <w:szCs w:val="22"/>
        </w:rPr>
        <w:t>գլոբալ դաշնագրերի ընդունումից ի վեր միգրացիոն միտումներն ավելի լավ արտացոլելու և գլոբալ ջանքերը միավորելու հնարավորություն:</w:t>
      </w:r>
    </w:p>
    <w:p w:rsidR="001C411D" w:rsidRPr="001F63BA" w:rsidRDefault="001C411D" w:rsidP="002D14C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Հոկտեմբերի 11-12-ը տեղի ունեցավ Միգրացիոն քաղաքականության մշակման միջազգային կենտրոնի (ՄՔՄՄԿ/ICMPD) Վիեննայի 2022 թվականի տարեկան համաժողովը, որին մասնակցել է Միգրացիոն ծառայության պետը։</w:t>
      </w:r>
    </w:p>
    <w:p w:rsidR="001C411D" w:rsidRPr="001F63BA" w:rsidRDefault="001C411D" w:rsidP="002D14C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 xml:space="preserve">Մայիսի 11-14-ը կայացել է Պրահյան գործընթացի երկրների բարձրաստիճան պաշտոնյաների հանդիպումը, որին մասնակցել է Միգրացիոն ծառայության պետը։ Հանդիպմանը 26 երկրների ներկայացուցիչները քննարկել են Պրահյան գործընթացի նախարարական հռչակագիրը և գործողությունների ծրագիրը 2023-2027թթ. համար: </w:t>
      </w:r>
    </w:p>
    <w:p w:rsidR="001C411D" w:rsidRPr="001F63BA" w:rsidRDefault="001C411D" w:rsidP="002D14C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փետրվարի 14-18-ը կազմակերպվել է Հայաստանի Հանրապետությունում միգրացիայի ինստիտուցիոնալ վերանայման վերաբերյալ TAIEX գործընկերների գնահատման փորձագիտական առաքելությունը։ Առաքելության նպատակն էր ծանոթանալ ԵՄ անդամ պետությունների միգրացիայի կառավարման փորձին և ստանալ միգրացիայի ոլորտում ինստիտուցիոնալ բարեփոխումների և գործառույթների ու ծառայությունների թվայնացման վերաբերյալ առաջարկություններ: Պատրաստվել է վերջնական զեկույցը:</w:t>
      </w:r>
    </w:p>
    <w:p w:rsidR="001C411D" w:rsidRPr="001F63BA" w:rsidRDefault="001C411D" w:rsidP="00C938D5">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Համագործակցություն է հաստատվել Միգրացիոն քաղաքականության ինստիտուտի (Migration Policy Institute) հետ և 2022 թվականի ընթացքում մասնակցություն է ապահովվել ինստիտուտի կողմից կազմակերպված քննարկումներին, այդ թվում՝ Գերմանիայում (Բեռլին) սեպտեմբերի 26-ին կայացած Կամավոր վերադարձի և կայուն վերաինտեգրման համայնքային փորձի վերաբերյալ կլոր սեղան քննարկմանը։</w:t>
      </w:r>
    </w:p>
    <w:p w:rsidR="001C411D" w:rsidRPr="001F63BA" w:rsidRDefault="001C411D" w:rsidP="00C938D5">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ընթացքում ՀՀ և ԵՄ և Ատոմային էներգիայի եվրոպական համայնքի ու դրանց անդամ պետությունների միջև կնքված Համապարփակ և ընդլայնված գործընկերության համաձայնագրի (ՀԸԳՀ/CEPA) կիրարկման ճանապարհային քարտեզի «Միգրացիայի, ապաստանի տրամադրման և սահմանների կառավարման հարցերի վերաբերյալ համագործակցությունը, անձանց տեղաշարժը և հետընդունումը» մասով սահմանված միջոցառումների առնչությամբ Միգրացիոն ծառայությունը տրամադրել է դրանց կատարման մասին հաշվետվություններ։</w:t>
      </w:r>
    </w:p>
    <w:p w:rsidR="001C411D" w:rsidRPr="001F63BA" w:rsidRDefault="001C411D" w:rsidP="0078123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Ապահովվել է ՀՀ-ԵՄ Արդարադատության, ազատության և անվտանգության հարցերով ենթակոմիտեի 12-րդ նիստին մասնակցությունը։ Մշակվել է Գործառնական եզրակացության Ապաստանի, միգրացիայի շարժունակություն ոլորտին առնչվող մասը։</w:t>
      </w:r>
    </w:p>
    <w:p w:rsidR="001C411D" w:rsidRPr="001F63BA" w:rsidRDefault="001C411D" w:rsidP="00AC199C">
      <w:pPr>
        <w:spacing w:line="360" w:lineRule="auto"/>
        <w:ind w:firstLine="567"/>
        <w:jc w:val="both"/>
        <w:rPr>
          <w:rFonts w:ascii="GHEA Grapalat" w:hAnsi="GHEA Grapalat"/>
          <w:sz w:val="22"/>
          <w:szCs w:val="22"/>
        </w:rPr>
      </w:pPr>
      <w:r w:rsidRPr="001F63BA">
        <w:rPr>
          <w:rFonts w:ascii="GHEA Grapalat" w:hAnsi="GHEA Grapalat"/>
          <w:sz w:val="22"/>
          <w:szCs w:val="22"/>
          <w:lang w:val="en-US"/>
        </w:rPr>
        <w:t xml:space="preserve"> </w:t>
      </w:r>
    </w:p>
    <w:p w:rsidR="001C411D" w:rsidRPr="001F63BA" w:rsidRDefault="001C411D" w:rsidP="00AC199C">
      <w:pPr>
        <w:pStyle w:val="Heading2"/>
        <w:spacing w:before="0"/>
      </w:pPr>
      <w:bookmarkStart w:id="31" w:name="_Toc132204209"/>
      <w:r w:rsidRPr="001F63BA">
        <w:t>Բարձր տեխնոլոգիական արդյունաբերություն</w:t>
      </w:r>
      <w:bookmarkEnd w:id="31"/>
    </w:p>
    <w:p w:rsidR="001C411D" w:rsidRPr="001F63BA" w:rsidRDefault="001C411D" w:rsidP="001B72F7">
      <w:pPr>
        <w:spacing w:line="360" w:lineRule="auto"/>
        <w:ind w:firstLine="567"/>
        <w:jc w:val="both"/>
        <w:rPr>
          <w:rFonts w:ascii="GHEA Grapalat" w:hAnsi="GHEA Grapalat"/>
          <w:sz w:val="22"/>
          <w:szCs w:val="22"/>
        </w:rPr>
      </w:pPr>
      <w:r w:rsidRPr="001F63BA">
        <w:rPr>
          <w:rFonts w:ascii="GHEA Grapalat" w:hAnsi="GHEA Grapalat"/>
          <w:sz w:val="22"/>
          <w:szCs w:val="22"/>
        </w:rPr>
        <w:t>Ոլորտի քաղաքականության նպատակն է՝ Հայաստանը դարձնել բարձր տեխնոլոգիական, արդյունաբերական երկիր, որին հասնելու ուղիներից են բարձր տեխնոլոգիաների, կապի, թվայնացման և ռազմարդյունաբերական համալիրի զարգացումը` զինված ուժերի մարտունակության ու պաշտպանունակության բարձրացումը, տնտեսական աճը, գիտական և տեխնոլոգիական առաջընթացը։</w:t>
      </w:r>
    </w:p>
    <w:p w:rsidR="001C411D" w:rsidRPr="001F63BA" w:rsidRDefault="001C411D" w:rsidP="001B72F7">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2022 թվականին ոլորտի աշխատանքն ուղղված էր հետևյալ երեք հիմնական նպատակների (ուղենիշների) կատարմանը`</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Պաշտպանական տեխնոլոգիաների զարգացում` ռազմարդյունաբերություն, գիտահետազոտական ծրագրեր, տեխնոլոգիաների ներդրում,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Տաղանդի արտահոսքի կանխում և ներհոսքի հարուցում` բարձր տեխնոլոգիական արդյունաբերության զարգացում, ստարտափ և ինժեներական էկոհամակարգի զարգացում, Հայաստանը տարածաշրջանային կենտրոնի վերածում,</w:t>
      </w:r>
    </w:p>
    <w:p w:rsidR="001C411D" w:rsidRPr="001F63BA" w:rsidRDefault="001C411D" w:rsidP="00BB1B4B">
      <w:pPr>
        <w:numPr>
          <w:ilvl w:val="0"/>
          <w:numId w:val="9"/>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Արտաքին շուկաներում պրոյեկտների և արտադրանքի ներկայացում, տնտեսության և կառավարման համակարգի թվայնացում և արտահանման ծավալների ավելացում:</w:t>
      </w:r>
    </w:p>
    <w:p w:rsidR="001C411D" w:rsidRPr="001F63BA" w:rsidRDefault="001C411D" w:rsidP="001B72F7">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իրականացվել են հետևյալ ծրագրերն ու միջոցառումները: </w:t>
      </w:r>
    </w:p>
    <w:p w:rsidR="001C411D" w:rsidRPr="001F63BA" w:rsidRDefault="001C411D" w:rsidP="001B72F7">
      <w:pPr>
        <w:spacing w:line="360" w:lineRule="auto"/>
        <w:ind w:firstLine="567"/>
        <w:jc w:val="both"/>
        <w:rPr>
          <w:rFonts w:ascii="GHEA Grapalat" w:hAnsi="GHEA Grapalat"/>
          <w:sz w:val="22"/>
          <w:szCs w:val="22"/>
          <w:u w:val="single"/>
        </w:rPr>
      </w:pPr>
    </w:p>
    <w:p w:rsidR="001C411D" w:rsidRPr="001F63BA" w:rsidRDefault="001C411D" w:rsidP="001B72F7">
      <w:pPr>
        <w:spacing w:line="360" w:lineRule="auto"/>
        <w:ind w:firstLine="567"/>
        <w:jc w:val="both"/>
        <w:rPr>
          <w:rFonts w:ascii="GHEA Grapalat" w:hAnsi="GHEA Grapalat"/>
          <w:sz w:val="22"/>
          <w:szCs w:val="22"/>
        </w:rPr>
      </w:pPr>
      <w:r w:rsidRPr="001F63BA">
        <w:rPr>
          <w:rFonts w:ascii="GHEA Grapalat" w:hAnsi="GHEA Grapalat"/>
          <w:sz w:val="22"/>
          <w:szCs w:val="22"/>
          <w:u w:val="single"/>
        </w:rPr>
        <w:t>Ռազմարդյունաբերության ոլորտում</w:t>
      </w:r>
      <w:r w:rsidRPr="001F63BA">
        <w:rPr>
          <w:rFonts w:ascii="GHEA Grapalat" w:hAnsi="GHEA Grapalat"/>
          <w:sz w:val="22"/>
          <w:szCs w:val="22"/>
        </w:rPr>
        <w:t xml:space="preserve"> իրականացվել է «Հետազոտական և նախագծային աշխատանքներ պաշտպանության ոլորտում» ծրագրի «Գիտական և գիտատեխնիկական նպատակային ծրագրային հետազոտություններ» միջոցառումը, որի շրջանակներում 2022 թվականին կատարվել են նոր նմուշների մշակում, նոր և արդիականացված նմուշների փորձնական խմբաքանակների արտադրություն, ինչպես նաև սպառազինության և ռազմական տեխնիկայի ու ռազմատեխնիկական ունեցվածքի արդիականացում:</w:t>
      </w:r>
    </w:p>
    <w:p w:rsidR="001C411D" w:rsidRPr="001F63BA" w:rsidRDefault="001C411D" w:rsidP="001B72F7">
      <w:pPr>
        <w:spacing w:line="360" w:lineRule="auto"/>
        <w:ind w:firstLine="567"/>
        <w:jc w:val="both"/>
        <w:rPr>
          <w:rFonts w:ascii="GHEA Grapalat" w:hAnsi="GHEA Grapalat"/>
          <w:sz w:val="22"/>
          <w:szCs w:val="22"/>
        </w:rPr>
      </w:pPr>
    </w:p>
    <w:p w:rsidR="001C411D" w:rsidRPr="001F63BA" w:rsidRDefault="001C411D" w:rsidP="001B72F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 xml:space="preserve">Բարձր տեխնոլոգիական արդյունաբերության և թվայնացման ոլորտ </w:t>
      </w:r>
    </w:p>
    <w:p w:rsidR="001C411D" w:rsidRPr="001F63BA" w:rsidRDefault="001C411D" w:rsidP="001B72F7">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իրականացվել է Բարձր տեխնոլոգիական արդյունաբերության էկոհամակարգի, թվայնացման և շուկայի զարգացման ծրագիրը, որի նպատակներն էին կադրերի թիրախավորված պատրաստումը և վերապատրաստումը, բարձր տեխնոլոգիական ոլորտի համար անհրաժեշտ էկոհամակարգի զարգացումը, Հայկական Սփյուռքի ներգրավվածությունն ապահովելու համար հայկական ընկերությունների, կազմակերպությունների և անհատների հետ շարունակական համագործակցության հարթակի ստեղծումը, թվային տեխնոլոգիաների զարգացումը, ինչպես նաև կիբեռանվտանգության և ինտերնետ հասանելիության մակարդակի բարձրացումը։</w:t>
      </w:r>
    </w:p>
    <w:p w:rsidR="001C411D" w:rsidRPr="001F63BA" w:rsidRDefault="001C411D" w:rsidP="001B72F7">
      <w:pPr>
        <w:spacing w:line="360" w:lineRule="auto"/>
        <w:ind w:firstLine="567"/>
        <w:jc w:val="both"/>
        <w:rPr>
          <w:rFonts w:ascii="GHEA Grapalat" w:hAnsi="GHEA Grapalat"/>
          <w:sz w:val="22"/>
          <w:szCs w:val="22"/>
        </w:rPr>
      </w:pPr>
    </w:p>
    <w:p w:rsidR="001C411D" w:rsidRPr="001F63BA" w:rsidRDefault="001C411D" w:rsidP="001B72F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Հեռահաղորդակցության ապահովում</w:t>
      </w:r>
    </w:p>
    <w:p w:rsidR="001C411D" w:rsidRPr="001F63BA" w:rsidRDefault="001C411D" w:rsidP="001B72F7">
      <w:pPr>
        <w:spacing w:line="360" w:lineRule="auto"/>
        <w:ind w:firstLine="567"/>
        <w:jc w:val="both"/>
        <w:rPr>
          <w:rFonts w:ascii="GHEA Grapalat" w:hAnsi="GHEA Grapalat"/>
          <w:sz w:val="22"/>
          <w:szCs w:val="22"/>
        </w:rPr>
      </w:pPr>
      <w:r w:rsidRPr="001F63BA">
        <w:rPr>
          <w:rFonts w:ascii="GHEA Grapalat" w:hAnsi="GHEA Grapalat"/>
          <w:sz w:val="22"/>
          <w:szCs w:val="22"/>
        </w:rPr>
        <w:t>Ծրագրի նպատակն էր ապահովել Հայաստանի Հանրապե</w:t>
      </w:r>
      <w:r w:rsidRPr="001F63BA">
        <w:rPr>
          <w:rFonts w:ascii="GHEA Grapalat" w:hAnsi="GHEA Grapalat"/>
          <w:sz w:val="22"/>
          <w:szCs w:val="22"/>
        </w:rPr>
        <w:softHyphen/>
        <w:t>տու</w:t>
      </w:r>
      <w:r w:rsidRPr="001F63BA">
        <w:rPr>
          <w:rFonts w:ascii="GHEA Grapalat" w:hAnsi="GHEA Grapalat"/>
          <w:sz w:val="22"/>
          <w:szCs w:val="22"/>
        </w:rPr>
        <w:softHyphen/>
        <w:t>թյունում հեռահաղորդակցության և կապի ծառայությունների որակի կանոնակարգումն ու բարելավումը: Մասնավորապես, ապահովվել է հեռահաղորդակ</w:t>
      </w:r>
      <w:r w:rsidRPr="001F63BA">
        <w:rPr>
          <w:rFonts w:ascii="GHEA Grapalat" w:hAnsi="GHEA Grapalat"/>
          <w:sz w:val="22"/>
          <w:szCs w:val="22"/>
        </w:rPr>
        <w:softHyphen/>
        <w:t xml:space="preserve">ցության և կապի ծառայությունների որակի կանոնակարգումն ու բարելավումը (ՀՀ հաճախականությունների բաշխումների աղյուսակի կազմում, ռադիոեթերի մոնիթորինգի և </w:t>
      </w:r>
      <w:r w:rsidRPr="001F63BA">
        <w:rPr>
          <w:rFonts w:ascii="GHEA Grapalat" w:hAnsi="GHEA Grapalat"/>
          <w:sz w:val="22"/>
          <w:szCs w:val="22"/>
        </w:rPr>
        <w:lastRenderedPageBreak/>
        <w:t xml:space="preserve">ազդանշանների տեխնիկական պարամետրերի չափումների անցկացում, ռադիոէլեկտրոնային միջոցների և բարձր հաճախության սարքավորումների տեղորոշում), հանրապետական սփռման մուլտիպլեքսի արբանյակային տարածման համար արբանյակային ունակության վարձակալումը, ինչպես նաև իրականացվել է ՀՀ տարածքում բազային և շարժական ռադիոմոնիտորինգի համակարգի ներդրման միջոցառումը։ </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32" w:name="_Toc132204210"/>
      <w:r w:rsidRPr="001F63BA">
        <w:t>Քաղաքաշինություն</w:t>
      </w:r>
      <w:bookmarkEnd w:id="32"/>
    </w:p>
    <w:p w:rsidR="001C411D" w:rsidRPr="001F63BA" w:rsidRDefault="00BE4EC4" w:rsidP="00E00BB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Կ</w:t>
      </w:r>
      <w:r w:rsidR="001C411D" w:rsidRPr="001F63BA">
        <w:rPr>
          <w:rFonts w:ascii="GHEA Grapalat" w:hAnsi="GHEA Grapalat"/>
          <w:sz w:val="22"/>
          <w:szCs w:val="22"/>
        </w:rPr>
        <w:t xml:space="preserve">առավարության ծրագրի առաջնահերթությունների շուրջ կառուցված 2022 թվականի տնտեսական զարգացման քաղաքականության շրջանակներում քաղաքաշինության </w:t>
      </w:r>
      <w:r w:rsidR="001C411D" w:rsidRPr="001F63BA">
        <w:rPr>
          <w:rFonts w:ascii="GHEA Grapalat" w:hAnsi="GHEA Grapalat"/>
          <w:sz w:val="22"/>
          <w:szCs w:val="22"/>
          <w:lang w:val="en-US"/>
        </w:rPr>
        <w:t>ոլորտի</w:t>
      </w:r>
      <w:r w:rsidR="001C411D" w:rsidRPr="001F63BA">
        <w:rPr>
          <w:rFonts w:ascii="GHEA Grapalat" w:hAnsi="GHEA Grapalat"/>
          <w:sz w:val="22"/>
          <w:szCs w:val="22"/>
        </w:rPr>
        <w:t xml:space="preserve"> հիմնական խնդիրներից են համարվել</w:t>
      </w:r>
      <w:r w:rsidR="001C411D" w:rsidRPr="001F63BA">
        <w:rPr>
          <w:rFonts w:ascii="GHEA Grapalat" w:hAnsi="GHEA Grapalat"/>
          <w:sz w:val="22"/>
          <w:szCs w:val="22"/>
          <w:lang w:val="en-US"/>
        </w:rPr>
        <w:t>.</w:t>
      </w:r>
    </w:p>
    <w:p w:rsidR="001C411D" w:rsidRPr="001F63BA" w:rsidRDefault="001C411D" w:rsidP="00BB1B4B">
      <w:pPr>
        <w:numPr>
          <w:ilvl w:val="0"/>
          <w:numId w:val="13"/>
        </w:numPr>
        <w:tabs>
          <w:tab w:val="left" w:pos="993"/>
        </w:tabs>
        <w:spacing w:line="360" w:lineRule="auto"/>
        <w:ind w:left="0" w:firstLine="567"/>
        <w:jc w:val="both"/>
        <w:rPr>
          <w:rFonts w:ascii="GHEA Grapalat" w:hAnsi="GHEA Grapalat"/>
          <w:sz w:val="22"/>
          <w:szCs w:val="22"/>
        </w:rPr>
      </w:pPr>
      <w:r w:rsidRPr="001F63BA">
        <w:rPr>
          <w:rFonts w:ascii="GHEA Grapalat" w:hAnsi="GHEA Grapalat"/>
          <w:sz w:val="22"/>
          <w:szCs w:val="22"/>
        </w:rPr>
        <w:t>ՀՀ կառավարության 23.02.2017թ. նիստի N8 արձանագրային որոշմամբ հավանության արժանացած «Նորմատիվատեխնիկական փաստաթղթերի մշակման (տեղայ</w:t>
      </w:r>
      <w:r w:rsidRPr="001F63BA">
        <w:rPr>
          <w:rFonts w:ascii="GHEA Grapalat" w:hAnsi="GHEA Grapalat"/>
          <w:sz w:val="22"/>
          <w:szCs w:val="22"/>
        </w:rPr>
        <w:softHyphen/>
        <w:t>նացման)» ծրագրի շրջանակներում միջազգայնորեն ընդունված սկզբունքներին համահունչ քաղաքաշինական նորմատիվատեխնիկական փաստաթղթերի համակարգի բարեփոխման և արդիականացման շարունակական աշխատանքների իրականացումը` անհրաժեշտ փաստաթղթերի բազայի ստեղծմամբ, ինչը հնարավորություն կտա ապահովել նախագծային և շինարարական աշխատանքների որակական երաշխիքներ, միասնական շուկայում հանրապետության շինարարական արտադրանքի և ծառայությունների համատեղելիություն ու տեխնոլոգիաների արդիականացում</w:t>
      </w:r>
      <w:r w:rsidRPr="001F63BA">
        <w:rPr>
          <w:rFonts w:ascii="GHEA Grapalat" w:hAnsi="GHEA Grapalat"/>
          <w:sz w:val="22"/>
          <w:szCs w:val="22"/>
          <w:lang w:val="en-US"/>
        </w:rPr>
        <w:t>:</w:t>
      </w:r>
    </w:p>
    <w:p w:rsidR="001C411D" w:rsidRPr="001F63BA" w:rsidRDefault="001C411D" w:rsidP="009777F8">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գործել է քաղաքաշինական նորմատիվատեխնիկական փաստաթղթերի մշակման թվով 19 պայմանագիր, որոնցից 18-ի մեկնարկը տրված է եղել 2021 թվականին: Գործող պայմանագրերի շրջանակներում 2022 թվականին ծրագիրն ամբողջությամբ կատարվել է:</w:t>
      </w:r>
    </w:p>
    <w:p w:rsidR="001C411D" w:rsidRPr="001F63BA" w:rsidRDefault="001C411D" w:rsidP="00BB1B4B">
      <w:pPr>
        <w:numPr>
          <w:ilvl w:val="0"/>
          <w:numId w:val="13"/>
        </w:numPr>
        <w:tabs>
          <w:tab w:val="left" w:pos="993"/>
        </w:tabs>
        <w:spacing w:line="360" w:lineRule="auto"/>
        <w:ind w:left="0" w:firstLine="567"/>
        <w:jc w:val="both"/>
        <w:rPr>
          <w:rFonts w:ascii="GHEA Grapalat" w:hAnsi="GHEA Grapalat"/>
          <w:sz w:val="22"/>
          <w:szCs w:val="22"/>
        </w:rPr>
      </w:pPr>
      <w:r w:rsidRPr="001F63BA">
        <w:rPr>
          <w:rFonts w:ascii="GHEA Grapalat" w:hAnsi="GHEA Grapalat"/>
          <w:sz w:val="22"/>
          <w:szCs w:val="22"/>
        </w:rPr>
        <w:t>Հանրապետության բոլոր համայնքները 2017-2024թթ. ընթացքում տեղական մակարդակի ծրագրային փաստաթղթերով (գլխավոր հատակագծեր և գոտևորման նախագծեր) ապահով</w:t>
      </w:r>
      <w:r w:rsidRPr="001F63BA">
        <w:rPr>
          <w:rFonts w:ascii="GHEA Grapalat" w:hAnsi="GHEA Grapalat"/>
          <w:sz w:val="22"/>
          <w:szCs w:val="22"/>
          <w:lang w:val="en-US"/>
        </w:rPr>
        <w:t>ելու</w:t>
      </w:r>
      <w:r w:rsidRPr="001F63BA">
        <w:rPr>
          <w:rFonts w:ascii="GHEA Grapalat" w:hAnsi="GHEA Grapalat"/>
          <w:sz w:val="22"/>
          <w:szCs w:val="22"/>
        </w:rPr>
        <w:t xml:space="preserve"> նպատակով</w:t>
      </w:r>
      <w:r w:rsidRPr="001F63BA">
        <w:rPr>
          <w:rFonts w:ascii="GHEA Grapalat" w:hAnsi="GHEA Grapalat"/>
          <w:sz w:val="22"/>
          <w:szCs w:val="22"/>
          <w:lang w:val="en-US"/>
        </w:rPr>
        <w:t xml:space="preserve"> </w:t>
      </w:r>
      <w:r w:rsidRPr="001F63BA">
        <w:rPr>
          <w:rFonts w:ascii="GHEA Grapalat" w:hAnsi="GHEA Grapalat"/>
          <w:sz w:val="22"/>
          <w:szCs w:val="22"/>
        </w:rPr>
        <w:t>Միկրոռեգիոնալ մակարդակի համակցված տարածական պլանավորման փաստաթղթերի նախագծերի մշակում ծրագրի իրականացում</w:t>
      </w:r>
      <w:r w:rsidRPr="001F63BA">
        <w:rPr>
          <w:rFonts w:ascii="GHEA Grapalat" w:hAnsi="GHEA Grapalat"/>
          <w:sz w:val="22"/>
          <w:szCs w:val="22"/>
          <w:lang w:val="en-US"/>
        </w:rPr>
        <w:t>ը</w:t>
      </w:r>
      <w:r w:rsidRPr="001F63BA">
        <w:rPr>
          <w:rFonts w:ascii="GHEA Grapalat" w:hAnsi="GHEA Grapalat"/>
          <w:sz w:val="22"/>
          <w:szCs w:val="22"/>
        </w:rPr>
        <w:t>, որի միջոցով ՀՀ համայնքներն ապահովվում են քաղաքաշինական տարածական պլանավորման փաստաթղթերով:</w:t>
      </w:r>
      <w:r w:rsidRPr="001F63BA">
        <w:rPr>
          <w:rFonts w:ascii="GHEA Grapalat" w:hAnsi="GHEA Grapalat"/>
          <w:sz w:val="22"/>
          <w:szCs w:val="22"/>
          <w:lang w:val="en-US"/>
        </w:rPr>
        <w:t xml:space="preserve"> </w:t>
      </w: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 պետական</w:t>
      </w:r>
      <w:r w:rsidRPr="001F63BA">
        <w:rPr>
          <w:rFonts w:ascii="GHEA Grapalat" w:hAnsi="GHEA Grapalat"/>
          <w:sz w:val="22"/>
          <w:szCs w:val="22"/>
        </w:rPr>
        <w:t xml:space="preserve"> բյուջե</w:t>
      </w:r>
      <w:r w:rsidRPr="001F63BA">
        <w:rPr>
          <w:rFonts w:ascii="GHEA Grapalat" w:hAnsi="GHEA Grapalat"/>
          <w:sz w:val="22"/>
          <w:szCs w:val="22"/>
          <w:lang w:val="en-US"/>
        </w:rPr>
        <w:t>ից հատկացված միջոցների հաշվին մշակվել են</w:t>
      </w:r>
      <w:r w:rsidRPr="001F63BA">
        <w:rPr>
          <w:rFonts w:ascii="GHEA Grapalat" w:hAnsi="GHEA Grapalat"/>
          <w:sz w:val="22"/>
          <w:szCs w:val="22"/>
        </w:rPr>
        <w:t xml:space="preserve"> թվով 16 նախագծային փաստաթղթեր:</w:t>
      </w:r>
    </w:p>
    <w:p w:rsidR="001C411D" w:rsidRPr="001F63BA" w:rsidRDefault="001C411D" w:rsidP="009777F8">
      <w:pPr>
        <w:tabs>
          <w:tab w:val="left" w:pos="993"/>
        </w:tabs>
        <w:spacing w:line="360" w:lineRule="auto"/>
        <w:ind w:left="567"/>
        <w:jc w:val="both"/>
        <w:rPr>
          <w:rFonts w:ascii="GHEA Grapalat" w:hAnsi="GHEA Grapalat"/>
          <w:sz w:val="22"/>
          <w:szCs w:val="22"/>
        </w:rPr>
      </w:pPr>
    </w:p>
    <w:p w:rsidR="001C411D" w:rsidRPr="001F63BA" w:rsidRDefault="001C411D" w:rsidP="00AC199C">
      <w:pPr>
        <w:pStyle w:val="Heading2"/>
        <w:spacing w:before="0"/>
      </w:pPr>
      <w:bookmarkStart w:id="33" w:name="_Toc132204211"/>
      <w:r w:rsidRPr="001F63BA">
        <w:lastRenderedPageBreak/>
        <w:t>Արտակարգ իրավիճակների ոլորտ</w:t>
      </w:r>
      <w:bookmarkEnd w:id="33"/>
    </w:p>
    <w:p w:rsidR="001C411D" w:rsidRPr="001F63BA" w:rsidRDefault="001C411D" w:rsidP="00285ABF">
      <w:pPr>
        <w:spacing w:line="360" w:lineRule="auto"/>
        <w:ind w:firstLine="567"/>
        <w:jc w:val="both"/>
        <w:rPr>
          <w:rFonts w:ascii="GHEA Grapalat" w:hAnsi="GHEA Grapalat"/>
          <w:sz w:val="22"/>
          <w:szCs w:val="22"/>
        </w:rPr>
      </w:pPr>
      <w:r w:rsidRPr="001F63BA">
        <w:rPr>
          <w:rFonts w:ascii="GHEA Grapalat" w:hAnsi="GHEA Grapalat"/>
          <w:sz w:val="22"/>
          <w:szCs w:val="22"/>
        </w:rPr>
        <w:t>Արտակարգ իրավիճակներում բնակչության պաշտպանության բնագավառում իրականացվող քաղաքականությունը նպատակաուղղված է բնական և մարդածին աղետների ռիսկի նվազեցմանը, հնարավոր հետևանքների կանխարգելմանը և վերացմանը՝ հանդիսանալով պետության անվտանգության ապահովման բաղկացուցիչ տարր:</w:t>
      </w:r>
    </w:p>
    <w:p w:rsidR="001C411D" w:rsidRPr="001F63BA" w:rsidRDefault="001C411D" w:rsidP="00285ABF">
      <w:pPr>
        <w:spacing w:line="360" w:lineRule="auto"/>
        <w:ind w:firstLine="567"/>
        <w:jc w:val="both"/>
        <w:rPr>
          <w:rFonts w:ascii="GHEA Grapalat" w:hAnsi="GHEA Grapalat"/>
          <w:sz w:val="22"/>
          <w:szCs w:val="22"/>
          <w:lang w:val="en-US"/>
        </w:rPr>
      </w:pPr>
      <w:r w:rsidRPr="001F63BA">
        <w:rPr>
          <w:rFonts w:ascii="GHEA Grapalat" w:hAnsi="GHEA Grapalat"/>
          <w:sz w:val="22"/>
          <w:szCs w:val="22"/>
        </w:rPr>
        <w:t>2022 թվականին իրականաց</w:t>
      </w:r>
      <w:r w:rsidRPr="001F63BA">
        <w:rPr>
          <w:rFonts w:ascii="GHEA Grapalat" w:hAnsi="GHEA Grapalat"/>
          <w:sz w:val="22"/>
          <w:szCs w:val="22"/>
          <w:lang w:val="en-US"/>
        </w:rPr>
        <w:t>վել են հետևյալ</w:t>
      </w:r>
      <w:r w:rsidRPr="001F63BA">
        <w:rPr>
          <w:rFonts w:ascii="GHEA Grapalat" w:hAnsi="GHEA Grapalat"/>
          <w:sz w:val="22"/>
          <w:szCs w:val="22"/>
        </w:rPr>
        <w:t xml:space="preserve"> հիմնական աշխատանքներ</w:t>
      </w:r>
      <w:r w:rsidRPr="001F63BA">
        <w:rPr>
          <w:rFonts w:ascii="GHEA Grapalat" w:hAnsi="GHEA Grapalat"/>
          <w:sz w:val="22"/>
          <w:szCs w:val="22"/>
          <w:lang w:val="en-US"/>
        </w:rPr>
        <w:t>ը:</w:t>
      </w:r>
    </w:p>
    <w:p w:rsidR="001C411D" w:rsidRPr="001F63BA" w:rsidRDefault="001C411D" w:rsidP="00285ABF">
      <w:pPr>
        <w:spacing w:line="360" w:lineRule="auto"/>
        <w:ind w:firstLine="567"/>
        <w:jc w:val="both"/>
        <w:rPr>
          <w:rFonts w:ascii="GHEA Grapalat" w:hAnsi="GHEA Grapalat"/>
          <w:sz w:val="22"/>
          <w:szCs w:val="22"/>
        </w:rPr>
      </w:pPr>
      <w:r w:rsidRPr="001F63BA">
        <w:rPr>
          <w:rFonts w:ascii="GHEA Grapalat" w:hAnsi="GHEA Grapalat"/>
          <w:sz w:val="22"/>
          <w:szCs w:val="22"/>
        </w:rPr>
        <w:t>ԱՄՆ պաշտպանության դեպարտամենտի վտանգների նվազեցման գործակալության կողմից իրականացվող «Քիմիական, կենսաբանական, ճառագայթային և միջուկային անվտանգության ոլորտում համագործակցության ծրագրի» (ՔԿՃՄ-ԱՀԾ) (ընդհանուր բյուջեն՝ 4</w:t>
      </w:r>
      <w:r w:rsidRPr="001F63BA">
        <w:rPr>
          <w:rFonts w:ascii="GHEA Grapalat" w:hAnsi="GHEA Grapalat"/>
          <w:sz w:val="22"/>
          <w:szCs w:val="22"/>
          <w:lang w:val="en-US"/>
        </w:rPr>
        <w:t>.</w:t>
      </w:r>
      <w:r w:rsidRPr="001F63BA">
        <w:rPr>
          <w:rFonts w:ascii="GHEA Grapalat" w:hAnsi="GHEA Grapalat"/>
          <w:sz w:val="22"/>
          <w:szCs w:val="22"/>
        </w:rPr>
        <w:t>6 մ</w:t>
      </w:r>
      <w:r w:rsidRPr="001F63BA">
        <w:rPr>
          <w:rFonts w:ascii="GHEA Grapalat" w:hAnsi="GHEA Grapalat"/>
          <w:sz w:val="22"/>
          <w:szCs w:val="22"/>
          <w:lang w:val="en-US"/>
        </w:rPr>
        <w:t>լն</w:t>
      </w:r>
      <w:r w:rsidRPr="001F63BA">
        <w:rPr>
          <w:rFonts w:ascii="GHEA Grapalat" w:hAnsi="GHEA Grapalat"/>
          <w:sz w:val="22"/>
          <w:szCs w:val="22"/>
        </w:rPr>
        <w:t xml:space="preserve"> ԱՄՆ դոլար) շրջանակներում </w:t>
      </w:r>
      <w:r w:rsidRPr="001F63BA">
        <w:rPr>
          <w:rFonts w:ascii="GHEA Grapalat" w:hAnsi="GHEA Grapalat"/>
          <w:sz w:val="22"/>
          <w:szCs w:val="22"/>
          <w:lang w:val="en-US"/>
        </w:rPr>
        <w:t>ՀՀ արտակարգ իրավիճակների նախարարությանը</w:t>
      </w:r>
      <w:r w:rsidRPr="001F63BA">
        <w:rPr>
          <w:rFonts w:ascii="GHEA Grapalat" w:hAnsi="GHEA Grapalat"/>
          <w:sz w:val="22"/>
          <w:szCs w:val="22"/>
        </w:rPr>
        <w:t xml:space="preserve"> տրամադրվել է մոտ 1</w:t>
      </w:r>
      <w:r w:rsidRPr="001F63BA">
        <w:rPr>
          <w:rFonts w:ascii="GHEA Grapalat" w:hAnsi="GHEA Grapalat"/>
          <w:sz w:val="22"/>
          <w:szCs w:val="22"/>
          <w:lang w:val="en-US"/>
        </w:rPr>
        <w:t>.</w:t>
      </w:r>
      <w:r w:rsidRPr="001F63BA">
        <w:rPr>
          <w:rFonts w:ascii="GHEA Grapalat" w:hAnsi="GHEA Grapalat"/>
          <w:sz w:val="22"/>
          <w:szCs w:val="22"/>
        </w:rPr>
        <w:t>7 մ</w:t>
      </w:r>
      <w:r w:rsidRPr="001F63BA">
        <w:rPr>
          <w:rFonts w:ascii="GHEA Grapalat" w:hAnsi="GHEA Grapalat"/>
          <w:sz w:val="22"/>
          <w:szCs w:val="22"/>
          <w:lang w:val="en-US"/>
        </w:rPr>
        <w:t>լն</w:t>
      </w:r>
      <w:r w:rsidRPr="001F63BA">
        <w:rPr>
          <w:rFonts w:ascii="GHEA Grapalat" w:hAnsi="GHEA Grapalat"/>
          <w:sz w:val="22"/>
          <w:szCs w:val="22"/>
        </w:rPr>
        <w:t xml:space="preserve"> ԱՄՆ դոլար արժողությամբ քիմիական, կենսաբանական, ճառագայթային և միջուկային հետախուզության, մարդկանց և տարածքների վարակազերծման գույք և համապատասխան տեխնիկական միջոցներ, որ</w:t>
      </w:r>
      <w:r w:rsidRPr="001F63BA">
        <w:rPr>
          <w:rFonts w:ascii="GHEA Grapalat" w:hAnsi="GHEA Grapalat"/>
          <w:sz w:val="22"/>
          <w:szCs w:val="22"/>
          <w:lang w:val="en-US"/>
        </w:rPr>
        <w:t>ոնք</w:t>
      </w:r>
      <w:r w:rsidRPr="001F63BA">
        <w:rPr>
          <w:rFonts w:ascii="GHEA Grapalat" w:hAnsi="GHEA Grapalat"/>
          <w:sz w:val="22"/>
          <w:szCs w:val="22"/>
        </w:rPr>
        <w:t xml:space="preserve"> մինչ օրս բացակայում է</w:t>
      </w:r>
      <w:r w:rsidRPr="001F63BA">
        <w:rPr>
          <w:rFonts w:ascii="GHEA Grapalat" w:hAnsi="GHEA Grapalat"/>
          <w:sz w:val="22"/>
          <w:szCs w:val="22"/>
          <w:lang w:val="en-US"/>
        </w:rPr>
        <w:t>ին</w:t>
      </w:r>
      <w:r w:rsidRPr="001F63BA">
        <w:rPr>
          <w:rFonts w:ascii="GHEA Grapalat" w:hAnsi="GHEA Grapalat"/>
          <w:sz w:val="22"/>
          <w:szCs w:val="22"/>
        </w:rPr>
        <w:t xml:space="preserve"> ՀՀ-ում: Ծրագրի շրջանակներում իրականացվել են 8 վերապատրաստման դասընթացներ, վերապատրաստում է անցել 151 փրկարար ծառայող, որից 20-ը՝ արտերկրում։</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Աշխատանքներ են իրականացվել Վարչապետի որոշմամբ ստեղծված միջգերատեսչական հանձնաժողովի կազմում՝ ՀՀ տարածքում տեղակայված հակաճառագայթային թաքստոցների և ապաստարանների ուսումնասիրության ուղղությամբ: Կազմվել է աշխատանքների իրականացման ծրագիր-ժամանակացույց</w:t>
      </w:r>
      <w:r w:rsidRPr="001F63BA">
        <w:rPr>
          <w:rFonts w:ascii="GHEA Grapalat" w:hAnsi="GHEA Grapalat"/>
          <w:sz w:val="22"/>
          <w:szCs w:val="22"/>
          <w:lang w:val="en-US"/>
        </w:rPr>
        <w:t>, որի</w:t>
      </w:r>
      <w:r w:rsidRPr="001F63BA">
        <w:rPr>
          <w:rFonts w:ascii="GHEA Grapalat" w:hAnsi="GHEA Grapalat"/>
          <w:sz w:val="22"/>
          <w:szCs w:val="22"/>
        </w:rPr>
        <w:t xml:space="preserve"> համաձայն ՀՀ տարածքում սկսել են անցկացվել ապաստարանների և հակաճառագայթային թաքստոցների ուսումնասիրություններ:</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սեպտեմբերի 4-ին Հայկական քաղաքային որոնողափրկարարական թիմը վերաորակավորվել և ստացել է հավաստագիր 5 տարի ժամկետով` երկարաձգելով ՄԱԿ-ի միջազգային քաղաքային որոնողափրկարարական խորհրդատվական խմբին (INSARAG) անդամագրումը:</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Իրականացվել </w:t>
      </w:r>
      <w:r w:rsidRPr="001F63BA">
        <w:rPr>
          <w:rFonts w:ascii="GHEA Grapalat" w:hAnsi="GHEA Grapalat"/>
          <w:sz w:val="22"/>
          <w:szCs w:val="22"/>
          <w:lang w:val="en-US"/>
        </w:rPr>
        <w:t>են</w:t>
      </w:r>
      <w:r w:rsidRPr="001F63BA">
        <w:rPr>
          <w:rFonts w:ascii="GHEA Grapalat" w:hAnsi="GHEA Grapalat"/>
          <w:sz w:val="22"/>
          <w:szCs w:val="22"/>
        </w:rPr>
        <w:t xml:space="preserve"> «Արտակարգ իրավիճակների նախարարության փրկարար ծառայության հրշեջ-փրկարարական գույքի բարելավում» և «Արտակարգ իրավիճակների նախարարության փրկարար ծառայության ճգնաժամային կառավարման տեխնիկական կարողությունների և գույքի բարելավում» </w:t>
      </w:r>
      <w:r w:rsidRPr="001F63BA">
        <w:rPr>
          <w:rFonts w:ascii="GHEA Grapalat" w:hAnsi="GHEA Grapalat"/>
          <w:sz w:val="22"/>
          <w:szCs w:val="22"/>
          <w:lang w:val="en-US"/>
        </w:rPr>
        <w:t>ծրագրերը</w:t>
      </w:r>
      <w:r w:rsidRPr="001F63BA">
        <w:rPr>
          <w:rFonts w:ascii="GHEA Grapalat" w:hAnsi="GHEA Grapalat"/>
          <w:sz w:val="22"/>
          <w:szCs w:val="22"/>
        </w:rPr>
        <w:t>։ Առաջին ներդրումային ծրագրով իրականացվել է Արագածոտնի, Արմավիրի, Արարատի և Կոտայքի ՄՓՎ-ների ՀՓՋ-ների հաշվեկշռում առկա և հնամաշ հրշեջ-փրկարարական ավտոմեքենաներ</w:t>
      </w:r>
      <w:r w:rsidRPr="001F63BA">
        <w:rPr>
          <w:rFonts w:ascii="GHEA Grapalat" w:hAnsi="GHEA Grapalat"/>
          <w:sz w:val="22"/>
          <w:szCs w:val="22"/>
          <w:lang w:val="en-US"/>
        </w:rPr>
        <w:t>ի</w:t>
      </w:r>
      <w:r w:rsidRPr="001F63BA">
        <w:rPr>
          <w:rFonts w:ascii="GHEA Grapalat" w:hAnsi="GHEA Grapalat"/>
          <w:sz w:val="22"/>
          <w:szCs w:val="22"/>
        </w:rPr>
        <w:t xml:space="preserve"> փոխարինում նորերով: </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ձեռք են բերվել ԱԻՆ ՓԾ կարիքների համար անհրաժեշտ «Mavic 2 Enterprise</w:t>
      </w:r>
      <w:r w:rsidRPr="001F63BA">
        <w:rPr>
          <w:rFonts w:ascii="GHEA Grapalat" w:hAnsi="GHEA Grapalat"/>
          <w:sz w:val="22"/>
          <w:szCs w:val="22"/>
          <w:lang w:val="en-US"/>
        </w:rPr>
        <w:t xml:space="preserve"> </w:t>
      </w:r>
      <w:r w:rsidRPr="001F63BA">
        <w:rPr>
          <w:rFonts w:ascii="GHEA Grapalat" w:hAnsi="GHEA Grapalat"/>
          <w:sz w:val="22"/>
          <w:szCs w:val="22"/>
        </w:rPr>
        <w:t xml:space="preserve">Advanced» և «DJI Matrice 30» տեսակների անօդաչու թռչող սարքեր: </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Փրկարար ծառայությունը համալրվել է 17 ԱԹՍ-ով, 2 ստորջրյա դրոնով, 2 գիշերային տեսանելիության սարքով, 1 լազերային թեոդոլիտ սարքով, 1 միավոր «Մագիրուս» մակնիշի հրշեջ-ավտոմեքենայով, 1 միավոր «Պոլարիս» մակնիշի </w:t>
      </w:r>
      <w:r w:rsidRPr="001F63BA">
        <w:rPr>
          <w:rFonts w:ascii="GHEA Grapalat" w:hAnsi="GHEA Grapalat"/>
          <w:sz w:val="22"/>
          <w:szCs w:val="22"/>
          <w:lang w:val="en-US"/>
        </w:rPr>
        <w:t>ք</w:t>
      </w:r>
      <w:r w:rsidRPr="001F63BA">
        <w:rPr>
          <w:rFonts w:ascii="GHEA Grapalat" w:hAnsi="GHEA Grapalat"/>
          <w:sz w:val="22"/>
          <w:szCs w:val="22"/>
        </w:rPr>
        <w:t>վադրոցիկլով, 1400 հատ (լրակազմ) հրշեջ համազգեստով: ԱԹՍ-ները կիրառվել են արտակարգ դեպքերի ժամանակ օդային հետախուզություն իրականացնելու նպատակով: Տվյալներն իրական ռեժիմով փոխանցվում են ՓԾ ղեկավարման շտաբ և ճգնաժամային կառավարման կենտրոններ: Արդյունքում՝ ուժերի և միջոցների ներգրավումն իրականացվում է ավելի արագ և արդյունավետ:</w:t>
      </w:r>
    </w:p>
    <w:p w:rsidR="001C411D" w:rsidRPr="001F63BA" w:rsidRDefault="00BE4EC4" w:rsidP="00D3035B">
      <w:pPr>
        <w:spacing w:line="360" w:lineRule="auto"/>
        <w:ind w:firstLine="567"/>
        <w:jc w:val="both"/>
        <w:rPr>
          <w:rFonts w:ascii="GHEA Grapalat" w:hAnsi="GHEA Grapalat"/>
          <w:sz w:val="22"/>
          <w:szCs w:val="22"/>
        </w:rPr>
      </w:pPr>
      <w:r w:rsidRPr="001F63BA">
        <w:rPr>
          <w:rFonts w:ascii="GHEA Grapalat" w:hAnsi="GHEA Grapalat"/>
          <w:sz w:val="22"/>
          <w:szCs w:val="22"/>
        </w:rPr>
        <w:t>Կառավարությ</w:t>
      </w:r>
      <w:r w:rsidR="001C411D" w:rsidRPr="001F63BA">
        <w:rPr>
          <w:rFonts w:ascii="GHEA Grapalat" w:hAnsi="GHEA Grapalat"/>
          <w:sz w:val="22"/>
          <w:szCs w:val="22"/>
        </w:rPr>
        <w:t>ան համապատասխան որոշմամբ առաջին անգամ ՓԾ տեխնիկական հագեցվածության բարելավման նպատակով պետ</w:t>
      </w:r>
      <w:r w:rsidR="001C411D" w:rsidRPr="001F63BA">
        <w:rPr>
          <w:rFonts w:ascii="GHEA Grapalat" w:hAnsi="GHEA Grapalat"/>
          <w:sz w:val="22"/>
          <w:szCs w:val="22"/>
          <w:lang w:val="en-US"/>
        </w:rPr>
        <w:t xml:space="preserve">ական </w:t>
      </w:r>
      <w:r w:rsidR="001C411D" w:rsidRPr="001F63BA">
        <w:rPr>
          <w:rFonts w:ascii="GHEA Grapalat" w:hAnsi="GHEA Grapalat"/>
          <w:sz w:val="22"/>
          <w:szCs w:val="22"/>
        </w:rPr>
        <w:t xml:space="preserve">բյուջեից հատկացվել է </w:t>
      </w:r>
      <w:r w:rsidR="001C411D" w:rsidRPr="001F63BA">
        <w:rPr>
          <w:rFonts w:ascii="GHEA Grapalat" w:hAnsi="GHEA Grapalat"/>
          <w:sz w:val="22"/>
          <w:szCs w:val="22"/>
          <w:lang w:val="en-US"/>
        </w:rPr>
        <w:t xml:space="preserve">782.8 </w:t>
      </w:r>
      <w:r w:rsidR="001C411D" w:rsidRPr="001F63BA">
        <w:rPr>
          <w:rFonts w:ascii="GHEA Grapalat" w:hAnsi="GHEA Grapalat"/>
          <w:sz w:val="22"/>
          <w:szCs w:val="22"/>
        </w:rPr>
        <w:t>մլն դրամ: Նշված գումարով ձեռք է բերվել 8 միավոր «ՈՒԱԶ Պատրիոտ կլասիկ» մակնիշի ավտոմեքենա և 11 միավոր «ՈՒԱԶ Պիկապ» մակնիշի ավտոմեքենա, որոնք բաշխվել են ՓԾ ստորաբաժանումներին։ ՌԴ կողմից որպես հումանիտար օգնություն ՀՀ-ին տրամադրված 6 միավոր «ՈՒՐԱԼ5557» մակնիշի ավտոմեքենաները հանձնվել են ԱԻՆ-ին (4 միավոր հատկացվել է Արցախի Հանրապետությանը), ինչպես նաև ՌԴ կողմից տրամադրված 5 միավոր «ՈՒԱԶ ТР ТС 018/2011» մակնիշի ավտոմեքենաները և 13 լրակազմ հիդրավլիկ գործիքների հավաքածուներից ավտոմեքենաները և 7 լրակազմ հիդրավլիկ գործիքների հավաքածուն հատկացվել են Արցախի Հանրապետությանը։</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2020թ. հոկտեմբերի 1-ից 2022թ. սեպտեմբերի 30-ը իրականացվել է ԵՄ Շվեդիա-Լիտվա համատեղ գործունեության կարգով՝ բնակչության պաշտպանության ոլորտում ԱԻՆ փրկարար ծառայության կարողությունների հզորացմանն ու ինստիտուցիոնալ կայացմանն ուղղված «Թվինինգ» ծրագիրը: </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2019թ. մայիսից մինչև 2022թ. ապրիլ ամիսն իրականացվել է «Աղետների արձագանքման համար բազմակի համաժամանակեցված առաքելություններով անօդաչու թռչող սարքերի թռիչքակազմի կառավարման նորարարական ինտեգրացված լուծում» ծրագիրը (RespondDrone): </w:t>
      </w:r>
    </w:p>
    <w:p w:rsidR="001C411D" w:rsidRPr="001F63BA" w:rsidRDefault="001C411D" w:rsidP="00D3035B">
      <w:pPr>
        <w:spacing w:line="360" w:lineRule="auto"/>
        <w:ind w:firstLine="567"/>
        <w:jc w:val="both"/>
        <w:rPr>
          <w:rFonts w:ascii="GHEA Grapalat" w:hAnsi="GHEA Grapalat"/>
          <w:sz w:val="22"/>
          <w:szCs w:val="22"/>
          <w:lang w:val="en-US"/>
        </w:rPr>
      </w:pPr>
      <w:r w:rsidRPr="001F63BA">
        <w:rPr>
          <w:rFonts w:ascii="GHEA Grapalat" w:hAnsi="GHEA Grapalat"/>
          <w:sz w:val="22"/>
          <w:szCs w:val="22"/>
        </w:rPr>
        <w:t>Ճապոնիայի միջազգային համագործակցության գործակալության (JICA) կողմից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ֆինանսական տարվա համար հայտարարված Mini Grant Project ծրագրի շրջանակում ներկայացվել է «Անտառային հրդեհների մարման համար ուսակիր սրսկիչներ ձեռք բերելու» ծրագիրը, որի արդյունքում ձեռք </w:t>
      </w:r>
      <w:r w:rsidRPr="001F63BA">
        <w:rPr>
          <w:rFonts w:ascii="GHEA Grapalat" w:hAnsi="GHEA Grapalat"/>
          <w:sz w:val="22"/>
          <w:szCs w:val="22"/>
          <w:lang w:val="en-US"/>
        </w:rPr>
        <w:t>են</w:t>
      </w:r>
      <w:r w:rsidRPr="001F63BA">
        <w:rPr>
          <w:rFonts w:ascii="GHEA Grapalat" w:hAnsi="GHEA Grapalat"/>
          <w:sz w:val="22"/>
          <w:szCs w:val="22"/>
        </w:rPr>
        <w:t xml:space="preserve"> բերվել 3500 ԱՄՆ դոլարին համարժեք թվով 109 հատ մարտկոցով և միաժամանակ մեխանիկական եղանակով աշխատող ուսակիր սրսկիչներ: Ճապոնիայի միջազգային համագործակցության գործակալության կողմից Ճապոնիայում կազմակերպված դասընթացների շրջանավարտների կողմից իրականացվել է 5 փոքր դրամաշնորհային ծրագիր։</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 xml:space="preserve">Մշակվել և ՀՀ պետական կառավարման համակարգի մարմինների քննարկմանն է ներկայացվել Հնարավոր արտակարգ իրավիճակների (ռազմական կոնֆլիկտի, երկրաշարժի, այլ վտանգի հետևանքով առաջացած) ժամանակ </w:t>
      </w:r>
      <w:bookmarkStart w:id="34" w:name="_Hlk111106789"/>
      <w:r w:rsidRPr="001F63BA">
        <w:rPr>
          <w:rFonts w:ascii="GHEA Grapalat" w:hAnsi="GHEA Grapalat"/>
          <w:sz w:val="22"/>
          <w:szCs w:val="22"/>
        </w:rPr>
        <w:t>տեղահանված և/կամ տարհանված բնակչության</w:t>
      </w:r>
      <w:bookmarkEnd w:id="34"/>
      <w:r w:rsidRPr="001F63BA">
        <w:rPr>
          <w:rFonts w:ascii="GHEA Grapalat" w:hAnsi="GHEA Grapalat"/>
          <w:sz w:val="22"/>
          <w:szCs w:val="22"/>
        </w:rPr>
        <w:t>ը ընդունող համայնքի կողմից ձեռնարկվող անհրաժեշտ գործողությունների (այդ թվում' սոցիալական ծառայությունների տրամադրմանն ուղղված) ընթացակարգերի մշակման մեթոդական ուղեցույց-ի նախագիծը։</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Երևան քաղաքի նախադպրոցական ուսումնական հաստատությունների աղետների ռիսկի կառավարման պլանների մշակման ուղղությամբ մեթոդական աջակցություն ցուցաբերելու նպատակով մշակվել են աղետների ռիսկի կառավարման պլանների 3 օրինակելի ձևեր:</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Մշակվում է Երևանի Գեղասահքի և հոկեյի մարզադպրոցի աղետների ռիսկի կառավարման պլանը, որի մշակման համար առաջին անգամ ներդրվել է բարձր ռիսկայնության օբյեկտների համար մշակված և հաստատված </w:t>
      </w:r>
      <w:r w:rsidRPr="001F63BA">
        <w:rPr>
          <w:rFonts w:ascii="GHEA Grapalat" w:hAnsi="GHEA Grapalat"/>
          <w:sz w:val="22"/>
          <w:szCs w:val="22"/>
        </w:rPr>
        <w:tab/>
        <w:t>աղետների</w:t>
      </w:r>
      <w:r w:rsidRPr="001F63BA">
        <w:rPr>
          <w:rFonts w:ascii="GHEA Grapalat" w:hAnsi="GHEA Grapalat"/>
          <w:sz w:val="22"/>
          <w:szCs w:val="22"/>
          <w:lang w:val="en-US"/>
        </w:rPr>
        <w:t xml:space="preserve"> </w:t>
      </w:r>
      <w:r w:rsidRPr="001F63BA">
        <w:rPr>
          <w:rFonts w:ascii="GHEA Grapalat" w:hAnsi="GHEA Grapalat"/>
          <w:sz w:val="22"/>
          <w:szCs w:val="22"/>
        </w:rPr>
        <w:t>ռիսկի կառավարման պլանի օրինակելի ձևը:</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Աշխատանքներ են իրականացվել ՄԱԿ</w:t>
      </w:r>
      <w:r w:rsidRPr="001F63BA">
        <w:rPr>
          <w:rFonts w:ascii="GHEA Grapalat" w:hAnsi="GHEA Grapalat"/>
          <w:sz w:val="22"/>
          <w:szCs w:val="22"/>
          <w:lang w:val="en-US"/>
        </w:rPr>
        <w:t>-ի</w:t>
      </w:r>
      <w:r w:rsidRPr="001F63BA">
        <w:rPr>
          <w:rFonts w:ascii="GHEA Grapalat" w:hAnsi="GHEA Grapalat"/>
          <w:sz w:val="22"/>
          <w:szCs w:val="22"/>
        </w:rPr>
        <w:t xml:space="preserve"> Անվտանգության խորհրդի «Կանայք, խաղաղություն և անվտանգություն» թիվ 1325 բանաձևի դրույթների իրականացման միջգերատեսչական հանձնաժողովի կազմում, արդյունքում մշակվել և ՀՀ կառավարության 2022թ. հունիսի 2-ի թիվ 803</w:t>
      </w:r>
      <w:r w:rsidRPr="001F63BA">
        <w:rPr>
          <w:rFonts w:ascii="GHEA Grapalat" w:hAnsi="GHEA Grapalat"/>
          <w:sz w:val="22"/>
          <w:szCs w:val="22"/>
          <w:lang w:val="en-US"/>
        </w:rPr>
        <w:noBreakHyphen/>
      </w:r>
      <w:r w:rsidRPr="001F63BA">
        <w:rPr>
          <w:rFonts w:ascii="GHEA Grapalat" w:hAnsi="GHEA Grapalat"/>
          <w:sz w:val="22"/>
          <w:szCs w:val="22"/>
        </w:rPr>
        <w:t>Լ որոշմամբ հաստատվել է նշված բանաձևի դրույթների իրականացման 2022-2024թթ. գործողությունների ազգային երկրորդ ծրագիրը և ծրագրի իրականացման ժամանակացույցը։ Վերածրագրավորվել և կենտրոնացված ազդարարման ցանցի մեջ են ընդգրկվել կենտրոնացված ազդարարման համակարգի շուրջ 142 հեռակառավարման վահանակներ: Տեղադրվել է 76 նոր էլեկտր</w:t>
      </w:r>
      <w:r w:rsidRPr="001F63BA">
        <w:rPr>
          <w:rFonts w:ascii="GHEA Grapalat" w:hAnsi="GHEA Grapalat"/>
          <w:sz w:val="22"/>
          <w:szCs w:val="22"/>
          <w:lang w:val="en-US"/>
        </w:rPr>
        <w:t>ա</w:t>
      </w:r>
      <w:r w:rsidRPr="001F63BA">
        <w:rPr>
          <w:rFonts w:ascii="GHEA Grapalat" w:hAnsi="GHEA Grapalat"/>
          <w:sz w:val="22"/>
          <w:szCs w:val="22"/>
        </w:rPr>
        <w:t>շչակ</w:t>
      </w:r>
      <w:r w:rsidRPr="001F63BA">
        <w:rPr>
          <w:rFonts w:ascii="GHEA Grapalat" w:hAnsi="GHEA Grapalat"/>
          <w:sz w:val="22"/>
          <w:szCs w:val="22"/>
          <w:lang w:val="en-US"/>
        </w:rPr>
        <w:t>.</w:t>
      </w:r>
      <w:r w:rsidRPr="001F63BA">
        <w:rPr>
          <w:rFonts w:ascii="GHEA Grapalat" w:hAnsi="GHEA Grapalat"/>
          <w:sz w:val="22"/>
          <w:szCs w:val="22"/>
        </w:rPr>
        <w:t xml:space="preserve"> ՀՀ տարածքում տեղադրված շչակների ընդհանուր քանակը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դրությամբ կազմում է 1074, որից սարքին են 1007-ը:</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ՓԾ տարածքային ստորաբաժանումների կողմից 30 քարաթափման վտանգավոր տեղամասերում իրականացվել են հարկադիր քարաթափման</w:t>
      </w:r>
      <w:r w:rsidRPr="001F63BA">
        <w:rPr>
          <w:rFonts w:ascii="GHEA Grapalat" w:hAnsi="GHEA Grapalat"/>
          <w:sz w:val="22"/>
          <w:szCs w:val="22"/>
          <w:lang w:val="en-US"/>
        </w:rPr>
        <w:t xml:space="preserve"> </w:t>
      </w:r>
      <w:r w:rsidRPr="001F63BA">
        <w:rPr>
          <w:rFonts w:ascii="GHEA Grapalat" w:hAnsi="GHEA Grapalat"/>
          <w:sz w:val="22"/>
          <w:szCs w:val="22"/>
        </w:rPr>
        <w:t>աշխատանքներ։</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Ներդրվել է միջին մասնագիտական կրթական ծրագրի «Հեռակառավարվող</w:t>
      </w:r>
      <w:r w:rsidRPr="001F63BA">
        <w:rPr>
          <w:rFonts w:ascii="GHEA Grapalat" w:hAnsi="GHEA Grapalat"/>
          <w:sz w:val="22"/>
          <w:szCs w:val="22"/>
          <w:lang w:val="en-US"/>
        </w:rPr>
        <w:t xml:space="preserve"> </w:t>
      </w:r>
      <w:r w:rsidRPr="001F63BA">
        <w:rPr>
          <w:rFonts w:ascii="GHEA Grapalat" w:hAnsi="GHEA Grapalat"/>
          <w:sz w:val="22"/>
          <w:szCs w:val="22"/>
        </w:rPr>
        <w:t xml:space="preserve">սարքերը որոնողափրկարարական աշխատանքներում նոր մասնագիտություն: Կրթության, գիտության, մշակույթի և սպորտի նախարարի կողմից երաշխավորվել են ՃԿՊԱ-ում մշակված Ճգնաժամ հաղթահարողներ 2-րդ, 3-րդ, 4-րդ և 5-րդ դասարանների ուսուցչի ձեռնարկները: </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ՀՀ ԱԻՆ «Սեյսմիկ պաշտպանության տարածքային ծառայություն» ՊՈԱԿ-ի և Ֆրանսիայի ատոմային և այլընտրանքային էներգիայի կոմիսարիատի (CEA) Շրջակա միջավայրի վերահսկողության և վերլուծության դեպարտամենտի (DASE) միջև համագործակցության արդյունքում սեյսմիկ վտանգի գնահատման ոլորտում ներկայումս ՀՀ տարածքում գործում է 6 սեյսմոլոգիական Guralp տեսակի ժամանակակից կայան, իսկ Վայոց ձորի մարզի Վայք համայնքում` «Վայք» սեյսմիկ </w:t>
      </w:r>
      <w:r w:rsidRPr="001F63BA">
        <w:rPr>
          <w:rFonts w:ascii="GHEA Grapalat" w:hAnsi="GHEA Grapalat"/>
          <w:sz w:val="22"/>
          <w:szCs w:val="22"/>
        </w:rPr>
        <w:lastRenderedPageBreak/>
        <w:t xml:space="preserve">կայանների փունջ, որոնք տեղադրվել են ֆրանսիական կողմի աջակցությամբ: Այդ սեյսմիկ կայանների տվյալները ստացվում են առցանց եղանակով, մշակվում և պահպանվում են Գառնիի երկրաֆիզիկական դիտարանում գտնվող տվյալների կենտրոնում: </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Ամերիկյան UNAVCO (NASA-ի գործընկեր) կազ</w:t>
      </w:r>
      <w:r w:rsidRPr="001F63BA">
        <w:rPr>
          <w:rFonts w:ascii="GHEA Grapalat" w:hAnsi="GHEA Grapalat"/>
          <w:sz w:val="22"/>
          <w:szCs w:val="22"/>
        </w:rPr>
        <w:softHyphen/>
        <w:t>մա</w:t>
      </w:r>
      <w:r w:rsidRPr="001F63BA">
        <w:rPr>
          <w:rFonts w:ascii="GHEA Grapalat" w:hAnsi="GHEA Grapalat"/>
          <w:sz w:val="22"/>
          <w:szCs w:val="22"/>
        </w:rPr>
        <w:softHyphen/>
        <w:t>կերպու</w:t>
      </w:r>
      <w:r w:rsidRPr="001F63BA">
        <w:rPr>
          <w:rFonts w:ascii="GHEA Grapalat" w:hAnsi="GHEA Grapalat"/>
          <w:sz w:val="22"/>
          <w:szCs w:val="22"/>
        </w:rPr>
        <w:softHyphen/>
        <w:t>թյան հետ հա</w:t>
      </w:r>
      <w:r w:rsidRPr="001F63BA">
        <w:rPr>
          <w:rFonts w:ascii="GHEA Grapalat" w:hAnsi="GHEA Grapalat"/>
          <w:sz w:val="22"/>
          <w:szCs w:val="22"/>
        </w:rPr>
        <w:softHyphen/>
        <w:t>մագոր</w:t>
      </w:r>
      <w:r w:rsidRPr="001F63BA">
        <w:rPr>
          <w:rFonts w:ascii="GHEA Grapalat" w:hAnsi="GHEA Grapalat"/>
          <w:sz w:val="22"/>
          <w:szCs w:val="22"/>
        </w:rPr>
        <w:softHyphen/>
        <w:t>ծակ</w:t>
      </w:r>
      <w:r w:rsidRPr="001F63BA">
        <w:rPr>
          <w:rFonts w:ascii="GHEA Grapalat" w:hAnsi="GHEA Grapalat"/>
          <w:sz w:val="22"/>
          <w:szCs w:val="22"/>
        </w:rPr>
        <w:softHyphen/>
        <w:t>ցության շրջա</w:t>
      </w:r>
      <w:r w:rsidRPr="001F63BA">
        <w:rPr>
          <w:rFonts w:ascii="GHEA Grapalat" w:hAnsi="GHEA Grapalat"/>
          <w:sz w:val="22"/>
          <w:szCs w:val="22"/>
        </w:rPr>
        <w:softHyphen/>
        <w:t>նակ</w:t>
      </w:r>
      <w:r w:rsidRPr="001F63BA">
        <w:rPr>
          <w:rFonts w:ascii="GHEA Grapalat" w:hAnsi="GHEA Grapalat"/>
          <w:sz w:val="22"/>
          <w:szCs w:val="22"/>
        </w:rPr>
        <w:softHyphen/>
        <w:t>ներում ստացվել է նոր համակարգիչ` Արուճում տեղադրված GPS կայանի համար: Նախատեսվում է փորձարկել ընդունիչի տվյալների բեռնումը Rxtools_22.1.0 ծրագրով:</w:t>
      </w:r>
    </w:p>
    <w:p w:rsidR="001C411D" w:rsidRPr="001F63BA" w:rsidRDefault="00BE4EC4"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Պատրաստվել է </w:t>
      </w:r>
      <w:r w:rsidRPr="001F63BA">
        <w:rPr>
          <w:rFonts w:ascii="GHEA Grapalat" w:hAnsi="GHEA Grapalat"/>
          <w:sz w:val="22"/>
          <w:szCs w:val="22"/>
          <w:lang w:val="en-US"/>
        </w:rPr>
        <w:t>Կ</w:t>
      </w:r>
      <w:r w:rsidR="001C411D" w:rsidRPr="001F63BA">
        <w:rPr>
          <w:rFonts w:ascii="GHEA Grapalat" w:hAnsi="GHEA Grapalat"/>
          <w:sz w:val="22"/>
          <w:szCs w:val="22"/>
        </w:rPr>
        <w:t>առավարության 2021-2026թթ. գործունեության միջոցառումների ծրագրի` ՀՀ պետական հատուկ նշանակության թվով 24 ջրամբարների պատվարների սեյսմիկ խոցե</w:t>
      </w:r>
      <w:r w:rsidR="001C411D" w:rsidRPr="001F63BA">
        <w:rPr>
          <w:rFonts w:ascii="GHEA Grapalat" w:hAnsi="GHEA Grapalat"/>
          <w:sz w:val="22"/>
          <w:szCs w:val="22"/>
        </w:rPr>
        <w:softHyphen/>
        <w:t>լիության գնահատման պլան-ժամանա</w:t>
      </w:r>
      <w:r w:rsidR="001C411D" w:rsidRPr="001F63BA">
        <w:rPr>
          <w:rFonts w:ascii="GHEA Grapalat" w:hAnsi="GHEA Grapalat"/>
          <w:sz w:val="22"/>
          <w:szCs w:val="22"/>
        </w:rPr>
        <w:softHyphen/>
        <w:t>կացույցը: Այն հաստատվել է ԱԻ և ՏԿԵ նախարարների համա</w:t>
      </w:r>
      <w:r w:rsidR="001C411D" w:rsidRPr="001F63BA">
        <w:rPr>
          <w:rFonts w:ascii="GHEA Grapalat" w:hAnsi="GHEA Grapalat"/>
          <w:sz w:val="22"/>
          <w:szCs w:val="22"/>
        </w:rPr>
        <w:softHyphen/>
        <w:t>տեղ հրամանով:</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«ՀՀ ԱԻՆ սեյսմիկ պաշտպանության ծառայության համակարգի ազգային դիտացանցի արդիականացում» ներդրումային ծրագիր</w:t>
      </w:r>
      <w:r w:rsidRPr="001F63BA">
        <w:rPr>
          <w:rFonts w:ascii="GHEA Grapalat" w:hAnsi="GHEA Grapalat"/>
          <w:sz w:val="22"/>
          <w:szCs w:val="22"/>
          <w:lang w:val="en-US"/>
        </w:rPr>
        <w:t>ը</w:t>
      </w:r>
      <w:r w:rsidRPr="001F63BA">
        <w:rPr>
          <w:rFonts w:ascii="GHEA Grapalat" w:hAnsi="GHEA Grapalat"/>
          <w:sz w:val="22"/>
          <w:szCs w:val="22"/>
        </w:rPr>
        <w:t xml:space="preserve">` 612648 ԱՄՆ դոլար արժողությամբ, անցել է մրցութային փուլ: Ճանաչվել է մրցույթի հաղթող կազմակերպությունը: </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Պետական կառավարման մարմինների քննարկմանն </w:t>
      </w:r>
      <w:r w:rsidRPr="001F63BA">
        <w:rPr>
          <w:rFonts w:ascii="GHEA Grapalat" w:hAnsi="GHEA Grapalat"/>
          <w:sz w:val="22"/>
          <w:szCs w:val="22"/>
          <w:lang w:val="en-US"/>
        </w:rPr>
        <w:t>են</w:t>
      </w:r>
      <w:r w:rsidRPr="001F63BA">
        <w:rPr>
          <w:rFonts w:ascii="GHEA Grapalat" w:hAnsi="GHEA Grapalat"/>
          <w:sz w:val="22"/>
          <w:szCs w:val="22"/>
        </w:rPr>
        <w:t xml:space="preserve"> ներկայացվել «Ռազմավարական պաշարների պահուստի անվանացանկում ընդգրկված ապրանքների ներկրման նվազագույն ծավալները, ռազմավարական պաշարների պահուստի անվանացանկում ընդգրկված ապրանքների և դրանց արտադրության համար անհրաժեշտ ներմուծվող հումքի պաշարների կուտակման ժամանակացույցը և հաշվառման կարգը սահմանելու, ռազմավարական պաշարների պահուստի նյութական արժեքների պահպանում իրականացնող կազմակերպությունների կողմից ներկայացված կուտակված ռազմավարական պաշարներ հանդիսացող ապրանքների մնացորդի և շարժի վերաբերյալ հաշվետվությունների ձևն ու լրացման կարգը հաստատելու և Հայաստանի Հանրապետության կառավարության 2020 թվականի սեպտեմբերի 28-ի N 1593-Ն որոշումն ուժը կորցրած ճանաչելու մասին» և «ՀՀ կառավարության 2020 թվականի սեպտեմբերի 28-ի N 1594-Ն որոշման մեջ լրացում և փոփոխություններ կատարելու մասին» ՀՀ կառավարության որոշումների նախագծերը։</w:t>
      </w:r>
      <w:r w:rsidRPr="001F63BA">
        <w:rPr>
          <w:rFonts w:ascii="GHEA Grapalat" w:hAnsi="GHEA Grapalat"/>
          <w:sz w:val="22"/>
          <w:szCs w:val="22"/>
        </w:rPr>
        <w:tab/>
      </w:r>
      <w:r w:rsidRPr="001F63BA">
        <w:rPr>
          <w:rFonts w:ascii="GHEA Grapalat" w:hAnsi="GHEA Grapalat"/>
          <w:sz w:val="22"/>
          <w:szCs w:val="22"/>
        </w:rPr>
        <w:tab/>
      </w:r>
      <w:r w:rsidRPr="001F63BA">
        <w:rPr>
          <w:rFonts w:ascii="GHEA Grapalat" w:hAnsi="GHEA Grapalat"/>
          <w:sz w:val="22"/>
          <w:szCs w:val="22"/>
        </w:rPr>
        <w:tab/>
      </w:r>
      <w:r w:rsidRPr="001F63BA">
        <w:rPr>
          <w:rFonts w:ascii="GHEA Grapalat" w:hAnsi="GHEA Grapalat"/>
          <w:sz w:val="22"/>
          <w:szCs w:val="22"/>
        </w:rPr>
        <w:tab/>
      </w:r>
      <w:r w:rsidRPr="001F63BA">
        <w:rPr>
          <w:rFonts w:ascii="GHEA Grapalat" w:hAnsi="GHEA Grapalat"/>
          <w:sz w:val="22"/>
          <w:szCs w:val="22"/>
        </w:rPr>
        <w:tab/>
      </w:r>
    </w:p>
    <w:p w:rsidR="001C411D" w:rsidRPr="001F63BA" w:rsidRDefault="001C411D" w:rsidP="00D3035B">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Իրականացվել է ճգնաժամային կառավարման ազգային կենտրոնում մարդուն հրատապ օգնության համապետական համակարգի </w:t>
      </w:r>
      <w:r w:rsidRPr="001F63BA">
        <w:rPr>
          <w:rFonts w:ascii="GHEA Grapalat" w:hAnsi="GHEA Grapalat"/>
          <w:sz w:val="22"/>
          <w:szCs w:val="22"/>
          <w:lang w:val="en-US"/>
        </w:rPr>
        <w:t>«</w:t>
      </w:r>
      <w:r w:rsidRPr="001F63BA">
        <w:rPr>
          <w:rFonts w:ascii="GHEA Grapalat" w:hAnsi="GHEA Grapalat"/>
          <w:sz w:val="22"/>
          <w:szCs w:val="22"/>
        </w:rPr>
        <w:t>911</w:t>
      </w:r>
      <w:r w:rsidRPr="001F63BA">
        <w:rPr>
          <w:rFonts w:ascii="GHEA Grapalat" w:hAnsi="GHEA Grapalat"/>
          <w:sz w:val="22"/>
          <w:szCs w:val="22"/>
          <w:lang w:val="en-US"/>
        </w:rPr>
        <w:t xml:space="preserve">» </w:t>
      </w:r>
      <w:r w:rsidRPr="001F63BA">
        <w:rPr>
          <w:rFonts w:ascii="GHEA Grapalat" w:hAnsi="GHEA Grapalat"/>
          <w:sz w:val="22"/>
          <w:szCs w:val="22"/>
        </w:rPr>
        <w:t>դիսպետչերական ծառայության զարգացում` ծառայության մատուցումը հնարավորինս մոտեցնելով միջազգային չափանիշներին</w:t>
      </w:r>
      <w:r w:rsidRPr="001F63BA">
        <w:rPr>
          <w:rFonts w:ascii="GHEA Grapalat" w:hAnsi="GHEA Grapalat"/>
          <w:sz w:val="22"/>
          <w:szCs w:val="22"/>
          <w:lang w:val="en-US"/>
        </w:rPr>
        <w:t>,</w:t>
      </w:r>
      <w:r w:rsidRPr="001F63BA">
        <w:rPr>
          <w:rFonts w:ascii="GHEA Grapalat" w:hAnsi="GHEA Grapalat"/>
          <w:sz w:val="22"/>
          <w:szCs w:val="22"/>
        </w:rPr>
        <w:t xml:space="preserve"> </w:t>
      </w:r>
      <w:r w:rsidRPr="001F63BA">
        <w:rPr>
          <w:rFonts w:ascii="GHEA Grapalat" w:hAnsi="GHEA Grapalat"/>
          <w:sz w:val="22"/>
          <w:szCs w:val="22"/>
          <w:lang w:val="en-US"/>
        </w:rPr>
        <w:t>ի</w:t>
      </w:r>
      <w:r w:rsidRPr="001F63BA">
        <w:rPr>
          <w:rFonts w:ascii="GHEA Grapalat" w:hAnsi="GHEA Grapalat"/>
          <w:sz w:val="22"/>
          <w:szCs w:val="22"/>
        </w:rPr>
        <w:t>րավիճակների վերաբերյալ օպերատիվ տեղեկատվության հավաքման, մշակման, վերլուծության և առաջարկությունների նախապատրաստման համակարգի կատարելագործում:</w:t>
      </w:r>
    </w:p>
    <w:p w:rsidR="001C411D" w:rsidRPr="001F63BA" w:rsidRDefault="00387749" w:rsidP="00D3035B">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 xml:space="preserve">Ի կատարումն </w:t>
      </w:r>
      <w:r w:rsidRPr="001F63BA">
        <w:rPr>
          <w:rFonts w:ascii="GHEA Grapalat" w:hAnsi="GHEA Grapalat"/>
          <w:sz w:val="22"/>
          <w:szCs w:val="22"/>
          <w:lang w:val="en-US"/>
        </w:rPr>
        <w:t>Կ</w:t>
      </w:r>
      <w:r w:rsidR="001C411D" w:rsidRPr="001F63BA">
        <w:rPr>
          <w:rFonts w:ascii="GHEA Grapalat" w:hAnsi="GHEA Grapalat"/>
          <w:sz w:val="22"/>
          <w:szCs w:val="22"/>
        </w:rPr>
        <w:t>առավարության 2021-2026թթ. գործունեության միջոցառումների ծրագրից բխող ԱԻՆ միջոցառումների 1-ին հավելվածի 4</w:t>
      </w:r>
      <w:r w:rsidR="001C411D" w:rsidRPr="001F63BA">
        <w:rPr>
          <w:rFonts w:ascii="MS Mincho" w:eastAsia="MS Mincho" w:hAnsi="MS Mincho" w:cs="MS Mincho" w:hint="eastAsia"/>
          <w:sz w:val="22"/>
          <w:szCs w:val="22"/>
        </w:rPr>
        <w:t>․</w:t>
      </w:r>
      <w:r w:rsidR="001C411D" w:rsidRPr="001F63BA">
        <w:rPr>
          <w:rFonts w:ascii="GHEA Grapalat" w:hAnsi="GHEA Grapalat"/>
          <w:sz w:val="22"/>
          <w:szCs w:val="22"/>
        </w:rPr>
        <w:t>2 կետի, ՌՀՄԱԿ տարածքում նախա</w:t>
      </w:r>
      <w:r w:rsidR="001C411D" w:rsidRPr="001F63BA">
        <w:rPr>
          <w:rFonts w:ascii="GHEA Grapalat" w:hAnsi="GHEA Grapalat"/>
          <w:sz w:val="22"/>
          <w:szCs w:val="22"/>
          <w:lang w:val="en-US"/>
        </w:rPr>
        <w:t>տեսվել</w:t>
      </w:r>
      <w:r w:rsidR="001C411D" w:rsidRPr="001F63BA">
        <w:rPr>
          <w:rFonts w:ascii="GHEA Grapalat" w:hAnsi="GHEA Grapalat"/>
          <w:sz w:val="22"/>
          <w:szCs w:val="22"/>
        </w:rPr>
        <w:t xml:space="preserve"> է </w:t>
      </w:r>
      <w:r w:rsidR="001C411D" w:rsidRPr="001F63BA">
        <w:rPr>
          <w:rFonts w:ascii="GHEA Grapalat" w:hAnsi="GHEA Grapalat"/>
          <w:sz w:val="22"/>
          <w:szCs w:val="22"/>
          <w:lang w:val="en-US"/>
        </w:rPr>
        <w:t>կառուց</w:t>
      </w:r>
      <w:r w:rsidR="001C411D" w:rsidRPr="001F63BA">
        <w:rPr>
          <w:rFonts w:ascii="GHEA Grapalat" w:hAnsi="GHEA Grapalat"/>
          <w:sz w:val="22"/>
          <w:szCs w:val="22"/>
        </w:rPr>
        <w:t>ել անգարատիպ բազմաֆունկցիոնալ վարժահամալիր, ինչը թույլ կտա տեղում կազմակերպել ինչպես ՀՀ մասնագետների բազմակողմանի ուսուցումը և վերապատրաստումը, այ</w:t>
      </w:r>
      <w:r w:rsidR="001C411D" w:rsidRPr="001F63BA">
        <w:rPr>
          <w:rFonts w:ascii="GHEA Grapalat" w:hAnsi="GHEA Grapalat"/>
          <w:sz w:val="22"/>
          <w:szCs w:val="22"/>
          <w:lang w:val="en-US"/>
        </w:rPr>
        <w:t>ն</w:t>
      </w:r>
      <w:r w:rsidR="001C411D" w:rsidRPr="001F63BA">
        <w:rPr>
          <w:rFonts w:ascii="GHEA Grapalat" w:hAnsi="GHEA Grapalat"/>
          <w:sz w:val="22"/>
          <w:szCs w:val="22"/>
        </w:rPr>
        <w:t>պես էլ պայմանագրային հիմունքներով արտերկրի, այդ թվում</w:t>
      </w:r>
      <w:r w:rsidR="001C411D" w:rsidRPr="001F63BA">
        <w:rPr>
          <w:rFonts w:ascii="GHEA Grapalat" w:hAnsi="GHEA Grapalat"/>
          <w:sz w:val="22"/>
          <w:szCs w:val="22"/>
          <w:lang w:val="en-US"/>
        </w:rPr>
        <w:t>՝</w:t>
      </w:r>
      <w:r w:rsidR="001C411D" w:rsidRPr="001F63BA">
        <w:rPr>
          <w:rFonts w:ascii="GHEA Grapalat" w:hAnsi="GHEA Grapalat"/>
          <w:sz w:val="22"/>
          <w:szCs w:val="22"/>
        </w:rPr>
        <w:t xml:space="preserve"> </w:t>
      </w:r>
      <w:r w:rsidR="001C411D" w:rsidRPr="001F63BA">
        <w:rPr>
          <w:rFonts w:ascii="GHEA Grapalat" w:hAnsi="GHEA Grapalat"/>
          <w:sz w:val="22"/>
          <w:szCs w:val="22"/>
          <w:lang w:val="en-US"/>
        </w:rPr>
        <w:t>նա</w:t>
      </w:r>
      <w:r w:rsidR="001C411D" w:rsidRPr="001F63BA">
        <w:rPr>
          <w:rFonts w:ascii="GHEA Grapalat" w:hAnsi="GHEA Grapalat"/>
          <w:sz w:val="22"/>
          <w:szCs w:val="22"/>
        </w:rPr>
        <w:t>և Ք</w:t>
      </w:r>
      <w:r w:rsidR="001C411D" w:rsidRPr="001F63BA">
        <w:rPr>
          <w:rFonts w:ascii="GHEA Grapalat" w:hAnsi="GHEA Grapalat"/>
          <w:sz w:val="22"/>
          <w:szCs w:val="22"/>
          <w:lang w:val="en-US"/>
        </w:rPr>
        <w:t>աղաքացիական պաշտպանության</w:t>
      </w:r>
      <w:r w:rsidR="001C411D" w:rsidRPr="001F63BA">
        <w:rPr>
          <w:rFonts w:ascii="GHEA Grapalat" w:hAnsi="GHEA Grapalat"/>
          <w:sz w:val="22"/>
          <w:szCs w:val="22"/>
        </w:rPr>
        <w:t xml:space="preserve"> միջազգային կազմակերպության կողմից գործուղված մասնագետների ուսուցումը։ Նշված հանգամանքն իր հերթին կնպաստի ՀՀ միջազգային վարկանիշի բարձրացմանը։ ԱԻՆ-ը վարժահամալիրի կառուցման նպատակով 2022</w:t>
      </w:r>
      <w:r w:rsidR="001C411D" w:rsidRPr="001F63BA">
        <w:rPr>
          <w:rFonts w:ascii="GHEA Grapalat" w:hAnsi="GHEA Grapalat"/>
          <w:sz w:val="22"/>
          <w:szCs w:val="22"/>
          <w:lang w:val="en-US"/>
        </w:rPr>
        <w:t xml:space="preserve"> </w:t>
      </w:r>
      <w:r w:rsidR="001C411D" w:rsidRPr="001F63BA">
        <w:rPr>
          <w:rFonts w:ascii="GHEA Grapalat" w:hAnsi="GHEA Grapalat"/>
          <w:sz w:val="22"/>
          <w:szCs w:val="22"/>
        </w:rPr>
        <w:t>թ</w:t>
      </w:r>
      <w:r w:rsidR="001C411D" w:rsidRPr="001F63BA">
        <w:rPr>
          <w:rFonts w:ascii="GHEA Grapalat" w:hAnsi="GHEA Grapalat"/>
          <w:sz w:val="22"/>
          <w:szCs w:val="22"/>
          <w:lang w:val="en-US"/>
        </w:rPr>
        <w:t>վականի</w:t>
      </w:r>
      <w:r w:rsidR="001C411D" w:rsidRPr="001F63BA">
        <w:rPr>
          <w:rFonts w:ascii="GHEA Grapalat" w:hAnsi="GHEA Grapalat"/>
          <w:sz w:val="22"/>
          <w:szCs w:val="22"/>
        </w:rPr>
        <w:t xml:space="preserve"> օգոստոսի 8-ին հայտարարել էր կառուցապատման մրցույթ՝ հիմք ընդունելով նախագծանախահաշվային փաստաթղթերը։ Ներկայացված հայտերի հիման վրա մրցույթը շահել է «Տրանսունիվերսալ» ՓԲԸ-ն՝ 509 մլն դրամ առաջարկով։ Վարժահամալիրի կառուցման ֆինանսավորումը նախատեսված է իրականացնել 2023</w:t>
      </w:r>
      <w:r w:rsidR="001C411D" w:rsidRPr="001F63BA">
        <w:rPr>
          <w:rFonts w:ascii="GHEA Grapalat" w:hAnsi="GHEA Grapalat"/>
          <w:sz w:val="22"/>
          <w:szCs w:val="22"/>
          <w:lang w:val="en-US"/>
        </w:rPr>
        <w:t xml:space="preserve"> </w:t>
      </w:r>
      <w:r w:rsidR="001C411D" w:rsidRPr="001F63BA">
        <w:rPr>
          <w:rFonts w:ascii="GHEA Grapalat" w:hAnsi="GHEA Grapalat"/>
          <w:sz w:val="22"/>
          <w:szCs w:val="22"/>
        </w:rPr>
        <w:t>թ</w:t>
      </w:r>
      <w:r w:rsidR="001C411D" w:rsidRPr="001F63BA">
        <w:rPr>
          <w:rFonts w:ascii="GHEA Grapalat" w:hAnsi="GHEA Grapalat"/>
          <w:sz w:val="22"/>
          <w:szCs w:val="22"/>
          <w:lang w:val="en-US"/>
        </w:rPr>
        <w:t>վականի</w:t>
      </w:r>
      <w:r w:rsidR="001C411D" w:rsidRPr="001F63BA">
        <w:rPr>
          <w:rFonts w:ascii="GHEA Grapalat" w:hAnsi="GHEA Grapalat"/>
          <w:sz w:val="22"/>
          <w:szCs w:val="22"/>
        </w:rPr>
        <w:t xml:space="preserve"> պետական բյուջեի միջոցներով։</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 xml:space="preserve">ՌԴ կառավարության 18.05.22թ. 1218-p կարգադրությամբ, </w:t>
      </w:r>
      <w:r w:rsidRPr="001F63BA">
        <w:rPr>
          <w:rFonts w:ascii="GHEA Grapalat" w:hAnsi="GHEA Grapalat"/>
          <w:sz w:val="22"/>
          <w:szCs w:val="22"/>
          <w:lang w:val="en-US"/>
        </w:rPr>
        <w:t>Ռուս-հայկական մարդասիրական արձագանքման կենտրոնի (</w:t>
      </w:r>
      <w:r w:rsidRPr="001F63BA">
        <w:rPr>
          <w:rFonts w:ascii="GHEA Grapalat" w:hAnsi="GHEA Grapalat"/>
          <w:sz w:val="22"/>
          <w:szCs w:val="22"/>
        </w:rPr>
        <w:t>ՌՀՄԱԿ</w:t>
      </w:r>
      <w:r w:rsidRPr="001F63BA">
        <w:rPr>
          <w:rFonts w:ascii="GHEA Grapalat" w:hAnsi="GHEA Grapalat"/>
          <w:sz w:val="22"/>
          <w:szCs w:val="22"/>
          <w:lang w:val="en-US"/>
        </w:rPr>
        <w:t>)</w:t>
      </w:r>
      <w:r w:rsidRPr="001F63BA">
        <w:rPr>
          <w:rFonts w:ascii="GHEA Grapalat" w:hAnsi="GHEA Grapalat"/>
          <w:sz w:val="22"/>
          <w:szCs w:val="22"/>
        </w:rPr>
        <w:t xml:space="preserve"> 2022-2024թթ. զարգացման և գործունեության ֆինանսավորման նպատակով, ՌԴ բյուջեից կիրականացվի ավելի քան 1 մլրդ ռուբլու ներդրում՝ ՔՊ միջազգային կազմակերպության միջոցով, որի փոխկապակցված անդամ է հանդիսանում նաև ՌՀՄԱԿ-ը։ Մասնավորապես, ՌՀՄԱԿ զարգացման 2022-2024թթ. պլանի համաձայն, ՌԴ ներդրումների շրջանակներում նախատեսվել է ձեռք բերել և ՌՀՄԱԿ տարածքում տեղակայել մոտ 3</w:t>
      </w:r>
      <w:r w:rsidRPr="001F63BA">
        <w:rPr>
          <w:rFonts w:ascii="Courier New" w:hAnsi="Courier New" w:cs="Courier New"/>
          <w:sz w:val="22"/>
          <w:szCs w:val="22"/>
          <w:lang w:val="en-US"/>
        </w:rPr>
        <w:t> </w:t>
      </w:r>
      <w:r w:rsidRPr="001F63BA">
        <w:rPr>
          <w:rFonts w:ascii="GHEA Grapalat" w:hAnsi="GHEA Grapalat"/>
          <w:sz w:val="22"/>
          <w:szCs w:val="22"/>
        </w:rPr>
        <w:t>մլն ԱՄՆ դոլար արժողությամբ 3 ուսումնական մոդուլներ՝ նախատեսված փրկարարական տարբեր ուղղություններով փրկարարների և փրկարարական կազմավորումների, այդ թվում</w:t>
      </w:r>
      <w:r w:rsidRPr="001F63BA">
        <w:rPr>
          <w:rFonts w:ascii="GHEA Grapalat" w:hAnsi="GHEA Grapalat"/>
          <w:sz w:val="22"/>
          <w:szCs w:val="22"/>
          <w:lang w:val="en-US"/>
        </w:rPr>
        <w:t>՝</w:t>
      </w:r>
      <w:r w:rsidRPr="001F63BA">
        <w:rPr>
          <w:rFonts w:ascii="GHEA Grapalat" w:hAnsi="GHEA Grapalat"/>
          <w:sz w:val="22"/>
          <w:szCs w:val="22"/>
        </w:rPr>
        <w:t xml:space="preserve"> նաև ՔՊ միջազգային կազմակերպության կողմից Հայաստան գործուղված արտասահմանյան երկրների մասնագետների գործնական հմտությունների ուսուցանման համար, ինչպես նաև 25տ բեռ բարձրացնող ավտոկռունկ:</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Վարչապետի աշխատակազմ է ներկայացվել «Աղետների ռիսկի կառավարման ազգային ռազմավարությունը և դրա իրականացման գործողությունների ծրագիրը հաստատելու մասին» ՀՀ կառավարության որոշման նախագծի լրամշակված տարբերակը:</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Կազմակերպվել և իրականացվել է Տիեզերքի և խոշոր աղետների միջազգային խարտիայի (այսուհետ՝ Խարտիա) փորձագետների առաքելության թիմի այցն ԱԻՆ, որի արդյունքում պետական կառավարման համակարգի մարմինների կողմից նշվեց և միանշանակ ընդունվեց Խարտիայի հետ հետագա բոլոր գործընթացներում ԱԻՆ-ի համակարգող դերը:</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Հայաստանում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վականին</w:t>
      </w:r>
      <w:r w:rsidRPr="001F63BA">
        <w:rPr>
          <w:rFonts w:ascii="GHEA Grapalat" w:hAnsi="GHEA Grapalat"/>
          <w:sz w:val="22"/>
          <w:szCs w:val="22"/>
        </w:rPr>
        <w:t xml:space="preserve"> UN-SPIDER տեխնիկական խորհրդատվական առաքելությունից ստացվել է զեկույց աղետների ռիսկի կառավարման ոլորտում տիեզերական տեխնոլոգիաներն </w:t>
      </w:r>
      <w:r w:rsidRPr="001F63BA">
        <w:rPr>
          <w:rFonts w:ascii="GHEA Grapalat" w:hAnsi="GHEA Grapalat"/>
          <w:sz w:val="22"/>
          <w:szCs w:val="22"/>
        </w:rPr>
        <w:lastRenderedPageBreak/>
        <w:t xml:space="preserve">օգտագործելու նպատակով առաքելության կողմից առաջարկվող օգնության, գործողությունների ծրագրի և առաջարկությունների վերաբերյալ, որը ներկայացվել է շահագրգիռ գերատեսչություններին։ </w:t>
      </w:r>
    </w:p>
    <w:p w:rsidR="001C411D" w:rsidRPr="001F63BA" w:rsidRDefault="001C411D" w:rsidP="00D3035B">
      <w:pPr>
        <w:spacing w:line="360" w:lineRule="auto"/>
        <w:ind w:firstLine="567"/>
        <w:jc w:val="both"/>
        <w:rPr>
          <w:rFonts w:ascii="GHEA Grapalat" w:hAnsi="GHEA Grapalat"/>
          <w:sz w:val="22"/>
          <w:szCs w:val="22"/>
        </w:rPr>
      </w:pPr>
      <w:r w:rsidRPr="001F63BA">
        <w:rPr>
          <w:rFonts w:ascii="GHEA Grapalat" w:hAnsi="GHEA Grapalat"/>
          <w:sz w:val="22"/>
          <w:szCs w:val="22"/>
        </w:rPr>
        <w:t>Իրականացվել է «Արտակարգ իրավիճակներին արձագանքման Փրկարար ծառայության կարողությունների զարգացում» հանրային ներդրումային ծրագրի նախագծի մշակման գործընթացը։ Նախագծի վերաբերյալ ՓԾ առաջարկություններն ամփոփելուց հետո լրամշակված նախագիծը ներկայացվել է Էկոնոմիկայի նախարարություն:</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35" w:name="_Toc132204212"/>
      <w:r w:rsidRPr="001F63BA">
        <w:t>Արտաքին քաղաքականություն</w:t>
      </w:r>
      <w:bookmarkEnd w:id="35"/>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ՀՀ արտաքին քաղաքականության համար առանցքային են եղել հարևանների հետ խաղաղ բանակցությունների միջոցով հարաբերությունների կարգավորման և Հայաստանի Հանրապետության շուրջ անվտանգային կայունության ապահովման հետ կապված խնդիրները։ Չնայած այն հանգամանքին, որ հայկական կողմը կառուցողականորեն է մոտեցել Ադրբեջանի հետ ընթացող քննարկումներին բոլոր ուղղություններով՝ հնարավոր խաղաղության պայմանագիր, սահմանազատման և սահմանային անվտանգության գործընթաց, տարածաշրջանի տրանսպորտային և տնտեսական հաղորդակցության բոլոր ուղիների ապաշրջափակում</w:t>
      </w:r>
      <w:r w:rsidRPr="001F63BA">
        <w:rPr>
          <w:rFonts w:ascii="GHEA Grapalat" w:hAnsi="GHEA Grapalat"/>
          <w:sz w:val="22"/>
          <w:szCs w:val="22"/>
          <w:lang w:val="en-US"/>
        </w:rPr>
        <w:t>,</w:t>
      </w:r>
      <w:r w:rsidRPr="001F63BA">
        <w:rPr>
          <w:rFonts w:ascii="GHEA Grapalat" w:hAnsi="GHEA Grapalat"/>
          <w:sz w:val="22"/>
          <w:szCs w:val="22"/>
        </w:rPr>
        <w:t xml:space="preserve"> Ադրբեջանը շարունակել է և շարունակում է վարել առավելապաշտական և ռազմատենչ քաղաքականություն</w:t>
      </w:r>
      <w:r w:rsidRPr="001F63BA">
        <w:rPr>
          <w:rFonts w:ascii="GHEA Grapalat" w:hAnsi="GHEA Grapalat"/>
          <w:sz w:val="22"/>
          <w:szCs w:val="22"/>
          <w:lang w:val="en-US"/>
        </w:rPr>
        <w:t>,</w:t>
      </w:r>
      <w:r w:rsidRPr="001F63BA">
        <w:rPr>
          <w:rFonts w:ascii="GHEA Grapalat" w:hAnsi="GHEA Grapalat"/>
          <w:sz w:val="22"/>
          <w:szCs w:val="22"/>
        </w:rPr>
        <w:t xml:space="preserve"> օկուպացրել է ՀՀ ինքնիշխան տարածքի ավելի քան 150 քառակուսի կիլոմետր տարածքը, մշտապես սադրիչ և ագրեսիվ գործողություններ է իրականացրել ՀՀ սահմանին և Լեռնային Ղարաբաղում, շարունակում է խորացնել հումանիտար ճգնաժամը Արցախում՝ ապօրինաբար արգելափակելով Լաչինի միջանցքի գործունեությունը։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Ներկայիս անվտանգային մարտահրավերներին դիմագրավելու համար Հայաստանի Հանրապետություն</w:t>
      </w:r>
      <w:r w:rsidRPr="001F63BA">
        <w:rPr>
          <w:rFonts w:ascii="GHEA Grapalat" w:hAnsi="GHEA Grapalat"/>
          <w:sz w:val="22"/>
          <w:szCs w:val="22"/>
          <w:lang w:val="en-US"/>
        </w:rPr>
        <w:t>ն</w:t>
      </w:r>
      <w:r w:rsidRPr="001F63BA">
        <w:rPr>
          <w:rFonts w:ascii="GHEA Grapalat" w:hAnsi="GHEA Grapalat"/>
          <w:sz w:val="22"/>
          <w:szCs w:val="22"/>
        </w:rPr>
        <w:t xml:space="preserve"> օգտագործել է դիվանագիտական զինանոցում առկա գրեթե ամբողջ գործիքակազմը։ Հայաստանի դիմումի հիման վրա Հայաստանի և Ադրբեջանի միջև առկա իրավիճակը կշարունակի գտնվել ՄԱԿ-ի Անվտանգության խորհրդի օրակարգում, հարցը բազմիցս քննարկվել է ԵԱՀԿ-ում և ՀԱՊԿ-ում, Հայաստան են ժամանել ԵԱՀԿ և ԵՄ դիտորդական առաքելություններ։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Հայաստանի Հանրապետության արտաքին գործերի նախարարությունը միջոցներ է ձեռնարկել ԵԱՀԿ ՄԽ համանախագահության հովանու ներքո ԼՂ հիմնախնդրի խաղաղ կարգավորման շուրջ բանակցությունների լիարժեք վերսկսման ուղղությամբ: Հաշվի առնելով համանախագահության մանդատի կարևորությունը՝ դրա գործունեությունն ակտիվացնելու նպատակով հայկական կողմը </w:t>
      </w:r>
      <w:r w:rsidRPr="001F63BA">
        <w:rPr>
          <w:rFonts w:ascii="GHEA Grapalat" w:hAnsi="GHEA Grapalat"/>
          <w:sz w:val="22"/>
          <w:szCs w:val="22"/>
        </w:rPr>
        <w:lastRenderedPageBreak/>
        <w:t>տարվա ընթացքում ձեռնարկել է մի շարք քայլեր, այդ թվում՝ ի պատասխան Ադրբեջանի կողմից փոխանցված խաղաղության համաձայնագրի սկզբունքների վերաբերյալ առաջարկների, դիմել է ԵԱՀԿ ՄԽ համանախագահությանը պայմանագրի կնքման նպատակով բանակցություններ կազմակերպելու համար: Շարունակվում են ակտիվ աշխատանքները նախագահող երկրների հետ, այդ թվում՝ ԵԱՀԿ շրջանակներում՝ մանդատի պահպանման և վերջինիս կողմից կուտակված փորձի օգտագործման նպատակով, ինչն արձանագրվել է ինչպես ՀՀ և ՌԴ ղեկավարների համատեղ հայտարարության, այնպես էլ ՀՀ-ԱՄՆ ռազմավարական երկխոսության նիստի ամփոփիչ համատեղ հայտարարության տեքստերում:</w:t>
      </w:r>
    </w:p>
    <w:p w:rsidR="001C411D" w:rsidRPr="001F63BA" w:rsidRDefault="00387749" w:rsidP="00652E18">
      <w:pPr>
        <w:spacing w:line="360" w:lineRule="auto"/>
        <w:ind w:firstLine="567"/>
        <w:jc w:val="both"/>
        <w:rPr>
          <w:rFonts w:ascii="GHEA Grapalat" w:hAnsi="GHEA Grapalat"/>
          <w:sz w:val="22"/>
          <w:szCs w:val="22"/>
        </w:rPr>
      </w:pPr>
      <w:r w:rsidRPr="001F63BA">
        <w:rPr>
          <w:rFonts w:ascii="GHEA Grapalat" w:hAnsi="GHEA Grapalat"/>
          <w:sz w:val="22"/>
          <w:szCs w:val="22"/>
          <w:lang w:val="en-US"/>
        </w:rPr>
        <w:t>Կ</w:t>
      </w:r>
      <w:r w:rsidR="001C411D" w:rsidRPr="001F63BA">
        <w:rPr>
          <w:rFonts w:ascii="GHEA Grapalat" w:hAnsi="GHEA Grapalat"/>
          <w:sz w:val="22"/>
          <w:szCs w:val="22"/>
        </w:rPr>
        <w:t>առավարության կողմից հռչակված խաղաղության դարաշրջան բացելու ուղղությամբ աշխատանքներն առաջ մղելու, ինչպես նաև Ադրբեջանի հետ ընթացող գործընթացներում կառուցողականորեն ներգրավվելու և վերջինիս հետագա ագրեսիվ նկրտումները զսպելու նպատակով՝ Հայաստանի Հանրապետության արտաքին գործերի նախարարությունը տարվա ընթացքում ակտիվորեն ներգրավվել է համանախագահող երկրների, մասնավորապես</w:t>
      </w:r>
      <w:r w:rsidR="001C411D" w:rsidRPr="001F63BA">
        <w:rPr>
          <w:rFonts w:ascii="GHEA Grapalat" w:hAnsi="GHEA Grapalat"/>
          <w:sz w:val="22"/>
          <w:szCs w:val="22"/>
          <w:lang w:val="en-US"/>
        </w:rPr>
        <w:t>՝</w:t>
      </w:r>
      <w:r w:rsidR="001C411D" w:rsidRPr="001F63BA">
        <w:rPr>
          <w:rFonts w:ascii="GHEA Grapalat" w:hAnsi="GHEA Grapalat"/>
          <w:sz w:val="22"/>
          <w:szCs w:val="22"/>
        </w:rPr>
        <w:t xml:space="preserve"> Ամերիկայի Միացյալ Նահանգների կողմից կազմակերպվող բանակցություններին՝ Ադրբեջանի հետ հարաբերությունների կարգավորման նպատակով: 2022 թվականի ընթացքում տեղի են ունեցել մի շարք հանդիպումներ, այդ թվում՝ Թբիլիսիում, Ժնևում և Վաշինգտոնում: Դեկտեմբերի 23-ին Մոսկվայում նախատեսված հերթական հանդիպումը հայկական կողմի պահանջով հետաձգվել է՝ պայմանավորված Ադրբեջանի կողմից Լաչինի միջանցքի արգելափակմամբ: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Հայաստանի Հանրապետության արտաքին գործերի նախարարությունը շարունակել է աշխատանքն՝ ուղղված Արցախում միջազգային կազմակերպությունների ներգրավմանն ու հումանիտար աջակցության տրամադրմանը։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քննարկումներ են ծավալվել ինչպես ՄԱԿ-ի Փախստականների հարցերով բարձր հանձնակատարի գրասենյակի հետ (2020թ. նոյեմբերի 9-ի հայտարարությամբ սահմանված գործառույթների շրջանակներում), այնպես էլ ՅՈՒՆԵՍԿՕ-ի հետ՝ Արցախում հայկական ժառանգության պահպանման ուղղությամբ իրականացվող աշխատանքների շրջանակներում։ Հրադադարի հաստատումից հետո Արցախում մարդասիրական աշխատանքներ են իրականացնում ՌԴ խաղաղապահ ուժերը, Կարմիր խաչի միջազգային կազմակերպությունը։ Մարդասիրական ծրագրեր են իրականացվել նաև որոշ այլ հումանիտար կազմակերպությունների կողմից։ Տարբեր մակարդակներում, այդ թվում՝ ՄԱԿ-ի Գլխավոր քարտուղարի հետ հանդիպումների ընթացքում (սեպտեմբեր, դեկտեմբեր), շարունակաբար քննարկվել է պատերազմի մարդասիրական հետևանքների հաղթահարման ուղղությամբ ՄԱԿ-ի մասնագիտացված կառույցների ներգրավման հարցը։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 xml:space="preserve">2022 թվականի սեպտեմբերի 13-ին Հայաստանի ինքնիշխան տարածքի նկատմամբ Ադրբեջանի ռազմական ագրեսիայի կապակցությամբ Հայաստանի դիմումի հիման վրա սեպտեմբերի 15-ին տեղի է ունեցել ՄԱԿ-ի Անվտանգության խորհրդի արտահերթ նիստ։ Նիստի ընթացքում ԱԽ անդամ պետությունները արձանագրել են ուժի կիրառման անթույլատրելիությունը, կարևորել միջազգային մարդասիրական իրավունքի նորմերի պահպանումը՝ շեշտելով նաև Հայաստանի տարածքում քաղաքացիական ենթակառուցվածքների թիրախավորումը։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դեկտեմբերի 14-ին Հայաստանի Հանրապետության արտաքին գործերի նախարար Արարատ Միրզոյանը մասնակցել է ՄԱԿ-ի Անվտանգության խորհրդում Հնդկաստանի նախագահության կողմից կազմակերպված՝ «Բարեփոխված բազմակողմանիության նոր կողմնորոշումները» խորագրով նախարարական քննարկմանը և խոսել Լեռնային Ղարաբաղում հումանիտար իրավիճակի մասին՝ ներկայացնելով Ադրբեջանի կողմից դեկտեմբերի 12-ին Լաչինի միջանցքի փակման համատեքստում առաջացած մարտահրավերները, ինչպես նաև ընդգծել ՀՀ ակնկալիքները միջազգային հանրությունից։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դեկտեմբերի 20-ին Հնդկաստանի նախագահությամբ տեղի է ունեցել ՄԱԿ-ի Անվտանգության խորհրդի արտահերթ հանդիպումը, որը հրավիրվել էր Հայաստանի դիմումի հիման վրա՝ քննարկելու Լաչինի միջանցքի արգելափակման հետևանքով ստեղծված իրավիճակը: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հոկտեմբերի 6-ին Պրահայում վարչապետ Փաշինյանի, նախագահ Ալիևի, նախագահ Մակրոնի և նախագահ Միշելի քառակողմ հանդիպմանը ձեռք բերված համաձայնության արդյունքում՝ ԵՄ բարձր ներկայացուցիչ Ջոզեպ Բորելի առաջարկով՝ հոկտեմբերի 17-ին Եվրոպական միության խորհուրդ</w:t>
      </w:r>
      <w:r w:rsidRPr="001F63BA">
        <w:rPr>
          <w:rFonts w:ascii="GHEA Grapalat" w:hAnsi="GHEA Grapalat"/>
          <w:sz w:val="22"/>
          <w:szCs w:val="22"/>
          <w:lang w:val="en-US"/>
        </w:rPr>
        <w:t>ն</w:t>
      </w:r>
      <w:r w:rsidRPr="001F63BA">
        <w:rPr>
          <w:rFonts w:ascii="GHEA Grapalat" w:hAnsi="GHEA Grapalat"/>
          <w:sz w:val="22"/>
          <w:szCs w:val="22"/>
        </w:rPr>
        <w:t xml:space="preserve"> ընդունեց որոշում՝ Հայաստանում Հայաստանի և Ադրբեջանի միջև միջազգային սահմանի երկայնքով</w:t>
      </w:r>
      <w:r w:rsidRPr="001F63BA">
        <w:rPr>
          <w:rFonts w:ascii="GHEA Grapalat" w:hAnsi="GHEA Grapalat"/>
          <w:sz w:val="22"/>
          <w:szCs w:val="22"/>
          <w:lang w:val="en-US"/>
        </w:rPr>
        <w:t xml:space="preserve"> </w:t>
      </w:r>
      <w:r w:rsidRPr="001F63BA">
        <w:rPr>
          <w:rFonts w:ascii="GHEA Grapalat" w:hAnsi="GHEA Grapalat"/>
          <w:sz w:val="22"/>
          <w:szCs w:val="22"/>
        </w:rPr>
        <w:t>ԵՄ</w:t>
      </w:r>
      <w:r w:rsidRPr="001F63BA">
        <w:rPr>
          <w:rFonts w:ascii="GHEA Grapalat" w:hAnsi="GHEA Grapalat"/>
          <w:sz w:val="22"/>
          <w:szCs w:val="22"/>
          <w:lang w:val="en-US"/>
        </w:rPr>
        <w:t xml:space="preserve"> </w:t>
      </w:r>
      <w:r w:rsidRPr="001F63BA">
        <w:rPr>
          <w:rFonts w:ascii="GHEA Grapalat" w:hAnsi="GHEA Grapalat"/>
          <w:sz w:val="22"/>
          <w:szCs w:val="22"/>
        </w:rPr>
        <w:t>դիտորդ-փորձագետներ</w:t>
      </w:r>
      <w:r w:rsidRPr="001F63BA">
        <w:rPr>
          <w:rFonts w:ascii="GHEA Grapalat" w:hAnsi="GHEA Grapalat"/>
          <w:sz w:val="22"/>
          <w:szCs w:val="22"/>
          <w:lang w:val="en-US"/>
        </w:rPr>
        <w:t xml:space="preserve"> </w:t>
      </w:r>
      <w:r w:rsidRPr="001F63BA">
        <w:rPr>
          <w:rFonts w:ascii="GHEA Grapalat" w:hAnsi="GHEA Grapalat"/>
          <w:sz w:val="22"/>
          <w:szCs w:val="22"/>
        </w:rPr>
        <w:t>տեղակայելու մասին: Առաքելության մանդատը ներառում էր իրավիճակի դիտորդություն Հայաստանի և Ադրբեջանի միջև սահմանի մերձակա շրջաններում՝ երկու երկրների միջև վստահության կառուցմանը աջակցելու և սահմանային հանձնաժողովներին ԵՄ առավել առարկայական աջակցություն</w:t>
      </w:r>
      <w:r w:rsidRPr="001F63BA">
        <w:rPr>
          <w:rFonts w:ascii="GHEA Grapalat" w:hAnsi="GHEA Grapalat"/>
          <w:sz w:val="22"/>
          <w:szCs w:val="22"/>
          <w:lang w:val="en-US"/>
        </w:rPr>
        <w:t>ն</w:t>
      </w:r>
      <w:r w:rsidRPr="001F63BA">
        <w:rPr>
          <w:rFonts w:ascii="GHEA Grapalat" w:hAnsi="GHEA Grapalat"/>
          <w:sz w:val="22"/>
          <w:szCs w:val="22"/>
        </w:rPr>
        <w:t xml:space="preserve"> ապահովելու նպատակով։ ԵՄ դիտորդական առաքելությունը դեկտեմբերի 19-ին ավարտել է իր մանդատը։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հոկտեմբերի 21-27-ը Հայաստան էր ժամանել ԵԱՀԿ կարողությունների գնահատման թիմը՝ մի շարք ուղղություններով 2022 թվականի սեպտեմբերի 13-14-ին ադրբեջանական ագրեսիայի հետևանքով Գեղարքունիքի, Վայոց Ձորի և Սյունիքի մարզերի սահմանային հատվածներում և բնակավայրերում ստեղծված իրավիճակին ծանոթանալու համար։ Հայաստանի դիմումի հիման վրա կարիքների գնահատման ԵԱՀԿ առաքելություն Հայաստանի Հանրապետություն գործուղելու որոշումը կայացվել է ԵԱՀԿ գործող նախագահող երկրի՝ Լեհաստանի և Քարտուղարության կողմից՝ ԵԱՀԿ Նախարարական խորհրդի համապատասխան որոշումների </w:t>
      </w:r>
      <w:r w:rsidRPr="001F63BA">
        <w:rPr>
          <w:rFonts w:ascii="GHEA Grapalat" w:hAnsi="GHEA Grapalat"/>
          <w:sz w:val="22"/>
          <w:szCs w:val="22"/>
        </w:rPr>
        <w:lastRenderedPageBreak/>
        <w:t>հիման վրա, որոնք ընդունվել են Կազմակերպության բոլոր մասնակից երկրների համաձայնությամբ: Այցի ընթացքում ԵԱՀԿ պատվիրակությունը հանդիպումներ է ունեցել Գեղարքունիքի, Վայոց Ձորի և Սյունիքի մարզպետարաններում, ինչպես նաև Գորիսի, Ջերմուկի և Վարդենիսի համայնքների ղեկավարների հետ:</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Հայ գերիների շուտափույթ վերադարձի խնդիրը շարունակում է հանգամանալից ներկայացվել Հայաստանի Հանրապետության արտաքին գործերի նախարար Արարատ Միրզոյանի կողմից ինչպես բազմակողմ հարթակներում, այնպես էլ երկկողմ հանդիպումների ընթացքում: Շարունակվում են նաև օպերատիվ աշխատանքները ՀՀ-ում Կարմիր խաչի միջազգային կոմիտեի (ԿԽՄԿ) գրասենյակի հետ: Հայաստանի Հանրապետության արտաքին գործերի նախարարի տեղակալի համակարգմամբ գործում է միջգերատեսչական աշխատանքային խումբ՝ Ադրբեջանում պահվող հայ ռազմագերիների և պատանդառված քաղաքացիական անձանց, բռնի անհետացածների, 1990 և 2020թթ. արցախյան պատերազմների արդյունքում անհայտ կորած, ինչպես նաև Ադրբեջանի կողմից բարձրաձայնվող 1990-ականների անհայտ կորած անձանց հարցերի վերաբերյալ օպերատիվ քննարկումներ և տեղեկության փոխանակում իրականացնելու նպատակով: ՀՀ ԱԳՆ-ն ՀՀ գերատեսչությունների հետ համագործակցաբար կազմել և ներկայացրել է Ադրբեջանում ապօրինաբար պահվող հայ գերիների վերաբերյալ բողոք-զեկույցի փաթեթ ՄԱԿ-ի Խոշտանգումների և այլ դաժան, անմարդկային և նվաստացուցիչ վերաբերմունքի կամ պատժի հարցերով հատուկ զեկուցողին, ինչպես նաև Կամայական ձերբակալությունների հարցերով և Բռնի անհետացումների հարցերով ՄԱԿ-ի աշխատանքային խմբերին: Հայաստանի Հանրապետության արտաքին գործերի նախարարը, նախարարի տեղակալը ԱԳՆ-ում պարբերաբար հանդիպում են գերիների ծնողների և հարազատների հետ՝ ներկայացնելով ՀՀ ԱԳՆ շրջանակում իրականացվող քայլերը և մոտեցումները: Գերիների հարցի առնչությամբ միջազգային կազմակերպություններում փաստաթղթեր են տարածվել Նյու Յորքում, Ժնևում, Ստրասբուրգում, Վիեննայում, Բրյուսելում։</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գործուն քայլեր են կատարվել ՀՀ անվտանգային ճարտարապետության կարևորագույն օղակ հանդիսացող ԵԱՀԿ Մինսկի խմբի համանախագահ պետությունների՝ Ռուսաստանի, ԱՄՆ-ի և Ֆրանսիայի հետ հարաբերությունների խորացման ուղղությամբ: Մեծածավալ աշխատանքներ են իրականացվել Հայաստանի Հանրապետության երկու հարևանների՝ Վրաստանի և Իրանի, ինչպես նաև մի շարք այլ գործընկերների, այդ թվում՝ ԵՄ և ԵՄ անդամ պետությունների և Հնդկաստանի հետ։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Հայաստանը շարունակել է ընդլայնել համագործակցությունը Ռուսաստանի հետ քաղաքական, տնտեսական, տարածաշրջանային, ռազմական, անվտանգային և այլ ուղղություններով: Տեղի են ունեցել դիվանագիտական հարաբերությունների 30-ամյա հոբելյանին նվիրված միջոցառումներ: </w:t>
      </w:r>
      <w:r w:rsidRPr="001F63BA">
        <w:rPr>
          <w:rFonts w:ascii="GHEA Grapalat" w:hAnsi="GHEA Grapalat"/>
          <w:sz w:val="22"/>
          <w:szCs w:val="22"/>
        </w:rPr>
        <w:lastRenderedPageBreak/>
        <w:t>Ապրիլի 19-20-ը կայացել է Հայաստանի Հանրապետության վարչապետ Ն.Փաշինյանի պաշտոնական այցը ՌԴ:</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Շարունակվել է Ամերիկայի Միացյալ Նահանգների հետ բարեկամական գործընկերության զարգացումը ժողովրդավարության, օրենքի գերակայության, կոռուպցիայի դեմ պայքարի, ոստիկանության, դատաիրավական համակարգի բարեփոխումների և այլ ուղղություններով: Մայիսի 2-3-ը Վաշինգտոնում կայացել է Հայ-ամերիկյան ռազմավարական երկխոսության հերթական նիստը: Ամրապնդվել է տնտեսական և քաղաքական ոլորտներում երկխոսությունը:</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Ֆրանսիայի հետ ընդլայնվել են առանձնաշնորհյալ հարաբերությունները քաղաքական, տնտեսական, անվտանգային և այլ ոլորտներում: Շարունակվել են աշխատանքները Հայ-ֆրանսիական տնտեսական համագործակցության 2021-2026թթ. ճանապարհային քարտեզի դրույթների իրագործման ուղղությամբ: Ընդլայնվում են Հայ-ֆրանսիական ապակենտրոնացված համագործակցության զարգացման ծրագրերը: Հայաստանի և Ֆրանկոֆո</w:t>
      </w:r>
      <w:r w:rsidRPr="001F63BA">
        <w:rPr>
          <w:rFonts w:ascii="GHEA Grapalat" w:hAnsi="GHEA Grapalat"/>
          <w:sz w:val="22"/>
          <w:szCs w:val="22"/>
        </w:rPr>
        <w:softHyphen/>
        <w:t>նիայի միջազգային կազմակերպության միջև պահ</w:t>
      </w:r>
      <w:r w:rsidRPr="001F63BA">
        <w:rPr>
          <w:rFonts w:ascii="GHEA Grapalat" w:hAnsi="GHEA Grapalat"/>
          <w:sz w:val="22"/>
          <w:szCs w:val="22"/>
        </w:rPr>
        <w:softHyphen/>
        <w:t>պան</w:t>
      </w:r>
      <w:r w:rsidRPr="001F63BA">
        <w:rPr>
          <w:rFonts w:ascii="GHEA Grapalat" w:hAnsi="GHEA Grapalat"/>
          <w:sz w:val="22"/>
          <w:szCs w:val="22"/>
        </w:rPr>
        <w:softHyphen/>
      </w:r>
      <w:r w:rsidRPr="001F63BA">
        <w:rPr>
          <w:rFonts w:ascii="GHEA Grapalat" w:hAnsi="GHEA Grapalat"/>
          <w:sz w:val="22"/>
          <w:szCs w:val="22"/>
        </w:rPr>
        <w:softHyphen/>
        <w:t>վել է համագործակցության հագեցած օրակարգը։ Նոյեմբերի 19-20-ը Հայաստանի Հանրապետության վարչապետ Ն.Փաշինյանը Թունիսի Հանրապետության Ջերբա քաղաքում մասնակցել է Ֆրանկոֆոնիայի միջազգային կազմակերպության 18-րդ գագաթնաժողովին: Միջոցառման ընթացքում Հայաստանը Ֆրա</w:t>
      </w:r>
      <w:r w:rsidRPr="001F63BA">
        <w:rPr>
          <w:rFonts w:ascii="GHEA Grapalat" w:hAnsi="GHEA Grapalat"/>
          <w:sz w:val="22"/>
          <w:szCs w:val="22"/>
          <w:lang w:val="en-US"/>
        </w:rPr>
        <w:t>ն</w:t>
      </w:r>
      <w:r w:rsidRPr="001F63BA">
        <w:rPr>
          <w:rFonts w:ascii="GHEA Grapalat" w:hAnsi="GHEA Grapalat"/>
          <w:sz w:val="22"/>
          <w:szCs w:val="22"/>
        </w:rPr>
        <w:t>կո</w:t>
      </w:r>
      <w:r w:rsidRPr="001F63BA">
        <w:rPr>
          <w:rFonts w:ascii="GHEA Grapalat" w:hAnsi="GHEA Grapalat"/>
          <w:sz w:val="22"/>
          <w:szCs w:val="22"/>
        </w:rPr>
        <w:softHyphen/>
        <w:t>ֆոնիայի գագաթնաժողովի նախագահությունը, որը ստանձնել էր 2018</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հոկտեմբերին, փոխանցել է Թունիսին:</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Հայաստանը պահպանել և շարունակել է իր ակտիվ ներգրավվածությունը ԵԱՏՄ ընթացող գործընթացներում: ԵԱՏՄ երկրների հետ Հայաստանի առևտրաշրջանառությունը 2022 թվականի հունվար-նոյեմբերին կազմել է շուրջ 4.6 մլրդ ԱՄՆ դոլարին համարժեք գումար, ինչը նախորդ տարվա համեմատ աճել է 91</w:t>
      </w:r>
      <w:r w:rsidRPr="001F63BA">
        <w:rPr>
          <w:rFonts w:ascii="MS Mincho" w:eastAsia="MS Mincho" w:hAnsi="MS Mincho" w:cs="MS Mincho" w:hint="eastAsia"/>
          <w:sz w:val="22"/>
          <w:szCs w:val="22"/>
        </w:rPr>
        <w:t>․</w:t>
      </w:r>
      <w:r w:rsidRPr="001F63BA">
        <w:rPr>
          <w:rFonts w:ascii="GHEA Grapalat" w:hAnsi="GHEA Grapalat"/>
          <w:sz w:val="22"/>
          <w:szCs w:val="22"/>
        </w:rPr>
        <w:t>1%-ով:</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Քայլեր են ձեռնարկվել ՀԱՊԿ-ում ՀՀ նախագահության առաջնահերթությունների առաջմղման ուղղությամբ: Նախագահության շրջանակներում Հայաստանում անցկացվել են միջոցառումներ:</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Շարունակվել է ԵԱՀԿ շրջանակներում ՀՀ անվտանգային խնդիրների հասցեագրման գործընթացը:</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Խորացել է Հայաստան</w:t>
      </w:r>
      <w:r w:rsidRPr="001F63BA">
        <w:rPr>
          <w:rFonts w:ascii="GHEA Grapalat" w:hAnsi="GHEA Grapalat"/>
          <w:sz w:val="22"/>
          <w:szCs w:val="22"/>
          <w:lang w:val="en-US"/>
        </w:rPr>
        <w:t>-</w:t>
      </w:r>
      <w:r w:rsidRPr="001F63BA">
        <w:rPr>
          <w:rFonts w:ascii="GHEA Grapalat" w:hAnsi="GHEA Grapalat"/>
          <w:sz w:val="22"/>
          <w:szCs w:val="22"/>
        </w:rPr>
        <w:t>ԵՄ քաղաքական երկխոսությունը՝ այդ թվում տարածաշրջանային անվտանգության հարցերով: Շարունակվել է ՀՀ-ԵՄ Համապարփակ և ընդլայնված գործընկերության համաձայնագրով նախատեսված դրույթների և ԵՄ Արևելյան գործընկերության ձևաչափում ուղենշային նախաձեռնությունների իրականացումը:</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Հայաստանը շարունակել է իր աջակցությունը ցուցաբերել ցեղասպանության և մարդկության դեմ զանգվածային ոճրագործությունների կանխարգելման միջազգային օրակարգին: Մարտին ՄԱԿ</w:t>
      </w:r>
      <w:r w:rsidRPr="001F63BA">
        <w:rPr>
          <w:rFonts w:ascii="GHEA Grapalat" w:hAnsi="GHEA Grapalat"/>
          <w:sz w:val="22"/>
          <w:szCs w:val="22"/>
          <w:lang w:val="en-US"/>
        </w:rPr>
        <w:noBreakHyphen/>
      </w:r>
      <w:r w:rsidRPr="001F63BA">
        <w:rPr>
          <w:rFonts w:ascii="GHEA Grapalat" w:hAnsi="GHEA Grapalat"/>
          <w:sz w:val="22"/>
          <w:szCs w:val="22"/>
        </w:rPr>
        <w:t xml:space="preserve">ի </w:t>
      </w:r>
      <w:r w:rsidRPr="001F63BA">
        <w:rPr>
          <w:rFonts w:ascii="GHEA Grapalat" w:hAnsi="GHEA Grapalat"/>
          <w:sz w:val="22"/>
          <w:szCs w:val="22"/>
        </w:rPr>
        <w:lastRenderedPageBreak/>
        <w:t>Մարդու իրավունքների խորհրդի 49-րդ նստաշրջանի ընթացքում կոնսենսուսով ընդունվել է ՀՀ կողմից ներկայացված «Ցեղասպանության կանխարգելում» բանաձևը, որը համահեղինակել են 65 երկիր: Դեկտեմբերի 12-13-ը տեղի է ունեցել «Ընդդեմ ցեղասպանության հանցագործության» չորրորդ Գլոբալ ֆորումը՝ նվիրված ցեղասպանությունների կանխարգելմանը նոր տեխնոլոգիաների կիրառման պայմաններում։</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Շարունակվել է բարձր մակարդակի երկխոսությունը Իրանի հետ: Նոյեմբերի 1-ին Հայաստանի Հանրապետության վարչապետ Ն.Փաշինյանը կարճատև աշխատանքային այց է կատարել ԻԻՀ: Աշխատանքներ են տարվում տնտեսական և ենթակառուցվածքային ծրագրերի իրականացման ուղղությամբ: Հոկտեմբերին Կապանում բացվել է Իրանի գլխավոր հյուպատոսություն:</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Զարգանում են Վրաստանի հետ բարիդրացիական հարաբերությունները, քայլեր են ձեռնարկվում </w:t>
      </w:r>
      <w:r w:rsidRPr="001F63BA">
        <w:rPr>
          <w:rFonts w:ascii="GHEA Grapalat" w:hAnsi="GHEA Grapalat"/>
          <w:sz w:val="22"/>
          <w:szCs w:val="22"/>
          <w:lang w:val="en-US"/>
        </w:rPr>
        <w:t>դրանք</w:t>
      </w:r>
      <w:r w:rsidRPr="001F63BA">
        <w:rPr>
          <w:rFonts w:ascii="GHEA Grapalat" w:hAnsi="GHEA Grapalat"/>
          <w:sz w:val="22"/>
          <w:szCs w:val="22"/>
        </w:rPr>
        <w:t xml:space="preserve"> առավել ամրապնդելու ուղղությամբ: Ընդլայնվում է համագործակցությունը գրեթե բոլոր ոլորտներում</w:t>
      </w:r>
      <w:r w:rsidRPr="001F63BA">
        <w:rPr>
          <w:rFonts w:ascii="GHEA Grapalat" w:hAnsi="GHEA Grapalat"/>
          <w:sz w:val="22"/>
          <w:szCs w:val="22"/>
          <w:lang w:val="en-US"/>
        </w:rPr>
        <w:t>,</w:t>
      </w:r>
      <w:r w:rsidRPr="001F63BA">
        <w:rPr>
          <w:rFonts w:ascii="GHEA Grapalat" w:hAnsi="GHEA Grapalat"/>
          <w:sz w:val="22"/>
          <w:szCs w:val="22"/>
        </w:rPr>
        <w:t xml:space="preserve"> այդ թվում</w:t>
      </w:r>
      <w:r w:rsidRPr="001F63BA">
        <w:rPr>
          <w:rFonts w:ascii="GHEA Grapalat" w:hAnsi="GHEA Grapalat"/>
          <w:sz w:val="22"/>
          <w:szCs w:val="22"/>
          <w:lang w:val="en-US"/>
        </w:rPr>
        <w:t>՝</w:t>
      </w:r>
      <w:r w:rsidRPr="001F63BA">
        <w:rPr>
          <w:rFonts w:ascii="GHEA Grapalat" w:hAnsi="GHEA Grapalat"/>
          <w:sz w:val="22"/>
          <w:szCs w:val="22"/>
        </w:rPr>
        <w:t xml:space="preserve"> բեռնափոխադրումների և քաղաքացիների անխափան տեղաշարժ</w:t>
      </w:r>
      <w:r w:rsidRPr="001F63BA">
        <w:rPr>
          <w:rFonts w:ascii="GHEA Grapalat" w:hAnsi="GHEA Grapalat"/>
          <w:sz w:val="22"/>
          <w:szCs w:val="22"/>
          <w:lang w:val="en-US"/>
        </w:rPr>
        <w:t>ն</w:t>
      </w:r>
      <w:r w:rsidRPr="001F63BA">
        <w:rPr>
          <w:rFonts w:ascii="GHEA Grapalat" w:hAnsi="GHEA Grapalat"/>
          <w:sz w:val="22"/>
          <w:szCs w:val="22"/>
        </w:rPr>
        <w:t xml:space="preserve"> ապահովելու նպատակով: Հունիսի 18-ին Դիլիջանում տեղի է ունեցել Հայաստանի Հանրապետության վարչապետ Նիկոլ Փաշինյանի և Վրաստանի վարչապետ Իրակլի Ղարիբաշվիլիի հանդիպումը։</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շարունակվել է Հայաստանի և Թուրքիայի միջև հարաբերությունների ամբողջական կարգավորման գործընթացը: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տեղի է ունեցել Հայաստանի և Թուրքիայի հատուկ ներկայացուցիչների չորս հանդիպում (2022թ. հունվարի 14, փետրվարի 24, մայիսի 3 և հուլիսի 1)։</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Հայաստան-Թուրքիա հարաբերությունների կարգավորման գործընթացի շրջանակներում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փետրվարից վերականգնվել է երկու երկրների միջև ուղիղ ավիահաղորդակցությունը։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հուլիսի 1-ին Հայաստանի և Թուրքիայի հատուկ ներկայացուցիչները Վիեննայում պայմանավորվածություն են ձեռք բերել հնարավոր ամենասեղմ ժամկետներում ապահովել Հայաստան-Թուրքիա ցամաքային սահմանը հատելու հնարավորություն համապատասխանաբար Հայաստան և Թուրքիա այցելող երրորդ երկրների քաղաքացիների համար և որոշել են սկսել այդ ուղղությամբ անհրաժեշտ գործընթացները: Նույն հանդիպման ընթացքում կողմերի միջև պայմանավորվածություն է ձեռք բերվել նաև հնարավոր ամենասեղմ ժամկետներում մեկնարկել Հայաստան-Թուրքիա ուղիղ օդային բեռնափոխադրումների իրականացումը և սկսել այդ ուղղությամբ անհրաժեշտ գործընթացները:</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հուլիսի 11-ին Հայաստանի վարչապետ Նիկոլ Փաշինյանը հեռախոսազրույց է ունեցել Թուրքիայի նախագահ Ռեջեփ Թայիփ Էրդողանի հետ։ </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Եվրոպական քաղաքական համայնքի գագաթնաժողովի շրջանակներում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հոկտեմբերի 6-ին Պրահայում տեղի է ունեցել ՀՀ վարչապետ Նիկոլ Փաշինյանի և ԹՀ նախագահ Ռեջեփ Թայիփ Էրդողանի հանդիպումը:</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Հայաստան-Թուրքիա հարաբերությունների կարգավորման գործընթացի շրջանակներում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նոյեմբեր֊դեկտեմբեր ամիսներին տեղի է ունեցել երկու երկրների միջգերատեսչական մասնագիտական խմբերի երկու հանդիպում։</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ապրիլի 25-27-ը կայացել է Հայաստանի Հանրապետության արտաքին գործերի նախարար Արարատ Միրզոյանի գլխավորած պատվիրակության այցը Հնդկաստանի Հանրապետություն՝ «Ռայսինայի երկխոսություն» միջազգային համաժողովին մասնակցելու նպատակով: Պատվիրակության մաս են կազմել նաև գործարար բնագավառի 30-ից ավել ներկայացուցիչներ: Հնդկաստանի արտաքին գործերի նախարար Սուբրամանյամ Ջայշանկարի հետ հանդիպման</w:t>
      </w:r>
      <w:r w:rsidRPr="001F63BA">
        <w:rPr>
          <w:rFonts w:ascii="GHEA Grapalat" w:hAnsi="GHEA Grapalat"/>
          <w:sz w:val="22"/>
          <w:szCs w:val="22"/>
          <w:lang w:val="en-US"/>
        </w:rPr>
        <w:t>ն</w:t>
      </w:r>
      <w:r w:rsidRPr="001F63BA">
        <w:rPr>
          <w:rFonts w:ascii="GHEA Grapalat" w:hAnsi="GHEA Grapalat"/>
          <w:sz w:val="22"/>
          <w:szCs w:val="22"/>
        </w:rPr>
        <w:t xml:space="preserve"> անդրադարձ է կատարվել տեղեկատվական տեխնոլոգիաների, ավիացիայի, կրթության, մշակույթի, զբոսաշրջության և այլ ոլորտներում հարաբերությունների հետագա զարգացման հեռանկարներին: Հուլիսի 4-ին Երևանում տեղի է ունեցել Առևտրի, տնտեuական, տեխնոլոգիաների, գիտության, կրթության և մշակույթի բնագավառներում համագործակցության հայ-հնդկական միջկառավարական հանձնաժողովի 8-րդ նիստը՝ ՀՀ արտաքին գործերի նախարար Արարատ Միրզոյանի և Հնդկաստանի Հանրապետության ԱԳՆ Արևմտյան ուղղության քարտուղար Սանջայ Վերմայի համանախագահությամբ: Նիստի ընթացքում կողմերը մանրամասնորեն քննարկել են էկոնոմիկայի, տեղեկատվական և բարձր տեխնոլոգիաների, առողջապահության, կրթության, մշակույթի, տրանսպորտի, ենթակառուցվածքների ու համայնքների զարգացման, արտակարգ իրավիճակների հաղթահարման ոլորտներում համագործակցության հետագա խորացման ուղիները և պայմանավորվածություններ ձեռք բերել հետագա աշխատանքների շուրջ: Ստորագրվել են մի շարք փաստաթղթեր:</w:t>
      </w:r>
    </w:p>
    <w:p w:rsidR="001C411D" w:rsidRPr="001F63BA" w:rsidRDefault="001C411D" w:rsidP="00652E18">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ընթացքում Հայաստանի Հանրապետության արտաքին գործերի նախարարությունը շարունակել է աշխատանքներ իրականացնել երկ</w:t>
      </w:r>
      <w:r w:rsidR="004318B9" w:rsidRPr="001F63BA">
        <w:rPr>
          <w:rFonts w:ascii="GHEA Grapalat" w:hAnsi="GHEA Grapalat"/>
          <w:sz w:val="22"/>
          <w:szCs w:val="22"/>
        </w:rPr>
        <w:t xml:space="preserve">կողմ և բազմակողմ հարթակներում՝ </w:t>
      </w:r>
      <w:r w:rsidR="004318B9" w:rsidRPr="001F63BA">
        <w:rPr>
          <w:rFonts w:ascii="GHEA Grapalat" w:hAnsi="GHEA Grapalat"/>
          <w:sz w:val="22"/>
          <w:szCs w:val="22"/>
          <w:lang w:val="en-US"/>
        </w:rPr>
        <w:t>Կ</w:t>
      </w:r>
      <w:r w:rsidRPr="001F63BA">
        <w:rPr>
          <w:rFonts w:ascii="GHEA Grapalat" w:hAnsi="GHEA Grapalat"/>
          <w:sz w:val="22"/>
          <w:szCs w:val="22"/>
        </w:rPr>
        <w:t xml:space="preserve">առավարության 2021-2026թթ. ծրագրով նախանշված ուղենիշներն իրագործելու նպատակով։ </w:t>
      </w:r>
    </w:p>
    <w:p w:rsidR="001C411D" w:rsidRPr="001F63BA" w:rsidRDefault="001C411D" w:rsidP="00AC199C">
      <w:pPr>
        <w:spacing w:line="360" w:lineRule="auto"/>
        <w:ind w:firstLine="567"/>
        <w:jc w:val="both"/>
        <w:rPr>
          <w:rFonts w:ascii="GHEA Grapalat" w:hAnsi="GHEA Grapalat"/>
          <w:sz w:val="22"/>
          <w:szCs w:val="22"/>
        </w:rPr>
      </w:pPr>
      <w:r w:rsidRPr="001F63BA">
        <w:rPr>
          <w:rFonts w:ascii="GHEA Grapalat" w:hAnsi="GHEA Grapalat"/>
          <w:sz w:val="22"/>
          <w:szCs w:val="22"/>
        </w:rPr>
        <w:t xml:space="preserve"> </w:t>
      </w:r>
    </w:p>
    <w:p w:rsidR="001C411D" w:rsidRPr="001F63BA" w:rsidRDefault="001C411D" w:rsidP="00AC199C">
      <w:pPr>
        <w:pStyle w:val="Heading2"/>
        <w:spacing w:before="0"/>
      </w:pPr>
      <w:bookmarkStart w:id="36" w:name="_Toc132204213"/>
      <w:r w:rsidRPr="001F63BA">
        <w:t>Արդարադատություն</w:t>
      </w:r>
      <w:bookmarkEnd w:id="36"/>
    </w:p>
    <w:p w:rsidR="001C411D" w:rsidRPr="001F63BA" w:rsidRDefault="001C411D" w:rsidP="00E32777">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Հայաստանի Հանրապետության արդարադատության ոլորտի քաղաքականության հիմնական թիրախային ուղղությունները տեղ են գտել Կառավարության միջոցառումների ցանկում: </w:t>
      </w:r>
    </w:p>
    <w:p w:rsidR="001C411D" w:rsidRPr="001F63BA" w:rsidRDefault="001C411D" w:rsidP="00E32777">
      <w:pPr>
        <w:tabs>
          <w:tab w:val="left" w:pos="0"/>
        </w:tabs>
        <w:ind w:firstLine="567"/>
        <w:jc w:val="both"/>
        <w:rPr>
          <w:rFonts w:ascii="GHEA Grapalat" w:hAnsi="GHEA Grapalat" w:cs="Sylfaen"/>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Դատաիրավական ոլորտ</w:t>
      </w:r>
    </w:p>
    <w:p w:rsidR="001C411D" w:rsidRPr="001F63BA" w:rsidRDefault="001C411D" w:rsidP="00E32777">
      <w:pPr>
        <w:spacing w:line="360" w:lineRule="auto"/>
        <w:ind w:firstLine="567"/>
        <w:jc w:val="both"/>
        <w:rPr>
          <w:rFonts w:ascii="GHEA Grapalat" w:hAnsi="GHEA Grapalat"/>
          <w:sz w:val="22"/>
          <w:szCs w:val="22"/>
          <w:lang w:val="en-US"/>
        </w:rPr>
      </w:pPr>
      <w:r w:rsidRPr="001F63BA">
        <w:rPr>
          <w:rFonts w:ascii="GHEA Grapalat" w:hAnsi="GHEA Grapalat"/>
          <w:sz w:val="22"/>
          <w:szCs w:val="22"/>
        </w:rPr>
        <w:t>Հաշվետու տարում դատաիրավական ոլորտում իրականացվել են ՀՀ կառավարության 2019 թվականի հոկտեմբերի 10-ի N1441-Լ և 2022 թվականի հուլիսի 21-ի N1133-Լ որոշումներով հաստատված</w:t>
      </w:r>
      <w:r w:rsidRPr="001F63BA">
        <w:rPr>
          <w:rFonts w:ascii="GHEA Grapalat" w:hAnsi="GHEA Grapalat"/>
          <w:sz w:val="22"/>
          <w:szCs w:val="22"/>
          <w:lang w:val="en-US"/>
        </w:rPr>
        <w:t>՝</w:t>
      </w:r>
      <w:r w:rsidRPr="001F63BA">
        <w:rPr>
          <w:rFonts w:ascii="GHEA Grapalat" w:hAnsi="GHEA Grapalat"/>
          <w:sz w:val="22"/>
          <w:szCs w:val="22"/>
        </w:rPr>
        <w:t xml:space="preserve"> Հայաստանի Հանրապետության իրավական և դատական բարեփոխումների 2022-2026 թվականների ռազմավարությունից բխող գործողություններ։ Վճռաբեկ դատարանում ձևավորվե</w:t>
      </w:r>
      <w:r w:rsidRPr="001F63BA">
        <w:rPr>
          <w:rFonts w:ascii="GHEA Grapalat" w:hAnsi="GHEA Grapalat"/>
          <w:sz w:val="22"/>
          <w:szCs w:val="22"/>
          <w:lang w:val="en-US"/>
        </w:rPr>
        <w:t>լ են</w:t>
      </w:r>
      <w:r w:rsidRPr="001F63BA">
        <w:rPr>
          <w:rFonts w:ascii="GHEA Grapalat" w:hAnsi="GHEA Grapalat"/>
          <w:sz w:val="22"/>
          <w:szCs w:val="22"/>
        </w:rPr>
        <w:t xml:space="preserve"> առանձին վարչական և հակակոռուպցիոն պալատները</w:t>
      </w:r>
      <w:r w:rsidRPr="001F63BA">
        <w:rPr>
          <w:rFonts w:ascii="GHEA Grapalat" w:hAnsi="GHEA Grapalat"/>
          <w:sz w:val="22"/>
          <w:szCs w:val="22"/>
          <w:lang w:val="en-US"/>
        </w:rPr>
        <w:t>:</w:t>
      </w:r>
    </w:p>
    <w:p w:rsidR="001C411D" w:rsidRPr="001F63BA" w:rsidRDefault="001C411D" w:rsidP="00E32777">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Ազգային ժողովի կողմից ընդունվել է օրենք, որով Երևան քաղաքում ձևավորվում են առաջին ատյանի քրեական և քաղաքացիական դատարաններ, ստեղծվում է Վերաքննիչ հակակոռուպցիոն դատարան` ապահովելով հակակոռուպցիոն գործերի եռաստիճան մասնագիտացված քննությունը։ Վճռաբեկ դատարանում ձևավորվել են առանձին վարչական և հակակոռուպցիոն պալատները։ Բարձրացվել է դատավորների աշխատավարձը. Սահմանադրական դատարանում հավելավճարը սահմանվել է աշխատավարձի 80 տոկոսի չափով, Վճռաբեկ դատարանում հավելումը` աշխատավարձի 50 տոկոսի չափով։ Ստացվել է Վենետիկի հանձնաժողովի դրական կարծիքը կարգապահական գործերով կայացված ԲԴԽ որոշումների համար բողոքարկման հնարավորություն նախատեսելու մասով։ </w:t>
      </w:r>
    </w:p>
    <w:p w:rsidR="001C411D" w:rsidRPr="001F63BA" w:rsidRDefault="001C411D" w:rsidP="00D537BC">
      <w:pPr>
        <w:spacing w:line="360" w:lineRule="auto"/>
        <w:ind w:firstLine="567"/>
        <w:jc w:val="both"/>
        <w:rPr>
          <w:rFonts w:ascii="GHEA Grapalat" w:hAnsi="GHEA Grapalat"/>
          <w:sz w:val="22"/>
          <w:szCs w:val="22"/>
        </w:rPr>
      </w:pPr>
      <w:r w:rsidRPr="001F63BA">
        <w:rPr>
          <w:rFonts w:ascii="GHEA Grapalat" w:hAnsi="GHEA Grapalat"/>
          <w:sz w:val="22"/>
          <w:szCs w:val="22"/>
        </w:rPr>
        <w:t xml:space="preserve">Աշխատանքներ են իրականացվել դատարանների շենքային պայմանների ապահովման ուղղությամբ։ 2022 թվականին Վճռաբեկ դատարանի շենքից դատական կարգադրիչները տեղափոխվել են նոր վերանորոգված շենք` ապահովելով այդ շենքում Հակակոռուպցիոն պալատի տեղակայումը: Վերաքննիչ վարչական և հակակոռուպցիոն դատարանների գործունեության ապահովման նպատակով Թբիլիսյան խճուղու շենքը վերանորոգվել է, բարեկարգվել է նաև հարակից ճանապարհը՝ քաղաքացիների ելումուտն ապահովելու համար, Սնանկության դատարանի շենքից տեղափոխվել է Արդարադատության նախարարության արխիվը, տարածքն ամբողջությամբ տրամադրվել է դատարանին, Երևան քաղաքի ընդհանուր իրավասության դատարանի Արաբկիրի նստավայրի շենքից տեղափոխվել է </w:t>
      </w:r>
      <w:r w:rsidRPr="001F63BA">
        <w:rPr>
          <w:rFonts w:ascii="GHEA Grapalat" w:hAnsi="GHEA Grapalat"/>
          <w:sz w:val="22"/>
          <w:szCs w:val="22"/>
          <w:lang w:val="en-US"/>
        </w:rPr>
        <w:t>պ</w:t>
      </w:r>
      <w:r w:rsidRPr="001F63BA">
        <w:rPr>
          <w:rFonts w:ascii="GHEA Grapalat" w:hAnsi="GHEA Grapalat"/>
          <w:sz w:val="22"/>
          <w:szCs w:val="22"/>
        </w:rPr>
        <w:t xml:space="preserve">րոբացիայի արխիվը, տարածքը տրամադրվել է դատարանին, Արագածոտնի մարզի առաջին ատյանի դատարանին տրամադրվել է </w:t>
      </w:r>
      <w:r w:rsidRPr="001F63BA">
        <w:rPr>
          <w:rFonts w:ascii="GHEA Grapalat" w:hAnsi="GHEA Grapalat"/>
          <w:sz w:val="22"/>
          <w:szCs w:val="22"/>
          <w:lang w:val="en-US"/>
        </w:rPr>
        <w:t>Հ</w:t>
      </w:r>
      <w:r w:rsidRPr="001F63BA">
        <w:rPr>
          <w:rFonts w:ascii="GHEA Grapalat" w:hAnsi="GHEA Grapalat"/>
          <w:sz w:val="22"/>
          <w:szCs w:val="22"/>
        </w:rPr>
        <w:t>արկադիր կատարումն ապահովող ծառայությ</w:t>
      </w:r>
      <w:r w:rsidRPr="001F63BA">
        <w:rPr>
          <w:rFonts w:ascii="GHEA Grapalat" w:hAnsi="GHEA Grapalat"/>
          <w:sz w:val="22"/>
          <w:szCs w:val="22"/>
          <w:lang w:val="en-US"/>
        </w:rPr>
        <w:t>ա</w:t>
      </w:r>
      <w:r w:rsidRPr="001F63BA">
        <w:rPr>
          <w:rFonts w:ascii="GHEA Grapalat" w:hAnsi="GHEA Grapalat"/>
          <w:sz w:val="22"/>
          <w:szCs w:val="22"/>
        </w:rPr>
        <w:t xml:space="preserve">ն </w:t>
      </w:r>
      <w:r w:rsidRPr="001F63BA">
        <w:rPr>
          <w:rFonts w:ascii="GHEA Grapalat" w:hAnsi="GHEA Grapalat"/>
          <w:sz w:val="22"/>
          <w:szCs w:val="22"/>
          <w:lang w:val="en-US"/>
        </w:rPr>
        <w:t>(</w:t>
      </w:r>
      <w:r w:rsidRPr="001F63BA">
        <w:rPr>
          <w:rFonts w:ascii="GHEA Grapalat" w:hAnsi="GHEA Grapalat"/>
          <w:sz w:val="22"/>
          <w:szCs w:val="22"/>
        </w:rPr>
        <w:t>ՀԿԱԾ</w:t>
      </w:r>
      <w:r w:rsidRPr="001F63BA">
        <w:rPr>
          <w:rFonts w:ascii="GHEA Grapalat" w:hAnsi="GHEA Grapalat"/>
          <w:sz w:val="22"/>
          <w:szCs w:val="22"/>
          <w:lang w:val="en-US"/>
        </w:rPr>
        <w:t>)</w:t>
      </w:r>
      <w:r w:rsidRPr="001F63BA">
        <w:rPr>
          <w:rFonts w:ascii="GHEA Grapalat" w:hAnsi="GHEA Grapalat"/>
          <w:sz w:val="22"/>
          <w:szCs w:val="22"/>
        </w:rPr>
        <w:t xml:space="preserve"> ենթակայության տարածք, կառուցվել են դատավորի 2 աշխատասենյակ և 1 նիստերի դահլիճ։ </w:t>
      </w:r>
    </w:p>
    <w:p w:rsidR="001C411D" w:rsidRPr="001F63BA" w:rsidRDefault="001C411D" w:rsidP="00E32777">
      <w:pPr>
        <w:spacing w:line="360" w:lineRule="auto"/>
        <w:ind w:firstLine="567"/>
        <w:jc w:val="both"/>
        <w:rPr>
          <w:rFonts w:ascii="GHEA Grapalat" w:hAnsi="GHEA Grapalat"/>
          <w:sz w:val="22"/>
          <w:szCs w:val="22"/>
        </w:rPr>
      </w:pPr>
      <w:r w:rsidRPr="001F63BA">
        <w:rPr>
          <w:rFonts w:ascii="GHEA Grapalat" w:hAnsi="GHEA Grapalat"/>
          <w:sz w:val="22"/>
          <w:szCs w:val="22"/>
        </w:rPr>
        <w:t xml:space="preserve">Բացի վերոգրյալից, ոլորտային հասարակական կազմակերպությունների հետ համատեղ աշխատանքային քննարկումների արդյունքում փոխադարձ համաձայնությամբ մշակվել է զանգվածային լրատվության միջոցների ինքնա(համա)կարգավորման համակարգի ինստիտուցիոնալ կայացման վերաբերյալ հայեցակարգի նախագիծը, որը գտնվում է շահագրգիռ կողմերի հետ </w:t>
      </w:r>
      <w:r w:rsidRPr="001F63BA">
        <w:rPr>
          <w:rFonts w:ascii="GHEA Grapalat" w:hAnsi="GHEA Grapalat"/>
          <w:sz w:val="22"/>
          <w:szCs w:val="22"/>
        </w:rPr>
        <w:lastRenderedPageBreak/>
        <w:t>համաձայնեցման գործընթացում: Կազմվել է «Ընտրական օրենսդրության և պրակտիկայի խնդիրների վերաբերյալ» զեկույցը։ IFES-ի և USAID-ի հետ համատեղ կազմակերպվել են ոլորտի շահագրգիռ կողմերի մասնակցությամբ քննարկումներ</w:t>
      </w:r>
      <w:r w:rsidRPr="001F63BA">
        <w:rPr>
          <w:rFonts w:ascii="GHEA Grapalat" w:hAnsi="GHEA Grapalat"/>
          <w:sz w:val="22"/>
          <w:szCs w:val="22"/>
          <w:lang w:val="en-US"/>
        </w:rPr>
        <w:t>,</w:t>
      </w:r>
      <w:r w:rsidRPr="001F63BA">
        <w:rPr>
          <w:rFonts w:ascii="GHEA Grapalat" w:hAnsi="GHEA Grapalat"/>
          <w:sz w:val="22"/>
          <w:szCs w:val="22"/>
        </w:rPr>
        <w:t xml:space="preserve"> և ամփոփվել են նշված զեկույցում գույքագրված և բարձրաց</w:t>
      </w:r>
      <w:r w:rsidRPr="001F63BA">
        <w:rPr>
          <w:rFonts w:ascii="GHEA Grapalat" w:hAnsi="GHEA Grapalat"/>
          <w:sz w:val="22"/>
          <w:szCs w:val="22"/>
          <w:lang w:val="en-US"/>
        </w:rPr>
        <w:t>վ</w:t>
      </w:r>
      <w:r w:rsidRPr="001F63BA">
        <w:rPr>
          <w:rFonts w:ascii="GHEA Grapalat" w:hAnsi="GHEA Grapalat"/>
          <w:sz w:val="22"/>
          <w:szCs w:val="22"/>
        </w:rPr>
        <w:t>ած այլ խնդիրները: Դրանց հիման վրա IFES թիմը մշակել է օրենսդրական փոփոխությունների նախագիծ, որը քննարկվում է: Պատրաստվել են շուրջ 335 հաղորդագրություններ և 37 հոլովակներ իրականացվող բարեփոխումների, ընթացիկ իրադարձությունների, ընդունված իրավական ակտերի, իրականացվող միջոցառումների և այլնի վերաբերյալ։ ԱՆ կողմից մշակվել են 250</w:t>
      </w:r>
      <w:r w:rsidRPr="001F63BA">
        <w:rPr>
          <w:rFonts w:ascii="GHEA Grapalat" w:hAnsi="GHEA Grapalat"/>
          <w:sz w:val="22"/>
          <w:szCs w:val="22"/>
          <w:lang w:val="en-US"/>
        </w:rPr>
        <w:t>-ից</w:t>
      </w:r>
      <w:r w:rsidRPr="001F63BA">
        <w:rPr>
          <w:rFonts w:ascii="GHEA Grapalat" w:hAnsi="GHEA Grapalat"/>
          <w:sz w:val="22"/>
          <w:szCs w:val="22"/>
        </w:rPr>
        <w:t xml:space="preserve"> ավելի իրավական ակտերի նախագծեր։</w:t>
      </w:r>
    </w:p>
    <w:p w:rsidR="001C411D" w:rsidRPr="001F63BA" w:rsidRDefault="001C411D" w:rsidP="00E32777">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ձևավորել են Սահմանադրական բարեփոխումների խորհուրդը և Սահմանադրական բարեփոխումների մասնագիտական հանձնաժողովը։ Երևանում և մարզերում տարբեր ձևաչափերով անցկացվել են 30 հանրային քննարկումներ, իրականացվել են Խորհրդի և հանձնաժողովի շուրջ 10 նիստեր։ Պատրաստվել են կառավարման ձևի, նախագահի դերի ու կարգավիճակի և վերպետական կազմակերպությունների ակտերի հետ կապված հարցերի վերաբերյալ հայեցակարգային կտորները և կողմերի մեծամասնության կողմից դրական դիրքորոշում տրվել խորհրդարանական կառավարման ձևին։</w:t>
      </w:r>
    </w:p>
    <w:p w:rsidR="001C411D" w:rsidRPr="001F63BA" w:rsidRDefault="001C411D" w:rsidP="00E32777">
      <w:pPr>
        <w:spacing w:line="360" w:lineRule="auto"/>
        <w:ind w:firstLine="567"/>
        <w:jc w:val="both"/>
        <w:rPr>
          <w:rFonts w:ascii="GHEA Grapalat" w:hAnsi="GHEA Grapalat"/>
          <w:sz w:val="22"/>
          <w:szCs w:val="22"/>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Էլեկտրոնային արդարադատութուն</w:t>
      </w:r>
    </w:p>
    <w:p w:rsidR="001C411D" w:rsidRPr="001F63BA" w:rsidRDefault="001C411D" w:rsidP="00BF34F9">
      <w:pPr>
        <w:spacing w:line="360" w:lineRule="auto"/>
        <w:ind w:firstLine="567"/>
        <w:jc w:val="both"/>
        <w:rPr>
          <w:rFonts w:ascii="GHEA Grapalat" w:hAnsi="GHEA Grapalat"/>
          <w:sz w:val="22"/>
          <w:szCs w:val="22"/>
          <w:lang w:val="en-US"/>
        </w:rPr>
      </w:pPr>
      <w:r w:rsidRPr="001F63BA">
        <w:rPr>
          <w:rFonts w:ascii="GHEA Grapalat" w:hAnsi="GHEA Grapalat"/>
          <w:sz w:val="22"/>
          <w:szCs w:val="22"/>
        </w:rPr>
        <w:t>2022 թվականին իրականացվել են գործողություններ՝ ուղղված արդարադատության ոլորտի թվայնացմանը։ Քաղաքացիական դատավարության թվայնացման ծառայությունների ձեռքբերման նպատակով կնքվել է պայմանագիր, կայացել է E-court հարթակի IT աուդիտի մրցույթը, Վայոց Ձորում գործարկվել է մինչդատական վարույթի էլեկտրոնային համակարգը, ներդրվել է հարկադիր կատարումն ապահովող ծառայության անձնական գրասենյակ հարթակը, մշակվել է դոնորների համակարգման հարթակը, գործարկվել է էլ</w:t>
      </w:r>
      <w:r w:rsidRPr="001F63BA">
        <w:rPr>
          <w:rFonts w:ascii="GHEA Grapalat" w:hAnsi="GHEA Grapalat"/>
          <w:sz w:val="22"/>
          <w:szCs w:val="22"/>
          <w:lang w:val="en-US"/>
        </w:rPr>
        <w:t>եկտրոնային</w:t>
      </w:r>
      <w:r w:rsidRPr="001F63BA">
        <w:rPr>
          <w:rFonts w:ascii="GHEA Grapalat" w:hAnsi="GHEA Grapalat"/>
          <w:sz w:val="22"/>
          <w:szCs w:val="22"/>
        </w:rPr>
        <w:t xml:space="preserve"> առողջապահական ծրագիր։</w:t>
      </w:r>
    </w:p>
    <w:p w:rsidR="001C411D" w:rsidRPr="001F63BA" w:rsidRDefault="001C411D" w:rsidP="00BF34F9">
      <w:pPr>
        <w:spacing w:line="360" w:lineRule="auto"/>
        <w:ind w:firstLine="567"/>
        <w:jc w:val="both"/>
        <w:rPr>
          <w:rFonts w:ascii="GHEA Grapalat" w:hAnsi="GHEA Grapalat"/>
          <w:sz w:val="22"/>
          <w:szCs w:val="22"/>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Հակակոռուպցիոն ոլորտ</w:t>
      </w:r>
    </w:p>
    <w:p w:rsidR="001C411D" w:rsidRPr="001F63BA" w:rsidRDefault="001C411D" w:rsidP="00BF34F9">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ընթացքում </w:t>
      </w:r>
      <w:r w:rsidRPr="001F63BA">
        <w:rPr>
          <w:rFonts w:ascii="GHEA Grapalat" w:hAnsi="GHEA Grapalat"/>
          <w:sz w:val="22"/>
          <w:szCs w:val="22"/>
          <w:lang w:val="en-US"/>
        </w:rPr>
        <w:t>հ</w:t>
      </w:r>
      <w:r w:rsidRPr="001F63BA">
        <w:rPr>
          <w:rFonts w:ascii="GHEA Grapalat" w:hAnsi="GHEA Grapalat"/>
          <w:sz w:val="22"/>
          <w:szCs w:val="22"/>
        </w:rPr>
        <w:t>ակակ</w:t>
      </w:r>
      <w:r w:rsidRPr="001F63BA">
        <w:rPr>
          <w:rFonts w:ascii="GHEA Grapalat" w:hAnsi="GHEA Grapalat"/>
          <w:sz w:val="22"/>
          <w:szCs w:val="22"/>
          <w:lang w:val="en-US"/>
        </w:rPr>
        <w:t>ո</w:t>
      </w:r>
      <w:r w:rsidRPr="001F63BA">
        <w:rPr>
          <w:rFonts w:ascii="GHEA Grapalat" w:hAnsi="GHEA Grapalat"/>
          <w:sz w:val="22"/>
          <w:szCs w:val="22"/>
        </w:rPr>
        <w:t>ռուպցիոն քաղաքականության մշակման գործընթացում իրականացվել են հետևյալ հիմնական քայլերը.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Հստակեցվել են պաշտոնատար անձանց՝ նվերներ ընդունելու, անհամատեղելիության պահանջների, շահերի բախմ</w:t>
      </w:r>
      <w:r w:rsidR="006F60A9" w:rsidRPr="001F63BA">
        <w:rPr>
          <w:rFonts w:ascii="GHEA Grapalat" w:hAnsi="GHEA Grapalat" w:cs="GHEA Grapalat"/>
          <w:bCs/>
          <w:lang w:val="af-ZA"/>
        </w:rPr>
        <w:t>ան վերաբերյալ կարգավորումները: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Ազդարարման համակարգի կատարելագործման, զարգացման, ինչպես նաև ստանձնված միջազգային պարտավորությունների կատարումն ապահովելու անհրաժեշտությամբ </w:t>
      </w:r>
      <w:r w:rsidRPr="001F63BA">
        <w:rPr>
          <w:rFonts w:ascii="GHEA Grapalat" w:hAnsi="GHEA Grapalat" w:cs="GHEA Grapalat"/>
          <w:bCs/>
          <w:lang w:val="af-ZA"/>
        </w:rPr>
        <w:lastRenderedPageBreak/>
        <w:t>պայմանավորված՝ 2022 թվականին ընդունվել են «Ազդարարման համակարգի մասին» օրենքում և հարակից օրենքներում փոփոխություններ և լրացումներ կատարելու մասին օրենքները։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Ընդունվել է Հակակոռուպցիոն ռազմավարության մեջ փոփոխություններ նախատեսող որոշում, որով բարելավվել են մոնիթորինգի ու գնահատման կառուցակարգերը և մոնիթորինգային ցուցիչները, սահմանվել են մասնակցային մոնիթորինգի նոր ընթացակարգ և ժամկետներ:</w:t>
      </w:r>
    </w:p>
    <w:p w:rsidR="001C411D" w:rsidRPr="001F63BA" w:rsidRDefault="001C411D" w:rsidP="00BF34F9">
      <w:pPr>
        <w:spacing w:line="360" w:lineRule="auto"/>
        <w:ind w:firstLine="567"/>
        <w:jc w:val="both"/>
        <w:rPr>
          <w:rFonts w:ascii="GHEA Grapalat" w:hAnsi="GHEA Grapalat" w:cs="GHEA Grapalat"/>
          <w:bCs/>
          <w:sz w:val="22"/>
          <w:szCs w:val="22"/>
          <w:lang w:val="af-ZA"/>
        </w:rPr>
      </w:pPr>
      <w:r w:rsidRPr="001F63BA">
        <w:rPr>
          <w:rFonts w:ascii="GHEA Grapalat" w:hAnsi="GHEA Grapalat" w:cs="GHEA Grapalat"/>
          <w:bCs/>
          <w:sz w:val="22"/>
          <w:szCs w:val="22"/>
          <w:lang w:val="af-ZA"/>
        </w:rPr>
        <w:t xml:space="preserve">Եվրոպայի խորհրդի Կոռուպցիայի դեմ պայքարող պետությունների խմբի (ԳՐԵԿՈ) կողմից ընդունված Հայաստանի Հանրապետության չորրորդ փուլի գնահատման «Կոռուպցիայի կանխարգելումը պատգամավորների, դատավորների և դատախազների շրջանում» զեկույցով ամրագրված պարտավորությունների կատարման ընթացքի վերաբերյալ իրավիճակային զեկույց է ներկայացվել ԳՐԵԿՈ-ին ՀՀ պարտավորությունների կատարման ընթացքի վերաբերյալ: 2022 թվականին մեկնարկել է ԳՐԵԿՈ-ի կողմից Հայաստանի Հանրապետության հինգերորդ փուլի գնահատումը, որի շրջանակներում Արդարադատության նախարարություն է ներկայացվել «Կոռուպցիայի կանխարգելումը և բարեվարքության խթանումը իշխանության կենտրոնական մարմիններում և </w:t>
      </w:r>
      <w:r w:rsidRPr="001F63BA">
        <w:rPr>
          <w:rFonts w:ascii="GHEA Grapalat" w:hAnsi="GHEA Grapalat"/>
          <w:sz w:val="22"/>
          <w:szCs w:val="22"/>
          <w:lang w:val="en-US"/>
        </w:rPr>
        <w:t>իրավապահ</w:t>
      </w:r>
      <w:r w:rsidRPr="001F63BA">
        <w:rPr>
          <w:rFonts w:ascii="GHEA Grapalat" w:hAnsi="GHEA Grapalat" w:cs="GHEA Grapalat"/>
          <w:bCs/>
          <w:sz w:val="22"/>
          <w:szCs w:val="22"/>
          <w:lang w:val="af-ZA"/>
        </w:rPr>
        <w:t xml:space="preserve"> մարմիններում» խորագրով հարցաշար:</w:t>
      </w:r>
    </w:p>
    <w:p w:rsidR="001C411D" w:rsidRPr="001F63BA" w:rsidRDefault="001C411D" w:rsidP="00BF34F9">
      <w:pPr>
        <w:spacing w:line="360" w:lineRule="auto"/>
        <w:ind w:firstLine="567"/>
        <w:jc w:val="both"/>
        <w:rPr>
          <w:rFonts w:ascii="GHEA Grapalat" w:hAnsi="GHEA Grapalat"/>
          <w:sz w:val="22"/>
          <w:szCs w:val="22"/>
          <w:lang w:val="af-ZA"/>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Քրեակատարողական և պրոբացիայի ոլորտ</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Քրեական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քրեական</w:t>
      </w:r>
      <w:r w:rsidRPr="001F63BA">
        <w:rPr>
          <w:rFonts w:ascii="GHEA Grapalat" w:hAnsi="GHEA Grapalat"/>
          <w:sz w:val="22"/>
          <w:szCs w:val="22"/>
          <w:lang w:val="af-ZA"/>
        </w:rPr>
        <w:t xml:space="preserve"> </w:t>
      </w:r>
      <w:r w:rsidRPr="001F63BA">
        <w:rPr>
          <w:rFonts w:ascii="GHEA Grapalat" w:hAnsi="GHEA Grapalat"/>
          <w:sz w:val="22"/>
          <w:szCs w:val="22"/>
          <w:lang w:val="en-US"/>
        </w:rPr>
        <w:t>դատավարության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օրենսգրքերը</w:t>
      </w:r>
      <w:r w:rsidRPr="001F63BA">
        <w:rPr>
          <w:rFonts w:ascii="GHEA Grapalat" w:hAnsi="GHEA Grapalat"/>
          <w:sz w:val="22"/>
          <w:szCs w:val="22"/>
          <w:lang w:val="af-ZA"/>
        </w:rPr>
        <w:t xml:space="preserve"> </w:t>
      </w:r>
      <w:r w:rsidRPr="001F63BA">
        <w:rPr>
          <w:rFonts w:ascii="GHEA Grapalat" w:hAnsi="GHEA Grapalat"/>
          <w:sz w:val="22"/>
          <w:szCs w:val="22"/>
          <w:lang w:val="en-US"/>
        </w:rPr>
        <w:t>գործարկելու</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բոլոր</w:t>
      </w:r>
      <w:r w:rsidRPr="001F63BA">
        <w:rPr>
          <w:rFonts w:ascii="GHEA Grapalat" w:hAnsi="GHEA Grapalat"/>
          <w:sz w:val="22"/>
          <w:szCs w:val="22"/>
          <w:lang w:val="af-ZA"/>
        </w:rPr>
        <w:t xml:space="preserve"> </w:t>
      </w:r>
      <w:r w:rsidRPr="001F63BA">
        <w:rPr>
          <w:rFonts w:ascii="GHEA Grapalat" w:hAnsi="GHEA Grapalat"/>
          <w:sz w:val="22"/>
          <w:szCs w:val="22"/>
          <w:lang w:val="en-US"/>
        </w:rPr>
        <w:t>իրավակիրառների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մշակվել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օրենսգրքերի</w:t>
      </w:r>
      <w:r w:rsidRPr="001F63BA">
        <w:rPr>
          <w:rFonts w:ascii="GHEA Grapalat" w:hAnsi="GHEA Grapalat"/>
          <w:sz w:val="22"/>
          <w:szCs w:val="22"/>
          <w:lang w:val="af-ZA"/>
        </w:rPr>
        <w:t xml:space="preserve"> </w:t>
      </w:r>
      <w:r w:rsidRPr="001F63BA">
        <w:rPr>
          <w:rFonts w:ascii="GHEA Grapalat" w:hAnsi="GHEA Grapalat"/>
          <w:sz w:val="22"/>
          <w:szCs w:val="22"/>
          <w:lang w:val="en-US"/>
        </w:rPr>
        <w:t>մեկնաբանությունների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ժողովածուները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տեսադասախոսությունները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մշակվել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շուրջ</w:t>
      </w:r>
      <w:r w:rsidRPr="001F63BA">
        <w:rPr>
          <w:rFonts w:ascii="GHEA Grapalat" w:hAnsi="GHEA Grapalat"/>
          <w:sz w:val="22"/>
          <w:szCs w:val="22"/>
          <w:lang w:val="af-ZA"/>
        </w:rPr>
        <w:t xml:space="preserve"> 100 </w:t>
      </w:r>
      <w:r w:rsidRPr="001F63BA">
        <w:rPr>
          <w:rFonts w:ascii="GHEA Grapalat" w:hAnsi="GHEA Grapalat"/>
          <w:sz w:val="22"/>
          <w:szCs w:val="22"/>
          <w:lang w:val="en-US"/>
        </w:rPr>
        <w:t>օրենքների</w:t>
      </w:r>
      <w:r w:rsidRPr="001F63BA">
        <w:rPr>
          <w:rFonts w:ascii="GHEA Grapalat" w:hAnsi="GHEA Grapalat"/>
          <w:sz w:val="22"/>
          <w:szCs w:val="22"/>
          <w:lang w:val="af-ZA"/>
        </w:rPr>
        <w:t xml:space="preserve"> </w:t>
      </w:r>
      <w:r w:rsidRPr="001F63BA">
        <w:rPr>
          <w:rFonts w:ascii="GHEA Grapalat" w:hAnsi="GHEA Grapalat"/>
          <w:sz w:val="22"/>
          <w:szCs w:val="22"/>
          <w:lang w:val="en-US"/>
        </w:rPr>
        <w:t>նախագծեր։</w:t>
      </w:r>
      <w:r w:rsidRPr="001F63BA">
        <w:rPr>
          <w:rFonts w:ascii="GHEA Grapalat" w:hAnsi="GHEA Grapalat"/>
          <w:sz w:val="22"/>
          <w:szCs w:val="22"/>
          <w:lang w:val="af-ZA"/>
        </w:rPr>
        <w:t xml:space="preserve"> </w:t>
      </w:r>
      <w:r w:rsidRPr="001F63BA">
        <w:rPr>
          <w:rFonts w:ascii="GHEA Grapalat" w:hAnsi="GHEA Grapalat"/>
          <w:sz w:val="22"/>
          <w:szCs w:val="22"/>
          <w:lang w:val="en-US"/>
        </w:rPr>
        <w:t>Ուժի</w:t>
      </w:r>
      <w:r w:rsidRPr="001F63BA">
        <w:rPr>
          <w:rFonts w:ascii="GHEA Grapalat" w:hAnsi="GHEA Grapalat"/>
          <w:sz w:val="22"/>
          <w:szCs w:val="22"/>
          <w:lang w:val="af-ZA"/>
        </w:rPr>
        <w:t xml:space="preserve"> </w:t>
      </w:r>
      <w:r w:rsidRPr="001F63BA">
        <w:rPr>
          <w:rFonts w:ascii="GHEA Grapalat" w:hAnsi="GHEA Grapalat"/>
          <w:sz w:val="22"/>
          <w:szCs w:val="22"/>
          <w:lang w:val="en-US"/>
        </w:rPr>
        <w:t>մեջ</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մտել</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օրենսգիրքը՝</w:t>
      </w:r>
      <w:r w:rsidRPr="001F63BA">
        <w:rPr>
          <w:rFonts w:ascii="GHEA Grapalat" w:hAnsi="GHEA Grapalat"/>
          <w:sz w:val="22"/>
          <w:szCs w:val="22"/>
          <w:lang w:val="af-ZA"/>
        </w:rPr>
        <w:t xml:space="preserve"> </w:t>
      </w:r>
      <w:r w:rsidRPr="001F63BA">
        <w:rPr>
          <w:rFonts w:ascii="GHEA Grapalat" w:hAnsi="GHEA Grapalat"/>
          <w:sz w:val="22"/>
          <w:szCs w:val="22"/>
          <w:lang w:val="en-US"/>
        </w:rPr>
        <w:t>փոխարինելով</w:t>
      </w:r>
      <w:r w:rsidRPr="001F63BA">
        <w:rPr>
          <w:rFonts w:ascii="GHEA Grapalat" w:hAnsi="GHEA Grapalat"/>
          <w:sz w:val="22"/>
          <w:szCs w:val="22"/>
          <w:lang w:val="af-ZA"/>
        </w:rPr>
        <w:t xml:space="preserve"> </w:t>
      </w:r>
      <w:r w:rsidRPr="001F63BA">
        <w:rPr>
          <w:rFonts w:ascii="GHEA Grapalat" w:hAnsi="GHEA Grapalat"/>
          <w:sz w:val="22"/>
          <w:szCs w:val="22"/>
          <w:lang w:val="en-US"/>
        </w:rPr>
        <w:t>շուրջ</w:t>
      </w:r>
      <w:r w:rsidRPr="001F63BA">
        <w:rPr>
          <w:rFonts w:ascii="GHEA Grapalat" w:hAnsi="GHEA Grapalat"/>
          <w:sz w:val="22"/>
          <w:szCs w:val="22"/>
          <w:lang w:val="af-ZA"/>
        </w:rPr>
        <w:t xml:space="preserve"> 20 </w:t>
      </w:r>
      <w:r w:rsidRPr="001F63BA">
        <w:rPr>
          <w:rFonts w:ascii="GHEA Grapalat" w:hAnsi="GHEA Grapalat"/>
          <w:sz w:val="22"/>
          <w:szCs w:val="22"/>
          <w:lang w:val="en-US"/>
        </w:rPr>
        <w:t>տարի</w:t>
      </w:r>
      <w:r w:rsidRPr="001F63BA">
        <w:rPr>
          <w:rFonts w:ascii="GHEA Grapalat" w:hAnsi="GHEA Grapalat"/>
          <w:sz w:val="22"/>
          <w:szCs w:val="22"/>
          <w:lang w:val="af-ZA"/>
        </w:rPr>
        <w:t xml:space="preserve"> </w:t>
      </w:r>
      <w:r w:rsidRPr="001F63BA">
        <w:rPr>
          <w:rFonts w:ascii="GHEA Grapalat" w:hAnsi="GHEA Grapalat"/>
          <w:sz w:val="22"/>
          <w:szCs w:val="22"/>
          <w:lang w:val="en-US"/>
        </w:rPr>
        <w:t>առաջ</w:t>
      </w:r>
      <w:r w:rsidRPr="001F63BA">
        <w:rPr>
          <w:rFonts w:ascii="GHEA Grapalat" w:hAnsi="GHEA Grapalat"/>
          <w:sz w:val="22"/>
          <w:szCs w:val="22"/>
          <w:lang w:val="af-ZA"/>
        </w:rPr>
        <w:t xml:space="preserve"> </w:t>
      </w:r>
      <w:r w:rsidRPr="001F63BA">
        <w:rPr>
          <w:rFonts w:ascii="GHEA Grapalat" w:hAnsi="GHEA Grapalat"/>
          <w:sz w:val="22"/>
          <w:szCs w:val="22"/>
          <w:lang w:val="en-US"/>
        </w:rPr>
        <w:t>ընդունված</w:t>
      </w:r>
      <w:r w:rsidRPr="001F63BA">
        <w:rPr>
          <w:rFonts w:ascii="GHEA Grapalat" w:hAnsi="GHEA Grapalat"/>
          <w:sz w:val="22"/>
          <w:szCs w:val="22"/>
          <w:lang w:val="af-ZA"/>
        </w:rPr>
        <w:t xml:space="preserve"> </w:t>
      </w:r>
      <w:r w:rsidRPr="001F63BA">
        <w:rPr>
          <w:rFonts w:ascii="GHEA Grapalat" w:hAnsi="GHEA Grapalat"/>
          <w:sz w:val="22"/>
          <w:szCs w:val="22"/>
          <w:lang w:val="en-US"/>
        </w:rPr>
        <w:t>օրենսգրքին։</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ընթացքում</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անչափահասի</w:t>
      </w:r>
      <w:r w:rsidRPr="001F63BA">
        <w:rPr>
          <w:rFonts w:ascii="GHEA Grapalat" w:hAnsi="GHEA Grapalat"/>
          <w:sz w:val="22"/>
          <w:szCs w:val="22"/>
          <w:lang w:val="af-ZA"/>
        </w:rPr>
        <w:t xml:space="preserve">, </w:t>
      </w:r>
      <w:r w:rsidRPr="001F63BA">
        <w:rPr>
          <w:rFonts w:ascii="GHEA Grapalat" w:hAnsi="GHEA Grapalat"/>
          <w:sz w:val="22"/>
          <w:szCs w:val="22"/>
          <w:lang w:val="en-US"/>
        </w:rPr>
        <w:t>անգործունակի</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հոգեկան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խնդիր</w:t>
      </w:r>
      <w:r w:rsidRPr="001F63BA">
        <w:rPr>
          <w:rFonts w:ascii="GHEA Grapalat" w:hAnsi="GHEA Grapalat"/>
          <w:sz w:val="22"/>
          <w:szCs w:val="22"/>
          <w:lang w:val="af-ZA"/>
        </w:rPr>
        <w:t xml:space="preserve"> </w:t>
      </w:r>
      <w:r w:rsidRPr="001F63BA">
        <w:rPr>
          <w:rFonts w:ascii="GHEA Grapalat" w:hAnsi="GHEA Grapalat"/>
          <w:sz w:val="22"/>
          <w:szCs w:val="22"/>
          <w:lang w:val="en-US"/>
        </w:rPr>
        <w:t>ունեցող</w:t>
      </w:r>
      <w:r w:rsidRPr="001F63BA">
        <w:rPr>
          <w:rFonts w:ascii="GHEA Grapalat" w:hAnsi="GHEA Grapalat"/>
          <w:sz w:val="22"/>
          <w:szCs w:val="22"/>
          <w:lang w:val="af-ZA"/>
        </w:rPr>
        <w:t xml:space="preserve"> </w:t>
      </w:r>
      <w:r w:rsidRPr="001F63BA">
        <w:rPr>
          <w:rFonts w:ascii="GHEA Grapalat" w:hAnsi="GHEA Grapalat"/>
          <w:sz w:val="22"/>
          <w:szCs w:val="22"/>
          <w:lang w:val="en-US"/>
        </w:rPr>
        <w:t>անձի</w:t>
      </w:r>
      <w:r w:rsidRPr="001F63BA">
        <w:rPr>
          <w:rFonts w:ascii="GHEA Grapalat" w:hAnsi="GHEA Grapalat"/>
          <w:sz w:val="22"/>
          <w:szCs w:val="22"/>
          <w:lang w:val="af-ZA"/>
        </w:rPr>
        <w:t xml:space="preserve"> </w:t>
      </w:r>
      <w:r w:rsidRPr="001F63BA">
        <w:rPr>
          <w:rFonts w:ascii="GHEA Grapalat" w:hAnsi="GHEA Grapalat"/>
          <w:sz w:val="22"/>
          <w:szCs w:val="22"/>
          <w:lang w:val="en-US"/>
        </w:rPr>
        <w:t>մասնակցությամբ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քննչական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կատարմանը</w:t>
      </w:r>
      <w:r w:rsidRPr="001F63BA">
        <w:rPr>
          <w:rFonts w:ascii="GHEA Grapalat" w:hAnsi="GHEA Grapalat"/>
          <w:sz w:val="22"/>
          <w:szCs w:val="22"/>
          <w:lang w:val="af-ZA"/>
        </w:rPr>
        <w:t xml:space="preserve"> </w:t>
      </w:r>
      <w:r w:rsidRPr="001F63BA">
        <w:rPr>
          <w:rFonts w:ascii="GHEA Grapalat" w:hAnsi="GHEA Grapalat"/>
          <w:sz w:val="22"/>
          <w:szCs w:val="22"/>
          <w:lang w:val="en-US"/>
        </w:rPr>
        <w:t>ներգրավվող</w:t>
      </w:r>
      <w:r w:rsidRPr="001F63BA">
        <w:rPr>
          <w:rFonts w:ascii="GHEA Grapalat" w:hAnsi="GHEA Grapalat"/>
          <w:sz w:val="22"/>
          <w:szCs w:val="22"/>
          <w:lang w:val="af-ZA"/>
        </w:rPr>
        <w:t xml:space="preserve"> </w:t>
      </w:r>
      <w:r w:rsidRPr="001F63BA">
        <w:rPr>
          <w:rFonts w:ascii="GHEA Grapalat" w:hAnsi="GHEA Grapalat"/>
          <w:sz w:val="22"/>
          <w:szCs w:val="22"/>
          <w:lang w:val="en-US"/>
        </w:rPr>
        <w:t>հոգեբանների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որակավորման</w:t>
      </w:r>
      <w:r w:rsidRPr="001F63BA">
        <w:rPr>
          <w:rFonts w:ascii="GHEA Grapalat" w:hAnsi="GHEA Grapalat"/>
          <w:sz w:val="22"/>
          <w:szCs w:val="22"/>
          <w:lang w:val="af-ZA"/>
        </w:rPr>
        <w:t xml:space="preserve"> </w:t>
      </w:r>
      <w:r w:rsidRPr="001F63BA">
        <w:rPr>
          <w:rFonts w:ascii="GHEA Grapalat" w:hAnsi="GHEA Grapalat"/>
          <w:sz w:val="22"/>
          <w:szCs w:val="22"/>
          <w:lang w:val="en-US"/>
        </w:rPr>
        <w:t>կարգը</w:t>
      </w:r>
      <w:r w:rsidRPr="001F63BA">
        <w:rPr>
          <w:rFonts w:ascii="GHEA Grapalat" w:hAnsi="GHEA Grapalat"/>
          <w:sz w:val="22"/>
          <w:szCs w:val="22"/>
          <w:lang w:val="af-ZA"/>
        </w:rPr>
        <w:t xml:space="preserve">: 25 </w:t>
      </w:r>
      <w:r w:rsidRPr="001F63BA">
        <w:rPr>
          <w:rFonts w:ascii="GHEA Grapalat" w:hAnsi="GHEA Grapalat"/>
          <w:sz w:val="22"/>
          <w:szCs w:val="22"/>
          <w:lang w:val="en-US"/>
        </w:rPr>
        <w:t>հոգեբաններ</w:t>
      </w:r>
      <w:r w:rsidRPr="001F63BA">
        <w:rPr>
          <w:rFonts w:ascii="GHEA Grapalat" w:hAnsi="GHEA Grapalat"/>
          <w:sz w:val="22"/>
          <w:szCs w:val="22"/>
          <w:lang w:val="af-ZA"/>
        </w:rPr>
        <w:t xml:space="preserve"> </w:t>
      </w:r>
      <w:r w:rsidRPr="001F63BA">
        <w:rPr>
          <w:rFonts w:ascii="GHEA Grapalat" w:hAnsi="GHEA Grapalat"/>
          <w:sz w:val="22"/>
          <w:szCs w:val="22"/>
          <w:lang w:val="en-US"/>
        </w:rPr>
        <w:t>ստացել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միջազգայնորեն</w:t>
      </w:r>
      <w:r w:rsidRPr="001F63BA">
        <w:rPr>
          <w:rFonts w:ascii="GHEA Grapalat" w:hAnsi="GHEA Grapalat"/>
          <w:sz w:val="22"/>
          <w:szCs w:val="22"/>
          <w:lang w:val="af-ZA"/>
        </w:rPr>
        <w:t xml:space="preserve"> </w:t>
      </w:r>
      <w:r w:rsidRPr="001F63BA">
        <w:rPr>
          <w:rFonts w:ascii="GHEA Grapalat" w:hAnsi="GHEA Grapalat"/>
          <w:sz w:val="22"/>
          <w:szCs w:val="22"/>
          <w:lang w:val="en-US"/>
        </w:rPr>
        <w:t>ճանաչված</w:t>
      </w:r>
      <w:r w:rsidRPr="001F63BA">
        <w:rPr>
          <w:rFonts w:ascii="GHEA Grapalat" w:hAnsi="GHEA Grapalat"/>
          <w:sz w:val="22"/>
          <w:szCs w:val="22"/>
          <w:lang w:val="af-ZA"/>
        </w:rPr>
        <w:t xml:space="preserve"> </w:t>
      </w:r>
      <w:r w:rsidRPr="001F63BA">
        <w:rPr>
          <w:rFonts w:ascii="GHEA Grapalat" w:hAnsi="GHEA Grapalat"/>
          <w:sz w:val="22"/>
          <w:szCs w:val="22"/>
          <w:lang w:val="en-US"/>
        </w:rPr>
        <w:t>որակավորում՝</w:t>
      </w:r>
      <w:r w:rsidRPr="001F63BA">
        <w:rPr>
          <w:rFonts w:ascii="GHEA Grapalat" w:hAnsi="GHEA Grapalat"/>
          <w:sz w:val="22"/>
          <w:szCs w:val="22"/>
          <w:lang w:val="af-ZA"/>
        </w:rPr>
        <w:t xml:space="preserve"> </w:t>
      </w:r>
      <w:r w:rsidRPr="001F63BA">
        <w:rPr>
          <w:rFonts w:ascii="GHEA Grapalat" w:hAnsi="GHEA Grapalat"/>
          <w:sz w:val="22"/>
          <w:szCs w:val="22"/>
          <w:lang w:val="en-US"/>
        </w:rPr>
        <w:t>քննչական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գործողություններին</w:t>
      </w:r>
      <w:r w:rsidRPr="001F63BA">
        <w:rPr>
          <w:rFonts w:ascii="GHEA Grapalat" w:hAnsi="GHEA Grapalat"/>
          <w:sz w:val="22"/>
          <w:szCs w:val="22"/>
          <w:lang w:val="af-ZA"/>
        </w:rPr>
        <w:t xml:space="preserve"> </w:t>
      </w:r>
      <w:r w:rsidRPr="001F63BA">
        <w:rPr>
          <w:rFonts w:ascii="GHEA Grapalat" w:hAnsi="GHEA Grapalat"/>
          <w:sz w:val="22"/>
          <w:szCs w:val="22"/>
          <w:lang w:val="en-US"/>
        </w:rPr>
        <w:t>մասնակցելու</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ինքնասպանությունների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ինքնավնասումերի</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կանխարգելման</w:t>
      </w:r>
      <w:r w:rsidRPr="001F63BA">
        <w:rPr>
          <w:rFonts w:ascii="GHEA Grapalat" w:hAnsi="GHEA Grapalat"/>
          <w:sz w:val="22"/>
          <w:szCs w:val="22"/>
          <w:lang w:val="af-ZA"/>
        </w:rPr>
        <w:t xml:space="preserve"> 2021-2022 </w:t>
      </w:r>
      <w:r w:rsidRPr="001F63BA">
        <w:rPr>
          <w:rFonts w:ascii="GHEA Grapalat" w:hAnsi="GHEA Grapalat"/>
          <w:sz w:val="22"/>
          <w:szCs w:val="22"/>
          <w:lang w:val="en-US"/>
        </w:rPr>
        <w:t>թվականների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ռազմավարությանը</w:t>
      </w:r>
      <w:r w:rsidRPr="001F63BA">
        <w:rPr>
          <w:rFonts w:ascii="GHEA Grapalat" w:hAnsi="GHEA Grapalat"/>
          <w:sz w:val="22"/>
          <w:szCs w:val="22"/>
          <w:lang w:val="af-ZA"/>
        </w:rPr>
        <w:t xml:space="preserve"> </w:t>
      </w:r>
      <w:r w:rsidRPr="001F63BA">
        <w:rPr>
          <w:rFonts w:ascii="GHEA Grapalat" w:hAnsi="GHEA Grapalat"/>
          <w:sz w:val="22"/>
          <w:szCs w:val="22"/>
          <w:lang w:val="en-US"/>
        </w:rPr>
        <w:t>համահունչ</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ինքնասպանության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դեպքերի</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Հայաստանի</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 Եվրոպայի</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խորհրդի</w:t>
      </w:r>
      <w:r w:rsidRPr="001F63BA">
        <w:rPr>
          <w:rFonts w:ascii="GHEA Grapalat" w:hAnsi="GHEA Grapalat"/>
          <w:sz w:val="22"/>
          <w:szCs w:val="22"/>
          <w:lang w:val="af-ZA"/>
        </w:rPr>
        <w:t xml:space="preserve"> </w:t>
      </w:r>
      <w:r w:rsidRPr="001F63BA">
        <w:rPr>
          <w:rFonts w:ascii="GHEA Grapalat" w:hAnsi="GHEA Grapalat"/>
          <w:sz w:val="22"/>
          <w:szCs w:val="22"/>
          <w:lang w:val="en-US"/>
        </w:rPr>
        <w:t>համագործակցության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w:t>
      </w:r>
      <w:r w:rsidRPr="001F63BA">
        <w:rPr>
          <w:rFonts w:ascii="GHEA Grapalat" w:hAnsi="GHEA Grapalat"/>
          <w:sz w:val="22"/>
          <w:szCs w:val="22"/>
          <w:lang w:val="en-US"/>
        </w:rPr>
        <w:t>մշակված՝</w:t>
      </w:r>
      <w:r w:rsidRPr="001F63BA">
        <w:rPr>
          <w:rFonts w:ascii="GHEA Grapalat" w:hAnsi="GHEA Grapalat"/>
          <w:sz w:val="22"/>
          <w:szCs w:val="22"/>
          <w:lang w:val="af-ZA"/>
        </w:rPr>
        <w:t> </w:t>
      </w:r>
      <w:r w:rsidRPr="001F63BA">
        <w:rPr>
          <w:rFonts w:ascii="GHEA Grapalat" w:hAnsi="GHEA Grapalat"/>
          <w:sz w:val="22"/>
          <w:szCs w:val="22"/>
          <w:lang w:val="en-US"/>
        </w:rPr>
        <w:t>հոգեկան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զննության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գնահատման</w:t>
      </w:r>
      <w:r w:rsidRPr="001F63BA">
        <w:rPr>
          <w:rFonts w:ascii="GHEA Grapalat" w:hAnsi="GHEA Grapalat"/>
          <w:sz w:val="22"/>
          <w:szCs w:val="22"/>
          <w:lang w:val="af-ZA"/>
        </w:rPr>
        <w:t xml:space="preserve">, </w:t>
      </w:r>
      <w:r w:rsidRPr="001F63BA">
        <w:rPr>
          <w:rFonts w:ascii="GHEA Grapalat" w:hAnsi="GHEA Grapalat"/>
          <w:sz w:val="22"/>
          <w:szCs w:val="22"/>
          <w:lang w:val="en-US"/>
        </w:rPr>
        <w:t>ինքնասպանությունների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ինքնավնասումների ռիսկի</w:t>
      </w:r>
      <w:r w:rsidRPr="001F63BA">
        <w:rPr>
          <w:rFonts w:ascii="GHEA Grapalat" w:hAnsi="GHEA Grapalat"/>
          <w:sz w:val="22"/>
          <w:szCs w:val="22"/>
          <w:lang w:val="af-ZA"/>
        </w:rPr>
        <w:t xml:space="preserve"> </w:t>
      </w:r>
      <w:r w:rsidRPr="001F63BA">
        <w:rPr>
          <w:rFonts w:ascii="GHEA Grapalat" w:hAnsi="GHEA Grapalat"/>
          <w:sz w:val="22"/>
          <w:szCs w:val="22"/>
          <w:lang w:val="en-US"/>
        </w:rPr>
        <w:t>զննության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գնահատման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գործիքները</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հուլիսին</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նախարարի</w:t>
      </w:r>
      <w:r w:rsidRPr="001F63BA">
        <w:rPr>
          <w:rFonts w:ascii="GHEA Grapalat" w:hAnsi="GHEA Grapalat"/>
          <w:sz w:val="22"/>
          <w:szCs w:val="22"/>
          <w:lang w:val="af-ZA"/>
        </w:rPr>
        <w:t xml:space="preserve"> </w:t>
      </w:r>
      <w:r w:rsidRPr="001F63BA">
        <w:rPr>
          <w:rFonts w:ascii="GHEA Grapalat" w:hAnsi="GHEA Grapalat"/>
          <w:sz w:val="22"/>
          <w:szCs w:val="22"/>
          <w:lang w:val="en-US"/>
        </w:rPr>
        <w:t>հրամանով</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օգոստոսից</w:t>
      </w:r>
      <w:r w:rsidRPr="001F63BA">
        <w:rPr>
          <w:rFonts w:ascii="GHEA Grapalat" w:hAnsi="GHEA Grapalat"/>
          <w:sz w:val="22"/>
          <w:szCs w:val="22"/>
          <w:lang w:val="af-ZA"/>
        </w:rPr>
        <w:t xml:space="preserve"> </w:t>
      </w:r>
      <w:r w:rsidRPr="001F63BA">
        <w:rPr>
          <w:rFonts w:ascii="GHEA Grapalat" w:hAnsi="GHEA Grapalat"/>
          <w:sz w:val="22"/>
          <w:szCs w:val="22"/>
          <w:lang w:val="en-US"/>
        </w:rPr>
        <w:lastRenderedPageBreak/>
        <w:t>ներդրվել</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կիրառվում</w:t>
      </w:r>
      <w:r w:rsidRPr="001F63BA">
        <w:rPr>
          <w:rFonts w:ascii="GHEA Grapalat" w:hAnsi="GHEA Grapalat"/>
          <w:sz w:val="22"/>
          <w:szCs w:val="22"/>
          <w:lang w:val="af-ZA"/>
        </w:rPr>
        <w:t> </w:t>
      </w:r>
      <w:r w:rsidRPr="001F63BA">
        <w:rPr>
          <w:rFonts w:ascii="GHEA Grapalat" w:hAnsi="GHEA Grapalat"/>
          <w:sz w:val="22"/>
          <w:szCs w:val="22"/>
          <w:lang w:val="en-US"/>
        </w:rPr>
        <w:t>են</w:t>
      </w:r>
      <w:r w:rsidRPr="001F63BA">
        <w:rPr>
          <w:rFonts w:ascii="GHEA Grapalat" w:hAnsi="GHEA Grapalat"/>
          <w:sz w:val="22"/>
          <w:szCs w:val="22"/>
          <w:lang w:val="af-ZA"/>
        </w:rPr>
        <w:t> </w:t>
      </w:r>
      <w:r w:rsidRPr="001F63BA">
        <w:rPr>
          <w:rFonts w:ascii="GHEA Grapalat" w:hAnsi="GHEA Grapalat"/>
          <w:sz w:val="22"/>
          <w:szCs w:val="22"/>
          <w:lang w:val="en-US"/>
        </w:rPr>
        <w:t>Հայաստանի</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արդարադատության</w:t>
      </w:r>
      <w:r w:rsidRPr="001F63BA">
        <w:rPr>
          <w:rFonts w:ascii="GHEA Grapalat" w:hAnsi="GHEA Grapalat"/>
          <w:sz w:val="22"/>
          <w:szCs w:val="22"/>
          <w:lang w:val="af-ZA"/>
        </w:rPr>
        <w:t>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բոլոր</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հիմնարկներում</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Կազմվել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հիմնարկի</w:t>
      </w:r>
      <w:r w:rsidRPr="001F63BA">
        <w:rPr>
          <w:rFonts w:ascii="GHEA Grapalat" w:hAnsi="GHEA Grapalat"/>
          <w:sz w:val="22"/>
          <w:szCs w:val="22"/>
          <w:lang w:val="af-ZA"/>
        </w:rPr>
        <w:t xml:space="preserve"> </w:t>
      </w:r>
      <w:r w:rsidRPr="001F63BA">
        <w:rPr>
          <w:rFonts w:ascii="GHEA Grapalat" w:hAnsi="GHEA Grapalat"/>
          <w:sz w:val="22"/>
          <w:szCs w:val="22"/>
          <w:lang w:val="en-US"/>
        </w:rPr>
        <w:t>նախագիծ</w:t>
      </w:r>
      <w:r w:rsidRPr="001F63BA">
        <w:rPr>
          <w:rFonts w:ascii="GHEA Grapalat" w:hAnsi="GHEA Grapalat"/>
          <w:sz w:val="22"/>
          <w:szCs w:val="22"/>
          <w:lang w:val="af-ZA"/>
        </w:rPr>
        <w:t xml:space="preserve">, </w:t>
      </w:r>
      <w:r w:rsidRPr="001F63BA">
        <w:rPr>
          <w:rFonts w:ascii="GHEA Grapalat" w:hAnsi="GHEA Grapalat"/>
          <w:sz w:val="22"/>
          <w:szCs w:val="22"/>
          <w:lang w:val="en-US"/>
        </w:rPr>
        <w:t>տեխնիկական</w:t>
      </w:r>
      <w:r w:rsidRPr="001F63BA">
        <w:rPr>
          <w:rFonts w:ascii="GHEA Grapalat" w:hAnsi="GHEA Grapalat"/>
          <w:sz w:val="22"/>
          <w:szCs w:val="22"/>
          <w:lang w:val="af-ZA"/>
        </w:rPr>
        <w:t xml:space="preserve"> </w:t>
      </w:r>
      <w:r w:rsidRPr="001F63BA">
        <w:rPr>
          <w:rFonts w:ascii="GHEA Grapalat" w:hAnsi="GHEA Grapalat"/>
          <w:sz w:val="22"/>
          <w:szCs w:val="22"/>
          <w:lang w:val="en-US"/>
        </w:rPr>
        <w:t>նախնական</w:t>
      </w:r>
      <w:r w:rsidRPr="001F63BA">
        <w:rPr>
          <w:rFonts w:ascii="GHEA Grapalat" w:hAnsi="GHEA Grapalat"/>
          <w:sz w:val="22"/>
          <w:szCs w:val="22"/>
          <w:lang w:val="af-ZA"/>
        </w:rPr>
        <w:t xml:space="preserve"> </w:t>
      </w:r>
      <w:r w:rsidRPr="001F63BA">
        <w:rPr>
          <w:rFonts w:ascii="GHEA Grapalat" w:hAnsi="GHEA Grapalat"/>
          <w:sz w:val="22"/>
          <w:szCs w:val="22"/>
          <w:lang w:val="en-US"/>
        </w:rPr>
        <w:t>գծագիր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3D </w:t>
      </w:r>
      <w:r w:rsidRPr="001F63BA">
        <w:rPr>
          <w:rFonts w:ascii="GHEA Grapalat" w:hAnsi="GHEA Grapalat"/>
          <w:sz w:val="22"/>
          <w:szCs w:val="22"/>
          <w:lang w:val="en-US"/>
        </w:rPr>
        <w:t>ձևաչափով</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հիմնարկի</w:t>
      </w:r>
      <w:r w:rsidRPr="001F63BA">
        <w:rPr>
          <w:rFonts w:ascii="GHEA Grapalat" w:hAnsi="GHEA Grapalat"/>
          <w:sz w:val="22"/>
          <w:szCs w:val="22"/>
          <w:lang w:val="af-ZA"/>
        </w:rPr>
        <w:t xml:space="preserve"> </w:t>
      </w:r>
      <w:r w:rsidRPr="001F63BA">
        <w:rPr>
          <w:rFonts w:ascii="GHEA Grapalat" w:hAnsi="GHEA Grapalat"/>
          <w:sz w:val="22"/>
          <w:szCs w:val="22"/>
          <w:lang w:val="en-US"/>
        </w:rPr>
        <w:t>մոդել</w:t>
      </w:r>
      <w:r w:rsidRPr="001F63BA">
        <w:rPr>
          <w:rFonts w:ascii="GHEA Grapalat" w:hAnsi="GHEA Grapalat"/>
          <w:sz w:val="22"/>
          <w:szCs w:val="22"/>
          <w:lang w:val="af-ZA"/>
        </w:rPr>
        <w:t xml:space="preserve">: </w:t>
      </w:r>
      <w:r w:rsidRPr="001F63BA">
        <w:rPr>
          <w:rFonts w:ascii="GHEA Grapalat" w:hAnsi="GHEA Grapalat"/>
          <w:sz w:val="22"/>
          <w:szCs w:val="22"/>
          <w:lang w:val="en-US"/>
        </w:rPr>
        <w:t>Մշակվել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հիմնարկի</w:t>
      </w:r>
      <w:r w:rsidRPr="001F63BA">
        <w:rPr>
          <w:rFonts w:ascii="GHEA Grapalat" w:hAnsi="GHEA Grapalat"/>
          <w:sz w:val="22"/>
          <w:szCs w:val="22"/>
          <w:lang w:val="af-ZA"/>
        </w:rPr>
        <w:t xml:space="preserve"> </w:t>
      </w:r>
      <w:r w:rsidRPr="001F63BA">
        <w:rPr>
          <w:rFonts w:ascii="GHEA Grapalat" w:hAnsi="GHEA Grapalat"/>
          <w:sz w:val="22"/>
          <w:szCs w:val="22"/>
          <w:lang w:val="en-US"/>
        </w:rPr>
        <w:t>հայեցակարգը</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ազատազրկվածների</w:t>
      </w:r>
      <w:r w:rsidRPr="001F63BA">
        <w:rPr>
          <w:rFonts w:ascii="GHEA Grapalat" w:hAnsi="GHEA Grapalat"/>
          <w:sz w:val="22"/>
          <w:szCs w:val="22"/>
          <w:lang w:val="af-ZA"/>
        </w:rPr>
        <w:t xml:space="preserve"> </w:t>
      </w:r>
      <w:r w:rsidRPr="001F63BA">
        <w:rPr>
          <w:rFonts w:ascii="GHEA Grapalat" w:hAnsi="GHEA Grapalat"/>
          <w:sz w:val="22"/>
          <w:szCs w:val="22"/>
          <w:lang w:val="en-US"/>
        </w:rPr>
        <w:t>զբաղվածության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մոդելը</w:t>
      </w:r>
      <w:r w:rsidRPr="001F63BA">
        <w:rPr>
          <w:rFonts w:ascii="GHEA Grapalat" w:hAnsi="GHEA Grapalat"/>
          <w:sz w:val="22"/>
          <w:szCs w:val="22"/>
          <w:lang w:val="af-ZA"/>
        </w:rPr>
        <w:t xml:space="preserve">: </w:t>
      </w:r>
      <w:r w:rsidRPr="001F63BA">
        <w:rPr>
          <w:rFonts w:ascii="GHEA Grapalat" w:hAnsi="GHEA Grapalat"/>
          <w:sz w:val="22"/>
          <w:szCs w:val="22"/>
          <w:lang w:val="en-US"/>
        </w:rPr>
        <w:t>Կապիտալ</w:t>
      </w:r>
      <w:r w:rsidRPr="001F63BA">
        <w:rPr>
          <w:rFonts w:ascii="GHEA Grapalat" w:hAnsi="GHEA Grapalat"/>
          <w:sz w:val="22"/>
          <w:szCs w:val="22"/>
          <w:lang w:val="af-ZA"/>
        </w:rPr>
        <w:t xml:space="preserve"> </w:t>
      </w:r>
      <w:r w:rsidRPr="001F63BA">
        <w:rPr>
          <w:rFonts w:ascii="GHEA Grapalat" w:hAnsi="GHEA Grapalat"/>
          <w:sz w:val="22"/>
          <w:szCs w:val="22"/>
          <w:lang w:val="en-US"/>
        </w:rPr>
        <w:t>վերանորոգումներ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Աբովյան</w:t>
      </w:r>
      <w:r w:rsidRPr="001F63BA">
        <w:rPr>
          <w:rFonts w:ascii="GHEA Grapalat" w:hAnsi="GHEA Grapalat"/>
          <w:sz w:val="22"/>
          <w:szCs w:val="22"/>
          <w:lang w:val="af-ZA"/>
        </w:rPr>
        <w:t>», «</w:t>
      </w:r>
      <w:r w:rsidRPr="001F63BA">
        <w:rPr>
          <w:rFonts w:ascii="GHEA Grapalat" w:hAnsi="GHEA Grapalat"/>
          <w:sz w:val="22"/>
          <w:szCs w:val="22"/>
          <w:lang w:val="en-US"/>
        </w:rPr>
        <w:t>Արմավիր</w:t>
      </w:r>
      <w:r w:rsidRPr="001F63BA">
        <w:rPr>
          <w:rFonts w:ascii="GHEA Grapalat" w:hAnsi="GHEA Grapalat"/>
          <w:sz w:val="22"/>
          <w:szCs w:val="22"/>
          <w:lang w:val="af-ZA"/>
        </w:rPr>
        <w:t>», «</w:t>
      </w:r>
      <w:r w:rsidRPr="001F63BA">
        <w:rPr>
          <w:rFonts w:ascii="GHEA Grapalat" w:hAnsi="GHEA Grapalat"/>
          <w:sz w:val="22"/>
          <w:szCs w:val="22"/>
          <w:lang w:val="en-US"/>
        </w:rPr>
        <w:t>Սևան</w:t>
      </w:r>
      <w:r w:rsidRPr="001F63BA">
        <w:rPr>
          <w:rFonts w:ascii="GHEA Grapalat" w:hAnsi="GHEA Grapalat"/>
          <w:sz w:val="22"/>
          <w:szCs w:val="22"/>
          <w:lang w:val="af-ZA"/>
        </w:rPr>
        <w:t xml:space="preserve">» </w:t>
      </w:r>
      <w:r w:rsidRPr="001F63BA">
        <w:rPr>
          <w:rFonts w:ascii="GHEA Grapalat" w:hAnsi="GHEA Grapalat"/>
          <w:sz w:val="22"/>
          <w:szCs w:val="22"/>
          <w:lang w:val="en-US"/>
        </w:rPr>
        <w:t>ՔԿՀ</w:t>
      </w:r>
      <w:r w:rsidRPr="001F63BA">
        <w:rPr>
          <w:rFonts w:ascii="GHEA Grapalat" w:hAnsi="GHEA Grapalat"/>
          <w:sz w:val="22"/>
          <w:szCs w:val="22"/>
          <w:lang w:val="af-ZA"/>
        </w:rPr>
        <w:noBreakHyphen/>
      </w:r>
      <w:r w:rsidRPr="001F63BA">
        <w:rPr>
          <w:rFonts w:ascii="GHEA Grapalat" w:hAnsi="GHEA Grapalat"/>
          <w:sz w:val="22"/>
          <w:szCs w:val="22"/>
          <w:lang w:val="en-US"/>
        </w:rPr>
        <w:t>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Արմավիր</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հիմնարկում</w:t>
      </w:r>
      <w:r w:rsidRPr="001F63BA">
        <w:rPr>
          <w:rFonts w:ascii="GHEA Grapalat" w:hAnsi="GHEA Grapalat"/>
          <w:sz w:val="22"/>
          <w:szCs w:val="22"/>
          <w:lang w:val="af-ZA"/>
        </w:rPr>
        <w:t xml:space="preserve"> </w:t>
      </w:r>
      <w:r w:rsidRPr="001F63BA">
        <w:rPr>
          <w:rFonts w:ascii="GHEA Grapalat" w:hAnsi="GHEA Grapalat"/>
          <w:sz w:val="22"/>
          <w:szCs w:val="22"/>
          <w:lang w:val="en-US"/>
        </w:rPr>
        <w:t>ներդրվել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տեսահսկման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 Դատապարտյալների</w:t>
      </w:r>
      <w:r w:rsidRPr="001F63BA">
        <w:rPr>
          <w:rFonts w:ascii="GHEA Grapalat" w:hAnsi="GHEA Grapalat"/>
          <w:sz w:val="22"/>
          <w:szCs w:val="22"/>
          <w:lang w:val="af-ZA"/>
        </w:rPr>
        <w:t xml:space="preserve"> </w:t>
      </w:r>
      <w:r w:rsidRPr="001F63BA">
        <w:rPr>
          <w:rFonts w:ascii="GHEA Grapalat" w:hAnsi="GHEA Grapalat"/>
          <w:sz w:val="22"/>
          <w:szCs w:val="22"/>
          <w:lang w:val="en-US"/>
        </w:rPr>
        <w:t>պատշաճ</w:t>
      </w:r>
      <w:r w:rsidRPr="001F63BA">
        <w:rPr>
          <w:rFonts w:ascii="GHEA Grapalat" w:hAnsi="GHEA Grapalat"/>
          <w:sz w:val="22"/>
          <w:szCs w:val="22"/>
          <w:lang w:val="af-ZA"/>
        </w:rPr>
        <w:t xml:space="preserve"> </w:t>
      </w:r>
      <w:r w:rsidRPr="001F63BA">
        <w:rPr>
          <w:rFonts w:ascii="GHEA Grapalat" w:hAnsi="GHEA Grapalat"/>
          <w:sz w:val="22"/>
          <w:szCs w:val="22"/>
          <w:lang w:val="en-US"/>
        </w:rPr>
        <w:t>փոխադրման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ձեռք</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բերվել</w:t>
      </w:r>
      <w:r w:rsidRPr="001F63BA">
        <w:rPr>
          <w:rFonts w:ascii="GHEA Grapalat" w:hAnsi="GHEA Grapalat"/>
          <w:sz w:val="22"/>
          <w:szCs w:val="22"/>
          <w:lang w:val="af-ZA"/>
        </w:rPr>
        <w:t xml:space="preserve"> 10 </w:t>
      </w:r>
      <w:r w:rsidRPr="001F63BA">
        <w:rPr>
          <w:rFonts w:ascii="GHEA Grapalat" w:hAnsi="GHEA Grapalat"/>
          <w:sz w:val="22"/>
          <w:szCs w:val="22"/>
          <w:lang w:val="en-US"/>
        </w:rPr>
        <w:t>տրանսպորտային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Իրականացվող</w:t>
      </w:r>
      <w:r w:rsidRPr="001F63BA">
        <w:rPr>
          <w:rFonts w:ascii="GHEA Grapalat" w:hAnsi="GHEA Grapalat"/>
          <w:sz w:val="22"/>
          <w:szCs w:val="22"/>
          <w:lang w:val="af-ZA"/>
        </w:rPr>
        <w:t xml:space="preserve"> </w:t>
      </w:r>
      <w:r w:rsidRPr="001F63BA">
        <w:rPr>
          <w:rFonts w:ascii="GHEA Grapalat" w:hAnsi="GHEA Grapalat"/>
          <w:sz w:val="22"/>
          <w:szCs w:val="22"/>
          <w:lang w:val="en-US"/>
        </w:rPr>
        <w:t>ոլորտային</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բարեփոխումների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արդյունքում</w:t>
      </w:r>
      <w:r w:rsidRPr="001F63BA">
        <w:rPr>
          <w:rFonts w:ascii="GHEA Grapalat" w:hAnsi="GHEA Grapalat"/>
          <w:sz w:val="22"/>
          <w:szCs w:val="22"/>
          <w:lang w:val="af-ZA"/>
        </w:rPr>
        <w:t xml:space="preserve"> </w:t>
      </w:r>
      <w:r w:rsidRPr="001F63BA">
        <w:rPr>
          <w:rFonts w:ascii="GHEA Grapalat" w:hAnsi="GHEA Grapalat"/>
          <w:sz w:val="22"/>
          <w:szCs w:val="22"/>
          <w:lang w:val="en-US"/>
        </w:rPr>
        <w:t>ընդունվել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Կրթության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օրենքում</w:t>
      </w:r>
      <w:r w:rsidRPr="001F63BA">
        <w:rPr>
          <w:rFonts w:ascii="GHEA Grapalat" w:hAnsi="GHEA Grapalat"/>
          <w:sz w:val="22"/>
          <w:szCs w:val="22"/>
          <w:lang w:val="af-ZA"/>
        </w:rPr>
        <w:t xml:space="preserve"> </w:t>
      </w:r>
      <w:r w:rsidRPr="001F63BA">
        <w:rPr>
          <w:rFonts w:ascii="GHEA Grapalat" w:hAnsi="GHEA Grapalat"/>
          <w:sz w:val="22"/>
          <w:szCs w:val="22"/>
          <w:lang w:val="en-US"/>
        </w:rPr>
        <w:t>լրացում</w:t>
      </w:r>
      <w:r w:rsidRPr="001F63BA">
        <w:rPr>
          <w:rFonts w:ascii="GHEA Grapalat" w:hAnsi="GHEA Grapalat"/>
          <w:sz w:val="22"/>
          <w:szCs w:val="22"/>
          <w:lang w:val="af-ZA"/>
        </w:rPr>
        <w:t xml:space="preserve"> </w:t>
      </w:r>
      <w:r w:rsidRPr="001F63BA">
        <w:rPr>
          <w:rFonts w:ascii="GHEA Grapalat" w:hAnsi="GHEA Grapalat"/>
          <w:sz w:val="22"/>
          <w:szCs w:val="22"/>
          <w:lang w:val="en-US"/>
        </w:rPr>
        <w:t>կատարելու</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օրենքը</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համաձայն</w:t>
      </w:r>
      <w:r w:rsidRPr="001F63BA">
        <w:rPr>
          <w:rFonts w:ascii="GHEA Grapalat" w:hAnsi="GHEA Grapalat"/>
          <w:sz w:val="22"/>
          <w:szCs w:val="22"/>
          <w:lang w:val="af-ZA"/>
        </w:rPr>
        <w:t xml:space="preserve"> </w:t>
      </w:r>
      <w:r w:rsidRPr="001F63BA">
        <w:rPr>
          <w:rFonts w:ascii="GHEA Grapalat" w:hAnsi="GHEA Grapalat"/>
          <w:sz w:val="22"/>
          <w:szCs w:val="22"/>
          <w:lang w:val="en-US"/>
        </w:rPr>
        <w:t>տարիքային</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սահմանափակումը</w:t>
      </w:r>
      <w:r w:rsidRPr="001F63BA">
        <w:rPr>
          <w:rFonts w:ascii="GHEA Grapalat" w:hAnsi="GHEA Grapalat"/>
          <w:sz w:val="22"/>
          <w:szCs w:val="22"/>
          <w:lang w:val="af-ZA"/>
        </w:rPr>
        <w:t xml:space="preserve"> </w:t>
      </w:r>
      <w:r w:rsidRPr="001F63BA">
        <w:rPr>
          <w:rFonts w:ascii="GHEA Grapalat" w:hAnsi="GHEA Grapalat"/>
          <w:sz w:val="22"/>
          <w:szCs w:val="22"/>
          <w:lang w:val="en-US"/>
        </w:rPr>
        <w:t>չի</w:t>
      </w:r>
      <w:r w:rsidRPr="001F63BA">
        <w:rPr>
          <w:rFonts w:ascii="GHEA Grapalat" w:hAnsi="GHEA Grapalat"/>
          <w:sz w:val="22"/>
          <w:szCs w:val="22"/>
          <w:lang w:val="af-ZA"/>
        </w:rPr>
        <w:t xml:space="preserve"> </w:t>
      </w:r>
      <w:r w:rsidRPr="001F63BA">
        <w:rPr>
          <w:rFonts w:ascii="GHEA Grapalat" w:hAnsi="GHEA Grapalat"/>
          <w:sz w:val="22"/>
          <w:szCs w:val="22"/>
          <w:lang w:val="en-US"/>
        </w:rPr>
        <w:t>տարածվում</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ազատազրկման</w:t>
      </w:r>
      <w:r w:rsidRPr="001F63BA">
        <w:rPr>
          <w:rFonts w:ascii="GHEA Grapalat" w:hAnsi="GHEA Grapalat"/>
          <w:sz w:val="22"/>
          <w:szCs w:val="22"/>
          <w:lang w:val="af-ZA"/>
        </w:rPr>
        <w:t xml:space="preserve"> </w:t>
      </w:r>
      <w:r w:rsidRPr="001F63BA">
        <w:rPr>
          <w:rFonts w:ascii="GHEA Grapalat" w:hAnsi="GHEA Grapalat"/>
          <w:sz w:val="22"/>
          <w:szCs w:val="22"/>
          <w:lang w:val="en-US"/>
        </w:rPr>
        <w:t>ձևով</w:t>
      </w:r>
      <w:r w:rsidRPr="001F63BA">
        <w:rPr>
          <w:rFonts w:ascii="GHEA Grapalat" w:hAnsi="GHEA Grapalat"/>
          <w:sz w:val="22"/>
          <w:szCs w:val="22"/>
          <w:lang w:val="af-ZA"/>
        </w:rPr>
        <w:t xml:space="preserve"> </w:t>
      </w:r>
      <w:r w:rsidRPr="001F63BA">
        <w:rPr>
          <w:rFonts w:ascii="GHEA Grapalat" w:hAnsi="GHEA Grapalat"/>
          <w:sz w:val="22"/>
          <w:szCs w:val="22"/>
          <w:lang w:val="en-US"/>
        </w:rPr>
        <w:t>պատիժ</w:t>
      </w:r>
      <w:r w:rsidRPr="001F63BA">
        <w:rPr>
          <w:rFonts w:ascii="GHEA Grapalat" w:hAnsi="GHEA Grapalat"/>
          <w:sz w:val="22"/>
          <w:szCs w:val="22"/>
          <w:lang w:val="af-ZA"/>
        </w:rPr>
        <w:t xml:space="preserve"> </w:t>
      </w:r>
      <w:r w:rsidRPr="001F63BA">
        <w:rPr>
          <w:rFonts w:ascii="GHEA Grapalat" w:hAnsi="GHEA Grapalat"/>
          <w:sz w:val="22"/>
          <w:szCs w:val="22"/>
          <w:lang w:val="en-US"/>
        </w:rPr>
        <w:t>կրող</w:t>
      </w:r>
      <w:r w:rsidRPr="001F63BA">
        <w:rPr>
          <w:rFonts w:ascii="GHEA Grapalat" w:hAnsi="GHEA Grapalat"/>
          <w:sz w:val="22"/>
          <w:szCs w:val="22"/>
          <w:lang w:val="af-ZA"/>
        </w:rPr>
        <w:t xml:space="preserve"> </w:t>
      </w:r>
      <w:r w:rsidRPr="001F63BA">
        <w:rPr>
          <w:rFonts w:ascii="GHEA Grapalat" w:hAnsi="GHEA Grapalat"/>
          <w:sz w:val="22"/>
          <w:szCs w:val="22"/>
          <w:lang w:val="en-US"/>
        </w:rPr>
        <w:t>այն</w:t>
      </w:r>
      <w:r w:rsidRPr="001F63BA">
        <w:rPr>
          <w:rFonts w:ascii="GHEA Grapalat" w:hAnsi="GHEA Grapalat"/>
          <w:sz w:val="22"/>
          <w:szCs w:val="22"/>
          <w:lang w:val="af-ZA"/>
        </w:rPr>
        <w:t xml:space="preserve"> </w:t>
      </w:r>
      <w:r w:rsidRPr="001F63BA">
        <w:rPr>
          <w:rFonts w:ascii="GHEA Grapalat" w:hAnsi="GHEA Grapalat"/>
          <w:sz w:val="22"/>
          <w:szCs w:val="22"/>
          <w:lang w:val="en-US"/>
        </w:rPr>
        <w:t>դատապարտյալների</w:t>
      </w:r>
      <w:r w:rsidRPr="001F63BA">
        <w:rPr>
          <w:rFonts w:ascii="GHEA Grapalat" w:hAnsi="GHEA Grapalat"/>
          <w:sz w:val="22"/>
          <w:szCs w:val="22"/>
          <w:lang w:val="af-ZA"/>
        </w:rPr>
        <w:t xml:space="preserve"> </w:t>
      </w:r>
      <w:r w:rsidRPr="001F63BA">
        <w:rPr>
          <w:rFonts w:ascii="GHEA Grapalat" w:hAnsi="GHEA Grapalat"/>
          <w:sz w:val="22"/>
          <w:szCs w:val="22"/>
          <w:lang w:val="en-US"/>
        </w:rPr>
        <w:t>վրա</w:t>
      </w:r>
      <w:r w:rsidRPr="001F63BA">
        <w:rPr>
          <w:rFonts w:ascii="GHEA Grapalat" w:hAnsi="GHEA Grapalat"/>
          <w:sz w:val="22"/>
          <w:szCs w:val="22"/>
          <w:lang w:val="af-ZA"/>
        </w:rPr>
        <w:t xml:space="preserve">, </w:t>
      </w:r>
      <w:r w:rsidRPr="001F63BA">
        <w:rPr>
          <w:rFonts w:ascii="GHEA Grapalat" w:hAnsi="GHEA Grapalat"/>
          <w:sz w:val="22"/>
          <w:szCs w:val="22"/>
          <w:lang w:val="en-US"/>
        </w:rPr>
        <w:t>որոնց</w:t>
      </w:r>
      <w:r w:rsidRPr="001F63BA">
        <w:rPr>
          <w:rFonts w:ascii="GHEA Grapalat" w:hAnsi="GHEA Grapalat"/>
          <w:sz w:val="22"/>
          <w:szCs w:val="22"/>
          <w:lang w:val="af-ZA"/>
        </w:rPr>
        <w:t xml:space="preserve"> </w:t>
      </w:r>
      <w:r w:rsidRPr="001F63BA">
        <w:rPr>
          <w:rFonts w:ascii="GHEA Grapalat" w:hAnsi="GHEA Grapalat"/>
          <w:sz w:val="22"/>
          <w:szCs w:val="22"/>
          <w:lang w:val="en-US"/>
        </w:rPr>
        <w:t>պատժից</w:t>
      </w:r>
      <w:r w:rsidRPr="001F63BA">
        <w:rPr>
          <w:rFonts w:ascii="GHEA Grapalat" w:hAnsi="GHEA Grapalat"/>
          <w:sz w:val="22"/>
          <w:szCs w:val="22"/>
          <w:lang w:val="af-ZA"/>
        </w:rPr>
        <w:t xml:space="preserve"> </w:t>
      </w:r>
      <w:r w:rsidRPr="001F63BA">
        <w:rPr>
          <w:rFonts w:ascii="GHEA Grapalat" w:hAnsi="GHEA Grapalat"/>
          <w:sz w:val="22"/>
          <w:szCs w:val="22"/>
          <w:lang w:val="en-US"/>
        </w:rPr>
        <w:t>ազատման</w:t>
      </w:r>
      <w:r w:rsidRPr="001F63BA">
        <w:rPr>
          <w:rFonts w:ascii="GHEA Grapalat" w:hAnsi="GHEA Grapalat"/>
          <w:sz w:val="22"/>
          <w:szCs w:val="22"/>
          <w:lang w:val="af-ZA"/>
        </w:rPr>
        <w:t xml:space="preserve"> </w:t>
      </w:r>
      <w:r w:rsidRPr="001F63BA">
        <w:rPr>
          <w:rFonts w:ascii="GHEA Grapalat" w:hAnsi="GHEA Grapalat"/>
          <w:sz w:val="22"/>
          <w:szCs w:val="22"/>
          <w:lang w:val="en-US"/>
        </w:rPr>
        <w:t>ժամկետի</w:t>
      </w:r>
      <w:r w:rsidRPr="001F63BA">
        <w:rPr>
          <w:rFonts w:ascii="GHEA Grapalat" w:hAnsi="GHEA Grapalat"/>
          <w:sz w:val="22"/>
          <w:szCs w:val="22"/>
          <w:lang w:val="af-ZA"/>
        </w:rPr>
        <w:t xml:space="preserve"> </w:t>
      </w:r>
      <w:r w:rsidRPr="001F63BA">
        <w:rPr>
          <w:rFonts w:ascii="GHEA Grapalat" w:hAnsi="GHEA Grapalat"/>
          <w:sz w:val="22"/>
          <w:szCs w:val="22"/>
          <w:lang w:val="en-US"/>
        </w:rPr>
        <w:t>լրանալուն</w:t>
      </w:r>
      <w:r w:rsidRPr="001F63BA">
        <w:rPr>
          <w:rFonts w:ascii="GHEA Grapalat" w:hAnsi="GHEA Grapalat"/>
          <w:sz w:val="22"/>
          <w:szCs w:val="22"/>
          <w:lang w:val="af-ZA"/>
        </w:rPr>
        <w:t xml:space="preserve"> </w:t>
      </w:r>
      <w:r w:rsidRPr="001F63BA">
        <w:rPr>
          <w:rFonts w:ascii="GHEA Grapalat" w:hAnsi="GHEA Grapalat"/>
          <w:sz w:val="22"/>
          <w:szCs w:val="22"/>
          <w:lang w:val="en-US"/>
        </w:rPr>
        <w:t>կրթության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իրավունքի</w:t>
      </w:r>
      <w:r w:rsidRPr="001F63BA">
        <w:rPr>
          <w:rFonts w:ascii="GHEA Grapalat" w:hAnsi="GHEA Grapalat"/>
          <w:sz w:val="22"/>
          <w:szCs w:val="22"/>
          <w:lang w:val="af-ZA"/>
        </w:rPr>
        <w:t xml:space="preserve"> </w:t>
      </w:r>
      <w:r w:rsidRPr="001F63BA">
        <w:rPr>
          <w:rFonts w:ascii="GHEA Grapalat" w:hAnsi="GHEA Grapalat"/>
          <w:sz w:val="22"/>
          <w:szCs w:val="22"/>
          <w:lang w:val="en-US"/>
        </w:rPr>
        <w:t>իրացման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վերաբերյալ</w:t>
      </w:r>
      <w:r w:rsidRPr="001F63BA">
        <w:rPr>
          <w:rFonts w:ascii="GHEA Grapalat" w:hAnsi="GHEA Grapalat"/>
          <w:sz w:val="22"/>
          <w:szCs w:val="22"/>
          <w:lang w:val="af-ZA"/>
        </w:rPr>
        <w:t xml:space="preserve"> </w:t>
      </w:r>
      <w:r w:rsidRPr="001F63BA">
        <w:rPr>
          <w:rFonts w:ascii="GHEA Grapalat" w:hAnsi="GHEA Grapalat"/>
          <w:sz w:val="22"/>
          <w:szCs w:val="22"/>
          <w:lang w:val="en-US"/>
        </w:rPr>
        <w:t>գրավոր</w:t>
      </w:r>
      <w:r w:rsidRPr="001F63BA">
        <w:rPr>
          <w:rFonts w:ascii="GHEA Grapalat" w:hAnsi="GHEA Grapalat"/>
          <w:sz w:val="22"/>
          <w:szCs w:val="22"/>
          <w:lang w:val="af-ZA"/>
        </w:rPr>
        <w:t xml:space="preserve"> </w:t>
      </w:r>
      <w:r w:rsidRPr="001F63BA">
        <w:rPr>
          <w:rFonts w:ascii="GHEA Grapalat" w:hAnsi="GHEA Grapalat"/>
          <w:sz w:val="22"/>
          <w:szCs w:val="22"/>
          <w:lang w:val="en-US"/>
        </w:rPr>
        <w:t>դիմում</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ներկայացնելու</w:t>
      </w:r>
      <w:r w:rsidRPr="001F63BA">
        <w:rPr>
          <w:rFonts w:ascii="GHEA Grapalat" w:hAnsi="GHEA Grapalat"/>
          <w:sz w:val="22"/>
          <w:szCs w:val="22"/>
          <w:lang w:val="af-ZA"/>
        </w:rPr>
        <w:t xml:space="preserve"> </w:t>
      </w:r>
      <w:r w:rsidRPr="001F63BA">
        <w:rPr>
          <w:rFonts w:ascii="GHEA Grapalat" w:hAnsi="GHEA Grapalat"/>
          <w:sz w:val="22"/>
          <w:szCs w:val="22"/>
          <w:lang w:val="en-US"/>
        </w:rPr>
        <w:t>պահին</w:t>
      </w:r>
      <w:r w:rsidRPr="001F63BA">
        <w:rPr>
          <w:rFonts w:ascii="GHEA Grapalat" w:hAnsi="GHEA Grapalat"/>
          <w:sz w:val="22"/>
          <w:szCs w:val="22"/>
          <w:lang w:val="af-ZA"/>
        </w:rPr>
        <w:t xml:space="preserve"> </w:t>
      </w:r>
      <w:r w:rsidRPr="001F63BA">
        <w:rPr>
          <w:rFonts w:ascii="GHEA Grapalat" w:hAnsi="GHEA Grapalat"/>
          <w:sz w:val="22"/>
          <w:szCs w:val="22"/>
          <w:lang w:val="en-US"/>
        </w:rPr>
        <w:t>մնացել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մեկ</w:t>
      </w:r>
      <w:r w:rsidRPr="001F63BA">
        <w:rPr>
          <w:rFonts w:ascii="GHEA Grapalat" w:hAnsi="GHEA Grapalat"/>
          <w:sz w:val="22"/>
          <w:szCs w:val="22"/>
          <w:lang w:val="af-ZA"/>
        </w:rPr>
        <w:t xml:space="preserve"> </w:t>
      </w:r>
      <w:r w:rsidRPr="001F63BA">
        <w:rPr>
          <w:rFonts w:ascii="GHEA Grapalat" w:hAnsi="GHEA Grapalat"/>
          <w:sz w:val="22"/>
          <w:szCs w:val="22"/>
          <w:lang w:val="en-US"/>
        </w:rPr>
        <w:t>տարուց</w:t>
      </w:r>
      <w:r w:rsidRPr="001F63BA">
        <w:rPr>
          <w:rFonts w:ascii="GHEA Grapalat" w:hAnsi="GHEA Grapalat"/>
          <w:sz w:val="22"/>
          <w:szCs w:val="22"/>
          <w:lang w:val="af-ZA"/>
        </w:rPr>
        <w:t xml:space="preserve"> </w:t>
      </w:r>
      <w:r w:rsidRPr="001F63BA">
        <w:rPr>
          <w:rFonts w:ascii="GHEA Grapalat" w:hAnsi="GHEA Grapalat"/>
          <w:sz w:val="22"/>
          <w:szCs w:val="22"/>
          <w:lang w:val="en-US"/>
        </w:rPr>
        <w:t>ավելի</w:t>
      </w:r>
      <w:r w:rsidRPr="001F63BA">
        <w:rPr>
          <w:rFonts w:ascii="GHEA Grapalat" w:hAnsi="GHEA Grapalat"/>
          <w:sz w:val="22"/>
          <w:szCs w:val="22"/>
          <w:lang w:val="af-ZA"/>
        </w:rPr>
        <w:t xml:space="preserve">: </w:t>
      </w:r>
      <w:r w:rsidRPr="001F63BA">
        <w:rPr>
          <w:rFonts w:ascii="GHEA Grapalat" w:hAnsi="GHEA Grapalat"/>
          <w:sz w:val="22"/>
          <w:szCs w:val="22"/>
          <w:lang w:val="en-US"/>
        </w:rPr>
        <w:t>Նշված</w:t>
      </w:r>
      <w:r w:rsidRPr="001F63BA">
        <w:rPr>
          <w:rFonts w:ascii="GHEA Grapalat" w:hAnsi="GHEA Grapalat"/>
          <w:sz w:val="22"/>
          <w:szCs w:val="22"/>
          <w:lang w:val="af-ZA"/>
        </w:rPr>
        <w:t xml:space="preserve"> </w:t>
      </w:r>
      <w:r w:rsidRPr="001F63BA">
        <w:rPr>
          <w:rFonts w:ascii="GHEA Grapalat" w:hAnsi="GHEA Grapalat"/>
          <w:sz w:val="22"/>
          <w:szCs w:val="22"/>
          <w:lang w:val="en-US"/>
        </w:rPr>
        <w:t>անձինք</w:t>
      </w:r>
      <w:r w:rsidRPr="001F63BA">
        <w:rPr>
          <w:rFonts w:ascii="GHEA Grapalat" w:hAnsi="GHEA Grapalat"/>
          <w:sz w:val="22"/>
          <w:szCs w:val="22"/>
          <w:lang w:val="af-ZA"/>
        </w:rPr>
        <w:t xml:space="preserve"> </w:t>
      </w:r>
      <w:r w:rsidRPr="001F63BA">
        <w:rPr>
          <w:rFonts w:ascii="GHEA Grapalat" w:hAnsi="GHEA Grapalat"/>
          <w:sz w:val="22"/>
          <w:szCs w:val="22"/>
          <w:lang w:val="en-US"/>
        </w:rPr>
        <w:t>իրենց</w:t>
      </w:r>
      <w:r w:rsidRPr="001F63BA">
        <w:rPr>
          <w:rFonts w:ascii="GHEA Grapalat" w:hAnsi="GHEA Grapalat"/>
          <w:sz w:val="22"/>
          <w:szCs w:val="22"/>
          <w:lang w:val="af-ZA"/>
        </w:rPr>
        <w:t xml:space="preserve"> </w:t>
      </w:r>
      <w:r w:rsidRPr="001F63BA">
        <w:rPr>
          <w:rFonts w:ascii="GHEA Grapalat" w:hAnsi="GHEA Grapalat"/>
          <w:sz w:val="22"/>
          <w:szCs w:val="22"/>
          <w:lang w:val="en-US"/>
        </w:rPr>
        <w:t>ցանկությամբ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կարող</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իրացնել</w:t>
      </w:r>
      <w:r w:rsidRPr="001F63BA">
        <w:rPr>
          <w:rFonts w:ascii="GHEA Grapalat" w:hAnsi="GHEA Grapalat"/>
          <w:sz w:val="22"/>
          <w:szCs w:val="22"/>
          <w:lang w:val="af-ZA"/>
        </w:rPr>
        <w:t xml:space="preserve"> </w:t>
      </w:r>
      <w:r w:rsidRPr="001F63BA">
        <w:rPr>
          <w:rFonts w:ascii="GHEA Grapalat" w:hAnsi="GHEA Grapalat"/>
          <w:sz w:val="22"/>
          <w:szCs w:val="22"/>
          <w:lang w:val="en-US"/>
        </w:rPr>
        <w:t>իրենց</w:t>
      </w:r>
      <w:r w:rsidRPr="001F63BA">
        <w:rPr>
          <w:rFonts w:ascii="GHEA Grapalat" w:hAnsi="GHEA Grapalat"/>
          <w:sz w:val="22"/>
          <w:szCs w:val="22"/>
          <w:lang w:val="af-ZA"/>
        </w:rPr>
        <w:t xml:space="preserve"> </w:t>
      </w:r>
      <w:r w:rsidRPr="001F63BA">
        <w:rPr>
          <w:rFonts w:ascii="GHEA Grapalat" w:hAnsi="GHEA Grapalat"/>
          <w:sz w:val="22"/>
          <w:szCs w:val="22"/>
          <w:lang w:val="en-US"/>
        </w:rPr>
        <w:t>կրթության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իրավունքը</w:t>
      </w:r>
      <w:r w:rsidRPr="001F63BA">
        <w:rPr>
          <w:rFonts w:ascii="GHEA Grapalat" w:hAnsi="GHEA Grapalat"/>
          <w:sz w:val="22"/>
          <w:szCs w:val="22"/>
          <w:lang w:val="af-ZA"/>
        </w:rPr>
        <w:t xml:space="preserve"> (</w:t>
      </w:r>
      <w:r w:rsidRPr="001F63BA">
        <w:rPr>
          <w:rFonts w:ascii="GHEA Grapalat" w:hAnsi="GHEA Grapalat"/>
          <w:sz w:val="22"/>
          <w:szCs w:val="22"/>
          <w:lang w:val="en-US"/>
        </w:rPr>
        <w:t>միջնակարգ</w:t>
      </w:r>
      <w:r w:rsidRPr="001F63BA">
        <w:rPr>
          <w:rFonts w:ascii="GHEA Grapalat" w:hAnsi="GHEA Grapalat"/>
          <w:sz w:val="22"/>
          <w:szCs w:val="22"/>
          <w:lang w:val="af-ZA"/>
        </w:rPr>
        <w:t xml:space="preserve"> </w:t>
      </w:r>
      <w:r w:rsidRPr="001F63BA">
        <w:rPr>
          <w:rFonts w:ascii="GHEA Grapalat" w:hAnsi="GHEA Grapalat"/>
          <w:sz w:val="22"/>
          <w:szCs w:val="22"/>
          <w:lang w:val="en-US"/>
        </w:rPr>
        <w:t>կրթություն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ստանալ</w:t>
      </w:r>
      <w:r w:rsidRPr="001F63BA">
        <w:rPr>
          <w:rFonts w:ascii="GHEA Grapalat" w:hAnsi="GHEA Grapalat"/>
          <w:sz w:val="22"/>
          <w:szCs w:val="22"/>
          <w:lang w:val="af-ZA"/>
        </w:rPr>
        <w:t xml:space="preserve">) </w:t>
      </w:r>
      <w:r w:rsidRPr="001F63BA">
        <w:rPr>
          <w:rFonts w:ascii="GHEA Grapalat" w:hAnsi="GHEA Grapalat"/>
          <w:sz w:val="22"/>
          <w:szCs w:val="22"/>
          <w:lang w:val="en-US"/>
        </w:rPr>
        <w:t>Հայաստանի</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բյուջեի</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հաշվին</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Բոլոր</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19 </w:t>
      </w:r>
      <w:r w:rsidRPr="001F63BA">
        <w:rPr>
          <w:rFonts w:ascii="GHEA Grapalat" w:hAnsi="GHEA Grapalat"/>
          <w:sz w:val="22"/>
          <w:szCs w:val="22"/>
          <w:lang w:val="en-US"/>
        </w:rPr>
        <w:t>տարեկան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ավելի</w:t>
      </w:r>
      <w:r w:rsidRPr="001F63BA">
        <w:rPr>
          <w:rFonts w:ascii="GHEA Grapalat" w:hAnsi="GHEA Grapalat"/>
          <w:sz w:val="22"/>
          <w:szCs w:val="22"/>
          <w:lang w:val="af-ZA"/>
        </w:rPr>
        <w:t xml:space="preserve"> </w:t>
      </w:r>
      <w:r w:rsidRPr="001F63BA">
        <w:rPr>
          <w:rFonts w:ascii="GHEA Grapalat" w:hAnsi="GHEA Grapalat"/>
          <w:sz w:val="22"/>
          <w:szCs w:val="22"/>
          <w:lang w:val="en-US"/>
        </w:rPr>
        <w:t>տարիք</w:t>
      </w:r>
      <w:r w:rsidRPr="001F63BA">
        <w:rPr>
          <w:rFonts w:ascii="GHEA Grapalat" w:hAnsi="GHEA Grapalat"/>
          <w:sz w:val="22"/>
          <w:szCs w:val="22"/>
          <w:lang w:val="af-ZA"/>
        </w:rPr>
        <w:t xml:space="preserve"> </w:t>
      </w:r>
      <w:r w:rsidRPr="001F63BA">
        <w:rPr>
          <w:rFonts w:ascii="GHEA Grapalat" w:hAnsi="GHEA Grapalat"/>
          <w:sz w:val="22"/>
          <w:szCs w:val="22"/>
          <w:lang w:val="en-US"/>
        </w:rPr>
        <w:t>ունեցող</w:t>
      </w:r>
      <w:r w:rsidRPr="001F63BA">
        <w:rPr>
          <w:rFonts w:ascii="GHEA Grapalat" w:hAnsi="GHEA Grapalat"/>
          <w:sz w:val="22"/>
          <w:szCs w:val="22"/>
          <w:lang w:val="af-ZA"/>
        </w:rPr>
        <w:t xml:space="preserve">, </w:t>
      </w:r>
      <w:r w:rsidRPr="001F63BA">
        <w:rPr>
          <w:rFonts w:ascii="GHEA Grapalat" w:hAnsi="GHEA Grapalat"/>
          <w:sz w:val="22"/>
          <w:szCs w:val="22"/>
          <w:lang w:val="en-US"/>
        </w:rPr>
        <w:t>ազատազրկման</w:t>
      </w:r>
      <w:r w:rsidRPr="001F63BA">
        <w:rPr>
          <w:rFonts w:ascii="GHEA Grapalat" w:hAnsi="GHEA Grapalat"/>
          <w:sz w:val="22"/>
          <w:szCs w:val="22"/>
          <w:lang w:val="af-ZA"/>
        </w:rPr>
        <w:t xml:space="preserve"> </w:t>
      </w:r>
      <w:r w:rsidRPr="001F63BA">
        <w:rPr>
          <w:rFonts w:ascii="GHEA Grapalat" w:hAnsi="GHEA Grapalat"/>
          <w:sz w:val="22"/>
          <w:szCs w:val="22"/>
          <w:lang w:val="en-US"/>
        </w:rPr>
        <w:t>ձևով</w:t>
      </w:r>
      <w:r w:rsidRPr="001F63BA">
        <w:rPr>
          <w:rFonts w:ascii="GHEA Grapalat" w:hAnsi="GHEA Grapalat"/>
          <w:sz w:val="22"/>
          <w:szCs w:val="22"/>
          <w:lang w:val="af-ZA"/>
        </w:rPr>
        <w:t xml:space="preserve"> </w:t>
      </w:r>
      <w:r w:rsidRPr="001F63BA">
        <w:rPr>
          <w:rFonts w:ascii="GHEA Grapalat" w:hAnsi="GHEA Grapalat"/>
          <w:sz w:val="22"/>
          <w:szCs w:val="22"/>
          <w:lang w:val="en-US"/>
        </w:rPr>
        <w:t>պատիժ</w:t>
      </w:r>
      <w:r w:rsidRPr="001F63BA">
        <w:rPr>
          <w:rFonts w:ascii="GHEA Grapalat" w:hAnsi="GHEA Grapalat"/>
          <w:sz w:val="22"/>
          <w:szCs w:val="22"/>
          <w:lang w:val="af-ZA"/>
        </w:rPr>
        <w:t xml:space="preserve"> </w:t>
      </w:r>
      <w:r w:rsidRPr="001F63BA">
        <w:rPr>
          <w:rFonts w:ascii="GHEA Grapalat" w:hAnsi="GHEA Grapalat"/>
          <w:sz w:val="22"/>
          <w:szCs w:val="22"/>
          <w:lang w:val="en-US"/>
        </w:rPr>
        <w:t>կրող</w:t>
      </w:r>
      <w:r w:rsidRPr="001F63BA">
        <w:rPr>
          <w:rFonts w:ascii="GHEA Grapalat" w:hAnsi="GHEA Grapalat"/>
          <w:sz w:val="22"/>
          <w:szCs w:val="22"/>
          <w:lang w:val="af-ZA"/>
        </w:rPr>
        <w:t xml:space="preserve"> </w:t>
      </w:r>
      <w:r w:rsidRPr="001F63BA">
        <w:rPr>
          <w:rFonts w:ascii="GHEA Grapalat" w:hAnsi="GHEA Grapalat"/>
          <w:sz w:val="22"/>
          <w:szCs w:val="22"/>
          <w:lang w:val="en-US"/>
        </w:rPr>
        <w:t>դատապարտյալների</w:t>
      </w:r>
      <w:r w:rsidRPr="001F63BA">
        <w:rPr>
          <w:rFonts w:ascii="GHEA Grapalat" w:hAnsi="GHEA Grapalat"/>
          <w:sz w:val="22"/>
          <w:szCs w:val="22"/>
          <w:lang w:val="af-ZA"/>
        </w:rPr>
        <w:t xml:space="preserve"> </w:t>
      </w:r>
      <w:r w:rsidRPr="001F63BA">
        <w:rPr>
          <w:rFonts w:ascii="GHEA Grapalat" w:hAnsi="GHEA Grapalat"/>
          <w:sz w:val="22"/>
          <w:szCs w:val="22"/>
          <w:lang w:val="en-US"/>
        </w:rPr>
        <w:t>նախնական</w:t>
      </w:r>
      <w:r w:rsidRPr="001F63BA">
        <w:rPr>
          <w:rFonts w:ascii="GHEA Grapalat" w:hAnsi="GHEA Grapalat"/>
          <w:sz w:val="22"/>
          <w:szCs w:val="22"/>
          <w:lang w:val="af-ZA"/>
        </w:rPr>
        <w:t xml:space="preserve"> </w:t>
      </w:r>
      <w:r w:rsidRPr="001F63BA">
        <w:rPr>
          <w:rFonts w:ascii="GHEA Grapalat" w:hAnsi="GHEA Grapalat"/>
          <w:sz w:val="22"/>
          <w:szCs w:val="22"/>
          <w:lang w:val="en-US"/>
        </w:rPr>
        <w:t>կրթական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կարիքի</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գնահատում</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արդյունքում</w:t>
      </w:r>
      <w:r w:rsidRPr="001F63BA">
        <w:rPr>
          <w:rFonts w:ascii="GHEA Grapalat" w:hAnsi="GHEA Grapalat"/>
          <w:sz w:val="22"/>
          <w:szCs w:val="22"/>
          <w:lang w:val="af-ZA"/>
        </w:rPr>
        <w:t xml:space="preserve"> </w:t>
      </w:r>
      <w:r w:rsidRPr="001F63BA">
        <w:rPr>
          <w:rFonts w:ascii="GHEA Grapalat" w:hAnsi="GHEA Grapalat"/>
          <w:sz w:val="22"/>
          <w:szCs w:val="22"/>
          <w:lang w:val="en-US"/>
        </w:rPr>
        <w:t>տարանջատվել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կրթական</w:t>
      </w:r>
      <w:r w:rsidRPr="001F63BA">
        <w:rPr>
          <w:rFonts w:ascii="GHEA Grapalat" w:hAnsi="GHEA Grapalat"/>
          <w:sz w:val="22"/>
          <w:szCs w:val="22"/>
          <w:lang w:val="af-ZA"/>
        </w:rPr>
        <w:t xml:space="preserve"> </w:t>
      </w:r>
      <w:r w:rsidRPr="001F63BA">
        <w:rPr>
          <w:rFonts w:ascii="GHEA Grapalat" w:hAnsi="GHEA Grapalat"/>
          <w:sz w:val="22"/>
          <w:szCs w:val="22"/>
          <w:lang w:val="en-US"/>
        </w:rPr>
        <w:t>երեք</w:t>
      </w:r>
      <w:r w:rsidRPr="001F63BA">
        <w:rPr>
          <w:rFonts w:ascii="GHEA Grapalat" w:hAnsi="GHEA Grapalat"/>
          <w:sz w:val="22"/>
          <w:szCs w:val="22"/>
          <w:lang w:val="af-ZA"/>
        </w:rPr>
        <w:t xml:space="preserve"> </w:t>
      </w:r>
      <w:r w:rsidRPr="001F63BA">
        <w:rPr>
          <w:rFonts w:ascii="GHEA Grapalat" w:hAnsi="GHEA Grapalat"/>
          <w:sz w:val="22"/>
          <w:szCs w:val="22"/>
          <w:lang w:val="en-US"/>
        </w:rPr>
        <w:t>աստիճան՝</w:t>
      </w:r>
      <w:r w:rsidRPr="001F63BA">
        <w:rPr>
          <w:rFonts w:ascii="GHEA Grapalat" w:hAnsi="GHEA Grapalat"/>
          <w:sz w:val="22"/>
          <w:szCs w:val="22"/>
          <w:lang w:val="af-ZA"/>
        </w:rPr>
        <w:t xml:space="preserve"> </w:t>
      </w:r>
      <w:r w:rsidRPr="001F63BA">
        <w:rPr>
          <w:rFonts w:ascii="GHEA Grapalat" w:hAnsi="GHEA Grapalat"/>
          <w:sz w:val="22"/>
          <w:szCs w:val="22"/>
          <w:lang w:val="en-US"/>
        </w:rPr>
        <w:t>միջին</w:t>
      </w:r>
      <w:r w:rsidRPr="001F63BA">
        <w:rPr>
          <w:rFonts w:ascii="GHEA Grapalat" w:hAnsi="GHEA Grapalat"/>
          <w:sz w:val="22"/>
          <w:szCs w:val="22"/>
          <w:lang w:val="af-ZA"/>
        </w:rPr>
        <w:t xml:space="preserve"> </w:t>
      </w:r>
      <w:r w:rsidRPr="001F63BA">
        <w:rPr>
          <w:rFonts w:ascii="GHEA Grapalat" w:hAnsi="GHEA Grapalat"/>
          <w:sz w:val="22"/>
          <w:szCs w:val="22"/>
          <w:lang w:val="en-US"/>
        </w:rPr>
        <w:t>դպրոց</w:t>
      </w:r>
      <w:r w:rsidRPr="001F63BA">
        <w:rPr>
          <w:rFonts w:ascii="GHEA Grapalat" w:hAnsi="GHEA Grapalat"/>
          <w:sz w:val="22"/>
          <w:szCs w:val="22"/>
          <w:lang w:val="af-ZA"/>
        </w:rPr>
        <w:t xml:space="preserve"> (5-9-</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դասարաններ</w:t>
      </w:r>
      <w:r w:rsidRPr="001F63BA">
        <w:rPr>
          <w:rFonts w:ascii="GHEA Grapalat" w:hAnsi="GHEA Grapalat"/>
          <w:sz w:val="22"/>
          <w:szCs w:val="22"/>
          <w:lang w:val="af-ZA"/>
        </w:rPr>
        <w:t xml:space="preserve">), </w:t>
      </w:r>
      <w:r w:rsidRPr="001F63BA">
        <w:rPr>
          <w:rFonts w:ascii="GHEA Grapalat" w:hAnsi="GHEA Grapalat"/>
          <w:sz w:val="22"/>
          <w:szCs w:val="22"/>
          <w:lang w:val="en-US"/>
        </w:rPr>
        <w:t>ավագ</w:t>
      </w:r>
      <w:r w:rsidRPr="001F63BA">
        <w:rPr>
          <w:rFonts w:ascii="GHEA Grapalat" w:hAnsi="GHEA Grapalat"/>
          <w:sz w:val="22"/>
          <w:szCs w:val="22"/>
          <w:lang w:val="af-ZA"/>
        </w:rPr>
        <w:t xml:space="preserve"> </w:t>
      </w:r>
      <w:r w:rsidRPr="001F63BA">
        <w:rPr>
          <w:rFonts w:ascii="GHEA Grapalat" w:hAnsi="GHEA Grapalat"/>
          <w:sz w:val="22"/>
          <w:szCs w:val="22"/>
          <w:lang w:val="en-US"/>
        </w:rPr>
        <w:t>դպրոց</w:t>
      </w:r>
      <w:r w:rsidRPr="001F63BA">
        <w:rPr>
          <w:rFonts w:ascii="GHEA Grapalat" w:hAnsi="GHEA Grapalat"/>
          <w:sz w:val="22"/>
          <w:szCs w:val="22"/>
          <w:lang w:val="af-ZA"/>
        </w:rPr>
        <w:t xml:space="preserve"> (10-12-</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դասարաններ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անձինք</w:t>
      </w:r>
      <w:r w:rsidRPr="001F63BA">
        <w:rPr>
          <w:rFonts w:ascii="GHEA Grapalat" w:hAnsi="GHEA Grapalat"/>
          <w:sz w:val="22"/>
          <w:szCs w:val="22"/>
          <w:lang w:val="af-ZA"/>
        </w:rPr>
        <w:t xml:space="preserve">, </w:t>
      </w:r>
      <w:r w:rsidRPr="001F63BA">
        <w:rPr>
          <w:rFonts w:ascii="GHEA Grapalat" w:hAnsi="GHEA Grapalat"/>
          <w:sz w:val="22"/>
          <w:szCs w:val="22"/>
          <w:lang w:val="en-US"/>
        </w:rPr>
        <w:t>որոնք</w:t>
      </w:r>
      <w:r w:rsidRPr="001F63BA">
        <w:rPr>
          <w:rFonts w:ascii="GHEA Grapalat" w:hAnsi="GHEA Grapalat"/>
          <w:sz w:val="22"/>
          <w:szCs w:val="22"/>
          <w:lang w:val="af-ZA"/>
        </w:rPr>
        <w:t xml:space="preserve"> </w:t>
      </w:r>
      <w:r w:rsidRPr="001F63BA">
        <w:rPr>
          <w:rFonts w:ascii="GHEA Grapalat" w:hAnsi="GHEA Grapalat"/>
          <w:sz w:val="22"/>
          <w:szCs w:val="22"/>
          <w:lang w:val="en-US"/>
        </w:rPr>
        <w:t>տառաճանաչ</w:t>
      </w:r>
      <w:r w:rsidRPr="001F63BA">
        <w:rPr>
          <w:rFonts w:ascii="GHEA Grapalat" w:hAnsi="GHEA Grapalat"/>
          <w:sz w:val="22"/>
          <w:szCs w:val="22"/>
          <w:lang w:val="af-ZA"/>
        </w:rPr>
        <w:t xml:space="preserve"> </w:t>
      </w:r>
      <w:r w:rsidRPr="001F63BA">
        <w:rPr>
          <w:rFonts w:ascii="GHEA Grapalat" w:hAnsi="GHEA Grapalat"/>
          <w:sz w:val="22"/>
          <w:szCs w:val="22"/>
          <w:lang w:val="en-US"/>
        </w:rPr>
        <w:t>չեն</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դպրոց</w:t>
      </w:r>
      <w:r w:rsidRPr="001F63BA">
        <w:rPr>
          <w:rFonts w:ascii="GHEA Grapalat" w:hAnsi="GHEA Grapalat"/>
          <w:sz w:val="22"/>
          <w:szCs w:val="22"/>
          <w:lang w:val="af-ZA"/>
        </w:rPr>
        <w:t xml:space="preserve"> </w:t>
      </w:r>
      <w:r w:rsidRPr="001F63BA">
        <w:rPr>
          <w:rFonts w:ascii="GHEA Grapalat" w:hAnsi="GHEA Grapalat"/>
          <w:sz w:val="22"/>
          <w:szCs w:val="22"/>
          <w:lang w:val="en-US"/>
        </w:rPr>
        <w:t>չեն</w:t>
      </w:r>
      <w:r w:rsidRPr="001F63BA">
        <w:rPr>
          <w:rFonts w:ascii="GHEA Grapalat" w:hAnsi="GHEA Grapalat"/>
          <w:sz w:val="22"/>
          <w:szCs w:val="22"/>
          <w:lang w:val="af-ZA"/>
        </w:rPr>
        <w:t xml:space="preserve"> </w:t>
      </w:r>
      <w:r w:rsidRPr="001F63BA">
        <w:rPr>
          <w:rFonts w:ascii="GHEA Grapalat" w:hAnsi="GHEA Grapalat"/>
          <w:sz w:val="22"/>
          <w:szCs w:val="22"/>
          <w:lang w:val="en-US"/>
        </w:rPr>
        <w:t>հաճախել</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Հաշվի</w:t>
      </w:r>
      <w:r w:rsidRPr="001F63BA">
        <w:rPr>
          <w:rFonts w:ascii="GHEA Grapalat" w:hAnsi="GHEA Grapalat"/>
          <w:sz w:val="22"/>
          <w:szCs w:val="22"/>
          <w:lang w:val="af-ZA"/>
        </w:rPr>
        <w:t xml:space="preserve"> </w:t>
      </w:r>
      <w:r w:rsidRPr="001F63BA">
        <w:rPr>
          <w:rFonts w:ascii="GHEA Grapalat" w:hAnsi="GHEA Grapalat"/>
          <w:sz w:val="22"/>
          <w:szCs w:val="22"/>
          <w:lang w:val="en-US"/>
        </w:rPr>
        <w:t>առնելով</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ուսումնառություն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ստացող</w:t>
      </w:r>
      <w:r w:rsidRPr="001F63BA">
        <w:rPr>
          <w:rFonts w:ascii="GHEA Grapalat" w:hAnsi="GHEA Grapalat"/>
          <w:sz w:val="22"/>
          <w:szCs w:val="22"/>
          <w:lang w:val="af-ZA"/>
        </w:rPr>
        <w:t xml:space="preserve"> </w:t>
      </w:r>
      <w:r w:rsidRPr="001F63BA">
        <w:rPr>
          <w:rFonts w:ascii="GHEA Grapalat" w:hAnsi="GHEA Grapalat"/>
          <w:sz w:val="22"/>
          <w:szCs w:val="22"/>
          <w:lang w:val="en-US"/>
        </w:rPr>
        <w:t>դատապարտյալների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կարգավիճակի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ունեցած</w:t>
      </w:r>
      <w:r w:rsidRPr="001F63BA">
        <w:rPr>
          <w:rFonts w:ascii="GHEA Grapalat" w:hAnsi="GHEA Grapalat"/>
          <w:sz w:val="22"/>
          <w:szCs w:val="22"/>
          <w:lang w:val="af-ZA"/>
        </w:rPr>
        <w:t xml:space="preserve"> </w:t>
      </w:r>
      <w:r w:rsidRPr="001F63BA">
        <w:rPr>
          <w:rFonts w:ascii="GHEA Grapalat" w:hAnsi="GHEA Grapalat"/>
          <w:sz w:val="22"/>
          <w:szCs w:val="22"/>
          <w:lang w:val="en-US"/>
        </w:rPr>
        <w:t>բազային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հանրակրթական</w:t>
      </w:r>
      <w:r w:rsidRPr="001F63BA">
        <w:rPr>
          <w:rFonts w:ascii="GHEA Grapalat" w:hAnsi="GHEA Grapalat"/>
          <w:sz w:val="22"/>
          <w:szCs w:val="22"/>
          <w:lang w:val="af-ZA"/>
        </w:rPr>
        <w:t xml:space="preserve"> </w:t>
      </w:r>
      <w:r w:rsidRPr="001F63BA">
        <w:rPr>
          <w:rFonts w:ascii="GHEA Grapalat" w:hAnsi="GHEA Grapalat"/>
          <w:sz w:val="22"/>
          <w:szCs w:val="22"/>
          <w:lang w:val="en-US"/>
        </w:rPr>
        <w:t>գիտելիքների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առանձնահատկությունները՝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ընդհանուր</w:t>
      </w:r>
      <w:r w:rsidRPr="001F63BA">
        <w:rPr>
          <w:rFonts w:ascii="GHEA Grapalat" w:hAnsi="GHEA Grapalat"/>
          <w:sz w:val="22"/>
          <w:szCs w:val="22"/>
          <w:lang w:val="af-ZA"/>
        </w:rPr>
        <w:t xml:space="preserve"> </w:t>
      </w:r>
      <w:r w:rsidRPr="001F63BA">
        <w:rPr>
          <w:rFonts w:ascii="GHEA Grapalat" w:hAnsi="GHEA Grapalat"/>
          <w:sz w:val="22"/>
          <w:szCs w:val="22"/>
          <w:lang w:val="en-US"/>
        </w:rPr>
        <w:t>հանրակրթության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ուսուցման</w:t>
      </w:r>
      <w:r w:rsidRPr="001F63BA">
        <w:rPr>
          <w:rFonts w:ascii="GHEA Grapalat" w:hAnsi="GHEA Grapalat"/>
          <w:sz w:val="22"/>
          <w:szCs w:val="22"/>
          <w:lang w:val="af-ZA"/>
        </w:rPr>
        <w:t xml:space="preserve"> </w:t>
      </w:r>
      <w:r w:rsidRPr="001F63BA">
        <w:rPr>
          <w:rFonts w:ascii="GHEA Grapalat" w:hAnsi="GHEA Grapalat"/>
          <w:sz w:val="22"/>
          <w:szCs w:val="22"/>
          <w:lang w:val="en-US"/>
        </w:rPr>
        <w:t>մեթոդաբանության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հիմքով</w:t>
      </w:r>
      <w:r w:rsidRPr="001F63BA">
        <w:rPr>
          <w:rFonts w:ascii="GHEA Grapalat" w:hAnsi="GHEA Grapalat"/>
          <w:sz w:val="22"/>
          <w:szCs w:val="22"/>
          <w:lang w:val="af-ZA"/>
        </w:rPr>
        <w:t xml:space="preserve"> </w:t>
      </w:r>
      <w:r w:rsidRPr="001F63BA">
        <w:rPr>
          <w:rFonts w:ascii="GHEA Grapalat" w:hAnsi="GHEA Grapalat"/>
          <w:sz w:val="22"/>
          <w:szCs w:val="22"/>
          <w:lang w:val="en-US"/>
        </w:rPr>
        <w:t>մշակվել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ուսումնառության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առանձնահատկություններով</w:t>
      </w:r>
      <w:r w:rsidRPr="001F63BA">
        <w:rPr>
          <w:rFonts w:ascii="GHEA Grapalat" w:hAnsi="GHEA Grapalat"/>
          <w:sz w:val="22"/>
          <w:szCs w:val="22"/>
          <w:lang w:val="af-ZA"/>
        </w:rPr>
        <w:t xml:space="preserve"> </w:t>
      </w:r>
      <w:r w:rsidRPr="001F63BA">
        <w:rPr>
          <w:rFonts w:ascii="GHEA Grapalat" w:hAnsi="GHEA Grapalat"/>
          <w:sz w:val="22"/>
          <w:szCs w:val="22"/>
          <w:lang w:val="en-US"/>
        </w:rPr>
        <w:t>պայմանավորված</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մեթոդաբանություն</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սեպտեմբերի</w:t>
      </w:r>
      <w:r w:rsidRPr="001F63BA">
        <w:rPr>
          <w:rFonts w:ascii="GHEA Grapalat" w:hAnsi="GHEA Grapalat"/>
          <w:sz w:val="22"/>
          <w:szCs w:val="22"/>
          <w:lang w:val="af-ZA"/>
        </w:rPr>
        <w:t xml:space="preserve"> 1-</w:t>
      </w:r>
      <w:r w:rsidRPr="001F63BA">
        <w:rPr>
          <w:rFonts w:ascii="GHEA Grapalat" w:hAnsi="GHEA Grapalat"/>
          <w:sz w:val="22"/>
          <w:szCs w:val="22"/>
          <w:lang w:val="en-US"/>
        </w:rPr>
        <w:t>ից</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ԱՆ</w:t>
      </w:r>
      <w:r w:rsidRPr="001F63BA">
        <w:rPr>
          <w:rFonts w:ascii="GHEA Grapalat" w:hAnsi="GHEA Grapalat"/>
          <w:sz w:val="22"/>
          <w:szCs w:val="22"/>
          <w:lang w:val="af-ZA"/>
        </w:rPr>
        <w:t xml:space="preserve"> </w:t>
      </w:r>
      <w:r w:rsidRPr="001F63BA">
        <w:rPr>
          <w:rFonts w:ascii="GHEA Grapalat" w:hAnsi="GHEA Grapalat"/>
          <w:sz w:val="22"/>
          <w:szCs w:val="22"/>
          <w:lang w:val="en-US"/>
        </w:rPr>
        <w:t>Արմավիր</w:t>
      </w:r>
      <w:r w:rsidRPr="001F63BA">
        <w:rPr>
          <w:rFonts w:ascii="GHEA Grapalat" w:hAnsi="GHEA Grapalat"/>
          <w:sz w:val="22"/>
          <w:szCs w:val="22"/>
          <w:lang w:val="af-ZA"/>
        </w:rPr>
        <w:t>, </w:t>
      </w:r>
      <w:r w:rsidRPr="001F63BA">
        <w:rPr>
          <w:rFonts w:ascii="GHEA Grapalat" w:hAnsi="GHEA Grapalat"/>
          <w:sz w:val="22"/>
          <w:szCs w:val="22"/>
          <w:lang w:val="en-US"/>
        </w:rPr>
        <w:t>Նուբարաշեն</w:t>
      </w:r>
      <w:r w:rsidRPr="001F63BA">
        <w:rPr>
          <w:rFonts w:ascii="GHEA Grapalat" w:hAnsi="GHEA Grapalat"/>
          <w:sz w:val="22"/>
          <w:szCs w:val="22"/>
          <w:lang w:val="af-ZA"/>
        </w:rPr>
        <w:t>, </w:t>
      </w:r>
      <w:r w:rsidRPr="001F63BA">
        <w:rPr>
          <w:rFonts w:ascii="GHEA Grapalat" w:hAnsi="GHEA Grapalat"/>
          <w:sz w:val="22"/>
          <w:szCs w:val="22"/>
          <w:lang w:val="en-US"/>
        </w:rPr>
        <w:t>Սևան</w:t>
      </w:r>
      <w:r w:rsidRPr="001F63BA">
        <w:rPr>
          <w:rFonts w:ascii="GHEA Grapalat" w:hAnsi="GHEA Grapalat"/>
          <w:sz w:val="22"/>
          <w:szCs w:val="22"/>
          <w:lang w:val="af-ZA"/>
        </w:rPr>
        <w:t>, </w:t>
      </w:r>
      <w:r w:rsidRPr="001F63BA">
        <w:rPr>
          <w:rFonts w:ascii="GHEA Grapalat" w:hAnsi="GHEA Grapalat"/>
          <w:sz w:val="22"/>
          <w:szCs w:val="22"/>
          <w:lang w:val="en-US"/>
        </w:rPr>
        <w:t>Արթիկ</w:t>
      </w:r>
      <w:r w:rsidRPr="001F63BA">
        <w:rPr>
          <w:rFonts w:ascii="GHEA Grapalat" w:hAnsi="GHEA Grapalat"/>
          <w:sz w:val="22"/>
          <w:szCs w:val="22"/>
          <w:lang w:val="af-ZA"/>
        </w:rPr>
        <w:t>, </w:t>
      </w:r>
      <w:r w:rsidRPr="001F63BA">
        <w:rPr>
          <w:rFonts w:ascii="GHEA Grapalat" w:hAnsi="GHEA Grapalat"/>
          <w:sz w:val="22"/>
          <w:szCs w:val="22"/>
          <w:lang w:val="en-US"/>
        </w:rPr>
        <w:t>Աբովյան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Վանաձոր</w:t>
      </w:r>
      <w:r w:rsidRPr="001F63BA">
        <w:rPr>
          <w:rFonts w:ascii="GHEA Grapalat" w:hAnsi="GHEA Grapalat"/>
          <w:sz w:val="22"/>
          <w:szCs w:val="22"/>
          <w:lang w:val="af-ZA"/>
        </w:rPr>
        <w:t xml:space="preserve"> </w:t>
      </w:r>
      <w:r w:rsidRPr="001F63BA">
        <w:rPr>
          <w:rFonts w:ascii="GHEA Grapalat" w:hAnsi="GHEA Grapalat"/>
          <w:sz w:val="22"/>
          <w:szCs w:val="22"/>
          <w:lang w:val="en-US"/>
        </w:rPr>
        <w:t>քրեակատարողական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հիմնարկներում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ազատազրկման</w:t>
      </w:r>
      <w:r w:rsidRPr="001F63BA">
        <w:rPr>
          <w:rFonts w:ascii="GHEA Grapalat" w:hAnsi="GHEA Grapalat"/>
          <w:sz w:val="22"/>
          <w:szCs w:val="22"/>
          <w:lang w:val="af-ZA"/>
        </w:rPr>
        <w:t xml:space="preserve"> </w:t>
      </w:r>
      <w:r w:rsidRPr="001F63BA">
        <w:rPr>
          <w:rFonts w:ascii="GHEA Grapalat" w:hAnsi="GHEA Grapalat"/>
          <w:sz w:val="22"/>
          <w:szCs w:val="22"/>
          <w:lang w:val="en-US"/>
        </w:rPr>
        <w:t>ձևով</w:t>
      </w:r>
      <w:r w:rsidRPr="001F63BA">
        <w:rPr>
          <w:rFonts w:ascii="GHEA Grapalat" w:hAnsi="GHEA Grapalat"/>
          <w:sz w:val="22"/>
          <w:szCs w:val="22"/>
          <w:lang w:val="af-ZA"/>
        </w:rPr>
        <w:t xml:space="preserve"> </w:t>
      </w:r>
      <w:r w:rsidRPr="001F63BA">
        <w:rPr>
          <w:rFonts w:ascii="GHEA Grapalat" w:hAnsi="GHEA Grapalat"/>
          <w:sz w:val="22"/>
          <w:szCs w:val="22"/>
          <w:lang w:val="en-US"/>
        </w:rPr>
        <w:t>պատիժ</w:t>
      </w:r>
      <w:r w:rsidRPr="001F63BA">
        <w:rPr>
          <w:rFonts w:ascii="GHEA Grapalat" w:hAnsi="GHEA Grapalat"/>
          <w:sz w:val="22"/>
          <w:szCs w:val="22"/>
          <w:lang w:val="af-ZA"/>
        </w:rPr>
        <w:t xml:space="preserve"> </w:t>
      </w:r>
      <w:r w:rsidRPr="001F63BA">
        <w:rPr>
          <w:rFonts w:ascii="GHEA Grapalat" w:hAnsi="GHEA Grapalat"/>
          <w:sz w:val="22"/>
          <w:szCs w:val="22"/>
          <w:lang w:val="en-US"/>
        </w:rPr>
        <w:t>կրող</w:t>
      </w:r>
      <w:r w:rsidRPr="001F63BA">
        <w:rPr>
          <w:rFonts w:ascii="GHEA Grapalat" w:hAnsi="GHEA Grapalat"/>
          <w:sz w:val="22"/>
          <w:szCs w:val="22"/>
          <w:lang w:val="af-ZA"/>
        </w:rPr>
        <w:t xml:space="preserve"> 19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ավելի</w:t>
      </w:r>
      <w:r w:rsidRPr="001F63BA">
        <w:rPr>
          <w:rFonts w:ascii="GHEA Grapalat" w:hAnsi="GHEA Grapalat"/>
          <w:sz w:val="22"/>
          <w:szCs w:val="22"/>
          <w:lang w:val="af-ZA"/>
        </w:rPr>
        <w:t xml:space="preserve"> </w:t>
      </w:r>
      <w:r w:rsidRPr="001F63BA">
        <w:rPr>
          <w:rFonts w:ascii="GHEA Grapalat" w:hAnsi="GHEA Grapalat"/>
          <w:sz w:val="22"/>
          <w:szCs w:val="22"/>
          <w:lang w:val="en-US"/>
        </w:rPr>
        <w:t>տարեկան</w:t>
      </w:r>
      <w:r w:rsidRPr="001F63BA">
        <w:rPr>
          <w:rFonts w:ascii="GHEA Grapalat" w:hAnsi="GHEA Grapalat"/>
          <w:sz w:val="22"/>
          <w:szCs w:val="22"/>
          <w:lang w:val="af-ZA"/>
        </w:rPr>
        <w:t xml:space="preserve"> </w:t>
      </w:r>
      <w:r w:rsidRPr="001F63BA">
        <w:rPr>
          <w:rFonts w:ascii="GHEA Grapalat" w:hAnsi="GHEA Grapalat"/>
          <w:sz w:val="22"/>
          <w:szCs w:val="22"/>
          <w:lang w:val="en-US"/>
        </w:rPr>
        <w:t>դատապարտյալների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հանրակրթական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ծրագիրը</w:t>
      </w:r>
      <w:r w:rsidRPr="001F63BA">
        <w:rPr>
          <w:rFonts w:ascii="GHEA Grapalat" w:hAnsi="GHEA Grapalat"/>
          <w:sz w:val="22"/>
          <w:szCs w:val="22"/>
          <w:lang w:val="af-ZA"/>
        </w:rPr>
        <w:t xml:space="preserve">, </w:t>
      </w:r>
      <w:r w:rsidRPr="001F63BA">
        <w:rPr>
          <w:rFonts w:ascii="GHEA Grapalat" w:hAnsi="GHEA Grapalat"/>
          <w:sz w:val="22"/>
          <w:szCs w:val="22"/>
          <w:lang w:val="en-US"/>
        </w:rPr>
        <w:t>որին</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ներկայումս</w:t>
      </w:r>
      <w:r w:rsidRPr="001F63BA">
        <w:rPr>
          <w:rFonts w:ascii="GHEA Grapalat" w:hAnsi="GHEA Grapalat"/>
          <w:sz w:val="22"/>
          <w:szCs w:val="22"/>
          <w:lang w:val="af-ZA"/>
        </w:rPr>
        <w:t xml:space="preserve"> </w:t>
      </w:r>
      <w:r w:rsidRPr="001F63BA">
        <w:rPr>
          <w:rFonts w:ascii="GHEA Grapalat" w:hAnsi="GHEA Grapalat"/>
          <w:sz w:val="22"/>
          <w:szCs w:val="22"/>
          <w:lang w:val="en-US"/>
        </w:rPr>
        <w:t>մասնակցում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82 </w:t>
      </w:r>
      <w:r w:rsidRPr="001F63BA">
        <w:rPr>
          <w:rFonts w:ascii="GHEA Grapalat" w:hAnsi="GHEA Grapalat"/>
          <w:sz w:val="22"/>
          <w:szCs w:val="22"/>
          <w:lang w:val="en-US"/>
        </w:rPr>
        <w:t>դատապարտյալ՝</w:t>
      </w:r>
      <w:r w:rsidRPr="001F63BA">
        <w:rPr>
          <w:rFonts w:ascii="GHEA Grapalat" w:hAnsi="GHEA Grapalat"/>
          <w:sz w:val="22"/>
          <w:szCs w:val="22"/>
          <w:lang w:val="af-ZA"/>
        </w:rPr>
        <w:t xml:space="preserve"> </w:t>
      </w:r>
      <w:r w:rsidRPr="001F63BA">
        <w:rPr>
          <w:rFonts w:ascii="GHEA Grapalat" w:hAnsi="GHEA Grapalat"/>
          <w:sz w:val="22"/>
          <w:szCs w:val="22"/>
          <w:lang w:val="en-US"/>
        </w:rPr>
        <w:t>իրենց</w:t>
      </w:r>
      <w:r w:rsidRPr="001F63BA">
        <w:rPr>
          <w:rFonts w:ascii="GHEA Grapalat" w:hAnsi="GHEA Grapalat"/>
          <w:sz w:val="22"/>
          <w:szCs w:val="22"/>
          <w:lang w:val="af-ZA"/>
        </w:rPr>
        <w:t xml:space="preserve"> </w:t>
      </w:r>
      <w:r w:rsidRPr="001F63BA">
        <w:rPr>
          <w:rFonts w:ascii="GHEA Grapalat" w:hAnsi="GHEA Grapalat"/>
          <w:sz w:val="22"/>
          <w:szCs w:val="22"/>
          <w:lang w:val="en-US"/>
        </w:rPr>
        <w:t>դիմումներին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համապատասխան</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Իսկ</w:t>
      </w:r>
      <w:r w:rsidRPr="001F63BA">
        <w:rPr>
          <w:rFonts w:ascii="GHEA Grapalat" w:hAnsi="GHEA Grapalat"/>
          <w:sz w:val="22"/>
          <w:szCs w:val="22"/>
          <w:lang w:val="af-ZA"/>
        </w:rPr>
        <w:t xml:space="preserve"> </w:t>
      </w:r>
      <w:r w:rsidRPr="001F63BA">
        <w:rPr>
          <w:rFonts w:ascii="GHEA Grapalat" w:hAnsi="GHEA Grapalat"/>
          <w:sz w:val="22"/>
          <w:szCs w:val="22"/>
          <w:lang w:val="en-US"/>
        </w:rPr>
        <w:t>մինչև</w:t>
      </w:r>
      <w:r w:rsidRPr="001F63BA">
        <w:rPr>
          <w:rFonts w:ascii="GHEA Grapalat" w:hAnsi="GHEA Grapalat"/>
          <w:sz w:val="22"/>
          <w:szCs w:val="22"/>
          <w:lang w:val="af-ZA"/>
        </w:rPr>
        <w:t xml:space="preserve"> 19 </w:t>
      </w:r>
      <w:r w:rsidRPr="001F63BA">
        <w:rPr>
          <w:rFonts w:ascii="GHEA Grapalat" w:hAnsi="GHEA Grapalat"/>
          <w:sz w:val="22"/>
          <w:szCs w:val="22"/>
          <w:lang w:val="en-US"/>
        </w:rPr>
        <w:t>տարեկան</w:t>
      </w:r>
      <w:r w:rsidRPr="001F63BA">
        <w:rPr>
          <w:rFonts w:ascii="GHEA Grapalat" w:hAnsi="GHEA Grapalat"/>
          <w:sz w:val="22"/>
          <w:szCs w:val="22"/>
          <w:lang w:val="af-ZA"/>
        </w:rPr>
        <w:t xml:space="preserve"> </w:t>
      </w:r>
      <w:r w:rsidRPr="001F63BA">
        <w:rPr>
          <w:rFonts w:ascii="GHEA Grapalat" w:hAnsi="GHEA Grapalat"/>
          <w:sz w:val="22"/>
          <w:szCs w:val="22"/>
          <w:lang w:val="en-US"/>
        </w:rPr>
        <w:t>ազատազրկման</w:t>
      </w:r>
      <w:r w:rsidRPr="001F63BA">
        <w:rPr>
          <w:rFonts w:ascii="GHEA Grapalat" w:hAnsi="GHEA Grapalat"/>
          <w:sz w:val="22"/>
          <w:szCs w:val="22"/>
          <w:lang w:val="af-ZA"/>
        </w:rPr>
        <w:t xml:space="preserve"> </w:t>
      </w:r>
      <w:r w:rsidRPr="001F63BA">
        <w:rPr>
          <w:rFonts w:ascii="GHEA Grapalat" w:hAnsi="GHEA Grapalat"/>
          <w:sz w:val="22"/>
          <w:szCs w:val="22"/>
          <w:lang w:val="en-US"/>
        </w:rPr>
        <w:t>ձևով</w:t>
      </w:r>
      <w:r w:rsidRPr="001F63BA">
        <w:rPr>
          <w:rFonts w:ascii="GHEA Grapalat" w:hAnsi="GHEA Grapalat"/>
          <w:sz w:val="22"/>
          <w:szCs w:val="22"/>
          <w:lang w:val="af-ZA"/>
        </w:rPr>
        <w:t xml:space="preserve"> </w:t>
      </w:r>
      <w:r w:rsidRPr="001F63BA">
        <w:rPr>
          <w:rFonts w:ascii="GHEA Grapalat" w:hAnsi="GHEA Grapalat"/>
          <w:sz w:val="22"/>
          <w:szCs w:val="22"/>
          <w:lang w:val="en-US"/>
        </w:rPr>
        <w:t>պատիժ</w:t>
      </w:r>
      <w:r w:rsidRPr="001F63BA">
        <w:rPr>
          <w:rFonts w:ascii="GHEA Grapalat" w:hAnsi="GHEA Grapalat"/>
          <w:sz w:val="22"/>
          <w:szCs w:val="22"/>
          <w:lang w:val="af-ZA"/>
        </w:rPr>
        <w:t xml:space="preserve"> </w:t>
      </w:r>
      <w:r w:rsidRPr="001F63BA">
        <w:rPr>
          <w:rFonts w:ascii="GHEA Grapalat" w:hAnsi="GHEA Grapalat"/>
          <w:sz w:val="22"/>
          <w:szCs w:val="22"/>
          <w:lang w:val="en-US"/>
        </w:rPr>
        <w:t>կրող</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կալանավորված</w:t>
      </w:r>
      <w:r w:rsidRPr="001F63BA">
        <w:rPr>
          <w:rFonts w:ascii="GHEA Grapalat" w:hAnsi="GHEA Grapalat"/>
          <w:sz w:val="22"/>
          <w:szCs w:val="22"/>
          <w:lang w:val="af-ZA"/>
        </w:rPr>
        <w:t xml:space="preserve"> </w:t>
      </w:r>
      <w:r w:rsidRPr="001F63BA">
        <w:rPr>
          <w:rFonts w:ascii="GHEA Grapalat" w:hAnsi="GHEA Grapalat"/>
          <w:sz w:val="22"/>
          <w:szCs w:val="22"/>
          <w:lang w:val="en-US"/>
        </w:rPr>
        <w:t>անձանց</w:t>
      </w:r>
      <w:r w:rsidRPr="001F63BA">
        <w:rPr>
          <w:rFonts w:ascii="GHEA Grapalat" w:hAnsi="GHEA Grapalat"/>
          <w:sz w:val="22"/>
          <w:szCs w:val="22"/>
          <w:lang w:val="af-ZA"/>
        </w:rPr>
        <w:t xml:space="preserve"> </w:t>
      </w:r>
      <w:r w:rsidRPr="001F63BA">
        <w:rPr>
          <w:rFonts w:ascii="GHEA Grapalat" w:hAnsi="GHEA Grapalat"/>
          <w:sz w:val="22"/>
          <w:szCs w:val="22"/>
          <w:lang w:val="en-US"/>
        </w:rPr>
        <w:t>հանրակրթական</w:t>
      </w:r>
      <w:r w:rsidRPr="001F63BA">
        <w:rPr>
          <w:rFonts w:ascii="GHEA Grapalat" w:hAnsi="GHEA Grapalat"/>
          <w:sz w:val="22"/>
          <w:szCs w:val="22"/>
          <w:lang w:val="af-ZA"/>
        </w:rPr>
        <w:t xml:space="preserve"> </w:t>
      </w:r>
      <w:r w:rsidRPr="001F63BA">
        <w:rPr>
          <w:rFonts w:ascii="GHEA Grapalat" w:hAnsi="GHEA Grapalat"/>
          <w:sz w:val="22"/>
          <w:szCs w:val="22"/>
          <w:lang w:val="en-US"/>
        </w:rPr>
        <w:t>ընդհանուր</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ծրագրում</w:t>
      </w:r>
      <w:r w:rsidRPr="001F63BA">
        <w:rPr>
          <w:rFonts w:ascii="GHEA Grapalat" w:hAnsi="GHEA Grapalat"/>
          <w:sz w:val="22"/>
          <w:szCs w:val="22"/>
          <w:lang w:val="af-ZA"/>
        </w:rPr>
        <w:t xml:space="preserve"> </w:t>
      </w:r>
      <w:r w:rsidRPr="001F63BA">
        <w:rPr>
          <w:rFonts w:ascii="GHEA Grapalat" w:hAnsi="GHEA Grapalat"/>
          <w:sz w:val="22"/>
          <w:szCs w:val="22"/>
          <w:lang w:val="en-US"/>
        </w:rPr>
        <w:t>առկա</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3 </w:t>
      </w:r>
      <w:r w:rsidRPr="001F63BA">
        <w:rPr>
          <w:rFonts w:ascii="GHEA Grapalat" w:hAnsi="GHEA Grapalat"/>
          <w:sz w:val="22"/>
          <w:szCs w:val="22"/>
          <w:lang w:val="en-US"/>
        </w:rPr>
        <w:t>կալանավորված</w:t>
      </w:r>
      <w:r w:rsidRPr="001F63BA">
        <w:rPr>
          <w:rFonts w:ascii="GHEA Grapalat" w:hAnsi="GHEA Grapalat"/>
          <w:sz w:val="22"/>
          <w:szCs w:val="22"/>
          <w:lang w:val="af-ZA"/>
        </w:rPr>
        <w:t xml:space="preserve"> </w:t>
      </w:r>
      <w:r w:rsidRPr="001F63BA">
        <w:rPr>
          <w:rFonts w:ascii="GHEA Grapalat" w:hAnsi="GHEA Grapalat"/>
          <w:sz w:val="22"/>
          <w:szCs w:val="22"/>
          <w:lang w:val="en-US"/>
        </w:rPr>
        <w:t>անձ։</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lastRenderedPageBreak/>
        <w:t>Բացի</w:t>
      </w:r>
      <w:r w:rsidRPr="001F63BA">
        <w:rPr>
          <w:rFonts w:ascii="GHEA Grapalat" w:hAnsi="GHEA Grapalat"/>
          <w:sz w:val="22"/>
          <w:szCs w:val="22"/>
          <w:lang w:val="af-ZA"/>
        </w:rPr>
        <w:t xml:space="preserve"> </w:t>
      </w:r>
      <w:r w:rsidRPr="001F63BA">
        <w:rPr>
          <w:rFonts w:ascii="GHEA Grapalat" w:hAnsi="GHEA Grapalat"/>
          <w:sz w:val="22"/>
          <w:szCs w:val="22"/>
          <w:lang w:val="en-US"/>
        </w:rPr>
        <w:t>վերոգրյալից</w:t>
      </w:r>
      <w:r w:rsidRPr="001F63BA">
        <w:rPr>
          <w:rFonts w:ascii="GHEA Grapalat" w:hAnsi="GHEA Grapalat"/>
          <w:sz w:val="22"/>
          <w:szCs w:val="22"/>
          <w:lang w:val="af-ZA"/>
        </w:rPr>
        <w:t xml:space="preserve">, </w:t>
      </w:r>
      <w:r w:rsidRPr="001F63BA">
        <w:rPr>
          <w:rFonts w:ascii="GHEA Grapalat" w:hAnsi="GHEA Grapalat"/>
          <w:sz w:val="22"/>
          <w:szCs w:val="22"/>
          <w:lang w:val="en-US"/>
        </w:rPr>
        <w:t>ՔԿՀ</w:t>
      </w:r>
      <w:r w:rsidRPr="001F63BA">
        <w:rPr>
          <w:rFonts w:ascii="GHEA Grapalat" w:hAnsi="GHEA Grapalat"/>
          <w:sz w:val="22"/>
          <w:szCs w:val="22"/>
          <w:lang w:val="af-ZA"/>
        </w:rPr>
        <w:t>-</w:t>
      </w:r>
      <w:r w:rsidRPr="001F63BA">
        <w:rPr>
          <w:rFonts w:ascii="GHEA Grapalat" w:hAnsi="GHEA Grapalat"/>
          <w:sz w:val="22"/>
          <w:szCs w:val="22"/>
          <w:lang w:val="en-US"/>
        </w:rPr>
        <w:t>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ներդրվել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հեռաբժշկության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ծրագիրը</w:t>
      </w:r>
      <w:r w:rsidRPr="001F63BA">
        <w:rPr>
          <w:rFonts w:ascii="GHEA Grapalat" w:hAnsi="GHEA Grapalat"/>
          <w:sz w:val="22"/>
          <w:szCs w:val="22"/>
          <w:lang w:val="af-ZA"/>
        </w:rPr>
        <w:t xml:space="preserve">, </w:t>
      </w:r>
      <w:r w:rsidRPr="001F63BA">
        <w:rPr>
          <w:rFonts w:ascii="GHEA Grapalat" w:hAnsi="GHEA Grapalat"/>
          <w:sz w:val="22"/>
          <w:szCs w:val="22"/>
          <w:lang w:val="en-US"/>
        </w:rPr>
        <w:t>ձեռք</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բերվել</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սարքավորումներ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համակարգչային</w:t>
      </w:r>
      <w:r w:rsidRPr="001F63BA">
        <w:rPr>
          <w:rFonts w:ascii="GHEA Grapalat" w:hAnsi="GHEA Grapalat"/>
          <w:sz w:val="22"/>
          <w:szCs w:val="22"/>
          <w:lang w:val="af-ZA"/>
        </w:rPr>
        <w:t xml:space="preserve"> </w:t>
      </w:r>
      <w:r w:rsidRPr="001F63BA">
        <w:rPr>
          <w:rFonts w:ascii="GHEA Grapalat" w:hAnsi="GHEA Grapalat"/>
          <w:sz w:val="22"/>
          <w:szCs w:val="22"/>
          <w:lang w:val="en-US"/>
        </w:rPr>
        <w:t>տեխնիկա։</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Բարեփոխումներ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պրոբացիայի</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ծառայությունում։ 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Եվրոպայի</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համատեղ</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իրականացվող</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Հայաստանում</w:t>
      </w:r>
      <w:r w:rsidRPr="001F63BA">
        <w:rPr>
          <w:rFonts w:ascii="GHEA Grapalat" w:hAnsi="GHEA Grapalat"/>
          <w:sz w:val="22"/>
          <w:szCs w:val="22"/>
          <w:lang w:val="af-ZA"/>
        </w:rPr>
        <w:t xml:space="preserve"> </w:t>
      </w:r>
      <w:r w:rsidRPr="001F63BA">
        <w:rPr>
          <w:rFonts w:ascii="GHEA Grapalat" w:hAnsi="GHEA Grapalat"/>
          <w:sz w:val="22"/>
          <w:szCs w:val="22"/>
          <w:lang w:val="en-US"/>
        </w:rPr>
        <w:t>պրոբացիայի</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զարգացմանը</w:t>
      </w:r>
      <w:r w:rsidRPr="001F63BA">
        <w:rPr>
          <w:rFonts w:ascii="GHEA Grapalat" w:hAnsi="GHEA Grapalat"/>
          <w:sz w:val="22"/>
          <w:szCs w:val="22"/>
          <w:lang w:val="af-ZA"/>
        </w:rPr>
        <w:t xml:space="preserve">» </w:t>
      </w:r>
      <w:r w:rsidRPr="001F63BA">
        <w:rPr>
          <w:rFonts w:ascii="GHEA Grapalat" w:hAnsi="GHEA Grapalat"/>
          <w:sz w:val="22"/>
          <w:szCs w:val="22"/>
          <w:lang w:val="en-US"/>
        </w:rPr>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վերափոխվել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պրոբացիայի</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շահառուների</w:t>
      </w:r>
      <w:r w:rsidRPr="001F63BA">
        <w:rPr>
          <w:rFonts w:ascii="GHEA Grapalat" w:hAnsi="GHEA Grapalat"/>
          <w:sz w:val="22"/>
          <w:szCs w:val="22"/>
          <w:lang w:val="af-ZA"/>
        </w:rPr>
        <w:t xml:space="preserve"> </w:t>
      </w:r>
      <w:r w:rsidRPr="001F63BA">
        <w:rPr>
          <w:rFonts w:ascii="GHEA Grapalat" w:hAnsi="GHEA Grapalat"/>
          <w:sz w:val="22"/>
          <w:szCs w:val="22"/>
          <w:lang w:val="en-US"/>
        </w:rPr>
        <w:t>ռիսկերի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կարիքների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գնահատման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գործիքը</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Ձեռք</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բերվել</w:t>
      </w:r>
      <w:r w:rsidRPr="001F63BA">
        <w:rPr>
          <w:rFonts w:ascii="GHEA Grapalat" w:hAnsi="GHEA Grapalat"/>
          <w:sz w:val="22"/>
          <w:szCs w:val="22"/>
          <w:lang w:val="af-ZA"/>
        </w:rPr>
        <w:t xml:space="preserve"> </w:t>
      </w:r>
      <w:r w:rsidRPr="001F63BA">
        <w:rPr>
          <w:rFonts w:ascii="GHEA Grapalat" w:hAnsi="GHEA Grapalat"/>
          <w:sz w:val="22"/>
          <w:szCs w:val="22"/>
          <w:lang w:val="en-US"/>
        </w:rPr>
        <w:t>տնային</w:t>
      </w:r>
      <w:r w:rsidRPr="001F63BA">
        <w:rPr>
          <w:rFonts w:ascii="GHEA Grapalat" w:hAnsi="GHEA Grapalat"/>
          <w:sz w:val="22"/>
          <w:szCs w:val="22"/>
          <w:lang w:val="af-ZA"/>
        </w:rPr>
        <w:t xml:space="preserve"> </w:t>
      </w:r>
      <w:r w:rsidRPr="001F63BA">
        <w:rPr>
          <w:rFonts w:ascii="GHEA Grapalat" w:hAnsi="GHEA Grapalat"/>
          <w:sz w:val="22"/>
          <w:szCs w:val="22"/>
          <w:lang w:val="en-US"/>
        </w:rPr>
        <w:t>կալանք</w:t>
      </w:r>
      <w:r w:rsidRPr="001F63BA">
        <w:rPr>
          <w:rFonts w:ascii="GHEA Grapalat" w:hAnsi="GHEA Grapalat"/>
          <w:sz w:val="22"/>
          <w:szCs w:val="22"/>
          <w:lang w:val="af-ZA"/>
        </w:rPr>
        <w:t xml:space="preserve"> </w:t>
      </w:r>
      <w:r w:rsidRPr="001F63BA">
        <w:rPr>
          <w:rFonts w:ascii="GHEA Grapalat" w:hAnsi="GHEA Grapalat"/>
          <w:sz w:val="22"/>
          <w:szCs w:val="22"/>
          <w:lang w:val="en-US"/>
        </w:rPr>
        <w:t>խափանման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միջոցի</w:t>
      </w:r>
      <w:r w:rsidRPr="001F63BA">
        <w:rPr>
          <w:rFonts w:ascii="GHEA Grapalat" w:hAnsi="GHEA Grapalat"/>
          <w:sz w:val="22"/>
          <w:szCs w:val="22"/>
          <w:lang w:val="af-ZA"/>
        </w:rPr>
        <w:t xml:space="preserve"> </w:t>
      </w:r>
      <w:r w:rsidRPr="001F63BA">
        <w:rPr>
          <w:rFonts w:ascii="GHEA Grapalat" w:hAnsi="GHEA Grapalat"/>
          <w:sz w:val="22"/>
          <w:szCs w:val="22"/>
          <w:lang w:val="en-US"/>
        </w:rPr>
        <w:t>կիրառման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էլ</w:t>
      </w:r>
      <w:r w:rsidRPr="001F63BA">
        <w:rPr>
          <w:rFonts w:ascii="GHEA Grapalat" w:hAnsi="GHEA Grapalat"/>
          <w:sz w:val="22"/>
          <w:szCs w:val="22"/>
          <w:lang w:val="af-ZA"/>
        </w:rPr>
        <w:t xml:space="preserve">. </w:t>
      </w:r>
      <w:r w:rsidRPr="001F63BA">
        <w:rPr>
          <w:rFonts w:ascii="GHEA Grapalat" w:hAnsi="GHEA Grapalat"/>
          <w:sz w:val="22"/>
          <w:szCs w:val="22"/>
          <w:lang w:val="en-US"/>
        </w:rPr>
        <w:t>մոնիթորինգի</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w:t>
      </w:r>
      <w:r w:rsidRPr="001F63BA">
        <w:rPr>
          <w:rFonts w:ascii="GHEA Grapalat" w:hAnsi="GHEA Grapalat"/>
          <w:sz w:val="22"/>
          <w:szCs w:val="22"/>
          <w:lang w:val="af-ZA"/>
        </w:rPr>
        <w:t xml:space="preserve"> (200 </w:t>
      </w:r>
      <w:r w:rsidRPr="001F63BA">
        <w:rPr>
          <w:rFonts w:ascii="GHEA Grapalat" w:hAnsi="GHEA Grapalat"/>
          <w:sz w:val="22"/>
          <w:szCs w:val="22"/>
          <w:lang w:val="en-US"/>
        </w:rPr>
        <w:t>միավոր</w:t>
      </w:r>
      <w:r w:rsidRPr="001F63BA">
        <w:rPr>
          <w:rFonts w:ascii="GHEA Grapalat" w:hAnsi="GHEA Grapalat"/>
          <w:sz w:val="22"/>
          <w:szCs w:val="22"/>
          <w:lang w:val="af-ZA"/>
        </w:rPr>
        <w:t>)</w:t>
      </w:r>
      <w:r w:rsidRPr="001F63BA">
        <w:rPr>
          <w:rFonts w:ascii="GHEA Grapalat" w:hAnsi="GHEA Grapalat"/>
          <w:sz w:val="22"/>
          <w:szCs w:val="22"/>
          <w:lang w:val="en-US"/>
        </w:rPr>
        <w:t>։</w:t>
      </w:r>
      <w:r w:rsidRPr="001F63BA">
        <w:rPr>
          <w:rFonts w:ascii="GHEA Grapalat" w:hAnsi="GHEA Grapalat"/>
          <w:sz w:val="22"/>
          <w:szCs w:val="22"/>
          <w:lang w:val="af-ZA"/>
        </w:rPr>
        <w:t xml:space="preserve"> </w:t>
      </w:r>
      <w:r w:rsidRPr="001F63BA">
        <w:rPr>
          <w:rFonts w:ascii="GHEA Grapalat" w:hAnsi="GHEA Grapalat"/>
          <w:sz w:val="22"/>
          <w:szCs w:val="22"/>
          <w:lang w:val="en-US"/>
        </w:rPr>
        <w:t>Էլեկտրոնային</w:t>
      </w:r>
      <w:r w:rsidRPr="001F63BA">
        <w:rPr>
          <w:rFonts w:ascii="GHEA Grapalat" w:hAnsi="GHEA Grapalat"/>
          <w:sz w:val="22"/>
          <w:szCs w:val="22"/>
          <w:lang w:val="af-ZA"/>
        </w:rPr>
        <w:t xml:space="preserve"> </w:t>
      </w:r>
      <w:r w:rsidRPr="001F63BA">
        <w:rPr>
          <w:rFonts w:ascii="GHEA Grapalat" w:hAnsi="GHEA Grapalat"/>
          <w:sz w:val="22"/>
          <w:szCs w:val="22"/>
          <w:lang w:val="en-US"/>
        </w:rPr>
        <w:t>հսկողությունն</w:t>
      </w:r>
      <w:r w:rsidRPr="001F63BA">
        <w:rPr>
          <w:rFonts w:ascii="GHEA Grapalat" w:hAnsi="GHEA Grapalat"/>
          <w:sz w:val="22"/>
          <w:szCs w:val="22"/>
          <w:lang w:val="af-ZA"/>
        </w:rPr>
        <w:t xml:space="preserve"> </w:t>
      </w:r>
      <w:r w:rsidRPr="001F63BA">
        <w:rPr>
          <w:rFonts w:ascii="GHEA Grapalat" w:hAnsi="GHEA Grapalat"/>
          <w:sz w:val="22"/>
          <w:szCs w:val="22"/>
          <w:lang w:val="en-US"/>
        </w:rPr>
        <w:t>անհրաժեշտ</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կալանքին</w:t>
      </w:r>
      <w:r w:rsidRPr="001F63BA">
        <w:rPr>
          <w:rFonts w:ascii="GHEA Grapalat" w:hAnsi="GHEA Grapalat"/>
          <w:sz w:val="22"/>
          <w:szCs w:val="22"/>
          <w:lang w:val="af-ZA"/>
        </w:rPr>
        <w:t xml:space="preserve"> </w:t>
      </w:r>
      <w:r w:rsidRPr="001F63BA">
        <w:rPr>
          <w:rFonts w:ascii="GHEA Grapalat" w:hAnsi="GHEA Grapalat"/>
          <w:sz w:val="22"/>
          <w:szCs w:val="22"/>
          <w:lang w:val="en-US"/>
        </w:rPr>
        <w:t>այլընտրանք</w:t>
      </w:r>
      <w:r w:rsidRPr="001F63BA">
        <w:rPr>
          <w:rFonts w:ascii="GHEA Grapalat" w:hAnsi="GHEA Grapalat"/>
          <w:sz w:val="22"/>
          <w:szCs w:val="22"/>
          <w:lang w:val="af-ZA"/>
        </w:rPr>
        <w:t xml:space="preserve"> </w:t>
      </w:r>
      <w:r w:rsidRPr="001F63BA">
        <w:rPr>
          <w:rFonts w:ascii="GHEA Grapalat" w:hAnsi="GHEA Grapalat"/>
          <w:sz w:val="22"/>
          <w:szCs w:val="22"/>
          <w:lang w:val="en-US"/>
        </w:rPr>
        <w:t>հանդիսացող</w:t>
      </w:r>
      <w:r w:rsidRPr="001F63BA">
        <w:rPr>
          <w:rFonts w:ascii="GHEA Grapalat" w:hAnsi="GHEA Grapalat"/>
          <w:sz w:val="22"/>
          <w:szCs w:val="22"/>
          <w:lang w:val="af-ZA"/>
        </w:rPr>
        <w:t xml:space="preserve"> </w:t>
      </w:r>
      <w:r w:rsidRPr="001F63BA">
        <w:rPr>
          <w:rFonts w:ascii="GHEA Grapalat" w:hAnsi="GHEA Grapalat"/>
          <w:sz w:val="22"/>
          <w:szCs w:val="22"/>
          <w:lang w:val="en-US"/>
        </w:rPr>
        <w:t>խափանման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տնային</w:t>
      </w:r>
      <w:r w:rsidRPr="001F63BA">
        <w:rPr>
          <w:rFonts w:ascii="GHEA Grapalat" w:hAnsi="GHEA Grapalat"/>
          <w:sz w:val="22"/>
          <w:szCs w:val="22"/>
          <w:lang w:val="af-ZA"/>
        </w:rPr>
        <w:t xml:space="preserve"> </w:t>
      </w:r>
      <w:r w:rsidRPr="001F63BA">
        <w:rPr>
          <w:rFonts w:ascii="GHEA Grapalat" w:hAnsi="GHEA Grapalat"/>
          <w:sz w:val="22"/>
          <w:szCs w:val="22"/>
          <w:lang w:val="en-US"/>
        </w:rPr>
        <w:t>կալանք</w:t>
      </w:r>
      <w:r w:rsidRPr="001F63BA">
        <w:rPr>
          <w:rFonts w:ascii="GHEA Grapalat" w:hAnsi="GHEA Grapalat"/>
          <w:sz w:val="22"/>
          <w:szCs w:val="22"/>
          <w:lang w:val="af-ZA"/>
        </w:rPr>
        <w:t xml:space="preserve">, </w:t>
      </w:r>
      <w:r w:rsidRPr="001F63BA">
        <w:rPr>
          <w:rFonts w:ascii="GHEA Grapalat" w:hAnsi="GHEA Grapalat"/>
          <w:sz w:val="22"/>
          <w:szCs w:val="22"/>
          <w:lang w:val="en-US"/>
        </w:rPr>
        <w:t>վարչական</w:t>
      </w:r>
      <w:r w:rsidRPr="001F63BA">
        <w:rPr>
          <w:rFonts w:ascii="GHEA Grapalat" w:hAnsi="GHEA Grapalat"/>
          <w:sz w:val="22"/>
          <w:szCs w:val="22"/>
          <w:lang w:val="af-ZA"/>
        </w:rPr>
        <w:t xml:space="preserve"> </w:t>
      </w:r>
      <w:r w:rsidRPr="001F63BA">
        <w:rPr>
          <w:rFonts w:ascii="GHEA Grapalat" w:hAnsi="GHEA Grapalat"/>
          <w:sz w:val="22"/>
          <w:szCs w:val="22"/>
          <w:lang w:val="en-US"/>
        </w:rPr>
        <w:t>հսկողություն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կիրառման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ազատազրկման</w:t>
      </w:r>
      <w:r w:rsidRPr="001F63BA">
        <w:rPr>
          <w:rFonts w:ascii="GHEA Grapalat" w:hAnsi="GHEA Grapalat"/>
          <w:sz w:val="22"/>
          <w:szCs w:val="22"/>
          <w:lang w:val="af-ZA"/>
        </w:rPr>
        <w:t xml:space="preserve"> </w:t>
      </w:r>
      <w:r w:rsidRPr="001F63BA">
        <w:rPr>
          <w:rFonts w:ascii="GHEA Grapalat" w:hAnsi="GHEA Grapalat"/>
          <w:sz w:val="22"/>
          <w:szCs w:val="22"/>
          <w:lang w:val="en-US"/>
        </w:rPr>
        <w:t>այլընտրանք</w:t>
      </w:r>
      <w:r w:rsidRPr="001F63BA">
        <w:rPr>
          <w:rFonts w:ascii="GHEA Grapalat" w:hAnsi="GHEA Grapalat"/>
          <w:sz w:val="22"/>
          <w:szCs w:val="22"/>
          <w:lang w:val="af-ZA"/>
        </w:rPr>
        <w:t xml:space="preserve"> </w:t>
      </w:r>
      <w:r w:rsidRPr="001F63BA">
        <w:rPr>
          <w:rFonts w:ascii="GHEA Grapalat" w:hAnsi="GHEA Grapalat"/>
          <w:sz w:val="22"/>
          <w:szCs w:val="22"/>
          <w:lang w:val="en-US"/>
        </w:rPr>
        <w:t>հանդիսացող</w:t>
      </w:r>
      <w:r w:rsidRPr="001F63BA">
        <w:rPr>
          <w:rFonts w:ascii="GHEA Grapalat" w:hAnsi="GHEA Grapalat"/>
          <w:sz w:val="22"/>
          <w:szCs w:val="22"/>
          <w:lang w:val="af-ZA"/>
        </w:rPr>
        <w:t xml:space="preserve"> </w:t>
      </w:r>
      <w:r w:rsidRPr="001F63BA">
        <w:rPr>
          <w:rFonts w:ascii="GHEA Grapalat" w:hAnsi="GHEA Grapalat"/>
          <w:sz w:val="22"/>
          <w:szCs w:val="22"/>
          <w:lang w:val="en-US"/>
        </w:rPr>
        <w:t>պատժի</w:t>
      </w:r>
      <w:r w:rsidRPr="001F63BA">
        <w:rPr>
          <w:rFonts w:ascii="GHEA Grapalat" w:hAnsi="GHEA Grapalat"/>
          <w:sz w:val="22"/>
          <w:szCs w:val="22"/>
          <w:lang w:val="af-ZA"/>
        </w:rPr>
        <w:t xml:space="preserve"> (</w:t>
      </w:r>
      <w:r w:rsidRPr="001F63BA">
        <w:rPr>
          <w:rFonts w:ascii="GHEA Grapalat" w:hAnsi="GHEA Grapalat"/>
          <w:sz w:val="22"/>
          <w:szCs w:val="22"/>
          <w:lang w:val="en-US"/>
        </w:rPr>
        <w:t>ազատության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սահմանափակում</w:t>
      </w:r>
      <w:r w:rsidRPr="001F63BA">
        <w:rPr>
          <w:rFonts w:ascii="GHEA Grapalat" w:hAnsi="GHEA Grapalat"/>
          <w:sz w:val="22"/>
          <w:szCs w:val="22"/>
          <w:lang w:val="af-ZA"/>
        </w:rPr>
        <w:t xml:space="preserve">) </w:t>
      </w:r>
      <w:r w:rsidRPr="001F63BA">
        <w:rPr>
          <w:rFonts w:ascii="GHEA Grapalat" w:hAnsi="GHEA Grapalat"/>
          <w:sz w:val="22"/>
          <w:szCs w:val="22"/>
          <w:lang w:val="en-US"/>
        </w:rPr>
        <w:t>կատարման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Պրոբացիայի</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գործունեության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արդյունավետությունը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բարձրացնելու</w:t>
      </w:r>
      <w:r w:rsidRPr="001F63BA">
        <w:rPr>
          <w:rFonts w:ascii="GHEA Grapalat" w:hAnsi="GHEA Grapalat"/>
          <w:sz w:val="22"/>
          <w:szCs w:val="22"/>
          <w:lang w:val="af-ZA"/>
        </w:rPr>
        <w:t xml:space="preserve">, </w:t>
      </w:r>
      <w:r w:rsidRPr="001F63BA">
        <w:rPr>
          <w:rFonts w:ascii="GHEA Grapalat" w:hAnsi="GHEA Grapalat"/>
          <w:sz w:val="22"/>
          <w:szCs w:val="22"/>
          <w:lang w:val="en-US"/>
        </w:rPr>
        <w:t>փաստաթղթաշրջանառությունը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կրճատելու</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շահառուների</w:t>
      </w:r>
      <w:r w:rsidRPr="001F63BA">
        <w:rPr>
          <w:rFonts w:ascii="GHEA Grapalat" w:hAnsi="GHEA Grapalat"/>
          <w:sz w:val="22"/>
          <w:szCs w:val="22"/>
          <w:lang w:val="af-ZA"/>
        </w:rPr>
        <w:t xml:space="preserve"> </w:t>
      </w:r>
      <w:r w:rsidRPr="001F63BA">
        <w:rPr>
          <w:rFonts w:ascii="GHEA Grapalat" w:hAnsi="GHEA Grapalat"/>
          <w:sz w:val="22"/>
          <w:szCs w:val="22"/>
          <w:lang w:val="en-US"/>
        </w:rPr>
        <w:t>անձնական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գործերն</w:t>
      </w:r>
      <w:r w:rsidRPr="001F63BA">
        <w:rPr>
          <w:rFonts w:ascii="GHEA Grapalat" w:hAnsi="GHEA Grapalat"/>
          <w:sz w:val="22"/>
          <w:szCs w:val="22"/>
          <w:lang w:val="af-ZA"/>
        </w:rPr>
        <w:t xml:space="preserve"> </w:t>
      </w:r>
      <w:r w:rsidRPr="001F63BA">
        <w:rPr>
          <w:rFonts w:ascii="GHEA Grapalat" w:hAnsi="GHEA Grapalat"/>
          <w:sz w:val="22"/>
          <w:szCs w:val="22"/>
          <w:lang w:val="en-US"/>
        </w:rPr>
        <w:t>էլեկտրոնային</w:t>
      </w:r>
      <w:r w:rsidRPr="001F63BA">
        <w:rPr>
          <w:rFonts w:ascii="GHEA Grapalat" w:hAnsi="GHEA Grapalat"/>
          <w:sz w:val="22"/>
          <w:szCs w:val="22"/>
          <w:lang w:val="af-ZA"/>
        </w:rPr>
        <w:t xml:space="preserve"> </w:t>
      </w:r>
      <w:r w:rsidRPr="001F63BA">
        <w:rPr>
          <w:rFonts w:ascii="GHEA Grapalat" w:hAnsi="GHEA Grapalat"/>
          <w:sz w:val="22"/>
          <w:szCs w:val="22"/>
          <w:lang w:val="en-US"/>
        </w:rPr>
        <w:t>եղանակով</w:t>
      </w:r>
      <w:r w:rsidRPr="001F63BA">
        <w:rPr>
          <w:rFonts w:ascii="GHEA Grapalat" w:hAnsi="GHEA Grapalat"/>
          <w:sz w:val="22"/>
          <w:szCs w:val="22"/>
          <w:lang w:val="af-ZA"/>
        </w:rPr>
        <w:t xml:space="preserve"> </w:t>
      </w:r>
      <w:r w:rsidRPr="001F63BA">
        <w:rPr>
          <w:rFonts w:ascii="GHEA Grapalat" w:hAnsi="GHEA Grapalat"/>
          <w:sz w:val="22"/>
          <w:szCs w:val="22"/>
          <w:lang w:val="en-US"/>
        </w:rPr>
        <w:t>վարելու</w:t>
      </w:r>
      <w:r w:rsidRPr="001F63BA">
        <w:rPr>
          <w:rFonts w:ascii="GHEA Grapalat" w:hAnsi="GHEA Grapalat"/>
          <w:sz w:val="22"/>
          <w:szCs w:val="22"/>
          <w:lang w:val="af-ZA"/>
        </w:rPr>
        <w:t xml:space="preserve">, </w:t>
      </w:r>
      <w:r w:rsidRPr="001F63BA">
        <w:rPr>
          <w:rFonts w:ascii="GHEA Grapalat" w:hAnsi="GHEA Grapalat"/>
          <w:sz w:val="22"/>
          <w:szCs w:val="22"/>
          <w:lang w:val="en-US"/>
        </w:rPr>
        <w:t>ներբեռնված</w:t>
      </w:r>
      <w:r w:rsidRPr="001F63BA">
        <w:rPr>
          <w:rFonts w:ascii="GHEA Grapalat" w:hAnsi="GHEA Grapalat"/>
          <w:sz w:val="22"/>
          <w:szCs w:val="22"/>
          <w:lang w:val="af-ZA"/>
        </w:rPr>
        <w:t xml:space="preserve"> </w:t>
      </w:r>
      <w:r w:rsidRPr="001F63BA">
        <w:rPr>
          <w:rFonts w:ascii="GHEA Grapalat" w:hAnsi="GHEA Grapalat"/>
          <w:sz w:val="22"/>
          <w:szCs w:val="22"/>
          <w:lang w:val="en-US"/>
        </w:rPr>
        <w:t>տվյալների</w:t>
      </w:r>
      <w:r w:rsidRPr="001F63BA">
        <w:rPr>
          <w:rFonts w:ascii="GHEA Grapalat" w:hAnsi="GHEA Grapalat"/>
          <w:sz w:val="22"/>
          <w:szCs w:val="22"/>
          <w:lang w:val="af-ZA"/>
        </w:rPr>
        <w:t xml:space="preserve"> </w:t>
      </w:r>
      <w:r w:rsidRPr="001F63BA">
        <w:rPr>
          <w:rFonts w:ascii="GHEA Grapalat" w:hAnsi="GHEA Grapalat"/>
          <w:sz w:val="22"/>
          <w:szCs w:val="22"/>
          <w:lang w:val="en-US"/>
        </w:rPr>
        <w:t>հիման</w:t>
      </w:r>
      <w:r w:rsidRPr="001F63BA">
        <w:rPr>
          <w:rFonts w:ascii="GHEA Grapalat" w:hAnsi="GHEA Grapalat"/>
          <w:sz w:val="22"/>
          <w:szCs w:val="22"/>
          <w:lang w:val="af-ZA"/>
        </w:rPr>
        <w:t xml:space="preserve"> </w:t>
      </w:r>
      <w:r w:rsidRPr="001F63BA">
        <w:rPr>
          <w:rFonts w:ascii="GHEA Grapalat" w:hAnsi="GHEA Grapalat"/>
          <w:sz w:val="22"/>
          <w:szCs w:val="22"/>
          <w:lang w:val="en-US"/>
        </w:rPr>
        <w:t>վրա</w:t>
      </w:r>
      <w:r w:rsidRPr="001F63BA">
        <w:rPr>
          <w:rFonts w:ascii="GHEA Grapalat" w:hAnsi="GHEA Grapalat"/>
          <w:sz w:val="22"/>
          <w:szCs w:val="22"/>
          <w:lang w:val="af-ZA"/>
        </w:rPr>
        <w:t xml:space="preserve"> </w:t>
      </w:r>
      <w:r w:rsidRPr="001F63BA">
        <w:rPr>
          <w:rFonts w:ascii="GHEA Grapalat" w:hAnsi="GHEA Grapalat"/>
          <w:sz w:val="22"/>
          <w:szCs w:val="22"/>
          <w:lang w:val="en-US"/>
        </w:rPr>
        <w:t>վիճակագրություն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վարելու</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արդյունավետ</w:t>
      </w:r>
      <w:r w:rsidRPr="001F63BA">
        <w:rPr>
          <w:rFonts w:ascii="GHEA Grapalat" w:hAnsi="GHEA Grapalat"/>
          <w:sz w:val="22"/>
          <w:szCs w:val="22"/>
          <w:lang w:val="af-ZA"/>
        </w:rPr>
        <w:t xml:space="preserve">, </w:t>
      </w:r>
      <w:r w:rsidRPr="001F63BA">
        <w:rPr>
          <w:rFonts w:ascii="GHEA Grapalat" w:hAnsi="GHEA Grapalat"/>
          <w:sz w:val="22"/>
          <w:szCs w:val="22"/>
          <w:lang w:val="en-US"/>
        </w:rPr>
        <w:t>թափանցիկ</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հաշվետու</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կառավարում</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իրականացնելու</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Հայաստանի</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պրոբացիայի</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ծառայությունում</w:t>
      </w:r>
      <w:r w:rsidRPr="001F63BA">
        <w:rPr>
          <w:rFonts w:ascii="GHEA Grapalat" w:hAnsi="GHEA Grapalat"/>
          <w:sz w:val="22"/>
          <w:szCs w:val="22"/>
          <w:lang w:val="af-ZA"/>
        </w:rPr>
        <w:t xml:space="preserve"> </w:t>
      </w:r>
      <w:r w:rsidRPr="001F63BA">
        <w:rPr>
          <w:rFonts w:ascii="GHEA Grapalat" w:hAnsi="GHEA Grapalat"/>
          <w:sz w:val="22"/>
          <w:szCs w:val="22"/>
          <w:lang w:val="en-US"/>
        </w:rPr>
        <w:t>Եվրոպայի</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հետ</w:t>
      </w:r>
      <w:r w:rsidRPr="001F63BA">
        <w:rPr>
          <w:rFonts w:ascii="GHEA Grapalat" w:hAnsi="GHEA Grapalat"/>
          <w:sz w:val="22"/>
          <w:szCs w:val="22"/>
          <w:lang w:val="af-ZA"/>
        </w:rPr>
        <w:t xml:space="preserve"> </w:t>
      </w:r>
      <w:r w:rsidRPr="001F63BA">
        <w:rPr>
          <w:rFonts w:ascii="GHEA Grapalat" w:hAnsi="GHEA Grapalat"/>
          <w:sz w:val="22"/>
          <w:szCs w:val="22"/>
          <w:lang w:val="en-US"/>
        </w:rPr>
        <w:t>կնքված</w:t>
      </w:r>
      <w:r w:rsidRPr="001F63BA">
        <w:rPr>
          <w:rFonts w:ascii="GHEA Grapalat" w:hAnsi="GHEA Grapalat"/>
          <w:sz w:val="22"/>
          <w:szCs w:val="22"/>
          <w:lang w:val="af-ZA"/>
        </w:rPr>
        <w:t xml:space="preserve"> BH8670-2022-3 </w:t>
      </w:r>
      <w:r w:rsidRPr="001F63BA">
        <w:rPr>
          <w:rFonts w:ascii="GHEA Grapalat" w:hAnsi="GHEA Grapalat"/>
          <w:sz w:val="22"/>
          <w:szCs w:val="22"/>
          <w:lang w:val="en-US"/>
        </w:rPr>
        <w:t>պայմանագրի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ծառայությունում</w:t>
      </w:r>
      <w:r w:rsidRPr="001F63BA">
        <w:rPr>
          <w:rFonts w:ascii="GHEA Grapalat" w:hAnsi="GHEA Grapalat"/>
          <w:sz w:val="22"/>
          <w:szCs w:val="22"/>
          <w:lang w:val="af-ZA"/>
        </w:rPr>
        <w:t xml:space="preserve"> </w:t>
      </w:r>
      <w:r w:rsidRPr="001F63BA">
        <w:rPr>
          <w:rFonts w:ascii="GHEA Grapalat" w:hAnsi="GHEA Grapalat"/>
          <w:sz w:val="22"/>
          <w:szCs w:val="22"/>
          <w:lang w:val="en-US"/>
        </w:rPr>
        <w:t>արդեն</w:t>
      </w:r>
      <w:r w:rsidRPr="001F63BA">
        <w:rPr>
          <w:rFonts w:ascii="GHEA Grapalat" w:hAnsi="GHEA Grapalat"/>
          <w:sz w:val="22"/>
          <w:szCs w:val="22"/>
          <w:lang w:val="af-ZA"/>
        </w:rPr>
        <w:t xml:space="preserve"> </w:t>
      </w:r>
      <w:r w:rsidRPr="001F63BA">
        <w:rPr>
          <w:rFonts w:ascii="GHEA Grapalat" w:hAnsi="GHEA Grapalat"/>
          <w:sz w:val="22"/>
          <w:szCs w:val="22"/>
          <w:lang w:val="en-US"/>
        </w:rPr>
        <w:t>իսկ</w:t>
      </w:r>
      <w:r w:rsidRPr="001F63BA">
        <w:rPr>
          <w:rFonts w:ascii="GHEA Grapalat" w:hAnsi="GHEA Grapalat"/>
          <w:sz w:val="22"/>
          <w:szCs w:val="22"/>
          <w:lang w:val="af-ZA"/>
        </w:rPr>
        <w:t xml:space="preserve"> </w:t>
      </w:r>
      <w:r w:rsidRPr="001F63BA">
        <w:rPr>
          <w:rFonts w:ascii="GHEA Grapalat" w:hAnsi="GHEA Grapalat"/>
          <w:sz w:val="22"/>
          <w:szCs w:val="22"/>
          <w:lang w:val="en-US"/>
        </w:rPr>
        <w:t>ներդրվել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գործարկվել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«e-probation» </w:t>
      </w:r>
      <w:r w:rsidRPr="001F63BA">
        <w:rPr>
          <w:rFonts w:ascii="GHEA Grapalat" w:hAnsi="GHEA Grapalat"/>
          <w:sz w:val="22"/>
          <w:szCs w:val="22"/>
          <w:lang w:val="en-US"/>
        </w:rPr>
        <w:t>էլեկտրոնային</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համակարգը։</w:t>
      </w:r>
    </w:p>
    <w:p w:rsidR="001C411D" w:rsidRPr="001F63BA" w:rsidRDefault="001C411D" w:rsidP="00BF34F9">
      <w:pPr>
        <w:spacing w:line="360" w:lineRule="auto"/>
        <w:ind w:firstLine="567"/>
        <w:jc w:val="both"/>
        <w:rPr>
          <w:rFonts w:ascii="GHEA Grapalat" w:hAnsi="GHEA Grapalat"/>
          <w:sz w:val="22"/>
          <w:szCs w:val="22"/>
          <w:lang w:val="af-ZA"/>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Ներման ոլորտ</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2022 թվականին 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ներկայացվել</w:t>
      </w:r>
      <w:r w:rsidRPr="001F63BA">
        <w:rPr>
          <w:rFonts w:ascii="GHEA Grapalat" w:hAnsi="GHEA Grapalat"/>
          <w:sz w:val="22"/>
          <w:szCs w:val="22"/>
          <w:lang w:val="af-ZA"/>
        </w:rPr>
        <w:t xml:space="preserve"> 36 </w:t>
      </w:r>
      <w:r w:rsidRPr="001F63BA">
        <w:rPr>
          <w:rFonts w:ascii="GHEA Grapalat" w:hAnsi="GHEA Grapalat"/>
          <w:sz w:val="22"/>
          <w:szCs w:val="22"/>
          <w:lang w:val="en-US"/>
        </w:rPr>
        <w:t>ներման</w:t>
      </w:r>
      <w:r w:rsidRPr="001F63BA">
        <w:rPr>
          <w:rFonts w:ascii="GHEA Grapalat" w:hAnsi="GHEA Grapalat"/>
          <w:sz w:val="22"/>
          <w:szCs w:val="22"/>
          <w:lang w:val="af-ZA"/>
        </w:rPr>
        <w:t xml:space="preserve"> </w:t>
      </w:r>
      <w:r w:rsidRPr="001F63BA">
        <w:rPr>
          <w:rFonts w:ascii="GHEA Grapalat" w:hAnsi="GHEA Grapalat"/>
          <w:sz w:val="22"/>
          <w:szCs w:val="22"/>
          <w:lang w:val="en-US"/>
        </w:rPr>
        <w:t>խնդրագիր</w:t>
      </w:r>
      <w:r w:rsidRPr="001F63BA">
        <w:rPr>
          <w:rFonts w:ascii="GHEA Grapalat" w:hAnsi="GHEA Grapalat"/>
          <w:sz w:val="22"/>
          <w:szCs w:val="22"/>
          <w:lang w:val="af-ZA"/>
        </w:rPr>
        <w:t xml:space="preserve">: </w:t>
      </w:r>
      <w:r w:rsidRPr="001F63BA">
        <w:rPr>
          <w:rFonts w:ascii="GHEA Grapalat" w:hAnsi="GHEA Grapalat"/>
          <w:sz w:val="22"/>
          <w:szCs w:val="22"/>
          <w:lang w:val="en-US"/>
        </w:rPr>
        <w:t>Ներման</w:t>
      </w:r>
      <w:r w:rsidRPr="001F63BA">
        <w:rPr>
          <w:rFonts w:ascii="GHEA Grapalat" w:hAnsi="GHEA Grapalat"/>
          <w:sz w:val="22"/>
          <w:szCs w:val="22"/>
          <w:lang w:val="af-ZA"/>
        </w:rPr>
        <w:t xml:space="preserve"> </w:t>
      </w:r>
      <w:r w:rsidRPr="001F63BA">
        <w:rPr>
          <w:rFonts w:ascii="GHEA Grapalat" w:hAnsi="GHEA Grapalat"/>
          <w:sz w:val="22"/>
          <w:szCs w:val="22"/>
          <w:lang w:val="en-US"/>
        </w:rPr>
        <w:t>խնդրագրեր</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ներկայացրած</w:t>
      </w:r>
      <w:r w:rsidRPr="001F63BA">
        <w:rPr>
          <w:rFonts w:ascii="GHEA Grapalat" w:hAnsi="GHEA Grapalat"/>
          <w:sz w:val="22"/>
          <w:szCs w:val="22"/>
          <w:lang w:val="af-ZA"/>
        </w:rPr>
        <w:t xml:space="preserve"> </w:t>
      </w:r>
      <w:r w:rsidRPr="001F63BA">
        <w:rPr>
          <w:rFonts w:ascii="GHEA Grapalat" w:hAnsi="GHEA Grapalat"/>
          <w:sz w:val="22"/>
          <w:szCs w:val="22"/>
          <w:lang w:val="en-US"/>
        </w:rPr>
        <w:t>անձանց</w:t>
      </w:r>
      <w:r w:rsidRPr="001F63BA">
        <w:rPr>
          <w:rFonts w:ascii="GHEA Grapalat" w:hAnsi="GHEA Grapalat"/>
          <w:sz w:val="22"/>
          <w:szCs w:val="22"/>
          <w:lang w:val="af-ZA"/>
        </w:rPr>
        <w:t xml:space="preserve"> </w:t>
      </w:r>
      <w:r w:rsidRPr="001F63BA">
        <w:rPr>
          <w:rFonts w:ascii="GHEA Grapalat" w:hAnsi="GHEA Grapalat"/>
          <w:sz w:val="22"/>
          <w:szCs w:val="22"/>
          <w:lang w:val="en-US"/>
        </w:rPr>
        <w:t>վերաբերյալ</w:t>
      </w:r>
      <w:r w:rsidRPr="001F63BA">
        <w:rPr>
          <w:rFonts w:ascii="GHEA Grapalat" w:hAnsi="GHEA Grapalat"/>
          <w:sz w:val="22"/>
          <w:szCs w:val="22"/>
          <w:lang w:val="af-ZA"/>
        </w:rPr>
        <w:t xml:space="preserve"> </w:t>
      </w:r>
      <w:r w:rsidRPr="001F63BA">
        <w:rPr>
          <w:rFonts w:ascii="GHEA Grapalat" w:hAnsi="GHEA Grapalat"/>
          <w:sz w:val="22"/>
          <w:szCs w:val="22"/>
          <w:lang w:val="en-US"/>
        </w:rPr>
        <w:t>կազմվել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Վարչապետի</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աշխատակազմ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ներկայացվել</w:t>
      </w:r>
      <w:r w:rsidRPr="001F63BA">
        <w:rPr>
          <w:rFonts w:ascii="GHEA Grapalat" w:hAnsi="GHEA Grapalat"/>
          <w:sz w:val="22"/>
          <w:szCs w:val="22"/>
          <w:lang w:val="af-ZA"/>
        </w:rPr>
        <w:t xml:space="preserve"> 38 </w:t>
      </w:r>
      <w:r w:rsidRPr="001F63BA">
        <w:rPr>
          <w:rFonts w:ascii="GHEA Grapalat" w:hAnsi="GHEA Grapalat"/>
          <w:sz w:val="22"/>
          <w:szCs w:val="22"/>
          <w:lang w:val="en-US"/>
        </w:rPr>
        <w:t>անձնական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w:t>
      </w:r>
      <w:r w:rsidRPr="001F63BA">
        <w:rPr>
          <w:rFonts w:ascii="GHEA Grapalat" w:hAnsi="GHEA Grapalat"/>
          <w:sz w:val="22"/>
          <w:szCs w:val="22"/>
          <w:lang w:val="af-ZA"/>
        </w:rPr>
        <w:t xml:space="preserve"> </w:t>
      </w:r>
      <w:r w:rsidRPr="001F63BA">
        <w:rPr>
          <w:rFonts w:ascii="GHEA Grapalat" w:hAnsi="GHEA Grapalat"/>
          <w:sz w:val="22"/>
          <w:szCs w:val="22"/>
          <w:lang w:val="en-US"/>
        </w:rPr>
        <w:t>ներման</w:t>
      </w:r>
      <w:r w:rsidRPr="001F63BA">
        <w:rPr>
          <w:rFonts w:ascii="GHEA Grapalat" w:hAnsi="GHEA Grapalat"/>
          <w:sz w:val="22"/>
          <w:szCs w:val="22"/>
          <w:lang w:val="af-ZA"/>
        </w:rPr>
        <w:t xml:space="preserve"> </w:t>
      </w:r>
      <w:r w:rsidRPr="001F63BA">
        <w:rPr>
          <w:rFonts w:ascii="GHEA Grapalat" w:hAnsi="GHEA Grapalat"/>
          <w:sz w:val="22"/>
          <w:szCs w:val="22"/>
          <w:lang w:val="en-US"/>
        </w:rPr>
        <w:t>խնդրագրերի</w:t>
      </w:r>
      <w:r w:rsidRPr="001F63BA">
        <w:rPr>
          <w:rFonts w:ascii="GHEA Grapalat" w:hAnsi="GHEA Grapalat"/>
          <w:sz w:val="22"/>
          <w:szCs w:val="22"/>
          <w:lang w:val="af-ZA"/>
        </w:rPr>
        <w:t xml:space="preserve"> </w:t>
      </w:r>
      <w:r w:rsidRPr="001F63BA">
        <w:rPr>
          <w:rFonts w:ascii="GHEA Grapalat" w:hAnsi="GHEA Grapalat"/>
          <w:sz w:val="22"/>
          <w:szCs w:val="22"/>
          <w:lang w:val="en-US"/>
        </w:rPr>
        <w:t>հետագա</w:t>
      </w:r>
      <w:r w:rsidRPr="001F63BA">
        <w:rPr>
          <w:rFonts w:ascii="GHEA Grapalat" w:hAnsi="GHEA Grapalat"/>
          <w:sz w:val="22"/>
          <w:szCs w:val="22"/>
          <w:lang w:val="af-ZA"/>
        </w:rPr>
        <w:t xml:space="preserve"> </w:t>
      </w:r>
      <w:r w:rsidRPr="001F63BA">
        <w:rPr>
          <w:rFonts w:ascii="GHEA Grapalat" w:hAnsi="GHEA Grapalat"/>
          <w:sz w:val="22"/>
          <w:szCs w:val="22"/>
          <w:lang w:val="en-US"/>
        </w:rPr>
        <w:t>ընթացքն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ապահովելու</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Վարչապետին</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ներկայացվել</w:t>
      </w:r>
      <w:r w:rsidRPr="001F63BA">
        <w:rPr>
          <w:rFonts w:ascii="GHEA Grapalat" w:hAnsi="GHEA Grapalat"/>
          <w:sz w:val="22"/>
          <w:szCs w:val="22"/>
          <w:lang w:val="af-ZA"/>
        </w:rPr>
        <w:t xml:space="preserve"> </w:t>
      </w:r>
      <w:r w:rsidRPr="001F63BA">
        <w:rPr>
          <w:rFonts w:ascii="GHEA Grapalat" w:hAnsi="GHEA Grapalat"/>
          <w:sz w:val="22"/>
          <w:szCs w:val="22"/>
          <w:lang w:val="en-US"/>
        </w:rPr>
        <w:t>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շնորհելու</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ներման</w:t>
      </w:r>
      <w:r w:rsidRPr="001F63BA">
        <w:rPr>
          <w:rFonts w:ascii="GHEA Grapalat" w:hAnsi="GHEA Grapalat"/>
          <w:sz w:val="22"/>
          <w:szCs w:val="22"/>
          <w:lang w:val="af-ZA"/>
        </w:rPr>
        <w:t xml:space="preserve"> </w:t>
      </w:r>
      <w:r w:rsidRPr="001F63BA">
        <w:rPr>
          <w:rFonts w:ascii="GHEA Grapalat" w:hAnsi="GHEA Grapalat"/>
          <w:sz w:val="22"/>
          <w:szCs w:val="22"/>
          <w:lang w:val="en-US"/>
        </w:rPr>
        <w:t>շնորհումը</w:t>
      </w:r>
      <w:r w:rsidRPr="001F63BA">
        <w:rPr>
          <w:rFonts w:ascii="GHEA Grapalat" w:hAnsi="GHEA Grapalat"/>
          <w:sz w:val="22"/>
          <w:szCs w:val="22"/>
          <w:lang w:val="af-ZA"/>
        </w:rPr>
        <w:t xml:space="preserve"> </w:t>
      </w:r>
      <w:r w:rsidRPr="001F63BA">
        <w:rPr>
          <w:rFonts w:ascii="GHEA Grapalat" w:hAnsi="GHEA Grapalat"/>
          <w:sz w:val="22"/>
          <w:szCs w:val="22"/>
          <w:lang w:val="en-US"/>
        </w:rPr>
        <w:t>մերժելու</w:t>
      </w:r>
      <w:r w:rsidRPr="001F63BA">
        <w:rPr>
          <w:rFonts w:ascii="GHEA Grapalat" w:hAnsi="GHEA Grapalat"/>
          <w:sz w:val="22"/>
          <w:szCs w:val="22"/>
          <w:lang w:val="af-ZA"/>
        </w:rPr>
        <w:t xml:space="preserve"> </w:t>
      </w:r>
      <w:r w:rsidRPr="001F63BA">
        <w:rPr>
          <w:rFonts w:ascii="GHEA Grapalat" w:hAnsi="GHEA Grapalat"/>
          <w:sz w:val="22"/>
          <w:szCs w:val="22"/>
          <w:lang w:val="en-US"/>
        </w:rPr>
        <w:t>առաջարկության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վերաբերյալ</w:t>
      </w:r>
      <w:r w:rsidRPr="001F63BA">
        <w:rPr>
          <w:rFonts w:ascii="GHEA Grapalat" w:hAnsi="GHEA Grapalat"/>
          <w:sz w:val="22"/>
          <w:szCs w:val="22"/>
          <w:lang w:val="af-ZA"/>
        </w:rPr>
        <w:t xml:space="preserve"> </w:t>
      </w:r>
      <w:r w:rsidRPr="001F63BA">
        <w:rPr>
          <w:rFonts w:ascii="GHEA Grapalat" w:hAnsi="GHEA Grapalat"/>
          <w:sz w:val="22"/>
          <w:szCs w:val="22"/>
          <w:lang w:val="en-US"/>
        </w:rPr>
        <w:t>Ներման</w:t>
      </w:r>
      <w:r w:rsidRPr="001F63BA">
        <w:rPr>
          <w:rFonts w:ascii="GHEA Grapalat" w:hAnsi="GHEA Grapalat"/>
          <w:sz w:val="22"/>
          <w:szCs w:val="22"/>
          <w:lang w:val="af-ZA"/>
        </w:rPr>
        <w:t xml:space="preserve"> </w:t>
      </w:r>
      <w:r w:rsidRPr="001F63BA">
        <w:rPr>
          <w:rFonts w:ascii="GHEA Grapalat" w:hAnsi="GHEA Grapalat"/>
          <w:sz w:val="22"/>
          <w:szCs w:val="22"/>
          <w:lang w:val="en-US"/>
        </w:rPr>
        <w:t>հարցերի</w:t>
      </w:r>
      <w:r w:rsidRPr="001F63BA">
        <w:rPr>
          <w:rFonts w:ascii="GHEA Grapalat" w:hAnsi="GHEA Grapalat"/>
          <w:sz w:val="22"/>
          <w:szCs w:val="22"/>
          <w:lang w:val="af-ZA"/>
        </w:rPr>
        <w:t xml:space="preserve"> </w:t>
      </w:r>
      <w:r w:rsidRPr="001F63BA">
        <w:rPr>
          <w:rFonts w:ascii="GHEA Grapalat" w:hAnsi="GHEA Grapalat"/>
          <w:sz w:val="22"/>
          <w:szCs w:val="22"/>
          <w:lang w:val="en-US"/>
        </w:rPr>
        <w:t>քննարկման</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խորհրդակցական</w:t>
      </w:r>
      <w:r w:rsidRPr="001F63BA">
        <w:rPr>
          <w:rFonts w:ascii="GHEA Grapalat" w:hAnsi="GHEA Grapalat"/>
          <w:sz w:val="22"/>
          <w:szCs w:val="22"/>
          <w:lang w:val="af-ZA"/>
        </w:rPr>
        <w:t xml:space="preserve"> </w:t>
      </w:r>
      <w:r w:rsidRPr="001F63BA">
        <w:rPr>
          <w:rFonts w:ascii="GHEA Grapalat" w:hAnsi="GHEA Grapalat"/>
          <w:sz w:val="22"/>
          <w:szCs w:val="22"/>
          <w:lang w:val="en-US"/>
        </w:rPr>
        <w:t>հանձնաժողովի</w:t>
      </w:r>
      <w:r w:rsidRPr="001F63BA">
        <w:rPr>
          <w:rFonts w:ascii="GHEA Grapalat" w:hAnsi="GHEA Grapalat"/>
          <w:sz w:val="22"/>
          <w:szCs w:val="22"/>
          <w:lang w:val="af-ZA"/>
        </w:rPr>
        <w:t xml:space="preserve"> 41 </w:t>
      </w:r>
      <w:r w:rsidRPr="001F63BA">
        <w:rPr>
          <w:rFonts w:ascii="GHEA Grapalat" w:hAnsi="GHEA Grapalat"/>
          <w:sz w:val="22"/>
          <w:szCs w:val="22"/>
          <w:lang w:val="en-US"/>
        </w:rPr>
        <w:t>խորհրդատվական</w:t>
      </w:r>
      <w:r w:rsidRPr="001F63BA">
        <w:rPr>
          <w:rFonts w:ascii="GHEA Grapalat" w:hAnsi="GHEA Grapalat"/>
          <w:sz w:val="22"/>
          <w:szCs w:val="22"/>
          <w:lang w:val="af-ZA"/>
        </w:rPr>
        <w:t xml:space="preserve"> </w:t>
      </w:r>
      <w:r w:rsidRPr="001F63BA">
        <w:rPr>
          <w:rFonts w:ascii="GHEA Grapalat" w:hAnsi="GHEA Grapalat"/>
          <w:sz w:val="22"/>
          <w:szCs w:val="22"/>
          <w:lang w:val="en-US"/>
        </w:rPr>
        <w:t>եզրակացություն</w:t>
      </w:r>
      <w:r w:rsidRPr="001F63BA">
        <w:rPr>
          <w:rFonts w:ascii="GHEA Grapalat" w:hAnsi="GHEA Grapalat"/>
          <w:sz w:val="22"/>
          <w:szCs w:val="22"/>
          <w:lang w:val="af-ZA"/>
        </w:rPr>
        <w:t>: </w:t>
      </w:r>
      <w:r w:rsidRPr="001F63BA">
        <w:rPr>
          <w:rFonts w:ascii="GHEA Grapalat" w:hAnsi="GHEA Grapalat"/>
          <w:sz w:val="22"/>
          <w:szCs w:val="22"/>
          <w:lang w:val="en-US"/>
        </w:rPr>
        <w:t>Ներման</w:t>
      </w:r>
      <w:r w:rsidRPr="001F63BA">
        <w:rPr>
          <w:rFonts w:ascii="GHEA Grapalat" w:hAnsi="GHEA Grapalat"/>
          <w:sz w:val="22"/>
          <w:szCs w:val="22"/>
          <w:lang w:val="af-ZA"/>
        </w:rPr>
        <w:t xml:space="preserve"> </w:t>
      </w:r>
      <w:r w:rsidRPr="001F63BA">
        <w:rPr>
          <w:rFonts w:ascii="GHEA Grapalat" w:hAnsi="GHEA Grapalat"/>
          <w:sz w:val="22"/>
          <w:szCs w:val="22"/>
          <w:lang w:val="en-US"/>
        </w:rPr>
        <w:t>խնդրագիր</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ներկայացրած</w:t>
      </w:r>
      <w:r w:rsidRPr="001F63BA">
        <w:rPr>
          <w:rFonts w:ascii="GHEA Grapalat" w:hAnsi="GHEA Grapalat"/>
          <w:sz w:val="22"/>
          <w:szCs w:val="22"/>
          <w:lang w:val="af-ZA"/>
        </w:rPr>
        <w:t xml:space="preserve"> 1 </w:t>
      </w:r>
      <w:r w:rsidRPr="001F63BA">
        <w:rPr>
          <w:rFonts w:ascii="GHEA Grapalat" w:hAnsi="GHEA Grapalat"/>
          <w:sz w:val="22"/>
          <w:szCs w:val="22"/>
          <w:lang w:val="en-US"/>
        </w:rPr>
        <w:t>դատապարտյալի</w:t>
      </w:r>
      <w:r w:rsidRPr="001F63BA">
        <w:rPr>
          <w:rFonts w:ascii="GHEA Grapalat" w:hAnsi="GHEA Grapalat"/>
          <w:sz w:val="22"/>
          <w:szCs w:val="22"/>
          <w:lang w:val="af-ZA"/>
        </w:rPr>
        <w:t xml:space="preserve"> </w:t>
      </w:r>
      <w:r w:rsidRPr="001F63BA">
        <w:rPr>
          <w:rFonts w:ascii="GHEA Grapalat" w:hAnsi="GHEA Grapalat"/>
          <w:sz w:val="22"/>
          <w:szCs w:val="22"/>
          <w:lang w:val="en-US"/>
        </w:rPr>
        <w:t>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շնորհվել</w:t>
      </w:r>
      <w:r w:rsidRPr="001F63BA">
        <w:rPr>
          <w:rFonts w:ascii="GHEA Grapalat" w:hAnsi="GHEA Grapalat"/>
          <w:sz w:val="22"/>
          <w:szCs w:val="22"/>
          <w:lang w:val="af-ZA"/>
        </w:rPr>
        <w:t xml:space="preserve">` </w:t>
      </w:r>
      <w:r w:rsidRPr="001F63BA">
        <w:rPr>
          <w:rFonts w:ascii="GHEA Grapalat" w:hAnsi="GHEA Grapalat"/>
          <w:sz w:val="22"/>
          <w:szCs w:val="22"/>
          <w:lang w:val="en-US"/>
        </w:rPr>
        <w:t>ազատելով</w:t>
      </w:r>
      <w:r w:rsidRPr="001F63BA">
        <w:rPr>
          <w:rFonts w:ascii="GHEA Grapalat" w:hAnsi="GHEA Grapalat"/>
          <w:sz w:val="22"/>
          <w:szCs w:val="22"/>
          <w:lang w:val="af-ZA"/>
        </w:rPr>
        <w:t xml:space="preserve"> </w:t>
      </w:r>
      <w:r w:rsidRPr="001F63BA">
        <w:rPr>
          <w:rFonts w:ascii="GHEA Grapalat" w:hAnsi="GHEA Grapalat"/>
          <w:sz w:val="22"/>
          <w:szCs w:val="22"/>
          <w:lang w:val="en-US"/>
        </w:rPr>
        <w:t>տուգանքից</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Մարդու իրավունքների պաշտպանության ոլորտ</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Կազմակերպվել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անցկացվել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վարչապետի</w:t>
      </w:r>
      <w:r w:rsidRPr="001F63BA">
        <w:rPr>
          <w:rFonts w:ascii="GHEA Grapalat" w:hAnsi="GHEA Grapalat"/>
          <w:sz w:val="22"/>
          <w:szCs w:val="22"/>
          <w:lang w:val="af-ZA"/>
        </w:rPr>
        <w:t xml:space="preserve">` 2020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մարտի</w:t>
      </w:r>
      <w:r w:rsidRPr="001F63BA">
        <w:rPr>
          <w:rFonts w:ascii="GHEA Grapalat" w:hAnsi="GHEA Grapalat"/>
          <w:sz w:val="22"/>
          <w:szCs w:val="22"/>
          <w:lang w:val="af-ZA"/>
        </w:rPr>
        <w:t xml:space="preserve"> 2-</w:t>
      </w:r>
      <w:r w:rsidRPr="001F63BA">
        <w:rPr>
          <w:rFonts w:ascii="GHEA Grapalat" w:hAnsi="GHEA Grapalat"/>
          <w:sz w:val="22"/>
          <w:szCs w:val="22"/>
          <w:lang w:val="en-US"/>
        </w:rPr>
        <w:t>ի</w:t>
      </w:r>
      <w:r w:rsidRPr="001F63BA">
        <w:rPr>
          <w:rFonts w:ascii="GHEA Grapalat" w:hAnsi="GHEA Grapalat"/>
          <w:sz w:val="22"/>
          <w:szCs w:val="22"/>
          <w:lang w:val="af-ZA"/>
        </w:rPr>
        <w:t xml:space="preserve"> 282-</w:t>
      </w:r>
      <w:r w:rsidRPr="001F63BA">
        <w:rPr>
          <w:rFonts w:ascii="GHEA Grapalat" w:hAnsi="GHEA Grapalat"/>
          <w:sz w:val="22"/>
          <w:szCs w:val="22"/>
          <w:lang w:val="en-US"/>
        </w:rPr>
        <w:t>Ա</w:t>
      </w:r>
      <w:r w:rsidRPr="001F63BA">
        <w:rPr>
          <w:rFonts w:ascii="GHEA Grapalat" w:hAnsi="GHEA Grapalat"/>
          <w:sz w:val="22"/>
          <w:szCs w:val="22"/>
          <w:lang w:val="af-ZA"/>
        </w:rPr>
        <w:t xml:space="preserve"> </w:t>
      </w:r>
      <w:r w:rsidRPr="001F63BA">
        <w:rPr>
          <w:rFonts w:ascii="GHEA Grapalat" w:hAnsi="GHEA Grapalat"/>
          <w:sz w:val="22"/>
          <w:szCs w:val="22"/>
          <w:lang w:val="en-US"/>
        </w:rPr>
        <w:t>որոշմամբ</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սահմանված</w:t>
      </w:r>
      <w:r w:rsidRPr="001F63BA">
        <w:rPr>
          <w:rFonts w:ascii="GHEA Grapalat" w:hAnsi="GHEA Grapalat"/>
          <w:sz w:val="22"/>
          <w:szCs w:val="22"/>
          <w:lang w:val="af-ZA"/>
        </w:rPr>
        <w:t xml:space="preserve"> </w:t>
      </w:r>
      <w:r w:rsidRPr="001F63BA">
        <w:rPr>
          <w:rFonts w:ascii="GHEA Grapalat" w:hAnsi="GHEA Grapalat"/>
          <w:sz w:val="22"/>
          <w:szCs w:val="22"/>
          <w:lang w:val="en-US"/>
        </w:rPr>
        <w:t>ՄԻՊ</w:t>
      </w:r>
      <w:r w:rsidRPr="001F63BA">
        <w:rPr>
          <w:rFonts w:ascii="GHEA Grapalat" w:hAnsi="GHEA Grapalat"/>
          <w:sz w:val="22"/>
          <w:szCs w:val="22"/>
          <w:lang w:val="af-ZA"/>
        </w:rPr>
        <w:t xml:space="preserve"> </w:t>
      </w:r>
      <w:r w:rsidRPr="001F63BA">
        <w:rPr>
          <w:rFonts w:ascii="GHEA Grapalat" w:hAnsi="GHEA Grapalat"/>
          <w:sz w:val="22"/>
          <w:szCs w:val="22"/>
          <w:lang w:val="en-US"/>
        </w:rPr>
        <w:t>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ռազմավարության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դրանից</w:t>
      </w:r>
      <w:r w:rsidRPr="001F63BA">
        <w:rPr>
          <w:rFonts w:ascii="GHEA Grapalat" w:hAnsi="GHEA Grapalat"/>
          <w:sz w:val="22"/>
          <w:szCs w:val="22"/>
          <w:lang w:val="af-ZA"/>
        </w:rPr>
        <w:t xml:space="preserve"> </w:t>
      </w:r>
      <w:r w:rsidRPr="001F63BA">
        <w:rPr>
          <w:rFonts w:ascii="GHEA Grapalat" w:hAnsi="GHEA Grapalat"/>
          <w:sz w:val="22"/>
          <w:szCs w:val="22"/>
          <w:lang w:val="en-US"/>
        </w:rPr>
        <w:t>բխող</w:t>
      </w:r>
      <w:r w:rsidRPr="001F63BA">
        <w:rPr>
          <w:rFonts w:ascii="GHEA Grapalat" w:hAnsi="GHEA Grapalat"/>
          <w:sz w:val="22"/>
          <w:szCs w:val="22"/>
          <w:lang w:val="af-ZA"/>
        </w:rPr>
        <w:t xml:space="preserve"> 2020-2022</w:t>
      </w:r>
      <w:r w:rsidRPr="001F63BA">
        <w:rPr>
          <w:rFonts w:ascii="GHEA Grapalat" w:hAnsi="GHEA Grapalat"/>
          <w:sz w:val="22"/>
          <w:szCs w:val="22"/>
          <w:lang w:val="en-US"/>
        </w:rPr>
        <w:t>թթ</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lastRenderedPageBreak/>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կատարումը</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համակարգող</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խորհրդի</w:t>
      </w:r>
      <w:r w:rsidRPr="001F63BA">
        <w:rPr>
          <w:rFonts w:ascii="GHEA Grapalat" w:hAnsi="GHEA Grapalat"/>
          <w:sz w:val="22"/>
          <w:szCs w:val="22"/>
          <w:lang w:val="af-ZA"/>
        </w:rPr>
        <w:t xml:space="preserve"> </w:t>
      </w:r>
      <w:r w:rsidRPr="001F63BA">
        <w:rPr>
          <w:rFonts w:ascii="GHEA Grapalat" w:hAnsi="GHEA Grapalat"/>
          <w:sz w:val="22"/>
          <w:szCs w:val="22"/>
          <w:lang w:val="en-US"/>
        </w:rPr>
        <w:t>թվով</w:t>
      </w:r>
      <w:r w:rsidRPr="001F63BA">
        <w:rPr>
          <w:rFonts w:ascii="GHEA Grapalat" w:hAnsi="GHEA Grapalat"/>
          <w:sz w:val="22"/>
          <w:szCs w:val="22"/>
          <w:lang w:val="af-ZA"/>
        </w:rPr>
        <w:t xml:space="preserve"> 3 </w:t>
      </w:r>
      <w:r w:rsidRPr="001F63BA">
        <w:rPr>
          <w:rFonts w:ascii="GHEA Grapalat" w:hAnsi="GHEA Grapalat"/>
          <w:sz w:val="22"/>
          <w:szCs w:val="22"/>
          <w:lang w:val="en-US"/>
        </w:rPr>
        <w:t>նիստ</w:t>
      </w:r>
      <w:r w:rsidRPr="001F63BA">
        <w:rPr>
          <w:rFonts w:ascii="GHEA Grapalat" w:hAnsi="GHEA Grapalat"/>
          <w:sz w:val="22"/>
          <w:szCs w:val="22"/>
          <w:lang w:val="af-ZA"/>
        </w:rPr>
        <w:t xml:space="preserve">: </w:t>
      </w:r>
      <w:r w:rsidRPr="001F63BA">
        <w:rPr>
          <w:rFonts w:ascii="GHEA Grapalat" w:hAnsi="GHEA Grapalat"/>
          <w:sz w:val="22"/>
          <w:szCs w:val="22"/>
          <w:lang w:val="en-US"/>
        </w:rPr>
        <w:t>Վարվել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www.e-rights.am </w:t>
      </w:r>
      <w:r w:rsidRPr="001F63BA">
        <w:rPr>
          <w:rFonts w:ascii="GHEA Grapalat" w:hAnsi="GHEA Grapalat"/>
          <w:sz w:val="22"/>
          <w:szCs w:val="22"/>
          <w:lang w:val="en-US"/>
        </w:rPr>
        <w:t>էլեկտրոնային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հարթակը։</w:t>
      </w:r>
      <w:r w:rsidRPr="001F63BA">
        <w:rPr>
          <w:rFonts w:ascii="GHEA Grapalat" w:hAnsi="GHEA Grapalat"/>
          <w:sz w:val="22"/>
          <w:szCs w:val="22"/>
          <w:lang w:val="af-ZA"/>
        </w:rPr>
        <w:t xml:space="preserve"> </w:t>
      </w:r>
      <w:r w:rsidRPr="001F63BA">
        <w:rPr>
          <w:rFonts w:ascii="GHEA Grapalat" w:hAnsi="GHEA Grapalat"/>
          <w:sz w:val="22"/>
          <w:szCs w:val="22"/>
          <w:lang w:val="en-US"/>
        </w:rPr>
        <w:t>Հրապարակվել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ՄԻՊ</w:t>
      </w:r>
      <w:r w:rsidRPr="001F63BA">
        <w:rPr>
          <w:rFonts w:ascii="GHEA Grapalat" w:hAnsi="GHEA Grapalat"/>
          <w:sz w:val="22"/>
          <w:szCs w:val="22"/>
          <w:lang w:val="af-ZA"/>
        </w:rPr>
        <w:t xml:space="preserve"> </w:t>
      </w:r>
      <w:r w:rsidRPr="001F63BA">
        <w:rPr>
          <w:rFonts w:ascii="GHEA Grapalat" w:hAnsi="GHEA Grapalat"/>
          <w:sz w:val="22"/>
          <w:szCs w:val="22"/>
          <w:lang w:val="en-US"/>
        </w:rPr>
        <w:t>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ռազմավարությունից</w:t>
      </w:r>
      <w:r w:rsidRPr="001F63BA">
        <w:rPr>
          <w:rFonts w:ascii="GHEA Grapalat" w:hAnsi="GHEA Grapalat"/>
          <w:sz w:val="22"/>
          <w:szCs w:val="22"/>
          <w:lang w:val="af-ZA"/>
        </w:rPr>
        <w:t xml:space="preserve"> </w:t>
      </w:r>
      <w:r w:rsidRPr="001F63BA">
        <w:rPr>
          <w:rFonts w:ascii="GHEA Grapalat" w:hAnsi="GHEA Grapalat"/>
          <w:sz w:val="22"/>
          <w:szCs w:val="22"/>
          <w:lang w:val="en-US"/>
        </w:rPr>
        <w:t>բխող</w:t>
      </w:r>
      <w:r w:rsidRPr="001F63BA">
        <w:rPr>
          <w:rFonts w:ascii="GHEA Grapalat" w:hAnsi="GHEA Grapalat"/>
          <w:sz w:val="22"/>
          <w:szCs w:val="22"/>
          <w:lang w:val="af-ZA"/>
        </w:rPr>
        <w:t xml:space="preserve"> 2020-2022 </w:t>
      </w:r>
      <w:r w:rsidRPr="001F63BA">
        <w:rPr>
          <w:rFonts w:ascii="GHEA Grapalat" w:hAnsi="GHEA Grapalat"/>
          <w:sz w:val="22"/>
          <w:szCs w:val="22"/>
          <w:lang w:val="en-US"/>
        </w:rPr>
        <w:t>թվականների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ծրագրով</w:t>
      </w:r>
      <w:r w:rsidRPr="001F63BA">
        <w:rPr>
          <w:rFonts w:ascii="GHEA Grapalat" w:hAnsi="GHEA Grapalat"/>
          <w:sz w:val="22"/>
          <w:szCs w:val="22"/>
          <w:lang w:val="af-ZA"/>
        </w:rPr>
        <w:t xml:space="preserve"> 2021 </w:t>
      </w:r>
      <w:r w:rsidRPr="001F63BA">
        <w:rPr>
          <w:rFonts w:ascii="GHEA Grapalat" w:hAnsi="GHEA Grapalat"/>
          <w:sz w:val="22"/>
          <w:szCs w:val="22"/>
          <w:lang w:val="en-US"/>
        </w:rPr>
        <w:t>և</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տարեկան</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առաջին</w:t>
      </w:r>
      <w:r w:rsidRPr="001F63BA">
        <w:rPr>
          <w:rFonts w:ascii="GHEA Grapalat" w:hAnsi="GHEA Grapalat"/>
          <w:sz w:val="22"/>
          <w:szCs w:val="22"/>
          <w:lang w:val="af-ZA"/>
        </w:rPr>
        <w:t xml:space="preserve"> </w:t>
      </w:r>
      <w:r w:rsidRPr="001F63BA">
        <w:rPr>
          <w:rFonts w:ascii="GHEA Grapalat" w:hAnsi="GHEA Grapalat"/>
          <w:sz w:val="22"/>
          <w:szCs w:val="22"/>
          <w:lang w:val="en-US"/>
        </w:rPr>
        <w:t>կիսամյակի</w:t>
      </w:r>
      <w:r w:rsidRPr="001F63BA">
        <w:rPr>
          <w:rFonts w:ascii="GHEA Grapalat" w:hAnsi="GHEA Grapalat"/>
          <w:sz w:val="22"/>
          <w:szCs w:val="22"/>
          <w:lang w:val="af-ZA"/>
        </w:rPr>
        <w:t xml:space="preserve"> </w:t>
      </w:r>
      <w:r w:rsidRPr="001F63BA">
        <w:rPr>
          <w:rFonts w:ascii="GHEA Grapalat" w:hAnsi="GHEA Grapalat"/>
          <w:sz w:val="22"/>
          <w:szCs w:val="22"/>
          <w:lang w:val="en-US"/>
        </w:rPr>
        <w:t>հաշվետվությունները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Խորհրդի</w:t>
      </w:r>
      <w:r w:rsidRPr="001F63BA">
        <w:rPr>
          <w:rFonts w:ascii="GHEA Grapalat" w:hAnsi="GHEA Grapalat"/>
          <w:sz w:val="22"/>
          <w:szCs w:val="22"/>
          <w:lang w:val="af-ZA"/>
        </w:rPr>
        <w:t xml:space="preserve"> 3 </w:t>
      </w:r>
      <w:r w:rsidRPr="001F63BA">
        <w:rPr>
          <w:rFonts w:ascii="GHEA Grapalat" w:hAnsi="GHEA Grapalat"/>
          <w:sz w:val="22"/>
          <w:szCs w:val="22"/>
          <w:lang w:val="en-US"/>
        </w:rPr>
        <w:t>նիստերից</w:t>
      </w:r>
      <w:r w:rsidRPr="001F63BA">
        <w:rPr>
          <w:rFonts w:ascii="GHEA Grapalat" w:hAnsi="GHEA Grapalat"/>
          <w:sz w:val="22"/>
          <w:szCs w:val="22"/>
          <w:lang w:val="af-ZA"/>
        </w:rPr>
        <w:t xml:space="preserve"> </w:t>
      </w:r>
      <w:r w:rsidRPr="001F63BA">
        <w:rPr>
          <w:rFonts w:ascii="GHEA Grapalat" w:hAnsi="GHEA Grapalat"/>
          <w:sz w:val="22"/>
          <w:szCs w:val="22"/>
          <w:lang w:val="en-US"/>
        </w:rPr>
        <w:t>հետո</w:t>
      </w:r>
      <w:r w:rsidRPr="001F63BA">
        <w:rPr>
          <w:rFonts w:ascii="GHEA Grapalat" w:hAnsi="GHEA Grapalat"/>
          <w:sz w:val="22"/>
          <w:szCs w:val="22"/>
          <w:lang w:val="af-ZA"/>
        </w:rPr>
        <w:t xml:space="preserve"> </w:t>
      </w:r>
      <w:r w:rsidRPr="001F63BA">
        <w:rPr>
          <w:rFonts w:ascii="GHEA Grapalat" w:hAnsi="GHEA Grapalat"/>
          <w:sz w:val="22"/>
          <w:szCs w:val="22"/>
          <w:lang w:val="en-US"/>
        </w:rPr>
        <w:t>կազմվել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արձանագրություն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հրապարակվել</w:t>
      </w:r>
      <w:r w:rsidRPr="001F63BA">
        <w:rPr>
          <w:rFonts w:ascii="GHEA Grapalat" w:hAnsi="GHEA Grapalat"/>
          <w:sz w:val="22"/>
          <w:szCs w:val="22"/>
          <w:lang w:val="af-ZA"/>
        </w:rPr>
        <w:t xml:space="preserve"> </w:t>
      </w:r>
      <w:r w:rsidRPr="001F63BA">
        <w:rPr>
          <w:rFonts w:ascii="GHEA Grapalat" w:hAnsi="GHEA Grapalat"/>
          <w:sz w:val="22"/>
          <w:szCs w:val="22"/>
          <w:lang w:val="en-US"/>
        </w:rPr>
        <w:t>նշված</w:t>
      </w:r>
      <w:r w:rsidRPr="001F63BA">
        <w:rPr>
          <w:rFonts w:ascii="GHEA Grapalat" w:hAnsi="GHEA Grapalat"/>
          <w:sz w:val="22"/>
          <w:szCs w:val="22"/>
          <w:lang w:val="af-ZA"/>
        </w:rPr>
        <w:t xml:space="preserve"> </w:t>
      </w:r>
      <w:r w:rsidRPr="001F63BA">
        <w:rPr>
          <w:rFonts w:ascii="GHEA Grapalat" w:hAnsi="GHEA Grapalat"/>
          <w:sz w:val="22"/>
          <w:szCs w:val="22"/>
          <w:lang w:val="en-US"/>
        </w:rPr>
        <w:t>հարթակում</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գերատեսչությունների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քաղաքացիական</w:t>
      </w:r>
      <w:r w:rsidRPr="001F63BA">
        <w:rPr>
          <w:rFonts w:ascii="GHEA Grapalat" w:hAnsi="GHEA Grapalat"/>
          <w:sz w:val="22"/>
          <w:szCs w:val="22"/>
          <w:lang w:val="af-ZA"/>
        </w:rPr>
        <w:t xml:space="preserve"> </w:t>
      </w:r>
      <w:r w:rsidRPr="001F63BA">
        <w:rPr>
          <w:rFonts w:ascii="GHEA Grapalat" w:hAnsi="GHEA Grapalat"/>
          <w:sz w:val="22"/>
          <w:szCs w:val="22"/>
          <w:lang w:val="en-US"/>
        </w:rPr>
        <w:t>հասարակության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անդամների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շրջանակում</w:t>
      </w:r>
      <w:r w:rsidRPr="001F63BA">
        <w:rPr>
          <w:rFonts w:ascii="GHEA Grapalat" w:hAnsi="GHEA Grapalat"/>
          <w:sz w:val="22"/>
          <w:szCs w:val="22"/>
          <w:lang w:val="af-ZA"/>
        </w:rPr>
        <w:t xml:space="preserve"> </w:t>
      </w:r>
      <w:r w:rsidRPr="001F63BA">
        <w:rPr>
          <w:rFonts w:ascii="GHEA Grapalat" w:hAnsi="GHEA Grapalat"/>
          <w:sz w:val="22"/>
          <w:szCs w:val="22"/>
          <w:lang w:val="en-US"/>
        </w:rPr>
        <w:t>ՄԻՊ</w:t>
      </w:r>
      <w:r w:rsidRPr="001F63BA">
        <w:rPr>
          <w:rFonts w:ascii="GHEA Grapalat" w:hAnsi="GHEA Grapalat"/>
          <w:sz w:val="22"/>
          <w:szCs w:val="22"/>
          <w:lang w:val="af-ZA"/>
        </w:rPr>
        <w:t xml:space="preserve"> </w:t>
      </w:r>
      <w:r w:rsidRPr="001F63BA">
        <w:rPr>
          <w:rFonts w:ascii="GHEA Grapalat" w:hAnsi="GHEA Grapalat"/>
          <w:sz w:val="22"/>
          <w:szCs w:val="22"/>
          <w:lang w:val="en-US"/>
        </w:rPr>
        <w:t>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ռազմավարության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դրանից</w:t>
      </w:r>
      <w:r w:rsidRPr="001F63BA">
        <w:rPr>
          <w:rFonts w:ascii="GHEA Grapalat" w:hAnsi="GHEA Grapalat"/>
          <w:sz w:val="22"/>
          <w:szCs w:val="22"/>
          <w:lang w:val="af-ZA"/>
        </w:rPr>
        <w:t xml:space="preserve"> </w:t>
      </w:r>
      <w:r w:rsidRPr="001F63BA">
        <w:rPr>
          <w:rFonts w:ascii="GHEA Grapalat" w:hAnsi="GHEA Grapalat"/>
          <w:sz w:val="22"/>
          <w:szCs w:val="22"/>
          <w:lang w:val="en-US"/>
        </w:rPr>
        <w:t>բխող</w:t>
      </w:r>
      <w:r w:rsidRPr="001F63BA">
        <w:rPr>
          <w:rFonts w:ascii="GHEA Grapalat" w:hAnsi="GHEA Grapalat"/>
          <w:sz w:val="22"/>
          <w:szCs w:val="22"/>
          <w:lang w:val="af-ZA"/>
        </w:rPr>
        <w:t xml:space="preserve"> 2023-2025</w:t>
      </w:r>
      <w:r w:rsidRPr="001F63BA">
        <w:rPr>
          <w:rFonts w:ascii="GHEA Grapalat" w:hAnsi="GHEA Grapalat"/>
          <w:sz w:val="22"/>
          <w:szCs w:val="22"/>
          <w:lang w:val="en-US"/>
        </w:rPr>
        <w:t>թթ</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հետ</w:t>
      </w:r>
      <w:r w:rsidRPr="001F63BA">
        <w:rPr>
          <w:rFonts w:ascii="GHEA Grapalat" w:hAnsi="GHEA Grapalat"/>
          <w:sz w:val="22"/>
          <w:szCs w:val="22"/>
          <w:lang w:val="af-ZA"/>
        </w:rPr>
        <w:t xml:space="preserve"> </w:t>
      </w:r>
      <w:r w:rsidRPr="001F63BA">
        <w:rPr>
          <w:rFonts w:ascii="GHEA Grapalat" w:hAnsi="GHEA Grapalat"/>
          <w:sz w:val="22"/>
          <w:szCs w:val="22"/>
          <w:lang w:val="en-US"/>
        </w:rPr>
        <w:t>կապված</w:t>
      </w:r>
      <w:r w:rsidRPr="001F63BA">
        <w:rPr>
          <w:rFonts w:ascii="GHEA Grapalat" w:hAnsi="GHEA Grapalat"/>
          <w:sz w:val="22"/>
          <w:szCs w:val="22"/>
          <w:lang w:val="af-ZA"/>
        </w:rPr>
        <w:t xml:space="preserve"> </w:t>
      </w:r>
      <w:r w:rsidRPr="001F63BA">
        <w:rPr>
          <w:rFonts w:ascii="GHEA Grapalat" w:hAnsi="GHEA Grapalat"/>
          <w:sz w:val="22"/>
          <w:szCs w:val="22"/>
          <w:lang w:val="en-US"/>
        </w:rPr>
        <w:t>հարցաշարեր</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շրջանառվել</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արդյունքում</w:t>
      </w:r>
      <w:r w:rsidRPr="001F63BA">
        <w:rPr>
          <w:rFonts w:ascii="GHEA Grapalat" w:hAnsi="GHEA Grapalat"/>
          <w:sz w:val="22"/>
          <w:szCs w:val="22"/>
          <w:lang w:val="af-ZA"/>
        </w:rPr>
        <w:t xml:space="preserve"> </w:t>
      </w:r>
      <w:r w:rsidRPr="001F63BA">
        <w:rPr>
          <w:rFonts w:ascii="GHEA Grapalat" w:hAnsi="GHEA Grapalat"/>
          <w:sz w:val="22"/>
          <w:szCs w:val="22"/>
          <w:lang w:val="en-US"/>
        </w:rPr>
        <w:t>հավաքագրվել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առաջարկություններ։</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ՄԻՊ</w:t>
      </w:r>
      <w:r w:rsidRPr="001F63BA">
        <w:rPr>
          <w:rFonts w:ascii="GHEA Grapalat" w:hAnsi="GHEA Grapalat"/>
          <w:sz w:val="22"/>
          <w:szCs w:val="22"/>
          <w:lang w:val="af-ZA"/>
        </w:rPr>
        <w:t xml:space="preserve"> 2023-2025</w:t>
      </w:r>
      <w:r w:rsidRPr="001F63BA">
        <w:rPr>
          <w:rFonts w:ascii="GHEA Grapalat" w:hAnsi="GHEA Grapalat"/>
          <w:sz w:val="22"/>
          <w:szCs w:val="22"/>
          <w:lang w:val="en-US"/>
        </w:rPr>
        <w:t>թթ</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մշակման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մարմինների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հասարակական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մասնակցությամբ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երկու</w:t>
      </w:r>
      <w:r w:rsidRPr="001F63BA">
        <w:rPr>
          <w:rFonts w:ascii="GHEA Grapalat" w:hAnsi="GHEA Grapalat"/>
          <w:sz w:val="22"/>
          <w:szCs w:val="22"/>
          <w:lang w:val="af-ZA"/>
        </w:rPr>
        <w:t xml:space="preserve"> </w:t>
      </w:r>
      <w:r w:rsidRPr="001F63BA">
        <w:rPr>
          <w:rFonts w:ascii="GHEA Grapalat" w:hAnsi="GHEA Grapalat"/>
          <w:sz w:val="22"/>
          <w:szCs w:val="22"/>
          <w:lang w:val="en-US"/>
        </w:rPr>
        <w:t>սեկտորալ</w:t>
      </w:r>
      <w:r w:rsidRPr="001F63BA">
        <w:rPr>
          <w:rFonts w:ascii="GHEA Grapalat" w:hAnsi="GHEA Grapalat"/>
          <w:sz w:val="22"/>
          <w:szCs w:val="22"/>
          <w:lang w:val="af-ZA"/>
        </w:rPr>
        <w:t xml:space="preserve"> </w:t>
      </w:r>
      <w:r w:rsidRPr="001F63BA">
        <w:rPr>
          <w:rFonts w:ascii="GHEA Grapalat" w:hAnsi="GHEA Grapalat"/>
          <w:sz w:val="22"/>
          <w:szCs w:val="22"/>
          <w:lang w:val="en-US"/>
        </w:rPr>
        <w:t>քննարկումներ</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Քաղաքացիական կացության ակտերի գրանցման ոլորտ</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փետրվարին</w:t>
      </w:r>
      <w:r w:rsidRPr="001F63BA">
        <w:rPr>
          <w:rFonts w:ascii="GHEA Grapalat" w:hAnsi="GHEA Grapalat"/>
          <w:sz w:val="22"/>
          <w:szCs w:val="22"/>
          <w:lang w:val="af-ZA"/>
        </w:rPr>
        <w:t xml:space="preserve"> </w:t>
      </w:r>
      <w:r w:rsidRPr="001F63BA">
        <w:rPr>
          <w:rFonts w:ascii="GHEA Grapalat" w:hAnsi="GHEA Grapalat"/>
          <w:sz w:val="22"/>
          <w:szCs w:val="22"/>
          <w:lang w:val="en-US"/>
        </w:rPr>
        <w:t>Լոռու</w:t>
      </w:r>
      <w:r w:rsidRPr="001F63BA">
        <w:rPr>
          <w:rFonts w:ascii="GHEA Grapalat" w:hAnsi="GHEA Grapalat"/>
          <w:sz w:val="22"/>
          <w:szCs w:val="22"/>
          <w:lang w:val="af-ZA"/>
        </w:rPr>
        <w:t xml:space="preserve"> </w:t>
      </w:r>
      <w:r w:rsidRPr="001F63BA">
        <w:rPr>
          <w:rFonts w:ascii="GHEA Grapalat" w:hAnsi="GHEA Grapalat"/>
          <w:sz w:val="22"/>
          <w:szCs w:val="22"/>
          <w:lang w:val="en-US"/>
        </w:rPr>
        <w:t>մարզում</w:t>
      </w:r>
      <w:r w:rsidRPr="001F63BA">
        <w:rPr>
          <w:rFonts w:ascii="GHEA Grapalat" w:hAnsi="GHEA Grapalat"/>
          <w:sz w:val="22"/>
          <w:szCs w:val="22"/>
          <w:lang w:val="af-ZA"/>
        </w:rPr>
        <w:t xml:space="preserve"> </w:t>
      </w:r>
      <w:r w:rsidRPr="001F63BA">
        <w:rPr>
          <w:rFonts w:ascii="GHEA Grapalat" w:hAnsi="GHEA Grapalat"/>
          <w:sz w:val="22"/>
          <w:szCs w:val="22"/>
          <w:lang w:val="en-US"/>
        </w:rPr>
        <w:t>բացվել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Վանաձորի</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քաղաքացիական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կենտրոնը։</w:t>
      </w:r>
      <w:r w:rsidRPr="001F63BA">
        <w:rPr>
          <w:rFonts w:ascii="GHEA Grapalat" w:hAnsi="GHEA Grapalat"/>
          <w:sz w:val="22"/>
          <w:szCs w:val="22"/>
          <w:lang w:val="af-ZA"/>
        </w:rPr>
        <w:t xml:space="preserve"> </w:t>
      </w:r>
      <w:r w:rsidRPr="001F63BA">
        <w:rPr>
          <w:rFonts w:ascii="GHEA Grapalat" w:hAnsi="GHEA Grapalat"/>
          <w:sz w:val="22"/>
          <w:szCs w:val="22"/>
          <w:lang w:val="en-US"/>
        </w:rPr>
        <w:t>Այժմ</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4 </w:t>
      </w:r>
      <w:r w:rsidRPr="001F63BA">
        <w:rPr>
          <w:rFonts w:ascii="GHEA Grapalat" w:hAnsi="GHEA Grapalat"/>
          <w:sz w:val="22"/>
          <w:szCs w:val="22"/>
          <w:lang w:val="en-US"/>
        </w:rPr>
        <w:t>քաղաքացիական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w:t>
      </w:r>
      <w:r w:rsidRPr="001F63BA">
        <w:rPr>
          <w:rFonts w:ascii="GHEA Grapalat" w:hAnsi="GHEA Grapalat"/>
          <w:sz w:val="22"/>
          <w:szCs w:val="22"/>
          <w:lang w:val="af-ZA"/>
        </w:rPr>
        <w:t xml:space="preserve"> </w:t>
      </w:r>
      <w:r w:rsidRPr="001F63BA">
        <w:rPr>
          <w:rFonts w:ascii="GHEA Grapalat" w:hAnsi="GHEA Grapalat"/>
          <w:sz w:val="22"/>
          <w:szCs w:val="22"/>
          <w:lang w:val="en-US"/>
        </w:rPr>
        <w:t>Երևան</w:t>
      </w:r>
      <w:r w:rsidRPr="001F63BA">
        <w:rPr>
          <w:rFonts w:ascii="GHEA Grapalat" w:hAnsi="GHEA Grapalat"/>
          <w:sz w:val="22"/>
          <w:szCs w:val="22"/>
          <w:lang w:val="af-ZA"/>
        </w:rPr>
        <w:t xml:space="preserve">, </w:t>
      </w:r>
      <w:r w:rsidRPr="001F63BA">
        <w:rPr>
          <w:rFonts w:ascii="GHEA Grapalat" w:hAnsi="GHEA Grapalat"/>
          <w:sz w:val="22"/>
          <w:szCs w:val="22"/>
          <w:lang w:val="en-US"/>
        </w:rPr>
        <w:t>Գյումրի</w:t>
      </w:r>
      <w:r w:rsidRPr="001F63BA">
        <w:rPr>
          <w:rFonts w:ascii="GHEA Grapalat" w:hAnsi="GHEA Grapalat"/>
          <w:sz w:val="22"/>
          <w:szCs w:val="22"/>
          <w:lang w:val="af-ZA"/>
        </w:rPr>
        <w:t xml:space="preserve">, </w:t>
      </w:r>
      <w:r w:rsidRPr="001F63BA">
        <w:rPr>
          <w:rFonts w:ascii="GHEA Grapalat" w:hAnsi="GHEA Grapalat"/>
          <w:sz w:val="22"/>
          <w:szCs w:val="22"/>
          <w:lang w:val="en-US"/>
        </w:rPr>
        <w:t>Վանաձոր</w:t>
      </w:r>
      <w:r w:rsidRPr="001F63BA">
        <w:rPr>
          <w:rFonts w:ascii="GHEA Grapalat" w:hAnsi="GHEA Grapalat"/>
          <w:sz w:val="22"/>
          <w:szCs w:val="22"/>
          <w:lang w:val="af-ZA"/>
        </w:rPr>
        <w:t xml:space="preserve">, </w:t>
      </w:r>
      <w:r w:rsidRPr="001F63BA">
        <w:rPr>
          <w:rFonts w:ascii="GHEA Grapalat" w:hAnsi="GHEA Grapalat"/>
          <w:sz w:val="22"/>
          <w:szCs w:val="22"/>
          <w:lang w:val="en-US"/>
        </w:rPr>
        <w:t>Իջևան</w:t>
      </w:r>
      <w:r w:rsidRPr="001F63BA">
        <w:rPr>
          <w:rFonts w:ascii="GHEA Grapalat" w:hAnsi="GHEA Grapalat"/>
          <w:sz w:val="22"/>
          <w:szCs w:val="22"/>
          <w:lang w:val="af-ZA"/>
        </w:rPr>
        <w:t xml:space="preserve"> </w:t>
      </w:r>
      <w:r w:rsidRPr="001F63BA">
        <w:rPr>
          <w:rFonts w:ascii="GHEA Grapalat" w:hAnsi="GHEA Grapalat"/>
          <w:sz w:val="22"/>
          <w:szCs w:val="22"/>
          <w:lang w:val="en-US"/>
        </w:rPr>
        <w:t>քաղաքներում։</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առևանգման</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քաղաքացիական</w:t>
      </w:r>
      <w:r w:rsidRPr="001F63BA">
        <w:rPr>
          <w:rFonts w:ascii="GHEA Grapalat" w:hAnsi="GHEA Grapalat"/>
          <w:sz w:val="22"/>
          <w:szCs w:val="22"/>
          <w:lang w:val="af-ZA"/>
        </w:rPr>
        <w:t xml:space="preserve"> </w:t>
      </w:r>
      <w:r w:rsidRPr="001F63BA">
        <w:rPr>
          <w:rFonts w:ascii="GHEA Grapalat" w:hAnsi="GHEA Grapalat"/>
          <w:sz w:val="22"/>
          <w:szCs w:val="22"/>
          <w:lang w:val="en-US"/>
        </w:rPr>
        <w:t>մոտեցումների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կոնվենցիայի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ներկայացված</w:t>
      </w:r>
      <w:r w:rsidRPr="001F63BA">
        <w:rPr>
          <w:rFonts w:ascii="GHEA Grapalat" w:hAnsi="GHEA Grapalat"/>
          <w:sz w:val="22"/>
          <w:szCs w:val="22"/>
          <w:lang w:val="af-ZA"/>
        </w:rPr>
        <w:t xml:space="preserve"> </w:t>
      </w:r>
      <w:r w:rsidRPr="001F63BA">
        <w:rPr>
          <w:rFonts w:ascii="GHEA Grapalat" w:hAnsi="GHEA Grapalat"/>
          <w:sz w:val="22"/>
          <w:szCs w:val="22"/>
          <w:lang w:val="en-US"/>
        </w:rPr>
        <w:t>դիմումները</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Ուսումնասիրվել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օտարերկրյա</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քաղաքացիների</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չունեցող</w:t>
      </w:r>
      <w:r w:rsidRPr="001F63BA">
        <w:rPr>
          <w:rFonts w:ascii="GHEA Grapalat" w:hAnsi="GHEA Grapalat"/>
          <w:sz w:val="22"/>
          <w:szCs w:val="22"/>
          <w:lang w:val="af-ZA"/>
        </w:rPr>
        <w:t xml:space="preserve"> </w:t>
      </w:r>
      <w:r w:rsidRPr="001F63BA">
        <w:rPr>
          <w:rFonts w:ascii="GHEA Grapalat" w:hAnsi="GHEA Grapalat"/>
          <w:sz w:val="22"/>
          <w:szCs w:val="22"/>
          <w:lang w:val="en-US"/>
        </w:rPr>
        <w:t>անձանց</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տարածքից</w:t>
      </w:r>
      <w:r w:rsidRPr="001F63BA">
        <w:rPr>
          <w:rFonts w:ascii="GHEA Grapalat" w:hAnsi="GHEA Grapalat"/>
          <w:sz w:val="22"/>
          <w:szCs w:val="22"/>
          <w:lang w:val="af-ZA"/>
        </w:rPr>
        <w:t xml:space="preserve"> </w:t>
      </w:r>
      <w:r w:rsidRPr="001F63BA">
        <w:rPr>
          <w:rFonts w:ascii="GHEA Grapalat" w:hAnsi="GHEA Grapalat"/>
          <w:sz w:val="22"/>
          <w:szCs w:val="22"/>
          <w:lang w:val="en-US"/>
        </w:rPr>
        <w:t>դուրս</w:t>
      </w:r>
      <w:r w:rsidRPr="001F63BA">
        <w:rPr>
          <w:rFonts w:ascii="GHEA Grapalat" w:hAnsi="GHEA Grapalat"/>
          <w:sz w:val="22"/>
          <w:szCs w:val="22"/>
          <w:lang w:val="af-ZA"/>
        </w:rPr>
        <w:t xml:space="preserve"> </w:t>
      </w:r>
      <w:r w:rsidRPr="001F63BA">
        <w:rPr>
          <w:rFonts w:ascii="GHEA Grapalat" w:hAnsi="GHEA Grapalat"/>
          <w:sz w:val="22"/>
          <w:szCs w:val="22"/>
          <w:lang w:val="en-US"/>
        </w:rPr>
        <w:t>բնակվող</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քաղաքացիների՝</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w:t>
      </w:r>
      <w:r w:rsidRPr="001F63BA">
        <w:rPr>
          <w:rFonts w:ascii="GHEA Grapalat" w:hAnsi="GHEA Grapalat"/>
          <w:sz w:val="22"/>
          <w:szCs w:val="22"/>
          <w:lang w:val="af-ZA"/>
        </w:rPr>
        <w:t xml:space="preserve"> </w:t>
      </w:r>
      <w:r w:rsidRPr="001F63BA">
        <w:rPr>
          <w:rFonts w:ascii="GHEA Grapalat" w:hAnsi="GHEA Grapalat"/>
          <w:sz w:val="22"/>
          <w:szCs w:val="22"/>
          <w:lang w:val="en-US"/>
        </w:rPr>
        <w:t>հանդիսացող</w:t>
      </w:r>
      <w:r w:rsidRPr="001F63BA">
        <w:rPr>
          <w:rFonts w:ascii="GHEA Grapalat" w:hAnsi="GHEA Grapalat"/>
          <w:sz w:val="22"/>
          <w:szCs w:val="22"/>
          <w:lang w:val="af-ZA"/>
        </w:rPr>
        <w:t xml:space="preserve"> </w:t>
      </w:r>
      <w:r w:rsidRPr="001F63BA">
        <w:rPr>
          <w:rFonts w:ascii="GHEA Grapalat" w:hAnsi="GHEA Grapalat"/>
          <w:sz w:val="22"/>
          <w:szCs w:val="22"/>
          <w:lang w:val="en-US"/>
        </w:rPr>
        <w:t>երեխա</w:t>
      </w:r>
      <w:r w:rsidRPr="001F63BA">
        <w:rPr>
          <w:rFonts w:ascii="GHEA Grapalat" w:hAnsi="GHEA Grapalat"/>
          <w:sz w:val="22"/>
          <w:szCs w:val="22"/>
          <w:lang w:val="af-ZA"/>
        </w:rPr>
        <w:t xml:space="preserve"> </w:t>
      </w:r>
      <w:r w:rsidRPr="001F63BA">
        <w:rPr>
          <w:rFonts w:ascii="GHEA Grapalat" w:hAnsi="GHEA Grapalat"/>
          <w:sz w:val="22"/>
          <w:szCs w:val="22"/>
          <w:lang w:val="en-US"/>
        </w:rPr>
        <w:t>որդեգրելու</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որպես</w:t>
      </w:r>
      <w:r w:rsidRPr="001F63BA">
        <w:rPr>
          <w:rFonts w:ascii="GHEA Grapalat" w:hAnsi="GHEA Grapalat"/>
          <w:sz w:val="22"/>
          <w:szCs w:val="22"/>
          <w:lang w:val="af-ZA"/>
        </w:rPr>
        <w:t xml:space="preserve"> </w:t>
      </w:r>
      <w:r w:rsidRPr="001F63BA">
        <w:rPr>
          <w:rFonts w:ascii="GHEA Grapalat" w:hAnsi="GHEA Grapalat"/>
          <w:sz w:val="22"/>
          <w:szCs w:val="22"/>
          <w:lang w:val="en-US"/>
        </w:rPr>
        <w:t>որդեգրել</w:t>
      </w:r>
      <w:r w:rsidRPr="001F63BA">
        <w:rPr>
          <w:rFonts w:ascii="GHEA Grapalat" w:hAnsi="GHEA Grapalat"/>
          <w:sz w:val="22"/>
          <w:szCs w:val="22"/>
          <w:lang w:val="af-ZA"/>
        </w:rPr>
        <w:t xml:space="preserve"> </w:t>
      </w:r>
      <w:r w:rsidRPr="001F63BA">
        <w:rPr>
          <w:rFonts w:ascii="GHEA Grapalat" w:hAnsi="GHEA Grapalat"/>
          <w:sz w:val="22"/>
          <w:szCs w:val="22"/>
          <w:lang w:val="en-US"/>
        </w:rPr>
        <w:t>ցանկացող</w:t>
      </w:r>
      <w:r w:rsidRPr="001F63BA">
        <w:rPr>
          <w:rFonts w:ascii="GHEA Grapalat" w:hAnsi="GHEA Grapalat"/>
          <w:sz w:val="22"/>
          <w:szCs w:val="22"/>
          <w:lang w:val="af-ZA"/>
        </w:rPr>
        <w:t xml:space="preserve"> </w:t>
      </w:r>
      <w:r w:rsidRPr="001F63BA">
        <w:rPr>
          <w:rFonts w:ascii="GHEA Grapalat" w:hAnsi="GHEA Grapalat"/>
          <w:sz w:val="22"/>
          <w:szCs w:val="22"/>
          <w:lang w:val="en-US"/>
        </w:rPr>
        <w:t>անձ</w:t>
      </w:r>
      <w:r w:rsidRPr="001F63BA">
        <w:rPr>
          <w:rFonts w:ascii="GHEA Grapalat" w:hAnsi="GHEA Grapalat"/>
          <w:sz w:val="22"/>
          <w:szCs w:val="22"/>
          <w:lang w:val="af-ZA"/>
        </w:rPr>
        <w:t xml:space="preserve"> </w:t>
      </w:r>
      <w:r w:rsidRPr="001F63BA">
        <w:rPr>
          <w:rFonts w:ascii="GHEA Grapalat" w:hAnsi="GHEA Grapalat"/>
          <w:sz w:val="22"/>
          <w:szCs w:val="22"/>
          <w:lang w:val="en-US"/>
        </w:rPr>
        <w:t>հաշվառվելու</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ներկայացված</w:t>
      </w:r>
      <w:r w:rsidRPr="001F63BA">
        <w:rPr>
          <w:rFonts w:ascii="GHEA Grapalat" w:hAnsi="GHEA Grapalat"/>
          <w:sz w:val="22"/>
          <w:szCs w:val="22"/>
          <w:lang w:val="af-ZA"/>
        </w:rPr>
        <w:t xml:space="preserve"> </w:t>
      </w:r>
      <w:r w:rsidRPr="001F63BA">
        <w:rPr>
          <w:rFonts w:ascii="GHEA Grapalat" w:hAnsi="GHEA Grapalat"/>
          <w:sz w:val="22"/>
          <w:szCs w:val="22"/>
          <w:lang w:val="en-US"/>
        </w:rPr>
        <w:t>դիմումները</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օտարերկրյա</w:t>
      </w:r>
      <w:r w:rsidRPr="001F63BA">
        <w:rPr>
          <w:rFonts w:ascii="GHEA Grapalat" w:hAnsi="GHEA Grapalat"/>
          <w:sz w:val="22"/>
          <w:szCs w:val="22"/>
          <w:lang w:val="af-ZA"/>
        </w:rPr>
        <w:t xml:space="preserve"> </w:t>
      </w:r>
      <w:r w:rsidRPr="001F63BA">
        <w:rPr>
          <w:rFonts w:ascii="GHEA Grapalat" w:hAnsi="GHEA Grapalat"/>
          <w:sz w:val="22"/>
          <w:szCs w:val="22"/>
          <w:lang w:val="en-US"/>
        </w:rPr>
        <w:t>որդեգրման</w:t>
      </w:r>
      <w:r w:rsidRPr="001F63BA">
        <w:rPr>
          <w:rFonts w:ascii="GHEA Grapalat" w:hAnsi="GHEA Grapalat"/>
          <w:sz w:val="22"/>
          <w:szCs w:val="22"/>
          <w:lang w:val="af-ZA"/>
        </w:rPr>
        <w:t xml:space="preserve"> </w:t>
      </w:r>
      <w:r w:rsidRPr="001F63BA">
        <w:rPr>
          <w:rFonts w:ascii="GHEA Grapalat" w:hAnsi="GHEA Grapalat"/>
          <w:sz w:val="22"/>
          <w:szCs w:val="22"/>
          <w:lang w:val="en-US"/>
        </w:rPr>
        <w:t>բնագավառում</w:t>
      </w:r>
      <w:r w:rsidRPr="001F63BA">
        <w:rPr>
          <w:rFonts w:ascii="GHEA Grapalat" w:hAnsi="GHEA Grapalat"/>
          <w:sz w:val="22"/>
          <w:szCs w:val="22"/>
          <w:lang w:val="af-ZA"/>
        </w:rPr>
        <w:t xml:space="preserve"> </w:t>
      </w:r>
      <w:r w:rsidRPr="001F63BA">
        <w:rPr>
          <w:rFonts w:ascii="GHEA Grapalat" w:hAnsi="GHEA Grapalat"/>
          <w:sz w:val="22"/>
          <w:szCs w:val="22"/>
          <w:lang w:val="en-US"/>
        </w:rPr>
        <w:t>համագործակցության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կոնվենցիայի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կենտրոնական</w:t>
      </w:r>
      <w:r w:rsidRPr="001F63BA">
        <w:rPr>
          <w:rFonts w:ascii="GHEA Grapalat" w:hAnsi="GHEA Grapalat"/>
          <w:sz w:val="22"/>
          <w:szCs w:val="22"/>
          <w:lang w:val="af-ZA"/>
        </w:rPr>
        <w:t xml:space="preserve"> </w:t>
      </w:r>
      <w:r w:rsidRPr="001F63BA">
        <w:rPr>
          <w:rFonts w:ascii="GHEA Grapalat" w:hAnsi="GHEA Grapalat"/>
          <w:sz w:val="22"/>
          <w:szCs w:val="22"/>
          <w:lang w:val="en-US"/>
        </w:rPr>
        <w:t>մարմնի</w:t>
      </w:r>
      <w:r w:rsidRPr="001F63BA">
        <w:rPr>
          <w:rFonts w:ascii="GHEA Grapalat" w:hAnsi="GHEA Grapalat"/>
          <w:sz w:val="22"/>
          <w:szCs w:val="22"/>
          <w:lang w:val="af-ZA"/>
        </w:rPr>
        <w:t xml:space="preserve"> </w:t>
      </w:r>
      <w:r w:rsidRPr="001F63BA">
        <w:rPr>
          <w:rFonts w:ascii="GHEA Grapalat" w:hAnsi="GHEA Grapalat"/>
          <w:sz w:val="22"/>
          <w:szCs w:val="22"/>
          <w:lang w:val="en-US"/>
        </w:rPr>
        <w:t>լիազորությունների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իրականացումը</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որդեգրման</w:t>
      </w:r>
      <w:r w:rsidRPr="001F63BA">
        <w:rPr>
          <w:rFonts w:ascii="GHEA Grapalat" w:hAnsi="GHEA Grapalat"/>
          <w:sz w:val="22"/>
          <w:szCs w:val="22"/>
          <w:lang w:val="af-ZA"/>
        </w:rPr>
        <w:t xml:space="preserve"> </w:t>
      </w:r>
      <w:r w:rsidRPr="001F63BA">
        <w:rPr>
          <w:rFonts w:ascii="GHEA Grapalat" w:hAnsi="GHEA Grapalat"/>
          <w:sz w:val="22"/>
          <w:szCs w:val="22"/>
          <w:lang w:val="en-US"/>
        </w:rPr>
        <w:t>ենթակա</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համադրման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գործընթացը</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դատարանում</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Ապահովվել</w:t>
      </w:r>
      <w:r w:rsidRPr="001F63BA">
        <w:rPr>
          <w:rFonts w:ascii="GHEA Grapalat" w:hAnsi="GHEA Grapalat"/>
          <w:sz w:val="22"/>
          <w:szCs w:val="22"/>
          <w:lang w:val="af-ZA"/>
        </w:rPr>
        <w:t xml:space="preserve"> են </w:t>
      </w:r>
      <w:r w:rsidRPr="001F63BA">
        <w:rPr>
          <w:rFonts w:ascii="GHEA Grapalat" w:hAnsi="GHEA Grapalat"/>
          <w:sz w:val="22"/>
          <w:szCs w:val="22"/>
          <w:lang w:val="en-US"/>
        </w:rPr>
        <w:t>քաղաքացիական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ակտերի</w:t>
      </w:r>
      <w:r w:rsidRPr="001F63BA">
        <w:rPr>
          <w:rFonts w:ascii="GHEA Grapalat" w:hAnsi="GHEA Grapalat"/>
          <w:sz w:val="22"/>
          <w:szCs w:val="22"/>
          <w:lang w:val="af-ZA"/>
        </w:rPr>
        <w:t xml:space="preserve"> </w:t>
      </w:r>
      <w:r w:rsidRPr="001F63BA">
        <w:rPr>
          <w:rFonts w:ascii="GHEA Grapalat" w:hAnsi="GHEA Grapalat"/>
          <w:sz w:val="22"/>
          <w:szCs w:val="22"/>
          <w:lang w:val="en-US"/>
        </w:rPr>
        <w:t>գրանցման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ոլորտին</w:t>
      </w:r>
      <w:r w:rsidRPr="001F63BA">
        <w:rPr>
          <w:rFonts w:ascii="GHEA Grapalat" w:hAnsi="GHEA Grapalat"/>
          <w:sz w:val="22"/>
          <w:szCs w:val="22"/>
          <w:lang w:val="af-ZA"/>
        </w:rPr>
        <w:t xml:space="preserve"> </w:t>
      </w:r>
      <w:r w:rsidRPr="001F63BA">
        <w:rPr>
          <w:rFonts w:ascii="GHEA Grapalat" w:hAnsi="GHEA Grapalat"/>
          <w:sz w:val="22"/>
          <w:szCs w:val="22"/>
          <w:lang w:val="en-US"/>
        </w:rPr>
        <w:t>առնչվող</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պայմանագրերից</w:t>
      </w:r>
      <w:r w:rsidRPr="001F63BA">
        <w:rPr>
          <w:rFonts w:ascii="GHEA Grapalat" w:hAnsi="GHEA Grapalat"/>
          <w:sz w:val="22"/>
          <w:szCs w:val="22"/>
          <w:lang w:val="af-ZA"/>
        </w:rPr>
        <w:t xml:space="preserve"> </w:t>
      </w:r>
      <w:r w:rsidRPr="001F63BA">
        <w:rPr>
          <w:rFonts w:ascii="GHEA Grapalat" w:hAnsi="GHEA Grapalat"/>
          <w:sz w:val="22"/>
          <w:szCs w:val="22"/>
          <w:lang w:val="en-US"/>
        </w:rPr>
        <w:t>բխող՝</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արդարադատության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պարտավորությունները</w:t>
      </w:r>
      <w:r w:rsidRPr="001F63BA">
        <w:rPr>
          <w:rFonts w:ascii="GHEA Grapalat" w:hAnsi="GHEA Grapalat"/>
          <w:sz w:val="22"/>
          <w:szCs w:val="22"/>
          <w:lang w:val="af-ZA"/>
        </w:rPr>
        <w:t>:</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են </w:t>
      </w:r>
      <w:r w:rsidRPr="001F63BA">
        <w:rPr>
          <w:rFonts w:ascii="GHEA Grapalat" w:hAnsi="GHEA Grapalat"/>
          <w:sz w:val="22"/>
          <w:szCs w:val="22"/>
          <w:lang w:val="en-US"/>
        </w:rPr>
        <w:t>ծննդյան</w:t>
      </w:r>
      <w:r w:rsidRPr="001F63BA">
        <w:rPr>
          <w:rFonts w:ascii="GHEA Grapalat" w:hAnsi="GHEA Grapalat"/>
          <w:sz w:val="22"/>
          <w:szCs w:val="22"/>
          <w:lang w:val="af-ZA"/>
        </w:rPr>
        <w:t xml:space="preserve">, </w:t>
      </w:r>
      <w:r w:rsidRPr="001F63BA">
        <w:rPr>
          <w:rFonts w:ascii="GHEA Grapalat" w:hAnsi="GHEA Grapalat"/>
          <w:sz w:val="22"/>
          <w:szCs w:val="22"/>
          <w:lang w:val="en-US"/>
        </w:rPr>
        <w:t>հայրության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ճանաչման</w:t>
      </w:r>
      <w:r w:rsidRPr="001F63BA">
        <w:rPr>
          <w:rFonts w:ascii="GHEA Grapalat" w:hAnsi="GHEA Grapalat"/>
          <w:sz w:val="22"/>
          <w:szCs w:val="22"/>
          <w:lang w:val="af-ZA"/>
        </w:rPr>
        <w:t xml:space="preserve">, </w:t>
      </w:r>
      <w:r w:rsidRPr="001F63BA">
        <w:rPr>
          <w:rFonts w:ascii="GHEA Grapalat" w:hAnsi="GHEA Grapalat"/>
          <w:sz w:val="22"/>
          <w:szCs w:val="22"/>
          <w:lang w:val="en-US"/>
        </w:rPr>
        <w:t>ամուսնության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ամուսնալուծության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մահվան</w:t>
      </w:r>
      <w:r w:rsidRPr="001F63BA">
        <w:rPr>
          <w:rFonts w:ascii="GHEA Grapalat" w:hAnsi="GHEA Grapalat"/>
          <w:sz w:val="22"/>
          <w:szCs w:val="22"/>
          <w:lang w:val="af-ZA"/>
        </w:rPr>
        <w:t xml:space="preserve"> </w:t>
      </w:r>
      <w:r w:rsidRPr="001F63BA">
        <w:rPr>
          <w:rFonts w:ascii="GHEA Grapalat" w:hAnsi="GHEA Grapalat"/>
          <w:sz w:val="22"/>
          <w:szCs w:val="22"/>
          <w:lang w:val="en-US"/>
        </w:rPr>
        <w:t>գրանցումներ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վկայականներ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տեղեկանքներ</w:t>
      </w:r>
      <w:r w:rsidRPr="001F63BA">
        <w:rPr>
          <w:rFonts w:ascii="GHEA Grapalat" w:hAnsi="GHEA Grapalat"/>
          <w:sz w:val="22"/>
          <w:szCs w:val="22"/>
          <w:lang w:val="af-ZA"/>
        </w:rPr>
        <w:t xml:space="preserve">: </w:t>
      </w:r>
      <w:r w:rsidRPr="001F63BA">
        <w:rPr>
          <w:rFonts w:ascii="GHEA Grapalat" w:hAnsi="GHEA Grapalat"/>
          <w:sz w:val="22"/>
          <w:szCs w:val="22"/>
          <w:lang w:val="en-US"/>
        </w:rPr>
        <w:t>Թվայնացվել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արխիվացվել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քաղաքացիական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ակտեր։</w:t>
      </w:r>
      <w:r w:rsidRPr="001F63BA">
        <w:rPr>
          <w:rFonts w:ascii="GHEA Grapalat" w:hAnsi="GHEA Grapalat"/>
          <w:sz w:val="22"/>
          <w:szCs w:val="22"/>
          <w:lang w:val="af-ZA"/>
        </w:rPr>
        <w:t xml:space="preserve"> </w:t>
      </w:r>
    </w:p>
    <w:p w:rsidR="001C411D" w:rsidRPr="001F63BA" w:rsidRDefault="001C411D" w:rsidP="00BF34F9">
      <w:pPr>
        <w:spacing w:line="360" w:lineRule="auto"/>
        <w:ind w:firstLine="567"/>
        <w:jc w:val="both"/>
        <w:rPr>
          <w:rFonts w:ascii="GHEA Grapalat" w:hAnsi="GHEA Grapalat"/>
          <w:sz w:val="22"/>
          <w:szCs w:val="22"/>
          <w:lang w:val="af-ZA"/>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 xml:space="preserve">Անձնական տվյալների պաշտպանության ոլորտ </w:t>
      </w:r>
    </w:p>
    <w:p w:rsidR="001C411D" w:rsidRPr="001F63BA" w:rsidRDefault="001C411D" w:rsidP="00BF34F9">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rPr>
        <w:t>թվականին</w:t>
      </w:r>
      <w:r w:rsidRPr="001F63BA">
        <w:rPr>
          <w:rFonts w:ascii="GHEA Grapalat" w:hAnsi="GHEA Grapalat"/>
          <w:sz w:val="22"/>
          <w:szCs w:val="22"/>
          <w:lang w:val="af-ZA"/>
        </w:rPr>
        <w:t xml:space="preserve"> </w:t>
      </w:r>
      <w:r w:rsidRPr="001F63BA">
        <w:rPr>
          <w:rFonts w:ascii="GHEA Grapalat" w:hAnsi="GHEA Grapalat"/>
          <w:sz w:val="22"/>
          <w:szCs w:val="22"/>
        </w:rPr>
        <w:t>աջակցություն</w:t>
      </w:r>
      <w:r w:rsidRPr="001F63BA">
        <w:rPr>
          <w:rFonts w:ascii="GHEA Grapalat" w:hAnsi="GHEA Grapalat"/>
          <w:sz w:val="22"/>
          <w:szCs w:val="22"/>
          <w:lang w:val="af-ZA"/>
        </w:rPr>
        <w:t xml:space="preserve"> </w:t>
      </w:r>
      <w:r w:rsidRPr="001F63BA">
        <w:rPr>
          <w:rFonts w:ascii="GHEA Grapalat" w:hAnsi="GHEA Grapalat"/>
          <w:sz w:val="22"/>
          <w:szCs w:val="22"/>
        </w:rPr>
        <w:t>է</w:t>
      </w:r>
      <w:r w:rsidRPr="001F63BA">
        <w:rPr>
          <w:rFonts w:ascii="GHEA Grapalat" w:hAnsi="GHEA Grapalat"/>
          <w:sz w:val="22"/>
          <w:szCs w:val="22"/>
          <w:lang w:val="af-ZA"/>
        </w:rPr>
        <w:t xml:space="preserve"> </w:t>
      </w:r>
      <w:r w:rsidRPr="001F63BA">
        <w:rPr>
          <w:rFonts w:ascii="GHEA Grapalat" w:hAnsi="GHEA Grapalat"/>
          <w:sz w:val="22"/>
          <w:szCs w:val="22"/>
        </w:rPr>
        <w:t>ցուցաբերվել</w:t>
      </w:r>
      <w:r w:rsidRPr="001F63BA">
        <w:rPr>
          <w:rFonts w:ascii="GHEA Grapalat" w:hAnsi="GHEA Grapalat"/>
          <w:sz w:val="22"/>
          <w:szCs w:val="22"/>
          <w:lang w:val="af-ZA"/>
        </w:rPr>
        <w:t xml:space="preserve"> </w:t>
      </w:r>
      <w:r w:rsidRPr="001F63BA">
        <w:rPr>
          <w:rFonts w:ascii="GHEA Grapalat" w:hAnsi="GHEA Grapalat"/>
          <w:sz w:val="22"/>
          <w:szCs w:val="22"/>
        </w:rPr>
        <w:t>անձնական</w:t>
      </w:r>
      <w:r w:rsidRPr="001F63BA">
        <w:rPr>
          <w:rFonts w:ascii="GHEA Grapalat" w:hAnsi="GHEA Grapalat"/>
          <w:sz w:val="22"/>
          <w:szCs w:val="22"/>
          <w:lang w:val="af-ZA"/>
        </w:rPr>
        <w:t xml:space="preserve"> </w:t>
      </w:r>
      <w:r w:rsidRPr="001F63BA">
        <w:rPr>
          <w:rFonts w:ascii="GHEA Grapalat" w:hAnsi="GHEA Grapalat"/>
          <w:sz w:val="22"/>
          <w:szCs w:val="22"/>
        </w:rPr>
        <w:t>տվյալների</w:t>
      </w:r>
      <w:r w:rsidRPr="001F63BA">
        <w:rPr>
          <w:rFonts w:ascii="GHEA Grapalat" w:hAnsi="GHEA Grapalat"/>
          <w:sz w:val="22"/>
          <w:szCs w:val="22"/>
          <w:lang w:val="af-ZA"/>
        </w:rPr>
        <w:t xml:space="preserve"> </w:t>
      </w:r>
      <w:r w:rsidRPr="001F63BA">
        <w:rPr>
          <w:rFonts w:ascii="GHEA Grapalat" w:hAnsi="GHEA Grapalat"/>
          <w:sz w:val="22"/>
          <w:szCs w:val="22"/>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rPr>
        <w:t>լիազոր</w:t>
      </w:r>
      <w:r w:rsidRPr="001F63BA">
        <w:rPr>
          <w:rFonts w:ascii="GHEA Grapalat" w:hAnsi="GHEA Grapalat"/>
          <w:sz w:val="22"/>
          <w:szCs w:val="22"/>
          <w:lang w:val="af-ZA"/>
        </w:rPr>
        <w:t xml:space="preserve"> </w:t>
      </w:r>
      <w:r w:rsidRPr="001F63BA">
        <w:rPr>
          <w:rFonts w:ascii="GHEA Grapalat" w:hAnsi="GHEA Grapalat"/>
          <w:sz w:val="22"/>
          <w:szCs w:val="22"/>
        </w:rPr>
        <w:t>մարմնի</w:t>
      </w:r>
      <w:r w:rsidRPr="001F63BA">
        <w:rPr>
          <w:rFonts w:ascii="GHEA Grapalat" w:hAnsi="GHEA Grapalat"/>
          <w:sz w:val="22"/>
          <w:szCs w:val="22"/>
          <w:lang w:val="af-ZA"/>
        </w:rPr>
        <w:t xml:space="preserve"> </w:t>
      </w:r>
      <w:r w:rsidRPr="001F63BA">
        <w:rPr>
          <w:rFonts w:ascii="GHEA Grapalat" w:hAnsi="GHEA Grapalat"/>
          <w:sz w:val="22"/>
          <w:szCs w:val="22"/>
        </w:rPr>
        <w:t>գործառույթների</w:t>
      </w:r>
      <w:r w:rsidRPr="001F63BA">
        <w:rPr>
          <w:rFonts w:ascii="GHEA Grapalat" w:hAnsi="GHEA Grapalat"/>
          <w:sz w:val="22"/>
          <w:szCs w:val="22"/>
          <w:lang w:val="af-ZA"/>
        </w:rPr>
        <w:t xml:space="preserve"> </w:t>
      </w:r>
      <w:r w:rsidRPr="001F63BA">
        <w:rPr>
          <w:rFonts w:ascii="GHEA Grapalat" w:hAnsi="GHEA Grapalat"/>
          <w:sz w:val="22"/>
          <w:szCs w:val="22"/>
        </w:rPr>
        <w:t>իրականացման</w:t>
      </w:r>
      <w:r w:rsidRPr="001F63BA">
        <w:rPr>
          <w:rFonts w:ascii="GHEA Grapalat" w:hAnsi="GHEA Grapalat"/>
          <w:sz w:val="22"/>
          <w:szCs w:val="22"/>
          <w:lang w:val="af-ZA"/>
        </w:rPr>
        <w:t xml:space="preserve">, </w:t>
      </w:r>
      <w:r w:rsidRPr="001F63BA">
        <w:rPr>
          <w:rFonts w:ascii="GHEA Grapalat" w:hAnsi="GHEA Grapalat"/>
          <w:sz w:val="22"/>
          <w:szCs w:val="22"/>
        </w:rPr>
        <w:t>այդ</w:t>
      </w:r>
      <w:r w:rsidRPr="001F63BA">
        <w:rPr>
          <w:rFonts w:ascii="GHEA Grapalat" w:hAnsi="GHEA Grapalat"/>
          <w:sz w:val="22"/>
          <w:szCs w:val="22"/>
          <w:lang w:val="af-ZA"/>
        </w:rPr>
        <w:t xml:space="preserve"> </w:t>
      </w:r>
      <w:r w:rsidRPr="001F63BA">
        <w:rPr>
          <w:rFonts w:ascii="GHEA Grapalat" w:hAnsi="GHEA Grapalat"/>
          <w:sz w:val="22"/>
          <w:szCs w:val="22"/>
        </w:rPr>
        <w:t>թվում՝</w:t>
      </w:r>
      <w:r w:rsidRPr="001F63BA">
        <w:rPr>
          <w:rFonts w:ascii="GHEA Grapalat" w:hAnsi="GHEA Grapalat"/>
          <w:sz w:val="22"/>
          <w:szCs w:val="22"/>
          <w:lang w:val="af-ZA"/>
        </w:rPr>
        <w:t xml:space="preserve"> </w:t>
      </w:r>
      <w:r w:rsidRPr="001F63BA">
        <w:rPr>
          <w:rFonts w:ascii="GHEA Grapalat" w:hAnsi="GHEA Grapalat"/>
          <w:sz w:val="22"/>
          <w:szCs w:val="22"/>
        </w:rPr>
        <w:t>անձնական</w:t>
      </w:r>
      <w:r w:rsidRPr="001F63BA">
        <w:rPr>
          <w:rFonts w:ascii="GHEA Grapalat" w:hAnsi="GHEA Grapalat"/>
          <w:sz w:val="22"/>
          <w:szCs w:val="22"/>
          <w:lang w:val="af-ZA"/>
        </w:rPr>
        <w:t xml:space="preserve"> </w:t>
      </w:r>
      <w:r w:rsidRPr="001F63BA">
        <w:rPr>
          <w:rFonts w:ascii="GHEA Grapalat" w:hAnsi="GHEA Grapalat"/>
          <w:sz w:val="22"/>
          <w:szCs w:val="22"/>
        </w:rPr>
        <w:t>տվյալների</w:t>
      </w:r>
      <w:r w:rsidRPr="001F63BA">
        <w:rPr>
          <w:rFonts w:ascii="GHEA Grapalat" w:hAnsi="GHEA Grapalat"/>
          <w:sz w:val="22"/>
          <w:szCs w:val="22"/>
          <w:lang w:val="af-ZA"/>
        </w:rPr>
        <w:t xml:space="preserve"> </w:t>
      </w:r>
      <w:r w:rsidRPr="001F63BA">
        <w:rPr>
          <w:rFonts w:ascii="GHEA Grapalat" w:hAnsi="GHEA Grapalat"/>
          <w:sz w:val="22"/>
          <w:szCs w:val="22"/>
        </w:rPr>
        <w:t>մշակում</w:t>
      </w:r>
      <w:r w:rsidRPr="001F63BA">
        <w:rPr>
          <w:rFonts w:ascii="GHEA Grapalat" w:hAnsi="GHEA Grapalat"/>
          <w:sz w:val="22"/>
          <w:szCs w:val="22"/>
          <w:lang w:val="af-ZA"/>
        </w:rPr>
        <w:t xml:space="preserve"> </w:t>
      </w:r>
      <w:r w:rsidRPr="001F63BA">
        <w:rPr>
          <w:rFonts w:ascii="GHEA Grapalat" w:hAnsi="GHEA Grapalat"/>
          <w:sz w:val="22"/>
          <w:szCs w:val="22"/>
        </w:rPr>
        <w:t>նախատեսող</w:t>
      </w:r>
      <w:r w:rsidRPr="001F63BA">
        <w:rPr>
          <w:rFonts w:ascii="GHEA Grapalat" w:hAnsi="GHEA Grapalat"/>
          <w:sz w:val="22"/>
          <w:szCs w:val="22"/>
          <w:lang w:val="af-ZA"/>
        </w:rPr>
        <w:t xml:space="preserve"> </w:t>
      </w:r>
      <w:r w:rsidRPr="001F63BA">
        <w:rPr>
          <w:rFonts w:ascii="GHEA Grapalat" w:hAnsi="GHEA Grapalat"/>
          <w:sz w:val="22"/>
          <w:szCs w:val="22"/>
        </w:rPr>
        <w:t>նոր</w:t>
      </w:r>
      <w:r w:rsidRPr="001F63BA">
        <w:rPr>
          <w:rFonts w:ascii="GHEA Grapalat" w:hAnsi="GHEA Grapalat"/>
          <w:sz w:val="22"/>
          <w:szCs w:val="22"/>
          <w:lang w:val="af-ZA"/>
        </w:rPr>
        <w:t xml:space="preserve"> </w:t>
      </w:r>
      <w:r w:rsidRPr="001F63BA">
        <w:rPr>
          <w:rFonts w:ascii="GHEA Grapalat" w:hAnsi="GHEA Grapalat"/>
          <w:sz w:val="22"/>
          <w:szCs w:val="22"/>
        </w:rPr>
        <w:t>ընդունվող</w:t>
      </w:r>
      <w:r w:rsidRPr="001F63BA">
        <w:rPr>
          <w:rFonts w:ascii="GHEA Grapalat" w:hAnsi="GHEA Grapalat"/>
          <w:sz w:val="22"/>
          <w:szCs w:val="22"/>
          <w:lang w:val="af-ZA"/>
        </w:rPr>
        <w:t xml:space="preserve">, </w:t>
      </w:r>
      <w:r w:rsidRPr="001F63BA">
        <w:rPr>
          <w:rFonts w:ascii="GHEA Grapalat" w:hAnsi="GHEA Grapalat"/>
          <w:sz w:val="22"/>
          <w:szCs w:val="22"/>
        </w:rPr>
        <w:t>ինչպես</w:t>
      </w:r>
      <w:r w:rsidRPr="001F63BA">
        <w:rPr>
          <w:rFonts w:ascii="GHEA Grapalat" w:hAnsi="GHEA Grapalat"/>
          <w:sz w:val="22"/>
          <w:szCs w:val="22"/>
          <w:lang w:val="af-ZA"/>
        </w:rPr>
        <w:t xml:space="preserve"> </w:t>
      </w:r>
      <w:r w:rsidRPr="001F63BA">
        <w:rPr>
          <w:rFonts w:ascii="GHEA Grapalat" w:hAnsi="GHEA Grapalat"/>
          <w:sz w:val="22"/>
          <w:szCs w:val="22"/>
        </w:rPr>
        <w:t>նաև</w:t>
      </w:r>
      <w:r w:rsidRPr="001F63BA">
        <w:rPr>
          <w:rFonts w:ascii="GHEA Grapalat" w:hAnsi="GHEA Grapalat"/>
          <w:sz w:val="22"/>
          <w:szCs w:val="22"/>
          <w:lang w:val="af-ZA"/>
        </w:rPr>
        <w:t xml:space="preserve"> </w:t>
      </w:r>
      <w:r w:rsidRPr="001F63BA">
        <w:rPr>
          <w:rFonts w:ascii="GHEA Grapalat" w:hAnsi="GHEA Grapalat"/>
          <w:sz w:val="22"/>
          <w:szCs w:val="22"/>
        </w:rPr>
        <w:t>գործող</w:t>
      </w:r>
      <w:r w:rsidRPr="001F63BA">
        <w:rPr>
          <w:rFonts w:ascii="GHEA Grapalat" w:hAnsi="GHEA Grapalat"/>
          <w:sz w:val="22"/>
          <w:szCs w:val="22"/>
          <w:lang w:val="af-ZA"/>
        </w:rPr>
        <w:t xml:space="preserve"> </w:t>
      </w:r>
      <w:r w:rsidRPr="001F63BA">
        <w:rPr>
          <w:rFonts w:ascii="GHEA Grapalat" w:hAnsi="GHEA Grapalat"/>
          <w:sz w:val="22"/>
          <w:szCs w:val="22"/>
        </w:rPr>
        <w:t>իրավական</w:t>
      </w:r>
      <w:r w:rsidRPr="001F63BA">
        <w:rPr>
          <w:rFonts w:ascii="GHEA Grapalat" w:hAnsi="GHEA Grapalat"/>
          <w:sz w:val="22"/>
          <w:szCs w:val="22"/>
          <w:lang w:val="af-ZA"/>
        </w:rPr>
        <w:t xml:space="preserve"> </w:t>
      </w:r>
      <w:r w:rsidRPr="001F63BA">
        <w:rPr>
          <w:rFonts w:ascii="GHEA Grapalat" w:hAnsi="GHEA Grapalat"/>
          <w:sz w:val="22"/>
          <w:szCs w:val="22"/>
        </w:rPr>
        <w:t>ակտերն</w:t>
      </w:r>
      <w:r w:rsidRPr="001F63BA">
        <w:rPr>
          <w:rFonts w:ascii="GHEA Grapalat" w:hAnsi="GHEA Grapalat"/>
          <w:sz w:val="22"/>
          <w:szCs w:val="22"/>
          <w:lang w:val="af-ZA"/>
        </w:rPr>
        <w:t xml:space="preserve"> «</w:t>
      </w:r>
      <w:r w:rsidRPr="001F63BA">
        <w:rPr>
          <w:rFonts w:ascii="GHEA Grapalat" w:hAnsi="GHEA Grapalat"/>
          <w:sz w:val="22"/>
          <w:szCs w:val="22"/>
        </w:rPr>
        <w:t>Անձնական</w:t>
      </w:r>
      <w:r w:rsidRPr="001F63BA">
        <w:rPr>
          <w:rFonts w:ascii="GHEA Grapalat" w:hAnsi="GHEA Grapalat"/>
          <w:sz w:val="22"/>
          <w:szCs w:val="22"/>
          <w:lang w:val="af-ZA"/>
        </w:rPr>
        <w:t xml:space="preserve"> </w:t>
      </w:r>
      <w:r w:rsidRPr="001F63BA">
        <w:rPr>
          <w:rFonts w:ascii="GHEA Grapalat" w:hAnsi="GHEA Grapalat"/>
          <w:sz w:val="22"/>
          <w:szCs w:val="22"/>
        </w:rPr>
        <w:t>տվյալների</w:t>
      </w:r>
      <w:r w:rsidRPr="001F63BA">
        <w:rPr>
          <w:rFonts w:ascii="GHEA Grapalat" w:hAnsi="GHEA Grapalat"/>
          <w:sz w:val="22"/>
          <w:szCs w:val="22"/>
          <w:lang w:val="af-ZA"/>
        </w:rPr>
        <w:t xml:space="preserve"> </w:t>
      </w:r>
      <w:r w:rsidRPr="001F63BA">
        <w:rPr>
          <w:rFonts w:ascii="GHEA Grapalat" w:hAnsi="GHEA Grapalat"/>
          <w:sz w:val="22"/>
          <w:szCs w:val="22"/>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rPr>
        <w:t>մասին</w:t>
      </w:r>
      <w:r w:rsidRPr="001F63BA">
        <w:rPr>
          <w:rFonts w:ascii="GHEA Grapalat" w:hAnsi="GHEA Grapalat"/>
          <w:sz w:val="22"/>
          <w:szCs w:val="22"/>
          <w:lang w:val="af-ZA"/>
        </w:rPr>
        <w:t xml:space="preserve">» </w:t>
      </w:r>
      <w:r w:rsidRPr="001F63BA">
        <w:rPr>
          <w:rFonts w:ascii="GHEA Grapalat" w:hAnsi="GHEA Grapalat"/>
          <w:sz w:val="22"/>
          <w:szCs w:val="22"/>
        </w:rPr>
        <w:t>ՀՀ</w:t>
      </w:r>
      <w:r w:rsidRPr="001F63BA">
        <w:rPr>
          <w:rFonts w:ascii="GHEA Grapalat" w:hAnsi="GHEA Grapalat"/>
          <w:sz w:val="22"/>
          <w:szCs w:val="22"/>
          <w:lang w:val="af-ZA"/>
        </w:rPr>
        <w:t xml:space="preserve"> </w:t>
      </w:r>
      <w:r w:rsidRPr="001F63BA">
        <w:rPr>
          <w:rFonts w:ascii="GHEA Grapalat" w:hAnsi="GHEA Grapalat"/>
          <w:sz w:val="22"/>
          <w:szCs w:val="22"/>
        </w:rPr>
        <w:t>օրենքով</w:t>
      </w:r>
      <w:r w:rsidRPr="001F63BA">
        <w:rPr>
          <w:rFonts w:ascii="GHEA Grapalat" w:hAnsi="GHEA Grapalat"/>
          <w:sz w:val="22"/>
          <w:szCs w:val="22"/>
          <w:lang w:val="af-ZA"/>
        </w:rPr>
        <w:t xml:space="preserve"> </w:t>
      </w:r>
      <w:r w:rsidRPr="001F63BA">
        <w:rPr>
          <w:rFonts w:ascii="GHEA Grapalat" w:hAnsi="GHEA Grapalat"/>
          <w:sz w:val="22"/>
          <w:szCs w:val="22"/>
        </w:rPr>
        <w:t>սահմանված՝</w:t>
      </w:r>
      <w:r w:rsidRPr="001F63BA">
        <w:rPr>
          <w:rFonts w:ascii="GHEA Grapalat" w:hAnsi="GHEA Grapalat"/>
          <w:sz w:val="22"/>
          <w:szCs w:val="22"/>
          <w:lang w:val="af-ZA"/>
        </w:rPr>
        <w:t xml:space="preserve"> </w:t>
      </w:r>
      <w:r w:rsidRPr="001F63BA">
        <w:rPr>
          <w:rFonts w:ascii="GHEA Grapalat" w:hAnsi="GHEA Grapalat"/>
          <w:sz w:val="22"/>
          <w:szCs w:val="22"/>
        </w:rPr>
        <w:t>անձնական</w:t>
      </w:r>
      <w:r w:rsidRPr="001F63BA">
        <w:rPr>
          <w:rFonts w:ascii="GHEA Grapalat" w:hAnsi="GHEA Grapalat"/>
          <w:sz w:val="22"/>
          <w:szCs w:val="22"/>
          <w:lang w:val="af-ZA"/>
        </w:rPr>
        <w:t xml:space="preserve"> </w:t>
      </w:r>
      <w:r w:rsidRPr="001F63BA">
        <w:rPr>
          <w:rFonts w:ascii="GHEA Grapalat" w:hAnsi="GHEA Grapalat"/>
          <w:sz w:val="22"/>
          <w:szCs w:val="22"/>
        </w:rPr>
        <w:t>տվյալների</w:t>
      </w:r>
      <w:r w:rsidRPr="001F63BA">
        <w:rPr>
          <w:rFonts w:ascii="GHEA Grapalat" w:hAnsi="GHEA Grapalat"/>
          <w:sz w:val="22"/>
          <w:szCs w:val="22"/>
          <w:lang w:val="af-ZA"/>
        </w:rPr>
        <w:t xml:space="preserve"> </w:t>
      </w:r>
      <w:r w:rsidRPr="001F63BA">
        <w:rPr>
          <w:rFonts w:ascii="GHEA Grapalat" w:hAnsi="GHEA Grapalat"/>
          <w:sz w:val="22"/>
          <w:szCs w:val="22"/>
        </w:rPr>
        <w:t>մշակման</w:t>
      </w:r>
      <w:r w:rsidRPr="001F63BA">
        <w:rPr>
          <w:rFonts w:ascii="GHEA Grapalat" w:hAnsi="GHEA Grapalat"/>
          <w:sz w:val="22"/>
          <w:szCs w:val="22"/>
          <w:lang w:val="af-ZA"/>
        </w:rPr>
        <w:t xml:space="preserve"> </w:t>
      </w:r>
      <w:r w:rsidRPr="001F63BA">
        <w:rPr>
          <w:rFonts w:ascii="GHEA Grapalat" w:hAnsi="GHEA Grapalat"/>
          <w:sz w:val="22"/>
          <w:szCs w:val="22"/>
        </w:rPr>
        <w:t>սկզբունքներին</w:t>
      </w:r>
      <w:r w:rsidRPr="001F63BA">
        <w:rPr>
          <w:rFonts w:ascii="GHEA Grapalat" w:hAnsi="GHEA Grapalat"/>
          <w:sz w:val="22"/>
          <w:szCs w:val="22"/>
          <w:lang w:val="af-ZA"/>
        </w:rPr>
        <w:t xml:space="preserve"> </w:t>
      </w:r>
      <w:r w:rsidRPr="001F63BA">
        <w:rPr>
          <w:rFonts w:ascii="GHEA Grapalat" w:hAnsi="GHEA Grapalat"/>
          <w:sz w:val="22"/>
          <w:szCs w:val="22"/>
        </w:rPr>
        <w:t>համապատասխանեցման</w:t>
      </w:r>
      <w:r w:rsidRPr="001F63BA">
        <w:rPr>
          <w:rFonts w:ascii="GHEA Grapalat" w:hAnsi="GHEA Grapalat"/>
          <w:sz w:val="22"/>
          <w:szCs w:val="22"/>
          <w:lang w:val="af-ZA"/>
        </w:rPr>
        <w:t xml:space="preserve"> </w:t>
      </w:r>
      <w:r w:rsidRPr="001F63BA">
        <w:rPr>
          <w:rFonts w:ascii="GHEA Grapalat" w:hAnsi="GHEA Grapalat"/>
          <w:sz w:val="22"/>
          <w:szCs w:val="22"/>
        </w:rPr>
        <w:t>հարցում</w:t>
      </w:r>
      <w:r w:rsidRPr="001F63BA">
        <w:rPr>
          <w:rFonts w:ascii="GHEA Grapalat" w:hAnsi="GHEA Grapalat"/>
          <w:sz w:val="22"/>
          <w:szCs w:val="22"/>
          <w:lang w:val="af-ZA"/>
        </w:rPr>
        <w:t xml:space="preserve">: </w:t>
      </w:r>
      <w:r w:rsidRPr="001F63BA">
        <w:rPr>
          <w:rFonts w:ascii="GHEA Grapalat" w:hAnsi="GHEA Grapalat"/>
          <w:sz w:val="22"/>
          <w:szCs w:val="22"/>
        </w:rPr>
        <w:t>Զգալի</w:t>
      </w:r>
      <w:r w:rsidRPr="001F63BA">
        <w:rPr>
          <w:rFonts w:ascii="GHEA Grapalat" w:hAnsi="GHEA Grapalat"/>
          <w:sz w:val="22"/>
          <w:szCs w:val="22"/>
          <w:lang w:val="af-ZA"/>
        </w:rPr>
        <w:t xml:space="preserve"> </w:t>
      </w:r>
      <w:r w:rsidRPr="001F63BA">
        <w:rPr>
          <w:rFonts w:ascii="GHEA Grapalat" w:hAnsi="GHEA Grapalat"/>
          <w:sz w:val="22"/>
          <w:szCs w:val="22"/>
        </w:rPr>
        <w:t>աշխատանքներ</w:t>
      </w:r>
      <w:r w:rsidRPr="001F63BA">
        <w:rPr>
          <w:rFonts w:ascii="GHEA Grapalat" w:hAnsi="GHEA Grapalat"/>
          <w:sz w:val="22"/>
          <w:szCs w:val="22"/>
          <w:lang w:val="af-ZA"/>
        </w:rPr>
        <w:t xml:space="preserve"> </w:t>
      </w:r>
      <w:r w:rsidRPr="001F63BA">
        <w:rPr>
          <w:rFonts w:ascii="GHEA Grapalat" w:hAnsi="GHEA Grapalat"/>
          <w:sz w:val="22"/>
          <w:szCs w:val="22"/>
        </w:rPr>
        <w:t>են</w:t>
      </w:r>
      <w:r w:rsidRPr="001F63BA">
        <w:rPr>
          <w:rFonts w:ascii="GHEA Grapalat" w:hAnsi="GHEA Grapalat"/>
          <w:sz w:val="22"/>
          <w:szCs w:val="22"/>
          <w:lang w:val="af-ZA"/>
        </w:rPr>
        <w:t xml:space="preserve"> </w:t>
      </w:r>
      <w:r w:rsidRPr="001F63BA">
        <w:rPr>
          <w:rFonts w:ascii="GHEA Grapalat" w:hAnsi="GHEA Grapalat"/>
          <w:sz w:val="22"/>
          <w:szCs w:val="22"/>
        </w:rPr>
        <w:t>իրականացվել</w:t>
      </w:r>
      <w:r w:rsidRPr="001F63BA">
        <w:rPr>
          <w:rFonts w:ascii="GHEA Grapalat" w:hAnsi="GHEA Grapalat"/>
          <w:sz w:val="22"/>
          <w:szCs w:val="22"/>
          <w:lang w:val="af-ZA"/>
        </w:rPr>
        <w:t xml:space="preserve"> </w:t>
      </w:r>
      <w:r w:rsidRPr="001F63BA">
        <w:rPr>
          <w:rFonts w:ascii="GHEA Grapalat" w:hAnsi="GHEA Grapalat"/>
          <w:sz w:val="22"/>
          <w:szCs w:val="22"/>
        </w:rPr>
        <w:t>անձնական</w:t>
      </w:r>
      <w:r w:rsidRPr="001F63BA">
        <w:rPr>
          <w:rFonts w:ascii="GHEA Grapalat" w:hAnsi="GHEA Grapalat"/>
          <w:sz w:val="22"/>
          <w:szCs w:val="22"/>
          <w:lang w:val="af-ZA"/>
        </w:rPr>
        <w:t xml:space="preserve"> </w:t>
      </w:r>
      <w:r w:rsidRPr="001F63BA">
        <w:rPr>
          <w:rFonts w:ascii="GHEA Grapalat" w:hAnsi="GHEA Grapalat"/>
          <w:sz w:val="22"/>
          <w:szCs w:val="22"/>
        </w:rPr>
        <w:t>տվյալների</w:t>
      </w:r>
      <w:r w:rsidRPr="001F63BA">
        <w:rPr>
          <w:rFonts w:ascii="GHEA Grapalat" w:hAnsi="GHEA Grapalat"/>
          <w:sz w:val="22"/>
          <w:szCs w:val="22"/>
          <w:lang w:val="af-ZA"/>
        </w:rPr>
        <w:t xml:space="preserve"> </w:t>
      </w:r>
      <w:r w:rsidRPr="001F63BA">
        <w:rPr>
          <w:rFonts w:ascii="GHEA Grapalat" w:hAnsi="GHEA Grapalat"/>
          <w:sz w:val="22"/>
          <w:szCs w:val="22"/>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rPr>
        <w:t>ոլորտում</w:t>
      </w:r>
      <w:r w:rsidRPr="001F63BA">
        <w:rPr>
          <w:rFonts w:ascii="GHEA Grapalat" w:hAnsi="GHEA Grapalat"/>
          <w:sz w:val="22"/>
          <w:szCs w:val="22"/>
          <w:lang w:val="af-ZA"/>
        </w:rPr>
        <w:t xml:space="preserve">: </w:t>
      </w:r>
      <w:r w:rsidRPr="001F63BA">
        <w:rPr>
          <w:rFonts w:ascii="GHEA Grapalat" w:hAnsi="GHEA Grapalat"/>
          <w:sz w:val="22"/>
          <w:szCs w:val="22"/>
        </w:rPr>
        <w:t>Գործակալության</w:t>
      </w:r>
      <w:r w:rsidRPr="001F63BA">
        <w:rPr>
          <w:rFonts w:ascii="GHEA Grapalat" w:hAnsi="GHEA Grapalat"/>
          <w:sz w:val="22"/>
          <w:szCs w:val="22"/>
          <w:lang w:val="af-ZA"/>
        </w:rPr>
        <w:t xml:space="preserve"> </w:t>
      </w:r>
      <w:r w:rsidRPr="001F63BA">
        <w:rPr>
          <w:rFonts w:ascii="GHEA Grapalat" w:hAnsi="GHEA Grapalat"/>
          <w:sz w:val="22"/>
          <w:szCs w:val="22"/>
        </w:rPr>
        <w:t>կողմից</w:t>
      </w:r>
      <w:r w:rsidRPr="001F63BA">
        <w:rPr>
          <w:rFonts w:ascii="GHEA Grapalat" w:hAnsi="GHEA Grapalat"/>
          <w:sz w:val="22"/>
          <w:szCs w:val="22"/>
          <w:lang w:val="af-ZA"/>
        </w:rPr>
        <w:t xml:space="preserve"> </w:t>
      </w:r>
      <w:r w:rsidRPr="001F63BA">
        <w:rPr>
          <w:rFonts w:ascii="GHEA Grapalat" w:hAnsi="GHEA Grapalat"/>
          <w:sz w:val="22"/>
          <w:szCs w:val="22"/>
        </w:rPr>
        <w:t>տրամադրվել</w:t>
      </w:r>
      <w:r w:rsidRPr="001F63BA">
        <w:rPr>
          <w:rFonts w:ascii="GHEA Grapalat" w:hAnsi="GHEA Grapalat"/>
          <w:sz w:val="22"/>
          <w:szCs w:val="22"/>
          <w:lang w:val="af-ZA"/>
        </w:rPr>
        <w:t xml:space="preserve"> </w:t>
      </w:r>
      <w:r w:rsidRPr="001F63BA">
        <w:rPr>
          <w:rFonts w:ascii="GHEA Grapalat" w:hAnsi="GHEA Grapalat"/>
          <w:sz w:val="22"/>
          <w:szCs w:val="22"/>
        </w:rPr>
        <w:t>է</w:t>
      </w:r>
      <w:r w:rsidRPr="001F63BA">
        <w:rPr>
          <w:rFonts w:ascii="GHEA Grapalat" w:hAnsi="GHEA Grapalat"/>
          <w:sz w:val="22"/>
          <w:szCs w:val="22"/>
          <w:lang w:val="af-ZA"/>
        </w:rPr>
        <w:t xml:space="preserve"> 200 </w:t>
      </w:r>
      <w:r w:rsidRPr="001F63BA">
        <w:rPr>
          <w:rFonts w:ascii="GHEA Grapalat" w:hAnsi="GHEA Grapalat"/>
          <w:sz w:val="22"/>
          <w:szCs w:val="22"/>
        </w:rPr>
        <w:t>խորհրդատվություն</w:t>
      </w:r>
      <w:r w:rsidRPr="001F63BA">
        <w:rPr>
          <w:rFonts w:ascii="GHEA Grapalat" w:hAnsi="GHEA Grapalat"/>
          <w:sz w:val="22"/>
          <w:szCs w:val="22"/>
          <w:lang w:val="af-ZA"/>
        </w:rPr>
        <w:t xml:space="preserve">, </w:t>
      </w:r>
      <w:r w:rsidRPr="001F63BA">
        <w:rPr>
          <w:rFonts w:ascii="GHEA Grapalat" w:hAnsi="GHEA Grapalat"/>
          <w:sz w:val="22"/>
          <w:szCs w:val="22"/>
        </w:rPr>
        <w:t>հարուցվել</w:t>
      </w:r>
      <w:r w:rsidRPr="001F63BA">
        <w:rPr>
          <w:rFonts w:ascii="GHEA Grapalat" w:hAnsi="GHEA Grapalat"/>
          <w:sz w:val="22"/>
          <w:szCs w:val="22"/>
          <w:lang w:val="af-ZA"/>
        </w:rPr>
        <w:t xml:space="preserve"> </w:t>
      </w:r>
      <w:r w:rsidRPr="001F63BA">
        <w:rPr>
          <w:rFonts w:ascii="GHEA Grapalat" w:hAnsi="GHEA Grapalat"/>
          <w:sz w:val="22"/>
          <w:szCs w:val="22"/>
        </w:rPr>
        <w:t>է</w:t>
      </w:r>
      <w:r w:rsidRPr="001F63BA">
        <w:rPr>
          <w:rFonts w:ascii="GHEA Grapalat" w:hAnsi="GHEA Grapalat"/>
          <w:sz w:val="22"/>
          <w:szCs w:val="22"/>
          <w:lang w:val="af-ZA"/>
        </w:rPr>
        <w:t xml:space="preserve"> 37 </w:t>
      </w:r>
      <w:r w:rsidRPr="001F63BA">
        <w:rPr>
          <w:rFonts w:ascii="GHEA Grapalat" w:hAnsi="GHEA Grapalat"/>
          <w:sz w:val="22"/>
          <w:szCs w:val="22"/>
        </w:rPr>
        <w:t>վարչական</w:t>
      </w:r>
      <w:r w:rsidRPr="001F63BA">
        <w:rPr>
          <w:rFonts w:ascii="GHEA Grapalat" w:hAnsi="GHEA Grapalat"/>
          <w:sz w:val="22"/>
          <w:szCs w:val="22"/>
          <w:lang w:val="af-ZA"/>
        </w:rPr>
        <w:t xml:space="preserve"> </w:t>
      </w:r>
      <w:r w:rsidRPr="001F63BA">
        <w:rPr>
          <w:rFonts w:ascii="GHEA Grapalat" w:hAnsi="GHEA Grapalat"/>
          <w:sz w:val="22"/>
          <w:szCs w:val="22"/>
        </w:rPr>
        <w:t>վարույթ</w:t>
      </w:r>
      <w:r w:rsidRPr="001F63BA">
        <w:rPr>
          <w:rFonts w:ascii="GHEA Grapalat" w:hAnsi="GHEA Grapalat"/>
          <w:sz w:val="22"/>
          <w:szCs w:val="22"/>
          <w:lang w:val="af-ZA"/>
        </w:rPr>
        <w:t xml:space="preserve">, </w:t>
      </w:r>
      <w:r w:rsidRPr="001F63BA">
        <w:rPr>
          <w:rFonts w:ascii="GHEA Grapalat" w:hAnsi="GHEA Grapalat"/>
          <w:sz w:val="22"/>
          <w:szCs w:val="22"/>
        </w:rPr>
        <w:t>ներկայացվել</w:t>
      </w:r>
      <w:r w:rsidRPr="001F63BA">
        <w:rPr>
          <w:rFonts w:ascii="GHEA Grapalat" w:hAnsi="GHEA Grapalat"/>
          <w:sz w:val="22"/>
          <w:szCs w:val="22"/>
          <w:lang w:val="af-ZA"/>
        </w:rPr>
        <w:t xml:space="preserve"> </w:t>
      </w:r>
      <w:r w:rsidRPr="001F63BA">
        <w:rPr>
          <w:rFonts w:ascii="GHEA Grapalat" w:hAnsi="GHEA Grapalat"/>
          <w:sz w:val="22"/>
          <w:szCs w:val="22"/>
        </w:rPr>
        <w:t>է</w:t>
      </w:r>
      <w:r w:rsidRPr="001F63BA">
        <w:rPr>
          <w:rFonts w:ascii="GHEA Grapalat" w:hAnsi="GHEA Grapalat"/>
          <w:sz w:val="22"/>
          <w:szCs w:val="22"/>
          <w:lang w:val="af-ZA"/>
        </w:rPr>
        <w:t xml:space="preserve"> 39 </w:t>
      </w:r>
      <w:r w:rsidRPr="001F63BA">
        <w:rPr>
          <w:rFonts w:ascii="GHEA Grapalat" w:hAnsi="GHEA Grapalat"/>
          <w:sz w:val="22"/>
          <w:szCs w:val="22"/>
        </w:rPr>
        <w:t>ծանուցում</w:t>
      </w:r>
      <w:r w:rsidRPr="001F63BA">
        <w:rPr>
          <w:rFonts w:ascii="GHEA Grapalat" w:hAnsi="GHEA Grapalat"/>
          <w:sz w:val="22"/>
          <w:szCs w:val="22"/>
          <w:lang w:val="af-ZA"/>
        </w:rPr>
        <w:t xml:space="preserve">, </w:t>
      </w:r>
      <w:r w:rsidRPr="001F63BA">
        <w:rPr>
          <w:rFonts w:ascii="GHEA Grapalat" w:hAnsi="GHEA Grapalat"/>
          <w:sz w:val="22"/>
          <w:szCs w:val="22"/>
        </w:rPr>
        <w:t>իրականացվել</w:t>
      </w:r>
      <w:r w:rsidRPr="001F63BA">
        <w:rPr>
          <w:rFonts w:ascii="GHEA Grapalat" w:hAnsi="GHEA Grapalat"/>
          <w:sz w:val="22"/>
          <w:szCs w:val="22"/>
          <w:lang w:val="af-ZA"/>
        </w:rPr>
        <w:t xml:space="preserve"> </w:t>
      </w:r>
      <w:r w:rsidRPr="001F63BA">
        <w:rPr>
          <w:rFonts w:ascii="GHEA Grapalat" w:hAnsi="GHEA Grapalat"/>
          <w:sz w:val="22"/>
          <w:szCs w:val="22"/>
        </w:rPr>
        <w:t>է</w:t>
      </w:r>
      <w:r w:rsidRPr="001F63BA">
        <w:rPr>
          <w:rFonts w:ascii="GHEA Grapalat" w:hAnsi="GHEA Grapalat"/>
          <w:sz w:val="22"/>
          <w:szCs w:val="22"/>
          <w:lang w:val="af-ZA"/>
        </w:rPr>
        <w:t xml:space="preserve"> 58 </w:t>
      </w:r>
      <w:r w:rsidRPr="001F63BA">
        <w:rPr>
          <w:rFonts w:ascii="GHEA Grapalat" w:hAnsi="GHEA Grapalat"/>
          <w:sz w:val="22"/>
          <w:szCs w:val="22"/>
        </w:rPr>
        <w:t>ուսուցում</w:t>
      </w:r>
      <w:r w:rsidRPr="001F63BA">
        <w:rPr>
          <w:rFonts w:ascii="GHEA Grapalat" w:hAnsi="GHEA Grapalat"/>
          <w:sz w:val="22"/>
          <w:szCs w:val="22"/>
          <w:lang w:val="af-ZA"/>
        </w:rPr>
        <w:t>: «</w:t>
      </w:r>
      <w:r w:rsidRPr="001F63BA">
        <w:rPr>
          <w:rFonts w:ascii="GHEA Grapalat" w:hAnsi="GHEA Grapalat"/>
          <w:sz w:val="22"/>
          <w:szCs w:val="22"/>
        </w:rPr>
        <w:t>Երեխայի</w:t>
      </w:r>
      <w:r w:rsidRPr="001F63BA">
        <w:rPr>
          <w:rFonts w:ascii="GHEA Grapalat" w:hAnsi="GHEA Grapalat"/>
          <w:sz w:val="22"/>
          <w:szCs w:val="22"/>
          <w:lang w:val="af-ZA"/>
        </w:rPr>
        <w:t xml:space="preserve"> </w:t>
      </w:r>
      <w:r w:rsidRPr="001F63BA">
        <w:rPr>
          <w:rFonts w:ascii="GHEA Grapalat" w:hAnsi="GHEA Grapalat"/>
          <w:sz w:val="22"/>
          <w:szCs w:val="22"/>
        </w:rPr>
        <w:t>իրավունքների</w:t>
      </w:r>
      <w:r w:rsidRPr="001F63BA">
        <w:rPr>
          <w:rFonts w:ascii="GHEA Grapalat" w:hAnsi="GHEA Grapalat"/>
          <w:sz w:val="22"/>
          <w:szCs w:val="22"/>
          <w:lang w:val="af-ZA"/>
        </w:rPr>
        <w:t xml:space="preserve"> </w:t>
      </w:r>
      <w:r w:rsidRPr="001F63BA">
        <w:rPr>
          <w:rFonts w:ascii="GHEA Grapalat" w:hAnsi="GHEA Grapalat"/>
          <w:sz w:val="22"/>
          <w:szCs w:val="22"/>
        </w:rPr>
        <w:t>պաշտպանության</w:t>
      </w:r>
      <w:r w:rsidRPr="001F63BA">
        <w:rPr>
          <w:rFonts w:ascii="GHEA Grapalat" w:hAnsi="GHEA Grapalat"/>
          <w:sz w:val="22"/>
          <w:szCs w:val="22"/>
          <w:lang w:val="af-ZA"/>
        </w:rPr>
        <w:t xml:space="preserve"> 2022 </w:t>
      </w:r>
      <w:r w:rsidRPr="001F63BA">
        <w:rPr>
          <w:rFonts w:ascii="GHEA Grapalat" w:hAnsi="GHEA Grapalat"/>
          <w:sz w:val="22"/>
          <w:szCs w:val="22"/>
        </w:rPr>
        <w:t>թվականի</w:t>
      </w:r>
      <w:r w:rsidRPr="001F63BA">
        <w:rPr>
          <w:rFonts w:ascii="GHEA Grapalat" w:hAnsi="GHEA Grapalat"/>
          <w:sz w:val="22"/>
          <w:szCs w:val="22"/>
          <w:lang w:val="af-ZA"/>
        </w:rPr>
        <w:t xml:space="preserve"> </w:t>
      </w:r>
      <w:r w:rsidRPr="001F63BA">
        <w:rPr>
          <w:rFonts w:ascii="GHEA Grapalat" w:hAnsi="GHEA Grapalat"/>
          <w:sz w:val="22"/>
          <w:szCs w:val="22"/>
        </w:rPr>
        <w:t>տարեկան</w:t>
      </w:r>
      <w:r w:rsidRPr="001F63BA">
        <w:rPr>
          <w:rFonts w:ascii="GHEA Grapalat" w:hAnsi="GHEA Grapalat"/>
          <w:sz w:val="22"/>
          <w:szCs w:val="22"/>
          <w:lang w:val="af-ZA"/>
        </w:rPr>
        <w:t xml:space="preserve"> </w:t>
      </w:r>
      <w:r w:rsidRPr="001F63BA">
        <w:rPr>
          <w:rFonts w:ascii="GHEA Grapalat" w:hAnsi="GHEA Grapalat"/>
          <w:sz w:val="22"/>
          <w:szCs w:val="22"/>
        </w:rPr>
        <w:t>ծրագիրը</w:t>
      </w:r>
      <w:r w:rsidRPr="001F63BA">
        <w:rPr>
          <w:rFonts w:ascii="GHEA Grapalat" w:hAnsi="GHEA Grapalat"/>
          <w:sz w:val="22"/>
          <w:szCs w:val="22"/>
          <w:lang w:val="af-ZA"/>
        </w:rPr>
        <w:t xml:space="preserve"> և </w:t>
      </w:r>
      <w:r w:rsidRPr="001F63BA">
        <w:rPr>
          <w:rFonts w:ascii="GHEA Grapalat" w:hAnsi="GHEA Grapalat"/>
          <w:sz w:val="22"/>
          <w:szCs w:val="22"/>
        </w:rPr>
        <w:t>միջոցառումների</w:t>
      </w:r>
      <w:r w:rsidRPr="001F63BA">
        <w:rPr>
          <w:rFonts w:ascii="GHEA Grapalat" w:hAnsi="GHEA Grapalat"/>
          <w:sz w:val="22"/>
          <w:szCs w:val="22"/>
          <w:lang w:val="af-ZA"/>
        </w:rPr>
        <w:t xml:space="preserve"> </w:t>
      </w:r>
      <w:r w:rsidRPr="001F63BA">
        <w:rPr>
          <w:rFonts w:ascii="GHEA Grapalat" w:hAnsi="GHEA Grapalat"/>
          <w:sz w:val="22"/>
          <w:szCs w:val="22"/>
        </w:rPr>
        <w:t>ցանկը</w:t>
      </w:r>
      <w:r w:rsidRPr="001F63BA">
        <w:rPr>
          <w:rFonts w:ascii="GHEA Grapalat" w:hAnsi="GHEA Grapalat"/>
          <w:sz w:val="22"/>
          <w:szCs w:val="22"/>
          <w:lang w:val="af-ZA"/>
        </w:rPr>
        <w:t xml:space="preserve"> </w:t>
      </w:r>
      <w:r w:rsidRPr="001F63BA">
        <w:rPr>
          <w:rFonts w:ascii="GHEA Grapalat" w:hAnsi="GHEA Grapalat"/>
          <w:sz w:val="22"/>
          <w:szCs w:val="22"/>
        </w:rPr>
        <w:t>հաստատելու</w:t>
      </w:r>
      <w:r w:rsidRPr="001F63BA">
        <w:rPr>
          <w:rFonts w:ascii="GHEA Grapalat" w:hAnsi="GHEA Grapalat"/>
          <w:sz w:val="22"/>
          <w:szCs w:val="22"/>
          <w:lang w:val="af-ZA"/>
        </w:rPr>
        <w:t xml:space="preserve"> </w:t>
      </w:r>
      <w:r w:rsidRPr="001F63BA">
        <w:rPr>
          <w:rFonts w:ascii="GHEA Grapalat" w:hAnsi="GHEA Grapalat"/>
          <w:sz w:val="22"/>
          <w:szCs w:val="22"/>
        </w:rPr>
        <w:t>մասին</w:t>
      </w:r>
      <w:r w:rsidRPr="001F63BA">
        <w:rPr>
          <w:rFonts w:ascii="GHEA Grapalat" w:hAnsi="GHEA Grapalat"/>
          <w:sz w:val="22"/>
          <w:szCs w:val="22"/>
          <w:lang w:val="af-ZA"/>
        </w:rPr>
        <w:t xml:space="preserve">» </w:t>
      </w:r>
      <w:r w:rsidRPr="001F63BA">
        <w:rPr>
          <w:rFonts w:ascii="GHEA Grapalat" w:hAnsi="GHEA Grapalat"/>
          <w:sz w:val="22"/>
          <w:szCs w:val="22"/>
        </w:rPr>
        <w:t>ՀՀ</w:t>
      </w:r>
      <w:r w:rsidRPr="001F63BA">
        <w:rPr>
          <w:rFonts w:ascii="GHEA Grapalat" w:hAnsi="GHEA Grapalat"/>
          <w:sz w:val="22"/>
          <w:szCs w:val="22"/>
          <w:lang w:val="af-ZA"/>
        </w:rPr>
        <w:t xml:space="preserve"> </w:t>
      </w:r>
      <w:r w:rsidRPr="001F63BA">
        <w:rPr>
          <w:rFonts w:ascii="GHEA Grapalat" w:hAnsi="GHEA Grapalat"/>
          <w:sz w:val="22"/>
          <w:szCs w:val="22"/>
        </w:rPr>
        <w:t>կառավարության</w:t>
      </w:r>
      <w:r w:rsidRPr="001F63BA">
        <w:rPr>
          <w:rFonts w:ascii="GHEA Grapalat" w:hAnsi="GHEA Grapalat"/>
          <w:sz w:val="22"/>
          <w:szCs w:val="22"/>
          <w:lang w:val="af-ZA"/>
        </w:rPr>
        <w:t xml:space="preserve"> </w:t>
      </w:r>
      <w:r w:rsidRPr="001F63BA">
        <w:rPr>
          <w:rFonts w:ascii="GHEA Grapalat" w:hAnsi="GHEA Grapalat"/>
          <w:sz w:val="22"/>
          <w:szCs w:val="22"/>
        </w:rPr>
        <w:t>որոշման</w:t>
      </w:r>
      <w:r w:rsidRPr="001F63BA">
        <w:rPr>
          <w:rFonts w:ascii="GHEA Grapalat" w:hAnsi="GHEA Grapalat"/>
          <w:sz w:val="22"/>
          <w:szCs w:val="22"/>
          <w:lang w:val="af-ZA"/>
        </w:rPr>
        <w:t xml:space="preserve"> </w:t>
      </w:r>
      <w:r w:rsidRPr="001F63BA">
        <w:rPr>
          <w:rFonts w:ascii="GHEA Grapalat" w:hAnsi="GHEA Grapalat"/>
          <w:sz w:val="22"/>
          <w:szCs w:val="22"/>
        </w:rPr>
        <w:t>Հավելված</w:t>
      </w:r>
      <w:r w:rsidRPr="001F63BA">
        <w:rPr>
          <w:rFonts w:ascii="GHEA Grapalat" w:hAnsi="GHEA Grapalat"/>
          <w:sz w:val="22"/>
          <w:szCs w:val="22"/>
          <w:lang w:val="af-ZA"/>
        </w:rPr>
        <w:t xml:space="preserve"> 2-</w:t>
      </w:r>
      <w:r w:rsidRPr="001F63BA">
        <w:rPr>
          <w:rFonts w:ascii="GHEA Grapalat" w:hAnsi="GHEA Grapalat"/>
          <w:sz w:val="22"/>
          <w:szCs w:val="22"/>
        </w:rPr>
        <w:t>ով</w:t>
      </w:r>
      <w:r w:rsidRPr="001F63BA">
        <w:rPr>
          <w:rFonts w:ascii="GHEA Grapalat" w:hAnsi="GHEA Grapalat"/>
          <w:sz w:val="22"/>
          <w:szCs w:val="22"/>
          <w:lang w:val="af-ZA"/>
        </w:rPr>
        <w:t xml:space="preserve"> </w:t>
      </w:r>
      <w:r w:rsidRPr="001F63BA">
        <w:rPr>
          <w:rFonts w:ascii="GHEA Grapalat" w:hAnsi="GHEA Grapalat"/>
          <w:sz w:val="22"/>
          <w:szCs w:val="22"/>
        </w:rPr>
        <w:t>Արդարադատության</w:t>
      </w:r>
      <w:r w:rsidRPr="001F63BA">
        <w:rPr>
          <w:rFonts w:ascii="GHEA Grapalat" w:hAnsi="GHEA Grapalat"/>
          <w:sz w:val="22"/>
          <w:szCs w:val="22"/>
          <w:lang w:val="af-ZA"/>
        </w:rPr>
        <w:t xml:space="preserve"> </w:t>
      </w:r>
      <w:r w:rsidRPr="001F63BA">
        <w:rPr>
          <w:rFonts w:ascii="GHEA Grapalat" w:hAnsi="GHEA Grapalat"/>
          <w:sz w:val="22"/>
          <w:szCs w:val="22"/>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rPr>
        <w:t>համար</w:t>
      </w:r>
      <w:r w:rsidRPr="001F63BA">
        <w:rPr>
          <w:rFonts w:ascii="GHEA Grapalat" w:hAnsi="GHEA Grapalat"/>
          <w:sz w:val="22"/>
          <w:szCs w:val="22"/>
          <w:lang w:val="af-ZA"/>
        </w:rPr>
        <w:t xml:space="preserve"> </w:t>
      </w:r>
      <w:r w:rsidRPr="001F63BA">
        <w:rPr>
          <w:rFonts w:ascii="GHEA Grapalat" w:hAnsi="GHEA Grapalat"/>
          <w:sz w:val="22"/>
          <w:szCs w:val="22"/>
        </w:rPr>
        <w:t>սահմանված</w:t>
      </w:r>
      <w:r w:rsidRPr="001F63BA">
        <w:rPr>
          <w:rFonts w:ascii="GHEA Grapalat" w:hAnsi="GHEA Grapalat"/>
          <w:sz w:val="22"/>
          <w:szCs w:val="22"/>
          <w:lang w:val="en-US"/>
        </w:rPr>
        <w:t>՝</w:t>
      </w:r>
      <w:r w:rsidRPr="001F63BA">
        <w:rPr>
          <w:rFonts w:ascii="GHEA Grapalat" w:hAnsi="GHEA Grapalat"/>
          <w:sz w:val="22"/>
          <w:szCs w:val="22"/>
          <w:lang w:val="af-ZA"/>
        </w:rPr>
        <w:t xml:space="preserve"> «</w:t>
      </w:r>
      <w:r w:rsidRPr="001F63BA">
        <w:rPr>
          <w:rFonts w:ascii="GHEA Grapalat" w:hAnsi="GHEA Grapalat"/>
          <w:sz w:val="22"/>
          <w:szCs w:val="22"/>
        </w:rPr>
        <w:t>Երեխաների</w:t>
      </w:r>
      <w:r w:rsidRPr="001F63BA">
        <w:rPr>
          <w:rFonts w:ascii="GHEA Grapalat" w:hAnsi="GHEA Grapalat"/>
          <w:sz w:val="22"/>
          <w:szCs w:val="22"/>
          <w:lang w:val="af-ZA"/>
        </w:rPr>
        <w:t xml:space="preserve"> </w:t>
      </w:r>
      <w:r w:rsidRPr="001F63BA">
        <w:rPr>
          <w:rFonts w:ascii="GHEA Grapalat" w:hAnsi="GHEA Grapalat"/>
          <w:sz w:val="22"/>
          <w:szCs w:val="22"/>
        </w:rPr>
        <w:t>անձնական</w:t>
      </w:r>
      <w:r w:rsidRPr="001F63BA">
        <w:rPr>
          <w:rFonts w:ascii="GHEA Grapalat" w:hAnsi="GHEA Grapalat"/>
          <w:sz w:val="22"/>
          <w:szCs w:val="22"/>
          <w:lang w:val="af-ZA"/>
        </w:rPr>
        <w:t xml:space="preserve"> </w:t>
      </w:r>
      <w:r w:rsidRPr="001F63BA">
        <w:rPr>
          <w:rFonts w:ascii="GHEA Grapalat" w:hAnsi="GHEA Grapalat"/>
          <w:sz w:val="22"/>
          <w:szCs w:val="22"/>
        </w:rPr>
        <w:t>տվյալների</w:t>
      </w:r>
      <w:r w:rsidRPr="001F63BA">
        <w:rPr>
          <w:rFonts w:ascii="GHEA Grapalat" w:hAnsi="GHEA Grapalat"/>
          <w:sz w:val="22"/>
          <w:szCs w:val="22"/>
          <w:lang w:val="af-ZA"/>
        </w:rPr>
        <w:t xml:space="preserve"> </w:t>
      </w:r>
      <w:r w:rsidRPr="001F63BA">
        <w:rPr>
          <w:rFonts w:ascii="GHEA Grapalat" w:hAnsi="GHEA Grapalat"/>
          <w:sz w:val="22"/>
          <w:szCs w:val="22"/>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rPr>
        <w:t>վերաբերյալ</w:t>
      </w:r>
      <w:r w:rsidRPr="001F63BA">
        <w:rPr>
          <w:rFonts w:ascii="GHEA Grapalat" w:hAnsi="GHEA Grapalat"/>
          <w:sz w:val="22"/>
          <w:szCs w:val="22"/>
          <w:lang w:val="af-ZA"/>
        </w:rPr>
        <w:t xml:space="preserve"> </w:t>
      </w:r>
      <w:r w:rsidRPr="001F63BA">
        <w:rPr>
          <w:rFonts w:ascii="GHEA Grapalat" w:hAnsi="GHEA Grapalat"/>
          <w:sz w:val="22"/>
          <w:szCs w:val="22"/>
        </w:rPr>
        <w:t>իրազեկում</w:t>
      </w:r>
      <w:r w:rsidRPr="001F63BA">
        <w:rPr>
          <w:rFonts w:ascii="GHEA Grapalat" w:hAnsi="GHEA Grapalat"/>
          <w:sz w:val="22"/>
          <w:szCs w:val="22"/>
          <w:lang w:val="af-ZA"/>
        </w:rPr>
        <w:t xml:space="preserve"> </w:t>
      </w:r>
      <w:r w:rsidRPr="001F63BA">
        <w:rPr>
          <w:rFonts w:ascii="GHEA Grapalat" w:hAnsi="GHEA Grapalat"/>
          <w:sz w:val="22"/>
          <w:szCs w:val="22"/>
        </w:rPr>
        <w:t>մասնագետների</w:t>
      </w:r>
      <w:r w:rsidRPr="001F63BA">
        <w:rPr>
          <w:rFonts w:ascii="GHEA Grapalat" w:hAnsi="GHEA Grapalat"/>
          <w:sz w:val="22"/>
          <w:szCs w:val="22"/>
          <w:lang w:val="af-ZA"/>
        </w:rPr>
        <w:t xml:space="preserve">, </w:t>
      </w:r>
      <w:r w:rsidRPr="001F63BA">
        <w:rPr>
          <w:rFonts w:ascii="GHEA Grapalat" w:hAnsi="GHEA Grapalat"/>
          <w:sz w:val="22"/>
          <w:szCs w:val="22"/>
        </w:rPr>
        <w:t>ծնողների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rPr>
        <w:t>երեխաների</w:t>
      </w:r>
      <w:r w:rsidRPr="001F63BA">
        <w:rPr>
          <w:rFonts w:ascii="GHEA Grapalat" w:hAnsi="GHEA Grapalat"/>
          <w:sz w:val="22"/>
          <w:szCs w:val="22"/>
          <w:lang w:val="af-ZA"/>
        </w:rPr>
        <w:t xml:space="preserve"> </w:t>
      </w:r>
      <w:r w:rsidRPr="001F63BA">
        <w:rPr>
          <w:rFonts w:ascii="GHEA Grapalat" w:hAnsi="GHEA Grapalat"/>
          <w:sz w:val="22"/>
          <w:szCs w:val="22"/>
        </w:rPr>
        <w:t>շրջանում</w:t>
      </w:r>
      <w:r w:rsidRPr="001F63BA">
        <w:rPr>
          <w:rFonts w:ascii="GHEA Grapalat" w:hAnsi="GHEA Grapalat"/>
          <w:sz w:val="22"/>
          <w:szCs w:val="22"/>
          <w:lang w:val="af-ZA"/>
        </w:rPr>
        <w:t xml:space="preserve">» </w:t>
      </w:r>
      <w:r w:rsidRPr="001F63BA">
        <w:rPr>
          <w:rFonts w:ascii="GHEA Grapalat" w:hAnsi="GHEA Grapalat"/>
          <w:sz w:val="22"/>
          <w:szCs w:val="22"/>
        </w:rPr>
        <w:t>միջոցառման</w:t>
      </w:r>
      <w:r w:rsidRPr="001F63BA">
        <w:rPr>
          <w:rFonts w:ascii="GHEA Grapalat" w:hAnsi="GHEA Grapalat"/>
          <w:sz w:val="22"/>
          <w:szCs w:val="22"/>
          <w:lang w:val="af-ZA"/>
        </w:rPr>
        <w:t xml:space="preserve"> </w:t>
      </w:r>
      <w:r w:rsidRPr="001F63BA">
        <w:rPr>
          <w:rFonts w:ascii="GHEA Grapalat" w:hAnsi="GHEA Grapalat"/>
          <w:sz w:val="22"/>
          <w:szCs w:val="22"/>
        </w:rPr>
        <w:t>շրջանակում</w:t>
      </w:r>
      <w:r w:rsidRPr="001F63BA">
        <w:rPr>
          <w:rFonts w:ascii="GHEA Grapalat" w:hAnsi="GHEA Grapalat"/>
          <w:sz w:val="22"/>
          <w:szCs w:val="22"/>
          <w:lang w:val="af-ZA"/>
        </w:rPr>
        <w:t xml:space="preserve"> </w:t>
      </w:r>
      <w:r w:rsidRPr="001F63BA">
        <w:rPr>
          <w:rFonts w:ascii="GHEA Grapalat" w:hAnsi="GHEA Grapalat"/>
          <w:sz w:val="22"/>
          <w:szCs w:val="22"/>
        </w:rPr>
        <w:t>անձնական</w:t>
      </w:r>
      <w:r w:rsidRPr="001F63BA">
        <w:rPr>
          <w:rFonts w:ascii="GHEA Grapalat" w:hAnsi="GHEA Grapalat"/>
          <w:sz w:val="22"/>
          <w:szCs w:val="22"/>
          <w:lang w:val="af-ZA"/>
        </w:rPr>
        <w:t xml:space="preserve"> </w:t>
      </w:r>
      <w:r w:rsidRPr="001F63BA">
        <w:rPr>
          <w:rFonts w:ascii="GHEA Grapalat" w:hAnsi="GHEA Grapalat"/>
          <w:sz w:val="22"/>
          <w:szCs w:val="22"/>
        </w:rPr>
        <w:t>տվյալների</w:t>
      </w:r>
      <w:r w:rsidRPr="001F63BA">
        <w:rPr>
          <w:rFonts w:ascii="GHEA Grapalat" w:hAnsi="GHEA Grapalat"/>
          <w:sz w:val="22"/>
          <w:szCs w:val="22"/>
          <w:lang w:val="af-ZA"/>
        </w:rPr>
        <w:t xml:space="preserve"> </w:t>
      </w:r>
      <w:r w:rsidRPr="001F63BA">
        <w:rPr>
          <w:rFonts w:ascii="GHEA Grapalat" w:hAnsi="GHEA Grapalat"/>
          <w:sz w:val="22"/>
          <w:szCs w:val="22"/>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rPr>
        <w:t>լիազոր</w:t>
      </w:r>
      <w:r w:rsidRPr="001F63BA">
        <w:rPr>
          <w:rFonts w:ascii="GHEA Grapalat" w:hAnsi="GHEA Grapalat"/>
          <w:sz w:val="22"/>
          <w:szCs w:val="22"/>
          <w:lang w:val="af-ZA"/>
        </w:rPr>
        <w:t xml:space="preserve"> </w:t>
      </w:r>
      <w:r w:rsidRPr="001F63BA">
        <w:rPr>
          <w:rFonts w:ascii="GHEA Grapalat" w:hAnsi="GHEA Grapalat"/>
          <w:sz w:val="22"/>
          <w:szCs w:val="22"/>
        </w:rPr>
        <w:t>մարմնի</w:t>
      </w:r>
      <w:r w:rsidRPr="001F63BA">
        <w:rPr>
          <w:rFonts w:ascii="GHEA Grapalat" w:hAnsi="GHEA Grapalat"/>
          <w:sz w:val="22"/>
          <w:szCs w:val="22"/>
          <w:lang w:val="af-ZA"/>
        </w:rPr>
        <w:t xml:space="preserve"> </w:t>
      </w:r>
      <w:r w:rsidRPr="001F63BA">
        <w:rPr>
          <w:rFonts w:ascii="GHEA Grapalat" w:hAnsi="GHEA Grapalat"/>
          <w:sz w:val="22"/>
          <w:szCs w:val="22"/>
        </w:rPr>
        <w:t>ներգրավմամբ</w:t>
      </w:r>
      <w:r w:rsidRPr="001F63BA">
        <w:rPr>
          <w:rFonts w:ascii="GHEA Grapalat" w:hAnsi="GHEA Grapalat"/>
          <w:sz w:val="22"/>
          <w:szCs w:val="22"/>
          <w:lang w:val="af-ZA"/>
        </w:rPr>
        <w:t xml:space="preserve"> </w:t>
      </w:r>
      <w:r w:rsidRPr="001F63BA">
        <w:rPr>
          <w:rFonts w:ascii="GHEA Grapalat" w:hAnsi="GHEA Grapalat"/>
          <w:sz w:val="22"/>
          <w:szCs w:val="22"/>
        </w:rPr>
        <w:t>իրականացվել</w:t>
      </w:r>
      <w:r w:rsidRPr="001F63BA">
        <w:rPr>
          <w:rFonts w:ascii="GHEA Grapalat" w:hAnsi="GHEA Grapalat"/>
          <w:sz w:val="22"/>
          <w:szCs w:val="22"/>
          <w:lang w:val="af-ZA"/>
        </w:rPr>
        <w:t xml:space="preserve"> </w:t>
      </w:r>
      <w:r w:rsidRPr="001F63BA">
        <w:rPr>
          <w:rFonts w:ascii="GHEA Grapalat" w:hAnsi="GHEA Grapalat"/>
          <w:sz w:val="22"/>
          <w:szCs w:val="22"/>
        </w:rPr>
        <w:t>է</w:t>
      </w:r>
      <w:r w:rsidRPr="001F63BA">
        <w:rPr>
          <w:rFonts w:ascii="GHEA Grapalat" w:hAnsi="GHEA Grapalat"/>
          <w:sz w:val="22"/>
          <w:szCs w:val="22"/>
          <w:lang w:val="af-ZA"/>
        </w:rPr>
        <w:t xml:space="preserve"> 10 </w:t>
      </w:r>
      <w:r w:rsidRPr="001F63BA">
        <w:rPr>
          <w:rFonts w:ascii="GHEA Grapalat" w:hAnsi="GHEA Grapalat"/>
          <w:sz w:val="22"/>
          <w:szCs w:val="22"/>
        </w:rPr>
        <w:t>ուսուցում</w:t>
      </w:r>
      <w:r w:rsidRPr="001F63BA">
        <w:rPr>
          <w:rFonts w:ascii="GHEA Grapalat" w:hAnsi="GHEA Grapalat"/>
          <w:sz w:val="22"/>
          <w:szCs w:val="22"/>
          <w:lang w:val="af-ZA"/>
        </w:rPr>
        <w:t xml:space="preserve"> </w:t>
      </w:r>
      <w:r w:rsidRPr="001F63BA">
        <w:rPr>
          <w:rFonts w:ascii="GHEA Grapalat" w:hAnsi="GHEA Grapalat"/>
          <w:sz w:val="22"/>
          <w:szCs w:val="22"/>
        </w:rPr>
        <w:t>շուրջ</w:t>
      </w:r>
      <w:r w:rsidRPr="001F63BA">
        <w:rPr>
          <w:rFonts w:ascii="GHEA Grapalat" w:hAnsi="GHEA Grapalat"/>
          <w:sz w:val="22"/>
          <w:szCs w:val="22"/>
          <w:lang w:val="af-ZA"/>
        </w:rPr>
        <w:t xml:space="preserve"> 620 </w:t>
      </w:r>
      <w:r w:rsidRPr="001F63BA">
        <w:rPr>
          <w:rFonts w:ascii="GHEA Grapalat" w:hAnsi="GHEA Grapalat"/>
          <w:sz w:val="22"/>
          <w:szCs w:val="22"/>
        </w:rPr>
        <w:t>հոգու</w:t>
      </w:r>
      <w:r w:rsidRPr="001F63BA">
        <w:rPr>
          <w:rFonts w:ascii="GHEA Grapalat" w:hAnsi="GHEA Grapalat"/>
          <w:sz w:val="22"/>
          <w:szCs w:val="22"/>
          <w:lang w:val="af-ZA"/>
        </w:rPr>
        <w:t xml:space="preserve"> </w:t>
      </w:r>
      <w:r w:rsidRPr="001F63BA">
        <w:rPr>
          <w:rFonts w:ascii="GHEA Grapalat" w:hAnsi="GHEA Grapalat"/>
          <w:sz w:val="22"/>
          <w:szCs w:val="22"/>
        </w:rPr>
        <w:t>համար։</w:t>
      </w:r>
    </w:p>
    <w:p w:rsidR="001C411D" w:rsidRPr="001F63BA" w:rsidRDefault="001C411D" w:rsidP="00BF34F9">
      <w:pPr>
        <w:spacing w:line="360" w:lineRule="auto"/>
        <w:ind w:firstLine="567"/>
        <w:jc w:val="both"/>
        <w:rPr>
          <w:rFonts w:ascii="GHEA Grapalat" w:hAnsi="GHEA Grapalat"/>
          <w:sz w:val="22"/>
          <w:szCs w:val="22"/>
          <w:lang w:val="af-ZA"/>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 xml:space="preserve">Իրավաբանական անձանց պետական գրանցման ռեգիստրի ոլորտ </w:t>
      </w:r>
    </w:p>
    <w:p w:rsidR="001C411D" w:rsidRPr="001F63BA" w:rsidRDefault="001C411D" w:rsidP="00BF34F9">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Հաշվետու ժամանակահատվածում իրավաբանական անձանց պետական ռեգիստրի գործակալությունն իրականացրել է </w:t>
      </w:r>
      <w:hyperlink r:id="rId14" w:history="1">
        <w:r w:rsidRPr="001F63BA">
          <w:rPr>
            <w:rFonts w:ascii="GHEA Grapalat" w:hAnsi="GHEA Grapalat"/>
            <w:sz w:val="22"/>
            <w:szCs w:val="22"/>
          </w:rPr>
          <w:t>www.e-register.am</w:t>
        </w:r>
      </w:hyperlink>
      <w:r w:rsidRPr="001F63BA">
        <w:rPr>
          <w:rFonts w:ascii="GHEA Grapalat" w:hAnsi="GHEA Grapalat"/>
          <w:sz w:val="22"/>
          <w:szCs w:val="22"/>
        </w:rPr>
        <w:t xml:space="preserve"> և www.azdarar.am կայք-էջ</w:t>
      </w:r>
      <w:r w:rsidRPr="001F63BA">
        <w:rPr>
          <w:rFonts w:ascii="GHEA Grapalat" w:hAnsi="GHEA Grapalat"/>
          <w:sz w:val="22"/>
          <w:szCs w:val="22"/>
          <w:lang w:val="en-US"/>
        </w:rPr>
        <w:t>եր</w:t>
      </w:r>
      <w:r w:rsidRPr="001F63BA">
        <w:rPr>
          <w:rFonts w:ascii="GHEA Grapalat" w:hAnsi="GHEA Grapalat"/>
          <w:sz w:val="22"/>
          <w:szCs w:val="22"/>
        </w:rPr>
        <w:t>ի վարումը և հրապարակել է 216190 հայտարարություն:</w:t>
      </w:r>
    </w:p>
    <w:p w:rsidR="001C411D" w:rsidRPr="001F63BA" w:rsidRDefault="001C411D" w:rsidP="00BF34F9">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գրանցվել և հաշվառվել է 11723 սահմանափակ պատասխանատվությամբ ընկերություն, 198 փակ բաժնետիրական ընկերություն, 6 բաց բաժնետիրական ընկերություն, 3 պետական ոչ առևտրային կազմակերպություն, 28 համայնքային ոչ առեւտրային կազմակերպություն, 25 գյուղատնտեսական կոոպերատիվ, 2 արտադրական կոոպերատիվ, 117 առանձնացված ստորաբաժանում, 28143 անհատ ձեռնարկատեր, որից 2276</w:t>
      </w:r>
      <w:r w:rsidRPr="001F63BA">
        <w:rPr>
          <w:rFonts w:ascii="GHEA Grapalat" w:hAnsi="GHEA Grapalat"/>
          <w:sz w:val="22"/>
          <w:szCs w:val="22"/>
          <w:lang w:val="en-US"/>
        </w:rPr>
        <w:t>-ը</w:t>
      </w:r>
      <w:r w:rsidRPr="001F63BA">
        <w:rPr>
          <w:rFonts w:ascii="GHEA Grapalat" w:hAnsi="GHEA Grapalat"/>
          <w:sz w:val="22"/>
          <w:szCs w:val="22"/>
        </w:rPr>
        <w:t xml:space="preserve"> վերահաշվառվել է: Նույն ժամանակահատվածում գրանցվել է թվով 426 հասարակական կազմակերպություն, 2 կուսակցություն, 128 հիմնադրամ, 9 արհեստակցական կազմակերպություն, 1 կրոնական կազմակերպություն, 3 հիմնարկ, 1 պետական կառավարչական հիմնարկ, 8 սպառողական կոոպերատիվ, 19 համատիրություն, 160 կուսակցության տարածքային ստորաբաժանում: Իրականացվել է իրավաբանական անձանց մոտ 21436 փոփոխության գրանցում, անհատ ձեռնարկատերերի փոփոխությունների 7779 հաշվառում, 5382</w:t>
      </w:r>
      <w:r w:rsidRPr="001F63BA">
        <w:rPr>
          <w:rFonts w:ascii="GHEA Grapalat" w:hAnsi="GHEA Grapalat"/>
          <w:sz w:val="22"/>
          <w:szCs w:val="22"/>
          <w:lang w:val="en-US"/>
        </w:rPr>
        <w:t xml:space="preserve"> </w:t>
      </w:r>
      <w:r w:rsidRPr="001F63BA">
        <w:rPr>
          <w:rFonts w:ascii="GHEA Grapalat" w:hAnsi="GHEA Grapalat"/>
          <w:sz w:val="22"/>
          <w:szCs w:val="22"/>
        </w:rPr>
        <w:t xml:space="preserve">անհատ ձեռնարկատերերի հաշվառումից հանում և իրավաբանական անձանց լուծարման 925 գրանցում և հաշվառումից հանում: </w:t>
      </w:r>
    </w:p>
    <w:p w:rsidR="001C411D" w:rsidRPr="001F63BA" w:rsidRDefault="001C411D" w:rsidP="00BF34F9">
      <w:pPr>
        <w:spacing w:line="360" w:lineRule="auto"/>
        <w:ind w:firstLine="567"/>
        <w:jc w:val="both"/>
        <w:rPr>
          <w:rFonts w:ascii="GHEA Grapalat" w:hAnsi="GHEA Grapalat"/>
          <w:sz w:val="22"/>
          <w:szCs w:val="22"/>
          <w:lang w:val="en-US"/>
        </w:rPr>
      </w:pP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Հարկադիր կատարման ոլորտ</w:t>
      </w:r>
    </w:p>
    <w:p w:rsidR="001C411D" w:rsidRPr="001F63BA" w:rsidRDefault="001C411D" w:rsidP="00BF34F9">
      <w:pPr>
        <w:spacing w:line="360" w:lineRule="auto"/>
        <w:ind w:firstLine="567"/>
        <w:jc w:val="both"/>
        <w:rPr>
          <w:rFonts w:ascii="GHEA Grapalat" w:hAnsi="GHEA Grapalat"/>
          <w:sz w:val="22"/>
          <w:szCs w:val="22"/>
        </w:rPr>
      </w:pPr>
      <w:r w:rsidRPr="001F63BA">
        <w:rPr>
          <w:rFonts w:ascii="GHEA Grapalat" w:hAnsi="GHEA Grapalat"/>
          <w:sz w:val="22"/>
          <w:szCs w:val="22"/>
          <w:lang w:val="en-US"/>
        </w:rPr>
        <w:t>2022 թվականին ը</w:t>
      </w:r>
      <w:r w:rsidRPr="001F63BA">
        <w:rPr>
          <w:rFonts w:ascii="GHEA Grapalat" w:hAnsi="GHEA Grapalat"/>
          <w:sz w:val="22"/>
          <w:szCs w:val="22"/>
        </w:rPr>
        <w:t>նթացք է տրվել 2,6</w:t>
      </w:r>
      <w:r w:rsidRPr="001F63BA">
        <w:rPr>
          <w:rFonts w:ascii="GHEA Grapalat" w:hAnsi="GHEA Grapalat"/>
          <w:sz w:val="22"/>
          <w:szCs w:val="22"/>
          <w:lang w:val="en-US"/>
        </w:rPr>
        <w:t>51,612</w:t>
      </w:r>
      <w:r w:rsidRPr="001F63BA">
        <w:rPr>
          <w:rFonts w:ascii="GHEA Grapalat" w:hAnsi="GHEA Grapalat"/>
          <w:sz w:val="22"/>
          <w:szCs w:val="22"/>
        </w:rPr>
        <w:t xml:space="preserve"> կատարողական վարույթների, որից 39,924 կատարողական վարույթները տեղափոխվել են 2021 թվականից: Հարուցվել և վերսկսվել է 2,572,089 կատարողական վարույթ: Կարճվել է թվով 979,071 կատարողական վարույթ, ավարտվել է 1,582,505 կատարողական վարույթ, ընդամենը կարճվել և ավարտվել է 2,561,576 կատարողական վարույթ: Բռնագանձվել է 49,611,990,368 ՀՀ դրամ: Հարկադիր էլեկտրոնային աճուրդի է ներկայացվել թվով 5648 լոտ` 17,047,175,996 ՀՀ դրամ մեկնարկային գնով։ Հարկադիր էլեկտրոնային աճուրդով իրացվել է թվով 5036 լոտ՝ 2,771,074,223 ՀՀ դրամ արժողությամբ:</w:t>
      </w:r>
    </w:p>
    <w:p w:rsidR="001C411D" w:rsidRPr="001F63BA" w:rsidRDefault="001C411D" w:rsidP="00BF34F9">
      <w:pPr>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Միևնույն ժամանակ, ներդրվել է Հարկադիր կատարումն ապահովող ծառայության էլեկտրոնային համակարգում ավտոմատ բռնագանձումների և ազատումների մեխանիզմը։ ՀՀ 17 բանկերից 11-ում օպտիմալացվել են դրամական միջոցների բռնագանձման և ապաարգելադրման գործընթացները՝ 7 օրվա մոդուլի ամբողջական փոխարեն 1 օր։ Իրականացվել է </w:t>
      </w:r>
      <w:r w:rsidRPr="001F63BA">
        <w:rPr>
          <w:rFonts w:ascii="GHEA Grapalat" w:hAnsi="GHEA Grapalat"/>
          <w:sz w:val="22"/>
          <w:szCs w:val="22"/>
          <w:lang w:val="en-US"/>
        </w:rPr>
        <w:t>ծ</w:t>
      </w:r>
      <w:r w:rsidRPr="001F63BA">
        <w:rPr>
          <w:rFonts w:ascii="GHEA Grapalat" w:hAnsi="GHEA Grapalat"/>
          <w:sz w:val="22"/>
          <w:szCs w:val="22"/>
        </w:rPr>
        <w:t xml:space="preserve">առայության </w:t>
      </w:r>
      <w:r w:rsidRPr="001F63BA">
        <w:rPr>
          <w:rFonts w:ascii="GHEA Grapalat" w:hAnsi="GHEA Grapalat"/>
          <w:sz w:val="22"/>
          <w:szCs w:val="22"/>
          <w:lang w:val="en-US"/>
        </w:rPr>
        <w:t xml:space="preserve">ինտերնետային </w:t>
      </w:r>
      <w:r w:rsidRPr="001F63BA">
        <w:rPr>
          <w:rFonts w:ascii="GHEA Grapalat" w:hAnsi="GHEA Grapalat"/>
          <w:sz w:val="22"/>
          <w:szCs w:val="22"/>
        </w:rPr>
        <w:t xml:space="preserve">կայքում գործող էլեկտրոնային վարույթների տեղեկատուի թարմացում, արդիականացում և վերափոխում անձնական կաբինետի։ Ներդրվել է </w:t>
      </w:r>
      <w:r w:rsidRPr="001F63BA">
        <w:rPr>
          <w:rFonts w:ascii="GHEA Grapalat" w:hAnsi="GHEA Grapalat"/>
          <w:sz w:val="22"/>
          <w:szCs w:val="22"/>
          <w:lang w:val="en-US"/>
        </w:rPr>
        <w:t>ծ</w:t>
      </w:r>
      <w:r w:rsidRPr="001F63BA">
        <w:rPr>
          <w:rFonts w:ascii="GHEA Grapalat" w:hAnsi="GHEA Grapalat"/>
          <w:sz w:val="22"/>
          <w:szCs w:val="22"/>
        </w:rPr>
        <w:t xml:space="preserve">առայության </w:t>
      </w:r>
      <w:r w:rsidRPr="001F63BA">
        <w:rPr>
          <w:rFonts w:ascii="GHEA Grapalat" w:hAnsi="GHEA Grapalat"/>
          <w:sz w:val="22"/>
          <w:szCs w:val="22"/>
          <w:lang w:val="en-US"/>
        </w:rPr>
        <w:t>ինտերնետային</w:t>
      </w:r>
      <w:r w:rsidRPr="001F63BA">
        <w:rPr>
          <w:rFonts w:ascii="GHEA Grapalat" w:hAnsi="GHEA Grapalat"/>
          <w:sz w:val="22"/>
          <w:szCs w:val="22"/>
        </w:rPr>
        <w:t xml:space="preserve"> կայքում ավտոմեքենաների, ֆիզիկական անձանց հետախուզման, ՀՀ-ից ելքի սահմանափակման մասին </w:t>
      </w:r>
      <w:r w:rsidRPr="001F63BA">
        <w:rPr>
          <w:rFonts w:ascii="GHEA Grapalat" w:hAnsi="GHEA Grapalat"/>
          <w:sz w:val="22"/>
          <w:szCs w:val="22"/>
          <w:lang w:val="en-US"/>
        </w:rPr>
        <w:t>տեղեկատվություն</w:t>
      </w:r>
      <w:r w:rsidRPr="001F63BA">
        <w:rPr>
          <w:rFonts w:ascii="GHEA Grapalat" w:hAnsi="GHEA Grapalat"/>
          <w:sz w:val="22"/>
          <w:szCs w:val="22"/>
        </w:rPr>
        <w:t xml:space="preserve"> ստանալու մոդուլ։ Ներդրվել է նոր կարգ, ըստ որի՝ հարկադիր կատարողի որոշմամբ հետախուզվող </w:t>
      </w:r>
      <w:r w:rsidRPr="001F63BA">
        <w:rPr>
          <w:rFonts w:ascii="GHEA Grapalat" w:hAnsi="GHEA Grapalat"/>
          <w:sz w:val="22"/>
          <w:szCs w:val="22"/>
          <w:lang w:val="en-US"/>
        </w:rPr>
        <w:t>տրանսպորտային միջոց</w:t>
      </w:r>
      <w:r w:rsidRPr="001F63BA">
        <w:rPr>
          <w:rFonts w:ascii="GHEA Grapalat" w:hAnsi="GHEA Grapalat"/>
          <w:sz w:val="22"/>
          <w:szCs w:val="22"/>
        </w:rPr>
        <w:t>ները տեխզննություն չեն կարող անցնել:</w:t>
      </w:r>
    </w:p>
    <w:p w:rsidR="001C411D" w:rsidRPr="001F63BA" w:rsidRDefault="001C411D" w:rsidP="00BF34F9">
      <w:pPr>
        <w:spacing w:line="360" w:lineRule="auto"/>
        <w:ind w:firstLine="567"/>
        <w:jc w:val="both"/>
        <w:rPr>
          <w:rFonts w:ascii="GHEA Grapalat" w:hAnsi="GHEA Grapalat"/>
          <w:sz w:val="22"/>
          <w:szCs w:val="22"/>
        </w:rPr>
      </w:pPr>
      <w:r w:rsidRPr="001F63BA">
        <w:rPr>
          <w:rFonts w:ascii="GHEA Grapalat" w:hAnsi="GHEA Grapalat"/>
          <w:sz w:val="22"/>
          <w:szCs w:val="22"/>
        </w:rPr>
        <w:t xml:space="preserve"> </w:t>
      </w:r>
    </w:p>
    <w:p w:rsidR="001C411D" w:rsidRPr="001F63BA" w:rsidRDefault="001C411D" w:rsidP="00E32777">
      <w:pPr>
        <w:spacing w:line="360" w:lineRule="auto"/>
        <w:ind w:firstLine="567"/>
        <w:jc w:val="both"/>
        <w:rPr>
          <w:rFonts w:ascii="GHEA Grapalat" w:hAnsi="GHEA Grapalat"/>
          <w:sz w:val="22"/>
          <w:szCs w:val="22"/>
          <w:u w:val="single"/>
        </w:rPr>
      </w:pPr>
      <w:r w:rsidRPr="001F63BA">
        <w:rPr>
          <w:rFonts w:ascii="GHEA Grapalat" w:hAnsi="GHEA Grapalat"/>
          <w:sz w:val="22"/>
          <w:szCs w:val="22"/>
          <w:u w:val="single"/>
        </w:rPr>
        <w:t>Արխիվային գործի ոլորտ</w:t>
      </w:r>
    </w:p>
    <w:p w:rsidR="001C411D" w:rsidRPr="001F63BA" w:rsidRDefault="001C411D" w:rsidP="00E32777">
      <w:pPr>
        <w:spacing w:line="360" w:lineRule="auto"/>
        <w:ind w:firstLine="567"/>
        <w:jc w:val="both"/>
        <w:rPr>
          <w:rFonts w:ascii="GHEA Grapalat" w:hAnsi="GHEA Grapalat"/>
          <w:sz w:val="22"/>
          <w:szCs w:val="22"/>
        </w:rPr>
      </w:pPr>
      <w:r w:rsidRPr="001F63BA">
        <w:rPr>
          <w:rFonts w:ascii="GHEA Grapalat" w:hAnsi="GHEA Grapalat"/>
          <w:sz w:val="22"/>
          <w:szCs w:val="22"/>
        </w:rPr>
        <w:t>Արխիվային պահպանությունում գտնվող արխիվային ֆոնդերի և փաստաթղթերի և նյութերի կազմի ու բովանդակության բացահայտման տեղեկատու-որոնողական միջոցների (այդ թվում՝ տվյալների էլեկտրոնային շտեմարանների) ստեղծման ու կատարելագործման, արխիվային փաստաթղթերի ու նյութերի վերականգնման և թվայնացման</w:t>
      </w:r>
      <w:r w:rsidRPr="001F63BA">
        <w:rPr>
          <w:rFonts w:ascii="GHEA Grapalat" w:hAnsi="GHEA Grapalat"/>
          <w:sz w:val="22"/>
          <w:szCs w:val="22"/>
          <w:lang w:val="en-US"/>
        </w:rPr>
        <w:t>,</w:t>
      </w:r>
      <w:r w:rsidRPr="001F63BA">
        <w:rPr>
          <w:rFonts w:ascii="GHEA Grapalat" w:hAnsi="GHEA Grapalat"/>
          <w:sz w:val="22"/>
          <w:szCs w:val="22"/>
        </w:rPr>
        <w:t xml:space="preserve"> բնօրինակ վավերագրական արժեքների ապահովագրական պատճենների ստեղծման բնագավառներում իրականացվել են տեխնիկական վերազինման շարունակական ծրագրավորված աշխատանքներ ու միջոցառումներ:</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1F6434">
      <w:pPr>
        <w:pStyle w:val="Heading2"/>
        <w:spacing w:before="0"/>
      </w:pPr>
      <w:bookmarkStart w:id="37" w:name="_Toc132204214"/>
      <w:r w:rsidRPr="001F63BA">
        <w:t>Սփյուռք</w:t>
      </w:r>
      <w:bookmarkEnd w:id="37"/>
    </w:p>
    <w:p w:rsidR="001C411D" w:rsidRPr="001F63BA" w:rsidRDefault="001C411D" w:rsidP="001F6434">
      <w:pPr>
        <w:spacing w:line="360" w:lineRule="auto"/>
        <w:ind w:firstLine="567"/>
        <w:jc w:val="both"/>
        <w:rPr>
          <w:rFonts w:ascii="GHEA Grapalat" w:hAnsi="GHEA Grapalat"/>
          <w:sz w:val="22"/>
          <w:szCs w:val="22"/>
          <w:lang w:val="en-US"/>
        </w:rPr>
      </w:pPr>
      <w:r w:rsidRPr="001F63BA">
        <w:rPr>
          <w:rFonts w:ascii="GHEA Grapalat" w:hAnsi="GHEA Grapalat"/>
          <w:sz w:val="22"/>
          <w:szCs w:val="22"/>
        </w:rPr>
        <w:t>Հայաստան-Սփյուռք գործակցության շրջանակներում իրականացվում է 2 ծրագիր</w:t>
      </w:r>
      <w:r w:rsidRPr="001F63BA">
        <w:rPr>
          <w:rFonts w:ascii="GHEA Grapalat" w:hAnsi="GHEA Grapalat"/>
          <w:sz w:val="22"/>
          <w:szCs w:val="22"/>
          <w:lang w:val="en-US"/>
        </w:rPr>
        <w:t>:</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Հայաստան-Սփյուռք գործակցության ծրագրի նպատակն է նպաստել Հայաստան-Սփյուռք գործակցության զարգացմանը, հայապահպանությանն ու ազգային ինքնության պահպանմանը </w:t>
      </w:r>
      <w:r w:rsidRPr="001F63BA">
        <w:rPr>
          <w:rFonts w:ascii="GHEA Grapalat" w:hAnsi="GHEA Grapalat"/>
          <w:sz w:val="22"/>
          <w:szCs w:val="22"/>
        </w:rPr>
        <w:lastRenderedPageBreak/>
        <w:t>Սփյուռքում, սփյուռքահայ պատանիների և երիտասարդների համար կազմակերպել հայրենաճանաչության այցելություններ Հայաստան, աջակցել Սփյուռքի ակտիվ երիտասարդների համայնքային գործունեությանը, նպաստել համայնքային, հոգևոր, համահայկական կառույցների գործունեությանը և համայնքային նոր կառույցների ձևավորմանը, Հայրենիքի հետ կապերի ամրապնդմանը, համատեղ միջոցառումների և ծրագրերի իրականացմանը ՀՀ-ում և Սփյուռքում:</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Հայաստան</w:t>
      </w:r>
      <w:r w:rsidRPr="001F63BA">
        <w:rPr>
          <w:rFonts w:ascii="GHEA Grapalat" w:hAnsi="GHEA Grapalat"/>
          <w:sz w:val="22"/>
          <w:szCs w:val="22"/>
          <w:lang w:val="en-US"/>
        </w:rPr>
        <w:t>-</w:t>
      </w:r>
      <w:r w:rsidRPr="001F63BA">
        <w:rPr>
          <w:rFonts w:ascii="GHEA Grapalat" w:hAnsi="GHEA Grapalat"/>
          <w:sz w:val="22"/>
          <w:szCs w:val="22"/>
        </w:rPr>
        <w:t>Սփյուռք գործակցության կապերի զարգացման</w:t>
      </w:r>
      <w:r w:rsidRPr="001F63BA">
        <w:rPr>
          <w:rFonts w:ascii="GHEA Grapalat" w:hAnsi="GHEA Grapalat"/>
          <w:sz w:val="22"/>
          <w:szCs w:val="22"/>
          <w:lang w:val="en-US"/>
        </w:rPr>
        <w:t>ը</w:t>
      </w:r>
      <w:r w:rsidRPr="001F63BA">
        <w:rPr>
          <w:rFonts w:ascii="GHEA Grapalat" w:hAnsi="GHEA Grapalat"/>
          <w:sz w:val="22"/>
          <w:szCs w:val="22"/>
        </w:rPr>
        <w:t xml:space="preserve"> և ամրապնդմանն ուղղված միջոցառումների շրջանակներում ՀՀ վարչապետի աշխատակազմի </w:t>
      </w:r>
      <w:r w:rsidRPr="001F63BA">
        <w:rPr>
          <w:rFonts w:ascii="GHEA Grapalat" w:hAnsi="GHEA Grapalat"/>
          <w:sz w:val="22"/>
          <w:szCs w:val="22"/>
          <w:lang w:val="en-US"/>
        </w:rPr>
        <w:t>Ս</w:t>
      </w:r>
      <w:r w:rsidRPr="001F63BA">
        <w:rPr>
          <w:rFonts w:ascii="GHEA Grapalat" w:hAnsi="GHEA Grapalat"/>
          <w:sz w:val="22"/>
          <w:szCs w:val="22"/>
        </w:rPr>
        <w:t xml:space="preserve">փյուռքի գործերի գլխավոր հանձնակատարի գրասենյակի կողմից իրականացվել է «Քայլ դեպի տուն» միջոցառումը, որի նպատակն է սփյուռքում բնակվող 13-18 տարեկան հայ պատանիների և երիտասարդների համար կազմակերպել և իրականացնել երկշաբաթյա ճանաչողական շրջայցեր հայրենիքում: Միջոցառմանը մասնակցել են 13-18 տարեկան 422 սփյուռքահայ պատանիներ ու երիտասարդներ, որոնք բնակվել են </w:t>
      </w:r>
      <w:r w:rsidRPr="001F63BA">
        <w:rPr>
          <w:rFonts w:ascii="GHEA Grapalat" w:hAnsi="GHEA Grapalat"/>
          <w:sz w:val="22"/>
          <w:szCs w:val="22"/>
          <w:lang w:val="en-US"/>
        </w:rPr>
        <w:t>ե</w:t>
      </w:r>
      <w:r w:rsidRPr="001F63BA">
        <w:rPr>
          <w:rFonts w:ascii="GHEA Grapalat" w:hAnsi="GHEA Grapalat"/>
          <w:sz w:val="22"/>
          <w:szCs w:val="22"/>
        </w:rPr>
        <w:t>րևանամերձ ճամբարում, մասնակցել են հայոց լեզվի, հայկական երգ ու պարի դասընթացների, ինչպես նաև ճանաչողական այցելություններ են ունեցել Հայաստանի պատմամշակութային վայրեր, ուսումնական և նորարարական կենտրոններ: Միջոցառման նպատակն է նպաստել սփյուռքում բնակվող հայ պատանիների և երիտասարդների ազգային ինքնության գիտակցության բարձրացմանը, հայրենիքի հետ կապերի ամրապնդմանը, հայրենադարձության խթանմանը:</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«Սփյուռքի երիտասարդ առաջնորդների վերապատրաստում» միջոցառման նպատակն է նպաստել և աջակցել Սփյուռքի այն երիտասարդներին, ովքեր ներգրավված են Հայաստան-Սփյուռք հարաբերությունների ամրապնդման գործընթացներում և աշխատանքներ են տանում համայնքային կյանքի ակտիվացման, հայկական շահերի պաշտպանության ուղղությամբ, ինչպես նաև ձևավորել հայ երիտասարդների դինամիկ ցանց, որը կունենա աշխարհի տարբեր համայնքներից սփյուռքահայ երիտասարդների ընդլայնված ներկայացվածություն։</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Սփյուռքի երիտասարդ առաջնորդների վերապատրաստման դասընթացն ունի տեսական և գործնական բնույթ (դասախոսություններ, քննարկումներ, աշխատաժողովներ, այլ): Այն ներառում է նաև այցելություններ պատմամշակութային և ժամանցային վայրեր, հանդիպումներ պետական, քաղաքական գործիչների հետ, մշակութային միջոցառումներ։ Վերապատրաստման դասընթացների տևողությունը 14 օր է, որի ընթացքում գրասենյակը հոգացել է 20 մասնակցի</w:t>
      </w:r>
      <w:r w:rsidRPr="001F63BA">
        <w:rPr>
          <w:rFonts w:ascii="GHEA Grapalat" w:hAnsi="GHEA Grapalat"/>
          <w:sz w:val="22"/>
          <w:szCs w:val="22"/>
          <w:lang w:val="en-US"/>
        </w:rPr>
        <w:t>՝</w:t>
      </w:r>
      <w:r w:rsidRPr="001F63BA">
        <w:rPr>
          <w:rFonts w:ascii="GHEA Grapalat" w:hAnsi="GHEA Grapalat"/>
          <w:sz w:val="22"/>
          <w:szCs w:val="22"/>
        </w:rPr>
        <w:t xml:space="preserve"> Հայաստանում և Արցախում կեցության </w:t>
      </w:r>
      <w:r w:rsidRPr="001F63BA">
        <w:rPr>
          <w:rFonts w:ascii="GHEA Grapalat" w:hAnsi="GHEA Grapalat"/>
          <w:sz w:val="22"/>
          <w:szCs w:val="22"/>
          <w:lang w:val="en-US"/>
        </w:rPr>
        <w:t>ու</w:t>
      </w:r>
      <w:r w:rsidRPr="001F63BA">
        <w:rPr>
          <w:rFonts w:ascii="GHEA Grapalat" w:hAnsi="GHEA Grapalat"/>
          <w:sz w:val="22"/>
          <w:szCs w:val="22"/>
        </w:rPr>
        <w:t xml:space="preserve"> տեղափոխման բոլոր ծախսերը: Միջոցառմանը մասնակցել են 22-35 տարեկան սփյուռքահայ այն երիտասարդները, ովքեր նախկինում միջոցառմանը մասնակցություն չեն ունեցել:</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«Հայաստան-Սփյուռք գործակցության վերաբերյալ իրազեկման ապահովում» միջոցառման նպատակն է հայ ժողովրդի ազգային ինքնության պահպանմանն ու զարգացմանը, Հայաստանի </w:t>
      </w:r>
      <w:r w:rsidRPr="001F63BA">
        <w:rPr>
          <w:rFonts w:ascii="GHEA Grapalat" w:hAnsi="GHEA Grapalat"/>
          <w:sz w:val="22"/>
          <w:szCs w:val="22"/>
        </w:rPr>
        <w:lastRenderedPageBreak/>
        <w:t xml:space="preserve">Հանրապետության և սփյուռքի համար կենսական նշանակություն ունեցող հայապահպանության հիմնախնդիրների լուծմանը նպաստելու նպատակով աշխարհի բոլոր հայ համայնքներին հասանելի դարձնել հայկական մշակույթը, արվեստը, պատմությունը, ազգային արժեքներն ու ֆիլմերը, ինչպես նաև Սփյուռքում ներկայացնել հայրենադարձների պատմությունները, Հայաստանում սփյուռքահայ գործարարների ներդրումները, բարեգործական ծրագրերը և Հայաստան-Սփյուռք գործակցությանը նպատակաուղղված </w:t>
      </w:r>
      <w:r w:rsidR="004318B9" w:rsidRPr="001F63BA">
        <w:rPr>
          <w:rFonts w:ascii="GHEA Grapalat" w:hAnsi="GHEA Grapalat"/>
          <w:sz w:val="22"/>
          <w:szCs w:val="22"/>
          <w:lang w:val="en-US"/>
        </w:rPr>
        <w:t>Կ</w:t>
      </w:r>
      <w:r w:rsidRPr="001F63BA">
        <w:rPr>
          <w:rFonts w:ascii="GHEA Grapalat" w:hAnsi="GHEA Grapalat"/>
          <w:sz w:val="22"/>
          <w:szCs w:val="22"/>
        </w:rPr>
        <w:t>առավարության ծրագրերը:</w:t>
      </w:r>
      <w:r w:rsidRPr="001F63BA">
        <w:rPr>
          <w:rFonts w:ascii="GHEA Grapalat" w:hAnsi="GHEA Grapalat"/>
          <w:sz w:val="22"/>
          <w:szCs w:val="22"/>
          <w:lang w:val="en-US"/>
        </w:rPr>
        <w:t xml:space="preserve"> </w:t>
      </w:r>
      <w:r w:rsidRPr="001F63BA">
        <w:rPr>
          <w:rFonts w:ascii="GHEA Grapalat" w:hAnsi="GHEA Grapalat"/>
          <w:sz w:val="22"/>
          <w:szCs w:val="22"/>
        </w:rPr>
        <w:t>Միջոցառման շրջանակներում 2022 թվականի ընթացքում պատրաստվել է 18 օրագրերի շարք, 2 վավերագրական ֆիլմ:</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«Աշխատանք սփյուռքի համայնքներում» միջոցառման նպատակն է ուսումնասիրել Սփյուռքի համայնքների խնդիրները, միջոցներ ձեռնարկել դրանց լուծման ուղղությամբ, օժանդակել սփյուռքի հայերի ինքնակազմակերպմանը</w:t>
      </w:r>
      <w:r w:rsidRPr="001F63BA">
        <w:rPr>
          <w:rFonts w:ascii="GHEA Grapalat" w:hAnsi="GHEA Grapalat"/>
          <w:sz w:val="22"/>
          <w:szCs w:val="22"/>
          <w:lang w:val="en-US"/>
        </w:rPr>
        <w:t>՝</w:t>
      </w:r>
      <w:r w:rsidRPr="001F63BA">
        <w:rPr>
          <w:rFonts w:ascii="GHEA Grapalat" w:hAnsi="GHEA Grapalat"/>
          <w:sz w:val="22"/>
          <w:szCs w:val="22"/>
        </w:rPr>
        <w:t xml:space="preserve"> որպես համայնքային միավորներ</w:t>
      </w:r>
      <w:r w:rsidRPr="001F63BA">
        <w:rPr>
          <w:rFonts w:ascii="GHEA Grapalat" w:hAnsi="GHEA Grapalat"/>
          <w:sz w:val="22"/>
          <w:szCs w:val="22"/>
          <w:lang w:val="en-US"/>
        </w:rPr>
        <w:t>,</w:t>
      </w:r>
      <w:r w:rsidRPr="001F63BA">
        <w:rPr>
          <w:rFonts w:ascii="GHEA Grapalat" w:hAnsi="GHEA Grapalat"/>
          <w:sz w:val="22"/>
          <w:szCs w:val="22"/>
        </w:rPr>
        <w:t xml:space="preserve"> </w:t>
      </w:r>
      <w:r w:rsidRPr="001F63BA">
        <w:rPr>
          <w:rFonts w:ascii="GHEA Grapalat" w:hAnsi="GHEA Grapalat"/>
          <w:sz w:val="22"/>
          <w:szCs w:val="22"/>
          <w:lang w:val="en-US"/>
        </w:rPr>
        <w:t>ի</w:t>
      </w:r>
      <w:r w:rsidRPr="001F63BA">
        <w:rPr>
          <w:rFonts w:ascii="GHEA Grapalat" w:hAnsi="GHEA Grapalat"/>
          <w:sz w:val="22"/>
          <w:szCs w:val="22"/>
        </w:rPr>
        <w:t>նչպես նաև նպաստել ըստ մասնագիտական ոլորտների պարբերաբար հավաք-հանդիպումների անցկացմանը համայնքներում և անպայման մասնակցել դրանց՝ համագործակցության հեռանկարները նախանշելու և համատեղ իրականացվելիք միջոցառումների պլան-ժամանակացույց կազմելու համար:</w:t>
      </w:r>
      <w:r w:rsidRPr="001F63BA">
        <w:rPr>
          <w:rFonts w:ascii="GHEA Grapalat" w:hAnsi="GHEA Grapalat"/>
          <w:sz w:val="22"/>
          <w:szCs w:val="22"/>
          <w:lang w:val="en-US"/>
        </w:rPr>
        <w:t xml:space="preserve"> </w:t>
      </w:r>
      <w:r w:rsidRPr="001F63BA">
        <w:rPr>
          <w:rFonts w:ascii="GHEA Grapalat" w:hAnsi="GHEA Grapalat"/>
          <w:sz w:val="22"/>
          <w:szCs w:val="22"/>
        </w:rPr>
        <w:t>2022 թվականին իրականացվել է 13 աշխատանքային գործուղում՝ Բել</w:t>
      </w:r>
      <w:r w:rsidRPr="001F63BA">
        <w:rPr>
          <w:rFonts w:ascii="GHEA Grapalat" w:hAnsi="GHEA Grapalat"/>
          <w:sz w:val="22"/>
          <w:szCs w:val="22"/>
          <w:lang w:val="en-US"/>
        </w:rPr>
        <w:t>ա</w:t>
      </w:r>
      <w:r w:rsidRPr="001F63BA">
        <w:rPr>
          <w:rFonts w:ascii="GHEA Grapalat" w:hAnsi="GHEA Grapalat"/>
          <w:sz w:val="22"/>
          <w:szCs w:val="22"/>
        </w:rPr>
        <w:t>ռուսի, ՌԴ-ի, Ֆրանսիայի, Լիբանանի, Սիրիայի, ԱՄՆ-ի, Հունաստանի, Կիպրոսի, Բուլղարիայի հայաշատ համայնքներ:</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«Ի Գործ սփյուռքահայ մասնագետների ներգրավում ՀՀ և Արցախի պետական կառավարման համակարգում» միջոցառման նպատակն է սփյուռքի բարձր որակավորում ունեցող մասնագետներին ներգրավել ՀՀ և Արցախի պետական կառավարման համակարգի մարմինների աշխատանքներում: Միջոցառմանն ընդգրկված մասնագետների համար մեկ տարի շարունակ գրասենյակը հոգում է կեցության, առողջության ապահովագրության, դեպի Հայաստան և հակառակ ուղղությամբ ավիատոմսերի ծախսերը և այլ ծախսեր: 2022 թվականի ընթացքում միջոցառմանը ներգրավվել են լրացուցիչ 47 մասնագետներ։</w:t>
      </w:r>
      <w:r w:rsidRPr="001F63BA">
        <w:rPr>
          <w:rFonts w:ascii="GHEA Grapalat" w:hAnsi="GHEA Grapalat"/>
          <w:sz w:val="22"/>
          <w:szCs w:val="22"/>
          <w:lang w:val="en-US"/>
        </w:rPr>
        <w:t xml:space="preserve"> </w:t>
      </w:r>
      <w:r w:rsidRPr="001F63BA">
        <w:rPr>
          <w:rFonts w:ascii="GHEA Grapalat" w:hAnsi="GHEA Grapalat"/>
          <w:sz w:val="22"/>
          <w:szCs w:val="22"/>
        </w:rPr>
        <w:t>Միջոցառման շրջանակներում 2020 և 2021 թվականներին ներգ</w:t>
      </w:r>
      <w:r w:rsidRPr="001F63BA">
        <w:rPr>
          <w:rFonts w:ascii="GHEA Grapalat" w:hAnsi="GHEA Grapalat"/>
          <w:sz w:val="22"/>
          <w:szCs w:val="22"/>
          <w:lang w:val="en-US"/>
        </w:rPr>
        <w:t>ր</w:t>
      </w:r>
      <w:r w:rsidRPr="001F63BA">
        <w:rPr>
          <w:rFonts w:ascii="GHEA Grapalat" w:hAnsi="GHEA Grapalat"/>
          <w:sz w:val="22"/>
          <w:szCs w:val="22"/>
        </w:rPr>
        <w:t>ավված մասնագետները, ոլորտային առանձնահատկություններից ելնելով, մշակել և ներկայացրել են ՀՀ զարգացմանն ուղղված</w:t>
      </w:r>
      <w:r w:rsidRPr="001F63BA">
        <w:rPr>
          <w:rFonts w:ascii="GHEA Grapalat" w:hAnsi="GHEA Grapalat"/>
          <w:sz w:val="22"/>
          <w:szCs w:val="22"/>
          <w:lang w:val="en-US"/>
        </w:rPr>
        <w:t>՝</w:t>
      </w:r>
      <w:r w:rsidRPr="001F63BA">
        <w:rPr>
          <w:rFonts w:ascii="GHEA Grapalat" w:hAnsi="GHEA Grapalat"/>
          <w:sz w:val="22"/>
          <w:szCs w:val="22"/>
        </w:rPr>
        <w:t xml:space="preserve"> առկա խնդիրների լուծման 10 նոր նախագիծ: Միջոցառման որոշ մասնագետներ հայրենադարձվել և ՀՀ-ում անցել են այլ աշխատանքի:</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«Հայրենադարձության ինտեգրման կենտրոն» միջոցառման նպատակն է խթանել հայրենադարձությունը և ՀՀ քաղաքացիների վերադարձը այլ երկրներից:</w:t>
      </w:r>
      <w:r w:rsidRPr="001F63BA">
        <w:rPr>
          <w:rFonts w:ascii="GHEA Grapalat" w:hAnsi="GHEA Grapalat"/>
          <w:sz w:val="22"/>
          <w:szCs w:val="22"/>
          <w:lang w:val="en-US"/>
        </w:rPr>
        <w:t xml:space="preserve"> Մ</w:t>
      </w:r>
      <w:r w:rsidRPr="001F63BA">
        <w:rPr>
          <w:rFonts w:ascii="GHEA Grapalat" w:hAnsi="GHEA Grapalat"/>
          <w:sz w:val="22"/>
          <w:szCs w:val="22"/>
        </w:rPr>
        <w:t>իջոցառման շրջանակներում ողջ գործընթացի հասանելիության ու արդյունավետության բարելավումը հնարավորություն է ընձեռում կարգավորել հայրենադարձության հետ կապված տարատեսակ հարցեր, ինչպես նաև աջակցություն ցուցաբերել հայրենադարձներին և այլ երկրներից վերադարձած ՀՀ քաղաքացիներին արագ և արդյունավետ ինտեգրվել ՀՀ հասարակական-քաղաքական, մշակութային ու սոցիալ-տնտեսական կյանքին:</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2022 թվականին միջոցառման շրջանակներում շուրջ 230 հայրենադարձ մասնակցել է հայոց լեզվի դասընթացների: Ինտեգրման կենտրոնի տարածքի շինարարական և վերանորոգման աշխատանքներով պայմանավորված</w:t>
      </w:r>
      <w:r w:rsidRPr="001F63BA">
        <w:rPr>
          <w:rFonts w:ascii="GHEA Grapalat" w:hAnsi="GHEA Grapalat"/>
          <w:sz w:val="22"/>
          <w:szCs w:val="22"/>
          <w:lang w:val="en-US"/>
        </w:rPr>
        <w:t>՝</w:t>
      </w:r>
      <w:r w:rsidRPr="001F63BA">
        <w:rPr>
          <w:rFonts w:ascii="GHEA Grapalat" w:hAnsi="GHEA Grapalat"/>
          <w:sz w:val="22"/>
          <w:szCs w:val="22"/>
        </w:rPr>
        <w:t xml:space="preserve"> միջոցառման շրջանակներում տարածքի սպասարկման ծառայությունները ձեռք չեն բերվել, իսկ միջոցառման առցանց համակարգը</w:t>
      </w:r>
      <w:r w:rsidRPr="001F63BA">
        <w:rPr>
          <w:rFonts w:ascii="GHEA Grapalat" w:hAnsi="GHEA Grapalat"/>
          <w:sz w:val="22"/>
          <w:szCs w:val="22"/>
          <w:lang w:val="en-US"/>
        </w:rPr>
        <w:t>,</w:t>
      </w:r>
      <w:r w:rsidRPr="001F63BA">
        <w:rPr>
          <w:rFonts w:ascii="GHEA Grapalat" w:hAnsi="GHEA Grapalat"/>
          <w:sz w:val="22"/>
          <w:szCs w:val="22"/>
        </w:rPr>
        <w:t xml:space="preserve"> նպատակահարմարությունից ելնելով</w:t>
      </w:r>
      <w:r w:rsidRPr="001F63BA">
        <w:rPr>
          <w:rFonts w:ascii="GHEA Grapalat" w:hAnsi="GHEA Grapalat"/>
          <w:sz w:val="22"/>
          <w:szCs w:val="22"/>
          <w:lang w:val="en-US"/>
        </w:rPr>
        <w:t>,</w:t>
      </w:r>
      <w:r w:rsidRPr="001F63BA">
        <w:rPr>
          <w:rFonts w:ascii="GHEA Grapalat" w:hAnsi="GHEA Grapalat"/>
          <w:sz w:val="22"/>
          <w:szCs w:val="22"/>
        </w:rPr>
        <w:t xml:space="preserve"> ձեռք է բերվելու 2023 թվականին:</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«Աջակցություն Վրաստանի հայալեզու լրատվամիջոցներին» միջոցառման նպատակն է աջակցել Վրաստանի հայալեզու տպագիր թերթերին, լրատվական կայքերին և հեռուստաալիքներին:</w:t>
      </w:r>
    </w:p>
    <w:p w:rsidR="001C411D" w:rsidRPr="001F63BA" w:rsidRDefault="001C411D" w:rsidP="001F6434">
      <w:pPr>
        <w:spacing w:line="360" w:lineRule="auto"/>
        <w:ind w:firstLine="567"/>
        <w:jc w:val="both"/>
        <w:rPr>
          <w:rFonts w:ascii="GHEA Grapalat" w:hAnsi="GHEA Grapalat"/>
          <w:sz w:val="22"/>
          <w:szCs w:val="22"/>
          <w:lang w:val="en-US"/>
        </w:rPr>
      </w:pPr>
      <w:r w:rsidRPr="001F63BA">
        <w:rPr>
          <w:rFonts w:ascii="GHEA Grapalat" w:hAnsi="GHEA Grapalat"/>
          <w:sz w:val="22"/>
          <w:szCs w:val="22"/>
        </w:rPr>
        <w:t>«ՀՀ զարգացման գործընթացում սփյուռքի ներուժի ներգրավում» ծրագրի նպատակն է Սփյուռքի համայնքների ուսումնասիրությունը և մարդկային ներուժի բացահայտումը, Սփյուռքի ներուժի վերաբերյալ տեղեկատվական համակարգերի ստեղծումը, կատարելագործումը և համալրումը: Ծրագրի շրջանակներում իրականացվել են</w:t>
      </w:r>
      <w:r w:rsidRPr="001F63BA">
        <w:rPr>
          <w:rFonts w:ascii="GHEA Grapalat" w:hAnsi="GHEA Grapalat"/>
          <w:sz w:val="22"/>
          <w:szCs w:val="22"/>
          <w:lang w:val="en-US"/>
        </w:rPr>
        <w:t xml:space="preserve"> հետևյալ միջոցառումները:</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lang w:val="en-US"/>
        </w:rPr>
        <w:t>«</w:t>
      </w:r>
      <w:r w:rsidRPr="001F63BA">
        <w:rPr>
          <w:rFonts w:ascii="GHEA Grapalat" w:hAnsi="GHEA Grapalat"/>
          <w:sz w:val="22"/>
          <w:szCs w:val="22"/>
        </w:rPr>
        <w:t>Համահայկական համաժողովների իրականացում</w:t>
      </w:r>
      <w:r w:rsidRPr="001F63BA">
        <w:rPr>
          <w:rFonts w:ascii="GHEA Grapalat" w:hAnsi="GHEA Grapalat"/>
          <w:sz w:val="22"/>
          <w:szCs w:val="22"/>
          <w:lang w:val="en-US"/>
        </w:rPr>
        <w:t>»</w:t>
      </w:r>
      <w:r w:rsidRPr="001F63BA">
        <w:rPr>
          <w:rFonts w:ascii="GHEA Grapalat" w:hAnsi="GHEA Grapalat"/>
          <w:sz w:val="22"/>
          <w:szCs w:val="22"/>
        </w:rPr>
        <w:t xml:space="preserve"> միջոցառ</w:t>
      </w:r>
      <w:r w:rsidRPr="001F63BA">
        <w:rPr>
          <w:rFonts w:ascii="GHEA Grapalat" w:hAnsi="GHEA Grapalat"/>
          <w:sz w:val="22"/>
          <w:szCs w:val="22"/>
          <w:lang w:val="en-US"/>
        </w:rPr>
        <w:t xml:space="preserve">ման </w:t>
      </w:r>
      <w:r w:rsidRPr="001F63BA">
        <w:rPr>
          <w:rFonts w:ascii="GHEA Grapalat" w:hAnsi="GHEA Grapalat"/>
          <w:sz w:val="22"/>
          <w:szCs w:val="22"/>
        </w:rPr>
        <w:t>նպատակն է հայ ժողովրդի երկու հատվածների</w:t>
      </w:r>
      <w:r w:rsidRPr="001F63BA">
        <w:rPr>
          <w:rFonts w:ascii="GHEA Grapalat" w:hAnsi="GHEA Grapalat"/>
          <w:sz w:val="22"/>
          <w:szCs w:val="22"/>
          <w:lang w:val="en-US"/>
        </w:rPr>
        <w:t>՝</w:t>
      </w:r>
      <w:r w:rsidRPr="001F63BA">
        <w:rPr>
          <w:rFonts w:ascii="GHEA Grapalat" w:hAnsi="GHEA Grapalat"/>
          <w:sz w:val="22"/>
          <w:szCs w:val="22"/>
        </w:rPr>
        <w:t xml:space="preserve"> տարբեր մասնագիտական կարողություններ ունեցող անհատներին և կազմակերպություններին համախմբելու նպատակով ՀՀ-ում կազմակերպել և անցկացնել համահայկական համաժողովներ, որ</w:t>
      </w:r>
      <w:r w:rsidRPr="001F63BA">
        <w:rPr>
          <w:rFonts w:ascii="GHEA Grapalat" w:hAnsi="GHEA Grapalat"/>
          <w:sz w:val="22"/>
          <w:szCs w:val="22"/>
          <w:lang w:val="en-US"/>
        </w:rPr>
        <w:t>ոնց</w:t>
      </w:r>
      <w:r w:rsidRPr="001F63BA">
        <w:rPr>
          <w:rFonts w:ascii="GHEA Grapalat" w:hAnsi="GHEA Grapalat"/>
          <w:sz w:val="22"/>
          <w:szCs w:val="22"/>
        </w:rPr>
        <w:t xml:space="preserve"> շրջանակներում հնարավորություն կլինի հայտնաբերել, հաշվառել և գնահատել Սփյուռքի մասնագիտական ներուժը, ձևավորել ընդհանուր մոտեցումներ պահանջող խնդիրների լուծման համար միասնական մեխանիզմներ:</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Հայաստան-Սփյուռք գործակցության կապը խորացնելու, համահայկական նշանակության խնդիրներ</w:t>
      </w:r>
      <w:r w:rsidRPr="001F63BA">
        <w:rPr>
          <w:rFonts w:ascii="GHEA Grapalat" w:hAnsi="GHEA Grapalat"/>
          <w:sz w:val="22"/>
          <w:szCs w:val="22"/>
          <w:lang w:val="en-US"/>
        </w:rPr>
        <w:t>ը</w:t>
      </w:r>
      <w:r w:rsidRPr="001F63BA">
        <w:rPr>
          <w:rFonts w:ascii="GHEA Grapalat" w:hAnsi="GHEA Grapalat"/>
          <w:sz w:val="22"/>
          <w:szCs w:val="22"/>
        </w:rPr>
        <w:t xml:space="preserve"> համատեղ քննարկելու և դրանց լուծումները նախանշելու, համահայկական օրակարգ ձևավորելու, միասին առաջ շարժվելու ուղիները հստակեցնելու, առողջ երկխոսելու նպատակով որոշվել է 2022 թվականի հոկտեմբերի 28-31-ը Երևանում կազմակերպել Համաշխարհային հայկական գագաթնաժողովը: Նշված </w:t>
      </w:r>
      <w:r w:rsidR="006F60A9" w:rsidRPr="001F63BA">
        <w:rPr>
          <w:rFonts w:ascii="GHEA Grapalat" w:hAnsi="GHEA Grapalat"/>
          <w:sz w:val="22"/>
          <w:szCs w:val="22"/>
          <w:lang w:val="en-US"/>
        </w:rPr>
        <w:t>ձևաչափի</w:t>
      </w:r>
      <w:r w:rsidRPr="001F63BA">
        <w:rPr>
          <w:rFonts w:ascii="GHEA Grapalat" w:hAnsi="GHEA Grapalat"/>
          <w:sz w:val="22"/>
          <w:szCs w:val="22"/>
        </w:rPr>
        <w:t xml:space="preserve"> շրջանակներում որոշում է կայացվել նվազեցնել մասնակիցների քանակը՝ հասցնելով 600-ի՝ հնարավորություն ընձեռելով մասնակիցներին թիրախային հարցերի շուրջ քննարկումները ևս դարձնել թիրախային։</w:t>
      </w:r>
    </w:p>
    <w:p w:rsidR="001C411D" w:rsidRPr="001F63BA" w:rsidRDefault="001C411D" w:rsidP="001F6434">
      <w:pPr>
        <w:spacing w:line="360" w:lineRule="auto"/>
        <w:ind w:firstLine="567"/>
        <w:jc w:val="both"/>
        <w:rPr>
          <w:rFonts w:ascii="GHEA Grapalat" w:hAnsi="GHEA Grapalat"/>
          <w:sz w:val="22"/>
          <w:szCs w:val="22"/>
        </w:rPr>
      </w:pPr>
      <w:r w:rsidRPr="001F63BA">
        <w:rPr>
          <w:rFonts w:ascii="GHEA Grapalat" w:hAnsi="GHEA Grapalat"/>
          <w:sz w:val="22"/>
          <w:szCs w:val="22"/>
        </w:rPr>
        <w:t>«Սփյուռքի մարդկային ներուժի վերհանում, դրա քարտեզագրում և տեղեկատվական բազայի ստեղծում» միջոցառման նպատակն է սփյուռքի մարդկային ներուժի հավաքագրումն ու քարտեզագրումը: Հավաքագրված ամբողջ տեղեկատվություն</w:t>
      </w:r>
      <w:r w:rsidRPr="001F63BA">
        <w:rPr>
          <w:rFonts w:ascii="GHEA Grapalat" w:hAnsi="GHEA Grapalat"/>
          <w:sz w:val="22"/>
          <w:szCs w:val="22"/>
          <w:lang w:val="en-US"/>
        </w:rPr>
        <w:t>ն</w:t>
      </w:r>
      <w:r w:rsidRPr="001F63BA">
        <w:rPr>
          <w:rFonts w:ascii="GHEA Grapalat" w:hAnsi="GHEA Grapalat"/>
          <w:sz w:val="22"/>
          <w:szCs w:val="22"/>
        </w:rPr>
        <w:t xml:space="preserve"> ամփոփվում է սփյուռքի վերաբերյալ մեկ ընդհանուր տեղեկատվական համակարգում, որն անընդհատ համալրվում է նոր տվյալներով, ինչպես նաև մշտապես իրականացվում է առկա տեղեկատվության թարմացում:</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48614C">
      <w:pPr>
        <w:pStyle w:val="Heading2"/>
        <w:spacing w:before="0"/>
      </w:pPr>
      <w:bookmarkStart w:id="38" w:name="_Toc132204215"/>
      <w:r w:rsidRPr="001F63BA">
        <w:lastRenderedPageBreak/>
        <w:t>Կրթություն</w:t>
      </w:r>
      <w:bookmarkEnd w:id="38"/>
    </w:p>
    <w:p w:rsidR="001C411D" w:rsidRPr="001F63BA" w:rsidRDefault="001C411D" w:rsidP="0048614C">
      <w:pPr>
        <w:spacing w:line="360" w:lineRule="auto"/>
        <w:ind w:firstLine="567"/>
        <w:jc w:val="both"/>
        <w:rPr>
          <w:rFonts w:ascii="GHEA Grapalat" w:hAnsi="GHEA Grapalat"/>
          <w:sz w:val="22"/>
          <w:szCs w:val="22"/>
          <w:lang w:val="en-US"/>
        </w:rPr>
      </w:pPr>
      <w:bookmarkStart w:id="39" w:name="_Toc26174899"/>
      <w:r w:rsidRPr="001F63BA">
        <w:rPr>
          <w:rFonts w:ascii="GHEA Grapalat" w:hAnsi="GHEA Grapalat"/>
          <w:sz w:val="22"/>
          <w:szCs w:val="22"/>
        </w:rPr>
        <w:t>Պետական քաղաքականության մեջ կրթությունը գերակայությունների շարքում շարունակում է մնալ որպես ազգային արժեք և երկրի սոցիալ-տնտեսական առաջընթացն ապահովող հիմնարար գործոն</w:t>
      </w:r>
      <w:bookmarkStart w:id="40" w:name="_Toc57655428"/>
      <w:r w:rsidRPr="001F63BA">
        <w:rPr>
          <w:rFonts w:ascii="GHEA Grapalat" w:hAnsi="GHEA Grapalat"/>
          <w:sz w:val="22"/>
          <w:szCs w:val="22"/>
        </w:rPr>
        <w:t>:</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Հանրակրթության և նախադպրոցական կրթության ոլորտներում շարունակվել են բարեփոխումները կրթության բովանդակության, ուսուցիչների մասնագիտական առաջխաղացման, ենթակառուցվածքների, կրթության հասանելիության և մատչելիության բարելավման, ոլորտի թվայնացման և արդյունավետ կառավարման ուղղություններով:</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Կրթության որակի բարձրացման նպատակով 2021 թվականի փետրվարի 4-ին ՀՀ կառավարության N</w:t>
      </w:r>
      <w:r w:rsidRPr="001F63BA">
        <w:rPr>
          <w:rFonts w:ascii="GHEA Grapalat" w:hAnsi="GHEA Grapalat"/>
          <w:sz w:val="22"/>
          <w:szCs w:val="22"/>
          <w:lang w:val="en-US"/>
        </w:rPr>
        <w:t xml:space="preserve"> </w:t>
      </w:r>
      <w:r w:rsidRPr="001F63BA">
        <w:rPr>
          <w:rFonts w:ascii="GHEA Grapalat" w:hAnsi="GHEA Grapalat"/>
          <w:sz w:val="22"/>
          <w:szCs w:val="22"/>
        </w:rPr>
        <w:t xml:space="preserve">136-Ն որոշմամբ ընդունվեց հանրակրթության նոր չափորոշիչը, իսկ ապրիլ ամսին ԿԳՄՍ նախարարի հրամանով հաստատվեցին նոր չափորոշիչներից բխող առարկայական չափորոշիչներն ու ծրագրերը, որոնք 2021-2022 ուսումնական տարում փորձարկվեցին Տավուշի մարզի բոլոր ուսումնական հաստատություններում, արդյունքների ամփոփումից հետո՝ 2023 թվականի սեպտեմբերից աստիճանական կարգով կներդրվեն հանրապետության բոլոր դպրոցներում: Տավուշի մարզի 80 դպրոց համալրվել են ժամանակակից բնագիտական լաբորատորիաներով, ինչը և առաջիկա տարում նախատեսվում է Արմավիրի, Արարատի, Կոտայքի և Գեղարքունիքի մարզերում, ինչպես նաև Կապան խոշորացված համայնքի կրթահամալիրներում: </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Հանրակրթական ուսումնական հաստատությունների ուսուցիչների մասնագիտական զարգացումը խթանելու նպատակով ընդունվել են մի շարք իրավական ակտեր</w:t>
      </w:r>
      <w:r w:rsidRPr="001F63BA">
        <w:rPr>
          <w:rFonts w:ascii="GHEA Grapalat" w:hAnsi="GHEA Grapalat"/>
          <w:sz w:val="22"/>
          <w:szCs w:val="22"/>
          <w:lang w:val="en-US"/>
        </w:rPr>
        <w:t>,</w:t>
      </w:r>
      <w:r w:rsidRPr="001F63BA">
        <w:rPr>
          <w:rFonts w:ascii="GHEA Grapalat" w:hAnsi="GHEA Grapalat"/>
          <w:sz w:val="22"/>
          <w:szCs w:val="22"/>
        </w:rPr>
        <w:t xml:space="preserve"> այդ թվում՝</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rPr>
      </w:pPr>
      <w:r w:rsidRPr="001F63BA">
        <w:rPr>
          <w:rFonts w:ascii="GHEA Grapalat" w:hAnsi="GHEA Grapalat"/>
        </w:rPr>
        <w:t>2022 թվականի ապրիլի 28-ին Կառավարություն</w:t>
      </w:r>
      <w:r w:rsidRPr="001F63BA">
        <w:rPr>
          <w:rFonts w:ascii="GHEA Grapalat" w:hAnsi="GHEA Grapalat"/>
          <w:lang w:val="en-US"/>
        </w:rPr>
        <w:t>ն</w:t>
      </w:r>
      <w:r w:rsidRPr="001F63BA">
        <w:rPr>
          <w:rFonts w:ascii="GHEA Grapalat" w:hAnsi="GHEA Grapalat"/>
        </w:rPr>
        <w:t xml:space="preserve"> ընդունել է Ուսուցիչների կամավոր </w:t>
      </w:r>
      <w:r w:rsidRPr="001F63BA">
        <w:rPr>
          <w:rFonts w:ascii="GHEA Grapalat" w:hAnsi="GHEA Grapalat" w:cs="GHEA Grapalat"/>
          <w:bCs/>
          <w:lang w:val="af-ZA"/>
        </w:rPr>
        <w:t>ատեստավորման</w:t>
      </w:r>
      <w:r w:rsidRPr="001F63BA">
        <w:rPr>
          <w:rFonts w:ascii="GHEA Grapalat" w:hAnsi="GHEA Grapalat"/>
        </w:rPr>
        <w:t>, կամավոր ատեստավորման արդյունքով ուսուցչի դրույքաչափի և դրան հատկացվող հավելավճարի տրամադրման, կամավոր ատեստավորման հանձնաժողովի ձևավորման կարգը հաստատելու մասին» N 596-Ն որոշումը,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2022 թվականի սեպտեմբերի 29-ին Կառավարությունն ընդունել է Հանրակրթական ուսումնական հաստատության ուսուցչի տարակարգի շնորհման հանրապետական հանձնաժողովի ձևավորման և գործունեության, տարակարգ ստացած ուսուցիչներին հավելավճար տրամադրելու կարգը սահմանելու և Հայաստանի Հանրապետության կառավարության 2011 թվականի նոյեմբերի 10-ի N 1745-ն որոշման մեջ փոփոխություններ կատարելու մասին» N 1509-Ն որոշումը, </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Հայաստանի Հանրապետության կրթության, գիտության, մշակույթի և սպորտի նախարարի 2022 թվականի օգոստոսի 5-ի N 30-Ն հրամանով սահմանվել են Հանրակրթական ուսումնական հաստատության ուսուցչի մասնագիտական չափանիշները:</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 xml:space="preserve">Շարունակվել են մոդուլային </w:t>
      </w:r>
      <w:r w:rsidRPr="001F63BA">
        <w:rPr>
          <w:rFonts w:ascii="GHEA Grapalat" w:hAnsi="GHEA Grapalat"/>
          <w:sz w:val="22"/>
          <w:szCs w:val="22"/>
          <w:lang w:val="en-US"/>
        </w:rPr>
        <w:t>և ոչ մոդուլային</w:t>
      </w:r>
      <w:r w:rsidRPr="001F63BA">
        <w:rPr>
          <w:rFonts w:ascii="GHEA Grapalat" w:hAnsi="GHEA Grapalat"/>
          <w:sz w:val="22"/>
          <w:szCs w:val="22"/>
        </w:rPr>
        <w:t xml:space="preserve"> տիպի դպրոցների և մանկապարտեզների կառուցումը, հիմնանորոգումն ու վերանորոգումը, որը Կառավարության հնգամյա ծրագրի հիմնական թիրախներից է: </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վերջի դրությամբ ամբողջությամբ ավարտվել են 24 դպրոցի և 46 մանկապարտեզի շինարարական աշխատանքները։</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Քայլեր են ձեռնարկվել՝ ապահովելու նախադպրոցական ուսումնական հաստատությունների վարչական, մանկավարժական և ուսումնաօժանդակ անձնակազմի վարձատրության միասնական քաղաքականություն և շարունակական աճի հնարավորություն: Կատարվել են համապատասխան փոփոխություններ և լրացումներ «Նախադպրոցական կրթության մասին» ՀՀ օրենքում:</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սեպտեմբերի 29-ին Կառավարությունն ընդունել է «Պետական և համայնքային նախադպրոցական ուսումնական հաստատությունների վարչական, մանկավարժական և ուսումնաօժանդակ կազմի վարձատրության խմբերի դասակարգման չափանիշները սահմանելու մասին» N 1485-Ն որոշումը:</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շարունակվել է հատկապես փոքր համայնքներում և բնակավայրերում այլընտրանքային նախադպրոցական ծառայությունների ներդրման գործընթացը, դրամաշնորհ է հատկացվել Լոռու մարզի Սպիտակ համայնքի Լոռու Փամբակ համայնքին։</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Նախադպրոցական կրթությունը խոցելի խմբերի երեխաներին հասանելի և մատչելի դարձնելու նպատակով 2021 թվականին մեկնարկել է նախադպրոցական հաստատություններում համընդհանուր ներառական նախադպրոցական կրթության համակարգի անցման գործընթացը: 2022 թվականին համակարգը ներդրվել է ՀՀ Տավուշի, Լոռու և Սյունիքի մարզերում և Երևան քաղաքում: 2022 թվականի սեպտեմբերի 1-ից առաջին անգամ պետությունը ֆինանսավորում է հատկացրել նախադպրոցական հաստատությունների կրթության և զարգացման առանձնահատուկ պայմանների կարիք ունեցող 156 երեխայի:</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«Կրթության բարելավման ծրագրի լրացուցիչ ֆինանսավորում» վարկային ծրագրի շրջանակներում՝ նախադպրոցական միկրոծրագրերի իրականացման համար Արմավիրի, Արարատի, Արագածոտնի, Կոտայքի, Գեղարքունիքի մարզերում ընտրվել է 31 հանրակրթական ուսումնական հաստատություն:</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Ոլորտում կառավարման արդյունավետությունը բարձրացնելու նպատակով շարունակվել են Կրթության կառավարման տեղեկատվական համակարգի (ԿԿՏՀ) շահագործման, զարգացման և ամբողջականացման աշխատանքները, որոնցից առավել կարևորներն են.</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գործարկվել են սահմանամերձ և բարձրլեռնային բնակավայրերի պետական հանրակրթական ուսումնական հաստատություններում մանկավարժական կադրերի գործուղման </w:t>
      </w:r>
      <w:r w:rsidRPr="001F63BA">
        <w:rPr>
          <w:rFonts w:ascii="GHEA Grapalat" w:hAnsi="GHEA Grapalat" w:cs="GHEA Grapalat"/>
          <w:bCs/>
          <w:lang w:val="af-ZA"/>
        </w:rPr>
        <w:lastRenderedPageBreak/>
        <w:t xml:space="preserve">կազմակերպման համակարգի 2 մոդուլները՝ լիազոր մարմինների կողմից իրենց ենթակայության դպրոցներում մանկավարժական կադրերի պահանջարկի վերաբերյալ հայտերի ձևավորման՝ </w:t>
      </w:r>
      <w:hyperlink r:id="rId15">
        <w:r w:rsidRPr="001F63BA">
          <w:rPr>
            <w:rFonts w:ascii="GHEA Grapalat" w:hAnsi="GHEA Grapalat" w:cs="GHEA Grapalat"/>
            <w:bCs/>
            <w:lang w:val="af-ZA"/>
          </w:rPr>
          <w:t>https://kadrer.emis.am/admin</w:t>
        </w:r>
      </w:hyperlink>
      <w:r w:rsidRPr="001F63BA">
        <w:rPr>
          <w:rFonts w:ascii="GHEA Grapalat" w:hAnsi="GHEA Grapalat" w:cs="GHEA Grapalat"/>
          <w:bCs/>
          <w:lang w:val="af-ZA"/>
        </w:rPr>
        <w:t xml:space="preserve">, և առկա հայտերի դիտման և թափուր հաստիքների համար դիմելու՝ </w:t>
      </w:r>
      <w:hyperlink r:id="rId16">
        <w:r w:rsidRPr="001F63BA">
          <w:rPr>
            <w:rFonts w:ascii="GHEA Grapalat" w:hAnsi="GHEA Grapalat" w:cs="GHEA Grapalat"/>
            <w:bCs/>
            <w:lang w:val="af-ZA"/>
          </w:rPr>
          <w:t>https://kadrer.emis.am/</w:t>
        </w:r>
      </w:hyperlink>
      <w:r w:rsidRPr="001F63BA">
        <w:rPr>
          <w:rFonts w:ascii="GHEA Grapalat" w:hAnsi="GHEA Grapalat" w:cs="GHEA Grapalat"/>
          <w:bCs/>
          <w:lang w:val="af-ZA"/>
        </w:rPr>
        <w:t>,</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կազմակերպվել են 2022-2023 ուս. տարվա ընդունելության հայտագրման աշխատանքները </w:t>
      </w:r>
      <w:hyperlink r:id="rId17">
        <w:r w:rsidRPr="001F63BA">
          <w:rPr>
            <w:bCs/>
            <w:lang w:val="af-ZA"/>
          </w:rPr>
          <w:t>hayt.emis.am</w:t>
        </w:r>
      </w:hyperlink>
      <w:r w:rsidRPr="001F63BA">
        <w:rPr>
          <w:bCs/>
          <w:lang w:val="af-ZA"/>
        </w:rPr>
        <w:t>,</w:t>
      </w:r>
      <w:r w:rsidRPr="001F63BA">
        <w:rPr>
          <w:rFonts w:ascii="GHEA Grapalat" w:hAnsi="GHEA Grapalat" w:cs="GHEA Grapalat"/>
          <w:bCs/>
          <w:lang w:val="af-ZA"/>
        </w:rPr>
        <w:t xml:space="preserve"> ուսումնարանների և քոլեջների դիմորդներինը՝ dimord.emis.am, բուհերի դիմորդներինը՝ dimord.am կայքերի միջոցով,</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մշակվել և գործարկվել է հանրակրթական ուսումնական հաստատությունների շրջանավարտների Ediploma ավարտական փաստաթղթերի էլեկտրոնային համակարգը: ՀՀ 2021</w:t>
      </w:r>
      <w:r w:rsidRPr="001F63BA">
        <w:rPr>
          <w:rFonts w:ascii="GHEA Grapalat" w:hAnsi="GHEA Grapalat" w:cs="GHEA Grapalat"/>
          <w:bCs/>
          <w:lang w:val="af-ZA"/>
        </w:rPr>
        <w:noBreakHyphen/>
        <w:t>2022 ուս. տարվա 9-րդ և 12-րդ դասարանների բոլոր շրջանավարտների վկայականները և ատեստատները կազմվել են էլեկտրոնային եղանակով։</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 xml:space="preserve">Կառավարության ծրագրի միջոցառումների կատարումն ապահովելու նպատակով </w:t>
      </w:r>
      <w:r w:rsidRPr="001F63BA">
        <w:rPr>
          <w:rFonts w:ascii="GHEA Grapalat" w:hAnsi="GHEA Grapalat"/>
          <w:sz w:val="22"/>
          <w:szCs w:val="22"/>
          <w:lang w:val="en-US"/>
        </w:rPr>
        <w:t>ն</w:t>
      </w:r>
      <w:r w:rsidRPr="001F63BA">
        <w:rPr>
          <w:rFonts w:ascii="GHEA Grapalat" w:hAnsi="GHEA Grapalat"/>
          <w:sz w:val="22"/>
          <w:szCs w:val="22"/>
        </w:rPr>
        <w:t>ախնական (արհեստագործական) և միջին մասնագիտական կրթության ոլորտում մշակվել են 2 հայեցակարգային փաստաթղթեր՝ «Հայաստանի Հանրապետությունում ՄԿՈՒ կարիքների գնահատում՝ ըստ ոլորտների և հեռանկարային միտումների» և «Ըստ մարզերի և առանձին վարչատարածքային միավորների՝ մասնագիտական կրթության և ուսուցման մասնագիտությունների ցանկի վերանայում», որոնք հիմք կհանդիսանան ուսումնական հաստատությունների ընդունելության տեղերի բաշխման, ինչպես նաև ՆՄԿԿ ուսումնական հաստատություններում ըստ տարածքային և ոլորտային զարգացման գերակայությունների իրականացվող ծրագրերի վերա</w:t>
      </w:r>
      <w:r w:rsidRPr="001F63BA">
        <w:rPr>
          <w:rFonts w:ascii="GHEA Grapalat" w:hAnsi="GHEA Grapalat"/>
          <w:sz w:val="22"/>
          <w:szCs w:val="22"/>
        </w:rPr>
        <w:softHyphen/>
        <w:t>բաշխման համար:</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 xml:space="preserve">Իրականացվել են ուսումնական հաստատությունների վերակազմակերպման և օպտիմալացման աշխատանքներ. </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ՀՀ ԿԳՄՍ նախարարության «Տավուշի տարածաշրջանային պետական քոլեջ» ՊՈԱԿ-ը վերակազմավորվել է «Տավուշի Պատրիկ Տէվեճեան տարածաշրջանային քոլեջ» հիմնադրամի:</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ՀՀ ԿԳՄՍ նախարարության «Վանաձորի պետական գյուղատնտեսական քոլեջ» ՊՈԱԿ-ը միացվել է «Հայաստանի ազգային ագրարային համալսարան» հիմնադրամին:</w:t>
      </w:r>
    </w:p>
    <w:p w:rsidR="001C411D" w:rsidRPr="001F63BA" w:rsidRDefault="001C411D" w:rsidP="00B31A3E">
      <w:pPr>
        <w:spacing w:line="360" w:lineRule="auto"/>
        <w:ind w:firstLine="567"/>
        <w:jc w:val="both"/>
        <w:rPr>
          <w:rFonts w:ascii="GHEA Grapalat" w:hAnsi="GHEA Grapalat"/>
          <w:sz w:val="22"/>
          <w:szCs w:val="22"/>
        </w:rPr>
      </w:pPr>
      <w:r w:rsidRPr="001F63BA">
        <w:rPr>
          <w:rFonts w:ascii="GHEA Grapalat" w:hAnsi="GHEA Grapalat"/>
          <w:sz w:val="22"/>
          <w:szCs w:val="22"/>
        </w:rPr>
        <w:t xml:space="preserve">Կրթություն-աշխատաշուկա կապը բարելավելու նպատակով ԿԳՄՍ նախարարության և Գերմանական միջազգային համագործակցության ընկերության (GIZ) միջև համագործակցության շրջանակներում մեկնարկել են 2 ֆորմալ և 1 կարճաժամկետ դուալ ուսուցման ծրագրերի մշակման և 2022-2023 ուս. տարվանից ներդրման աշխատանքները։ </w:t>
      </w:r>
    </w:p>
    <w:p w:rsidR="001C411D" w:rsidRPr="001F63BA" w:rsidRDefault="001C411D" w:rsidP="00B31A3E">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նոյեմբերի 23-ին ԿԳՄՍ նախարարի N 79-Լ հրամանով հաստատվել են «Բարձրագույն ուսումնական հաստատությունների գործունեության կատարողականի արդյունքային </w:t>
      </w:r>
      <w:r w:rsidRPr="001F63BA">
        <w:rPr>
          <w:rFonts w:ascii="GHEA Grapalat" w:hAnsi="GHEA Grapalat"/>
          <w:sz w:val="22"/>
          <w:szCs w:val="22"/>
        </w:rPr>
        <w:lastRenderedPageBreak/>
        <w:t xml:space="preserve">ցուցանիշները (KPI)» և ծրագրային արդյունքներով ֆինանսավորման մեխանիզմները, դրանց կիրառման մեթոդական ուղեցույցը: </w:t>
      </w:r>
    </w:p>
    <w:p w:rsidR="001C411D" w:rsidRPr="001F63BA" w:rsidRDefault="001C411D" w:rsidP="00B31A3E">
      <w:pPr>
        <w:spacing w:line="360" w:lineRule="auto"/>
        <w:ind w:firstLine="567"/>
        <w:jc w:val="both"/>
        <w:rPr>
          <w:rFonts w:ascii="GHEA Grapalat" w:hAnsi="GHEA Grapalat"/>
          <w:sz w:val="22"/>
          <w:szCs w:val="22"/>
        </w:rPr>
      </w:pPr>
      <w:r w:rsidRPr="001F63BA">
        <w:rPr>
          <w:rFonts w:ascii="GHEA Grapalat" w:hAnsi="GHEA Grapalat"/>
          <w:sz w:val="22"/>
          <w:szCs w:val="22"/>
        </w:rPr>
        <w:t>Բուհերի ռազմավարական ծրագրերում սահմանվել են որակի բարելավմանն ուղղված արդիականացման հստակ ուղղություններ` հետազոտական բաղադրիչի ավելացմամբ: Մշակված և հաստատված որակավորումների ոլորտային շրջանակները ներկայացվել են բուհեր:</w:t>
      </w:r>
    </w:p>
    <w:p w:rsidR="001C411D" w:rsidRPr="001F63BA" w:rsidRDefault="001C411D" w:rsidP="00B31A3E">
      <w:pPr>
        <w:spacing w:line="360" w:lineRule="auto"/>
        <w:ind w:firstLine="567"/>
        <w:jc w:val="both"/>
        <w:rPr>
          <w:rFonts w:ascii="GHEA Grapalat" w:hAnsi="GHEA Grapalat"/>
          <w:sz w:val="22"/>
          <w:szCs w:val="22"/>
          <w:lang w:val="en-US"/>
        </w:rPr>
      </w:pPr>
      <w:r w:rsidRPr="001F63BA">
        <w:rPr>
          <w:rFonts w:ascii="GHEA Grapalat" w:hAnsi="GHEA Grapalat"/>
          <w:sz w:val="22"/>
          <w:szCs w:val="22"/>
        </w:rPr>
        <w:t>Կատարվել են անհրաժեշտ լաբորատորիաների ստեղծման համար անհրաժեշտ ռեսուրսների գնահատման աշխատանքներ։ Նախատեսվել է 100-ական տեղերով ավելացնել 2023/2024 ուսումնական տարիների բակալավրի կրթական ծրագրով հատկացվող անվճար տեղերի թիվը: Ավելացած տեղերը կհատկացվեն բնագիտատեխնիկական (STEM) ոլորտի մասնագիտություններին:</w:t>
      </w:r>
    </w:p>
    <w:p w:rsidR="001C411D" w:rsidRPr="001F63BA" w:rsidRDefault="001C411D" w:rsidP="00B55095">
      <w:pPr>
        <w:spacing w:line="360" w:lineRule="auto"/>
        <w:ind w:firstLine="567"/>
        <w:jc w:val="both"/>
        <w:rPr>
          <w:rFonts w:ascii="GHEA Grapalat" w:hAnsi="GHEA Grapalat"/>
          <w:sz w:val="22"/>
          <w:szCs w:val="22"/>
        </w:rPr>
      </w:pPr>
      <w:r w:rsidRPr="001F63BA">
        <w:rPr>
          <w:rFonts w:ascii="GHEA Grapalat" w:hAnsi="GHEA Grapalat"/>
          <w:sz w:val="22"/>
          <w:szCs w:val="22"/>
        </w:rPr>
        <w:t>Սփյուռքի հետ կրթության ոլորտում իրականացվել են մի շարք ծրագրեր՝ ուղղված սփյուռքում ուսումնական գործընթացին աջակցությանը, մասնագիտական հզորացմանը և Հայաստանի հետ կապի սերտացմանը: Մասնավորապես.</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Կազմակերպվել և անցկացվել է Համահայկական և համապետական կրթական խորհրդաժողովը.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Խորհրդաժողովին մասնակցել են 21 երկրների հայկական կրթական կառույցների, Հայաստանի և Արցախի կրթության ոլորտի շուրջ 100 կրթական պատասխանատուներ, որոնք հանդես են եկել զեկույցներով, մասնակցել են քննարկումների: Ընդունվել է բանաձև.</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Սփյուռքի կրթօջախների համար ձեռք է բերվել շուրջ 14.000 կտոր գրականություն, տրամադրվել է 130 կրթօջախի ընդամենը ավելի քան 36000 կտոր գրականություն.</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Հայաստանում վերապատրաստվել է 116 ուսուցիչ՝ 19 երկրից.</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ՀՀ մասնագիտական ուսումնական հաստատություններ դիմել և ընդունվել է թվով 1100-ից ավելի սփյուռքահայ, որից 70՝ պետական պատվերով.</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Հայաստանում կազմակերպվել և անցկացվել է Համահայկական մանկապատանեկան նկարչական մրցույթ-փառատոն, որին մասնակցել է 13 երկի ավելի քան 230 կրթօջախ.</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Հայաստանում անցկացվել է Համահայկական հայագիտական օլիմպիադա:</w:t>
      </w:r>
    </w:p>
    <w:p w:rsidR="001C411D" w:rsidRPr="001F63BA" w:rsidRDefault="001C411D" w:rsidP="00B55095">
      <w:pPr>
        <w:spacing w:line="360" w:lineRule="auto"/>
        <w:ind w:firstLine="567"/>
        <w:jc w:val="both"/>
        <w:rPr>
          <w:rFonts w:ascii="GHEA Grapalat" w:hAnsi="GHEA Grapalat"/>
          <w:sz w:val="22"/>
          <w:szCs w:val="22"/>
          <w:lang w:val="en-US"/>
        </w:rPr>
      </w:pPr>
      <w:r w:rsidRPr="001F63BA">
        <w:rPr>
          <w:rFonts w:ascii="GHEA Grapalat" w:hAnsi="GHEA Grapalat"/>
          <w:sz w:val="22"/>
          <w:szCs w:val="22"/>
        </w:rPr>
        <w:t>Իրականացվել է օտարերկրյա համալսարաններում հայերենի և այլ հայագիտական առարկաների դասավանդման ֆինանսական աջակցություն: Ֆինանսավորվել է 11 համալսարան 9 երկրում, իրականացվել է 3 գիտական հետազոտություն</w:t>
      </w:r>
      <w:r w:rsidRPr="001F63BA">
        <w:rPr>
          <w:rFonts w:ascii="GHEA Grapalat" w:hAnsi="GHEA Grapalat"/>
          <w:sz w:val="22"/>
          <w:szCs w:val="22"/>
          <w:lang w:val="en-US"/>
        </w:rPr>
        <w:t>:</w:t>
      </w:r>
    </w:p>
    <w:bookmarkEnd w:id="39"/>
    <w:bookmarkEnd w:id="40"/>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B31A3E">
      <w:pPr>
        <w:pStyle w:val="Heading2"/>
        <w:spacing w:before="0"/>
      </w:pPr>
      <w:bookmarkStart w:id="41" w:name="_Toc132204216"/>
      <w:r w:rsidRPr="001F63BA">
        <w:lastRenderedPageBreak/>
        <w:t>Գիտություն</w:t>
      </w:r>
      <w:bookmarkEnd w:id="41"/>
    </w:p>
    <w:p w:rsidR="001C411D" w:rsidRPr="001F63BA" w:rsidRDefault="001C411D" w:rsidP="004047E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rPr>
        <w:t xml:space="preserve"> Մրցունակ գիտական գործունեության համար նպաստավոր ենթակառուցվածքների զարգացում</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Գիտական ենթակառուցվածքների զարգացման, ինչպես նաև մրցունակ գիտական հետազոտություններ իրականացնելու նպատակով 2022 թվականին կազմակերպվել է Գիտության ոլորտում ենթակառուցվածքի, նյութատեխնիկական բազայի արդիականացման համար մրցույթ, որի արդյունքներով 15 գիտական կազմակերպություններին նյութատեխնիկական բազայի արդիականացման համար տրամադրվել է աննախադեպ շատ՝ 2</w:t>
      </w:r>
      <w:r w:rsidRPr="001F63BA">
        <w:rPr>
          <w:rFonts w:ascii="GHEA Grapalat" w:hAnsi="GHEA Grapalat"/>
          <w:sz w:val="22"/>
          <w:szCs w:val="22"/>
          <w:lang w:val="en-US"/>
        </w:rPr>
        <w:t>,</w:t>
      </w:r>
      <w:r w:rsidRPr="001F63BA">
        <w:rPr>
          <w:rFonts w:ascii="GHEA Grapalat" w:hAnsi="GHEA Grapalat"/>
          <w:sz w:val="22"/>
          <w:szCs w:val="22"/>
        </w:rPr>
        <w:t>932</w:t>
      </w:r>
      <w:r w:rsidRPr="001F63BA">
        <w:rPr>
          <w:rFonts w:ascii="GHEA Grapalat" w:hAnsi="GHEA Grapalat"/>
          <w:sz w:val="22"/>
          <w:szCs w:val="22"/>
          <w:lang w:val="en-US"/>
        </w:rPr>
        <w:t>.5 մլն</w:t>
      </w:r>
      <w:r w:rsidRPr="001F63BA">
        <w:rPr>
          <w:rFonts w:ascii="GHEA Grapalat" w:hAnsi="GHEA Grapalat"/>
          <w:sz w:val="22"/>
          <w:szCs w:val="22"/>
        </w:rPr>
        <w:t xml:space="preserve"> դրամ (թվով 28 հայտ): </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միջազգային գործընկերության աշխարհագրության ընդլայնման, ինչպես նաև համագործակցային կապերի հաստատման նպատակով շարունակվել են հայ-գերմանական «ՀՀ ԿԳՄՍՆ ԳԿ – ԳԿՀԴՆ - 2022», հայ-բելառուսական «ՀՀ ԿԳՄՍՆ ԳԿ – ԲՀ ԳՏՊԿ - 2021» ծրագրերի աջակցության ֆինանսավորումը՝ 12 կամ 24 ամիս տևողությամբ, իսկ 2022 թվականի ապրիլին ՀՀ գիտության կոմիտեի և Իտալիայի Հանրապետության ազգային հետազոտությունների խորհրդի միջև ստորագրված «Գիտության և տեխնոլոգիաների ոլորտներում համագործակցության մասին» մտադրությունների հուշագրի շրջանակներում կազմակերպվել է հայ-իտալական համատեղ թեմաների աջակցության «ՀՀ ԿԳՄՍՆ ԳԿ – ԻՀ ԱՀԽ - 2023» մրցույթ, որի արդյունքներով 2023 թվականի փետրվար ամսից ֆինանսավորման են երաշխավորվել մինչև 10 անձից բաղկացած 8 գիտական խմբեր 12 կամ 24 ամիս տևողությամբ: Հայաստանյան գիտական խմբի տարեկան ֆինանսավորման առավելագույն ծավալը կազմում է 2</w:t>
      </w:r>
      <w:r w:rsidRPr="001F63BA">
        <w:rPr>
          <w:rFonts w:ascii="GHEA Grapalat" w:hAnsi="GHEA Grapalat"/>
          <w:sz w:val="22"/>
          <w:szCs w:val="22"/>
          <w:lang w:val="en-US"/>
        </w:rPr>
        <w:t>.5 մլն</w:t>
      </w:r>
      <w:r w:rsidRPr="001F63BA">
        <w:rPr>
          <w:rFonts w:ascii="GHEA Grapalat" w:hAnsi="GHEA Grapalat"/>
          <w:sz w:val="22"/>
          <w:szCs w:val="22"/>
        </w:rPr>
        <w:t xml:space="preserve"> դրամ:</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հոկտեմբերի 20-ին ՀՀ գիտության կոմիտեի և Վրաստանի Շոթա Ռուսթավելիի անվան գիտության ազգային հիմնադրամի միջև ստորագրվել է «Գիտության և տեխնոլոգիաների ոլորտներում համագործակցության մասին» մտադրությունների հուշագիր, որի շրջանակներում 2023 թվականին հայտարարվելու է հայ-վրացական մրցույթ:</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օգոստոսին «Գիտական և նորարարական գործընկերությանն աջակցման կենտրոն» հիմնադրամի և Գերմանական միջազգային համագործակցության ընկերության (GIZ) կողմից համատեղ հայտարարված մրցույթի երկրորդ փուլի արդյունքներով «Հորիզոն Եվրոպա» ծրագրի 5 պոտենցիալ հայտատուներ ստացել են միջազգային փորձագետների կողմից անցկացվող 4-ամսյա տևողությամբ ուսուցողական նիստերի և անհատական խորհրդատվությունների մասնակցության հնարավորություն:</w:t>
      </w:r>
    </w:p>
    <w:p w:rsidR="001C411D" w:rsidRPr="001F63BA" w:rsidRDefault="001C411D" w:rsidP="004047ED">
      <w:pPr>
        <w:spacing w:line="360" w:lineRule="auto"/>
        <w:ind w:firstLine="567"/>
        <w:jc w:val="both"/>
        <w:rPr>
          <w:rFonts w:ascii="GHEA Grapalat" w:hAnsi="GHEA Grapalat"/>
          <w:sz w:val="22"/>
          <w:szCs w:val="22"/>
          <w:lang w:val="en-US"/>
        </w:rPr>
      </w:pPr>
      <w:r w:rsidRPr="001F63BA">
        <w:rPr>
          <w:rFonts w:ascii="GHEA Grapalat" w:hAnsi="GHEA Grapalat"/>
          <w:sz w:val="22"/>
          <w:szCs w:val="22"/>
        </w:rPr>
        <w:lastRenderedPageBreak/>
        <w:t xml:space="preserve">«Հորիզոն Եվրոպա» ծրագրի շրջանակներում 2021-2022 թվականների ընթացքում ՀՀ պատկանող կազմակերպությունների կողմից ներգրավվել </w:t>
      </w:r>
      <w:r w:rsidRPr="001F63BA">
        <w:rPr>
          <w:rFonts w:ascii="GHEA Grapalat" w:hAnsi="GHEA Grapalat"/>
          <w:sz w:val="22"/>
          <w:szCs w:val="22"/>
          <w:lang w:val="en-US"/>
        </w:rPr>
        <w:t>են</w:t>
      </w:r>
      <w:r w:rsidRPr="001F63BA">
        <w:rPr>
          <w:rFonts w:ascii="GHEA Grapalat" w:hAnsi="GHEA Grapalat"/>
          <w:sz w:val="22"/>
          <w:szCs w:val="22"/>
        </w:rPr>
        <w:t xml:space="preserve"> 2,729,236.25 եվրո դրամաշնորհային միջոցներ:</w:t>
      </w:r>
    </w:p>
    <w:p w:rsidR="001C411D" w:rsidRPr="001F63BA" w:rsidRDefault="001C411D" w:rsidP="004047ED">
      <w:pPr>
        <w:spacing w:line="360" w:lineRule="auto"/>
        <w:ind w:firstLine="567"/>
        <w:jc w:val="both"/>
        <w:rPr>
          <w:rFonts w:ascii="GHEA Grapalat" w:hAnsi="GHEA Grapalat"/>
          <w:sz w:val="22"/>
          <w:szCs w:val="22"/>
          <w:lang w:val="en-US"/>
        </w:rPr>
      </w:pPr>
    </w:p>
    <w:p w:rsidR="001C411D" w:rsidRPr="001F63BA" w:rsidRDefault="001C411D" w:rsidP="004047E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rPr>
        <w:t>Գիտության ոլորտում աշխատողների որակավորման բարձրացում և երիտասարդ կադրերի ներգրավում</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գիտության ոլորտ երիտասարդ կադրերի ներգրավման, գիտական և գիտատեխնիկական ոլորտում գիտության հասարակական վարկի բարձրացմանը նպաստելու նպատակով շարունակվել է «Ասպիրանտների և երիտասարդ հայցորդների հետազոտությունների աջակցության ծրագիր-2021» մրցույթի շրջանակներում ֆինանսավորման երաշխավորված 29 գիտական թեմաների ֆինանսավորումը՝ 12 կամ 36 ամիս տևողությամբ: 2022 թվականին շարունակվել են նաև նոր գիտական խմբերի ու լաբորատորիաների ստեղծման, ինչպես նաև արդեն իսկ գործող գիտական լաբորատորիաների կամ բաժինների ամրապնդման նպատակով 2021 թվականին ամփոփված Գիտական խմբերի մեկնարկի կամ լաբորատորիաների (բաժինների) ամրապնդմանն աջակցության դրամաշնորհային ծրագրերի ֆինանսավորումը` (2020 թվականին՝ 19 ծրագիր և 2021 թվականին՝ 16 ծրագիր) 36 ամիս տևողությամբ, 2021 թվականին ամփոփված պայմանագրային (թեմատիկ) հետազոտությունների մրցույթի շրջանակներում ֆինանսավորման երաշխավորված 224 գիտական թեմաների ֆինանսավորումը՝ 12-ից մինչև 36 ամիս տևողությամբ, ինչպես նաև ամենախոշոր պետական գիտական դրամաշնորհային ծրագրերից մեկի՝ առաջատար հետազոտությունների աջակցության գիտական թեմաների hայտերի ընտրության մրցույթի շրջանակներում ֆինանսավորման երաշխավորված 49 գիտական խմբերի ֆինանսավորումը՝ մինչև 60 ամիս (3+2 տարի) տևողությամբ, 150,000.0 հազ. դրամ ծավալով ողջ տևողության համար: </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կազմակերպվել է «Ասպիրանտների և երիտասարդ հայցորդների հետազոտությունների աջակցության ծրագիր-2022» մրցույթ, որի արդյունքներով 2022 թվականի հոկտեմբեր ամսից արտերկրում լավագույն ասպիրանտական կրթության կազմակերպման նպատակով ֆինանսավորման են երաշխավորվել 26 ասպիրանտների և հայցորդների հետազոտական ծրագրեր՝ 12 կամ 36 ամիս տևողությամբ, ինչպես նաև «Երիտասարդ գիտաշխատողների հետազոտությունների աջակցության ծրագիր-2022» մրցույթ, որի արդյունքներով 2022 թվականի հոկտեմբեր ամսից ֆինանսավորման են երաշխավորվել երիտասարդ (մինչև 35 տարեկան) գիտաշխատողների 2-4 անձից բաղկացած 37 գիտահետազոտական խմբերը՝ 12 կամ 24 ամիս տևողությամբ:</w:t>
      </w:r>
    </w:p>
    <w:p w:rsidR="001C411D" w:rsidRPr="001F63BA" w:rsidRDefault="001C411D" w:rsidP="004047ED">
      <w:pPr>
        <w:spacing w:line="360" w:lineRule="auto"/>
        <w:ind w:firstLine="567"/>
        <w:jc w:val="both"/>
        <w:rPr>
          <w:rFonts w:ascii="GHEA Grapalat" w:hAnsi="GHEA Grapalat"/>
          <w:sz w:val="22"/>
          <w:szCs w:val="22"/>
          <w:lang w:val="en-US"/>
        </w:rPr>
      </w:pPr>
      <w:r w:rsidRPr="001F63BA">
        <w:rPr>
          <w:rFonts w:ascii="GHEA Grapalat" w:hAnsi="GHEA Grapalat"/>
          <w:sz w:val="22"/>
          <w:szCs w:val="22"/>
        </w:rPr>
        <w:lastRenderedPageBreak/>
        <w:t>2022 թվականին նորավարտ հետազոտողների համար ինքնուրույն աշխատանքի և առավել առաջատար խնդիրների վրա աշխատելու փորձառության ձևավորման նպատակով հայտարարվել է Գիտական կադրերի (PhD, PostDoc) վերապատրաստման ծրագրերի հայտերի ընտրության մրցույթ, որն իրականացվելու է երկու փուլով՝ երիտասարդ գիտնականների վերապատրաստման (PostDoc) ծրագիր՝ նախատեսելով յուրաքանչյուր տարի 6-36 ամսով 12 երիտասարդ գիտնականների վերապատրաստում (PostDoc), և նպատակային ասպիրանտական ուսուցման (PHD abroad) ծրագիր՝ նախատեսելով յուրաքանչյուր տարի 6-36 ամսով 24 ասպիրանտների (PHD) նպատակային ուսուցման կազմակերպում աշխարհի լավագույն գիտական կազմակերպություններում՝ ՀՀ գիտության և տեխնիկայի գերակա ուղղություններին համապատասխան։ Մրցույթի ամփոփումն ու ֆինանսավորումը նախատեսված է 2023 թվականին:</w:t>
      </w:r>
    </w:p>
    <w:p w:rsidR="001C411D" w:rsidRPr="001F63BA" w:rsidRDefault="001C411D" w:rsidP="004047ED">
      <w:pPr>
        <w:spacing w:line="360" w:lineRule="auto"/>
        <w:ind w:firstLine="567"/>
        <w:jc w:val="both"/>
        <w:rPr>
          <w:rFonts w:ascii="GHEA Grapalat" w:hAnsi="GHEA Grapalat"/>
          <w:sz w:val="22"/>
          <w:szCs w:val="22"/>
          <w:lang w:val="en-US"/>
        </w:rPr>
      </w:pPr>
    </w:p>
    <w:p w:rsidR="001C411D" w:rsidRPr="001F63BA" w:rsidRDefault="001C411D" w:rsidP="0020259D">
      <w:pPr>
        <w:spacing w:line="360" w:lineRule="auto"/>
        <w:ind w:firstLine="567"/>
        <w:jc w:val="both"/>
        <w:rPr>
          <w:rFonts w:ascii="GHEA Grapalat" w:hAnsi="GHEA Grapalat"/>
          <w:sz w:val="22"/>
          <w:szCs w:val="22"/>
          <w:u w:val="single"/>
          <w:lang w:val="en-US"/>
        </w:rPr>
      </w:pPr>
      <w:r w:rsidRPr="001F63BA">
        <w:rPr>
          <w:rFonts w:ascii="GHEA Grapalat" w:hAnsi="GHEA Grapalat"/>
          <w:sz w:val="22"/>
          <w:szCs w:val="22"/>
          <w:u w:val="single"/>
        </w:rPr>
        <w:t>Գիտության ոլորտում պետական ֆինանսավորման արդյունավետության բարձրացում</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իրականացվել է ՀՀ պետական բյուջեի գիտական և գիտատեխնիկական գործունեության բազային ֆինանսավորման ծրագրերում ընդգրկված գիտական կադրերի աշխատավարձերի նորմավորման գործընթացը՝ համաձայն ՀՀ կառավարության 2021 թվականի մայիսի 13-ի «Հայաստանի Հանրապետության կառավարության 2001 թվականի նոյեմբերի 17-ի N</w:t>
      </w:r>
      <w:r w:rsidRPr="001F63BA">
        <w:rPr>
          <w:rFonts w:ascii="Courier New" w:hAnsi="Courier New" w:cs="Courier New"/>
          <w:sz w:val="22"/>
          <w:szCs w:val="22"/>
          <w:lang w:val="en-US"/>
        </w:rPr>
        <w:t> </w:t>
      </w:r>
      <w:r w:rsidRPr="001F63BA">
        <w:rPr>
          <w:rFonts w:ascii="GHEA Grapalat" w:hAnsi="GHEA Grapalat"/>
          <w:sz w:val="22"/>
          <w:szCs w:val="22"/>
        </w:rPr>
        <w:t>1121 որոշման մեջ փոփոխություններ և լրացումներ կատարելու մասին» N 747-Լ որոշմամբ ներդրված 2022-2025 թվականների բազային ֆինանսավորման ծրագրերում ընդգրկված գիտական կադրերի նվազագույն պաշտոնային դրույքաչափի հաշվարկման գործակիցների աղյուսակի և 2021 թվականին գիտական անձնակազմի ատեստավորման արդյունքների:</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օտարերկրյա պետություններում բնակվող հայ մասնագետների ներգրավման, հայաստանյան գիտնականների շարժունության ապահովման նպատակով կազմակերպվել է «ՀՀ գիտական համայնքին արտերկրի գիտնականների ինտեգրմանն աջակցության ծրագիր» միջազգային մրցույթ, որի արդյունքում 2022 թվականի հոկտեմբեր ամսից ֆինանսավորման են երաշխավորվել Սփյուռքից Հայաստան տեղափոխված 4 և ՌԴ-ից Հայաստան տեղափոխված 1 գիտնականների գիտական թեմաներ՝ 60 ամիս (3+2 տարի) տևողությամբ, 175 միլիոն ՀՀ դրամ ծավալով ողջ տևողության համար: </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հեռավար լաբորատորիաների ստեղծման, Սփյուռքի գիտական ներուժի ներգրավման, ՀՀ-ում իրականացվող հետազոտությունների մակարդակի բարձրացման նպատակով կազմակերպվել է «Հեռավար լաբորատորիաների հիմնադրման ծրագիր» (ARPI) մրցույթ: Մրցույթի արդյունքում յուրաքանչյուր ծրագրին 5 տարվա համար հատկացվում է մինչև 152.5 միլիոն ՀՀ դրամ (շուրջ 350 հազար եվրո), որի մեջ մտնում է նաև որոշակի բաժին լաբորատոր (աշխատանքային) </w:t>
      </w:r>
      <w:r w:rsidRPr="001F63BA">
        <w:rPr>
          <w:rFonts w:ascii="GHEA Grapalat" w:hAnsi="GHEA Grapalat"/>
          <w:sz w:val="22"/>
          <w:szCs w:val="22"/>
        </w:rPr>
        <w:lastRenderedPageBreak/>
        <w:t xml:space="preserve">միջավայրի բարեկարգման համար: Մրցույթի արդյունքներով ֆինանսավորման են երաշխավորվել 11 երկրներից 18 գիտնականների ներկայացրած թեմաներ (գիտնականներից՝ 9-ը հայազգի չեն, իսկ ՀՀ-ում հիմնադրվող ստորաբաժանումների ղեկավարներից 9-ը կանայք են): </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երկրի տնտեսության պահանջներից բխող, ինչպես նաև երկակի նշանակության բարձր տեխնոլոգիական մրցունակ արտադրանքի ստեղծմանն ուղղված հետազոտությունների խթանման նպատակով շարունակվել է 2021 թվականին ամփոփված</w:t>
      </w:r>
      <w:r w:rsidRPr="001F63BA">
        <w:rPr>
          <w:rFonts w:ascii="GHEA Grapalat" w:hAnsi="GHEA Grapalat"/>
          <w:sz w:val="22"/>
          <w:szCs w:val="22"/>
          <w:lang w:val="en-US"/>
        </w:rPr>
        <w:t>՝</w:t>
      </w:r>
      <w:r w:rsidRPr="001F63BA">
        <w:rPr>
          <w:rFonts w:ascii="GHEA Grapalat" w:hAnsi="GHEA Grapalat"/>
          <w:sz w:val="22"/>
          <w:szCs w:val="22"/>
        </w:rPr>
        <w:t xml:space="preserve"> </w:t>
      </w:r>
      <w:r w:rsidRPr="001F63BA">
        <w:rPr>
          <w:rFonts w:ascii="GHEA Grapalat" w:hAnsi="GHEA Grapalat"/>
          <w:sz w:val="22"/>
          <w:szCs w:val="22"/>
          <w:lang w:val="en-US"/>
        </w:rPr>
        <w:t>ե</w:t>
      </w:r>
      <w:r w:rsidRPr="001F63BA">
        <w:rPr>
          <w:rFonts w:ascii="GHEA Grapalat" w:hAnsi="GHEA Grapalat"/>
          <w:sz w:val="22"/>
          <w:szCs w:val="22"/>
        </w:rPr>
        <w:t>րկակի նշանակության ծրագրերի աջակցության գիտական թեմաների հայտերի ընտրության մրցույթի արդյունքում ֆինանսավորման երաշխավորված 12 գիտական թեմաների ֆինանսավորումը 12 կամ 24 ամիս տևողությամբ: Մրցույթը շարունակական է</w:t>
      </w:r>
      <w:r w:rsidRPr="001F63BA">
        <w:rPr>
          <w:rFonts w:ascii="GHEA Grapalat" w:hAnsi="GHEA Grapalat"/>
          <w:sz w:val="22"/>
          <w:szCs w:val="22"/>
          <w:lang w:val="en-US"/>
        </w:rPr>
        <w:t>,</w:t>
      </w:r>
      <w:r w:rsidRPr="001F63BA">
        <w:rPr>
          <w:rFonts w:ascii="GHEA Grapalat" w:hAnsi="GHEA Grapalat"/>
          <w:sz w:val="22"/>
          <w:szCs w:val="22"/>
        </w:rPr>
        <w:t xml:space="preserve"> և 2022 թվականին նույնպես կազմակերպվել է </w:t>
      </w:r>
      <w:r w:rsidRPr="001F63BA">
        <w:rPr>
          <w:rFonts w:ascii="GHEA Grapalat" w:hAnsi="GHEA Grapalat"/>
          <w:sz w:val="22"/>
          <w:szCs w:val="22"/>
          <w:lang w:val="en-US"/>
        </w:rPr>
        <w:t>ե</w:t>
      </w:r>
      <w:r w:rsidRPr="001F63BA">
        <w:rPr>
          <w:rFonts w:ascii="GHEA Grapalat" w:hAnsi="GHEA Grapalat"/>
          <w:sz w:val="22"/>
          <w:szCs w:val="22"/>
        </w:rPr>
        <w:t xml:space="preserve">րկակի նշանակության ծրագրերի աջակցության գիտական թեմաների հայտերի ընտրության մրցույթ, որի արդյունքներով 2023 թվականի փետրվար ամսից ֆինանսավորման են երաշխավորվել 6 գիտական թեմաներ 12 կամ 24 ամիս տևողությամբ: </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շարունակվել է 2021 թվականին ամփոփված Կիրառական արդյունքի ձեռքբերմանն ուղղված գիտական նախագծերի հայտերի մրցույթի արդյունքում ֆինանսավորման երաշխավորված 13 նախագծերի ֆինանսավորումը՝ 24 ամիս տևողությամբ, իսկ 2022 թվականին արտադրության մեջ գիտական հետազոտությունների արդյունքների կիրառման ու գիտական և գիտատեխնիկական գործունեության սոցիալ-տնտեսական ազդեցության աճի, բնական, բժշկական, գյուղատնտեսական գիտությունների և ճարտարագիտության բնագավառում կիրառելի մշակումների իրականացման, ինչպես նաև գիտության և բիզնեսի միջև կապերի ձևավորման նպատակով կազմակերպվել է </w:t>
      </w:r>
      <w:r w:rsidRPr="001F63BA">
        <w:rPr>
          <w:rFonts w:ascii="GHEA Grapalat" w:hAnsi="GHEA Grapalat"/>
          <w:sz w:val="22"/>
          <w:szCs w:val="22"/>
          <w:lang w:val="en-US"/>
        </w:rPr>
        <w:t>փ</w:t>
      </w:r>
      <w:r w:rsidRPr="001F63BA">
        <w:rPr>
          <w:rFonts w:ascii="GHEA Grapalat" w:hAnsi="GHEA Grapalat"/>
          <w:sz w:val="22"/>
          <w:szCs w:val="22"/>
        </w:rPr>
        <w:t xml:space="preserve">որձարարական մշակումների նախագծերի (Experimental development projects) հայտերի ընտրության մրցույթ, որը փոխարինելու է նախորդ տարիներին ՀՀ գիտության կոմիտեի կողմից կազմակերպված </w:t>
      </w:r>
      <w:r w:rsidRPr="001F63BA">
        <w:rPr>
          <w:rFonts w:ascii="GHEA Grapalat" w:hAnsi="GHEA Grapalat"/>
          <w:sz w:val="22"/>
          <w:szCs w:val="22"/>
          <w:lang w:val="en-US"/>
        </w:rPr>
        <w:t>կ</w:t>
      </w:r>
      <w:r w:rsidRPr="001F63BA">
        <w:rPr>
          <w:rFonts w:ascii="GHEA Grapalat" w:hAnsi="GHEA Grapalat"/>
          <w:sz w:val="22"/>
          <w:szCs w:val="22"/>
        </w:rPr>
        <w:t>իրառական արդյունքի ձեռքբերմանն ուղղված մրցույթներին, այն հիմնական տարբերությամբ, որ նախագծերն ավարտին պետք է ունենան որոշակի տեխնոլոգիաների պատրաստիության մակարդակ (ՏՊՄ, TRL): Մրցույթի շրջանակներում ներկայացվել է 11 հայտ: Մրցույթի ամփոփումն ու ֆինանսավորումը նախատեսված է 2023 թվականին:</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թվականից սկսել է գործել առցանց ռեժիմով բոլոր մակարդակներում` անհատ հետազոտողից մինչև գիտական կազմակերպություն, արդյունավետության մշտադիտարկման համար կայքը։ </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42" w:name="_Toc132204217"/>
      <w:r w:rsidRPr="001F63BA">
        <w:lastRenderedPageBreak/>
        <w:t>Մշակույթ</w:t>
      </w:r>
      <w:bookmarkEnd w:id="42"/>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Մշակութային ժառանգության ծրագրի շրջանակներում շարունակվել են պահպանության և հանրահռչակման աշխատանքները` ուղղված ՀՀ տարածքում և արտերկրում գտնվող մշակութային արժեքների և պատմամշակութային հուշարձանների հաշվառմանն ու գիտական ուսումնասիրու</w:t>
      </w:r>
      <w:r w:rsidRPr="001F63BA">
        <w:rPr>
          <w:rFonts w:ascii="GHEA Grapalat" w:hAnsi="GHEA Grapalat"/>
          <w:sz w:val="22"/>
          <w:szCs w:val="22"/>
          <w:lang w:val="en-US"/>
        </w:rPr>
        <w:t>-</w:t>
      </w:r>
      <w:r w:rsidRPr="001F63BA">
        <w:rPr>
          <w:rFonts w:ascii="GHEA Grapalat" w:hAnsi="GHEA Grapalat"/>
          <w:sz w:val="22"/>
          <w:szCs w:val="22"/>
        </w:rPr>
        <w:t>թյունների իրականացմանը, նյութական և ոչ նյութական մշակութային ժառանգության անխաթար պահպանմանը, վերականգնմանը: Թանգարաններում իրականացվել են պատմամշակութային ժառանգության ուսումնասիրման շուրջ գիտահետազոտական աշխատանքներ և դրանց հանրայնացմանն ու հանրահռչակմանն ուղղված ցուցադրություններ, գիտաժողովներ և դասախոսություններ:</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Բարերարների հետ կնքված համագործակցության հուշագրերի շրջանակներում ամրակայվել, նորոգվել և վերականգնվել են Գեղարքունիքի մարզի Ծաղկունք բնակավայրի Սբ Հարություն եկեղեցին, Մեղրիի Սբ Հովհաննես եկեղեցու պարսպապատը, շարունակվում են Երևան քաղաքի «Կարմիր» կամրջի և ՀՀ Տավուշի մարզի Չորաթան գյուղի Սբ Հռիփսիմե եկեղեցու վերականգնման նախապատրաստական աշխատանքները: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բարերարների կողմից վերականգնվել է 3 հուշարձան</w:t>
      </w:r>
      <w:r w:rsidRPr="001F63BA">
        <w:rPr>
          <w:rFonts w:ascii="GHEA Grapalat" w:hAnsi="GHEA Grapalat"/>
          <w:sz w:val="22"/>
          <w:szCs w:val="22"/>
          <w:lang w:val="en-US"/>
        </w:rPr>
        <w:t>,</w:t>
      </w:r>
      <w:r w:rsidRPr="001F63BA">
        <w:rPr>
          <w:rFonts w:ascii="GHEA Grapalat" w:hAnsi="GHEA Grapalat"/>
          <w:sz w:val="22"/>
          <w:szCs w:val="22"/>
        </w:rPr>
        <w:t xml:space="preserve"> ավարտվել են Սյունիքի մարզի Լեռնաձոր գյուղի Սբ Աստվածածին եկեղեցու և շարունակվել են Կոտայքի մարզի Սոլակ գյուղի Մայրավանք վանական համալիրի վերականգնման աշխատանքները, նախապատրաստվել է վերականգնման Արագածոտնի մարզի Թալինի Կաթողիկե եկեղեցին: ՀՀ կառավարության 2022 թվականի մայիսի 26-ի N 731-Ն որոշմամբ ստեղծվել է «Աղձք» պատմամշակութային արգելոցը: </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Գրահրատարակչության և գրադարանների ծրագրի շրջանակում իրականացվող ծրագրերն ուղղվել են գրականության զարգացմանն ու տարածմանը, տպագիր արտադրանքի միջոցով հոգևոր-մշակութային ժառանգության փոխանցմանը, ինչպես նաև արտերկրի գրադարանները հայ գրականությամբ համալրելու աշխատանքները։ ԿԳՄՍ նախարարության ենթակայության 12 գրադարանում իրականացվել են կրթամշակութային միջոցառումներ՝ ապահովելով հանրության բոլոր շերտերի համար ոչ ֆորմալ կրթական և ինտելեկտուալ ժամանցի միջավայր, իրականացվել են կրթական ծրագրեր:</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Աջակցություն է տրամադրվել արտերկրի մի շարք հրատարակչությունների՝ հայ դասական և ժամանակակից գրականությունը թարգմանաբար հրատարակելու համար:</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 xml:space="preserve">Ապահովվել է ՀՀ տարածքում բնակվող ազգային փոքրամասնությունների համար լույս տեսնող լրատվամիջոցների և պարբերականների գործունեության շարունակականությունը, հանրապետական գրական ծրագրերի կազմակերպումը, գրադարանների հավաքածուների </w:t>
      </w:r>
      <w:r w:rsidRPr="001F63BA">
        <w:rPr>
          <w:rFonts w:ascii="GHEA Grapalat" w:hAnsi="GHEA Grapalat"/>
          <w:sz w:val="22"/>
          <w:szCs w:val="22"/>
        </w:rPr>
        <w:lastRenderedPageBreak/>
        <w:t>համալրումն ու պահպանումը, ժամանակակից տեղեկատվական տեխնոլոգիաների կիրառմամբ գրավոր ժառանգության (անձեռնմխելի հավաքածուներ) թվայնացումը, տեղեկատվական շտեմարանների շարունակական զարգացումը, ոլորտի մասնագետների վերապատրաստումը, միջազգային համագործակցության ընդլայնումը, մատենագիտական տվյալների կազմումն ու հրապարակումը, հանրությանը մատուցվող ծառայությունների որակի բարձրացումը: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Կինեմատոգրաֆիայի ծրագրի շրջանակներում իրականացվող գործընթացներն ուղղվել են խաղարկային, մուլտիպլիկացիոն և վավերագրական կինոնկարների արտադրության</w:t>
      </w:r>
      <w:r w:rsidRPr="001F63BA">
        <w:rPr>
          <w:rFonts w:ascii="GHEA Grapalat" w:hAnsi="GHEA Grapalat"/>
          <w:sz w:val="22"/>
          <w:szCs w:val="22"/>
          <w:lang w:val="en-US"/>
        </w:rPr>
        <w:t>ն</w:t>
      </w:r>
      <w:r w:rsidRPr="001F63BA">
        <w:rPr>
          <w:rFonts w:ascii="GHEA Grapalat" w:hAnsi="GHEA Grapalat"/>
          <w:sz w:val="22"/>
          <w:szCs w:val="22"/>
        </w:rPr>
        <w:t xml:space="preserve"> աջակցմանը, կինո-ֆոտո-ֆոնո հավաքածուի պահպանմանը, վերականգնմանն ու թվայնացմանը, միջազգային համագործակցության ընդլայնմանը, մրցունակ նախագծերի ստեղծմանն ու միջազգային կինոգործընթացներին ինտեգրմանն աջակցմանը, կինոարվեստի հանրահռչակմանը, տարածմանը, մատչելիության ապահովմանը, հայկական կինոյի ավանդույթների շարունակականության ապահովմանը: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Արվեստների ծրագրի շրջանակներում իրականացվող ծրագրերը նպատակաուղղված են ոլորտի կազմակերպություններում մարքեթինգի, սեգմենտացիայի, թիրախավորման, գիտելիքների և ռեսուրսների ձևավորմանը, մշակութային հաստատություններում ֆոնդահայթայթման կարողությունների և մեխանիզմների ստեղծմանը, պրոդյուսերների և տնօրենների ինստիտուտների կայացմանը և ամրապնդմանը, մշակույթի մեկենասության ինստիտուտի ներդրմանը և կայացմանը, մեկենասի հանրային վարկանիշի ձևավորմանը։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Մշակութային և գեղագիտական դաստիարակության ծրագիրը նպատակաուղղված է գեղարվեստական կրթության որակի և գեղագիտական դաստիարակության մատչելիության ապահովմանը, մշակույթի ոլորտի կադրերի պատրաստմանը, վերապատրաստմանը, համակարգի կատարելագործմանը, մասնագետների կրթության շարունակականության ապահովմանը, մշակութային-կրթական ծառայությունների որակի բարձրացմանը, ՀՀ ապագա քաղաքացիների ձևավորմանը նպաստող արժեքահեն</w:t>
      </w:r>
      <w:r w:rsidRPr="001F63BA">
        <w:rPr>
          <w:rFonts w:ascii="GHEA Grapalat" w:hAnsi="GHEA Grapalat"/>
          <w:sz w:val="22"/>
          <w:szCs w:val="22"/>
          <w:lang w:val="en-US"/>
        </w:rPr>
        <w:t>ք</w:t>
      </w:r>
      <w:r w:rsidRPr="001F63BA">
        <w:rPr>
          <w:rFonts w:ascii="GHEA Grapalat" w:hAnsi="GHEA Grapalat"/>
          <w:sz w:val="22"/>
          <w:szCs w:val="22"/>
        </w:rPr>
        <w:t xml:space="preserve"> և մշակութահեն</w:t>
      </w:r>
      <w:r w:rsidRPr="001F63BA">
        <w:rPr>
          <w:rFonts w:ascii="GHEA Grapalat" w:hAnsi="GHEA Grapalat"/>
          <w:sz w:val="22"/>
          <w:szCs w:val="22"/>
          <w:lang w:val="en-US"/>
        </w:rPr>
        <w:t>ք</w:t>
      </w:r>
      <w:r w:rsidRPr="001F63BA">
        <w:rPr>
          <w:rFonts w:ascii="GHEA Grapalat" w:hAnsi="GHEA Grapalat"/>
          <w:sz w:val="22"/>
          <w:szCs w:val="22"/>
        </w:rPr>
        <w:t xml:space="preserve"> նպատակային ծրագրերի իրականացմանը: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Մարզերի մշակութային զարգացման ծրագրի շրջանակներում իրականացվող գործընթացներն ուղղվել են մարզերում մշակութային կյանքի և մշակութաստեղծ գործունեության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մշակույթի և ազատ ժամանցի կազմակերպմանը, համայնքային ենթակայության մշակույթի տներում և կենտրոններում ստեղծագործական ծրագրերի և նախագծերի աջակցմանը: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43" w:name="_Toc132204218"/>
      <w:r w:rsidRPr="001F63BA">
        <w:lastRenderedPageBreak/>
        <w:t>Սպորտ</w:t>
      </w:r>
      <w:bookmarkEnd w:id="43"/>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Շարունակվել են պաշտոնական մրցաշարերում բարձր նվաճումներ ցուցաբերած մարզիկների, մարզիչների ու բժիշկների դրամական խրախուսումը, հեղինակավոր խոշոր միջազգային միջոցառումներին մասնակցության ֆինանսավորումը, հակադոպինգային հսկողության ծրագրերի իրականացումը, ադապտիվ սպորտով զբաղվող մարզական կազմակերպություններին պետական աջակցության գործընթացը:</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2022 թվ</w:t>
      </w:r>
      <w:r w:rsidR="00FF639B" w:rsidRPr="001F63BA">
        <w:rPr>
          <w:rFonts w:ascii="GHEA Grapalat" w:hAnsi="GHEA Grapalat"/>
          <w:sz w:val="22"/>
          <w:szCs w:val="22"/>
        </w:rPr>
        <w:t xml:space="preserve">ականի հունիսի 9-ին ընդունվել է </w:t>
      </w:r>
      <w:r w:rsidRPr="001F63BA">
        <w:rPr>
          <w:rFonts w:ascii="GHEA Grapalat" w:hAnsi="GHEA Grapalat"/>
          <w:sz w:val="22"/>
          <w:szCs w:val="22"/>
        </w:rPr>
        <w:t>«Հայաստանի Հանրապետության կառավարության 2015 թվականի օգոստոսի 13-ի № 925-Ն որոշման մեջ փոփոխություն կատարելու մասին»</w:t>
      </w:r>
      <w:r w:rsidR="00FF639B" w:rsidRPr="001F63BA">
        <w:rPr>
          <w:rFonts w:ascii="GHEA Grapalat" w:hAnsi="GHEA Grapalat"/>
          <w:sz w:val="22"/>
          <w:szCs w:val="22"/>
          <w:lang w:val="en-US"/>
        </w:rPr>
        <w:t xml:space="preserve"> ՀՀ կ</w:t>
      </w:r>
      <w:r w:rsidR="00FF639B" w:rsidRPr="001F63BA">
        <w:rPr>
          <w:rFonts w:ascii="GHEA Grapalat" w:hAnsi="GHEA Grapalat"/>
          <w:sz w:val="22"/>
          <w:szCs w:val="22"/>
        </w:rPr>
        <w:t>առավարության</w:t>
      </w:r>
      <w:r w:rsidRPr="001F63BA">
        <w:rPr>
          <w:rFonts w:ascii="GHEA Grapalat" w:hAnsi="GHEA Grapalat"/>
          <w:sz w:val="22"/>
          <w:szCs w:val="22"/>
        </w:rPr>
        <w:t xml:space="preserve"> N 826-Ն որոշումը, որով հստակեցվել են բարձր նվաճումներ ցուցաբերած մարզիկների մարզիչների վարձատրման իրավահարաբերությունները:</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դեկտեմբերի 15-ին «Հայաստանի Հանրապետության կառավարության 2015 թվականի նոյեմբերի 5-ի </w:t>
      </w:r>
      <w:r w:rsidRPr="001F63BA">
        <w:rPr>
          <w:rFonts w:ascii="GHEA Grapalat" w:hAnsi="GHEA Grapalat"/>
          <w:sz w:val="22"/>
          <w:szCs w:val="22"/>
          <w:lang w:val="en-US"/>
        </w:rPr>
        <w:t>N</w:t>
      </w:r>
      <w:r w:rsidRPr="001F63BA">
        <w:rPr>
          <w:rFonts w:ascii="GHEA Grapalat" w:hAnsi="GHEA Grapalat"/>
          <w:sz w:val="22"/>
          <w:szCs w:val="22"/>
        </w:rPr>
        <w:t xml:space="preserve"> 1282-Ն որոշման մեջ փոփոխություններ կատարելու մասին» N 1982-Ն որոշմամբ ավելացվել են մեծահասակների աշխարհի առաջնության, </w:t>
      </w:r>
      <w:r w:rsidRPr="001F63BA">
        <w:rPr>
          <w:rFonts w:ascii="GHEA Grapalat" w:hAnsi="GHEA Grapalat"/>
          <w:sz w:val="22"/>
          <w:szCs w:val="22"/>
          <w:lang w:val="en-US"/>
        </w:rPr>
        <w:t>ե</w:t>
      </w:r>
      <w:r w:rsidRPr="001F63BA">
        <w:rPr>
          <w:rFonts w:ascii="GHEA Grapalat" w:hAnsi="GHEA Grapalat"/>
          <w:sz w:val="22"/>
          <w:szCs w:val="22"/>
        </w:rPr>
        <w:t>վրոպական խաղերի և Եվրոպայի առաջնության տարեվերջյան միանվագ պարգևատրման գումարները:</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2022 թվա</w:t>
      </w:r>
      <w:r w:rsidR="00FF639B" w:rsidRPr="001F63BA">
        <w:rPr>
          <w:rFonts w:ascii="GHEA Grapalat" w:hAnsi="GHEA Grapalat"/>
          <w:sz w:val="22"/>
          <w:szCs w:val="22"/>
        </w:rPr>
        <w:t xml:space="preserve">կանի հունիսի 30-ին ընդունվել է </w:t>
      </w:r>
      <w:r w:rsidR="00FF639B" w:rsidRPr="001F63BA">
        <w:rPr>
          <w:rFonts w:ascii="GHEA Grapalat" w:hAnsi="GHEA Grapalat"/>
          <w:sz w:val="22"/>
          <w:szCs w:val="22"/>
          <w:lang w:val="en-US"/>
        </w:rPr>
        <w:t>ՀՀ կ</w:t>
      </w:r>
      <w:r w:rsidRPr="001F63BA">
        <w:rPr>
          <w:rFonts w:ascii="GHEA Grapalat" w:hAnsi="GHEA Grapalat"/>
          <w:sz w:val="22"/>
          <w:szCs w:val="22"/>
        </w:rPr>
        <w:t xml:space="preserve">առավարության </w:t>
      </w:r>
      <w:r w:rsidRPr="001F63BA">
        <w:rPr>
          <w:rFonts w:ascii="GHEA Grapalat" w:hAnsi="GHEA Grapalat"/>
          <w:sz w:val="22"/>
          <w:szCs w:val="22"/>
          <w:lang w:val="en-US"/>
        </w:rPr>
        <w:t>N</w:t>
      </w:r>
      <w:r w:rsidRPr="001F63BA">
        <w:rPr>
          <w:rFonts w:ascii="GHEA Grapalat" w:hAnsi="GHEA Grapalat"/>
          <w:sz w:val="22"/>
          <w:szCs w:val="22"/>
        </w:rPr>
        <w:t xml:space="preserve"> 985-Ն որոշումը, համաձայն որի Փարիզ-2024 օլիմպիական խաղերին լավագույնս նախապատրաստվելու նպատակով բարձր արդյունքներ ցուցաբերած մարզիկներին, մարզիչներին, բժիշկներին և մերսողներին տրամադրվում է սպորտային նպաստ: </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Մարզական ֆեդերացիաներին տրամադրվող պետական աջակցության շրջանակներում ֆեդերացիաներ</w:t>
      </w:r>
      <w:r w:rsidRPr="001F63BA">
        <w:rPr>
          <w:rFonts w:ascii="GHEA Grapalat" w:hAnsi="GHEA Grapalat"/>
          <w:sz w:val="22"/>
          <w:szCs w:val="22"/>
          <w:lang w:val="en-US"/>
        </w:rPr>
        <w:t>ն</w:t>
      </w:r>
      <w:r w:rsidRPr="001F63BA">
        <w:rPr>
          <w:rFonts w:ascii="GHEA Grapalat" w:hAnsi="GHEA Grapalat"/>
          <w:sz w:val="22"/>
          <w:szCs w:val="22"/>
        </w:rPr>
        <w:t xml:space="preserve"> անցկացրել են Հայաստանի Հանրապետության առաջնություններ, ուսումնամարզական հավաքներ, միջազգային մրցաշարեր, միջազգային մրցասպարեզներում գրանցել են մարզական նվաճումներ՝ խրախուսելով մարզական բարձր արդյունքներ և աջակցելով մարզական ֆեդերացիաների գործունեությանը, մասնակցել են մեծահասակների, երիտասարդների ու պատանիների Եվրոպայի և աշխարհի առաջնություններին, միջազգային մրցաշարերի:</w:t>
      </w:r>
      <w:bookmarkStart w:id="44" w:name="_Toc57655431"/>
      <w:r w:rsidRPr="001F63BA">
        <w:rPr>
          <w:rFonts w:ascii="GHEA Grapalat" w:hAnsi="GHEA Grapalat"/>
          <w:sz w:val="22"/>
          <w:szCs w:val="22"/>
        </w:rPr>
        <w:t xml:space="preserve"> </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Մանկապատանեկան սպորտի ոլորտում շարունակվել են մատաղ սերնդի առողջության պահպանմանն ու ամրապնդմանը, ընտրած մարզաձևում մարզական հերթափոխի պատրաստմանը, պարապողների մարզական ունակությունների կատարելագործմանը, մանկապատանեկան մարզադպրոցներում աշխատող մարզիչ-մանկավարժների վերապատրաստմանը, նյութատեխնիկական բազայի ապահովմանն ուղղված գործընթացները:</w:t>
      </w:r>
      <w:bookmarkEnd w:id="44"/>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 xml:space="preserve">Մասսայական սպորտին ուղղված միջոցառումների շրջանակում շարունակվել են բնակչության ֆիզիկական դաստիարակության ապահովման գործընթացները` ֆիզիկական կուլտուրայի և սպորտի </w:t>
      </w:r>
      <w:r w:rsidRPr="001F63BA">
        <w:rPr>
          <w:rFonts w:ascii="GHEA Grapalat" w:hAnsi="GHEA Grapalat"/>
          <w:sz w:val="22"/>
          <w:szCs w:val="22"/>
        </w:rPr>
        <w:lastRenderedPageBreak/>
        <w:t>դերի կարևորման, առողջ ապրելակերպի արմատավորման, ֆիզիկապես կոփված երիտասարդների դաստիարակման նպատակով ֆիզկուլտուրային-առողջարարական զանգվածային, հանրապետական և մարզային միջոցառումների կազմակերպումը և անցկացումը: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45" w:name="_Toc132204219"/>
      <w:r w:rsidRPr="001F63BA">
        <w:t>Երիտասարդություն</w:t>
      </w:r>
      <w:bookmarkEnd w:id="45"/>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երիտասարդության ոլորտում </w:t>
      </w:r>
      <w:r w:rsidR="00FF639B" w:rsidRPr="001F63BA">
        <w:rPr>
          <w:rFonts w:ascii="GHEA Grapalat" w:hAnsi="GHEA Grapalat"/>
          <w:sz w:val="22"/>
          <w:szCs w:val="22"/>
        </w:rPr>
        <w:t>Կառավարությ</w:t>
      </w:r>
      <w:r w:rsidRPr="001F63BA">
        <w:rPr>
          <w:rFonts w:ascii="GHEA Grapalat" w:hAnsi="GHEA Grapalat"/>
          <w:sz w:val="22"/>
          <w:szCs w:val="22"/>
        </w:rPr>
        <w:t xml:space="preserve">ան կողմից վարվող պետական քաղաքականությունը միտված է եղել երիտասարդների ներուժի բացահայտման, սոցիալականացման, ինքնիրացման, ներգրավման ու զարգացման անհրաժեշտ պայմանների ստեղծմանը և մեխանիզմների խթանմանը, ինտելեկտուալ ժամանցի կազմակերպման հնարավորությունների ստեղծմանը, համայնքներում երիտասարդական կենտրոնների հիմնադրմանն և զարգացմանը, ոչ ֆորմալ կրթության, երիտասարդական աշխատանքի և կամավորության առավել լայն ճանաչմանն ու տարածմանը, երիտասարդության գործունեությունն ապահովող իրավական դաշտի բարելավմանը միջազգային երիտասարդական կառույցների հետ համագործակցության ընդլայնմանը, երիտասարդությանը լիակատար ինքնադրսևորման և անհրաժեշտ տեղեկատվությամբ ապահովմանը: </w:t>
      </w:r>
    </w:p>
    <w:p w:rsidR="001C411D" w:rsidRPr="001F63BA" w:rsidRDefault="001C411D" w:rsidP="006B27BD">
      <w:pPr>
        <w:spacing w:line="360" w:lineRule="auto"/>
        <w:ind w:firstLine="567"/>
        <w:jc w:val="both"/>
        <w:rPr>
          <w:rFonts w:ascii="GHEA Grapalat" w:hAnsi="GHEA Grapalat"/>
          <w:sz w:val="22"/>
          <w:szCs w:val="22"/>
          <w:lang w:val="en-US"/>
        </w:rPr>
      </w:pPr>
      <w:r w:rsidRPr="001F63BA">
        <w:rPr>
          <w:rFonts w:ascii="GHEA Grapalat" w:hAnsi="GHEA Grapalat"/>
          <w:sz w:val="22"/>
          <w:szCs w:val="22"/>
        </w:rPr>
        <w:t>Մասնավորապես</w:t>
      </w:r>
      <w:r w:rsidRPr="001F63BA">
        <w:rPr>
          <w:rFonts w:ascii="GHEA Grapalat" w:hAnsi="GHEA Grapalat"/>
          <w:sz w:val="22"/>
          <w:szCs w:val="22"/>
          <w:lang w:val="en-US"/>
        </w:rPr>
        <w:t>՝</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ԿԳՄՍ նախարարի 2022 թվականի դեկտեմբերի 30-ի N 2502-Ա/2 հրամանով հաստատվել է Երիտասարդական աշխատանքի և երիտասարդական աշխատողի պատրաստման ուղեցույցը,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ԿԳՄՍ նախարարի 2022 թվականի դեկտեմբերի 30-ի N 2496-Ա/2 հրամանով հաստատվել է նաև Երիտասարդական աշխատանքի և երիտասարդական աշխատողի կրթական ծրագիրը,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ԿԳՄՍ նախարարի 2022 թվականի դեկտեմբերի 2-ի N 2227-Ա/2 հրամանով հաստատվել է Տեղական մակարդակում որոշումների կայացմանը երիտասարդների ներգրավման ուղեցույցը:</w:t>
      </w:r>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Իրականացվել է 2022 թվականի երիտասարդական մայրաքաղաք ծրագիրը Կոտայքի մարզի Հրազդան քաղաքում:</w:t>
      </w:r>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Դրամաշնորհային մրցույթի արդյունքում սկսվել են ՀՀ Սյունիքի մարզի Մեղրի և ՀՀ Տավուշի մարզի Իջևան քաղաքներում երիտասարդական կենտրոնների ստեղծման աշխատանքները:</w:t>
      </w:r>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 xml:space="preserve">Ոչ ֆորմալ կրթական գործիքակազմով </w:t>
      </w:r>
      <w:r w:rsidRPr="001F63BA">
        <w:rPr>
          <w:rFonts w:ascii="GHEA Grapalat" w:hAnsi="GHEA Grapalat"/>
          <w:sz w:val="22"/>
          <w:szCs w:val="22"/>
          <w:lang w:val="en-US"/>
        </w:rPr>
        <w:t>անցկ</w:t>
      </w:r>
      <w:r w:rsidRPr="001F63BA">
        <w:rPr>
          <w:rFonts w:ascii="GHEA Grapalat" w:hAnsi="GHEA Grapalat"/>
          <w:sz w:val="22"/>
          <w:szCs w:val="22"/>
        </w:rPr>
        <w:t xml:space="preserve">ացվել </w:t>
      </w:r>
      <w:r w:rsidRPr="001F63BA">
        <w:rPr>
          <w:rFonts w:ascii="GHEA Grapalat" w:hAnsi="GHEA Grapalat"/>
          <w:sz w:val="22"/>
          <w:szCs w:val="22"/>
          <w:lang w:val="en-US"/>
        </w:rPr>
        <w:t>են</w:t>
      </w:r>
      <w:r w:rsidRPr="001F63BA">
        <w:rPr>
          <w:rFonts w:ascii="GHEA Grapalat" w:hAnsi="GHEA Grapalat"/>
          <w:sz w:val="22"/>
          <w:szCs w:val="22"/>
        </w:rPr>
        <w:t xml:space="preserve"> մասնագիտական վերապատրաստման հնարավորությունների, մասնագիտական կողմնորոշման ծրագրերի մասին երիտասարդների իրազեկության և ներգրավվածության բարձրացման դասընթացներ ՀՀ Սյունիքի մարզի սահմանամերձ գյուղերի 150 երիտասարդների համար: </w:t>
      </w:r>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lang w:val="en-US"/>
        </w:rPr>
        <w:lastRenderedPageBreak/>
        <w:t>Անցկացվ</w:t>
      </w:r>
      <w:r w:rsidRPr="001F63BA">
        <w:rPr>
          <w:rFonts w:ascii="GHEA Grapalat" w:hAnsi="GHEA Grapalat"/>
          <w:sz w:val="22"/>
          <w:szCs w:val="22"/>
        </w:rPr>
        <w:t xml:space="preserve">ել են ֆինանսական գրագիտության, երիտասարդ աշխատողների վերապատրաստման, մարզաբնակ երիտասարդների կարողությունների զարգացմանն ուղղված մեդիագրագիտության, թվային գրագիտության և կիբեռգրագիտության և այլ դասընթացներ: </w:t>
      </w:r>
    </w:p>
    <w:p w:rsidR="001C411D" w:rsidRPr="001F63BA" w:rsidRDefault="001C411D" w:rsidP="006B27BD">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46" w:name="_Toc132204220"/>
      <w:r w:rsidRPr="001F63BA">
        <w:t>Առողջապահություն</w:t>
      </w:r>
      <w:bookmarkEnd w:id="46"/>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Բնակչության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հիմնախնդիրները</w:t>
      </w:r>
      <w:r w:rsidRPr="001F63BA">
        <w:rPr>
          <w:rFonts w:ascii="GHEA Grapalat" w:hAnsi="GHEA Grapalat"/>
          <w:sz w:val="22"/>
          <w:szCs w:val="22"/>
          <w:lang w:val="af-ZA"/>
        </w:rPr>
        <w:t xml:space="preserve"> </w:t>
      </w:r>
      <w:r w:rsidRPr="001F63BA">
        <w:rPr>
          <w:rFonts w:ascii="GHEA Grapalat" w:hAnsi="GHEA Grapalat"/>
          <w:sz w:val="22"/>
          <w:szCs w:val="22"/>
          <w:lang w:val="en-US"/>
        </w:rPr>
        <w:t>դիտարկվում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որպես</w:t>
      </w:r>
      <w:r w:rsidRPr="001F63BA">
        <w:rPr>
          <w:rFonts w:ascii="GHEA Grapalat" w:hAnsi="GHEA Grapalat"/>
          <w:sz w:val="22"/>
          <w:szCs w:val="22"/>
          <w:lang w:val="af-ZA"/>
        </w:rPr>
        <w:t xml:space="preserve"> </w:t>
      </w:r>
      <w:r w:rsidRPr="001F63BA">
        <w:rPr>
          <w:rFonts w:ascii="GHEA Grapalat" w:hAnsi="GHEA Grapalat"/>
          <w:sz w:val="22"/>
          <w:szCs w:val="22"/>
          <w:lang w:val="en-US"/>
        </w:rPr>
        <w:t>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կայուն</w:t>
      </w:r>
      <w:r w:rsidRPr="001F63BA">
        <w:rPr>
          <w:rFonts w:ascii="GHEA Grapalat" w:hAnsi="GHEA Grapalat"/>
          <w:sz w:val="22"/>
          <w:szCs w:val="22"/>
          <w:lang w:val="af-ZA"/>
        </w:rPr>
        <w:t xml:space="preserve"> </w:t>
      </w:r>
      <w:r w:rsidRPr="001F63BA">
        <w:rPr>
          <w:rFonts w:ascii="GHEA Grapalat" w:hAnsi="GHEA Grapalat"/>
          <w:sz w:val="22"/>
          <w:szCs w:val="22"/>
          <w:lang w:val="en-US"/>
        </w:rPr>
        <w:t>զարգացումը</w:t>
      </w:r>
      <w:r w:rsidRPr="001F63BA">
        <w:rPr>
          <w:rFonts w:ascii="GHEA Grapalat" w:hAnsi="GHEA Grapalat"/>
          <w:sz w:val="22"/>
          <w:szCs w:val="22"/>
          <w:lang w:val="af-ZA"/>
        </w:rPr>
        <w:t xml:space="preserve"> </w:t>
      </w:r>
      <w:r w:rsidRPr="001F63BA">
        <w:rPr>
          <w:rFonts w:ascii="GHEA Grapalat" w:hAnsi="GHEA Grapalat"/>
          <w:sz w:val="22"/>
          <w:szCs w:val="22"/>
          <w:lang w:val="en-US"/>
        </w:rPr>
        <w:t>պայմանավորող</w:t>
      </w:r>
      <w:r w:rsidRPr="001F63BA">
        <w:rPr>
          <w:rFonts w:ascii="GHEA Grapalat" w:hAnsi="GHEA Grapalat"/>
          <w:sz w:val="22"/>
          <w:szCs w:val="22"/>
          <w:lang w:val="af-ZA"/>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գործոններից</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անվտանգության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առաջնահերթություններից</w:t>
      </w:r>
      <w:r w:rsidRPr="001F63BA">
        <w:rPr>
          <w:rFonts w:ascii="GHEA Grapalat" w:hAnsi="GHEA Grapalat"/>
          <w:sz w:val="22"/>
          <w:szCs w:val="22"/>
          <w:lang w:val="af-ZA"/>
        </w:rPr>
        <w:t xml:space="preserve"> </w:t>
      </w:r>
      <w:r w:rsidRPr="001F63BA">
        <w:rPr>
          <w:rFonts w:ascii="GHEA Grapalat" w:hAnsi="GHEA Grapalat"/>
          <w:sz w:val="22"/>
          <w:szCs w:val="22"/>
          <w:lang w:val="en-US"/>
        </w:rPr>
        <w:t>մեկը</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ոլորտի</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գործունեության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զարգացման</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քաղաքականության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հիմքում</w:t>
      </w:r>
      <w:r w:rsidRPr="001F63BA">
        <w:rPr>
          <w:rFonts w:ascii="GHEA Grapalat" w:hAnsi="GHEA Grapalat"/>
          <w:sz w:val="22"/>
          <w:szCs w:val="22"/>
          <w:lang w:val="af-ZA"/>
        </w:rPr>
        <w:t xml:space="preserve"> </w:t>
      </w:r>
      <w:r w:rsidRPr="001F63BA">
        <w:rPr>
          <w:rFonts w:ascii="GHEA Grapalat" w:hAnsi="GHEA Grapalat"/>
          <w:sz w:val="22"/>
          <w:szCs w:val="22"/>
          <w:lang w:val="en-US"/>
        </w:rPr>
        <w:t>որդեգրվել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ապահովել</w:t>
      </w:r>
      <w:r w:rsidRPr="001F63BA">
        <w:rPr>
          <w:rFonts w:ascii="GHEA Grapalat" w:hAnsi="GHEA Grapalat"/>
          <w:sz w:val="22"/>
          <w:szCs w:val="22"/>
          <w:lang w:val="af-ZA"/>
        </w:rPr>
        <w:t xml:space="preserve"> </w:t>
      </w:r>
      <w:r w:rsidRPr="001F63BA">
        <w:rPr>
          <w:rFonts w:ascii="GHEA Grapalat" w:hAnsi="GHEA Grapalat"/>
          <w:sz w:val="22"/>
          <w:szCs w:val="22"/>
          <w:lang w:val="en-US"/>
        </w:rPr>
        <w:t>յուրաքանչյուր</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քաղաքացու</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սահմանադրական</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իրավունքը</w:t>
      </w:r>
      <w:r w:rsidRPr="001F63BA">
        <w:rPr>
          <w:rFonts w:ascii="GHEA Grapalat" w:hAnsi="GHEA Grapalat"/>
          <w:sz w:val="22"/>
          <w:szCs w:val="22"/>
          <w:lang w:val="af-ZA"/>
        </w:rPr>
        <w:t xml:space="preserve">` </w:t>
      </w:r>
      <w:r w:rsidRPr="001F63BA">
        <w:rPr>
          <w:rFonts w:ascii="GHEA Grapalat" w:hAnsi="GHEA Grapalat"/>
          <w:sz w:val="22"/>
          <w:szCs w:val="22"/>
          <w:lang w:val="en-US"/>
        </w:rPr>
        <w:t>բուժօգնության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տրամադրման</w:t>
      </w:r>
      <w:r w:rsidRPr="001F63BA">
        <w:rPr>
          <w:rFonts w:ascii="GHEA Grapalat" w:hAnsi="GHEA Grapalat"/>
          <w:sz w:val="22"/>
          <w:szCs w:val="22"/>
          <w:lang w:val="af-ZA"/>
        </w:rPr>
        <w:t xml:space="preserve"> </w:t>
      </w:r>
      <w:r w:rsidRPr="001F63BA">
        <w:rPr>
          <w:rFonts w:ascii="GHEA Grapalat" w:hAnsi="GHEA Grapalat"/>
          <w:sz w:val="22"/>
          <w:szCs w:val="22"/>
          <w:lang w:val="en-US"/>
        </w:rPr>
        <w:t>հավասարություն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արդարություն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մատչելիություն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ապահովում</w:t>
      </w:r>
      <w:r w:rsidRPr="001F63BA">
        <w:rPr>
          <w:rFonts w:ascii="GHEA Grapalat" w:hAnsi="GHEA Grapalat"/>
          <w:sz w:val="22"/>
          <w:szCs w:val="22"/>
          <w:lang w:val="af-ZA"/>
        </w:rPr>
        <w:t xml:space="preserve">: </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Ոլորտում</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իրականացվող</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քաղաքականությունն</w:t>
      </w:r>
      <w:r w:rsidRPr="001F63BA">
        <w:rPr>
          <w:rFonts w:ascii="GHEA Grapalat" w:hAnsi="GHEA Grapalat"/>
          <w:sz w:val="22"/>
          <w:szCs w:val="22"/>
          <w:lang w:val="af-ZA"/>
        </w:rPr>
        <w:t xml:space="preserve"> </w:t>
      </w:r>
      <w:r w:rsidRPr="001F63BA">
        <w:rPr>
          <w:rFonts w:ascii="GHEA Grapalat" w:hAnsi="GHEA Grapalat"/>
          <w:sz w:val="22"/>
          <w:szCs w:val="22"/>
          <w:lang w:val="en-US"/>
        </w:rPr>
        <w:t>ուղղվել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հանրային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հզորացմանը</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կանխարգելմանը</w:t>
      </w:r>
      <w:r w:rsidRPr="001F63BA">
        <w:rPr>
          <w:rFonts w:ascii="GHEA Grapalat" w:hAnsi="GHEA Grapalat"/>
          <w:sz w:val="22"/>
          <w:szCs w:val="22"/>
          <w:lang w:val="af-ZA"/>
        </w:rPr>
        <w:t xml:space="preserve">, </w:t>
      </w:r>
      <w:r w:rsidRPr="001F63BA">
        <w:rPr>
          <w:rFonts w:ascii="GHEA Grapalat" w:hAnsi="GHEA Grapalat"/>
          <w:sz w:val="22"/>
          <w:szCs w:val="22"/>
          <w:lang w:val="en-US"/>
        </w:rPr>
        <w:t>առողջ</w:t>
      </w:r>
      <w:r w:rsidRPr="001F63BA">
        <w:rPr>
          <w:rFonts w:ascii="GHEA Grapalat" w:hAnsi="GHEA Grapalat"/>
          <w:sz w:val="22"/>
          <w:szCs w:val="22"/>
          <w:lang w:val="af-ZA"/>
        </w:rPr>
        <w:t xml:space="preserve"> </w:t>
      </w:r>
      <w:r w:rsidRPr="001F63BA">
        <w:rPr>
          <w:rFonts w:ascii="GHEA Grapalat" w:hAnsi="GHEA Grapalat"/>
          <w:sz w:val="22"/>
          <w:szCs w:val="22"/>
          <w:lang w:val="en-US"/>
        </w:rPr>
        <w:t>կենսակերպի</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պայմանների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ստեղծմանը</w:t>
      </w:r>
      <w:r w:rsidRPr="001F63BA">
        <w:rPr>
          <w:rFonts w:ascii="GHEA Grapalat" w:hAnsi="GHEA Grapalat"/>
          <w:sz w:val="22"/>
          <w:szCs w:val="22"/>
          <w:lang w:val="af-ZA"/>
        </w:rPr>
        <w:t xml:space="preserve">: </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ծախսերի</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նպատակայնության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հետևողական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բարձրաց</w:t>
      </w:r>
      <w:r w:rsidRPr="001F63BA">
        <w:rPr>
          <w:rFonts w:ascii="GHEA Grapalat" w:hAnsi="GHEA Grapalat"/>
          <w:sz w:val="22"/>
          <w:szCs w:val="22"/>
          <w:lang w:val="af-ZA"/>
        </w:rPr>
        <w:softHyphen/>
      </w:r>
      <w:r w:rsidRPr="001F63BA">
        <w:rPr>
          <w:rFonts w:ascii="GHEA Grapalat" w:hAnsi="GHEA Grapalat"/>
          <w:sz w:val="22"/>
          <w:szCs w:val="22"/>
          <w:lang w:val="en-US"/>
        </w:rPr>
        <w:t>ման</w:t>
      </w:r>
      <w:r w:rsidRPr="001F63BA">
        <w:rPr>
          <w:rFonts w:ascii="GHEA Grapalat" w:hAnsi="GHEA Grapalat"/>
          <w:sz w:val="22"/>
          <w:szCs w:val="22"/>
          <w:lang w:val="af-ZA"/>
        </w:rPr>
        <w:t xml:space="preserve">, </w:t>
      </w:r>
      <w:r w:rsidRPr="001F63BA">
        <w:rPr>
          <w:rFonts w:ascii="GHEA Grapalat" w:hAnsi="GHEA Grapalat"/>
          <w:sz w:val="22"/>
          <w:szCs w:val="22"/>
          <w:lang w:val="en-US"/>
        </w:rPr>
        <w:t>հատկացվող</w:t>
      </w:r>
      <w:r w:rsidRPr="001F63BA">
        <w:rPr>
          <w:rFonts w:ascii="GHEA Grapalat" w:hAnsi="GHEA Grapalat"/>
          <w:sz w:val="22"/>
          <w:szCs w:val="22"/>
          <w:lang w:val="af-ZA"/>
        </w:rPr>
        <w:t xml:space="preserve"> </w:t>
      </w:r>
      <w:r w:rsidRPr="001F63BA">
        <w:rPr>
          <w:rFonts w:ascii="GHEA Grapalat" w:hAnsi="GHEA Grapalat"/>
          <w:sz w:val="22"/>
          <w:szCs w:val="22"/>
          <w:lang w:val="en-US"/>
        </w:rPr>
        <w:t>ֆինանսական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վերահսկման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մատուցվող</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որա</w:t>
      </w:r>
      <w:r w:rsidRPr="001F63BA">
        <w:rPr>
          <w:rFonts w:ascii="GHEA Grapalat" w:hAnsi="GHEA Grapalat"/>
          <w:sz w:val="22"/>
          <w:szCs w:val="22"/>
          <w:lang w:val="af-ZA"/>
        </w:rPr>
        <w:softHyphen/>
      </w:r>
      <w:r w:rsidRPr="001F63BA">
        <w:rPr>
          <w:rFonts w:ascii="GHEA Grapalat" w:hAnsi="GHEA Grapalat"/>
          <w:sz w:val="22"/>
          <w:szCs w:val="22"/>
          <w:lang w:val="en-US"/>
        </w:rPr>
        <w:t>կի</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գործուն</w:t>
      </w:r>
      <w:r w:rsidRPr="001F63BA">
        <w:rPr>
          <w:rFonts w:ascii="GHEA Grapalat" w:hAnsi="GHEA Grapalat"/>
          <w:sz w:val="22"/>
          <w:szCs w:val="22"/>
          <w:lang w:val="af-ZA"/>
        </w:rPr>
        <w:t xml:space="preserve"> </w:t>
      </w:r>
      <w:r w:rsidRPr="001F63BA">
        <w:rPr>
          <w:rFonts w:ascii="GHEA Grapalat" w:hAnsi="GHEA Grapalat"/>
          <w:sz w:val="22"/>
          <w:szCs w:val="22"/>
          <w:lang w:val="en-US"/>
        </w:rPr>
        <w:t>մեխանիզմների</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շնորհիվ</w:t>
      </w:r>
      <w:r w:rsidRPr="001F63BA">
        <w:rPr>
          <w:rFonts w:ascii="GHEA Grapalat" w:hAnsi="GHEA Grapalat"/>
          <w:sz w:val="22"/>
          <w:szCs w:val="22"/>
          <w:lang w:val="af-ZA"/>
        </w:rPr>
        <w:t xml:space="preserve"> </w:t>
      </w:r>
      <w:r w:rsidRPr="001F63BA">
        <w:rPr>
          <w:rFonts w:ascii="GHEA Grapalat" w:hAnsi="GHEA Grapalat"/>
          <w:sz w:val="22"/>
          <w:szCs w:val="22"/>
          <w:lang w:val="en-US"/>
        </w:rPr>
        <w:t>առող</w:t>
      </w:r>
      <w:r w:rsidRPr="001F63BA">
        <w:rPr>
          <w:rFonts w:ascii="GHEA Grapalat" w:hAnsi="GHEA Grapalat"/>
          <w:sz w:val="22"/>
          <w:szCs w:val="22"/>
          <w:lang w:val="af-ZA"/>
        </w:rPr>
        <w:softHyphen/>
      </w:r>
      <w:r w:rsidRPr="001F63BA">
        <w:rPr>
          <w:rFonts w:ascii="GHEA Grapalat" w:hAnsi="GHEA Grapalat"/>
          <w:sz w:val="22"/>
          <w:szCs w:val="22"/>
          <w:lang w:val="en-US"/>
        </w:rPr>
        <w:t>ջա</w:t>
      </w:r>
      <w:r w:rsidRPr="001F63BA">
        <w:rPr>
          <w:rFonts w:ascii="GHEA Grapalat" w:hAnsi="GHEA Grapalat"/>
          <w:sz w:val="22"/>
          <w:szCs w:val="22"/>
          <w:lang w:val="af-ZA"/>
        </w:rPr>
        <w:softHyphen/>
      </w:r>
      <w:r w:rsidRPr="001F63BA">
        <w:rPr>
          <w:rFonts w:ascii="GHEA Grapalat" w:hAnsi="GHEA Grapalat"/>
          <w:sz w:val="22"/>
          <w:szCs w:val="22"/>
          <w:lang w:val="en-US"/>
        </w:rPr>
        <w:t>պա</w:t>
      </w:r>
      <w:r w:rsidRPr="001F63BA">
        <w:rPr>
          <w:rFonts w:ascii="GHEA Grapalat" w:hAnsi="GHEA Grapalat"/>
          <w:sz w:val="22"/>
          <w:szCs w:val="22"/>
          <w:lang w:val="af-ZA"/>
        </w:rPr>
        <w:softHyphen/>
      </w:r>
      <w:r w:rsidRPr="001F63BA">
        <w:rPr>
          <w:rFonts w:ascii="GHEA Grapalat" w:hAnsi="GHEA Grapalat"/>
          <w:sz w:val="22"/>
          <w:szCs w:val="22"/>
          <w:lang w:val="en-US"/>
        </w:rPr>
        <w:t>հական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շահառուն</w:t>
      </w:r>
      <w:r w:rsidRPr="001F63BA">
        <w:rPr>
          <w:rFonts w:ascii="GHEA Grapalat" w:hAnsi="GHEA Grapalat"/>
          <w:sz w:val="22"/>
          <w:szCs w:val="22"/>
          <w:lang w:val="af-ZA"/>
        </w:rPr>
        <w:t xml:space="preserve"> </w:t>
      </w:r>
      <w:r w:rsidRPr="001F63BA">
        <w:rPr>
          <w:rFonts w:ascii="GHEA Grapalat" w:hAnsi="GHEA Grapalat"/>
          <w:sz w:val="22"/>
          <w:szCs w:val="22"/>
          <w:lang w:val="en-US"/>
        </w:rPr>
        <w:t>ստիպված</w:t>
      </w:r>
      <w:r w:rsidRPr="001F63BA">
        <w:rPr>
          <w:rFonts w:ascii="GHEA Grapalat" w:hAnsi="GHEA Grapalat"/>
          <w:sz w:val="22"/>
          <w:szCs w:val="22"/>
          <w:lang w:val="af-ZA"/>
        </w:rPr>
        <w:t xml:space="preserve"> </w:t>
      </w:r>
      <w:r w:rsidRPr="001F63BA">
        <w:rPr>
          <w:rFonts w:ascii="GHEA Grapalat" w:hAnsi="GHEA Grapalat"/>
          <w:sz w:val="22"/>
          <w:szCs w:val="22"/>
          <w:lang w:val="en-US"/>
        </w:rPr>
        <w:t>չի</w:t>
      </w:r>
      <w:r w:rsidRPr="001F63BA">
        <w:rPr>
          <w:rFonts w:ascii="GHEA Grapalat" w:hAnsi="GHEA Grapalat"/>
          <w:sz w:val="22"/>
          <w:szCs w:val="22"/>
          <w:lang w:val="af-ZA"/>
        </w:rPr>
        <w:t xml:space="preserve"> </w:t>
      </w:r>
      <w:r w:rsidRPr="001F63BA">
        <w:rPr>
          <w:rFonts w:ascii="GHEA Grapalat" w:hAnsi="GHEA Grapalat"/>
          <w:sz w:val="22"/>
          <w:szCs w:val="22"/>
          <w:lang w:val="en-US"/>
        </w:rPr>
        <w:t>եղել</w:t>
      </w:r>
      <w:r w:rsidRPr="001F63BA">
        <w:rPr>
          <w:rFonts w:ascii="GHEA Grapalat" w:hAnsi="GHEA Grapalat"/>
          <w:sz w:val="22"/>
          <w:szCs w:val="22"/>
          <w:lang w:val="af-ZA"/>
        </w:rPr>
        <w:t xml:space="preserve"> </w:t>
      </w:r>
      <w:r w:rsidRPr="001F63BA">
        <w:rPr>
          <w:rFonts w:ascii="GHEA Grapalat" w:hAnsi="GHEA Grapalat"/>
          <w:sz w:val="22"/>
          <w:szCs w:val="22"/>
          <w:lang w:val="en-US"/>
        </w:rPr>
        <w:t>հավելյալ</w:t>
      </w:r>
      <w:r w:rsidRPr="001F63BA">
        <w:rPr>
          <w:rFonts w:ascii="GHEA Grapalat" w:hAnsi="GHEA Grapalat"/>
          <w:sz w:val="22"/>
          <w:szCs w:val="22"/>
          <w:lang w:val="af-ZA"/>
        </w:rPr>
        <w:t xml:space="preserve"> </w:t>
      </w:r>
      <w:r w:rsidRPr="001F63BA">
        <w:rPr>
          <w:rFonts w:ascii="GHEA Grapalat" w:hAnsi="GHEA Grapalat"/>
          <w:sz w:val="22"/>
          <w:szCs w:val="22"/>
          <w:lang w:val="en-US"/>
        </w:rPr>
        <w:t>վճարել</w:t>
      </w:r>
      <w:r w:rsidRPr="001F63BA">
        <w:rPr>
          <w:rFonts w:ascii="GHEA Grapalat" w:hAnsi="GHEA Grapalat"/>
          <w:sz w:val="22"/>
          <w:szCs w:val="22"/>
          <w:lang w:val="af-ZA"/>
        </w:rPr>
        <w:t xml:space="preserve"> </w:t>
      </w:r>
      <w:r w:rsidRPr="001F63BA">
        <w:rPr>
          <w:rFonts w:ascii="GHEA Grapalat" w:hAnsi="GHEA Grapalat"/>
          <w:sz w:val="22"/>
          <w:szCs w:val="22"/>
          <w:lang w:val="en-US"/>
        </w:rPr>
        <w:t>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ան</w:t>
      </w:r>
      <w:r w:rsidRPr="001F63BA">
        <w:rPr>
          <w:rFonts w:ascii="GHEA Grapalat" w:hAnsi="GHEA Grapalat"/>
          <w:sz w:val="22"/>
          <w:szCs w:val="22"/>
          <w:lang w:val="af-ZA"/>
        </w:rPr>
        <w:softHyphen/>
      </w:r>
      <w:r w:rsidRPr="001F63BA">
        <w:rPr>
          <w:rFonts w:ascii="GHEA Grapalat" w:hAnsi="GHEA Grapalat"/>
          <w:sz w:val="22"/>
          <w:szCs w:val="22"/>
          <w:lang w:val="en-US"/>
        </w:rPr>
        <w:t>վճար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արտոնյալ</w:t>
      </w:r>
      <w:r w:rsidRPr="001F63BA">
        <w:rPr>
          <w:rFonts w:ascii="GHEA Grapalat" w:hAnsi="GHEA Grapalat"/>
          <w:sz w:val="22"/>
          <w:szCs w:val="22"/>
          <w:lang w:val="af-ZA"/>
        </w:rPr>
        <w:t xml:space="preserve"> </w:t>
      </w:r>
      <w:r w:rsidRPr="001F63BA">
        <w:rPr>
          <w:rFonts w:ascii="GHEA Grapalat" w:hAnsi="GHEA Grapalat"/>
          <w:sz w:val="22"/>
          <w:szCs w:val="22"/>
          <w:lang w:val="en-US"/>
        </w:rPr>
        <w:t>պայմաններով</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մատուցվող</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ստացել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որակյալ</w:t>
      </w:r>
      <w:r w:rsidRPr="001F63BA">
        <w:rPr>
          <w:rFonts w:ascii="GHEA Grapalat" w:hAnsi="GHEA Grapalat"/>
          <w:sz w:val="22"/>
          <w:szCs w:val="22"/>
          <w:lang w:val="af-ZA"/>
        </w:rPr>
        <w:t xml:space="preserve"> </w:t>
      </w:r>
      <w:r w:rsidRPr="001F63BA">
        <w:rPr>
          <w:rFonts w:ascii="GHEA Grapalat" w:hAnsi="GHEA Grapalat"/>
          <w:sz w:val="22"/>
          <w:szCs w:val="22"/>
          <w:lang w:val="en-US"/>
        </w:rPr>
        <w:t>բժշկա</w:t>
      </w:r>
      <w:r w:rsidRPr="001F63BA">
        <w:rPr>
          <w:rFonts w:ascii="GHEA Grapalat" w:hAnsi="GHEA Grapalat"/>
          <w:sz w:val="22"/>
          <w:szCs w:val="22"/>
          <w:lang w:val="af-ZA"/>
        </w:rPr>
        <w:softHyphen/>
      </w:r>
      <w:r w:rsidRPr="001F63BA">
        <w:rPr>
          <w:rFonts w:ascii="GHEA Grapalat" w:hAnsi="GHEA Grapalat"/>
          <w:sz w:val="22"/>
          <w:szCs w:val="22"/>
          <w:lang w:val="en-US"/>
        </w:rPr>
        <w:t>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Ան</w:t>
      </w:r>
      <w:r w:rsidRPr="001F63BA">
        <w:rPr>
          <w:rFonts w:ascii="GHEA Grapalat" w:hAnsi="GHEA Grapalat"/>
          <w:sz w:val="22"/>
          <w:szCs w:val="22"/>
          <w:lang w:val="af-ZA"/>
        </w:rPr>
        <w:softHyphen/>
      </w:r>
      <w:r w:rsidRPr="001F63BA">
        <w:rPr>
          <w:rFonts w:ascii="GHEA Grapalat" w:hAnsi="GHEA Grapalat"/>
          <w:sz w:val="22"/>
          <w:szCs w:val="22"/>
          <w:lang w:val="en-US"/>
        </w:rPr>
        <w:t>վճար</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միայն</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արդարության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սկզբունքի</w:t>
      </w:r>
      <w:r w:rsidRPr="001F63BA">
        <w:rPr>
          <w:rFonts w:ascii="GHEA Grapalat" w:hAnsi="GHEA Grapalat"/>
          <w:sz w:val="22"/>
          <w:szCs w:val="22"/>
          <w:lang w:val="af-ZA"/>
        </w:rPr>
        <w:t xml:space="preserve"> </w:t>
      </w:r>
      <w:r w:rsidRPr="001F63BA">
        <w:rPr>
          <w:rFonts w:ascii="GHEA Grapalat" w:hAnsi="GHEA Grapalat"/>
          <w:sz w:val="22"/>
          <w:szCs w:val="22"/>
          <w:lang w:val="en-US"/>
        </w:rPr>
        <w:t>հիման</w:t>
      </w:r>
      <w:r w:rsidRPr="001F63BA">
        <w:rPr>
          <w:rFonts w:ascii="GHEA Grapalat" w:hAnsi="GHEA Grapalat"/>
          <w:sz w:val="22"/>
          <w:szCs w:val="22"/>
          <w:lang w:val="af-ZA"/>
        </w:rPr>
        <w:t xml:space="preserve"> </w:t>
      </w:r>
      <w:r w:rsidRPr="001F63BA">
        <w:rPr>
          <w:rFonts w:ascii="GHEA Grapalat" w:hAnsi="GHEA Grapalat"/>
          <w:sz w:val="22"/>
          <w:szCs w:val="22"/>
          <w:lang w:val="en-US"/>
        </w:rPr>
        <w:t>վրա</w:t>
      </w:r>
      <w:r w:rsidRPr="001F63BA">
        <w:rPr>
          <w:rFonts w:ascii="GHEA Grapalat" w:hAnsi="GHEA Grapalat"/>
          <w:sz w:val="22"/>
          <w:szCs w:val="22"/>
          <w:lang w:val="af-ZA"/>
        </w:rPr>
        <w:t xml:space="preserve">: </w:t>
      </w:r>
      <w:r w:rsidRPr="001F63BA">
        <w:rPr>
          <w:rFonts w:ascii="GHEA Grapalat" w:hAnsi="GHEA Grapalat"/>
          <w:sz w:val="22"/>
          <w:szCs w:val="22"/>
          <w:lang w:val="en-US"/>
        </w:rPr>
        <w:t>Միաժամանակ</w:t>
      </w:r>
      <w:r w:rsidRPr="001F63BA">
        <w:rPr>
          <w:rFonts w:ascii="GHEA Grapalat" w:hAnsi="GHEA Grapalat"/>
          <w:sz w:val="22"/>
          <w:szCs w:val="22"/>
          <w:lang w:val="af-ZA"/>
        </w:rPr>
        <w:t xml:space="preserve"> </w:t>
      </w:r>
      <w:r w:rsidRPr="001F63BA">
        <w:rPr>
          <w:rFonts w:ascii="GHEA Grapalat" w:hAnsi="GHEA Grapalat"/>
          <w:sz w:val="22"/>
          <w:szCs w:val="22"/>
          <w:lang w:val="en-US"/>
        </w:rPr>
        <w:t>պետությունը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կանգնել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անհետաձգելի</w:t>
      </w:r>
      <w:r w:rsidRPr="001F63BA">
        <w:rPr>
          <w:rFonts w:ascii="GHEA Grapalat" w:hAnsi="GHEA Grapalat"/>
          <w:sz w:val="22"/>
          <w:szCs w:val="22"/>
          <w:lang w:val="af-ZA"/>
        </w:rPr>
        <w:t xml:space="preserve"> </w:t>
      </w:r>
      <w:r w:rsidRPr="001F63BA">
        <w:rPr>
          <w:rFonts w:ascii="GHEA Grapalat" w:hAnsi="GHEA Grapalat"/>
          <w:sz w:val="22"/>
          <w:szCs w:val="22"/>
          <w:lang w:val="en-US"/>
        </w:rPr>
        <w:t>բժշկա</w:t>
      </w:r>
      <w:r w:rsidRPr="001F63BA">
        <w:rPr>
          <w:rFonts w:ascii="GHEA Grapalat" w:hAnsi="GHEA Grapalat"/>
          <w:sz w:val="22"/>
          <w:szCs w:val="22"/>
          <w:lang w:val="af-ZA"/>
        </w:rPr>
        <w:softHyphen/>
      </w:r>
      <w:r w:rsidRPr="001F63BA">
        <w:rPr>
          <w:rFonts w:ascii="GHEA Grapalat" w:hAnsi="GHEA Grapalat"/>
          <w:sz w:val="22"/>
          <w:szCs w:val="22"/>
          <w:lang w:val="en-US"/>
        </w:rPr>
        <w:t>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կարիք</w:t>
      </w:r>
      <w:r w:rsidRPr="001F63BA">
        <w:rPr>
          <w:rFonts w:ascii="GHEA Grapalat" w:hAnsi="GHEA Grapalat"/>
          <w:sz w:val="22"/>
          <w:szCs w:val="22"/>
          <w:lang w:val="af-ZA"/>
        </w:rPr>
        <w:t xml:space="preserve"> </w:t>
      </w:r>
      <w:r w:rsidRPr="001F63BA">
        <w:rPr>
          <w:rFonts w:ascii="GHEA Grapalat" w:hAnsi="GHEA Grapalat"/>
          <w:sz w:val="22"/>
          <w:szCs w:val="22"/>
          <w:lang w:val="en-US"/>
        </w:rPr>
        <w:t>ունեցող</w:t>
      </w:r>
      <w:r w:rsidRPr="001F63BA">
        <w:rPr>
          <w:rFonts w:ascii="GHEA Grapalat" w:hAnsi="GHEA Grapalat"/>
          <w:sz w:val="22"/>
          <w:szCs w:val="22"/>
          <w:lang w:val="af-ZA"/>
        </w:rPr>
        <w:t xml:space="preserve"> </w:t>
      </w:r>
      <w:r w:rsidRPr="001F63BA">
        <w:rPr>
          <w:rFonts w:ascii="GHEA Grapalat" w:hAnsi="GHEA Grapalat"/>
          <w:sz w:val="22"/>
          <w:szCs w:val="22"/>
          <w:lang w:val="en-US"/>
        </w:rPr>
        <w:t>ցանկացած</w:t>
      </w:r>
      <w:r w:rsidRPr="001F63BA">
        <w:rPr>
          <w:rFonts w:ascii="GHEA Grapalat" w:hAnsi="GHEA Grapalat"/>
          <w:sz w:val="22"/>
          <w:szCs w:val="22"/>
          <w:lang w:val="af-ZA"/>
        </w:rPr>
        <w:t xml:space="preserve"> </w:t>
      </w:r>
      <w:r w:rsidRPr="001F63BA">
        <w:rPr>
          <w:rFonts w:ascii="GHEA Grapalat" w:hAnsi="GHEA Grapalat"/>
          <w:sz w:val="22"/>
          <w:szCs w:val="22"/>
          <w:lang w:val="en-US"/>
        </w:rPr>
        <w:t>մարդու</w:t>
      </w:r>
      <w:r w:rsidRPr="001F63BA">
        <w:rPr>
          <w:rFonts w:ascii="GHEA Grapalat" w:hAnsi="GHEA Grapalat"/>
          <w:sz w:val="22"/>
          <w:szCs w:val="22"/>
          <w:lang w:val="af-ZA"/>
        </w:rPr>
        <w:t xml:space="preserve"> </w:t>
      </w:r>
      <w:r w:rsidRPr="001F63BA">
        <w:rPr>
          <w:rFonts w:ascii="GHEA Grapalat" w:hAnsi="GHEA Grapalat"/>
          <w:sz w:val="22"/>
          <w:szCs w:val="22"/>
          <w:lang w:val="en-US"/>
        </w:rPr>
        <w:t>կողքին</w:t>
      </w:r>
      <w:r w:rsidRPr="001F63BA">
        <w:rPr>
          <w:rFonts w:ascii="GHEA Grapalat" w:hAnsi="GHEA Grapalat"/>
          <w:sz w:val="22"/>
          <w:szCs w:val="22"/>
          <w:lang w:val="af-ZA"/>
        </w:rPr>
        <w:t xml:space="preserve">: </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առաջնային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մոր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մանկան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վերարտադրողական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եղել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առաջնահերթությունը</w:t>
      </w:r>
      <w:r w:rsidRPr="001F63BA">
        <w:rPr>
          <w:rFonts w:ascii="GHEA Grapalat" w:hAnsi="GHEA Grapalat"/>
          <w:sz w:val="22"/>
          <w:szCs w:val="22"/>
          <w:lang w:val="af-ZA"/>
        </w:rPr>
        <w:t xml:space="preserve">: </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Հանրային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հզորացման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ոլորտում</w:t>
      </w:r>
      <w:r w:rsidRPr="001F63BA">
        <w:rPr>
          <w:rFonts w:ascii="GHEA Grapalat" w:hAnsi="GHEA Grapalat"/>
          <w:sz w:val="22"/>
          <w:szCs w:val="22"/>
          <w:lang w:val="af-ZA"/>
        </w:rPr>
        <w:t xml:space="preserve"> </w:t>
      </w:r>
      <w:r w:rsidR="00FF639B" w:rsidRPr="001F63BA">
        <w:rPr>
          <w:rFonts w:ascii="GHEA Grapalat" w:hAnsi="GHEA Grapalat"/>
          <w:sz w:val="22"/>
          <w:szCs w:val="22"/>
          <w:lang w:val="en-US"/>
        </w:rPr>
        <w:t>Կառավարությ</w:t>
      </w:r>
      <w:r w:rsidRPr="001F63BA">
        <w:rPr>
          <w:rFonts w:ascii="GHEA Grapalat" w:hAnsi="GHEA Grapalat"/>
          <w:sz w:val="22"/>
          <w:szCs w:val="22"/>
          <w:lang w:val="en-US"/>
        </w:rPr>
        <w:t>ունն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հանրային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միասնական</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քաղաքականության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մշակումը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իրականացումը</w:t>
      </w:r>
      <w:r w:rsidRPr="001F63BA">
        <w:rPr>
          <w:rFonts w:ascii="GHEA Grapalat" w:hAnsi="GHEA Grapalat"/>
          <w:sz w:val="22"/>
          <w:szCs w:val="22"/>
          <w:lang w:val="af-ZA"/>
        </w:rPr>
        <w:t xml:space="preserve">, </w:t>
      </w:r>
      <w:r w:rsidRPr="001F63BA">
        <w:rPr>
          <w:rFonts w:ascii="GHEA Grapalat" w:hAnsi="GHEA Grapalat"/>
          <w:sz w:val="22"/>
          <w:szCs w:val="22"/>
          <w:lang w:val="en-US"/>
        </w:rPr>
        <w:t>օրենսդրական</w:t>
      </w:r>
      <w:r w:rsidRPr="001F63BA">
        <w:rPr>
          <w:rFonts w:ascii="GHEA Grapalat" w:hAnsi="GHEA Grapalat"/>
          <w:sz w:val="22"/>
          <w:szCs w:val="22"/>
          <w:lang w:val="af-ZA"/>
        </w:rPr>
        <w:t xml:space="preserve"> </w:t>
      </w:r>
      <w:r w:rsidRPr="001F63BA">
        <w:rPr>
          <w:rFonts w:ascii="GHEA Grapalat" w:hAnsi="GHEA Grapalat"/>
          <w:sz w:val="22"/>
          <w:szCs w:val="22"/>
          <w:lang w:val="en-US"/>
        </w:rPr>
        <w:t>դաշտի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բարելավումը</w:t>
      </w:r>
      <w:r w:rsidRPr="001F63BA">
        <w:rPr>
          <w:rFonts w:ascii="GHEA Grapalat" w:hAnsi="GHEA Grapalat"/>
          <w:sz w:val="22"/>
          <w:szCs w:val="22"/>
          <w:lang w:val="af-ZA"/>
        </w:rPr>
        <w:t xml:space="preserve">, </w:t>
      </w: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ոչ</w:t>
      </w:r>
      <w:r w:rsidRPr="001F63BA">
        <w:rPr>
          <w:rFonts w:ascii="GHEA Grapalat" w:hAnsi="GHEA Grapalat"/>
          <w:sz w:val="22"/>
          <w:szCs w:val="22"/>
          <w:lang w:val="af-ZA"/>
        </w:rPr>
        <w:t xml:space="preserve"> </w:t>
      </w: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առաջացման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տարածման</w:t>
      </w:r>
      <w:r w:rsidRPr="001F63BA">
        <w:rPr>
          <w:rFonts w:ascii="GHEA Grapalat" w:hAnsi="GHEA Grapalat"/>
          <w:sz w:val="22"/>
          <w:szCs w:val="22"/>
          <w:lang w:val="af-ZA"/>
        </w:rPr>
        <w:t xml:space="preserve"> </w:t>
      </w:r>
      <w:r w:rsidRPr="001F63BA">
        <w:rPr>
          <w:rFonts w:ascii="GHEA Grapalat" w:hAnsi="GHEA Grapalat"/>
          <w:sz w:val="22"/>
          <w:szCs w:val="22"/>
          <w:lang w:val="en-US"/>
        </w:rPr>
        <w:t>պատճառների</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դրանց</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կանխարգելմանն</w:t>
      </w:r>
      <w:r w:rsidRPr="001F63BA">
        <w:rPr>
          <w:rFonts w:ascii="GHEA Grapalat" w:hAnsi="GHEA Grapalat"/>
          <w:sz w:val="22"/>
          <w:szCs w:val="22"/>
          <w:lang w:val="af-ZA"/>
        </w:rPr>
        <w:t xml:space="preserve"> </w:t>
      </w:r>
      <w:r w:rsidRPr="001F63BA">
        <w:rPr>
          <w:rFonts w:ascii="GHEA Grapalat" w:hAnsi="GHEA Grapalat"/>
          <w:sz w:val="22"/>
          <w:szCs w:val="22"/>
          <w:lang w:val="en-US"/>
        </w:rPr>
        <w:t>ուղղված</w:t>
      </w:r>
      <w:r w:rsidRPr="001F63BA">
        <w:rPr>
          <w:rFonts w:ascii="GHEA Grapalat" w:hAnsi="GHEA Grapalat"/>
          <w:sz w:val="22"/>
          <w:szCs w:val="22"/>
          <w:lang w:val="af-ZA"/>
        </w:rPr>
        <w:t xml:space="preserve"> </w:t>
      </w:r>
      <w:r w:rsidRPr="001F63BA">
        <w:rPr>
          <w:rFonts w:ascii="GHEA Grapalat" w:hAnsi="GHEA Grapalat"/>
          <w:sz w:val="22"/>
          <w:szCs w:val="22"/>
          <w:lang w:val="en-US"/>
        </w:rPr>
        <w:t>միջոցառումների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իրականացումը</w:t>
      </w:r>
      <w:r w:rsidRPr="001F63BA">
        <w:rPr>
          <w:rFonts w:ascii="GHEA Grapalat" w:hAnsi="GHEA Grapalat"/>
          <w:sz w:val="22"/>
          <w:szCs w:val="22"/>
          <w:lang w:val="af-ZA"/>
        </w:rPr>
        <w:t xml:space="preserve">: </w:t>
      </w:r>
      <w:r w:rsidRPr="001F63BA">
        <w:rPr>
          <w:rFonts w:ascii="GHEA Grapalat" w:hAnsi="GHEA Grapalat"/>
          <w:sz w:val="22"/>
          <w:szCs w:val="22"/>
          <w:lang w:val="en-US"/>
        </w:rPr>
        <w:t>Բնակչության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հիգիենիկ</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հակահամաճարակային</w:t>
      </w:r>
      <w:r w:rsidRPr="001F63BA">
        <w:rPr>
          <w:rFonts w:ascii="GHEA Grapalat" w:hAnsi="GHEA Grapalat"/>
          <w:sz w:val="22"/>
          <w:szCs w:val="22"/>
          <w:lang w:val="af-ZA"/>
        </w:rPr>
        <w:t xml:space="preserve"> </w:t>
      </w:r>
      <w:r w:rsidRPr="001F63BA">
        <w:rPr>
          <w:rFonts w:ascii="GHEA Grapalat" w:hAnsi="GHEA Grapalat"/>
          <w:sz w:val="22"/>
          <w:szCs w:val="22"/>
          <w:lang w:val="en-US"/>
        </w:rPr>
        <w:lastRenderedPageBreak/>
        <w:t>անվտանգության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բնագավառում</w:t>
      </w:r>
      <w:r w:rsidRPr="001F63BA">
        <w:rPr>
          <w:rFonts w:ascii="GHEA Grapalat" w:hAnsi="GHEA Grapalat"/>
          <w:sz w:val="22"/>
          <w:szCs w:val="22"/>
          <w:lang w:val="af-ZA"/>
        </w:rPr>
        <w:t xml:space="preserve"> </w:t>
      </w:r>
      <w:r w:rsidRPr="001F63BA">
        <w:rPr>
          <w:rFonts w:ascii="GHEA Grapalat" w:hAnsi="GHEA Grapalat"/>
          <w:sz w:val="22"/>
          <w:szCs w:val="22"/>
          <w:lang w:val="en-US"/>
        </w:rPr>
        <w:t>տարվող</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քաղաքականության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նպատակն</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եղել</w:t>
      </w:r>
      <w:r w:rsidRPr="001F63BA">
        <w:rPr>
          <w:rFonts w:ascii="GHEA Grapalat" w:hAnsi="GHEA Grapalat"/>
          <w:sz w:val="22"/>
          <w:szCs w:val="22"/>
          <w:lang w:val="af-ZA"/>
        </w:rPr>
        <w:t xml:space="preserve"> </w:t>
      </w:r>
      <w:r w:rsidRPr="001F63BA">
        <w:rPr>
          <w:rFonts w:ascii="GHEA Grapalat" w:hAnsi="GHEA Grapalat"/>
          <w:sz w:val="22"/>
          <w:szCs w:val="22"/>
          <w:lang w:val="en-US"/>
        </w:rPr>
        <w:t>բնակչության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սանիտարահամաճարակային</w:t>
      </w:r>
      <w:r w:rsidRPr="001F63BA">
        <w:rPr>
          <w:rFonts w:ascii="GHEA Grapalat" w:hAnsi="GHEA Grapalat"/>
          <w:sz w:val="22"/>
          <w:szCs w:val="22"/>
          <w:lang w:val="af-ZA"/>
        </w:rPr>
        <w:t xml:space="preserve"> </w:t>
      </w:r>
      <w:r w:rsidRPr="001F63BA">
        <w:rPr>
          <w:rFonts w:ascii="GHEA Grapalat" w:hAnsi="GHEA Grapalat"/>
          <w:sz w:val="22"/>
          <w:szCs w:val="22"/>
          <w:lang w:val="en-US"/>
        </w:rPr>
        <w:t>անվտանգության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ապահովումը</w:t>
      </w:r>
      <w:r w:rsidRPr="001F63BA">
        <w:rPr>
          <w:rFonts w:ascii="GHEA Grapalat" w:hAnsi="GHEA Grapalat"/>
          <w:sz w:val="22"/>
          <w:szCs w:val="22"/>
          <w:lang w:val="af-ZA"/>
        </w:rPr>
        <w:t xml:space="preserve">, </w:t>
      </w:r>
      <w:r w:rsidRPr="001F63BA">
        <w:rPr>
          <w:rFonts w:ascii="GHEA Grapalat" w:hAnsi="GHEA Grapalat"/>
          <w:sz w:val="22"/>
          <w:szCs w:val="22"/>
          <w:lang w:val="en-US"/>
        </w:rPr>
        <w:t>մարդու</w:t>
      </w:r>
      <w:r w:rsidRPr="001F63BA">
        <w:rPr>
          <w:rFonts w:ascii="GHEA Grapalat" w:hAnsi="GHEA Grapalat"/>
          <w:sz w:val="22"/>
          <w:szCs w:val="22"/>
          <w:lang w:val="af-ZA"/>
        </w:rPr>
        <w:t xml:space="preserve"> </w:t>
      </w:r>
      <w:r w:rsidRPr="001F63BA">
        <w:rPr>
          <w:rFonts w:ascii="GHEA Grapalat" w:hAnsi="GHEA Grapalat"/>
          <w:sz w:val="22"/>
          <w:szCs w:val="22"/>
          <w:lang w:val="en-US"/>
        </w:rPr>
        <w:t>օրգանիզմի</w:t>
      </w:r>
      <w:r w:rsidRPr="001F63BA">
        <w:rPr>
          <w:rFonts w:ascii="GHEA Grapalat" w:hAnsi="GHEA Grapalat"/>
          <w:sz w:val="22"/>
          <w:szCs w:val="22"/>
          <w:lang w:val="af-ZA"/>
        </w:rPr>
        <w:t xml:space="preserve"> </w:t>
      </w:r>
      <w:r w:rsidRPr="001F63BA">
        <w:rPr>
          <w:rFonts w:ascii="GHEA Grapalat" w:hAnsi="GHEA Grapalat"/>
          <w:sz w:val="22"/>
          <w:szCs w:val="22"/>
          <w:lang w:val="en-US"/>
        </w:rPr>
        <w:t>վրա</w:t>
      </w:r>
      <w:r w:rsidRPr="001F63BA">
        <w:rPr>
          <w:rFonts w:ascii="GHEA Grapalat" w:hAnsi="GHEA Grapalat"/>
          <w:sz w:val="22"/>
          <w:szCs w:val="22"/>
          <w:lang w:val="af-ZA"/>
        </w:rPr>
        <w:t xml:space="preserve"> </w:t>
      </w:r>
      <w:r w:rsidRPr="001F63BA">
        <w:rPr>
          <w:rFonts w:ascii="GHEA Grapalat" w:hAnsi="GHEA Grapalat"/>
          <w:sz w:val="22"/>
          <w:szCs w:val="22"/>
          <w:lang w:val="en-US"/>
        </w:rPr>
        <w:t>շրջակա</w:t>
      </w:r>
      <w:r w:rsidRPr="001F63BA">
        <w:rPr>
          <w:rFonts w:ascii="GHEA Grapalat" w:hAnsi="GHEA Grapalat"/>
          <w:sz w:val="22"/>
          <w:szCs w:val="22"/>
          <w:lang w:val="af-ZA"/>
        </w:rPr>
        <w:t xml:space="preserve"> </w:t>
      </w:r>
      <w:r w:rsidRPr="001F63BA">
        <w:rPr>
          <w:rFonts w:ascii="GHEA Grapalat" w:hAnsi="GHEA Grapalat"/>
          <w:sz w:val="22"/>
          <w:szCs w:val="22"/>
          <w:lang w:val="en-US"/>
        </w:rPr>
        <w:t>միջավայրի</w:t>
      </w:r>
      <w:r w:rsidRPr="001F63BA">
        <w:rPr>
          <w:rFonts w:ascii="GHEA Grapalat" w:hAnsi="GHEA Grapalat"/>
          <w:sz w:val="22"/>
          <w:szCs w:val="22"/>
          <w:lang w:val="af-ZA"/>
        </w:rPr>
        <w:t xml:space="preserve"> </w:t>
      </w:r>
      <w:r w:rsidRPr="001F63BA">
        <w:rPr>
          <w:rFonts w:ascii="GHEA Grapalat" w:hAnsi="GHEA Grapalat"/>
          <w:sz w:val="22"/>
          <w:szCs w:val="22"/>
          <w:lang w:val="en-US"/>
        </w:rPr>
        <w:t>վնասակար</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վտանգավոր</w:t>
      </w:r>
      <w:r w:rsidRPr="001F63BA">
        <w:rPr>
          <w:rFonts w:ascii="GHEA Grapalat" w:hAnsi="GHEA Grapalat"/>
          <w:sz w:val="22"/>
          <w:szCs w:val="22"/>
          <w:lang w:val="af-ZA"/>
        </w:rPr>
        <w:t xml:space="preserve"> </w:t>
      </w:r>
      <w:r w:rsidRPr="001F63BA">
        <w:rPr>
          <w:rFonts w:ascii="GHEA Grapalat" w:hAnsi="GHEA Grapalat"/>
          <w:sz w:val="22"/>
          <w:szCs w:val="22"/>
          <w:lang w:val="en-US"/>
        </w:rPr>
        <w:t>գործոնների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ազդեցության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նվազեցումը</w:t>
      </w:r>
      <w:r w:rsidRPr="001F63BA">
        <w:rPr>
          <w:rFonts w:ascii="GHEA Grapalat" w:hAnsi="GHEA Grapalat"/>
          <w:sz w:val="22"/>
          <w:szCs w:val="22"/>
          <w:lang w:val="af-ZA"/>
        </w:rPr>
        <w:t xml:space="preserve">` </w:t>
      </w:r>
      <w:r w:rsidRPr="001F63BA">
        <w:rPr>
          <w:rFonts w:ascii="GHEA Grapalat" w:hAnsi="GHEA Grapalat"/>
          <w:sz w:val="22"/>
          <w:szCs w:val="22"/>
          <w:lang w:val="en-US"/>
        </w:rPr>
        <w:t>սանիտարահամաճարակային</w:t>
      </w:r>
      <w:r w:rsidRPr="001F63BA">
        <w:rPr>
          <w:rFonts w:ascii="GHEA Grapalat" w:hAnsi="GHEA Grapalat"/>
          <w:sz w:val="22"/>
          <w:szCs w:val="22"/>
          <w:lang w:val="af-ZA"/>
        </w:rPr>
        <w:t xml:space="preserve"> </w:t>
      </w:r>
      <w:r w:rsidRPr="001F63BA">
        <w:rPr>
          <w:rFonts w:ascii="GHEA Grapalat" w:hAnsi="GHEA Grapalat"/>
          <w:sz w:val="22"/>
          <w:szCs w:val="22"/>
          <w:lang w:val="en-US"/>
        </w:rPr>
        <w:t>կանոնների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նորմերի</w:t>
      </w:r>
      <w:r w:rsidRPr="001F63BA">
        <w:rPr>
          <w:rFonts w:ascii="GHEA Grapalat" w:hAnsi="GHEA Grapalat"/>
          <w:sz w:val="22"/>
          <w:szCs w:val="22"/>
          <w:lang w:val="af-ZA"/>
        </w:rPr>
        <w:t xml:space="preserve">, </w:t>
      </w:r>
      <w:r w:rsidRPr="001F63BA">
        <w:rPr>
          <w:rFonts w:ascii="GHEA Grapalat" w:hAnsi="GHEA Grapalat"/>
          <w:sz w:val="22"/>
          <w:szCs w:val="22"/>
          <w:lang w:val="en-US"/>
        </w:rPr>
        <w:t>հիգիենիկ</w:t>
      </w:r>
      <w:r w:rsidRPr="001F63BA">
        <w:rPr>
          <w:rFonts w:ascii="GHEA Grapalat" w:hAnsi="GHEA Grapalat"/>
          <w:sz w:val="22"/>
          <w:szCs w:val="22"/>
          <w:lang w:val="af-ZA"/>
        </w:rPr>
        <w:t xml:space="preserve"> </w:t>
      </w:r>
      <w:r w:rsidRPr="001F63BA">
        <w:rPr>
          <w:rFonts w:ascii="GHEA Grapalat" w:hAnsi="GHEA Grapalat"/>
          <w:sz w:val="22"/>
          <w:szCs w:val="22"/>
          <w:lang w:val="en-US"/>
        </w:rPr>
        <w:t>նորմատիվների</w:t>
      </w:r>
      <w:r w:rsidRPr="001F63BA">
        <w:rPr>
          <w:rFonts w:ascii="GHEA Grapalat" w:hAnsi="GHEA Grapalat"/>
          <w:sz w:val="22"/>
          <w:szCs w:val="22"/>
          <w:lang w:val="af-ZA"/>
        </w:rPr>
        <w:t xml:space="preserve"> </w:t>
      </w:r>
      <w:r w:rsidRPr="001F63BA">
        <w:rPr>
          <w:rFonts w:ascii="GHEA Grapalat" w:hAnsi="GHEA Grapalat"/>
          <w:sz w:val="22"/>
          <w:szCs w:val="22"/>
          <w:lang w:val="en-US"/>
        </w:rPr>
        <w:t>պահանջների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կատարման</w:t>
      </w:r>
      <w:r w:rsidRPr="001F63BA">
        <w:rPr>
          <w:rFonts w:ascii="GHEA Grapalat" w:hAnsi="GHEA Grapalat"/>
          <w:sz w:val="22"/>
          <w:szCs w:val="22"/>
          <w:lang w:val="af-ZA"/>
        </w:rPr>
        <w:t xml:space="preserve"> </w:t>
      </w:r>
      <w:r w:rsidRPr="001F63BA">
        <w:rPr>
          <w:rFonts w:ascii="GHEA Grapalat" w:hAnsi="GHEA Grapalat"/>
          <w:sz w:val="22"/>
          <w:szCs w:val="22"/>
          <w:lang w:val="en-US"/>
        </w:rPr>
        <w:t>նկատմամբ</w:t>
      </w:r>
      <w:r w:rsidRPr="001F63BA">
        <w:rPr>
          <w:rFonts w:ascii="GHEA Grapalat" w:hAnsi="GHEA Grapalat"/>
          <w:sz w:val="22"/>
          <w:szCs w:val="22"/>
          <w:lang w:val="af-ZA"/>
        </w:rPr>
        <w:t xml:space="preserve"> </w:t>
      </w:r>
      <w:r w:rsidRPr="001F63BA">
        <w:rPr>
          <w:rFonts w:ascii="GHEA Grapalat" w:hAnsi="GHEA Grapalat"/>
          <w:sz w:val="22"/>
          <w:szCs w:val="22"/>
          <w:lang w:val="en-US"/>
        </w:rPr>
        <w:t>վերահսկողության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 xml:space="preserve">: </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Շարունակվել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աշխատանքները</w:t>
      </w:r>
      <w:r w:rsidRPr="001F63BA">
        <w:rPr>
          <w:rFonts w:ascii="GHEA Grapalat" w:hAnsi="GHEA Grapalat"/>
          <w:sz w:val="22"/>
          <w:szCs w:val="22"/>
          <w:lang w:val="af-ZA"/>
        </w:rPr>
        <w:t xml:space="preserve"> </w:t>
      </w:r>
      <w:r w:rsidRPr="001F63BA">
        <w:rPr>
          <w:rFonts w:ascii="GHEA Grapalat" w:hAnsi="GHEA Grapalat"/>
          <w:sz w:val="22"/>
          <w:szCs w:val="22"/>
          <w:lang w:val="en-US"/>
        </w:rPr>
        <w:t>հանրային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վտանգ</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ներկայացնող</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իրավիճակներին</w:t>
      </w:r>
      <w:r w:rsidRPr="001F63BA">
        <w:rPr>
          <w:rFonts w:ascii="GHEA Grapalat" w:hAnsi="GHEA Grapalat"/>
          <w:sz w:val="22"/>
          <w:szCs w:val="22"/>
          <w:lang w:val="af-ZA"/>
        </w:rPr>
        <w:t xml:space="preserve"> </w:t>
      </w:r>
      <w:r w:rsidRPr="001F63BA">
        <w:rPr>
          <w:rFonts w:ascii="GHEA Grapalat" w:hAnsi="GHEA Grapalat"/>
          <w:sz w:val="22"/>
          <w:szCs w:val="22"/>
          <w:lang w:val="en-US"/>
        </w:rPr>
        <w:t>արձագանքման</w:t>
      </w:r>
      <w:r w:rsidRPr="001F63BA">
        <w:rPr>
          <w:rFonts w:ascii="GHEA Grapalat" w:hAnsi="GHEA Grapalat"/>
          <w:sz w:val="22"/>
          <w:szCs w:val="22"/>
          <w:lang w:val="af-ZA"/>
        </w:rPr>
        <w:t xml:space="preserve"> </w:t>
      </w:r>
      <w:r w:rsidRPr="001F63BA">
        <w:rPr>
          <w:rFonts w:ascii="GHEA Grapalat" w:hAnsi="GHEA Grapalat"/>
          <w:sz w:val="22"/>
          <w:szCs w:val="22"/>
          <w:lang w:val="en-US"/>
        </w:rPr>
        <w:t>կատարելագործման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համընդհանուր</w:t>
      </w:r>
      <w:r w:rsidRPr="001F63BA">
        <w:rPr>
          <w:rFonts w:ascii="GHEA Grapalat" w:hAnsi="GHEA Grapalat"/>
          <w:sz w:val="22"/>
          <w:szCs w:val="22"/>
          <w:lang w:val="af-ZA"/>
        </w:rPr>
        <w:t xml:space="preserve"> </w:t>
      </w:r>
      <w:r w:rsidRPr="001F63BA">
        <w:rPr>
          <w:rFonts w:ascii="GHEA Grapalat" w:hAnsi="GHEA Grapalat"/>
          <w:sz w:val="22"/>
          <w:szCs w:val="22"/>
          <w:lang w:val="en-US"/>
        </w:rPr>
        <w:t>լաբորատոր</w:t>
      </w:r>
      <w:r w:rsidRPr="001F63BA">
        <w:rPr>
          <w:rFonts w:ascii="GHEA Grapalat" w:hAnsi="GHEA Grapalat"/>
          <w:sz w:val="22"/>
          <w:szCs w:val="22"/>
          <w:lang w:val="af-ZA"/>
        </w:rPr>
        <w:t xml:space="preserve"> </w:t>
      </w:r>
      <w:r w:rsidRPr="001F63BA">
        <w:rPr>
          <w:rFonts w:ascii="GHEA Grapalat" w:hAnsi="GHEA Grapalat"/>
          <w:sz w:val="22"/>
          <w:szCs w:val="22"/>
          <w:lang w:val="en-US"/>
        </w:rPr>
        <w:t>ցանցի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լաբորատոր</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զարգացման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w:t>
      </w:r>
      <w:r w:rsidRPr="001F63BA">
        <w:rPr>
          <w:rFonts w:ascii="GHEA Grapalat" w:hAnsi="GHEA Grapalat"/>
          <w:sz w:val="22"/>
          <w:szCs w:val="22"/>
          <w:lang w:val="af-ZA"/>
        </w:rPr>
        <w:t xml:space="preserve"> </w:t>
      </w:r>
      <w:r w:rsidRPr="001F63BA">
        <w:rPr>
          <w:rFonts w:ascii="GHEA Grapalat" w:hAnsi="GHEA Grapalat"/>
          <w:sz w:val="22"/>
          <w:szCs w:val="22"/>
          <w:lang w:val="en-US"/>
        </w:rPr>
        <w:t>ապրելակերպի</w:t>
      </w:r>
      <w:r w:rsidRPr="001F63BA">
        <w:rPr>
          <w:rFonts w:ascii="GHEA Grapalat" w:hAnsi="GHEA Grapalat"/>
          <w:sz w:val="22"/>
          <w:szCs w:val="22"/>
          <w:lang w:val="af-ZA"/>
        </w:rPr>
        <w:t xml:space="preserve"> </w:t>
      </w:r>
      <w:r w:rsidRPr="001F63BA">
        <w:rPr>
          <w:rFonts w:ascii="GHEA Grapalat" w:hAnsi="GHEA Grapalat"/>
          <w:sz w:val="22"/>
          <w:szCs w:val="22"/>
          <w:lang w:val="en-US"/>
        </w:rPr>
        <w:t>քարոզչության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աշխատողների</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կանոնների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նորմերի</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կիրառման</w:t>
      </w:r>
      <w:r w:rsidRPr="001F63BA">
        <w:rPr>
          <w:rFonts w:ascii="GHEA Grapalat" w:hAnsi="GHEA Grapalat"/>
          <w:sz w:val="22"/>
          <w:szCs w:val="22"/>
          <w:lang w:val="af-ZA"/>
        </w:rPr>
        <w:t xml:space="preserve"> </w:t>
      </w:r>
      <w:r w:rsidRPr="001F63BA">
        <w:rPr>
          <w:rFonts w:ascii="GHEA Grapalat" w:hAnsi="GHEA Grapalat"/>
          <w:sz w:val="22"/>
          <w:szCs w:val="22"/>
          <w:lang w:val="en-US"/>
        </w:rPr>
        <w:t>ուղղություններով</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Արտահիվանդանոցային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հիվանդանոցային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մատչելիության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հասանելիության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ոլորտում</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կազմակերպման</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բարձրացման</w:t>
      </w:r>
      <w:r w:rsidRPr="001F63BA">
        <w:rPr>
          <w:rFonts w:ascii="GHEA Grapalat" w:hAnsi="GHEA Grapalat"/>
          <w:sz w:val="22"/>
          <w:szCs w:val="22"/>
          <w:lang w:val="af-ZA"/>
        </w:rPr>
        <w:t xml:space="preserve"> </w:t>
      </w:r>
      <w:r w:rsidRPr="001F63BA">
        <w:rPr>
          <w:rFonts w:ascii="GHEA Grapalat" w:hAnsi="GHEA Grapalat"/>
          <w:sz w:val="22"/>
          <w:szCs w:val="22"/>
          <w:lang w:val="en-US"/>
        </w:rPr>
        <w:t>առումով</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փուլ</w:t>
      </w:r>
      <w:r w:rsidRPr="001F63BA">
        <w:rPr>
          <w:rFonts w:ascii="GHEA Grapalat" w:hAnsi="GHEA Grapalat"/>
          <w:sz w:val="22"/>
          <w:szCs w:val="22"/>
          <w:lang w:val="af-ZA"/>
        </w:rPr>
        <w:t xml:space="preserve"> </w:t>
      </w:r>
      <w:r w:rsidRPr="001F63BA">
        <w:rPr>
          <w:rFonts w:ascii="GHEA Grapalat" w:hAnsi="GHEA Grapalat"/>
          <w:sz w:val="22"/>
          <w:szCs w:val="22"/>
          <w:lang w:val="en-US"/>
        </w:rPr>
        <w:t>առ</w:t>
      </w:r>
      <w:r w:rsidRPr="001F63BA">
        <w:rPr>
          <w:rFonts w:ascii="GHEA Grapalat" w:hAnsi="GHEA Grapalat"/>
          <w:sz w:val="22"/>
          <w:szCs w:val="22"/>
          <w:lang w:val="af-ZA"/>
        </w:rPr>
        <w:t xml:space="preserve"> </w:t>
      </w:r>
      <w:r w:rsidRPr="001F63BA">
        <w:rPr>
          <w:rFonts w:ascii="GHEA Grapalat" w:hAnsi="GHEA Grapalat"/>
          <w:sz w:val="22"/>
          <w:szCs w:val="22"/>
          <w:lang w:val="en-US"/>
        </w:rPr>
        <w:t>փուլ</w:t>
      </w:r>
      <w:r w:rsidRPr="001F63BA">
        <w:rPr>
          <w:rFonts w:ascii="GHEA Grapalat" w:hAnsi="GHEA Grapalat"/>
          <w:sz w:val="22"/>
          <w:szCs w:val="22"/>
          <w:lang w:val="af-ZA"/>
        </w:rPr>
        <w:t xml:space="preserve"> </w:t>
      </w:r>
      <w:r w:rsidRPr="001F63BA">
        <w:rPr>
          <w:rFonts w:ascii="GHEA Grapalat" w:hAnsi="GHEA Grapalat"/>
          <w:sz w:val="22"/>
          <w:szCs w:val="22"/>
          <w:lang w:val="en-US"/>
        </w:rPr>
        <w:t>ներդրվել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ապացուցողական</w:t>
      </w:r>
      <w:r w:rsidRPr="001F63BA">
        <w:rPr>
          <w:rFonts w:ascii="GHEA Grapalat" w:hAnsi="GHEA Grapalat"/>
          <w:sz w:val="22"/>
          <w:szCs w:val="22"/>
          <w:lang w:val="af-ZA"/>
        </w:rPr>
        <w:t xml:space="preserve"> </w:t>
      </w:r>
      <w:r w:rsidRPr="001F63BA">
        <w:rPr>
          <w:rFonts w:ascii="GHEA Grapalat" w:hAnsi="GHEA Grapalat"/>
          <w:sz w:val="22"/>
          <w:szCs w:val="22"/>
          <w:lang w:val="en-US"/>
        </w:rPr>
        <w:t>բժշկության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վրա</w:t>
      </w:r>
      <w:r w:rsidRPr="001F63BA">
        <w:rPr>
          <w:rFonts w:ascii="GHEA Grapalat" w:hAnsi="GHEA Grapalat"/>
          <w:sz w:val="22"/>
          <w:szCs w:val="22"/>
          <w:lang w:val="af-ZA"/>
        </w:rPr>
        <w:t xml:space="preserve"> </w:t>
      </w:r>
      <w:r w:rsidRPr="001F63BA">
        <w:rPr>
          <w:rFonts w:ascii="GHEA Grapalat" w:hAnsi="GHEA Grapalat"/>
          <w:sz w:val="22"/>
          <w:szCs w:val="22"/>
          <w:lang w:val="en-US"/>
        </w:rPr>
        <w:t>հիմնված</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տրամադրման</w:t>
      </w:r>
      <w:r w:rsidRPr="001F63BA">
        <w:rPr>
          <w:rFonts w:ascii="GHEA Grapalat" w:hAnsi="GHEA Grapalat"/>
          <w:sz w:val="22"/>
          <w:szCs w:val="22"/>
          <w:lang w:val="af-ZA"/>
        </w:rPr>
        <w:t xml:space="preserve"> </w:t>
      </w:r>
      <w:r w:rsidRPr="001F63BA">
        <w:rPr>
          <w:rFonts w:ascii="GHEA Grapalat" w:hAnsi="GHEA Grapalat"/>
          <w:sz w:val="22"/>
          <w:szCs w:val="22"/>
          <w:lang w:val="en-US"/>
        </w:rPr>
        <w:t>չափորոշիչները</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մարզային</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առաջնային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օղակի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հիվանդանոցային</w:t>
      </w:r>
      <w:r w:rsidRPr="001F63BA">
        <w:rPr>
          <w:rFonts w:ascii="GHEA Grapalat" w:hAnsi="GHEA Grapalat"/>
          <w:sz w:val="22"/>
          <w:szCs w:val="22"/>
          <w:lang w:val="af-ZA"/>
        </w:rPr>
        <w:t xml:space="preserve">) </w:t>
      </w:r>
      <w:r w:rsidRPr="001F63BA">
        <w:rPr>
          <w:rFonts w:ascii="GHEA Grapalat" w:hAnsi="GHEA Grapalat"/>
          <w:sz w:val="22"/>
          <w:szCs w:val="22"/>
          <w:lang w:val="en-US"/>
        </w:rPr>
        <w:t>վերանորոգելու</w:t>
      </w:r>
      <w:r w:rsidRPr="001F63BA">
        <w:rPr>
          <w:rFonts w:ascii="GHEA Grapalat" w:hAnsi="GHEA Grapalat"/>
          <w:sz w:val="22"/>
          <w:szCs w:val="22"/>
          <w:lang w:val="af-ZA"/>
        </w:rPr>
        <w:t xml:space="preserve">, </w:t>
      </w:r>
      <w:r w:rsidRPr="001F63BA">
        <w:rPr>
          <w:rFonts w:ascii="GHEA Grapalat" w:hAnsi="GHEA Grapalat"/>
          <w:sz w:val="22"/>
          <w:szCs w:val="22"/>
          <w:lang w:val="en-US"/>
        </w:rPr>
        <w:t>վերակառուցելու</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վերազինելու</w:t>
      </w:r>
      <w:r w:rsidRPr="001F63BA">
        <w:rPr>
          <w:rFonts w:ascii="GHEA Grapalat" w:hAnsi="GHEA Grapalat"/>
          <w:sz w:val="22"/>
          <w:szCs w:val="22"/>
          <w:lang w:val="af-ZA"/>
        </w:rPr>
        <w:t xml:space="preserve"> </w:t>
      </w:r>
      <w:r w:rsidRPr="001F63BA">
        <w:rPr>
          <w:rFonts w:ascii="GHEA Grapalat" w:hAnsi="GHEA Grapalat"/>
          <w:sz w:val="22"/>
          <w:szCs w:val="22"/>
          <w:lang w:val="en-US"/>
        </w:rPr>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իրականացումը</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ամբողջ</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տարածքում</w:t>
      </w:r>
      <w:r w:rsidRPr="001F63BA">
        <w:rPr>
          <w:rFonts w:ascii="GHEA Grapalat" w:hAnsi="GHEA Grapalat"/>
          <w:sz w:val="22"/>
          <w:szCs w:val="22"/>
          <w:lang w:val="af-ZA"/>
        </w:rPr>
        <w:t xml:space="preserve"> </w:t>
      </w:r>
      <w:r w:rsidRPr="001F63BA">
        <w:rPr>
          <w:rFonts w:ascii="GHEA Grapalat" w:hAnsi="GHEA Grapalat"/>
          <w:sz w:val="22"/>
          <w:szCs w:val="22"/>
          <w:lang w:val="en-US"/>
        </w:rPr>
        <w:t>հասանելի</w:t>
      </w:r>
      <w:r w:rsidRPr="001F63BA">
        <w:rPr>
          <w:rFonts w:ascii="GHEA Grapalat" w:hAnsi="GHEA Grapalat"/>
          <w:sz w:val="22"/>
          <w:szCs w:val="22"/>
          <w:lang w:val="af-ZA"/>
        </w:rPr>
        <w:t xml:space="preserve"> </w:t>
      </w:r>
      <w:r w:rsidRPr="001F63BA">
        <w:rPr>
          <w:rFonts w:ascii="GHEA Grapalat" w:hAnsi="GHEA Grapalat"/>
          <w:sz w:val="22"/>
          <w:szCs w:val="22"/>
          <w:lang w:val="en-US"/>
        </w:rPr>
        <w:t>դարձնելով</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ժամանակակից</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ոլորտը</w:t>
      </w:r>
      <w:r w:rsidRPr="001F63BA">
        <w:rPr>
          <w:rFonts w:ascii="GHEA Grapalat" w:hAnsi="GHEA Grapalat"/>
          <w:sz w:val="22"/>
          <w:szCs w:val="22"/>
          <w:lang w:val="af-ZA"/>
        </w:rPr>
        <w:t xml:space="preserve"> </w:t>
      </w:r>
      <w:r w:rsidRPr="001F63BA">
        <w:rPr>
          <w:rFonts w:ascii="GHEA Grapalat" w:hAnsi="GHEA Grapalat"/>
          <w:sz w:val="22"/>
          <w:szCs w:val="22"/>
          <w:lang w:val="en-US"/>
        </w:rPr>
        <w:t>նորագույն</w:t>
      </w:r>
      <w:r w:rsidRPr="001F63BA">
        <w:rPr>
          <w:rFonts w:ascii="GHEA Grapalat" w:hAnsi="GHEA Grapalat"/>
          <w:sz w:val="22"/>
          <w:szCs w:val="22"/>
          <w:lang w:val="af-ZA"/>
        </w:rPr>
        <w:t xml:space="preserve"> </w:t>
      </w:r>
      <w:r w:rsidRPr="001F63BA">
        <w:rPr>
          <w:rFonts w:ascii="GHEA Grapalat" w:hAnsi="GHEA Grapalat"/>
          <w:sz w:val="22"/>
          <w:szCs w:val="22"/>
          <w:lang w:val="en-US"/>
        </w:rPr>
        <w:t>սարքավորումներով</w:t>
      </w:r>
      <w:r w:rsidRPr="001F63BA">
        <w:rPr>
          <w:rFonts w:ascii="GHEA Grapalat" w:hAnsi="GHEA Grapalat"/>
          <w:sz w:val="22"/>
          <w:szCs w:val="22"/>
          <w:lang w:val="af-ZA"/>
        </w:rPr>
        <w:t xml:space="preserve"> </w:t>
      </w:r>
      <w:r w:rsidRPr="001F63BA">
        <w:rPr>
          <w:rFonts w:ascii="GHEA Grapalat" w:hAnsi="GHEA Grapalat"/>
          <w:sz w:val="22"/>
          <w:szCs w:val="22"/>
          <w:lang w:val="en-US"/>
        </w:rPr>
        <w:t>վերազինելու</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միասնական</w:t>
      </w:r>
      <w:r w:rsidRPr="001F63BA">
        <w:rPr>
          <w:rFonts w:ascii="GHEA Grapalat" w:hAnsi="GHEA Grapalat"/>
          <w:sz w:val="22"/>
          <w:szCs w:val="22"/>
          <w:lang w:val="af-ZA"/>
        </w:rPr>
        <w:t xml:space="preserve"> </w:t>
      </w:r>
      <w:r w:rsidRPr="001F63BA">
        <w:rPr>
          <w:rFonts w:ascii="GHEA Grapalat" w:hAnsi="GHEA Grapalat"/>
          <w:sz w:val="22"/>
          <w:szCs w:val="22"/>
          <w:lang w:val="en-US"/>
        </w:rPr>
        <w:t>էլեկտրոնային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w:t>
      </w:r>
      <w:r w:rsidRPr="001F63BA">
        <w:rPr>
          <w:rFonts w:ascii="GHEA Grapalat" w:hAnsi="GHEA Grapalat"/>
          <w:sz w:val="22"/>
          <w:szCs w:val="22"/>
          <w:lang w:val="af-ZA"/>
        </w:rPr>
        <w:t xml:space="preserve"> </w:t>
      </w:r>
      <w:r w:rsidRPr="001F63BA">
        <w:rPr>
          <w:rFonts w:ascii="GHEA Grapalat" w:hAnsi="GHEA Grapalat"/>
          <w:sz w:val="22"/>
          <w:szCs w:val="22"/>
          <w:lang w:val="en-US"/>
        </w:rPr>
        <w:t>ներդնելու</w:t>
      </w:r>
      <w:r w:rsidRPr="001F63BA">
        <w:rPr>
          <w:rFonts w:ascii="GHEA Grapalat" w:hAnsi="GHEA Grapalat"/>
          <w:sz w:val="22"/>
          <w:szCs w:val="22"/>
          <w:lang w:val="af-ZA"/>
        </w:rPr>
        <w:t xml:space="preserve"> </w:t>
      </w:r>
      <w:r w:rsidRPr="001F63BA">
        <w:rPr>
          <w:rFonts w:ascii="GHEA Grapalat" w:hAnsi="GHEA Grapalat"/>
          <w:sz w:val="22"/>
          <w:szCs w:val="22"/>
          <w:lang w:val="en-US"/>
        </w:rPr>
        <w:t>ուղղություններով</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առաջնային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մատուցող</w:t>
      </w:r>
      <w:r w:rsidRPr="001F63BA">
        <w:rPr>
          <w:rFonts w:ascii="GHEA Grapalat" w:hAnsi="GHEA Grapalat"/>
          <w:sz w:val="22"/>
          <w:szCs w:val="22"/>
          <w:lang w:val="af-ZA"/>
        </w:rPr>
        <w:t xml:space="preserve"> </w:t>
      </w:r>
      <w:r w:rsidRPr="001F63BA">
        <w:rPr>
          <w:rFonts w:ascii="GHEA Grapalat" w:hAnsi="GHEA Grapalat"/>
          <w:sz w:val="22"/>
          <w:szCs w:val="22"/>
          <w:lang w:val="en-US"/>
        </w:rPr>
        <w:t>բժշկի</w:t>
      </w:r>
      <w:r w:rsidRPr="001F63BA">
        <w:rPr>
          <w:rFonts w:ascii="GHEA Grapalat" w:hAnsi="GHEA Grapalat"/>
          <w:sz w:val="22"/>
          <w:szCs w:val="22"/>
          <w:lang w:val="af-ZA"/>
        </w:rPr>
        <w:t xml:space="preserve"> (</w:t>
      </w:r>
      <w:r w:rsidRPr="001F63BA">
        <w:rPr>
          <w:rFonts w:ascii="GHEA Grapalat" w:hAnsi="GHEA Grapalat"/>
          <w:sz w:val="22"/>
          <w:szCs w:val="22"/>
          <w:lang w:val="en-US"/>
        </w:rPr>
        <w:t>տեղամասային</w:t>
      </w:r>
      <w:r w:rsidRPr="001F63BA">
        <w:rPr>
          <w:rFonts w:ascii="GHEA Grapalat" w:hAnsi="GHEA Grapalat"/>
          <w:sz w:val="22"/>
          <w:szCs w:val="22"/>
          <w:lang w:val="af-ZA"/>
        </w:rPr>
        <w:t xml:space="preserve"> </w:t>
      </w:r>
      <w:r w:rsidRPr="001F63BA">
        <w:rPr>
          <w:rFonts w:ascii="GHEA Grapalat" w:hAnsi="GHEA Grapalat"/>
          <w:sz w:val="22"/>
          <w:szCs w:val="22"/>
          <w:lang w:val="en-US"/>
        </w:rPr>
        <w:t>թերապևտ</w:t>
      </w:r>
      <w:r w:rsidRPr="001F63BA">
        <w:rPr>
          <w:rFonts w:ascii="GHEA Grapalat" w:hAnsi="GHEA Grapalat"/>
          <w:sz w:val="22"/>
          <w:szCs w:val="22"/>
          <w:lang w:val="af-ZA"/>
        </w:rPr>
        <w:t xml:space="preserve">, </w:t>
      </w:r>
      <w:r w:rsidRPr="001F63BA">
        <w:rPr>
          <w:rFonts w:ascii="GHEA Grapalat" w:hAnsi="GHEA Grapalat"/>
          <w:sz w:val="22"/>
          <w:szCs w:val="22"/>
          <w:lang w:val="en-US"/>
        </w:rPr>
        <w:t>մանկաբույժ</w:t>
      </w:r>
      <w:r w:rsidRPr="001F63BA">
        <w:rPr>
          <w:rFonts w:ascii="GHEA Grapalat" w:hAnsi="GHEA Grapalat"/>
          <w:sz w:val="22"/>
          <w:szCs w:val="22"/>
          <w:lang w:val="af-ZA"/>
        </w:rPr>
        <w:t xml:space="preserve">, </w:t>
      </w:r>
      <w:r w:rsidRPr="001F63BA">
        <w:rPr>
          <w:rFonts w:ascii="GHEA Grapalat" w:hAnsi="GHEA Grapalat"/>
          <w:sz w:val="22"/>
          <w:szCs w:val="22"/>
          <w:lang w:val="en-US"/>
        </w:rPr>
        <w:t>ընտանեկան</w:t>
      </w:r>
      <w:r w:rsidRPr="001F63BA">
        <w:rPr>
          <w:rFonts w:ascii="GHEA Grapalat" w:hAnsi="GHEA Grapalat"/>
          <w:sz w:val="22"/>
          <w:szCs w:val="22"/>
          <w:lang w:val="af-ZA"/>
        </w:rPr>
        <w:t xml:space="preserve"> </w:t>
      </w:r>
      <w:r w:rsidRPr="001F63BA">
        <w:rPr>
          <w:rFonts w:ascii="GHEA Grapalat" w:hAnsi="GHEA Grapalat"/>
          <w:sz w:val="22"/>
          <w:szCs w:val="22"/>
          <w:lang w:val="en-US"/>
        </w:rPr>
        <w:t>բժիշկ</w:t>
      </w:r>
      <w:r w:rsidRPr="001F63BA">
        <w:rPr>
          <w:rFonts w:ascii="GHEA Grapalat" w:hAnsi="GHEA Grapalat"/>
          <w:sz w:val="22"/>
          <w:szCs w:val="22"/>
          <w:lang w:val="af-ZA"/>
        </w:rPr>
        <w:t xml:space="preserve">) </w:t>
      </w:r>
      <w:r w:rsidRPr="001F63BA">
        <w:rPr>
          <w:rFonts w:ascii="GHEA Grapalat" w:hAnsi="GHEA Grapalat"/>
          <w:sz w:val="22"/>
          <w:szCs w:val="22"/>
          <w:lang w:val="en-US"/>
        </w:rPr>
        <w:t>գործառույթներն</w:t>
      </w:r>
      <w:r w:rsidRPr="001F63BA">
        <w:rPr>
          <w:rFonts w:ascii="GHEA Grapalat" w:hAnsi="GHEA Grapalat"/>
          <w:sz w:val="22"/>
          <w:szCs w:val="22"/>
          <w:lang w:val="af-ZA"/>
        </w:rPr>
        <w:t xml:space="preserve"> </w:t>
      </w:r>
      <w:r w:rsidRPr="001F63BA">
        <w:rPr>
          <w:rFonts w:ascii="GHEA Grapalat" w:hAnsi="GHEA Grapalat"/>
          <w:sz w:val="22"/>
          <w:szCs w:val="22"/>
          <w:lang w:val="en-US"/>
        </w:rPr>
        <w:t>առավելագույնս</w:t>
      </w:r>
      <w:r w:rsidRPr="001F63BA">
        <w:rPr>
          <w:rFonts w:ascii="GHEA Grapalat" w:hAnsi="GHEA Grapalat"/>
          <w:sz w:val="22"/>
          <w:szCs w:val="22"/>
          <w:lang w:val="af-ZA"/>
        </w:rPr>
        <w:t xml:space="preserve"> </w:t>
      </w:r>
      <w:r w:rsidRPr="001F63BA">
        <w:rPr>
          <w:rFonts w:ascii="GHEA Grapalat" w:hAnsi="GHEA Grapalat"/>
          <w:sz w:val="22"/>
          <w:szCs w:val="22"/>
          <w:lang w:val="en-US"/>
        </w:rPr>
        <w:t>ուղղվել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կանխարգելմանն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վաղ</w:t>
      </w:r>
      <w:r w:rsidRPr="001F63BA">
        <w:rPr>
          <w:rFonts w:ascii="GHEA Grapalat" w:hAnsi="GHEA Grapalat"/>
          <w:sz w:val="22"/>
          <w:szCs w:val="22"/>
          <w:lang w:val="af-ZA"/>
        </w:rPr>
        <w:t xml:space="preserve"> </w:t>
      </w:r>
      <w:r w:rsidRPr="001F63BA">
        <w:rPr>
          <w:rFonts w:ascii="GHEA Grapalat" w:hAnsi="GHEA Grapalat"/>
          <w:sz w:val="22"/>
          <w:szCs w:val="22"/>
          <w:lang w:val="en-US"/>
        </w:rPr>
        <w:t>հայտնաբերմանը</w:t>
      </w:r>
      <w:r w:rsidRPr="001F63BA">
        <w:rPr>
          <w:rFonts w:ascii="GHEA Grapalat" w:hAnsi="GHEA Grapalat"/>
          <w:sz w:val="22"/>
          <w:szCs w:val="22"/>
          <w:lang w:val="af-ZA"/>
        </w:rPr>
        <w:t xml:space="preserve">: </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Մոր</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մանկան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ոլորտում</w:t>
      </w:r>
      <w:r w:rsidRPr="001F63BA">
        <w:rPr>
          <w:rFonts w:ascii="GHEA Grapalat" w:hAnsi="GHEA Grapalat"/>
          <w:sz w:val="22"/>
          <w:szCs w:val="22"/>
          <w:lang w:val="af-ZA"/>
        </w:rPr>
        <w:t xml:space="preserve"> </w:t>
      </w:r>
      <w:r w:rsidR="00FF639B" w:rsidRPr="001F63BA">
        <w:rPr>
          <w:rFonts w:ascii="GHEA Grapalat" w:hAnsi="GHEA Grapalat"/>
          <w:sz w:val="22"/>
          <w:szCs w:val="22"/>
          <w:lang w:val="en-US"/>
        </w:rPr>
        <w:t>Կառավարությ</w:t>
      </w:r>
      <w:r w:rsidRPr="001F63BA">
        <w:rPr>
          <w:rFonts w:ascii="GHEA Grapalat" w:hAnsi="GHEA Grapalat"/>
          <w:sz w:val="22"/>
          <w:szCs w:val="22"/>
          <w:lang w:val="en-US"/>
        </w:rPr>
        <w:t>ունը</w:t>
      </w:r>
      <w:r w:rsidRPr="001F63BA">
        <w:rPr>
          <w:rFonts w:ascii="GHEA Grapalat" w:hAnsi="GHEA Grapalat"/>
          <w:sz w:val="22"/>
          <w:szCs w:val="22"/>
          <w:lang w:val="af-ZA"/>
        </w:rPr>
        <w:t xml:space="preserve"> </w:t>
      </w:r>
      <w:r w:rsidRPr="001F63BA">
        <w:rPr>
          <w:rFonts w:ascii="GHEA Grapalat" w:hAnsi="GHEA Grapalat"/>
          <w:sz w:val="22"/>
          <w:szCs w:val="22"/>
          <w:lang w:val="en-US"/>
        </w:rPr>
        <w:t>նպաստել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մոր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մանկան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ցուցանիշների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բարելավմանը</w:t>
      </w:r>
      <w:r w:rsidRPr="001F63BA">
        <w:rPr>
          <w:rFonts w:ascii="GHEA Grapalat" w:hAnsi="GHEA Grapalat"/>
          <w:sz w:val="22"/>
          <w:szCs w:val="22"/>
          <w:lang w:val="af-ZA"/>
        </w:rPr>
        <w:t xml:space="preserve">` </w:t>
      </w:r>
      <w:r w:rsidRPr="001F63BA">
        <w:rPr>
          <w:rFonts w:ascii="GHEA Grapalat" w:hAnsi="GHEA Grapalat"/>
          <w:sz w:val="22"/>
          <w:szCs w:val="22"/>
          <w:lang w:val="en-US"/>
        </w:rPr>
        <w:t>ուղղորդված</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ծրագրային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միջոցառումների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իրականացման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ապահովելու</w:t>
      </w:r>
      <w:r w:rsidRPr="001F63BA">
        <w:rPr>
          <w:rFonts w:ascii="GHEA Grapalat" w:hAnsi="GHEA Grapalat"/>
          <w:sz w:val="22"/>
          <w:szCs w:val="22"/>
          <w:lang w:val="af-ZA"/>
        </w:rPr>
        <w:t xml:space="preserve"> </w:t>
      </w:r>
      <w:r w:rsidRPr="001F63BA">
        <w:rPr>
          <w:rFonts w:ascii="GHEA Grapalat" w:hAnsi="GHEA Grapalat"/>
          <w:sz w:val="22"/>
          <w:szCs w:val="22"/>
          <w:lang w:val="en-US"/>
        </w:rPr>
        <w:t>մոր</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մանկան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առաջնային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համակարգում</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կանխարգելիչ</w:t>
      </w:r>
      <w:r w:rsidRPr="001F63BA">
        <w:rPr>
          <w:rFonts w:ascii="GHEA Grapalat" w:hAnsi="GHEA Grapalat"/>
          <w:sz w:val="22"/>
          <w:szCs w:val="22"/>
          <w:lang w:val="af-ZA"/>
        </w:rPr>
        <w:t xml:space="preserve"> </w:t>
      </w:r>
      <w:r w:rsidRPr="001F63BA">
        <w:rPr>
          <w:rFonts w:ascii="GHEA Grapalat" w:hAnsi="GHEA Grapalat"/>
          <w:sz w:val="22"/>
          <w:szCs w:val="22"/>
          <w:lang w:val="en-US"/>
        </w:rPr>
        <w:t>ծրագրային</w:t>
      </w:r>
      <w:r w:rsidRPr="001F63BA">
        <w:rPr>
          <w:rFonts w:ascii="GHEA Grapalat" w:hAnsi="GHEA Grapalat"/>
          <w:sz w:val="22"/>
          <w:szCs w:val="22"/>
          <w:lang w:val="af-ZA"/>
        </w:rPr>
        <w:t xml:space="preserve"> </w:t>
      </w:r>
      <w:r w:rsidRPr="001F63BA">
        <w:rPr>
          <w:rFonts w:ascii="GHEA Grapalat" w:hAnsi="GHEA Grapalat"/>
          <w:sz w:val="22"/>
          <w:szCs w:val="22"/>
          <w:lang w:val="en-US"/>
        </w:rPr>
        <w:t>ուղղությունների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ուժեղացումը</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կադրային</w:t>
      </w:r>
      <w:r w:rsidRPr="001F63BA">
        <w:rPr>
          <w:rFonts w:ascii="GHEA Grapalat" w:hAnsi="GHEA Grapalat"/>
          <w:sz w:val="22"/>
          <w:szCs w:val="22"/>
          <w:lang w:val="af-ZA"/>
        </w:rPr>
        <w:t xml:space="preserve"> </w:t>
      </w:r>
      <w:r w:rsidRPr="001F63BA">
        <w:rPr>
          <w:rFonts w:ascii="GHEA Grapalat" w:hAnsi="GHEA Grapalat"/>
          <w:sz w:val="22"/>
          <w:szCs w:val="22"/>
          <w:lang w:val="en-US"/>
        </w:rPr>
        <w:t>ներուժի</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ոլորտում</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w:t>
      </w:r>
      <w:r w:rsidRPr="001F63BA">
        <w:rPr>
          <w:rFonts w:ascii="GHEA Grapalat" w:hAnsi="GHEA Grapalat"/>
          <w:sz w:val="22"/>
          <w:szCs w:val="22"/>
          <w:lang w:val="af-ZA"/>
        </w:rPr>
        <w:t xml:space="preserve"> </w:t>
      </w:r>
      <w:r w:rsidRPr="001F63BA">
        <w:rPr>
          <w:rFonts w:ascii="GHEA Grapalat" w:hAnsi="GHEA Grapalat"/>
          <w:sz w:val="22"/>
          <w:szCs w:val="22"/>
          <w:lang w:val="en-US"/>
        </w:rPr>
        <w:t>բուժաշխատողների</w:t>
      </w:r>
      <w:r w:rsidRPr="001F63BA">
        <w:rPr>
          <w:rFonts w:ascii="GHEA Grapalat" w:hAnsi="GHEA Grapalat"/>
          <w:sz w:val="22"/>
          <w:szCs w:val="22"/>
          <w:lang w:val="af-ZA"/>
        </w:rPr>
        <w:t xml:space="preserve"> </w:t>
      </w:r>
      <w:r w:rsidRPr="001F63BA">
        <w:rPr>
          <w:rFonts w:ascii="GHEA Grapalat" w:hAnsi="GHEA Grapalat"/>
          <w:sz w:val="22"/>
          <w:szCs w:val="22"/>
          <w:lang w:val="en-US"/>
        </w:rPr>
        <w:t>մասնագիտական</w:t>
      </w:r>
      <w:r w:rsidRPr="001F63BA">
        <w:rPr>
          <w:rFonts w:ascii="GHEA Grapalat" w:hAnsi="GHEA Grapalat"/>
          <w:sz w:val="22"/>
          <w:szCs w:val="22"/>
          <w:lang w:val="af-ZA"/>
        </w:rPr>
        <w:t xml:space="preserve"> </w:t>
      </w:r>
      <w:r w:rsidRPr="001F63BA">
        <w:rPr>
          <w:rFonts w:ascii="GHEA Grapalat" w:hAnsi="GHEA Grapalat"/>
          <w:sz w:val="22"/>
          <w:szCs w:val="22"/>
          <w:lang w:val="en-US"/>
        </w:rPr>
        <w:t>գիտելիքների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հմտությունների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w:t>
      </w:r>
      <w:r w:rsidRPr="001F63BA">
        <w:rPr>
          <w:rFonts w:ascii="GHEA Grapalat" w:hAnsi="GHEA Grapalat"/>
          <w:sz w:val="22"/>
          <w:szCs w:val="22"/>
          <w:lang w:val="af-ZA"/>
        </w:rPr>
        <w:softHyphen/>
      </w:r>
      <w:r w:rsidRPr="001F63BA">
        <w:rPr>
          <w:rFonts w:ascii="GHEA Grapalat" w:hAnsi="GHEA Grapalat"/>
          <w:sz w:val="22"/>
          <w:szCs w:val="22"/>
          <w:lang w:val="en-US"/>
        </w:rPr>
        <w:t>կական</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ուղղությամբ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Ներդրվել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մեխանիզմներ</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կադրային</w:t>
      </w:r>
      <w:r w:rsidRPr="001F63BA">
        <w:rPr>
          <w:rFonts w:ascii="GHEA Grapalat" w:hAnsi="GHEA Grapalat"/>
          <w:sz w:val="22"/>
          <w:szCs w:val="22"/>
          <w:lang w:val="af-ZA"/>
        </w:rPr>
        <w:t xml:space="preserve"> </w:t>
      </w:r>
      <w:r w:rsidRPr="001F63BA">
        <w:rPr>
          <w:rFonts w:ascii="GHEA Grapalat" w:hAnsi="GHEA Grapalat"/>
          <w:sz w:val="22"/>
          <w:szCs w:val="22"/>
          <w:lang w:val="en-US"/>
        </w:rPr>
        <w:lastRenderedPageBreak/>
        <w:t>ներուժի</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տարածքային</w:t>
      </w:r>
      <w:r w:rsidRPr="001F63BA">
        <w:rPr>
          <w:rFonts w:ascii="GHEA Grapalat" w:hAnsi="GHEA Grapalat"/>
          <w:sz w:val="22"/>
          <w:szCs w:val="22"/>
          <w:lang w:val="af-ZA"/>
        </w:rPr>
        <w:t xml:space="preserve"> </w:t>
      </w:r>
      <w:r w:rsidRPr="001F63BA">
        <w:rPr>
          <w:rFonts w:ascii="GHEA Grapalat" w:hAnsi="GHEA Grapalat"/>
          <w:sz w:val="22"/>
          <w:szCs w:val="22"/>
          <w:lang w:val="en-US"/>
        </w:rPr>
        <w:t>օպտիմալ</w:t>
      </w:r>
      <w:r w:rsidRPr="001F63BA">
        <w:rPr>
          <w:rFonts w:ascii="GHEA Grapalat" w:hAnsi="GHEA Grapalat"/>
          <w:sz w:val="22"/>
          <w:szCs w:val="22"/>
          <w:lang w:val="af-ZA"/>
        </w:rPr>
        <w:t xml:space="preserve"> </w:t>
      </w:r>
      <w:r w:rsidRPr="001F63BA">
        <w:rPr>
          <w:rFonts w:ascii="GHEA Grapalat" w:hAnsi="GHEA Grapalat"/>
          <w:sz w:val="22"/>
          <w:szCs w:val="22"/>
          <w:lang w:val="en-US"/>
        </w:rPr>
        <w:t>բաշխման</w:t>
      </w:r>
      <w:r w:rsidRPr="001F63BA">
        <w:rPr>
          <w:rFonts w:ascii="GHEA Grapalat" w:hAnsi="GHEA Grapalat"/>
          <w:sz w:val="22"/>
          <w:szCs w:val="22"/>
          <w:lang w:val="af-ZA"/>
        </w:rPr>
        <w:t xml:space="preserve">, </w:t>
      </w:r>
      <w:r w:rsidRPr="001F63BA">
        <w:rPr>
          <w:rFonts w:ascii="GHEA Grapalat" w:hAnsi="GHEA Grapalat"/>
          <w:sz w:val="22"/>
          <w:szCs w:val="22"/>
          <w:lang w:val="en-US"/>
        </w:rPr>
        <w:t>մարզային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որակյալ</w:t>
      </w:r>
      <w:r w:rsidRPr="001F63BA">
        <w:rPr>
          <w:rFonts w:ascii="GHEA Grapalat" w:hAnsi="GHEA Grapalat"/>
          <w:sz w:val="22"/>
          <w:szCs w:val="22"/>
          <w:lang w:val="af-ZA"/>
        </w:rPr>
        <w:t xml:space="preserve"> </w:t>
      </w:r>
      <w:r w:rsidRPr="001F63BA">
        <w:rPr>
          <w:rFonts w:ascii="GHEA Grapalat" w:hAnsi="GHEA Grapalat"/>
          <w:sz w:val="22"/>
          <w:szCs w:val="22"/>
          <w:lang w:val="en-US"/>
        </w:rPr>
        <w:t>կադրերով</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ապահովելու</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բժշկի</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աշխատանքը</w:t>
      </w:r>
      <w:r w:rsidRPr="001F63BA">
        <w:rPr>
          <w:rFonts w:ascii="GHEA Grapalat" w:hAnsi="GHEA Grapalat"/>
          <w:sz w:val="22"/>
          <w:szCs w:val="22"/>
          <w:lang w:val="af-ZA"/>
        </w:rPr>
        <w:t xml:space="preserve"> </w:t>
      </w:r>
      <w:r w:rsidRPr="001F63BA">
        <w:rPr>
          <w:rFonts w:ascii="GHEA Grapalat" w:hAnsi="GHEA Grapalat"/>
          <w:sz w:val="22"/>
          <w:szCs w:val="22"/>
          <w:lang w:val="en-US"/>
        </w:rPr>
        <w:t>մարզում</w:t>
      </w:r>
      <w:r w:rsidRPr="001F63BA">
        <w:rPr>
          <w:rFonts w:ascii="GHEA Grapalat" w:hAnsi="GHEA Grapalat"/>
          <w:sz w:val="22"/>
          <w:szCs w:val="22"/>
          <w:lang w:val="af-ZA"/>
        </w:rPr>
        <w:t xml:space="preserve"> </w:t>
      </w:r>
      <w:r w:rsidRPr="001F63BA">
        <w:rPr>
          <w:rFonts w:ascii="GHEA Grapalat" w:hAnsi="GHEA Grapalat"/>
          <w:sz w:val="22"/>
          <w:szCs w:val="22"/>
          <w:lang w:val="en-US"/>
        </w:rPr>
        <w:t>հնարավորինս</w:t>
      </w:r>
      <w:r w:rsidRPr="001F63BA">
        <w:rPr>
          <w:rFonts w:ascii="GHEA Grapalat" w:hAnsi="GHEA Grapalat"/>
          <w:sz w:val="22"/>
          <w:szCs w:val="22"/>
          <w:lang w:val="af-ZA"/>
        </w:rPr>
        <w:t xml:space="preserve"> </w:t>
      </w:r>
      <w:r w:rsidRPr="001F63BA">
        <w:rPr>
          <w:rFonts w:ascii="GHEA Grapalat" w:hAnsi="GHEA Grapalat"/>
          <w:sz w:val="22"/>
          <w:szCs w:val="22"/>
          <w:lang w:val="en-US"/>
        </w:rPr>
        <w:t>խրախուսելու</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Դեղերի</w:t>
      </w:r>
      <w:r w:rsidRPr="001F63BA">
        <w:rPr>
          <w:rFonts w:ascii="GHEA Grapalat" w:hAnsi="GHEA Grapalat"/>
          <w:sz w:val="22"/>
          <w:szCs w:val="22"/>
          <w:lang w:val="af-ZA"/>
        </w:rPr>
        <w:t xml:space="preserve"> </w:t>
      </w:r>
      <w:r w:rsidRPr="001F63BA">
        <w:rPr>
          <w:rFonts w:ascii="GHEA Grapalat" w:hAnsi="GHEA Grapalat"/>
          <w:sz w:val="22"/>
          <w:szCs w:val="22"/>
          <w:lang w:val="en-US"/>
        </w:rPr>
        <w:t>անվտանգության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արդյունավետության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ոլորտում</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հանրապետությունում</w:t>
      </w:r>
      <w:r w:rsidRPr="001F63BA">
        <w:rPr>
          <w:rFonts w:ascii="GHEA Grapalat" w:hAnsi="GHEA Grapalat"/>
          <w:sz w:val="22"/>
          <w:szCs w:val="22"/>
          <w:lang w:val="af-ZA"/>
        </w:rPr>
        <w:t xml:space="preserve"> </w:t>
      </w:r>
      <w:r w:rsidRPr="001F63BA">
        <w:rPr>
          <w:rFonts w:ascii="GHEA Grapalat" w:hAnsi="GHEA Grapalat"/>
          <w:sz w:val="22"/>
          <w:szCs w:val="22"/>
          <w:lang w:val="en-US"/>
        </w:rPr>
        <w:t>անվտանգ</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արդյունավետ</w:t>
      </w:r>
      <w:r w:rsidRPr="001F63BA">
        <w:rPr>
          <w:rFonts w:ascii="GHEA Grapalat" w:hAnsi="GHEA Grapalat"/>
          <w:sz w:val="22"/>
          <w:szCs w:val="22"/>
          <w:lang w:val="af-ZA"/>
        </w:rPr>
        <w:t xml:space="preserve">, </w:t>
      </w:r>
      <w:r w:rsidRPr="001F63BA">
        <w:rPr>
          <w:rFonts w:ascii="GHEA Grapalat" w:hAnsi="GHEA Grapalat"/>
          <w:sz w:val="22"/>
          <w:szCs w:val="22"/>
          <w:lang w:val="en-US"/>
        </w:rPr>
        <w:t>որակյալ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մատչելի</w:t>
      </w:r>
      <w:r w:rsidRPr="001F63BA">
        <w:rPr>
          <w:rFonts w:ascii="GHEA Grapalat" w:hAnsi="GHEA Grapalat"/>
          <w:sz w:val="22"/>
          <w:szCs w:val="22"/>
          <w:lang w:val="af-ZA"/>
        </w:rPr>
        <w:t xml:space="preserve"> </w:t>
      </w:r>
      <w:r w:rsidRPr="001F63BA">
        <w:rPr>
          <w:rFonts w:ascii="GHEA Grapalat" w:hAnsi="GHEA Grapalat"/>
          <w:sz w:val="22"/>
          <w:szCs w:val="22"/>
          <w:lang w:val="en-US"/>
        </w:rPr>
        <w:t>դեղեր</w:t>
      </w:r>
      <w:r w:rsidRPr="001F63BA">
        <w:rPr>
          <w:rFonts w:ascii="GHEA Grapalat" w:hAnsi="GHEA Grapalat"/>
          <w:sz w:val="22"/>
          <w:szCs w:val="22"/>
          <w:lang w:val="af-ZA"/>
        </w:rPr>
        <w:t xml:space="preserve"> </w:t>
      </w:r>
      <w:r w:rsidRPr="001F63BA">
        <w:rPr>
          <w:rFonts w:ascii="GHEA Grapalat" w:hAnsi="GHEA Grapalat"/>
          <w:sz w:val="22"/>
          <w:szCs w:val="22"/>
          <w:lang w:val="en-US"/>
        </w:rPr>
        <w:t>ունենալու</w:t>
      </w:r>
      <w:r w:rsidRPr="001F63BA">
        <w:rPr>
          <w:rFonts w:ascii="GHEA Grapalat" w:hAnsi="GHEA Grapalat"/>
          <w:sz w:val="22"/>
          <w:szCs w:val="22"/>
          <w:lang w:val="af-ZA"/>
        </w:rPr>
        <w:t xml:space="preserve"> </w:t>
      </w:r>
      <w:r w:rsidRPr="001F63BA">
        <w:rPr>
          <w:rFonts w:ascii="GHEA Grapalat" w:hAnsi="GHEA Grapalat"/>
          <w:sz w:val="22"/>
          <w:szCs w:val="22"/>
          <w:lang w:val="en-US"/>
        </w:rPr>
        <w:t>ուղղությամբ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դեղային</w:t>
      </w:r>
      <w:r w:rsidRPr="001F63BA">
        <w:rPr>
          <w:rFonts w:ascii="GHEA Grapalat" w:hAnsi="GHEA Grapalat"/>
          <w:sz w:val="22"/>
          <w:szCs w:val="22"/>
          <w:lang w:val="af-ZA"/>
        </w:rPr>
        <w:t xml:space="preserve"> </w:t>
      </w:r>
      <w:r w:rsidRPr="001F63BA">
        <w:rPr>
          <w:rFonts w:ascii="GHEA Grapalat" w:hAnsi="GHEA Grapalat"/>
          <w:sz w:val="22"/>
          <w:szCs w:val="22"/>
          <w:lang w:val="en-US"/>
        </w:rPr>
        <w:t>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քաղաքականության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մշակման</w:t>
      </w:r>
      <w:r w:rsidRPr="001F63BA">
        <w:rPr>
          <w:rFonts w:ascii="GHEA Grapalat" w:hAnsi="GHEA Grapalat"/>
          <w:sz w:val="22"/>
          <w:szCs w:val="22"/>
          <w:lang w:val="af-ZA"/>
        </w:rPr>
        <w:t xml:space="preserve">, </w:t>
      </w:r>
      <w:r w:rsidRPr="001F63BA">
        <w:rPr>
          <w:rFonts w:ascii="GHEA Grapalat" w:hAnsi="GHEA Grapalat"/>
          <w:sz w:val="22"/>
          <w:szCs w:val="22"/>
          <w:lang w:val="en-US"/>
        </w:rPr>
        <w:t>դեղերի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շրջանառության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բոլոր</w:t>
      </w:r>
      <w:r w:rsidRPr="001F63BA">
        <w:rPr>
          <w:rFonts w:ascii="GHEA Grapalat" w:hAnsi="GHEA Grapalat"/>
          <w:sz w:val="22"/>
          <w:szCs w:val="22"/>
          <w:lang w:val="af-ZA"/>
        </w:rPr>
        <w:t xml:space="preserve"> </w:t>
      </w:r>
      <w:r w:rsidRPr="001F63BA">
        <w:rPr>
          <w:rFonts w:ascii="GHEA Grapalat" w:hAnsi="GHEA Grapalat"/>
          <w:sz w:val="22"/>
          <w:szCs w:val="22"/>
          <w:lang w:val="en-US"/>
        </w:rPr>
        <w:t>փուլերի</w:t>
      </w:r>
      <w:r w:rsidRPr="001F63BA">
        <w:rPr>
          <w:rFonts w:ascii="GHEA Grapalat" w:hAnsi="GHEA Grapalat"/>
          <w:sz w:val="22"/>
          <w:szCs w:val="22"/>
          <w:lang w:val="af-ZA"/>
        </w:rPr>
        <w:t xml:space="preserve"> </w:t>
      </w:r>
      <w:r w:rsidRPr="001F63BA">
        <w:rPr>
          <w:rFonts w:ascii="GHEA Grapalat" w:hAnsi="GHEA Grapalat"/>
          <w:sz w:val="22"/>
          <w:szCs w:val="22"/>
          <w:lang w:val="en-US"/>
        </w:rPr>
        <w:t>կանոնակարգման</w:t>
      </w:r>
      <w:r w:rsidRPr="001F63BA">
        <w:rPr>
          <w:rFonts w:ascii="GHEA Grapalat" w:hAnsi="GHEA Grapalat"/>
          <w:sz w:val="22"/>
          <w:szCs w:val="22"/>
          <w:lang w:val="af-ZA"/>
        </w:rPr>
        <w:t xml:space="preserve">, </w:t>
      </w:r>
      <w:r w:rsidRPr="001F63BA">
        <w:rPr>
          <w:rFonts w:ascii="GHEA Grapalat" w:hAnsi="GHEA Grapalat"/>
          <w:sz w:val="22"/>
          <w:szCs w:val="22"/>
          <w:lang w:val="en-US"/>
        </w:rPr>
        <w:t>այս</w:t>
      </w:r>
      <w:r w:rsidRPr="001F63BA">
        <w:rPr>
          <w:rFonts w:ascii="GHEA Grapalat" w:hAnsi="GHEA Grapalat"/>
          <w:sz w:val="22"/>
          <w:szCs w:val="22"/>
          <w:lang w:val="af-ZA"/>
        </w:rPr>
        <w:t xml:space="preserve"> </w:t>
      </w:r>
      <w:r w:rsidRPr="001F63BA">
        <w:rPr>
          <w:rFonts w:ascii="GHEA Grapalat" w:hAnsi="GHEA Grapalat"/>
          <w:sz w:val="22"/>
          <w:szCs w:val="22"/>
          <w:lang w:val="en-US"/>
        </w:rPr>
        <w:t>ոլորտի</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վերահսկողության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հայրենական</w:t>
      </w:r>
      <w:r w:rsidRPr="001F63BA">
        <w:rPr>
          <w:rFonts w:ascii="GHEA Grapalat" w:hAnsi="GHEA Grapalat"/>
          <w:sz w:val="22"/>
          <w:szCs w:val="22"/>
          <w:lang w:val="af-ZA"/>
        </w:rPr>
        <w:t xml:space="preserve"> </w:t>
      </w:r>
      <w:r w:rsidRPr="001F63BA">
        <w:rPr>
          <w:rFonts w:ascii="GHEA Grapalat" w:hAnsi="GHEA Grapalat"/>
          <w:sz w:val="22"/>
          <w:szCs w:val="22"/>
          <w:lang w:val="en-US"/>
        </w:rPr>
        <w:t>արտադրության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դեղերի</w:t>
      </w:r>
      <w:r w:rsidRPr="001F63BA">
        <w:rPr>
          <w:rFonts w:ascii="GHEA Grapalat" w:hAnsi="GHEA Grapalat"/>
          <w:sz w:val="22"/>
          <w:szCs w:val="22"/>
          <w:lang w:val="af-ZA"/>
        </w:rPr>
        <w:t xml:space="preserve"> </w:t>
      </w:r>
      <w:r w:rsidRPr="001F63BA">
        <w:rPr>
          <w:rFonts w:ascii="GHEA Grapalat" w:hAnsi="GHEA Grapalat"/>
          <w:sz w:val="22"/>
          <w:szCs w:val="22"/>
          <w:lang w:val="en-US"/>
        </w:rPr>
        <w:t>մրցունակության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տեղական</w:t>
      </w:r>
      <w:r w:rsidRPr="001F63BA">
        <w:rPr>
          <w:rFonts w:ascii="GHEA Grapalat" w:hAnsi="GHEA Grapalat"/>
          <w:sz w:val="22"/>
          <w:szCs w:val="22"/>
          <w:lang w:val="af-ZA"/>
        </w:rPr>
        <w:t xml:space="preserve"> </w:t>
      </w:r>
      <w:r w:rsidRPr="001F63BA">
        <w:rPr>
          <w:rFonts w:ascii="GHEA Grapalat" w:hAnsi="GHEA Grapalat"/>
          <w:sz w:val="22"/>
          <w:szCs w:val="22"/>
          <w:lang w:val="en-US"/>
        </w:rPr>
        <w:t>դեղարտադրության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խրախուսման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 xml:space="preserve">: </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Շարունակվել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լրացուցիչ</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w:t>
      </w:r>
      <w:r w:rsidRPr="001F63BA">
        <w:rPr>
          <w:rFonts w:ascii="GHEA Grapalat" w:hAnsi="GHEA Grapalat"/>
          <w:sz w:val="22"/>
          <w:szCs w:val="22"/>
          <w:lang w:val="af-ZA"/>
        </w:rPr>
        <w:t xml:space="preserve"> </w:t>
      </w:r>
      <w:r w:rsidRPr="001F63BA">
        <w:rPr>
          <w:rFonts w:ascii="GHEA Grapalat" w:hAnsi="GHEA Grapalat"/>
          <w:sz w:val="22"/>
          <w:szCs w:val="22"/>
          <w:lang w:val="en-US"/>
        </w:rPr>
        <w:t>ուղղվել</w:t>
      </w:r>
      <w:r w:rsidRPr="001F63BA">
        <w:rPr>
          <w:rFonts w:ascii="GHEA Grapalat" w:hAnsi="GHEA Grapalat"/>
          <w:sz w:val="22"/>
          <w:szCs w:val="22"/>
          <w:lang w:val="af-ZA"/>
        </w:rPr>
        <w:t xml:space="preserve"> </w:t>
      </w:r>
      <w:r w:rsidRPr="001F63BA">
        <w:rPr>
          <w:rFonts w:ascii="GHEA Grapalat" w:hAnsi="GHEA Grapalat"/>
          <w:sz w:val="22"/>
          <w:szCs w:val="22"/>
          <w:lang w:val="en-US"/>
        </w:rPr>
        <w:t>պե</w:t>
      </w:r>
      <w:r w:rsidRPr="001F63BA">
        <w:rPr>
          <w:rFonts w:ascii="GHEA Grapalat" w:hAnsi="GHEA Grapalat"/>
          <w:sz w:val="22"/>
          <w:szCs w:val="22"/>
          <w:lang w:val="af-ZA"/>
        </w:rPr>
        <w:softHyphen/>
      </w:r>
      <w:r w:rsidRPr="001F63BA">
        <w:rPr>
          <w:rFonts w:ascii="GHEA Grapalat" w:hAnsi="GHEA Grapalat"/>
          <w:sz w:val="22"/>
          <w:szCs w:val="22"/>
          <w:lang w:val="en-US"/>
        </w:rPr>
        <w:t>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երաշխավորված</w:t>
      </w:r>
      <w:r w:rsidRPr="001F63BA">
        <w:rPr>
          <w:rFonts w:ascii="GHEA Grapalat" w:hAnsi="GHEA Grapalat"/>
          <w:sz w:val="22"/>
          <w:szCs w:val="22"/>
          <w:lang w:val="af-ZA"/>
        </w:rPr>
        <w:t xml:space="preserve"> </w:t>
      </w:r>
      <w:r w:rsidRPr="001F63BA">
        <w:rPr>
          <w:rFonts w:ascii="GHEA Grapalat" w:hAnsi="GHEA Grapalat"/>
          <w:sz w:val="22"/>
          <w:szCs w:val="22"/>
          <w:lang w:val="en-US"/>
        </w:rPr>
        <w:t>անվճար</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սպասարկման</w:t>
      </w:r>
      <w:r w:rsidRPr="001F63BA">
        <w:rPr>
          <w:rFonts w:ascii="GHEA Grapalat" w:hAnsi="GHEA Grapalat"/>
          <w:sz w:val="22"/>
          <w:szCs w:val="22"/>
          <w:lang w:val="af-ZA"/>
        </w:rPr>
        <w:t xml:space="preserve"> </w:t>
      </w:r>
      <w:r w:rsidRPr="001F63BA">
        <w:rPr>
          <w:rFonts w:ascii="GHEA Grapalat" w:hAnsi="GHEA Grapalat"/>
          <w:sz w:val="22"/>
          <w:szCs w:val="22"/>
          <w:lang w:val="en-US"/>
        </w:rPr>
        <w:t>շրջա</w:t>
      </w:r>
      <w:r w:rsidRPr="001F63BA">
        <w:rPr>
          <w:rFonts w:ascii="GHEA Grapalat" w:hAnsi="GHEA Grapalat"/>
          <w:sz w:val="22"/>
          <w:szCs w:val="22"/>
          <w:lang w:val="af-ZA"/>
        </w:rPr>
        <w:softHyphen/>
      </w:r>
      <w:r w:rsidRPr="001F63BA">
        <w:rPr>
          <w:rFonts w:ascii="GHEA Grapalat" w:hAnsi="GHEA Grapalat"/>
          <w:sz w:val="22"/>
          <w:szCs w:val="22"/>
          <w:lang w:val="en-US"/>
        </w:rPr>
        <w:t>նակ</w:t>
      </w:r>
      <w:r w:rsidRPr="001F63BA">
        <w:rPr>
          <w:rFonts w:ascii="GHEA Grapalat" w:hAnsi="GHEA Grapalat"/>
          <w:sz w:val="22"/>
          <w:szCs w:val="22"/>
          <w:lang w:val="af-ZA"/>
        </w:rPr>
        <w:softHyphen/>
      </w:r>
      <w:r w:rsidRPr="001F63BA">
        <w:rPr>
          <w:rFonts w:ascii="GHEA Grapalat" w:hAnsi="GHEA Grapalat"/>
          <w:sz w:val="22"/>
          <w:szCs w:val="22"/>
          <w:lang w:val="en-US"/>
        </w:rPr>
        <w:t>նե</w:t>
      </w:r>
      <w:r w:rsidRPr="001F63BA">
        <w:rPr>
          <w:rFonts w:ascii="GHEA Grapalat" w:hAnsi="GHEA Grapalat"/>
          <w:sz w:val="22"/>
          <w:szCs w:val="22"/>
          <w:lang w:val="af-ZA"/>
        </w:rPr>
        <w:softHyphen/>
      </w:r>
      <w:r w:rsidRPr="001F63BA">
        <w:rPr>
          <w:rFonts w:ascii="GHEA Grapalat" w:hAnsi="GHEA Grapalat"/>
          <w:sz w:val="22"/>
          <w:szCs w:val="22"/>
          <w:lang w:val="en-US"/>
        </w:rPr>
        <w:t>րում</w:t>
      </w:r>
      <w:r w:rsidRPr="001F63BA">
        <w:rPr>
          <w:rFonts w:ascii="GHEA Grapalat" w:hAnsi="GHEA Grapalat"/>
          <w:sz w:val="22"/>
          <w:szCs w:val="22"/>
          <w:lang w:val="af-ZA"/>
        </w:rPr>
        <w:t xml:space="preserve"> </w:t>
      </w:r>
      <w:r w:rsidRPr="001F63BA">
        <w:rPr>
          <w:rFonts w:ascii="GHEA Grapalat" w:hAnsi="GHEA Grapalat"/>
          <w:sz w:val="22"/>
          <w:szCs w:val="22"/>
          <w:lang w:val="en-US"/>
        </w:rPr>
        <w:t>կյանք</w:t>
      </w:r>
      <w:r w:rsidRPr="001F63BA">
        <w:rPr>
          <w:rFonts w:ascii="GHEA Grapalat" w:hAnsi="GHEA Grapalat"/>
          <w:sz w:val="22"/>
          <w:szCs w:val="22"/>
          <w:lang w:val="af-ZA"/>
        </w:rPr>
        <w:t xml:space="preserve"> </w:t>
      </w:r>
      <w:r w:rsidRPr="001F63BA">
        <w:rPr>
          <w:rFonts w:ascii="GHEA Grapalat" w:hAnsi="GHEA Grapalat"/>
          <w:sz w:val="22"/>
          <w:szCs w:val="22"/>
          <w:lang w:val="en-US"/>
        </w:rPr>
        <w:t>փրկող՝</w:t>
      </w:r>
      <w:r w:rsidRPr="001F63BA">
        <w:rPr>
          <w:rFonts w:ascii="GHEA Grapalat" w:hAnsi="GHEA Grapalat"/>
          <w:sz w:val="22"/>
          <w:szCs w:val="22"/>
          <w:lang w:val="af-ZA"/>
        </w:rPr>
        <w:t xml:space="preserve"> </w:t>
      </w:r>
      <w:r w:rsidRPr="001F63BA">
        <w:rPr>
          <w:rFonts w:ascii="GHEA Grapalat" w:hAnsi="GHEA Grapalat"/>
          <w:sz w:val="22"/>
          <w:szCs w:val="22"/>
          <w:lang w:val="en-US"/>
        </w:rPr>
        <w:t>գլխուղեղի</w:t>
      </w:r>
      <w:r w:rsidRPr="001F63BA">
        <w:rPr>
          <w:rFonts w:ascii="GHEA Grapalat" w:hAnsi="GHEA Grapalat"/>
          <w:sz w:val="22"/>
          <w:szCs w:val="22"/>
          <w:lang w:val="af-ZA"/>
        </w:rPr>
        <w:t xml:space="preserve"> </w:t>
      </w:r>
      <w:r w:rsidRPr="001F63BA">
        <w:rPr>
          <w:rFonts w:ascii="GHEA Grapalat" w:hAnsi="GHEA Grapalat"/>
          <w:sz w:val="22"/>
          <w:szCs w:val="22"/>
          <w:lang w:val="en-US"/>
        </w:rPr>
        <w:t>սուր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ենթասուր</w:t>
      </w:r>
      <w:r w:rsidRPr="001F63BA">
        <w:rPr>
          <w:rFonts w:ascii="GHEA Grapalat" w:hAnsi="GHEA Grapalat"/>
          <w:sz w:val="22"/>
          <w:szCs w:val="22"/>
          <w:lang w:val="af-ZA"/>
        </w:rPr>
        <w:t xml:space="preserve"> </w:t>
      </w:r>
      <w:r w:rsidRPr="001F63BA">
        <w:rPr>
          <w:rFonts w:ascii="GHEA Grapalat" w:hAnsi="GHEA Grapalat"/>
          <w:sz w:val="22"/>
          <w:szCs w:val="22"/>
          <w:lang w:val="en-US"/>
        </w:rPr>
        <w:t>իշեմիկ</w:t>
      </w:r>
      <w:r w:rsidRPr="001F63BA">
        <w:rPr>
          <w:rFonts w:ascii="GHEA Grapalat" w:hAnsi="GHEA Grapalat"/>
          <w:sz w:val="22"/>
          <w:szCs w:val="22"/>
          <w:lang w:val="af-ZA"/>
        </w:rPr>
        <w:t xml:space="preserve"> </w:t>
      </w:r>
      <w:r w:rsidRPr="001F63BA">
        <w:rPr>
          <w:rFonts w:ascii="GHEA Grapalat" w:hAnsi="GHEA Grapalat"/>
          <w:sz w:val="22"/>
          <w:szCs w:val="22"/>
          <w:lang w:val="en-US"/>
        </w:rPr>
        <w:t>կաթվածների</w:t>
      </w:r>
      <w:r w:rsidRPr="001F63BA">
        <w:rPr>
          <w:rFonts w:ascii="GHEA Grapalat" w:hAnsi="GHEA Grapalat"/>
          <w:sz w:val="22"/>
          <w:szCs w:val="22"/>
          <w:lang w:val="af-ZA"/>
        </w:rPr>
        <w:t xml:space="preserve"> </w:t>
      </w:r>
      <w:r w:rsidRPr="001F63BA">
        <w:rPr>
          <w:rFonts w:ascii="GHEA Grapalat" w:hAnsi="GHEA Grapalat"/>
          <w:sz w:val="22"/>
          <w:szCs w:val="22"/>
          <w:lang w:val="en-US"/>
        </w:rPr>
        <w:t>թրոմբոլիտիկ</w:t>
      </w:r>
      <w:r w:rsidRPr="001F63BA">
        <w:rPr>
          <w:rFonts w:ascii="GHEA Grapalat" w:hAnsi="GHEA Grapalat"/>
          <w:sz w:val="22"/>
          <w:szCs w:val="22"/>
          <w:lang w:val="af-ZA"/>
        </w:rPr>
        <w:t xml:space="preserve"> </w:t>
      </w:r>
      <w:r w:rsidRPr="001F63BA">
        <w:rPr>
          <w:rFonts w:ascii="GHEA Grapalat" w:hAnsi="GHEA Grapalat"/>
          <w:sz w:val="22"/>
          <w:szCs w:val="22"/>
          <w:lang w:val="en-US"/>
        </w:rPr>
        <w:t>բուժ</w:t>
      </w:r>
      <w:r w:rsidRPr="001F63BA">
        <w:rPr>
          <w:rFonts w:ascii="GHEA Grapalat" w:hAnsi="GHEA Grapalat"/>
          <w:sz w:val="22"/>
          <w:szCs w:val="22"/>
          <w:lang w:val="af-ZA"/>
        </w:rPr>
        <w:softHyphen/>
      </w:r>
      <w:r w:rsidRPr="001F63BA">
        <w:rPr>
          <w:rFonts w:ascii="GHEA Grapalat" w:hAnsi="GHEA Grapalat"/>
          <w:sz w:val="22"/>
          <w:szCs w:val="22"/>
          <w:lang w:val="en-US"/>
        </w:rPr>
        <w:t>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մեխանիկական</w:t>
      </w:r>
      <w:r w:rsidRPr="001F63BA">
        <w:rPr>
          <w:rFonts w:ascii="GHEA Grapalat" w:hAnsi="GHEA Grapalat"/>
          <w:sz w:val="22"/>
          <w:szCs w:val="22"/>
          <w:lang w:val="af-ZA"/>
        </w:rPr>
        <w:t xml:space="preserve"> </w:t>
      </w:r>
      <w:r w:rsidRPr="001F63BA">
        <w:rPr>
          <w:rFonts w:ascii="GHEA Grapalat" w:hAnsi="GHEA Grapalat"/>
          <w:sz w:val="22"/>
          <w:szCs w:val="22"/>
          <w:lang w:val="en-US"/>
        </w:rPr>
        <w:t>թրոմբէկտոմիա</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զարգացմանը</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ոչ</w:t>
      </w:r>
      <w:r w:rsidRPr="001F63BA">
        <w:rPr>
          <w:rFonts w:ascii="GHEA Grapalat" w:hAnsi="GHEA Grapalat"/>
          <w:sz w:val="22"/>
          <w:szCs w:val="22"/>
          <w:lang w:val="af-ZA"/>
        </w:rPr>
        <w:t xml:space="preserve"> </w:t>
      </w: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կանխարգելումը</w:t>
      </w:r>
      <w:r w:rsidRPr="001F63BA">
        <w:rPr>
          <w:rFonts w:ascii="GHEA Grapalat" w:hAnsi="GHEA Grapalat"/>
          <w:sz w:val="22"/>
          <w:szCs w:val="22"/>
          <w:lang w:val="af-ZA"/>
        </w:rPr>
        <w:t xml:space="preserve"> </w:t>
      </w:r>
      <w:r w:rsidRPr="001F63BA">
        <w:rPr>
          <w:rFonts w:ascii="GHEA Grapalat" w:hAnsi="GHEA Grapalat"/>
          <w:sz w:val="22"/>
          <w:szCs w:val="22"/>
          <w:lang w:val="en-US"/>
        </w:rPr>
        <w:t>ռազմավարական</w:t>
      </w:r>
      <w:r w:rsidRPr="001F63BA">
        <w:rPr>
          <w:rFonts w:ascii="GHEA Grapalat" w:hAnsi="GHEA Grapalat"/>
          <w:sz w:val="22"/>
          <w:szCs w:val="22"/>
          <w:lang w:val="af-ZA"/>
        </w:rPr>
        <w:t xml:space="preserve"> </w:t>
      </w:r>
      <w:r w:rsidRPr="001F63BA">
        <w:rPr>
          <w:rFonts w:ascii="GHEA Grapalat" w:hAnsi="GHEA Grapalat"/>
          <w:sz w:val="22"/>
          <w:szCs w:val="22"/>
          <w:lang w:val="en-US"/>
        </w:rPr>
        <w:t>մեկ</w:t>
      </w:r>
      <w:r w:rsidRPr="001F63BA">
        <w:rPr>
          <w:rFonts w:ascii="GHEA Grapalat" w:hAnsi="GHEA Grapalat"/>
          <w:sz w:val="22"/>
          <w:szCs w:val="22"/>
          <w:lang w:val="af-ZA"/>
        </w:rPr>
        <w:t xml:space="preserve"> </w:t>
      </w:r>
      <w:r w:rsidRPr="001F63BA">
        <w:rPr>
          <w:rFonts w:ascii="GHEA Grapalat" w:hAnsi="GHEA Grapalat"/>
          <w:sz w:val="22"/>
          <w:szCs w:val="22"/>
          <w:lang w:val="en-US"/>
        </w:rPr>
        <w:t>այլ</w:t>
      </w:r>
      <w:r w:rsidRPr="001F63BA">
        <w:rPr>
          <w:rFonts w:ascii="GHEA Grapalat" w:hAnsi="GHEA Grapalat"/>
          <w:sz w:val="22"/>
          <w:szCs w:val="22"/>
          <w:lang w:val="af-ZA"/>
        </w:rPr>
        <w:t xml:space="preserve"> </w:t>
      </w:r>
      <w:r w:rsidRPr="001F63BA">
        <w:rPr>
          <w:rFonts w:ascii="GHEA Grapalat" w:hAnsi="GHEA Grapalat"/>
          <w:sz w:val="22"/>
          <w:szCs w:val="22"/>
          <w:lang w:val="en-US"/>
        </w:rPr>
        <w:t>կարևոր</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եղել</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առավել</w:t>
      </w:r>
      <w:r w:rsidRPr="001F63BA">
        <w:rPr>
          <w:rFonts w:ascii="GHEA Grapalat" w:hAnsi="GHEA Grapalat"/>
          <w:sz w:val="22"/>
          <w:szCs w:val="22"/>
          <w:lang w:val="af-ZA"/>
        </w:rPr>
        <w:t xml:space="preserve"> </w:t>
      </w:r>
      <w:r w:rsidRPr="001F63BA">
        <w:rPr>
          <w:rFonts w:ascii="GHEA Grapalat" w:hAnsi="GHEA Grapalat"/>
          <w:sz w:val="22"/>
          <w:szCs w:val="22"/>
          <w:lang w:val="en-US"/>
        </w:rPr>
        <w:t>տարածված</w:t>
      </w:r>
      <w:r w:rsidRPr="001F63BA">
        <w:rPr>
          <w:rFonts w:ascii="GHEA Grapalat" w:hAnsi="GHEA Grapalat"/>
          <w:sz w:val="22"/>
          <w:szCs w:val="22"/>
          <w:lang w:val="af-ZA"/>
        </w:rPr>
        <w:t xml:space="preserve"> </w:t>
      </w:r>
      <w:r w:rsidRPr="001F63BA">
        <w:rPr>
          <w:rFonts w:ascii="GHEA Grapalat" w:hAnsi="GHEA Grapalat"/>
          <w:sz w:val="22"/>
          <w:szCs w:val="22"/>
          <w:lang w:val="en-US"/>
        </w:rPr>
        <w:t>ոչ</w:t>
      </w:r>
      <w:r w:rsidRPr="001F63BA">
        <w:rPr>
          <w:rFonts w:ascii="GHEA Grapalat" w:hAnsi="GHEA Grapalat"/>
          <w:sz w:val="22"/>
          <w:szCs w:val="22"/>
          <w:lang w:val="af-ZA"/>
        </w:rPr>
        <w:t xml:space="preserve"> </w:t>
      </w: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հիվան</w:t>
      </w:r>
      <w:r w:rsidRPr="001F63BA">
        <w:rPr>
          <w:rFonts w:ascii="GHEA Grapalat" w:hAnsi="GHEA Grapalat"/>
          <w:sz w:val="22"/>
          <w:szCs w:val="22"/>
          <w:lang w:val="af-ZA"/>
        </w:rPr>
        <w:softHyphen/>
      </w:r>
      <w:r w:rsidRPr="001F63BA">
        <w:rPr>
          <w:rFonts w:ascii="GHEA Grapalat" w:hAnsi="GHEA Grapalat"/>
          <w:sz w:val="22"/>
          <w:szCs w:val="22"/>
          <w:lang w:val="en-US"/>
        </w:rPr>
        <w:t>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վաղ</w:t>
      </w:r>
      <w:r w:rsidRPr="001F63BA">
        <w:rPr>
          <w:rFonts w:ascii="GHEA Grapalat" w:hAnsi="GHEA Grapalat"/>
          <w:sz w:val="22"/>
          <w:szCs w:val="22"/>
          <w:lang w:val="af-ZA"/>
        </w:rPr>
        <w:t xml:space="preserve"> </w:t>
      </w:r>
      <w:r w:rsidRPr="001F63BA">
        <w:rPr>
          <w:rFonts w:ascii="GHEA Grapalat" w:hAnsi="GHEA Grapalat"/>
          <w:sz w:val="22"/>
          <w:szCs w:val="22"/>
          <w:lang w:val="en-US"/>
        </w:rPr>
        <w:t>հայտնաբերման</w:t>
      </w:r>
      <w:r w:rsidRPr="001F63BA">
        <w:rPr>
          <w:rFonts w:ascii="GHEA Grapalat" w:hAnsi="GHEA Grapalat"/>
          <w:sz w:val="22"/>
          <w:szCs w:val="22"/>
          <w:lang w:val="af-ZA"/>
        </w:rPr>
        <w:t xml:space="preserve">, </w:t>
      </w:r>
      <w:r w:rsidRPr="001F63BA">
        <w:rPr>
          <w:rFonts w:ascii="GHEA Grapalat" w:hAnsi="GHEA Grapalat"/>
          <w:sz w:val="22"/>
          <w:szCs w:val="22"/>
          <w:lang w:val="en-US"/>
        </w:rPr>
        <w:t>ախտորոշման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կանխարգելման</w:t>
      </w:r>
      <w:r w:rsidRPr="001F63BA">
        <w:rPr>
          <w:rFonts w:ascii="GHEA Grapalat" w:hAnsi="GHEA Grapalat"/>
          <w:sz w:val="22"/>
          <w:szCs w:val="22"/>
          <w:lang w:val="af-ZA"/>
        </w:rPr>
        <w:t xml:space="preserve"> </w:t>
      </w:r>
      <w:r w:rsidRPr="001F63BA">
        <w:rPr>
          <w:rFonts w:ascii="GHEA Grapalat" w:hAnsi="GHEA Grapalat"/>
          <w:sz w:val="22"/>
          <w:szCs w:val="22"/>
          <w:lang w:val="en-US"/>
        </w:rPr>
        <w:t>ճանապարհով</w:t>
      </w:r>
      <w:r w:rsidRPr="001F63BA">
        <w:rPr>
          <w:rFonts w:ascii="GHEA Grapalat" w:hAnsi="GHEA Grapalat"/>
          <w:sz w:val="22"/>
          <w:szCs w:val="22"/>
          <w:lang w:val="af-ZA"/>
        </w:rPr>
        <w:t xml:space="preserve"> </w:t>
      </w:r>
      <w:r w:rsidRPr="001F63BA">
        <w:rPr>
          <w:rFonts w:ascii="GHEA Grapalat" w:hAnsi="GHEA Grapalat"/>
          <w:sz w:val="22"/>
          <w:szCs w:val="22"/>
          <w:lang w:val="en-US"/>
        </w:rPr>
        <w:t>բնակչության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ցուցանիշների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բարդու</w:t>
      </w:r>
      <w:r w:rsidRPr="001F63BA">
        <w:rPr>
          <w:rFonts w:ascii="GHEA Grapalat" w:hAnsi="GHEA Grapalat"/>
          <w:sz w:val="22"/>
          <w:szCs w:val="22"/>
          <w:lang w:val="af-ZA"/>
        </w:rPr>
        <w:softHyphen/>
      </w:r>
      <w:r w:rsidRPr="001F63BA">
        <w:rPr>
          <w:rFonts w:ascii="GHEA Grapalat" w:hAnsi="GHEA Grapalat"/>
          <w:sz w:val="22"/>
          <w:szCs w:val="22"/>
          <w:lang w:val="en-US"/>
        </w:rPr>
        <w:t>թյուն</w:t>
      </w:r>
      <w:r w:rsidRPr="001F63BA">
        <w:rPr>
          <w:rFonts w:ascii="GHEA Grapalat" w:hAnsi="GHEA Grapalat"/>
          <w:sz w:val="22"/>
          <w:szCs w:val="22"/>
          <w:lang w:val="af-ZA"/>
        </w:rPr>
        <w:softHyphen/>
      </w:r>
      <w:r w:rsidRPr="001F63BA">
        <w:rPr>
          <w:rFonts w:ascii="GHEA Grapalat" w:hAnsi="GHEA Grapalat"/>
          <w:sz w:val="22"/>
          <w:szCs w:val="22"/>
          <w:lang w:val="en-US"/>
        </w:rPr>
        <w:t>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հաշմանդամության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մահացության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ցուցանիշների</w:t>
      </w:r>
      <w:r w:rsidRPr="001F63BA">
        <w:rPr>
          <w:rFonts w:ascii="GHEA Grapalat" w:hAnsi="GHEA Grapalat"/>
          <w:sz w:val="22"/>
          <w:szCs w:val="22"/>
          <w:lang w:val="af-ZA"/>
        </w:rPr>
        <w:t xml:space="preserve"> </w:t>
      </w:r>
      <w:r w:rsidRPr="001F63BA">
        <w:rPr>
          <w:rFonts w:ascii="GHEA Grapalat" w:hAnsi="GHEA Grapalat"/>
          <w:sz w:val="22"/>
          <w:szCs w:val="22"/>
          <w:lang w:val="en-US"/>
        </w:rPr>
        <w:t>կրճատում</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հի</w:t>
      </w:r>
      <w:r w:rsidRPr="001F63BA">
        <w:rPr>
          <w:rFonts w:ascii="GHEA Grapalat" w:hAnsi="GHEA Grapalat"/>
          <w:sz w:val="22"/>
          <w:szCs w:val="22"/>
          <w:lang w:val="af-ZA"/>
        </w:rPr>
        <w:softHyphen/>
      </w:r>
      <w:r w:rsidRPr="001F63BA">
        <w:rPr>
          <w:rFonts w:ascii="GHEA Grapalat" w:hAnsi="GHEA Grapalat"/>
          <w:sz w:val="22"/>
          <w:szCs w:val="22"/>
          <w:lang w:val="en-US"/>
        </w:rPr>
        <w:t>վան</w:t>
      </w:r>
      <w:r w:rsidRPr="001F63BA">
        <w:rPr>
          <w:rFonts w:ascii="GHEA Grapalat" w:hAnsi="GHEA Grapalat"/>
          <w:sz w:val="22"/>
          <w:szCs w:val="22"/>
          <w:lang w:val="af-ZA"/>
        </w:rPr>
        <w:softHyphen/>
      </w:r>
      <w:r w:rsidRPr="001F63BA">
        <w:rPr>
          <w:rFonts w:ascii="GHEA Grapalat" w:hAnsi="GHEA Grapalat"/>
          <w:sz w:val="22"/>
          <w:szCs w:val="22"/>
          <w:lang w:val="en-US"/>
        </w:rPr>
        <w:t>դություններով</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հիվանդացության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նվազեցում</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կառավարելի</w:t>
      </w:r>
      <w:r w:rsidRPr="001F63BA">
        <w:rPr>
          <w:rFonts w:ascii="GHEA Grapalat" w:hAnsi="GHEA Grapalat"/>
          <w:sz w:val="22"/>
          <w:szCs w:val="22"/>
          <w:lang w:val="af-ZA"/>
        </w:rPr>
        <w:t xml:space="preserve"> </w:t>
      </w: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w:t>
      </w:r>
      <w:r w:rsidRPr="001F63BA">
        <w:rPr>
          <w:rFonts w:ascii="GHEA Grapalat" w:hAnsi="GHEA Grapalat"/>
          <w:sz w:val="22"/>
          <w:szCs w:val="22"/>
          <w:lang w:val="af-ZA"/>
        </w:rPr>
        <w:softHyphen/>
      </w:r>
      <w:r w:rsidRPr="001F63BA">
        <w:rPr>
          <w:rFonts w:ascii="GHEA Grapalat" w:hAnsi="GHEA Grapalat"/>
          <w:sz w:val="22"/>
          <w:szCs w:val="22"/>
          <w:lang w:val="en-US"/>
        </w:rPr>
        <w:t>նե</w:t>
      </w:r>
      <w:r w:rsidRPr="001F63BA">
        <w:rPr>
          <w:rFonts w:ascii="GHEA Grapalat" w:hAnsi="GHEA Grapalat"/>
          <w:sz w:val="22"/>
          <w:szCs w:val="22"/>
          <w:lang w:val="af-ZA"/>
        </w:rPr>
        <w:softHyphen/>
      </w:r>
      <w:r w:rsidRPr="001F63BA">
        <w:rPr>
          <w:rFonts w:ascii="GHEA Grapalat" w:hAnsi="GHEA Grapalat"/>
          <w:sz w:val="22"/>
          <w:szCs w:val="22"/>
          <w:lang w:val="en-US"/>
        </w:rPr>
        <w:t>րից</w:t>
      </w:r>
      <w:r w:rsidRPr="001F63BA">
        <w:rPr>
          <w:rFonts w:ascii="GHEA Grapalat" w:hAnsi="GHEA Grapalat"/>
          <w:sz w:val="22"/>
          <w:szCs w:val="22"/>
          <w:lang w:val="af-ZA"/>
        </w:rPr>
        <w:t xml:space="preserve"> </w:t>
      </w:r>
      <w:r w:rsidRPr="001F63BA">
        <w:rPr>
          <w:rFonts w:ascii="GHEA Grapalat" w:hAnsi="GHEA Grapalat"/>
          <w:sz w:val="22"/>
          <w:szCs w:val="22"/>
          <w:lang w:val="en-US"/>
        </w:rPr>
        <w:t>մահվան</w:t>
      </w:r>
      <w:r w:rsidRPr="001F63BA">
        <w:rPr>
          <w:rFonts w:ascii="GHEA Grapalat" w:hAnsi="GHEA Grapalat"/>
          <w:sz w:val="22"/>
          <w:szCs w:val="22"/>
          <w:lang w:val="af-ZA"/>
        </w:rPr>
        <w:t xml:space="preserve"> </w:t>
      </w:r>
      <w:r w:rsidRPr="001F63BA">
        <w:rPr>
          <w:rFonts w:ascii="GHEA Grapalat" w:hAnsi="GHEA Grapalat"/>
          <w:sz w:val="22"/>
          <w:szCs w:val="22"/>
          <w:lang w:val="en-US"/>
        </w:rPr>
        <w:t>դեպքերի</w:t>
      </w:r>
      <w:r w:rsidRPr="001F63BA">
        <w:rPr>
          <w:rFonts w:ascii="GHEA Grapalat" w:hAnsi="GHEA Grapalat"/>
          <w:sz w:val="22"/>
          <w:szCs w:val="22"/>
          <w:lang w:val="af-ZA"/>
        </w:rPr>
        <w:t xml:space="preserve"> </w:t>
      </w:r>
      <w:r w:rsidRPr="001F63BA">
        <w:rPr>
          <w:rFonts w:ascii="GHEA Grapalat" w:hAnsi="GHEA Grapalat"/>
          <w:sz w:val="22"/>
          <w:szCs w:val="22"/>
          <w:lang w:val="en-US"/>
        </w:rPr>
        <w:t>կանխում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վարակիչ</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նկատմամբ</w:t>
      </w:r>
      <w:r w:rsidRPr="001F63BA">
        <w:rPr>
          <w:rFonts w:ascii="GHEA Grapalat" w:hAnsi="GHEA Grapalat"/>
          <w:sz w:val="22"/>
          <w:szCs w:val="22"/>
          <w:lang w:val="af-ZA"/>
        </w:rPr>
        <w:t xml:space="preserve"> </w:t>
      </w:r>
      <w:r w:rsidRPr="001F63BA">
        <w:rPr>
          <w:rFonts w:ascii="GHEA Grapalat" w:hAnsi="GHEA Grapalat"/>
          <w:sz w:val="22"/>
          <w:szCs w:val="22"/>
          <w:lang w:val="en-US"/>
        </w:rPr>
        <w:t>բնակչության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անընկալության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ապահովում</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Առողջապահության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af-ZA"/>
        </w:rPr>
        <w:t xml:space="preserve"> </w:t>
      </w:r>
      <w:r w:rsidRPr="001F63BA">
        <w:rPr>
          <w:rFonts w:ascii="GHEA Grapalat" w:hAnsi="GHEA Grapalat"/>
          <w:sz w:val="22"/>
          <w:szCs w:val="22"/>
          <w:lang w:val="en-US"/>
        </w:rPr>
        <w:t>խնդիրներից</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եղել</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հանրապետությունում</w:t>
      </w:r>
      <w:r w:rsidRPr="001F63BA">
        <w:rPr>
          <w:rFonts w:ascii="GHEA Grapalat" w:hAnsi="GHEA Grapalat"/>
          <w:sz w:val="22"/>
          <w:szCs w:val="22"/>
          <w:lang w:val="af-ZA"/>
        </w:rPr>
        <w:t xml:space="preserve"> </w:t>
      </w:r>
      <w:r w:rsidRPr="001F63BA">
        <w:rPr>
          <w:rFonts w:ascii="GHEA Grapalat" w:hAnsi="GHEA Grapalat"/>
          <w:sz w:val="22"/>
          <w:szCs w:val="22"/>
          <w:lang w:val="en-US"/>
        </w:rPr>
        <w:t>ուռուց</w:t>
      </w:r>
      <w:r w:rsidRPr="001F63BA">
        <w:rPr>
          <w:rFonts w:ascii="GHEA Grapalat" w:hAnsi="GHEA Grapalat"/>
          <w:sz w:val="22"/>
          <w:szCs w:val="22"/>
          <w:lang w:val="af-ZA"/>
        </w:rPr>
        <w:softHyphen/>
      </w:r>
      <w:r w:rsidRPr="001F63BA">
        <w:rPr>
          <w:rFonts w:ascii="GHEA Grapalat" w:hAnsi="GHEA Grapalat"/>
          <w:sz w:val="22"/>
          <w:szCs w:val="22"/>
          <w:lang w:val="en-US"/>
        </w:rPr>
        <w:t>քաբանական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բարելավումը</w:t>
      </w:r>
      <w:r w:rsidRPr="001F63BA">
        <w:rPr>
          <w:rFonts w:ascii="GHEA Grapalat" w:hAnsi="GHEA Grapalat"/>
          <w:sz w:val="22"/>
          <w:szCs w:val="22"/>
          <w:lang w:val="af-ZA"/>
        </w:rPr>
        <w:t xml:space="preserve">: </w:t>
      </w:r>
      <w:r w:rsidRPr="001F63BA">
        <w:rPr>
          <w:rFonts w:ascii="GHEA Grapalat" w:hAnsi="GHEA Grapalat"/>
          <w:sz w:val="22"/>
          <w:szCs w:val="22"/>
          <w:lang w:val="en-US"/>
        </w:rPr>
        <w:t>Ուռուցքաբանական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վիրահատությունների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գների</w:t>
      </w:r>
      <w:r w:rsidRPr="001F63BA">
        <w:rPr>
          <w:rFonts w:ascii="GHEA Grapalat" w:hAnsi="GHEA Grapalat"/>
          <w:sz w:val="22"/>
          <w:szCs w:val="22"/>
          <w:lang w:val="af-ZA"/>
        </w:rPr>
        <w:t xml:space="preserve"> </w:t>
      </w:r>
      <w:r w:rsidRPr="001F63BA">
        <w:rPr>
          <w:rFonts w:ascii="GHEA Grapalat" w:hAnsi="GHEA Grapalat"/>
          <w:sz w:val="22"/>
          <w:szCs w:val="22"/>
          <w:lang w:val="en-US"/>
        </w:rPr>
        <w:t>վերանայման</w:t>
      </w:r>
      <w:r w:rsidRPr="001F63BA">
        <w:rPr>
          <w:rFonts w:ascii="GHEA Grapalat" w:hAnsi="GHEA Grapalat"/>
          <w:sz w:val="22"/>
          <w:szCs w:val="22"/>
          <w:lang w:val="af-ZA"/>
        </w:rPr>
        <w:t xml:space="preserve">, </w:t>
      </w:r>
      <w:r w:rsidRPr="001F63BA">
        <w:rPr>
          <w:rFonts w:ascii="GHEA Grapalat" w:hAnsi="GHEA Grapalat"/>
          <w:sz w:val="22"/>
          <w:szCs w:val="22"/>
          <w:lang w:val="en-US"/>
        </w:rPr>
        <w:t>ճառագայթային</w:t>
      </w:r>
      <w:r w:rsidRPr="001F63BA">
        <w:rPr>
          <w:rFonts w:ascii="GHEA Grapalat" w:hAnsi="GHEA Grapalat"/>
          <w:sz w:val="22"/>
          <w:szCs w:val="22"/>
          <w:lang w:val="af-ZA"/>
        </w:rPr>
        <w:t xml:space="preserve"> </w:t>
      </w:r>
      <w:r w:rsidRPr="001F63BA">
        <w:rPr>
          <w:rFonts w:ascii="GHEA Grapalat" w:hAnsi="GHEA Grapalat"/>
          <w:sz w:val="22"/>
          <w:szCs w:val="22"/>
          <w:lang w:val="en-US"/>
        </w:rPr>
        <w:t>բուժման</w:t>
      </w:r>
      <w:r w:rsidRPr="001F63BA">
        <w:rPr>
          <w:rFonts w:ascii="GHEA Grapalat" w:hAnsi="GHEA Grapalat"/>
          <w:sz w:val="22"/>
          <w:szCs w:val="22"/>
          <w:lang w:val="af-ZA"/>
        </w:rPr>
        <w:t xml:space="preserve"> </w:t>
      </w:r>
      <w:r w:rsidRPr="001F63BA">
        <w:rPr>
          <w:rFonts w:ascii="GHEA Grapalat" w:hAnsi="GHEA Grapalat"/>
          <w:sz w:val="22"/>
          <w:szCs w:val="22"/>
          <w:lang w:val="en-US"/>
        </w:rPr>
        <w:t>դեպքերի</w:t>
      </w:r>
      <w:r w:rsidRPr="001F63BA">
        <w:rPr>
          <w:rFonts w:ascii="GHEA Grapalat" w:hAnsi="GHEA Grapalat"/>
          <w:sz w:val="22"/>
          <w:szCs w:val="22"/>
          <w:lang w:val="af-ZA"/>
        </w:rPr>
        <w:t xml:space="preserve">, </w:t>
      </w:r>
      <w:r w:rsidRPr="001F63BA">
        <w:rPr>
          <w:rFonts w:ascii="GHEA Grapalat" w:hAnsi="GHEA Grapalat"/>
          <w:sz w:val="22"/>
          <w:szCs w:val="22"/>
          <w:lang w:val="en-US"/>
        </w:rPr>
        <w:t>քիմիա</w:t>
      </w:r>
      <w:r w:rsidRPr="001F63BA">
        <w:rPr>
          <w:rFonts w:ascii="GHEA Grapalat" w:hAnsi="GHEA Grapalat"/>
          <w:sz w:val="22"/>
          <w:szCs w:val="22"/>
          <w:lang w:val="af-ZA"/>
        </w:rPr>
        <w:softHyphen/>
      </w:r>
      <w:r w:rsidRPr="001F63BA">
        <w:rPr>
          <w:rFonts w:ascii="GHEA Grapalat" w:hAnsi="GHEA Grapalat"/>
          <w:sz w:val="22"/>
          <w:szCs w:val="22"/>
          <w:lang w:val="en-US"/>
        </w:rPr>
        <w:t>թե</w:t>
      </w:r>
      <w:r w:rsidRPr="001F63BA">
        <w:rPr>
          <w:rFonts w:ascii="GHEA Grapalat" w:hAnsi="GHEA Grapalat"/>
          <w:sz w:val="22"/>
          <w:szCs w:val="22"/>
          <w:lang w:val="af-ZA"/>
        </w:rPr>
        <w:softHyphen/>
      </w:r>
      <w:r w:rsidRPr="001F63BA">
        <w:rPr>
          <w:rFonts w:ascii="GHEA Grapalat" w:hAnsi="GHEA Grapalat"/>
          <w:sz w:val="22"/>
          <w:szCs w:val="22"/>
          <w:lang w:val="en-US"/>
        </w:rPr>
        <w:t>րա</w:t>
      </w:r>
      <w:r w:rsidRPr="001F63BA">
        <w:rPr>
          <w:rFonts w:ascii="GHEA Grapalat" w:hAnsi="GHEA Grapalat"/>
          <w:sz w:val="22"/>
          <w:szCs w:val="22"/>
          <w:lang w:val="af-ZA"/>
        </w:rPr>
        <w:softHyphen/>
      </w:r>
      <w:r w:rsidRPr="001F63BA">
        <w:rPr>
          <w:rFonts w:ascii="GHEA Grapalat" w:hAnsi="GHEA Grapalat"/>
          <w:sz w:val="22"/>
          <w:szCs w:val="22"/>
          <w:lang w:val="en-US"/>
        </w:rPr>
        <w:t>պի</w:t>
      </w:r>
      <w:r w:rsidRPr="001F63BA">
        <w:rPr>
          <w:rFonts w:ascii="GHEA Grapalat" w:hAnsi="GHEA Grapalat"/>
          <w:sz w:val="22"/>
          <w:szCs w:val="22"/>
          <w:lang w:val="af-ZA"/>
        </w:rPr>
        <w:softHyphen/>
      </w:r>
      <w:r w:rsidRPr="001F63BA">
        <w:rPr>
          <w:rFonts w:ascii="GHEA Grapalat" w:hAnsi="GHEA Grapalat"/>
          <w:sz w:val="22"/>
          <w:szCs w:val="22"/>
          <w:lang w:val="en-US"/>
        </w:rPr>
        <w:t>ա</w:t>
      </w:r>
      <w:r w:rsidRPr="001F63BA">
        <w:rPr>
          <w:rFonts w:ascii="GHEA Grapalat" w:hAnsi="GHEA Grapalat"/>
          <w:sz w:val="22"/>
          <w:szCs w:val="22"/>
          <w:lang w:val="af-ZA"/>
        </w:rPr>
        <w:softHyphen/>
      </w:r>
      <w:r w:rsidRPr="001F63BA">
        <w:rPr>
          <w:rFonts w:ascii="GHEA Grapalat" w:hAnsi="GHEA Grapalat"/>
          <w:sz w:val="22"/>
          <w:szCs w:val="22"/>
          <w:lang w:val="en-US"/>
        </w:rPr>
        <w:t>յի</w:t>
      </w:r>
      <w:r w:rsidRPr="001F63BA">
        <w:rPr>
          <w:rFonts w:ascii="GHEA Grapalat" w:hAnsi="GHEA Grapalat"/>
          <w:sz w:val="22"/>
          <w:szCs w:val="22"/>
          <w:lang w:val="af-ZA"/>
        </w:rPr>
        <w:t xml:space="preserve"> </w:t>
      </w:r>
      <w:r w:rsidRPr="001F63BA">
        <w:rPr>
          <w:rFonts w:ascii="GHEA Grapalat" w:hAnsi="GHEA Grapalat"/>
          <w:sz w:val="22"/>
          <w:szCs w:val="22"/>
          <w:lang w:val="en-US"/>
        </w:rPr>
        <w:t>դեղերի</w:t>
      </w:r>
      <w:r w:rsidRPr="001F63BA">
        <w:rPr>
          <w:rFonts w:ascii="GHEA Grapalat" w:hAnsi="GHEA Grapalat"/>
          <w:sz w:val="22"/>
          <w:szCs w:val="22"/>
          <w:lang w:val="af-ZA"/>
        </w:rPr>
        <w:t xml:space="preserve"> </w:t>
      </w:r>
      <w:r w:rsidRPr="001F63BA">
        <w:rPr>
          <w:rFonts w:ascii="GHEA Grapalat" w:hAnsi="GHEA Grapalat"/>
          <w:sz w:val="22"/>
          <w:szCs w:val="22"/>
          <w:lang w:val="en-US"/>
        </w:rPr>
        <w:t>ցանկի</w:t>
      </w:r>
      <w:r w:rsidRPr="001F63BA">
        <w:rPr>
          <w:rFonts w:ascii="GHEA Grapalat" w:hAnsi="GHEA Grapalat"/>
          <w:sz w:val="22"/>
          <w:szCs w:val="22"/>
          <w:lang w:val="af-ZA"/>
        </w:rPr>
        <w:t xml:space="preserve"> </w:t>
      </w:r>
      <w:r w:rsidRPr="001F63BA">
        <w:rPr>
          <w:rFonts w:ascii="GHEA Grapalat" w:hAnsi="GHEA Grapalat"/>
          <w:sz w:val="22"/>
          <w:szCs w:val="22"/>
          <w:lang w:val="en-US"/>
        </w:rPr>
        <w:t>ընդլայնման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երաշխավորված</w:t>
      </w:r>
      <w:r w:rsidRPr="001F63BA">
        <w:rPr>
          <w:rFonts w:ascii="GHEA Grapalat" w:hAnsi="GHEA Grapalat"/>
          <w:sz w:val="22"/>
          <w:szCs w:val="22"/>
          <w:lang w:val="af-ZA"/>
        </w:rPr>
        <w:t xml:space="preserve"> </w:t>
      </w:r>
      <w:r w:rsidRPr="001F63BA">
        <w:rPr>
          <w:rFonts w:ascii="GHEA Grapalat" w:hAnsi="GHEA Grapalat"/>
          <w:sz w:val="22"/>
          <w:szCs w:val="22"/>
          <w:lang w:val="en-US"/>
        </w:rPr>
        <w:t>անվճար</w:t>
      </w:r>
      <w:r w:rsidRPr="001F63BA">
        <w:rPr>
          <w:rFonts w:ascii="GHEA Grapalat" w:hAnsi="GHEA Grapalat"/>
          <w:sz w:val="22"/>
          <w:szCs w:val="22"/>
          <w:lang w:val="af-ZA"/>
        </w:rPr>
        <w:t xml:space="preserve"> </w:t>
      </w:r>
      <w:r w:rsidRPr="001F63BA">
        <w:rPr>
          <w:rFonts w:ascii="GHEA Grapalat" w:hAnsi="GHEA Grapalat"/>
          <w:sz w:val="22"/>
          <w:szCs w:val="22"/>
          <w:lang w:val="en-US"/>
        </w:rPr>
        <w:t>պալիատիվ</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ներդրման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 xml:space="preserve"> </w:t>
      </w:r>
      <w:r w:rsidRPr="001F63BA">
        <w:rPr>
          <w:rFonts w:ascii="GHEA Grapalat" w:hAnsi="GHEA Grapalat"/>
          <w:sz w:val="22"/>
          <w:szCs w:val="22"/>
          <w:lang w:val="en-US"/>
        </w:rPr>
        <w:t>ուռուցքաբանական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հիվանդություններով</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w:t>
      </w:r>
      <w:r w:rsidRPr="001F63BA">
        <w:rPr>
          <w:rFonts w:ascii="GHEA Grapalat" w:hAnsi="GHEA Grapalat"/>
          <w:sz w:val="22"/>
          <w:szCs w:val="22"/>
          <w:lang w:val="af-ZA"/>
        </w:rPr>
        <w:t xml:space="preserve"> </w:t>
      </w:r>
      <w:r w:rsidRPr="001F63BA">
        <w:rPr>
          <w:rFonts w:ascii="GHEA Grapalat" w:hAnsi="GHEA Grapalat"/>
          <w:sz w:val="22"/>
          <w:szCs w:val="22"/>
          <w:lang w:val="en-US"/>
        </w:rPr>
        <w:t>քաղա</w:t>
      </w:r>
      <w:r w:rsidRPr="001F63BA">
        <w:rPr>
          <w:rFonts w:ascii="GHEA Grapalat" w:hAnsi="GHEA Grapalat"/>
          <w:sz w:val="22"/>
          <w:szCs w:val="22"/>
          <w:lang w:val="af-ZA"/>
        </w:rPr>
        <w:softHyphen/>
      </w:r>
      <w:r w:rsidRPr="001F63BA">
        <w:rPr>
          <w:rFonts w:ascii="GHEA Grapalat" w:hAnsi="GHEA Grapalat"/>
          <w:sz w:val="22"/>
          <w:szCs w:val="22"/>
          <w:lang w:val="en-US"/>
        </w:rPr>
        <w:t>քա</w:t>
      </w:r>
      <w:r w:rsidRPr="001F63BA">
        <w:rPr>
          <w:rFonts w:ascii="GHEA Grapalat" w:hAnsi="GHEA Grapalat"/>
          <w:sz w:val="22"/>
          <w:szCs w:val="22"/>
          <w:lang w:val="af-ZA"/>
        </w:rPr>
        <w:softHyphen/>
      </w:r>
      <w:r w:rsidRPr="001F63BA">
        <w:rPr>
          <w:rFonts w:ascii="GHEA Grapalat" w:hAnsi="GHEA Grapalat"/>
          <w:sz w:val="22"/>
          <w:szCs w:val="22"/>
          <w:lang w:val="en-US"/>
        </w:rPr>
        <w:t>ցի</w:t>
      </w:r>
      <w:r w:rsidRPr="001F63BA">
        <w:rPr>
          <w:rFonts w:ascii="GHEA Grapalat" w:hAnsi="GHEA Grapalat"/>
          <w:sz w:val="22"/>
          <w:szCs w:val="22"/>
          <w:lang w:val="af-ZA"/>
        </w:rPr>
        <w:softHyphen/>
      </w:r>
      <w:r w:rsidRPr="001F63BA">
        <w:rPr>
          <w:rFonts w:ascii="GHEA Grapalat" w:hAnsi="GHEA Grapalat"/>
          <w:sz w:val="22"/>
          <w:szCs w:val="22"/>
          <w:lang w:val="en-US"/>
        </w:rPr>
        <w:t>նե</w:t>
      </w:r>
      <w:r w:rsidRPr="001F63BA">
        <w:rPr>
          <w:rFonts w:ascii="GHEA Grapalat" w:hAnsi="GHEA Grapalat"/>
          <w:sz w:val="22"/>
          <w:szCs w:val="22"/>
          <w:lang w:val="af-ZA"/>
        </w:rPr>
        <w:softHyphen/>
      </w:r>
      <w:r w:rsidRPr="001F63BA">
        <w:rPr>
          <w:rFonts w:ascii="GHEA Grapalat" w:hAnsi="GHEA Grapalat"/>
          <w:sz w:val="22"/>
          <w:szCs w:val="22"/>
          <w:lang w:val="en-US"/>
        </w:rPr>
        <w:t>րին</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որակյալ</w:t>
      </w:r>
      <w:r w:rsidRPr="001F63BA">
        <w:rPr>
          <w:rFonts w:ascii="GHEA Grapalat" w:hAnsi="GHEA Grapalat"/>
          <w:sz w:val="22"/>
          <w:szCs w:val="22"/>
          <w:lang w:val="af-ZA"/>
        </w:rPr>
        <w:t xml:space="preserve"> </w:t>
      </w:r>
      <w:r w:rsidRPr="001F63BA">
        <w:rPr>
          <w:rFonts w:ascii="GHEA Grapalat" w:hAnsi="GHEA Grapalat"/>
          <w:sz w:val="22"/>
          <w:szCs w:val="22"/>
          <w:lang w:val="en-US"/>
        </w:rPr>
        <w:t>բժշկական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սպասարկման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միա</w:t>
      </w:r>
      <w:r w:rsidRPr="001F63BA">
        <w:rPr>
          <w:rFonts w:ascii="GHEA Grapalat" w:hAnsi="GHEA Grapalat"/>
          <w:sz w:val="22"/>
          <w:szCs w:val="22"/>
          <w:lang w:val="af-ZA"/>
        </w:rPr>
        <w:softHyphen/>
      </w:r>
      <w:r w:rsidRPr="001F63BA">
        <w:rPr>
          <w:rFonts w:ascii="GHEA Grapalat" w:hAnsi="GHEA Grapalat"/>
          <w:sz w:val="22"/>
          <w:szCs w:val="22"/>
          <w:lang w:val="en-US"/>
        </w:rPr>
        <w:t>ժա</w:t>
      </w:r>
      <w:r w:rsidRPr="001F63BA">
        <w:rPr>
          <w:rFonts w:ascii="GHEA Grapalat" w:hAnsi="GHEA Grapalat"/>
          <w:sz w:val="22"/>
          <w:szCs w:val="22"/>
          <w:lang w:val="af-ZA"/>
        </w:rPr>
        <w:softHyphen/>
      </w:r>
      <w:r w:rsidRPr="001F63BA">
        <w:rPr>
          <w:rFonts w:ascii="GHEA Grapalat" w:hAnsi="GHEA Grapalat"/>
          <w:sz w:val="22"/>
          <w:szCs w:val="22"/>
          <w:lang w:val="en-US"/>
        </w:rPr>
        <w:t>մա</w:t>
      </w:r>
      <w:r w:rsidRPr="001F63BA">
        <w:rPr>
          <w:rFonts w:ascii="GHEA Grapalat" w:hAnsi="GHEA Grapalat"/>
          <w:sz w:val="22"/>
          <w:szCs w:val="22"/>
          <w:lang w:val="af-ZA"/>
        </w:rPr>
        <w:softHyphen/>
      </w:r>
      <w:r w:rsidRPr="001F63BA">
        <w:rPr>
          <w:rFonts w:ascii="GHEA Grapalat" w:hAnsi="GHEA Grapalat"/>
          <w:sz w:val="22"/>
          <w:szCs w:val="22"/>
          <w:lang w:val="en-US"/>
        </w:rPr>
        <w:t>նակ</w:t>
      </w:r>
      <w:r w:rsidRPr="001F63BA">
        <w:rPr>
          <w:rFonts w:ascii="GHEA Grapalat" w:hAnsi="GHEA Grapalat"/>
          <w:sz w:val="22"/>
          <w:szCs w:val="22"/>
          <w:lang w:val="af-ZA"/>
        </w:rPr>
        <w:t xml:space="preserve"> </w:t>
      </w:r>
      <w:r w:rsidRPr="001F63BA">
        <w:rPr>
          <w:rFonts w:ascii="GHEA Grapalat" w:hAnsi="GHEA Grapalat"/>
          <w:sz w:val="22"/>
          <w:szCs w:val="22"/>
          <w:lang w:val="en-US"/>
        </w:rPr>
        <w:t>վերջիններիս</w:t>
      </w:r>
      <w:r w:rsidRPr="001F63BA">
        <w:rPr>
          <w:rFonts w:ascii="GHEA Grapalat" w:hAnsi="GHEA Grapalat"/>
          <w:sz w:val="22"/>
          <w:szCs w:val="22"/>
          <w:lang w:val="af-ZA"/>
        </w:rPr>
        <w:t xml:space="preserve"> «</w:t>
      </w:r>
      <w:r w:rsidRPr="001F63BA">
        <w:rPr>
          <w:rFonts w:ascii="GHEA Grapalat" w:hAnsi="GHEA Grapalat"/>
          <w:sz w:val="22"/>
          <w:szCs w:val="22"/>
          <w:lang w:val="en-US"/>
        </w:rPr>
        <w:t>փրկելով</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բուժման</w:t>
      </w:r>
      <w:r w:rsidRPr="001F63BA">
        <w:rPr>
          <w:rFonts w:ascii="GHEA Grapalat" w:hAnsi="GHEA Grapalat"/>
          <w:sz w:val="22"/>
          <w:szCs w:val="22"/>
          <w:lang w:val="af-ZA"/>
        </w:rPr>
        <w:t xml:space="preserve"> </w:t>
      </w:r>
      <w:r w:rsidRPr="001F63BA">
        <w:rPr>
          <w:rFonts w:ascii="GHEA Grapalat" w:hAnsi="GHEA Grapalat"/>
          <w:sz w:val="22"/>
          <w:szCs w:val="22"/>
          <w:lang w:val="en-US"/>
        </w:rPr>
        <w:t>հետ</w:t>
      </w:r>
      <w:r w:rsidRPr="001F63BA">
        <w:rPr>
          <w:rFonts w:ascii="GHEA Grapalat" w:hAnsi="GHEA Grapalat"/>
          <w:sz w:val="22"/>
          <w:szCs w:val="22"/>
          <w:lang w:val="af-ZA"/>
        </w:rPr>
        <w:t xml:space="preserve"> </w:t>
      </w:r>
      <w:r w:rsidRPr="001F63BA">
        <w:rPr>
          <w:rFonts w:ascii="GHEA Grapalat" w:hAnsi="GHEA Grapalat"/>
          <w:sz w:val="22"/>
          <w:szCs w:val="22"/>
          <w:lang w:val="en-US"/>
        </w:rPr>
        <w:t>կապված</w:t>
      </w:r>
      <w:r w:rsidRPr="001F63BA">
        <w:rPr>
          <w:rFonts w:ascii="GHEA Grapalat" w:hAnsi="GHEA Grapalat"/>
          <w:sz w:val="22"/>
          <w:szCs w:val="22"/>
          <w:lang w:val="af-ZA"/>
        </w:rPr>
        <w:t xml:space="preserve"> </w:t>
      </w:r>
      <w:r w:rsidRPr="001F63BA">
        <w:rPr>
          <w:rFonts w:ascii="GHEA Grapalat" w:hAnsi="GHEA Grapalat"/>
          <w:sz w:val="22"/>
          <w:szCs w:val="22"/>
          <w:lang w:val="en-US"/>
        </w:rPr>
        <w:t>կործանարար</w:t>
      </w:r>
      <w:r w:rsidRPr="001F63BA">
        <w:rPr>
          <w:rFonts w:ascii="GHEA Grapalat" w:hAnsi="GHEA Grapalat"/>
          <w:sz w:val="22"/>
          <w:szCs w:val="22"/>
          <w:lang w:val="af-ZA"/>
        </w:rPr>
        <w:t xml:space="preserve"> </w:t>
      </w:r>
      <w:r w:rsidRPr="001F63BA">
        <w:rPr>
          <w:rFonts w:ascii="GHEA Grapalat" w:hAnsi="GHEA Grapalat"/>
          <w:sz w:val="22"/>
          <w:szCs w:val="22"/>
          <w:lang w:val="en-US"/>
        </w:rPr>
        <w:t>ծախ</w:t>
      </w:r>
      <w:r w:rsidRPr="001F63BA">
        <w:rPr>
          <w:rFonts w:ascii="GHEA Grapalat" w:hAnsi="GHEA Grapalat"/>
          <w:sz w:val="22"/>
          <w:szCs w:val="22"/>
          <w:lang w:val="af-ZA"/>
        </w:rPr>
        <w:softHyphen/>
      </w:r>
      <w:r w:rsidRPr="001F63BA">
        <w:rPr>
          <w:rFonts w:ascii="GHEA Grapalat" w:hAnsi="GHEA Grapalat"/>
          <w:sz w:val="22"/>
          <w:szCs w:val="22"/>
          <w:lang w:val="en-US"/>
        </w:rPr>
        <w:t>սեր</w:t>
      </w:r>
      <w:r w:rsidRPr="001F63BA">
        <w:rPr>
          <w:rFonts w:ascii="GHEA Grapalat" w:hAnsi="GHEA Grapalat"/>
          <w:sz w:val="22"/>
          <w:szCs w:val="22"/>
          <w:lang w:val="af-ZA"/>
        </w:rPr>
        <w:t xml:space="preserve"> </w:t>
      </w:r>
      <w:r w:rsidRPr="001F63BA">
        <w:rPr>
          <w:rFonts w:ascii="GHEA Grapalat" w:hAnsi="GHEA Grapalat"/>
          <w:sz w:val="22"/>
          <w:szCs w:val="22"/>
          <w:lang w:val="en-US"/>
        </w:rPr>
        <w:t>կա</w:t>
      </w:r>
      <w:r w:rsidRPr="001F63BA">
        <w:rPr>
          <w:rFonts w:ascii="GHEA Grapalat" w:hAnsi="GHEA Grapalat"/>
          <w:sz w:val="22"/>
          <w:szCs w:val="22"/>
          <w:lang w:val="af-ZA"/>
        </w:rPr>
        <w:softHyphen/>
      </w:r>
      <w:r w:rsidRPr="001F63BA">
        <w:rPr>
          <w:rFonts w:ascii="GHEA Grapalat" w:hAnsi="GHEA Grapalat"/>
          <w:sz w:val="22"/>
          <w:szCs w:val="22"/>
          <w:lang w:val="en-US"/>
        </w:rPr>
        <w:t>տարելու</w:t>
      </w:r>
      <w:r w:rsidRPr="001F63BA">
        <w:rPr>
          <w:rFonts w:ascii="GHEA Grapalat" w:hAnsi="GHEA Grapalat"/>
          <w:sz w:val="22"/>
          <w:szCs w:val="22"/>
          <w:lang w:val="af-ZA"/>
        </w:rPr>
        <w:t xml:space="preserve"> </w:t>
      </w:r>
      <w:r w:rsidRPr="001F63BA">
        <w:rPr>
          <w:rFonts w:ascii="GHEA Grapalat" w:hAnsi="GHEA Grapalat"/>
          <w:sz w:val="22"/>
          <w:szCs w:val="22"/>
          <w:lang w:val="en-US"/>
        </w:rPr>
        <w:t>վտանգներից</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տեխնոլոգիաների</w:t>
      </w:r>
      <w:r w:rsidRPr="001F63BA">
        <w:rPr>
          <w:rFonts w:ascii="GHEA Grapalat" w:hAnsi="GHEA Grapalat"/>
          <w:sz w:val="22"/>
          <w:szCs w:val="22"/>
          <w:lang w:val="af-ZA"/>
        </w:rPr>
        <w:t xml:space="preserve"> </w:t>
      </w:r>
      <w:r w:rsidRPr="001F63BA">
        <w:rPr>
          <w:rFonts w:ascii="GHEA Grapalat" w:hAnsi="GHEA Grapalat"/>
          <w:sz w:val="22"/>
          <w:szCs w:val="22"/>
          <w:lang w:val="en-US"/>
        </w:rPr>
        <w:t>կիրառմամբ</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մատուցվել են</w:t>
      </w:r>
      <w:r w:rsidRPr="001F63BA">
        <w:rPr>
          <w:rFonts w:ascii="GHEA Grapalat" w:hAnsi="GHEA Grapalat"/>
          <w:sz w:val="22"/>
          <w:szCs w:val="22"/>
          <w:lang w:val="af-ZA"/>
        </w:rPr>
        <w:t xml:space="preserve"> </w:t>
      </w:r>
      <w:r w:rsidRPr="001F63BA">
        <w:rPr>
          <w:rFonts w:ascii="GHEA Grapalat" w:hAnsi="GHEA Grapalat"/>
          <w:sz w:val="22"/>
          <w:szCs w:val="22"/>
          <w:lang w:val="en-US"/>
        </w:rPr>
        <w:t>մարդու</w:t>
      </w:r>
      <w:r w:rsidRPr="001F63BA">
        <w:rPr>
          <w:rFonts w:ascii="GHEA Grapalat" w:hAnsi="GHEA Grapalat"/>
          <w:sz w:val="22"/>
          <w:szCs w:val="22"/>
          <w:lang w:val="af-ZA"/>
        </w:rPr>
        <w:t xml:space="preserve"> </w:t>
      </w:r>
      <w:r w:rsidRPr="001F63BA">
        <w:rPr>
          <w:rFonts w:ascii="GHEA Grapalat" w:hAnsi="GHEA Grapalat"/>
          <w:sz w:val="22"/>
          <w:szCs w:val="22"/>
          <w:lang w:val="en-US"/>
        </w:rPr>
        <w:t>օրգանների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երի</w:t>
      </w:r>
      <w:r w:rsidRPr="001F63BA">
        <w:rPr>
          <w:rFonts w:ascii="GHEA Grapalat" w:hAnsi="GHEA Grapalat"/>
          <w:sz w:val="22"/>
          <w:szCs w:val="22"/>
          <w:lang w:val="af-ZA"/>
        </w:rPr>
        <w:softHyphen/>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ոսկրածուծի</w:t>
      </w:r>
      <w:r w:rsidRPr="001F63BA">
        <w:rPr>
          <w:rFonts w:ascii="GHEA Grapalat" w:hAnsi="GHEA Grapalat"/>
          <w:sz w:val="22"/>
          <w:szCs w:val="22"/>
          <w:lang w:val="af-ZA"/>
        </w:rPr>
        <w:t>/</w:t>
      </w:r>
      <w:r w:rsidRPr="001F63BA">
        <w:rPr>
          <w:rFonts w:ascii="GHEA Grapalat" w:hAnsi="GHEA Grapalat"/>
          <w:sz w:val="22"/>
          <w:szCs w:val="22"/>
          <w:lang w:val="en-US"/>
        </w:rPr>
        <w:t>ցողունային</w:t>
      </w:r>
      <w:r w:rsidRPr="001F63BA">
        <w:rPr>
          <w:rFonts w:ascii="GHEA Grapalat" w:hAnsi="GHEA Grapalat"/>
          <w:sz w:val="22"/>
          <w:szCs w:val="22"/>
          <w:lang w:val="af-ZA"/>
        </w:rPr>
        <w:t xml:space="preserve"> </w:t>
      </w:r>
      <w:r w:rsidRPr="001F63BA">
        <w:rPr>
          <w:rFonts w:ascii="GHEA Grapalat" w:hAnsi="GHEA Grapalat"/>
          <w:sz w:val="22"/>
          <w:szCs w:val="22"/>
          <w:lang w:val="en-US"/>
        </w:rPr>
        <w:t>բջիջների</w:t>
      </w:r>
      <w:r w:rsidRPr="001F63BA">
        <w:rPr>
          <w:rFonts w:ascii="GHEA Grapalat" w:hAnsi="GHEA Grapalat"/>
          <w:sz w:val="22"/>
          <w:szCs w:val="22"/>
          <w:lang w:val="af-ZA"/>
        </w:rPr>
        <w:t xml:space="preserve"> </w:t>
      </w:r>
      <w:r w:rsidRPr="001F63BA">
        <w:rPr>
          <w:rFonts w:ascii="GHEA Grapalat" w:hAnsi="GHEA Grapalat"/>
          <w:sz w:val="22"/>
          <w:szCs w:val="22"/>
          <w:lang w:val="en-US"/>
        </w:rPr>
        <w:t>փոխպատվաստման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որոնք</w:t>
      </w:r>
      <w:r w:rsidRPr="001F63BA">
        <w:rPr>
          <w:rFonts w:ascii="GHEA Grapalat" w:hAnsi="GHEA Grapalat"/>
          <w:sz w:val="22"/>
          <w:szCs w:val="22"/>
          <w:lang w:val="af-ZA"/>
        </w:rPr>
        <w:t xml:space="preserve"> </w:t>
      </w:r>
      <w:r w:rsidRPr="001F63BA">
        <w:rPr>
          <w:rFonts w:ascii="GHEA Grapalat" w:hAnsi="GHEA Grapalat"/>
          <w:sz w:val="22"/>
          <w:szCs w:val="22"/>
          <w:lang w:val="en-US"/>
        </w:rPr>
        <w:t>բա</w:t>
      </w:r>
      <w:r w:rsidRPr="001F63BA">
        <w:rPr>
          <w:rFonts w:ascii="GHEA Grapalat" w:hAnsi="GHEA Grapalat"/>
          <w:sz w:val="22"/>
          <w:szCs w:val="22"/>
          <w:lang w:val="af-ZA"/>
        </w:rPr>
        <w:softHyphen/>
      </w:r>
      <w:r w:rsidRPr="001F63BA">
        <w:rPr>
          <w:rFonts w:ascii="GHEA Grapalat" w:hAnsi="GHEA Grapalat"/>
          <w:sz w:val="22"/>
          <w:szCs w:val="22"/>
          <w:lang w:val="en-US"/>
        </w:rPr>
        <w:t>րելավել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քրոնիկ</w:t>
      </w:r>
      <w:r w:rsidRPr="001F63BA">
        <w:rPr>
          <w:rFonts w:ascii="GHEA Grapalat" w:hAnsi="GHEA Grapalat"/>
          <w:sz w:val="22"/>
          <w:szCs w:val="22"/>
          <w:lang w:val="af-ZA"/>
        </w:rPr>
        <w:t xml:space="preserve"> </w:t>
      </w:r>
      <w:r w:rsidRPr="001F63BA">
        <w:rPr>
          <w:rFonts w:ascii="GHEA Grapalat" w:hAnsi="GHEA Grapalat"/>
          <w:sz w:val="22"/>
          <w:szCs w:val="22"/>
          <w:lang w:val="en-US"/>
        </w:rPr>
        <w:t>երիկամային</w:t>
      </w:r>
      <w:r w:rsidRPr="001F63BA">
        <w:rPr>
          <w:rFonts w:ascii="GHEA Grapalat" w:hAnsi="GHEA Grapalat"/>
          <w:sz w:val="22"/>
          <w:szCs w:val="22"/>
          <w:lang w:val="af-ZA"/>
        </w:rPr>
        <w:t xml:space="preserve"> </w:t>
      </w:r>
      <w:r w:rsidRPr="001F63BA">
        <w:rPr>
          <w:rFonts w:ascii="GHEA Grapalat" w:hAnsi="GHEA Grapalat"/>
          <w:sz w:val="22"/>
          <w:szCs w:val="22"/>
          <w:lang w:val="en-US"/>
        </w:rPr>
        <w:t>անբավարարությամբ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արյան</w:t>
      </w:r>
      <w:r w:rsidRPr="001F63BA">
        <w:rPr>
          <w:rFonts w:ascii="GHEA Grapalat" w:hAnsi="GHEA Grapalat"/>
          <w:sz w:val="22"/>
          <w:szCs w:val="22"/>
          <w:lang w:val="af-ZA"/>
        </w:rPr>
        <w:t xml:space="preserve"> </w:t>
      </w:r>
      <w:r w:rsidRPr="001F63BA">
        <w:rPr>
          <w:rFonts w:ascii="GHEA Grapalat" w:hAnsi="GHEA Grapalat"/>
          <w:sz w:val="22"/>
          <w:szCs w:val="22"/>
          <w:lang w:val="en-US"/>
        </w:rPr>
        <w:t>չարորակ</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հիվանդություններով</w:t>
      </w:r>
      <w:r w:rsidRPr="001F63BA">
        <w:rPr>
          <w:rFonts w:ascii="GHEA Grapalat" w:hAnsi="GHEA Grapalat"/>
          <w:sz w:val="22"/>
          <w:szCs w:val="22"/>
          <w:lang w:val="af-ZA"/>
        </w:rPr>
        <w:t xml:space="preserve"> </w:t>
      </w:r>
      <w:r w:rsidRPr="001F63BA">
        <w:rPr>
          <w:rFonts w:ascii="GHEA Grapalat" w:hAnsi="GHEA Grapalat"/>
          <w:sz w:val="22"/>
          <w:szCs w:val="22"/>
          <w:lang w:val="en-US"/>
        </w:rPr>
        <w:t>տառապող</w:t>
      </w:r>
      <w:r w:rsidRPr="001F63BA">
        <w:rPr>
          <w:rFonts w:ascii="GHEA Grapalat" w:hAnsi="GHEA Grapalat"/>
          <w:sz w:val="22"/>
          <w:szCs w:val="22"/>
          <w:lang w:val="af-ZA"/>
        </w:rPr>
        <w:t xml:space="preserve"> </w:t>
      </w:r>
      <w:r w:rsidRPr="001F63BA">
        <w:rPr>
          <w:rFonts w:ascii="GHEA Grapalat" w:hAnsi="GHEA Grapalat"/>
          <w:sz w:val="22"/>
          <w:szCs w:val="22"/>
          <w:lang w:val="en-US"/>
        </w:rPr>
        <w:t>անձանց</w:t>
      </w:r>
      <w:r w:rsidRPr="001F63BA">
        <w:rPr>
          <w:rFonts w:ascii="GHEA Grapalat" w:hAnsi="GHEA Grapalat"/>
          <w:sz w:val="22"/>
          <w:szCs w:val="22"/>
          <w:lang w:val="af-ZA"/>
        </w:rPr>
        <w:t xml:space="preserve"> </w:t>
      </w:r>
      <w:r w:rsidRPr="001F63BA">
        <w:rPr>
          <w:rFonts w:ascii="GHEA Grapalat" w:hAnsi="GHEA Grapalat"/>
          <w:sz w:val="22"/>
          <w:szCs w:val="22"/>
          <w:lang w:val="en-US"/>
        </w:rPr>
        <w:t>կյանքի</w:t>
      </w:r>
      <w:r w:rsidRPr="001F63BA">
        <w:rPr>
          <w:rFonts w:ascii="GHEA Grapalat" w:hAnsi="GHEA Grapalat"/>
          <w:sz w:val="22"/>
          <w:szCs w:val="22"/>
          <w:lang w:val="af-ZA"/>
        </w:rPr>
        <w:t xml:space="preserve"> </w:t>
      </w:r>
      <w:r w:rsidRPr="001F63BA">
        <w:rPr>
          <w:rFonts w:ascii="GHEA Grapalat" w:hAnsi="GHEA Grapalat"/>
          <w:sz w:val="22"/>
          <w:szCs w:val="22"/>
          <w:lang w:val="en-US"/>
        </w:rPr>
        <w:t>որակը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ապրելիության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ցուցանիշը</w:t>
      </w:r>
      <w:r w:rsidRPr="001F63BA">
        <w:rPr>
          <w:rFonts w:ascii="GHEA Grapalat" w:hAnsi="GHEA Grapalat"/>
          <w:sz w:val="22"/>
          <w:szCs w:val="22"/>
          <w:lang w:val="af-ZA"/>
        </w:rPr>
        <w:t>:</w:t>
      </w:r>
    </w:p>
    <w:p w:rsidR="001C411D" w:rsidRPr="001F63BA" w:rsidRDefault="001C411D" w:rsidP="00A879EB">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lastRenderedPageBreak/>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կապիտալ</w:t>
      </w:r>
      <w:r w:rsidRPr="001F63BA">
        <w:rPr>
          <w:rFonts w:ascii="GHEA Grapalat" w:hAnsi="GHEA Grapalat"/>
          <w:sz w:val="22"/>
          <w:szCs w:val="22"/>
          <w:lang w:val="af-ZA"/>
        </w:rPr>
        <w:t xml:space="preserve"> </w:t>
      </w:r>
      <w:r w:rsidRPr="001F63BA">
        <w:rPr>
          <w:rFonts w:ascii="GHEA Grapalat" w:hAnsi="GHEA Grapalat"/>
          <w:sz w:val="22"/>
          <w:szCs w:val="22"/>
          <w:lang w:val="en-US"/>
        </w:rPr>
        <w:t>ծախսեր</w:t>
      </w:r>
      <w:r w:rsidRPr="001F63BA">
        <w:rPr>
          <w:rFonts w:ascii="GHEA Grapalat" w:hAnsi="GHEA Grapalat"/>
          <w:sz w:val="22"/>
          <w:szCs w:val="22"/>
          <w:lang w:val="af-ZA"/>
        </w:rPr>
        <w:t xml:space="preserve">` </w:t>
      </w:r>
      <w:r w:rsidRPr="001F63BA">
        <w:rPr>
          <w:rFonts w:ascii="GHEA Grapalat" w:hAnsi="GHEA Grapalat"/>
          <w:sz w:val="22"/>
          <w:szCs w:val="22"/>
          <w:lang w:val="en-US"/>
        </w:rPr>
        <w:t>մարզային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առողջապահական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շենքային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նյութատեխնիկական</w:t>
      </w:r>
      <w:r w:rsidRPr="001F63BA">
        <w:rPr>
          <w:rFonts w:ascii="GHEA Grapalat" w:hAnsi="GHEA Grapalat"/>
          <w:sz w:val="22"/>
          <w:szCs w:val="22"/>
          <w:lang w:val="af-ZA"/>
        </w:rPr>
        <w:t xml:space="preserve"> </w:t>
      </w:r>
      <w:r w:rsidRPr="001F63BA">
        <w:rPr>
          <w:rFonts w:ascii="GHEA Grapalat" w:hAnsi="GHEA Grapalat"/>
          <w:sz w:val="22"/>
          <w:szCs w:val="22"/>
          <w:lang w:val="en-US"/>
        </w:rPr>
        <w:t>պայմանների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w:t>
      </w:r>
    </w:p>
    <w:p w:rsidR="001C411D" w:rsidRPr="001F63BA" w:rsidRDefault="001C411D" w:rsidP="00AC199C">
      <w:pPr>
        <w:spacing w:line="360" w:lineRule="auto"/>
        <w:ind w:firstLine="567"/>
        <w:jc w:val="both"/>
        <w:rPr>
          <w:rFonts w:ascii="GHEA Grapalat" w:hAnsi="GHEA Grapalat"/>
          <w:sz w:val="22"/>
          <w:szCs w:val="22"/>
          <w:lang w:val="af-ZA"/>
        </w:rPr>
      </w:pPr>
    </w:p>
    <w:p w:rsidR="001C411D" w:rsidRPr="001F63BA" w:rsidRDefault="001C411D" w:rsidP="008A5E8A">
      <w:pPr>
        <w:pStyle w:val="Heading2"/>
        <w:spacing w:before="0"/>
      </w:pPr>
      <w:bookmarkStart w:id="47" w:name="_Toc132204221"/>
      <w:r w:rsidRPr="001F63BA">
        <w:t>Աշխատանք և սոցիալական պաշտպանություն</w:t>
      </w:r>
      <w:bookmarkEnd w:id="47"/>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u w:val="single"/>
          <w:lang w:val="af-ZA"/>
        </w:rPr>
        <w:t>Աշխատանքի և սոցիալական պաշտպանության ոլորտում</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գերակա</w:t>
      </w:r>
      <w:r w:rsidRPr="001F63BA">
        <w:rPr>
          <w:rFonts w:ascii="GHEA Grapalat" w:hAnsi="GHEA Grapalat"/>
          <w:sz w:val="22"/>
          <w:szCs w:val="22"/>
          <w:lang w:val="af-ZA"/>
        </w:rPr>
        <w:t xml:space="preserve"> </w:t>
      </w:r>
      <w:r w:rsidRPr="001F63BA">
        <w:rPr>
          <w:rFonts w:ascii="GHEA Grapalat" w:hAnsi="GHEA Grapalat"/>
          <w:sz w:val="22"/>
          <w:szCs w:val="22"/>
          <w:lang w:val="en-US"/>
        </w:rPr>
        <w:t>վերջնական</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արդյունքներ</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հանդիսացել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շրջանակում</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շահառուներին</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մատուցվող</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շարունակականության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ապահովումը</w:t>
      </w:r>
      <w:r w:rsidRPr="001F63BA">
        <w:rPr>
          <w:rFonts w:ascii="GHEA Grapalat" w:hAnsi="GHEA Grapalat"/>
          <w:sz w:val="22"/>
          <w:szCs w:val="22"/>
          <w:lang w:val="af-ZA"/>
        </w:rPr>
        <w:t xml:space="preserve">` </w:t>
      </w:r>
      <w:r w:rsidRPr="001F63BA">
        <w:rPr>
          <w:rFonts w:ascii="GHEA Grapalat" w:hAnsi="GHEA Grapalat"/>
          <w:sz w:val="22"/>
          <w:szCs w:val="22"/>
          <w:lang w:val="en-US"/>
        </w:rPr>
        <w:t>խրախուսելով</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հասարակական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կազմակերպություններին</w:t>
      </w:r>
      <w:r w:rsidRPr="001F63BA">
        <w:rPr>
          <w:rFonts w:ascii="GHEA Grapalat" w:hAnsi="GHEA Grapalat"/>
          <w:sz w:val="22"/>
          <w:szCs w:val="22"/>
          <w:lang w:val="af-ZA"/>
        </w:rPr>
        <w:t xml:space="preserve"> </w:t>
      </w:r>
      <w:r w:rsidRPr="001F63BA">
        <w:rPr>
          <w:rFonts w:ascii="GHEA Grapalat" w:hAnsi="GHEA Grapalat"/>
          <w:sz w:val="22"/>
          <w:szCs w:val="22"/>
          <w:lang w:val="en-US"/>
        </w:rPr>
        <w:t>մրցութային</w:t>
      </w:r>
      <w:r w:rsidRPr="001F63BA">
        <w:rPr>
          <w:rFonts w:ascii="GHEA Grapalat" w:hAnsi="GHEA Grapalat"/>
          <w:sz w:val="22"/>
          <w:szCs w:val="22"/>
          <w:lang w:val="af-ZA"/>
        </w:rPr>
        <w:t xml:space="preserve"> </w:t>
      </w:r>
      <w:r w:rsidRPr="001F63BA">
        <w:rPr>
          <w:rFonts w:ascii="GHEA Grapalat" w:hAnsi="GHEA Grapalat"/>
          <w:sz w:val="22"/>
          <w:szCs w:val="22"/>
          <w:lang w:val="en-US"/>
        </w:rPr>
        <w:t>եղանակով</w:t>
      </w:r>
      <w:r w:rsidRPr="001F63BA">
        <w:rPr>
          <w:rFonts w:ascii="GHEA Grapalat" w:hAnsi="GHEA Grapalat"/>
          <w:sz w:val="22"/>
          <w:szCs w:val="22"/>
          <w:lang w:val="af-ZA"/>
        </w:rPr>
        <w:t xml:space="preserve"> </w:t>
      </w:r>
      <w:r w:rsidRPr="001F63BA">
        <w:rPr>
          <w:rFonts w:ascii="GHEA Grapalat" w:hAnsi="GHEA Grapalat"/>
          <w:sz w:val="22"/>
          <w:szCs w:val="22"/>
          <w:lang w:val="en-US"/>
        </w:rPr>
        <w:t>պատվիրակումը</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շահառուներին</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մատուցվող</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բարելավումը</w:t>
      </w:r>
      <w:r w:rsidRPr="001F63BA">
        <w:rPr>
          <w:rFonts w:ascii="GHEA Grapalat" w:hAnsi="GHEA Grapalat"/>
          <w:sz w:val="22"/>
          <w:szCs w:val="22"/>
          <w:lang w:val="af-ZA"/>
        </w:rPr>
        <w:t>, հաստատու</w:t>
      </w:r>
      <w:r w:rsidRPr="001F63BA">
        <w:rPr>
          <w:rFonts w:ascii="GHEA Grapalat" w:hAnsi="GHEA Grapalat"/>
          <w:sz w:val="22"/>
          <w:szCs w:val="22"/>
          <w:lang w:val="en-US"/>
        </w:rPr>
        <w:t>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ապաինստիտուցիոնալացման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գործընթացի</w:t>
      </w:r>
      <w:r w:rsidRPr="001F63BA">
        <w:rPr>
          <w:rFonts w:ascii="GHEA Grapalat" w:hAnsi="GHEA Grapalat"/>
          <w:sz w:val="22"/>
          <w:szCs w:val="22"/>
          <w:lang w:val="af-ZA"/>
        </w:rPr>
        <w:t xml:space="preserve"> </w:t>
      </w:r>
      <w:r w:rsidRPr="001F63BA">
        <w:rPr>
          <w:rFonts w:ascii="GHEA Grapalat" w:hAnsi="GHEA Grapalat"/>
          <w:sz w:val="22"/>
          <w:szCs w:val="22"/>
          <w:lang w:val="en-US"/>
        </w:rPr>
        <w:t>համատեքստում</w:t>
      </w:r>
      <w:r w:rsidRPr="001F63BA">
        <w:rPr>
          <w:rFonts w:ascii="GHEA Grapalat" w:hAnsi="GHEA Grapalat"/>
          <w:sz w:val="22"/>
          <w:szCs w:val="22"/>
          <w:lang w:val="af-ZA"/>
        </w:rPr>
        <w:t xml:space="preserve"> </w:t>
      </w:r>
      <w:r w:rsidRPr="001F63BA">
        <w:rPr>
          <w:rFonts w:ascii="GHEA Grapalat" w:hAnsi="GHEA Grapalat"/>
          <w:sz w:val="22"/>
          <w:szCs w:val="22"/>
          <w:lang w:val="en-US"/>
        </w:rPr>
        <w:t>համայնքային</w:t>
      </w:r>
      <w:r w:rsidRPr="001F63BA">
        <w:rPr>
          <w:rFonts w:ascii="GHEA Grapalat" w:hAnsi="GHEA Grapalat"/>
          <w:sz w:val="22"/>
          <w:szCs w:val="22"/>
          <w:lang w:val="af-ZA"/>
        </w:rPr>
        <w:t xml:space="preserve"> </w:t>
      </w:r>
      <w:r w:rsidRPr="001F63BA">
        <w:rPr>
          <w:rFonts w:ascii="GHEA Grapalat" w:hAnsi="GHEA Grapalat"/>
          <w:sz w:val="22"/>
          <w:szCs w:val="22"/>
          <w:lang w:val="en-US"/>
        </w:rPr>
        <w:t>այլընտրանքային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ընդլայնումը</w:t>
      </w:r>
      <w:r w:rsidRPr="001F63BA">
        <w:rPr>
          <w:rFonts w:ascii="GHEA Grapalat" w:hAnsi="GHEA Grapalat"/>
          <w:sz w:val="22"/>
          <w:szCs w:val="22"/>
          <w:lang w:val="af-ZA"/>
        </w:rPr>
        <w:t xml:space="preserve">` </w:t>
      </w:r>
      <w:r w:rsidRPr="001F63BA">
        <w:rPr>
          <w:rFonts w:ascii="GHEA Grapalat" w:hAnsi="GHEA Grapalat"/>
          <w:sz w:val="22"/>
          <w:szCs w:val="22"/>
          <w:lang w:val="en-US"/>
        </w:rPr>
        <w:t>ներգրավելով</w:t>
      </w:r>
      <w:r w:rsidRPr="001F63BA">
        <w:rPr>
          <w:rFonts w:ascii="GHEA Grapalat" w:hAnsi="GHEA Grapalat"/>
          <w:sz w:val="22"/>
          <w:szCs w:val="22"/>
          <w:lang w:val="af-ZA"/>
        </w:rPr>
        <w:t xml:space="preserve"> </w:t>
      </w:r>
      <w:r w:rsidRPr="001F63BA">
        <w:rPr>
          <w:rFonts w:ascii="GHEA Grapalat" w:hAnsi="GHEA Grapalat"/>
          <w:sz w:val="22"/>
          <w:szCs w:val="22"/>
          <w:lang w:val="en-US"/>
        </w:rPr>
        <w:t>համայնքի</w:t>
      </w:r>
      <w:r w:rsidRPr="001F63BA">
        <w:rPr>
          <w:rFonts w:ascii="GHEA Grapalat" w:hAnsi="GHEA Grapalat"/>
          <w:sz w:val="22"/>
          <w:szCs w:val="22"/>
          <w:lang w:val="af-ZA"/>
        </w:rPr>
        <w:t xml:space="preserve"> </w:t>
      </w:r>
      <w:r w:rsidRPr="001F63BA">
        <w:rPr>
          <w:rFonts w:ascii="GHEA Grapalat" w:hAnsi="GHEA Grapalat"/>
          <w:sz w:val="22"/>
          <w:szCs w:val="22"/>
          <w:lang w:val="en-US"/>
        </w:rPr>
        <w:t>ներուժը</w:t>
      </w:r>
      <w:r w:rsidRPr="001F63BA">
        <w:rPr>
          <w:rFonts w:ascii="GHEA Grapalat" w:hAnsi="GHEA Grapalat"/>
          <w:sz w:val="22"/>
          <w:szCs w:val="22"/>
          <w:lang w:val="af-ZA"/>
        </w:rPr>
        <w:t xml:space="preserve">: </w:t>
      </w:r>
    </w:p>
    <w:p w:rsidR="001C411D" w:rsidRPr="001F63BA" w:rsidRDefault="001C411D" w:rsidP="008A5E8A">
      <w:pPr>
        <w:spacing w:line="360" w:lineRule="auto"/>
        <w:ind w:firstLine="567"/>
        <w:jc w:val="both"/>
        <w:rPr>
          <w:rFonts w:ascii="GHEA Grapalat" w:hAnsi="GHEA Grapalat"/>
          <w:sz w:val="22"/>
          <w:szCs w:val="22"/>
          <w:lang w:val="af-ZA"/>
        </w:rPr>
      </w:pPr>
    </w:p>
    <w:p w:rsidR="001C411D" w:rsidRPr="001F63BA" w:rsidRDefault="001C411D" w:rsidP="008A5E8A">
      <w:pPr>
        <w:spacing w:line="360" w:lineRule="auto"/>
        <w:ind w:firstLine="567"/>
        <w:jc w:val="both"/>
        <w:rPr>
          <w:rFonts w:ascii="GHEA Grapalat" w:hAnsi="GHEA Grapalat"/>
          <w:sz w:val="22"/>
          <w:szCs w:val="22"/>
          <w:u w:val="single"/>
          <w:lang w:val="af-ZA"/>
        </w:rPr>
      </w:pPr>
      <w:r w:rsidRPr="001F63BA">
        <w:rPr>
          <w:rFonts w:ascii="GHEA Grapalat" w:hAnsi="GHEA Grapalat"/>
          <w:sz w:val="22"/>
          <w:szCs w:val="22"/>
          <w:u w:val="single"/>
          <w:lang w:val="af-ZA"/>
        </w:rPr>
        <w:t xml:space="preserve">Ժողովրդագրության և ընտանիքի սոցիալական երաշխիքների բնագավառ </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2023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հոկտեմբերի</w:t>
      </w:r>
      <w:r w:rsidRPr="001F63BA">
        <w:rPr>
          <w:rFonts w:ascii="GHEA Grapalat" w:hAnsi="GHEA Grapalat"/>
          <w:sz w:val="22"/>
          <w:szCs w:val="22"/>
          <w:lang w:val="af-ZA"/>
        </w:rPr>
        <w:t xml:space="preserve"> 1-</w:t>
      </w:r>
      <w:r w:rsidRPr="001F63BA">
        <w:rPr>
          <w:rFonts w:ascii="GHEA Grapalat" w:hAnsi="GHEA Grapalat"/>
          <w:sz w:val="22"/>
          <w:szCs w:val="22"/>
          <w:lang w:val="en-US"/>
        </w:rPr>
        <w:t>ից</w:t>
      </w:r>
      <w:r w:rsidRPr="001F63BA">
        <w:rPr>
          <w:rFonts w:ascii="GHEA Grapalat" w:hAnsi="GHEA Grapalat"/>
          <w:sz w:val="22"/>
          <w:szCs w:val="22"/>
          <w:lang w:val="af-ZA"/>
        </w:rPr>
        <w:t xml:space="preserve"> </w:t>
      </w:r>
      <w:r w:rsidRPr="001F63BA">
        <w:rPr>
          <w:rFonts w:ascii="GHEA Grapalat" w:hAnsi="GHEA Grapalat"/>
          <w:sz w:val="22"/>
          <w:szCs w:val="22"/>
          <w:lang w:val="en-US"/>
        </w:rPr>
        <w:t>ներդրվելու</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անապահովության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գնահատման</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շնորհիվ</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ծրագրերը</w:t>
      </w:r>
      <w:r w:rsidRPr="001F63BA">
        <w:rPr>
          <w:rFonts w:ascii="GHEA Grapalat" w:hAnsi="GHEA Grapalat"/>
          <w:sz w:val="22"/>
          <w:szCs w:val="22"/>
          <w:lang w:val="af-ZA"/>
        </w:rPr>
        <w:t xml:space="preserve"> </w:t>
      </w:r>
      <w:r w:rsidRPr="001F63BA">
        <w:rPr>
          <w:rFonts w:ascii="GHEA Grapalat" w:hAnsi="GHEA Grapalat"/>
          <w:sz w:val="22"/>
          <w:szCs w:val="22"/>
          <w:lang w:val="en-US"/>
        </w:rPr>
        <w:t>կլինեն</w:t>
      </w:r>
      <w:r w:rsidRPr="001F63BA">
        <w:rPr>
          <w:rFonts w:ascii="GHEA Grapalat" w:hAnsi="GHEA Grapalat"/>
          <w:sz w:val="22"/>
          <w:szCs w:val="22"/>
          <w:lang w:val="af-ZA"/>
        </w:rPr>
        <w:t xml:space="preserve"> </w:t>
      </w:r>
      <w:r w:rsidRPr="001F63BA">
        <w:rPr>
          <w:rFonts w:ascii="GHEA Grapalat" w:hAnsi="GHEA Grapalat"/>
          <w:sz w:val="22"/>
          <w:szCs w:val="22"/>
          <w:lang w:val="en-US"/>
        </w:rPr>
        <w:t>ավելի</w:t>
      </w:r>
      <w:r w:rsidRPr="001F63BA">
        <w:rPr>
          <w:rFonts w:ascii="GHEA Grapalat" w:hAnsi="GHEA Grapalat"/>
          <w:sz w:val="22"/>
          <w:szCs w:val="22"/>
          <w:lang w:val="af-ZA"/>
        </w:rPr>
        <w:t xml:space="preserve"> </w:t>
      </w:r>
      <w:r w:rsidRPr="001F63BA">
        <w:rPr>
          <w:rFonts w:ascii="GHEA Grapalat" w:hAnsi="GHEA Grapalat"/>
          <w:sz w:val="22"/>
          <w:szCs w:val="22"/>
          <w:lang w:val="en-US"/>
        </w:rPr>
        <w:t>հասցեական</w:t>
      </w:r>
      <w:r w:rsidRPr="001F63BA">
        <w:rPr>
          <w:rFonts w:ascii="GHEA Grapalat" w:hAnsi="GHEA Grapalat"/>
          <w:sz w:val="22"/>
          <w:szCs w:val="22"/>
          <w:lang w:val="af-ZA"/>
        </w:rPr>
        <w:t xml:space="preserve">: </w:t>
      </w:r>
      <w:r w:rsidRPr="001F63BA">
        <w:rPr>
          <w:rFonts w:ascii="GHEA Grapalat" w:hAnsi="GHEA Grapalat"/>
          <w:sz w:val="22"/>
          <w:szCs w:val="22"/>
          <w:lang w:val="en-US"/>
        </w:rPr>
        <w:t>Անապահովության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գնահատման</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հիմք</w:t>
      </w:r>
      <w:r w:rsidRPr="001F63BA">
        <w:rPr>
          <w:rFonts w:ascii="GHEA Grapalat" w:hAnsi="GHEA Grapalat"/>
          <w:sz w:val="22"/>
          <w:szCs w:val="22"/>
          <w:lang w:val="af-ZA"/>
        </w:rPr>
        <w:t xml:space="preserve"> </w:t>
      </w:r>
      <w:r w:rsidRPr="001F63BA">
        <w:rPr>
          <w:rFonts w:ascii="GHEA Grapalat" w:hAnsi="GHEA Grapalat"/>
          <w:sz w:val="22"/>
          <w:szCs w:val="22"/>
          <w:lang w:val="en-US"/>
        </w:rPr>
        <w:t>ընտրվել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ընտանիքի</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հիբրիդային</w:t>
      </w:r>
      <w:r w:rsidRPr="001F63BA">
        <w:rPr>
          <w:rFonts w:ascii="GHEA Grapalat" w:hAnsi="GHEA Grapalat"/>
          <w:sz w:val="22"/>
          <w:szCs w:val="22"/>
          <w:lang w:val="af-ZA"/>
        </w:rPr>
        <w:t xml:space="preserve"> </w:t>
      </w:r>
      <w:r w:rsidRPr="001F63BA">
        <w:rPr>
          <w:rFonts w:ascii="GHEA Grapalat" w:hAnsi="GHEA Grapalat"/>
          <w:sz w:val="22"/>
          <w:szCs w:val="22"/>
          <w:lang w:val="en-US"/>
        </w:rPr>
        <w:t>ստուգման</w:t>
      </w:r>
      <w:r w:rsidRPr="001F63BA">
        <w:rPr>
          <w:rFonts w:ascii="GHEA Grapalat" w:hAnsi="GHEA Grapalat"/>
          <w:sz w:val="22"/>
          <w:szCs w:val="22"/>
          <w:lang w:val="af-ZA"/>
        </w:rPr>
        <w:t xml:space="preserve"> </w:t>
      </w:r>
      <w:r w:rsidRPr="001F63BA">
        <w:rPr>
          <w:rFonts w:ascii="GHEA Grapalat" w:hAnsi="GHEA Grapalat"/>
          <w:sz w:val="22"/>
          <w:szCs w:val="22"/>
          <w:lang w:val="en-US"/>
        </w:rPr>
        <w:t>մեթոդը</w:t>
      </w:r>
      <w:r w:rsidRPr="001F63BA">
        <w:rPr>
          <w:rFonts w:ascii="GHEA Grapalat" w:hAnsi="GHEA Grapalat"/>
          <w:sz w:val="22"/>
          <w:szCs w:val="22"/>
          <w:lang w:val="af-ZA"/>
        </w:rPr>
        <w:t xml:space="preserve">, </w:t>
      </w:r>
      <w:r w:rsidRPr="001F63BA">
        <w:rPr>
          <w:rFonts w:ascii="GHEA Grapalat" w:hAnsi="GHEA Grapalat"/>
          <w:sz w:val="22"/>
          <w:szCs w:val="22"/>
          <w:lang w:val="en-US"/>
        </w:rPr>
        <w:t>որը</w:t>
      </w:r>
      <w:r w:rsidRPr="001F63BA">
        <w:rPr>
          <w:rFonts w:ascii="GHEA Grapalat" w:hAnsi="GHEA Grapalat"/>
          <w:sz w:val="22"/>
          <w:szCs w:val="22"/>
          <w:lang w:val="af-ZA"/>
        </w:rPr>
        <w:t xml:space="preserve"> </w:t>
      </w:r>
      <w:r w:rsidRPr="001F63BA">
        <w:rPr>
          <w:rFonts w:ascii="GHEA Grapalat" w:hAnsi="GHEA Grapalat"/>
          <w:sz w:val="22"/>
          <w:szCs w:val="22"/>
          <w:lang w:val="en-US"/>
        </w:rPr>
        <w:t>ենթադրում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անցում</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ընտանիքի</w:t>
      </w:r>
      <w:r w:rsidRPr="001F63BA">
        <w:rPr>
          <w:rFonts w:ascii="GHEA Grapalat" w:hAnsi="GHEA Grapalat"/>
          <w:sz w:val="22"/>
          <w:szCs w:val="22"/>
          <w:lang w:val="af-ZA"/>
        </w:rPr>
        <w:t xml:space="preserve"> </w:t>
      </w:r>
      <w:r w:rsidRPr="001F63BA">
        <w:rPr>
          <w:rFonts w:ascii="GHEA Grapalat" w:hAnsi="GHEA Grapalat"/>
          <w:sz w:val="22"/>
          <w:szCs w:val="22"/>
          <w:lang w:val="en-US"/>
        </w:rPr>
        <w:t>տնօրինվող</w:t>
      </w:r>
      <w:r w:rsidRPr="001F63BA">
        <w:rPr>
          <w:rFonts w:ascii="GHEA Grapalat" w:hAnsi="GHEA Grapalat"/>
          <w:sz w:val="22"/>
          <w:szCs w:val="22"/>
          <w:lang w:val="af-ZA"/>
        </w:rPr>
        <w:t xml:space="preserve"> </w:t>
      </w:r>
      <w:r w:rsidRPr="001F63BA">
        <w:rPr>
          <w:rFonts w:ascii="GHEA Grapalat" w:hAnsi="GHEA Grapalat"/>
          <w:sz w:val="22"/>
          <w:szCs w:val="22"/>
          <w:lang w:val="en-US"/>
        </w:rPr>
        <w:t>եկամուտների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ակտիվների</w:t>
      </w:r>
      <w:r w:rsidRPr="001F63BA">
        <w:rPr>
          <w:rFonts w:ascii="GHEA Grapalat" w:hAnsi="GHEA Grapalat"/>
          <w:sz w:val="22"/>
          <w:szCs w:val="22"/>
          <w:lang w:val="af-ZA"/>
        </w:rPr>
        <w:t xml:space="preserve"> </w:t>
      </w:r>
      <w:r w:rsidRPr="001F63BA">
        <w:rPr>
          <w:rFonts w:ascii="GHEA Grapalat" w:hAnsi="GHEA Grapalat"/>
          <w:sz w:val="22"/>
          <w:szCs w:val="22"/>
          <w:lang w:val="en-US"/>
        </w:rPr>
        <w:t>հիման</w:t>
      </w:r>
      <w:r w:rsidRPr="001F63BA">
        <w:rPr>
          <w:rFonts w:ascii="GHEA Grapalat" w:hAnsi="GHEA Grapalat"/>
          <w:sz w:val="22"/>
          <w:szCs w:val="22"/>
          <w:lang w:val="af-ZA"/>
        </w:rPr>
        <w:t xml:space="preserve"> </w:t>
      </w:r>
      <w:r w:rsidRPr="001F63BA">
        <w:rPr>
          <w:rFonts w:ascii="GHEA Grapalat" w:hAnsi="GHEA Grapalat"/>
          <w:sz w:val="22"/>
          <w:szCs w:val="22"/>
          <w:lang w:val="en-US"/>
        </w:rPr>
        <w:t>վրա</w:t>
      </w:r>
      <w:r w:rsidRPr="001F63BA">
        <w:rPr>
          <w:rFonts w:ascii="GHEA Grapalat" w:hAnsi="GHEA Grapalat"/>
          <w:sz w:val="22"/>
          <w:szCs w:val="22"/>
          <w:lang w:val="af-ZA"/>
        </w:rPr>
        <w:t xml:space="preserve"> </w:t>
      </w:r>
      <w:r w:rsidRPr="001F63BA">
        <w:rPr>
          <w:rFonts w:ascii="GHEA Grapalat" w:hAnsi="GHEA Grapalat"/>
          <w:sz w:val="22"/>
          <w:szCs w:val="22"/>
          <w:lang w:val="en-US"/>
        </w:rPr>
        <w:t>նպաստի</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իրավունքի</w:t>
      </w:r>
      <w:r w:rsidRPr="001F63BA">
        <w:rPr>
          <w:rFonts w:ascii="GHEA Grapalat" w:hAnsi="GHEA Grapalat"/>
          <w:sz w:val="22"/>
          <w:szCs w:val="22"/>
          <w:lang w:val="af-ZA"/>
        </w:rPr>
        <w:t xml:space="preserve"> </w:t>
      </w:r>
      <w:r w:rsidRPr="001F63BA">
        <w:rPr>
          <w:rFonts w:ascii="GHEA Grapalat" w:hAnsi="GHEA Grapalat"/>
          <w:sz w:val="22"/>
          <w:szCs w:val="22"/>
          <w:lang w:val="en-US"/>
        </w:rPr>
        <w:t>որոշմանը</w:t>
      </w:r>
      <w:r w:rsidRPr="001F63BA">
        <w:rPr>
          <w:rFonts w:ascii="GHEA Grapalat" w:hAnsi="GHEA Grapalat"/>
          <w:sz w:val="22"/>
          <w:szCs w:val="22"/>
          <w:lang w:val="af-ZA"/>
        </w:rPr>
        <w:t xml:space="preserve"> (</w:t>
      </w:r>
      <w:r w:rsidRPr="001F63BA">
        <w:rPr>
          <w:rFonts w:ascii="GHEA Grapalat" w:hAnsi="GHEA Grapalat"/>
          <w:sz w:val="22"/>
          <w:szCs w:val="22"/>
          <w:lang w:val="en-US"/>
        </w:rPr>
        <w:t>հեշտ</w:t>
      </w:r>
      <w:r w:rsidRPr="001F63BA">
        <w:rPr>
          <w:rFonts w:ascii="GHEA Grapalat" w:hAnsi="GHEA Grapalat"/>
          <w:sz w:val="22"/>
          <w:szCs w:val="22"/>
          <w:lang w:val="af-ZA"/>
        </w:rPr>
        <w:t xml:space="preserve"> </w:t>
      </w:r>
      <w:r w:rsidRPr="001F63BA">
        <w:rPr>
          <w:rFonts w:ascii="GHEA Grapalat" w:hAnsi="GHEA Grapalat"/>
          <w:sz w:val="22"/>
          <w:szCs w:val="22"/>
          <w:lang w:val="en-US"/>
        </w:rPr>
        <w:t>ստուգվող</w:t>
      </w:r>
      <w:r w:rsidRPr="001F63BA">
        <w:rPr>
          <w:rFonts w:ascii="GHEA Grapalat" w:hAnsi="GHEA Grapalat"/>
          <w:sz w:val="22"/>
          <w:szCs w:val="22"/>
          <w:lang w:val="af-ZA"/>
        </w:rPr>
        <w:t xml:space="preserve"> </w:t>
      </w:r>
      <w:r w:rsidRPr="001F63BA">
        <w:rPr>
          <w:rFonts w:ascii="GHEA Grapalat" w:hAnsi="GHEA Grapalat"/>
          <w:sz w:val="22"/>
          <w:szCs w:val="22"/>
          <w:lang w:val="en-US"/>
        </w:rPr>
        <w:t>եկամուտների</w:t>
      </w:r>
      <w:r w:rsidRPr="001F63BA">
        <w:rPr>
          <w:rFonts w:ascii="GHEA Grapalat" w:hAnsi="GHEA Grapalat"/>
          <w:sz w:val="22"/>
          <w:szCs w:val="22"/>
          <w:lang w:val="af-ZA"/>
        </w:rPr>
        <w:t xml:space="preserve"> </w:t>
      </w:r>
      <w:r w:rsidRPr="001F63BA">
        <w:rPr>
          <w:rFonts w:ascii="GHEA Grapalat" w:hAnsi="GHEA Grapalat"/>
          <w:sz w:val="22"/>
          <w:szCs w:val="22"/>
          <w:lang w:val="en-US"/>
        </w:rPr>
        <w:t>ստուգման</w:t>
      </w:r>
      <w:r w:rsidRPr="001F63BA">
        <w:rPr>
          <w:rFonts w:ascii="GHEA Grapalat" w:hAnsi="GHEA Grapalat"/>
          <w:sz w:val="22"/>
          <w:szCs w:val="22"/>
          <w:lang w:val="af-ZA"/>
        </w:rPr>
        <w:t xml:space="preserve">, </w:t>
      </w:r>
      <w:r w:rsidRPr="001F63BA">
        <w:rPr>
          <w:rFonts w:ascii="GHEA Grapalat" w:hAnsi="GHEA Grapalat"/>
          <w:sz w:val="22"/>
          <w:szCs w:val="22"/>
          <w:lang w:val="en-US"/>
        </w:rPr>
        <w:t>իսկ</w:t>
      </w:r>
      <w:r w:rsidRPr="001F63BA">
        <w:rPr>
          <w:rFonts w:ascii="GHEA Grapalat" w:hAnsi="GHEA Grapalat"/>
          <w:sz w:val="22"/>
          <w:szCs w:val="22"/>
          <w:lang w:val="af-ZA"/>
        </w:rPr>
        <w:t xml:space="preserve"> </w:t>
      </w:r>
      <w:r w:rsidRPr="001F63BA">
        <w:rPr>
          <w:rFonts w:ascii="GHEA Grapalat" w:hAnsi="GHEA Grapalat"/>
          <w:sz w:val="22"/>
          <w:szCs w:val="22"/>
          <w:lang w:val="en-US"/>
        </w:rPr>
        <w:t>դժվար</w:t>
      </w:r>
      <w:r w:rsidRPr="001F63BA">
        <w:rPr>
          <w:rFonts w:ascii="GHEA Grapalat" w:hAnsi="GHEA Grapalat"/>
          <w:sz w:val="22"/>
          <w:szCs w:val="22"/>
          <w:lang w:val="af-ZA"/>
        </w:rPr>
        <w:t xml:space="preserve"> </w:t>
      </w:r>
      <w:r w:rsidRPr="001F63BA">
        <w:rPr>
          <w:rFonts w:ascii="GHEA Grapalat" w:hAnsi="GHEA Grapalat"/>
          <w:sz w:val="22"/>
          <w:szCs w:val="22"/>
          <w:lang w:val="en-US"/>
        </w:rPr>
        <w:t>ստուգվող</w:t>
      </w:r>
      <w:r w:rsidRPr="001F63BA">
        <w:rPr>
          <w:rFonts w:ascii="GHEA Grapalat" w:hAnsi="GHEA Grapalat"/>
          <w:sz w:val="22"/>
          <w:szCs w:val="22"/>
          <w:lang w:val="af-ZA"/>
        </w:rPr>
        <w:t xml:space="preserve"> </w:t>
      </w:r>
      <w:r w:rsidRPr="001F63BA">
        <w:rPr>
          <w:rFonts w:ascii="GHEA Grapalat" w:hAnsi="GHEA Grapalat"/>
          <w:sz w:val="22"/>
          <w:szCs w:val="22"/>
          <w:lang w:val="en-US"/>
        </w:rPr>
        <w:t>եկամուտների</w:t>
      </w:r>
      <w:r w:rsidRPr="001F63BA">
        <w:rPr>
          <w:rFonts w:ascii="GHEA Grapalat" w:hAnsi="GHEA Grapalat"/>
          <w:sz w:val="22"/>
          <w:szCs w:val="22"/>
          <w:lang w:val="af-ZA"/>
        </w:rPr>
        <w:t xml:space="preserve"> </w:t>
      </w:r>
      <w:r w:rsidRPr="001F63BA">
        <w:rPr>
          <w:rFonts w:ascii="GHEA Grapalat" w:hAnsi="GHEA Grapalat"/>
          <w:sz w:val="22"/>
          <w:szCs w:val="22"/>
          <w:lang w:val="en-US"/>
        </w:rPr>
        <w:t>վերագրման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w:t>
      </w:r>
      <w:r w:rsidRPr="001F63BA">
        <w:rPr>
          <w:rFonts w:ascii="GHEA Grapalat" w:hAnsi="GHEA Grapalat"/>
          <w:sz w:val="22"/>
          <w:szCs w:val="22"/>
          <w:lang w:val="en-US"/>
        </w:rPr>
        <w:t>։</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հարցերի</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նախարարի</w:t>
      </w:r>
      <w:r w:rsidRPr="001F63BA">
        <w:rPr>
          <w:rFonts w:ascii="GHEA Grapalat" w:hAnsi="GHEA Grapalat"/>
          <w:sz w:val="22"/>
          <w:szCs w:val="22"/>
          <w:lang w:val="af-ZA"/>
        </w:rPr>
        <w:t xml:space="preserve"> </w:t>
      </w:r>
      <w:r w:rsidRPr="001F63BA">
        <w:rPr>
          <w:rFonts w:ascii="GHEA Grapalat" w:hAnsi="GHEA Grapalat"/>
          <w:sz w:val="22"/>
          <w:szCs w:val="22"/>
          <w:lang w:val="en-US"/>
        </w:rPr>
        <w:t>հրամանով</w:t>
      </w:r>
      <w:r w:rsidRPr="001F63BA">
        <w:rPr>
          <w:rFonts w:ascii="GHEA Grapalat" w:hAnsi="GHEA Grapalat"/>
          <w:sz w:val="22"/>
          <w:szCs w:val="22"/>
          <w:lang w:val="af-ZA"/>
        </w:rPr>
        <w:t xml:space="preserve"> </w:t>
      </w:r>
      <w:r w:rsidRPr="001F63BA">
        <w:rPr>
          <w:rFonts w:ascii="GHEA Grapalat" w:hAnsi="GHEA Grapalat"/>
          <w:sz w:val="22"/>
          <w:szCs w:val="22"/>
          <w:lang w:val="en-US"/>
        </w:rPr>
        <w:t>ստեղծած</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աշխատանքային</w:t>
      </w:r>
      <w:r w:rsidRPr="001F63BA">
        <w:rPr>
          <w:rFonts w:ascii="GHEA Grapalat" w:hAnsi="GHEA Grapalat"/>
          <w:sz w:val="22"/>
          <w:szCs w:val="22"/>
          <w:lang w:val="af-ZA"/>
        </w:rPr>
        <w:t xml:space="preserve"> </w:t>
      </w:r>
      <w:r w:rsidRPr="001F63BA">
        <w:rPr>
          <w:rFonts w:ascii="GHEA Grapalat" w:hAnsi="GHEA Grapalat"/>
          <w:sz w:val="22"/>
          <w:szCs w:val="22"/>
          <w:lang w:val="en-US"/>
        </w:rPr>
        <w:t>խումբը</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ներդրմանն</w:t>
      </w:r>
      <w:r w:rsidRPr="001F63BA">
        <w:rPr>
          <w:rFonts w:ascii="GHEA Grapalat" w:hAnsi="GHEA Grapalat"/>
          <w:sz w:val="22"/>
          <w:szCs w:val="22"/>
          <w:lang w:val="af-ZA"/>
        </w:rPr>
        <w:t xml:space="preserve"> </w:t>
      </w:r>
      <w:r w:rsidRPr="001F63BA">
        <w:rPr>
          <w:rFonts w:ascii="GHEA Grapalat" w:hAnsi="GHEA Grapalat"/>
          <w:sz w:val="22"/>
          <w:szCs w:val="22"/>
          <w:lang w:val="en-US"/>
        </w:rPr>
        <w:t>ուղղված</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աշխատանքները</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Ընտանիքի</w:t>
      </w:r>
      <w:r w:rsidRPr="001F63BA">
        <w:rPr>
          <w:rFonts w:ascii="GHEA Grapalat" w:hAnsi="GHEA Grapalat"/>
          <w:sz w:val="22"/>
          <w:szCs w:val="22"/>
          <w:lang w:val="af-ZA"/>
        </w:rPr>
        <w:t xml:space="preserve"> </w:t>
      </w:r>
      <w:r w:rsidRPr="001F63BA">
        <w:rPr>
          <w:rFonts w:ascii="GHEA Grapalat" w:hAnsi="GHEA Grapalat"/>
          <w:sz w:val="22"/>
          <w:szCs w:val="22"/>
          <w:lang w:val="en-US"/>
        </w:rPr>
        <w:t>կենսամակարդակի</w:t>
      </w:r>
      <w:r w:rsidRPr="001F63BA">
        <w:rPr>
          <w:rFonts w:ascii="GHEA Grapalat" w:hAnsi="GHEA Grapalat"/>
          <w:sz w:val="22"/>
          <w:szCs w:val="22"/>
          <w:lang w:val="af-ZA"/>
        </w:rPr>
        <w:t xml:space="preserve"> </w:t>
      </w:r>
      <w:r w:rsidRPr="001F63BA">
        <w:rPr>
          <w:rFonts w:ascii="GHEA Grapalat" w:hAnsi="GHEA Grapalat"/>
          <w:sz w:val="22"/>
          <w:szCs w:val="22"/>
          <w:lang w:val="en-US"/>
        </w:rPr>
        <w:t>բարձրացմանն</w:t>
      </w:r>
      <w:r w:rsidRPr="001F63BA">
        <w:rPr>
          <w:rFonts w:ascii="GHEA Grapalat" w:hAnsi="GHEA Grapalat"/>
          <w:sz w:val="22"/>
          <w:szCs w:val="22"/>
          <w:lang w:val="af-ZA"/>
        </w:rPr>
        <w:t xml:space="preserve"> </w:t>
      </w:r>
      <w:r w:rsidRPr="001F63BA">
        <w:rPr>
          <w:rFonts w:ascii="GHEA Grapalat" w:hAnsi="GHEA Grapalat"/>
          <w:sz w:val="22"/>
          <w:szCs w:val="22"/>
          <w:lang w:val="en-US"/>
        </w:rPr>
        <w:t>ուղղված</w:t>
      </w:r>
      <w:r w:rsidRPr="001F63BA">
        <w:rPr>
          <w:rFonts w:ascii="GHEA Grapalat" w:hAnsi="GHEA Grapalat"/>
          <w:sz w:val="22"/>
          <w:szCs w:val="22"/>
          <w:lang w:val="af-ZA"/>
        </w:rPr>
        <w:t xml:space="preserve"> </w:t>
      </w:r>
      <w:r w:rsidRPr="001F63BA">
        <w:rPr>
          <w:rFonts w:ascii="GHEA Grapalat" w:hAnsi="GHEA Grapalat"/>
          <w:sz w:val="22"/>
          <w:szCs w:val="22"/>
          <w:lang w:val="en-US"/>
        </w:rPr>
        <w:t>նպաստների</w:t>
      </w:r>
      <w:r w:rsidRPr="001F63BA">
        <w:rPr>
          <w:rFonts w:ascii="GHEA Grapalat" w:hAnsi="GHEA Grapalat"/>
          <w:sz w:val="22"/>
          <w:szCs w:val="22"/>
          <w:lang w:val="af-ZA"/>
        </w:rPr>
        <w:t xml:space="preserve"> (</w:t>
      </w:r>
      <w:r w:rsidRPr="001F63BA">
        <w:rPr>
          <w:rFonts w:ascii="GHEA Grapalat" w:hAnsi="GHEA Grapalat"/>
          <w:sz w:val="22"/>
          <w:szCs w:val="22"/>
          <w:lang w:val="en-US"/>
        </w:rPr>
        <w:t>ընտանեկան</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նպաստներ</w:t>
      </w:r>
      <w:r w:rsidRPr="001F63BA">
        <w:rPr>
          <w:rFonts w:ascii="GHEA Grapalat" w:hAnsi="GHEA Grapalat"/>
          <w:sz w:val="22"/>
          <w:szCs w:val="22"/>
          <w:lang w:val="af-ZA"/>
        </w:rPr>
        <w:t xml:space="preserve">, </w:t>
      </w:r>
      <w:r w:rsidRPr="001F63BA">
        <w:rPr>
          <w:rFonts w:ascii="GHEA Grapalat" w:hAnsi="GHEA Grapalat"/>
          <w:sz w:val="22"/>
          <w:szCs w:val="22"/>
          <w:lang w:val="en-US"/>
        </w:rPr>
        <w:t>հրատապ</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վճարումներն</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անկանխիկ</w:t>
      </w:r>
      <w:r w:rsidRPr="001F63BA">
        <w:rPr>
          <w:rFonts w:ascii="GHEA Grapalat" w:hAnsi="GHEA Grapalat"/>
          <w:sz w:val="22"/>
          <w:szCs w:val="22"/>
          <w:lang w:val="af-ZA"/>
        </w:rPr>
        <w:t xml:space="preserve"> </w:t>
      </w:r>
      <w:r w:rsidRPr="001F63BA">
        <w:rPr>
          <w:rFonts w:ascii="GHEA Grapalat" w:hAnsi="GHEA Grapalat"/>
          <w:sz w:val="22"/>
          <w:szCs w:val="22"/>
          <w:lang w:val="en-US"/>
        </w:rPr>
        <w:t>եղանակով</w:t>
      </w:r>
      <w:r w:rsidRPr="001F63BA">
        <w:rPr>
          <w:rFonts w:ascii="GHEA Grapalat" w:hAnsi="GHEA Grapalat"/>
          <w:sz w:val="22"/>
          <w:szCs w:val="22"/>
          <w:lang w:val="af-ZA"/>
        </w:rPr>
        <w:t xml:space="preserve">: </w:t>
      </w:r>
      <w:r w:rsidRPr="001F63BA">
        <w:rPr>
          <w:rFonts w:ascii="GHEA Grapalat" w:hAnsi="GHEA Grapalat"/>
          <w:sz w:val="22"/>
          <w:szCs w:val="22"/>
          <w:lang w:val="en-US"/>
        </w:rPr>
        <w:t>Անկանխիկ</w:t>
      </w:r>
      <w:r w:rsidRPr="001F63BA">
        <w:rPr>
          <w:rFonts w:ascii="GHEA Grapalat" w:hAnsi="GHEA Grapalat"/>
          <w:sz w:val="22"/>
          <w:szCs w:val="22"/>
          <w:lang w:val="af-ZA"/>
        </w:rPr>
        <w:t xml:space="preserve"> </w:t>
      </w:r>
      <w:r w:rsidRPr="001F63BA">
        <w:rPr>
          <w:rFonts w:ascii="GHEA Grapalat" w:hAnsi="GHEA Grapalat"/>
          <w:sz w:val="22"/>
          <w:szCs w:val="22"/>
          <w:lang w:val="en-US"/>
        </w:rPr>
        <w:t>եղանակով</w:t>
      </w:r>
      <w:r w:rsidRPr="001F63BA">
        <w:rPr>
          <w:rFonts w:ascii="GHEA Grapalat" w:hAnsi="GHEA Grapalat"/>
          <w:sz w:val="22"/>
          <w:szCs w:val="22"/>
          <w:lang w:val="af-ZA"/>
        </w:rPr>
        <w:t xml:space="preserve"> </w:t>
      </w:r>
      <w:r w:rsidRPr="001F63BA">
        <w:rPr>
          <w:rFonts w:ascii="GHEA Grapalat" w:hAnsi="GHEA Grapalat"/>
          <w:sz w:val="22"/>
          <w:szCs w:val="22"/>
          <w:lang w:val="en-US"/>
        </w:rPr>
        <w:t>նպաստ</w:t>
      </w:r>
      <w:r w:rsidRPr="001F63BA">
        <w:rPr>
          <w:rFonts w:ascii="GHEA Grapalat" w:hAnsi="GHEA Grapalat"/>
          <w:sz w:val="22"/>
          <w:szCs w:val="22"/>
          <w:lang w:val="af-ZA"/>
        </w:rPr>
        <w:t xml:space="preserve"> </w:t>
      </w:r>
      <w:r w:rsidRPr="001F63BA">
        <w:rPr>
          <w:rFonts w:ascii="GHEA Grapalat" w:hAnsi="GHEA Grapalat"/>
          <w:sz w:val="22"/>
          <w:szCs w:val="22"/>
          <w:lang w:val="en-US"/>
        </w:rPr>
        <w:t>ստացող</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ընտանիքներն</w:t>
      </w:r>
      <w:r w:rsidRPr="001F63BA">
        <w:rPr>
          <w:rFonts w:ascii="GHEA Grapalat" w:hAnsi="GHEA Grapalat"/>
          <w:sz w:val="22"/>
          <w:szCs w:val="22"/>
          <w:lang w:val="af-ZA"/>
        </w:rPr>
        <w:t xml:space="preserve"> </w:t>
      </w:r>
      <w:r w:rsidRPr="001F63BA">
        <w:rPr>
          <w:rFonts w:ascii="GHEA Grapalat" w:hAnsi="GHEA Grapalat"/>
          <w:sz w:val="22"/>
          <w:szCs w:val="22"/>
          <w:lang w:val="en-US"/>
        </w:rPr>
        <w:t>օգտվում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տարածքում</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w:t>
      </w:r>
      <w:r w:rsidRPr="001F63BA">
        <w:rPr>
          <w:rFonts w:ascii="GHEA Grapalat" w:hAnsi="GHEA Grapalat"/>
          <w:sz w:val="22"/>
          <w:szCs w:val="22"/>
          <w:lang w:val="af-ZA"/>
        </w:rPr>
        <w:t xml:space="preserve"> </w:t>
      </w:r>
      <w:r w:rsidRPr="001F63BA">
        <w:rPr>
          <w:rFonts w:ascii="GHEA Grapalat" w:hAnsi="GHEA Grapalat"/>
          <w:sz w:val="22"/>
          <w:szCs w:val="22"/>
          <w:lang w:val="en-US"/>
        </w:rPr>
        <w:t>առևտրի</w:t>
      </w:r>
      <w:r w:rsidRPr="001F63BA">
        <w:rPr>
          <w:rFonts w:ascii="GHEA Grapalat" w:hAnsi="GHEA Grapalat"/>
          <w:sz w:val="22"/>
          <w:szCs w:val="22"/>
          <w:lang w:val="af-ZA"/>
        </w:rPr>
        <w:t xml:space="preserve"> </w:t>
      </w:r>
      <w:r w:rsidRPr="001F63BA">
        <w:rPr>
          <w:rFonts w:ascii="GHEA Grapalat" w:hAnsi="GHEA Grapalat"/>
          <w:sz w:val="22"/>
          <w:szCs w:val="22"/>
          <w:lang w:val="en-US"/>
        </w:rPr>
        <w:t>կետերում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մատուցող</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վճարային</w:t>
      </w:r>
      <w:r w:rsidRPr="001F63BA">
        <w:rPr>
          <w:rFonts w:ascii="GHEA Grapalat" w:hAnsi="GHEA Grapalat"/>
          <w:sz w:val="22"/>
          <w:szCs w:val="22"/>
          <w:lang w:val="af-ZA"/>
        </w:rPr>
        <w:t xml:space="preserve"> </w:t>
      </w:r>
      <w:r w:rsidRPr="001F63BA">
        <w:rPr>
          <w:rFonts w:ascii="GHEA Grapalat" w:hAnsi="GHEA Grapalat"/>
          <w:sz w:val="22"/>
          <w:szCs w:val="22"/>
          <w:lang w:val="en-US"/>
        </w:rPr>
        <w:t>քարտերով</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վճարում</w:t>
      </w:r>
      <w:r w:rsidRPr="001F63BA">
        <w:rPr>
          <w:rFonts w:ascii="GHEA Grapalat" w:hAnsi="GHEA Grapalat"/>
          <w:sz w:val="22"/>
          <w:szCs w:val="22"/>
          <w:lang w:val="af-ZA"/>
        </w:rPr>
        <w:t xml:space="preserve"> </w:t>
      </w:r>
      <w:r w:rsidRPr="001F63BA">
        <w:rPr>
          <w:rFonts w:ascii="GHEA Grapalat" w:hAnsi="GHEA Grapalat"/>
          <w:sz w:val="22"/>
          <w:szCs w:val="22"/>
          <w:lang w:val="en-US"/>
        </w:rPr>
        <w:t>ընդունող</w:t>
      </w:r>
      <w:r w:rsidRPr="001F63BA">
        <w:rPr>
          <w:rFonts w:ascii="GHEA Grapalat" w:hAnsi="GHEA Grapalat"/>
          <w:sz w:val="22"/>
          <w:szCs w:val="22"/>
          <w:lang w:val="af-ZA"/>
        </w:rPr>
        <w:t xml:space="preserve"> </w:t>
      </w:r>
      <w:r w:rsidRPr="001F63BA">
        <w:rPr>
          <w:rFonts w:ascii="GHEA Grapalat" w:hAnsi="GHEA Grapalat"/>
          <w:sz w:val="22"/>
          <w:szCs w:val="22"/>
          <w:lang w:val="en-US"/>
        </w:rPr>
        <w:t>սարքերով</w:t>
      </w:r>
      <w:r w:rsidRPr="001F63BA">
        <w:rPr>
          <w:rFonts w:ascii="GHEA Grapalat" w:hAnsi="GHEA Grapalat"/>
          <w:sz w:val="22"/>
          <w:szCs w:val="22"/>
          <w:lang w:val="af-ZA"/>
        </w:rPr>
        <w:t xml:space="preserve"> </w:t>
      </w:r>
      <w:r w:rsidRPr="001F63BA">
        <w:rPr>
          <w:rFonts w:ascii="GHEA Grapalat" w:hAnsi="GHEA Grapalat"/>
          <w:sz w:val="22"/>
          <w:szCs w:val="22"/>
          <w:lang w:val="en-US"/>
        </w:rPr>
        <w:t>գործարքներ</w:t>
      </w:r>
      <w:r w:rsidRPr="001F63BA">
        <w:rPr>
          <w:rFonts w:ascii="GHEA Grapalat" w:hAnsi="GHEA Grapalat"/>
          <w:sz w:val="22"/>
          <w:szCs w:val="22"/>
          <w:lang w:val="af-ZA"/>
        </w:rPr>
        <w:t xml:space="preserve"> </w:t>
      </w:r>
      <w:r w:rsidRPr="001F63BA">
        <w:rPr>
          <w:rFonts w:ascii="GHEA Grapalat" w:hAnsi="GHEA Grapalat"/>
          <w:sz w:val="22"/>
          <w:szCs w:val="22"/>
          <w:lang w:val="en-US"/>
        </w:rPr>
        <w:t>կատարելու</w:t>
      </w:r>
      <w:r w:rsidRPr="001F63BA">
        <w:rPr>
          <w:rFonts w:ascii="GHEA Grapalat" w:hAnsi="GHEA Grapalat"/>
          <w:sz w:val="22"/>
          <w:szCs w:val="22"/>
          <w:lang w:val="af-ZA"/>
        </w:rPr>
        <w:t xml:space="preserve"> </w:t>
      </w:r>
      <w:r w:rsidRPr="001F63BA">
        <w:rPr>
          <w:rFonts w:ascii="GHEA Grapalat" w:hAnsi="GHEA Grapalat"/>
          <w:sz w:val="22"/>
          <w:szCs w:val="22"/>
          <w:lang w:val="en-US"/>
        </w:rPr>
        <w:t>դիմաց</w:t>
      </w:r>
      <w:r w:rsidRPr="001F63BA">
        <w:rPr>
          <w:rFonts w:ascii="GHEA Grapalat" w:hAnsi="GHEA Grapalat"/>
          <w:sz w:val="22"/>
          <w:szCs w:val="22"/>
          <w:lang w:val="af-ZA"/>
        </w:rPr>
        <w:t xml:space="preserve"> </w:t>
      </w:r>
      <w:r w:rsidRPr="001F63BA">
        <w:rPr>
          <w:rFonts w:ascii="GHEA Grapalat" w:hAnsi="GHEA Grapalat"/>
          <w:sz w:val="22"/>
          <w:szCs w:val="22"/>
          <w:lang w:val="en-US"/>
        </w:rPr>
        <w:t>օրենսդրությամբ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սահմանված</w:t>
      </w:r>
      <w:r w:rsidRPr="001F63BA">
        <w:rPr>
          <w:rFonts w:ascii="GHEA Grapalat" w:hAnsi="GHEA Grapalat"/>
          <w:sz w:val="22"/>
          <w:szCs w:val="22"/>
          <w:lang w:val="af-ZA"/>
        </w:rPr>
        <w:t xml:space="preserve"> </w:t>
      </w:r>
      <w:r w:rsidRPr="001F63BA">
        <w:rPr>
          <w:rFonts w:ascii="GHEA Grapalat" w:hAnsi="GHEA Grapalat"/>
          <w:sz w:val="22"/>
          <w:szCs w:val="22"/>
          <w:lang w:val="en-US"/>
        </w:rPr>
        <w:t>հետվճար</w:t>
      </w:r>
      <w:r w:rsidRPr="001F63BA">
        <w:rPr>
          <w:rFonts w:ascii="GHEA Grapalat" w:hAnsi="GHEA Grapalat"/>
          <w:sz w:val="22"/>
          <w:szCs w:val="22"/>
          <w:lang w:val="af-ZA"/>
        </w:rPr>
        <w:t xml:space="preserve"> </w:t>
      </w:r>
      <w:r w:rsidRPr="001F63BA">
        <w:rPr>
          <w:rFonts w:ascii="GHEA Grapalat" w:hAnsi="GHEA Grapalat"/>
          <w:sz w:val="22"/>
          <w:szCs w:val="22"/>
          <w:lang w:val="en-US"/>
        </w:rPr>
        <w:t>ստանալու</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իրավունքից</w:t>
      </w:r>
      <w:r w:rsidRPr="001F63BA">
        <w:rPr>
          <w:rFonts w:ascii="GHEA Grapalat" w:hAnsi="GHEA Grapalat"/>
          <w:sz w:val="22"/>
          <w:szCs w:val="22"/>
          <w:lang w:val="af-ZA"/>
        </w:rPr>
        <w:t xml:space="preserve">: </w:t>
      </w:r>
      <w:r w:rsidRPr="001F63BA">
        <w:rPr>
          <w:rFonts w:ascii="GHEA Grapalat" w:hAnsi="GHEA Grapalat"/>
          <w:sz w:val="22"/>
          <w:szCs w:val="22"/>
          <w:lang w:val="en-US"/>
        </w:rPr>
        <w:t>Ճգնաժամային</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արագ</w:t>
      </w:r>
      <w:r w:rsidRPr="001F63BA">
        <w:rPr>
          <w:rFonts w:ascii="GHEA Grapalat" w:hAnsi="GHEA Grapalat"/>
          <w:sz w:val="22"/>
          <w:szCs w:val="22"/>
          <w:lang w:val="af-ZA"/>
        </w:rPr>
        <w:t xml:space="preserve"> </w:t>
      </w:r>
      <w:r w:rsidRPr="001F63BA">
        <w:rPr>
          <w:rFonts w:ascii="GHEA Grapalat" w:hAnsi="GHEA Grapalat"/>
          <w:sz w:val="22"/>
          <w:szCs w:val="22"/>
          <w:lang w:val="en-US"/>
        </w:rPr>
        <w:t>արձագանքման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շարունակվում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շտապ</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ամբողջությամբ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գործարկման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սննդային</w:t>
      </w:r>
      <w:r w:rsidRPr="001F63BA">
        <w:rPr>
          <w:rFonts w:ascii="GHEA Grapalat" w:hAnsi="GHEA Grapalat"/>
          <w:sz w:val="22"/>
          <w:szCs w:val="22"/>
          <w:lang w:val="af-ZA"/>
        </w:rPr>
        <w:t xml:space="preserve"> </w:t>
      </w:r>
      <w:r w:rsidRPr="001F63BA">
        <w:rPr>
          <w:rFonts w:ascii="GHEA Grapalat" w:hAnsi="GHEA Grapalat"/>
          <w:sz w:val="22"/>
          <w:szCs w:val="22"/>
          <w:lang w:val="en-US"/>
        </w:rPr>
        <w:t>քարտերի</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ներդրմանն</w:t>
      </w:r>
      <w:r w:rsidRPr="001F63BA">
        <w:rPr>
          <w:rFonts w:ascii="GHEA Grapalat" w:hAnsi="GHEA Grapalat"/>
          <w:sz w:val="22"/>
          <w:szCs w:val="22"/>
          <w:lang w:val="af-ZA"/>
        </w:rPr>
        <w:t xml:space="preserve"> </w:t>
      </w:r>
      <w:r w:rsidRPr="001F63BA">
        <w:rPr>
          <w:rFonts w:ascii="GHEA Grapalat" w:hAnsi="GHEA Grapalat"/>
          <w:sz w:val="22"/>
          <w:szCs w:val="22"/>
          <w:lang w:val="en-US"/>
        </w:rPr>
        <w:t>ուղղված</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աշխատանքները</w:t>
      </w:r>
      <w:r w:rsidRPr="001F63BA">
        <w:rPr>
          <w:rFonts w:ascii="GHEA Grapalat" w:hAnsi="GHEA Grapalat"/>
          <w:sz w:val="22"/>
          <w:szCs w:val="22"/>
          <w:lang w:val="af-ZA"/>
        </w:rPr>
        <w:t xml:space="preserve">: </w:t>
      </w:r>
      <w:r w:rsidRPr="001F63BA">
        <w:rPr>
          <w:rFonts w:ascii="GHEA Grapalat" w:hAnsi="GHEA Grapalat"/>
          <w:sz w:val="22"/>
          <w:szCs w:val="22"/>
          <w:lang w:val="en-US"/>
        </w:rPr>
        <w:t>Սննդային</w:t>
      </w:r>
      <w:r w:rsidRPr="001F63BA">
        <w:rPr>
          <w:rFonts w:ascii="GHEA Grapalat" w:hAnsi="GHEA Grapalat"/>
          <w:sz w:val="22"/>
          <w:szCs w:val="22"/>
          <w:lang w:val="af-ZA"/>
        </w:rPr>
        <w:t xml:space="preserve"> </w:t>
      </w:r>
      <w:r w:rsidRPr="001F63BA">
        <w:rPr>
          <w:rFonts w:ascii="GHEA Grapalat" w:hAnsi="GHEA Grapalat"/>
          <w:sz w:val="22"/>
          <w:szCs w:val="22"/>
          <w:lang w:val="en-US"/>
        </w:rPr>
        <w:t>քարտերի</w:t>
      </w:r>
      <w:r w:rsidRPr="001F63BA">
        <w:rPr>
          <w:rFonts w:ascii="GHEA Grapalat" w:hAnsi="GHEA Grapalat"/>
          <w:sz w:val="22"/>
          <w:szCs w:val="22"/>
          <w:lang w:val="af-ZA"/>
        </w:rPr>
        <w:t xml:space="preserve"> </w:t>
      </w:r>
      <w:r w:rsidRPr="001F63BA">
        <w:rPr>
          <w:rFonts w:ascii="GHEA Grapalat" w:hAnsi="GHEA Grapalat"/>
          <w:sz w:val="22"/>
          <w:szCs w:val="22"/>
          <w:lang w:val="en-US"/>
        </w:rPr>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շրջանակում</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պիլոտային</w:t>
      </w:r>
      <w:r w:rsidRPr="001F63BA">
        <w:rPr>
          <w:rFonts w:ascii="GHEA Grapalat" w:hAnsi="GHEA Grapalat"/>
          <w:sz w:val="22"/>
          <w:szCs w:val="22"/>
          <w:lang w:val="af-ZA"/>
        </w:rPr>
        <w:t xml:space="preserve"> </w:t>
      </w:r>
      <w:r w:rsidRPr="001F63BA">
        <w:rPr>
          <w:rFonts w:ascii="GHEA Grapalat" w:hAnsi="GHEA Grapalat"/>
          <w:sz w:val="22"/>
          <w:szCs w:val="22"/>
          <w:lang w:val="en-US"/>
        </w:rPr>
        <w:t>ծրագիր՝</w:t>
      </w:r>
      <w:r w:rsidRPr="001F63BA">
        <w:rPr>
          <w:rFonts w:ascii="GHEA Grapalat" w:hAnsi="GHEA Grapalat"/>
          <w:sz w:val="22"/>
          <w:szCs w:val="22"/>
          <w:lang w:val="af-ZA"/>
        </w:rPr>
        <w:t xml:space="preserve"> </w:t>
      </w:r>
      <w:r w:rsidRPr="001F63BA">
        <w:rPr>
          <w:rFonts w:ascii="GHEA Grapalat" w:hAnsi="GHEA Grapalat"/>
          <w:sz w:val="22"/>
          <w:szCs w:val="22"/>
          <w:lang w:val="en-US"/>
        </w:rPr>
        <w:t>զարգացման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գործընկերների</w:t>
      </w:r>
      <w:r w:rsidRPr="001F63BA">
        <w:rPr>
          <w:rFonts w:ascii="GHEA Grapalat" w:hAnsi="GHEA Grapalat"/>
          <w:sz w:val="22"/>
          <w:szCs w:val="22"/>
          <w:lang w:val="af-ZA"/>
        </w:rPr>
        <w:t xml:space="preserve"> </w:t>
      </w:r>
      <w:r w:rsidRPr="001F63BA">
        <w:rPr>
          <w:rFonts w:ascii="GHEA Grapalat" w:hAnsi="GHEA Grapalat"/>
          <w:sz w:val="22"/>
          <w:szCs w:val="22"/>
          <w:lang w:val="en-US"/>
        </w:rPr>
        <w:t>հետ</w:t>
      </w:r>
      <w:r w:rsidRPr="001F63BA">
        <w:rPr>
          <w:rFonts w:ascii="GHEA Grapalat" w:hAnsi="GHEA Grapalat"/>
          <w:sz w:val="22"/>
          <w:szCs w:val="22"/>
          <w:lang w:val="af-ZA"/>
        </w:rPr>
        <w:t xml:space="preserve"> </w:t>
      </w:r>
      <w:r w:rsidRPr="001F63BA">
        <w:rPr>
          <w:rFonts w:ascii="GHEA Grapalat" w:hAnsi="GHEA Grapalat"/>
          <w:sz w:val="22"/>
          <w:szCs w:val="22"/>
          <w:lang w:val="en-US"/>
        </w:rPr>
        <w:t>համատեղ</w:t>
      </w:r>
      <w:r w:rsidRPr="001F63BA">
        <w:rPr>
          <w:rFonts w:ascii="GHEA Grapalat" w:hAnsi="GHEA Grapalat"/>
          <w:sz w:val="22"/>
          <w:szCs w:val="22"/>
          <w:lang w:val="af-ZA"/>
        </w:rPr>
        <w:t xml:space="preserve">: </w:t>
      </w:r>
      <w:r w:rsidRPr="001F63BA">
        <w:rPr>
          <w:rFonts w:ascii="GHEA Grapalat" w:hAnsi="GHEA Grapalat"/>
          <w:sz w:val="22"/>
          <w:szCs w:val="22"/>
          <w:lang w:val="en-US"/>
        </w:rPr>
        <w:t>Համաշխարհային</w:t>
      </w:r>
      <w:r w:rsidRPr="001F63BA">
        <w:rPr>
          <w:rFonts w:ascii="GHEA Grapalat" w:hAnsi="GHEA Grapalat"/>
          <w:sz w:val="22"/>
          <w:szCs w:val="22"/>
          <w:lang w:val="af-ZA"/>
        </w:rPr>
        <w:t xml:space="preserve"> բ</w:t>
      </w:r>
      <w:r w:rsidRPr="001F63BA">
        <w:rPr>
          <w:rFonts w:ascii="GHEA Grapalat" w:hAnsi="GHEA Grapalat"/>
          <w:sz w:val="22"/>
          <w:szCs w:val="22"/>
          <w:lang w:val="en-US"/>
        </w:rPr>
        <w:t>անկի</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վարչարարության</w:t>
      </w:r>
      <w:r w:rsidRPr="001F63BA">
        <w:rPr>
          <w:rFonts w:ascii="GHEA Grapalat" w:hAnsi="GHEA Grapalat"/>
          <w:sz w:val="22"/>
          <w:szCs w:val="22"/>
          <w:lang w:val="af-ZA"/>
        </w:rPr>
        <w:t xml:space="preserve"> 2-</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մշակվել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lastRenderedPageBreak/>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ոլորտի</w:t>
      </w:r>
      <w:r w:rsidRPr="001F63BA">
        <w:rPr>
          <w:rFonts w:ascii="GHEA Grapalat" w:hAnsi="GHEA Grapalat"/>
          <w:sz w:val="22"/>
          <w:szCs w:val="22"/>
          <w:lang w:val="af-ZA"/>
        </w:rPr>
        <w:t xml:space="preserve"> մ</w:t>
      </w:r>
      <w:r w:rsidRPr="001F63BA">
        <w:rPr>
          <w:rFonts w:ascii="GHEA Grapalat" w:hAnsi="GHEA Grapalat"/>
          <w:sz w:val="22"/>
          <w:szCs w:val="22"/>
          <w:lang w:val="en-US"/>
        </w:rPr>
        <w:t>իասնական</w:t>
      </w:r>
      <w:r w:rsidRPr="001F63BA">
        <w:rPr>
          <w:rFonts w:ascii="GHEA Grapalat" w:hAnsi="GHEA Grapalat"/>
          <w:sz w:val="22"/>
          <w:szCs w:val="22"/>
          <w:lang w:val="af-ZA"/>
        </w:rPr>
        <w:t xml:space="preserve"> </w:t>
      </w:r>
      <w:r w:rsidRPr="001F63BA">
        <w:rPr>
          <w:rFonts w:ascii="GHEA Grapalat" w:hAnsi="GHEA Grapalat"/>
          <w:sz w:val="22"/>
          <w:szCs w:val="22"/>
          <w:lang w:val="en-US"/>
        </w:rPr>
        <w:t>տեղեկատվական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ամբողջական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մասնակի</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իրականացման</w:t>
      </w:r>
      <w:r w:rsidRPr="001F63BA">
        <w:rPr>
          <w:rFonts w:ascii="GHEA Grapalat" w:hAnsi="GHEA Grapalat"/>
          <w:sz w:val="22"/>
          <w:szCs w:val="22"/>
          <w:lang w:val="af-ZA"/>
        </w:rPr>
        <w:t xml:space="preserve"> </w:t>
      </w:r>
      <w:r w:rsidRPr="001F63BA">
        <w:rPr>
          <w:rFonts w:ascii="GHEA Grapalat" w:hAnsi="GHEA Grapalat"/>
          <w:sz w:val="22"/>
          <w:szCs w:val="22"/>
          <w:lang w:val="en-US"/>
        </w:rPr>
        <w:t>նկատմամբ</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սահմանվող</w:t>
      </w:r>
      <w:r w:rsidRPr="001F63BA">
        <w:rPr>
          <w:rFonts w:ascii="GHEA Grapalat" w:hAnsi="GHEA Grapalat"/>
          <w:sz w:val="22"/>
          <w:szCs w:val="22"/>
          <w:lang w:val="af-ZA"/>
        </w:rPr>
        <w:t xml:space="preserve"> </w:t>
      </w:r>
      <w:r w:rsidRPr="001F63BA">
        <w:rPr>
          <w:rFonts w:ascii="GHEA Grapalat" w:hAnsi="GHEA Grapalat"/>
          <w:sz w:val="22"/>
          <w:szCs w:val="22"/>
          <w:lang w:val="en-US"/>
        </w:rPr>
        <w:t>պահանջների</w:t>
      </w:r>
      <w:r w:rsidRPr="001F63BA">
        <w:rPr>
          <w:rFonts w:ascii="GHEA Grapalat" w:hAnsi="GHEA Grapalat"/>
          <w:sz w:val="22"/>
          <w:szCs w:val="22"/>
          <w:lang w:val="af-ZA"/>
        </w:rPr>
        <w:t xml:space="preserve"> </w:t>
      </w:r>
      <w:r w:rsidRPr="001F63BA">
        <w:rPr>
          <w:rFonts w:ascii="GHEA Grapalat" w:hAnsi="GHEA Grapalat"/>
          <w:sz w:val="22"/>
          <w:szCs w:val="22"/>
          <w:lang w:val="en-US"/>
        </w:rPr>
        <w:t>նկարագիրը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տեխնիկական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առաջադրանքը</w:t>
      </w:r>
      <w:r w:rsidRPr="001F63BA">
        <w:rPr>
          <w:rFonts w:ascii="GHEA Grapalat" w:hAnsi="GHEA Grapalat"/>
          <w:sz w:val="22"/>
          <w:szCs w:val="22"/>
          <w:lang w:val="af-ZA"/>
        </w:rPr>
        <w:t xml:space="preserve">: </w:t>
      </w:r>
      <w:r w:rsidRPr="001F63BA">
        <w:rPr>
          <w:rFonts w:ascii="GHEA Grapalat" w:hAnsi="GHEA Grapalat"/>
          <w:sz w:val="22"/>
          <w:szCs w:val="22"/>
          <w:lang w:val="en-US"/>
        </w:rPr>
        <w:t>Երկու</w:t>
      </w:r>
      <w:r w:rsidRPr="001F63BA">
        <w:rPr>
          <w:rFonts w:ascii="GHEA Grapalat" w:hAnsi="GHEA Grapalat"/>
          <w:sz w:val="22"/>
          <w:szCs w:val="22"/>
          <w:lang w:val="af-ZA"/>
        </w:rPr>
        <w:t xml:space="preserve"> </w:t>
      </w:r>
      <w:r w:rsidRPr="001F63BA">
        <w:rPr>
          <w:rFonts w:ascii="GHEA Grapalat" w:hAnsi="GHEA Grapalat"/>
          <w:sz w:val="22"/>
          <w:szCs w:val="22"/>
          <w:lang w:val="en-US"/>
        </w:rPr>
        <w:t>մոդուլների</w:t>
      </w:r>
      <w:r w:rsidRPr="001F63BA">
        <w:rPr>
          <w:rFonts w:ascii="GHEA Grapalat" w:hAnsi="GHEA Grapalat"/>
          <w:sz w:val="22"/>
          <w:szCs w:val="22"/>
          <w:lang w:val="af-ZA"/>
        </w:rPr>
        <w:t xml:space="preserve"> </w:t>
      </w:r>
      <w:r w:rsidRPr="001F63BA">
        <w:rPr>
          <w:rFonts w:ascii="GHEA Grapalat" w:hAnsi="GHEA Grapalat"/>
          <w:sz w:val="22"/>
          <w:szCs w:val="22"/>
          <w:lang w:val="en-US"/>
        </w:rPr>
        <w:t>մշակման</w:t>
      </w:r>
      <w:r w:rsidRPr="001F63BA">
        <w:rPr>
          <w:rFonts w:ascii="GHEA Grapalat" w:hAnsi="GHEA Grapalat"/>
          <w:sz w:val="22"/>
          <w:szCs w:val="22"/>
          <w:lang w:val="af-ZA"/>
        </w:rPr>
        <w:t xml:space="preserve"> </w:t>
      </w:r>
      <w:r w:rsidRPr="001F63BA">
        <w:rPr>
          <w:rFonts w:ascii="GHEA Grapalat" w:hAnsi="GHEA Grapalat"/>
          <w:sz w:val="22"/>
          <w:szCs w:val="22"/>
          <w:lang w:val="en-US"/>
        </w:rPr>
        <w:t>ուղղությամբ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աշխատանքները՝</w:t>
      </w:r>
      <w:r w:rsidRPr="001F63BA">
        <w:rPr>
          <w:rFonts w:ascii="GHEA Grapalat" w:hAnsi="GHEA Grapalat"/>
          <w:sz w:val="22"/>
          <w:szCs w:val="22"/>
          <w:lang w:val="af-ZA"/>
        </w:rPr>
        <w:t xml:space="preserve"> </w:t>
      </w:r>
      <w:r w:rsidRPr="001F63BA">
        <w:rPr>
          <w:rFonts w:ascii="GHEA Grapalat" w:hAnsi="GHEA Grapalat"/>
          <w:sz w:val="22"/>
          <w:szCs w:val="22"/>
          <w:lang w:val="en-US"/>
        </w:rPr>
        <w:t>մրցույթով</w:t>
      </w:r>
      <w:r w:rsidRPr="001F63BA">
        <w:rPr>
          <w:rFonts w:ascii="GHEA Grapalat" w:hAnsi="GHEA Grapalat"/>
          <w:sz w:val="22"/>
          <w:szCs w:val="22"/>
          <w:lang w:val="af-ZA"/>
        </w:rPr>
        <w:t xml:space="preserve"> </w:t>
      </w:r>
      <w:r w:rsidRPr="001F63BA">
        <w:rPr>
          <w:rFonts w:ascii="GHEA Grapalat" w:hAnsi="GHEA Grapalat"/>
          <w:sz w:val="22"/>
          <w:szCs w:val="22"/>
          <w:lang w:val="en-US"/>
        </w:rPr>
        <w:t>ընտրված</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Մշակվել է</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օրենքի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հարակից</w:t>
      </w:r>
      <w:r w:rsidRPr="001F63BA">
        <w:rPr>
          <w:rFonts w:ascii="GHEA Grapalat" w:hAnsi="GHEA Grapalat"/>
          <w:sz w:val="22"/>
          <w:szCs w:val="22"/>
          <w:lang w:val="af-ZA"/>
        </w:rPr>
        <w:t xml:space="preserve"> </w:t>
      </w:r>
      <w:r w:rsidRPr="001F63BA">
        <w:rPr>
          <w:rFonts w:ascii="GHEA Grapalat" w:hAnsi="GHEA Grapalat"/>
          <w:sz w:val="22"/>
          <w:szCs w:val="22"/>
          <w:lang w:val="en-US"/>
        </w:rPr>
        <w:t>օրենքների</w:t>
      </w:r>
      <w:r w:rsidRPr="001F63BA">
        <w:rPr>
          <w:rFonts w:ascii="GHEA Grapalat" w:hAnsi="GHEA Grapalat"/>
          <w:sz w:val="22"/>
          <w:szCs w:val="22"/>
          <w:lang w:val="af-ZA"/>
        </w:rPr>
        <w:t xml:space="preserve"> </w:t>
      </w:r>
      <w:r w:rsidRPr="001F63BA">
        <w:rPr>
          <w:rFonts w:ascii="GHEA Grapalat" w:hAnsi="GHEA Grapalat"/>
          <w:sz w:val="22"/>
          <w:szCs w:val="22"/>
          <w:lang w:val="en-US"/>
        </w:rPr>
        <w:t>նախագծերի</w:t>
      </w:r>
      <w:r w:rsidRPr="001F63BA">
        <w:rPr>
          <w:rFonts w:ascii="GHEA Grapalat" w:hAnsi="GHEA Grapalat"/>
          <w:sz w:val="22"/>
          <w:szCs w:val="22"/>
          <w:lang w:val="af-ZA"/>
        </w:rPr>
        <w:t xml:space="preserve"> </w:t>
      </w:r>
      <w:r w:rsidRPr="001F63BA">
        <w:rPr>
          <w:rFonts w:ascii="GHEA Grapalat" w:hAnsi="GHEA Grapalat"/>
          <w:sz w:val="22"/>
          <w:szCs w:val="22"/>
          <w:lang w:val="en-US"/>
        </w:rPr>
        <w:t>փաթեթը</w:t>
      </w:r>
      <w:r w:rsidRPr="001F63BA">
        <w:rPr>
          <w:rFonts w:ascii="GHEA Grapalat" w:hAnsi="GHEA Grapalat"/>
          <w:sz w:val="22"/>
          <w:szCs w:val="22"/>
          <w:lang w:val="af-ZA"/>
        </w:rPr>
        <w:t xml:space="preserve">, </w:t>
      </w:r>
      <w:r w:rsidRPr="001F63BA">
        <w:rPr>
          <w:rFonts w:ascii="GHEA Grapalat" w:hAnsi="GHEA Grapalat"/>
          <w:sz w:val="22"/>
          <w:szCs w:val="22"/>
          <w:lang w:val="en-US"/>
        </w:rPr>
        <w:t>որով</w:t>
      </w:r>
      <w:r w:rsidRPr="001F63BA">
        <w:rPr>
          <w:rFonts w:ascii="GHEA Grapalat" w:hAnsi="GHEA Grapalat"/>
          <w:sz w:val="22"/>
          <w:szCs w:val="22"/>
          <w:lang w:val="af-ZA"/>
        </w:rPr>
        <w:t xml:space="preserve"> </w:t>
      </w:r>
      <w:r w:rsidRPr="001F63BA">
        <w:rPr>
          <w:rFonts w:ascii="GHEA Grapalat" w:hAnsi="GHEA Grapalat"/>
          <w:sz w:val="22"/>
          <w:szCs w:val="22"/>
          <w:lang w:val="en-US"/>
        </w:rPr>
        <w:t>նախատեսվում</w:t>
      </w:r>
      <w:r w:rsidRPr="001F63BA">
        <w:rPr>
          <w:rFonts w:ascii="GHEA Grapalat" w:hAnsi="GHEA Grapalat"/>
          <w:sz w:val="22"/>
          <w:szCs w:val="22"/>
          <w:lang w:val="af-ZA"/>
        </w:rPr>
        <w:t xml:space="preserve"> են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ոլորտի</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համակարգային</w:t>
      </w:r>
      <w:r w:rsidRPr="001F63BA">
        <w:rPr>
          <w:rFonts w:ascii="GHEA Grapalat" w:hAnsi="GHEA Grapalat"/>
          <w:sz w:val="22"/>
          <w:szCs w:val="22"/>
          <w:lang w:val="af-ZA"/>
        </w:rPr>
        <w:t xml:space="preserve"> </w:t>
      </w:r>
      <w:r w:rsidRPr="001F63BA">
        <w:rPr>
          <w:rFonts w:ascii="GHEA Grapalat" w:hAnsi="GHEA Grapalat"/>
          <w:sz w:val="22"/>
          <w:szCs w:val="22"/>
          <w:lang w:val="en-US"/>
        </w:rPr>
        <w:t>բարեփոխումներ</w:t>
      </w:r>
      <w:r w:rsidRPr="001F63BA">
        <w:rPr>
          <w:rFonts w:ascii="GHEA Grapalat" w:hAnsi="GHEA Grapalat"/>
          <w:sz w:val="22"/>
          <w:szCs w:val="22"/>
          <w:lang w:val="af-ZA"/>
        </w:rPr>
        <w:t>:</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Միասնական</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զարգացման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համատեքստում</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ծառայության</w:t>
      </w:r>
      <w:r w:rsidRPr="001F63BA">
        <w:rPr>
          <w:rFonts w:ascii="GHEA Grapalat" w:hAnsi="GHEA Grapalat"/>
          <w:sz w:val="22"/>
          <w:szCs w:val="22"/>
          <w:lang w:val="af-ZA"/>
        </w:rPr>
        <w:t xml:space="preserve"> 256 </w:t>
      </w:r>
      <w:r w:rsidRPr="001F63BA">
        <w:rPr>
          <w:rFonts w:ascii="GHEA Grapalat" w:hAnsi="GHEA Grapalat"/>
          <w:sz w:val="22"/>
          <w:szCs w:val="22"/>
          <w:lang w:val="en-US"/>
        </w:rPr>
        <w:t>զբաղեցված</w:t>
      </w:r>
      <w:r w:rsidRPr="001F63BA">
        <w:rPr>
          <w:rFonts w:ascii="GHEA Grapalat" w:hAnsi="GHEA Grapalat"/>
          <w:sz w:val="22"/>
          <w:szCs w:val="22"/>
          <w:lang w:val="af-ZA"/>
        </w:rPr>
        <w:t xml:space="preserve"> </w:t>
      </w:r>
      <w:r w:rsidRPr="001F63BA">
        <w:rPr>
          <w:rFonts w:ascii="GHEA Grapalat" w:hAnsi="GHEA Grapalat"/>
          <w:sz w:val="22"/>
          <w:szCs w:val="22"/>
          <w:lang w:val="en-US"/>
        </w:rPr>
        <w:t>հաստիքներից</w:t>
      </w:r>
      <w:r w:rsidRPr="001F63BA">
        <w:rPr>
          <w:rFonts w:ascii="GHEA Grapalat" w:hAnsi="GHEA Grapalat"/>
          <w:sz w:val="22"/>
          <w:szCs w:val="22"/>
          <w:lang w:val="af-ZA"/>
        </w:rPr>
        <w:t xml:space="preserve"> </w:t>
      </w:r>
      <w:r w:rsidRPr="001F63BA">
        <w:rPr>
          <w:rFonts w:ascii="GHEA Grapalat" w:hAnsi="GHEA Grapalat"/>
          <w:sz w:val="22"/>
          <w:szCs w:val="22"/>
          <w:lang w:val="en-US"/>
        </w:rPr>
        <w:t>վերապատրաստման</w:t>
      </w:r>
      <w:r w:rsidRPr="001F63BA">
        <w:rPr>
          <w:rFonts w:ascii="GHEA Grapalat" w:hAnsi="GHEA Grapalat"/>
          <w:sz w:val="22"/>
          <w:szCs w:val="22"/>
          <w:lang w:val="af-ZA"/>
        </w:rPr>
        <w:t xml:space="preserve"> </w:t>
      </w:r>
      <w:r w:rsidRPr="001F63BA">
        <w:rPr>
          <w:rFonts w:ascii="GHEA Grapalat" w:hAnsi="GHEA Grapalat"/>
          <w:sz w:val="22"/>
          <w:szCs w:val="22"/>
          <w:lang w:val="en-US"/>
        </w:rPr>
        <w:t>դասընթացներին</w:t>
      </w:r>
      <w:r w:rsidRPr="001F63BA">
        <w:rPr>
          <w:rFonts w:ascii="GHEA Grapalat" w:hAnsi="GHEA Grapalat"/>
          <w:sz w:val="22"/>
          <w:szCs w:val="22"/>
          <w:lang w:val="af-ZA"/>
        </w:rPr>
        <w:t xml:space="preserve"> </w:t>
      </w:r>
      <w:r w:rsidRPr="001F63BA">
        <w:rPr>
          <w:rFonts w:ascii="GHEA Grapalat" w:hAnsi="GHEA Grapalat"/>
          <w:sz w:val="22"/>
          <w:szCs w:val="22"/>
          <w:lang w:val="en-US"/>
        </w:rPr>
        <w:t>մասնակցել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248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w:t>
      </w:r>
      <w:r w:rsidRPr="001F63BA">
        <w:rPr>
          <w:rFonts w:ascii="GHEA Grapalat" w:hAnsi="GHEA Grapalat"/>
          <w:sz w:val="22"/>
          <w:szCs w:val="22"/>
          <w:lang w:val="af-ZA"/>
        </w:rPr>
        <w:t xml:space="preserve"> (</w:t>
      </w:r>
      <w:r w:rsidRPr="001F63BA">
        <w:rPr>
          <w:rFonts w:ascii="GHEA Grapalat" w:hAnsi="GHEA Grapalat"/>
          <w:sz w:val="22"/>
          <w:szCs w:val="22"/>
          <w:lang w:val="en-US"/>
        </w:rPr>
        <w:t>վերապատրաստման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ծրագրերին</w:t>
      </w:r>
      <w:r w:rsidRPr="001F63BA">
        <w:rPr>
          <w:rFonts w:ascii="GHEA Grapalat" w:hAnsi="GHEA Grapalat"/>
          <w:sz w:val="22"/>
          <w:szCs w:val="22"/>
          <w:lang w:val="af-ZA"/>
        </w:rPr>
        <w:t xml:space="preserve"> 8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աշխատողի</w:t>
      </w:r>
      <w:r w:rsidRPr="001F63BA">
        <w:rPr>
          <w:rFonts w:ascii="GHEA Grapalat" w:hAnsi="GHEA Grapalat"/>
          <w:sz w:val="22"/>
          <w:szCs w:val="22"/>
          <w:lang w:val="af-ZA"/>
        </w:rPr>
        <w:t xml:space="preserve"> </w:t>
      </w:r>
      <w:r w:rsidRPr="001F63BA">
        <w:rPr>
          <w:rFonts w:ascii="GHEA Grapalat" w:hAnsi="GHEA Grapalat"/>
          <w:sz w:val="22"/>
          <w:szCs w:val="22"/>
          <w:lang w:val="en-US"/>
        </w:rPr>
        <w:t>չմասնակցելու</w:t>
      </w:r>
      <w:r w:rsidRPr="001F63BA">
        <w:rPr>
          <w:rFonts w:ascii="GHEA Grapalat" w:hAnsi="GHEA Grapalat"/>
          <w:sz w:val="22"/>
          <w:szCs w:val="22"/>
          <w:lang w:val="af-ZA"/>
        </w:rPr>
        <w:t xml:space="preserve"> </w:t>
      </w:r>
      <w:r w:rsidRPr="001F63BA">
        <w:rPr>
          <w:rFonts w:ascii="GHEA Grapalat" w:hAnsi="GHEA Grapalat"/>
          <w:sz w:val="22"/>
          <w:szCs w:val="22"/>
          <w:lang w:val="en-US"/>
        </w:rPr>
        <w:t>պատճառը</w:t>
      </w:r>
      <w:r w:rsidRPr="001F63BA">
        <w:rPr>
          <w:rFonts w:ascii="GHEA Grapalat" w:hAnsi="GHEA Grapalat"/>
          <w:sz w:val="22"/>
          <w:szCs w:val="22"/>
          <w:lang w:val="af-ZA"/>
        </w:rPr>
        <w:t xml:space="preserve"> </w:t>
      </w:r>
      <w:r w:rsidRPr="001F63BA">
        <w:rPr>
          <w:rFonts w:ascii="GHEA Grapalat" w:hAnsi="GHEA Grapalat"/>
          <w:sz w:val="22"/>
          <w:szCs w:val="22"/>
          <w:lang w:val="en-US"/>
        </w:rPr>
        <w:t>եղել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նախածննդյան</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հետծննդյան</w:t>
      </w:r>
      <w:r w:rsidRPr="001F63BA">
        <w:rPr>
          <w:rFonts w:ascii="GHEA Grapalat" w:hAnsi="GHEA Grapalat"/>
          <w:sz w:val="22"/>
          <w:szCs w:val="22"/>
          <w:lang w:val="af-ZA"/>
        </w:rPr>
        <w:t xml:space="preserve"> </w:t>
      </w:r>
      <w:r w:rsidRPr="001F63BA">
        <w:rPr>
          <w:rFonts w:ascii="GHEA Grapalat" w:hAnsi="GHEA Grapalat"/>
          <w:sz w:val="22"/>
          <w:szCs w:val="22"/>
          <w:lang w:val="en-US"/>
        </w:rPr>
        <w:t>արձակուրդում</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անաշխատունակության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արձակուրդում</w:t>
      </w:r>
      <w:r w:rsidRPr="001F63BA">
        <w:rPr>
          <w:rFonts w:ascii="GHEA Grapalat" w:hAnsi="GHEA Grapalat"/>
          <w:sz w:val="22"/>
          <w:szCs w:val="22"/>
          <w:lang w:val="af-ZA"/>
        </w:rPr>
        <w:t xml:space="preserve"> </w:t>
      </w:r>
      <w:r w:rsidRPr="001F63BA">
        <w:rPr>
          <w:rFonts w:ascii="GHEA Grapalat" w:hAnsi="GHEA Grapalat"/>
          <w:sz w:val="22"/>
          <w:szCs w:val="22"/>
          <w:lang w:val="en-US"/>
        </w:rPr>
        <w:t>գտնվելու</w:t>
      </w:r>
      <w:r w:rsidRPr="001F63BA">
        <w:rPr>
          <w:rFonts w:ascii="GHEA Grapalat" w:hAnsi="GHEA Grapalat"/>
          <w:sz w:val="22"/>
          <w:szCs w:val="22"/>
          <w:lang w:val="af-ZA"/>
        </w:rPr>
        <w:t xml:space="preserve"> </w:t>
      </w:r>
      <w:r w:rsidRPr="001F63BA">
        <w:rPr>
          <w:rFonts w:ascii="GHEA Grapalat" w:hAnsi="GHEA Grapalat"/>
          <w:sz w:val="22"/>
          <w:szCs w:val="22"/>
          <w:lang w:val="en-US"/>
        </w:rPr>
        <w:t>հանգամանքը</w:t>
      </w:r>
      <w:r w:rsidRPr="001F63BA">
        <w:rPr>
          <w:rFonts w:ascii="GHEA Grapalat" w:hAnsi="GHEA Grapalat"/>
          <w:sz w:val="22"/>
          <w:szCs w:val="22"/>
          <w:lang w:val="af-ZA"/>
        </w:rPr>
        <w:t>):</w:t>
      </w:r>
      <w:r w:rsidRPr="001F63BA" w:rsidDel="00386838">
        <w:rPr>
          <w:rFonts w:ascii="GHEA Grapalat" w:hAnsi="GHEA Grapalat"/>
          <w:sz w:val="22"/>
          <w:szCs w:val="22"/>
          <w:lang w:val="af-ZA"/>
        </w:rPr>
        <w:t xml:space="preserve"> </w:t>
      </w:r>
      <w:r w:rsidRPr="001F63BA">
        <w:rPr>
          <w:rFonts w:ascii="GHEA Grapalat" w:hAnsi="GHEA Grapalat"/>
          <w:sz w:val="22"/>
          <w:szCs w:val="22"/>
          <w:lang w:val="en-US"/>
        </w:rPr>
        <w:t>ՄՍԾ</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աշխատողների</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վերապատրաստումները</w:t>
      </w:r>
      <w:r w:rsidRPr="001F63BA">
        <w:rPr>
          <w:rFonts w:ascii="GHEA Grapalat" w:hAnsi="GHEA Grapalat"/>
          <w:sz w:val="22"/>
          <w:szCs w:val="22"/>
          <w:lang w:val="af-ZA"/>
        </w:rPr>
        <w:t xml:space="preserve"> </w:t>
      </w:r>
      <w:r w:rsidRPr="001F63BA">
        <w:rPr>
          <w:rFonts w:ascii="GHEA Grapalat" w:hAnsi="GHEA Grapalat"/>
          <w:sz w:val="22"/>
          <w:szCs w:val="22"/>
          <w:lang w:val="en-US"/>
        </w:rPr>
        <w:t>կիրականացվեն</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2023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ընթացքում։</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Շարունակվում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ծրագրով</w:t>
      </w:r>
      <w:r w:rsidRPr="001F63BA">
        <w:rPr>
          <w:rFonts w:ascii="GHEA Grapalat" w:hAnsi="GHEA Grapalat"/>
          <w:sz w:val="22"/>
          <w:szCs w:val="22"/>
          <w:lang w:val="af-ZA"/>
        </w:rPr>
        <w:t xml:space="preserve"> </w:t>
      </w:r>
      <w:r w:rsidRPr="001F63BA">
        <w:rPr>
          <w:rFonts w:ascii="GHEA Grapalat" w:hAnsi="GHEA Grapalat"/>
          <w:sz w:val="22"/>
          <w:szCs w:val="22"/>
          <w:lang w:val="en-US"/>
        </w:rPr>
        <w:t>նախատեսված՝</w:t>
      </w:r>
      <w:r w:rsidRPr="001F63BA">
        <w:rPr>
          <w:rFonts w:ascii="GHEA Grapalat" w:hAnsi="GHEA Grapalat"/>
          <w:sz w:val="22"/>
          <w:szCs w:val="22"/>
          <w:lang w:val="af-ZA"/>
        </w:rPr>
        <w:t xml:space="preserve"> </w:t>
      </w:r>
      <w:r w:rsidRPr="001F63BA">
        <w:rPr>
          <w:rFonts w:ascii="GHEA Grapalat" w:hAnsi="GHEA Grapalat"/>
          <w:sz w:val="22"/>
          <w:szCs w:val="22"/>
          <w:lang w:val="en-US"/>
        </w:rPr>
        <w:t>բնակարանով</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ապահովելու</w:t>
      </w:r>
      <w:r w:rsidRPr="001F63BA">
        <w:rPr>
          <w:rFonts w:ascii="GHEA Grapalat" w:hAnsi="GHEA Grapalat"/>
          <w:sz w:val="22"/>
          <w:szCs w:val="22"/>
          <w:lang w:val="af-ZA"/>
        </w:rPr>
        <w:t xml:space="preserve"> </w:t>
      </w:r>
      <w:r w:rsidRPr="001F63BA">
        <w:rPr>
          <w:rFonts w:ascii="GHEA Grapalat" w:hAnsi="GHEA Grapalat"/>
          <w:sz w:val="22"/>
          <w:szCs w:val="22"/>
          <w:lang w:val="en-US"/>
        </w:rPr>
        <w:t>միասնական</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 քաղաքականության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ժողովրդագրական</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w:t>
      </w:r>
      <w:r w:rsidRPr="001F63BA">
        <w:rPr>
          <w:rFonts w:ascii="GHEA Grapalat" w:hAnsi="GHEA Grapalat"/>
          <w:sz w:val="22"/>
          <w:szCs w:val="22"/>
          <w:lang w:val="af-ZA"/>
        </w:rPr>
        <w:t xml:space="preserve"> </w:t>
      </w:r>
      <w:r w:rsidRPr="001F63BA">
        <w:rPr>
          <w:rFonts w:ascii="GHEA Grapalat" w:hAnsi="GHEA Grapalat"/>
          <w:sz w:val="22"/>
          <w:szCs w:val="22"/>
          <w:lang w:val="en-US"/>
        </w:rPr>
        <w:t>ռազմավարությունների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մշակման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աշխատանքները։</w:t>
      </w:r>
      <w:r w:rsidRPr="001F63BA">
        <w:rPr>
          <w:rFonts w:ascii="GHEA Grapalat" w:hAnsi="GHEA Grapalat"/>
          <w:sz w:val="22"/>
          <w:szCs w:val="22"/>
          <w:lang w:val="af-ZA"/>
        </w:rPr>
        <w:t xml:space="preserve"> </w:t>
      </w:r>
    </w:p>
    <w:p w:rsidR="001C411D" w:rsidRPr="001F63BA" w:rsidRDefault="00FF639B" w:rsidP="001F77D2">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Կառավարությ</w:t>
      </w:r>
      <w:r w:rsidR="001C411D" w:rsidRPr="001F63BA">
        <w:rPr>
          <w:rFonts w:ascii="GHEA Grapalat" w:hAnsi="GHEA Grapalat"/>
          <w:sz w:val="22"/>
          <w:szCs w:val="22"/>
          <w:lang w:val="en-US"/>
        </w:rPr>
        <w:t>ան</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կողմից</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շարունակվել</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են</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իրականացվել</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ՀՀ</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կառավարության</w:t>
      </w:r>
      <w:r w:rsidR="001C411D" w:rsidRPr="001F63BA">
        <w:rPr>
          <w:rFonts w:ascii="GHEA Grapalat" w:hAnsi="GHEA Grapalat"/>
          <w:sz w:val="22"/>
          <w:szCs w:val="22"/>
          <w:lang w:val="af-ZA"/>
        </w:rPr>
        <w:t xml:space="preserve"> 2020 </w:t>
      </w:r>
      <w:r w:rsidR="001C411D" w:rsidRPr="001F63BA">
        <w:rPr>
          <w:rFonts w:ascii="GHEA Grapalat" w:hAnsi="GHEA Grapalat"/>
          <w:sz w:val="22"/>
          <w:szCs w:val="22"/>
          <w:lang w:val="en-US"/>
        </w:rPr>
        <w:t>թվականի</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մայիսի</w:t>
      </w:r>
      <w:r w:rsidR="001C411D" w:rsidRPr="001F63BA">
        <w:rPr>
          <w:rFonts w:ascii="GHEA Grapalat" w:hAnsi="GHEA Grapalat"/>
          <w:sz w:val="22"/>
          <w:szCs w:val="22"/>
          <w:lang w:val="af-ZA"/>
        </w:rPr>
        <w:t xml:space="preserve"> 14-</w:t>
      </w:r>
      <w:r w:rsidR="001C411D" w:rsidRPr="001F63BA">
        <w:rPr>
          <w:rFonts w:ascii="GHEA Grapalat" w:hAnsi="GHEA Grapalat"/>
          <w:sz w:val="22"/>
          <w:szCs w:val="22"/>
          <w:lang w:val="en-US"/>
        </w:rPr>
        <w:t>ի</w:t>
      </w:r>
      <w:r w:rsidR="001C411D" w:rsidRPr="001F63BA">
        <w:rPr>
          <w:rFonts w:ascii="GHEA Grapalat" w:hAnsi="GHEA Grapalat"/>
          <w:sz w:val="22"/>
          <w:szCs w:val="22"/>
          <w:lang w:val="af-ZA"/>
        </w:rPr>
        <w:t xml:space="preserve"> N 968-</w:t>
      </w:r>
      <w:r w:rsidR="001C411D" w:rsidRPr="001F63BA">
        <w:rPr>
          <w:rFonts w:ascii="GHEA Grapalat" w:hAnsi="GHEA Grapalat"/>
          <w:sz w:val="22"/>
          <w:szCs w:val="22"/>
          <w:lang w:val="en-US"/>
        </w:rPr>
        <w:t>Լ</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որոշմամբ</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հաստատված՝</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Երեխա</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ունեցող</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ընտանիքների</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բնակարանային</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ապահովության</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պետական</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աջակցության</w:t>
      </w:r>
      <w:r w:rsidR="001C411D" w:rsidRPr="001F63BA">
        <w:rPr>
          <w:rFonts w:ascii="GHEA Grapalat" w:hAnsi="GHEA Grapalat"/>
          <w:sz w:val="22"/>
          <w:szCs w:val="22"/>
          <w:lang w:val="af-ZA"/>
        </w:rPr>
        <w:t xml:space="preserve"> 2020-2023 </w:t>
      </w:r>
      <w:r w:rsidR="001C411D" w:rsidRPr="001F63BA">
        <w:rPr>
          <w:rFonts w:ascii="GHEA Grapalat" w:hAnsi="GHEA Grapalat"/>
          <w:sz w:val="22"/>
          <w:szCs w:val="22"/>
          <w:lang w:val="en-US"/>
        </w:rPr>
        <w:t>թվականների</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ծրագրերը</w:t>
      </w:r>
      <w:r w:rsidR="001C411D" w:rsidRPr="001F63BA">
        <w:rPr>
          <w:rFonts w:ascii="GHEA Grapalat" w:hAnsi="GHEA Grapalat"/>
          <w:sz w:val="22"/>
          <w:szCs w:val="22"/>
          <w:lang w:val="af-ZA"/>
        </w:rPr>
        <w:t xml:space="preserve">: 2022 </w:t>
      </w:r>
      <w:r w:rsidR="001C411D" w:rsidRPr="001F63BA">
        <w:rPr>
          <w:rFonts w:ascii="GHEA Grapalat" w:hAnsi="GHEA Grapalat"/>
          <w:sz w:val="22"/>
          <w:szCs w:val="22"/>
          <w:lang w:val="en-US"/>
        </w:rPr>
        <w:t>թվականին</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ծրագրերի</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շրջանակներում</w:t>
      </w:r>
      <w:r w:rsidR="001C411D" w:rsidRPr="001F63BA">
        <w:rPr>
          <w:rFonts w:ascii="GHEA Grapalat" w:hAnsi="GHEA Grapalat"/>
          <w:sz w:val="22"/>
          <w:szCs w:val="22"/>
          <w:lang w:val="af-ZA"/>
        </w:rPr>
        <w:t xml:space="preserve"> 3088 </w:t>
      </w:r>
      <w:r w:rsidR="001C411D" w:rsidRPr="001F63BA">
        <w:rPr>
          <w:rFonts w:ascii="GHEA Grapalat" w:hAnsi="GHEA Grapalat"/>
          <w:sz w:val="22"/>
          <w:szCs w:val="22"/>
          <w:lang w:val="en-US"/>
        </w:rPr>
        <w:t>շահառու</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ստացել</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է</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աջակցություն</w:t>
      </w:r>
      <w:r w:rsidR="001C411D" w:rsidRPr="001F63BA">
        <w:rPr>
          <w:rFonts w:ascii="GHEA Grapalat" w:hAnsi="GHEA Grapalat"/>
          <w:sz w:val="22"/>
          <w:szCs w:val="22"/>
          <w:lang w:val="af-ZA"/>
        </w:rPr>
        <w:t xml:space="preserve"> 2,096.0 մլն </w:t>
      </w:r>
      <w:r w:rsidR="001C411D" w:rsidRPr="001F63BA">
        <w:rPr>
          <w:rFonts w:ascii="GHEA Grapalat" w:hAnsi="GHEA Grapalat"/>
          <w:sz w:val="22"/>
          <w:szCs w:val="22"/>
          <w:lang w:val="en-US"/>
        </w:rPr>
        <w:t>դրամի</w:t>
      </w:r>
      <w:r w:rsidR="001C411D" w:rsidRPr="001F63BA">
        <w:rPr>
          <w:rFonts w:ascii="GHEA Grapalat" w:hAnsi="GHEA Grapalat"/>
          <w:sz w:val="22"/>
          <w:szCs w:val="22"/>
          <w:lang w:val="af-ZA"/>
        </w:rPr>
        <w:t xml:space="preserve"> </w:t>
      </w:r>
      <w:r w:rsidR="001C411D" w:rsidRPr="001F63BA">
        <w:rPr>
          <w:rFonts w:ascii="GHEA Grapalat" w:hAnsi="GHEA Grapalat"/>
          <w:sz w:val="22"/>
          <w:szCs w:val="22"/>
          <w:lang w:val="en-US"/>
        </w:rPr>
        <w:t>չափով</w:t>
      </w:r>
      <w:r w:rsidR="001C411D" w:rsidRPr="001F63BA">
        <w:rPr>
          <w:rFonts w:ascii="GHEA Grapalat" w:hAnsi="GHEA Grapalat"/>
          <w:sz w:val="22"/>
          <w:szCs w:val="22"/>
          <w:lang w:val="af-ZA"/>
        </w:rPr>
        <w:t>:</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հունվարի</w:t>
      </w:r>
      <w:r w:rsidRPr="001F63BA">
        <w:rPr>
          <w:rFonts w:ascii="GHEA Grapalat" w:hAnsi="GHEA Grapalat"/>
          <w:sz w:val="22"/>
          <w:szCs w:val="22"/>
          <w:lang w:val="af-ZA"/>
        </w:rPr>
        <w:t xml:space="preserve"> 1-</w:t>
      </w:r>
      <w:r w:rsidRPr="001F63BA">
        <w:rPr>
          <w:rFonts w:ascii="GHEA Grapalat" w:hAnsi="GHEA Grapalat"/>
          <w:sz w:val="22"/>
          <w:szCs w:val="22"/>
          <w:lang w:val="en-US"/>
        </w:rPr>
        <w:t>ից</w:t>
      </w:r>
      <w:r w:rsidRPr="001F63BA">
        <w:rPr>
          <w:rFonts w:ascii="GHEA Grapalat" w:hAnsi="GHEA Grapalat"/>
          <w:sz w:val="22"/>
          <w:szCs w:val="22"/>
          <w:lang w:val="af-ZA"/>
        </w:rPr>
        <w:t xml:space="preserve"> </w:t>
      </w:r>
      <w:r w:rsidRPr="001F63BA">
        <w:rPr>
          <w:rFonts w:ascii="GHEA Grapalat" w:hAnsi="GHEA Grapalat"/>
          <w:sz w:val="22"/>
          <w:szCs w:val="22"/>
          <w:lang w:val="en-US"/>
        </w:rPr>
        <w:t>մեկնարկել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գործունեության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ծրագրով</w:t>
      </w:r>
      <w:r w:rsidRPr="001F63BA">
        <w:rPr>
          <w:rFonts w:ascii="GHEA Grapalat" w:hAnsi="GHEA Grapalat"/>
          <w:sz w:val="22"/>
          <w:szCs w:val="22"/>
          <w:lang w:val="af-ZA"/>
        </w:rPr>
        <w:t xml:space="preserve"> </w:t>
      </w:r>
      <w:r w:rsidRPr="001F63BA">
        <w:rPr>
          <w:rFonts w:ascii="GHEA Grapalat" w:hAnsi="GHEA Grapalat"/>
          <w:sz w:val="22"/>
          <w:szCs w:val="22"/>
          <w:lang w:val="en-US"/>
        </w:rPr>
        <w:t>նախատեսված</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ժողովրդագրական</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իրավիճակի</w:t>
      </w:r>
      <w:r w:rsidRPr="001F63BA">
        <w:rPr>
          <w:rFonts w:ascii="GHEA Grapalat" w:hAnsi="GHEA Grapalat"/>
          <w:sz w:val="22"/>
          <w:szCs w:val="22"/>
          <w:lang w:val="af-ZA"/>
        </w:rPr>
        <w:t xml:space="preserve"> </w:t>
      </w:r>
      <w:r w:rsidRPr="001F63BA">
        <w:rPr>
          <w:rFonts w:ascii="GHEA Grapalat" w:hAnsi="GHEA Grapalat"/>
          <w:sz w:val="22"/>
          <w:szCs w:val="22"/>
          <w:lang w:val="en-US"/>
        </w:rPr>
        <w:t>բարելավմանն</w:t>
      </w:r>
      <w:r w:rsidRPr="001F63BA">
        <w:rPr>
          <w:rFonts w:ascii="GHEA Grapalat" w:hAnsi="GHEA Grapalat"/>
          <w:sz w:val="22"/>
          <w:szCs w:val="22"/>
          <w:lang w:val="af-ZA"/>
        </w:rPr>
        <w:t xml:space="preserve"> </w:t>
      </w:r>
      <w:r w:rsidRPr="001F63BA">
        <w:rPr>
          <w:rFonts w:ascii="GHEA Grapalat" w:hAnsi="GHEA Grapalat"/>
          <w:sz w:val="22"/>
          <w:szCs w:val="22"/>
          <w:lang w:val="en-US"/>
        </w:rPr>
        <w:t>ուղղված՝</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ընտանիքում</w:t>
      </w:r>
      <w:r w:rsidRPr="001F63BA">
        <w:rPr>
          <w:rFonts w:ascii="GHEA Grapalat" w:hAnsi="GHEA Grapalat"/>
          <w:sz w:val="22"/>
          <w:szCs w:val="22"/>
          <w:lang w:val="af-ZA"/>
        </w:rPr>
        <w:t xml:space="preserve"> 3-</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յուրաքանչյուր</w:t>
      </w:r>
      <w:r w:rsidRPr="001F63BA">
        <w:rPr>
          <w:rFonts w:ascii="GHEA Grapalat" w:hAnsi="GHEA Grapalat"/>
          <w:sz w:val="22"/>
          <w:szCs w:val="22"/>
          <w:lang w:val="af-ZA"/>
        </w:rPr>
        <w:t xml:space="preserve"> </w:t>
      </w:r>
      <w:r w:rsidRPr="001F63BA">
        <w:rPr>
          <w:rFonts w:ascii="GHEA Grapalat" w:hAnsi="GHEA Grapalat"/>
          <w:sz w:val="22"/>
          <w:szCs w:val="22"/>
          <w:lang w:val="en-US"/>
        </w:rPr>
        <w:t>հաջորդ</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ծնվելու</w:t>
      </w:r>
      <w:r w:rsidRPr="001F63BA">
        <w:rPr>
          <w:rFonts w:ascii="GHEA Grapalat" w:hAnsi="GHEA Grapalat"/>
          <w:sz w:val="22"/>
          <w:szCs w:val="22"/>
          <w:lang w:val="af-ZA"/>
        </w:rPr>
        <w:t xml:space="preserve"> </w:t>
      </w:r>
      <w:r w:rsidRPr="001F63BA">
        <w:rPr>
          <w:rFonts w:ascii="GHEA Grapalat" w:hAnsi="GHEA Grapalat"/>
          <w:sz w:val="22"/>
          <w:szCs w:val="22"/>
          <w:lang w:val="en-US"/>
        </w:rPr>
        <w:t>կապակցությամբ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միջոցառումը</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շրջանակում</w:t>
      </w:r>
      <w:r w:rsidRPr="001F63BA">
        <w:rPr>
          <w:rFonts w:ascii="GHEA Grapalat" w:hAnsi="GHEA Grapalat"/>
          <w:sz w:val="22"/>
          <w:szCs w:val="22"/>
          <w:lang w:val="af-ZA"/>
        </w:rPr>
        <w:t xml:space="preserve"> 2022 </w:t>
      </w:r>
      <w:r w:rsidRPr="001F63BA">
        <w:rPr>
          <w:rFonts w:ascii="GHEA Grapalat" w:hAnsi="GHEA Grapalat"/>
          <w:sz w:val="22"/>
          <w:szCs w:val="22"/>
          <w:lang w:val="en-US"/>
        </w:rPr>
        <w:t>թ</w:t>
      </w:r>
      <w:r w:rsidRPr="001F63BA">
        <w:rPr>
          <w:rFonts w:ascii="GHEA Grapalat" w:hAnsi="GHEA Grapalat"/>
          <w:sz w:val="22"/>
          <w:szCs w:val="22"/>
          <w:lang w:val="af-ZA"/>
        </w:rPr>
        <w:t xml:space="preserve">վականի </w:t>
      </w:r>
      <w:r w:rsidRPr="001F63BA">
        <w:rPr>
          <w:rFonts w:ascii="GHEA Grapalat" w:hAnsi="GHEA Grapalat"/>
          <w:sz w:val="22"/>
          <w:szCs w:val="22"/>
          <w:lang w:val="en-US"/>
        </w:rPr>
        <w:t>հունվարի</w:t>
      </w:r>
      <w:r w:rsidRPr="001F63BA">
        <w:rPr>
          <w:rFonts w:ascii="GHEA Grapalat" w:hAnsi="GHEA Grapalat"/>
          <w:sz w:val="22"/>
          <w:szCs w:val="22"/>
          <w:lang w:val="af-ZA"/>
        </w:rPr>
        <w:t xml:space="preserve"> 1-</w:t>
      </w:r>
      <w:r w:rsidRPr="001F63BA">
        <w:rPr>
          <w:rFonts w:ascii="GHEA Grapalat" w:hAnsi="GHEA Grapalat"/>
          <w:sz w:val="22"/>
          <w:szCs w:val="22"/>
          <w:lang w:val="en-US"/>
        </w:rPr>
        <w:t>ից</w:t>
      </w:r>
      <w:r w:rsidRPr="001F63BA">
        <w:rPr>
          <w:rFonts w:ascii="GHEA Grapalat" w:hAnsi="GHEA Grapalat"/>
          <w:sz w:val="22"/>
          <w:szCs w:val="22"/>
          <w:lang w:val="af-ZA"/>
        </w:rPr>
        <w:t xml:space="preserve"> </w:t>
      </w:r>
      <w:r w:rsidRPr="001F63BA">
        <w:rPr>
          <w:rFonts w:ascii="GHEA Grapalat" w:hAnsi="GHEA Grapalat"/>
          <w:sz w:val="22"/>
          <w:szCs w:val="22"/>
          <w:lang w:val="en-US"/>
        </w:rPr>
        <w:t>հետո</w:t>
      </w:r>
      <w:r w:rsidRPr="001F63BA">
        <w:rPr>
          <w:rFonts w:ascii="GHEA Grapalat" w:hAnsi="GHEA Grapalat"/>
          <w:sz w:val="22"/>
          <w:szCs w:val="22"/>
          <w:lang w:val="af-ZA"/>
        </w:rPr>
        <w:t xml:space="preserve"> </w:t>
      </w:r>
      <w:r w:rsidRPr="001F63BA">
        <w:rPr>
          <w:rFonts w:ascii="GHEA Grapalat" w:hAnsi="GHEA Grapalat"/>
          <w:sz w:val="22"/>
          <w:szCs w:val="22"/>
          <w:lang w:val="en-US"/>
        </w:rPr>
        <w:t>ծնված</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երեխային</w:t>
      </w:r>
      <w:r w:rsidRPr="001F63BA">
        <w:rPr>
          <w:rFonts w:ascii="GHEA Grapalat" w:hAnsi="GHEA Grapalat"/>
          <w:sz w:val="22"/>
          <w:szCs w:val="22"/>
          <w:lang w:val="af-ZA"/>
        </w:rPr>
        <w:t xml:space="preserve"> </w:t>
      </w:r>
      <w:r w:rsidRPr="001F63BA">
        <w:rPr>
          <w:rFonts w:ascii="GHEA Grapalat" w:hAnsi="GHEA Grapalat"/>
          <w:sz w:val="22"/>
          <w:szCs w:val="22"/>
          <w:lang w:val="en-US"/>
        </w:rPr>
        <w:t>մինչև</w:t>
      </w:r>
      <w:r w:rsidRPr="001F63BA">
        <w:rPr>
          <w:rFonts w:ascii="GHEA Grapalat" w:hAnsi="GHEA Grapalat"/>
          <w:sz w:val="22"/>
          <w:szCs w:val="22"/>
          <w:lang w:val="af-ZA"/>
        </w:rPr>
        <w:t xml:space="preserve"> </w:t>
      </w:r>
      <w:r w:rsidRPr="001F63BA">
        <w:rPr>
          <w:rFonts w:ascii="GHEA Grapalat" w:hAnsi="GHEA Grapalat"/>
          <w:sz w:val="22"/>
          <w:szCs w:val="22"/>
          <w:lang w:val="en-US"/>
        </w:rPr>
        <w:t>նրա</w:t>
      </w:r>
      <w:r w:rsidRPr="001F63BA">
        <w:rPr>
          <w:rFonts w:ascii="GHEA Grapalat" w:hAnsi="GHEA Grapalat"/>
          <w:sz w:val="22"/>
          <w:szCs w:val="22"/>
          <w:lang w:val="af-ZA"/>
        </w:rPr>
        <w:t xml:space="preserve"> 6 </w:t>
      </w:r>
      <w:r w:rsidRPr="001F63BA">
        <w:rPr>
          <w:rFonts w:ascii="GHEA Grapalat" w:hAnsi="GHEA Grapalat"/>
          <w:sz w:val="22"/>
          <w:szCs w:val="22"/>
          <w:lang w:val="en-US"/>
        </w:rPr>
        <w:t>տարեկանը</w:t>
      </w:r>
      <w:r w:rsidRPr="001F63BA">
        <w:rPr>
          <w:rFonts w:ascii="GHEA Grapalat" w:hAnsi="GHEA Grapalat"/>
          <w:sz w:val="22"/>
          <w:szCs w:val="22"/>
          <w:lang w:val="af-ZA"/>
        </w:rPr>
        <w:t xml:space="preserve"> </w:t>
      </w:r>
      <w:r w:rsidRPr="001F63BA">
        <w:rPr>
          <w:rFonts w:ascii="GHEA Grapalat" w:hAnsi="GHEA Grapalat"/>
          <w:sz w:val="22"/>
          <w:szCs w:val="22"/>
          <w:lang w:val="en-US"/>
        </w:rPr>
        <w:t>լրանալը</w:t>
      </w:r>
      <w:r w:rsidRPr="001F63BA">
        <w:rPr>
          <w:rFonts w:ascii="GHEA Grapalat" w:hAnsi="GHEA Grapalat"/>
          <w:sz w:val="22"/>
          <w:szCs w:val="22"/>
          <w:lang w:val="af-ZA"/>
        </w:rPr>
        <w:t xml:space="preserve"> </w:t>
      </w:r>
      <w:r w:rsidRPr="001F63BA">
        <w:rPr>
          <w:rFonts w:ascii="GHEA Grapalat" w:hAnsi="GHEA Grapalat"/>
          <w:sz w:val="22"/>
          <w:szCs w:val="22"/>
          <w:lang w:val="en-US"/>
        </w:rPr>
        <w:t>վճարվելու</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50,000 </w:t>
      </w:r>
      <w:r w:rsidRPr="001F63BA">
        <w:rPr>
          <w:rFonts w:ascii="GHEA Grapalat" w:hAnsi="GHEA Grapalat"/>
          <w:sz w:val="22"/>
          <w:szCs w:val="22"/>
          <w:lang w:val="en-US"/>
        </w:rPr>
        <w:t>դրամ</w:t>
      </w:r>
      <w:r w:rsidRPr="001F63BA">
        <w:rPr>
          <w:rFonts w:ascii="GHEA Grapalat" w:hAnsi="GHEA Grapalat"/>
          <w:sz w:val="22"/>
          <w:szCs w:val="22"/>
          <w:lang w:val="af-ZA"/>
        </w:rPr>
        <w:t xml:space="preserve">: </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ծննդյան</w:t>
      </w:r>
      <w:r w:rsidRPr="001F63BA">
        <w:rPr>
          <w:rFonts w:ascii="GHEA Grapalat" w:hAnsi="GHEA Grapalat"/>
          <w:sz w:val="22"/>
          <w:szCs w:val="22"/>
          <w:lang w:val="af-ZA"/>
        </w:rPr>
        <w:t xml:space="preserve"> </w:t>
      </w:r>
      <w:r w:rsidRPr="001F63BA">
        <w:rPr>
          <w:rFonts w:ascii="GHEA Grapalat" w:hAnsi="GHEA Grapalat"/>
          <w:sz w:val="22"/>
          <w:szCs w:val="22"/>
          <w:lang w:val="en-US"/>
        </w:rPr>
        <w:t>միանվագ</w:t>
      </w:r>
      <w:r w:rsidRPr="001F63BA">
        <w:rPr>
          <w:rFonts w:ascii="GHEA Grapalat" w:hAnsi="GHEA Grapalat"/>
          <w:sz w:val="22"/>
          <w:szCs w:val="22"/>
          <w:lang w:val="af-ZA"/>
        </w:rPr>
        <w:t xml:space="preserve"> </w:t>
      </w:r>
      <w:r w:rsidRPr="001F63BA">
        <w:rPr>
          <w:rFonts w:ascii="GHEA Grapalat" w:hAnsi="GHEA Grapalat"/>
          <w:sz w:val="22"/>
          <w:szCs w:val="22"/>
          <w:lang w:val="en-US"/>
        </w:rPr>
        <w:t>նպաստի՝ 2021 թվականին գործող չափերը՝</w:t>
      </w:r>
      <w:r w:rsidRPr="001F63BA">
        <w:rPr>
          <w:rFonts w:ascii="GHEA Grapalat" w:hAnsi="GHEA Grapalat"/>
          <w:sz w:val="22"/>
          <w:szCs w:val="22"/>
          <w:lang w:val="af-ZA"/>
        </w:rPr>
        <w:t xml:space="preserve"> 1-</w:t>
      </w:r>
      <w:r w:rsidRPr="001F63BA">
        <w:rPr>
          <w:rFonts w:ascii="GHEA Grapalat" w:hAnsi="GHEA Grapalat"/>
          <w:sz w:val="22"/>
          <w:szCs w:val="22"/>
          <w:lang w:val="en-US"/>
        </w:rPr>
        <w:t>ին</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2-</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ծննդյան</w:t>
      </w:r>
      <w:r w:rsidRPr="001F63BA">
        <w:rPr>
          <w:rFonts w:ascii="GHEA Grapalat" w:hAnsi="GHEA Grapalat"/>
          <w:sz w:val="22"/>
          <w:szCs w:val="22"/>
          <w:lang w:val="af-ZA"/>
        </w:rPr>
        <w:t xml:space="preserve"> </w:t>
      </w:r>
      <w:r w:rsidRPr="001F63BA">
        <w:rPr>
          <w:rFonts w:ascii="GHEA Grapalat" w:hAnsi="GHEA Grapalat"/>
          <w:sz w:val="22"/>
          <w:szCs w:val="22"/>
          <w:lang w:val="en-US"/>
        </w:rPr>
        <w:t>դեպքում՝</w:t>
      </w:r>
      <w:r w:rsidRPr="001F63BA">
        <w:rPr>
          <w:rFonts w:ascii="GHEA Grapalat" w:hAnsi="GHEA Grapalat"/>
          <w:sz w:val="22"/>
          <w:szCs w:val="22"/>
          <w:lang w:val="af-ZA"/>
        </w:rPr>
        <w:t xml:space="preserve"> 300 </w:t>
      </w:r>
      <w:r w:rsidRPr="001F63BA">
        <w:rPr>
          <w:rFonts w:ascii="GHEA Grapalat" w:hAnsi="GHEA Grapalat"/>
          <w:sz w:val="22"/>
          <w:szCs w:val="22"/>
          <w:lang w:val="en-US"/>
        </w:rPr>
        <w:t>հազար</w:t>
      </w:r>
      <w:r w:rsidRPr="001F63BA">
        <w:rPr>
          <w:rFonts w:ascii="GHEA Grapalat" w:hAnsi="GHEA Grapalat"/>
          <w:sz w:val="22"/>
          <w:szCs w:val="22"/>
          <w:lang w:val="af-ZA"/>
        </w:rPr>
        <w:t xml:space="preserve"> </w:t>
      </w:r>
      <w:r w:rsidRPr="001F63BA">
        <w:rPr>
          <w:rFonts w:ascii="GHEA Grapalat" w:hAnsi="GHEA Grapalat"/>
          <w:sz w:val="22"/>
          <w:szCs w:val="22"/>
          <w:lang w:val="en-US"/>
        </w:rPr>
        <w:t>դրամ</w:t>
      </w:r>
      <w:r w:rsidRPr="001F63BA">
        <w:rPr>
          <w:rFonts w:ascii="GHEA Grapalat" w:hAnsi="GHEA Grapalat"/>
          <w:sz w:val="22"/>
          <w:szCs w:val="22"/>
          <w:lang w:val="af-ZA"/>
        </w:rPr>
        <w:t>, 3-</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կամ</w:t>
      </w:r>
      <w:r w:rsidRPr="001F63BA">
        <w:rPr>
          <w:rFonts w:ascii="GHEA Grapalat" w:hAnsi="GHEA Grapalat"/>
          <w:sz w:val="22"/>
          <w:szCs w:val="22"/>
          <w:lang w:val="af-ZA"/>
        </w:rPr>
        <w:t xml:space="preserve"> 4-</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ծննդյան</w:t>
      </w:r>
      <w:r w:rsidRPr="001F63BA">
        <w:rPr>
          <w:rFonts w:ascii="GHEA Grapalat" w:hAnsi="GHEA Grapalat"/>
          <w:sz w:val="22"/>
          <w:szCs w:val="22"/>
          <w:lang w:val="af-ZA"/>
        </w:rPr>
        <w:t xml:space="preserve"> </w:t>
      </w:r>
      <w:r w:rsidRPr="001F63BA">
        <w:rPr>
          <w:rFonts w:ascii="GHEA Grapalat" w:hAnsi="GHEA Grapalat"/>
          <w:sz w:val="22"/>
          <w:szCs w:val="22"/>
          <w:lang w:val="en-US"/>
        </w:rPr>
        <w:t>դեպքում՝</w:t>
      </w:r>
      <w:r w:rsidRPr="001F63BA">
        <w:rPr>
          <w:rFonts w:ascii="GHEA Grapalat" w:hAnsi="GHEA Grapalat"/>
          <w:sz w:val="22"/>
          <w:szCs w:val="22"/>
          <w:lang w:val="af-ZA"/>
        </w:rPr>
        <w:t xml:space="preserve"> 1 </w:t>
      </w:r>
      <w:r w:rsidRPr="001F63BA">
        <w:rPr>
          <w:rFonts w:ascii="GHEA Grapalat" w:hAnsi="GHEA Grapalat"/>
          <w:sz w:val="22"/>
          <w:szCs w:val="22"/>
          <w:lang w:val="en-US"/>
        </w:rPr>
        <w:t>մլն</w:t>
      </w:r>
      <w:r w:rsidRPr="001F63BA">
        <w:rPr>
          <w:rFonts w:ascii="GHEA Grapalat" w:hAnsi="GHEA Grapalat"/>
          <w:sz w:val="22"/>
          <w:szCs w:val="22"/>
          <w:lang w:val="af-ZA"/>
        </w:rPr>
        <w:t xml:space="preserve"> </w:t>
      </w:r>
      <w:r w:rsidRPr="001F63BA">
        <w:rPr>
          <w:rFonts w:ascii="GHEA Grapalat" w:hAnsi="GHEA Grapalat"/>
          <w:sz w:val="22"/>
          <w:szCs w:val="22"/>
          <w:lang w:val="en-US"/>
        </w:rPr>
        <w:t>դրամ</w:t>
      </w:r>
      <w:r w:rsidRPr="001F63BA">
        <w:rPr>
          <w:rFonts w:ascii="GHEA Grapalat" w:hAnsi="GHEA Grapalat"/>
          <w:sz w:val="22"/>
          <w:szCs w:val="22"/>
          <w:lang w:val="af-ZA"/>
        </w:rPr>
        <w:t>, 5-</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յուրաքանչյուր</w:t>
      </w:r>
      <w:r w:rsidRPr="001F63BA">
        <w:rPr>
          <w:rFonts w:ascii="GHEA Grapalat" w:hAnsi="GHEA Grapalat"/>
          <w:sz w:val="22"/>
          <w:szCs w:val="22"/>
          <w:lang w:val="af-ZA"/>
        </w:rPr>
        <w:t xml:space="preserve"> </w:t>
      </w:r>
      <w:r w:rsidRPr="001F63BA">
        <w:rPr>
          <w:rFonts w:ascii="GHEA Grapalat" w:hAnsi="GHEA Grapalat"/>
          <w:sz w:val="22"/>
          <w:szCs w:val="22"/>
          <w:lang w:val="en-US"/>
        </w:rPr>
        <w:t>հաջորդ</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ծննդյան</w:t>
      </w:r>
      <w:r w:rsidRPr="001F63BA">
        <w:rPr>
          <w:rFonts w:ascii="GHEA Grapalat" w:hAnsi="GHEA Grapalat"/>
          <w:sz w:val="22"/>
          <w:szCs w:val="22"/>
          <w:lang w:val="af-ZA"/>
        </w:rPr>
        <w:t xml:space="preserve"> </w:t>
      </w:r>
      <w:r w:rsidRPr="001F63BA">
        <w:rPr>
          <w:rFonts w:ascii="GHEA Grapalat" w:hAnsi="GHEA Grapalat"/>
          <w:sz w:val="22"/>
          <w:szCs w:val="22"/>
          <w:lang w:val="en-US"/>
        </w:rPr>
        <w:t>դեպքում՝</w:t>
      </w:r>
      <w:r w:rsidRPr="001F63BA">
        <w:rPr>
          <w:rFonts w:ascii="GHEA Grapalat" w:hAnsi="GHEA Grapalat"/>
          <w:sz w:val="22"/>
          <w:szCs w:val="22"/>
          <w:lang w:val="af-ZA"/>
        </w:rPr>
        <w:t xml:space="preserve"> 1.5 </w:t>
      </w:r>
      <w:r w:rsidRPr="001F63BA">
        <w:rPr>
          <w:rFonts w:ascii="GHEA Grapalat" w:hAnsi="GHEA Grapalat"/>
          <w:sz w:val="22"/>
          <w:szCs w:val="22"/>
          <w:lang w:val="en-US"/>
        </w:rPr>
        <w:t>մլն</w:t>
      </w:r>
      <w:r w:rsidRPr="001F63BA">
        <w:rPr>
          <w:rFonts w:ascii="GHEA Grapalat" w:hAnsi="GHEA Grapalat"/>
          <w:sz w:val="22"/>
          <w:szCs w:val="22"/>
          <w:lang w:val="af-ZA"/>
        </w:rPr>
        <w:t xml:space="preserve"> </w:t>
      </w:r>
      <w:r w:rsidRPr="001F63BA">
        <w:rPr>
          <w:rFonts w:ascii="GHEA Grapalat" w:hAnsi="GHEA Grapalat"/>
          <w:sz w:val="22"/>
          <w:szCs w:val="22"/>
          <w:lang w:val="en-US"/>
        </w:rPr>
        <w:t>դրամ</w:t>
      </w:r>
      <w:r w:rsidRPr="001F63BA">
        <w:rPr>
          <w:rFonts w:ascii="GHEA Grapalat" w:hAnsi="GHEA Grapalat"/>
          <w:sz w:val="22"/>
          <w:szCs w:val="22"/>
          <w:lang w:val="af-ZA"/>
        </w:rPr>
        <w:t xml:space="preserve">: </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հունվարի</w:t>
      </w:r>
      <w:r w:rsidRPr="001F63BA">
        <w:rPr>
          <w:rFonts w:ascii="GHEA Grapalat" w:hAnsi="GHEA Grapalat"/>
          <w:sz w:val="22"/>
          <w:szCs w:val="22"/>
          <w:lang w:val="af-ZA"/>
        </w:rPr>
        <w:t xml:space="preserve"> 1-</w:t>
      </w:r>
      <w:r w:rsidRPr="001F63BA">
        <w:rPr>
          <w:rFonts w:ascii="GHEA Grapalat" w:hAnsi="GHEA Grapalat"/>
          <w:sz w:val="22"/>
          <w:szCs w:val="22"/>
          <w:lang w:val="en-US"/>
        </w:rPr>
        <w:t>ից</w:t>
      </w:r>
      <w:r w:rsidRPr="001F63BA">
        <w:rPr>
          <w:rFonts w:ascii="GHEA Grapalat" w:hAnsi="GHEA Grapalat"/>
          <w:sz w:val="22"/>
          <w:szCs w:val="22"/>
          <w:lang w:val="af-ZA"/>
        </w:rPr>
        <w:t xml:space="preserve"> </w:t>
      </w:r>
      <w:r w:rsidRPr="001F63BA">
        <w:rPr>
          <w:rFonts w:ascii="GHEA Grapalat" w:hAnsi="GHEA Grapalat"/>
          <w:sz w:val="22"/>
          <w:szCs w:val="22"/>
          <w:lang w:val="en-US"/>
        </w:rPr>
        <w:t>խնամքի</w:t>
      </w:r>
      <w:r w:rsidRPr="001F63BA">
        <w:rPr>
          <w:rFonts w:ascii="GHEA Grapalat" w:hAnsi="GHEA Grapalat"/>
          <w:sz w:val="22"/>
          <w:szCs w:val="22"/>
          <w:lang w:val="af-ZA"/>
        </w:rPr>
        <w:t xml:space="preserve"> </w:t>
      </w:r>
      <w:r w:rsidRPr="001F63BA">
        <w:rPr>
          <w:rFonts w:ascii="GHEA Grapalat" w:hAnsi="GHEA Grapalat"/>
          <w:sz w:val="22"/>
          <w:szCs w:val="22"/>
          <w:lang w:val="en-US"/>
        </w:rPr>
        <w:t>նպաստի</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թվում՝</w:t>
      </w:r>
      <w:r w:rsidRPr="001F63BA">
        <w:rPr>
          <w:rFonts w:ascii="GHEA Grapalat" w:hAnsi="GHEA Grapalat"/>
          <w:sz w:val="22"/>
          <w:szCs w:val="22"/>
          <w:lang w:val="af-ZA"/>
        </w:rPr>
        <w:t xml:space="preserve"> </w:t>
      </w:r>
      <w:r w:rsidRPr="001F63BA">
        <w:rPr>
          <w:rFonts w:ascii="GHEA Grapalat" w:hAnsi="GHEA Grapalat"/>
          <w:sz w:val="22"/>
          <w:szCs w:val="22"/>
          <w:lang w:val="en-US"/>
        </w:rPr>
        <w:t>գյուղական</w:t>
      </w:r>
      <w:r w:rsidRPr="001F63BA">
        <w:rPr>
          <w:rFonts w:ascii="GHEA Grapalat" w:hAnsi="GHEA Grapalat"/>
          <w:sz w:val="22"/>
          <w:szCs w:val="22"/>
          <w:lang w:val="af-ZA"/>
        </w:rPr>
        <w:t xml:space="preserve"> </w:t>
      </w:r>
      <w:r w:rsidRPr="001F63BA">
        <w:rPr>
          <w:rFonts w:ascii="GHEA Grapalat" w:hAnsi="GHEA Grapalat"/>
          <w:sz w:val="22"/>
          <w:szCs w:val="22"/>
          <w:lang w:val="en-US"/>
        </w:rPr>
        <w:t>բնակավայրում</w:t>
      </w:r>
      <w:r w:rsidRPr="001F63BA">
        <w:rPr>
          <w:rFonts w:ascii="GHEA Grapalat" w:hAnsi="GHEA Grapalat"/>
          <w:sz w:val="22"/>
          <w:szCs w:val="22"/>
          <w:lang w:val="af-ZA"/>
        </w:rPr>
        <w:t xml:space="preserve"> </w:t>
      </w:r>
      <w:r w:rsidRPr="001F63BA">
        <w:rPr>
          <w:rFonts w:ascii="GHEA Grapalat" w:hAnsi="GHEA Grapalat"/>
          <w:sz w:val="22"/>
          <w:szCs w:val="22"/>
          <w:lang w:val="en-US"/>
        </w:rPr>
        <w:t>տրվող</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սահմանված</w:t>
      </w:r>
      <w:r w:rsidRPr="001F63BA">
        <w:rPr>
          <w:rFonts w:ascii="GHEA Grapalat" w:hAnsi="GHEA Grapalat"/>
          <w:sz w:val="22"/>
          <w:szCs w:val="22"/>
          <w:lang w:val="af-ZA"/>
        </w:rPr>
        <w:t xml:space="preserve"> </w:t>
      </w:r>
      <w:r w:rsidRPr="001F63BA">
        <w:rPr>
          <w:rFonts w:ascii="GHEA Grapalat" w:hAnsi="GHEA Grapalat"/>
          <w:sz w:val="22"/>
          <w:szCs w:val="22"/>
          <w:lang w:val="en-US"/>
        </w:rPr>
        <w:t>չափը</w:t>
      </w:r>
      <w:r w:rsidRPr="001F63BA">
        <w:rPr>
          <w:rFonts w:ascii="GHEA Grapalat" w:hAnsi="GHEA Grapalat"/>
          <w:sz w:val="22"/>
          <w:szCs w:val="22"/>
          <w:lang w:val="af-ZA"/>
        </w:rPr>
        <w:t xml:space="preserve"> 26500 </w:t>
      </w:r>
      <w:r w:rsidRPr="001F63BA">
        <w:rPr>
          <w:rFonts w:ascii="GHEA Grapalat" w:hAnsi="GHEA Grapalat"/>
          <w:sz w:val="22"/>
          <w:szCs w:val="22"/>
          <w:lang w:val="en-US"/>
        </w:rPr>
        <w:t>դրամի</w:t>
      </w:r>
      <w:r w:rsidRPr="001F63BA">
        <w:rPr>
          <w:rFonts w:ascii="GHEA Grapalat" w:hAnsi="GHEA Grapalat"/>
          <w:sz w:val="22"/>
          <w:szCs w:val="22"/>
          <w:lang w:val="af-ZA"/>
        </w:rPr>
        <w:t xml:space="preserve"> </w:t>
      </w:r>
      <w:r w:rsidRPr="001F63BA">
        <w:rPr>
          <w:rFonts w:ascii="GHEA Grapalat" w:hAnsi="GHEA Grapalat"/>
          <w:sz w:val="22"/>
          <w:szCs w:val="22"/>
          <w:lang w:val="en-US"/>
        </w:rPr>
        <w:t>փոխարեն</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28600 </w:t>
      </w:r>
      <w:r w:rsidRPr="001F63BA">
        <w:rPr>
          <w:rFonts w:ascii="GHEA Grapalat" w:hAnsi="GHEA Grapalat"/>
          <w:sz w:val="22"/>
          <w:szCs w:val="22"/>
          <w:lang w:val="en-US"/>
        </w:rPr>
        <w:t>դրամ</w:t>
      </w:r>
      <w:r w:rsidRPr="001F63BA">
        <w:rPr>
          <w:rFonts w:ascii="GHEA Grapalat" w:hAnsi="GHEA Grapalat"/>
          <w:sz w:val="22"/>
          <w:szCs w:val="22"/>
          <w:lang w:val="af-ZA"/>
        </w:rPr>
        <w:t>:</w:t>
      </w:r>
    </w:p>
    <w:p w:rsidR="001C411D" w:rsidRPr="001F63BA" w:rsidRDefault="001C411D" w:rsidP="008751DA">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2022 թվականին Անապահով սոցիալական խմբերին աջակցության ծրագրի վերջնական արդյունքն էր՝ օժանդակել անապահով ընտանիքների կենսամակարդակի բարձրացմանը՝ դրանով մեղմելով աղքատությունը և կրճատելով ծայրահեղ աղքատությունը: Ծրագրի գծով ՀՀ 2022 թվականի պետական բյուջեով այս նպատակի համար հատկացվել է 30,474.0 մլն դրամ՝ 89629 սոցիալապես անապահով ընտանիքներին ընտանիքի կենսամակարդակի բարձրացմանն ուղղված նպաստների վճարման համար: Հաշվի առնելով երեխաներին սոցիալական աջակցություն տրամադրելու առաջնահերթության սկզբունքը` հաշվարկներում կանխատեսվել է, որ նպաստառու ընտանիքների մոտ 71%-ը կկազմեն երեխա ունեցող ընտանիքները: 2022 թվականին փաստացի նպաստ են ստացել 76631 ընտանիքներ, որոնց նպաստի միջին ամսական չափը կազմել 31,350</w:t>
      </w:r>
      <w:r w:rsidRPr="001F63BA">
        <w:rPr>
          <w:rFonts w:ascii="Courier New" w:hAnsi="Courier New" w:cs="Courier New"/>
          <w:sz w:val="22"/>
          <w:szCs w:val="22"/>
          <w:lang w:val="en-US"/>
        </w:rPr>
        <w:t> </w:t>
      </w:r>
      <w:r w:rsidRPr="001F63BA">
        <w:rPr>
          <w:rFonts w:ascii="GHEA Grapalat" w:hAnsi="GHEA Grapalat"/>
          <w:sz w:val="22"/>
          <w:szCs w:val="22"/>
          <w:lang w:val="en-US"/>
        </w:rPr>
        <w:t>դրամ:</w:t>
      </w:r>
      <w:r w:rsidRPr="001F63BA">
        <w:rPr>
          <w:rFonts w:ascii="Courier New" w:hAnsi="Courier New" w:cs="Courier New"/>
          <w:sz w:val="22"/>
          <w:szCs w:val="22"/>
          <w:lang w:val="en-US"/>
        </w:rPr>
        <w:t> </w:t>
      </w:r>
    </w:p>
    <w:p w:rsidR="001C411D" w:rsidRPr="001F63BA" w:rsidRDefault="001C411D" w:rsidP="008A5E8A">
      <w:pPr>
        <w:spacing w:line="360" w:lineRule="auto"/>
        <w:ind w:firstLine="567"/>
        <w:jc w:val="both"/>
        <w:rPr>
          <w:rFonts w:ascii="GHEA Grapalat" w:hAnsi="GHEA Grapalat"/>
          <w:sz w:val="22"/>
          <w:szCs w:val="22"/>
          <w:lang w:val="af-ZA"/>
        </w:rPr>
      </w:pPr>
    </w:p>
    <w:p w:rsidR="001C411D" w:rsidRPr="001F63BA" w:rsidRDefault="001C411D" w:rsidP="008A5E8A">
      <w:pPr>
        <w:spacing w:line="360" w:lineRule="auto"/>
        <w:ind w:firstLine="567"/>
        <w:jc w:val="both"/>
        <w:rPr>
          <w:rFonts w:ascii="GHEA Grapalat" w:hAnsi="GHEA Grapalat"/>
          <w:sz w:val="22"/>
          <w:szCs w:val="22"/>
          <w:u w:val="single"/>
          <w:lang w:val="af-ZA"/>
        </w:rPr>
      </w:pPr>
      <w:r w:rsidRPr="001F63BA">
        <w:rPr>
          <w:rFonts w:ascii="GHEA Grapalat" w:hAnsi="GHEA Grapalat"/>
          <w:sz w:val="22"/>
          <w:szCs w:val="22"/>
          <w:u w:val="single"/>
          <w:lang w:val="af-ZA"/>
        </w:rPr>
        <w:t>Աշխատանքի և զբաղվածության բնագավառ</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w:t>
      </w:r>
      <w:r w:rsidRPr="001F63BA">
        <w:rPr>
          <w:rFonts w:ascii="GHEA Grapalat" w:hAnsi="GHEA Grapalat"/>
          <w:sz w:val="22"/>
          <w:szCs w:val="22"/>
          <w:lang w:val="af-ZA"/>
        </w:rPr>
        <w:t xml:space="preserve">վականի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քաղաքականությունը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ուղղվել</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աշխատաշուկայի</w:t>
      </w:r>
      <w:r w:rsidRPr="001F63BA">
        <w:rPr>
          <w:rFonts w:ascii="GHEA Grapalat" w:hAnsi="GHEA Grapalat"/>
          <w:sz w:val="22"/>
          <w:szCs w:val="22"/>
          <w:lang w:val="af-ZA"/>
        </w:rPr>
        <w:t xml:space="preserve"> </w:t>
      </w:r>
      <w:r w:rsidRPr="001F63BA">
        <w:rPr>
          <w:rFonts w:ascii="GHEA Grapalat" w:hAnsi="GHEA Grapalat"/>
          <w:sz w:val="22"/>
          <w:szCs w:val="22"/>
          <w:lang w:val="en-US"/>
        </w:rPr>
        <w:t>լարվածությունը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մեղմելուն</w:t>
      </w:r>
      <w:r w:rsidRPr="001F63BA">
        <w:rPr>
          <w:rFonts w:ascii="GHEA Grapalat" w:hAnsi="GHEA Grapalat"/>
          <w:sz w:val="22"/>
          <w:szCs w:val="22"/>
          <w:lang w:val="af-ZA"/>
        </w:rPr>
        <w:t xml:space="preserve">, </w:t>
      </w:r>
      <w:r w:rsidRPr="001F63BA">
        <w:rPr>
          <w:rFonts w:ascii="GHEA Grapalat" w:hAnsi="GHEA Grapalat"/>
          <w:sz w:val="22"/>
          <w:szCs w:val="22"/>
          <w:lang w:val="en-US"/>
        </w:rPr>
        <w:t>զբաղվածության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ակտիվ</w:t>
      </w:r>
      <w:r w:rsidRPr="001F63BA">
        <w:rPr>
          <w:rFonts w:ascii="GHEA Grapalat" w:hAnsi="GHEA Grapalat"/>
          <w:sz w:val="22"/>
          <w:szCs w:val="22"/>
          <w:lang w:val="af-ZA"/>
        </w:rPr>
        <w:t xml:space="preserve"> </w:t>
      </w:r>
      <w:r w:rsidRPr="001F63BA">
        <w:rPr>
          <w:rFonts w:ascii="GHEA Grapalat" w:hAnsi="GHEA Grapalat"/>
          <w:sz w:val="22"/>
          <w:szCs w:val="22"/>
          <w:lang w:val="en-US"/>
        </w:rPr>
        <w:t>ծրագրերի</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աշխատաշուկայում</w:t>
      </w:r>
      <w:r w:rsidRPr="001F63BA">
        <w:rPr>
          <w:rFonts w:ascii="GHEA Grapalat" w:hAnsi="GHEA Grapalat"/>
          <w:sz w:val="22"/>
          <w:szCs w:val="22"/>
          <w:lang w:val="af-ZA"/>
        </w:rPr>
        <w:t xml:space="preserve"> </w:t>
      </w:r>
      <w:r w:rsidRPr="001F63BA">
        <w:rPr>
          <w:rFonts w:ascii="GHEA Grapalat" w:hAnsi="GHEA Grapalat"/>
          <w:sz w:val="22"/>
          <w:szCs w:val="22"/>
          <w:lang w:val="en-US"/>
        </w:rPr>
        <w:t>անմրցունակ</w:t>
      </w:r>
      <w:r w:rsidRPr="001F63BA">
        <w:rPr>
          <w:rFonts w:ascii="GHEA Grapalat" w:hAnsi="GHEA Grapalat"/>
          <w:sz w:val="22"/>
          <w:szCs w:val="22"/>
          <w:lang w:val="af-ZA"/>
        </w:rPr>
        <w:t xml:space="preserve"> </w:t>
      </w:r>
      <w:r w:rsidRPr="001F63BA">
        <w:rPr>
          <w:rFonts w:ascii="GHEA Grapalat" w:hAnsi="GHEA Grapalat"/>
          <w:sz w:val="22"/>
          <w:szCs w:val="22"/>
          <w:lang w:val="en-US"/>
        </w:rPr>
        <w:t>անձանց</w:t>
      </w:r>
      <w:r w:rsidRPr="001F63BA">
        <w:rPr>
          <w:rFonts w:ascii="GHEA Grapalat" w:hAnsi="GHEA Grapalat"/>
          <w:sz w:val="22"/>
          <w:szCs w:val="22"/>
          <w:lang w:val="af-ZA"/>
        </w:rPr>
        <w:t xml:space="preserve">, </w:t>
      </w:r>
      <w:r w:rsidRPr="001F63BA">
        <w:rPr>
          <w:rFonts w:ascii="GHEA Grapalat" w:hAnsi="GHEA Grapalat"/>
          <w:sz w:val="22"/>
          <w:szCs w:val="22"/>
          <w:lang w:val="en-US"/>
        </w:rPr>
        <w:t>ըստ</w:t>
      </w:r>
      <w:r w:rsidRPr="001F63BA">
        <w:rPr>
          <w:rFonts w:ascii="GHEA Grapalat" w:hAnsi="GHEA Grapalat"/>
          <w:sz w:val="22"/>
          <w:szCs w:val="22"/>
          <w:lang w:val="af-ZA"/>
        </w:rPr>
        <w:t xml:space="preserve"> </w:t>
      </w:r>
      <w:r w:rsidRPr="001F63BA">
        <w:rPr>
          <w:rFonts w:ascii="GHEA Grapalat" w:hAnsi="GHEA Grapalat"/>
          <w:sz w:val="22"/>
          <w:szCs w:val="22"/>
          <w:lang w:val="en-US"/>
        </w:rPr>
        <w:t>առաջնահերթությունների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կայուն</w:t>
      </w:r>
      <w:r w:rsidRPr="001F63BA">
        <w:rPr>
          <w:rFonts w:ascii="GHEA Grapalat" w:hAnsi="GHEA Grapalat"/>
          <w:sz w:val="22"/>
          <w:szCs w:val="22"/>
          <w:lang w:val="af-ZA"/>
        </w:rPr>
        <w:t xml:space="preserve"> </w:t>
      </w:r>
      <w:r w:rsidRPr="001F63BA">
        <w:rPr>
          <w:rFonts w:ascii="GHEA Grapalat" w:hAnsi="GHEA Grapalat"/>
          <w:sz w:val="22"/>
          <w:szCs w:val="22"/>
          <w:lang w:val="en-US"/>
        </w:rPr>
        <w:t>զբաղվածության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ապահովմանը</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w:t>
      </w:r>
      <w:r w:rsidRPr="001F63BA">
        <w:rPr>
          <w:rFonts w:ascii="GHEA Grapalat" w:hAnsi="GHEA Grapalat"/>
          <w:sz w:val="22"/>
          <w:szCs w:val="22"/>
          <w:lang w:val="af-ZA"/>
        </w:rPr>
        <w:t>-</w:t>
      </w:r>
      <w:r w:rsidRPr="001F63BA">
        <w:rPr>
          <w:rFonts w:ascii="GHEA Grapalat" w:hAnsi="GHEA Grapalat"/>
          <w:sz w:val="22"/>
          <w:szCs w:val="22"/>
          <w:lang w:val="en-US"/>
        </w:rPr>
        <w:t>աշխատանքային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հարաբերությունները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կարգավորող</w:t>
      </w:r>
      <w:r w:rsidRPr="001F63BA">
        <w:rPr>
          <w:rFonts w:ascii="GHEA Grapalat" w:hAnsi="GHEA Grapalat"/>
          <w:sz w:val="22"/>
          <w:szCs w:val="22"/>
          <w:lang w:val="af-ZA"/>
        </w:rPr>
        <w:t xml:space="preserve"> </w:t>
      </w:r>
      <w:r w:rsidRPr="001F63BA">
        <w:rPr>
          <w:rFonts w:ascii="GHEA Grapalat" w:hAnsi="GHEA Grapalat"/>
          <w:sz w:val="22"/>
          <w:szCs w:val="22"/>
          <w:lang w:val="en-US"/>
        </w:rPr>
        <w:t>իրավական</w:t>
      </w:r>
      <w:r w:rsidRPr="001F63BA">
        <w:rPr>
          <w:rFonts w:ascii="GHEA Grapalat" w:hAnsi="GHEA Grapalat"/>
          <w:sz w:val="22"/>
          <w:szCs w:val="22"/>
          <w:lang w:val="af-ZA"/>
        </w:rPr>
        <w:t xml:space="preserve"> </w:t>
      </w:r>
      <w:r w:rsidRPr="001F63BA">
        <w:rPr>
          <w:rFonts w:ascii="GHEA Grapalat" w:hAnsi="GHEA Grapalat"/>
          <w:sz w:val="22"/>
          <w:szCs w:val="22"/>
          <w:lang w:val="en-US"/>
        </w:rPr>
        <w:t>դրույթների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համապատասխանեցմանը</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ստանձնած</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պարտավորություններին</w:t>
      </w:r>
      <w:r w:rsidRPr="001F63BA">
        <w:rPr>
          <w:rFonts w:ascii="GHEA Grapalat" w:hAnsi="GHEA Grapalat"/>
          <w:sz w:val="22"/>
          <w:szCs w:val="22"/>
          <w:lang w:val="af-ZA"/>
        </w:rPr>
        <w:t xml:space="preserve">: </w:t>
      </w:r>
      <w:r w:rsidRPr="001F63BA">
        <w:rPr>
          <w:rFonts w:ascii="GHEA Grapalat" w:hAnsi="GHEA Grapalat"/>
          <w:sz w:val="22"/>
          <w:szCs w:val="22"/>
          <w:lang w:val="en-US"/>
        </w:rPr>
        <w:t>Այս</w:t>
      </w:r>
      <w:r w:rsidRPr="001F63BA">
        <w:rPr>
          <w:rFonts w:ascii="GHEA Grapalat" w:hAnsi="GHEA Grapalat"/>
          <w:sz w:val="22"/>
          <w:szCs w:val="22"/>
          <w:lang w:val="af-ZA"/>
        </w:rPr>
        <w:t xml:space="preserve"> </w:t>
      </w:r>
      <w:r w:rsidRPr="001F63BA">
        <w:rPr>
          <w:rFonts w:ascii="GHEA Grapalat" w:hAnsi="GHEA Grapalat"/>
          <w:sz w:val="22"/>
          <w:szCs w:val="22"/>
          <w:lang w:val="en-US"/>
        </w:rPr>
        <w:t>համատեքստում</w:t>
      </w:r>
      <w:r w:rsidRPr="001F63BA">
        <w:rPr>
          <w:rFonts w:ascii="GHEA Grapalat" w:hAnsi="GHEA Grapalat"/>
          <w:sz w:val="22"/>
          <w:szCs w:val="22"/>
          <w:lang w:val="af-ZA"/>
        </w:rPr>
        <w:t xml:space="preserve"> </w:t>
      </w:r>
      <w:r w:rsidRPr="001F63BA">
        <w:rPr>
          <w:rFonts w:ascii="GHEA Grapalat" w:hAnsi="GHEA Grapalat"/>
          <w:sz w:val="22"/>
          <w:szCs w:val="22"/>
          <w:lang w:val="en-US"/>
        </w:rPr>
        <w:t>առանձնապես</w:t>
      </w:r>
      <w:r w:rsidRPr="001F63BA">
        <w:rPr>
          <w:rFonts w:ascii="GHEA Grapalat" w:hAnsi="GHEA Grapalat"/>
          <w:sz w:val="22"/>
          <w:szCs w:val="22"/>
          <w:lang w:val="af-ZA"/>
        </w:rPr>
        <w:t xml:space="preserve"> </w:t>
      </w:r>
      <w:r w:rsidRPr="001F63BA">
        <w:rPr>
          <w:rFonts w:ascii="GHEA Grapalat" w:hAnsi="GHEA Grapalat"/>
          <w:sz w:val="22"/>
          <w:szCs w:val="22"/>
          <w:lang w:val="en-US"/>
        </w:rPr>
        <w:t>կարևորվել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Զբաղվածության կարգավորման պետական ծրագրերի հասցեականության ու արդյունավետության բարձրացումը, ըստ անհրաժեշտության նոր ծրագրերի ներդրումը՝ նպատակաուղղված աշխատաշուկայում երիտասարդների, հաշմանդամություն ունեցող անձանց, կանանց մրցունակության բարձրացմանը, «կրթություն-աշխատաշուկա» փոխառնչությունների խթանումը,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Արժանապատիվ աշխատանքի իրավունքի իրացման նպատակով՝ աշխատանքային հարաբերությունների կարգավորման մեխանիզմների պարզեցումը և բարելավումը՝ համապատասխանեցվելով նաև Հայաստանի Հանրապետության ստանձնած միջազգային պարտավորություններին.</w:t>
      </w:r>
    </w:p>
    <w:p w:rsidR="001C411D" w:rsidRPr="001F63BA" w:rsidRDefault="001C411D" w:rsidP="008A5E8A">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Այս ուղղությամբ մասնավորապես.</w:t>
      </w:r>
    </w:p>
    <w:p w:rsidR="001C411D" w:rsidRPr="001F63BA" w:rsidRDefault="001C411D" w:rsidP="00BB1B4B">
      <w:pPr>
        <w:numPr>
          <w:ilvl w:val="0"/>
          <w:numId w:val="14"/>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 xml:space="preserve">ՀՀ աշխատանքային օրենսգրքի դրույթների՝ ՀՀ կողմից վավերացված միջազգային պայմանագրերով, մասնավորապես՝ Աշխատանքի միջազգային կազմակերպության հիմնարար կոնվենցիաներով և Վերանայված եվրոպական սոցիալական խարտիայով նախատեսված պահանջներին առավելագույնս համապատասխանեցման, օրենսդրական որոշակի բացերի վերացման, տարաբնույթ ընկալման տեղիք տվող դրույթների հստակեցման ու իրավակիրառ </w:t>
      </w:r>
      <w:r w:rsidRPr="001F63BA">
        <w:rPr>
          <w:rFonts w:ascii="GHEA Grapalat" w:hAnsi="GHEA Grapalat"/>
          <w:sz w:val="22"/>
          <w:szCs w:val="22"/>
          <w:lang w:val="en-US"/>
        </w:rPr>
        <w:lastRenderedPageBreak/>
        <w:t>պրակտիկայում ի հայտ եկած մի շարք խնդիրների լուծման նպատակով ՀՀ վարչապետի աշխատակազմ է ներկայացվել «Հայաստանի Հանրապետության աշխատանքային օրենսգրքում փոփոխություններ և լրացումներ կատարելու մասին» օրենքի նախագիծը, որը ՀՀ կառավարության կողմից հավանության է արժանացել 2023 թվականի հունվարի 26-ի N 91-Ա որոշմամբ և 22.03.2023թ. Ազգային ժողովի կողմից ընդունվել է 1-ին ընթերցմամբ։</w:t>
      </w:r>
    </w:p>
    <w:p w:rsidR="001C411D" w:rsidRPr="001F63BA" w:rsidRDefault="001C411D" w:rsidP="00BB1B4B">
      <w:pPr>
        <w:numPr>
          <w:ilvl w:val="0"/>
          <w:numId w:val="14"/>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Պարտադիր կամ հարկադիր աշխատանքի վերաբերյալ կարգավորումներ նախատեսելու նպատակով մշակվել են «Հայաստանի Հանրապետության աշխատանքային օրենսգրքում լրացումներ կատարելու մասին», «Հայաստանի Հանրապետության քրեական օրենսգրքում լրացում կատարելու մասին» և «Մարդկանց թրաֆիքինգի և շահագործման ենթարկված անձանց նույնացման և աջակցության մասին» օրենքում լրացում կատարելու մասին» օրենքների նախագծերը, որոնք ընդունվել են 2022 թվականի հոկտեմբերի 5-ին։</w:t>
      </w:r>
    </w:p>
    <w:p w:rsidR="001C411D" w:rsidRPr="001F63BA" w:rsidRDefault="001C411D" w:rsidP="008A5E8A">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Հեռավար աշխատանքների կազմակերպմանը և իրականացմանը վերաբերող ամբողջական կարգավորումներ նախատեսելու նպատակով շրջանառության է դրվել «Հայաստանի Հանրապետության աշխատանքային օրենսգրքում լրացում և փոփոխություններ կատարելու մասին» օրենքի նախագիծը, որը ներկայում գտնվում է կարծիքների ամփոփման փուլում։</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Պետական հատվածի աշխատողների սոցիալական երաշխիքների ընդլայնումը։ Այս մասով, մասնավորապես, սոցփաթեթի հատկացման կարգում կատարված փոփոխություններով (ՀՀ կառավարության 29.12.2022 թ. «Հայաստանի Հանրապետության կառավարության 2012 թվականի դեկտեմբերի 27-ի N 1691-Ն որոշման մեջ լրացումներ և փոփոխություններ կատարելու մասին» N 2074-Ն որոշմամբ) սոցփաթեթի շահառուների ցանկում լրացվել են՝</w:t>
      </w:r>
    </w:p>
    <w:p w:rsidR="001C411D" w:rsidRPr="001F63BA" w:rsidRDefault="001C411D" w:rsidP="00BB1B4B">
      <w:pPr>
        <w:numPr>
          <w:ilvl w:val="0"/>
          <w:numId w:val="14"/>
        </w:numPr>
        <w:tabs>
          <w:tab w:val="left" w:pos="851"/>
        </w:tabs>
        <w:spacing w:line="360" w:lineRule="auto"/>
        <w:ind w:left="0" w:firstLine="567"/>
        <w:jc w:val="both"/>
        <w:rPr>
          <w:rFonts w:ascii="GHEA Grapalat" w:hAnsi="GHEA Grapalat"/>
          <w:sz w:val="22"/>
          <w:szCs w:val="22"/>
          <w:lang w:val="af-ZA"/>
        </w:rPr>
      </w:pPr>
      <w:r w:rsidRPr="001F63BA">
        <w:rPr>
          <w:rFonts w:ascii="GHEA Grapalat" w:hAnsi="GHEA Grapalat"/>
          <w:sz w:val="22"/>
          <w:szCs w:val="22"/>
          <w:lang w:val="en-US"/>
        </w:rPr>
        <w:t>այն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հիմնադրամների</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աշխատողները</w:t>
      </w:r>
      <w:r w:rsidRPr="001F63BA">
        <w:rPr>
          <w:rFonts w:ascii="GHEA Grapalat" w:hAnsi="GHEA Grapalat"/>
          <w:sz w:val="22"/>
          <w:szCs w:val="22"/>
          <w:lang w:val="af-ZA"/>
        </w:rPr>
        <w:t xml:space="preserve">, </w:t>
      </w:r>
      <w:r w:rsidRPr="001F63BA">
        <w:rPr>
          <w:rFonts w:ascii="GHEA Grapalat" w:hAnsi="GHEA Grapalat"/>
          <w:sz w:val="22"/>
          <w:szCs w:val="22"/>
          <w:lang w:val="en-US"/>
        </w:rPr>
        <w:t>ովքեր</w:t>
      </w:r>
      <w:r w:rsidRPr="001F63BA">
        <w:rPr>
          <w:rFonts w:ascii="GHEA Grapalat" w:hAnsi="GHEA Grapalat"/>
          <w:sz w:val="22"/>
          <w:szCs w:val="22"/>
          <w:lang w:val="af-ZA"/>
        </w:rPr>
        <w:t xml:space="preserve"> </w:t>
      </w:r>
      <w:r w:rsidRPr="001F63BA">
        <w:rPr>
          <w:rFonts w:ascii="GHEA Grapalat" w:hAnsi="GHEA Grapalat"/>
          <w:sz w:val="22"/>
          <w:szCs w:val="22"/>
          <w:lang w:val="en-US"/>
        </w:rPr>
        <w:t>նախկինում</w:t>
      </w:r>
      <w:r w:rsidRPr="001F63BA">
        <w:rPr>
          <w:rFonts w:ascii="GHEA Grapalat" w:hAnsi="GHEA Grapalat"/>
          <w:sz w:val="22"/>
          <w:szCs w:val="22"/>
          <w:lang w:val="af-ZA"/>
        </w:rPr>
        <w:t xml:space="preserve"> </w:t>
      </w:r>
      <w:r w:rsidRPr="001F63BA">
        <w:rPr>
          <w:rFonts w:ascii="GHEA Grapalat" w:hAnsi="GHEA Grapalat"/>
          <w:sz w:val="22"/>
          <w:szCs w:val="22"/>
          <w:lang w:val="en-US"/>
        </w:rPr>
        <w:t>հանդիսանալով</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ոչ</w:t>
      </w:r>
      <w:r w:rsidRPr="001F63BA">
        <w:rPr>
          <w:rFonts w:ascii="GHEA Grapalat" w:hAnsi="GHEA Grapalat"/>
          <w:sz w:val="22"/>
          <w:szCs w:val="22"/>
          <w:lang w:val="af-ZA"/>
        </w:rPr>
        <w:t xml:space="preserve"> </w:t>
      </w:r>
      <w:r w:rsidRPr="001F63BA">
        <w:rPr>
          <w:rFonts w:ascii="GHEA Grapalat" w:hAnsi="GHEA Grapalat"/>
          <w:sz w:val="22"/>
          <w:szCs w:val="22"/>
          <w:lang w:val="en-US"/>
        </w:rPr>
        <w:t>առևտրային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աշխատողներ՝</w:t>
      </w:r>
      <w:r w:rsidRPr="001F63BA">
        <w:rPr>
          <w:rFonts w:ascii="GHEA Grapalat" w:hAnsi="GHEA Grapalat"/>
          <w:sz w:val="22"/>
          <w:szCs w:val="22"/>
          <w:lang w:val="af-ZA"/>
        </w:rPr>
        <w:t xml:space="preserve"> </w:t>
      </w:r>
      <w:r w:rsidRPr="001F63BA">
        <w:rPr>
          <w:rFonts w:ascii="GHEA Grapalat" w:hAnsi="GHEA Grapalat"/>
          <w:sz w:val="22"/>
          <w:szCs w:val="22"/>
          <w:lang w:val="en-US"/>
        </w:rPr>
        <w:t>եղել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սոցփաթեթի</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w:t>
      </w:r>
      <w:r w:rsidRPr="001F63BA">
        <w:rPr>
          <w:rFonts w:ascii="GHEA Grapalat" w:hAnsi="GHEA Grapalat"/>
          <w:sz w:val="22"/>
          <w:szCs w:val="22"/>
          <w:lang w:val="af-ZA"/>
        </w:rPr>
        <w:t xml:space="preserve">, </w:t>
      </w:r>
      <w:r w:rsidRPr="001F63BA">
        <w:rPr>
          <w:rFonts w:ascii="GHEA Grapalat" w:hAnsi="GHEA Grapalat"/>
          <w:sz w:val="22"/>
          <w:szCs w:val="22"/>
          <w:lang w:val="en-US"/>
        </w:rPr>
        <w:t>սակայն</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ոչ</w:t>
      </w:r>
      <w:r w:rsidRPr="001F63BA">
        <w:rPr>
          <w:rFonts w:ascii="GHEA Grapalat" w:hAnsi="GHEA Grapalat"/>
          <w:sz w:val="22"/>
          <w:szCs w:val="22"/>
          <w:lang w:val="af-ZA"/>
        </w:rPr>
        <w:t xml:space="preserve"> </w:t>
      </w:r>
      <w:r w:rsidRPr="001F63BA">
        <w:rPr>
          <w:rFonts w:ascii="GHEA Grapalat" w:hAnsi="GHEA Grapalat"/>
          <w:sz w:val="22"/>
          <w:szCs w:val="22"/>
          <w:lang w:val="en-US"/>
        </w:rPr>
        <w:t>առևտրային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վերակազմակերպման</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արդյունքում</w:t>
      </w:r>
      <w:r w:rsidRPr="001F63BA">
        <w:rPr>
          <w:rFonts w:ascii="GHEA Grapalat" w:hAnsi="GHEA Grapalat"/>
          <w:sz w:val="22"/>
          <w:szCs w:val="22"/>
          <w:lang w:val="af-ZA"/>
        </w:rPr>
        <w:t xml:space="preserve"> </w:t>
      </w:r>
      <w:r w:rsidRPr="001F63BA">
        <w:rPr>
          <w:rFonts w:ascii="GHEA Grapalat" w:hAnsi="GHEA Grapalat"/>
          <w:sz w:val="22"/>
          <w:szCs w:val="22"/>
          <w:lang w:val="en-US"/>
        </w:rPr>
        <w:t>հիմնադրամ</w:t>
      </w:r>
      <w:r w:rsidRPr="001F63BA">
        <w:rPr>
          <w:rFonts w:ascii="GHEA Grapalat" w:hAnsi="GHEA Grapalat"/>
          <w:sz w:val="22"/>
          <w:szCs w:val="22"/>
          <w:lang w:val="af-ZA"/>
        </w:rPr>
        <w:t xml:space="preserve"> </w:t>
      </w:r>
      <w:r w:rsidRPr="001F63BA">
        <w:rPr>
          <w:rFonts w:ascii="GHEA Grapalat" w:hAnsi="GHEA Grapalat"/>
          <w:sz w:val="22"/>
          <w:szCs w:val="22"/>
          <w:lang w:val="en-US"/>
        </w:rPr>
        <w:t>դառնալուց</w:t>
      </w:r>
      <w:r w:rsidRPr="001F63BA">
        <w:rPr>
          <w:rFonts w:ascii="GHEA Grapalat" w:hAnsi="GHEA Grapalat"/>
          <w:sz w:val="22"/>
          <w:szCs w:val="22"/>
          <w:lang w:val="af-ZA"/>
        </w:rPr>
        <w:t xml:space="preserve"> </w:t>
      </w:r>
      <w:r w:rsidRPr="001F63BA">
        <w:rPr>
          <w:rFonts w:ascii="GHEA Grapalat" w:hAnsi="GHEA Grapalat"/>
          <w:sz w:val="22"/>
          <w:szCs w:val="22"/>
          <w:lang w:val="en-US"/>
        </w:rPr>
        <w:t>հետո</w:t>
      </w:r>
      <w:r w:rsidRPr="001F63BA">
        <w:rPr>
          <w:rFonts w:ascii="GHEA Grapalat" w:hAnsi="GHEA Grapalat"/>
          <w:sz w:val="22"/>
          <w:szCs w:val="22"/>
          <w:lang w:val="af-ZA"/>
        </w:rPr>
        <w:t xml:space="preserve"> </w:t>
      </w:r>
      <w:r w:rsidRPr="001F63BA">
        <w:rPr>
          <w:rFonts w:ascii="GHEA Grapalat" w:hAnsi="GHEA Grapalat"/>
          <w:sz w:val="22"/>
          <w:szCs w:val="22"/>
          <w:lang w:val="en-US"/>
        </w:rPr>
        <w:t>այլևս</w:t>
      </w:r>
      <w:r w:rsidRPr="001F63BA">
        <w:rPr>
          <w:rFonts w:ascii="GHEA Grapalat" w:hAnsi="GHEA Grapalat"/>
          <w:sz w:val="22"/>
          <w:szCs w:val="22"/>
          <w:lang w:val="af-ZA"/>
        </w:rPr>
        <w:t xml:space="preserve"> </w:t>
      </w:r>
      <w:r w:rsidRPr="001F63BA">
        <w:rPr>
          <w:rFonts w:ascii="GHEA Grapalat" w:hAnsi="GHEA Grapalat"/>
          <w:sz w:val="22"/>
          <w:szCs w:val="22"/>
          <w:lang w:val="en-US"/>
        </w:rPr>
        <w:t>սոցփաթեթի</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w:t>
      </w:r>
      <w:r w:rsidRPr="001F63BA">
        <w:rPr>
          <w:rFonts w:ascii="GHEA Grapalat" w:hAnsi="GHEA Grapalat"/>
          <w:sz w:val="22"/>
          <w:szCs w:val="22"/>
          <w:lang w:val="af-ZA"/>
        </w:rPr>
        <w:t xml:space="preserve"> </w:t>
      </w:r>
      <w:r w:rsidRPr="001F63BA">
        <w:rPr>
          <w:rFonts w:ascii="GHEA Grapalat" w:hAnsi="GHEA Grapalat"/>
          <w:sz w:val="22"/>
          <w:szCs w:val="22"/>
          <w:lang w:val="en-US"/>
        </w:rPr>
        <w:t>չեն</w:t>
      </w:r>
      <w:r w:rsidRPr="001F63BA">
        <w:rPr>
          <w:rFonts w:ascii="GHEA Grapalat" w:hAnsi="GHEA Grapalat"/>
          <w:sz w:val="22"/>
          <w:szCs w:val="22"/>
          <w:lang w:val="af-ZA"/>
        </w:rPr>
        <w:t xml:space="preserve"> </w:t>
      </w:r>
      <w:r w:rsidRPr="001F63BA">
        <w:rPr>
          <w:rFonts w:ascii="GHEA Grapalat" w:hAnsi="GHEA Grapalat"/>
          <w:sz w:val="22"/>
          <w:szCs w:val="22"/>
          <w:lang w:val="en-US"/>
        </w:rPr>
        <w:t>հանդիսացել։</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հիմնադրամներն</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Ծաղկունք</w:t>
      </w:r>
      <w:r w:rsidRPr="001F63BA">
        <w:rPr>
          <w:rFonts w:ascii="GHEA Grapalat" w:hAnsi="GHEA Grapalat"/>
          <w:sz w:val="22"/>
          <w:szCs w:val="22"/>
          <w:lang w:val="af-ZA"/>
        </w:rPr>
        <w:t xml:space="preserve"> </w:t>
      </w:r>
      <w:r w:rsidRPr="001F63BA">
        <w:rPr>
          <w:rFonts w:ascii="GHEA Grapalat" w:hAnsi="GHEA Grapalat"/>
          <w:sz w:val="22"/>
          <w:szCs w:val="22"/>
          <w:lang w:val="en-US"/>
        </w:rPr>
        <w:t>բաց</w:t>
      </w:r>
      <w:r w:rsidRPr="001F63BA">
        <w:rPr>
          <w:rFonts w:ascii="GHEA Grapalat" w:hAnsi="GHEA Grapalat"/>
          <w:sz w:val="22"/>
          <w:szCs w:val="22"/>
          <w:lang w:val="af-ZA"/>
        </w:rPr>
        <w:t xml:space="preserve"> </w:t>
      </w:r>
      <w:r w:rsidRPr="001F63BA">
        <w:rPr>
          <w:rFonts w:ascii="GHEA Grapalat" w:hAnsi="GHEA Grapalat"/>
          <w:sz w:val="22"/>
          <w:szCs w:val="22"/>
          <w:lang w:val="en-US"/>
        </w:rPr>
        <w:t>դպրոցը</w:t>
      </w:r>
      <w:r w:rsidRPr="001F63BA">
        <w:rPr>
          <w:rFonts w:ascii="GHEA Grapalat" w:hAnsi="GHEA Grapalat"/>
          <w:sz w:val="22"/>
          <w:szCs w:val="22"/>
          <w:lang w:val="af-ZA"/>
        </w:rPr>
        <w:t xml:space="preserve">, </w:t>
      </w:r>
      <w:r w:rsidRPr="001F63BA">
        <w:rPr>
          <w:rFonts w:ascii="GHEA Grapalat" w:hAnsi="GHEA Grapalat"/>
          <w:sz w:val="22"/>
          <w:szCs w:val="22"/>
          <w:lang w:val="en-US"/>
        </w:rPr>
        <w:t>Մոնթե</w:t>
      </w:r>
      <w:r w:rsidRPr="001F63BA">
        <w:rPr>
          <w:rFonts w:ascii="GHEA Grapalat" w:hAnsi="GHEA Grapalat"/>
          <w:sz w:val="22"/>
          <w:szCs w:val="22"/>
          <w:lang w:val="af-ZA"/>
        </w:rPr>
        <w:t xml:space="preserve"> </w:t>
      </w:r>
      <w:r w:rsidRPr="001F63BA">
        <w:rPr>
          <w:rFonts w:ascii="GHEA Grapalat" w:hAnsi="GHEA Grapalat"/>
          <w:sz w:val="22"/>
          <w:szCs w:val="22"/>
          <w:lang w:val="en-US"/>
        </w:rPr>
        <w:t>Մելքոնյանի</w:t>
      </w:r>
      <w:r w:rsidRPr="001F63BA">
        <w:rPr>
          <w:rFonts w:ascii="GHEA Grapalat" w:hAnsi="GHEA Grapalat"/>
          <w:sz w:val="22"/>
          <w:szCs w:val="22"/>
          <w:lang w:val="af-ZA"/>
        </w:rPr>
        <w:t xml:space="preserve"> </w:t>
      </w:r>
      <w:r w:rsidRPr="001F63BA">
        <w:rPr>
          <w:rFonts w:ascii="GHEA Grapalat" w:hAnsi="GHEA Grapalat"/>
          <w:sz w:val="22"/>
          <w:szCs w:val="22"/>
          <w:lang w:val="en-US"/>
        </w:rPr>
        <w:t>անվան</w:t>
      </w:r>
      <w:r w:rsidRPr="001F63BA">
        <w:rPr>
          <w:rFonts w:ascii="GHEA Grapalat" w:hAnsi="GHEA Grapalat"/>
          <w:sz w:val="22"/>
          <w:szCs w:val="22"/>
          <w:lang w:val="af-ZA"/>
        </w:rPr>
        <w:t xml:space="preserve"> </w:t>
      </w:r>
      <w:r w:rsidRPr="001F63BA">
        <w:rPr>
          <w:rFonts w:ascii="GHEA Grapalat" w:hAnsi="GHEA Grapalat"/>
          <w:sz w:val="22"/>
          <w:szCs w:val="22"/>
          <w:lang w:val="en-US"/>
        </w:rPr>
        <w:t>ռազմամարզական</w:t>
      </w:r>
      <w:r w:rsidRPr="001F63BA">
        <w:rPr>
          <w:rFonts w:ascii="GHEA Grapalat" w:hAnsi="GHEA Grapalat"/>
          <w:sz w:val="22"/>
          <w:szCs w:val="22"/>
          <w:lang w:val="af-ZA"/>
        </w:rPr>
        <w:t xml:space="preserve"> </w:t>
      </w:r>
      <w:r w:rsidRPr="001F63BA">
        <w:rPr>
          <w:rFonts w:ascii="GHEA Grapalat" w:hAnsi="GHEA Grapalat"/>
          <w:sz w:val="22"/>
          <w:szCs w:val="22"/>
          <w:lang w:val="en-US"/>
        </w:rPr>
        <w:t>վարժարանը</w:t>
      </w:r>
      <w:r w:rsidRPr="001F63BA">
        <w:rPr>
          <w:rFonts w:ascii="GHEA Grapalat" w:hAnsi="GHEA Grapalat"/>
          <w:sz w:val="22"/>
          <w:szCs w:val="22"/>
          <w:lang w:val="af-ZA"/>
        </w:rPr>
        <w:t xml:space="preserve">, N 182 </w:t>
      </w:r>
      <w:r w:rsidRPr="001F63BA">
        <w:rPr>
          <w:rFonts w:ascii="GHEA Grapalat" w:hAnsi="GHEA Grapalat"/>
          <w:sz w:val="22"/>
          <w:szCs w:val="22"/>
          <w:lang w:val="en-US"/>
        </w:rPr>
        <w:t>ավագ</w:t>
      </w:r>
      <w:r w:rsidRPr="001F63BA">
        <w:rPr>
          <w:rFonts w:ascii="GHEA Grapalat" w:hAnsi="GHEA Grapalat"/>
          <w:sz w:val="22"/>
          <w:szCs w:val="22"/>
          <w:lang w:val="af-ZA"/>
        </w:rPr>
        <w:t xml:space="preserve"> </w:t>
      </w:r>
      <w:r w:rsidRPr="001F63BA">
        <w:rPr>
          <w:rFonts w:ascii="GHEA Grapalat" w:hAnsi="GHEA Grapalat"/>
          <w:sz w:val="22"/>
          <w:szCs w:val="22"/>
          <w:lang w:val="en-US"/>
        </w:rPr>
        <w:t>դպրոցը</w:t>
      </w:r>
      <w:r w:rsidRPr="001F63BA">
        <w:rPr>
          <w:rFonts w:ascii="GHEA Grapalat" w:hAnsi="GHEA Grapalat"/>
          <w:sz w:val="22"/>
          <w:szCs w:val="22"/>
          <w:lang w:val="af-ZA"/>
        </w:rPr>
        <w:t xml:space="preserve">, </w:t>
      </w:r>
      <w:r w:rsidRPr="001F63BA">
        <w:rPr>
          <w:rFonts w:ascii="GHEA Grapalat" w:hAnsi="GHEA Grapalat"/>
          <w:sz w:val="22"/>
          <w:szCs w:val="22"/>
          <w:lang w:val="en-US"/>
        </w:rPr>
        <w:t>Հայ</w:t>
      </w:r>
      <w:r w:rsidRPr="001F63BA">
        <w:rPr>
          <w:rFonts w:ascii="GHEA Grapalat" w:hAnsi="GHEA Grapalat"/>
          <w:sz w:val="22"/>
          <w:szCs w:val="22"/>
          <w:lang w:val="af-ZA"/>
        </w:rPr>
        <w:t>-</w:t>
      </w:r>
      <w:r w:rsidRPr="001F63BA">
        <w:rPr>
          <w:rFonts w:ascii="GHEA Grapalat" w:hAnsi="GHEA Grapalat"/>
          <w:sz w:val="22"/>
          <w:szCs w:val="22"/>
          <w:lang w:val="en-US"/>
        </w:rPr>
        <w:t>չինական</w:t>
      </w:r>
      <w:r w:rsidRPr="001F63BA">
        <w:rPr>
          <w:rFonts w:ascii="GHEA Grapalat" w:hAnsi="GHEA Grapalat"/>
          <w:sz w:val="22"/>
          <w:szCs w:val="22"/>
          <w:lang w:val="af-ZA"/>
        </w:rPr>
        <w:t xml:space="preserve"> </w:t>
      </w:r>
      <w:r w:rsidRPr="001F63BA">
        <w:rPr>
          <w:rFonts w:ascii="GHEA Grapalat" w:hAnsi="GHEA Grapalat"/>
          <w:sz w:val="22"/>
          <w:szCs w:val="22"/>
          <w:lang w:val="en-US"/>
        </w:rPr>
        <w:t>բարեկամության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դպրոցը</w:t>
      </w:r>
      <w:r w:rsidRPr="001F63BA">
        <w:rPr>
          <w:rFonts w:ascii="GHEA Grapalat" w:hAnsi="GHEA Grapalat"/>
          <w:sz w:val="22"/>
          <w:szCs w:val="22"/>
          <w:lang w:val="af-ZA"/>
        </w:rPr>
        <w:t>,</w:t>
      </w:r>
    </w:p>
    <w:p w:rsidR="001C411D" w:rsidRPr="001F63BA" w:rsidRDefault="001C411D" w:rsidP="00BB1B4B">
      <w:pPr>
        <w:numPr>
          <w:ilvl w:val="0"/>
          <w:numId w:val="14"/>
        </w:numPr>
        <w:tabs>
          <w:tab w:val="left" w:pos="851"/>
        </w:tabs>
        <w:spacing w:line="360" w:lineRule="auto"/>
        <w:ind w:left="0" w:firstLine="567"/>
        <w:jc w:val="both"/>
        <w:rPr>
          <w:rFonts w:ascii="GHEA Grapalat" w:hAnsi="GHEA Grapalat"/>
          <w:sz w:val="22"/>
          <w:szCs w:val="22"/>
          <w:lang w:val="af-ZA"/>
        </w:rPr>
      </w:pPr>
      <w:r w:rsidRPr="001F63BA">
        <w:rPr>
          <w:rFonts w:ascii="GHEA Grapalat" w:hAnsi="GHEA Grapalat"/>
          <w:sz w:val="22"/>
          <w:szCs w:val="22"/>
          <w:lang w:val="en-US"/>
        </w:rPr>
        <w:t>նույն</w:t>
      </w:r>
      <w:r w:rsidRPr="001F63BA">
        <w:rPr>
          <w:rFonts w:ascii="GHEA Grapalat" w:hAnsi="GHEA Grapalat"/>
          <w:sz w:val="22"/>
          <w:szCs w:val="22"/>
          <w:lang w:val="af-ZA"/>
        </w:rPr>
        <w:t xml:space="preserve"> </w:t>
      </w:r>
      <w:r w:rsidRPr="001F63BA">
        <w:rPr>
          <w:rFonts w:ascii="GHEA Grapalat" w:hAnsi="GHEA Grapalat"/>
          <w:sz w:val="22"/>
          <w:szCs w:val="22"/>
          <w:lang w:val="en-US"/>
        </w:rPr>
        <w:t>ոլորտում</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գործունեություն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ծավալող</w:t>
      </w:r>
      <w:r w:rsidRPr="001F63BA">
        <w:rPr>
          <w:rFonts w:ascii="GHEA Grapalat" w:hAnsi="GHEA Grapalat"/>
          <w:sz w:val="22"/>
          <w:szCs w:val="22"/>
          <w:lang w:val="af-ZA"/>
        </w:rPr>
        <w:t xml:space="preserve"> </w:t>
      </w:r>
      <w:r w:rsidRPr="001F63BA">
        <w:rPr>
          <w:rFonts w:ascii="GHEA Grapalat" w:hAnsi="GHEA Grapalat"/>
          <w:sz w:val="22"/>
          <w:szCs w:val="22"/>
          <w:lang w:val="en-US"/>
        </w:rPr>
        <w:t>նույնատիպ</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հանրակրթական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ծրագրերով</w:t>
      </w:r>
      <w:r w:rsidRPr="001F63BA">
        <w:rPr>
          <w:rFonts w:ascii="GHEA Grapalat" w:hAnsi="GHEA Grapalat"/>
          <w:sz w:val="22"/>
          <w:szCs w:val="22"/>
          <w:lang w:val="af-ZA"/>
        </w:rPr>
        <w:t xml:space="preserve"> </w:t>
      </w:r>
      <w:r w:rsidRPr="001F63BA">
        <w:rPr>
          <w:rFonts w:ascii="GHEA Grapalat" w:hAnsi="GHEA Grapalat"/>
          <w:sz w:val="22"/>
          <w:szCs w:val="22"/>
          <w:lang w:val="en-US"/>
        </w:rPr>
        <w:t>ուսուցանող</w:t>
      </w:r>
      <w:r w:rsidRPr="001F63BA">
        <w:rPr>
          <w:rFonts w:ascii="GHEA Grapalat" w:hAnsi="GHEA Grapalat"/>
          <w:sz w:val="22"/>
          <w:szCs w:val="22"/>
          <w:lang w:val="af-ZA"/>
        </w:rPr>
        <w:t xml:space="preserve"> </w:t>
      </w:r>
      <w:r w:rsidRPr="001F63BA">
        <w:rPr>
          <w:rFonts w:ascii="GHEA Grapalat" w:hAnsi="GHEA Grapalat"/>
          <w:sz w:val="22"/>
          <w:szCs w:val="22"/>
          <w:lang w:val="en-US"/>
        </w:rPr>
        <w:t>դպրոցների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վարժարանի</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աշխատողները։</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Միաժամանակ</w:t>
      </w:r>
      <w:r w:rsidRPr="001F63BA">
        <w:rPr>
          <w:rFonts w:ascii="GHEA Grapalat" w:hAnsi="GHEA Grapalat"/>
          <w:sz w:val="22"/>
          <w:szCs w:val="22"/>
          <w:lang w:val="af-ZA"/>
        </w:rPr>
        <w:t xml:space="preserve">, </w:t>
      </w:r>
      <w:r w:rsidRPr="001F63BA">
        <w:rPr>
          <w:rFonts w:ascii="GHEA Grapalat" w:hAnsi="GHEA Grapalat"/>
          <w:sz w:val="22"/>
          <w:szCs w:val="22"/>
          <w:lang w:val="en-US"/>
        </w:rPr>
        <w:t>կատարված</w:t>
      </w:r>
      <w:r w:rsidRPr="001F63BA">
        <w:rPr>
          <w:rFonts w:ascii="GHEA Grapalat" w:hAnsi="GHEA Grapalat"/>
          <w:sz w:val="22"/>
          <w:szCs w:val="22"/>
          <w:lang w:val="af-ZA"/>
        </w:rPr>
        <w:t xml:space="preserve"> </w:t>
      </w:r>
      <w:r w:rsidRPr="001F63BA">
        <w:rPr>
          <w:rFonts w:ascii="GHEA Grapalat" w:hAnsi="GHEA Grapalat"/>
          <w:sz w:val="22"/>
          <w:szCs w:val="22"/>
          <w:lang w:val="en-US"/>
        </w:rPr>
        <w:t>փոփոխություններով</w:t>
      </w:r>
      <w:r w:rsidRPr="001F63BA">
        <w:rPr>
          <w:rFonts w:ascii="GHEA Grapalat" w:hAnsi="GHEA Grapalat"/>
          <w:sz w:val="22"/>
          <w:szCs w:val="22"/>
          <w:lang w:val="af-ZA"/>
        </w:rPr>
        <w:t xml:space="preserve">, </w:t>
      </w:r>
      <w:r w:rsidRPr="001F63BA">
        <w:rPr>
          <w:rFonts w:ascii="GHEA Grapalat" w:hAnsi="GHEA Grapalat"/>
          <w:sz w:val="22"/>
          <w:szCs w:val="22"/>
          <w:lang w:val="en-US"/>
        </w:rPr>
        <w:t>առավել</w:t>
      </w:r>
      <w:r w:rsidRPr="001F63BA">
        <w:rPr>
          <w:rFonts w:ascii="GHEA Grapalat" w:hAnsi="GHEA Grapalat"/>
          <w:sz w:val="22"/>
          <w:szCs w:val="22"/>
          <w:lang w:val="af-ZA"/>
        </w:rPr>
        <w:t xml:space="preserve"> </w:t>
      </w:r>
      <w:r w:rsidRPr="001F63BA">
        <w:rPr>
          <w:rFonts w:ascii="GHEA Grapalat" w:hAnsi="GHEA Grapalat"/>
          <w:sz w:val="22"/>
          <w:szCs w:val="22"/>
          <w:lang w:val="en-US"/>
        </w:rPr>
        <w:t>հստակեցվել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սոցփաթեթի</w:t>
      </w:r>
      <w:r w:rsidRPr="001F63BA">
        <w:rPr>
          <w:rFonts w:ascii="GHEA Grapalat" w:hAnsi="GHEA Grapalat"/>
          <w:sz w:val="22"/>
          <w:szCs w:val="22"/>
          <w:lang w:val="af-ZA"/>
        </w:rPr>
        <w:t xml:space="preserve"> </w:t>
      </w:r>
      <w:r w:rsidRPr="001F63BA">
        <w:rPr>
          <w:rFonts w:ascii="GHEA Grapalat" w:hAnsi="GHEA Grapalat"/>
          <w:sz w:val="22"/>
          <w:szCs w:val="22"/>
          <w:lang w:val="en-US"/>
        </w:rPr>
        <w:t>հատկացման</w:t>
      </w:r>
      <w:r w:rsidRPr="001F63BA">
        <w:rPr>
          <w:rFonts w:ascii="GHEA Grapalat" w:hAnsi="GHEA Grapalat"/>
          <w:sz w:val="22"/>
          <w:szCs w:val="22"/>
          <w:lang w:val="af-ZA"/>
        </w:rPr>
        <w:t xml:space="preserve"> </w:t>
      </w:r>
      <w:r w:rsidRPr="001F63BA">
        <w:rPr>
          <w:rFonts w:ascii="GHEA Grapalat" w:hAnsi="GHEA Grapalat"/>
          <w:sz w:val="22"/>
          <w:szCs w:val="22"/>
          <w:lang w:val="en-US"/>
        </w:rPr>
        <w:t>կարգը՝</w:t>
      </w:r>
      <w:r w:rsidRPr="001F63BA">
        <w:rPr>
          <w:rFonts w:ascii="GHEA Grapalat" w:hAnsi="GHEA Grapalat"/>
          <w:sz w:val="22"/>
          <w:szCs w:val="22"/>
          <w:lang w:val="af-ZA"/>
        </w:rPr>
        <w:t xml:space="preserve"> </w:t>
      </w:r>
      <w:r w:rsidRPr="001F63BA">
        <w:rPr>
          <w:rFonts w:ascii="GHEA Grapalat" w:hAnsi="GHEA Grapalat"/>
          <w:sz w:val="22"/>
          <w:szCs w:val="22"/>
          <w:lang w:val="en-US"/>
        </w:rPr>
        <w:t>այդպիսով</w:t>
      </w:r>
      <w:r w:rsidRPr="001F63BA">
        <w:rPr>
          <w:rFonts w:ascii="GHEA Grapalat" w:hAnsi="GHEA Grapalat"/>
          <w:sz w:val="22"/>
          <w:szCs w:val="22"/>
          <w:lang w:val="af-ZA"/>
        </w:rPr>
        <w:t xml:space="preserve"> </w:t>
      </w:r>
      <w:r w:rsidRPr="001F63BA">
        <w:rPr>
          <w:rFonts w:ascii="GHEA Grapalat" w:hAnsi="GHEA Grapalat"/>
          <w:sz w:val="22"/>
          <w:szCs w:val="22"/>
          <w:lang w:val="en-US"/>
        </w:rPr>
        <w:t>լուծելով</w:t>
      </w:r>
      <w:r w:rsidRPr="001F63BA">
        <w:rPr>
          <w:rFonts w:ascii="GHEA Grapalat" w:hAnsi="GHEA Grapalat"/>
          <w:sz w:val="22"/>
          <w:szCs w:val="22"/>
          <w:lang w:val="af-ZA"/>
        </w:rPr>
        <w:t xml:space="preserve"> </w:t>
      </w:r>
      <w:r w:rsidRPr="001F63BA">
        <w:rPr>
          <w:rFonts w:ascii="GHEA Grapalat" w:hAnsi="GHEA Grapalat"/>
          <w:sz w:val="22"/>
          <w:szCs w:val="22"/>
          <w:lang w:val="en-US"/>
        </w:rPr>
        <w:t>իրավակիրառ</w:t>
      </w:r>
      <w:r w:rsidRPr="001F63BA">
        <w:rPr>
          <w:rFonts w:ascii="GHEA Grapalat" w:hAnsi="GHEA Grapalat"/>
          <w:sz w:val="22"/>
          <w:szCs w:val="22"/>
          <w:lang w:val="af-ZA"/>
        </w:rPr>
        <w:t xml:space="preserve"> </w:t>
      </w:r>
      <w:r w:rsidRPr="001F63BA">
        <w:rPr>
          <w:rFonts w:ascii="GHEA Grapalat" w:hAnsi="GHEA Grapalat"/>
          <w:sz w:val="22"/>
          <w:szCs w:val="22"/>
          <w:lang w:val="en-US"/>
        </w:rPr>
        <w:t>պրակտիկայում</w:t>
      </w:r>
      <w:r w:rsidRPr="001F63BA">
        <w:rPr>
          <w:rFonts w:ascii="GHEA Grapalat" w:hAnsi="GHEA Grapalat"/>
          <w:sz w:val="22"/>
          <w:szCs w:val="22"/>
          <w:lang w:val="af-ZA"/>
        </w:rPr>
        <w:t xml:space="preserve"> </w:t>
      </w:r>
      <w:r w:rsidRPr="001F63BA">
        <w:rPr>
          <w:rFonts w:ascii="GHEA Grapalat" w:hAnsi="GHEA Grapalat"/>
          <w:sz w:val="22"/>
          <w:szCs w:val="22"/>
          <w:lang w:val="en-US"/>
        </w:rPr>
        <w:t>ի</w:t>
      </w:r>
      <w:r w:rsidRPr="001F63BA">
        <w:rPr>
          <w:rFonts w:ascii="GHEA Grapalat" w:hAnsi="GHEA Grapalat"/>
          <w:sz w:val="22"/>
          <w:szCs w:val="22"/>
          <w:lang w:val="af-ZA"/>
        </w:rPr>
        <w:t xml:space="preserve"> </w:t>
      </w:r>
      <w:r w:rsidRPr="001F63BA">
        <w:rPr>
          <w:rFonts w:ascii="GHEA Grapalat" w:hAnsi="GHEA Grapalat"/>
          <w:sz w:val="22"/>
          <w:szCs w:val="22"/>
          <w:lang w:val="en-US"/>
        </w:rPr>
        <w:t>հայտ</w:t>
      </w:r>
      <w:r w:rsidRPr="001F63BA">
        <w:rPr>
          <w:rFonts w:ascii="GHEA Grapalat" w:hAnsi="GHEA Grapalat"/>
          <w:sz w:val="22"/>
          <w:szCs w:val="22"/>
          <w:lang w:val="af-ZA"/>
        </w:rPr>
        <w:t xml:space="preserve"> </w:t>
      </w:r>
      <w:r w:rsidRPr="001F63BA">
        <w:rPr>
          <w:rFonts w:ascii="GHEA Grapalat" w:hAnsi="GHEA Grapalat"/>
          <w:sz w:val="22"/>
          <w:szCs w:val="22"/>
          <w:lang w:val="en-US"/>
        </w:rPr>
        <w:t>եկած</w:t>
      </w:r>
      <w:r w:rsidRPr="001F63BA">
        <w:rPr>
          <w:rFonts w:ascii="GHEA Grapalat" w:hAnsi="GHEA Grapalat"/>
          <w:sz w:val="22"/>
          <w:szCs w:val="22"/>
          <w:lang w:val="af-ZA"/>
        </w:rPr>
        <w:t xml:space="preserve"> </w:t>
      </w:r>
      <w:r w:rsidRPr="001F63BA">
        <w:rPr>
          <w:rFonts w:ascii="GHEA Grapalat" w:hAnsi="GHEA Grapalat"/>
          <w:sz w:val="22"/>
          <w:szCs w:val="22"/>
          <w:lang w:val="en-US"/>
        </w:rPr>
        <w:t>մի</w:t>
      </w:r>
      <w:r w:rsidRPr="001F63BA">
        <w:rPr>
          <w:rFonts w:ascii="GHEA Grapalat" w:hAnsi="GHEA Grapalat"/>
          <w:sz w:val="22"/>
          <w:szCs w:val="22"/>
          <w:lang w:val="af-ZA"/>
        </w:rPr>
        <w:t xml:space="preserve"> </w:t>
      </w:r>
      <w:r w:rsidRPr="001F63BA">
        <w:rPr>
          <w:rFonts w:ascii="GHEA Grapalat" w:hAnsi="GHEA Grapalat"/>
          <w:sz w:val="22"/>
          <w:szCs w:val="22"/>
          <w:lang w:val="en-US"/>
        </w:rPr>
        <w:t>շարք</w:t>
      </w:r>
      <w:r w:rsidRPr="001F63BA">
        <w:rPr>
          <w:rFonts w:ascii="GHEA Grapalat" w:hAnsi="GHEA Grapalat"/>
          <w:sz w:val="22"/>
          <w:szCs w:val="22"/>
          <w:lang w:val="af-ZA"/>
        </w:rPr>
        <w:t xml:space="preserve"> </w:t>
      </w:r>
      <w:r w:rsidRPr="001F63BA">
        <w:rPr>
          <w:rFonts w:ascii="GHEA Grapalat" w:hAnsi="GHEA Grapalat"/>
          <w:sz w:val="22"/>
          <w:szCs w:val="22"/>
          <w:lang w:val="en-US"/>
        </w:rPr>
        <w:t>խնդիրներ։</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Արդյունքում</w:t>
      </w:r>
      <w:r w:rsidRPr="001F63BA">
        <w:rPr>
          <w:rFonts w:ascii="GHEA Grapalat" w:hAnsi="GHEA Grapalat"/>
          <w:sz w:val="22"/>
          <w:szCs w:val="22"/>
          <w:lang w:val="af-ZA"/>
        </w:rPr>
        <w:t xml:space="preserve"> </w:t>
      </w:r>
      <w:r w:rsidRPr="001F63BA">
        <w:rPr>
          <w:rFonts w:ascii="GHEA Grapalat" w:hAnsi="GHEA Grapalat"/>
          <w:sz w:val="22"/>
          <w:szCs w:val="22"/>
          <w:lang w:val="en-US"/>
        </w:rPr>
        <w:t>սոցփաթեթի</w:t>
      </w:r>
      <w:r w:rsidRPr="001F63BA">
        <w:rPr>
          <w:rFonts w:ascii="GHEA Grapalat" w:hAnsi="GHEA Grapalat"/>
          <w:sz w:val="22"/>
          <w:szCs w:val="22"/>
          <w:lang w:val="af-ZA"/>
        </w:rPr>
        <w:t xml:space="preserve"> </w:t>
      </w:r>
      <w:r w:rsidRPr="001F63BA">
        <w:rPr>
          <w:rFonts w:ascii="GHEA Grapalat" w:hAnsi="GHEA Grapalat"/>
          <w:sz w:val="22"/>
          <w:szCs w:val="22"/>
          <w:lang w:val="en-US"/>
        </w:rPr>
        <w:t>շահառուների</w:t>
      </w:r>
      <w:r w:rsidRPr="001F63BA">
        <w:rPr>
          <w:rFonts w:ascii="GHEA Grapalat" w:hAnsi="GHEA Grapalat"/>
          <w:sz w:val="22"/>
          <w:szCs w:val="22"/>
          <w:lang w:val="af-ZA"/>
        </w:rPr>
        <w:t xml:space="preserve"> </w:t>
      </w:r>
      <w:r w:rsidRPr="001F63BA">
        <w:rPr>
          <w:rFonts w:ascii="GHEA Grapalat" w:hAnsi="GHEA Grapalat"/>
          <w:sz w:val="22"/>
          <w:szCs w:val="22"/>
          <w:lang w:val="en-US"/>
        </w:rPr>
        <w:t>ցանկն</w:t>
      </w:r>
      <w:r w:rsidRPr="001F63BA">
        <w:rPr>
          <w:rFonts w:ascii="GHEA Grapalat" w:hAnsi="GHEA Grapalat"/>
          <w:sz w:val="22"/>
          <w:szCs w:val="22"/>
          <w:lang w:val="af-ZA"/>
        </w:rPr>
        <w:t xml:space="preserve"> </w:t>
      </w:r>
      <w:r w:rsidRPr="001F63BA">
        <w:rPr>
          <w:rFonts w:ascii="GHEA Grapalat" w:hAnsi="GHEA Grapalat"/>
          <w:sz w:val="22"/>
          <w:szCs w:val="22"/>
          <w:lang w:val="en-US"/>
        </w:rPr>
        <w:t>ընդլայնվել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538 </w:t>
      </w:r>
      <w:r w:rsidRPr="001F63BA">
        <w:rPr>
          <w:rFonts w:ascii="GHEA Grapalat" w:hAnsi="GHEA Grapalat"/>
          <w:sz w:val="22"/>
          <w:szCs w:val="22"/>
          <w:lang w:val="en-US"/>
        </w:rPr>
        <w:t>շահառուով</w:t>
      </w:r>
      <w:r w:rsidRPr="001F63BA">
        <w:rPr>
          <w:rFonts w:ascii="GHEA Grapalat" w:hAnsi="GHEA Grapalat"/>
          <w:sz w:val="22"/>
          <w:szCs w:val="22"/>
          <w:lang w:val="af-ZA"/>
        </w:rPr>
        <w:t>:</w:t>
      </w:r>
    </w:p>
    <w:p w:rsidR="001C411D" w:rsidRPr="001F63BA" w:rsidRDefault="001C411D" w:rsidP="008A5E8A">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lastRenderedPageBreak/>
        <w:t xml:space="preserve">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ՄՍԾ</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տարածքային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միջնորդությամբ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աշխատանքի</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տեղավորվել</w:t>
      </w:r>
      <w:r w:rsidRPr="001F63BA">
        <w:rPr>
          <w:rFonts w:ascii="GHEA Grapalat" w:hAnsi="GHEA Grapalat"/>
          <w:sz w:val="22"/>
          <w:szCs w:val="22"/>
          <w:lang w:val="af-ZA"/>
        </w:rPr>
        <w:t xml:space="preserve"> 10362 </w:t>
      </w:r>
      <w:r w:rsidRPr="001F63BA">
        <w:rPr>
          <w:rFonts w:ascii="GHEA Grapalat" w:hAnsi="GHEA Grapalat"/>
          <w:sz w:val="22"/>
          <w:szCs w:val="22"/>
          <w:lang w:val="en-US"/>
        </w:rPr>
        <w:t>անձ</w:t>
      </w:r>
      <w:r w:rsidRPr="001F63BA">
        <w:rPr>
          <w:rFonts w:ascii="GHEA Grapalat" w:hAnsi="GHEA Grapalat"/>
          <w:sz w:val="22"/>
          <w:szCs w:val="22"/>
          <w:lang w:val="af-ZA"/>
        </w:rPr>
        <w:t xml:space="preserve">: </w:t>
      </w:r>
      <w:r w:rsidRPr="001F63BA">
        <w:rPr>
          <w:rFonts w:ascii="GHEA Grapalat" w:hAnsi="GHEA Grapalat"/>
          <w:sz w:val="22"/>
          <w:szCs w:val="22"/>
          <w:lang w:val="en-US"/>
        </w:rPr>
        <w:t>Զբաղվածության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w:t>
      </w:r>
      <w:r w:rsidRPr="001F63BA">
        <w:rPr>
          <w:rFonts w:ascii="GHEA Grapalat" w:hAnsi="GHEA Grapalat"/>
          <w:sz w:val="22"/>
          <w:szCs w:val="22"/>
          <w:lang w:val="af-ZA"/>
        </w:rPr>
        <w:t xml:space="preserve"> </w:t>
      </w:r>
      <w:r w:rsidRPr="001F63BA">
        <w:rPr>
          <w:rFonts w:ascii="GHEA Grapalat" w:hAnsi="GHEA Grapalat"/>
          <w:sz w:val="22"/>
          <w:szCs w:val="22"/>
          <w:lang w:val="en-US"/>
        </w:rPr>
        <w:t>բոլոր</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ծրագրերում</w:t>
      </w:r>
      <w:r w:rsidRPr="001F63BA">
        <w:rPr>
          <w:rFonts w:ascii="GHEA Grapalat" w:hAnsi="GHEA Grapalat"/>
          <w:sz w:val="22"/>
          <w:szCs w:val="22"/>
          <w:lang w:val="af-ZA"/>
        </w:rPr>
        <w:t xml:space="preserve"> </w:t>
      </w:r>
      <w:r w:rsidRPr="001F63BA">
        <w:rPr>
          <w:rFonts w:ascii="GHEA Grapalat" w:hAnsi="GHEA Grapalat"/>
          <w:sz w:val="22"/>
          <w:szCs w:val="22"/>
          <w:lang w:val="en-US"/>
        </w:rPr>
        <w:t>ընդգրկել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1792 </w:t>
      </w:r>
      <w:r w:rsidRPr="001F63BA">
        <w:rPr>
          <w:rFonts w:ascii="GHEA Grapalat" w:hAnsi="GHEA Grapalat"/>
          <w:sz w:val="22"/>
          <w:szCs w:val="22"/>
          <w:lang w:val="en-US"/>
        </w:rPr>
        <w:t>շահառու</w:t>
      </w:r>
      <w:r w:rsidRPr="001F63BA">
        <w:rPr>
          <w:rFonts w:ascii="GHEA Grapalat" w:hAnsi="GHEA Grapalat"/>
          <w:sz w:val="22"/>
          <w:szCs w:val="22"/>
          <w:lang w:val="af-ZA"/>
        </w:rPr>
        <w:t xml:space="preserve">, </w:t>
      </w:r>
      <w:r w:rsidRPr="001F63BA">
        <w:rPr>
          <w:rFonts w:ascii="GHEA Grapalat" w:hAnsi="GHEA Grapalat"/>
          <w:sz w:val="22"/>
          <w:szCs w:val="22"/>
          <w:lang w:val="en-US"/>
        </w:rPr>
        <w:t>ընդ</w:t>
      </w:r>
      <w:r w:rsidRPr="001F63BA">
        <w:rPr>
          <w:rFonts w:ascii="GHEA Grapalat" w:hAnsi="GHEA Grapalat"/>
          <w:sz w:val="22"/>
          <w:szCs w:val="22"/>
          <w:lang w:val="af-ZA"/>
        </w:rPr>
        <w:t xml:space="preserve"> </w:t>
      </w:r>
      <w:r w:rsidRPr="001F63BA">
        <w:rPr>
          <w:rFonts w:ascii="GHEA Grapalat" w:hAnsi="GHEA Grapalat"/>
          <w:sz w:val="22"/>
          <w:szCs w:val="22"/>
          <w:lang w:val="en-US"/>
        </w:rPr>
        <w:t>որում</w:t>
      </w:r>
      <w:r w:rsidRPr="001F63BA">
        <w:rPr>
          <w:rFonts w:ascii="GHEA Grapalat" w:hAnsi="GHEA Grapalat"/>
          <w:sz w:val="22"/>
          <w:szCs w:val="22"/>
          <w:lang w:val="af-ZA"/>
        </w:rPr>
        <w:t>, 1178–</w:t>
      </w:r>
      <w:r w:rsidRPr="001F63BA">
        <w:rPr>
          <w:rFonts w:ascii="GHEA Grapalat" w:hAnsi="GHEA Grapalat"/>
          <w:sz w:val="22"/>
          <w:szCs w:val="22"/>
          <w:lang w:val="en-US"/>
        </w:rPr>
        <w:t>ը</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ժամանակավոր</w:t>
      </w:r>
      <w:r w:rsidRPr="001F63BA">
        <w:rPr>
          <w:rFonts w:ascii="GHEA Grapalat" w:hAnsi="GHEA Grapalat"/>
          <w:sz w:val="22"/>
          <w:szCs w:val="22"/>
          <w:lang w:val="af-ZA"/>
        </w:rPr>
        <w:t xml:space="preserve"> </w:t>
      </w:r>
      <w:r w:rsidRPr="001F63BA">
        <w:rPr>
          <w:rFonts w:ascii="GHEA Grapalat" w:hAnsi="GHEA Grapalat"/>
          <w:sz w:val="22"/>
          <w:szCs w:val="22"/>
          <w:lang w:val="en-US"/>
        </w:rPr>
        <w:t>բնույթ</w:t>
      </w:r>
      <w:r w:rsidRPr="001F63BA">
        <w:rPr>
          <w:rFonts w:ascii="GHEA Grapalat" w:hAnsi="GHEA Grapalat"/>
          <w:sz w:val="22"/>
          <w:szCs w:val="22"/>
          <w:lang w:val="af-ZA"/>
        </w:rPr>
        <w:t xml:space="preserve"> </w:t>
      </w:r>
      <w:r w:rsidRPr="001F63BA">
        <w:rPr>
          <w:rFonts w:ascii="GHEA Grapalat" w:hAnsi="GHEA Grapalat"/>
          <w:sz w:val="22"/>
          <w:szCs w:val="22"/>
          <w:lang w:val="en-US"/>
        </w:rPr>
        <w:t>ունեցող՝</w:t>
      </w:r>
      <w:r w:rsidRPr="001F63BA">
        <w:rPr>
          <w:rFonts w:ascii="GHEA Grapalat" w:hAnsi="GHEA Grapalat"/>
          <w:sz w:val="22"/>
          <w:szCs w:val="22"/>
          <w:lang w:val="af-ZA"/>
        </w:rPr>
        <w:t xml:space="preserve"> </w:t>
      </w:r>
      <w:r w:rsidRPr="001F63BA">
        <w:rPr>
          <w:rFonts w:ascii="GHEA Grapalat" w:hAnsi="GHEA Grapalat"/>
          <w:sz w:val="22"/>
          <w:szCs w:val="22"/>
          <w:lang w:val="en-US"/>
        </w:rPr>
        <w:t>սեզոնային</w:t>
      </w:r>
      <w:r w:rsidRPr="001F63BA">
        <w:rPr>
          <w:rFonts w:ascii="GHEA Grapalat" w:hAnsi="GHEA Grapalat"/>
          <w:sz w:val="22"/>
          <w:szCs w:val="22"/>
          <w:lang w:val="af-ZA"/>
        </w:rPr>
        <w:t xml:space="preserve"> </w:t>
      </w:r>
      <w:r w:rsidRPr="001F63BA">
        <w:rPr>
          <w:rFonts w:ascii="GHEA Grapalat" w:hAnsi="GHEA Grapalat"/>
          <w:sz w:val="22"/>
          <w:szCs w:val="22"/>
          <w:lang w:val="en-US"/>
        </w:rPr>
        <w:t>գյուղատնտեսական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աշխատանքներում</w:t>
      </w:r>
      <w:r w:rsidRPr="001F63BA">
        <w:rPr>
          <w:rFonts w:ascii="GHEA Grapalat" w:hAnsi="GHEA Grapalat"/>
          <w:sz w:val="22"/>
          <w:szCs w:val="22"/>
          <w:lang w:val="af-ZA"/>
        </w:rPr>
        <w:t xml:space="preserve">: 2022 </w:t>
      </w:r>
      <w:r w:rsidRPr="001F63BA">
        <w:rPr>
          <w:rFonts w:ascii="GHEA Grapalat" w:hAnsi="GHEA Grapalat"/>
          <w:sz w:val="22"/>
          <w:szCs w:val="22"/>
          <w:lang w:val="en-US"/>
        </w:rPr>
        <w:t>թ</w:t>
      </w:r>
      <w:r w:rsidRPr="001F63BA">
        <w:rPr>
          <w:rFonts w:ascii="GHEA Grapalat" w:hAnsi="GHEA Grapalat"/>
          <w:sz w:val="22"/>
          <w:szCs w:val="22"/>
          <w:lang w:val="af-ZA"/>
        </w:rPr>
        <w:t xml:space="preserve">վականին </w:t>
      </w:r>
      <w:r w:rsidRPr="001F63BA">
        <w:rPr>
          <w:rFonts w:ascii="GHEA Grapalat" w:hAnsi="GHEA Grapalat"/>
          <w:sz w:val="22"/>
          <w:szCs w:val="22"/>
          <w:lang w:val="en-US"/>
        </w:rPr>
        <w:t>զբաղվածության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ապահովման</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ծրագրերում</w:t>
      </w:r>
      <w:r w:rsidRPr="001F63BA">
        <w:rPr>
          <w:rFonts w:ascii="GHEA Grapalat" w:hAnsi="GHEA Grapalat"/>
          <w:sz w:val="22"/>
          <w:szCs w:val="22"/>
          <w:lang w:val="af-ZA"/>
        </w:rPr>
        <w:t xml:space="preserve"> </w:t>
      </w:r>
      <w:r w:rsidRPr="001F63BA">
        <w:rPr>
          <w:rFonts w:ascii="GHEA Grapalat" w:hAnsi="GHEA Grapalat"/>
          <w:sz w:val="22"/>
          <w:szCs w:val="22"/>
          <w:lang w:val="en-US"/>
        </w:rPr>
        <w:t>ընդգրկվել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Ադրբեջանի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2016 </w:t>
      </w:r>
      <w:r w:rsidRPr="001F63BA">
        <w:rPr>
          <w:rFonts w:ascii="GHEA Grapalat" w:hAnsi="GHEA Grapalat"/>
          <w:sz w:val="22"/>
          <w:szCs w:val="22"/>
          <w:lang w:val="en-US"/>
        </w:rPr>
        <w:t>և</w:t>
      </w:r>
      <w:r w:rsidRPr="001F63BA">
        <w:rPr>
          <w:rFonts w:ascii="GHEA Grapalat" w:hAnsi="GHEA Grapalat"/>
          <w:sz w:val="22"/>
          <w:szCs w:val="22"/>
          <w:lang w:val="af-ZA"/>
        </w:rPr>
        <w:t xml:space="preserve"> 2020 </w:t>
      </w:r>
      <w:r w:rsidRPr="001F63BA">
        <w:rPr>
          <w:rFonts w:ascii="GHEA Grapalat" w:hAnsi="GHEA Grapalat"/>
          <w:sz w:val="22"/>
          <w:szCs w:val="22"/>
          <w:lang w:val="en-US"/>
        </w:rPr>
        <w:t>թվականներին</w:t>
      </w:r>
      <w:r w:rsidRPr="001F63BA">
        <w:rPr>
          <w:rFonts w:ascii="GHEA Grapalat" w:hAnsi="GHEA Grapalat"/>
          <w:sz w:val="22"/>
          <w:szCs w:val="22"/>
          <w:lang w:val="af-ZA"/>
        </w:rPr>
        <w:t xml:space="preserve"> </w:t>
      </w:r>
      <w:r w:rsidRPr="001F63BA">
        <w:rPr>
          <w:rFonts w:ascii="GHEA Grapalat" w:hAnsi="GHEA Grapalat"/>
          <w:sz w:val="22"/>
          <w:szCs w:val="22"/>
          <w:lang w:val="en-US"/>
        </w:rPr>
        <w:t>սանձազերծված</w:t>
      </w:r>
      <w:r w:rsidRPr="001F63BA">
        <w:rPr>
          <w:rFonts w:ascii="GHEA Grapalat" w:hAnsi="GHEA Grapalat"/>
          <w:sz w:val="22"/>
          <w:szCs w:val="22"/>
          <w:lang w:val="af-ZA"/>
        </w:rPr>
        <w:t xml:space="preserve"> </w:t>
      </w:r>
      <w:r w:rsidRPr="001F63BA">
        <w:rPr>
          <w:rFonts w:ascii="GHEA Grapalat" w:hAnsi="GHEA Grapalat"/>
          <w:sz w:val="22"/>
          <w:szCs w:val="22"/>
          <w:lang w:val="en-US"/>
        </w:rPr>
        <w:t>ռազմական</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գործողություններին</w:t>
      </w:r>
      <w:r w:rsidRPr="001F63BA">
        <w:rPr>
          <w:rFonts w:ascii="GHEA Grapalat" w:hAnsi="GHEA Grapalat"/>
          <w:sz w:val="22"/>
          <w:szCs w:val="22"/>
          <w:lang w:val="af-ZA"/>
        </w:rPr>
        <w:t xml:space="preserve"> </w:t>
      </w:r>
      <w:r w:rsidRPr="001F63BA">
        <w:rPr>
          <w:rFonts w:ascii="GHEA Grapalat" w:hAnsi="GHEA Grapalat"/>
          <w:sz w:val="22"/>
          <w:szCs w:val="22"/>
          <w:lang w:val="en-US"/>
        </w:rPr>
        <w:t>մասնակցած</w:t>
      </w:r>
      <w:r w:rsidRPr="001F63BA">
        <w:rPr>
          <w:rFonts w:ascii="GHEA Grapalat" w:hAnsi="GHEA Grapalat"/>
          <w:sz w:val="22"/>
          <w:szCs w:val="22"/>
          <w:lang w:val="af-ZA"/>
        </w:rPr>
        <w:t xml:space="preserve"> </w:t>
      </w:r>
      <w:r w:rsidRPr="001F63BA">
        <w:rPr>
          <w:rFonts w:ascii="GHEA Grapalat" w:hAnsi="GHEA Grapalat"/>
          <w:sz w:val="22"/>
          <w:szCs w:val="22"/>
          <w:lang w:val="en-US"/>
        </w:rPr>
        <w:t>թվով</w:t>
      </w:r>
      <w:r w:rsidRPr="001F63BA">
        <w:rPr>
          <w:rFonts w:ascii="GHEA Grapalat" w:hAnsi="GHEA Grapalat"/>
          <w:sz w:val="22"/>
          <w:szCs w:val="22"/>
          <w:lang w:val="af-ZA"/>
        </w:rPr>
        <w:t xml:space="preserve"> 276 </w:t>
      </w:r>
      <w:r w:rsidRPr="001F63BA">
        <w:rPr>
          <w:rFonts w:ascii="GHEA Grapalat" w:hAnsi="GHEA Grapalat"/>
          <w:sz w:val="22"/>
          <w:szCs w:val="22"/>
          <w:lang w:val="en-US"/>
        </w:rPr>
        <w:t>գործազուրկ</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աշխատանքային</w:t>
      </w:r>
      <w:r w:rsidRPr="001F63BA">
        <w:rPr>
          <w:rFonts w:ascii="GHEA Grapalat" w:hAnsi="GHEA Grapalat"/>
          <w:sz w:val="22"/>
          <w:szCs w:val="22"/>
          <w:lang w:val="af-ZA"/>
        </w:rPr>
        <w:t xml:space="preserve"> </w:t>
      </w:r>
      <w:r w:rsidRPr="001F63BA">
        <w:rPr>
          <w:rFonts w:ascii="GHEA Grapalat" w:hAnsi="GHEA Grapalat"/>
          <w:sz w:val="22"/>
          <w:szCs w:val="22"/>
          <w:lang w:val="en-US"/>
        </w:rPr>
        <w:t>փորձի</w:t>
      </w:r>
      <w:r w:rsidRPr="001F63BA">
        <w:rPr>
          <w:rFonts w:ascii="GHEA Grapalat" w:hAnsi="GHEA Grapalat"/>
          <w:sz w:val="22"/>
          <w:szCs w:val="22"/>
          <w:lang w:val="af-ZA"/>
        </w:rPr>
        <w:t xml:space="preserve"> </w:t>
      </w:r>
      <w:r w:rsidRPr="001F63BA">
        <w:rPr>
          <w:rFonts w:ascii="GHEA Grapalat" w:hAnsi="GHEA Grapalat"/>
          <w:sz w:val="22"/>
          <w:szCs w:val="22"/>
          <w:lang w:val="en-US"/>
        </w:rPr>
        <w:t>ձեռքբերման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ծրագրերում</w:t>
      </w:r>
      <w:r w:rsidRPr="001F63BA">
        <w:rPr>
          <w:rFonts w:ascii="GHEA Grapalat" w:hAnsi="GHEA Grapalat"/>
          <w:sz w:val="22"/>
          <w:szCs w:val="22"/>
          <w:lang w:val="af-ZA"/>
        </w:rPr>
        <w:t xml:space="preserve"> </w:t>
      </w:r>
      <w:r w:rsidRPr="001F63BA">
        <w:rPr>
          <w:rFonts w:ascii="GHEA Grapalat" w:hAnsi="GHEA Grapalat"/>
          <w:sz w:val="22"/>
          <w:szCs w:val="22"/>
          <w:lang w:val="en-US"/>
        </w:rPr>
        <w:t>ընդգրկվել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Ադրբեջանի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2020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սեպտեմբերի</w:t>
      </w:r>
      <w:r w:rsidRPr="001F63BA">
        <w:rPr>
          <w:rFonts w:ascii="GHEA Grapalat" w:hAnsi="GHEA Grapalat"/>
          <w:sz w:val="22"/>
          <w:szCs w:val="22"/>
          <w:lang w:val="af-ZA"/>
        </w:rPr>
        <w:t xml:space="preserve"> 27-</w:t>
      </w:r>
      <w:r w:rsidRPr="001F63BA">
        <w:rPr>
          <w:rFonts w:ascii="GHEA Grapalat" w:hAnsi="GHEA Grapalat"/>
          <w:sz w:val="22"/>
          <w:szCs w:val="22"/>
          <w:lang w:val="en-US"/>
        </w:rPr>
        <w:t>ին</w:t>
      </w:r>
      <w:r w:rsidRPr="001F63BA">
        <w:rPr>
          <w:rFonts w:ascii="GHEA Grapalat" w:hAnsi="GHEA Grapalat"/>
          <w:sz w:val="22"/>
          <w:szCs w:val="22"/>
          <w:lang w:val="af-ZA"/>
        </w:rPr>
        <w:t xml:space="preserve"> </w:t>
      </w:r>
      <w:r w:rsidRPr="001F63BA">
        <w:rPr>
          <w:rFonts w:ascii="GHEA Grapalat" w:hAnsi="GHEA Grapalat"/>
          <w:sz w:val="22"/>
          <w:szCs w:val="22"/>
          <w:lang w:val="en-US"/>
        </w:rPr>
        <w:t>սանձազերծված</w:t>
      </w:r>
      <w:r w:rsidRPr="001F63BA">
        <w:rPr>
          <w:rFonts w:ascii="GHEA Grapalat" w:hAnsi="GHEA Grapalat"/>
          <w:sz w:val="22"/>
          <w:szCs w:val="22"/>
          <w:lang w:val="af-ZA"/>
        </w:rPr>
        <w:t xml:space="preserve"> </w:t>
      </w:r>
      <w:r w:rsidRPr="001F63BA">
        <w:rPr>
          <w:rFonts w:ascii="GHEA Grapalat" w:hAnsi="GHEA Grapalat"/>
          <w:sz w:val="22"/>
          <w:szCs w:val="22"/>
          <w:lang w:val="en-US"/>
        </w:rPr>
        <w:t>պատերազմի</w:t>
      </w:r>
      <w:r w:rsidRPr="001F63BA">
        <w:rPr>
          <w:rFonts w:ascii="GHEA Grapalat" w:hAnsi="GHEA Grapalat"/>
          <w:sz w:val="22"/>
          <w:szCs w:val="22"/>
          <w:lang w:val="af-ZA"/>
        </w:rPr>
        <w:t xml:space="preserve"> </w:t>
      </w:r>
      <w:r w:rsidRPr="001F63BA">
        <w:rPr>
          <w:rFonts w:ascii="GHEA Grapalat" w:hAnsi="GHEA Grapalat"/>
          <w:sz w:val="22"/>
          <w:szCs w:val="22"/>
          <w:lang w:val="en-US"/>
        </w:rPr>
        <w:t>հետևանքով</w:t>
      </w:r>
      <w:r w:rsidRPr="001F63BA">
        <w:rPr>
          <w:rFonts w:ascii="GHEA Grapalat" w:hAnsi="GHEA Grapalat"/>
          <w:sz w:val="22"/>
          <w:szCs w:val="22"/>
          <w:lang w:val="af-ZA"/>
        </w:rPr>
        <w:t xml:space="preserve"> </w:t>
      </w:r>
      <w:r w:rsidRPr="001F63BA">
        <w:rPr>
          <w:rFonts w:ascii="GHEA Grapalat" w:hAnsi="GHEA Grapalat"/>
          <w:sz w:val="22"/>
          <w:szCs w:val="22"/>
          <w:lang w:val="en-US"/>
        </w:rPr>
        <w:t>տեղահանված</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փաստացի</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w:t>
      </w:r>
      <w:r w:rsidRPr="001F63BA">
        <w:rPr>
          <w:rFonts w:ascii="GHEA Grapalat" w:hAnsi="GHEA Grapalat"/>
          <w:sz w:val="22"/>
          <w:szCs w:val="22"/>
          <w:lang w:val="en-US"/>
        </w:rPr>
        <w:t>ում</w:t>
      </w:r>
      <w:r w:rsidRPr="001F63BA">
        <w:rPr>
          <w:rFonts w:ascii="GHEA Grapalat" w:hAnsi="GHEA Grapalat"/>
          <w:sz w:val="22"/>
          <w:szCs w:val="22"/>
          <w:lang w:val="af-ZA"/>
        </w:rPr>
        <w:t xml:space="preserve"> </w:t>
      </w:r>
      <w:r w:rsidRPr="001F63BA">
        <w:rPr>
          <w:rFonts w:ascii="GHEA Grapalat" w:hAnsi="GHEA Grapalat"/>
          <w:sz w:val="22"/>
          <w:szCs w:val="22"/>
          <w:lang w:val="en-US"/>
        </w:rPr>
        <w:t>գտնվող</w:t>
      </w:r>
      <w:r w:rsidRPr="001F63BA">
        <w:rPr>
          <w:rFonts w:ascii="GHEA Grapalat" w:hAnsi="GHEA Grapalat"/>
          <w:sz w:val="22"/>
          <w:szCs w:val="22"/>
          <w:lang w:val="af-ZA"/>
        </w:rPr>
        <w:t xml:space="preserve"> </w:t>
      </w:r>
      <w:r w:rsidRPr="001F63BA">
        <w:rPr>
          <w:rFonts w:ascii="GHEA Grapalat" w:hAnsi="GHEA Grapalat"/>
          <w:sz w:val="22"/>
          <w:szCs w:val="22"/>
          <w:lang w:val="en-US"/>
        </w:rPr>
        <w:t>Արցախի</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թվով</w:t>
      </w:r>
      <w:r w:rsidRPr="001F63BA">
        <w:rPr>
          <w:rFonts w:ascii="GHEA Grapalat" w:hAnsi="GHEA Grapalat"/>
          <w:sz w:val="22"/>
          <w:szCs w:val="22"/>
          <w:lang w:val="af-ZA"/>
        </w:rPr>
        <w:t xml:space="preserve"> 315 </w:t>
      </w:r>
      <w:r w:rsidRPr="001F63BA">
        <w:rPr>
          <w:rFonts w:ascii="GHEA Grapalat" w:hAnsi="GHEA Grapalat"/>
          <w:sz w:val="22"/>
          <w:szCs w:val="22"/>
          <w:lang w:val="en-US"/>
        </w:rPr>
        <w:t>գործազուրկ։</w:t>
      </w:r>
    </w:p>
    <w:p w:rsidR="001C411D" w:rsidRPr="001F63BA" w:rsidRDefault="001C411D" w:rsidP="008A5E8A">
      <w:pPr>
        <w:spacing w:line="360" w:lineRule="auto"/>
        <w:ind w:firstLine="567"/>
        <w:jc w:val="both"/>
        <w:rPr>
          <w:rFonts w:ascii="GHEA Grapalat" w:hAnsi="GHEA Grapalat"/>
          <w:sz w:val="22"/>
          <w:szCs w:val="22"/>
          <w:lang w:val="af-ZA"/>
        </w:rPr>
      </w:pPr>
    </w:p>
    <w:p w:rsidR="001C411D" w:rsidRPr="001F63BA" w:rsidRDefault="001C411D" w:rsidP="008A5E8A">
      <w:pPr>
        <w:spacing w:line="360" w:lineRule="auto"/>
        <w:ind w:firstLine="567"/>
        <w:jc w:val="both"/>
        <w:rPr>
          <w:rFonts w:ascii="GHEA Grapalat" w:hAnsi="GHEA Grapalat"/>
          <w:sz w:val="22"/>
          <w:szCs w:val="22"/>
          <w:u w:val="single"/>
          <w:lang w:val="af-ZA"/>
        </w:rPr>
      </w:pPr>
      <w:r w:rsidRPr="001F63BA">
        <w:rPr>
          <w:rFonts w:ascii="GHEA Grapalat" w:hAnsi="GHEA Grapalat"/>
          <w:sz w:val="22"/>
          <w:szCs w:val="22"/>
          <w:u w:val="single"/>
          <w:lang w:val="en-US"/>
        </w:rPr>
        <w:t>Սոցիալական</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աջակցություն</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անաշխատունակության</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դեպքում</w:t>
      </w:r>
    </w:p>
    <w:p w:rsidR="001C411D" w:rsidRPr="001F63BA" w:rsidRDefault="001C411D" w:rsidP="002C0C00">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բյուջեի</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հաշվին</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մայրության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նպաստների</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տրամադրումը</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չաշխատող</w:t>
      </w:r>
      <w:r w:rsidRPr="001F63BA">
        <w:rPr>
          <w:rFonts w:ascii="GHEA Grapalat" w:hAnsi="GHEA Grapalat"/>
          <w:sz w:val="22"/>
          <w:szCs w:val="22"/>
          <w:lang w:val="af-ZA"/>
        </w:rPr>
        <w:t xml:space="preserve"> </w:t>
      </w:r>
      <w:r w:rsidRPr="001F63BA">
        <w:rPr>
          <w:rFonts w:ascii="GHEA Grapalat" w:hAnsi="GHEA Grapalat"/>
          <w:sz w:val="22"/>
          <w:szCs w:val="22"/>
          <w:lang w:val="en-US"/>
        </w:rPr>
        <w:t>կանանց։</w:t>
      </w:r>
      <w:r w:rsidRPr="001F63BA">
        <w:rPr>
          <w:rFonts w:ascii="GHEA Grapalat" w:hAnsi="GHEA Grapalat"/>
          <w:sz w:val="22"/>
          <w:szCs w:val="22"/>
          <w:lang w:val="af-ZA"/>
        </w:rPr>
        <w:t xml:space="preserve"> </w:t>
      </w:r>
      <w:r w:rsidRPr="001F63BA">
        <w:rPr>
          <w:rFonts w:ascii="GHEA Grapalat" w:hAnsi="GHEA Grapalat"/>
          <w:sz w:val="22"/>
          <w:szCs w:val="22"/>
          <w:lang w:val="en-US"/>
        </w:rPr>
        <w:t>Ընդ</w:t>
      </w:r>
      <w:r w:rsidRPr="001F63BA">
        <w:rPr>
          <w:rFonts w:ascii="GHEA Grapalat" w:hAnsi="GHEA Grapalat"/>
          <w:sz w:val="22"/>
          <w:szCs w:val="22"/>
          <w:lang w:val="af-ZA"/>
        </w:rPr>
        <w:t xml:space="preserve"> </w:t>
      </w:r>
      <w:r w:rsidRPr="001F63BA">
        <w:rPr>
          <w:rFonts w:ascii="GHEA Grapalat" w:hAnsi="GHEA Grapalat"/>
          <w:sz w:val="22"/>
          <w:szCs w:val="22"/>
          <w:lang w:val="en-US"/>
        </w:rPr>
        <w:t>որում</w:t>
      </w:r>
      <w:r w:rsidRPr="001F63BA">
        <w:rPr>
          <w:rFonts w:ascii="GHEA Grapalat" w:hAnsi="GHEA Grapalat"/>
          <w:sz w:val="22"/>
          <w:szCs w:val="22"/>
          <w:lang w:val="af-ZA"/>
        </w:rPr>
        <w:t xml:space="preserve">, </w:t>
      </w:r>
      <w:r w:rsidRPr="001F63BA">
        <w:rPr>
          <w:rFonts w:ascii="GHEA Grapalat" w:hAnsi="GHEA Grapalat"/>
          <w:sz w:val="22"/>
          <w:szCs w:val="22"/>
          <w:lang w:val="en-US"/>
        </w:rPr>
        <w:t>աշխատող</w:t>
      </w:r>
      <w:r w:rsidRPr="001F63BA">
        <w:rPr>
          <w:rFonts w:ascii="GHEA Grapalat" w:hAnsi="GHEA Grapalat"/>
          <w:sz w:val="22"/>
          <w:szCs w:val="22"/>
          <w:lang w:val="af-ZA"/>
        </w:rPr>
        <w:t xml:space="preserve"> </w:t>
      </w:r>
      <w:r w:rsidRPr="001F63BA">
        <w:rPr>
          <w:rFonts w:ascii="GHEA Grapalat" w:hAnsi="GHEA Grapalat"/>
          <w:sz w:val="22"/>
          <w:szCs w:val="22"/>
          <w:lang w:val="en-US"/>
        </w:rPr>
        <w:t>կանանց</w:t>
      </w:r>
      <w:r w:rsidRPr="001F63BA">
        <w:rPr>
          <w:rFonts w:ascii="GHEA Grapalat" w:hAnsi="GHEA Grapalat"/>
          <w:sz w:val="22"/>
          <w:szCs w:val="22"/>
          <w:lang w:val="af-ZA"/>
        </w:rPr>
        <w:t xml:space="preserve"> </w:t>
      </w:r>
      <w:r w:rsidRPr="001F63BA">
        <w:rPr>
          <w:rFonts w:ascii="GHEA Grapalat" w:hAnsi="GHEA Grapalat"/>
          <w:sz w:val="22"/>
          <w:szCs w:val="22"/>
          <w:lang w:val="en-US"/>
        </w:rPr>
        <w:t>դեպքում</w:t>
      </w:r>
      <w:r w:rsidRPr="001F63BA">
        <w:rPr>
          <w:rFonts w:ascii="GHEA Grapalat" w:hAnsi="GHEA Grapalat"/>
          <w:sz w:val="22"/>
          <w:szCs w:val="22"/>
          <w:lang w:val="af-ZA"/>
        </w:rPr>
        <w:t xml:space="preserve"> </w:t>
      </w:r>
      <w:r w:rsidRPr="001F63BA">
        <w:rPr>
          <w:rFonts w:ascii="GHEA Grapalat" w:hAnsi="GHEA Grapalat"/>
          <w:sz w:val="22"/>
          <w:szCs w:val="22"/>
          <w:lang w:val="en-US"/>
        </w:rPr>
        <w:t>մայրության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նպաստի</w:t>
      </w:r>
      <w:r w:rsidRPr="001F63BA">
        <w:rPr>
          <w:rFonts w:ascii="GHEA Grapalat" w:hAnsi="GHEA Grapalat"/>
          <w:sz w:val="22"/>
          <w:szCs w:val="22"/>
          <w:lang w:val="af-ZA"/>
        </w:rPr>
        <w:t xml:space="preserve"> </w:t>
      </w:r>
      <w:r w:rsidRPr="001F63BA">
        <w:rPr>
          <w:rFonts w:ascii="GHEA Grapalat" w:hAnsi="GHEA Grapalat"/>
          <w:sz w:val="22"/>
          <w:szCs w:val="22"/>
          <w:lang w:val="en-US"/>
        </w:rPr>
        <w:t>չափը</w:t>
      </w:r>
      <w:r w:rsidRPr="001F63BA">
        <w:rPr>
          <w:rFonts w:ascii="GHEA Grapalat" w:hAnsi="GHEA Grapalat"/>
          <w:sz w:val="22"/>
          <w:szCs w:val="22"/>
          <w:lang w:val="af-ZA"/>
        </w:rPr>
        <w:t xml:space="preserve"> </w:t>
      </w:r>
      <w:r w:rsidRPr="001F63BA">
        <w:rPr>
          <w:rFonts w:ascii="GHEA Grapalat" w:hAnsi="GHEA Grapalat"/>
          <w:sz w:val="22"/>
          <w:szCs w:val="22"/>
          <w:lang w:val="en-US"/>
        </w:rPr>
        <w:t>փոխկապակցված</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անձի</w:t>
      </w:r>
      <w:r w:rsidRPr="001F63BA">
        <w:rPr>
          <w:rFonts w:ascii="GHEA Grapalat" w:hAnsi="GHEA Grapalat"/>
          <w:sz w:val="22"/>
          <w:szCs w:val="22"/>
          <w:lang w:val="af-ZA"/>
        </w:rPr>
        <w:t xml:space="preserve"> </w:t>
      </w:r>
      <w:r w:rsidRPr="001F63BA">
        <w:rPr>
          <w:rFonts w:ascii="GHEA Grapalat" w:hAnsi="GHEA Grapalat"/>
          <w:sz w:val="22"/>
          <w:szCs w:val="22"/>
          <w:lang w:val="en-US"/>
        </w:rPr>
        <w:t>միջին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աշխատավարձի</w:t>
      </w:r>
      <w:r w:rsidRPr="001F63BA">
        <w:rPr>
          <w:rFonts w:ascii="GHEA Grapalat" w:hAnsi="GHEA Grapalat"/>
          <w:sz w:val="22"/>
          <w:szCs w:val="22"/>
          <w:lang w:val="af-ZA"/>
        </w:rPr>
        <w:t xml:space="preserve"> </w:t>
      </w:r>
      <w:r w:rsidRPr="001F63BA">
        <w:rPr>
          <w:rFonts w:ascii="GHEA Grapalat" w:hAnsi="GHEA Grapalat"/>
          <w:sz w:val="22"/>
          <w:szCs w:val="22"/>
          <w:lang w:val="en-US"/>
        </w:rPr>
        <w:t>չափին</w:t>
      </w:r>
      <w:r w:rsidRPr="001F63BA">
        <w:rPr>
          <w:rFonts w:ascii="GHEA Grapalat" w:hAnsi="GHEA Grapalat"/>
          <w:sz w:val="22"/>
          <w:szCs w:val="22"/>
          <w:lang w:val="af-ZA"/>
        </w:rPr>
        <w:t xml:space="preserve">, </w:t>
      </w:r>
      <w:r w:rsidRPr="001F63BA">
        <w:rPr>
          <w:rFonts w:ascii="GHEA Grapalat" w:hAnsi="GHEA Grapalat"/>
          <w:sz w:val="22"/>
          <w:szCs w:val="22"/>
          <w:lang w:val="en-US"/>
        </w:rPr>
        <w:t>իսկ</w:t>
      </w:r>
      <w:r w:rsidRPr="001F63BA">
        <w:rPr>
          <w:rFonts w:ascii="GHEA Grapalat" w:hAnsi="GHEA Grapalat"/>
          <w:sz w:val="22"/>
          <w:szCs w:val="22"/>
          <w:lang w:val="af-ZA"/>
        </w:rPr>
        <w:t xml:space="preserve"> </w:t>
      </w:r>
      <w:r w:rsidRPr="001F63BA">
        <w:rPr>
          <w:rFonts w:ascii="GHEA Grapalat" w:hAnsi="GHEA Grapalat"/>
          <w:sz w:val="22"/>
          <w:szCs w:val="22"/>
          <w:lang w:val="en-US"/>
        </w:rPr>
        <w:t>չաշխատող</w:t>
      </w:r>
      <w:r w:rsidRPr="001F63BA">
        <w:rPr>
          <w:rFonts w:ascii="GHEA Grapalat" w:hAnsi="GHEA Grapalat"/>
          <w:sz w:val="22"/>
          <w:szCs w:val="22"/>
          <w:lang w:val="af-ZA"/>
        </w:rPr>
        <w:t xml:space="preserve"> </w:t>
      </w:r>
      <w:r w:rsidRPr="001F63BA">
        <w:rPr>
          <w:rFonts w:ascii="GHEA Grapalat" w:hAnsi="GHEA Grapalat"/>
          <w:sz w:val="22"/>
          <w:szCs w:val="22"/>
          <w:lang w:val="en-US"/>
        </w:rPr>
        <w:t>անձանց</w:t>
      </w:r>
      <w:r w:rsidRPr="001F63BA">
        <w:rPr>
          <w:rFonts w:ascii="GHEA Grapalat" w:hAnsi="GHEA Grapalat"/>
          <w:sz w:val="22"/>
          <w:szCs w:val="22"/>
          <w:lang w:val="af-ZA"/>
        </w:rPr>
        <w:t xml:space="preserve"> </w:t>
      </w:r>
      <w:r w:rsidRPr="001F63BA">
        <w:rPr>
          <w:rFonts w:ascii="GHEA Grapalat" w:hAnsi="GHEA Grapalat"/>
          <w:sz w:val="22"/>
          <w:szCs w:val="22"/>
          <w:lang w:val="en-US"/>
        </w:rPr>
        <w:t>դեպքում՝</w:t>
      </w:r>
      <w:r w:rsidRPr="001F63BA">
        <w:rPr>
          <w:rFonts w:ascii="GHEA Grapalat" w:hAnsi="GHEA Grapalat"/>
          <w:sz w:val="22"/>
          <w:szCs w:val="22"/>
          <w:lang w:val="af-ZA"/>
        </w:rPr>
        <w:t xml:space="preserve"> </w:t>
      </w:r>
      <w:r w:rsidRPr="001F63BA">
        <w:rPr>
          <w:rFonts w:ascii="GHEA Grapalat" w:hAnsi="GHEA Grapalat"/>
          <w:sz w:val="22"/>
          <w:szCs w:val="22"/>
          <w:lang w:val="en-US"/>
        </w:rPr>
        <w:t>նպաստը</w:t>
      </w:r>
      <w:r w:rsidRPr="001F63BA">
        <w:rPr>
          <w:rFonts w:ascii="GHEA Grapalat" w:hAnsi="GHEA Grapalat"/>
          <w:sz w:val="22"/>
          <w:szCs w:val="22"/>
          <w:lang w:val="af-ZA"/>
        </w:rPr>
        <w:t xml:space="preserve"> </w:t>
      </w:r>
      <w:r w:rsidRPr="001F63BA">
        <w:rPr>
          <w:rFonts w:ascii="GHEA Grapalat" w:hAnsi="GHEA Grapalat"/>
          <w:sz w:val="22"/>
          <w:szCs w:val="22"/>
          <w:lang w:val="en-US"/>
        </w:rPr>
        <w:t>հաշվարկվում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նվազագույն</w:t>
      </w:r>
      <w:r w:rsidRPr="001F63BA">
        <w:rPr>
          <w:rFonts w:ascii="GHEA Grapalat" w:hAnsi="GHEA Grapalat"/>
          <w:sz w:val="22"/>
          <w:szCs w:val="22"/>
          <w:lang w:val="af-ZA"/>
        </w:rPr>
        <w:t xml:space="preserve"> </w:t>
      </w:r>
      <w:r w:rsidRPr="001F63BA">
        <w:rPr>
          <w:rFonts w:ascii="GHEA Grapalat" w:hAnsi="GHEA Grapalat"/>
          <w:sz w:val="22"/>
          <w:szCs w:val="22"/>
          <w:lang w:val="en-US"/>
        </w:rPr>
        <w:t>ամսական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աշխատավարձի</w:t>
      </w:r>
      <w:r w:rsidRPr="001F63BA">
        <w:rPr>
          <w:rFonts w:ascii="GHEA Grapalat" w:hAnsi="GHEA Grapalat"/>
          <w:sz w:val="22"/>
          <w:szCs w:val="22"/>
          <w:lang w:val="af-ZA"/>
        </w:rPr>
        <w:t xml:space="preserve"> 50 </w:t>
      </w:r>
      <w:r w:rsidRPr="001F63BA">
        <w:rPr>
          <w:rFonts w:ascii="GHEA Grapalat" w:hAnsi="GHEA Grapalat"/>
          <w:sz w:val="22"/>
          <w:szCs w:val="22"/>
          <w:lang w:val="en-US"/>
        </w:rPr>
        <w:t>տոկոսից։</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Ժամանակավոր</w:t>
      </w:r>
      <w:r w:rsidRPr="001F63BA">
        <w:rPr>
          <w:rFonts w:ascii="GHEA Grapalat" w:hAnsi="GHEA Grapalat"/>
          <w:sz w:val="22"/>
          <w:szCs w:val="22"/>
          <w:lang w:val="af-ZA"/>
        </w:rPr>
        <w:t xml:space="preserve"> </w:t>
      </w:r>
      <w:r w:rsidRPr="001F63BA">
        <w:rPr>
          <w:rFonts w:ascii="GHEA Grapalat" w:hAnsi="GHEA Grapalat"/>
          <w:sz w:val="22"/>
          <w:szCs w:val="22"/>
          <w:lang w:val="en-US"/>
        </w:rPr>
        <w:t>անաշխատունակության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նպաստների</w:t>
      </w:r>
      <w:r w:rsidRPr="001F63BA">
        <w:rPr>
          <w:rFonts w:ascii="GHEA Grapalat" w:hAnsi="GHEA Grapalat"/>
          <w:sz w:val="22"/>
          <w:szCs w:val="22"/>
          <w:lang w:val="af-ZA"/>
        </w:rPr>
        <w:t xml:space="preserve"> </w:t>
      </w:r>
      <w:r w:rsidRPr="001F63BA">
        <w:rPr>
          <w:rFonts w:ascii="GHEA Grapalat" w:hAnsi="GHEA Grapalat"/>
          <w:sz w:val="22"/>
          <w:szCs w:val="22"/>
          <w:lang w:val="en-US"/>
        </w:rPr>
        <w:t>դեպքում</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շարունակել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գործել</w:t>
      </w:r>
      <w:r w:rsidRPr="001F63BA">
        <w:rPr>
          <w:rFonts w:ascii="GHEA Grapalat" w:hAnsi="GHEA Grapalat"/>
          <w:sz w:val="22"/>
          <w:szCs w:val="22"/>
          <w:lang w:val="af-ZA"/>
        </w:rPr>
        <w:t xml:space="preserve"> </w:t>
      </w:r>
      <w:r w:rsidRPr="001F63BA">
        <w:rPr>
          <w:rFonts w:ascii="GHEA Grapalat" w:hAnsi="GHEA Grapalat"/>
          <w:sz w:val="22"/>
          <w:szCs w:val="22"/>
          <w:lang w:val="en-US"/>
        </w:rPr>
        <w:t>ոլորտը</w:t>
      </w:r>
      <w:r w:rsidRPr="001F63BA">
        <w:rPr>
          <w:rFonts w:ascii="GHEA Grapalat" w:hAnsi="GHEA Grapalat"/>
          <w:sz w:val="22"/>
          <w:szCs w:val="22"/>
          <w:lang w:val="af-ZA"/>
        </w:rPr>
        <w:t xml:space="preserve"> </w:t>
      </w:r>
      <w:r w:rsidRPr="001F63BA">
        <w:rPr>
          <w:rFonts w:ascii="GHEA Grapalat" w:hAnsi="GHEA Grapalat"/>
          <w:sz w:val="22"/>
          <w:szCs w:val="22"/>
          <w:lang w:val="en-US"/>
        </w:rPr>
        <w:t>կանոնակարգող</w:t>
      </w:r>
      <w:r w:rsidRPr="001F63BA">
        <w:rPr>
          <w:rFonts w:ascii="GHEA Grapalat" w:hAnsi="GHEA Grapalat"/>
          <w:sz w:val="22"/>
          <w:szCs w:val="22"/>
          <w:lang w:val="af-ZA"/>
        </w:rPr>
        <w:t xml:space="preserve"> </w:t>
      </w:r>
      <w:r w:rsidRPr="001F63BA">
        <w:rPr>
          <w:rFonts w:ascii="GHEA Grapalat" w:hAnsi="GHEA Grapalat"/>
          <w:sz w:val="22"/>
          <w:szCs w:val="22"/>
          <w:lang w:val="en-US"/>
        </w:rPr>
        <w:t>օրենսդրական</w:t>
      </w:r>
      <w:r w:rsidRPr="001F63BA">
        <w:rPr>
          <w:rFonts w:ascii="GHEA Grapalat" w:hAnsi="GHEA Grapalat"/>
          <w:sz w:val="22"/>
          <w:szCs w:val="22"/>
          <w:lang w:val="af-ZA"/>
        </w:rPr>
        <w:t xml:space="preserve"> </w:t>
      </w:r>
      <w:r w:rsidRPr="001F63BA">
        <w:rPr>
          <w:rFonts w:ascii="GHEA Grapalat" w:hAnsi="GHEA Grapalat"/>
          <w:sz w:val="22"/>
          <w:szCs w:val="22"/>
          <w:lang w:val="en-US"/>
        </w:rPr>
        <w:t>նորմերը</w:t>
      </w:r>
      <w:r w:rsidRPr="001F63BA">
        <w:rPr>
          <w:rFonts w:ascii="GHEA Grapalat" w:hAnsi="GHEA Grapalat"/>
          <w:sz w:val="22"/>
          <w:szCs w:val="22"/>
          <w:lang w:val="af-ZA"/>
        </w:rPr>
        <w:t xml:space="preserve">, </w:t>
      </w:r>
      <w:r w:rsidRPr="001F63BA">
        <w:rPr>
          <w:rFonts w:ascii="GHEA Grapalat" w:hAnsi="GHEA Grapalat"/>
          <w:sz w:val="22"/>
          <w:szCs w:val="22"/>
          <w:lang w:val="en-US"/>
        </w:rPr>
        <w:t>այն</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անաշխատունակության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առաջին</w:t>
      </w:r>
      <w:r w:rsidRPr="001F63BA">
        <w:rPr>
          <w:rFonts w:ascii="GHEA Grapalat" w:hAnsi="GHEA Grapalat"/>
          <w:sz w:val="22"/>
          <w:szCs w:val="22"/>
          <w:lang w:val="af-ZA"/>
        </w:rPr>
        <w:t xml:space="preserve"> </w:t>
      </w:r>
      <w:r w:rsidRPr="001F63BA">
        <w:rPr>
          <w:rFonts w:ascii="GHEA Grapalat" w:hAnsi="GHEA Grapalat"/>
          <w:sz w:val="22"/>
          <w:szCs w:val="22"/>
          <w:lang w:val="en-US"/>
        </w:rPr>
        <w:t>հինգ</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աշխատանքային օրերի</w:t>
      </w:r>
      <w:r w:rsidRPr="001F63BA">
        <w:rPr>
          <w:rFonts w:ascii="GHEA Grapalat" w:hAnsi="GHEA Grapalat"/>
          <w:sz w:val="22"/>
          <w:szCs w:val="22"/>
          <w:lang w:val="af-ZA"/>
        </w:rPr>
        <w:t xml:space="preserve"> </w:t>
      </w:r>
      <w:r w:rsidRPr="001F63BA">
        <w:rPr>
          <w:rFonts w:ascii="GHEA Grapalat" w:hAnsi="GHEA Grapalat"/>
          <w:sz w:val="22"/>
          <w:szCs w:val="22"/>
          <w:lang w:val="en-US"/>
        </w:rPr>
        <w:t>համար</w:t>
      </w:r>
      <w:r w:rsidRPr="001F63BA">
        <w:rPr>
          <w:rFonts w:ascii="GHEA Grapalat" w:hAnsi="GHEA Grapalat"/>
          <w:sz w:val="22"/>
          <w:szCs w:val="22"/>
          <w:lang w:val="af-ZA"/>
        </w:rPr>
        <w:t xml:space="preserve"> </w:t>
      </w:r>
      <w:r w:rsidRPr="001F63BA">
        <w:rPr>
          <w:rFonts w:ascii="GHEA Grapalat" w:hAnsi="GHEA Grapalat"/>
          <w:sz w:val="22"/>
          <w:szCs w:val="22"/>
          <w:lang w:val="en-US"/>
        </w:rPr>
        <w:t>նպաստը</w:t>
      </w:r>
      <w:r w:rsidRPr="001F63BA">
        <w:rPr>
          <w:rFonts w:ascii="GHEA Grapalat" w:hAnsi="GHEA Grapalat"/>
          <w:sz w:val="22"/>
          <w:szCs w:val="22"/>
          <w:lang w:val="af-ZA"/>
        </w:rPr>
        <w:t xml:space="preserve"> </w:t>
      </w:r>
      <w:r w:rsidRPr="001F63BA">
        <w:rPr>
          <w:rFonts w:ascii="GHEA Grapalat" w:hAnsi="GHEA Grapalat"/>
          <w:sz w:val="22"/>
          <w:szCs w:val="22"/>
          <w:lang w:val="en-US"/>
        </w:rPr>
        <w:t>վճարում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գործատուն</w:t>
      </w:r>
      <w:r w:rsidRPr="001F63BA">
        <w:rPr>
          <w:rFonts w:ascii="GHEA Grapalat" w:hAnsi="GHEA Grapalat"/>
          <w:sz w:val="22"/>
          <w:szCs w:val="22"/>
          <w:lang w:val="af-ZA"/>
        </w:rPr>
        <w:t xml:space="preserve"> </w:t>
      </w:r>
      <w:r w:rsidRPr="001F63BA">
        <w:rPr>
          <w:rFonts w:ascii="GHEA Grapalat" w:hAnsi="GHEA Grapalat"/>
          <w:sz w:val="22"/>
          <w:szCs w:val="22"/>
          <w:lang w:val="en-US"/>
        </w:rPr>
        <w:t>իր</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միջոցներից</w:t>
      </w:r>
      <w:r w:rsidRPr="001F63BA">
        <w:rPr>
          <w:rFonts w:ascii="GHEA Grapalat" w:hAnsi="GHEA Grapalat"/>
          <w:sz w:val="22"/>
          <w:szCs w:val="22"/>
          <w:lang w:val="af-ZA"/>
        </w:rPr>
        <w:t xml:space="preserve">, </w:t>
      </w:r>
      <w:r w:rsidRPr="001F63BA">
        <w:rPr>
          <w:rFonts w:ascii="GHEA Grapalat" w:hAnsi="GHEA Grapalat"/>
          <w:sz w:val="22"/>
          <w:szCs w:val="22"/>
          <w:lang w:val="en-US"/>
        </w:rPr>
        <w:t>իսկ</w:t>
      </w:r>
      <w:r w:rsidRPr="001F63BA">
        <w:rPr>
          <w:rFonts w:ascii="GHEA Grapalat" w:hAnsi="GHEA Grapalat"/>
          <w:sz w:val="22"/>
          <w:szCs w:val="22"/>
          <w:lang w:val="af-ZA"/>
        </w:rPr>
        <w:t xml:space="preserve"> 6-</w:t>
      </w:r>
      <w:r w:rsidRPr="001F63BA">
        <w:rPr>
          <w:rFonts w:ascii="GHEA Grapalat" w:hAnsi="GHEA Grapalat"/>
          <w:sz w:val="22"/>
          <w:szCs w:val="22"/>
          <w:lang w:val="en-US"/>
        </w:rPr>
        <w:t>րդ</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աշխատանքային օրվանից՝</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բյուջեի</w:t>
      </w:r>
      <w:r w:rsidRPr="001F63BA">
        <w:rPr>
          <w:rFonts w:ascii="GHEA Grapalat" w:hAnsi="GHEA Grapalat"/>
          <w:sz w:val="22"/>
          <w:szCs w:val="22"/>
          <w:lang w:val="af-ZA"/>
        </w:rPr>
        <w:t xml:space="preserve"> </w:t>
      </w:r>
      <w:r w:rsidRPr="001F63BA">
        <w:rPr>
          <w:rFonts w:ascii="GHEA Grapalat" w:hAnsi="GHEA Grapalat"/>
          <w:sz w:val="22"/>
          <w:szCs w:val="22"/>
          <w:lang w:val="en-US"/>
        </w:rPr>
        <w:t>միջոցների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հաշվին։</w:t>
      </w:r>
    </w:p>
    <w:p w:rsidR="001C411D" w:rsidRPr="001F63BA" w:rsidRDefault="001C411D" w:rsidP="002C0C00">
      <w:pPr>
        <w:spacing w:line="360" w:lineRule="auto"/>
        <w:ind w:firstLine="567"/>
        <w:jc w:val="both"/>
        <w:rPr>
          <w:rFonts w:ascii="GHEA Grapalat" w:hAnsi="GHEA Grapalat"/>
          <w:sz w:val="22"/>
          <w:szCs w:val="22"/>
          <w:lang w:val="af-ZA"/>
        </w:rPr>
      </w:pPr>
    </w:p>
    <w:p w:rsidR="001C411D" w:rsidRPr="001F63BA" w:rsidRDefault="001C411D" w:rsidP="008A5E8A">
      <w:pPr>
        <w:spacing w:line="360" w:lineRule="auto"/>
        <w:ind w:firstLine="567"/>
        <w:jc w:val="both"/>
        <w:rPr>
          <w:rFonts w:ascii="GHEA Grapalat" w:hAnsi="GHEA Grapalat"/>
          <w:sz w:val="22"/>
          <w:szCs w:val="22"/>
          <w:u w:val="single"/>
          <w:lang w:val="af-ZA"/>
        </w:rPr>
      </w:pPr>
      <w:r w:rsidRPr="001F63BA">
        <w:rPr>
          <w:rFonts w:ascii="GHEA Grapalat" w:hAnsi="GHEA Grapalat"/>
          <w:sz w:val="22"/>
          <w:szCs w:val="22"/>
          <w:u w:val="single"/>
          <w:lang w:val="en-US"/>
        </w:rPr>
        <w:t>Երեխաների</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հիմնահարցերի</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բնագավառ</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af-ZA"/>
        </w:rPr>
        <w:t>««</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w:t>
      </w:r>
      <w:r w:rsidRPr="001F63BA">
        <w:rPr>
          <w:rFonts w:ascii="GHEA Grapalat" w:hAnsi="GHEA Grapalat"/>
          <w:sz w:val="22"/>
          <w:szCs w:val="22"/>
          <w:lang w:val="af-ZA"/>
        </w:rPr>
        <w:softHyphen/>
      </w:r>
      <w:r w:rsidRPr="001F63BA">
        <w:rPr>
          <w:rFonts w:ascii="GHEA Grapalat" w:hAnsi="GHEA Grapalat"/>
          <w:sz w:val="22"/>
          <w:szCs w:val="22"/>
          <w:lang w:val="en-US"/>
        </w:rPr>
        <w:t>ների</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օրենքում</w:t>
      </w:r>
      <w:r w:rsidRPr="001F63BA">
        <w:rPr>
          <w:rFonts w:ascii="GHEA Grapalat" w:hAnsi="GHEA Grapalat"/>
          <w:sz w:val="22"/>
          <w:szCs w:val="22"/>
          <w:lang w:val="af-ZA"/>
        </w:rPr>
        <w:t xml:space="preserve"> </w:t>
      </w:r>
      <w:r w:rsidRPr="001F63BA">
        <w:rPr>
          <w:rFonts w:ascii="GHEA Grapalat" w:hAnsi="GHEA Grapalat"/>
          <w:sz w:val="22"/>
          <w:szCs w:val="22"/>
          <w:lang w:val="en-US"/>
        </w:rPr>
        <w:t>փոփոխու</w:t>
      </w:r>
      <w:r w:rsidRPr="001F63BA">
        <w:rPr>
          <w:rFonts w:ascii="GHEA Grapalat" w:hAnsi="GHEA Grapalat"/>
          <w:sz w:val="22"/>
          <w:szCs w:val="22"/>
          <w:lang w:val="af-ZA"/>
        </w:rPr>
        <w:softHyphen/>
      </w:r>
      <w:r w:rsidRPr="001F63BA">
        <w:rPr>
          <w:rFonts w:ascii="GHEA Grapalat" w:hAnsi="GHEA Grapalat"/>
          <w:sz w:val="22"/>
          <w:szCs w:val="22"/>
          <w:lang w:val="en-US"/>
        </w:rPr>
        <w:t>թյուն</w:t>
      </w:r>
      <w:r w:rsidRPr="001F63BA">
        <w:rPr>
          <w:rFonts w:ascii="GHEA Grapalat" w:hAnsi="GHEA Grapalat"/>
          <w:sz w:val="22"/>
          <w:szCs w:val="22"/>
          <w:lang w:val="af-ZA"/>
        </w:rPr>
        <w:softHyphen/>
      </w:r>
      <w:r w:rsidRPr="001F63BA">
        <w:rPr>
          <w:rFonts w:ascii="GHEA Grapalat" w:hAnsi="GHEA Grapalat"/>
          <w:sz w:val="22"/>
          <w:szCs w:val="22"/>
          <w:lang w:val="en-US"/>
        </w:rPr>
        <w:t>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լրացումներ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կատարելու</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օրենքի</w:t>
      </w:r>
      <w:r w:rsidRPr="001F63BA">
        <w:rPr>
          <w:rFonts w:ascii="GHEA Grapalat" w:hAnsi="GHEA Grapalat"/>
          <w:sz w:val="22"/>
          <w:szCs w:val="22"/>
          <w:lang w:val="af-ZA"/>
        </w:rPr>
        <w:t>, «</w:t>
      </w:r>
      <w:r w:rsidRPr="001F63BA">
        <w:rPr>
          <w:rFonts w:ascii="GHEA Grapalat" w:hAnsi="GHEA Grapalat"/>
          <w:sz w:val="22"/>
          <w:szCs w:val="22"/>
          <w:lang w:val="en-US"/>
        </w:rPr>
        <w:t>Ընտանեկան</w:t>
      </w:r>
      <w:r w:rsidRPr="001F63BA">
        <w:rPr>
          <w:rFonts w:ascii="GHEA Grapalat" w:hAnsi="GHEA Grapalat"/>
          <w:sz w:val="22"/>
          <w:szCs w:val="22"/>
          <w:lang w:val="af-ZA"/>
        </w:rPr>
        <w:t xml:space="preserve"> </w:t>
      </w:r>
      <w:r w:rsidRPr="001F63BA">
        <w:rPr>
          <w:rFonts w:ascii="GHEA Grapalat" w:hAnsi="GHEA Grapalat"/>
          <w:sz w:val="22"/>
          <w:szCs w:val="22"/>
          <w:lang w:val="en-US"/>
        </w:rPr>
        <w:t>օրենսգրքում</w:t>
      </w:r>
      <w:r w:rsidRPr="001F63BA">
        <w:rPr>
          <w:rFonts w:ascii="GHEA Grapalat" w:hAnsi="GHEA Grapalat"/>
          <w:sz w:val="22"/>
          <w:szCs w:val="22"/>
          <w:lang w:val="af-ZA"/>
        </w:rPr>
        <w:t xml:space="preserve"> </w:t>
      </w:r>
      <w:r w:rsidRPr="001F63BA">
        <w:rPr>
          <w:rFonts w:ascii="GHEA Grapalat" w:hAnsi="GHEA Grapalat"/>
          <w:sz w:val="22"/>
          <w:szCs w:val="22"/>
          <w:lang w:val="en-US"/>
        </w:rPr>
        <w:t>փոփո</w:t>
      </w:r>
      <w:r w:rsidRPr="001F63BA">
        <w:rPr>
          <w:rFonts w:ascii="GHEA Grapalat" w:hAnsi="GHEA Grapalat"/>
          <w:sz w:val="22"/>
          <w:szCs w:val="22"/>
          <w:lang w:val="af-ZA"/>
        </w:rPr>
        <w:softHyphen/>
      </w:r>
      <w:r w:rsidRPr="001F63BA">
        <w:rPr>
          <w:rFonts w:ascii="GHEA Grapalat" w:hAnsi="GHEA Grapalat"/>
          <w:sz w:val="22"/>
          <w:szCs w:val="22"/>
          <w:lang w:val="en-US"/>
        </w:rPr>
        <w:t>խություններ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լրա</w:t>
      </w:r>
      <w:r w:rsidRPr="001F63BA">
        <w:rPr>
          <w:rFonts w:ascii="GHEA Grapalat" w:hAnsi="GHEA Grapalat"/>
          <w:sz w:val="22"/>
          <w:szCs w:val="22"/>
          <w:lang w:val="af-ZA"/>
        </w:rPr>
        <w:softHyphen/>
      </w:r>
      <w:r w:rsidRPr="001F63BA">
        <w:rPr>
          <w:rFonts w:ascii="GHEA Grapalat" w:hAnsi="GHEA Grapalat"/>
          <w:sz w:val="22"/>
          <w:szCs w:val="22"/>
          <w:lang w:val="en-US"/>
        </w:rPr>
        <w:t>ցումներ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կատարելու</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օրենքի</w:t>
      </w:r>
      <w:r w:rsidRPr="001F63BA">
        <w:rPr>
          <w:rFonts w:ascii="GHEA Grapalat" w:hAnsi="GHEA Grapalat"/>
          <w:sz w:val="22"/>
          <w:szCs w:val="22"/>
          <w:lang w:val="af-ZA"/>
        </w:rPr>
        <w:t xml:space="preserve"> </w:t>
      </w:r>
      <w:r w:rsidRPr="001F63BA">
        <w:rPr>
          <w:rFonts w:ascii="GHEA Grapalat" w:hAnsi="GHEA Grapalat"/>
          <w:sz w:val="22"/>
          <w:szCs w:val="22"/>
          <w:lang w:val="en-US"/>
        </w:rPr>
        <w:t>նախագծերի</w:t>
      </w:r>
      <w:r w:rsidRPr="001F63BA">
        <w:rPr>
          <w:rFonts w:ascii="GHEA Grapalat" w:hAnsi="GHEA Grapalat"/>
          <w:sz w:val="22"/>
          <w:szCs w:val="22"/>
          <w:lang w:val="af-ZA"/>
        </w:rPr>
        <w:t xml:space="preserve"> </w:t>
      </w:r>
      <w:r w:rsidRPr="001F63BA">
        <w:rPr>
          <w:rFonts w:ascii="GHEA Grapalat" w:hAnsi="GHEA Grapalat"/>
          <w:sz w:val="22"/>
          <w:szCs w:val="22"/>
          <w:lang w:val="en-US"/>
        </w:rPr>
        <w:t>մշակման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կատարվել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մի</w:t>
      </w:r>
      <w:r w:rsidRPr="001F63BA">
        <w:rPr>
          <w:rFonts w:ascii="GHEA Grapalat" w:hAnsi="GHEA Grapalat"/>
          <w:sz w:val="22"/>
          <w:szCs w:val="22"/>
          <w:lang w:val="af-ZA"/>
        </w:rPr>
        <w:t xml:space="preserve"> </w:t>
      </w:r>
      <w:r w:rsidRPr="001F63BA">
        <w:rPr>
          <w:rFonts w:ascii="GHEA Grapalat" w:hAnsi="GHEA Grapalat"/>
          <w:sz w:val="22"/>
          <w:szCs w:val="22"/>
          <w:lang w:val="en-US"/>
        </w:rPr>
        <w:t>շարք</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չափանիշներին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համապատասխանության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տեսանկյունից</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իրավունքների</w:t>
      </w:r>
      <w:r w:rsidRPr="001F63BA">
        <w:rPr>
          <w:rFonts w:ascii="GHEA Grapalat" w:hAnsi="GHEA Grapalat"/>
          <w:sz w:val="22"/>
          <w:szCs w:val="22"/>
          <w:lang w:val="af-ZA"/>
        </w:rPr>
        <w:t xml:space="preserve"> </w:t>
      </w:r>
      <w:r w:rsidRPr="001F63BA">
        <w:rPr>
          <w:rFonts w:ascii="GHEA Grapalat" w:hAnsi="GHEA Grapalat"/>
          <w:sz w:val="22"/>
          <w:szCs w:val="22"/>
          <w:lang w:val="en-US"/>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լավագույն</w:t>
      </w:r>
      <w:r w:rsidRPr="001F63BA">
        <w:rPr>
          <w:rFonts w:ascii="GHEA Grapalat" w:hAnsi="GHEA Grapalat"/>
          <w:sz w:val="22"/>
          <w:szCs w:val="22"/>
          <w:lang w:val="af-ZA"/>
        </w:rPr>
        <w:t xml:space="preserve"> </w:t>
      </w:r>
      <w:r w:rsidRPr="001F63BA">
        <w:rPr>
          <w:rFonts w:ascii="GHEA Grapalat" w:hAnsi="GHEA Grapalat"/>
          <w:sz w:val="22"/>
          <w:szCs w:val="22"/>
          <w:lang w:val="en-US"/>
        </w:rPr>
        <w:t>փորձը</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ՄԱԿ</w:t>
      </w:r>
      <w:r w:rsidRPr="001F63BA">
        <w:rPr>
          <w:rFonts w:ascii="GHEA Grapalat" w:hAnsi="GHEA Grapalat"/>
          <w:sz w:val="22"/>
          <w:szCs w:val="22"/>
          <w:lang w:val="af-ZA"/>
        </w:rPr>
        <w:t>-</w:t>
      </w:r>
      <w:r w:rsidRPr="001F63BA">
        <w:rPr>
          <w:rFonts w:ascii="GHEA Grapalat" w:hAnsi="GHEA Grapalat"/>
          <w:sz w:val="22"/>
          <w:szCs w:val="22"/>
          <w:lang w:val="en-US"/>
        </w:rPr>
        <w:t>ի</w:t>
      </w:r>
      <w:r w:rsidRPr="001F63BA">
        <w:rPr>
          <w:rFonts w:ascii="GHEA Grapalat" w:hAnsi="GHEA Grapalat"/>
          <w:sz w:val="22"/>
          <w:szCs w:val="22"/>
          <w:lang w:val="af-ZA"/>
        </w:rPr>
        <w:t xml:space="preserve"> </w:t>
      </w:r>
      <w:r w:rsidRPr="001F63BA">
        <w:rPr>
          <w:rFonts w:ascii="GHEA Grapalat" w:hAnsi="GHEA Grapalat"/>
          <w:sz w:val="22"/>
          <w:szCs w:val="22"/>
          <w:lang w:val="en-US"/>
        </w:rPr>
        <w:t>մանկական</w:t>
      </w:r>
      <w:r w:rsidRPr="001F63BA">
        <w:rPr>
          <w:rFonts w:ascii="GHEA Grapalat" w:hAnsi="GHEA Grapalat"/>
          <w:sz w:val="22"/>
          <w:szCs w:val="22"/>
          <w:lang w:val="af-ZA"/>
        </w:rPr>
        <w:t xml:space="preserve"> </w:t>
      </w:r>
      <w:r w:rsidRPr="001F63BA">
        <w:rPr>
          <w:rFonts w:ascii="GHEA Grapalat" w:hAnsi="GHEA Grapalat"/>
          <w:sz w:val="22"/>
          <w:szCs w:val="22"/>
          <w:lang w:val="en-US"/>
        </w:rPr>
        <w:t>հիմնադրամի</w:t>
      </w:r>
      <w:r w:rsidRPr="001F63BA">
        <w:rPr>
          <w:rFonts w:ascii="GHEA Grapalat" w:hAnsi="GHEA Grapalat"/>
          <w:sz w:val="22"/>
          <w:szCs w:val="22"/>
          <w:lang w:val="af-ZA"/>
        </w:rPr>
        <w:t xml:space="preserve"> </w:t>
      </w:r>
      <w:r w:rsidRPr="001F63BA">
        <w:rPr>
          <w:rFonts w:ascii="GHEA Grapalat" w:hAnsi="GHEA Grapalat"/>
          <w:sz w:val="22"/>
          <w:szCs w:val="22"/>
          <w:lang w:val="en-US"/>
        </w:rPr>
        <w:t>հայաստանյան</w:t>
      </w:r>
      <w:r w:rsidRPr="001F63BA">
        <w:rPr>
          <w:rFonts w:ascii="GHEA Grapalat" w:hAnsi="GHEA Grapalat"/>
          <w:sz w:val="22"/>
          <w:szCs w:val="22"/>
          <w:lang w:val="af-ZA"/>
        </w:rPr>
        <w:t xml:space="preserve"> </w:t>
      </w:r>
      <w:r w:rsidRPr="001F63BA">
        <w:rPr>
          <w:rFonts w:ascii="GHEA Grapalat" w:hAnsi="GHEA Grapalat"/>
          <w:sz w:val="22"/>
          <w:szCs w:val="22"/>
          <w:lang w:val="en-US"/>
        </w:rPr>
        <w:t>գրասենյակի</w:t>
      </w:r>
      <w:r w:rsidRPr="001F63BA">
        <w:rPr>
          <w:rFonts w:ascii="GHEA Grapalat" w:hAnsi="GHEA Grapalat"/>
          <w:sz w:val="22"/>
          <w:szCs w:val="22"/>
          <w:lang w:val="af-ZA"/>
        </w:rPr>
        <w:t xml:space="preserve"> </w:t>
      </w:r>
      <w:r w:rsidRPr="001F63BA">
        <w:rPr>
          <w:rFonts w:ascii="GHEA Grapalat" w:hAnsi="GHEA Grapalat"/>
          <w:sz w:val="22"/>
          <w:szCs w:val="22"/>
          <w:lang w:val="en-US"/>
        </w:rPr>
        <w:t>հետ</w:t>
      </w:r>
      <w:r w:rsidRPr="001F63BA">
        <w:rPr>
          <w:rFonts w:ascii="GHEA Grapalat" w:hAnsi="GHEA Grapalat"/>
          <w:sz w:val="22"/>
          <w:szCs w:val="22"/>
          <w:lang w:val="af-ZA"/>
        </w:rPr>
        <w:t xml:space="preserve"> </w:t>
      </w:r>
      <w:r w:rsidRPr="001F63BA">
        <w:rPr>
          <w:rFonts w:ascii="GHEA Grapalat" w:hAnsi="GHEA Grapalat"/>
          <w:sz w:val="22"/>
          <w:szCs w:val="22"/>
          <w:lang w:val="en-US"/>
        </w:rPr>
        <w:t>համագործակցությամբ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կատարվել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խ</w:t>
      </w:r>
      <w:r w:rsidRPr="001F63BA">
        <w:rPr>
          <w:rFonts w:ascii="GHEA Grapalat" w:hAnsi="GHEA Grapalat"/>
          <w:sz w:val="22"/>
          <w:szCs w:val="22"/>
          <w:lang w:val="en-US"/>
        </w:rPr>
        <w:t>նամակալության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հոգաբարձության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մարմինների</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գործունեության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վերաբերյալ</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փորձի</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արդյունքում</w:t>
      </w:r>
      <w:r w:rsidRPr="001F63BA">
        <w:rPr>
          <w:rFonts w:ascii="GHEA Grapalat" w:hAnsi="GHEA Grapalat"/>
          <w:sz w:val="22"/>
          <w:szCs w:val="22"/>
          <w:lang w:val="af-ZA"/>
        </w:rPr>
        <w:t xml:space="preserve"> </w:t>
      </w:r>
      <w:r w:rsidRPr="001F63BA">
        <w:rPr>
          <w:rFonts w:ascii="GHEA Grapalat" w:hAnsi="GHEA Grapalat"/>
          <w:sz w:val="22"/>
          <w:szCs w:val="22"/>
          <w:lang w:val="en-US"/>
        </w:rPr>
        <w:t>մշակվել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շրջանառության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դրվել</w:t>
      </w:r>
      <w:r w:rsidRPr="001F63BA">
        <w:rPr>
          <w:rFonts w:ascii="GHEA Grapalat" w:hAnsi="GHEA Grapalat"/>
          <w:sz w:val="22"/>
          <w:szCs w:val="22"/>
          <w:lang w:val="af-ZA"/>
        </w:rPr>
        <w:t xml:space="preserve"> «</w:t>
      </w:r>
      <w:r w:rsidRPr="001F63BA">
        <w:rPr>
          <w:rFonts w:ascii="GHEA Grapalat" w:hAnsi="GHEA Grapalat"/>
          <w:sz w:val="22"/>
          <w:szCs w:val="22"/>
          <w:lang w:val="en-US"/>
        </w:rPr>
        <w:t>Ընտանեկան</w:t>
      </w:r>
      <w:r w:rsidRPr="001F63BA">
        <w:rPr>
          <w:rFonts w:ascii="GHEA Grapalat" w:hAnsi="GHEA Grapalat"/>
          <w:sz w:val="22"/>
          <w:szCs w:val="22"/>
          <w:lang w:val="af-ZA"/>
        </w:rPr>
        <w:t xml:space="preserve"> </w:t>
      </w:r>
      <w:r w:rsidRPr="001F63BA">
        <w:rPr>
          <w:rFonts w:ascii="GHEA Grapalat" w:hAnsi="GHEA Grapalat"/>
          <w:sz w:val="22"/>
          <w:szCs w:val="22"/>
          <w:lang w:val="en-US"/>
        </w:rPr>
        <w:t>օրենսգրքում</w:t>
      </w:r>
      <w:r w:rsidRPr="001F63BA">
        <w:rPr>
          <w:rFonts w:ascii="GHEA Grapalat" w:hAnsi="GHEA Grapalat"/>
          <w:sz w:val="22"/>
          <w:szCs w:val="22"/>
          <w:lang w:val="af-ZA"/>
        </w:rPr>
        <w:t xml:space="preserve"> </w:t>
      </w:r>
      <w:r w:rsidRPr="001F63BA">
        <w:rPr>
          <w:rFonts w:ascii="GHEA Grapalat" w:hAnsi="GHEA Grapalat"/>
          <w:sz w:val="22"/>
          <w:szCs w:val="22"/>
          <w:lang w:val="en-US"/>
        </w:rPr>
        <w:t>փոփոխություններ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լրացումներ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իրականացնելու</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իրավունքների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պաշտպանության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օրենքների</w:t>
      </w:r>
      <w:r w:rsidRPr="001F63BA">
        <w:rPr>
          <w:rFonts w:ascii="GHEA Grapalat" w:hAnsi="GHEA Grapalat"/>
          <w:sz w:val="22"/>
          <w:szCs w:val="22"/>
          <w:lang w:val="af-ZA"/>
        </w:rPr>
        <w:t xml:space="preserve"> </w:t>
      </w:r>
      <w:r w:rsidRPr="001F63BA">
        <w:rPr>
          <w:rFonts w:ascii="GHEA Grapalat" w:hAnsi="GHEA Grapalat"/>
          <w:sz w:val="22"/>
          <w:szCs w:val="22"/>
          <w:lang w:val="en-US"/>
        </w:rPr>
        <w:t>նախագծերի</w:t>
      </w:r>
      <w:r w:rsidRPr="001F63BA">
        <w:rPr>
          <w:rFonts w:ascii="GHEA Grapalat" w:hAnsi="GHEA Grapalat"/>
          <w:sz w:val="22"/>
          <w:szCs w:val="22"/>
          <w:lang w:val="af-ZA"/>
        </w:rPr>
        <w:t xml:space="preserve"> </w:t>
      </w:r>
      <w:r w:rsidRPr="001F63BA">
        <w:rPr>
          <w:rFonts w:ascii="GHEA Grapalat" w:hAnsi="GHEA Grapalat"/>
          <w:sz w:val="22"/>
          <w:szCs w:val="22"/>
          <w:lang w:val="en-US"/>
        </w:rPr>
        <w:t>փաթեթը։</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Ներկայում</w:t>
      </w:r>
      <w:r w:rsidRPr="001F63BA">
        <w:rPr>
          <w:rFonts w:ascii="GHEA Grapalat" w:hAnsi="GHEA Grapalat"/>
          <w:sz w:val="22"/>
          <w:szCs w:val="22"/>
          <w:lang w:val="af-ZA"/>
        </w:rPr>
        <w:t xml:space="preserve"> </w:t>
      </w:r>
      <w:r w:rsidRPr="001F63BA">
        <w:rPr>
          <w:rFonts w:ascii="GHEA Grapalat" w:hAnsi="GHEA Grapalat"/>
          <w:sz w:val="22"/>
          <w:szCs w:val="22"/>
          <w:lang w:val="en-US"/>
        </w:rPr>
        <w:t>հավաքագրվում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ամփոփվում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շահեկից</w:t>
      </w:r>
      <w:r w:rsidRPr="001F63BA">
        <w:rPr>
          <w:rFonts w:ascii="GHEA Grapalat" w:hAnsi="GHEA Grapalat"/>
          <w:sz w:val="22"/>
          <w:szCs w:val="22"/>
          <w:lang w:val="af-ZA"/>
        </w:rPr>
        <w:t xml:space="preserve"> </w:t>
      </w:r>
      <w:r w:rsidRPr="001F63BA">
        <w:rPr>
          <w:rFonts w:ascii="GHEA Grapalat" w:hAnsi="GHEA Grapalat"/>
          <w:sz w:val="22"/>
          <w:szCs w:val="22"/>
          <w:lang w:val="en-US"/>
        </w:rPr>
        <w:t>գերատեսչություններից</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քննարկման</w:t>
      </w:r>
      <w:r w:rsidRPr="001F63BA">
        <w:rPr>
          <w:rFonts w:ascii="GHEA Grapalat" w:hAnsi="GHEA Grapalat"/>
          <w:sz w:val="22"/>
          <w:szCs w:val="22"/>
          <w:lang w:val="af-ZA"/>
        </w:rPr>
        <w:t xml:space="preserve"> </w:t>
      </w:r>
      <w:r w:rsidRPr="001F63BA">
        <w:rPr>
          <w:rFonts w:ascii="GHEA Grapalat" w:hAnsi="GHEA Grapalat"/>
          <w:sz w:val="22"/>
          <w:szCs w:val="22"/>
          <w:lang w:val="en-US"/>
        </w:rPr>
        <w:lastRenderedPageBreak/>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ստացված</w:t>
      </w:r>
      <w:r w:rsidRPr="001F63BA">
        <w:rPr>
          <w:rFonts w:ascii="GHEA Grapalat" w:hAnsi="GHEA Grapalat"/>
          <w:sz w:val="22"/>
          <w:szCs w:val="22"/>
          <w:lang w:val="af-ZA"/>
        </w:rPr>
        <w:t xml:space="preserve"> </w:t>
      </w:r>
      <w:r w:rsidRPr="001F63BA">
        <w:rPr>
          <w:rFonts w:ascii="GHEA Grapalat" w:hAnsi="GHEA Grapalat"/>
          <w:sz w:val="22"/>
          <w:szCs w:val="22"/>
          <w:lang w:val="en-US"/>
        </w:rPr>
        <w:t>դիտարկումները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առաջարկությունները։</w:t>
      </w:r>
      <w:r w:rsidRPr="001F63BA">
        <w:rPr>
          <w:rFonts w:ascii="GHEA Grapalat" w:hAnsi="GHEA Grapalat"/>
          <w:sz w:val="22"/>
          <w:szCs w:val="22"/>
          <w:lang w:val="af-ZA"/>
        </w:rPr>
        <w:t xml:space="preserve"> </w:t>
      </w:r>
      <w:r w:rsidRPr="001F63BA">
        <w:rPr>
          <w:rFonts w:ascii="GHEA Grapalat" w:hAnsi="GHEA Grapalat"/>
          <w:sz w:val="22"/>
          <w:szCs w:val="22"/>
          <w:lang w:val="en-US"/>
        </w:rPr>
        <w:t>Մինչ</w:t>
      </w:r>
      <w:r w:rsidRPr="001F63BA">
        <w:rPr>
          <w:rFonts w:ascii="GHEA Grapalat" w:hAnsi="GHEA Grapalat"/>
          <w:sz w:val="22"/>
          <w:szCs w:val="22"/>
          <w:lang w:val="af-ZA"/>
        </w:rPr>
        <w:t xml:space="preserve"> </w:t>
      </w:r>
      <w:r w:rsidRPr="001F63BA">
        <w:rPr>
          <w:rFonts w:ascii="GHEA Grapalat" w:hAnsi="GHEA Grapalat"/>
          <w:sz w:val="22"/>
          <w:szCs w:val="22"/>
          <w:lang w:val="en-US"/>
        </w:rPr>
        <w:t>օրենսդրական</w:t>
      </w:r>
      <w:r w:rsidRPr="001F63BA">
        <w:rPr>
          <w:rFonts w:ascii="GHEA Grapalat" w:hAnsi="GHEA Grapalat"/>
          <w:sz w:val="22"/>
          <w:szCs w:val="22"/>
          <w:lang w:val="af-ZA"/>
        </w:rPr>
        <w:t xml:space="preserve"> </w:t>
      </w:r>
      <w:r w:rsidRPr="001F63BA">
        <w:rPr>
          <w:rFonts w:ascii="GHEA Grapalat" w:hAnsi="GHEA Grapalat"/>
          <w:sz w:val="22"/>
          <w:szCs w:val="22"/>
          <w:lang w:val="en-US"/>
        </w:rPr>
        <w:t>լայնածավալ</w:t>
      </w:r>
      <w:r w:rsidRPr="001F63BA">
        <w:rPr>
          <w:rFonts w:ascii="GHEA Grapalat" w:hAnsi="GHEA Grapalat"/>
          <w:sz w:val="22"/>
          <w:szCs w:val="22"/>
          <w:lang w:val="af-ZA"/>
        </w:rPr>
        <w:t xml:space="preserve"> </w:t>
      </w:r>
      <w:r w:rsidRPr="001F63BA">
        <w:rPr>
          <w:rFonts w:ascii="GHEA Grapalat" w:hAnsi="GHEA Grapalat"/>
          <w:sz w:val="22"/>
          <w:szCs w:val="22"/>
          <w:lang w:val="en-US"/>
        </w:rPr>
        <w:t>բարեփոխումների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ընդունումը</w:t>
      </w:r>
      <w:r w:rsidRPr="001F63BA">
        <w:rPr>
          <w:rFonts w:ascii="GHEA Grapalat" w:hAnsi="GHEA Grapalat"/>
          <w:sz w:val="22"/>
          <w:szCs w:val="22"/>
          <w:lang w:val="af-ZA"/>
        </w:rPr>
        <w:t xml:space="preserve"> </w:t>
      </w:r>
      <w:r w:rsidRPr="001F63BA">
        <w:rPr>
          <w:rFonts w:ascii="GHEA Grapalat" w:hAnsi="GHEA Grapalat"/>
          <w:sz w:val="22"/>
          <w:szCs w:val="22"/>
          <w:lang w:val="en-US"/>
        </w:rPr>
        <w:t>կյանքի</w:t>
      </w:r>
      <w:r w:rsidRPr="001F63BA">
        <w:rPr>
          <w:rFonts w:ascii="GHEA Grapalat" w:hAnsi="GHEA Grapalat"/>
          <w:sz w:val="22"/>
          <w:szCs w:val="22"/>
          <w:lang w:val="af-ZA"/>
        </w:rPr>
        <w:t xml:space="preserve"> </w:t>
      </w:r>
      <w:r w:rsidRPr="001F63BA">
        <w:rPr>
          <w:rFonts w:ascii="GHEA Grapalat" w:hAnsi="GHEA Grapalat"/>
          <w:sz w:val="22"/>
          <w:szCs w:val="22"/>
          <w:lang w:val="en-US"/>
        </w:rPr>
        <w:t>դժվարին</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իրավիճակում</w:t>
      </w:r>
      <w:r w:rsidRPr="001F63BA">
        <w:rPr>
          <w:rFonts w:ascii="GHEA Grapalat" w:hAnsi="GHEA Grapalat"/>
          <w:sz w:val="22"/>
          <w:szCs w:val="22"/>
          <w:lang w:val="af-ZA"/>
        </w:rPr>
        <w:t xml:space="preserve"> </w:t>
      </w:r>
      <w:r w:rsidRPr="001F63BA">
        <w:rPr>
          <w:rFonts w:ascii="GHEA Grapalat" w:hAnsi="GHEA Grapalat"/>
          <w:sz w:val="22"/>
          <w:szCs w:val="22"/>
          <w:lang w:val="en-US"/>
        </w:rPr>
        <w:t>հայտնված</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նրանց</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կարիքների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խորը</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ձեռնարկվել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մի</w:t>
      </w:r>
      <w:r w:rsidRPr="001F63BA">
        <w:rPr>
          <w:rFonts w:ascii="GHEA Grapalat" w:hAnsi="GHEA Grapalat"/>
          <w:sz w:val="22"/>
          <w:szCs w:val="22"/>
          <w:lang w:val="af-ZA"/>
        </w:rPr>
        <w:t xml:space="preserve"> </w:t>
      </w:r>
      <w:r w:rsidRPr="001F63BA">
        <w:rPr>
          <w:rFonts w:ascii="GHEA Grapalat" w:hAnsi="GHEA Grapalat"/>
          <w:sz w:val="22"/>
          <w:szCs w:val="22"/>
          <w:lang w:val="en-US"/>
        </w:rPr>
        <w:t>շարք</w:t>
      </w:r>
      <w:r w:rsidRPr="001F63BA">
        <w:rPr>
          <w:rFonts w:ascii="GHEA Grapalat" w:hAnsi="GHEA Grapalat"/>
          <w:sz w:val="22"/>
          <w:szCs w:val="22"/>
          <w:lang w:val="af-ZA"/>
        </w:rPr>
        <w:t xml:space="preserve"> </w:t>
      </w:r>
      <w:r w:rsidRPr="001F63BA">
        <w:rPr>
          <w:rFonts w:ascii="GHEA Grapalat" w:hAnsi="GHEA Grapalat"/>
          <w:sz w:val="22"/>
          <w:szCs w:val="22"/>
          <w:lang w:val="en-US"/>
        </w:rPr>
        <w:t>միջոցառումներ։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շուրջ</w:t>
      </w:r>
      <w:r w:rsidRPr="001F63BA">
        <w:rPr>
          <w:rFonts w:ascii="GHEA Grapalat" w:hAnsi="GHEA Grapalat"/>
          <w:sz w:val="22"/>
          <w:szCs w:val="22"/>
          <w:lang w:val="af-ZA"/>
        </w:rPr>
        <w:t xml:space="preserve"> 2600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կարիքների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խորքային</w:t>
      </w:r>
      <w:r w:rsidRPr="001F63BA">
        <w:rPr>
          <w:rFonts w:ascii="GHEA Grapalat" w:hAnsi="GHEA Grapalat"/>
          <w:sz w:val="22"/>
          <w:szCs w:val="22"/>
          <w:lang w:val="af-ZA"/>
        </w:rPr>
        <w:t xml:space="preserve"> </w:t>
      </w:r>
      <w:r w:rsidRPr="001F63BA">
        <w:rPr>
          <w:rFonts w:ascii="GHEA Grapalat" w:hAnsi="GHEA Grapalat"/>
          <w:sz w:val="22"/>
          <w:szCs w:val="22"/>
          <w:lang w:val="en-US"/>
        </w:rPr>
        <w:t>գնահատում։</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դրամաշնորհային</w:t>
      </w:r>
      <w:r w:rsidRPr="001F63BA">
        <w:rPr>
          <w:rFonts w:ascii="GHEA Grapalat" w:hAnsi="GHEA Grapalat"/>
          <w:sz w:val="22"/>
          <w:szCs w:val="22"/>
          <w:lang w:val="af-ZA"/>
        </w:rPr>
        <w:t xml:space="preserve"> </w:t>
      </w:r>
      <w:r w:rsidRPr="001F63BA">
        <w:rPr>
          <w:rFonts w:ascii="GHEA Grapalat" w:hAnsi="GHEA Grapalat"/>
          <w:sz w:val="22"/>
          <w:szCs w:val="22"/>
          <w:lang w:val="en-US"/>
        </w:rPr>
        <w:t>մրցույթի</w:t>
      </w:r>
      <w:r w:rsidRPr="001F63BA">
        <w:rPr>
          <w:rFonts w:ascii="GHEA Grapalat" w:hAnsi="GHEA Grapalat"/>
          <w:sz w:val="22"/>
          <w:szCs w:val="22"/>
          <w:lang w:val="af-ZA"/>
        </w:rPr>
        <w:t xml:space="preserve"> </w:t>
      </w:r>
      <w:r w:rsidRPr="001F63BA">
        <w:rPr>
          <w:rFonts w:ascii="GHEA Grapalat" w:hAnsi="GHEA Grapalat"/>
          <w:sz w:val="22"/>
          <w:szCs w:val="22"/>
          <w:lang w:val="en-US"/>
        </w:rPr>
        <w:t>արդյունքում</w:t>
      </w:r>
      <w:r w:rsidRPr="001F63BA">
        <w:rPr>
          <w:rFonts w:ascii="GHEA Grapalat" w:hAnsi="GHEA Grapalat"/>
          <w:sz w:val="22"/>
          <w:szCs w:val="22"/>
          <w:lang w:val="af-ZA"/>
        </w:rPr>
        <w:t xml:space="preserve"> </w:t>
      </w:r>
      <w:r w:rsidRPr="001F63BA">
        <w:rPr>
          <w:rFonts w:ascii="GHEA Grapalat" w:hAnsi="GHEA Grapalat"/>
          <w:sz w:val="22"/>
          <w:szCs w:val="22"/>
          <w:lang w:val="en-US"/>
        </w:rPr>
        <w:t>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հասարակական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կազմակերպություններին</w:t>
      </w:r>
      <w:r w:rsidRPr="001F63BA">
        <w:rPr>
          <w:rFonts w:ascii="GHEA Grapalat" w:hAnsi="GHEA Grapalat"/>
          <w:sz w:val="22"/>
          <w:szCs w:val="22"/>
          <w:lang w:val="af-ZA"/>
        </w:rPr>
        <w:t xml:space="preserve"> </w:t>
      </w:r>
      <w:r w:rsidRPr="001F63BA">
        <w:rPr>
          <w:rFonts w:ascii="GHEA Grapalat" w:hAnsi="GHEA Grapalat"/>
          <w:sz w:val="22"/>
          <w:szCs w:val="22"/>
          <w:lang w:val="en-US"/>
        </w:rPr>
        <w:t>պատվիրակման</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շրջանակում</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15 </w:t>
      </w:r>
      <w:r w:rsidRPr="001F63BA">
        <w:rPr>
          <w:rFonts w:ascii="GHEA Grapalat" w:hAnsi="GHEA Grapalat"/>
          <w:sz w:val="22"/>
          <w:szCs w:val="22"/>
          <w:lang w:val="en-US"/>
        </w:rPr>
        <w:t>խոշոր</w:t>
      </w:r>
      <w:r w:rsidRPr="001F63BA">
        <w:rPr>
          <w:rFonts w:ascii="GHEA Grapalat" w:hAnsi="GHEA Grapalat"/>
          <w:sz w:val="22"/>
          <w:szCs w:val="22"/>
          <w:lang w:val="af-ZA"/>
        </w:rPr>
        <w:t xml:space="preserve"> </w:t>
      </w:r>
      <w:r w:rsidRPr="001F63BA">
        <w:rPr>
          <w:rFonts w:ascii="GHEA Grapalat" w:hAnsi="GHEA Grapalat"/>
          <w:sz w:val="22"/>
          <w:szCs w:val="22"/>
          <w:lang w:val="en-US"/>
        </w:rPr>
        <w:t>համայնքներում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շուրջ</w:t>
      </w:r>
      <w:r w:rsidRPr="001F63BA">
        <w:rPr>
          <w:rFonts w:ascii="GHEA Grapalat" w:hAnsi="GHEA Grapalat"/>
          <w:sz w:val="22"/>
          <w:szCs w:val="22"/>
          <w:lang w:val="af-ZA"/>
        </w:rPr>
        <w:t xml:space="preserve"> 1100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ցերեկային</w:t>
      </w:r>
      <w:r w:rsidRPr="001F63BA">
        <w:rPr>
          <w:rFonts w:ascii="GHEA Grapalat" w:hAnsi="GHEA Grapalat"/>
          <w:sz w:val="22"/>
          <w:szCs w:val="22"/>
          <w:lang w:val="af-ZA"/>
        </w:rPr>
        <w:t xml:space="preserve"> </w:t>
      </w:r>
      <w:r w:rsidRPr="001F63BA">
        <w:rPr>
          <w:rFonts w:ascii="GHEA Grapalat" w:hAnsi="GHEA Grapalat"/>
          <w:sz w:val="22"/>
          <w:szCs w:val="22"/>
          <w:lang w:val="en-US"/>
        </w:rPr>
        <w:t>խնամքի</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560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ցերեկային</w:t>
      </w:r>
      <w:r w:rsidRPr="001F63BA">
        <w:rPr>
          <w:rFonts w:ascii="GHEA Grapalat" w:hAnsi="GHEA Grapalat"/>
          <w:sz w:val="22"/>
          <w:szCs w:val="22"/>
          <w:lang w:val="af-ZA"/>
        </w:rPr>
        <w:t xml:space="preserve"> </w:t>
      </w:r>
      <w:r w:rsidRPr="001F63BA">
        <w:rPr>
          <w:rFonts w:ascii="GHEA Grapalat" w:hAnsi="GHEA Grapalat"/>
          <w:sz w:val="22"/>
          <w:szCs w:val="22"/>
          <w:lang w:val="en-US"/>
        </w:rPr>
        <w:t>խնամքի</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տրամադրվել</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ՀՀ ԱՍՀՆ </w:t>
      </w:r>
      <w:r w:rsidRPr="001F63BA">
        <w:rPr>
          <w:rFonts w:ascii="GHEA Grapalat" w:hAnsi="GHEA Grapalat"/>
          <w:sz w:val="22"/>
          <w:szCs w:val="22"/>
          <w:lang w:val="en-US"/>
        </w:rPr>
        <w:t>ենթակայությամբ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w:t>
      </w:r>
      <w:r w:rsidRPr="001F63BA">
        <w:rPr>
          <w:rFonts w:ascii="GHEA Grapalat" w:hAnsi="GHEA Grapalat"/>
          <w:sz w:val="22"/>
          <w:szCs w:val="22"/>
          <w:lang w:val="af-ZA"/>
        </w:rPr>
        <w:t xml:space="preserve"> 6 </w:t>
      </w:r>
      <w:r w:rsidRPr="001F63BA">
        <w:rPr>
          <w:rFonts w:ascii="GHEA Grapalat" w:hAnsi="GHEA Grapalat"/>
          <w:sz w:val="22"/>
          <w:szCs w:val="22"/>
          <w:lang w:val="en-US"/>
        </w:rPr>
        <w:t>հաստատությունների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Կյանքի</w:t>
      </w:r>
      <w:r w:rsidRPr="001F63BA">
        <w:rPr>
          <w:rFonts w:ascii="GHEA Grapalat" w:hAnsi="GHEA Grapalat"/>
          <w:sz w:val="22"/>
          <w:szCs w:val="22"/>
          <w:lang w:val="af-ZA"/>
        </w:rPr>
        <w:t xml:space="preserve"> </w:t>
      </w:r>
      <w:r w:rsidRPr="001F63BA">
        <w:rPr>
          <w:rFonts w:ascii="GHEA Grapalat" w:hAnsi="GHEA Grapalat"/>
          <w:sz w:val="22"/>
          <w:szCs w:val="22"/>
          <w:lang w:val="en-US"/>
        </w:rPr>
        <w:t>դժվարին</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իրավիճակում</w:t>
      </w:r>
      <w:r w:rsidRPr="001F63BA">
        <w:rPr>
          <w:rFonts w:ascii="GHEA Grapalat" w:hAnsi="GHEA Grapalat"/>
          <w:sz w:val="22"/>
          <w:szCs w:val="22"/>
          <w:lang w:val="af-ZA"/>
        </w:rPr>
        <w:t xml:space="preserve"> </w:t>
      </w:r>
      <w:r w:rsidRPr="001F63BA">
        <w:rPr>
          <w:rFonts w:ascii="GHEA Grapalat" w:hAnsi="GHEA Grapalat"/>
          <w:sz w:val="22"/>
          <w:szCs w:val="22"/>
          <w:lang w:val="en-US"/>
        </w:rPr>
        <w:t>հայտնված</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խնամքի</w:t>
      </w:r>
      <w:r w:rsidRPr="001F63BA">
        <w:rPr>
          <w:rFonts w:ascii="GHEA Grapalat" w:hAnsi="GHEA Grapalat"/>
          <w:sz w:val="22"/>
          <w:szCs w:val="22"/>
          <w:lang w:val="af-ZA"/>
        </w:rPr>
        <w:t xml:space="preserve"> </w:t>
      </w:r>
      <w:r w:rsidRPr="001F63BA">
        <w:rPr>
          <w:rFonts w:ascii="GHEA Grapalat" w:hAnsi="GHEA Grapalat"/>
          <w:sz w:val="22"/>
          <w:szCs w:val="22"/>
          <w:lang w:val="en-US"/>
        </w:rPr>
        <w:t>ցերեկային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գործունեության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կենտրոնական</w:t>
      </w:r>
      <w:r w:rsidRPr="001F63BA">
        <w:rPr>
          <w:rFonts w:ascii="GHEA Grapalat" w:hAnsi="GHEA Grapalat"/>
          <w:sz w:val="22"/>
          <w:szCs w:val="22"/>
          <w:lang w:val="af-ZA"/>
        </w:rPr>
        <w:t xml:space="preserve"> </w:t>
      </w:r>
      <w:r w:rsidRPr="001F63BA">
        <w:rPr>
          <w:rFonts w:ascii="GHEA Grapalat" w:hAnsi="GHEA Grapalat"/>
          <w:sz w:val="22"/>
          <w:szCs w:val="22"/>
          <w:lang w:val="en-US"/>
        </w:rPr>
        <w:t>բաղադրիչն</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համարվում</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հետ</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աշխատանքը</w:t>
      </w:r>
      <w:r w:rsidRPr="001F63BA">
        <w:rPr>
          <w:rFonts w:ascii="GHEA Grapalat" w:hAnsi="GHEA Grapalat"/>
          <w:sz w:val="22"/>
          <w:szCs w:val="22"/>
          <w:lang w:val="af-ZA"/>
        </w:rPr>
        <w:t>, ն</w:t>
      </w:r>
      <w:r w:rsidRPr="001F63BA">
        <w:rPr>
          <w:rFonts w:ascii="GHEA Grapalat" w:hAnsi="GHEA Grapalat"/>
          <w:sz w:val="22"/>
          <w:szCs w:val="22"/>
          <w:lang w:val="en-US"/>
        </w:rPr>
        <w:t>ախարարության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ենթակայությամբ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գործող</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ցերեկային</w:t>
      </w:r>
      <w:r w:rsidRPr="001F63BA">
        <w:rPr>
          <w:rFonts w:ascii="GHEA Grapalat" w:hAnsi="GHEA Grapalat"/>
          <w:sz w:val="22"/>
          <w:szCs w:val="22"/>
          <w:lang w:val="af-ZA"/>
        </w:rPr>
        <w:t xml:space="preserve"> </w:t>
      </w:r>
      <w:r w:rsidRPr="001F63BA">
        <w:rPr>
          <w:rFonts w:ascii="GHEA Grapalat" w:hAnsi="GHEA Grapalat"/>
          <w:sz w:val="22"/>
          <w:szCs w:val="22"/>
          <w:lang w:val="en-US"/>
        </w:rPr>
        <w:t>խնամքի</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ստացող</w:t>
      </w:r>
      <w:r w:rsidRPr="001F63BA">
        <w:rPr>
          <w:rFonts w:ascii="GHEA Grapalat" w:hAnsi="GHEA Grapalat"/>
          <w:sz w:val="22"/>
          <w:szCs w:val="22"/>
          <w:lang w:val="af-ZA"/>
        </w:rPr>
        <w:t xml:space="preserve"> 100%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ծնողներին</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խորհրդատվություն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խորհրդատվությունների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թիվը՝</w:t>
      </w:r>
      <w:r w:rsidRPr="001F63BA">
        <w:rPr>
          <w:rFonts w:ascii="GHEA Grapalat" w:hAnsi="GHEA Grapalat"/>
          <w:sz w:val="22"/>
          <w:szCs w:val="22"/>
          <w:lang w:val="af-ZA"/>
        </w:rPr>
        <w:t xml:space="preserve"> 8250), </w:t>
      </w:r>
      <w:r w:rsidRPr="001F63BA">
        <w:rPr>
          <w:rFonts w:ascii="GHEA Grapalat" w:hAnsi="GHEA Grapalat"/>
          <w:sz w:val="22"/>
          <w:szCs w:val="22"/>
          <w:lang w:val="en-US"/>
        </w:rPr>
        <w:t>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պատվիրակված</w:t>
      </w:r>
      <w:r w:rsidRPr="001F63BA">
        <w:rPr>
          <w:rFonts w:ascii="GHEA Grapalat" w:hAnsi="GHEA Grapalat"/>
          <w:sz w:val="22"/>
          <w:szCs w:val="22"/>
          <w:lang w:val="af-ZA"/>
        </w:rPr>
        <w:t xml:space="preserve"> </w:t>
      </w:r>
      <w:r w:rsidRPr="001F63BA">
        <w:rPr>
          <w:rFonts w:ascii="GHEA Grapalat" w:hAnsi="GHEA Grapalat"/>
          <w:sz w:val="22"/>
          <w:szCs w:val="22"/>
          <w:lang w:val="en-US"/>
        </w:rPr>
        <w:t>լիազորություններ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ունեցող</w:t>
      </w:r>
      <w:r w:rsidRPr="001F63BA">
        <w:rPr>
          <w:rFonts w:ascii="GHEA Grapalat" w:hAnsi="GHEA Grapalat"/>
          <w:sz w:val="22"/>
          <w:szCs w:val="22"/>
          <w:lang w:val="af-ZA"/>
        </w:rPr>
        <w:t xml:space="preserve"> </w:t>
      </w:r>
      <w:r w:rsidRPr="001F63BA">
        <w:rPr>
          <w:rFonts w:ascii="GHEA Grapalat" w:hAnsi="GHEA Grapalat"/>
          <w:sz w:val="22"/>
          <w:szCs w:val="22"/>
          <w:lang w:val="en-US"/>
        </w:rPr>
        <w:t>հասարակական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խնամքի</w:t>
      </w:r>
      <w:r w:rsidRPr="001F63BA">
        <w:rPr>
          <w:rFonts w:ascii="GHEA Grapalat" w:hAnsi="GHEA Grapalat"/>
          <w:sz w:val="22"/>
          <w:szCs w:val="22"/>
          <w:lang w:val="af-ZA"/>
        </w:rPr>
        <w:t xml:space="preserve"> </w:t>
      </w:r>
      <w:r w:rsidRPr="001F63BA">
        <w:rPr>
          <w:rFonts w:ascii="GHEA Grapalat" w:hAnsi="GHEA Grapalat"/>
          <w:sz w:val="22"/>
          <w:szCs w:val="22"/>
          <w:lang w:val="en-US"/>
        </w:rPr>
        <w:t>ցերեկային</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ցուցանիշը</w:t>
      </w:r>
      <w:r w:rsidRPr="001F63BA">
        <w:rPr>
          <w:rFonts w:ascii="GHEA Grapalat" w:hAnsi="GHEA Grapalat"/>
          <w:sz w:val="22"/>
          <w:szCs w:val="22"/>
          <w:lang w:val="af-ZA"/>
        </w:rPr>
        <w:t xml:space="preserve"> </w:t>
      </w:r>
      <w:r w:rsidRPr="001F63BA">
        <w:rPr>
          <w:rFonts w:ascii="GHEA Grapalat" w:hAnsi="GHEA Grapalat"/>
          <w:sz w:val="22"/>
          <w:szCs w:val="22"/>
          <w:lang w:val="en-US"/>
        </w:rPr>
        <w:t>միջինում</w:t>
      </w:r>
      <w:r w:rsidRPr="001F63BA">
        <w:rPr>
          <w:rFonts w:ascii="GHEA Grapalat" w:hAnsi="GHEA Grapalat"/>
          <w:sz w:val="22"/>
          <w:szCs w:val="22"/>
          <w:lang w:val="af-ZA"/>
        </w:rPr>
        <w:t xml:space="preserve"> </w:t>
      </w:r>
      <w:r w:rsidRPr="001F63BA">
        <w:rPr>
          <w:rFonts w:ascii="GHEA Grapalat" w:hAnsi="GHEA Grapalat"/>
          <w:sz w:val="22"/>
          <w:szCs w:val="22"/>
          <w:lang w:val="en-US"/>
        </w:rPr>
        <w:t>կազմում</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92.1%</w:t>
      </w:r>
      <w:r w:rsidRPr="001F63BA">
        <w:rPr>
          <w:rFonts w:ascii="GHEA Grapalat" w:hAnsi="GHEA Grapalat"/>
          <w:sz w:val="22"/>
          <w:szCs w:val="22"/>
          <w:lang w:val="en-US"/>
        </w:rPr>
        <w:t>։</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պատվիրակման</w:t>
      </w:r>
      <w:r w:rsidRPr="001F63BA">
        <w:rPr>
          <w:rFonts w:ascii="GHEA Grapalat" w:hAnsi="GHEA Grapalat"/>
          <w:sz w:val="22"/>
          <w:szCs w:val="22"/>
          <w:lang w:val="af-ZA"/>
        </w:rPr>
        <w:t xml:space="preserve"> </w:t>
      </w:r>
      <w:r w:rsidRPr="001F63BA">
        <w:rPr>
          <w:rFonts w:ascii="GHEA Grapalat" w:hAnsi="GHEA Grapalat"/>
          <w:sz w:val="22"/>
          <w:szCs w:val="22"/>
          <w:lang w:val="en-US"/>
        </w:rPr>
        <w:t>միջոցով</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ՀՀ</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շուրջօրյա</w:t>
      </w:r>
      <w:r w:rsidRPr="001F63BA">
        <w:rPr>
          <w:rFonts w:ascii="GHEA Grapalat" w:hAnsi="GHEA Grapalat"/>
          <w:sz w:val="22"/>
          <w:szCs w:val="22"/>
          <w:lang w:val="af-ZA"/>
        </w:rPr>
        <w:t xml:space="preserve"> </w:t>
      </w:r>
      <w:r w:rsidRPr="001F63BA">
        <w:rPr>
          <w:rFonts w:ascii="GHEA Grapalat" w:hAnsi="GHEA Grapalat"/>
          <w:sz w:val="22"/>
          <w:szCs w:val="22"/>
          <w:lang w:val="en-US"/>
        </w:rPr>
        <w:t>խնամք</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պաշտպանություն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իրականացնող</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հաստատություններում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խնամվող</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հաստատությունում</w:t>
      </w:r>
      <w:r w:rsidRPr="001F63BA">
        <w:rPr>
          <w:rFonts w:ascii="GHEA Grapalat" w:hAnsi="GHEA Grapalat"/>
          <w:sz w:val="22"/>
          <w:szCs w:val="22"/>
          <w:lang w:val="af-ZA"/>
        </w:rPr>
        <w:t xml:space="preserve"> </w:t>
      </w:r>
      <w:r w:rsidRPr="001F63BA">
        <w:rPr>
          <w:rFonts w:ascii="GHEA Grapalat" w:hAnsi="GHEA Grapalat"/>
          <w:sz w:val="22"/>
          <w:szCs w:val="22"/>
          <w:lang w:val="en-US"/>
        </w:rPr>
        <w:t>հայտնվելու</w:t>
      </w:r>
      <w:r w:rsidRPr="001F63BA">
        <w:rPr>
          <w:rFonts w:ascii="GHEA Grapalat" w:hAnsi="GHEA Grapalat"/>
          <w:sz w:val="22"/>
          <w:szCs w:val="22"/>
          <w:lang w:val="af-ZA"/>
        </w:rPr>
        <w:t xml:space="preserve"> </w:t>
      </w:r>
      <w:r w:rsidRPr="001F63BA">
        <w:rPr>
          <w:rFonts w:ascii="GHEA Grapalat" w:hAnsi="GHEA Grapalat"/>
          <w:sz w:val="22"/>
          <w:szCs w:val="22"/>
          <w:lang w:val="en-US"/>
        </w:rPr>
        <w:t>ռիսկի</w:t>
      </w:r>
      <w:r w:rsidRPr="001F63BA">
        <w:rPr>
          <w:rFonts w:ascii="GHEA Grapalat" w:hAnsi="GHEA Grapalat"/>
          <w:sz w:val="22"/>
          <w:szCs w:val="22"/>
          <w:lang w:val="af-ZA"/>
        </w:rPr>
        <w:t xml:space="preserve"> </w:t>
      </w:r>
      <w:r w:rsidRPr="001F63BA">
        <w:rPr>
          <w:rFonts w:ascii="GHEA Grapalat" w:hAnsi="GHEA Grapalat"/>
          <w:sz w:val="22"/>
          <w:szCs w:val="22"/>
          <w:lang w:val="en-US"/>
        </w:rPr>
        <w:t>խմբում</w:t>
      </w:r>
      <w:r w:rsidRPr="001F63BA">
        <w:rPr>
          <w:rFonts w:ascii="GHEA Grapalat" w:hAnsi="GHEA Grapalat"/>
          <w:sz w:val="22"/>
          <w:szCs w:val="22"/>
          <w:lang w:val="af-ZA"/>
        </w:rPr>
        <w:t xml:space="preserve"> </w:t>
      </w:r>
      <w:r w:rsidRPr="001F63BA">
        <w:rPr>
          <w:rFonts w:ascii="GHEA Grapalat" w:hAnsi="GHEA Grapalat"/>
          <w:sz w:val="22"/>
          <w:szCs w:val="22"/>
          <w:lang w:val="en-US"/>
        </w:rPr>
        <w:t>գտնվող</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w:t>
      </w:r>
      <w:r w:rsidRPr="001F63BA">
        <w:rPr>
          <w:rFonts w:ascii="GHEA Grapalat" w:hAnsi="GHEA Grapalat"/>
          <w:sz w:val="22"/>
          <w:szCs w:val="22"/>
          <w:lang w:val="af-ZA"/>
        </w:rPr>
        <w:t xml:space="preserve"> </w:t>
      </w:r>
      <w:r w:rsidRPr="001F63BA">
        <w:rPr>
          <w:rFonts w:ascii="GHEA Grapalat" w:hAnsi="GHEA Grapalat"/>
          <w:sz w:val="22"/>
          <w:szCs w:val="22"/>
          <w:lang w:val="en-US"/>
        </w:rPr>
        <w:t>վերադարձնելու</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մուտքը</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կանխարգելելու</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Կենսաբանական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w:t>
      </w:r>
      <w:r w:rsidRPr="001F63BA">
        <w:rPr>
          <w:rFonts w:ascii="GHEA Grapalat" w:hAnsi="GHEA Grapalat"/>
          <w:sz w:val="22"/>
          <w:szCs w:val="22"/>
          <w:lang w:val="af-ZA"/>
        </w:rPr>
        <w:t xml:space="preserve"> </w:t>
      </w:r>
      <w:r w:rsidRPr="001F63BA">
        <w:rPr>
          <w:rFonts w:ascii="GHEA Grapalat" w:hAnsi="GHEA Grapalat"/>
          <w:sz w:val="22"/>
          <w:szCs w:val="22"/>
          <w:lang w:val="en-US"/>
        </w:rPr>
        <w:t>տեղափոխված</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մուտքը</w:t>
      </w:r>
      <w:r w:rsidRPr="001F63BA">
        <w:rPr>
          <w:rFonts w:ascii="GHEA Grapalat" w:hAnsi="GHEA Grapalat"/>
          <w:sz w:val="22"/>
          <w:szCs w:val="22"/>
          <w:lang w:val="af-ZA"/>
        </w:rPr>
        <w:t xml:space="preserve"> </w:t>
      </w:r>
      <w:r w:rsidRPr="001F63BA">
        <w:rPr>
          <w:rFonts w:ascii="GHEA Grapalat" w:hAnsi="GHEA Grapalat"/>
          <w:sz w:val="22"/>
          <w:szCs w:val="22"/>
          <w:lang w:val="en-US"/>
        </w:rPr>
        <w:t>կանխարգելված</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ընտանիքների</w:t>
      </w:r>
      <w:r w:rsidRPr="001F63BA">
        <w:rPr>
          <w:rFonts w:ascii="GHEA Grapalat" w:hAnsi="GHEA Grapalat"/>
          <w:sz w:val="22"/>
          <w:szCs w:val="22"/>
          <w:lang w:val="af-ZA"/>
        </w:rPr>
        <w:t xml:space="preserve"> </w:t>
      </w:r>
      <w:r w:rsidRPr="001F63BA">
        <w:rPr>
          <w:rFonts w:ascii="GHEA Grapalat" w:hAnsi="GHEA Grapalat"/>
          <w:sz w:val="22"/>
          <w:szCs w:val="22"/>
          <w:lang w:val="en-US"/>
        </w:rPr>
        <w:t>բնաիրային</w:t>
      </w:r>
      <w:r w:rsidRPr="001F63BA">
        <w:rPr>
          <w:rFonts w:ascii="GHEA Grapalat" w:hAnsi="GHEA Grapalat"/>
          <w:sz w:val="22"/>
          <w:szCs w:val="22"/>
          <w:lang w:val="af-ZA"/>
        </w:rPr>
        <w:t xml:space="preserve"> </w:t>
      </w:r>
      <w:r w:rsidRPr="001F63BA">
        <w:rPr>
          <w:rFonts w:ascii="GHEA Grapalat" w:hAnsi="GHEA Grapalat"/>
          <w:sz w:val="22"/>
          <w:szCs w:val="22"/>
          <w:lang w:val="en-US"/>
        </w:rPr>
        <w:t>օգնության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փաթեթի</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տրամադրում</w:t>
      </w:r>
      <w:r w:rsidRPr="001F63BA">
        <w:rPr>
          <w:rFonts w:ascii="GHEA Grapalat" w:hAnsi="GHEA Grapalat"/>
          <w:sz w:val="22"/>
          <w:szCs w:val="22"/>
          <w:lang w:val="af-ZA"/>
        </w:rPr>
        <w:t xml:space="preserve">» </w:t>
      </w:r>
      <w:r w:rsidRPr="001F63BA">
        <w:rPr>
          <w:rFonts w:ascii="GHEA Grapalat" w:hAnsi="GHEA Grapalat"/>
          <w:sz w:val="22"/>
          <w:szCs w:val="22"/>
          <w:lang w:val="en-US"/>
        </w:rPr>
        <w:t>միջոցառումները</w:t>
      </w:r>
      <w:r w:rsidRPr="001F63BA">
        <w:rPr>
          <w:rFonts w:ascii="GHEA Grapalat" w:hAnsi="GHEA Grapalat"/>
          <w:sz w:val="22"/>
          <w:szCs w:val="22"/>
          <w:lang w:val="af-ZA"/>
        </w:rPr>
        <w:t xml:space="preserve"> (</w:t>
      </w:r>
      <w:r w:rsidRPr="001F63BA">
        <w:rPr>
          <w:rFonts w:ascii="GHEA Grapalat" w:hAnsi="GHEA Grapalat"/>
          <w:sz w:val="22"/>
          <w:szCs w:val="22"/>
          <w:lang w:val="en-US"/>
        </w:rPr>
        <w:t>որի</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շուրջ</w:t>
      </w:r>
      <w:r w:rsidRPr="001F63BA">
        <w:rPr>
          <w:rFonts w:ascii="GHEA Grapalat" w:hAnsi="GHEA Grapalat"/>
          <w:sz w:val="22"/>
          <w:szCs w:val="22"/>
          <w:lang w:val="af-ZA"/>
        </w:rPr>
        <w:t xml:space="preserve"> 135 </w:t>
      </w:r>
      <w:r w:rsidRPr="001F63BA">
        <w:rPr>
          <w:rFonts w:ascii="GHEA Grapalat" w:hAnsi="GHEA Grapalat"/>
          <w:sz w:val="22"/>
          <w:szCs w:val="22"/>
          <w:lang w:val="en-US"/>
        </w:rPr>
        <w:t>շահառու</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նրանց</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ընտանիքները</w:t>
      </w:r>
      <w:r w:rsidRPr="001F63BA">
        <w:rPr>
          <w:rFonts w:ascii="GHEA Grapalat" w:hAnsi="GHEA Grapalat"/>
          <w:sz w:val="22"/>
          <w:szCs w:val="22"/>
          <w:lang w:val="af-ZA"/>
        </w:rPr>
        <w:t xml:space="preserve"> </w:t>
      </w:r>
      <w:r w:rsidRPr="001F63BA">
        <w:rPr>
          <w:rFonts w:ascii="GHEA Grapalat" w:hAnsi="GHEA Grapalat"/>
          <w:sz w:val="22"/>
          <w:szCs w:val="22"/>
          <w:lang w:val="en-US"/>
        </w:rPr>
        <w:t>ստանում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ծրագրի</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նպատակներից</w:t>
      </w:r>
      <w:r w:rsidRPr="001F63BA">
        <w:rPr>
          <w:rFonts w:ascii="GHEA Grapalat" w:hAnsi="GHEA Grapalat"/>
          <w:sz w:val="22"/>
          <w:szCs w:val="22"/>
          <w:lang w:val="af-ZA"/>
        </w:rPr>
        <w:t xml:space="preserve"> </w:t>
      </w:r>
      <w:r w:rsidRPr="001F63BA">
        <w:rPr>
          <w:rFonts w:ascii="GHEA Grapalat" w:hAnsi="GHEA Grapalat"/>
          <w:sz w:val="22"/>
          <w:szCs w:val="22"/>
          <w:lang w:val="en-US"/>
        </w:rPr>
        <w:t>բխող</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մասնագիտական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սոցիալական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թվով</w:t>
      </w:r>
      <w:r w:rsidRPr="001F63BA">
        <w:rPr>
          <w:rFonts w:ascii="GHEA Grapalat" w:hAnsi="GHEA Grapalat"/>
          <w:sz w:val="22"/>
          <w:szCs w:val="22"/>
          <w:lang w:val="af-ZA"/>
        </w:rPr>
        <w:t xml:space="preserve"> 27 </w:t>
      </w:r>
      <w:r w:rsidRPr="001F63BA">
        <w:rPr>
          <w:rFonts w:ascii="GHEA Grapalat" w:hAnsi="GHEA Grapalat"/>
          <w:sz w:val="22"/>
          <w:szCs w:val="22"/>
          <w:lang w:val="en-US"/>
        </w:rPr>
        <w:t>կյանքի</w:t>
      </w:r>
      <w:r w:rsidRPr="001F63BA">
        <w:rPr>
          <w:rFonts w:ascii="GHEA Grapalat" w:hAnsi="GHEA Grapalat"/>
          <w:sz w:val="22"/>
          <w:szCs w:val="22"/>
          <w:lang w:val="af-ZA"/>
        </w:rPr>
        <w:t xml:space="preserve"> </w:t>
      </w:r>
      <w:r w:rsidRPr="001F63BA">
        <w:rPr>
          <w:rFonts w:ascii="GHEA Grapalat" w:hAnsi="GHEA Grapalat"/>
          <w:sz w:val="22"/>
          <w:szCs w:val="22"/>
          <w:lang w:val="en-US"/>
        </w:rPr>
        <w:t>դժվարին</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իրավիճակում</w:t>
      </w:r>
      <w:r w:rsidRPr="001F63BA">
        <w:rPr>
          <w:rFonts w:ascii="GHEA Grapalat" w:hAnsi="GHEA Grapalat"/>
          <w:sz w:val="22"/>
          <w:szCs w:val="22"/>
          <w:lang w:val="af-ZA"/>
        </w:rPr>
        <w:t xml:space="preserve"> </w:t>
      </w:r>
      <w:r w:rsidRPr="001F63BA">
        <w:rPr>
          <w:rFonts w:ascii="GHEA Grapalat" w:hAnsi="GHEA Grapalat"/>
          <w:sz w:val="22"/>
          <w:szCs w:val="22"/>
          <w:lang w:val="en-US"/>
        </w:rPr>
        <w:t>հայտնված</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ընտանիքներ</w:t>
      </w:r>
      <w:r w:rsidRPr="001F63BA">
        <w:rPr>
          <w:rFonts w:ascii="GHEA Grapalat" w:hAnsi="GHEA Grapalat"/>
          <w:sz w:val="22"/>
          <w:szCs w:val="22"/>
          <w:lang w:val="af-ZA"/>
        </w:rPr>
        <w:t xml:space="preserve"> </w:t>
      </w:r>
      <w:r w:rsidRPr="001F63BA">
        <w:rPr>
          <w:rFonts w:ascii="GHEA Grapalat" w:hAnsi="GHEA Grapalat"/>
          <w:sz w:val="22"/>
          <w:szCs w:val="22"/>
          <w:lang w:val="en-US"/>
        </w:rPr>
        <w:t>ստանում</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սննդի</w:t>
      </w:r>
      <w:r w:rsidRPr="001F63BA">
        <w:rPr>
          <w:rFonts w:ascii="GHEA Grapalat" w:hAnsi="GHEA Grapalat"/>
          <w:sz w:val="22"/>
          <w:szCs w:val="22"/>
          <w:lang w:val="af-ZA"/>
        </w:rPr>
        <w:t xml:space="preserve"> </w:t>
      </w:r>
      <w:r w:rsidRPr="001F63BA">
        <w:rPr>
          <w:rFonts w:ascii="GHEA Grapalat" w:hAnsi="GHEA Grapalat"/>
          <w:sz w:val="22"/>
          <w:szCs w:val="22"/>
          <w:lang w:val="en-US"/>
        </w:rPr>
        <w:t>զամբյուղ</w:t>
      </w:r>
      <w:r w:rsidRPr="001F63BA">
        <w:rPr>
          <w:rFonts w:ascii="GHEA Grapalat" w:hAnsi="GHEA Grapalat"/>
          <w:sz w:val="22"/>
          <w:szCs w:val="22"/>
          <w:lang w:val="af-ZA"/>
        </w:rPr>
        <w:t xml:space="preserve">, </w:t>
      </w:r>
      <w:r w:rsidRPr="001F63BA">
        <w:rPr>
          <w:rFonts w:ascii="GHEA Grapalat" w:hAnsi="GHEA Grapalat"/>
          <w:sz w:val="22"/>
          <w:szCs w:val="22"/>
          <w:lang w:val="en-US"/>
        </w:rPr>
        <w:t>էլեկտրաէներգիայի</w:t>
      </w:r>
      <w:r w:rsidRPr="001F63BA">
        <w:rPr>
          <w:rFonts w:ascii="GHEA Grapalat" w:hAnsi="GHEA Grapalat"/>
          <w:sz w:val="22"/>
          <w:szCs w:val="22"/>
          <w:lang w:val="af-ZA"/>
        </w:rPr>
        <w:t xml:space="preserve"> </w:t>
      </w:r>
      <w:r w:rsidRPr="001F63BA">
        <w:rPr>
          <w:rFonts w:ascii="GHEA Grapalat" w:hAnsi="GHEA Grapalat"/>
          <w:sz w:val="22"/>
          <w:szCs w:val="22"/>
          <w:lang w:val="en-US"/>
        </w:rPr>
        <w:t>փոխհատուցում</w:t>
      </w:r>
      <w:r w:rsidRPr="001F63BA">
        <w:rPr>
          <w:rFonts w:ascii="GHEA Grapalat" w:hAnsi="GHEA Grapalat"/>
          <w:sz w:val="22"/>
          <w:szCs w:val="22"/>
          <w:lang w:val="af-ZA"/>
        </w:rPr>
        <w:t xml:space="preserve">, </w:t>
      </w:r>
      <w:r w:rsidRPr="001F63BA">
        <w:rPr>
          <w:rFonts w:ascii="GHEA Grapalat" w:hAnsi="GHEA Grapalat"/>
          <w:sz w:val="22"/>
          <w:szCs w:val="22"/>
          <w:lang w:val="en-US"/>
        </w:rPr>
        <w:t>բնաիրային</w:t>
      </w:r>
      <w:r w:rsidRPr="001F63BA">
        <w:rPr>
          <w:rFonts w:ascii="GHEA Grapalat" w:hAnsi="GHEA Grapalat"/>
          <w:sz w:val="22"/>
          <w:szCs w:val="22"/>
          <w:lang w:val="af-ZA"/>
        </w:rPr>
        <w:t xml:space="preserve"> </w:t>
      </w:r>
      <w:r w:rsidRPr="001F63BA">
        <w:rPr>
          <w:rFonts w:ascii="GHEA Grapalat" w:hAnsi="GHEA Grapalat"/>
          <w:sz w:val="22"/>
          <w:szCs w:val="22"/>
          <w:lang w:val="en-US"/>
        </w:rPr>
        <w:t>փաթեթ</w:t>
      </w:r>
      <w:r w:rsidRPr="001F63BA">
        <w:rPr>
          <w:rFonts w:ascii="GHEA Grapalat" w:hAnsi="GHEA Grapalat"/>
          <w:sz w:val="22"/>
          <w:szCs w:val="22"/>
          <w:lang w:val="af-ZA"/>
        </w:rPr>
        <w:t>)</w:t>
      </w:r>
      <w:r w:rsidRPr="001F63BA">
        <w:rPr>
          <w:rFonts w:ascii="GHEA Grapalat" w:hAnsi="GHEA Grapalat"/>
          <w:sz w:val="22"/>
          <w:szCs w:val="22"/>
          <w:lang w:val="en-US"/>
        </w:rPr>
        <w:t>։</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կյանքի</w:t>
      </w:r>
      <w:r w:rsidRPr="001F63BA">
        <w:rPr>
          <w:rFonts w:ascii="GHEA Grapalat" w:hAnsi="GHEA Grapalat"/>
          <w:sz w:val="22"/>
          <w:szCs w:val="22"/>
          <w:lang w:val="af-ZA"/>
        </w:rPr>
        <w:t xml:space="preserve"> </w:t>
      </w:r>
      <w:r w:rsidRPr="001F63BA">
        <w:rPr>
          <w:rFonts w:ascii="GHEA Grapalat" w:hAnsi="GHEA Grapalat"/>
          <w:sz w:val="22"/>
          <w:szCs w:val="22"/>
          <w:lang w:val="en-US"/>
        </w:rPr>
        <w:t>դժվարին</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իրավիճակում</w:t>
      </w:r>
      <w:r w:rsidRPr="001F63BA">
        <w:rPr>
          <w:rFonts w:ascii="GHEA Grapalat" w:hAnsi="GHEA Grapalat"/>
          <w:sz w:val="22"/>
          <w:szCs w:val="22"/>
          <w:lang w:val="af-ZA"/>
        </w:rPr>
        <w:t xml:space="preserve"> </w:t>
      </w:r>
      <w:r w:rsidRPr="001F63BA">
        <w:rPr>
          <w:rFonts w:ascii="GHEA Grapalat" w:hAnsi="GHEA Grapalat"/>
          <w:sz w:val="22"/>
          <w:szCs w:val="22"/>
          <w:lang w:val="en-US"/>
        </w:rPr>
        <w:t>հայտնված</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երեխաներին</w:t>
      </w:r>
      <w:r w:rsidRPr="001F63BA">
        <w:rPr>
          <w:rFonts w:ascii="GHEA Grapalat" w:hAnsi="GHEA Grapalat"/>
          <w:sz w:val="22"/>
          <w:szCs w:val="22"/>
          <w:lang w:val="af-ZA"/>
        </w:rPr>
        <w:t xml:space="preserve"> </w:t>
      </w:r>
      <w:r w:rsidRPr="001F63BA">
        <w:rPr>
          <w:rFonts w:ascii="GHEA Grapalat" w:hAnsi="GHEA Grapalat"/>
          <w:sz w:val="22"/>
          <w:szCs w:val="22"/>
          <w:lang w:val="en-US"/>
        </w:rPr>
        <w:t>ճգնաժամային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տրամադրումը,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Շիրակի</w:t>
      </w:r>
      <w:r w:rsidRPr="001F63BA">
        <w:rPr>
          <w:rFonts w:ascii="GHEA Grapalat" w:hAnsi="GHEA Grapalat"/>
          <w:sz w:val="22"/>
          <w:szCs w:val="22"/>
          <w:lang w:val="af-ZA"/>
        </w:rPr>
        <w:t xml:space="preserve"> </w:t>
      </w:r>
      <w:r w:rsidRPr="001F63BA">
        <w:rPr>
          <w:rFonts w:ascii="GHEA Grapalat" w:hAnsi="GHEA Grapalat"/>
          <w:sz w:val="22"/>
          <w:szCs w:val="22"/>
          <w:lang w:val="en-US"/>
        </w:rPr>
        <w:t>մարզի</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ընտանիքի</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w:t>
      </w:r>
      <w:r w:rsidRPr="001F63BA">
        <w:rPr>
          <w:rFonts w:ascii="GHEA Grapalat" w:hAnsi="GHEA Grapalat"/>
          <w:sz w:val="22"/>
          <w:szCs w:val="22"/>
          <w:lang w:val="af-ZA"/>
        </w:rPr>
        <w:t>», «</w:t>
      </w:r>
      <w:r w:rsidRPr="001F63BA">
        <w:rPr>
          <w:rFonts w:ascii="GHEA Grapalat" w:hAnsi="GHEA Grapalat"/>
          <w:sz w:val="22"/>
          <w:szCs w:val="22"/>
          <w:lang w:val="en-US"/>
        </w:rPr>
        <w:t>Սյունիքի</w:t>
      </w:r>
      <w:r w:rsidRPr="001F63BA">
        <w:rPr>
          <w:rFonts w:ascii="GHEA Grapalat" w:hAnsi="GHEA Grapalat"/>
          <w:sz w:val="22"/>
          <w:szCs w:val="22"/>
          <w:lang w:val="af-ZA"/>
        </w:rPr>
        <w:t xml:space="preserve"> </w:t>
      </w:r>
      <w:r w:rsidRPr="001F63BA">
        <w:rPr>
          <w:rFonts w:ascii="GHEA Grapalat" w:hAnsi="GHEA Grapalat"/>
          <w:sz w:val="22"/>
          <w:szCs w:val="22"/>
          <w:lang w:val="en-US"/>
        </w:rPr>
        <w:t>մարզի</w:t>
      </w:r>
      <w:r w:rsidRPr="001F63BA">
        <w:rPr>
          <w:rFonts w:ascii="GHEA Grapalat" w:hAnsi="GHEA Grapalat"/>
          <w:sz w:val="22"/>
          <w:szCs w:val="22"/>
          <w:lang w:val="af-ZA"/>
        </w:rPr>
        <w:t xml:space="preserve"> </w:t>
      </w:r>
      <w:r w:rsidRPr="001F63BA">
        <w:rPr>
          <w:rFonts w:ascii="GHEA Grapalat" w:hAnsi="GHEA Grapalat"/>
          <w:sz w:val="22"/>
          <w:szCs w:val="22"/>
          <w:lang w:val="en-US"/>
        </w:rPr>
        <w:t>երեխայի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ընտանիքի</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w:t>
      </w:r>
      <w:r w:rsidRPr="001F63BA">
        <w:rPr>
          <w:rFonts w:ascii="GHEA Grapalat" w:hAnsi="GHEA Grapalat"/>
          <w:sz w:val="22"/>
          <w:szCs w:val="22"/>
          <w:lang w:val="af-ZA"/>
        </w:rPr>
        <w:t xml:space="preserve">», </w:t>
      </w:r>
      <w:r w:rsidRPr="001F63BA">
        <w:rPr>
          <w:rFonts w:ascii="GHEA Grapalat" w:hAnsi="GHEA Grapalat"/>
          <w:sz w:val="22"/>
          <w:szCs w:val="22"/>
          <w:lang w:val="en-US"/>
        </w:rPr>
        <w:t>ինչպես</w:t>
      </w:r>
      <w:r w:rsidRPr="001F63BA">
        <w:rPr>
          <w:rFonts w:ascii="GHEA Grapalat" w:hAnsi="GHEA Grapalat"/>
          <w:sz w:val="22"/>
          <w:szCs w:val="22"/>
          <w:lang w:val="af-ZA"/>
        </w:rPr>
        <w:t xml:space="preserve"> </w:t>
      </w:r>
      <w:r w:rsidRPr="001F63BA">
        <w:rPr>
          <w:rFonts w:ascii="GHEA Grapalat" w:hAnsi="GHEA Grapalat"/>
          <w:sz w:val="22"/>
          <w:szCs w:val="22"/>
          <w:lang w:val="en-US"/>
        </w:rPr>
        <w:t>նաև</w:t>
      </w:r>
      <w:r w:rsidRPr="001F63BA">
        <w:rPr>
          <w:rFonts w:ascii="GHEA Grapalat" w:hAnsi="GHEA Grapalat"/>
          <w:sz w:val="22"/>
          <w:szCs w:val="22"/>
          <w:lang w:val="af-ZA"/>
        </w:rPr>
        <w:t xml:space="preserve"> «</w:t>
      </w:r>
      <w:r w:rsidRPr="001F63BA">
        <w:rPr>
          <w:rFonts w:ascii="GHEA Grapalat" w:hAnsi="GHEA Grapalat"/>
          <w:sz w:val="22"/>
          <w:szCs w:val="22"/>
          <w:lang w:val="en-US"/>
        </w:rPr>
        <w:t>Երևանի</w:t>
      </w:r>
      <w:r w:rsidRPr="001F63BA">
        <w:rPr>
          <w:rFonts w:ascii="GHEA Grapalat" w:hAnsi="GHEA Grapalat"/>
          <w:sz w:val="22"/>
          <w:szCs w:val="22"/>
          <w:lang w:val="af-ZA"/>
        </w:rPr>
        <w:t xml:space="preserve"> </w:t>
      </w:r>
      <w:r w:rsidRPr="001F63BA">
        <w:rPr>
          <w:rFonts w:ascii="GHEA Grapalat" w:hAnsi="GHEA Grapalat"/>
          <w:sz w:val="22"/>
          <w:szCs w:val="22"/>
          <w:lang w:val="en-US"/>
        </w:rPr>
        <w:t>Զատիկ</w:t>
      </w:r>
      <w:r w:rsidRPr="001F63BA">
        <w:rPr>
          <w:rFonts w:ascii="GHEA Grapalat" w:hAnsi="GHEA Grapalat"/>
          <w:sz w:val="22"/>
          <w:szCs w:val="22"/>
          <w:lang w:val="af-ZA"/>
        </w:rPr>
        <w:t xml:space="preserve"> </w:t>
      </w:r>
      <w:r w:rsidRPr="001F63BA">
        <w:rPr>
          <w:rFonts w:ascii="GHEA Grapalat" w:hAnsi="GHEA Grapalat"/>
          <w:sz w:val="22"/>
          <w:szCs w:val="22"/>
          <w:lang w:val="en-US"/>
        </w:rPr>
        <w:t>երեխաների</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կենտրոն</w:t>
      </w:r>
      <w:r w:rsidRPr="001F63BA">
        <w:rPr>
          <w:rFonts w:ascii="GHEA Grapalat" w:hAnsi="GHEA Grapalat"/>
          <w:sz w:val="22"/>
          <w:szCs w:val="22"/>
          <w:lang w:val="af-ZA"/>
        </w:rPr>
        <w:t xml:space="preserve">» </w:t>
      </w:r>
      <w:r w:rsidRPr="001F63BA">
        <w:rPr>
          <w:rFonts w:ascii="GHEA Grapalat" w:hAnsi="GHEA Grapalat"/>
          <w:sz w:val="22"/>
          <w:szCs w:val="22"/>
          <w:lang w:val="en-US"/>
        </w:rPr>
        <w:t>ՊՈԱԿ</w:t>
      </w:r>
      <w:r w:rsidRPr="001F63BA">
        <w:rPr>
          <w:rFonts w:ascii="GHEA Grapalat" w:hAnsi="GHEA Grapalat"/>
          <w:sz w:val="22"/>
          <w:szCs w:val="22"/>
          <w:lang w:val="af-ZA"/>
        </w:rPr>
        <w:t>-</w:t>
      </w:r>
      <w:r w:rsidRPr="001F63BA">
        <w:rPr>
          <w:rFonts w:ascii="GHEA Grapalat" w:hAnsi="GHEA Grapalat"/>
          <w:sz w:val="22"/>
          <w:szCs w:val="22"/>
          <w:lang w:val="en-US"/>
        </w:rPr>
        <w:t>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ծառայություն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ստացել</w:t>
      </w:r>
      <w:r w:rsidRPr="001F63BA">
        <w:rPr>
          <w:rFonts w:ascii="GHEA Grapalat" w:hAnsi="GHEA Grapalat"/>
          <w:sz w:val="22"/>
          <w:szCs w:val="22"/>
          <w:lang w:val="af-ZA"/>
        </w:rPr>
        <w:t xml:space="preserve"> </w:t>
      </w:r>
      <w:r w:rsidRPr="001F63BA">
        <w:rPr>
          <w:rFonts w:ascii="GHEA Grapalat" w:hAnsi="GHEA Grapalat"/>
          <w:sz w:val="22"/>
          <w:szCs w:val="22"/>
          <w:lang w:val="en-US"/>
        </w:rPr>
        <w:t>շուրջ</w:t>
      </w:r>
      <w:r w:rsidRPr="001F63BA">
        <w:rPr>
          <w:rFonts w:ascii="GHEA Grapalat" w:hAnsi="GHEA Grapalat"/>
          <w:sz w:val="22"/>
          <w:szCs w:val="22"/>
          <w:lang w:val="af-ZA"/>
        </w:rPr>
        <w:t xml:space="preserve"> 125 </w:t>
      </w:r>
      <w:r w:rsidRPr="001F63BA">
        <w:rPr>
          <w:rFonts w:ascii="GHEA Grapalat" w:hAnsi="GHEA Grapalat"/>
          <w:sz w:val="22"/>
          <w:szCs w:val="22"/>
          <w:lang w:val="en-US"/>
        </w:rPr>
        <w:t xml:space="preserve">շահառուներ։ Վերոնշյալ կենտրոններից կենսաբանական ընտանիքների հետ վերամիավորման ցուցանիշը կազմում է շուրջ 36.6%։ </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ab/>
        <w:t xml:space="preserve">Երեխայի՝ ընտանիքում ապրելու իրավունքի իրացման նպատակով ապահովվել է 105 երեխայի խնամքը խնամատար ընտանիքներում, կազմակերպվել խնամատար ծնող դառնալ ցանկացող 48 </w:t>
      </w:r>
      <w:r w:rsidRPr="001F63BA">
        <w:rPr>
          <w:rFonts w:ascii="GHEA Grapalat" w:hAnsi="GHEA Grapalat"/>
          <w:sz w:val="22"/>
          <w:szCs w:val="22"/>
          <w:lang w:val="en-US"/>
        </w:rPr>
        <w:lastRenderedPageBreak/>
        <w:t xml:space="preserve">անձանց, ինչպես նաև որդեգրել ցանկացող 92 անձանց դասընթաց։ Փոփոխություններ և լրացումներ են իրականացվել ոլորտային իրավական ակտերում, որոնք նպաստել են երեխայի ձայնը լսելի լինելուն, երեխաների իրավունքների պաշտպանության ազգային հանձնաժողովի գործունեության արդյունավետության բարձրացմանը, ցերեկային խնամքի ծառայությունների որակի բարձրացմանը և այլն։ </w:t>
      </w:r>
    </w:p>
    <w:p w:rsidR="001C411D" w:rsidRPr="001F63BA" w:rsidRDefault="001C411D" w:rsidP="002C0C00">
      <w:pPr>
        <w:spacing w:line="360" w:lineRule="auto"/>
        <w:ind w:firstLine="567"/>
        <w:jc w:val="both"/>
        <w:rPr>
          <w:rFonts w:ascii="GHEA Grapalat" w:hAnsi="GHEA Grapalat"/>
          <w:sz w:val="22"/>
          <w:szCs w:val="22"/>
          <w:lang w:val="en-US"/>
        </w:rPr>
      </w:pPr>
    </w:p>
    <w:p w:rsidR="001C411D" w:rsidRPr="001F63BA" w:rsidRDefault="001C411D" w:rsidP="008A5E8A">
      <w:pPr>
        <w:spacing w:line="360" w:lineRule="auto"/>
        <w:ind w:firstLine="567"/>
        <w:jc w:val="both"/>
        <w:rPr>
          <w:rFonts w:ascii="GHEA Grapalat" w:hAnsi="GHEA Grapalat"/>
          <w:sz w:val="22"/>
          <w:szCs w:val="22"/>
          <w:u w:val="single"/>
          <w:lang w:val="en-US"/>
        </w:rPr>
      </w:pPr>
      <w:r w:rsidRPr="001F63BA">
        <w:rPr>
          <w:rFonts w:ascii="GHEA Grapalat" w:hAnsi="GHEA Grapalat"/>
          <w:sz w:val="22"/>
          <w:szCs w:val="22"/>
          <w:u w:val="single"/>
          <w:lang w:val="en-US"/>
        </w:rPr>
        <w:t>Մարդկանց թրաֆիքինգի և կանանց հիմնահարցերի բնագավառ</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«Ընտանիքներին, կանանց և երեխաներին աջակցություն» ծրագրի շրջանակներում շարունակվել են իրականացվել «Ընտանիքում բռնության ենթարկված անձանց աջակցության կենտրոնների ծառայություններ», «Ընտանիքում բռնության ենթարկված անձանց ապաստարանի ծառայություններ», «Ընտանիքում բռնության ենթարկվածների ժամանակավոր աջակցություն», «Թրաֆիքինգի և շահագործման, սեռական բռնության ենթարկված անձանց սոցիալ-հոգեբանական վերականգնողական ծառայություններ», «Մարդկանց թրաֆիքինգի և/կամ շահագործման զոհերին միանվագ դրամական փոխհատուցման տրամադրում» միջոցառումները:</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«Ընտանիքում բռնության ենթարկված անձանց աջակցության կենտրոնների ծառայություններ» միջոցառմամբ ապահովվել է «Ընտանիքում բռնության կանխարգելման, ընտանիքում բռնության ենթարկված անձանց պաշտպանության և ընտանիքում համերաշխության վերականգնման մասին» ՀՀ օրենքի 19-րդ հոդվածի պահանջներին համապատասխան ծառայությունների տրամադրումը։ 2022 թվականին ընտանիքում բռնության ենթարկված անձանց աջակցության կենտրոններ են գործել բոլոր մարզերում և Երևան քաղաքում։ Ծրագրի ավարտին համապատասխան ծառայություններ է ստացել ընտանիքում բռնության ենթարկված 1756 անձ։</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«Ընտանիքում բռնության ենթարկված անձանց ապաստարանի ծառայություններ» միջոցառմամբ 2022 թվականին պետական համաֆինանսավորմամբ գործել է ՀՀ կառավարության 29.03.2019թ. N 364-Ն որոշմամբ սահմանված չափորոշիչներին համապատասխան 2 ապաստարան, որտեղ ընտանիքում բռնության ենթարկվածները, անհրաժեշտության դեպքում նաև նրանց խնամքի տակ գտնվող անձինք, ապահովվել են անհատույց ապահով բնակելի տարածքով, սննդով, հագուստով, տրամադրվել է հոգեբանական, իրավաբանական օգնություն, ինչպես նաև օրենսդրությամբ սահմանված սոցիալական աջակցություն։ 2022 թվականին ծառայություն է մատուցվել ընտանեկան բռնության ենթարկված 201 անձի։ </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«Ընտանիքում բռնության ենթարկվածների ժամանակավոր աջակցություն» միջոցառման շրջանակներում «Ընտանիքում բռնության ենթարկվածների ժամանակավոր աջակցության հաշվեհամարի տնօրինման կարգը սահմանելու մասին» ՀՀ կառավարության 29.03.2019թ. N 333-Ն </w:t>
      </w:r>
      <w:r w:rsidRPr="001F63BA">
        <w:rPr>
          <w:rFonts w:ascii="GHEA Grapalat" w:hAnsi="GHEA Grapalat"/>
          <w:sz w:val="22"/>
          <w:szCs w:val="22"/>
          <w:lang w:val="en-US"/>
        </w:rPr>
        <w:lastRenderedPageBreak/>
        <w:t>որոշման հիման վրա շարունակվել է իրականացվել ընտանիքում բռնության ենթարկված անձանց ֆինանսական աջակցության տրամադրման գործընթացը։ Ընտանիքում բռնության ենթարկված անձին ֆինանսական աջակցությունը տրամադրվել է ոչ ավելի, քան 150 հազ. դրամի չափով։ 2022 թվականի ավարտին ֆինանսական աջակցություն է տրամադրվել ընտանիքում բռնության ենթարկված 121 անձի։</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«Թրաֆիքինգի և շահագործման, սեռական բռնության ենթարկված անձանց սոցիալ-հոգեբանական վերականգնողական ծառայություններ» միջոցառմամբ «Մարդկանց թրաֆիքինգի և (կամ) շահագործման ենթարկված անձանց նույնացման և աջակցության մասին» ՀՀ օրենքի հիման վրա ապահովվել է թրաֆիքինգի և շահագործման՝ սեռական բռնության ենթարկված անձանց պաշտպանությունը, բազմակողմանի ու օպերատիվ աջակցության կազմակերպումը՝ ուղղված նրանց կյանքի բնականոն ընթացքից մարդկանց թրաֆիքինգի և շահագործման ենթարկվելու հետևանքով առաջացած շեղումների վերացմանը։ 2022 թվականին համապատասխան ծառայություններ են տրամադրվել թրաֆիքինգի և շահագործման, սեռական բռնության ենթարկված 8 անձի։</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«Մարդկանց թրաֆիքինգի (և/կամ) շահագործման զոհերին միանվագ դրամական փոխհատուցման տրամադրում» միջոցառմամբ «Մարդկանց թրաֆիքինգի և (կամ) շահագործման ենթարկված անձանց նույնացման և աջակցության մասին» ՀՀ օրենքի և ՀՀ կառավարության 05.05.2016թ. N 492-Ն որոշման հավելվածի 46-րդ կետի համաձայն` նախատեսվել է մասնակի փոխհատուցել թրաֆիքինգի և շահագործման ենթարկված անձանց կրած վնասները։ 2022 թվականի ավարտին միանվագ դրամական փոխհատուցում է տրամադրվել թրաֆիքինգի և շահագործման, սեռական բռնության ենթարկված 2 անձի։</w:t>
      </w:r>
    </w:p>
    <w:p w:rsidR="001C411D" w:rsidRPr="001F63BA" w:rsidRDefault="001C411D" w:rsidP="008A5E8A">
      <w:pPr>
        <w:ind w:firstLine="540"/>
        <w:jc w:val="both"/>
        <w:rPr>
          <w:rFonts w:ascii="GHEA Grapalat" w:hAnsi="GHEA Grapalat"/>
          <w:lang w:val="en-US"/>
        </w:rPr>
      </w:pPr>
    </w:p>
    <w:p w:rsidR="001C411D" w:rsidRPr="001F63BA" w:rsidRDefault="001C411D" w:rsidP="008A5E8A">
      <w:pPr>
        <w:spacing w:line="360" w:lineRule="auto"/>
        <w:ind w:firstLine="567"/>
        <w:jc w:val="both"/>
        <w:rPr>
          <w:rFonts w:ascii="GHEA Grapalat" w:hAnsi="GHEA Grapalat"/>
          <w:sz w:val="22"/>
          <w:szCs w:val="22"/>
          <w:u w:val="single"/>
          <w:lang w:val="en-US"/>
        </w:rPr>
      </w:pPr>
      <w:r w:rsidRPr="001F63BA">
        <w:rPr>
          <w:rFonts w:ascii="GHEA Grapalat" w:hAnsi="GHEA Grapalat"/>
          <w:sz w:val="22"/>
          <w:szCs w:val="22"/>
          <w:u w:val="single"/>
          <w:lang w:val="en-US"/>
        </w:rPr>
        <w:t>Հաշմանդամություն ունեցող անձանց հիմնահարցերի բնագավառ</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իրականացվել են աշխատանքներ՝ ուղղված հաշմանդամություն ունեցող անձանց իրավունքների պաշտպանությանը և հավասար հնարավորությունների ապահովմանը` բնագավառի օրենսդրության կատարելագործման միջոցով:</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2021 թվականի մայիսի 5-ին «Հաշմանդամություն ունեցող անձանց իրավունքների մասին» և «Անձի ֆունկցիոնալության գնահատման մասին» օրենքների ընդունումից հետո մշակվել և ընդունվել են օրենքների կիրարկումն ապահովող ենթաօրենսդրական իրավական ակտերը:</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Իրականացվել են աշխատանքներ անձի ֆունկցիոնալության գնահատման համակարգի ներդրման ուղղությամբ։ ՀՀ կառավարության 28.07.2022թ. N 1180-Ն, 28.07.2022թ. N 1177-Ն և 28.07.2022թ. N 1161-Ն որոշումների համաձայն 2023 թվականի փետրվարի 1-ից մեկնարկել է անձի ֆունկցիոնալության գնահատման գործընթացն առաջին անգամ հաշմանդամության գնահատման </w:t>
      </w:r>
      <w:r w:rsidRPr="001F63BA">
        <w:rPr>
          <w:rFonts w:ascii="GHEA Grapalat" w:hAnsi="GHEA Grapalat"/>
          <w:sz w:val="22"/>
          <w:szCs w:val="22"/>
          <w:lang w:val="en-US"/>
        </w:rPr>
        <w:lastRenderedPageBreak/>
        <w:t>համար դիմող անձանց նկատմամբ, 2024 թվականից կկիրառվի նաև կրկնակի անգամ դիմող անձանց նկատմամբ։ Անձի ֆունկցիոնալության գնահատման համակարգը հնարավորություն կընձեռի իրականացնել անձի կարիքների բազմակողմանի գնահատում, հաշմանդամությունը դիտարկել անձի առողջական խնդիրների, նրա կարողությունների և միջավայրային գործոնների ունեցած ազդեցության համատեքստում և որոշել յուրաքանչյուր անձի անհատական ծառայությունների փաթեթը:</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ՀՀ ԱՍՀՆ կողմից որակավորված 16 կազմակերպությունների կողմից տարվա ընթացքում տրամադրվել են 21225 աջակցող միջոցներ, այդ թվում՝ պրոթեզներ, օրթեզներ, օրթոպեդիկ և օրթեզի կոշիկներ, լսողական սարքեր, անվասայլակներ, ձայնաստեղծ սարքեր և այլն։</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Պետական բյուջեի առանձին ծախսային միջոցառումների շրջանակներում իրականացվել են հաշմանդամություն ունեցող անձանց խնամքի և սոցիալ-վերականգնողական ծառայություններ` ուղղված հաշմանդամություն ունեցող անձանց սոցիալական ներառմանը և անկախ կյանքի հմտությունների ձևավորմանը: Ծառայությունների իրականացման նպատակով հայտարարվել են դրամաշնորհի տրամադրման մրցույթներ, որոնց մասնակցել են նախարարության կողմից սահմանված կարգով հավաստագրված կազմակերպությունները: Մրցույթների արդյունքում հաղթող կազմակերպություններին ՀՀ պետական բյուջեից տրամադրվել են դրամաշնորհներ` ցերեկային կենտրոններում կամ խմբային փոքր տներում հաշմանդամություն ունեցող անձանց խնամքը, զբաղվածությունը, անհրաժեշտ հմտությունների ուսուցումը կազմակերպելու նպատակով: 2022 թվականի ընթացքում սոցիալ-վերականգնողական ծառայություններ են մատուցվել ցերեկային խնամքի կենտրոններում ամսական 354 անձի և շուրջօրյա խնամք է կազմակերպվել համայնքահենք խմբային փոքր տներում ամսական 46 անձի համար։ </w:t>
      </w:r>
    </w:p>
    <w:p w:rsidR="001C411D" w:rsidRPr="001F63BA" w:rsidRDefault="001C411D" w:rsidP="002C0C00">
      <w:pPr>
        <w:spacing w:line="360" w:lineRule="auto"/>
        <w:ind w:firstLine="567"/>
        <w:jc w:val="both"/>
        <w:rPr>
          <w:rFonts w:ascii="GHEA Grapalat" w:hAnsi="GHEA Grapalat"/>
          <w:sz w:val="22"/>
          <w:szCs w:val="22"/>
          <w:lang w:val="en-US"/>
        </w:rPr>
      </w:pPr>
    </w:p>
    <w:p w:rsidR="001C411D" w:rsidRPr="001F63BA" w:rsidRDefault="001C411D" w:rsidP="008A5E8A">
      <w:pPr>
        <w:spacing w:line="360" w:lineRule="auto"/>
        <w:ind w:firstLine="567"/>
        <w:jc w:val="both"/>
        <w:rPr>
          <w:rFonts w:ascii="GHEA Grapalat" w:hAnsi="GHEA Grapalat"/>
          <w:sz w:val="22"/>
          <w:szCs w:val="22"/>
          <w:u w:val="single"/>
          <w:lang w:val="en-US"/>
        </w:rPr>
      </w:pPr>
      <w:r w:rsidRPr="001F63BA">
        <w:rPr>
          <w:rFonts w:ascii="GHEA Grapalat" w:hAnsi="GHEA Grapalat"/>
          <w:sz w:val="22"/>
          <w:szCs w:val="22"/>
          <w:u w:val="single"/>
          <w:lang w:val="en-US"/>
        </w:rPr>
        <w:t>Տարեցների հիմնահարցերի բնագավառ</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շարունակվել է տարեց և (կամ) հաշմանդամություն ունեցող անձանց սոցիալական պաշտպանության և սոցիալական ներառման ուղղություններով միջոցառումների և ծրագրերի մշակումն ու իրագործումը, մասնավորապես՝ պետական միջոցների շրջանակում շահառուներին մատուցվող խնամքի ծառայությունների շարունակականության ապահովումը` խրախուսելով ծառայությունների պատվիրակումը հասարակական կազմակերպություններին մրցութային եղանակով, բարելավվել է շահառուներին մատուցվող ծառայությունների որակը, խնամքի ծառայությունների մատուցման գործընթացի համատեքստում ընդլայնվել են համայնքային այլընտրանքային ծառայությունները՝ ներգրավելով նաև համայնքի ներուժը:</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 xml:space="preserve">Աշխատանքներ են տարվել ՀՀ կառավարության 08.04.2021թ. N 498-Լ որոշմամբ հաստատված՝ տարեցներին մատուցվող խնամքի ծառայությունների բարելավման և համայնքահենք ծառայությունների ներդրման ու զարգացման ծրագրի՝ 2022 թվականի համար նախատեսված միջոցառումների իրականացման ուղղությամբ, մասնավորապես՝ խնամքի համայնքահենք ծառայությունների ներդրման նպատակով իրականացվել է ինչպես տարեցների, այնպես էլ համայնքների կարիքների գնահատում, ուսումնասիրվել են համայնքների ռեսուրսները և հնարավորությունները իրենց համայնքում նոր ծառայություններ ներդնելու նպատակով, այնուհետև կազմվել է տարեցների և համայնքների գնահատված կարիքների համադրման արդյունքում բոլոր կողմերի համար նախընտրելի ծառայությունների ցանկ՝ ըստ կոնկրետ համայնքների, որը հիմք կհանդիսանա 2023-2024 թվականներին համայնքներում տարբեր ծառայությունների ներդրման համար ծրագրային առաջարկություններ մշակելու և ներկայացնելու համար: Համաձայն ծրագրի, աշխատանքներ են տարվել տարեցների սոցիալական պաշտպանությանն առնչվող օրենսդրության կատարելագործման ուղղությամբ, մասնավորապես՝ 2022 թվականին Կառավարությունն ընդունել է ոլորտին առնչվող չորս իրավական ակտ: Մշակվել է տարեցների համար ճգնաժամային կենտրոններ ստեղծելու ծրագիր, որն իր իրավական կարգավորումը կստանա 2023 թվականին: </w:t>
      </w:r>
    </w:p>
    <w:p w:rsidR="001C411D" w:rsidRPr="001F63BA" w:rsidRDefault="001C411D" w:rsidP="002C0C0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 2022 թվականին շարունակվել է պետական բյուջեով նախատեսված միջոցների հաշվին խնամքի տրամադրման, սննդի կազմակերպման և կացարանով ապահովման ծառայությունների տրամադրումը նույն ուղղություններով՝ 4362 շահառուի համար, մասնավորապես՝</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շուրջօրյա խնամքի ծառայություններ են տրամադրվել 1183 տարեց և հաշմանդամություն ունեցող անձի (այդ թվում՝ հոգեկան առողջության խնդիրներ ունեցող)՝ շուրջօրյա խնամքի ծառայություններ մատուցող ընդհանուր տիպի և հատուկ (մասնագիտացված) վեց հաստատություններում,</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տնային պայմաններում խնամք և այլ սոցիալական ծառայություններ են տրամադրվել Երևան քաղաքում և հանրապետության մարզերում բնակվող տարեց և հաշմանդամություն ունեցող 1796 շահառուի. տնային խնամքի ծառայությունները տրամադրվում են դրամաշնորհի տրամադրման մրցույթում հաղթած հինգ ոչ պետական և մեկ պետական կազմակերպության կողմից։ Միաժամանակ, սկսած 2020 թվականից, տնային խնամքի ծառայություններ են տրամադրվում նաև հոգեկան առողջության խնդիրներ ունեցող 50 անձի։ 2022 թվականին Երևան քաղաքում և մարզերում փաստացի ծառայություններ են տրամադրվել 63 անձի,</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սոցիալական հոգածության ցերեկային կենտրոններում խնամքի ծառայություններ են տրամադրվել 1244 անձի՝ Երևան քաղաքում և հանրապետության մարզերում: Ցերեկային խնամքի </w:t>
      </w:r>
      <w:r w:rsidRPr="001F63BA">
        <w:rPr>
          <w:rFonts w:ascii="GHEA Grapalat" w:hAnsi="GHEA Grapalat" w:cs="GHEA Grapalat"/>
          <w:bCs/>
          <w:lang w:val="af-ZA"/>
        </w:rPr>
        <w:lastRenderedPageBreak/>
        <w:t>ծառայությունները տրամադրվում են դրամաշնորհի մրցույթում հաղթած երեք ոչ պետական կազմակերպությունների կողմից,</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որոշակի բնակության վայր չունեցող անօթևան անձանց կացարանով ապահովման և նրանց սոցիալական ներառմանն ուղղված ծառայություններ, այսպես՝ անօթևան մարդկանց ժամանակավոր օթևանում կացարան է տրամադրվել կյանքի դժվարին իրավիճակում հայտնված անօթևան 76 անձի, և իրականացվող տարբեր՝ սոցիալ-հոգեբանական և բժշկական օգնության, զբաղվածության ապահովման, իրավաբանական խորհրդատվության ծառայությունների միջոցով, փորձ է արվել լուծել նրանց սոցիալական խնդիրներն ու լիարժեք կյանք վերադարձնել նրանց,</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համաձայն ՀՀ կառավարության 13.05.2022թ. N 669-Ն որոշման՝ 2022 թվականից սոցիալական բնակարանային ֆոնդի կացարաններում բնակվող 105 միայնակ կենսաթոշակառուներին սպառած բնական գազի, էլեկտրական էներգիայի և ջրամատակարարման վարձավճարների համար տրվել է դրամական փոխհատուցում՝ յուրաքանչյուրին 12000 դրամի չափով,</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«ՀՀ վետերանների միավորում» հասարակական կազմակերպության 15 շահառուի ցուցաբերվել է աջակցություն։</w:t>
      </w:r>
    </w:p>
    <w:p w:rsidR="001C411D" w:rsidRPr="00CC79A1" w:rsidRDefault="001C411D" w:rsidP="00CC79A1">
      <w:pPr>
        <w:spacing w:line="360" w:lineRule="auto"/>
        <w:ind w:firstLine="567"/>
        <w:jc w:val="both"/>
        <w:rPr>
          <w:rFonts w:ascii="GHEA Grapalat" w:hAnsi="GHEA Grapalat"/>
          <w:sz w:val="22"/>
          <w:szCs w:val="22"/>
          <w:lang w:val="en-US"/>
        </w:rPr>
      </w:pPr>
    </w:p>
    <w:p w:rsidR="001C411D" w:rsidRPr="001F63BA" w:rsidRDefault="001C411D" w:rsidP="002C0C00">
      <w:pPr>
        <w:spacing w:line="360" w:lineRule="auto"/>
        <w:ind w:firstLine="567"/>
        <w:jc w:val="both"/>
        <w:rPr>
          <w:rFonts w:ascii="GHEA Grapalat" w:hAnsi="GHEA Grapalat"/>
          <w:sz w:val="22"/>
          <w:szCs w:val="22"/>
          <w:u w:val="single"/>
          <w:lang w:val="fr-FR"/>
        </w:rPr>
      </w:pPr>
      <w:r w:rsidRPr="001F63BA">
        <w:rPr>
          <w:rFonts w:ascii="GHEA Grapalat" w:hAnsi="GHEA Grapalat"/>
          <w:sz w:val="22"/>
          <w:szCs w:val="22"/>
          <w:u w:val="single"/>
          <w:lang w:val="en-US"/>
        </w:rPr>
        <w:t>Կենսաթոշակային</w:t>
      </w:r>
      <w:r w:rsidRPr="001F63BA">
        <w:rPr>
          <w:rFonts w:ascii="GHEA Grapalat" w:hAnsi="GHEA Grapalat"/>
          <w:sz w:val="22"/>
          <w:szCs w:val="22"/>
          <w:u w:val="single"/>
          <w:lang w:val="fr-FR"/>
        </w:rPr>
        <w:t xml:space="preserve"> </w:t>
      </w:r>
      <w:r w:rsidRPr="001F63BA">
        <w:rPr>
          <w:rFonts w:ascii="GHEA Grapalat" w:hAnsi="GHEA Grapalat"/>
          <w:sz w:val="22"/>
          <w:szCs w:val="22"/>
          <w:u w:val="single"/>
          <w:lang w:val="en-US"/>
        </w:rPr>
        <w:t>ապահովության</w:t>
      </w:r>
      <w:r w:rsidRPr="001F63BA">
        <w:rPr>
          <w:rFonts w:ascii="GHEA Grapalat" w:hAnsi="GHEA Grapalat"/>
          <w:sz w:val="22"/>
          <w:szCs w:val="22"/>
          <w:u w:val="single"/>
          <w:lang w:val="fr-FR"/>
        </w:rPr>
        <w:t xml:space="preserve"> </w:t>
      </w:r>
      <w:r w:rsidRPr="001F63BA">
        <w:rPr>
          <w:rFonts w:ascii="GHEA Grapalat" w:hAnsi="GHEA Grapalat"/>
          <w:sz w:val="22"/>
          <w:szCs w:val="22"/>
          <w:u w:val="single"/>
          <w:lang w:val="en-US"/>
        </w:rPr>
        <w:t>բնագավառ</w:t>
      </w:r>
    </w:p>
    <w:p w:rsidR="001C411D" w:rsidRPr="001F63BA" w:rsidRDefault="001C411D" w:rsidP="002C0C00">
      <w:pPr>
        <w:spacing w:line="360" w:lineRule="auto"/>
        <w:ind w:firstLine="567"/>
        <w:jc w:val="both"/>
        <w:rPr>
          <w:rFonts w:ascii="GHEA Grapalat" w:hAnsi="GHEA Grapalat"/>
          <w:sz w:val="22"/>
          <w:szCs w:val="22"/>
          <w:lang w:val="fr-FR"/>
        </w:rPr>
      </w:pPr>
      <w:r w:rsidRPr="001F63BA">
        <w:rPr>
          <w:rFonts w:ascii="GHEA Grapalat" w:hAnsi="GHEA Grapalat"/>
          <w:sz w:val="22"/>
          <w:szCs w:val="22"/>
          <w:lang w:val="fr-FR"/>
        </w:rPr>
        <w:t xml:space="preserve">2022 </w:t>
      </w:r>
      <w:r w:rsidRPr="001F63BA">
        <w:rPr>
          <w:rFonts w:ascii="GHEA Grapalat" w:hAnsi="GHEA Grapalat"/>
          <w:sz w:val="22"/>
          <w:szCs w:val="22"/>
          <w:lang w:val="en-US"/>
        </w:rPr>
        <w:t>թվականին</w:t>
      </w:r>
      <w:r w:rsidRPr="001F63BA">
        <w:rPr>
          <w:rFonts w:ascii="GHEA Grapalat" w:hAnsi="GHEA Grapalat"/>
          <w:sz w:val="22"/>
          <w:szCs w:val="22"/>
          <w:lang w:val="fr-FR"/>
        </w:rPr>
        <w:t xml:space="preserve"> </w:t>
      </w:r>
      <w:r w:rsidRPr="001F63BA">
        <w:rPr>
          <w:rFonts w:ascii="GHEA Grapalat" w:hAnsi="GHEA Grapalat"/>
          <w:sz w:val="22"/>
          <w:szCs w:val="22"/>
          <w:lang w:val="en-US"/>
        </w:rPr>
        <w:t>կենսաթոշակային</w:t>
      </w:r>
      <w:r w:rsidRPr="001F63BA">
        <w:rPr>
          <w:rFonts w:ascii="GHEA Grapalat" w:hAnsi="GHEA Grapalat"/>
          <w:sz w:val="22"/>
          <w:szCs w:val="22"/>
          <w:lang w:val="fr-FR"/>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fr-FR"/>
        </w:rPr>
        <w:t xml:space="preserve"> </w:t>
      </w:r>
      <w:r w:rsidRPr="001F63BA">
        <w:rPr>
          <w:rFonts w:ascii="GHEA Grapalat" w:hAnsi="GHEA Grapalat"/>
          <w:sz w:val="22"/>
          <w:szCs w:val="22"/>
          <w:lang w:val="en-US"/>
        </w:rPr>
        <w:t>ցուցանիշները</w:t>
      </w:r>
      <w:r w:rsidRPr="001F63BA">
        <w:rPr>
          <w:rFonts w:ascii="GHEA Grapalat" w:hAnsi="GHEA Grapalat"/>
          <w:sz w:val="22"/>
          <w:szCs w:val="22"/>
          <w:lang w:val="fr-FR"/>
        </w:rPr>
        <w:t xml:space="preserve"> </w:t>
      </w:r>
      <w:r w:rsidRPr="001F63BA">
        <w:rPr>
          <w:rFonts w:ascii="GHEA Grapalat" w:hAnsi="GHEA Grapalat"/>
          <w:sz w:val="22"/>
          <w:szCs w:val="22"/>
          <w:lang w:val="en-US"/>
        </w:rPr>
        <w:t>փոփոխվել</w:t>
      </w:r>
      <w:r w:rsidRPr="001F63BA">
        <w:rPr>
          <w:rFonts w:ascii="GHEA Grapalat" w:hAnsi="GHEA Grapalat"/>
          <w:sz w:val="22"/>
          <w:szCs w:val="22"/>
          <w:lang w:val="fr-FR"/>
        </w:rPr>
        <w:t xml:space="preserve"> </w:t>
      </w:r>
      <w:r w:rsidRPr="001F63BA">
        <w:rPr>
          <w:rFonts w:ascii="GHEA Grapalat" w:hAnsi="GHEA Grapalat"/>
          <w:sz w:val="22"/>
          <w:szCs w:val="22"/>
          <w:lang w:val="en-US"/>
        </w:rPr>
        <w:t>են</w:t>
      </w:r>
      <w:r w:rsidRPr="001F63BA">
        <w:rPr>
          <w:rFonts w:ascii="GHEA Grapalat" w:hAnsi="GHEA Grapalat"/>
          <w:sz w:val="22"/>
          <w:szCs w:val="22"/>
          <w:lang w:val="fr-FR"/>
        </w:rPr>
        <w:t xml:space="preserve"> 2 </w:t>
      </w:r>
      <w:r w:rsidRPr="001F63BA">
        <w:rPr>
          <w:rFonts w:ascii="GHEA Grapalat" w:hAnsi="GHEA Grapalat"/>
          <w:sz w:val="22"/>
          <w:szCs w:val="22"/>
          <w:lang w:val="en-US"/>
        </w:rPr>
        <w:t>անգամ.</w:t>
      </w:r>
    </w:p>
    <w:p w:rsidR="001C411D" w:rsidRPr="001F63BA" w:rsidRDefault="001C411D" w:rsidP="00BB1B4B">
      <w:pPr>
        <w:numPr>
          <w:ilvl w:val="0"/>
          <w:numId w:val="15"/>
        </w:numPr>
        <w:tabs>
          <w:tab w:val="left" w:pos="851"/>
        </w:tabs>
        <w:spacing w:line="360" w:lineRule="auto"/>
        <w:ind w:left="567" w:firstLine="0"/>
        <w:jc w:val="both"/>
        <w:rPr>
          <w:rFonts w:ascii="GHEA Grapalat" w:hAnsi="GHEA Grapalat"/>
          <w:sz w:val="22"/>
          <w:szCs w:val="22"/>
          <w:lang w:val="en-US"/>
        </w:rPr>
      </w:pPr>
      <w:r w:rsidRPr="001F63BA">
        <w:rPr>
          <w:rFonts w:ascii="GHEA Grapalat" w:hAnsi="GHEA Grapalat"/>
          <w:sz w:val="22"/>
          <w:szCs w:val="22"/>
          <w:lang w:val="en-US"/>
        </w:rPr>
        <w:t xml:space="preserve">հունվարի 1-ից սահմանվել են՝ </w:t>
      </w:r>
    </w:p>
    <w:p w:rsidR="001C411D" w:rsidRPr="001F63BA" w:rsidRDefault="001C411D" w:rsidP="00BB1B4B">
      <w:pPr>
        <w:numPr>
          <w:ilvl w:val="0"/>
          <w:numId w:val="16"/>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պարտադիր ժամկետային զինվորական ծառայության շարքային կազմի զինծառայողի հաշմանդամության զինվորական կենսաթոշակի չափերը`</w:t>
      </w:r>
    </w:p>
    <w:p w:rsidR="001C411D" w:rsidRPr="001F63BA" w:rsidRDefault="001C411D" w:rsidP="002C0C00">
      <w:pPr>
        <w:spacing w:line="360" w:lineRule="auto"/>
        <w:ind w:firstLine="851"/>
        <w:jc w:val="both"/>
        <w:rPr>
          <w:rFonts w:ascii="GHEA Grapalat" w:hAnsi="GHEA Grapalat"/>
          <w:sz w:val="22"/>
          <w:szCs w:val="22"/>
          <w:lang w:val="en-US"/>
        </w:rPr>
      </w:pPr>
      <w:r w:rsidRPr="001F63BA">
        <w:rPr>
          <w:rFonts w:ascii="GHEA Grapalat" w:hAnsi="GHEA Grapalat"/>
          <w:sz w:val="22"/>
          <w:szCs w:val="22"/>
          <w:lang w:val="en-US"/>
        </w:rPr>
        <w:t>ա. առաջին խմբի հաշմանդամի համար՝ 43000 դրամ (40000 դրամի փոխարեն),</w:t>
      </w:r>
    </w:p>
    <w:p w:rsidR="001C411D" w:rsidRPr="001F63BA" w:rsidRDefault="001C411D" w:rsidP="002C0C00">
      <w:pPr>
        <w:spacing w:line="360" w:lineRule="auto"/>
        <w:ind w:firstLine="851"/>
        <w:jc w:val="both"/>
        <w:rPr>
          <w:rFonts w:ascii="GHEA Grapalat" w:hAnsi="GHEA Grapalat"/>
          <w:sz w:val="22"/>
          <w:szCs w:val="22"/>
          <w:lang w:val="en-US"/>
        </w:rPr>
      </w:pPr>
      <w:r w:rsidRPr="001F63BA">
        <w:rPr>
          <w:rFonts w:ascii="GHEA Grapalat" w:hAnsi="GHEA Grapalat"/>
          <w:sz w:val="22"/>
          <w:szCs w:val="22"/>
          <w:lang w:val="en-US"/>
        </w:rPr>
        <w:t>բ. երկրորդ խմբի հաշմանդամի համար՝ 33000 դրամ (30000 դրամի փոխարեն),</w:t>
      </w:r>
    </w:p>
    <w:p w:rsidR="001C411D" w:rsidRPr="001F63BA" w:rsidRDefault="001C411D" w:rsidP="002C0C00">
      <w:pPr>
        <w:spacing w:line="360" w:lineRule="auto"/>
        <w:ind w:firstLine="851"/>
        <w:jc w:val="both"/>
        <w:rPr>
          <w:rFonts w:ascii="GHEA Grapalat" w:hAnsi="GHEA Grapalat"/>
          <w:sz w:val="22"/>
          <w:szCs w:val="22"/>
          <w:lang w:val="en-US"/>
        </w:rPr>
      </w:pPr>
      <w:r w:rsidRPr="001F63BA">
        <w:rPr>
          <w:rFonts w:ascii="GHEA Grapalat" w:hAnsi="GHEA Grapalat"/>
          <w:sz w:val="22"/>
          <w:szCs w:val="22"/>
          <w:lang w:val="en-US"/>
        </w:rPr>
        <w:t xml:space="preserve">գ. երրորդ խմբի հաշմանդամի համար՝ 30000 դրամ (27000 դրամի փոխարեն), </w:t>
      </w:r>
    </w:p>
    <w:p w:rsidR="001C411D" w:rsidRPr="001F63BA" w:rsidRDefault="001C411D" w:rsidP="00BB1B4B">
      <w:pPr>
        <w:numPr>
          <w:ilvl w:val="0"/>
          <w:numId w:val="16"/>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պարտադիր ժամկետային զինվորական ծառայության շարքային կազմի մահացած (զոհված) զինծառայողի ընտանիքի անդամի կերակրողին կորցնելու դեպքում զինվորական կենսաթոշակի չափը՝ 30000 դրամ (27000 դրամի փոխարեն),</w:t>
      </w:r>
    </w:p>
    <w:p w:rsidR="001C411D" w:rsidRPr="001F63BA" w:rsidRDefault="001C411D" w:rsidP="00BB1B4B">
      <w:pPr>
        <w:numPr>
          <w:ilvl w:val="0"/>
          <w:numId w:val="16"/>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նվազագույն կենսաթոշակի չափը՝ 28600 դրամ (26500 դրամի փոխարեն),</w:t>
      </w:r>
    </w:p>
    <w:p w:rsidR="001C411D" w:rsidRPr="001F63BA" w:rsidRDefault="001C411D" w:rsidP="00BB1B4B">
      <w:pPr>
        <w:numPr>
          <w:ilvl w:val="0"/>
          <w:numId w:val="16"/>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 xml:space="preserve">ծերության, հաշմանդամության (առաջին, երկրորդ, երրորդ խմբերի համար) և կերակրողին կորցնելու դեպքում նպաստների չափերը՝ 28600 դրամ (26500 դրամի փոխարեն), իսկ հաշմանդամ երեխա ճանաչված անձի համար՝ 37000 դրամ։ </w:t>
      </w:r>
    </w:p>
    <w:p w:rsidR="001C411D" w:rsidRPr="001F63BA" w:rsidRDefault="001C411D" w:rsidP="00BB1B4B">
      <w:pPr>
        <w:numPr>
          <w:ilvl w:val="0"/>
          <w:numId w:val="15"/>
        </w:numPr>
        <w:tabs>
          <w:tab w:val="left" w:pos="851"/>
        </w:tabs>
        <w:spacing w:line="360" w:lineRule="auto"/>
        <w:ind w:left="567" w:firstLine="0"/>
        <w:jc w:val="both"/>
        <w:rPr>
          <w:rFonts w:ascii="GHEA Grapalat" w:hAnsi="GHEA Grapalat"/>
          <w:sz w:val="22"/>
          <w:szCs w:val="22"/>
          <w:lang w:val="en-US"/>
        </w:rPr>
      </w:pPr>
      <w:r w:rsidRPr="001F63BA">
        <w:rPr>
          <w:rFonts w:ascii="GHEA Grapalat" w:hAnsi="GHEA Grapalat"/>
          <w:sz w:val="22"/>
          <w:szCs w:val="22"/>
          <w:lang w:val="en-US"/>
        </w:rPr>
        <w:t>սեպտեմբերի 1-ից սահմանվել են՝</w:t>
      </w:r>
    </w:p>
    <w:p w:rsidR="001C411D" w:rsidRPr="001F63BA" w:rsidRDefault="001C411D" w:rsidP="00BB1B4B">
      <w:pPr>
        <w:numPr>
          <w:ilvl w:val="0"/>
          <w:numId w:val="17"/>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lastRenderedPageBreak/>
        <w:t>աշխատանքային կենսաթոշակի չափը հաշվարկելու համար հիմնական կենսաթոշակի չափը՝ 21000 դրամ (18000 դրամի փոխարեն),</w:t>
      </w:r>
    </w:p>
    <w:p w:rsidR="001C411D" w:rsidRPr="001F63BA" w:rsidRDefault="001C411D" w:rsidP="00BB1B4B">
      <w:pPr>
        <w:numPr>
          <w:ilvl w:val="0"/>
          <w:numId w:val="17"/>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զինվորական կենսաթոշակի չափը հաշվարկելու համար հիմնական կենսաթոշակի չափը՝ 20000 դրամ (18000 դրամի փոխարեն),</w:t>
      </w:r>
    </w:p>
    <w:p w:rsidR="001C411D" w:rsidRPr="001F63BA" w:rsidRDefault="001C411D" w:rsidP="00BB1B4B">
      <w:pPr>
        <w:numPr>
          <w:ilvl w:val="0"/>
          <w:numId w:val="17"/>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նվազագույն կենսաթոշակի չափը` 31600 դրամ (28600 դրամի փոխարեն),</w:t>
      </w:r>
    </w:p>
    <w:p w:rsidR="001C411D" w:rsidRPr="001F63BA" w:rsidRDefault="001C411D" w:rsidP="00BB1B4B">
      <w:pPr>
        <w:numPr>
          <w:ilvl w:val="0"/>
          <w:numId w:val="17"/>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պարտադիր ժամկետային զինվորական ծառայության շարքային կազմի զինծառայողի հաշմանդամության զինվորական կենսաթոշակի չափերը`</w:t>
      </w:r>
    </w:p>
    <w:p w:rsidR="001C411D" w:rsidRPr="001F63BA" w:rsidRDefault="001C411D" w:rsidP="00034CB9">
      <w:pPr>
        <w:spacing w:line="360" w:lineRule="auto"/>
        <w:ind w:firstLine="851"/>
        <w:jc w:val="both"/>
        <w:rPr>
          <w:rFonts w:ascii="GHEA Grapalat" w:hAnsi="GHEA Grapalat"/>
          <w:sz w:val="22"/>
          <w:szCs w:val="22"/>
          <w:lang w:val="en-US"/>
        </w:rPr>
      </w:pPr>
      <w:r w:rsidRPr="001F63BA">
        <w:rPr>
          <w:rFonts w:ascii="GHEA Grapalat" w:hAnsi="GHEA Grapalat"/>
          <w:sz w:val="22"/>
          <w:szCs w:val="22"/>
          <w:lang w:val="en-US"/>
        </w:rPr>
        <w:t>ա. առաջին խմբի հաշմանդամի համար՝ 46000 դրամ (43000 դրամի փոխարեն),</w:t>
      </w:r>
    </w:p>
    <w:p w:rsidR="001C411D" w:rsidRPr="001F63BA" w:rsidRDefault="001C411D" w:rsidP="00034CB9">
      <w:pPr>
        <w:spacing w:line="360" w:lineRule="auto"/>
        <w:ind w:firstLine="851"/>
        <w:jc w:val="both"/>
        <w:rPr>
          <w:rFonts w:ascii="GHEA Grapalat" w:hAnsi="GHEA Grapalat"/>
          <w:sz w:val="22"/>
          <w:szCs w:val="22"/>
          <w:lang w:val="en-US"/>
        </w:rPr>
      </w:pPr>
      <w:r w:rsidRPr="001F63BA">
        <w:rPr>
          <w:rFonts w:ascii="GHEA Grapalat" w:hAnsi="GHEA Grapalat"/>
          <w:sz w:val="22"/>
          <w:szCs w:val="22"/>
          <w:lang w:val="en-US"/>
        </w:rPr>
        <w:t>բ. երկրորդ խմբի հաշմանդամի համար՝ 36000 դրամ (33000 դրամի փոխարեն),</w:t>
      </w:r>
    </w:p>
    <w:p w:rsidR="001C411D" w:rsidRPr="001F63BA" w:rsidRDefault="001C411D" w:rsidP="00034CB9">
      <w:pPr>
        <w:spacing w:line="360" w:lineRule="auto"/>
        <w:ind w:firstLine="851"/>
        <w:jc w:val="both"/>
        <w:rPr>
          <w:rFonts w:ascii="GHEA Grapalat" w:hAnsi="GHEA Grapalat"/>
          <w:sz w:val="22"/>
          <w:szCs w:val="22"/>
          <w:lang w:val="en-US"/>
        </w:rPr>
      </w:pPr>
      <w:r w:rsidRPr="001F63BA">
        <w:rPr>
          <w:rFonts w:ascii="GHEA Grapalat" w:hAnsi="GHEA Grapalat"/>
          <w:sz w:val="22"/>
          <w:szCs w:val="22"/>
          <w:lang w:val="en-US"/>
        </w:rPr>
        <w:t xml:space="preserve">գ. երրորդ խմբի հաշմանդամի համար՝ 36000 դրամ (30000 դրամի փոխարեն), </w:t>
      </w:r>
    </w:p>
    <w:p w:rsidR="001C411D" w:rsidRPr="001F63BA" w:rsidRDefault="001C411D" w:rsidP="00BB1B4B">
      <w:pPr>
        <w:numPr>
          <w:ilvl w:val="0"/>
          <w:numId w:val="17"/>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պարտադիր ժամկետային զինվորական ծառայության շարքային կազմի մահացած (զոհված) զինծառայողի ընտանիքի անդամի կերակրողին կորցնելու դեպքում զինվորական կենսաթոշակի չափը՝ 33000 դրամ (30000 դրամի փոխարեն),</w:t>
      </w:r>
    </w:p>
    <w:p w:rsidR="001C411D" w:rsidRPr="001F63BA" w:rsidRDefault="001C411D" w:rsidP="00BB1B4B">
      <w:pPr>
        <w:numPr>
          <w:ilvl w:val="0"/>
          <w:numId w:val="17"/>
        </w:numPr>
        <w:tabs>
          <w:tab w:val="left" w:pos="1276"/>
        </w:tabs>
        <w:spacing w:line="360" w:lineRule="auto"/>
        <w:ind w:left="567" w:firstLine="340"/>
        <w:jc w:val="both"/>
        <w:rPr>
          <w:rFonts w:ascii="GHEA Grapalat" w:hAnsi="GHEA Grapalat"/>
          <w:sz w:val="22"/>
          <w:szCs w:val="22"/>
          <w:lang w:val="en-US"/>
        </w:rPr>
      </w:pPr>
      <w:r w:rsidRPr="001F63BA">
        <w:rPr>
          <w:rFonts w:ascii="GHEA Grapalat" w:hAnsi="GHEA Grapalat"/>
          <w:sz w:val="22"/>
          <w:szCs w:val="22"/>
          <w:lang w:val="en-US"/>
        </w:rPr>
        <w:t>ծերության, հաշմանդամության (առաջին, երկրորդ, երրորդ խմբերի համար) և կերակրողին կորցնելու դեպքում նպաստների չափերը՝ 31600 դրամ (28600 դրամի փոխարեն), իսկ հաշմանդամ երեխա ճանաչված անձի համար՝ 39000 դրամ (37000 դրամի փոխարեն)։</w:t>
      </w:r>
    </w:p>
    <w:p w:rsidR="001C411D" w:rsidRPr="001F63BA" w:rsidRDefault="001C411D" w:rsidP="00034CB9">
      <w:pPr>
        <w:spacing w:line="360" w:lineRule="auto"/>
        <w:ind w:firstLine="567"/>
        <w:jc w:val="both"/>
        <w:rPr>
          <w:rFonts w:ascii="GHEA Grapalat" w:hAnsi="GHEA Grapalat"/>
          <w:sz w:val="22"/>
          <w:szCs w:val="22"/>
          <w:lang w:val="en-US"/>
        </w:rPr>
      </w:pPr>
    </w:p>
    <w:p w:rsidR="001C411D" w:rsidRPr="001F63BA" w:rsidRDefault="001C411D" w:rsidP="00034CB9">
      <w:pPr>
        <w:spacing w:line="360" w:lineRule="auto"/>
        <w:ind w:firstLine="567"/>
        <w:jc w:val="both"/>
        <w:rPr>
          <w:rFonts w:ascii="GHEA Grapalat" w:hAnsi="GHEA Grapalat"/>
          <w:sz w:val="22"/>
          <w:szCs w:val="22"/>
          <w:u w:val="single"/>
          <w:lang w:val="en-US"/>
        </w:rPr>
      </w:pPr>
      <w:r w:rsidRPr="001F63BA">
        <w:rPr>
          <w:rFonts w:ascii="GHEA Grapalat" w:hAnsi="GHEA Grapalat"/>
          <w:sz w:val="22"/>
          <w:szCs w:val="22"/>
          <w:u w:val="single"/>
          <w:lang w:val="en-US"/>
        </w:rPr>
        <w:t>Ավանդներ և այլ փոխհատուցումներ</w:t>
      </w:r>
    </w:p>
    <w:p w:rsidR="001C411D" w:rsidRPr="001F63BA" w:rsidRDefault="001C411D" w:rsidP="00034CB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Ավանդների փոխհատուցման ծրագրի նպատակը «ՎՏԲ-Հայաստան» ՓԲԸ-ում ավանդատու հանդիսացող և նախկին ԽՍՀՄ Խնայբանկի ՀԽՍՀ հանրապետական բանկում մինչև 1993 թվականի հունիսի 10-ը ներդրված դրամական ավանդների փոխհատուցումն է: ՀՀ 2022 թվականի պետական բյուջեով փոխհատուցում ստանալու իրավունքը տրվել է նաև մինչև 1939թ. դեկտեմբերի 31-ը ներառյալ ծնված ավանդատուներին, իսկ ծրագրի իրականացման համար հատկացվել է 1.8</w:t>
      </w:r>
      <w:r w:rsidRPr="001F63BA">
        <w:rPr>
          <w:rFonts w:ascii="Courier New" w:hAnsi="Courier New" w:cs="Courier New"/>
          <w:sz w:val="22"/>
          <w:szCs w:val="22"/>
          <w:lang w:val="en-US"/>
        </w:rPr>
        <w:t> </w:t>
      </w:r>
      <w:r w:rsidRPr="001F63BA">
        <w:rPr>
          <w:rFonts w:ascii="GHEA Grapalat" w:hAnsi="GHEA Grapalat"/>
          <w:sz w:val="22"/>
          <w:szCs w:val="22"/>
          <w:lang w:val="en-US"/>
        </w:rPr>
        <w:t>մլրդ դրամ: 2022 թվականին դրամական ավանդների դիմաց փոխհատուցում է ստացել շուրջ 9800 ավանդատու: Ծրագրի գծով 2023 թվականի համար նախատեսվել է 1.1 մլրդ դրամ։</w:t>
      </w:r>
    </w:p>
    <w:p w:rsidR="001C411D" w:rsidRPr="001F63BA" w:rsidRDefault="001C411D" w:rsidP="008A5E8A">
      <w:pPr>
        <w:pStyle w:val="ListParagraph"/>
        <w:spacing w:after="0" w:line="240" w:lineRule="auto"/>
        <w:ind w:left="0" w:firstLine="810"/>
        <w:jc w:val="both"/>
        <w:rPr>
          <w:rFonts w:ascii="GHEA Grapalat" w:hAnsi="GHEA Grapalat"/>
          <w:lang w:val="en-US"/>
        </w:rPr>
      </w:pPr>
    </w:p>
    <w:p w:rsidR="001C411D" w:rsidRPr="001F63BA" w:rsidRDefault="001C411D" w:rsidP="00034CB9">
      <w:pPr>
        <w:spacing w:line="360" w:lineRule="auto"/>
        <w:ind w:firstLine="567"/>
        <w:jc w:val="both"/>
        <w:rPr>
          <w:rFonts w:ascii="GHEA Grapalat" w:hAnsi="GHEA Grapalat"/>
          <w:sz w:val="22"/>
          <w:szCs w:val="22"/>
          <w:u w:val="single"/>
          <w:lang w:val="en-US"/>
        </w:rPr>
      </w:pPr>
      <w:r w:rsidRPr="001F63BA">
        <w:rPr>
          <w:rFonts w:ascii="GHEA Grapalat" w:hAnsi="GHEA Grapalat"/>
          <w:sz w:val="22"/>
          <w:szCs w:val="22"/>
          <w:u w:val="single"/>
          <w:lang w:val="en-US"/>
        </w:rPr>
        <w:t>Պարգևավճարներ և պատվովճարներ</w:t>
      </w:r>
    </w:p>
    <w:p w:rsidR="001C411D" w:rsidRPr="001F63BA" w:rsidRDefault="001C411D" w:rsidP="00034CB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Պետական բյուջեի միջոցների հաշվին 2022 թվականին շարունակվել է պարգևավճարների տրամադրումը ՀՄՊ և այլ պետություններում մարտական գործողությունների մասնակիցներին, Հայաստանի Հանրապետության պաշտպանության ժամանակ կամ զինվորական ծառայության ընթացքում հաշմանդամ դարձած անձանց, Մարտական խաչ շքանշանով պարգևատրված անձանց, զոհված մահացած զինծառայողների ընտանիքներին, ինչպես նաև զոհված՝ ՀՀ նախագահի </w:t>
      </w:r>
      <w:r w:rsidRPr="001F63BA">
        <w:rPr>
          <w:rFonts w:ascii="GHEA Grapalat" w:hAnsi="GHEA Grapalat"/>
          <w:sz w:val="22"/>
          <w:szCs w:val="22"/>
          <w:lang w:val="en-US"/>
        </w:rPr>
        <w:lastRenderedPageBreak/>
        <w:t>հրամանագրով հետմահու «Հայաստանի ազգային հերոս» բարձրագույն կոչում ստացած կամ «Մարտական խաչ» շքանշանով պարգևատրված անձի ընտանիքի անդամներին: 2022 թվականին պահպանվել են 2021 թվականին գործող պարգևավճարի չափերը։</w:t>
      </w:r>
    </w:p>
    <w:p w:rsidR="001C411D" w:rsidRPr="001F63BA" w:rsidRDefault="001C411D" w:rsidP="0070607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Շարունակվել է նաև ՀՄՊ վետերաններին պատվովճարների վճարումը 2021 թվականին գործող չափերով։</w:t>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AC199C">
      <w:pPr>
        <w:pStyle w:val="Heading2"/>
        <w:spacing w:before="0"/>
      </w:pPr>
      <w:bookmarkStart w:id="48" w:name="_Toc132204222"/>
      <w:r w:rsidRPr="001F63BA">
        <w:t>Շրջակա միջավայր</w:t>
      </w:r>
      <w:bookmarkEnd w:id="48"/>
    </w:p>
    <w:p w:rsidR="001C411D" w:rsidRPr="001F63BA" w:rsidRDefault="001C411D" w:rsidP="00AC199C">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Բնական պաշարների և բնության հատուկ պահպանվող տարածքների կառավարման և պահպանման բնագավառ</w:t>
      </w:r>
    </w:p>
    <w:p w:rsidR="001C411D" w:rsidRPr="001F63BA" w:rsidRDefault="001C411D" w:rsidP="00034CB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Հաշվետու տարում իրականացվել է «Սևան», «Դիլիջան», «Արևիկ» և «Արփի լիճ» ազգային պարկերում, «Խոսրովի անտառ» և «Շիկահող» պետական արգելոցներում, «Սոսու պուրակ», «Զանգեզուր» և «Զիկատար» արգելավայրերում, ինչպես նաև «Արգելոցապարկային համալիր» ՊՈԱԿ-ի տնօրինության ներքո գտնվող բնության հատուկ պահպանվող տարածք</w:t>
      </w:r>
      <w:r w:rsidRPr="001F63BA">
        <w:rPr>
          <w:rFonts w:ascii="GHEA Grapalat" w:hAnsi="GHEA Grapalat"/>
          <w:sz w:val="22"/>
          <w:szCs w:val="22"/>
          <w:lang w:val="en-US"/>
        </w:rPr>
        <w:softHyphen/>
        <w:t>ներում բնական էկոհամակարգերի, լանդշաֆտային ու կենսաբանական բազ</w:t>
      </w:r>
      <w:r w:rsidRPr="001F63BA">
        <w:rPr>
          <w:rFonts w:ascii="GHEA Grapalat" w:hAnsi="GHEA Grapalat"/>
          <w:sz w:val="22"/>
          <w:szCs w:val="22"/>
          <w:lang w:val="en-US"/>
        </w:rPr>
        <w:softHyphen/>
        <w:t>մազանության, գենոֆոնդի, բնության ժառանգության գիտական ուսումնասիրության, պահ</w:t>
      </w:r>
      <w:r w:rsidRPr="001F63BA">
        <w:rPr>
          <w:rFonts w:ascii="GHEA Grapalat" w:hAnsi="GHEA Grapalat"/>
          <w:sz w:val="22"/>
          <w:szCs w:val="22"/>
          <w:lang w:val="en-US"/>
        </w:rPr>
        <w:softHyphen/>
        <w:t>պա</w:t>
      </w:r>
      <w:r w:rsidRPr="001F63BA">
        <w:rPr>
          <w:rFonts w:ascii="GHEA Grapalat" w:hAnsi="GHEA Grapalat"/>
          <w:sz w:val="22"/>
          <w:szCs w:val="22"/>
          <w:lang w:val="en-US"/>
        </w:rPr>
        <w:softHyphen/>
        <w:t>նության, վերականգնման, վերարտադրության, հաշվառման, գույքագրման դիտանցի ապա</w:t>
      </w:r>
      <w:r w:rsidRPr="001F63BA">
        <w:rPr>
          <w:rFonts w:ascii="GHEA Grapalat" w:hAnsi="GHEA Grapalat"/>
          <w:sz w:val="22"/>
          <w:szCs w:val="22"/>
          <w:lang w:val="en-US"/>
        </w:rPr>
        <w:softHyphen/>
        <w:t>հովում, ինչպես նաև տնկարկների պահպանություն և պաշտպանություն։</w:t>
      </w:r>
    </w:p>
    <w:p w:rsidR="001C411D" w:rsidRPr="001F63BA" w:rsidRDefault="001C411D" w:rsidP="00034CB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Սահմանվել են ՀՀ ջրային տարածքներում սոցիալական նպատակներով որսի (սիրողական ձկնորսություն) համար նախատեսվող օգտագործման թույլատրելի չափաքանակները և որսի ժամկետները, ինչպես նաև որսի կենդանիների համար նախատեսվող 2022-2023 թվականների օգտագործման թույլատրելի չափաքանակները և որսի ժամկետները։ </w:t>
      </w:r>
    </w:p>
    <w:p w:rsidR="001C411D" w:rsidRPr="001F63BA" w:rsidRDefault="001C411D" w:rsidP="00034CB9">
      <w:pPr>
        <w:spacing w:line="360" w:lineRule="auto"/>
        <w:ind w:firstLine="567"/>
        <w:jc w:val="both"/>
        <w:rPr>
          <w:rFonts w:ascii="GHEA Grapalat" w:hAnsi="GHEA Grapalat"/>
          <w:sz w:val="22"/>
          <w:szCs w:val="22"/>
          <w:lang w:val="en-US"/>
        </w:rPr>
      </w:pPr>
      <w:r w:rsidRPr="001F63BA">
        <w:rPr>
          <w:rFonts w:ascii="GHEA Grapalat" w:hAnsi="GHEA Grapalat"/>
          <w:i/>
          <w:sz w:val="22"/>
          <w:szCs w:val="22"/>
          <w:lang w:val="en-US"/>
        </w:rPr>
        <w:t>«Սևանա լճում և նրա ջրհավաք ավազանում ձկան և խեցգետնի պաշարների հաշվառում»</w:t>
      </w:r>
      <w:r w:rsidRPr="001F63BA">
        <w:rPr>
          <w:rFonts w:ascii="GHEA Grapalat" w:hAnsi="GHEA Grapalat"/>
          <w:sz w:val="22"/>
          <w:szCs w:val="22"/>
          <w:lang w:val="en-US"/>
        </w:rPr>
        <w:t xml:space="preserve"> միջոցառման շրջանակներում Շրջակա միջավայրի նախարարության և ՀՀ ԳԱԱ Կենդանաբանության և հիդրոէկոլոգիայի գիտական կենտրոնի միջև կնքված պայմանագրի համաձայն հետազոտվել են Սևանա լճի ձկնատեսակների և խեցգետնի կենսաբանական և պոպուլյացիոն ցուցանիշները, գնահատվել դրանց պաշարները: Սևանա լճի ձկնատեսակների և խեցգետնի արդյունագործական պաշարներն, ըստ ՀՀ ԳԱԱ Հիդրոէկոլոգիայի և ձկնաբանության ինստիտուտի, կազմել են. սիգ՝ 2022թ.՝ 622տ., 2021թ.՝ 641,80տ., արծաթափայլ լճածածան (կարաս, Սևանա լճի համար հանդիսանում է անցանկալի ձկնատեսակ)՝ 2022թ</w:t>
      </w:r>
      <w:r w:rsidRPr="001F63BA">
        <w:rPr>
          <w:rFonts w:ascii="Cambria Math" w:eastAsia="MS Mincho" w:hAnsi="Cambria Math" w:cs="Cambria Math"/>
          <w:sz w:val="22"/>
          <w:szCs w:val="22"/>
          <w:lang w:val="en-US"/>
        </w:rPr>
        <w:t>․</w:t>
      </w:r>
      <w:r w:rsidRPr="001F63BA">
        <w:rPr>
          <w:rFonts w:ascii="GHEA Grapalat" w:hAnsi="GHEA Grapalat"/>
          <w:sz w:val="22"/>
          <w:szCs w:val="22"/>
          <w:lang w:val="en-US"/>
        </w:rPr>
        <w:t>՝ 20տ</w:t>
      </w:r>
      <w:r w:rsidRPr="001F63BA">
        <w:rPr>
          <w:rFonts w:ascii="Cambria Math" w:eastAsia="MS Mincho" w:hAnsi="Cambria Math" w:cs="Cambria Math"/>
          <w:sz w:val="22"/>
          <w:szCs w:val="22"/>
          <w:lang w:val="en-US"/>
        </w:rPr>
        <w:t>․</w:t>
      </w:r>
      <w:r w:rsidRPr="001F63BA">
        <w:rPr>
          <w:rFonts w:ascii="GHEA Grapalat" w:hAnsi="GHEA Grapalat"/>
          <w:sz w:val="22"/>
          <w:szCs w:val="22"/>
          <w:lang w:val="en-US"/>
        </w:rPr>
        <w:t>, 2021թ.՝ 22-23տ., Սևանի իշխան (ընդհանուր պաշարը, ոչ արդյունագործական)՝ 2022թ.՝4.51տ., 2021թ.՝ 4.82տ., խեցգետին (ընդհանուր պաշարը)՝ 2022թ.՝ 69տ</w:t>
      </w:r>
      <w:r w:rsidRPr="001F63BA">
        <w:rPr>
          <w:rFonts w:ascii="Cambria Math" w:eastAsia="MS Mincho" w:hAnsi="Cambria Math" w:cs="Cambria Math"/>
          <w:sz w:val="22"/>
          <w:szCs w:val="22"/>
          <w:lang w:val="en-US"/>
        </w:rPr>
        <w:t>․</w:t>
      </w:r>
      <w:r w:rsidRPr="001F63BA">
        <w:rPr>
          <w:rFonts w:ascii="GHEA Grapalat" w:hAnsi="GHEA Grapalat"/>
          <w:sz w:val="22"/>
          <w:szCs w:val="22"/>
          <w:lang w:val="en-US"/>
        </w:rPr>
        <w:t>, 2021թ</w:t>
      </w:r>
      <w:r w:rsidRPr="001F63BA">
        <w:rPr>
          <w:rFonts w:ascii="Cambria Math" w:eastAsia="MS Mincho" w:hAnsi="Cambria Math" w:cs="Cambria Math"/>
          <w:sz w:val="22"/>
          <w:szCs w:val="22"/>
          <w:lang w:val="en-US"/>
        </w:rPr>
        <w:t>․</w:t>
      </w:r>
      <w:r w:rsidRPr="001F63BA">
        <w:rPr>
          <w:rFonts w:ascii="GHEA Grapalat" w:hAnsi="GHEA Grapalat"/>
          <w:sz w:val="22"/>
          <w:szCs w:val="22"/>
          <w:lang w:val="en-US"/>
        </w:rPr>
        <w:t xml:space="preserve">՝ 78տ: Սևանա լճում արդյունագործական ձկնորսության վերահսկողության, ինչպես նաև </w:t>
      </w:r>
      <w:r w:rsidRPr="001F63BA">
        <w:rPr>
          <w:rFonts w:ascii="GHEA Grapalat" w:hAnsi="GHEA Grapalat"/>
          <w:sz w:val="22"/>
          <w:szCs w:val="22"/>
          <w:lang w:val="en-US"/>
        </w:rPr>
        <w:lastRenderedPageBreak/>
        <w:t xml:space="preserve">ձկնագողությունը կանխարգելելու նպատակով «Սևան» ազգային պարկ ՊՈԱԿ-ի կազմում ստեղծվել է պահպանություն իրականացնող ստորաբաժանում՝ շուրջօրյա հերթապահությամբ: Սիգի արդյունագործական որսի շրջանակների կանոնակարգման նպատակով </w:t>
      </w:r>
      <w:r w:rsidR="00FF639B" w:rsidRPr="001F63BA">
        <w:rPr>
          <w:rFonts w:ascii="GHEA Grapalat" w:hAnsi="GHEA Grapalat"/>
          <w:sz w:val="22"/>
          <w:szCs w:val="22"/>
          <w:lang w:val="en-US"/>
        </w:rPr>
        <w:t>ՀՀ կ</w:t>
      </w:r>
      <w:r w:rsidRPr="001F63BA">
        <w:rPr>
          <w:rFonts w:ascii="GHEA Grapalat" w:hAnsi="GHEA Grapalat"/>
          <w:sz w:val="22"/>
          <w:szCs w:val="22"/>
          <w:lang w:val="en-US"/>
        </w:rPr>
        <w:t xml:space="preserve">առավարության 2022 թվականի մարտի 31-ի N 426-Ն որոշմամբ սահմանվել է ձկնորսության թույլատրելի առավելագույն քանակություն՝ 300 տոննա, այնուհետև ընդունվել է </w:t>
      </w:r>
      <w:r w:rsidR="00FF639B" w:rsidRPr="001F63BA">
        <w:rPr>
          <w:rFonts w:ascii="GHEA Grapalat" w:hAnsi="GHEA Grapalat"/>
          <w:sz w:val="22"/>
          <w:szCs w:val="22"/>
          <w:lang w:val="en-US"/>
        </w:rPr>
        <w:t>ՀՀ կ</w:t>
      </w:r>
      <w:r w:rsidRPr="001F63BA">
        <w:rPr>
          <w:rFonts w:ascii="GHEA Grapalat" w:hAnsi="GHEA Grapalat"/>
          <w:sz w:val="22"/>
          <w:szCs w:val="22"/>
          <w:lang w:val="en-US"/>
        </w:rPr>
        <w:t>առավարության 2022 թվականի օգոստոսի 24-ի N 1335-Ն որոշումը, որով սահմանվել են աշնանային որսի իրականացման ժամկետներն ու որսաչափը՝ ևս 300 տոննա: 2020 թվականից ձկնորսների հետ պայմանագրային հիմունքներով ձկնորսության իրականացման արդյունքում Սևանա լճում գրանցվել է սիգի պաշարի զգալի աճ՝ շուրջ 2300 տ.-ից հասնելով 5300 տ.-ի, ինչի հիման վրա 2022 թվականին նախորդ տարվա համեմատ կրկնապատկվել է արդյունագործական որսի թույլատրելի սահմանաչափը՝ 600 տոննա։ Ներգրավվել է շուրջ 800 ձկնորս, իսկ նախորդ տարի՝ 214 ձկնորս։ Որսված ձկան քանակը կազմել է 363.835 տոննա:</w:t>
      </w:r>
    </w:p>
    <w:p w:rsidR="001C411D" w:rsidRPr="001F63BA" w:rsidRDefault="001C411D" w:rsidP="00034CB9">
      <w:pPr>
        <w:spacing w:line="360" w:lineRule="auto"/>
        <w:ind w:firstLine="567"/>
        <w:jc w:val="both"/>
        <w:rPr>
          <w:rFonts w:ascii="GHEA Grapalat" w:hAnsi="GHEA Grapalat"/>
          <w:sz w:val="22"/>
          <w:szCs w:val="22"/>
          <w:lang w:val="en-US"/>
        </w:rPr>
      </w:pPr>
      <w:r w:rsidRPr="001F63BA">
        <w:rPr>
          <w:rFonts w:ascii="GHEA Grapalat" w:hAnsi="GHEA Grapalat"/>
          <w:i/>
          <w:sz w:val="22"/>
          <w:szCs w:val="22"/>
          <w:lang w:val="en-US"/>
        </w:rPr>
        <w:t xml:space="preserve">«Սևանա լճի ջրածածկ անտառտնկարկների մաքրում»: </w:t>
      </w:r>
      <w:r w:rsidRPr="001F63BA">
        <w:rPr>
          <w:rFonts w:ascii="GHEA Grapalat" w:hAnsi="GHEA Grapalat"/>
          <w:sz w:val="22"/>
          <w:szCs w:val="22"/>
          <w:lang w:val="en-US"/>
        </w:rPr>
        <w:t>Սևանա լճի շրջակայքում ջրածածկ և ջրածածկման ենթակա տարածքներում անտառմաքրման աշխատանքների իրականացման միջոցառման շրջանակներում նախատեսվել է աշխատանքներն իրականացնել և՛ կապալառու կազմակերպության, և՛ ««Սևան» ազգային պարկ» ՊՈԱԿ-ի կողմից։ Կապալառու կազմակերպության հետ պայմանագիր չի կնքվել՝ մրցույթը համարվել է չկայացած, իսկ ««Սևան» ազգային պարկ» ՊՈԱԿ-ի կողմից մինչ օրս մաքրվել է 46.66 հա տարածք: Ընդունվել է 2022 թվականի հուլիսի 28-ի N</w:t>
      </w:r>
      <w:r w:rsidRPr="001F63BA">
        <w:rPr>
          <w:rFonts w:ascii="Calibri" w:hAnsi="Calibri" w:cs="Calibri"/>
          <w:sz w:val="22"/>
          <w:szCs w:val="22"/>
          <w:lang w:val="en-US"/>
        </w:rPr>
        <w:t> </w:t>
      </w:r>
      <w:r w:rsidRPr="001F63BA">
        <w:rPr>
          <w:rFonts w:ascii="GHEA Grapalat" w:hAnsi="GHEA Grapalat"/>
          <w:sz w:val="22"/>
          <w:szCs w:val="22"/>
          <w:lang w:val="en-US"/>
        </w:rPr>
        <w:t xml:space="preserve">1169 որոշումը, որով բյուջետային վերաբաշխման արդյունքում 48800.0 հազ. դրամ գումար է հատկացվել Սևանա լճի ջրածածկ անտառտնկարկների մաքրման աշխատանքներն առավել արդյունավետ իրականացնելու համար` անտառների գույքագրման նպատակով, և նոր նախագծա-նախահաշվային փաստաթղթերի ձեռքբերման նպատակով: Կնքված պայմանագրի շրջանակներում՝ դեկտեմբերի 28-ին «Ուայդ Գեյթ» ՍՊԸ-ն ներկայացրել է նախագծանախահաշվային փաստաթղթերի փաթեթ, որի հիման վրա հստակեցվել են մաքրման ենթակա տարածքները, մաքրման աշխատանքների համար պահանջվող ֆինանսական միջոցները: </w:t>
      </w:r>
    </w:p>
    <w:p w:rsidR="001C411D" w:rsidRPr="001F63BA" w:rsidRDefault="001C411D" w:rsidP="00034CB9">
      <w:pPr>
        <w:spacing w:line="360" w:lineRule="auto"/>
        <w:ind w:firstLine="567"/>
        <w:jc w:val="both"/>
        <w:rPr>
          <w:rFonts w:ascii="GHEA Grapalat" w:hAnsi="GHEA Grapalat"/>
          <w:sz w:val="22"/>
          <w:szCs w:val="22"/>
          <w:lang w:val="en-US"/>
        </w:rPr>
      </w:pPr>
      <w:r w:rsidRPr="001F63BA">
        <w:rPr>
          <w:rFonts w:ascii="GHEA Grapalat" w:hAnsi="GHEA Grapalat"/>
          <w:i/>
          <w:sz w:val="22"/>
          <w:szCs w:val="22"/>
          <w:lang w:val="en-US"/>
        </w:rPr>
        <w:t xml:space="preserve">Պահպանվող Տարածքների Աջակցման Ծրագիր-Հայաստան (KFW) </w:t>
      </w:r>
      <w:r w:rsidRPr="001F63BA">
        <w:rPr>
          <w:rFonts w:ascii="GHEA Grapalat" w:hAnsi="GHEA Grapalat"/>
          <w:sz w:val="22"/>
          <w:szCs w:val="22"/>
          <w:lang w:val="en-US"/>
        </w:rPr>
        <w:t>ծրագրի շրջանակներում 2022 թվականին նախատեսված աշխատանքների մեծ մասն իրականացված չէ՝ պայմանավորված գերմանական խորհրդատու կազմակերպության ներքին խնդիրներով, ինչպես նաև Սյունիքի մարզում աշխատանքների անհնարինությամբ՝ կապված սահմանային լարված իրավիճակի հետ, հատկապես 2-րդ կիսամյակում։</w:t>
      </w:r>
    </w:p>
    <w:p w:rsidR="00F8652C" w:rsidRPr="00BC0946" w:rsidRDefault="00F8652C" w:rsidP="00BC0946">
      <w:pPr>
        <w:spacing w:line="360" w:lineRule="auto"/>
        <w:ind w:firstLine="567"/>
        <w:jc w:val="both"/>
        <w:rPr>
          <w:rFonts w:ascii="GHEA Grapalat" w:hAnsi="GHEA Grapalat"/>
          <w:sz w:val="22"/>
          <w:szCs w:val="22"/>
          <w:lang w:val="en-US"/>
        </w:rPr>
      </w:pPr>
    </w:p>
    <w:p w:rsidR="00BC0946" w:rsidRPr="00BC0946" w:rsidRDefault="00BC0946" w:rsidP="00BC0946">
      <w:pPr>
        <w:spacing w:line="360" w:lineRule="auto"/>
        <w:ind w:firstLine="567"/>
        <w:jc w:val="both"/>
        <w:rPr>
          <w:rFonts w:ascii="GHEA Grapalat" w:hAnsi="GHEA Grapalat"/>
          <w:sz w:val="22"/>
          <w:szCs w:val="22"/>
          <w:lang w:val="en-US"/>
        </w:rPr>
      </w:pPr>
    </w:p>
    <w:p w:rsidR="001C411D" w:rsidRPr="001F63BA" w:rsidRDefault="001C411D" w:rsidP="00034CB9">
      <w:pPr>
        <w:spacing w:line="360" w:lineRule="auto"/>
        <w:ind w:left="567"/>
        <w:jc w:val="both"/>
        <w:rPr>
          <w:rFonts w:ascii="GHEA Grapalat" w:hAnsi="GHEA Grapalat"/>
          <w:sz w:val="22"/>
          <w:szCs w:val="22"/>
          <w:u w:val="single"/>
        </w:rPr>
      </w:pPr>
      <w:r w:rsidRPr="001F63BA">
        <w:rPr>
          <w:rFonts w:ascii="GHEA Grapalat" w:hAnsi="GHEA Grapalat"/>
          <w:sz w:val="22"/>
          <w:szCs w:val="22"/>
          <w:u w:val="single"/>
        </w:rPr>
        <w:lastRenderedPageBreak/>
        <w:t>Շրջակա միջավայրի վրա ազդեցության գնահատման և մոնիթորինգի բնագավառ</w:t>
      </w:r>
    </w:p>
    <w:p w:rsidR="001C411D" w:rsidRPr="001F63BA" w:rsidRDefault="001C411D" w:rsidP="00034CB9">
      <w:pPr>
        <w:spacing w:line="360" w:lineRule="auto"/>
        <w:ind w:firstLine="567"/>
        <w:jc w:val="both"/>
        <w:rPr>
          <w:rFonts w:ascii="GHEA Grapalat" w:hAnsi="GHEA Grapalat"/>
          <w:sz w:val="22"/>
          <w:szCs w:val="22"/>
        </w:rPr>
      </w:pPr>
      <w:r w:rsidRPr="001F63BA">
        <w:rPr>
          <w:rFonts w:ascii="GHEA Grapalat" w:hAnsi="GHEA Grapalat"/>
          <w:i/>
          <w:sz w:val="22"/>
          <w:szCs w:val="22"/>
        </w:rPr>
        <w:t>Շրջակա միջավայրի վրա ազդեցության փորձաքննություն:</w:t>
      </w:r>
      <w:r w:rsidRPr="001F63BA">
        <w:rPr>
          <w:rFonts w:ascii="GHEA Grapalat" w:hAnsi="GHEA Grapalat"/>
          <w:sz w:val="22"/>
          <w:szCs w:val="22"/>
        </w:rPr>
        <w:t xml:space="preserve"> 2022 թվականին միջոցառման շրջանակներում սահմանված կարգով տեխնիկական առաջադրանքներ են տրամադրվել 81 գործունեությունների հայտերին: Փորձաքննական եզրակացություններ են տրամադրվել 169 գործունեությունների վերաբերյալ։ Տարբեր ոլորտների գործունեությունների վերաբերյալ տրվել է 8 բացասական եզրակացություն։ Օրենքով սահմանված կարգով դեռևս նախնական գնահատման փուլում կայացվել են նաև գործունեությունների անթույլատրելիության որոշումներ։</w:t>
      </w:r>
    </w:p>
    <w:p w:rsidR="001C411D" w:rsidRPr="001F63BA" w:rsidRDefault="001C411D" w:rsidP="00192362">
      <w:pPr>
        <w:spacing w:line="360" w:lineRule="auto"/>
        <w:ind w:firstLine="567"/>
        <w:jc w:val="both"/>
        <w:rPr>
          <w:rFonts w:ascii="GHEA Grapalat" w:hAnsi="GHEA Grapalat"/>
          <w:sz w:val="22"/>
          <w:szCs w:val="22"/>
        </w:rPr>
      </w:pPr>
      <w:r w:rsidRPr="001F63BA">
        <w:rPr>
          <w:rFonts w:ascii="GHEA Grapalat" w:hAnsi="GHEA Grapalat"/>
          <w:i/>
          <w:sz w:val="22"/>
          <w:szCs w:val="22"/>
        </w:rPr>
        <w:t>ՀՀ մակերևութային ջրային օբյեկտների որակի մոնիթորինգ:</w:t>
      </w:r>
      <w:r w:rsidRPr="001F63BA">
        <w:rPr>
          <w:rFonts w:ascii="GHEA Grapalat" w:hAnsi="GHEA Grapalat"/>
          <w:sz w:val="22"/>
          <w:szCs w:val="22"/>
        </w:rPr>
        <w:t xml:space="preserve">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մակերևութային ջրերի որակի մոնիթորինգը (ջրի նմուշառում, դաշտային հետազոտություններ, ֆիզիկաքիմիական և հիդրոկենսաբանական անալիզներ, որակի գնահատում) իրականացվել է հանրապետության ջրային օբյեկտների (գետեր, ջրամբարներ) 141 դիտակետում: Ջրի նմուշներում դիտարկվել </w:t>
      </w:r>
      <w:r w:rsidRPr="001F63BA">
        <w:rPr>
          <w:rFonts w:ascii="GHEA Grapalat" w:hAnsi="GHEA Grapalat"/>
          <w:sz w:val="22"/>
          <w:szCs w:val="22"/>
          <w:lang w:val="en-US"/>
        </w:rPr>
        <w:t>է</w:t>
      </w:r>
      <w:r w:rsidRPr="001F63BA">
        <w:rPr>
          <w:rFonts w:ascii="GHEA Grapalat" w:hAnsi="GHEA Grapalat"/>
          <w:sz w:val="22"/>
          <w:szCs w:val="22"/>
        </w:rPr>
        <w:t xml:space="preserve"> ջրի որակի բնութագրական 40-50 ֆիզիկաքիմիական ցուցանիշ՝ հիմնական անիոններ և կատիոններ, սնուցող նյութեր, ծանր մետաղներ, առաջնային օրգանական աղտոտիչներ և հիդրոկենսաբանական ցուցանիշներ: Ընդհանուր առմամբ որոշվել է 43420 ցուցանիշ (նախատեսված ցուցանիշների նվազագույն քանակ՝ 43420): Արաքս գետի ջրի աղտոտվածության հայ-իրանական համատեղ մոնիթորինգի ծրագրի շրջանակում Արաքս գետի հայ-իրանական սահմանային հատվածում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իրականացվել է ջրի և հատակային նստվածքների մոնիթորինգ, որոշվել</w:t>
      </w:r>
      <w:r w:rsidRPr="001F63BA">
        <w:rPr>
          <w:rFonts w:ascii="GHEA Grapalat" w:hAnsi="GHEA Grapalat"/>
          <w:sz w:val="22"/>
          <w:szCs w:val="22"/>
          <w:lang w:val="en-US"/>
        </w:rPr>
        <w:t>՝</w:t>
      </w:r>
      <w:r w:rsidRPr="001F63BA">
        <w:rPr>
          <w:rFonts w:ascii="GHEA Grapalat" w:hAnsi="GHEA Grapalat"/>
          <w:sz w:val="22"/>
          <w:szCs w:val="22"/>
        </w:rPr>
        <w:t xml:space="preserve"> 2040 ցուցանիշ (նախատեսված ցուցանիշների նվազագույն քանակ` 2040):</w:t>
      </w:r>
    </w:p>
    <w:p w:rsidR="001C411D" w:rsidRPr="001F63BA" w:rsidRDefault="001C411D" w:rsidP="00192362">
      <w:pPr>
        <w:spacing w:line="360" w:lineRule="auto"/>
        <w:ind w:firstLine="567"/>
        <w:jc w:val="both"/>
        <w:rPr>
          <w:rFonts w:ascii="GHEA Grapalat" w:hAnsi="GHEA Grapalat"/>
          <w:sz w:val="22"/>
          <w:szCs w:val="22"/>
          <w:lang w:val="en-US"/>
        </w:rPr>
      </w:pPr>
      <w:r w:rsidRPr="001F63BA">
        <w:rPr>
          <w:rFonts w:ascii="GHEA Grapalat" w:hAnsi="GHEA Grapalat"/>
          <w:i/>
          <w:sz w:val="22"/>
          <w:szCs w:val="22"/>
        </w:rPr>
        <w:t>ՀՀ մթնոլորտային օդի որակի մոնիթորինգ:</w:t>
      </w:r>
      <w:r w:rsidRPr="001F63BA">
        <w:rPr>
          <w:rFonts w:ascii="GHEA Grapalat" w:hAnsi="GHEA Grapalat"/>
          <w:sz w:val="22"/>
          <w:szCs w:val="22"/>
        </w:rPr>
        <w:t xml:space="preserve">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մթնոլորտային օդի որակի դիտարկումներ կատարվել են հանրապետության 10 բնակավայրում օդի նմուշառման երեք եղանակով` պասիվ, ակտիվ և ավտոմատ: Մթնոլորտային օդում ուսումնասիրվել են ազոտի և ծծմբի երկօքսիդների, փոշու, փոշում պարունակող մետաղների ու գետնամերձ օզոնի պարունակությունները: Երևան, Գյումրի, Վանաձոր, Ալավերդի, Հրազդան, Արարատ և Ծաղկաձոր քաղաքներում մթնոլորտային օդի որակի դիտարկումներն իրականացվել են 15 ստացիոնար դիտակայանում՝ ակտիվ նմուշառման եղանակով: Պասիվ եղանակով նմուշառումներ իրականացվել են Երևան, Գյումրի, Վանաձոր, Ալավերդի, Հրազդան, Արարատ, Կապան, Քաջարան, Չարենցավան և Ծաղկաձոր քաղաքների 214 դիտակետում: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ՀՀ բնակավայրերի մթնոլորտային օդի որակի մոնիթորինգի միջոցառումների շրջանակում որոշվել է 75300 ցուցանիշ (նախատեսված ցուցանիշների քանակ` 75300): Սևանա լճի մակարդակը 2022 թվականի դեկտեմբերի 30-ի դրությամբ կազմում է 1900.28</w:t>
      </w:r>
      <w:r w:rsidRPr="001F63BA">
        <w:rPr>
          <w:rFonts w:ascii="GHEA Grapalat" w:hAnsi="GHEA Grapalat"/>
          <w:sz w:val="22"/>
          <w:szCs w:val="22"/>
          <w:lang w:val="en-US"/>
        </w:rPr>
        <w:t xml:space="preserve"> </w:t>
      </w:r>
      <w:r w:rsidRPr="001F63BA">
        <w:rPr>
          <w:rFonts w:ascii="GHEA Grapalat" w:hAnsi="GHEA Grapalat"/>
          <w:sz w:val="22"/>
          <w:szCs w:val="22"/>
        </w:rPr>
        <w:t>մ, ինչը 0.15 մ-ով ցածր է նախորդ տարվա նույն օրվա համեմատ (1900.43 մ)։</w:t>
      </w:r>
    </w:p>
    <w:p w:rsidR="001C411D" w:rsidRPr="001F63BA" w:rsidRDefault="001C411D" w:rsidP="00192362">
      <w:pPr>
        <w:spacing w:line="360" w:lineRule="auto"/>
        <w:ind w:firstLine="567"/>
        <w:jc w:val="both"/>
        <w:rPr>
          <w:rFonts w:ascii="GHEA Grapalat" w:hAnsi="GHEA Grapalat"/>
          <w:sz w:val="22"/>
          <w:szCs w:val="22"/>
        </w:rPr>
      </w:pPr>
      <w:r w:rsidRPr="001F63BA">
        <w:rPr>
          <w:rFonts w:ascii="GHEA Grapalat" w:hAnsi="GHEA Grapalat"/>
          <w:i/>
          <w:sz w:val="22"/>
          <w:szCs w:val="22"/>
        </w:rPr>
        <w:lastRenderedPageBreak/>
        <w:t>Ստորերկրյա քաղցրահամ ջրերի ազգային ցանցի հիդրոերկրաբանական մոնիթորինգ:</w:t>
      </w:r>
      <w:r w:rsidRPr="001F63BA">
        <w:rPr>
          <w:rFonts w:ascii="GHEA Grapalat" w:hAnsi="GHEA Grapalat"/>
          <w:sz w:val="22"/>
          <w:szCs w:val="22"/>
        </w:rPr>
        <w:t xml:space="preserve"> 2022</w:t>
      </w:r>
      <w:r w:rsidRPr="001F63BA">
        <w:rPr>
          <w:rFonts w:ascii="GHEA Grapalat" w:hAnsi="GHEA Grapalat"/>
          <w:sz w:val="22"/>
          <w:szCs w:val="22"/>
          <w:lang w:val="en-US"/>
        </w:rPr>
        <w:t xml:space="preserve"> </w:t>
      </w:r>
      <w:r w:rsidRPr="001F63BA">
        <w:rPr>
          <w:rFonts w:ascii="GHEA Grapalat" w:hAnsi="GHEA Grapalat"/>
          <w:sz w:val="22"/>
          <w:szCs w:val="22"/>
        </w:rPr>
        <w:t>թ</w:t>
      </w:r>
      <w:r w:rsidRPr="001F63BA">
        <w:rPr>
          <w:rFonts w:ascii="GHEA Grapalat" w:hAnsi="GHEA Grapalat"/>
          <w:sz w:val="22"/>
          <w:szCs w:val="22"/>
          <w:lang w:val="en-US"/>
        </w:rPr>
        <w:t>վականի</w:t>
      </w:r>
      <w:r w:rsidRPr="001F63BA">
        <w:rPr>
          <w:rFonts w:ascii="GHEA Grapalat" w:hAnsi="GHEA Grapalat"/>
          <w:sz w:val="22"/>
          <w:szCs w:val="22"/>
        </w:rPr>
        <w:t xml:space="preserve"> ընթացքում ստորերկրյա քաղցրահամ ջրերի հիդրոերկրաբանական մոնիթորինգն իրականացվել է 6 ՋԿՏ-ում ընդգրկված 119 ստորերկրյա ջրաղբյուրներում: Ընդհանուր առմամբ որոշվել է 18839 ցուցանիշ (նախատեսված ցուցանիշների թիվ՝ 18839), այդ թվում.</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ստորերկրյա ջրերի 70 դիտակետում (դրական և բացասական մակարդակով հորատանցքերում) 5040 մակարդակի (ճնշման) չափում՝ 6 անգամ հա</w:t>
      </w:r>
      <w:r w:rsidRPr="001F63BA">
        <w:rPr>
          <w:rFonts w:ascii="GHEA Grapalat" w:hAnsi="GHEA Grapalat" w:cs="GHEA Grapalat"/>
          <w:bCs/>
          <w:lang w:val="af-ZA"/>
        </w:rPr>
        <w:softHyphen/>
        <w:t>ճախականությամբ (նախա</w:t>
      </w:r>
      <w:r w:rsidRPr="001F63BA">
        <w:rPr>
          <w:rFonts w:ascii="GHEA Grapalat" w:hAnsi="GHEA Grapalat" w:cs="GHEA Grapalat"/>
          <w:bCs/>
          <w:lang w:val="af-ZA"/>
        </w:rPr>
        <w:softHyphen/>
        <w:t>տեսված չափումների թի</w:t>
      </w:r>
      <w:r w:rsidRPr="001F63BA">
        <w:rPr>
          <w:rFonts w:ascii="GHEA Grapalat" w:hAnsi="GHEA Grapalat" w:cs="GHEA Grapalat"/>
          <w:bCs/>
          <w:lang w:val="af-ZA"/>
        </w:rPr>
        <w:softHyphen/>
        <w:t>վ՝ 5040): Չափումները կատարվել են Արարատյ</w:t>
      </w:r>
      <w:r w:rsidRPr="001F63BA">
        <w:rPr>
          <w:rFonts w:ascii="GHEA Grapalat" w:hAnsi="GHEA Grapalat" w:cs="GHEA Grapalat"/>
          <w:bCs/>
          <w:lang w:val="af-ZA"/>
        </w:rPr>
        <w:softHyphen/>
        <w:t>ան, Գյումրիի և Սևանի միջլեռնային գոգավոր</w:t>
      </w:r>
      <w:r w:rsidRPr="001F63BA">
        <w:rPr>
          <w:rFonts w:ascii="GHEA Grapalat" w:hAnsi="GHEA Grapalat" w:cs="GHEA Grapalat"/>
          <w:bCs/>
          <w:lang w:val="af-ZA"/>
        </w:rPr>
        <w:softHyphen/>
        <w:t>ությունների հորատանց</w:t>
      </w:r>
      <w:r w:rsidRPr="001F63BA">
        <w:rPr>
          <w:rFonts w:ascii="GHEA Grapalat" w:hAnsi="GHEA Grapalat" w:cs="GHEA Grapalat"/>
          <w:bCs/>
          <w:lang w:val="af-ZA"/>
        </w:rPr>
        <w:softHyphen/>
        <w:t>քերում և ջրհորներում,</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ստորերկրյա ջրերի 71 դիտակետում` 47 բնաղբ</w:t>
      </w:r>
      <w:r w:rsidRPr="001F63BA">
        <w:rPr>
          <w:rFonts w:ascii="GHEA Grapalat" w:hAnsi="GHEA Grapalat" w:cs="GHEA Grapalat"/>
          <w:bCs/>
          <w:lang w:val="af-ZA"/>
        </w:rPr>
        <w:softHyphen/>
        <w:t>յուրում և միջլեռնային գոգավորությունների 23 շատրվանող հորատա</w:t>
      </w:r>
      <w:r w:rsidRPr="001F63BA">
        <w:rPr>
          <w:rFonts w:ascii="GHEA Grapalat" w:hAnsi="GHEA Grapalat" w:cs="GHEA Grapalat"/>
          <w:bCs/>
          <w:lang w:val="af-ZA"/>
        </w:rPr>
        <w:softHyphen/>
        <w:t>նցքում ծախսի 5112 չա</w:t>
      </w:r>
      <w:r w:rsidRPr="001F63BA">
        <w:rPr>
          <w:rFonts w:ascii="GHEA Grapalat" w:hAnsi="GHEA Grapalat" w:cs="GHEA Grapalat"/>
          <w:bCs/>
          <w:lang w:val="af-ZA"/>
        </w:rPr>
        <w:softHyphen/>
        <w:t>փում (նախատեսված չափ</w:t>
      </w:r>
      <w:r w:rsidRPr="001F63BA">
        <w:rPr>
          <w:rFonts w:ascii="GHEA Grapalat" w:hAnsi="GHEA Grapalat" w:cs="GHEA Grapalat"/>
          <w:bCs/>
          <w:lang w:val="af-ZA"/>
        </w:rPr>
        <w:softHyphen/>
        <w:t>ումների թիվ՝ 5112),</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ստորերկրյա ջրերի 119 դիտակետում ջերմաստիճանի 8568 չափում (նա</w:t>
      </w:r>
      <w:r w:rsidRPr="001F63BA">
        <w:rPr>
          <w:rFonts w:ascii="GHEA Grapalat" w:hAnsi="GHEA Grapalat" w:cs="GHEA Grapalat"/>
          <w:bCs/>
          <w:lang w:val="af-ZA"/>
        </w:rPr>
        <w:softHyphen/>
        <w:t>խատեսված չափումների թիվ՝ 8568),</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ստորերկրյա ջրերի 55 դիտակետերից կատարվել է նմուշառում լաբորա</w:t>
      </w:r>
      <w:r w:rsidRPr="001F63BA">
        <w:rPr>
          <w:rFonts w:ascii="GHEA Grapalat" w:hAnsi="GHEA Grapalat" w:cs="GHEA Grapalat"/>
          <w:bCs/>
          <w:lang w:val="af-ZA"/>
        </w:rPr>
        <w:softHyphen/>
        <w:t>տոր հետազոտություննե</w:t>
      </w:r>
      <w:r w:rsidRPr="001F63BA">
        <w:rPr>
          <w:rFonts w:ascii="GHEA Grapalat" w:hAnsi="GHEA Grapalat" w:cs="GHEA Grapalat"/>
          <w:bCs/>
          <w:lang w:val="af-ZA"/>
        </w:rPr>
        <w:softHyphen/>
        <w:t>րի համար (նախատեսված նմուշառումների թիվը՝ 55),</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ստորերկրյա ջրերի 119 դիտակետի շրջակայքում՝ հյուսիս</w:t>
      </w:r>
      <w:r w:rsidRPr="001F63BA">
        <w:rPr>
          <w:rFonts w:ascii="GHEA Grapalat" w:hAnsi="GHEA Grapalat" w:cs="GHEA Grapalat"/>
          <w:bCs/>
          <w:lang w:val="af-ZA"/>
        </w:rPr>
        <w:softHyphen/>
        <w:t>-հարավ, արևելք-արևմո</w:t>
      </w:r>
      <w:r w:rsidRPr="001F63BA">
        <w:rPr>
          <w:rFonts w:ascii="GHEA Grapalat" w:hAnsi="GHEA Grapalat" w:cs="GHEA Grapalat"/>
          <w:bCs/>
          <w:lang w:val="af-ZA"/>
        </w:rPr>
        <w:softHyphen/>
        <w:t>ւտք ուղղություններով կատարվել է տեղազննո</w:t>
      </w:r>
      <w:r w:rsidRPr="001F63BA">
        <w:rPr>
          <w:rFonts w:ascii="GHEA Grapalat" w:hAnsi="GHEA Grapalat" w:cs="GHEA Grapalat"/>
          <w:bCs/>
          <w:lang w:val="af-ZA"/>
        </w:rPr>
        <w:softHyphen/>
        <w:t>ւմ (նախատեսված ցուցա</w:t>
      </w:r>
      <w:r w:rsidRPr="001F63BA">
        <w:rPr>
          <w:rFonts w:ascii="GHEA Grapalat" w:hAnsi="GHEA Grapalat" w:cs="GHEA Grapalat"/>
          <w:bCs/>
          <w:lang w:val="af-ZA"/>
        </w:rPr>
        <w:softHyphen/>
        <w:t>նիշների թիվ՝ 119): Ար</w:t>
      </w:r>
      <w:r w:rsidRPr="001F63BA">
        <w:rPr>
          <w:rFonts w:ascii="GHEA Grapalat" w:hAnsi="GHEA Grapalat" w:cs="GHEA Grapalat"/>
          <w:bCs/>
          <w:lang w:val="af-ZA"/>
        </w:rPr>
        <w:softHyphen/>
        <w:t>դյունքում չեն բացահա</w:t>
      </w:r>
      <w:r w:rsidRPr="001F63BA">
        <w:rPr>
          <w:rFonts w:ascii="GHEA Grapalat" w:hAnsi="GHEA Grapalat" w:cs="GHEA Grapalat"/>
          <w:bCs/>
          <w:lang w:val="af-ZA"/>
        </w:rPr>
        <w:softHyphen/>
        <w:t>յտվել ստորերկրյա ջրե</w:t>
      </w:r>
      <w:r w:rsidRPr="001F63BA">
        <w:rPr>
          <w:rFonts w:ascii="GHEA Grapalat" w:hAnsi="GHEA Grapalat" w:cs="GHEA Grapalat"/>
          <w:bCs/>
          <w:lang w:val="af-ZA"/>
        </w:rPr>
        <w:softHyphen/>
        <w:t>րի որակի և քանակի վրա ազդող նոր տեխնածին գործոններ կամ հնարա</w:t>
      </w:r>
      <w:r w:rsidRPr="001F63BA">
        <w:rPr>
          <w:rFonts w:ascii="GHEA Grapalat" w:hAnsi="GHEA Grapalat" w:cs="GHEA Grapalat"/>
          <w:bCs/>
          <w:lang w:val="af-ZA"/>
        </w:rPr>
        <w:softHyphen/>
        <w:t>վոր աղտոտման օջախներ:</w:t>
      </w:r>
    </w:p>
    <w:p w:rsidR="001C411D" w:rsidRPr="001F63BA" w:rsidRDefault="001C411D" w:rsidP="00192362">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Կատարվել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ստորերկրյա</w:t>
      </w:r>
      <w:r w:rsidRPr="001F63BA">
        <w:rPr>
          <w:rFonts w:ascii="GHEA Grapalat" w:hAnsi="GHEA Grapalat"/>
          <w:sz w:val="22"/>
          <w:szCs w:val="22"/>
          <w:lang w:val="af-ZA"/>
        </w:rPr>
        <w:t xml:space="preserve"> </w:t>
      </w:r>
      <w:r w:rsidRPr="001F63BA">
        <w:rPr>
          <w:rFonts w:ascii="GHEA Grapalat" w:hAnsi="GHEA Grapalat"/>
          <w:sz w:val="22"/>
          <w:szCs w:val="22"/>
          <w:lang w:val="en-US"/>
        </w:rPr>
        <w:t>քաղցրահամ</w:t>
      </w:r>
      <w:r w:rsidRPr="001F63BA">
        <w:rPr>
          <w:rFonts w:ascii="GHEA Grapalat" w:hAnsi="GHEA Grapalat"/>
          <w:sz w:val="22"/>
          <w:szCs w:val="22"/>
          <w:lang w:val="af-ZA"/>
        </w:rPr>
        <w:t xml:space="preserve"> </w:t>
      </w:r>
      <w:r w:rsidRPr="001F63BA">
        <w:rPr>
          <w:rFonts w:ascii="GHEA Grapalat" w:hAnsi="GHEA Grapalat"/>
          <w:sz w:val="22"/>
          <w:szCs w:val="22"/>
          <w:lang w:val="en-US"/>
        </w:rPr>
        <w:t>ջրերի</w:t>
      </w:r>
      <w:r w:rsidRPr="001F63BA">
        <w:rPr>
          <w:rFonts w:ascii="GHEA Grapalat" w:hAnsi="GHEA Grapalat"/>
          <w:sz w:val="22"/>
          <w:szCs w:val="22"/>
          <w:lang w:val="af-ZA"/>
        </w:rPr>
        <w:t xml:space="preserve"> </w:t>
      </w:r>
      <w:r w:rsidRPr="001F63BA">
        <w:rPr>
          <w:rFonts w:ascii="GHEA Grapalat" w:hAnsi="GHEA Grapalat"/>
          <w:sz w:val="22"/>
          <w:szCs w:val="22"/>
          <w:lang w:val="en-US"/>
        </w:rPr>
        <w:t>որակի</w:t>
      </w:r>
      <w:r w:rsidRPr="001F63BA">
        <w:rPr>
          <w:rFonts w:ascii="GHEA Grapalat" w:hAnsi="GHEA Grapalat"/>
          <w:sz w:val="22"/>
          <w:szCs w:val="22"/>
          <w:lang w:val="af-ZA"/>
        </w:rPr>
        <w:t xml:space="preserve"> </w:t>
      </w:r>
      <w:r w:rsidRPr="001F63BA">
        <w:rPr>
          <w:rFonts w:ascii="GHEA Grapalat" w:hAnsi="GHEA Grapalat"/>
          <w:sz w:val="22"/>
          <w:szCs w:val="22"/>
          <w:lang w:val="en-US"/>
        </w:rPr>
        <w:t>մոնիթորինգ</w:t>
      </w:r>
      <w:r w:rsidRPr="001F63BA">
        <w:rPr>
          <w:rFonts w:ascii="GHEA Grapalat" w:hAnsi="GHEA Grapalat"/>
          <w:sz w:val="22"/>
          <w:szCs w:val="22"/>
          <w:lang w:val="af-ZA"/>
        </w:rPr>
        <w:t xml:space="preserve">, </w:t>
      </w:r>
      <w:r w:rsidRPr="001F63BA">
        <w:rPr>
          <w:rFonts w:ascii="GHEA Grapalat" w:hAnsi="GHEA Grapalat"/>
          <w:sz w:val="22"/>
          <w:szCs w:val="22"/>
          <w:lang w:val="en-US"/>
        </w:rPr>
        <w:t>ընդհանուր</w:t>
      </w:r>
      <w:r w:rsidRPr="001F63BA">
        <w:rPr>
          <w:rFonts w:ascii="GHEA Grapalat" w:hAnsi="GHEA Grapalat"/>
          <w:sz w:val="22"/>
          <w:szCs w:val="22"/>
          <w:lang w:val="af-ZA"/>
        </w:rPr>
        <w:t xml:space="preserve"> </w:t>
      </w:r>
      <w:r w:rsidRPr="001F63BA">
        <w:rPr>
          <w:rFonts w:ascii="GHEA Grapalat" w:hAnsi="GHEA Grapalat"/>
          <w:sz w:val="22"/>
          <w:szCs w:val="22"/>
          <w:lang w:val="en-US"/>
        </w:rPr>
        <w:t>առմամբ</w:t>
      </w:r>
      <w:r w:rsidRPr="001F63BA">
        <w:rPr>
          <w:rFonts w:ascii="GHEA Grapalat" w:hAnsi="GHEA Grapalat"/>
          <w:sz w:val="22"/>
          <w:szCs w:val="22"/>
          <w:lang w:val="af-ZA"/>
        </w:rPr>
        <w:t xml:space="preserve"> </w:t>
      </w:r>
      <w:r w:rsidRPr="001F63BA">
        <w:rPr>
          <w:rFonts w:ascii="GHEA Grapalat" w:hAnsi="GHEA Grapalat"/>
          <w:sz w:val="22"/>
          <w:szCs w:val="22"/>
          <w:lang w:val="en-US"/>
        </w:rPr>
        <w:t>որոշվել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4400 </w:t>
      </w:r>
      <w:r w:rsidRPr="001F63BA">
        <w:rPr>
          <w:rFonts w:ascii="GHEA Grapalat" w:hAnsi="GHEA Grapalat"/>
          <w:sz w:val="22"/>
          <w:szCs w:val="22"/>
          <w:lang w:val="en-US"/>
        </w:rPr>
        <w:t>ցուցանիշ</w:t>
      </w:r>
      <w:r w:rsidRPr="001F63BA">
        <w:rPr>
          <w:rFonts w:ascii="GHEA Grapalat" w:hAnsi="GHEA Grapalat"/>
          <w:sz w:val="22"/>
          <w:szCs w:val="22"/>
          <w:lang w:val="af-ZA"/>
        </w:rPr>
        <w:t xml:space="preserve"> (</w:t>
      </w:r>
      <w:r w:rsidRPr="001F63BA">
        <w:rPr>
          <w:rFonts w:ascii="GHEA Grapalat" w:hAnsi="GHEA Grapalat"/>
          <w:sz w:val="22"/>
          <w:szCs w:val="22"/>
          <w:lang w:val="en-US"/>
        </w:rPr>
        <w:t>նախատեսված</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ցուցանիշների</w:t>
      </w:r>
      <w:r w:rsidRPr="001F63BA">
        <w:rPr>
          <w:rFonts w:ascii="GHEA Grapalat" w:hAnsi="GHEA Grapalat"/>
          <w:sz w:val="22"/>
          <w:szCs w:val="22"/>
          <w:lang w:val="af-ZA"/>
        </w:rPr>
        <w:t xml:space="preserve"> </w:t>
      </w:r>
      <w:r w:rsidRPr="001F63BA">
        <w:rPr>
          <w:rFonts w:ascii="GHEA Grapalat" w:hAnsi="GHEA Grapalat"/>
          <w:sz w:val="22"/>
          <w:szCs w:val="22"/>
          <w:lang w:val="en-US"/>
        </w:rPr>
        <w:t>թիվը՝</w:t>
      </w:r>
      <w:r w:rsidRPr="001F63BA">
        <w:rPr>
          <w:rFonts w:ascii="GHEA Grapalat" w:hAnsi="GHEA Grapalat"/>
          <w:sz w:val="22"/>
          <w:szCs w:val="22"/>
          <w:lang w:val="af-ZA"/>
        </w:rPr>
        <w:t xml:space="preserve"> 4400):</w:t>
      </w:r>
    </w:p>
    <w:p w:rsidR="001C411D" w:rsidRPr="001F63BA" w:rsidRDefault="001C411D" w:rsidP="00192362">
      <w:pPr>
        <w:spacing w:line="360" w:lineRule="auto"/>
        <w:ind w:firstLine="567"/>
        <w:jc w:val="both"/>
        <w:rPr>
          <w:rFonts w:ascii="GHEA Grapalat" w:hAnsi="GHEA Grapalat"/>
          <w:sz w:val="22"/>
          <w:szCs w:val="22"/>
          <w:lang w:val="af-ZA"/>
        </w:rPr>
      </w:pPr>
      <w:r w:rsidRPr="001F63BA">
        <w:rPr>
          <w:rFonts w:ascii="GHEA Grapalat" w:hAnsi="GHEA Grapalat"/>
          <w:i/>
          <w:sz w:val="22"/>
          <w:szCs w:val="22"/>
          <w:lang w:val="en-US"/>
        </w:rPr>
        <w:t>Թափոնների</w:t>
      </w:r>
      <w:r w:rsidRPr="001F63BA">
        <w:rPr>
          <w:rFonts w:ascii="GHEA Grapalat" w:hAnsi="GHEA Grapalat"/>
          <w:i/>
          <w:sz w:val="22"/>
          <w:szCs w:val="22"/>
          <w:lang w:val="af-ZA"/>
        </w:rPr>
        <w:t xml:space="preserve"> </w:t>
      </w:r>
      <w:r w:rsidRPr="001F63BA">
        <w:rPr>
          <w:rFonts w:ascii="GHEA Grapalat" w:hAnsi="GHEA Grapalat"/>
          <w:i/>
          <w:sz w:val="22"/>
          <w:szCs w:val="22"/>
          <w:lang w:val="en-US"/>
        </w:rPr>
        <w:t>հաշվառում</w:t>
      </w:r>
      <w:r w:rsidRPr="001F63BA">
        <w:rPr>
          <w:rFonts w:ascii="GHEA Grapalat" w:hAnsi="GHEA Grapalat"/>
          <w:i/>
          <w:sz w:val="22"/>
          <w:szCs w:val="22"/>
          <w:lang w:val="af-ZA"/>
        </w:rPr>
        <w:t xml:space="preserve">, </w:t>
      </w:r>
      <w:r w:rsidRPr="001F63BA">
        <w:rPr>
          <w:rFonts w:ascii="GHEA Grapalat" w:hAnsi="GHEA Grapalat"/>
          <w:i/>
          <w:sz w:val="22"/>
          <w:szCs w:val="22"/>
          <w:lang w:val="en-US"/>
        </w:rPr>
        <w:t>դասակարգում</w:t>
      </w:r>
      <w:r w:rsidRPr="001F63BA">
        <w:rPr>
          <w:rFonts w:ascii="GHEA Grapalat" w:hAnsi="GHEA Grapalat"/>
          <w:i/>
          <w:sz w:val="22"/>
          <w:szCs w:val="22"/>
          <w:lang w:val="af-ZA"/>
        </w:rPr>
        <w:t xml:space="preserve"> </w:t>
      </w:r>
      <w:r w:rsidRPr="001F63BA">
        <w:rPr>
          <w:rFonts w:ascii="GHEA Grapalat" w:hAnsi="GHEA Grapalat"/>
          <w:i/>
          <w:sz w:val="22"/>
          <w:szCs w:val="22"/>
          <w:lang w:val="en-US"/>
        </w:rPr>
        <w:t>և</w:t>
      </w:r>
      <w:r w:rsidRPr="001F63BA">
        <w:rPr>
          <w:rFonts w:ascii="GHEA Grapalat" w:hAnsi="GHEA Grapalat"/>
          <w:i/>
          <w:sz w:val="22"/>
          <w:szCs w:val="22"/>
          <w:lang w:val="af-ZA"/>
        </w:rPr>
        <w:t xml:space="preserve"> </w:t>
      </w:r>
      <w:r w:rsidRPr="001F63BA">
        <w:rPr>
          <w:rFonts w:ascii="GHEA Grapalat" w:hAnsi="GHEA Grapalat"/>
          <w:i/>
          <w:sz w:val="22"/>
          <w:szCs w:val="22"/>
          <w:lang w:val="en-US"/>
        </w:rPr>
        <w:t>վերլուծություն</w:t>
      </w:r>
      <w:r w:rsidRPr="001F63BA">
        <w:rPr>
          <w:rFonts w:ascii="GHEA Grapalat" w:hAnsi="GHEA Grapalat"/>
          <w:i/>
          <w:sz w:val="22"/>
          <w:szCs w:val="22"/>
          <w:lang w:val="af-ZA"/>
        </w:rPr>
        <w:t>:</w:t>
      </w:r>
      <w:r w:rsidRPr="001F63BA">
        <w:rPr>
          <w:rFonts w:ascii="GHEA Grapalat" w:hAnsi="GHEA Grapalat"/>
          <w:sz w:val="22"/>
          <w:szCs w:val="22"/>
          <w:lang w:val="af-ZA"/>
        </w:rPr>
        <w:t xml:space="preserve"> </w:t>
      </w:r>
      <w:r w:rsidRPr="001F63BA">
        <w:rPr>
          <w:rFonts w:ascii="GHEA Grapalat" w:hAnsi="GHEA Grapalat"/>
          <w:sz w:val="22"/>
          <w:szCs w:val="22"/>
          <w:lang w:val="en-US"/>
        </w:rPr>
        <w:t>Թափոնների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կադաստրի</w:t>
      </w:r>
      <w:r w:rsidRPr="001F63BA">
        <w:rPr>
          <w:rFonts w:ascii="GHEA Grapalat" w:hAnsi="GHEA Grapalat"/>
          <w:sz w:val="22"/>
          <w:szCs w:val="22"/>
          <w:lang w:val="af-ZA"/>
        </w:rPr>
        <w:t xml:space="preserve"> </w:t>
      </w:r>
      <w:r w:rsidRPr="001F63BA">
        <w:rPr>
          <w:rFonts w:ascii="GHEA Grapalat" w:hAnsi="GHEA Grapalat"/>
          <w:sz w:val="22"/>
          <w:szCs w:val="22"/>
          <w:lang w:val="en-US"/>
        </w:rPr>
        <w:t>ստեղծման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աշխատանքներին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թափոնների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գոյացման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վերամշակման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օգտահանման</w:t>
      </w:r>
      <w:r w:rsidRPr="001F63BA">
        <w:rPr>
          <w:rFonts w:ascii="GHEA Grapalat" w:hAnsi="GHEA Grapalat"/>
          <w:sz w:val="22"/>
          <w:szCs w:val="22"/>
          <w:lang w:val="af-ZA"/>
        </w:rPr>
        <w:t xml:space="preserve"> </w:t>
      </w:r>
      <w:r w:rsidRPr="001F63BA">
        <w:rPr>
          <w:rFonts w:ascii="GHEA Grapalat" w:hAnsi="GHEA Grapalat"/>
          <w:sz w:val="22"/>
          <w:szCs w:val="22"/>
          <w:lang w:val="en-US"/>
        </w:rPr>
        <w:t>օբյեկտների</w:t>
      </w:r>
      <w:r w:rsidRPr="001F63BA">
        <w:rPr>
          <w:rFonts w:ascii="GHEA Grapalat" w:hAnsi="GHEA Grapalat"/>
          <w:sz w:val="22"/>
          <w:szCs w:val="22"/>
          <w:lang w:val="af-ZA"/>
        </w:rPr>
        <w:t xml:space="preserve"> </w:t>
      </w:r>
      <w:r w:rsidRPr="001F63BA">
        <w:rPr>
          <w:rFonts w:ascii="GHEA Grapalat" w:hAnsi="GHEA Grapalat"/>
          <w:sz w:val="22"/>
          <w:szCs w:val="22"/>
          <w:lang w:val="en-US"/>
        </w:rPr>
        <w:t>ռեեստրների</w:t>
      </w:r>
      <w:r w:rsidRPr="001F63BA">
        <w:rPr>
          <w:rFonts w:ascii="GHEA Grapalat" w:hAnsi="GHEA Grapalat"/>
          <w:sz w:val="22"/>
          <w:szCs w:val="22"/>
          <w:lang w:val="af-ZA"/>
        </w:rPr>
        <w:t xml:space="preserve"> </w:t>
      </w:r>
      <w:r w:rsidRPr="001F63BA">
        <w:rPr>
          <w:rFonts w:ascii="GHEA Grapalat" w:hAnsi="GHEA Grapalat"/>
          <w:sz w:val="22"/>
          <w:szCs w:val="22"/>
          <w:lang w:val="en-US"/>
        </w:rPr>
        <w:t>ստեղծմանն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հաշվետու</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ժամանակահատվածում</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թափոնների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գոյացման</w:t>
      </w:r>
      <w:r w:rsidRPr="001F63BA">
        <w:rPr>
          <w:rFonts w:ascii="GHEA Grapalat" w:hAnsi="GHEA Grapalat"/>
          <w:sz w:val="22"/>
          <w:szCs w:val="22"/>
          <w:lang w:val="af-ZA"/>
        </w:rPr>
        <w:t xml:space="preserve">, </w:t>
      </w:r>
      <w:r w:rsidRPr="001F63BA">
        <w:rPr>
          <w:rFonts w:ascii="GHEA Grapalat" w:hAnsi="GHEA Grapalat"/>
          <w:sz w:val="22"/>
          <w:szCs w:val="22"/>
          <w:lang w:val="en-US"/>
        </w:rPr>
        <w:t>վերամշակման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օգտահանման</w:t>
      </w:r>
      <w:r w:rsidRPr="001F63BA">
        <w:rPr>
          <w:rFonts w:ascii="GHEA Grapalat" w:hAnsi="GHEA Grapalat"/>
          <w:sz w:val="22"/>
          <w:szCs w:val="22"/>
          <w:lang w:val="af-ZA"/>
        </w:rPr>
        <w:t xml:space="preserve"> 20 </w:t>
      </w:r>
      <w:r w:rsidRPr="001F63BA">
        <w:rPr>
          <w:rFonts w:ascii="GHEA Grapalat" w:hAnsi="GHEA Grapalat"/>
          <w:sz w:val="22"/>
          <w:szCs w:val="22"/>
          <w:lang w:val="en-US"/>
        </w:rPr>
        <w:t>օբյեկտներ,</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թվում՝</w:t>
      </w:r>
      <w:r w:rsidRPr="001F63BA">
        <w:rPr>
          <w:rFonts w:ascii="GHEA Grapalat" w:hAnsi="GHEA Grapalat"/>
          <w:sz w:val="22"/>
          <w:szCs w:val="22"/>
          <w:lang w:val="af-ZA"/>
        </w:rPr>
        <w:t xml:space="preserve"> 17 </w:t>
      </w:r>
      <w:r w:rsidRPr="001F63BA">
        <w:rPr>
          <w:rFonts w:ascii="GHEA Grapalat" w:hAnsi="GHEA Grapalat"/>
          <w:sz w:val="22"/>
          <w:szCs w:val="22"/>
          <w:lang w:val="en-US"/>
        </w:rPr>
        <w:t>թափոններ</w:t>
      </w:r>
      <w:r w:rsidRPr="001F63BA">
        <w:rPr>
          <w:rFonts w:ascii="GHEA Grapalat" w:hAnsi="GHEA Grapalat"/>
          <w:sz w:val="22"/>
          <w:szCs w:val="22"/>
          <w:lang w:val="af-ZA"/>
        </w:rPr>
        <w:t xml:space="preserve"> </w:t>
      </w:r>
      <w:r w:rsidRPr="001F63BA">
        <w:rPr>
          <w:rFonts w:ascii="GHEA Grapalat" w:hAnsi="GHEA Grapalat"/>
          <w:sz w:val="22"/>
          <w:szCs w:val="22"/>
          <w:lang w:val="en-US"/>
        </w:rPr>
        <w:t>գոյացնող</w:t>
      </w:r>
      <w:r w:rsidRPr="001F63BA">
        <w:rPr>
          <w:rFonts w:ascii="GHEA Grapalat" w:hAnsi="GHEA Grapalat"/>
          <w:sz w:val="22"/>
          <w:szCs w:val="22"/>
          <w:lang w:val="af-ZA"/>
        </w:rPr>
        <w:t xml:space="preserve"> </w:t>
      </w:r>
      <w:r w:rsidRPr="001F63BA">
        <w:rPr>
          <w:rFonts w:ascii="GHEA Grapalat" w:hAnsi="GHEA Grapalat"/>
          <w:sz w:val="22"/>
          <w:szCs w:val="22"/>
          <w:lang w:val="en-US"/>
        </w:rPr>
        <w:t>օբյեկտներ</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3 </w:t>
      </w:r>
      <w:r w:rsidRPr="001F63BA">
        <w:rPr>
          <w:rFonts w:ascii="GHEA Grapalat" w:hAnsi="GHEA Grapalat"/>
          <w:sz w:val="22"/>
          <w:szCs w:val="22"/>
          <w:lang w:val="en-US"/>
        </w:rPr>
        <w:t>թափոններ</w:t>
      </w:r>
      <w:r w:rsidRPr="001F63BA">
        <w:rPr>
          <w:rFonts w:ascii="GHEA Grapalat" w:hAnsi="GHEA Grapalat"/>
          <w:sz w:val="22"/>
          <w:szCs w:val="22"/>
          <w:lang w:val="af-ZA"/>
        </w:rPr>
        <w:t xml:space="preserve"> </w:t>
      </w:r>
      <w:r w:rsidRPr="001F63BA">
        <w:rPr>
          <w:rFonts w:ascii="GHEA Grapalat" w:hAnsi="GHEA Grapalat"/>
          <w:sz w:val="22"/>
          <w:szCs w:val="22"/>
          <w:lang w:val="en-US"/>
        </w:rPr>
        <w:t>վերամշակող</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w:t>
      </w:r>
      <w:r w:rsidRPr="001F63BA">
        <w:rPr>
          <w:rFonts w:ascii="GHEA Grapalat" w:hAnsi="GHEA Grapalat"/>
          <w:sz w:val="22"/>
          <w:szCs w:val="22"/>
          <w:lang w:val="en-US"/>
        </w:rPr>
        <w:t>կամ</w:t>
      </w:r>
      <w:r w:rsidRPr="001F63BA">
        <w:rPr>
          <w:rFonts w:ascii="GHEA Grapalat" w:hAnsi="GHEA Grapalat"/>
          <w:sz w:val="22"/>
          <w:szCs w:val="22"/>
          <w:lang w:val="af-ZA"/>
        </w:rPr>
        <w:t xml:space="preserve"> </w:t>
      </w:r>
      <w:r w:rsidRPr="001F63BA">
        <w:rPr>
          <w:rFonts w:ascii="GHEA Grapalat" w:hAnsi="GHEA Grapalat"/>
          <w:sz w:val="22"/>
          <w:szCs w:val="22"/>
          <w:lang w:val="en-US"/>
        </w:rPr>
        <w:t>օգտահանող</w:t>
      </w:r>
      <w:r w:rsidRPr="001F63BA">
        <w:rPr>
          <w:rFonts w:ascii="GHEA Grapalat" w:hAnsi="GHEA Grapalat"/>
          <w:sz w:val="22"/>
          <w:szCs w:val="22"/>
          <w:lang w:val="af-ZA"/>
        </w:rPr>
        <w:t xml:space="preserve"> </w:t>
      </w:r>
      <w:r w:rsidRPr="001F63BA">
        <w:rPr>
          <w:rFonts w:ascii="GHEA Grapalat" w:hAnsi="GHEA Grapalat"/>
          <w:sz w:val="22"/>
          <w:szCs w:val="22"/>
          <w:lang w:val="en-US"/>
        </w:rPr>
        <w:t>օբյեկտներ</w:t>
      </w:r>
      <w:r w:rsidRPr="001F63BA">
        <w:rPr>
          <w:rFonts w:ascii="GHEA Grapalat" w:hAnsi="GHEA Grapalat"/>
          <w:sz w:val="22"/>
          <w:szCs w:val="22"/>
          <w:lang w:val="af-ZA"/>
        </w:rPr>
        <w:t xml:space="preserve"> (</w:t>
      </w:r>
      <w:r w:rsidRPr="001F63BA">
        <w:rPr>
          <w:rFonts w:ascii="GHEA Grapalat" w:hAnsi="GHEA Grapalat"/>
          <w:sz w:val="22"/>
          <w:szCs w:val="22"/>
          <w:lang w:val="en-US"/>
        </w:rPr>
        <w:t>նախատեսված</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ցուցանիշների</w:t>
      </w:r>
      <w:r w:rsidRPr="001F63BA">
        <w:rPr>
          <w:rFonts w:ascii="GHEA Grapalat" w:hAnsi="GHEA Grapalat"/>
          <w:sz w:val="22"/>
          <w:szCs w:val="22"/>
          <w:lang w:val="af-ZA"/>
        </w:rPr>
        <w:t xml:space="preserve"> </w:t>
      </w:r>
      <w:r w:rsidRPr="001F63BA">
        <w:rPr>
          <w:rFonts w:ascii="GHEA Grapalat" w:hAnsi="GHEA Grapalat"/>
          <w:sz w:val="22"/>
          <w:szCs w:val="22"/>
          <w:lang w:val="en-US"/>
        </w:rPr>
        <w:t>քանակ՝</w:t>
      </w:r>
      <w:r w:rsidRPr="001F63BA">
        <w:rPr>
          <w:rFonts w:ascii="GHEA Grapalat" w:hAnsi="GHEA Grapalat"/>
          <w:sz w:val="22"/>
          <w:szCs w:val="22"/>
          <w:lang w:val="af-ZA"/>
        </w:rPr>
        <w:t xml:space="preserve"> 20): </w:t>
      </w:r>
      <w:r w:rsidRPr="001F63BA">
        <w:rPr>
          <w:rFonts w:ascii="GHEA Grapalat" w:hAnsi="GHEA Grapalat"/>
          <w:sz w:val="22"/>
          <w:szCs w:val="22"/>
          <w:lang w:val="en-US"/>
        </w:rPr>
        <w:t>Թափոնների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կադաստրի</w:t>
      </w:r>
      <w:r w:rsidRPr="001F63BA">
        <w:rPr>
          <w:rFonts w:ascii="GHEA Grapalat" w:hAnsi="GHEA Grapalat"/>
          <w:sz w:val="22"/>
          <w:szCs w:val="22"/>
          <w:lang w:val="af-ZA"/>
        </w:rPr>
        <w:t xml:space="preserve"> </w:t>
      </w:r>
      <w:r w:rsidRPr="001F63BA">
        <w:rPr>
          <w:rFonts w:ascii="GHEA Grapalat" w:hAnsi="GHEA Grapalat"/>
          <w:sz w:val="22"/>
          <w:szCs w:val="22"/>
          <w:lang w:val="en-US"/>
        </w:rPr>
        <w:t>ստեղծման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աշխատանքներին</w:t>
      </w:r>
      <w:r w:rsidRPr="001F63BA">
        <w:rPr>
          <w:rFonts w:ascii="GHEA Grapalat" w:hAnsi="GHEA Grapalat"/>
          <w:sz w:val="22"/>
          <w:szCs w:val="22"/>
          <w:lang w:val="af-ZA"/>
        </w:rPr>
        <w:t xml:space="preserve"> </w:t>
      </w:r>
      <w:r w:rsidRPr="001F63BA">
        <w:rPr>
          <w:rFonts w:ascii="GHEA Grapalat" w:hAnsi="GHEA Grapalat"/>
          <w:sz w:val="22"/>
          <w:szCs w:val="22"/>
          <w:lang w:val="en-US"/>
        </w:rPr>
        <w:t>աջակցության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թափոնների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դրանց</w:t>
      </w:r>
      <w:r w:rsidRPr="001F63BA">
        <w:rPr>
          <w:rFonts w:ascii="GHEA Grapalat" w:hAnsi="GHEA Grapalat"/>
          <w:sz w:val="22"/>
          <w:szCs w:val="22"/>
          <w:lang w:val="af-ZA"/>
        </w:rPr>
        <w:t xml:space="preserve"> </w:t>
      </w:r>
      <w:r w:rsidRPr="001F63BA">
        <w:rPr>
          <w:rFonts w:ascii="GHEA Grapalat" w:hAnsi="GHEA Grapalat"/>
          <w:sz w:val="22"/>
          <w:szCs w:val="22"/>
          <w:lang w:val="en-US"/>
        </w:rPr>
        <w:t>օգտագործման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վնասազերծման</w:t>
      </w:r>
      <w:r w:rsidRPr="001F63BA">
        <w:rPr>
          <w:rFonts w:ascii="GHEA Grapalat" w:hAnsi="GHEA Grapalat"/>
          <w:sz w:val="22"/>
          <w:szCs w:val="22"/>
          <w:lang w:val="af-ZA"/>
        </w:rPr>
        <w:t xml:space="preserve"> </w:t>
      </w:r>
      <w:r w:rsidRPr="001F63BA">
        <w:rPr>
          <w:rFonts w:ascii="GHEA Grapalat" w:hAnsi="GHEA Grapalat"/>
          <w:sz w:val="22"/>
          <w:szCs w:val="22"/>
          <w:lang w:val="en-US"/>
        </w:rPr>
        <w:t>տեխնոլոգիաների</w:t>
      </w:r>
      <w:r w:rsidRPr="001F63BA">
        <w:rPr>
          <w:rFonts w:ascii="GHEA Grapalat" w:hAnsi="GHEA Grapalat"/>
          <w:sz w:val="22"/>
          <w:szCs w:val="22"/>
          <w:lang w:val="af-ZA"/>
        </w:rPr>
        <w:t xml:space="preserve"> </w:t>
      </w:r>
      <w:r w:rsidRPr="001F63BA">
        <w:rPr>
          <w:rFonts w:ascii="GHEA Grapalat" w:hAnsi="GHEA Grapalat"/>
          <w:sz w:val="22"/>
          <w:szCs w:val="22"/>
          <w:lang w:val="en-US"/>
        </w:rPr>
        <w:t>վերաբերյալ</w:t>
      </w:r>
      <w:r w:rsidRPr="001F63BA">
        <w:rPr>
          <w:rFonts w:ascii="GHEA Grapalat" w:hAnsi="GHEA Grapalat"/>
          <w:sz w:val="22"/>
          <w:szCs w:val="22"/>
          <w:lang w:val="af-ZA"/>
        </w:rPr>
        <w:t xml:space="preserve"> </w:t>
      </w:r>
      <w:r w:rsidRPr="001F63BA">
        <w:rPr>
          <w:rFonts w:ascii="GHEA Grapalat" w:hAnsi="GHEA Grapalat"/>
          <w:sz w:val="22"/>
          <w:szCs w:val="22"/>
          <w:lang w:val="en-US"/>
        </w:rPr>
        <w:t>տվյալների</w:t>
      </w:r>
      <w:r w:rsidRPr="001F63BA">
        <w:rPr>
          <w:rFonts w:ascii="GHEA Grapalat" w:hAnsi="GHEA Grapalat"/>
          <w:sz w:val="22"/>
          <w:szCs w:val="22"/>
          <w:lang w:val="af-ZA"/>
        </w:rPr>
        <w:t xml:space="preserve"> </w:t>
      </w:r>
      <w:r w:rsidRPr="001F63BA">
        <w:rPr>
          <w:rFonts w:ascii="GHEA Grapalat" w:hAnsi="GHEA Grapalat"/>
          <w:sz w:val="22"/>
          <w:szCs w:val="22"/>
          <w:lang w:val="en-US"/>
        </w:rPr>
        <w:t>բանկը</w:t>
      </w:r>
      <w:r w:rsidRPr="001F63BA">
        <w:rPr>
          <w:rFonts w:ascii="GHEA Grapalat" w:hAnsi="GHEA Grapalat"/>
          <w:sz w:val="22"/>
          <w:szCs w:val="22"/>
          <w:lang w:val="af-ZA"/>
        </w:rPr>
        <w:t xml:space="preserve"> </w:t>
      </w:r>
      <w:r w:rsidRPr="001F63BA">
        <w:rPr>
          <w:rFonts w:ascii="GHEA Grapalat" w:hAnsi="GHEA Grapalat"/>
          <w:sz w:val="22"/>
          <w:szCs w:val="22"/>
          <w:lang w:val="en-US"/>
        </w:rPr>
        <w:t>համալրելու</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հաշվետու</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ժամանակահատվածում</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թափոնների</w:t>
      </w:r>
      <w:r w:rsidRPr="001F63BA">
        <w:rPr>
          <w:rFonts w:ascii="GHEA Grapalat" w:hAnsi="GHEA Grapalat"/>
          <w:sz w:val="22"/>
          <w:szCs w:val="22"/>
          <w:lang w:val="af-ZA"/>
        </w:rPr>
        <w:t xml:space="preserve"> </w:t>
      </w:r>
      <w:r w:rsidRPr="001F63BA">
        <w:rPr>
          <w:rFonts w:ascii="GHEA Grapalat" w:hAnsi="GHEA Grapalat"/>
          <w:sz w:val="22"/>
          <w:szCs w:val="22"/>
          <w:lang w:val="en-US"/>
        </w:rPr>
        <w:t>օգտահանման</w:t>
      </w:r>
      <w:r w:rsidRPr="001F63BA">
        <w:rPr>
          <w:rFonts w:ascii="GHEA Grapalat" w:hAnsi="GHEA Grapalat"/>
          <w:sz w:val="22"/>
          <w:szCs w:val="22"/>
          <w:lang w:val="af-ZA"/>
        </w:rPr>
        <w:t xml:space="preserve">, </w:t>
      </w:r>
      <w:r w:rsidRPr="001F63BA">
        <w:rPr>
          <w:rFonts w:ascii="GHEA Grapalat" w:hAnsi="GHEA Grapalat"/>
          <w:sz w:val="22"/>
          <w:szCs w:val="22"/>
          <w:lang w:val="en-US"/>
        </w:rPr>
        <w:t>վնասազերծման</w:t>
      </w:r>
      <w:r w:rsidRPr="001F63BA">
        <w:rPr>
          <w:rFonts w:ascii="GHEA Grapalat" w:hAnsi="GHEA Grapalat"/>
          <w:sz w:val="22"/>
          <w:szCs w:val="22"/>
          <w:lang w:val="af-ZA"/>
        </w:rPr>
        <w:t xml:space="preserve"> 15 </w:t>
      </w:r>
      <w:r w:rsidRPr="001F63BA">
        <w:rPr>
          <w:rFonts w:ascii="GHEA Grapalat" w:hAnsi="GHEA Grapalat"/>
          <w:sz w:val="22"/>
          <w:szCs w:val="22"/>
          <w:lang w:val="en-US"/>
        </w:rPr>
        <w:t>տեխնոլոգիա</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երկրորդային</w:t>
      </w:r>
      <w:r w:rsidRPr="001F63BA">
        <w:rPr>
          <w:rFonts w:ascii="GHEA Grapalat" w:hAnsi="GHEA Grapalat"/>
          <w:sz w:val="22"/>
          <w:szCs w:val="22"/>
          <w:lang w:val="af-ZA"/>
        </w:rPr>
        <w:t xml:space="preserve"> </w:t>
      </w:r>
      <w:r w:rsidRPr="001F63BA">
        <w:rPr>
          <w:rFonts w:ascii="GHEA Grapalat" w:hAnsi="GHEA Grapalat"/>
          <w:sz w:val="22"/>
          <w:szCs w:val="22"/>
          <w:lang w:val="en-US"/>
        </w:rPr>
        <w:t>հումքի</w:t>
      </w:r>
      <w:r w:rsidRPr="001F63BA">
        <w:rPr>
          <w:rFonts w:ascii="GHEA Grapalat" w:hAnsi="GHEA Grapalat"/>
          <w:sz w:val="22"/>
          <w:szCs w:val="22"/>
          <w:lang w:val="af-ZA"/>
        </w:rPr>
        <w:t xml:space="preserve"> </w:t>
      </w:r>
      <w:r w:rsidRPr="001F63BA">
        <w:rPr>
          <w:rFonts w:ascii="GHEA Grapalat" w:hAnsi="GHEA Grapalat"/>
          <w:sz w:val="22"/>
          <w:szCs w:val="22"/>
          <w:lang w:val="en-US"/>
        </w:rPr>
        <w:t>վերամշակման</w:t>
      </w:r>
      <w:r w:rsidRPr="001F63BA">
        <w:rPr>
          <w:rFonts w:ascii="GHEA Grapalat" w:hAnsi="GHEA Grapalat"/>
          <w:sz w:val="22"/>
          <w:szCs w:val="22"/>
          <w:lang w:val="af-ZA"/>
        </w:rPr>
        <w:t xml:space="preserve"> 10 </w:t>
      </w:r>
      <w:r w:rsidRPr="001F63BA">
        <w:rPr>
          <w:rFonts w:ascii="GHEA Grapalat" w:hAnsi="GHEA Grapalat"/>
          <w:sz w:val="22"/>
          <w:szCs w:val="22"/>
          <w:lang w:val="en-US"/>
        </w:rPr>
        <w:t>մեթոդ</w:t>
      </w:r>
      <w:r w:rsidRPr="001F63BA">
        <w:rPr>
          <w:rFonts w:ascii="GHEA Grapalat" w:hAnsi="GHEA Grapalat"/>
          <w:sz w:val="22"/>
          <w:szCs w:val="22"/>
          <w:lang w:val="af-ZA"/>
        </w:rPr>
        <w:t xml:space="preserve"> (</w:t>
      </w:r>
      <w:r w:rsidRPr="001F63BA">
        <w:rPr>
          <w:rFonts w:ascii="GHEA Grapalat" w:hAnsi="GHEA Grapalat"/>
          <w:sz w:val="22"/>
          <w:szCs w:val="22"/>
          <w:lang w:val="en-US"/>
        </w:rPr>
        <w:t>նախատեսված</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ցուցանիշների</w:t>
      </w:r>
      <w:r w:rsidRPr="001F63BA">
        <w:rPr>
          <w:rFonts w:ascii="GHEA Grapalat" w:hAnsi="GHEA Grapalat"/>
          <w:sz w:val="22"/>
          <w:szCs w:val="22"/>
          <w:lang w:val="af-ZA"/>
        </w:rPr>
        <w:t xml:space="preserve"> </w:t>
      </w:r>
      <w:r w:rsidRPr="001F63BA">
        <w:rPr>
          <w:rFonts w:ascii="GHEA Grapalat" w:hAnsi="GHEA Grapalat"/>
          <w:sz w:val="22"/>
          <w:szCs w:val="22"/>
          <w:lang w:val="en-US"/>
        </w:rPr>
        <w:t>քանակ՝</w:t>
      </w:r>
      <w:r w:rsidRPr="001F63BA">
        <w:rPr>
          <w:rFonts w:ascii="GHEA Grapalat" w:hAnsi="GHEA Grapalat"/>
          <w:sz w:val="22"/>
          <w:szCs w:val="22"/>
          <w:lang w:val="af-ZA"/>
        </w:rPr>
        <w:t xml:space="preserve"> 25):</w:t>
      </w:r>
    </w:p>
    <w:p w:rsidR="001C411D" w:rsidRPr="001F63BA" w:rsidRDefault="001C411D" w:rsidP="00192362">
      <w:pPr>
        <w:spacing w:line="360" w:lineRule="auto"/>
        <w:ind w:firstLine="567"/>
        <w:jc w:val="both"/>
        <w:rPr>
          <w:rFonts w:ascii="GHEA Grapalat" w:hAnsi="GHEA Grapalat"/>
          <w:sz w:val="22"/>
          <w:szCs w:val="22"/>
          <w:lang w:val="af-ZA"/>
        </w:rPr>
      </w:pPr>
      <w:r w:rsidRPr="001F63BA">
        <w:rPr>
          <w:rFonts w:ascii="GHEA Grapalat" w:hAnsi="GHEA Grapalat"/>
          <w:i/>
          <w:sz w:val="22"/>
          <w:szCs w:val="22"/>
          <w:lang w:val="en-US"/>
        </w:rPr>
        <w:lastRenderedPageBreak/>
        <w:t>Հիդրոօդերևութաբանական</w:t>
      </w:r>
      <w:r w:rsidRPr="001F63BA">
        <w:rPr>
          <w:rFonts w:ascii="GHEA Grapalat" w:hAnsi="GHEA Grapalat"/>
          <w:i/>
          <w:sz w:val="22"/>
          <w:szCs w:val="22"/>
          <w:lang w:val="af-ZA"/>
        </w:rPr>
        <w:t xml:space="preserve"> </w:t>
      </w:r>
      <w:r w:rsidRPr="001F63BA">
        <w:rPr>
          <w:rFonts w:ascii="GHEA Grapalat" w:hAnsi="GHEA Grapalat"/>
          <w:i/>
          <w:sz w:val="22"/>
          <w:szCs w:val="22"/>
          <w:lang w:val="en-US"/>
        </w:rPr>
        <w:t>ծառայություններ</w:t>
      </w:r>
      <w:r w:rsidRPr="001F63BA">
        <w:rPr>
          <w:rFonts w:ascii="GHEA Grapalat" w:hAnsi="GHEA Grapalat"/>
          <w:i/>
          <w:sz w:val="22"/>
          <w:szCs w:val="22"/>
          <w:lang w:val="af-ZA"/>
        </w:rPr>
        <w:t>:</w:t>
      </w:r>
      <w:r w:rsidRPr="001F63BA">
        <w:rPr>
          <w:rFonts w:ascii="GHEA Grapalat" w:hAnsi="GHEA Grapalat"/>
          <w:sz w:val="22"/>
          <w:szCs w:val="22"/>
          <w:lang w:val="af-ZA"/>
        </w:rPr>
        <w:t xml:space="preserve"> </w:t>
      </w:r>
      <w:r w:rsidRPr="001F63BA">
        <w:rPr>
          <w:rFonts w:ascii="GHEA Grapalat" w:hAnsi="GHEA Grapalat"/>
          <w:sz w:val="22"/>
          <w:szCs w:val="22"/>
          <w:lang w:val="en-US"/>
        </w:rPr>
        <w:t>Հաշվետու</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ժամանակահատվածում</w:t>
      </w:r>
      <w:r w:rsidRPr="001F63BA">
        <w:rPr>
          <w:rFonts w:ascii="GHEA Grapalat" w:hAnsi="GHEA Grapalat"/>
          <w:sz w:val="22"/>
          <w:szCs w:val="22"/>
          <w:lang w:val="af-ZA"/>
        </w:rPr>
        <w:t xml:space="preserve"> </w:t>
      </w:r>
      <w:r w:rsidRPr="001F63BA">
        <w:rPr>
          <w:rFonts w:ascii="GHEA Grapalat" w:hAnsi="GHEA Grapalat"/>
          <w:sz w:val="22"/>
          <w:szCs w:val="22"/>
          <w:lang w:val="en-US"/>
        </w:rPr>
        <w:t>մթնոլորտում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գետնի</w:t>
      </w:r>
      <w:r w:rsidRPr="001F63BA">
        <w:rPr>
          <w:rFonts w:ascii="GHEA Grapalat" w:hAnsi="GHEA Grapalat"/>
          <w:sz w:val="22"/>
          <w:szCs w:val="22"/>
          <w:lang w:val="af-ZA"/>
        </w:rPr>
        <w:t xml:space="preserve"> </w:t>
      </w:r>
      <w:r w:rsidRPr="001F63BA">
        <w:rPr>
          <w:rFonts w:ascii="GHEA Grapalat" w:hAnsi="GHEA Grapalat"/>
          <w:sz w:val="22"/>
          <w:szCs w:val="22"/>
          <w:lang w:val="en-US"/>
        </w:rPr>
        <w:t>մակերևույթին</w:t>
      </w:r>
      <w:r w:rsidRPr="001F63BA">
        <w:rPr>
          <w:rFonts w:ascii="GHEA Grapalat" w:hAnsi="GHEA Grapalat"/>
          <w:sz w:val="22"/>
          <w:szCs w:val="22"/>
          <w:lang w:val="af-ZA"/>
        </w:rPr>
        <w:t xml:space="preserve"> </w:t>
      </w:r>
      <w:r w:rsidRPr="001F63BA">
        <w:rPr>
          <w:rFonts w:ascii="GHEA Grapalat" w:hAnsi="GHEA Grapalat"/>
          <w:sz w:val="22"/>
          <w:szCs w:val="22"/>
          <w:lang w:val="en-US"/>
        </w:rPr>
        <w:t>տեղի</w:t>
      </w:r>
      <w:r w:rsidRPr="001F63BA">
        <w:rPr>
          <w:rFonts w:ascii="GHEA Grapalat" w:hAnsi="GHEA Grapalat"/>
          <w:sz w:val="22"/>
          <w:szCs w:val="22"/>
          <w:lang w:val="af-ZA"/>
        </w:rPr>
        <w:t xml:space="preserve"> </w:t>
      </w:r>
      <w:r w:rsidRPr="001F63BA">
        <w:rPr>
          <w:rFonts w:ascii="GHEA Grapalat" w:hAnsi="GHEA Grapalat"/>
          <w:sz w:val="22"/>
          <w:szCs w:val="22"/>
          <w:lang w:val="en-US"/>
        </w:rPr>
        <w:t>ունեցող</w:t>
      </w:r>
      <w:r w:rsidRPr="001F63BA">
        <w:rPr>
          <w:rFonts w:ascii="GHEA Grapalat" w:hAnsi="GHEA Grapalat"/>
          <w:sz w:val="22"/>
          <w:szCs w:val="22"/>
          <w:lang w:val="af-ZA"/>
        </w:rPr>
        <w:t xml:space="preserve"> </w:t>
      </w:r>
      <w:r w:rsidRPr="001F63BA">
        <w:rPr>
          <w:rFonts w:ascii="GHEA Grapalat" w:hAnsi="GHEA Grapalat"/>
          <w:sz w:val="22"/>
          <w:szCs w:val="22"/>
          <w:lang w:val="en-US"/>
        </w:rPr>
        <w:t>ֆիզիկական</w:t>
      </w:r>
      <w:r w:rsidRPr="001F63BA">
        <w:rPr>
          <w:rFonts w:ascii="GHEA Grapalat" w:hAnsi="GHEA Grapalat"/>
          <w:sz w:val="22"/>
          <w:szCs w:val="22"/>
          <w:lang w:val="af-ZA"/>
        </w:rPr>
        <w:t xml:space="preserve"> </w:t>
      </w:r>
      <w:r w:rsidRPr="001F63BA">
        <w:rPr>
          <w:rFonts w:ascii="GHEA Grapalat" w:hAnsi="GHEA Grapalat"/>
          <w:sz w:val="22"/>
          <w:szCs w:val="22"/>
          <w:lang w:val="en-US"/>
        </w:rPr>
        <w:t>երևույթների</w:t>
      </w:r>
      <w:r w:rsidRPr="001F63BA">
        <w:rPr>
          <w:rFonts w:ascii="GHEA Grapalat" w:hAnsi="GHEA Grapalat"/>
          <w:sz w:val="22"/>
          <w:szCs w:val="22"/>
          <w:lang w:val="af-ZA"/>
        </w:rPr>
        <w:t xml:space="preserve"> </w:t>
      </w:r>
      <w:r w:rsidRPr="001F63BA">
        <w:rPr>
          <w:rFonts w:ascii="GHEA Grapalat" w:hAnsi="GHEA Grapalat"/>
          <w:sz w:val="22"/>
          <w:szCs w:val="22"/>
          <w:lang w:val="en-US"/>
        </w:rPr>
        <w:t>ուսումնասիրման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նպատակով</w:t>
      </w:r>
      <w:r w:rsidRPr="001F63BA">
        <w:rPr>
          <w:rFonts w:ascii="GHEA Grapalat" w:hAnsi="GHEA Grapalat"/>
          <w:sz w:val="22"/>
          <w:szCs w:val="22"/>
          <w:lang w:val="af-ZA"/>
        </w:rPr>
        <w:t xml:space="preserve"> </w:t>
      </w:r>
      <w:r w:rsidRPr="001F63BA">
        <w:rPr>
          <w:rFonts w:ascii="GHEA Grapalat" w:hAnsi="GHEA Grapalat"/>
          <w:sz w:val="22"/>
          <w:szCs w:val="22"/>
          <w:lang w:val="en-US"/>
        </w:rPr>
        <w:t>օդերևութաբանական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դիտարկումները</w:t>
      </w:r>
      <w:r w:rsidRPr="001F63BA">
        <w:rPr>
          <w:rFonts w:ascii="GHEA Grapalat" w:hAnsi="GHEA Grapalat"/>
          <w:sz w:val="22"/>
          <w:szCs w:val="22"/>
          <w:lang w:val="af-ZA"/>
        </w:rPr>
        <w:t xml:space="preserve"> </w:t>
      </w:r>
      <w:r w:rsidRPr="001F63BA">
        <w:rPr>
          <w:rFonts w:ascii="GHEA Grapalat" w:hAnsi="GHEA Grapalat"/>
          <w:sz w:val="22"/>
          <w:szCs w:val="22"/>
          <w:lang w:val="en-US"/>
        </w:rPr>
        <w:t>կատարվել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Հանրապետության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տարածքի</w:t>
      </w:r>
      <w:r w:rsidRPr="001F63BA">
        <w:rPr>
          <w:rFonts w:ascii="GHEA Grapalat" w:hAnsi="GHEA Grapalat"/>
          <w:sz w:val="22"/>
          <w:szCs w:val="22"/>
          <w:lang w:val="af-ZA"/>
        </w:rPr>
        <w:t xml:space="preserve"> 43 </w:t>
      </w:r>
      <w:r w:rsidRPr="001F63BA">
        <w:rPr>
          <w:rFonts w:ascii="GHEA Grapalat" w:hAnsi="GHEA Grapalat"/>
          <w:sz w:val="22"/>
          <w:szCs w:val="22"/>
          <w:lang w:val="en-US"/>
        </w:rPr>
        <w:t>օդերևութաբանական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թվում</w:t>
      </w:r>
      <w:r w:rsidRPr="001F63BA">
        <w:rPr>
          <w:rFonts w:ascii="GHEA Grapalat" w:hAnsi="GHEA Grapalat"/>
          <w:sz w:val="22"/>
          <w:szCs w:val="22"/>
          <w:lang w:val="af-ZA"/>
        </w:rPr>
        <w:t xml:space="preserve">` 4 </w:t>
      </w:r>
      <w:r w:rsidRPr="001F63BA">
        <w:rPr>
          <w:rFonts w:ascii="GHEA Grapalat" w:hAnsi="GHEA Grapalat"/>
          <w:sz w:val="22"/>
          <w:szCs w:val="22"/>
          <w:lang w:val="en-US"/>
        </w:rPr>
        <w:t>բարձրլեռնային</w:t>
      </w:r>
      <w:r w:rsidRPr="001F63BA">
        <w:rPr>
          <w:rFonts w:ascii="GHEA Grapalat" w:hAnsi="GHEA Grapalat"/>
          <w:sz w:val="22"/>
          <w:szCs w:val="22"/>
          <w:lang w:val="af-ZA"/>
        </w:rPr>
        <w:t xml:space="preserve"> </w:t>
      </w:r>
      <w:r w:rsidRPr="001F63BA">
        <w:rPr>
          <w:rFonts w:ascii="GHEA Grapalat" w:hAnsi="GHEA Grapalat"/>
          <w:sz w:val="22"/>
          <w:szCs w:val="22"/>
          <w:lang w:val="en-US"/>
        </w:rPr>
        <w:t>դժվարամատչելի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3 </w:t>
      </w:r>
      <w:r w:rsidRPr="001F63BA">
        <w:rPr>
          <w:rFonts w:ascii="GHEA Grapalat" w:hAnsi="GHEA Grapalat"/>
          <w:sz w:val="22"/>
          <w:szCs w:val="22"/>
          <w:lang w:val="en-US"/>
        </w:rPr>
        <w:t>մասնագիտացված</w:t>
      </w:r>
      <w:r w:rsidRPr="001F63BA">
        <w:rPr>
          <w:rFonts w:ascii="GHEA Grapalat" w:hAnsi="GHEA Grapalat"/>
          <w:sz w:val="22"/>
          <w:szCs w:val="22"/>
          <w:lang w:val="af-ZA"/>
        </w:rPr>
        <w:t xml:space="preserve">) </w:t>
      </w:r>
      <w:r w:rsidRPr="001F63BA">
        <w:rPr>
          <w:rFonts w:ascii="GHEA Grapalat" w:hAnsi="GHEA Grapalat"/>
          <w:sz w:val="22"/>
          <w:szCs w:val="22"/>
          <w:lang w:val="en-US"/>
        </w:rPr>
        <w:t>կայաններում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լրիվ</w:t>
      </w:r>
      <w:r w:rsidRPr="001F63BA">
        <w:rPr>
          <w:rFonts w:ascii="GHEA Grapalat" w:hAnsi="GHEA Grapalat"/>
          <w:sz w:val="22"/>
          <w:szCs w:val="22"/>
          <w:lang w:val="af-ZA"/>
        </w:rPr>
        <w:t xml:space="preserve"> </w:t>
      </w:r>
      <w:r w:rsidRPr="001F63BA">
        <w:rPr>
          <w:rFonts w:ascii="GHEA Grapalat" w:hAnsi="GHEA Grapalat"/>
          <w:sz w:val="22"/>
          <w:szCs w:val="22"/>
          <w:lang w:val="en-US"/>
        </w:rPr>
        <w:t>ծրագրով</w:t>
      </w:r>
      <w:r w:rsidRPr="001F63BA">
        <w:rPr>
          <w:rFonts w:ascii="GHEA Grapalat" w:hAnsi="GHEA Grapalat"/>
          <w:sz w:val="22"/>
          <w:szCs w:val="22"/>
          <w:lang w:val="af-ZA"/>
        </w:rPr>
        <w:t xml:space="preserve">, </w:t>
      </w:r>
      <w:r w:rsidRPr="001F63BA">
        <w:rPr>
          <w:rFonts w:ascii="GHEA Grapalat" w:hAnsi="GHEA Grapalat"/>
          <w:sz w:val="22"/>
          <w:szCs w:val="22"/>
          <w:lang w:val="en-US"/>
        </w:rPr>
        <w:t>իսկ</w:t>
      </w:r>
      <w:r w:rsidRPr="001F63BA">
        <w:rPr>
          <w:rFonts w:ascii="GHEA Grapalat" w:hAnsi="GHEA Grapalat"/>
          <w:sz w:val="22"/>
          <w:szCs w:val="22"/>
          <w:lang w:val="af-ZA"/>
        </w:rPr>
        <w:t xml:space="preserve"> 24 </w:t>
      </w:r>
      <w:r w:rsidRPr="001F63BA">
        <w:rPr>
          <w:rFonts w:ascii="GHEA Grapalat" w:hAnsi="GHEA Grapalat"/>
          <w:sz w:val="22"/>
          <w:szCs w:val="22"/>
          <w:lang w:val="en-US"/>
        </w:rPr>
        <w:t>հիդրոլոգիական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կայաններում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կրճատ</w:t>
      </w:r>
      <w:r w:rsidRPr="001F63BA">
        <w:rPr>
          <w:rFonts w:ascii="GHEA Grapalat" w:hAnsi="GHEA Grapalat"/>
          <w:sz w:val="22"/>
          <w:szCs w:val="22"/>
          <w:lang w:val="af-ZA"/>
        </w:rPr>
        <w:t xml:space="preserve"> </w:t>
      </w:r>
      <w:r w:rsidRPr="001F63BA">
        <w:rPr>
          <w:rFonts w:ascii="GHEA Grapalat" w:hAnsi="GHEA Grapalat"/>
          <w:sz w:val="22"/>
          <w:szCs w:val="22"/>
          <w:lang w:val="en-US"/>
        </w:rPr>
        <w:t>ծրագրով</w:t>
      </w:r>
      <w:r w:rsidRPr="001F63BA">
        <w:rPr>
          <w:rFonts w:ascii="GHEA Grapalat" w:hAnsi="GHEA Grapalat"/>
          <w:sz w:val="22"/>
          <w:szCs w:val="22"/>
          <w:lang w:val="af-ZA"/>
        </w:rPr>
        <w:t xml:space="preserve"> (</w:t>
      </w:r>
      <w:r w:rsidRPr="001F63BA">
        <w:rPr>
          <w:rFonts w:ascii="GHEA Grapalat" w:hAnsi="GHEA Grapalat"/>
          <w:sz w:val="22"/>
          <w:szCs w:val="22"/>
          <w:lang w:val="en-US"/>
        </w:rPr>
        <w:t>միայն</w:t>
      </w:r>
      <w:r w:rsidRPr="001F63BA">
        <w:rPr>
          <w:rFonts w:ascii="GHEA Grapalat" w:hAnsi="GHEA Grapalat"/>
          <w:sz w:val="22"/>
          <w:szCs w:val="22"/>
          <w:lang w:val="af-ZA"/>
        </w:rPr>
        <w:t xml:space="preserve"> </w:t>
      </w:r>
      <w:r w:rsidRPr="001F63BA">
        <w:rPr>
          <w:rFonts w:ascii="GHEA Grapalat" w:hAnsi="GHEA Grapalat"/>
          <w:sz w:val="22"/>
          <w:szCs w:val="22"/>
          <w:lang w:val="en-US"/>
        </w:rPr>
        <w:t>օդի</w:t>
      </w:r>
      <w:r w:rsidRPr="001F63BA">
        <w:rPr>
          <w:rFonts w:ascii="GHEA Grapalat" w:hAnsi="GHEA Grapalat"/>
          <w:sz w:val="22"/>
          <w:szCs w:val="22"/>
          <w:lang w:val="af-ZA"/>
        </w:rPr>
        <w:t xml:space="preserve"> </w:t>
      </w:r>
      <w:r w:rsidRPr="001F63BA">
        <w:rPr>
          <w:rFonts w:ascii="GHEA Grapalat" w:hAnsi="GHEA Grapalat"/>
          <w:sz w:val="22"/>
          <w:szCs w:val="22"/>
          <w:lang w:val="en-US"/>
        </w:rPr>
        <w:t>ջերմաստիճանի</w:t>
      </w:r>
      <w:r w:rsidRPr="001F63BA">
        <w:rPr>
          <w:rFonts w:ascii="GHEA Grapalat" w:hAnsi="GHEA Grapalat"/>
          <w:sz w:val="22"/>
          <w:szCs w:val="22"/>
          <w:lang w:val="af-ZA"/>
        </w:rPr>
        <w:t xml:space="preserve">, </w:t>
      </w:r>
      <w:r w:rsidRPr="001F63BA">
        <w:rPr>
          <w:rFonts w:ascii="GHEA Grapalat" w:hAnsi="GHEA Grapalat"/>
          <w:sz w:val="22"/>
          <w:szCs w:val="22"/>
          <w:lang w:val="en-US"/>
        </w:rPr>
        <w:t>տեղումների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մթնոլորտային</w:t>
      </w:r>
      <w:r w:rsidRPr="001F63BA">
        <w:rPr>
          <w:rFonts w:ascii="GHEA Grapalat" w:hAnsi="GHEA Grapalat"/>
          <w:sz w:val="22"/>
          <w:szCs w:val="22"/>
          <w:lang w:val="af-ZA"/>
        </w:rPr>
        <w:t xml:space="preserve"> </w:t>
      </w:r>
      <w:r w:rsidRPr="001F63BA">
        <w:rPr>
          <w:rFonts w:ascii="GHEA Grapalat" w:hAnsi="GHEA Grapalat"/>
          <w:sz w:val="22"/>
          <w:szCs w:val="22"/>
          <w:lang w:val="en-US"/>
        </w:rPr>
        <w:t>երևույթների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ձյան</w:t>
      </w:r>
      <w:r w:rsidRPr="001F63BA">
        <w:rPr>
          <w:rFonts w:ascii="GHEA Grapalat" w:hAnsi="GHEA Grapalat"/>
          <w:sz w:val="22"/>
          <w:szCs w:val="22"/>
          <w:lang w:val="af-ZA"/>
        </w:rPr>
        <w:t xml:space="preserve"> </w:t>
      </w:r>
      <w:r w:rsidRPr="001F63BA">
        <w:rPr>
          <w:rFonts w:ascii="GHEA Grapalat" w:hAnsi="GHEA Grapalat"/>
          <w:sz w:val="22"/>
          <w:szCs w:val="22"/>
          <w:lang w:val="en-US"/>
        </w:rPr>
        <w:t>ծածկի</w:t>
      </w:r>
      <w:r w:rsidRPr="001F63BA">
        <w:rPr>
          <w:rFonts w:ascii="GHEA Grapalat" w:hAnsi="GHEA Grapalat"/>
          <w:sz w:val="22"/>
          <w:szCs w:val="22"/>
          <w:lang w:val="af-ZA"/>
        </w:rPr>
        <w:t xml:space="preserve"> </w:t>
      </w:r>
      <w:r w:rsidRPr="001F63BA">
        <w:rPr>
          <w:rFonts w:ascii="GHEA Grapalat" w:hAnsi="GHEA Grapalat"/>
          <w:sz w:val="22"/>
          <w:szCs w:val="22"/>
          <w:lang w:val="en-US"/>
        </w:rPr>
        <w:t>բարձրության)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Համաշխարհային</w:t>
      </w:r>
      <w:r w:rsidRPr="001F63BA">
        <w:rPr>
          <w:rFonts w:ascii="GHEA Grapalat" w:hAnsi="GHEA Grapalat"/>
          <w:sz w:val="22"/>
          <w:szCs w:val="22"/>
          <w:lang w:val="af-ZA"/>
        </w:rPr>
        <w:t xml:space="preserve"> </w:t>
      </w:r>
      <w:r w:rsidRPr="001F63BA">
        <w:rPr>
          <w:rFonts w:ascii="GHEA Grapalat" w:hAnsi="GHEA Grapalat"/>
          <w:sz w:val="22"/>
          <w:szCs w:val="22"/>
          <w:lang w:val="en-US"/>
        </w:rPr>
        <w:t>օդերևութաբանական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կազմակերպության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սահմանված</w:t>
      </w:r>
      <w:r w:rsidRPr="001F63BA">
        <w:rPr>
          <w:rFonts w:ascii="GHEA Grapalat" w:hAnsi="GHEA Grapalat"/>
          <w:sz w:val="22"/>
          <w:szCs w:val="22"/>
          <w:lang w:val="af-ZA"/>
        </w:rPr>
        <w:t xml:space="preserve"> </w:t>
      </w:r>
      <w:r w:rsidRPr="001F63BA">
        <w:rPr>
          <w:rFonts w:ascii="GHEA Grapalat" w:hAnsi="GHEA Grapalat"/>
          <w:sz w:val="22"/>
          <w:szCs w:val="22"/>
          <w:lang w:val="en-US"/>
        </w:rPr>
        <w:t>կարգով</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ստանդարտներին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համապատասխան</w:t>
      </w:r>
      <w:r w:rsidRPr="001F63BA">
        <w:rPr>
          <w:rFonts w:ascii="GHEA Grapalat" w:hAnsi="GHEA Grapalat"/>
          <w:sz w:val="22"/>
          <w:szCs w:val="22"/>
          <w:lang w:val="af-ZA"/>
        </w:rPr>
        <w:t xml:space="preserve"> 3 </w:t>
      </w:r>
      <w:r w:rsidRPr="001F63BA">
        <w:rPr>
          <w:rFonts w:ascii="GHEA Grapalat" w:hAnsi="GHEA Grapalat"/>
          <w:sz w:val="22"/>
          <w:szCs w:val="22"/>
          <w:lang w:val="en-US"/>
        </w:rPr>
        <w:t>ժամը</w:t>
      </w:r>
      <w:r w:rsidRPr="001F63BA">
        <w:rPr>
          <w:rFonts w:ascii="GHEA Grapalat" w:hAnsi="GHEA Grapalat"/>
          <w:sz w:val="22"/>
          <w:szCs w:val="22"/>
          <w:lang w:val="af-ZA"/>
        </w:rPr>
        <w:t xml:space="preserve"> </w:t>
      </w:r>
      <w:r w:rsidRPr="001F63BA">
        <w:rPr>
          <w:rFonts w:ascii="GHEA Grapalat" w:hAnsi="GHEA Grapalat"/>
          <w:sz w:val="22"/>
          <w:szCs w:val="22"/>
          <w:lang w:val="en-US"/>
        </w:rPr>
        <w:t>մեկ</w:t>
      </w:r>
      <w:r w:rsidRPr="001F63BA">
        <w:rPr>
          <w:rFonts w:ascii="GHEA Grapalat" w:hAnsi="GHEA Grapalat"/>
          <w:sz w:val="22"/>
          <w:szCs w:val="22"/>
          <w:lang w:val="af-ZA"/>
        </w:rPr>
        <w:t xml:space="preserve"> </w:t>
      </w:r>
      <w:r w:rsidRPr="001F63BA">
        <w:rPr>
          <w:rFonts w:ascii="GHEA Grapalat" w:hAnsi="GHEA Grapalat"/>
          <w:sz w:val="22"/>
          <w:szCs w:val="22"/>
          <w:lang w:val="en-US"/>
        </w:rPr>
        <w:t>անգամ</w:t>
      </w:r>
      <w:r w:rsidRPr="001F63BA">
        <w:rPr>
          <w:rFonts w:ascii="GHEA Grapalat" w:hAnsi="GHEA Grapalat"/>
          <w:sz w:val="22"/>
          <w:szCs w:val="22"/>
          <w:lang w:val="af-ZA"/>
        </w:rPr>
        <w:t xml:space="preserve"> 00 </w:t>
      </w:r>
      <w:r w:rsidRPr="001F63BA">
        <w:rPr>
          <w:rFonts w:ascii="GHEA Grapalat" w:hAnsi="GHEA Grapalat"/>
          <w:sz w:val="22"/>
          <w:szCs w:val="22"/>
          <w:lang w:val="en-US"/>
        </w:rPr>
        <w:t>ժամից</w:t>
      </w:r>
      <w:r w:rsidRPr="001F63BA">
        <w:rPr>
          <w:rFonts w:ascii="GHEA Grapalat" w:hAnsi="GHEA Grapalat"/>
          <w:sz w:val="22"/>
          <w:szCs w:val="22"/>
          <w:lang w:val="af-ZA"/>
        </w:rPr>
        <w:t xml:space="preserve"> </w:t>
      </w:r>
      <w:r w:rsidRPr="001F63BA">
        <w:rPr>
          <w:rFonts w:ascii="GHEA Grapalat" w:hAnsi="GHEA Grapalat"/>
          <w:sz w:val="22"/>
          <w:szCs w:val="22"/>
          <w:lang w:val="en-US"/>
        </w:rPr>
        <w:t>սկսած</w:t>
      </w:r>
      <w:r w:rsidRPr="001F63BA">
        <w:rPr>
          <w:rFonts w:ascii="GHEA Grapalat" w:hAnsi="GHEA Grapalat"/>
          <w:sz w:val="22"/>
          <w:szCs w:val="22"/>
          <w:lang w:val="af-ZA"/>
        </w:rPr>
        <w:t xml:space="preserve"> (</w:t>
      </w:r>
      <w:r w:rsidRPr="001F63BA">
        <w:rPr>
          <w:rFonts w:ascii="GHEA Grapalat" w:hAnsi="GHEA Grapalat"/>
          <w:sz w:val="22"/>
          <w:szCs w:val="22"/>
          <w:lang w:val="en-US"/>
        </w:rPr>
        <w:t>Գրինվիչի</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ժամանակով</w:t>
      </w:r>
      <w:r w:rsidRPr="001F63BA">
        <w:rPr>
          <w:rFonts w:ascii="GHEA Grapalat" w:hAnsi="GHEA Grapalat"/>
          <w:sz w:val="22"/>
          <w:szCs w:val="22"/>
          <w:lang w:val="af-ZA"/>
        </w:rPr>
        <w:t xml:space="preserve">), </w:t>
      </w:r>
      <w:r w:rsidRPr="001F63BA">
        <w:rPr>
          <w:rFonts w:ascii="GHEA Grapalat" w:hAnsi="GHEA Grapalat"/>
          <w:sz w:val="22"/>
          <w:szCs w:val="22"/>
          <w:lang w:val="en-US"/>
        </w:rPr>
        <w:t>իսկ</w:t>
      </w:r>
      <w:r w:rsidRPr="001F63BA">
        <w:rPr>
          <w:rFonts w:ascii="GHEA Grapalat" w:hAnsi="GHEA Grapalat"/>
          <w:sz w:val="22"/>
          <w:szCs w:val="22"/>
          <w:lang w:val="af-ZA"/>
        </w:rPr>
        <w:t xml:space="preserve"> </w:t>
      </w:r>
      <w:r w:rsidRPr="001F63BA">
        <w:rPr>
          <w:rFonts w:ascii="GHEA Grapalat" w:hAnsi="GHEA Grapalat"/>
          <w:sz w:val="22"/>
          <w:szCs w:val="22"/>
          <w:lang w:val="en-US"/>
        </w:rPr>
        <w:t>մթնոլորտային</w:t>
      </w:r>
      <w:r w:rsidRPr="001F63BA">
        <w:rPr>
          <w:rFonts w:ascii="GHEA Grapalat" w:hAnsi="GHEA Grapalat"/>
          <w:sz w:val="22"/>
          <w:szCs w:val="22"/>
          <w:lang w:val="af-ZA"/>
        </w:rPr>
        <w:t xml:space="preserve"> </w:t>
      </w:r>
      <w:r w:rsidRPr="001F63BA">
        <w:rPr>
          <w:rFonts w:ascii="GHEA Grapalat" w:hAnsi="GHEA Grapalat"/>
          <w:sz w:val="22"/>
          <w:szCs w:val="22"/>
          <w:lang w:val="en-US"/>
        </w:rPr>
        <w:t>երևույթների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եղանակի</w:t>
      </w:r>
      <w:r w:rsidRPr="001F63BA">
        <w:rPr>
          <w:rFonts w:ascii="GHEA Grapalat" w:hAnsi="GHEA Grapalat"/>
          <w:sz w:val="22"/>
          <w:szCs w:val="22"/>
          <w:lang w:val="af-ZA"/>
        </w:rPr>
        <w:t xml:space="preserve"> </w:t>
      </w:r>
      <w:r w:rsidRPr="001F63BA">
        <w:rPr>
          <w:rFonts w:ascii="GHEA Grapalat" w:hAnsi="GHEA Grapalat"/>
          <w:sz w:val="22"/>
          <w:szCs w:val="22"/>
          <w:lang w:val="en-US"/>
        </w:rPr>
        <w:t>վիճակի</w:t>
      </w:r>
      <w:r w:rsidRPr="001F63BA">
        <w:rPr>
          <w:rFonts w:ascii="GHEA Grapalat" w:hAnsi="GHEA Grapalat"/>
          <w:sz w:val="22"/>
          <w:szCs w:val="22"/>
          <w:lang w:val="af-ZA"/>
        </w:rPr>
        <w:t xml:space="preserve"> </w:t>
      </w:r>
      <w:r w:rsidRPr="001F63BA">
        <w:rPr>
          <w:rFonts w:ascii="GHEA Grapalat" w:hAnsi="GHEA Grapalat"/>
          <w:sz w:val="22"/>
          <w:szCs w:val="22"/>
          <w:lang w:val="en-US"/>
        </w:rPr>
        <w:t>նկատմամբ</w:t>
      </w:r>
      <w:r w:rsidRPr="001F63BA">
        <w:rPr>
          <w:rFonts w:ascii="GHEA Grapalat" w:hAnsi="GHEA Grapalat"/>
          <w:sz w:val="22"/>
          <w:szCs w:val="22"/>
          <w:lang w:val="af-ZA"/>
        </w:rPr>
        <w:t xml:space="preserve">` </w:t>
      </w:r>
      <w:r w:rsidRPr="001F63BA">
        <w:rPr>
          <w:rFonts w:ascii="GHEA Grapalat" w:hAnsi="GHEA Grapalat"/>
          <w:sz w:val="22"/>
          <w:szCs w:val="22"/>
          <w:lang w:val="en-US"/>
        </w:rPr>
        <w:t>շուրջօրյա</w:t>
      </w:r>
      <w:r w:rsidRPr="001F63BA">
        <w:rPr>
          <w:rFonts w:ascii="GHEA Grapalat" w:hAnsi="GHEA Grapalat"/>
          <w:sz w:val="22"/>
          <w:szCs w:val="22"/>
          <w:lang w:val="af-ZA"/>
        </w:rPr>
        <w:t xml:space="preserve">: </w:t>
      </w:r>
      <w:r w:rsidRPr="001F63BA">
        <w:rPr>
          <w:rFonts w:ascii="GHEA Grapalat" w:hAnsi="GHEA Grapalat"/>
          <w:sz w:val="22"/>
          <w:szCs w:val="22"/>
          <w:lang w:val="en-US"/>
        </w:rPr>
        <w:t>Դիտակումներն</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օդերևութաբանական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բոլոր</w:t>
      </w:r>
      <w:r w:rsidRPr="001F63BA">
        <w:rPr>
          <w:rFonts w:ascii="GHEA Grapalat" w:hAnsi="GHEA Grapalat"/>
          <w:sz w:val="22"/>
          <w:szCs w:val="22"/>
          <w:lang w:val="af-ZA"/>
        </w:rPr>
        <w:t xml:space="preserve"> </w:t>
      </w:r>
      <w:r w:rsidRPr="001F63BA">
        <w:rPr>
          <w:rFonts w:ascii="GHEA Grapalat" w:hAnsi="GHEA Grapalat"/>
          <w:sz w:val="22"/>
          <w:szCs w:val="22"/>
          <w:lang w:val="en-US"/>
        </w:rPr>
        <w:t>տարրերի</w:t>
      </w:r>
      <w:r w:rsidRPr="001F63BA">
        <w:rPr>
          <w:rFonts w:ascii="GHEA Grapalat" w:hAnsi="GHEA Grapalat"/>
          <w:sz w:val="22"/>
          <w:szCs w:val="22"/>
          <w:lang w:val="af-ZA"/>
        </w:rPr>
        <w:t xml:space="preserve"> </w:t>
      </w:r>
      <w:r w:rsidRPr="001F63BA">
        <w:rPr>
          <w:rFonts w:ascii="GHEA Grapalat" w:hAnsi="GHEA Grapalat"/>
          <w:sz w:val="22"/>
          <w:szCs w:val="22"/>
          <w:lang w:val="en-US"/>
        </w:rPr>
        <w:t>նկատմամբ</w:t>
      </w:r>
      <w:r w:rsidRPr="001F63BA">
        <w:rPr>
          <w:rFonts w:ascii="GHEA Grapalat" w:hAnsi="GHEA Grapalat"/>
          <w:sz w:val="22"/>
          <w:szCs w:val="22"/>
          <w:lang w:val="af-ZA"/>
        </w:rPr>
        <w:t xml:space="preserve">: </w:t>
      </w:r>
      <w:r w:rsidRPr="001F63BA">
        <w:rPr>
          <w:rFonts w:ascii="GHEA Grapalat" w:hAnsi="GHEA Grapalat"/>
          <w:sz w:val="22"/>
          <w:szCs w:val="22"/>
          <w:lang w:val="en-US"/>
        </w:rPr>
        <w:t>Ամեն</w:t>
      </w:r>
      <w:r w:rsidRPr="001F63BA">
        <w:rPr>
          <w:rFonts w:ascii="GHEA Grapalat" w:hAnsi="GHEA Grapalat"/>
          <w:sz w:val="22"/>
          <w:szCs w:val="22"/>
          <w:lang w:val="af-ZA"/>
        </w:rPr>
        <w:t xml:space="preserve"> </w:t>
      </w:r>
      <w:r w:rsidRPr="001F63BA">
        <w:rPr>
          <w:rFonts w:ascii="GHEA Grapalat" w:hAnsi="GHEA Grapalat"/>
          <w:sz w:val="22"/>
          <w:szCs w:val="22"/>
          <w:lang w:val="en-US"/>
        </w:rPr>
        <w:t>օր</w:t>
      </w:r>
      <w:r w:rsidRPr="001F63BA">
        <w:rPr>
          <w:rFonts w:ascii="GHEA Grapalat" w:hAnsi="GHEA Grapalat"/>
          <w:sz w:val="22"/>
          <w:szCs w:val="22"/>
          <w:lang w:val="af-ZA"/>
        </w:rPr>
        <w:t xml:space="preserve"> </w:t>
      </w:r>
      <w:r w:rsidRPr="001F63BA">
        <w:rPr>
          <w:rFonts w:ascii="GHEA Grapalat" w:hAnsi="GHEA Grapalat"/>
          <w:sz w:val="22"/>
          <w:szCs w:val="22"/>
          <w:lang w:val="en-US"/>
        </w:rPr>
        <w:t>կազմվել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առաջիկա</w:t>
      </w:r>
      <w:r w:rsidRPr="001F63BA">
        <w:rPr>
          <w:rFonts w:ascii="GHEA Grapalat" w:hAnsi="GHEA Grapalat"/>
          <w:sz w:val="22"/>
          <w:szCs w:val="22"/>
          <w:lang w:val="af-ZA"/>
        </w:rPr>
        <w:t xml:space="preserve"> 5 </w:t>
      </w:r>
      <w:r w:rsidRPr="001F63BA">
        <w:rPr>
          <w:rFonts w:ascii="GHEA Grapalat" w:hAnsi="GHEA Grapalat"/>
          <w:sz w:val="22"/>
          <w:szCs w:val="22"/>
          <w:lang w:val="en-US"/>
        </w:rPr>
        <w:t>օրվա</w:t>
      </w:r>
      <w:r w:rsidRPr="001F63BA">
        <w:rPr>
          <w:rFonts w:ascii="GHEA Grapalat" w:hAnsi="GHEA Grapalat"/>
          <w:sz w:val="22"/>
          <w:szCs w:val="22"/>
          <w:lang w:val="af-ZA"/>
        </w:rPr>
        <w:t xml:space="preserve"> </w:t>
      </w:r>
      <w:r w:rsidRPr="001F63BA">
        <w:rPr>
          <w:rFonts w:ascii="GHEA Grapalat" w:hAnsi="GHEA Grapalat"/>
          <w:sz w:val="22"/>
          <w:szCs w:val="22"/>
          <w:lang w:val="en-US"/>
        </w:rPr>
        <w:t>եղանակի</w:t>
      </w:r>
      <w:r w:rsidRPr="001F63BA">
        <w:rPr>
          <w:rFonts w:ascii="GHEA Grapalat" w:hAnsi="GHEA Grapalat"/>
          <w:sz w:val="22"/>
          <w:szCs w:val="22"/>
          <w:lang w:val="af-ZA"/>
        </w:rPr>
        <w:t xml:space="preserve"> </w:t>
      </w:r>
      <w:r w:rsidRPr="001F63BA">
        <w:rPr>
          <w:rFonts w:ascii="GHEA Grapalat" w:hAnsi="GHEA Grapalat"/>
          <w:sz w:val="22"/>
          <w:szCs w:val="22"/>
          <w:lang w:val="en-US"/>
        </w:rPr>
        <w:t>կանխատեսում</w:t>
      </w:r>
      <w:r w:rsidRPr="001F63BA">
        <w:rPr>
          <w:rFonts w:ascii="GHEA Grapalat" w:hAnsi="GHEA Grapalat"/>
          <w:sz w:val="22"/>
          <w:szCs w:val="22"/>
          <w:lang w:val="af-ZA"/>
        </w:rPr>
        <w:t xml:space="preserve">, </w:t>
      </w:r>
      <w:r w:rsidRPr="001F63BA">
        <w:rPr>
          <w:rFonts w:ascii="GHEA Grapalat" w:hAnsi="GHEA Grapalat"/>
          <w:sz w:val="22"/>
          <w:szCs w:val="22"/>
          <w:lang w:val="en-US"/>
        </w:rPr>
        <w:t>իսկ</w:t>
      </w:r>
      <w:r w:rsidRPr="001F63BA">
        <w:rPr>
          <w:rFonts w:ascii="GHEA Grapalat" w:hAnsi="GHEA Grapalat"/>
          <w:sz w:val="22"/>
          <w:szCs w:val="22"/>
          <w:lang w:val="af-ZA"/>
        </w:rPr>
        <w:t xml:space="preserve"> </w:t>
      </w:r>
      <w:r w:rsidRPr="001F63BA">
        <w:rPr>
          <w:rFonts w:ascii="GHEA Grapalat" w:hAnsi="GHEA Grapalat"/>
          <w:sz w:val="22"/>
          <w:szCs w:val="22"/>
          <w:lang w:val="en-US"/>
        </w:rPr>
        <w:t>յուրաքանչյուր</w:t>
      </w:r>
      <w:r w:rsidRPr="001F63BA">
        <w:rPr>
          <w:rFonts w:ascii="GHEA Grapalat" w:hAnsi="GHEA Grapalat"/>
          <w:sz w:val="22"/>
          <w:szCs w:val="22"/>
          <w:lang w:val="af-ZA"/>
        </w:rPr>
        <w:t xml:space="preserve"> </w:t>
      </w:r>
      <w:r w:rsidRPr="001F63BA">
        <w:rPr>
          <w:rFonts w:ascii="GHEA Grapalat" w:hAnsi="GHEA Grapalat"/>
          <w:sz w:val="22"/>
          <w:szCs w:val="22"/>
          <w:lang w:val="en-US"/>
        </w:rPr>
        <w:t>ամսվա</w:t>
      </w:r>
      <w:r w:rsidRPr="001F63BA">
        <w:rPr>
          <w:rFonts w:ascii="GHEA Grapalat" w:hAnsi="GHEA Grapalat"/>
          <w:sz w:val="22"/>
          <w:szCs w:val="22"/>
          <w:lang w:val="af-ZA"/>
        </w:rPr>
        <w:t xml:space="preserve"> </w:t>
      </w:r>
      <w:r w:rsidRPr="001F63BA">
        <w:rPr>
          <w:rFonts w:ascii="GHEA Grapalat" w:hAnsi="GHEA Grapalat"/>
          <w:sz w:val="22"/>
          <w:szCs w:val="22"/>
          <w:lang w:val="en-US"/>
        </w:rPr>
        <w:t>վերջին՝</w:t>
      </w:r>
      <w:r w:rsidRPr="001F63BA">
        <w:rPr>
          <w:rFonts w:ascii="GHEA Grapalat" w:hAnsi="GHEA Grapalat"/>
          <w:sz w:val="22"/>
          <w:szCs w:val="22"/>
          <w:lang w:val="af-ZA"/>
        </w:rPr>
        <w:t xml:space="preserve"> </w:t>
      </w:r>
      <w:r w:rsidRPr="001F63BA">
        <w:rPr>
          <w:rFonts w:ascii="GHEA Grapalat" w:hAnsi="GHEA Grapalat"/>
          <w:sz w:val="22"/>
          <w:szCs w:val="22"/>
          <w:lang w:val="en-US"/>
        </w:rPr>
        <w:t>հաջորդ</w:t>
      </w:r>
      <w:r w:rsidRPr="001F63BA">
        <w:rPr>
          <w:rFonts w:ascii="GHEA Grapalat" w:hAnsi="GHEA Grapalat"/>
          <w:sz w:val="22"/>
          <w:szCs w:val="22"/>
          <w:lang w:val="af-ZA"/>
        </w:rPr>
        <w:t xml:space="preserve"> </w:t>
      </w:r>
      <w:r w:rsidRPr="001F63BA">
        <w:rPr>
          <w:rFonts w:ascii="GHEA Grapalat" w:hAnsi="GHEA Grapalat"/>
          <w:sz w:val="22"/>
          <w:szCs w:val="22"/>
          <w:lang w:val="en-US"/>
        </w:rPr>
        <w:t>ամսվա</w:t>
      </w:r>
      <w:r w:rsidRPr="001F63BA">
        <w:rPr>
          <w:rFonts w:ascii="GHEA Grapalat" w:hAnsi="GHEA Grapalat"/>
          <w:sz w:val="22"/>
          <w:szCs w:val="22"/>
          <w:lang w:val="af-ZA"/>
        </w:rPr>
        <w:t xml:space="preserve"> </w:t>
      </w:r>
      <w:r w:rsidRPr="001F63BA">
        <w:rPr>
          <w:rFonts w:ascii="GHEA Grapalat" w:hAnsi="GHEA Grapalat"/>
          <w:sz w:val="22"/>
          <w:szCs w:val="22"/>
          <w:lang w:val="en-US"/>
        </w:rPr>
        <w:t>օդերևութաբանական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պայմանների</w:t>
      </w:r>
      <w:r w:rsidRPr="001F63BA">
        <w:rPr>
          <w:rFonts w:ascii="GHEA Grapalat" w:hAnsi="GHEA Grapalat"/>
          <w:sz w:val="22"/>
          <w:szCs w:val="22"/>
          <w:lang w:val="af-ZA"/>
        </w:rPr>
        <w:t xml:space="preserve"> </w:t>
      </w:r>
      <w:r w:rsidRPr="001F63BA">
        <w:rPr>
          <w:rFonts w:ascii="GHEA Grapalat" w:hAnsi="GHEA Grapalat"/>
          <w:sz w:val="22"/>
          <w:szCs w:val="22"/>
          <w:lang w:val="en-US"/>
        </w:rPr>
        <w:t>խորհրդատվական</w:t>
      </w:r>
      <w:r w:rsidRPr="001F63BA">
        <w:rPr>
          <w:rFonts w:ascii="GHEA Grapalat" w:hAnsi="GHEA Grapalat"/>
          <w:sz w:val="22"/>
          <w:szCs w:val="22"/>
          <w:lang w:val="af-ZA"/>
        </w:rPr>
        <w:t xml:space="preserve"> </w:t>
      </w:r>
      <w:r w:rsidRPr="001F63BA">
        <w:rPr>
          <w:rFonts w:ascii="GHEA Grapalat" w:hAnsi="GHEA Grapalat"/>
          <w:sz w:val="22"/>
          <w:szCs w:val="22"/>
          <w:lang w:val="en-US"/>
        </w:rPr>
        <w:t>կանխատեսումը։</w:t>
      </w:r>
      <w:r w:rsidRPr="001F63BA">
        <w:rPr>
          <w:rFonts w:ascii="GHEA Grapalat" w:hAnsi="GHEA Grapalat"/>
          <w:sz w:val="22"/>
          <w:szCs w:val="22"/>
          <w:lang w:val="af-ZA"/>
        </w:rPr>
        <w:t xml:space="preserve"> </w:t>
      </w:r>
      <w:r w:rsidRPr="001F63BA">
        <w:rPr>
          <w:rFonts w:ascii="GHEA Grapalat" w:hAnsi="GHEA Grapalat"/>
          <w:sz w:val="22"/>
          <w:szCs w:val="22"/>
          <w:lang w:val="en-US"/>
        </w:rPr>
        <w:t>Ընդհանուր</w:t>
      </w:r>
      <w:r w:rsidRPr="001F63BA">
        <w:rPr>
          <w:rFonts w:ascii="GHEA Grapalat" w:hAnsi="GHEA Grapalat"/>
          <w:sz w:val="22"/>
          <w:szCs w:val="22"/>
          <w:lang w:val="af-ZA"/>
        </w:rPr>
        <w:t xml:space="preserve"> </w:t>
      </w:r>
      <w:r w:rsidRPr="001F63BA">
        <w:rPr>
          <w:rFonts w:ascii="GHEA Grapalat" w:hAnsi="GHEA Grapalat"/>
          <w:sz w:val="22"/>
          <w:szCs w:val="22"/>
          <w:lang w:val="en-US"/>
        </w:rPr>
        <w:t>առմամբ</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124306 </w:t>
      </w:r>
      <w:r w:rsidRPr="001F63BA">
        <w:rPr>
          <w:rFonts w:ascii="GHEA Grapalat" w:hAnsi="GHEA Grapalat"/>
          <w:sz w:val="22"/>
          <w:szCs w:val="22"/>
          <w:lang w:val="en-US"/>
        </w:rPr>
        <w:t>օդերևութաբանական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դիտարկումներ</w:t>
      </w:r>
      <w:r w:rsidRPr="001F63BA">
        <w:rPr>
          <w:rFonts w:ascii="GHEA Grapalat" w:hAnsi="GHEA Grapalat"/>
          <w:sz w:val="22"/>
          <w:szCs w:val="22"/>
          <w:lang w:val="af-ZA"/>
        </w:rPr>
        <w:t xml:space="preserve"> (</w:t>
      </w:r>
      <w:r w:rsidRPr="001F63BA">
        <w:rPr>
          <w:rFonts w:ascii="GHEA Grapalat" w:hAnsi="GHEA Grapalat"/>
          <w:sz w:val="22"/>
          <w:szCs w:val="22"/>
          <w:lang w:val="en-US"/>
        </w:rPr>
        <w:t>նախա</w:t>
      </w:r>
      <w:r w:rsidRPr="001F63BA">
        <w:rPr>
          <w:rFonts w:ascii="GHEA Grapalat" w:hAnsi="GHEA Grapalat"/>
          <w:sz w:val="22"/>
          <w:szCs w:val="22"/>
          <w:lang w:val="af-ZA"/>
        </w:rPr>
        <w:softHyphen/>
      </w:r>
      <w:r w:rsidRPr="001F63BA">
        <w:rPr>
          <w:rFonts w:ascii="GHEA Grapalat" w:hAnsi="GHEA Grapalat"/>
          <w:sz w:val="22"/>
          <w:szCs w:val="22"/>
          <w:lang w:val="en-US"/>
        </w:rPr>
        <w:t>տեսված</w:t>
      </w:r>
      <w:r w:rsidRPr="001F63BA">
        <w:rPr>
          <w:rFonts w:ascii="GHEA Grapalat" w:hAnsi="GHEA Grapalat"/>
          <w:sz w:val="22"/>
          <w:szCs w:val="22"/>
          <w:lang w:val="af-ZA"/>
        </w:rPr>
        <w:t xml:space="preserve"> </w:t>
      </w:r>
      <w:r w:rsidRPr="001F63BA">
        <w:rPr>
          <w:rFonts w:ascii="GHEA Grapalat" w:hAnsi="GHEA Grapalat"/>
          <w:sz w:val="22"/>
          <w:szCs w:val="22"/>
          <w:lang w:val="en-US"/>
        </w:rPr>
        <w:t>դիտարկումների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քանակ՝</w:t>
      </w:r>
      <w:r w:rsidRPr="001F63BA">
        <w:rPr>
          <w:rFonts w:ascii="GHEA Grapalat" w:hAnsi="GHEA Grapalat"/>
          <w:sz w:val="22"/>
          <w:szCs w:val="22"/>
          <w:lang w:val="af-ZA"/>
        </w:rPr>
        <w:t xml:space="preserve"> 129210): </w:t>
      </w:r>
    </w:p>
    <w:p w:rsidR="001C411D" w:rsidRPr="001F63BA" w:rsidRDefault="001C411D" w:rsidP="00192362">
      <w:pPr>
        <w:spacing w:line="360" w:lineRule="auto"/>
        <w:ind w:firstLine="567"/>
        <w:jc w:val="both"/>
        <w:rPr>
          <w:rFonts w:ascii="GHEA Grapalat" w:hAnsi="GHEA Grapalat"/>
          <w:sz w:val="22"/>
          <w:szCs w:val="22"/>
          <w:lang w:val="af-ZA"/>
        </w:rPr>
      </w:pPr>
    </w:p>
    <w:p w:rsidR="001C411D" w:rsidRPr="001F63BA" w:rsidRDefault="001C411D" w:rsidP="00192362">
      <w:pPr>
        <w:spacing w:line="360" w:lineRule="auto"/>
        <w:ind w:left="567"/>
        <w:jc w:val="both"/>
        <w:rPr>
          <w:rFonts w:ascii="GHEA Grapalat" w:hAnsi="GHEA Grapalat"/>
          <w:sz w:val="22"/>
          <w:szCs w:val="22"/>
          <w:u w:val="single"/>
          <w:lang w:val="af-ZA"/>
        </w:rPr>
      </w:pPr>
      <w:r w:rsidRPr="001F63BA">
        <w:rPr>
          <w:rFonts w:ascii="GHEA Grapalat" w:hAnsi="GHEA Grapalat"/>
          <w:sz w:val="22"/>
          <w:szCs w:val="22"/>
          <w:u w:val="single"/>
          <w:lang w:val="en-US"/>
        </w:rPr>
        <w:t>Անտառների</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կառավարման</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բնագավառ</w:t>
      </w:r>
    </w:p>
    <w:p w:rsidR="001C411D" w:rsidRPr="001F63BA" w:rsidRDefault="001C411D" w:rsidP="00192362">
      <w:pPr>
        <w:spacing w:line="360" w:lineRule="auto"/>
        <w:ind w:firstLine="567"/>
        <w:jc w:val="both"/>
        <w:rPr>
          <w:rFonts w:ascii="GHEA Grapalat" w:hAnsi="GHEA Grapalat"/>
          <w:sz w:val="22"/>
          <w:szCs w:val="22"/>
          <w:lang w:val="af-ZA"/>
        </w:rPr>
      </w:pPr>
      <w:r w:rsidRPr="001F63BA">
        <w:rPr>
          <w:rFonts w:ascii="GHEA Grapalat" w:hAnsi="GHEA Grapalat"/>
          <w:i/>
          <w:sz w:val="22"/>
          <w:szCs w:val="22"/>
          <w:lang w:val="af-ZA"/>
        </w:rPr>
        <w:t>«</w:t>
      </w:r>
      <w:r w:rsidRPr="001F63BA">
        <w:rPr>
          <w:rFonts w:ascii="GHEA Grapalat" w:hAnsi="GHEA Grapalat"/>
          <w:i/>
          <w:sz w:val="22"/>
          <w:szCs w:val="22"/>
          <w:lang w:val="en-US"/>
        </w:rPr>
        <w:t>Անտառվերականգնում</w:t>
      </w:r>
      <w:r w:rsidRPr="001F63BA">
        <w:rPr>
          <w:rFonts w:ascii="GHEA Grapalat" w:hAnsi="GHEA Grapalat"/>
          <w:i/>
          <w:sz w:val="22"/>
          <w:szCs w:val="22"/>
          <w:lang w:val="af-ZA"/>
        </w:rPr>
        <w:t xml:space="preserve"> </w:t>
      </w:r>
      <w:r w:rsidRPr="001F63BA">
        <w:rPr>
          <w:rFonts w:ascii="GHEA Grapalat" w:hAnsi="GHEA Grapalat"/>
          <w:i/>
          <w:sz w:val="22"/>
          <w:szCs w:val="22"/>
          <w:lang w:val="en-US"/>
        </w:rPr>
        <w:t>և</w:t>
      </w:r>
      <w:r w:rsidRPr="001F63BA">
        <w:rPr>
          <w:rFonts w:ascii="GHEA Grapalat" w:hAnsi="GHEA Grapalat"/>
          <w:i/>
          <w:sz w:val="22"/>
          <w:szCs w:val="22"/>
          <w:lang w:val="af-ZA"/>
        </w:rPr>
        <w:t xml:space="preserve"> </w:t>
      </w:r>
      <w:r w:rsidRPr="001F63BA">
        <w:rPr>
          <w:rFonts w:ascii="GHEA Grapalat" w:hAnsi="GHEA Grapalat"/>
          <w:i/>
          <w:sz w:val="22"/>
          <w:szCs w:val="22"/>
          <w:lang w:val="en-US"/>
        </w:rPr>
        <w:t>անտառապատում</w:t>
      </w:r>
      <w:r w:rsidRPr="001F63BA">
        <w:rPr>
          <w:rFonts w:ascii="GHEA Grapalat" w:hAnsi="GHEA Grapalat"/>
          <w:i/>
          <w:sz w:val="22"/>
          <w:szCs w:val="22"/>
          <w:lang w:val="af-ZA"/>
        </w:rPr>
        <w:t>»</w:t>
      </w:r>
      <w:r w:rsidRPr="001F63BA">
        <w:rPr>
          <w:rFonts w:ascii="GHEA Grapalat" w:hAnsi="GHEA Grapalat"/>
          <w:sz w:val="22"/>
          <w:szCs w:val="22"/>
          <w:lang w:val="af-ZA"/>
        </w:rPr>
        <w:t xml:space="preserve"> </w:t>
      </w:r>
      <w:r w:rsidRPr="001F63BA">
        <w:rPr>
          <w:rFonts w:ascii="GHEA Grapalat" w:hAnsi="GHEA Grapalat"/>
          <w:sz w:val="22"/>
          <w:szCs w:val="22"/>
          <w:lang w:val="en-US"/>
        </w:rPr>
        <w:t>միջոցառման</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2022 թվականին ի</w:t>
      </w:r>
      <w:r w:rsidRPr="001F63BA">
        <w:rPr>
          <w:rFonts w:ascii="GHEA Grapalat" w:hAnsi="GHEA Grapalat"/>
          <w:sz w:val="22"/>
          <w:szCs w:val="22"/>
          <w:lang w:val="en-US"/>
        </w:rPr>
        <w:t>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237 </w:t>
      </w:r>
      <w:r w:rsidRPr="001F63BA">
        <w:rPr>
          <w:rFonts w:ascii="GHEA Grapalat" w:hAnsi="GHEA Grapalat"/>
          <w:sz w:val="22"/>
          <w:szCs w:val="22"/>
          <w:lang w:val="en-US"/>
        </w:rPr>
        <w:t>հա</w:t>
      </w:r>
      <w:r w:rsidRPr="001F63BA">
        <w:rPr>
          <w:rFonts w:ascii="GHEA Grapalat" w:hAnsi="GHEA Grapalat"/>
          <w:sz w:val="22"/>
          <w:szCs w:val="22"/>
          <w:lang w:val="af-ZA"/>
        </w:rPr>
        <w:t xml:space="preserve"> </w:t>
      </w:r>
      <w:r w:rsidRPr="001F63BA">
        <w:rPr>
          <w:rFonts w:ascii="GHEA Grapalat" w:hAnsi="GHEA Grapalat"/>
          <w:sz w:val="22"/>
          <w:szCs w:val="22"/>
          <w:lang w:val="en-US"/>
        </w:rPr>
        <w:t>անտառվերականգնման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անտառապատման</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w:t>
      </w:r>
      <w:r w:rsidRPr="001F63BA">
        <w:rPr>
          <w:rFonts w:ascii="GHEA Grapalat" w:hAnsi="GHEA Grapalat"/>
          <w:sz w:val="22"/>
          <w:szCs w:val="22"/>
          <w:lang w:val="af-ZA"/>
        </w:rPr>
        <w:t xml:space="preserve">, </w:t>
      </w:r>
      <w:r w:rsidRPr="001F63BA">
        <w:rPr>
          <w:rFonts w:ascii="GHEA Grapalat" w:hAnsi="GHEA Grapalat"/>
          <w:sz w:val="22"/>
          <w:szCs w:val="22"/>
          <w:lang w:val="en-US"/>
        </w:rPr>
        <w:t>այդ</w:t>
      </w:r>
      <w:r w:rsidRPr="001F63BA">
        <w:rPr>
          <w:rFonts w:ascii="GHEA Grapalat" w:hAnsi="GHEA Grapalat"/>
          <w:sz w:val="22"/>
          <w:szCs w:val="22"/>
          <w:lang w:val="af-ZA"/>
        </w:rPr>
        <w:t xml:space="preserve"> </w:t>
      </w:r>
      <w:r w:rsidRPr="001F63BA">
        <w:rPr>
          <w:rFonts w:ascii="GHEA Grapalat" w:hAnsi="GHEA Grapalat"/>
          <w:sz w:val="22"/>
          <w:szCs w:val="22"/>
          <w:lang w:val="en-US"/>
        </w:rPr>
        <w:t>թվում՝</w:t>
      </w:r>
      <w:r w:rsidRPr="001F63BA">
        <w:rPr>
          <w:rFonts w:ascii="GHEA Grapalat" w:hAnsi="GHEA Grapalat"/>
          <w:sz w:val="22"/>
          <w:szCs w:val="22"/>
          <w:lang w:val="af-ZA"/>
        </w:rPr>
        <w:t xml:space="preserve"> 130 </w:t>
      </w:r>
      <w:r w:rsidRPr="001F63BA">
        <w:rPr>
          <w:rFonts w:ascii="GHEA Grapalat" w:hAnsi="GHEA Grapalat"/>
          <w:sz w:val="22"/>
          <w:szCs w:val="22"/>
          <w:lang w:val="en-US"/>
        </w:rPr>
        <w:t>հա</w:t>
      </w:r>
      <w:r w:rsidRPr="001F63BA">
        <w:rPr>
          <w:rFonts w:ascii="GHEA Grapalat" w:hAnsi="GHEA Grapalat"/>
          <w:sz w:val="22"/>
          <w:szCs w:val="22"/>
          <w:lang w:val="af-ZA"/>
        </w:rPr>
        <w:t xml:space="preserve"> </w:t>
      </w:r>
      <w:r w:rsidRPr="001F63BA">
        <w:rPr>
          <w:rFonts w:ascii="GHEA Grapalat" w:hAnsi="GHEA Grapalat"/>
          <w:sz w:val="22"/>
          <w:szCs w:val="22"/>
          <w:lang w:val="en-US"/>
        </w:rPr>
        <w:t>անտառմշակույթների</w:t>
      </w:r>
      <w:r w:rsidRPr="001F63BA">
        <w:rPr>
          <w:rFonts w:ascii="GHEA Grapalat" w:hAnsi="GHEA Grapalat"/>
          <w:sz w:val="22"/>
          <w:szCs w:val="22"/>
          <w:lang w:val="af-ZA"/>
        </w:rPr>
        <w:t xml:space="preserve"> </w:t>
      </w:r>
      <w:r w:rsidRPr="001F63BA">
        <w:rPr>
          <w:rFonts w:ascii="GHEA Grapalat" w:hAnsi="GHEA Grapalat"/>
          <w:sz w:val="22"/>
          <w:szCs w:val="22"/>
          <w:lang w:val="en-US"/>
        </w:rPr>
        <w:t>հիմնադրում</w:t>
      </w:r>
      <w:r w:rsidRPr="001F63BA">
        <w:rPr>
          <w:rFonts w:ascii="GHEA Grapalat" w:hAnsi="GHEA Grapalat"/>
          <w:sz w:val="22"/>
          <w:szCs w:val="22"/>
          <w:lang w:val="af-ZA"/>
        </w:rPr>
        <w:t xml:space="preserve">, 77 </w:t>
      </w:r>
      <w:r w:rsidRPr="001F63BA">
        <w:rPr>
          <w:rFonts w:ascii="GHEA Grapalat" w:hAnsi="GHEA Grapalat"/>
          <w:sz w:val="22"/>
          <w:szCs w:val="22"/>
          <w:lang w:val="en-US"/>
        </w:rPr>
        <w:t>հա</w:t>
      </w:r>
      <w:r w:rsidRPr="001F63BA">
        <w:rPr>
          <w:rFonts w:ascii="GHEA Grapalat" w:hAnsi="GHEA Grapalat"/>
          <w:sz w:val="22"/>
          <w:szCs w:val="22"/>
          <w:lang w:val="af-ZA"/>
        </w:rPr>
        <w:t xml:space="preserve"> </w:t>
      </w:r>
      <w:r w:rsidRPr="001F63BA">
        <w:rPr>
          <w:rFonts w:ascii="GHEA Grapalat" w:hAnsi="GHEA Grapalat"/>
          <w:sz w:val="22"/>
          <w:szCs w:val="22"/>
          <w:lang w:val="en-US"/>
        </w:rPr>
        <w:t>կոճղաշիվային</w:t>
      </w:r>
      <w:r w:rsidRPr="001F63BA">
        <w:rPr>
          <w:rFonts w:ascii="GHEA Grapalat" w:hAnsi="GHEA Grapalat"/>
          <w:sz w:val="22"/>
          <w:szCs w:val="22"/>
          <w:lang w:val="af-ZA"/>
        </w:rPr>
        <w:t xml:space="preserve"> </w:t>
      </w:r>
      <w:r w:rsidRPr="001F63BA">
        <w:rPr>
          <w:rFonts w:ascii="GHEA Grapalat" w:hAnsi="GHEA Grapalat"/>
          <w:sz w:val="22"/>
          <w:szCs w:val="22"/>
          <w:lang w:val="en-US"/>
        </w:rPr>
        <w:t>վերաճի</w:t>
      </w:r>
      <w:r w:rsidRPr="001F63BA">
        <w:rPr>
          <w:rFonts w:ascii="GHEA Grapalat" w:hAnsi="GHEA Grapalat"/>
          <w:sz w:val="22"/>
          <w:szCs w:val="22"/>
          <w:lang w:val="af-ZA"/>
        </w:rPr>
        <w:t xml:space="preserve"> </w:t>
      </w:r>
      <w:r w:rsidRPr="001F63BA">
        <w:rPr>
          <w:rFonts w:ascii="GHEA Grapalat" w:hAnsi="GHEA Grapalat"/>
          <w:sz w:val="22"/>
          <w:szCs w:val="22"/>
          <w:lang w:val="en-US"/>
        </w:rPr>
        <w:t>օժանդակում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30 </w:t>
      </w:r>
      <w:r w:rsidRPr="001F63BA">
        <w:rPr>
          <w:rFonts w:ascii="GHEA Grapalat" w:hAnsi="GHEA Grapalat"/>
          <w:sz w:val="22"/>
          <w:szCs w:val="22"/>
          <w:lang w:val="en-US"/>
        </w:rPr>
        <w:t>հա</w:t>
      </w:r>
      <w:r w:rsidRPr="001F63BA">
        <w:rPr>
          <w:rFonts w:ascii="GHEA Grapalat" w:hAnsi="GHEA Grapalat"/>
          <w:sz w:val="22"/>
          <w:szCs w:val="22"/>
          <w:lang w:val="af-ZA"/>
        </w:rPr>
        <w:t xml:space="preserve"> </w:t>
      </w:r>
      <w:r w:rsidRPr="001F63BA">
        <w:rPr>
          <w:rFonts w:ascii="GHEA Grapalat" w:hAnsi="GHEA Grapalat"/>
          <w:sz w:val="22"/>
          <w:szCs w:val="22"/>
          <w:lang w:val="en-US"/>
        </w:rPr>
        <w:t>համապետական</w:t>
      </w:r>
      <w:r w:rsidRPr="001F63BA">
        <w:rPr>
          <w:rFonts w:ascii="GHEA Grapalat" w:hAnsi="GHEA Grapalat"/>
          <w:sz w:val="22"/>
          <w:szCs w:val="22"/>
          <w:lang w:val="af-ZA"/>
        </w:rPr>
        <w:t xml:space="preserve"> </w:t>
      </w:r>
      <w:r w:rsidRPr="001F63BA">
        <w:rPr>
          <w:rFonts w:ascii="GHEA Grapalat" w:hAnsi="GHEA Grapalat"/>
          <w:sz w:val="22"/>
          <w:szCs w:val="22"/>
          <w:lang w:val="en-US"/>
        </w:rPr>
        <w:t>ծառատունկ։</w:t>
      </w:r>
      <w:r w:rsidRPr="001F63BA">
        <w:rPr>
          <w:rFonts w:ascii="GHEA Grapalat" w:hAnsi="GHEA Grapalat"/>
          <w:sz w:val="22"/>
          <w:szCs w:val="22"/>
          <w:lang w:val="af-ZA"/>
        </w:rPr>
        <w:t xml:space="preserve"> </w:t>
      </w:r>
      <w:r w:rsidRPr="001F63BA">
        <w:rPr>
          <w:rFonts w:ascii="GHEA Grapalat" w:hAnsi="GHEA Grapalat"/>
          <w:sz w:val="22"/>
          <w:szCs w:val="22"/>
          <w:lang w:val="en-US"/>
        </w:rPr>
        <w:t>Նախորդ</w:t>
      </w:r>
      <w:r w:rsidRPr="001F63BA">
        <w:rPr>
          <w:rFonts w:ascii="GHEA Grapalat" w:hAnsi="GHEA Grapalat"/>
          <w:sz w:val="22"/>
          <w:szCs w:val="22"/>
          <w:lang w:val="af-ZA"/>
        </w:rPr>
        <w:t xml:space="preserve"> </w:t>
      </w:r>
      <w:r w:rsidRPr="001F63BA">
        <w:rPr>
          <w:rFonts w:ascii="GHEA Grapalat" w:hAnsi="GHEA Grapalat"/>
          <w:sz w:val="22"/>
          <w:szCs w:val="22"/>
          <w:lang w:val="en-US"/>
        </w:rPr>
        <w:t>տարվա</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ցուցանիշը</w:t>
      </w:r>
      <w:r w:rsidRPr="001F63BA">
        <w:rPr>
          <w:rFonts w:ascii="GHEA Grapalat" w:hAnsi="GHEA Grapalat"/>
          <w:sz w:val="22"/>
          <w:szCs w:val="22"/>
          <w:lang w:val="af-ZA"/>
        </w:rPr>
        <w:t xml:space="preserve"> </w:t>
      </w:r>
      <w:r w:rsidRPr="001F63BA">
        <w:rPr>
          <w:rFonts w:ascii="GHEA Grapalat" w:hAnsi="GHEA Grapalat"/>
          <w:sz w:val="22"/>
          <w:szCs w:val="22"/>
          <w:lang w:val="en-US"/>
        </w:rPr>
        <w:t>գերազանցվել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21.7 </w:t>
      </w:r>
      <w:r w:rsidRPr="001F63BA">
        <w:rPr>
          <w:rFonts w:ascii="GHEA Grapalat" w:hAnsi="GHEA Grapalat"/>
          <w:sz w:val="22"/>
          <w:szCs w:val="22"/>
          <w:lang w:val="en-US"/>
        </w:rPr>
        <w:t>հա</w:t>
      </w:r>
      <w:r w:rsidRPr="001F63BA">
        <w:rPr>
          <w:rFonts w:ascii="GHEA Grapalat" w:hAnsi="GHEA Grapalat"/>
          <w:sz w:val="22"/>
          <w:szCs w:val="22"/>
          <w:lang w:val="af-ZA"/>
        </w:rPr>
        <w:t>-</w:t>
      </w:r>
      <w:r w:rsidRPr="001F63BA">
        <w:rPr>
          <w:rFonts w:ascii="GHEA Grapalat" w:hAnsi="GHEA Grapalat"/>
          <w:sz w:val="22"/>
          <w:szCs w:val="22"/>
          <w:lang w:val="en-US"/>
        </w:rPr>
        <w:t>ով։</w:t>
      </w:r>
      <w:r w:rsidRPr="001F63BA">
        <w:rPr>
          <w:rFonts w:ascii="GHEA Grapalat" w:hAnsi="GHEA Grapalat"/>
          <w:sz w:val="22"/>
          <w:szCs w:val="22"/>
          <w:lang w:val="af-ZA"/>
        </w:rPr>
        <w:t xml:space="preserve"> </w:t>
      </w:r>
      <w:r w:rsidRPr="001F63BA">
        <w:rPr>
          <w:rFonts w:ascii="GHEA Grapalat" w:hAnsi="GHEA Grapalat"/>
          <w:sz w:val="22"/>
          <w:szCs w:val="22"/>
          <w:lang w:val="en-US"/>
        </w:rPr>
        <w:t>Աճեցվել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250.0 </w:t>
      </w:r>
      <w:r w:rsidRPr="001F63BA">
        <w:rPr>
          <w:rFonts w:ascii="GHEA Grapalat" w:hAnsi="GHEA Grapalat"/>
          <w:sz w:val="22"/>
          <w:szCs w:val="22"/>
          <w:lang w:val="en-US"/>
        </w:rPr>
        <w:t>հազ</w:t>
      </w:r>
      <w:r w:rsidRPr="001F63BA">
        <w:rPr>
          <w:rFonts w:ascii="GHEA Grapalat" w:hAnsi="GHEA Grapalat"/>
          <w:sz w:val="22"/>
          <w:szCs w:val="22"/>
          <w:lang w:val="af-ZA"/>
        </w:rPr>
        <w:t xml:space="preserve">. </w:t>
      </w:r>
      <w:r w:rsidRPr="001F63BA">
        <w:rPr>
          <w:rFonts w:ascii="GHEA Grapalat" w:hAnsi="GHEA Grapalat"/>
          <w:sz w:val="22"/>
          <w:szCs w:val="22"/>
          <w:lang w:val="en-US"/>
        </w:rPr>
        <w:t>հատ</w:t>
      </w:r>
      <w:r w:rsidRPr="001F63BA">
        <w:rPr>
          <w:rFonts w:ascii="GHEA Grapalat" w:hAnsi="GHEA Grapalat"/>
          <w:sz w:val="22"/>
          <w:szCs w:val="22"/>
          <w:lang w:val="af-ZA"/>
        </w:rPr>
        <w:t xml:space="preserve"> </w:t>
      </w:r>
      <w:r w:rsidRPr="001F63BA">
        <w:rPr>
          <w:rFonts w:ascii="GHEA Grapalat" w:hAnsi="GHEA Grapalat"/>
          <w:sz w:val="22"/>
          <w:szCs w:val="22"/>
          <w:lang w:val="en-US"/>
        </w:rPr>
        <w:t>փակ</w:t>
      </w:r>
      <w:r w:rsidRPr="001F63BA">
        <w:rPr>
          <w:rFonts w:ascii="GHEA Grapalat" w:hAnsi="GHEA Grapalat"/>
          <w:sz w:val="22"/>
          <w:szCs w:val="22"/>
          <w:lang w:val="af-ZA"/>
        </w:rPr>
        <w:t xml:space="preserve"> </w:t>
      </w:r>
      <w:r w:rsidRPr="001F63BA">
        <w:rPr>
          <w:rFonts w:ascii="GHEA Grapalat" w:hAnsi="GHEA Grapalat"/>
          <w:sz w:val="22"/>
          <w:szCs w:val="22"/>
          <w:lang w:val="en-US"/>
        </w:rPr>
        <w:t>արմատային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համակարգով</w:t>
      </w:r>
      <w:r w:rsidRPr="001F63BA">
        <w:rPr>
          <w:rFonts w:ascii="GHEA Grapalat" w:hAnsi="GHEA Grapalat"/>
          <w:sz w:val="22"/>
          <w:szCs w:val="22"/>
          <w:lang w:val="af-ZA"/>
        </w:rPr>
        <w:t xml:space="preserve"> </w:t>
      </w:r>
      <w:r w:rsidRPr="001F63BA">
        <w:rPr>
          <w:rFonts w:ascii="GHEA Grapalat" w:hAnsi="GHEA Grapalat"/>
          <w:sz w:val="22"/>
          <w:szCs w:val="22"/>
          <w:lang w:val="en-US"/>
        </w:rPr>
        <w:t>տնկանյութ։</w:t>
      </w:r>
      <w:r w:rsidRPr="001F63BA">
        <w:rPr>
          <w:rFonts w:ascii="GHEA Grapalat" w:hAnsi="GHEA Grapalat"/>
          <w:sz w:val="22"/>
          <w:szCs w:val="22"/>
          <w:lang w:val="af-ZA"/>
        </w:rPr>
        <w:t xml:space="preserve"> </w:t>
      </w:r>
      <w:r w:rsidRPr="001F63BA">
        <w:rPr>
          <w:rFonts w:ascii="GHEA Grapalat" w:hAnsi="GHEA Grapalat"/>
          <w:sz w:val="22"/>
          <w:szCs w:val="22"/>
          <w:lang w:val="en-US"/>
        </w:rPr>
        <w:t>Հիմնադրվել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6 </w:t>
      </w:r>
      <w:r w:rsidRPr="001F63BA">
        <w:rPr>
          <w:rFonts w:ascii="GHEA Grapalat" w:hAnsi="GHEA Grapalat"/>
          <w:sz w:val="22"/>
          <w:szCs w:val="22"/>
          <w:lang w:val="en-US"/>
        </w:rPr>
        <w:t>ջերմոցային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համալիր՝</w:t>
      </w:r>
      <w:r w:rsidRPr="001F63BA">
        <w:rPr>
          <w:rFonts w:ascii="GHEA Grapalat" w:hAnsi="GHEA Grapalat"/>
          <w:sz w:val="22"/>
          <w:szCs w:val="22"/>
          <w:lang w:val="af-ZA"/>
        </w:rPr>
        <w:t xml:space="preserve"> 2023 </w:t>
      </w:r>
      <w:r w:rsidRPr="001F63BA">
        <w:rPr>
          <w:rFonts w:ascii="GHEA Grapalat" w:hAnsi="GHEA Grapalat"/>
          <w:sz w:val="22"/>
          <w:szCs w:val="22"/>
          <w:lang w:val="en-US"/>
        </w:rPr>
        <w:t>թվականից</w:t>
      </w:r>
      <w:r w:rsidRPr="001F63BA">
        <w:rPr>
          <w:rFonts w:ascii="GHEA Grapalat" w:hAnsi="GHEA Grapalat"/>
          <w:sz w:val="22"/>
          <w:szCs w:val="22"/>
          <w:lang w:val="af-ZA"/>
        </w:rPr>
        <w:t xml:space="preserve"> </w:t>
      </w:r>
      <w:r w:rsidRPr="001F63BA">
        <w:rPr>
          <w:rFonts w:ascii="GHEA Grapalat" w:hAnsi="GHEA Grapalat"/>
          <w:sz w:val="22"/>
          <w:szCs w:val="22"/>
          <w:lang w:val="en-US"/>
        </w:rPr>
        <w:t>տարեկան</w:t>
      </w:r>
      <w:r w:rsidRPr="001F63BA">
        <w:rPr>
          <w:rFonts w:ascii="GHEA Grapalat" w:hAnsi="GHEA Grapalat"/>
          <w:sz w:val="22"/>
          <w:szCs w:val="22"/>
          <w:lang w:val="af-ZA"/>
        </w:rPr>
        <w:t xml:space="preserve"> </w:t>
      </w:r>
      <w:r w:rsidRPr="001F63BA">
        <w:rPr>
          <w:rFonts w:ascii="GHEA Grapalat" w:hAnsi="GHEA Grapalat"/>
          <w:sz w:val="22"/>
          <w:szCs w:val="22"/>
          <w:lang w:val="en-US"/>
        </w:rPr>
        <w:t>շուրջ</w:t>
      </w:r>
      <w:r w:rsidRPr="001F63BA">
        <w:rPr>
          <w:rFonts w:ascii="GHEA Grapalat" w:hAnsi="GHEA Grapalat"/>
          <w:sz w:val="22"/>
          <w:szCs w:val="22"/>
          <w:lang w:val="af-ZA"/>
        </w:rPr>
        <w:t xml:space="preserve"> 1 </w:t>
      </w:r>
      <w:r w:rsidRPr="001F63BA">
        <w:rPr>
          <w:rFonts w:ascii="GHEA Grapalat" w:hAnsi="GHEA Grapalat"/>
          <w:sz w:val="22"/>
          <w:szCs w:val="22"/>
          <w:lang w:val="en-US"/>
        </w:rPr>
        <w:t>մլն</w:t>
      </w:r>
      <w:r w:rsidRPr="001F63BA">
        <w:rPr>
          <w:rFonts w:ascii="GHEA Grapalat" w:hAnsi="GHEA Grapalat"/>
          <w:sz w:val="22"/>
          <w:szCs w:val="22"/>
          <w:lang w:val="af-ZA"/>
        </w:rPr>
        <w:t xml:space="preserve"> </w:t>
      </w:r>
      <w:r w:rsidRPr="001F63BA">
        <w:rPr>
          <w:rFonts w:ascii="GHEA Grapalat" w:hAnsi="GHEA Grapalat"/>
          <w:sz w:val="22"/>
          <w:szCs w:val="22"/>
          <w:lang w:val="en-US"/>
        </w:rPr>
        <w:t>հատ</w:t>
      </w:r>
      <w:r w:rsidRPr="001F63BA">
        <w:rPr>
          <w:rFonts w:ascii="GHEA Grapalat" w:hAnsi="GHEA Grapalat"/>
          <w:sz w:val="22"/>
          <w:szCs w:val="22"/>
          <w:lang w:val="af-ZA"/>
        </w:rPr>
        <w:t xml:space="preserve"> </w:t>
      </w:r>
      <w:r w:rsidRPr="001F63BA">
        <w:rPr>
          <w:rFonts w:ascii="GHEA Grapalat" w:hAnsi="GHEA Grapalat"/>
          <w:sz w:val="22"/>
          <w:szCs w:val="22"/>
          <w:lang w:val="en-US"/>
        </w:rPr>
        <w:t>փակ</w:t>
      </w:r>
      <w:r w:rsidRPr="001F63BA">
        <w:rPr>
          <w:rFonts w:ascii="GHEA Grapalat" w:hAnsi="GHEA Grapalat"/>
          <w:sz w:val="22"/>
          <w:szCs w:val="22"/>
          <w:lang w:val="af-ZA"/>
        </w:rPr>
        <w:t xml:space="preserve"> </w:t>
      </w:r>
      <w:r w:rsidRPr="001F63BA">
        <w:rPr>
          <w:rFonts w:ascii="GHEA Grapalat" w:hAnsi="GHEA Grapalat"/>
          <w:sz w:val="22"/>
          <w:szCs w:val="22"/>
          <w:lang w:val="en-US"/>
        </w:rPr>
        <w:t>արմատային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համակարգով</w:t>
      </w:r>
      <w:r w:rsidRPr="001F63BA">
        <w:rPr>
          <w:rFonts w:ascii="GHEA Grapalat" w:hAnsi="GHEA Grapalat"/>
          <w:sz w:val="22"/>
          <w:szCs w:val="22"/>
          <w:lang w:val="af-ZA"/>
        </w:rPr>
        <w:t xml:space="preserve"> </w:t>
      </w:r>
      <w:r w:rsidRPr="001F63BA">
        <w:rPr>
          <w:rFonts w:ascii="GHEA Grapalat" w:hAnsi="GHEA Grapalat"/>
          <w:sz w:val="22"/>
          <w:szCs w:val="22"/>
          <w:lang w:val="en-US"/>
        </w:rPr>
        <w:t>տնկանյութի</w:t>
      </w:r>
      <w:r w:rsidRPr="001F63BA">
        <w:rPr>
          <w:rFonts w:ascii="GHEA Grapalat" w:hAnsi="GHEA Grapalat"/>
          <w:sz w:val="22"/>
          <w:szCs w:val="22"/>
          <w:lang w:val="af-ZA"/>
        </w:rPr>
        <w:t xml:space="preserve"> </w:t>
      </w:r>
      <w:r w:rsidRPr="001F63BA">
        <w:rPr>
          <w:rFonts w:ascii="GHEA Grapalat" w:hAnsi="GHEA Grapalat"/>
          <w:sz w:val="22"/>
          <w:szCs w:val="22"/>
          <w:lang w:val="en-US"/>
        </w:rPr>
        <w:t>աճեցման</w:t>
      </w:r>
      <w:r w:rsidRPr="001F63BA">
        <w:rPr>
          <w:rFonts w:ascii="GHEA Grapalat" w:hAnsi="GHEA Grapalat"/>
          <w:sz w:val="22"/>
          <w:szCs w:val="22"/>
          <w:lang w:val="af-ZA"/>
        </w:rPr>
        <w:t xml:space="preserve"> </w:t>
      </w:r>
      <w:r w:rsidRPr="001F63BA">
        <w:rPr>
          <w:rFonts w:ascii="GHEA Grapalat" w:hAnsi="GHEA Grapalat"/>
          <w:sz w:val="22"/>
          <w:szCs w:val="22"/>
          <w:lang w:val="en-US"/>
        </w:rPr>
        <w:t>հնարավորությամբ։</w:t>
      </w:r>
    </w:p>
    <w:p w:rsidR="001C411D" w:rsidRPr="001F63BA" w:rsidRDefault="001C411D" w:rsidP="00192362">
      <w:pPr>
        <w:spacing w:line="360" w:lineRule="auto"/>
        <w:ind w:firstLine="567"/>
        <w:jc w:val="both"/>
        <w:rPr>
          <w:rFonts w:ascii="GHEA Grapalat" w:hAnsi="GHEA Grapalat"/>
          <w:sz w:val="22"/>
          <w:szCs w:val="22"/>
          <w:lang w:val="af-ZA"/>
        </w:rPr>
      </w:pPr>
      <w:r w:rsidRPr="001F63BA">
        <w:rPr>
          <w:rFonts w:ascii="GHEA Grapalat" w:hAnsi="GHEA Grapalat"/>
          <w:i/>
          <w:sz w:val="22"/>
          <w:szCs w:val="22"/>
          <w:lang w:val="en-US"/>
        </w:rPr>
        <w:t>Անտառպաշտպանություն</w:t>
      </w:r>
      <w:r w:rsidRPr="001F63BA">
        <w:rPr>
          <w:rFonts w:ascii="GHEA Grapalat" w:hAnsi="GHEA Grapalat"/>
          <w:i/>
          <w:sz w:val="22"/>
          <w:szCs w:val="22"/>
          <w:lang w:val="af-ZA"/>
        </w:rPr>
        <w:t>:</w:t>
      </w:r>
      <w:r w:rsidRPr="001F63BA">
        <w:rPr>
          <w:rFonts w:ascii="GHEA Grapalat" w:hAnsi="GHEA Grapalat"/>
          <w:sz w:val="22"/>
          <w:szCs w:val="22"/>
          <w:lang w:val="af-ZA"/>
        </w:rPr>
        <w:t xml:space="preserve"> </w:t>
      </w:r>
      <w:r w:rsidRPr="001F63BA">
        <w:rPr>
          <w:rFonts w:ascii="GHEA Grapalat" w:hAnsi="GHEA Grapalat"/>
          <w:sz w:val="22"/>
          <w:szCs w:val="22"/>
          <w:lang w:val="en-US"/>
        </w:rPr>
        <w:t>Անտառային</w:t>
      </w:r>
      <w:r w:rsidRPr="001F63BA">
        <w:rPr>
          <w:rFonts w:ascii="GHEA Grapalat" w:hAnsi="GHEA Grapalat"/>
          <w:sz w:val="22"/>
          <w:szCs w:val="22"/>
          <w:lang w:val="af-ZA"/>
        </w:rPr>
        <w:t xml:space="preserve"> </w:t>
      </w:r>
      <w:r w:rsidRPr="001F63BA">
        <w:rPr>
          <w:rFonts w:ascii="GHEA Grapalat" w:hAnsi="GHEA Grapalat"/>
          <w:sz w:val="22"/>
          <w:szCs w:val="22"/>
          <w:lang w:val="en-US"/>
        </w:rPr>
        <w:t>կոմիտեի</w:t>
      </w:r>
      <w:r w:rsidRPr="001F63BA">
        <w:rPr>
          <w:rFonts w:ascii="GHEA Grapalat" w:hAnsi="GHEA Grapalat"/>
          <w:sz w:val="22"/>
          <w:szCs w:val="22"/>
          <w:lang w:val="af-ZA"/>
        </w:rPr>
        <w:t xml:space="preserve"> «</w:t>
      </w:r>
      <w:r w:rsidRPr="001F63BA">
        <w:rPr>
          <w:rFonts w:ascii="GHEA Grapalat" w:hAnsi="GHEA Grapalat"/>
          <w:sz w:val="22"/>
          <w:szCs w:val="22"/>
          <w:lang w:val="en-US"/>
        </w:rPr>
        <w:t>Հայանտառ</w:t>
      </w:r>
      <w:r w:rsidRPr="001F63BA">
        <w:rPr>
          <w:rFonts w:ascii="GHEA Grapalat" w:hAnsi="GHEA Grapalat"/>
          <w:sz w:val="22"/>
          <w:szCs w:val="22"/>
          <w:lang w:val="af-ZA"/>
        </w:rPr>
        <w:t xml:space="preserve">» </w:t>
      </w:r>
      <w:r w:rsidRPr="001F63BA">
        <w:rPr>
          <w:rFonts w:ascii="GHEA Grapalat" w:hAnsi="GHEA Grapalat"/>
          <w:sz w:val="22"/>
          <w:szCs w:val="22"/>
          <w:lang w:val="en-US"/>
        </w:rPr>
        <w:t>ՊՈԱԿ</w:t>
      </w:r>
      <w:r w:rsidRPr="001F63BA">
        <w:rPr>
          <w:rFonts w:ascii="GHEA Grapalat" w:hAnsi="GHEA Grapalat"/>
          <w:sz w:val="22"/>
          <w:szCs w:val="22"/>
          <w:lang w:val="af-ZA"/>
        </w:rPr>
        <w:t>-</w:t>
      </w:r>
      <w:r w:rsidRPr="001F63BA">
        <w:rPr>
          <w:rFonts w:ascii="GHEA Grapalat" w:hAnsi="GHEA Grapalat"/>
          <w:sz w:val="22"/>
          <w:szCs w:val="22"/>
          <w:lang w:val="en-US"/>
        </w:rPr>
        <w:t>ի</w:t>
      </w:r>
      <w:r w:rsidRPr="001F63BA">
        <w:rPr>
          <w:rFonts w:ascii="GHEA Grapalat" w:hAnsi="GHEA Grapalat"/>
          <w:sz w:val="22"/>
          <w:szCs w:val="22"/>
          <w:lang w:val="af-ZA"/>
        </w:rPr>
        <w:t xml:space="preserve"> </w:t>
      </w:r>
      <w:r w:rsidRPr="001F63BA">
        <w:rPr>
          <w:rFonts w:ascii="GHEA Grapalat" w:hAnsi="GHEA Grapalat"/>
          <w:sz w:val="22"/>
          <w:szCs w:val="22"/>
          <w:lang w:val="en-US"/>
        </w:rPr>
        <w:t>Արագածոտնի, Վայոց ձորի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Հրազդանի</w:t>
      </w:r>
      <w:r w:rsidRPr="001F63BA">
        <w:rPr>
          <w:rFonts w:ascii="GHEA Grapalat" w:hAnsi="GHEA Grapalat"/>
          <w:sz w:val="22"/>
          <w:szCs w:val="22"/>
          <w:lang w:val="af-ZA"/>
        </w:rPr>
        <w:t xml:space="preserve"> «</w:t>
      </w:r>
      <w:r w:rsidRPr="001F63BA">
        <w:rPr>
          <w:rFonts w:ascii="GHEA Grapalat" w:hAnsi="GHEA Grapalat"/>
          <w:sz w:val="22"/>
          <w:szCs w:val="22"/>
          <w:lang w:val="en-US"/>
        </w:rPr>
        <w:t>Անտառտնտեսություն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մասնաճյուղերի</w:t>
      </w:r>
      <w:r w:rsidRPr="001F63BA">
        <w:rPr>
          <w:rFonts w:ascii="GHEA Grapalat" w:hAnsi="GHEA Grapalat"/>
          <w:sz w:val="22"/>
          <w:szCs w:val="22"/>
          <w:lang w:val="af-ZA"/>
        </w:rPr>
        <w:t xml:space="preserve"> 4440 </w:t>
      </w:r>
      <w:r w:rsidRPr="001F63BA">
        <w:rPr>
          <w:rFonts w:ascii="GHEA Grapalat" w:hAnsi="GHEA Grapalat"/>
          <w:sz w:val="22"/>
          <w:szCs w:val="22"/>
          <w:lang w:val="en-US"/>
        </w:rPr>
        <w:t>հա</w:t>
      </w:r>
      <w:r w:rsidRPr="001F63BA">
        <w:rPr>
          <w:rFonts w:ascii="GHEA Grapalat" w:hAnsi="GHEA Grapalat"/>
          <w:sz w:val="22"/>
          <w:szCs w:val="22"/>
          <w:lang w:val="af-ZA"/>
        </w:rPr>
        <w:t xml:space="preserve"> </w:t>
      </w:r>
      <w:r w:rsidRPr="001F63BA">
        <w:rPr>
          <w:rFonts w:ascii="GHEA Grapalat" w:hAnsi="GHEA Grapalat"/>
          <w:sz w:val="22"/>
          <w:szCs w:val="22"/>
          <w:lang w:val="en-US"/>
        </w:rPr>
        <w:t>անտառներում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վնասատուների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հիվանդությունների</w:t>
      </w:r>
      <w:r w:rsidRPr="001F63BA">
        <w:rPr>
          <w:rFonts w:ascii="GHEA Grapalat" w:hAnsi="GHEA Grapalat"/>
          <w:sz w:val="22"/>
          <w:szCs w:val="22"/>
          <w:lang w:val="af-ZA"/>
        </w:rPr>
        <w:t xml:space="preserve"> </w:t>
      </w:r>
      <w:r w:rsidRPr="001F63BA">
        <w:rPr>
          <w:rFonts w:ascii="GHEA Grapalat" w:hAnsi="GHEA Grapalat"/>
          <w:sz w:val="22"/>
          <w:szCs w:val="22"/>
          <w:lang w:val="en-US"/>
        </w:rPr>
        <w:t>դեմ</w:t>
      </w:r>
      <w:r w:rsidRPr="001F63BA">
        <w:rPr>
          <w:rFonts w:ascii="GHEA Grapalat" w:hAnsi="GHEA Grapalat"/>
          <w:sz w:val="22"/>
          <w:szCs w:val="22"/>
          <w:lang w:val="af-ZA"/>
        </w:rPr>
        <w:t xml:space="preserve"> </w:t>
      </w:r>
      <w:r w:rsidRPr="001F63BA">
        <w:rPr>
          <w:rFonts w:ascii="GHEA Grapalat" w:hAnsi="GHEA Grapalat"/>
          <w:sz w:val="22"/>
          <w:szCs w:val="22"/>
          <w:lang w:val="en-US"/>
        </w:rPr>
        <w:t>կատարվել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ավիացիոն</w:t>
      </w:r>
      <w:r w:rsidRPr="001F63BA">
        <w:rPr>
          <w:rFonts w:ascii="GHEA Grapalat" w:hAnsi="GHEA Grapalat"/>
          <w:sz w:val="22"/>
          <w:szCs w:val="22"/>
          <w:lang w:val="af-ZA"/>
        </w:rPr>
        <w:t>-</w:t>
      </w:r>
      <w:r w:rsidRPr="001F63BA">
        <w:rPr>
          <w:rFonts w:ascii="GHEA Grapalat" w:hAnsi="GHEA Grapalat"/>
          <w:sz w:val="22"/>
          <w:szCs w:val="22"/>
          <w:lang w:val="en-US"/>
        </w:rPr>
        <w:t>քիմիական</w:t>
      </w:r>
      <w:r w:rsidRPr="001F63BA">
        <w:rPr>
          <w:rFonts w:ascii="GHEA Grapalat" w:hAnsi="GHEA Grapalat"/>
          <w:sz w:val="22"/>
          <w:szCs w:val="22"/>
          <w:lang w:val="af-ZA"/>
        </w:rPr>
        <w:t xml:space="preserve"> </w:t>
      </w:r>
      <w:r w:rsidRPr="001F63BA">
        <w:rPr>
          <w:rFonts w:ascii="GHEA Grapalat" w:hAnsi="GHEA Grapalat"/>
          <w:sz w:val="22"/>
          <w:szCs w:val="22"/>
          <w:lang w:val="en-US"/>
        </w:rPr>
        <w:t>պայքարի</w:t>
      </w:r>
      <w:r w:rsidRPr="001F63BA">
        <w:rPr>
          <w:rFonts w:ascii="GHEA Grapalat" w:hAnsi="GHEA Grapalat"/>
          <w:sz w:val="22"/>
          <w:szCs w:val="22"/>
          <w:lang w:val="af-ZA"/>
        </w:rPr>
        <w:t xml:space="preserve"> </w:t>
      </w:r>
      <w:r w:rsidRPr="001F63BA">
        <w:rPr>
          <w:rFonts w:ascii="GHEA Grapalat" w:hAnsi="GHEA Grapalat"/>
          <w:sz w:val="22"/>
          <w:szCs w:val="22"/>
          <w:lang w:val="en-US"/>
        </w:rPr>
        <w:t>աշխատանքներ</w:t>
      </w:r>
      <w:r w:rsidRPr="001F63BA">
        <w:rPr>
          <w:rFonts w:ascii="GHEA Grapalat" w:hAnsi="GHEA Grapalat"/>
          <w:sz w:val="22"/>
          <w:szCs w:val="22"/>
          <w:lang w:val="af-ZA"/>
        </w:rPr>
        <w:t>:</w:t>
      </w:r>
    </w:p>
    <w:p w:rsidR="001C411D" w:rsidRPr="001F63BA" w:rsidRDefault="001C411D" w:rsidP="00192362">
      <w:pPr>
        <w:spacing w:line="360" w:lineRule="auto"/>
        <w:ind w:firstLine="567"/>
        <w:jc w:val="both"/>
        <w:rPr>
          <w:rFonts w:ascii="GHEA Grapalat" w:hAnsi="GHEA Grapalat"/>
          <w:sz w:val="22"/>
          <w:szCs w:val="22"/>
          <w:lang w:val="af-ZA"/>
        </w:rPr>
      </w:pPr>
      <w:r w:rsidRPr="001F63BA">
        <w:rPr>
          <w:rFonts w:ascii="GHEA Grapalat" w:hAnsi="GHEA Grapalat"/>
          <w:i/>
          <w:sz w:val="22"/>
          <w:szCs w:val="22"/>
          <w:lang w:val="en-US"/>
        </w:rPr>
        <w:t>Անտառպահպանություն</w:t>
      </w:r>
      <w:r w:rsidRPr="001F63BA">
        <w:rPr>
          <w:rFonts w:ascii="GHEA Grapalat" w:hAnsi="GHEA Grapalat"/>
          <w:i/>
          <w:sz w:val="22"/>
          <w:szCs w:val="22"/>
          <w:lang w:val="af-ZA"/>
        </w:rPr>
        <w:t>:</w:t>
      </w:r>
      <w:r w:rsidRPr="001F63BA">
        <w:rPr>
          <w:rFonts w:ascii="GHEA Grapalat" w:hAnsi="GHEA Grapalat"/>
          <w:sz w:val="22"/>
          <w:szCs w:val="22"/>
          <w:lang w:val="af-ZA"/>
        </w:rPr>
        <w:t xml:space="preserve"> </w:t>
      </w:r>
      <w:r w:rsidRPr="001F63BA">
        <w:rPr>
          <w:rFonts w:ascii="GHEA Grapalat" w:hAnsi="GHEA Grapalat"/>
          <w:sz w:val="22"/>
          <w:szCs w:val="22"/>
          <w:lang w:val="en-US"/>
        </w:rPr>
        <w:t>Ընդունվել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Անտառներում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բնության</w:t>
      </w:r>
      <w:r w:rsidRPr="001F63BA">
        <w:rPr>
          <w:rFonts w:ascii="GHEA Grapalat" w:hAnsi="GHEA Grapalat"/>
          <w:sz w:val="22"/>
          <w:szCs w:val="22"/>
          <w:lang w:val="af-ZA"/>
        </w:rPr>
        <w:t xml:space="preserve"> </w:t>
      </w:r>
      <w:r w:rsidRPr="001F63BA">
        <w:rPr>
          <w:rFonts w:ascii="GHEA Grapalat" w:hAnsi="GHEA Grapalat"/>
          <w:sz w:val="22"/>
          <w:szCs w:val="22"/>
          <w:lang w:val="en-US"/>
        </w:rPr>
        <w:t>հատուկ</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պահպանվող</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հրդեհների</w:t>
      </w:r>
      <w:r w:rsidRPr="001F63BA">
        <w:rPr>
          <w:rFonts w:ascii="GHEA Grapalat" w:hAnsi="GHEA Grapalat"/>
          <w:sz w:val="22"/>
          <w:szCs w:val="22"/>
          <w:lang w:val="af-ZA"/>
        </w:rPr>
        <w:t xml:space="preserve"> </w:t>
      </w:r>
      <w:r w:rsidRPr="001F63BA">
        <w:rPr>
          <w:rFonts w:ascii="GHEA Grapalat" w:hAnsi="GHEA Grapalat"/>
          <w:sz w:val="22"/>
          <w:szCs w:val="22"/>
          <w:lang w:val="en-US"/>
        </w:rPr>
        <w:t>արձագանքման</w:t>
      </w:r>
      <w:r w:rsidRPr="001F63BA">
        <w:rPr>
          <w:rFonts w:ascii="GHEA Grapalat" w:hAnsi="GHEA Grapalat"/>
          <w:sz w:val="22"/>
          <w:szCs w:val="22"/>
          <w:lang w:val="af-ZA"/>
        </w:rPr>
        <w:t xml:space="preserve"> </w:t>
      </w:r>
      <w:r w:rsidRPr="001F63BA">
        <w:rPr>
          <w:rFonts w:ascii="GHEA Grapalat" w:hAnsi="GHEA Grapalat"/>
          <w:sz w:val="22"/>
          <w:szCs w:val="22"/>
          <w:lang w:val="en-US"/>
        </w:rPr>
        <w:t>պլանի</w:t>
      </w:r>
      <w:r w:rsidRPr="001F63BA">
        <w:rPr>
          <w:rFonts w:ascii="GHEA Grapalat" w:hAnsi="GHEA Grapalat"/>
          <w:sz w:val="22"/>
          <w:szCs w:val="22"/>
          <w:lang w:val="af-ZA"/>
        </w:rPr>
        <w:t xml:space="preserve"> </w:t>
      </w:r>
      <w:r w:rsidRPr="001F63BA">
        <w:rPr>
          <w:rFonts w:ascii="GHEA Grapalat" w:hAnsi="GHEA Grapalat"/>
          <w:sz w:val="22"/>
          <w:szCs w:val="22"/>
          <w:lang w:val="en-US"/>
        </w:rPr>
        <w:t>օրինակելի</w:t>
      </w:r>
      <w:r w:rsidRPr="001F63BA">
        <w:rPr>
          <w:rFonts w:ascii="GHEA Grapalat" w:hAnsi="GHEA Grapalat"/>
          <w:sz w:val="22"/>
          <w:szCs w:val="22"/>
          <w:lang w:val="af-ZA"/>
        </w:rPr>
        <w:t xml:space="preserve"> </w:t>
      </w:r>
      <w:r w:rsidRPr="001F63BA">
        <w:rPr>
          <w:rFonts w:ascii="GHEA Grapalat" w:hAnsi="GHEA Grapalat"/>
          <w:sz w:val="22"/>
          <w:szCs w:val="22"/>
          <w:lang w:val="en-US"/>
        </w:rPr>
        <w:t>ձևը</w:t>
      </w:r>
      <w:r w:rsidRPr="001F63BA">
        <w:rPr>
          <w:rFonts w:ascii="GHEA Grapalat" w:hAnsi="GHEA Grapalat"/>
          <w:sz w:val="22"/>
          <w:szCs w:val="22"/>
          <w:lang w:val="af-ZA"/>
        </w:rPr>
        <w:t xml:space="preserve"> </w:t>
      </w:r>
      <w:r w:rsidRPr="001F63BA">
        <w:rPr>
          <w:rFonts w:ascii="GHEA Grapalat" w:hAnsi="GHEA Grapalat"/>
          <w:sz w:val="22"/>
          <w:szCs w:val="22"/>
          <w:lang w:val="en-US"/>
        </w:rPr>
        <w:t>սահմանելու</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արտակարգ</w:t>
      </w:r>
      <w:r w:rsidRPr="001F63BA">
        <w:rPr>
          <w:rFonts w:ascii="GHEA Grapalat" w:hAnsi="GHEA Grapalat"/>
          <w:sz w:val="22"/>
          <w:szCs w:val="22"/>
          <w:lang w:val="af-ZA"/>
        </w:rPr>
        <w:t xml:space="preserve"> </w:t>
      </w:r>
      <w:r w:rsidRPr="001F63BA">
        <w:rPr>
          <w:rFonts w:ascii="GHEA Grapalat" w:hAnsi="GHEA Grapalat"/>
          <w:sz w:val="22"/>
          <w:szCs w:val="22"/>
          <w:lang w:val="en-US"/>
        </w:rPr>
        <w:t>իրավիճակների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շրջակա</w:t>
      </w:r>
      <w:r w:rsidRPr="001F63BA">
        <w:rPr>
          <w:rFonts w:ascii="GHEA Grapalat" w:hAnsi="GHEA Grapalat"/>
          <w:sz w:val="22"/>
          <w:szCs w:val="22"/>
          <w:lang w:val="af-ZA"/>
        </w:rPr>
        <w:t xml:space="preserve"> </w:t>
      </w:r>
      <w:r w:rsidRPr="001F63BA">
        <w:rPr>
          <w:rFonts w:ascii="GHEA Grapalat" w:hAnsi="GHEA Grapalat"/>
          <w:sz w:val="22"/>
          <w:szCs w:val="22"/>
          <w:lang w:val="en-US"/>
        </w:rPr>
        <w:t>միջավայրի նախարարների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Ոչ</w:t>
      </w:r>
      <w:r w:rsidRPr="001F63BA">
        <w:rPr>
          <w:rFonts w:ascii="GHEA Grapalat" w:hAnsi="GHEA Grapalat"/>
          <w:sz w:val="22"/>
          <w:szCs w:val="22"/>
          <w:lang w:val="af-ZA"/>
        </w:rPr>
        <w:t xml:space="preserve"> </w:t>
      </w:r>
      <w:r w:rsidRPr="001F63BA">
        <w:rPr>
          <w:rFonts w:ascii="GHEA Grapalat" w:hAnsi="GHEA Grapalat"/>
          <w:sz w:val="22"/>
          <w:szCs w:val="22"/>
          <w:lang w:val="en-US"/>
        </w:rPr>
        <w:t>արտադրական</w:t>
      </w:r>
      <w:r w:rsidRPr="001F63BA">
        <w:rPr>
          <w:rFonts w:ascii="GHEA Grapalat" w:hAnsi="GHEA Grapalat"/>
          <w:sz w:val="22"/>
          <w:szCs w:val="22"/>
          <w:lang w:val="af-ZA"/>
        </w:rPr>
        <w:t xml:space="preserve"> </w:t>
      </w:r>
      <w:r w:rsidRPr="001F63BA">
        <w:rPr>
          <w:rFonts w:ascii="GHEA Grapalat" w:hAnsi="GHEA Grapalat"/>
          <w:sz w:val="22"/>
          <w:szCs w:val="22"/>
          <w:lang w:val="en-US"/>
        </w:rPr>
        <w:t>նպատակներով</w:t>
      </w:r>
      <w:r w:rsidRPr="001F63BA">
        <w:rPr>
          <w:rFonts w:ascii="GHEA Grapalat" w:hAnsi="GHEA Grapalat"/>
          <w:sz w:val="22"/>
          <w:szCs w:val="22"/>
          <w:lang w:val="af-ZA"/>
        </w:rPr>
        <w:t xml:space="preserve"> </w:t>
      </w:r>
      <w:r w:rsidRPr="001F63BA">
        <w:rPr>
          <w:rFonts w:ascii="GHEA Grapalat" w:hAnsi="GHEA Grapalat"/>
          <w:sz w:val="22"/>
          <w:szCs w:val="22"/>
          <w:lang w:val="en-US"/>
        </w:rPr>
        <w:t>անվճար</w:t>
      </w:r>
      <w:r w:rsidRPr="001F63BA">
        <w:rPr>
          <w:rFonts w:ascii="GHEA Grapalat" w:hAnsi="GHEA Grapalat"/>
          <w:sz w:val="22"/>
          <w:szCs w:val="22"/>
          <w:lang w:val="af-ZA"/>
        </w:rPr>
        <w:t xml:space="preserve"> </w:t>
      </w:r>
      <w:r w:rsidRPr="001F63BA">
        <w:rPr>
          <w:rFonts w:ascii="GHEA Grapalat" w:hAnsi="GHEA Grapalat"/>
          <w:sz w:val="22"/>
          <w:szCs w:val="22"/>
          <w:lang w:val="en-US"/>
        </w:rPr>
        <w:t>թափուկ</w:t>
      </w:r>
      <w:r w:rsidRPr="001F63BA">
        <w:rPr>
          <w:rFonts w:ascii="GHEA Grapalat" w:hAnsi="GHEA Grapalat"/>
          <w:sz w:val="22"/>
          <w:szCs w:val="22"/>
          <w:lang w:val="af-ZA"/>
        </w:rPr>
        <w:t xml:space="preserve"> </w:t>
      </w:r>
      <w:r w:rsidRPr="001F63BA">
        <w:rPr>
          <w:rFonts w:ascii="GHEA Grapalat" w:hAnsi="GHEA Grapalat"/>
          <w:sz w:val="22"/>
          <w:szCs w:val="22"/>
          <w:lang w:val="en-US"/>
        </w:rPr>
        <w:t>վառելափայտ</w:t>
      </w:r>
      <w:r w:rsidRPr="001F63BA">
        <w:rPr>
          <w:rFonts w:ascii="GHEA Grapalat" w:hAnsi="GHEA Grapalat"/>
          <w:sz w:val="22"/>
          <w:szCs w:val="22"/>
          <w:lang w:val="af-ZA"/>
        </w:rPr>
        <w:t xml:space="preserve"> </w:t>
      </w:r>
      <w:r w:rsidRPr="001F63BA">
        <w:rPr>
          <w:rFonts w:ascii="GHEA Grapalat" w:hAnsi="GHEA Grapalat"/>
          <w:sz w:val="22"/>
          <w:szCs w:val="22"/>
          <w:lang w:val="en-US"/>
        </w:rPr>
        <w:t>ձեռք</w:t>
      </w:r>
      <w:r w:rsidRPr="001F63BA">
        <w:rPr>
          <w:rFonts w:ascii="GHEA Grapalat" w:hAnsi="GHEA Grapalat"/>
          <w:sz w:val="22"/>
          <w:szCs w:val="22"/>
          <w:lang w:val="af-ZA"/>
        </w:rPr>
        <w:t xml:space="preserve"> </w:t>
      </w:r>
      <w:r w:rsidRPr="001F63BA">
        <w:rPr>
          <w:rFonts w:ascii="GHEA Grapalat" w:hAnsi="GHEA Grapalat"/>
          <w:sz w:val="22"/>
          <w:szCs w:val="22"/>
          <w:lang w:val="en-US"/>
        </w:rPr>
        <w:t>բերելու</w:t>
      </w:r>
      <w:r w:rsidRPr="001F63BA">
        <w:rPr>
          <w:rFonts w:ascii="GHEA Grapalat" w:hAnsi="GHEA Grapalat"/>
          <w:sz w:val="22"/>
          <w:szCs w:val="22"/>
          <w:lang w:val="af-ZA"/>
        </w:rPr>
        <w:t xml:space="preserve"> </w:t>
      </w:r>
      <w:r w:rsidRPr="001F63BA">
        <w:rPr>
          <w:rFonts w:ascii="GHEA Grapalat" w:hAnsi="GHEA Grapalat"/>
          <w:sz w:val="22"/>
          <w:szCs w:val="22"/>
          <w:lang w:val="en-US"/>
        </w:rPr>
        <w:t>արտոնություն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ստացող՝</w:t>
      </w:r>
      <w:r w:rsidRPr="001F63BA">
        <w:rPr>
          <w:rFonts w:ascii="GHEA Grapalat" w:hAnsi="GHEA Grapalat"/>
          <w:sz w:val="22"/>
          <w:szCs w:val="22"/>
          <w:lang w:val="af-ZA"/>
        </w:rPr>
        <w:t xml:space="preserve"> </w:t>
      </w:r>
      <w:r w:rsidRPr="001F63BA">
        <w:rPr>
          <w:rFonts w:ascii="GHEA Grapalat" w:hAnsi="GHEA Grapalat"/>
          <w:sz w:val="22"/>
          <w:szCs w:val="22"/>
          <w:lang w:val="en-US"/>
        </w:rPr>
        <w:t>անտառների</w:t>
      </w:r>
      <w:r w:rsidRPr="001F63BA">
        <w:rPr>
          <w:rFonts w:ascii="GHEA Grapalat" w:hAnsi="GHEA Grapalat"/>
          <w:sz w:val="22"/>
          <w:szCs w:val="22"/>
          <w:lang w:val="af-ZA"/>
        </w:rPr>
        <w:t xml:space="preserve"> </w:t>
      </w:r>
      <w:r w:rsidRPr="001F63BA">
        <w:rPr>
          <w:rFonts w:ascii="GHEA Grapalat" w:hAnsi="GHEA Grapalat"/>
          <w:sz w:val="22"/>
          <w:szCs w:val="22"/>
          <w:lang w:val="en-US"/>
        </w:rPr>
        <w:t>անմիջական</w:t>
      </w:r>
      <w:r w:rsidRPr="001F63BA">
        <w:rPr>
          <w:rFonts w:ascii="GHEA Grapalat" w:hAnsi="GHEA Grapalat"/>
          <w:sz w:val="22"/>
          <w:szCs w:val="22"/>
          <w:lang w:val="af-ZA"/>
        </w:rPr>
        <w:t xml:space="preserve"> </w:t>
      </w:r>
      <w:r w:rsidRPr="001F63BA">
        <w:rPr>
          <w:rFonts w:ascii="GHEA Grapalat" w:hAnsi="GHEA Grapalat"/>
          <w:sz w:val="22"/>
          <w:szCs w:val="22"/>
          <w:lang w:val="en-US"/>
        </w:rPr>
        <w:t>հարևանությամբ</w:t>
      </w:r>
      <w:r w:rsidRPr="001F63BA">
        <w:rPr>
          <w:rFonts w:ascii="GHEA Grapalat" w:hAnsi="GHEA Grapalat"/>
          <w:sz w:val="22"/>
          <w:szCs w:val="22"/>
          <w:lang w:val="af-ZA"/>
        </w:rPr>
        <w:t xml:space="preserve"> </w:t>
      </w:r>
      <w:r w:rsidRPr="001F63BA">
        <w:rPr>
          <w:rFonts w:ascii="GHEA Grapalat" w:hAnsi="GHEA Grapalat"/>
          <w:sz w:val="22"/>
          <w:szCs w:val="22"/>
          <w:lang w:val="en-US"/>
        </w:rPr>
        <w:t>գտնվող</w:t>
      </w:r>
      <w:r w:rsidRPr="001F63BA">
        <w:rPr>
          <w:rFonts w:ascii="GHEA Grapalat" w:hAnsi="GHEA Grapalat"/>
          <w:sz w:val="22"/>
          <w:szCs w:val="22"/>
          <w:lang w:val="af-ZA"/>
        </w:rPr>
        <w:t xml:space="preserve"> </w:t>
      </w:r>
      <w:r w:rsidRPr="001F63BA">
        <w:rPr>
          <w:rFonts w:ascii="GHEA Grapalat" w:hAnsi="GHEA Grapalat"/>
          <w:sz w:val="22"/>
          <w:szCs w:val="22"/>
          <w:lang w:val="en-US"/>
        </w:rPr>
        <w:t>բնակավայրերի</w:t>
      </w:r>
      <w:r w:rsidRPr="001F63BA">
        <w:rPr>
          <w:rFonts w:ascii="GHEA Grapalat" w:hAnsi="GHEA Grapalat"/>
          <w:sz w:val="22"/>
          <w:szCs w:val="22"/>
          <w:lang w:val="af-ZA"/>
        </w:rPr>
        <w:t xml:space="preserve"> </w:t>
      </w:r>
      <w:r w:rsidRPr="001F63BA">
        <w:rPr>
          <w:rFonts w:ascii="GHEA Grapalat" w:hAnsi="GHEA Grapalat"/>
          <w:sz w:val="22"/>
          <w:szCs w:val="22"/>
          <w:lang w:val="en-US"/>
        </w:rPr>
        <w:t>ցանկը</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հաստատելու</w:t>
      </w:r>
      <w:r w:rsidRPr="001F63BA">
        <w:rPr>
          <w:rFonts w:ascii="GHEA Grapalat" w:hAnsi="GHEA Grapalat"/>
          <w:sz w:val="22"/>
          <w:szCs w:val="22"/>
          <w:lang w:val="af-ZA"/>
        </w:rPr>
        <w:t xml:space="preserve"> </w:t>
      </w:r>
      <w:r w:rsidRPr="001F63BA">
        <w:rPr>
          <w:rFonts w:ascii="GHEA Grapalat" w:hAnsi="GHEA Grapalat"/>
          <w:sz w:val="22"/>
          <w:szCs w:val="22"/>
          <w:lang w:val="en-US"/>
        </w:rPr>
        <w:t>մասին</w:t>
      </w:r>
      <w:r w:rsidRPr="001F63BA">
        <w:rPr>
          <w:rFonts w:ascii="GHEA Grapalat" w:hAnsi="GHEA Grapalat"/>
          <w:sz w:val="22"/>
          <w:szCs w:val="22"/>
          <w:lang w:val="af-ZA"/>
        </w:rPr>
        <w:t xml:space="preserve">» </w:t>
      </w:r>
      <w:r w:rsidRPr="001F63BA">
        <w:rPr>
          <w:rFonts w:ascii="GHEA Grapalat" w:hAnsi="GHEA Grapalat"/>
          <w:sz w:val="22"/>
          <w:szCs w:val="22"/>
          <w:lang w:val="en-US"/>
        </w:rPr>
        <w:t>շրջակա</w:t>
      </w:r>
      <w:r w:rsidRPr="001F63BA">
        <w:rPr>
          <w:rFonts w:ascii="GHEA Grapalat" w:hAnsi="GHEA Grapalat"/>
          <w:sz w:val="22"/>
          <w:szCs w:val="22"/>
          <w:lang w:val="af-ZA"/>
        </w:rPr>
        <w:t xml:space="preserve"> </w:t>
      </w:r>
      <w:r w:rsidRPr="001F63BA">
        <w:rPr>
          <w:rFonts w:ascii="GHEA Grapalat" w:hAnsi="GHEA Grapalat"/>
          <w:sz w:val="22"/>
          <w:szCs w:val="22"/>
          <w:lang w:val="en-US"/>
        </w:rPr>
        <w:t>միջավայրի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տարածքային</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ենթակառուցվածքների</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համատեղ</w:t>
      </w:r>
      <w:r w:rsidRPr="001F63BA">
        <w:rPr>
          <w:rFonts w:ascii="GHEA Grapalat" w:hAnsi="GHEA Grapalat"/>
          <w:sz w:val="22"/>
          <w:szCs w:val="22"/>
          <w:lang w:val="af-ZA"/>
        </w:rPr>
        <w:t xml:space="preserve"> </w:t>
      </w:r>
      <w:r w:rsidRPr="001F63BA">
        <w:rPr>
          <w:rFonts w:ascii="GHEA Grapalat" w:hAnsi="GHEA Grapalat"/>
          <w:sz w:val="22"/>
          <w:szCs w:val="22"/>
          <w:lang w:val="en-US"/>
        </w:rPr>
        <w:t>հրամաններ</w:t>
      </w:r>
      <w:r w:rsidRPr="001F63BA">
        <w:rPr>
          <w:rFonts w:ascii="GHEA Grapalat" w:hAnsi="GHEA Grapalat"/>
          <w:sz w:val="22"/>
          <w:szCs w:val="22"/>
          <w:lang w:val="af-ZA"/>
        </w:rPr>
        <w:t xml:space="preserve">: </w:t>
      </w:r>
      <w:r w:rsidRPr="001F63BA">
        <w:rPr>
          <w:rFonts w:ascii="GHEA Grapalat" w:hAnsi="GHEA Grapalat"/>
          <w:sz w:val="22"/>
          <w:szCs w:val="22"/>
          <w:lang w:val="en-US"/>
        </w:rPr>
        <w:lastRenderedPageBreak/>
        <w:t>Շրջակա</w:t>
      </w:r>
      <w:r w:rsidRPr="001F63BA">
        <w:rPr>
          <w:rFonts w:ascii="GHEA Grapalat" w:hAnsi="GHEA Grapalat"/>
          <w:sz w:val="22"/>
          <w:szCs w:val="22"/>
          <w:lang w:val="af-ZA"/>
        </w:rPr>
        <w:t xml:space="preserve"> </w:t>
      </w:r>
      <w:r w:rsidRPr="001F63BA">
        <w:rPr>
          <w:rFonts w:ascii="GHEA Grapalat" w:hAnsi="GHEA Grapalat"/>
          <w:sz w:val="22"/>
          <w:szCs w:val="22"/>
          <w:lang w:val="en-US"/>
        </w:rPr>
        <w:t>միջավայրի</w:t>
      </w:r>
      <w:r w:rsidRPr="001F63BA">
        <w:rPr>
          <w:rFonts w:ascii="GHEA Grapalat" w:hAnsi="GHEA Grapalat"/>
          <w:sz w:val="22"/>
          <w:szCs w:val="22"/>
          <w:lang w:val="af-ZA"/>
        </w:rPr>
        <w:t xml:space="preserve"> </w:t>
      </w:r>
      <w:r w:rsidRPr="001F63BA">
        <w:rPr>
          <w:rFonts w:ascii="GHEA Grapalat" w:hAnsi="GHEA Grapalat"/>
          <w:sz w:val="22"/>
          <w:szCs w:val="22"/>
          <w:lang w:val="en-US"/>
        </w:rPr>
        <w:t>նախարարի</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մայիսի</w:t>
      </w:r>
      <w:r w:rsidRPr="001F63BA">
        <w:rPr>
          <w:rFonts w:ascii="GHEA Grapalat" w:hAnsi="GHEA Grapalat"/>
          <w:sz w:val="22"/>
          <w:szCs w:val="22"/>
          <w:lang w:val="af-ZA"/>
        </w:rPr>
        <w:t xml:space="preserve"> 19-</w:t>
      </w:r>
      <w:r w:rsidRPr="001F63BA">
        <w:rPr>
          <w:rFonts w:ascii="GHEA Grapalat" w:hAnsi="GHEA Grapalat"/>
          <w:sz w:val="22"/>
          <w:szCs w:val="22"/>
          <w:lang w:val="en-US"/>
        </w:rPr>
        <w:t>ի</w:t>
      </w:r>
      <w:r w:rsidRPr="001F63BA">
        <w:rPr>
          <w:rFonts w:ascii="GHEA Grapalat" w:hAnsi="GHEA Grapalat"/>
          <w:sz w:val="22"/>
          <w:szCs w:val="22"/>
          <w:lang w:val="af-ZA"/>
        </w:rPr>
        <w:t xml:space="preserve"> N 157-</w:t>
      </w:r>
      <w:r w:rsidRPr="001F63BA">
        <w:rPr>
          <w:rFonts w:ascii="GHEA Grapalat" w:hAnsi="GHEA Grapalat"/>
          <w:sz w:val="22"/>
          <w:szCs w:val="22"/>
          <w:lang w:val="en-US"/>
        </w:rPr>
        <w:t>Լ</w:t>
      </w:r>
      <w:r w:rsidRPr="001F63BA">
        <w:rPr>
          <w:rFonts w:ascii="GHEA Grapalat" w:hAnsi="GHEA Grapalat"/>
          <w:sz w:val="22"/>
          <w:szCs w:val="22"/>
          <w:lang w:val="af-ZA"/>
        </w:rPr>
        <w:t xml:space="preserve"> </w:t>
      </w:r>
      <w:r w:rsidRPr="001F63BA">
        <w:rPr>
          <w:rFonts w:ascii="GHEA Grapalat" w:hAnsi="GHEA Grapalat"/>
          <w:sz w:val="22"/>
          <w:szCs w:val="22"/>
          <w:lang w:val="en-US"/>
        </w:rPr>
        <w:t>հրամանով</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անտառային</w:t>
      </w:r>
      <w:r w:rsidRPr="001F63BA">
        <w:rPr>
          <w:rFonts w:ascii="GHEA Grapalat" w:hAnsi="GHEA Grapalat"/>
          <w:sz w:val="22"/>
          <w:szCs w:val="22"/>
          <w:lang w:val="af-ZA"/>
        </w:rPr>
        <w:t xml:space="preserve"> </w:t>
      </w:r>
      <w:r w:rsidRPr="001F63BA">
        <w:rPr>
          <w:rFonts w:ascii="GHEA Grapalat" w:hAnsi="GHEA Grapalat"/>
          <w:sz w:val="22"/>
          <w:szCs w:val="22"/>
          <w:lang w:val="en-US"/>
        </w:rPr>
        <w:t>կոմիտեի</w:t>
      </w:r>
      <w:r w:rsidRPr="001F63BA">
        <w:rPr>
          <w:rFonts w:ascii="GHEA Grapalat" w:hAnsi="GHEA Grapalat"/>
          <w:sz w:val="22"/>
          <w:szCs w:val="22"/>
          <w:lang w:val="af-ZA"/>
        </w:rPr>
        <w:t xml:space="preserve"> «</w:t>
      </w:r>
      <w:r w:rsidRPr="001F63BA">
        <w:rPr>
          <w:rFonts w:ascii="GHEA Grapalat" w:hAnsi="GHEA Grapalat"/>
          <w:sz w:val="22"/>
          <w:szCs w:val="22"/>
          <w:lang w:val="en-US"/>
        </w:rPr>
        <w:t>Հայանտառ</w:t>
      </w:r>
      <w:r w:rsidRPr="001F63BA">
        <w:rPr>
          <w:rFonts w:ascii="GHEA Grapalat" w:hAnsi="GHEA Grapalat"/>
          <w:sz w:val="22"/>
          <w:szCs w:val="22"/>
          <w:lang w:val="af-ZA"/>
        </w:rPr>
        <w:t xml:space="preserve">» </w:t>
      </w:r>
      <w:r w:rsidRPr="001F63BA">
        <w:rPr>
          <w:rFonts w:ascii="GHEA Grapalat" w:hAnsi="GHEA Grapalat"/>
          <w:sz w:val="22"/>
          <w:szCs w:val="22"/>
          <w:lang w:val="en-US"/>
        </w:rPr>
        <w:t>ՊՈԱԿ</w:t>
      </w:r>
      <w:r w:rsidRPr="001F63BA">
        <w:rPr>
          <w:rFonts w:ascii="GHEA Grapalat" w:hAnsi="GHEA Grapalat"/>
          <w:sz w:val="22"/>
          <w:szCs w:val="22"/>
          <w:lang w:val="af-ZA"/>
        </w:rPr>
        <w:t>-</w:t>
      </w:r>
      <w:r w:rsidRPr="001F63BA">
        <w:rPr>
          <w:rFonts w:ascii="GHEA Grapalat" w:hAnsi="GHEA Grapalat"/>
          <w:sz w:val="22"/>
          <w:szCs w:val="22"/>
          <w:lang w:val="en-US"/>
        </w:rPr>
        <w:t>ի</w:t>
      </w:r>
      <w:r w:rsidRPr="001F63BA">
        <w:rPr>
          <w:rFonts w:ascii="GHEA Grapalat" w:hAnsi="GHEA Grapalat"/>
          <w:sz w:val="22"/>
          <w:szCs w:val="22"/>
          <w:lang w:val="af-ZA"/>
        </w:rPr>
        <w:t xml:space="preserve"> </w:t>
      </w:r>
      <w:r w:rsidRPr="001F63BA">
        <w:rPr>
          <w:rFonts w:ascii="GHEA Grapalat" w:hAnsi="GHEA Grapalat"/>
          <w:sz w:val="22"/>
          <w:szCs w:val="22"/>
          <w:lang w:val="en-US"/>
        </w:rPr>
        <w:t>Սիսիանի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Ճամբարակի</w:t>
      </w:r>
      <w:r w:rsidRPr="001F63BA">
        <w:rPr>
          <w:rFonts w:ascii="GHEA Grapalat" w:hAnsi="GHEA Grapalat"/>
          <w:sz w:val="22"/>
          <w:szCs w:val="22"/>
          <w:lang w:val="af-ZA"/>
        </w:rPr>
        <w:t xml:space="preserve"> «</w:t>
      </w:r>
      <w:r w:rsidRPr="001F63BA">
        <w:rPr>
          <w:rFonts w:ascii="GHEA Grapalat" w:hAnsi="GHEA Grapalat"/>
          <w:sz w:val="22"/>
          <w:szCs w:val="22"/>
          <w:lang w:val="en-US"/>
        </w:rPr>
        <w:t>անտառտնտեսություն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մասնաճյուղերի</w:t>
      </w:r>
      <w:r w:rsidRPr="001F63BA">
        <w:rPr>
          <w:rFonts w:ascii="GHEA Grapalat" w:hAnsi="GHEA Grapalat"/>
          <w:sz w:val="22"/>
          <w:szCs w:val="22"/>
          <w:lang w:val="af-ZA"/>
        </w:rPr>
        <w:t xml:space="preserve"> </w:t>
      </w:r>
      <w:r w:rsidRPr="001F63BA">
        <w:rPr>
          <w:rFonts w:ascii="GHEA Grapalat" w:hAnsi="GHEA Grapalat"/>
          <w:sz w:val="22"/>
          <w:szCs w:val="22"/>
          <w:lang w:val="en-US"/>
        </w:rPr>
        <w:t>անտառակառավարման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պլանները,</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2022 </w:t>
      </w:r>
      <w:r w:rsidRPr="001F63BA">
        <w:rPr>
          <w:rFonts w:ascii="GHEA Grapalat" w:hAnsi="GHEA Grapalat"/>
          <w:sz w:val="22"/>
          <w:szCs w:val="22"/>
          <w:lang w:val="en-US"/>
        </w:rPr>
        <w:t>թ</w:t>
      </w:r>
      <w:r w:rsidRPr="001F63BA">
        <w:rPr>
          <w:rFonts w:ascii="GHEA Grapalat" w:hAnsi="GHEA Grapalat"/>
          <w:sz w:val="22"/>
          <w:szCs w:val="22"/>
          <w:lang w:val="af-ZA"/>
        </w:rPr>
        <w:t xml:space="preserve">վականի </w:t>
      </w:r>
      <w:r w:rsidRPr="001F63BA">
        <w:rPr>
          <w:rFonts w:ascii="GHEA Grapalat" w:hAnsi="GHEA Grapalat"/>
          <w:sz w:val="22"/>
          <w:szCs w:val="22"/>
          <w:lang w:val="en-US"/>
        </w:rPr>
        <w:t>սեպտեմբերի</w:t>
      </w:r>
      <w:r w:rsidRPr="001F63BA">
        <w:rPr>
          <w:rFonts w:ascii="GHEA Grapalat" w:hAnsi="GHEA Grapalat"/>
          <w:sz w:val="22"/>
          <w:szCs w:val="22"/>
          <w:lang w:val="af-ZA"/>
        </w:rPr>
        <w:t xml:space="preserve"> 28-</w:t>
      </w:r>
      <w:r w:rsidRPr="001F63BA">
        <w:rPr>
          <w:rFonts w:ascii="GHEA Grapalat" w:hAnsi="GHEA Grapalat"/>
          <w:sz w:val="22"/>
          <w:szCs w:val="22"/>
          <w:lang w:val="en-US"/>
        </w:rPr>
        <w:t>ի</w:t>
      </w:r>
      <w:r w:rsidRPr="001F63BA">
        <w:rPr>
          <w:rFonts w:ascii="GHEA Grapalat" w:hAnsi="GHEA Grapalat"/>
          <w:sz w:val="22"/>
          <w:szCs w:val="22"/>
          <w:lang w:val="af-ZA"/>
        </w:rPr>
        <w:t xml:space="preserve"> N 337-</w:t>
      </w:r>
      <w:r w:rsidRPr="001F63BA">
        <w:rPr>
          <w:rFonts w:ascii="GHEA Grapalat" w:hAnsi="GHEA Grapalat"/>
          <w:sz w:val="22"/>
          <w:szCs w:val="22"/>
          <w:lang w:val="en-US"/>
        </w:rPr>
        <w:t>Լ</w:t>
      </w:r>
      <w:r w:rsidRPr="001F63BA">
        <w:rPr>
          <w:rFonts w:ascii="GHEA Grapalat" w:hAnsi="GHEA Grapalat"/>
          <w:sz w:val="22"/>
          <w:szCs w:val="22"/>
          <w:lang w:val="af-ZA"/>
        </w:rPr>
        <w:t xml:space="preserve"> </w:t>
      </w:r>
      <w:r w:rsidRPr="001F63BA">
        <w:rPr>
          <w:rFonts w:ascii="GHEA Grapalat" w:hAnsi="GHEA Grapalat"/>
          <w:sz w:val="22"/>
          <w:szCs w:val="22"/>
          <w:lang w:val="en-US"/>
        </w:rPr>
        <w:t>հրամանով</w:t>
      </w:r>
      <w:r w:rsidRPr="001F63BA">
        <w:rPr>
          <w:rFonts w:ascii="GHEA Grapalat" w:hAnsi="GHEA Grapalat"/>
          <w:sz w:val="22"/>
          <w:szCs w:val="22"/>
          <w:lang w:val="af-ZA"/>
        </w:rPr>
        <w:t xml:space="preserve"> </w:t>
      </w:r>
      <w:r w:rsidRPr="001F63BA">
        <w:rPr>
          <w:rFonts w:ascii="GHEA Grapalat" w:hAnsi="GHEA Grapalat"/>
          <w:sz w:val="22"/>
          <w:szCs w:val="22"/>
          <w:lang w:val="en-US"/>
        </w:rPr>
        <w:t>հաստատվել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Սևքարի</w:t>
      </w:r>
      <w:r w:rsidRPr="001F63BA">
        <w:rPr>
          <w:rFonts w:ascii="GHEA Grapalat" w:hAnsi="GHEA Grapalat"/>
          <w:sz w:val="22"/>
          <w:szCs w:val="22"/>
          <w:lang w:val="af-ZA"/>
        </w:rPr>
        <w:t xml:space="preserve"> </w:t>
      </w:r>
      <w:r w:rsidRPr="001F63BA">
        <w:rPr>
          <w:rFonts w:ascii="GHEA Grapalat" w:hAnsi="GHEA Grapalat"/>
          <w:sz w:val="22"/>
          <w:szCs w:val="22"/>
          <w:lang w:val="en-US"/>
        </w:rPr>
        <w:t>անտառտնտեսություն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մասնաճյուղի</w:t>
      </w:r>
      <w:r w:rsidRPr="001F63BA">
        <w:rPr>
          <w:rFonts w:ascii="GHEA Grapalat" w:hAnsi="GHEA Grapalat"/>
          <w:sz w:val="22"/>
          <w:szCs w:val="22"/>
          <w:lang w:val="af-ZA"/>
        </w:rPr>
        <w:t xml:space="preserve"> </w:t>
      </w:r>
      <w:r w:rsidRPr="001F63BA">
        <w:rPr>
          <w:rFonts w:ascii="GHEA Grapalat" w:hAnsi="GHEA Grapalat"/>
          <w:sz w:val="22"/>
          <w:szCs w:val="22"/>
          <w:lang w:val="en-US"/>
        </w:rPr>
        <w:t>անտառակառավարման</w:t>
      </w:r>
      <w:r w:rsidRPr="001F63BA">
        <w:rPr>
          <w:rFonts w:ascii="GHEA Grapalat" w:hAnsi="GHEA Grapalat"/>
          <w:sz w:val="22"/>
          <w:szCs w:val="22"/>
          <w:lang w:val="af-ZA"/>
        </w:rPr>
        <w:t xml:space="preserve"> </w:t>
      </w:r>
      <w:r w:rsidRPr="001F63BA">
        <w:rPr>
          <w:rFonts w:ascii="GHEA Grapalat" w:hAnsi="GHEA Grapalat"/>
          <w:sz w:val="22"/>
          <w:szCs w:val="22"/>
          <w:lang w:val="en-US"/>
        </w:rPr>
        <w:t>պլանը</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կառավարվող</w:t>
      </w:r>
      <w:r w:rsidRPr="001F63BA">
        <w:rPr>
          <w:rFonts w:ascii="GHEA Grapalat" w:hAnsi="GHEA Grapalat"/>
          <w:sz w:val="22"/>
          <w:szCs w:val="22"/>
          <w:lang w:val="af-ZA"/>
        </w:rPr>
        <w:t xml:space="preserve"> </w:t>
      </w:r>
      <w:r w:rsidRPr="001F63BA">
        <w:rPr>
          <w:rFonts w:ascii="GHEA Grapalat" w:hAnsi="GHEA Grapalat"/>
          <w:sz w:val="22"/>
          <w:szCs w:val="22"/>
          <w:lang w:val="en-US"/>
        </w:rPr>
        <w:t>անտառային</w:t>
      </w:r>
      <w:r w:rsidRPr="001F63BA">
        <w:rPr>
          <w:rFonts w:ascii="GHEA Grapalat" w:hAnsi="GHEA Grapalat"/>
          <w:sz w:val="22"/>
          <w:szCs w:val="22"/>
          <w:lang w:val="af-ZA"/>
        </w:rPr>
        <w:t xml:space="preserve"> </w:t>
      </w:r>
      <w:r w:rsidRPr="001F63BA">
        <w:rPr>
          <w:rFonts w:ascii="GHEA Grapalat" w:hAnsi="GHEA Grapalat"/>
          <w:sz w:val="22"/>
          <w:szCs w:val="22"/>
          <w:lang w:val="en-US"/>
        </w:rPr>
        <w:t>տարածքների</w:t>
      </w:r>
      <w:r w:rsidRPr="001F63BA">
        <w:rPr>
          <w:rFonts w:ascii="GHEA Grapalat" w:hAnsi="GHEA Grapalat"/>
          <w:sz w:val="22"/>
          <w:szCs w:val="22"/>
          <w:lang w:val="af-ZA"/>
        </w:rPr>
        <w:t xml:space="preserve"> 342.4 </w:t>
      </w:r>
      <w:r w:rsidRPr="001F63BA">
        <w:rPr>
          <w:rFonts w:ascii="GHEA Grapalat" w:hAnsi="GHEA Grapalat"/>
          <w:sz w:val="22"/>
          <w:szCs w:val="22"/>
          <w:lang w:val="en-US"/>
        </w:rPr>
        <w:t>հազ</w:t>
      </w:r>
      <w:r w:rsidRPr="001F63BA">
        <w:rPr>
          <w:rFonts w:ascii="GHEA Grapalat" w:hAnsi="GHEA Grapalat"/>
          <w:sz w:val="22"/>
          <w:szCs w:val="22"/>
          <w:lang w:val="af-ZA"/>
        </w:rPr>
        <w:t xml:space="preserve">. </w:t>
      </w:r>
      <w:r w:rsidRPr="001F63BA">
        <w:rPr>
          <w:rFonts w:ascii="GHEA Grapalat" w:hAnsi="GHEA Grapalat"/>
          <w:sz w:val="22"/>
          <w:szCs w:val="22"/>
          <w:lang w:val="en-US"/>
        </w:rPr>
        <w:t>հա</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պահպանություն</w:t>
      </w:r>
      <w:r w:rsidRPr="001F63BA">
        <w:rPr>
          <w:rFonts w:ascii="GHEA Grapalat" w:hAnsi="GHEA Grapalat"/>
          <w:sz w:val="22"/>
          <w:szCs w:val="22"/>
          <w:lang w:val="af-ZA"/>
        </w:rPr>
        <w:t>:</w:t>
      </w:r>
      <w:r w:rsidRPr="001F63BA">
        <w:rPr>
          <w:rFonts w:ascii="GHEA Grapalat" w:hAnsi="GHEA Grapalat"/>
          <w:sz w:val="22"/>
          <w:szCs w:val="22"/>
          <w:lang w:val="af-ZA"/>
        </w:rPr>
        <w:tab/>
      </w:r>
      <w:r w:rsidRPr="001F63BA">
        <w:rPr>
          <w:rFonts w:ascii="GHEA Grapalat" w:hAnsi="GHEA Grapalat"/>
          <w:i/>
          <w:sz w:val="22"/>
          <w:szCs w:val="22"/>
          <w:lang w:val="en-US"/>
        </w:rPr>
        <w:t>Անտառօգտագործում</w:t>
      </w:r>
      <w:r w:rsidRPr="001F63BA">
        <w:rPr>
          <w:rFonts w:ascii="GHEA Grapalat" w:hAnsi="GHEA Grapalat"/>
          <w:i/>
          <w:sz w:val="22"/>
          <w:szCs w:val="22"/>
          <w:lang w:val="af-ZA"/>
        </w:rPr>
        <w:t>:</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Հայանտառ</w:t>
      </w:r>
      <w:r w:rsidRPr="001F63BA">
        <w:rPr>
          <w:rFonts w:ascii="GHEA Grapalat" w:hAnsi="GHEA Grapalat"/>
          <w:sz w:val="22"/>
          <w:szCs w:val="22"/>
          <w:lang w:val="af-ZA"/>
        </w:rPr>
        <w:t xml:space="preserve">» </w:t>
      </w:r>
      <w:r w:rsidRPr="001F63BA">
        <w:rPr>
          <w:rFonts w:ascii="GHEA Grapalat" w:hAnsi="GHEA Grapalat"/>
          <w:sz w:val="22"/>
          <w:szCs w:val="22"/>
          <w:lang w:val="en-US"/>
        </w:rPr>
        <w:t>ՊՈԱԿ</w:t>
      </w:r>
      <w:r w:rsidRPr="001F63BA">
        <w:rPr>
          <w:rFonts w:ascii="GHEA Grapalat" w:hAnsi="GHEA Grapalat"/>
          <w:sz w:val="22"/>
          <w:szCs w:val="22"/>
          <w:lang w:val="af-ZA"/>
        </w:rPr>
        <w:t>-</w:t>
      </w:r>
      <w:r w:rsidRPr="001F63BA">
        <w:rPr>
          <w:rFonts w:ascii="GHEA Grapalat" w:hAnsi="GHEA Grapalat"/>
          <w:sz w:val="22"/>
          <w:szCs w:val="22"/>
          <w:lang w:val="en-US"/>
        </w:rPr>
        <w:t>ի</w:t>
      </w:r>
      <w:r w:rsidRPr="001F63BA">
        <w:rPr>
          <w:rFonts w:ascii="GHEA Grapalat" w:hAnsi="GHEA Grapalat"/>
          <w:sz w:val="22"/>
          <w:szCs w:val="22"/>
          <w:lang w:val="af-ZA"/>
        </w:rPr>
        <w:t xml:space="preserve"> </w:t>
      </w:r>
      <w:r w:rsidRPr="001F63BA">
        <w:rPr>
          <w:rFonts w:ascii="GHEA Grapalat" w:hAnsi="GHEA Grapalat"/>
          <w:sz w:val="22"/>
          <w:szCs w:val="22"/>
          <w:lang w:val="en-US"/>
        </w:rPr>
        <w:t>Անտառտնտեսություն</w:t>
      </w:r>
      <w:r w:rsidRPr="001F63BA">
        <w:rPr>
          <w:rFonts w:ascii="GHEA Grapalat" w:hAnsi="GHEA Grapalat"/>
          <w:sz w:val="22"/>
          <w:szCs w:val="22"/>
          <w:lang w:val="af-ZA"/>
        </w:rPr>
        <w:t xml:space="preserve">» </w:t>
      </w:r>
      <w:r w:rsidRPr="001F63BA">
        <w:rPr>
          <w:rFonts w:ascii="GHEA Grapalat" w:hAnsi="GHEA Grapalat"/>
          <w:sz w:val="22"/>
          <w:szCs w:val="22"/>
          <w:lang w:val="en-US"/>
        </w:rPr>
        <w:t>մասնաճյուղերի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ազգաբնակչությանը</w:t>
      </w:r>
      <w:r w:rsidRPr="001F63BA">
        <w:rPr>
          <w:rFonts w:ascii="GHEA Grapalat" w:hAnsi="GHEA Grapalat"/>
          <w:sz w:val="22"/>
          <w:szCs w:val="22"/>
          <w:lang w:val="af-ZA"/>
        </w:rPr>
        <w:t xml:space="preserve"> </w:t>
      </w:r>
      <w:r w:rsidRPr="001F63BA">
        <w:rPr>
          <w:rFonts w:ascii="GHEA Grapalat" w:hAnsi="GHEA Grapalat"/>
          <w:sz w:val="22"/>
          <w:szCs w:val="22"/>
          <w:lang w:val="en-US"/>
        </w:rPr>
        <w:t>տրամադրվել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80093.2 պահեստային մ</w:t>
      </w:r>
      <w:r w:rsidRPr="001F63BA">
        <w:rPr>
          <w:rFonts w:ascii="GHEA Grapalat" w:hAnsi="GHEA Grapalat"/>
          <w:sz w:val="22"/>
          <w:szCs w:val="22"/>
          <w:vertAlign w:val="superscript"/>
          <w:lang w:val="af-ZA"/>
        </w:rPr>
        <w:t>3</w:t>
      </w:r>
      <w:r w:rsidRPr="001F63BA">
        <w:rPr>
          <w:rFonts w:ascii="GHEA Grapalat" w:hAnsi="GHEA Grapalat"/>
          <w:sz w:val="22"/>
          <w:szCs w:val="22"/>
          <w:lang w:val="af-ZA"/>
        </w:rPr>
        <w:t xml:space="preserve"> </w:t>
      </w:r>
      <w:r w:rsidRPr="001F63BA">
        <w:rPr>
          <w:rFonts w:ascii="GHEA Grapalat" w:hAnsi="GHEA Grapalat"/>
          <w:sz w:val="22"/>
          <w:szCs w:val="22"/>
          <w:lang w:val="en-US"/>
        </w:rPr>
        <w:t>անվճար</w:t>
      </w:r>
      <w:r w:rsidRPr="001F63BA">
        <w:rPr>
          <w:rFonts w:ascii="GHEA Grapalat" w:hAnsi="GHEA Grapalat"/>
          <w:sz w:val="22"/>
          <w:szCs w:val="22"/>
          <w:lang w:val="af-ZA"/>
        </w:rPr>
        <w:t xml:space="preserve"> </w:t>
      </w:r>
      <w:r w:rsidRPr="001F63BA">
        <w:rPr>
          <w:rFonts w:ascii="GHEA Grapalat" w:hAnsi="GHEA Grapalat"/>
          <w:sz w:val="22"/>
          <w:szCs w:val="22"/>
          <w:lang w:val="en-US"/>
        </w:rPr>
        <w:t>թափուկ</w:t>
      </w:r>
      <w:r w:rsidRPr="001F63BA">
        <w:rPr>
          <w:rFonts w:ascii="GHEA Grapalat" w:hAnsi="GHEA Grapalat"/>
          <w:sz w:val="22"/>
          <w:szCs w:val="22"/>
          <w:lang w:val="af-ZA"/>
        </w:rPr>
        <w:t xml:space="preserve"> </w:t>
      </w:r>
      <w:r w:rsidRPr="001F63BA">
        <w:rPr>
          <w:rFonts w:ascii="GHEA Grapalat" w:hAnsi="GHEA Grapalat"/>
          <w:sz w:val="22"/>
          <w:szCs w:val="22"/>
          <w:lang w:val="en-US"/>
        </w:rPr>
        <w:t>վառելափայտ</w:t>
      </w:r>
      <w:r w:rsidRPr="001F63BA">
        <w:rPr>
          <w:rFonts w:ascii="GHEA Grapalat" w:hAnsi="GHEA Grapalat"/>
          <w:sz w:val="22"/>
          <w:szCs w:val="22"/>
          <w:lang w:val="af-ZA"/>
        </w:rPr>
        <w:t>:</w:t>
      </w:r>
    </w:p>
    <w:p w:rsidR="001C411D" w:rsidRPr="001F63BA" w:rsidRDefault="001C411D" w:rsidP="00192362">
      <w:pPr>
        <w:spacing w:line="360" w:lineRule="auto"/>
        <w:ind w:firstLine="567"/>
        <w:jc w:val="both"/>
        <w:rPr>
          <w:rFonts w:ascii="GHEA Grapalat" w:hAnsi="GHEA Grapalat"/>
          <w:sz w:val="22"/>
          <w:szCs w:val="22"/>
          <w:lang w:val="af-ZA"/>
        </w:rPr>
      </w:pPr>
    </w:p>
    <w:p w:rsidR="001C411D" w:rsidRPr="001F63BA" w:rsidRDefault="001C411D" w:rsidP="00461880">
      <w:pPr>
        <w:spacing w:line="360" w:lineRule="auto"/>
        <w:ind w:left="567"/>
        <w:jc w:val="both"/>
        <w:rPr>
          <w:rFonts w:ascii="GHEA Grapalat" w:hAnsi="GHEA Grapalat"/>
          <w:sz w:val="22"/>
          <w:szCs w:val="22"/>
          <w:u w:val="single"/>
          <w:lang w:val="af-ZA"/>
        </w:rPr>
      </w:pPr>
      <w:r w:rsidRPr="001F63BA">
        <w:rPr>
          <w:rFonts w:ascii="GHEA Grapalat" w:hAnsi="GHEA Grapalat"/>
          <w:sz w:val="22"/>
          <w:szCs w:val="22"/>
          <w:u w:val="single"/>
          <w:lang w:val="en-US"/>
        </w:rPr>
        <w:t>Բնագիտական</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նմուշների</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պահպանության</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և</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ցուցադրության</w:t>
      </w:r>
      <w:r w:rsidRPr="001F63BA">
        <w:rPr>
          <w:rFonts w:ascii="GHEA Grapalat" w:hAnsi="GHEA Grapalat"/>
          <w:sz w:val="22"/>
          <w:szCs w:val="22"/>
          <w:u w:val="single"/>
          <w:lang w:val="af-ZA"/>
        </w:rPr>
        <w:t xml:space="preserve"> </w:t>
      </w:r>
      <w:r w:rsidRPr="001F63BA">
        <w:rPr>
          <w:rFonts w:ascii="GHEA Grapalat" w:hAnsi="GHEA Grapalat"/>
          <w:sz w:val="22"/>
          <w:szCs w:val="22"/>
          <w:u w:val="single"/>
          <w:lang w:val="en-US"/>
        </w:rPr>
        <w:t>բնագավառ</w:t>
      </w:r>
    </w:p>
    <w:p w:rsidR="001C411D" w:rsidRPr="001F63BA" w:rsidRDefault="001C411D" w:rsidP="00461880">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թանգարանի</w:t>
      </w:r>
      <w:r w:rsidRPr="001F63BA">
        <w:rPr>
          <w:rFonts w:ascii="GHEA Grapalat" w:hAnsi="GHEA Grapalat"/>
          <w:sz w:val="22"/>
          <w:szCs w:val="22"/>
          <w:lang w:val="af-ZA"/>
        </w:rPr>
        <w:t xml:space="preserve"> </w:t>
      </w:r>
      <w:r w:rsidRPr="001F63BA">
        <w:rPr>
          <w:rFonts w:ascii="GHEA Grapalat" w:hAnsi="GHEA Grapalat"/>
          <w:sz w:val="22"/>
          <w:szCs w:val="22"/>
          <w:lang w:val="en-US"/>
        </w:rPr>
        <w:t>կողմից</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թանգարանի</w:t>
      </w:r>
      <w:r w:rsidRPr="001F63BA">
        <w:rPr>
          <w:rFonts w:ascii="GHEA Grapalat" w:hAnsi="GHEA Grapalat"/>
          <w:sz w:val="22"/>
          <w:szCs w:val="22"/>
          <w:lang w:val="af-ZA"/>
        </w:rPr>
        <w:t xml:space="preserve"> </w:t>
      </w:r>
      <w:r w:rsidRPr="001F63BA">
        <w:rPr>
          <w:rFonts w:ascii="GHEA Grapalat" w:hAnsi="GHEA Grapalat"/>
          <w:sz w:val="22"/>
          <w:szCs w:val="22"/>
          <w:lang w:val="en-US"/>
        </w:rPr>
        <w:t>մշտական</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ժամանակավոր</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պահպանությանը</w:t>
      </w:r>
      <w:r w:rsidRPr="001F63BA">
        <w:rPr>
          <w:rFonts w:ascii="GHEA Grapalat" w:hAnsi="GHEA Grapalat"/>
          <w:sz w:val="22"/>
          <w:szCs w:val="22"/>
          <w:lang w:val="af-ZA"/>
        </w:rPr>
        <w:t xml:space="preserve"> </w:t>
      </w:r>
      <w:r w:rsidRPr="001F63BA">
        <w:rPr>
          <w:rFonts w:ascii="GHEA Grapalat" w:hAnsi="GHEA Grapalat"/>
          <w:sz w:val="22"/>
          <w:szCs w:val="22"/>
          <w:lang w:val="en-US"/>
        </w:rPr>
        <w:t>հանձնված</w:t>
      </w:r>
      <w:r w:rsidRPr="001F63BA">
        <w:rPr>
          <w:rFonts w:ascii="GHEA Grapalat" w:hAnsi="GHEA Grapalat"/>
          <w:sz w:val="22"/>
          <w:szCs w:val="22"/>
          <w:lang w:val="af-ZA"/>
        </w:rPr>
        <w:t xml:space="preserve"> 6730 </w:t>
      </w:r>
      <w:r w:rsidRPr="001F63BA">
        <w:rPr>
          <w:rFonts w:ascii="GHEA Grapalat" w:hAnsi="GHEA Grapalat"/>
          <w:sz w:val="22"/>
          <w:szCs w:val="22"/>
          <w:lang w:val="en-US"/>
        </w:rPr>
        <w:t>նմուշների</w:t>
      </w:r>
      <w:r w:rsidRPr="001F63BA">
        <w:rPr>
          <w:rFonts w:ascii="GHEA Grapalat" w:hAnsi="GHEA Grapalat"/>
          <w:sz w:val="22"/>
          <w:szCs w:val="22"/>
          <w:lang w:val="af-ZA"/>
        </w:rPr>
        <w:t xml:space="preserve"> </w:t>
      </w:r>
      <w:r w:rsidRPr="001F63BA">
        <w:rPr>
          <w:rFonts w:ascii="GHEA Grapalat" w:hAnsi="GHEA Grapalat"/>
          <w:sz w:val="22"/>
          <w:szCs w:val="22"/>
          <w:lang w:val="en-US"/>
        </w:rPr>
        <w:t>հաշվառումն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պահպանումը</w:t>
      </w:r>
      <w:r w:rsidRPr="001F63BA">
        <w:rPr>
          <w:rFonts w:ascii="GHEA Grapalat" w:hAnsi="GHEA Grapalat"/>
          <w:sz w:val="22"/>
          <w:szCs w:val="22"/>
          <w:lang w:val="af-ZA"/>
        </w:rPr>
        <w:t xml:space="preserve">, </w:t>
      </w:r>
      <w:r w:rsidRPr="001F63BA">
        <w:rPr>
          <w:rFonts w:ascii="GHEA Grapalat" w:hAnsi="GHEA Grapalat"/>
          <w:sz w:val="22"/>
          <w:szCs w:val="22"/>
          <w:lang w:val="en-US"/>
        </w:rPr>
        <w:t>թանգարանային</w:t>
      </w:r>
      <w:r w:rsidRPr="001F63BA">
        <w:rPr>
          <w:rFonts w:ascii="GHEA Grapalat" w:hAnsi="GHEA Grapalat"/>
          <w:sz w:val="22"/>
          <w:szCs w:val="22"/>
          <w:lang w:val="af-ZA"/>
        </w:rPr>
        <w:t xml:space="preserve"> </w:t>
      </w:r>
      <w:r w:rsidRPr="001F63BA">
        <w:rPr>
          <w:rFonts w:ascii="GHEA Grapalat" w:hAnsi="GHEA Grapalat"/>
          <w:sz w:val="22"/>
          <w:szCs w:val="22"/>
          <w:lang w:val="en-US"/>
        </w:rPr>
        <w:t>առարկաների</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թանգարանային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հավաքածուների</w:t>
      </w:r>
      <w:r w:rsidRPr="001F63BA">
        <w:rPr>
          <w:rFonts w:ascii="GHEA Grapalat" w:hAnsi="GHEA Grapalat"/>
          <w:sz w:val="22"/>
          <w:szCs w:val="22"/>
          <w:lang w:val="af-ZA"/>
        </w:rPr>
        <w:t xml:space="preserve"> </w:t>
      </w:r>
      <w:r w:rsidRPr="001F63BA">
        <w:rPr>
          <w:rFonts w:ascii="GHEA Grapalat" w:hAnsi="GHEA Grapalat"/>
          <w:sz w:val="22"/>
          <w:szCs w:val="22"/>
          <w:lang w:val="en-US"/>
        </w:rPr>
        <w:t>մշտական</w:t>
      </w:r>
      <w:r w:rsidRPr="001F63BA">
        <w:rPr>
          <w:rFonts w:ascii="GHEA Grapalat" w:hAnsi="GHEA Grapalat"/>
          <w:sz w:val="22"/>
          <w:szCs w:val="22"/>
          <w:lang w:val="af-ZA"/>
        </w:rPr>
        <w:t xml:space="preserve"> </w:t>
      </w:r>
      <w:r w:rsidRPr="001F63BA">
        <w:rPr>
          <w:rFonts w:ascii="GHEA Grapalat" w:hAnsi="GHEA Grapalat"/>
          <w:sz w:val="22"/>
          <w:szCs w:val="22"/>
          <w:lang w:val="en-US"/>
        </w:rPr>
        <w:t>ու</w:t>
      </w:r>
      <w:r w:rsidRPr="001F63BA">
        <w:rPr>
          <w:rFonts w:ascii="GHEA Grapalat" w:hAnsi="GHEA Grapalat"/>
          <w:sz w:val="22"/>
          <w:szCs w:val="22"/>
          <w:lang w:val="af-ZA"/>
        </w:rPr>
        <w:t xml:space="preserve"> </w:t>
      </w:r>
      <w:r w:rsidRPr="001F63BA">
        <w:rPr>
          <w:rFonts w:ascii="GHEA Grapalat" w:hAnsi="GHEA Grapalat"/>
          <w:sz w:val="22"/>
          <w:szCs w:val="22"/>
          <w:lang w:val="en-US"/>
        </w:rPr>
        <w:t>ժամանակավոր</w:t>
      </w:r>
      <w:r w:rsidRPr="001F63BA">
        <w:rPr>
          <w:rFonts w:ascii="GHEA Grapalat" w:hAnsi="GHEA Grapalat"/>
          <w:sz w:val="22"/>
          <w:szCs w:val="22"/>
          <w:lang w:val="af-ZA"/>
        </w:rPr>
        <w:t xml:space="preserve"> </w:t>
      </w:r>
      <w:r w:rsidRPr="001F63BA">
        <w:rPr>
          <w:rFonts w:ascii="GHEA Grapalat" w:hAnsi="GHEA Grapalat"/>
          <w:sz w:val="22"/>
          <w:szCs w:val="22"/>
          <w:lang w:val="en-US"/>
        </w:rPr>
        <w:t>հանրային</w:t>
      </w:r>
      <w:r w:rsidRPr="001F63BA">
        <w:rPr>
          <w:rFonts w:ascii="GHEA Grapalat" w:hAnsi="GHEA Grapalat"/>
          <w:sz w:val="22"/>
          <w:szCs w:val="22"/>
          <w:lang w:val="af-ZA"/>
        </w:rPr>
        <w:t xml:space="preserve"> </w:t>
      </w:r>
      <w:r w:rsidRPr="001F63BA">
        <w:rPr>
          <w:rFonts w:ascii="GHEA Grapalat" w:hAnsi="GHEA Grapalat"/>
          <w:sz w:val="22"/>
          <w:szCs w:val="22"/>
          <w:lang w:val="en-US"/>
        </w:rPr>
        <w:t>ցուցադրումը</w:t>
      </w:r>
      <w:r w:rsidRPr="001F63BA">
        <w:rPr>
          <w:rFonts w:ascii="GHEA Grapalat" w:hAnsi="GHEA Grapalat"/>
          <w:sz w:val="22"/>
          <w:szCs w:val="22"/>
          <w:lang w:val="af-ZA"/>
        </w:rPr>
        <w:t xml:space="preserve">: 2022 </w:t>
      </w:r>
      <w:r w:rsidRPr="001F63BA">
        <w:rPr>
          <w:rFonts w:ascii="GHEA Grapalat" w:hAnsi="GHEA Grapalat"/>
          <w:sz w:val="22"/>
          <w:szCs w:val="22"/>
          <w:lang w:val="en-US"/>
        </w:rPr>
        <w:t>թվականի</w:t>
      </w:r>
      <w:r w:rsidRPr="001F63BA">
        <w:rPr>
          <w:rFonts w:ascii="GHEA Grapalat" w:hAnsi="GHEA Grapalat"/>
          <w:sz w:val="22"/>
          <w:szCs w:val="22"/>
          <w:lang w:val="af-ZA"/>
        </w:rPr>
        <w:t xml:space="preserve"> </w:t>
      </w:r>
      <w:r w:rsidRPr="001F63BA">
        <w:rPr>
          <w:rFonts w:ascii="GHEA Grapalat" w:hAnsi="GHEA Grapalat"/>
          <w:sz w:val="22"/>
          <w:szCs w:val="22"/>
          <w:lang w:val="en-US"/>
        </w:rPr>
        <w:t>ծրագրով</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2 </w:t>
      </w:r>
      <w:r w:rsidRPr="001F63BA">
        <w:rPr>
          <w:rFonts w:ascii="GHEA Grapalat" w:hAnsi="GHEA Grapalat"/>
          <w:sz w:val="22"/>
          <w:szCs w:val="22"/>
          <w:lang w:val="en-US"/>
        </w:rPr>
        <w:t>գիտարշավներ</w:t>
      </w:r>
      <w:r w:rsidRPr="001F63BA">
        <w:rPr>
          <w:rFonts w:ascii="GHEA Grapalat" w:hAnsi="GHEA Grapalat"/>
          <w:sz w:val="22"/>
          <w:szCs w:val="22"/>
          <w:lang w:val="af-ZA"/>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af-ZA"/>
        </w:rPr>
        <w:t xml:space="preserve"> </w:t>
      </w:r>
      <w:r w:rsidRPr="001F63BA">
        <w:rPr>
          <w:rFonts w:ascii="GHEA Grapalat" w:hAnsi="GHEA Grapalat"/>
          <w:sz w:val="22"/>
          <w:szCs w:val="22"/>
          <w:lang w:val="en-US"/>
        </w:rPr>
        <w:t>ֆոնդը</w:t>
      </w:r>
      <w:r w:rsidRPr="001F63BA">
        <w:rPr>
          <w:rFonts w:ascii="GHEA Grapalat" w:hAnsi="GHEA Grapalat"/>
          <w:sz w:val="22"/>
          <w:szCs w:val="22"/>
          <w:lang w:val="af-ZA"/>
        </w:rPr>
        <w:t xml:space="preserve"> </w:t>
      </w:r>
      <w:r w:rsidRPr="001F63BA">
        <w:rPr>
          <w:rFonts w:ascii="GHEA Grapalat" w:hAnsi="GHEA Grapalat"/>
          <w:sz w:val="22"/>
          <w:szCs w:val="22"/>
          <w:lang w:val="en-US"/>
        </w:rPr>
        <w:t>համալրվել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թվով</w:t>
      </w:r>
      <w:r w:rsidRPr="001F63BA">
        <w:rPr>
          <w:rFonts w:ascii="GHEA Grapalat" w:hAnsi="GHEA Grapalat"/>
          <w:sz w:val="22"/>
          <w:szCs w:val="22"/>
          <w:lang w:val="af-ZA"/>
        </w:rPr>
        <w:t xml:space="preserve"> 20 </w:t>
      </w:r>
      <w:r w:rsidRPr="001F63BA">
        <w:rPr>
          <w:rFonts w:ascii="GHEA Grapalat" w:hAnsi="GHEA Grapalat"/>
          <w:sz w:val="22"/>
          <w:szCs w:val="22"/>
          <w:lang w:val="en-US"/>
        </w:rPr>
        <w:t>ցուցանմուշով</w:t>
      </w:r>
      <w:r w:rsidRPr="001F63BA">
        <w:rPr>
          <w:rFonts w:ascii="GHEA Grapalat" w:hAnsi="GHEA Grapalat"/>
          <w:sz w:val="22"/>
          <w:szCs w:val="22"/>
          <w:lang w:val="af-ZA"/>
        </w:rPr>
        <w:t>, h</w:t>
      </w:r>
      <w:r w:rsidRPr="001F63BA">
        <w:rPr>
          <w:rFonts w:ascii="GHEA Grapalat" w:hAnsi="GHEA Grapalat"/>
          <w:sz w:val="22"/>
          <w:szCs w:val="22"/>
          <w:lang w:val="en-US"/>
        </w:rPr>
        <w:t>ամալրված</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ցուցանմուշները</w:t>
      </w:r>
      <w:r w:rsidRPr="001F63BA">
        <w:rPr>
          <w:rFonts w:ascii="GHEA Grapalat" w:hAnsi="GHEA Grapalat"/>
          <w:sz w:val="22"/>
          <w:szCs w:val="22"/>
          <w:lang w:val="af-ZA"/>
        </w:rPr>
        <w:t xml:space="preserve"> </w:t>
      </w:r>
      <w:r w:rsidRPr="001F63BA">
        <w:rPr>
          <w:rFonts w:ascii="GHEA Grapalat" w:hAnsi="GHEA Grapalat"/>
          <w:sz w:val="22"/>
          <w:szCs w:val="22"/>
          <w:lang w:val="en-US"/>
        </w:rPr>
        <w:t>անձնագրավորվել</w:t>
      </w:r>
      <w:r w:rsidRPr="001F63BA">
        <w:rPr>
          <w:rFonts w:ascii="GHEA Grapalat" w:hAnsi="GHEA Grapalat"/>
          <w:sz w:val="22"/>
          <w:szCs w:val="22"/>
          <w:lang w:val="af-ZA"/>
        </w:rPr>
        <w:t xml:space="preserve">, </w:t>
      </w:r>
      <w:r w:rsidRPr="001F63BA">
        <w:rPr>
          <w:rFonts w:ascii="GHEA Grapalat" w:hAnsi="GHEA Grapalat"/>
          <w:sz w:val="22"/>
          <w:szCs w:val="22"/>
          <w:lang w:val="en-US"/>
        </w:rPr>
        <w:t>քարտագրավորվել</w:t>
      </w:r>
      <w:r w:rsidRPr="001F63BA">
        <w:rPr>
          <w:rFonts w:ascii="GHEA Grapalat" w:hAnsi="GHEA Grapalat"/>
          <w:sz w:val="22"/>
          <w:szCs w:val="22"/>
          <w:lang w:val="af-ZA"/>
        </w:rPr>
        <w:t xml:space="preserve">, </w:t>
      </w:r>
      <w:r w:rsidRPr="001F63BA">
        <w:rPr>
          <w:rFonts w:ascii="GHEA Grapalat" w:hAnsi="GHEA Grapalat"/>
          <w:sz w:val="22"/>
          <w:szCs w:val="22"/>
          <w:lang w:val="en-US"/>
        </w:rPr>
        <w:t>պիտակագրավորվել</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լուսանկարահանվել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մշտական</w:t>
      </w:r>
      <w:r w:rsidRPr="001F63BA">
        <w:rPr>
          <w:rFonts w:ascii="GHEA Grapalat" w:hAnsi="GHEA Grapalat"/>
          <w:sz w:val="22"/>
          <w:szCs w:val="22"/>
          <w:lang w:val="af-ZA"/>
        </w:rPr>
        <w:t xml:space="preserve"> </w:t>
      </w:r>
      <w:r w:rsidRPr="001F63BA">
        <w:rPr>
          <w:rFonts w:ascii="GHEA Grapalat" w:hAnsi="GHEA Grapalat"/>
          <w:sz w:val="22"/>
          <w:szCs w:val="22"/>
          <w:lang w:val="en-US"/>
        </w:rPr>
        <w:t>ցուցադրությունը</w:t>
      </w:r>
      <w:r w:rsidRPr="001F63BA">
        <w:rPr>
          <w:rFonts w:ascii="GHEA Grapalat" w:hAnsi="GHEA Grapalat"/>
          <w:sz w:val="22"/>
          <w:szCs w:val="22"/>
          <w:lang w:val="af-ZA"/>
        </w:rPr>
        <w:t xml:space="preserve"> </w:t>
      </w:r>
      <w:r w:rsidRPr="001F63BA">
        <w:rPr>
          <w:rFonts w:ascii="GHEA Grapalat" w:hAnsi="GHEA Grapalat"/>
          <w:sz w:val="22"/>
          <w:szCs w:val="22"/>
          <w:lang w:val="en-US"/>
        </w:rPr>
        <w:t>համալրել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10 </w:t>
      </w:r>
      <w:r w:rsidRPr="001F63BA">
        <w:rPr>
          <w:rFonts w:ascii="GHEA Grapalat" w:hAnsi="GHEA Grapalat"/>
          <w:sz w:val="22"/>
          <w:szCs w:val="22"/>
          <w:lang w:val="en-US"/>
        </w:rPr>
        <w:t>ցուցանմուշով</w:t>
      </w:r>
      <w:r w:rsidRPr="001F63BA">
        <w:rPr>
          <w:rFonts w:ascii="GHEA Grapalat" w:hAnsi="GHEA Grapalat"/>
          <w:sz w:val="22"/>
          <w:szCs w:val="22"/>
          <w:lang w:val="af-ZA"/>
        </w:rPr>
        <w:t xml:space="preserve">, </w:t>
      </w:r>
      <w:r w:rsidRPr="001F63BA">
        <w:rPr>
          <w:rFonts w:ascii="GHEA Grapalat" w:hAnsi="GHEA Grapalat"/>
          <w:sz w:val="22"/>
          <w:szCs w:val="22"/>
          <w:lang w:val="en-US"/>
        </w:rPr>
        <w:t>թանգարանի</w:t>
      </w:r>
      <w:r w:rsidRPr="001F63BA">
        <w:rPr>
          <w:rFonts w:ascii="GHEA Grapalat" w:hAnsi="GHEA Grapalat"/>
          <w:sz w:val="22"/>
          <w:szCs w:val="22"/>
          <w:lang w:val="af-ZA"/>
        </w:rPr>
        <w:t xml:space="preserve"> </w:t>
      </w:r>
      <w:r w:rsidRPr="001F63BA">
        <w:rPr>
          <w:rFonts w:ascii="GHEA Grapalat" w:hAnsi="GHEA Grapalat"/>
          <w:sz w:val="22"/>
          <w:szCs w:val="22"/>
          <w:lang w:val="en-US"/>
        </w:rPr>
        <w:t>երրորդ</w:t>
      </w:r>
      <w:r w:rsidRPr="001F63BA">
        <w:rPr>
          <w:rFonts w:ascii="GHEA Grapalat" w:hAnsi="GHEA Grapalat"/>
          <w:sz w:val="22"/>
          <w:szCs w:val="22"/>
          <w:lang w:val="af-ZA"/>
        </w:rPr>
        <w:t xml:space="preserve"> </w:t>
      </w:r>
      <w:r w:rsidRPr="001F63BA">
        <w:rPr>
          <w:rFonts w:ascii="GHEA Grapalat" w:hAnsi="GHEA Grapalat"/>
          <w:sz w:val="22"/>
          <w:szCs w:val="22"/>
          <w:lang w:val="en-US"/>
        </w:rPr>
        <w:t>սրահում</w:t>
      </w:r>
      <w:r w:rsidRPr="001F63BA">
        <w:rPr>
          <w:rFonts w:ascii="GHEA Grapalat" w:hAnsi="GHEA Grapalat"/>
          <w:sz w:val="22"/>
          <w:szCs w:val="22"/>
          <w:lang w:val="af-ZA"/>
        </w:rPr>
        <w:t xml:space="preserve"> </w:t>
      </w:r>
      <w:r w:rsidRPr="001F63BA">
        <w:rPr>
          <w:rFonts w:ascii="GHEA Grapalat" w:hAnsi="GHEA Grapalat"/>
          <w:sz w:val="22"/>
          <w:szCs w:val="22"/>
          <w:lang w:val="en-US"/>
        </w:rPr>
        <w:t>ներկայացված</w:t>
      </w:r>
      <w:r w:rsidRPr="001F63BA">
        <w:rPr>
          <w:rFonts w:ascii="GHEA Grapalat" w:hAnsi="GHEA Grapalat"/>
          <w:sz w:val="22"/>
          <w:szCs w:val="22"/>
          <w:lang w:val="af-ZA"/>
        </w:rPr>
        <w:t xml:space="preserve"> </w:t>
      </w:r>
      <w:r w:rsidRPr="001F63BA">
        <w:rPr>
          <w:rFonts w:ascii="GHEA Grapalat" w:hAnsi="GHEA Grapalat"/>
          <w:sz w:val="22"/>
          <w:szCs w:val="22"/>
          <w:lang w:val="en-US"/>
        </w:rPr>
        <w:t>բոլոր</w:t>
      </w:r>
      <w:r w:rsidRPr="001F63BA">
        <w:rPr>
          <w:rFonts w:ascii="GHEA Grapalat" w:hAnsi="GHEA Grapalat"/>
          <w:sz w:val="22"/>
          <w:szCs w:val="22"/>
          <w:lang w:val="af-ZA"/>
        </w:rPr>
        <w:t xml:space="preserve"> </w:t>
      </w:r>
      <w:r w:rsidRPr="001F63BA">
        <w:rPr>
          <w:rFonts w:ascii="GHEA Grapalat" w:hAnsi="GHEA Grapalat"/>
          <w:sz w:val="22"/>
          <w:szCs w:val="22"/>
          <w:lang w:val="en-US"/>
        </w:rPr>
        <w:t>դիոռամաները</w:t>
      </w:r>
      <w:r w:rsidRPr="001F63BA">
        <w:rPr>
          <w:rFonts w:ascii="GHEA Grapalat" w:hAnsi="GHEA Grapalat"/>
          <w:sz w:val="22"/>
          <w:szCs w:val="22"/>
          <w:lang w:val="af-ZA"/>
        </w:rPr>
        <w:t xml:space="preserve"> </w:t>
      </w:r>
      <w:r w:rsidRPr="001F63BA">
        <w:rPr>
          <w:rFonts w:ascii="GHEA Grapalat" w:hAnsi="GHEA Grapalat"/>
          <w:sz w:val="22"/>
          <w:szCs w:val="22"/>
          <w:lang w:val="en-US"/>
        </w:rPr>
        <w:t>ձևափոխվել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w:t>
      </w:r>
      <w:r w:rsidRPr="001F63BA">
        <w:rPr>
          <w:rFonts w:ascii="GHEA Grapalat" w:hAnsi="GHEA Grapalat"/>
          <w:sz w:val="22"/>
          <w:szCs w:val="22"/>
          <w:lang w:val="en-US"/>
        </w:rPr>
        <w:t>համապատասխանեցնելով</w:t>
      </w:r>
      <w:r w:rsidRPr="001F63BA">
        <w:rPr>
          <w:rFonts w:ascii="GHEA Grapalat" w:hAnsi="GHEA Grapalat"/>
          <w:sz w:val="22"/>
          <w:szCs w:val="22"/>
          <w:lang w:val="af-ZA"/>
        </w:rPr>
        <w:t xml:space="preserve"> </w:t>
      </w:r>
      <w:r w:rsidRPr="001F63BA">
        <w:rPr>
          <w:rFonts w:ascii="GHEA Grapalat" w:hAnsi="GHEA Grapalat"/>
          <w:sz w:val="22"/>
          <w:szCs w:val="22"/>
          <w:lang w:val="en-US"/>
        </w:rPr>
        <w:t>միջազգային</w:t>
      </w:r>
      <w:r w:rsidRPr="001F63BA">
        <w:rPr>
          <w:rFonts w:ascii="GHEA Grapalat" w:hAnsi="GHEA Grapalat"/>
          <w:sz w:val="22"/>
          <w:szCs w:val="22"/>
          <w:lang w:val="af-ZA"/>
        </w:rPr>
        <w:t xml:space="preserve"> </w:t>
      </w:r>
      <w:r w:rsidRPr="001F63BA">
        <w:rPr>
          <w:rFonts w:ascii="GHEA Grapalat" w:hAnsi="GHEA Grapalat"/>
          <w:sz w:val="22"/>
          <w:szCs w:val="22"/>
          <w:lang w:val="en-US"/>
        </w:rPr>
        <w:t>չափանիշներին՝</w:t>
      </w:r>
      <w:r w:rsidRPr="001F63BA">
        <w:rPr>
          <w:rFonts w:ascii="GHEA Grapalat" w:hAnsi="GHEA Grapalat"/>
          <w:sz w:val="22"/>
          <w:szCs w:val="22"/>
          <w:lang w:val="af-ZA"/>
        </w:rPr>
        <w:t xml:space="preserve"> </w:t>
      </w:r>
      <w:r w:rsidRPr="001F63BA">
        <w:rPr>
          <w:rFonts w:ascii="GHEA Grapalat" w:hAnsi="GHEA Grapalat"/>
          <w:sz w:val="22"/>
          <w:szCs w:val="22"/>
          <w:lang w:val="en-US"/>
        </w:rPr>
        <w:t>ապահովելով</w:t>
      </w:r>
      <w:r w:rsidRPr="001F63BA">
        <w:rPr>
          <w:rFonts w:ascii="GHEA Grapalat" w:hAnsi="GHEA Grapalat"/>
          <w:sz w:val="22"/>
          <w:szCs w:val="22"/>
          <w:lang w:val="af-ZA"/>
        </w:rPr>
        <w:t xml:space="preserve"> </w:t>
      </w:r>
      <w:r w:rsidRPr="001F63BA">
        <w:rPr>
          <w:rFonts w:ascii="GHEA Grapalat" w:hAnsi="GHEA Grapalat"/>
          <w:sz w:val="22"/>
          <w:szCs w:val="22"/>
          <w:lang w:val="en-US"/>
        </w:rPr>
        <w:t>բնական</w:t>
      </w:r>
      <w:r w:rsidRPr="001F63BA">
        <w:rPr>
          <w:rFonts w:ascii="GHEA Grapalat" w:hAnsi="GHEA Grapalat"/>
          <w:sz w:val="22"/>
          <w:szCs w:val="22"/>
          <w:lang w:val="af-ZA"/>
        </w:rPr>
        <w:t xml:space="preserve"> </w:t>
      </w:r>
      <w:r w:rsidRPr="001F63BA">
        <w:rPr>
          <w:rFonts w:ascii="GHEA Grapalat" w:hAnsi="GHEA Grapalat"/>
          <w:sz w:val="22"/>
          <w:szCs w:val="22"/>
          <w:lang w:val="en-US"/>
        </w:rPr>
        <w:t>միջավայր:</w:t>
      </w:r>
    </w:p>
    <w:p w:rsidR="001C411D" w:rsidRPr="001F63BA" w:rsidRDefault="001C411D" w:rsidP="00461880">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Վերանորոգման</w:t>
      </w:r>
      <w:r w:rsidRPr="001F63BA">
        <w:rPr>
          <w:rFonts w:ascii="GHEA Grapalat" w:hAnsi="GHEA Grapalat"/>
          <w:sz w:val="22"/>
          <w:szCs w:val="22"/>
          <w:lang w:val="af-ZA"/>
        </w:rPr>
        <w:t xml:space="preserve"> </w:t>
      </w:r>
      <w:r w:rsidRPr="001F63BA">
        <w:rPr>
          <w:rFonts w:ascii="GHEA Grapalat" w:hAnsi="GHEA Grapalat"/>
          <w:sz w:val="22"/>
          <w:szCs w:val="22"/>
          <w:lang w:val="en-US"/>
        </w:rPr>
        <w:t>մաշկաքանդակագործական</w:t>
      </w:r>
      <w:r w:rsidRPr="001F63BA">
        <w:rPr>
          <w:rFonts w:ascii="GHEA Grapalat" w:hAnsi="GHEA Grapalat"/>
          <w:sz w:val="22"/>
          <w:szCs w:val="22"/>
          <w:lang w:val="af-ZA"/>
        </w:rPr>
        <w:t xml:space="preserve"> </w:t>
      </w:r>
      <w:r w:rsidRPr="001F63BA">
        <w:rPr>
          <w:rFonts w:ascii="GHEA Grapalat" w:hAnsi="GHEA Grapalat"/>
          <w:sz w:val="22"/>
          <w:szCs w:val="22"/>
          <w:lang w:val="en-US"/>
        </w:rPr>
        <w:t>արհեստանոցում</w:t>
      </w:r>
      <w:r w:rsidRPr="001F63BA">
        <w:rPr>
          <w:rFonts w:ascii="GHEA Grapalat" w:hAnsi="GHEA Grapalat"/>
          <w:sz w:val="22"/>
          <w:szCs w:val="22"/>
          <w:lang w:val="af-ZA"/>
        </w:rPr>
        <w:t xml:space="preserve"> </w:t>
      </w:r>
      <w:r w:rsidRPr="001F63BA">
        <w:rPr>
          <w:rFonts w:ascii="GHEA Grapalat" w:hAnsi="GHEA Grapalat"/>
          <w:sz w:val="22"/>
          <w:szCs w:val="22"/>
          <w:lang w:val="en-US"/>
        </w:rPr>
        <w:t>վերականգնվել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20 </w:t>
      </w:r>
      <w:r w:rsidRPr="001F63BA">
        <w:rPr>
          <w:rFonts w:ascii="GHEA Grapalat" w:hAnsi="GHEA Grapalat"/>
          <w:sz w:val="22"/>
          <w:szCs w:val="22"/>
          <w:lang w:val="en-US"/>
        </w:rPr>
        <w:t>ցուցանմուշ</w:t>
      </w:r>
      <w:r w:rsidRPr="001F63BA">
        <w:rPr>
          <w:rFonts w:ascii="GHEA Grapalat" w:hAnsi="GHEA Grapalat"/>
          <w:sz w:val="22"/>
          <w:szCs w:val="22"/>
          <w:lang w:val="af-ZA"/>
        </w:rPr>
        <w:t>:</w:t>
      </w:r>
    </w:p>
    <w:p w:rsidR="001C411D" w:rsidRPr="001F63BA" w:rsidRDefault="001C411D" w:rsidP="00461880">
      <w:pPr>
        <w:spacing w:line="360" w:lineRule="auto"/>
        <w:ind w:firstLine="567"/>
        <w:jc w:val="both"/>
        <w:rPr>
          <w:rFonts w:ascii="GHEA Grapalat" w:hAnsi="GHEA Grapalat"/>
          <w:sz w:val="22"/>
          <w:szCs w:val="22"/>
          <w:lang w:val="af-ZA"/>
        </w:rPr>
      </w:pPr>
      <w:r w:rsidRPr="001F63BA">
        <w:rPr>
          <w:rFonts w:ascii="GHEA Grapalat" w:hAnsi="GHEA Grapalat"/>
          <w:sz w:val="22"/>
          <w:szCs w:val="22"/>
          <w:lang w:val="en-US"/>
        </w:rPr>
        <w:t>Միջատների</w:t>
      </w:r>
      <w:r w:rsidRPr="001F63BA">
        <w:rPr>
          <w:rFonts w:ascii="GHEA Grapalat" w:hAnsi="GHEA Grapalat"/>
          <w:sz w:val="22"/>
          <w:szCs w:val="22"/>
          <w:lang w:val="af-ZA"/>
        </w:rPr>
        <w:t xml:space="preserve"> </w:t>
      </w:r>
      <w:r w:rsidRPr="001F63BA">
        <w:rPr>
          <w:rFonts w:ascii="GHEA Grapalat" w:hAnsi="GHEA Grapalat"/>
          <w:sz w:val="22"/>
          <w:szCs w:val="22"/>
          <w:lang w:val="en-US"/>
        </w:rPr>
        <w:t>դեմ</w:t>
      </w:r>
      <w:r w:rsidRPr="001F63BA">
        <w:rPr>
          <w:rFonts w:ascii="GHEA Grapalat" w:hAnsi="GHEA Grapalat"/>
          <w:sz w:val="22"/>
          <w:szCs w:val="22"/>
          <w:lang w:val="af-ZA"/>
        </w:rPr>
        <w:t xml:space="preserve"> </w:t>
      </w:r>
      <w:r w:rsidRPr="001F63BA">
        <w:rPr>
          <w:rFonts w:ascii="GHEA Grapalat" w:hAnsi="GHEA Grapalat"/>
          <w:sz w:val="22"/>
          <w:szCs w:val="22"/>
          <w:lang w:val="en-US"/>
        </w:rPr>
        <w:t>պայքարող</w:t>
      </w:r>
      <w:r w:rsidRPr="001F63BA">
        <w:rPr>
          <w:rFonts w:ascii="GHEA Grapalat" w:hAnsi="GHEA Grapalat"/>
          <w:sz w:val="22"/>
          <w:szCs w:val="22"/>
          <w:lang w:val="af-ZA"/>
        </w:rPr>
        <w:t xml:space="preserve"> </w:t>
      </w:r>
      <w:r w:rsidRPr="001F63BA">
        <w:rPr>
          <w:rFonts w:ascii="GHEA Grapalat" w:hAnsi="GHEA Grapalat"/>
          <w:sz w:val="22"/>
          <w:szCs w:val="22"/>
          <w:lang w:val="en-US"/>
        </w:rPr>
        <w:t>հատուկ</w:t>
      </w:r>
      <w:r w:rsidRPr="001F63BA">
        <w:rPr>
          <w:rFonts w:ascii="GHEA Grapalat" w:hAnsi="GHEA Grapalat"/>
          <w:sz w:val="22"/>
          <w:szCs w:val="22"/>
          <w:lang w:val="af-ZA"/>
        </w:rPr>
        <w:t xml:space="preserve"> </w:t>
      </w:r>
      <w:r w:rsidRPr="001F63BA">
        <w:rPr>
          <w:rFonts w:ascii="GHEA Grapalat" w:hAnsi="GHEA Grapalat"/>
          <w:sz w:val="22"/>
          <w:szCs w:val="22"/>
          <w:lang w:val="en-US"/>
        </w:rPr>
        <w:t>քիմիական</w:t>
      </w:r>
      <w:r w:rsidRPr="001F63BA">
        <w:rPr>
          <w:rFonts w:ascii="GHEA Grapalat" w:hAnsi="GHEA Grapalat"/>
          <w:sz w:val="22"/>
          <w:szCs w:val="22"/>
          <w:lang w:val="af-ZA"/>
        </w:rPr>
        <w:t xml:space="preserve"> </w:t>
      </w:r>
      <w:r w:rsidRPr="001F63BA">
        <w:rPr>
          <w:rFonts w:ascii="GHEA Grapalat" w:hAnsi="GHEA Grapalat"/>
          <w:sz w:val="22"/>
          <w:szCs w:val="22"/>
          <w:lang w:val="en-US"/>
        </w:rPr>
        <w:t>նյութերով</w:t>
      </w:r>
      <w:r w:rsidRPr="001F63BA">
        <w:rPr>
          <w:rFonts w:ascii="GHEA Grapalat" w:hAnsi="GHEA Grapalat"/>
          <w:sz w:val="22"/>
          <w:szCs w:val="22"/>
          <w:lang w:val="af-ZA"/>
        </w:rPr>
        <w:t xml:space="preserve"> </w:t>
      </w:r>
      <w:r w:rsidRPr="001F63BA">
        <w:rPr>
          <w:rFonts w:ascii="GHEA Grapalat" w:hAnsi="GHEA Grapalat"/>
          <w:sz w:val="22"/>
          <w:szCs w:val="22"/>
          <w:lang w:val="en-US"/>
        </w:rPr>
        <w:t>հիմնական</w:t>
      </w:r>
      <w:r w:rsidRPr="001F63BA">
        <w:rPr>
          <w:rFonts w:ascii="GHEA Grapalat" w:hAnsi="GHEA Grapalat"/>
          <w:sz w:val="22"/>
          <w:szCs w:val="22"/>
          <w:lang w:val="af-ZA"/>
        </w:rPr>
        <w:t xml:space="preserve"> </w:t>
      </w:r>
      <w:r w:rsidRPr="001F63BA">
        <w:rPr>
          <w:rFonts w:ascii="GHEA Grapalat" w:hAnsi="GHEA Grapalat"/>
          <w:sz w:val="22"/>
          <w:szCs w:val="22"/>
          <w:lang w:val="en-US"/>
        </w:rPr>
        <w:t>ֆոնդի</w:t>
      </w:r>
      <w:r w:rsidRPr="001F63BA">
        <w:rPr>
          <w:rFonts w:ascii="GHEA Grapalat" w:hAnsi="GHEA Grapalat"/>
          <w:sz w:val="22"/>
          <w:szCs w:val="22"/>
          <w:lang w:val="af-ZA"/>
        </w:rPr>
        <w:t xml:space="preserve"> </w:t>
      </w:r>
      <w:r w:rsidRPr="001F63BA">
        <w:rPr>
          <w:rFonts w:ascii="GHEA Grapalat" w:hAnsi="GHEA Grapalat"/>
          <w:sz w:val="22"/>
          <w:szCs w:val="22"/>
          <w:lang w:val="en-US"/>
        </w:rPr>
        <w:t>ցուցանմուշները</w:t>
      </w:r>
      <w:r w:rsidRPr="001F63BA">
        <w:rPr>
          <w:rFonts w:ascii="GHEA Grapalat" w:hAnsi="GHEA Grapalat"/>
          <w:sz w:val="22"/>
          <w:szCs w:val="22"/>
          <w:lang w:val="af-ZA"/>
        </w:rPr>
        <w:t xml:space="preserve"> </w:t>
      </w:r>
      <w:r w:rsidRPr="001F63BA">
        <w:rPr>
          <w:rFonts w:ascii="GHEA Grapalat" w:hAnsi="GHEA Grapalat"/>
          <w:sz w:val="22"/>
          <w:szCs w:val="22"/>
          <w:lang w:val="en-US"/>
        </w:rPr>
        <w:t>ենթարկվել</w:t>
      </w:r>
      <w:r w:rsidRPr="001F63BA">
        <w:rPr>
          <w:rFonts w:ascii="GHEA Grapalat" w:hAnsi="GHEA Grapalat"/>
          <w:sz w:val="22"/>
          <w:szCs w:val="22"/>
          <w:lang w:val="af-ZA"/>
        </w:rPr>
        <w:t xml:space="preserve"> </w:t>
      </w:r>
      <w:r w:rsidRPr="001F63BA">
        <w:rPr>
          <w:rFonts w:ascii="GHEA Grapalat" w:hAnsi="GHEA Grapalat"/>
          <w:sz w:val="22"/>
          <w:szCs w:val="22"/>
          <w:lang w:val="en-US"/>
        </w:rPr>
        <w:t>են</w:t>
      </w:r>
      <w:r w:rsidRPr="001F63BA">
        <w:rPr>
          <w:rFonts w:ascii="GHEA Grapalat" w:hAnsi="GHEA Grapalat"/>
          <w:sz w:val="22"/>
          <w:szCs w:val="22"/>
          <w:lang w:val="af-ZA"/>
        </w:rPr>
        <w:t xml:space="preserve"> 4-</w:t>
      </w:r>
      <w:r w:rsidRPr="001F63BA">
        <w:rPr>
          <w:rFonts w:ascii="GHEA Grapalat" w:hAnsi="GHEA Grapalat"/>
          <w:sz w:val="22"/>
          <w:szCs w:val="22"/>
          <w:lang w:val="en-US"/>
        </w:rPr>
        <w:t>անգամյա</w:t>
      </w:r>
      <w:r w:rsidRPr="001F63BA">
        <w:rPr>
          <w:rFonts w:ascii="GHEA Grapalat" w:hAnsi="GHEA Grapalat"/>
          <w:sz w:val="22"/>
          <w:szCs w:val="22"/>
          <w:lang w:val="af-ZA"/>
        </w:rPr>
        <w:t xml:space="preserve"> </w:t>
      </w:r>
      <w:r w:rsidRPr="001F63BA">
        <w:rPr>
          <w:rFonts w:ascii="GHEA Grapalat" w:hAnsi="GHEA Grapalat"/>
          <w:sz w:val="22"/>
          <w:szCs w:val="22"/>
          <w:lang w:val="en-US"/>
        </w:rPr>
        <w:t>պրոֆիլակտիկ</w:t>
      </w:r>
      <w:r w:rsidRPr="001F63BA">
        <w:rPr>
          <w:rFonts w:ascii="GHEA Grapalat" w:hAnsi="GHEA Grapalat"/>
          <w:sz w:val="22"/>
          <w:szCs w:val="22"/>
          <w:lang w:val="af-ZA"/>
        </w:rPr>
        <w:t xml:space="preserve"> </w:t>
      </w:r>
      <w:r w:rsidRPr="001F63BA">
        <w:rPr>
          <w:rFonts w:ascii="GHEA Grapalat" w:hAnsi="GHEA Grapalat"/>
          <w:sz w:val="22"/>
          <w:szCs w:val="22"/>
          <w:lang w:val="en-US"/>
        </w:rPr>
        <w:t>ախտահանման</w:t>
      </w:r>
      <w:r w:rsidRPr="001F63BA">
        <w:rPr>
          <w:rFonts w:ascii="GHEA Grapalat" w:hAnsi="GHEA Grapalat"/>
          <w:sz w:val="22"/>
          <w:szCs w:val="22"/>
          <w:lang w:val="af-ZA"/>
        </w:rPr>
        <w:t xml:space="preserve">: </w:t>
      </w:r>
      <w:r w:rsidRPr="001F63BA">
        <w:rPr>
          <w:rFonts w:ascii="GHEA Grapalat" w:hAnsi="GHEA Grapalat"/>
          <w:sz w:val="22"/>
          <w:szCs w:val="22"/>
          <w:lang w:val="en-US"/>
        </w:rPr>
        <w:t>Թանգարանը</w:t>
      </w:r>
      <w:r w:rsidRPr="001F63BA">
        <w:rPr>
          <w:rFonts w:ascii="GHEA Grapalat" w:hAnsi="GHEA Grapalat"/>
          <w:sz w:val="22"/>
          <w:szCs w:val="22"/>
          <w:lang w:val="af-ZA"/>
        </w:rPr>
        <w:t xml:space="preserve"> </w:t>
      </w:r>
      <w:r w:rsidRPr="001F63BA">
        <w:rPr>
          <w:rFonts w:ascii="GHEA Grapalat" w:hAnsi="GHEA Grapalat"/>
          <w:sz w:val="22"/>
          <w:szCs w:val="22"/>
          <w:lang w:val="en-US"/>
        </w:rPr>
        <w:t>սպասարկել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22423 </w:t>
      </w:r>
      <w:r w:rsidRPr="001F63BA">
        <w:rPr>
          <w:rFonts w:ascii="GHEA Grapalat" w:hAnsi="GHEA Grapalat"/>
          <w:sz w:val="22"/>
          <w:szCs w:val="22"/>
          <w:lang w:val="en-US"/>
        </w:rPr>
        <w:t>այցելու:</w:t>
      </w:r>
    </w:p>
    <w:p w:rsidR="001C411D" w:rsidRPr="001F63BA" w:rsidRDefault="001C411D" w:rsidP="00461880">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2022 </w:t>
      </w:r>
      <w:r w:rsidRPr="001F63BA">
        <w:rPr>
          <w:rFonts w:ascii="GHEA Grapalat" w:hAnsi="GHEA Grapalat"/>
          <w:sz w:val="22"/>
          <w:szCs w:val="22"/>
          <w:lang w:val="en-US"/>
        </w:rPr>
        <w:t>թվականին</w:t>
      </w:r>
      <w:r w:rsidRPr="001F63BA">
        <w:rPr>
          <w:rFonts w:ascii="GHEA Grapalat" w:hAnsi="GHEA Grapalat"/>
          <w:sz w:val="22"/>
          <w:szCs w:val="22"/>
          <w:lang w:val="af-ZA"/>
        </w:rPr>
        <w:t xml:space="preserve"> «</w:t>
      </w:r>
      <w:r w:rsidRPr="001F63BA">
        <w:rPr>
          <w:rFonts w:ascii="GHEA Grapalat" w:hAnsi="GHEA Grapalat"/>
          <w:sz w:val="22"/>
          <w:szCs w:val="22"/>
          <w:lang w:val="en-US"/>
        </w:rPr>
        <w:t>Կենդանաբանական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այգու</w:t>
      </w:r>
      <w:r w:rsidRPr="001F63BA">
        <w:rPr>
          <w:rFonts w:ascii="GHEA Grapalat" w:hAnsi="GHEA Grapalat"/>
          <w:sz w:val="22"/>
          <w:szCs w:val="22"/>
          <w:lang w:val="af-ZA"/>
        </w:rPr>
        <w:t xml:space="preserve"> </w:t>
      </w:r>
      <w:r w:rsidRPr="001F63BA">
        <w:rPr>
          <w:rFonts w:ascii="GHEA Grapalat" w:hAnsi="GHEA Grapalat"/>
          <w:sz w:val="22"/>
          <w:szCs w:val="22"/>
          <w:lang w:val="en-US"/>
        </w:rPr>
        <w:t>ցուցադրություններ</w:t>
      </w:r>
      <w:r w:rsidRPr="001F63BA">
        <w:rPr>
          <w:rFonts w:ascii="GHEA Grapalat" w:hAnsi="GHEA Grapalat"/>
          <w:sz w:val="22"/>
          <w:szCs w:val="22"/>
          <w:lang w:val="af-ZA"/>
        </w:rPr>
        <w:t xml:space="preserve">» </w:t>
      </w:r>
      <w:r w:rsidRPr="001F63BA">
        <w:rPr>
          <w:rFonts w:ascii="GHEA Grapalat" w:hAnsi="GHEA Grapalat"/>
          <w:sz w:val="22"/>
          <w:szCs w:val="22"/>
          <w:lang w:val="en-US"/>
        </w:rPr>
        <w:t>միջոցառման</w:t>
      </w:r>
      <w:r w:rsidRPr="001F63BA">
        <w:rPr>
          <w:rFonts w:ascii="GHEA Grapalat" w:hAnsi="GHEA Grapalat"/>
          <w:sz w:val="22"/>
          <w:szCs w:val="22"/>
          <w:lang w:val="af-ZA"/>
        </w:rPr>
        <w:t xml:space="preserve"> </w:t>
      </w:r>
      <w:r w:rsidRPr="001F63BA">
        <w:rPr>
          <w:rFonts w:ascii="GHEA Grapalat" w:hAnsi="GHEA Grapalat"/>
          <w:sz w:val="22"/>
          <w:szCs w:val="22"/>
          <w:lang w:val="en-US"/>
        </w:rPr>
        <w:t>շրջանակներում</w:t>
      </w:r>
      <w:r w:rsidRPr="001F63BA">
        <w:rPr>
          <w:rFonts w:ascii="GHEA Grapalat" w:hAnsi="GHEA Grapalat"/>
          <w:sz w:val="22"/>
          <w:szCs w:val="22"/>
          <w:lang w:val="af-ZA"/>
        </w:rPr>
        <w:t xml:space="preserve"> «</w:t>
      </w:r>
      <w:r w:rsidRPr="001F63BA">
        <w:rPr>
          <w:rFonts w:ascii="GHEA Grapalat" w:hAnsi="GHEA Grapalat"/>
          <w:sz w:val="22"/>
          <w:szCs w:val="22"/>
          <w:lang w:val="en-US"/>
        </w:rPr>
        <w:t>Երևանի</w:t>
      </w:r>
      <w:r w:rsidRPr="001F63BA">
        <w:rPr>
          <w:rFonts w:ascii="GHEA Grapalat" w:hAnsi="GHEA Grapalat"/>
          <w:sz w:val="22"/>
          <w:szCs w:val="22"/>
          <w:lang w:val="af-ZA"/>
        </w:rPr>
        <w:t xml:space="preserve"> </w:t>
      </w:r>
      <w:r w:rsidRPr="001F63BA">
        <w:rPr>
          <w:rFonts w:ascii="GHEA Grapalat" w:hAnsi="GHEA Grapalat"/>
          <w:sz w:val="22"/>
          <w:szCs w:val="22"/>
          <w:lang w:val="en-US"/>
        </w:rPr>
        <w:t>կենդանաբանական</w:t>
      </w:r>
      <w:r w:rsidRPr="001F63BA">
        <w:rPr>
          <w:rFonts w:ascii="GHEA Grapalat" w:hAnsi="GHEA Grapalat"/>
          <w:sz w:val="22"/>
          <w:szCs w:val="22"/>
          <w:lang w:val="af-ZA"/>
        </w:rPr>
        <w:t xml:space="preserve"> </w:t>
      </w:r>
      <w:r w:rsidRPr="001F63BA">
        <w:rPr>
          <w:rFonts w:ascii="GHEA Grapalat" w:hAnsi="GHEA Grapalat"/>
          <w:sz w:val="22"/>
          <w:szCs w:val="22"/>
          <w:lang w:val="en-US"/>
        </w:rPr>
        <w:t>այգի</w:t>
      </w:r>
      <w:r w:rsidRPr="001F63BA">
        <w:rPr>
          <w:rFonts w:ascii="GHEA Grapalat" w:hAnsi="GHEA Grapalat"/>
          <w:sz w:val="22"/>
          <w:szCs w:val="22"/>
          <w:lang w:val="af-ZA"/>
        </w:rPr>
        <w:t xml:space="preserve">» </w:t>
      </w:r>
      <w:r w:rsidRPr="001F63BA">
        <w:rPr>
          <w:rFonts w:ascii="GHEA Grapalat" w:hAnsi="GHEA Grapalat"/>
          <w:sz w:val="22"/>
          <w:szCs w:val="22"/>
          <w:lang w:val="en-US"/>
        </w:rPr>
        <w:t>ՀՈԱԿ</w:t>
      </w:r>
      <w:r w:rsidRPr="001F63BA">
        <w:rPr>
          <w:rFonts w:ascii="GHEA Grapalat" w:hAnsi="GHEA Grapalat"/>
          <w:sz w:val="22"/>
          <w:szCs w:val="22"/>
          <w:lang w:val="af-ZA"/>
        </w:rPr>
        <w:t>-</w:t>
      </w:r>
      <w:r w:rsidRPr="001F63BA">
        <w:rPr>
          <w:rFonts w:ascii="GHEA Grapalat" w:hAnsi="GHEA Grapalat"/>
          <w:sz w:val="22"/>
          <w:szCs w:val="22"/>
          <w:lang w:val="en-US"/>
        </w:rPr>
        <w:t>ը</w:t>
      </w:r>
      <w:r w:rsidRPr="001F63BA">
        <w:rPr>
          <w:rFonts w:ascii="GHEA Grapalat" w:hAnsi="GHEA Grapalat"/>
          <w:sz w:val="22"/>
          <w:szCs w:val="22"/>
          <w:lang w:val="af-ZA"/>
        </w:rPr>
        <w:t xml:space="preserve"> (</w:t>
      </w:r>
      <w:r w:rsidRPr="001F63BA">
        <w:rPr>
          <w:rFonts w:ascii="GHEA Grapalat" w:hAnsi="GHEA Grapalat"/>
          <w:sz w:val="22"/>
          <w:szCs w:val="22"/>
          <w:lang w:val="en-US"/>
        </w:rPr>
        <w:t>այսուհետ</w:t>
      </w:r>
      <w:r w:rsidRPr="001F63BA">
        <w:rPr>
          <w:rFonts w:ascii="GHEA Grapalat" w:hAnsi="GHEA Grapalat"/>
          <w:sz w:val="22"/>
          <w:szCs w:val="22"/>
          <w:lang w:val="af-ZA"/>
        </w:rPr>
        <w:t xml:space="preserve"> </w:t>
      </w:r>
      <w:r w:rsidRPr="001F63BA">
        <w:rPr>
          <w:rFonts w:ascii="GHEA Grapalat" w:hAnsi="GHEA Grapalat"/>
          <w:sz w:val="22"/>
          <w:szCs w:val="22"/>
          <w:lang w:val="en-US"/>
        </w:rPr>
        <w:t>Այգի</w:t>
      </w:r>
      <w:r w:rsidRPr="001F63BA">
        <w:rPr>
          <w:rFonts w:ascii="GHEA Grapalat" w:hAnsi="GHEA Grapalat"/>
          <w:sz w:val="22"/>
          <w:szCs w:val="22"/>
          <w:lang w:val="af-ZA"/>
        </w:rPr>
        <w:t xml:space="preserve">) </w:t>
      </w:r>
      <w:r w:rsidRPr="001F63BA">
        <w:rPr>
          <w:rFonts w:ascii="GHEA Grapalat" w:hAnsi="GHEA Grapalat"/>
          <w:sz w:val="22"/>
          <w:szCs w:val="22"/>
          <w:lang w:val="en-US"/>
        </w:rPr>
        <w:t>իրականացրել</w:t>
      </w:r>
      <w:r w:rsidRPr="001F63BA">
        <w:rPr>
          <w:rFonts w:ascii="GHEA Grapalat" w:hAnsi="GHEA Grapalat"/>
          <w:sz w:val="22"/>
          <w:szCs w:val="22"/>
          <w:lang w:val="af-ZA"/>
        </w:rPr>
        <w:t xml:space="preserve"> </w:t>
      </w:r>
      <w:r w:rsidRPr="001F63BA">
        <w:rPr>
          <w:rFonts w:ascii="GHEA Grapalat" w:hAnsi="GHEA Grapalat"/>
          <w:sz w:val="22"/>
          <w:szCs w:val="22"/>
          <w:lang w:val="en-US"/>
        </w:rPr>
        <w:t>է</w:t>
      </w:r>
      <w:r w:rsidRPr="001F63BA">
        <w:rPr>
          <w:rFonts w:ascii="GHEA Grapalat" w:hAnsi="GHEA Grapalat"/>
          <w:sz w:val="22"/>
          <w:szCs w:val="22"/>
          <w:lang w:val="af-ZA"/>
        </w:rPr>
        <w:t xml:space="preserve"> </w:t>
      </w:r>
      <w:r w:rsidRPr="001F63BA">
        <w:rPr>
          <w:rFonts w:ascii="GHEA Grapalat" w:hAnsi="GHEA Grapalat"/>
          <w:sz w:val="22"/>
          <w:szCs w:val="22"/>
          <w:lang w:val="en-US"/>
        </w:rPr>
        <w:t>Այգու</w:t>
      </w:r>
      <w:r w:rsidRPr="001F63BA">
        <w:rPr>
          <w:rFonts w:ascii="GHEA Grapalat" w:hAnsi="GHEA Grapalat"/>
          <w:sz w:val="22"/>
          <w:szCs w:val="22"/>
          <w:lang w:val="af-ZA"/>
        </w:rPr>
        <w:t xml:space="preserve"> </w:t>
      </w:r>
      <w:r w:rsidRPr="001F63BA">
        <w:rPr>
          <w:rFonts w:ascii="GHEA Grapalat" w:hAnsi="GHEA Grapalat"/>
          <w:sz w:val="22"/>
          <w:szCs w:val="22"/>
          <w:lang w:val="en-US"/>
        </w:rPr>
        <w:t>կենդանիների</w:t>
      </w:r>
      <w:r w:rsidRPr="001F63BA">
        <w:rPr>
          <w:rFonts w:ascii="GHEA Grapalat" w:hAnsi="GHEA Grapalat"/>
          <w:sz w:val="22"/>
          <w:szCs w:val="22"/>
          <w:lang w:val="af-ZA"/>
        </w:rPr>
        <w:t xml:space="preserve"> </w:t>
      </w:r>
      <w:r w:rsidRPr="001F63BA">
        <w:rPr>
          <w:rFonts w:ascii="GHEA Grapalat" w:hAnsi="GHEA Grapalat"/>
          <w:sz w:val="22"/>
          <w:szCs w:val="22"/>
          <w:lang w:val="en-US"/>
        </w:rPr>
        <w:t>մի</w:t>
      </w:r>
      <w:r w:rsidRPr="001F63BA">
        <w:rPr>
          <w:rFonts w:ascii="GHEA Grapalat" w:hAnsi="GHEA Grapalat"/>
          <w:sz w:val="22"/>
          <w:szCs w:val="22"/>
          <w:lang w:val="af-ZA"/>
        </w:rPr>
        <w:t xml:space="preserve"> </w:t>
      </w:r>
      <w:r w:rsidRPr="001F63BA">
        <w:rPr>
          <w:rFonts w:ascii="GHEA Grapalat" w:hAnsi="GHEA Grapalat"/>
          <w:sz w:val="22"/>
          <w:szCs w:val="22"/>
          <w:lang w:val="en-US"/>
        </w:rPr>
        <w:t>շարք</w:t>
      </w:r>
      <w:r w:rsidRPr="001F63BA">
        <w:rPr>
          <w:rFonts w:ascii="GHEA Grapalat" w:hAnsi="GHEA Grapalat"/>
          <w:sz w:val="22"/>
          <w:szCs w:val="22"/>
          <w:lang w:val="af-ZA"/>
        </w:rPr>
        <w:t xml:space="preserve"> </w:t>
      </w:r>
      <w:r w:rsidRPr="001F63BA">
        <w:rPr>
          <w:rFonts w:ascii="GHEA Grapalat" w:hAnsi="GHEA Grapalat"/>
          <w:sz w:val="22"/>
          <w:szCs w:val="22"/>
          <w:lang w:val="en-US"/>
        </w:rPr>
        <w:t>ազատավանդակների</w:t>
      </w:r>
      <w:r w:rsidRPr="001F63BA">
        <w:rPr>
          <w:rFonts w:ascii="GHEA Grapalat" w:hAnsi="GHEA Grapalat"/>
          <w:sz w:val="22"/>
          <w:szCs w:val="22"/>
          <w:lang w:val="af-ZA"/>
        </w:rPr>
        <w:t xml:space="preserve"> </w:t>
      </w:r>
      <w:r w:rsidRPr="001F63BA">
        <w:rPr>
          <w:rFonts w:ascii="GHEA Grapalat" w:hAnsi="GHEA Grapalat"/>
          <w:sz w:val="22"/>
          <w:szCs w:val="22"/>
          <w:lang w:val="en-US"/>
        </w:rPr>
        <w:t>ջրահեռացման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համակարգերի</w:t>
      </w:r>
      <w:r w:rsidRPr="001F63BA">
        <w:rPr>
          <w:rFonts w:ascii="GHEA Grapalat" w:hAnsi="GHEA Grapalat"/>
          <w:sz w:val="22"/>
          <w:szCs w:val="22"/>
          <w:lang w:val="af-ZA"/>
        </w:rPr>
        <w:t xml:space="preserve"> </w:t>
      </w:r>
      <w:r w:rsidRPr="001F63BA">
        <w:rPr>
          <w:rFonts w:ascii="GHEA Grapalat" w:hAnsi="GHEA Grapalat"/>
          <w:sz w:val="22"/>
          <w:szCs w:val="22"/>
          <w:lang w:val="en-US"/>
        </w:rPr>
        <w:t>վերանորոգում</w:t>
      </w:r>
      <w:r w:rsidRPr="001F63BA">
        <w:rPr>
          <w:rFonts w:ascii="GHEA Grapalat" w:hAnsi="GHEA Grapalat"/>
          <w:sz w:val="22"/>
          <w:szCs w:val="22"/>
          <w:lang w:val="af-ZA"/>
        </w:rPr>
        <w:t xml:space="preserve">, </w:t>
      </w:r>
      <w:r w:rsidRPr="001F63BA">
        <w:rPr>
          <w:rFonts w:ascii="GHEA Grapalat" w:hAnsi="GHEA Grapalat"/>
          <w:sz w:val="22"/>
          <w:szCs w:val="22"/>
          <w:lang w:val="en-US"/>
        </w:rPr>
        <w:t>հարակից</w:t>
      </w:r>
      <w:r w:rsidRPr="001F63BA">
        <w:rPr>
          <w:rFonts w:ascii="GHEA Grapalat" w:hAnsi="GHEA Grapalat"/>
          <w:sz w:val="22"/>
          <w:szCs w:val="22"/>
          <w:lang w:val="af-ZA"/>
        </w:rPr>
        <w:t xml:space="preserve"> </w:t>
      </w:r>
      <w:r w:rsidRPr="001F63BA">
        <w:rPr>
          <w:rFonts w:ascii="GHEA Grapalat" w:hAnsi="GHEA Grapalat"/>
          <w:sz w:val="22"/>
          <w:szCs w:val="22"/>
          <w:lang w:val="en-US"/>
        </w:rPr>
        <w:t>խաղահրապարակների</w:t>
      </w:r>
      <w:r w:rsidRPr="001F63BA">
        <w:rPr>
          <w:rFonts w:ascii="GHEA Grapalat" w:hAnsi="GHEA Grapalat"/>
          <w:sz w:val="22"/>
          <w:szCs w:val="22"/>
          <w:lang w:val="af-ZA"/>
        </w:rPr>
        <w:t xml:space="preserve">, </w:t>
      </w:r>
      <w:r w:rsidRPr="001F63BA">
        <w:rPr>
          <w:rFonts w:ascii="GHEA Grapalat" w:hAnsi="GHEA Grapalat"/>
          <w:sz w:val="22"/>
          <w:szCs w:val="22"/>
          <w:lang w:val="en-US"/>
        </w:rPr>
        <w:t>արգելապատնեշների</w:t>
      </w:r>
      <w:r w:rsidRPr="001F63BA">
        <w:rPr>
          <w:rFonts w:ascii="GHEA Grapalat" w:hAnsi="GHEA Grapalat"/>
          <w:sz w:val="22"/>
          <w:szCs w:val="22"/>
          <w:lang w:val="af-ZA"/>
        </w:rPr>
        <w:t xml:space="preserve"> </w:t>
      </w:r>
      <w:r w:rsidRPr="001F63BA">
        <w:rPr>
          <w:rFonts w:ascii="GHEA Grapalat" w:hAnsi="GHEA Grapalat"/>
          <w:sz w:val="22"/>
          <w:szCs w:val="22"/>
          <w:lang w:val="en-US"/>
        </w:rPr>
        <w:t>վերանորոգում</w:t>
      </w:r>
      <w:r w:rsidRPr="001F63BA">
        <w:rPr>
          <w:rFonts w:ascii="GHEA Grapalat" w:hAnsi="GHEA Grapalat"/>
          <w:sz w:val="22"/>
          <w:szCs w:val="22"/>
          <w:lang w:val="af-ZA"/>
        </w:rPr>
        <w:t xml:space="preserve">, </w:t>
      </w:r>
      <w:r w:rsidRPr="001F63BA">
        <w:rPr>
          <w:rFonts w:ascii="GHEA Grapalat" w:hAnsi="GHEA Grapalat"/>
          <w:sz w:val="22"/>
          <w:szCs w:val="22"/>
          <w:lang w:val="en-US"/>
        </w:rPr>
        <w:t>ազատավանդակների</w:t>
      </w:r>
      <w:r w:rsidRPr="001F63BA">
        <w:rPr>
          <w:rFonts w:ascii="GHEA Grapalat" w:hAnsi="GHEA Grapalat"/>
          <w:sz w:val="22"/>
          <w:szCs w:val="22"/>
          <w:lang w:val="af-ZA"/>
        </w:rPr>
        <w:t xml:space="preserve"> </w:t>
      </w:r>
      <w:r w:rsidRPr="001F63BA">
        <w:rPr>
          <w:rFonts w:ascii="GHEA Grapalat" w:hAnsi="GHEA Grapalat"/>
          <w:sz w:val="22"/>
          <w:szCs w:val="22"/>
          <w:lang w:val="en-US"/>
        </w:rPr>
        <w:t>ճաղավանդակների</w:t>
      </w:r>
      <w:r w:rsidRPr="001F63BA">
        <w:rPr>
          <w:rFonts w:ascii="GHEA Grapalat" w:hAnsi="GHEA Grapalat"/>
          <w:sz w:val="22"/>
          <w:szCs w:val="22"/>
          <w:lang w:val="af-ZA"/>
        </w:rPr>
        <w:t xml:space="preserve"> </w:t>
      </w:r>
      <w:r w:rsidRPr="001F63BA">
        <w:rPr>
          <w:rFonts w:ascii="GHEA Grapalat" w:hAnsi="GHEA Grapalat"/>
          <w:sz w:val="22"/>
          <w:szCs w:val="22"/>
          <w:lang w:val="en-US"/>
        </w:rPr>
        <w:t>պատրաստում</w:t>
      </w:r>
      <w:r w:rsidRPr="001F63BA">
        <w:rPr>
          <w:rFonts w:ascii="GHEA Grapalat" w:hAnsi="GHEA Grapalat"/>
          <w:sz w:val="22"/>
          <w:szCs w:val="22"/>
          <w:lang w:val="af-ZA"/>
        </w:rPr>
        <w:t xml:space="preserve"> </w:t>
      </w:r>
      <w:r w:rsidRPr="001F63BA">
        <w:rPr>
          <w:rFonts w:ascii="GHEA Grapalat" w:hAnsi="GHEA Grapalat"/>
          <w:sz w:val="22"/>
          <w:szCs w:val="22"/>
          <w:lang w:val="en-US"/>
        </w:rPr>
        <w:t>և</w:t>
      </w:r>
      <w:r w:rsidRPr="001F63BA">
        <w:rPr>
          <w:rFonts w:ascii="GHEA Grapalat" w:hAnsi="GHEA Grapalat"/>
          <w:sz w:val="22"/>
          <w:szCs w:val="22"/>
          <w:lang w:val="af-ZA"/>
        </w:rPr>
        <w:t xml:space="preserve"> </w:t>
      </w:r>
      <w:r w:rsidRPr="001F63BA">
        <w:rPr>
          <w:rFonts w:ascii="GHEA Grapalat" w:hAnsi="GHEA Grapalat"/>
          <w:sz w:val="22"/>
          <w:szCs w:val="22"/>
          <w:lang w:val="en-US"/>
        </w:rPr>
        <w:t>տեղադրում</w:t>
      </w:r>
      <w:r w:rsidRPr="001F63BA">
        <w:rPr>
          <w:rFonts w:ascii="GHEA Grapalat" w:hAnsi="GHEA Grapalat"/>
          <w:sz w:val="22"/>
          <w:szCs w:val="22"/>
          <w:lang w:val="af-ZA"/>
        </w:rPr>
        <w:t xml:space="preserve">, </w:t>
      </w:r>
      <w:r w:rsidRPr="001F63BA">
        <w:rPr>
          <w:rFonts w:ascii="GHEA Grapalat" w:hAnsi="GHEA Grapalat"/>
          <w:sz w:val="22"/>
          <w:szCs w:val="22"/>
          <w:lang w:val="en-US"/>
        </w:rPr>
        <w:t>կոնտակտային</w:t>
      </w:r>
      <w:r w:rsidRPr="001F63BA">
        <w:rPr>
          <w:rFonts w:ascii="GHEA Grapalat" w:hAnsi="GHEA Grapalat"/>
          <w:sz w:val="22"/>
          <w:szCs w:val="22"/>
          <w:lang w:val="af-ZA"/>
        </w:rPr>
        <w:t xml:space="preserve"> </w:t>
      </w:r>
      <w:r w:rsidRPr="001F63BA">
        <w:rPr>
          <w:rFonts w:ascii="GHEA Grapalat" w:hAnsi="GHEA Grapalat"/>
          <w:sz w:val="22"/>
          <w:szCs w:val="22"/>
          <w:lang w:val="en-US"/>
        </w:rPr>
        <w:t>այգու</w:t>
      </w:r>
      <w:r w:rsidRPr="001F63BA">
        <w:rPr>
          <w:rFonts w:ascii="GHEA Grapalat" w:hAnsi="GHEA Grapalat"/>
          <w:sz w:val="22"/>
          <w:szCs w:val="22"/>
          <w:lang w:val="af-ZA"/>
        </w:rPr>
        <w:t xml:space="preserve"> </w:t>
      </w:r>
      <w:r w:rsidRPr="001F63BA">
        <w:rPr>
          <w:rFonts w:ascii="GHEA Grapalat" w:hAnsi="GHEA Grapalat"/>
          <w:sz w:val="22"/>
          <w:szCs w:val="22"/>
          <w:lang w:val="en-US"/>
        </w:rPr>
        <w:t>ցանկապատի</w:t>
      </w:r>
      <w:r w:rsidRPr="001F63BA">
        <w:rPr>
          <w:rFonts w:ascii="GHEA Grapalat" w:hAnsi="GHEA Grapalat"/>
          <w:sz w:val="22"/>
          <w:szCs w:val="22"/>
          <w:lang w:val="af-ZA"/>
        </w:rPr>
        <w:t xml:space="preserve"> </w:t>
      </w:r>
      <w:r w:rsidRPr="001F63BA">
        <w:rPr>
          <w:rFonts w:ascii="GHEA Grapalat" w:hAnsi="GHEA Grapalat"/>
          <w:sz w:val="22"/>
          <w:szCs w:val="22"/>
          <w:lang w:val="en-US"/>
        </w:rPr>
        <w:t>ձևափոխում</w:t>
      </w:r>
      <w:r w:rsidRPr="001F63BA">
        <w:rPr>
          <w:rFonts w:ascii="GHEA Grapalat" w:hAnsi="GHEA Grapalat"/>
          <w:sz w:val="22"/>
          <w:szCs w:val="22"/>
          <w:lang w:val="af-ZA"/>
        </w:rPr>
        <w:t xml:space="preserve">, </w:t>
      </w:r>
      <w:r w:rsidRPr="001F63BA">
        <w:rPr>
          <w:rFonts w:ascii="GHEA Grapalat" w:hAnsi="GHEA Grapalat"/>
          <w:sz w:val="22"/>
          <w:szCs w:val="22"/>
          <w:lang w:val="en-US"/>
        </w:rPr>
        <w:t>կարանտինի</w:t>
      </w:r>
      <w:r w:rsidRPr="001F63BA">
        <w:rPr>
          <w:rFonts w:ascii="GHEA Grapalat" w:hAnsi="GHEA Grapalat"/>
          <w:sz w:val="22"/>
          <w:szCs w:val="22"/>
          <w:lang w:val="af-ZA"/>
        </w:rPr>
        <w:t xml:space="preserve"> </w:t>
      </w:r>
      <w:r w:rsidRPr="001F63BA">
        <w:rPr>
          <w:rFonts w:ascii="GHEA Grapalat" w:hAnsi="GHEA Grapalat"/>
          <w:sz w:val="22"/>
          <w:szCs w:val="22"/>
          <w:lang w:val="en-US"/>
        </w:rPr>
        <w:t>լուսային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վերանորոգում</w:t>
      </w:r>
      <w:r w:rsidRPr="001F63BA">
        <w:rPr>
          <w:rFonts w:ascii="GHEA Grapalat" w:hAnsi="GHEA Grapalat"/>
          <w:sz w:val="22"/>
          <w:szCs w:val="22"/>
          <w:lang w:val="af-ZA"/>
        </w:rPr>
        <w:t xml:space="preserve">, </w:t>
      </w:r>
      <w:r w:rsidRPr="001F63BA">
        <w:rPr>
          <w:rFonts w:ascii="GHEA Grapalat" w:hAnsi="GHEA Grapalat"/>
          <w:sz w:val="22"/>
          <w:szCs w:val="22"/>
          <w:lang w:val="en-US"/>
        </w:rPr>
        <w:t>դռների</w:t>
      </w:r>
      <w:r w:rsidRPr="001F63BA">
        <w:rPr>
          <w:rFonts w:ascii="GHEA Grapalat" w:hAnsi="GHEA Grapalat"/>
          <w:sz w:val="22"/>
          <w:szCs w:val="22"/>
          <w:lang w:val="af-ZA"/>
        </w:rPr>
        <w:t xml:space="preserve"> </w:t>
      </w:r>
      <w:r w:rsidRPr="001F63BA">
        <w:rPr>
          <w:rFonts w:ascii="GHEA Grapalat" w:hAnsi="GHEA Grapalat"/>
          <w:sz w:val="22"/>
          <w:szCs w:val="22"/>
          <w:lang w:val="en-US"/>
        </w:rPr>
        <w:t>նոր</w:t>
      </w:r>
      <w:r w:rsidRPr="001F63BA">
        <w:rPr>
          <w:rFonts w:ascii="GHEA Grapalat" w:hAnsi="GHEA Grapalat"/>
          <w:sz w:val="22"/>
          <w:szCs w:val="22"/>
          <w:lang w:val="af-ZA"/>
        </w:rPr>
        <w:t xml:space="preserve"> </w:t>
      </w:r>
      <w:r w:rsidRPr="001F63BA">
        <w:rPr>
          <w:rFonts w:ascii="GHEA Grapalat" w:hAnsi="GHEA Grapalat"/>
          <w:sz w:val="22"/>
          <w:szCs w:val="22"/>
          <w:lang w:val="en-US"/>
        </w:rPr>
        <w:t>մեխանիկական</w:t>
      </w:r>
      <w:r w:rsidRPr="001F63BA">
        <w:rPr>
          <w:rFonts w:ascii="GHEA Grapalat" w:hAnsi="GHEA Grapalat"/>
          <w:sz w:val="22"/>
          <w:szCs w:val="22"/>
          <w:lang w:val="af-ZA"/>
        </w:rPr>
        <w:t xml:space="preserve"> </w:t>
      </w:r>
      <w:r w:rsidRPr="001F63BA">
        <w:rPr>
          <w:rFonts w:ascii="GHEA Grapalat" w:hAnsi="GHEA Grapalat"/>
          <w:sz w:val="22"/>
          <w:szCs w:val="22"/>
          <w:lang w:val="en-US"/>
        </w:rPr>
        <w:t>համակարգի</w:t>
      </w:r>
      <w:r w:rsidRPr="001F63BA">
        <w:rPr>
          <w:rFonts w:ascii="GHEA Grapalat" w:hAnsi="GHEA Grapalat"/>
          <w:sz w:val="22"/>
          <w:szCs w:val="22"/>
          <w:lang w:val="af-ZA"/>
        </w:rPr>
        <w:t xml:space="preserve"> </w:t>
      </w:r>
      <w:r w:rsidRPr="001F63BA">
        <w:rPr>
          <w:rFonts w:ascii="GHEA Grapalat" w:hAnsi="GHEA Grapalat"/>
          <w:sz w:val="22"/>
          <w:szCs w:val="22"/>
          <w:lang w:val="en-US"/>
        </w:rPr>
        <w:t>տեղադրում</w:t>
      </w:r>
      <w:r w:rsidRPr="001F63BA">
        <w:rPr>
          <w:rFonts w:ascii="GHEA Grapalat" w:hAnsi="GHEA Grapalat"/>
          <w:sz w:val="22"/>
          <w:szCs w:val="22"/>
          <w:lang w:val="af-ZA"/>
        </w:rPr>
        <w:t xml:space="preserve">, </w:t>
      </w:r>
      <w:r w:rsidRPr="001F63BA">
        <w:rPr>
          <w:rFonts w:ascii="GHEA Grapalat" w:hAnsi="GHEA Grapalat"/>
          <w:sz w:val="22"/>
          <w:szCs w:val="22"/>
          <w:lang w:val="en-US"/>
        </w:rPr>
        <w:t>համապատասխան</w:t>
      </w:r>
      <w:r w:rsidRPr="001F63BA">
        <w:rPr>
          <w:rFonts w:ascii="GHEA Grapalat" w:hAnsi="GHEA Grapalat"/>
          <w:sz w:val="22"/>
          <w:szCs w:val="22"/>
          <w:lang w:val="af-ZA"/>
        </w:rPr>
        <w:t xml:space="preserve"> </w:t>
      </w:r>
      <w:r w:rsidRPr="001F63BA">
        <w:rPr>
          <w:rFonts w:ascii="GHEA Grapalat" w:hAnsi="GHEA Grapalat"/>
          <w:sz w:val="22"/>
          <w:szCs w:val="22"/>
          <w:lang w:val="en-US"/>
        </w:rPr>
        <w:t>սարքավորումների</w:t>
      </w:r>
      <w:r w:rsidRPr="001F63BA">
        <w:rPr>
          <w:rFonts w:ascii="GHEA Grapalat" w:hAnsi="GHEA Grapalat"/>
          <w:sz w:val="22"/>
          <w:szCs w:val="22"/>
          <w:lang w:val="af-ZA"/>
        </w:rPr>
        <w:t xml:space="preserve"> </w:t>
      </w:r>
      <w:r w:rsidRPr="001F63BA">
        <w:rPr>
          <w:rFonts w:ascii="GHEA Grapalat" w:hAnsi="GHEA Grapalat"/>
          <w:sz w:val="22"/>
          <w:szCs w:val="22"/>
          <w:lang w:val="en-US"/>
        </w:rPr>
        <w:t>տեղադրում</w:t>
      </w:r>
      <w:r w:rsidRPr="001F63BA">
        <w:rPr>
          <w:rFonts w:ascii="GHEA Grapalat" w:hAnsi="GHEA Grapalat"/>
          <w:sz w:val="22"/>
          <w:szCs w:val="22"/>
          <w:lang w:val="af-ZA"/>
        </w:rPr>
        <w:t xml:space="preserve">: </w:t>
      </w:r>
    </w:p>
    <w:p w:rsidR="001C411D" w:rsidRPr="001F63BA" w:rsidRDefault="001C411D" w:rsidP="00AC199C">
      <w:pPr>
        <w:spacing w:line="360" w:lineRule="auto"/>
        <w:ind w:firstLine="567"/>
        <w:jc w:val="both"/>
        <w:rPr>
          <w:rFonts w:ascii="GHEA Grapalat" w:hAnsi="GHEA Grapalat"/>
          <w:sz w:val="22"/>
          <w:szCs w:val="22"/>
          <w:lang w:val="af-ZA"/>
        </w:rPr>
      </w:pPr>
      <w:r w:rsidRPr="001F63BA">
        <w:rPr>
          <w:rFonts w:ascii="GHEA Grapalat" w:hAnsi="GHEA Grapalat"/>
          <w:sz w:val="22"/>
          <w:szCs w:val="22"/>
          <w:lang w:val="af-ZA"/>
        </w:rPr>
        <w:t xml:space="preserve"> </w:t>
      </w:r>
    </w:p>
    <w:p w:rsidR="001C411D" w:rsidRPr="001F63BA" w:rsidRDefault="001C411D" w:rsidP="00AC199C">
      <w:pPr>
        <w:pStyle w:val="Heading2"/>
        <w:spacing w:before="0"/>
      </w:pPr>
      <w:bookmarkStart w:id="49" w:name="_Toc132204223"/>
      <w:r w:rsidRPr="001F63BA">
        <w:lastRenderedPageBreak/>
        <w:t>Անշարժ գույքի կադաստր</w:t>
      </w:r>
      <w:bookmarkEnd w:id="49"/>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Հայաստանի Հանրապետության կադաստրի կոմիտեի կողմից իրականացվել են հետևյալ աշխատանքները: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Հայաստանի Հանրապետությունում անշարժ գույքի պետական միասնական կադաստրի վարման համակարգի արդիականացման և զարգացման, հասարակության պահանջները բավարարելու նպատակով 2022 թվականին թվայնացվել է մատուցվող ծառայությունների գերակշիռ մասը, ավելացվել է առցանց ինքնաշխատ կարգով տրամադրվող տեղեկությունների ցանկը։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գործարկվել է ազգային գեոպորտալը (geoportal.am), որի միջոցով հնարավոր է տեղեկատվություն ստանալ ՀՀ-ում առկա տարածական տվյալների վերաբերյալ։ Մուտքագրվել են Կադաստրի կոմիտեում առկա քարտեզագրական տվյալների վերաբերյալ մետատվյալները։ Ազգային գեոպորտալի maparmenia.am հարթակում արտացոլված են Հայաստանի Հանրապետության գետային ցանցը, լճերը, ճանապարհները, ռելիեֆը, կադաստրային քարտեզները, օրթոֆոտոհատակագծերը։ Տվյալները հանրության համար հասանելի են առանց հարթակում գրանցվելու գործողությունների իրականացման, որի արդյունքում, բացի քարտեզի վիզուալիզացիայից, օգտվողը կարող է իրականացնել որևէ հողամասի վերաբերյալ նախնական աշխարհատարածական վերլուծություններ։ Հարթակն անընդհատ արդիականացվում է՝ ավելանում են նոր շերտեր և տարատեսակ վերլուծությունների հնարավորություններ։ Հարթակը մշակված է geoserver-ի հիման վրա, որը հնարավորություն է ընձեռում ապահովել OGC կողմից մշակված վեբ ծառայությունների ստանդարտներ։</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Առցանց մատուցվող ծառայությունների ընդլայնման և տարածական տվյալների ենթակառուցվածքի ներդրման նպատակով իրականացվել է ՀՀ 878 բնակավայրի կադաստրային քարտեզների տեղափոխում առցանց քարտեզագրական միջավայր։ Այն բնակավայրերի կադաստրային քարտեզները, որոնց ընթացիկ վարումն իրականացվում է այդ համակարգով, ինքնաշխատ եղանակով թարմացվում են maparmenia.am և e-cadastre.am հարթակներում։ Քարտեզագրական համակարգ մուտքագրված կադաստրային քարտեզները կապակցված են Հայաստանի անշարժ գույքի տեղեկատվական համակարգի (ARPIS) տեքստային բազայի հետ։ Ներդրվել են տարատեսակ հաշվետվությունների արտածման հնարավորություններ։ Քարտեզա</w:t>
      </w:r>
      <w:r w:rsidR="00EC62F0" w:rsidRPr="001F63BA">
        <w:rPr>
          <w:rFonts w:ascii="GHEA Grapalat" w:hAnsi="GHEA Grapalat"/>
          <w:sz w:val="22"/>
          <w:szCs w:val="22"/>
          <w:lang w:val="en-US"/>
        </w:rPr>
        <w:t>գ</w:t>
      </w:r>
      <w:r w:rsidRPr="001F63BA">
        <w:rPr>
          <w:rFonts w:ascii="GHEA Grapalat" w:hAnsi="GHEA Grapalat"/>
          <w:sz w:val="22"/>
          <w:szCs w:val="22"/>
          <w:lang w:val="en-US"/>
        </w:rPr>
        <w:t xml:space="preserve">րական բաղադրիչի զարգացման ուղղությամբ աշխատանքները շարունակվում են։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Ինտեգրված կադաստրի բազային և ոլորտային բաղադրիչների վարումը, արդյունավետ կառավարումն իրականացնելու նպատակով 50-ից ավել մասնագետներ (կոմիտեի աշխատակիցներ) </w:t>
      </w:r>
      <w:r w:rsidRPr="001F63BA">
        <w:rPr>
          <w:rFonts w:ascii="GHEA Grapalat" w:hAnsi="GHEA Grapalat"/>
          <w:sz w:val="22"/>
          <w:szCs w:val="22"/>
          <w:lang w:val="en-US"/>
        </w:rPr>
        <w:lastRenderedPageBreak/>
        <w:t>վերապատրաստվել են՝ ձեռք բերելով ԱՏՀ տեխնոլոգիայի կիրառման ոլորտում նոր գիտելիքներ և հմտություններ։ Դասընթացների բովանդակությանը համապատասխան կազմվել են ձեռնարկներ։</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Ընդունվել է ՀՀ կառավարության 2022 թվականի հոկտեմբերի 6-ի «Հայաստանի Հանրապետությունում ազգային տարածական տվյալների ենթակառուցվածքում բազային և թեմատիկ տարածական տվյալների ցանկը և դրանց ստանդարտացման ուղեցույցները հաստատելու մասին» N 1569-Ն որոշումը: Ընդունվել է Կադաստրի կոմիտեի ղեկավարի 2022 թվականի մարտի 31-ի «Մետատվյալների ստեղծման և թարմացման կանոնները սահմանելու մասին» N 76-Ն հրամանը: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ՀՀ Ազգային ժողովի կողմից 2023 թվականի հունվարի 17-ին երկրորդ ընթերցմամբ և ամբողջությամբ ընդունվել է «Գեոդեզիական և քարտեզագրական գործունեության մասին», ««Տարածական տվյալների մասին» օրենքում փոփոխություններ կատարելու մասին» ՀՀ օրենքների փաթեթը: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Հայաստանի Հանրապետության բնակավայրերի քարտեզագրական հենքի ստեղծման աշխատանքների շրջանակներում գեոպորտալ մուտքագրելու նպատակով իրականացվել են ՀՀ Արարատի և Շիրակի մարզերի բազային քարտեզագրական շերտերի շուրջ 1,600 քառակուսի կիլոմետր տարածքի թվայնացման աշխատանքներ՝ կամերալ եղանակով։ ՀՀ Արմավիրի մարզի թվայնացման աշխատանքներն ավարտված են։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Կատարվում են բնակավայրերի կադաստրային քարտեզների թաղամասերի սահմանների և համայնքների վարչական շրջանների սահմանների ուղղման աշխատանքներ։ Առցանց միջավայր մուտքագրվել են 158 բնակավայրերի ուղղված կադաստրային քարտեզներ։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Իրականացվել են պետական գեոդեզիական (GNSS) ցանցի խտացման, հավասարակշռման, ծրագրային ապահովումների արդիականացման, սերվերային հանգույցի թարմացման աշխատանքներ՝ արդյունքում ունենալով համակարգի արդյունավետ կառավարման ժամանակակից ծրագրային փաթեթ և միջազգային ստանդարտներին համապատասխան մշտական գործող 14 ռեֆերենց կայաններից բաղկացած ցանց, որը հնարավորություն է տալիս իրական ժամանակում օգտատերերին ապահովել ճշգրիտ տվյալներով։</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Կատարվել են 21000 անուն ՀՀ աշխարհագրական անվանումների թարմացում և վարում: Ավարտվել են ՀՀ անվանակոչված և անվանափոխված ներբնակավայրային աշխարհագրական օբյեկտների անվանումների էլեկտրոնային շտեմարանի ստեղծման (տեղեկատու-բառարան) աշխատանքները, որում ներառված է շուրջ 38000 ներբնակավայրային աշխարհագրական օբյեկտների մասին տեղեկատվություն։ Իրականացվել են նաև ՀՀ շուրջ 18500 աշխարհագրական օբյեկտների ԱՏՀ շերտի ստեղծման և աշխարհի շուրջ 80000 աշխարհագրական օբյեկտների անվանումների շտեմարանի թարմացման ու աշխարհագրական կապակցական աշխատանքներ։</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Կատարվել են «Ասիայի խոշոր ֆիզաշխարհագրական օբյեկտների տեղեկատու-բառարանի», «Աֆրիկայի խոշոր ֆիզաշխարհագրական օբյեկտների տեղեկատու-բառարանի», «Հյուսիսային Ամերիկայի խոշոր ֆիզաշխարհագրական օբյեկտների տեղեկատու-բառարանի», «Հարավային Ամերիկայի խոշոր ֆիզաշխարհագրական օբյեկտների տեղեկատու-բառարանի» թարմացման և տպագրության պատրաստման աշխատանքներ։ «Աշխարհի ստորջրյա ֆիզաշխարհագրական օբյեկտների անվանումների հայերեն տեղեկատու-բառարանի» ստեղծման աշխատանքների շրջանակում հավաքագրվել և մշակվել են շուրջ 4900 ֆիզաշխարհագրական օբյեկտներ։</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Կատարվել են Հայաստանի ազգային ատլասի Ա և Բ հատորների միավորված մեկ հատորյակի` 130 էջի թարմացման, խմբագրման, սրբագրման աշխատանքներ։ Ավարտվել են «Անտարկտիդա», «Ավստրալիա», «Հյուսիսային Ամերիկա», «Հարավային Ամերիկա» թեմատիկ քարտեզների պատրաստման աշխատանքները։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Հասցեների ճշգրտման նպատակով Կադաստրի կոմիտեի հատուկ էլեկտրոնային հարթակի միջոցով ՀՀ բոլոր համայնքներ են ուղարկվել այդ համայնքների բնակավայրերի հասցեավորված գույքերի՝ կոմիտեում առկա հասցեների ցանկը՝ դրանցում առկա տվյալները համայնքների տվյալների հետ համեմատելու համար: Ներկա պահին 561 բնակավայրերից վերադարձված տեղեկատվությունն ուսումնասիրվել, վերլուծվել, համակցվել է կադաստրային քարտեզներին, և կատարվել է փողոցների ուղղությունների ճշգրտում։ Խոչընդոտ կարող են հանդիսանալ վերջին տարիներին տեղական ինքնակառավարման մարմիններում ընթացող փոփոխությունները։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Հայաստանի Հանրապետության հողային ֆոնդի առկայության և բաշխման վերաբերյալ հաշվետվության (հողային հաշվեկշռի) կազմման նպատա</w:t>
      </w:r>
      <w:r w:rsidR="00FF639B" w:rsidRPr="001F63BA">
        <w:rPr>
          <w:rFonts w:ascii="GHEA Grapalat" w:hAnsi="GHEA Grapalat"/>
          <w:sz w:val="22"/>
          <w:szCs w:val="22"/>
          <w:lang w:val="en-US"/>
        </w:rPr>
        <w:t>կով Կադաստրի կոմիտեն ամփոփել և Կառավարությ</w:t>
      </w:r>
      <w:r w:rsidRPr="001F63BA">
        <w:rPr>
          <w:rFonts w:ascii="GHEA Grapalat" w:hAnsi="GHEA Grapalat"/>
          <w:sz w:val="22"/>
          <w:szCs w:val="22"/>
          <w:lang w:val="en-US"/>
        </w:rPr>
        <w:t>ուն է ներկայացրել «Հայաստանի Հանրապետության հողային ֆոնդի առկայության և բաշխման հաշվետվությունը (հողային հաշվեկշիռը) հաստատելու մասին» ՀՀ կառավարության որոշման նախագիծը, որը հաստատվել է 2022 թվականի հոկտեմբերի 6-ի N 1553-Ն որոշմամբ։</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Գեոդեզիայի ու քարտեզագրության բնագավառի զարգացման ոլորտում 2021 թվականին նախատեսված Հայաստանի ամբողջ տարածքի օդալուսանկարահանման աշխատանքները, տեխնիկական նկատառումներից ելնելով, ավարտվել են 2022 թվականին՝ նպատակ հետապնդելով երկրատեղեկատվական համակարգի համար ստեղծելու բազային քարտեզ։ Այս ուղղությամբ շարունակվում են նախորդ տարիներին սկսված քարտեզագրական հիմքի ստեղծման, աշխարհագրական անվանումների քարտադարանի վարման և ազգային ատլասների թարմացման աշխատանքները:</w:t>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AC199C">
      <w:pPr>
        <w:pStyle w:val="Heading2"/>
        <w:spacing w:before="0"/>
      </w:pPr>
      <w:bookmarkStart w:id="50" w:name="_Toc132204224"/>
      <w:r w:rsidRPr="001F63BA">
        <w:lastRenderedPageBreak/>
        <w:t>Հասարակական կարգի պահպանություն</w:t>
      </w:r>
      <w:bookmarkEnd w:id="50"/>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ընթացքում ՀՀ ոստիկանությունը կատարել է իր առջև դրված խնդիրները, օրենքով վերապահված լիազորությունների շրջանակներում ձեռնարկված միջոցառումների շնորհիվ վերահսկվել է օպերատիվ իրավիճակը, պահպանվել են կայուն հասարակական կարգն ու անվտանգությունը: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Անդրադառնալով ՀՀ-ում արձանագրված հանցագործությունների շարժընթացին՝ հարկ է նշել, որ 2022 թվականի ընթացքում հանրապետությունում գրանցված հանցագործությունների ընդհանուր թիվն աճել է 24.4%-ով կամ 7367 դեպքով (2021թ.` 30245, 2022թ.` 37612), ընդ որում 7367 դեպքից 3602-ը՝ տրանսպորտային միջոցներ վարելու իրավունքից զրկված կամ վարելու իրավունքը կասեցված անձի կողմից տրանսպորտային միջոց վարելու դեպքերի, 482-ը՝ սպանությունների (հանկարծամահությունների), 997-ը՝ ծանր վիրավորանք հասցնելու, 743-ը՝ թմրամիջոցների ապօրինի շրջանառության և 173-ը՝ զենքի, ռազմամթերքի ապօրինի շրջանառության դեպքերի հայտնաբերման թիվն է:</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Գրանցված 37612 դեպքերի մեջ հիմնական բաժինն ընկնում է ոչ մեծ (20457 դեպք կամ 54.4%) և միջին ծանրության (11183 դեպք կամ 29.7%-ը) հանցագործություններին, որոնք համարվում են առավել նվազ հասարակական վտանգավորություն ներկայացնող հանցատեսակներ և կազմում են գրանցված ընդհանուր հանցագործությունների 84.1%-ը: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Հասարակական կարգի պահպանումն ու հասարակական անվտանգության ապահովումը պատշաճ կազմակերպելու նպատակով 2022 թվականի ընթացքում ոստիկանության ստորաբաժանումները հասարակական կարգի պահպանություն և հասարակական անվտանգություն են ապահովել թվով 3104 (2021թ.՝ 3134) զանգվածային միջոցառումների ժամանակ: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Հանցավորության մակարդակի շարունակական նվազման, կատարված հանցագործությունների բացահայտման մակարդակի բարձրացման խնդրի համակարգային լուծումը Ոստիկանությունը հիմնականում դիտարկում է Պարեկային ծառայության և օպերատիվ կառավարման կենտրոնի ստեղծման համատեքստում, որի նպատակը ժամանակակից մարտահրավերներին դիմակայող, մասնագիտացված ու տեխնիկապես հագեցած, բարեվարք և հարգանքի արժանի ոստիկանության ու ժողովրդավարական իրավակարգին բնորոշ նոր ոստիկանի կերպարի ստեղծումն է: </w:t>
      </w:r>
    </w:p>
    <w:p w:rsidR="001C411D" w:rsidRDefault="001C411D" w:rsidP="0074108D">
      <w:pPr>
        <w:spacing w:line="360" w:lineRule="auto"/>
        <w:ind w:firstLine="567"/>
        <w:jc w:val="both"/>
        <w:rPr>
          <w:rFonts w:ascii="GHEA Grapalat" w:hAnsi="GHEA Grapalat"/>
          <w:sz w:val="22"/>
          <w:szCs w:val="22"/>
          <w:lang w:val="en-US"/>
        </w:rPr>
      </w:pPr>
    </w:p>
    <w:p w:rsidR="00BC0946" w:rsidRDefault="00BC0946" w:rsidP="0074108D">
      <w:pPr>
        <w:spacing w:line="360" w:lineRule="auto"/>
        <w:ind w:firstLine="567"/>
        <w:jc w:val="both"/>
        <w:rPr>
          <w:rFonts w:ascii="GHEA Grapalat" w:hAnsi="GHEA Grapalat"/>
          <w:sz w:val="22"/>
          <w:szCs w:val="22"/>
          <w:lang w:val="en-US"/>
        </w:rPr>
      </w:pPr>
    </w:p>
    <w:p w:rsidR="00BC0946" w:rsidRPr="001F63BA" w:rsidRDefault="00BC0946" w:rsidP="0074108D">
      <w:pPr>
        <w:spacing w:line="360" w:lineRule="auto"/>
        <w:ind w:firstLine="567"/>
        <w:jc w:val="both"/>
        <w:rPr>
          <w:rFonts w:ascii="GHEA Grapalat" w:hAnsi="GHEA Grapalat"/>
          <w:sz w:val="22"/>
          <w:szCs w:val="22"/>
          <w:lang w:val="en-US"/>
        </w:rPr>
      </w:pPr>
    </w:p>
    <w:p w:rsidR="001C411D" w:rsidRPr="001F63BA" w:rsidRDefault="001C411D" w:rsidP="0074108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lastRenderedPageBreak/>
        <w:t>Պարեկային ծառայություն</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Այս ուղղությամբ իրականացված մեծածավալ իրավակազմակերպչական աշխատանքների արդյունքում Երևան քաղաքից հետո (2021 թվականի հուլիսի 7) Պարեկային ծառայության ստորաբաժանումներ գործարկվեցին նախ՝ 2022 թվականի ապրիլի 16-ին Լոռու և Շիրակի մարզերում, իսկ արդեն 2023 թվականի հունվարի 21-ին՝ Արագածոտնի, Գեղարքունիքի, Տավուշի և Կոտայքի մարզերում:</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Մինչև 2023 թվականի սեպտեմբեր ամիսը Պարեկային ծառայությունը, որպես արտաքին ծառայության կազմակերպման նոր և ժամանակակից մոդել, կգործի ողջ հանրապետության տարածքում: Այդ համատեքստում ներկայումս ինտենսիվ աշխատանքներ են իրականացվում վերջին 4՝ Արարատի, Արմավիրի, Սյունիքի և Վայոց ձորի մարզերում Պարեկային ծառայության ներդրման, ինչպես նաև ջրային պարեկության ստորաբաժանման ձևավորման ուղղությամբ, որը ջրային տեխնիկայի միջոցով մշտական պարեկություն կիրականացնի Սևանա լճի տարածքում և հետիոտն կարգով՝ առափնյա հատվածում:</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Վերը թվարկված մարզերում Պարեկային ծառայության գործարկմանը զուգահեռ ձևավորվել են նաև դրանց գործունեությանն օժանդակող Օպերատիվ կառավարման կենտրոններ, որոնք հանդիսանում են քաղաքացիներից ահազանգերի ընդունման կենտրոն և րոպեների ընթացքում տալիս են անհրաժեշտ խորհրդատվություն, իսկ անհրաժեշտության դեպքում մոտեցնում են պարեկային կարգախումբը՝ ապահովելով դժվարին իրավիճակում հայտնված անձանց՝ կարճ ժամանակահատվածում Ոստիկանության աջակցության ցուցաբերումը: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Ակտիվ կերպով ընթացել են նաև Պարեկային ծառայության և Օպերատիվ կառավարման կենտրոնի տեղակայման հիմնական վայրի (հասցե՝ ք.Երևան, Էրեբունի վարչական շրջան, Խորենացի 158) շենք-շինությունների կառուցման աշխատանքները, որոնք շահագործման կհանձնվեն սահմանված ժամանակացույցից (2024 թվականի մարտ) ավելի վաղ՝ նախնական 2023 թվականի սեպտեմբեր ամսին:</w:t>
      </w:r>
    </w:p>
    <w:p w:rsidR="001C411D" w:rsidRPr="001F63BA" w:rsidRDefault="001C411D" w:rsidP="0074108D">
      <w:pPr>
        <w:spacing w:line="360" w:lineRule="auto"/>
        <w:ind w:firstLine="567"/>
        <w:jc w:val="both"/>
        <w:rPr>
          <w:rFonts w:ascii="GHEA Grapalat" w:hAnsi="GHEA Grapalat"/>
          <w:sz w:val="22"/>
          <w:szCs w:val="22"/>
          <w:lang w:val="en-US"/>
        </w:rPr>
      </w:pPr>
    </w:p>
    <w:p w:rsidR="001C411D" w:rsidRPr="001F63BA" w:rsidRDefault="001C411D" w:rsidP="0074108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Ներքին գործերի նախարարության ձևավորում</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2022 թվականի դեկտեմբերի 16-ին Հայաստանի Հանրապետության Ազգային Ժողովի կողմից ընդունվեց Ներքին գործերի նախարարության ձևավորման օրենսդրական փաթեթը: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Նոր նախարարության կառուցվածքի հենքում են Ոստիկանությունը, փրկարար ու միգրացիայի և քաղաքացիության ծառայությունները: Նախարարությունն իրականացնելու է նշված ոլորտներում պետական քաղաքականության մշակումն ու կրելու է դրա իրականացման համար պատասխանատվություն, ապահովելու է ոլորտի թե՛ խորհրդարանական և թե՛ քաղաքացիական </w:t>
      </w:r>
      <w:r w:rsidRPr="001F63BA">
        <w:rPr>
          <w:rFonts w:ascii="GHEA Grapalat" w:hAnsi="GHEA Grapalat"/>
          <w:sz w:val="22"/>
          <w:szCs w:val="22"/>
          <w:lang w:val="en-US"/>
        </w:rPr>
        <w:lastRenderedPageBreak/>
        <w:t xml:space="preserve">վերահսկողությունն ու հաշվետվողականությունը, ինչը ենթակա մարմիններին հնարավորություն կտա առավելապես կենտրոնանալ մասնագիտական գործառույթների որակյալ կատարման վրա: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Ներքին գործերի նախարարության ձևավորման կազմակերպչական, ինչպես նաև ենթաօրենսդրական ու գերատեսչական ակտերի մշակման աշխատանքներն արդեն մեկնարկել են: Նշված աշխատանքները պատշաճ և սահմանված ժամկետում իրականացնելու նպատակով ձևավորվել են ոլորտային փորձագիտական խմբեր:</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Նախարարության բնականոն գործունեության ապահովման, անհրաժեշտ կադրերով համալրման աշխատանքները նախատեսվում է ավարտել վեց ամսվա ընթացքում:</w:t>
      </w:r>
    </w:p>
    <w:p w:rsidR="001C411D" w:rsidRPr="001F63BA" w:rsidRDefault="001C411D" w:rsidP="0074108D">
      <w:pPr>
        <w:spacing w:line="360" w:lineRule="auto"/>
        <w:ind w:firstLine="567"/>
        <w:jc w:val="both"/>
        <w:rPr>
          <w:rFonts w:ascii="GHEA Grapalat" w:hAnsi="GHEA Grapalat"/>
          <w:sz w:val="22"/>
          <w:szCs w:val="22"/>
          <w:lang w:val="en-US"/>
        </w:rPr>
      </w:pPr>
    </w:p>
    <w:p w:rsidR="001C411D" w:rsidRPr="001F63BA" w:rsidRDefault="001C411D" w:rsidP="0074108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Ոստիկանության զորքերի վերաիմաստավորում</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Վերջնականացվել է Ոստիկանության զորքերի վերաիմաստավորման տեսլականը: Մասնավորապես՝ նախատեսվում է ներքին գործերի նախարարության վերջնական ձևավորումից հետո Ոստիկանության զորքերն ապառազմականացնել և վերակազմակերպել Ոստիկանության գվարդիայի, որը ներառելու է նաև ներկայիս պետական պահպանության գլխավոր վարչությունը և Ճանապարհային ոստիկանության ուղեկցող ստորաբաժանումը: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Արդյունքում կստեղծվի Հայաստանի Հանրապետության ռազմավարական խնդիրները սպասարկելու ունակ, զուտ ոստիկանական նոր ծառայություն՝ միջազգային ստանդարտներին համապատասխանող նոր սպառազինությամբ ու վերապատրաստված կադրերով:</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Ոստիկանության գվարդիայի խնդիրներն են հանդիսանալու՝</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հասարակական կարգի պահպանության և հասարակական անվտանգության ապահովումը,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պետական շենքերի ու կարևորագույն օբյեկտների անվտանգության ապահովումը,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արտակարգ և ռազմական դրությունների ժամանակ իրավական ռեժիմի ապահովումը,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բարձրաստիճան պաշտոնատար անձանց, ինչպես նաև պետական արարողակարգով նախատեսված օտարերկրյա պատվիրակությունների, ներկայացուցիչների ուղեկցումը և այլն:</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Ոստիկանության գվարդիայի ձևավորմանն ուղղված ճանապարհային քարտեզի մշակման աշխատանքներն ավարտական փուլում են:</w:t>
      </w:r>
    </w:p>
    <w:p w:rsidR="001C411D" w:rsidRPr="001F63BA" w:rsidRDefault="001C411D" w:rsidP="0074108D">
      <w:pPr>
        <w:spacing w:line="360" w:lineRule="auto"/>
        <w:ind w:firstLine="567"/>
        <w:jc w:val="both"/>
        <w:rPr>
          <w:rFonts w:ascii="GHEA Grapalat" w:hAnsi="GHEA Grapalat"/>
          <w:sz w:val="22"/>
          <w:szCs w:val="22"/>
          <w:lang w:val="en-US"/>
        </w:rPr>
      </w:pPr>
    </w:p>
    <w:p w:rsidR="001C411D" w:rsidRPr="001F63BA" w:rsidRDefault="001C411D" w:rsidP="0074108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Ոստիկանությունում ծառայության գրավչության բարձրացում</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Մեծածավալ աշխատանքներ են իրականացվել Ոստիկանությունում կամավոր ատեստավորման համակարգի ներդրման ուղղությամբ, ինչը հնարավորություն կընձեռի ծառայողներին ատեստավորումը հաջողությամբ հաղթահարելու պարագայում գրեթե կրկնապատկել աշխատավարձը: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Կամավոր ատեստավորման համակարգի ներդրմանն ուղղված օրենսդրական փաթեթն արդեն դրված է արտաքին շրջանառության, ավարտական փուլում են գտնվում նաև ատեստացիոն հարցաշարերի կազմման աշխատանքները, իսկ ատեստավորման բուն գործընթացը նախատեսվում է մեկնարկել 2023 թվականի ապրիլ ամսից:</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Նշված համակարգի ներդրումը վստահաբար կբարձրացնի Ոստիկանությունում ծառայության գրավչությունը, ինչպես նաև կմոտիվացնի ծառայողներին՝ շարունակաբար աշխատելու մասնագիտական գիտելիքների և կարողությունների բարելավման ուղղությամբ:</w:t>
      </w:r>
    </w:p>
    <w:p w:rsidR="001C411D" w:rsidRPr="001F63BA" w:rsidRDefault="001C411D" w:rsidP="0074108D">
      <w:pPr>
        <w:spacing w:line="360" w:lineRule="auto"/>
        <w:ind w:firstLine="567"/>
        <w:jc w:val="both"/>
        <w:rPr>
          <w:rFonts w:ascii="GHEA Grapalat" w:hAnsi="GHEA Grapalat"/>
          <w:sz w:val="22"/>
          <w:szCs w:val="22"/>
          <w:lang w:val="en-US"/>
        </w:rPr>
      </w:pPr>
    </w:p>
    <w:p w:rsidR="001C411D" w:rsidRPr="001F63BA" w:rsidRDefault="001C411D" w:rsidP="0074108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Ոստիկանության տարածքային մարմինների վերաիմաստավորում</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Վերջնականացվել է նաև Ոստիկանության տարածքային մարմինների վերաիմաստավորման տեսլականը: Ոստիկանության տարածքային մարմինների կազմակերպական նոր ձևն ու փոփոխված գործառույթները միտված են լինելու ինչպես ծանր և առանձնապես ծանր հանցագործությունների բացահայտման արդյունավետության բարձրացմանը, այնպես էլ այդ մարմինների գործունեությունն առավելապես հանցագործությունների կանխարգելմանը նպատակաուղղելուն: </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Տեսլականի համաձայն՝ Երևան քաղաքի և մարզային մակարդակներում մարզային վարչությունների փոխարեն կձևավորվեն Քրեական ոստիկանության գլխավոր վարչության ենթակայությամբ գործող քրեական Ոստիկանության ստորաբաժանումներ, որոնց կվերապահվի ծանր և առանձնապես ծանր հանցագործությունների բացահայտման նպատակով օպերատիվ-հետախուզական միջոցառումների իրականացումը, իսկ Ոստիկանության ներկայիս տարածքային բաժինները կվերակազմակերպվեն ունիվերսալ ստորաբաժանումների՝ ապահովելով բոլոր ուղղություններով հանցագործությունների կանխարգելումը և ոչ մեծ ու միջին ծանրության հանցագործությունների դեպքերով օպերատիվ-հետախուզական միջոցառումների իրականացումը: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Ոստիկանության տարածքային մարմինների վերաիմաստավորմանն ուղղված ճանապարհային քարտեզի մշակման աշխատանքները ևս ավարտական փուլում են:</w:t>
      </w:r>
    </w:p>
    <w:p w:rsidR="001C411D" w:rsidRPr="001F63BA" w:rsidRDefault="001C411D" w:rsidP="0074108D">
      <w:pPr>
        <w:spacing w:line="360" w:lineRule="auto"/>
        <w:ind w:firstLine="567"/>
        <w:jc w:val="both"/>
        <w:rPr>
          <w:rFonts w:ascii="GHEA Grapalat" w:hAnsi="GHEA Grapalat"/>
          <w:sz w:val="22"/>
          <w:szCs w:val="22"/>
          <w:lang w:val="en-US"/>
        </w:rPr>
      </w:pPr>
    </w:p>
    <w:p w:rsidR="001C411D" w:rsidRPr="001F63BA" w:rsidRDefault="001C411D" w:rsidP="0074108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Ոստիկանության ինստիտուցիոնալ կարողությունների զարգացում</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Հանցավորության դեմ պայքարում ինստիտուցիոնալ կարողությունների զարգացման շրջանակներում ձեռք են բերվել փորձաքրեագիտական գործունեության համար անհրաժեշտ նոր տեխնիկական միջոցներ և փորձագիտական սարքավորումներ, ինչը զգալիորեն կբարելավի փորձաքննությունների կատարման որակն ու արդյունավետությունը: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Նկատի ունենալով այն հանգամանքը, որ ինչպես ամբողջ աշխարհում, այնպես էլ Հայաստանի Հանրապետությունում՝ տեղեկատվական տեխնոլոգիաների զարգացման պայմաններում </w:t>
      </w:r>
      <w:r w:rsidRPr="001F63BA">
        <w:rPr>
          <w:rFonts w:ascii="GHEA Grapalat" w:hAnsi="GHEA Grapalat"/>
          <w:sz w:val="22"/>
          <w:szCs w:val="22"/>
          <w:lang w:val="en-US"/>
        </w:rPr>
        <w:lastRenderedPageBreak/>
        <w:t>թմրամիջոցների տարածման միջոց է դարձել համացանցը, որում տեղադրված հրապարակային գովազդների միջոցով հնարավոր է դարձել ձեռք բերել և փոխանցել թմրամիջոցներ, վճարել դրանց համար առցանց դրամական փոխանցումներով, Ոստիկանության Քրեական ոստիկանության գլխավոր վարչության կազմում ստեղծվել է համացանցի միջոցով թմրամիջոցների անօրինական շրջանառության դեմ պայքարի մասնագիտացված ստորաբաժանում: Ներկայումս շարունակական աշխատանքներ են իրականացվում նշված ստորաբաժանման կարողությունների զարգացման ուղղությամբ:</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Բացի այդ, նախաձեռնվել է Ոստիկանության համապատասխան օպերատիվ ծառայության համար արդի պահանջներին համապատասխանող գաղտնալսման համակարգերի ձեռքբերման գործընթաց, ինչի ուղղությամբ աշխատանքներն ընթացքի մեջ են:</w:t>
      </w:r>
    </w:p>
    <w:p w:rsidR="001C411D" w:rsidRPr="001F63BA" w:rsidRDefault="001C411D" w:rsidP="0074108D">
      <w:pPr>
        <w:spacing w:line="360" w:lineRule="auto"/>
        <w:ind w:firstLine="567"/>
        <w:jc w:val="both"/>
        <w:rPr>
          <w:rFonts w:ascii="GHEA Grapalat" w:hAnsi="GHEA Grapalat"/>
          <w:sz w:val="22"/>
          <w:szCs w:val="22"/>
          <w:lang w:val="en-US"/>
        </w:rPr>
      </w:pPr>
    </w:p>
    <w:p w:rsidR="001C411D" w:rsidRPr="001F63BA" w:rsidRDefault="001C411D" w:rsidP="0074108D">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Կրթական նոր ծրագրեր, կրթական չափորոշիչների վերանայում և կրթական նոր միջավայր</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Ոստիկանության կրթահամալիրում ներդրվել է պարեկային ծառայողների վերապատրաստման՝ միջազգային լավագույն չափանիշներին համապատասխանող ուսումնական ծրագիր, իսկ վերջիններիս ուսուցումը կազմակերպվում է մրցութային կարգով ընտրված դասախոսական կազմի կողմից: Նաև իրականացվել է Ոստիկանության այլ ստորաբաժանումներում կրթության ոլորտի կարիքների վերհանում և, ըստ անհրաժեշտության, ուսումնական գործընթացի կազմակերպման մեթոդաբանության ոլորտում փոփոխությունների իրականացում: Միաժամանակ, կրթական աուդիտի արդյունքներով վերանայվել են Ոստիկանության ծառայողների վերապատրաստման մասնագիտական ծրագրերը։</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Ոստիկանության կրթահամալիրում ուսուցման գործընթացը լավագույնս կազմակերպելու նպատակով կառուցվել են սիմուլիացիոն լսարաններ՝ հագեցված գործնական պարապմունքների արդյունավետ իրականացման համար անհրաժեշտ տեխնիկական միջոցներով և գույքով:</w:t>
      </w:r>
    </w:p>
    <w:p w:rsidR="001C411D" w:rsidRPr="001F63BA" w:rsidRDefault="001C411D" w:rsidP="0074108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Ներկայումս աշխատանքներ են տարվում Ոստիկանության կրթական միջավայրի արմատական բարեփոխման ուղղությամբ՝ հիմքում դնելով վերապատրաստումների մեթոդը:</w:t>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AC199C">
      <w:pPr>
        <w:pStyle w:val="Heading2"/>
        <w:spacing w:before="0"/>
      </w:pPr>
      <w:bookmarkStart w:id="51" w:name="_Toc132204225"/>
      <w:r w:rsidRPr="001F63BA">
        <w:t>Բյուջեների կազմման բնագավառ</w:t>
      </w:r>
      <w:bookmarkEnd w:id="51"/>
    </w:p>
    <w:p w:rsidR="001C411D" w:rsidRPr="001F63BA" w:rsidRDefault="001C411D" w:rsidP="00CE7F55">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Իրականացվել են ոլորտներում առկա ռազմավարական փաստաթղթերի գույքագրման և դրանցով սահմանված քաղաքականության շրջանակների (նպատակներ, արդյունքներ, թիրախներ և այլն) քարտեզագրման հետ կապված աշխատանքները: Վերջնականացված փաստաթուղթը ՀՀ </w:t>
      </w:r>
      <w:r w:rsidRPr="001F63BA">
        <w:rPr>
          <w:rFonts w:ascii="GHEA Grapalat" w:hAnsi="GHEA Grapalat"/>
          <w:sz w:val="22"/>
          <w:szCs w:val="22"/>
          <w:lang w:val="en-US"/>
        </w:rPr>
        <w:lastRenderedPageBreak/>
        <w:t>ֆինանսների նախարարության կողմից տրամադրվել է բոլոր պետական կառավարման մարմիններին։</w:t>
      </w:r>
    </w:p>
    <w:p w:rsidR="001C411D" w:rsidRPr="001F63BA" w:rsidRDefault="001C411D" w:rsidP="00CE7F55">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ՀՀ վարչապետի 28.04.2022թ. N 446-Ա որոշմամբ հաստատվել է պետական բյուջետային ծրագրերի գնահատման համակարգի ներդրման հայեցակարգը:</w:t>
      </w:r>
    </w:p>
    <w:p w:rsidR="001C411D" w:rsidRPr="001F63BA" w:rsidRDefault="001C411D" w:rsidP="00EE476E">
      <w:pPr>
        <w:pStyle w:val="norm"/>
        <w:tabs>
          <w:tab w:val="left" w:pos="436"/>
          <w:tab w:val="left" w:pos="990"/>
        </w:tabs>
        <w:spacing w:line="360" w:lineRule="auto"/>
        <w:ind w:firstLine="567"/>
        <w:rPr>
          <w:rFonts w:ascii="GHEA Grapalat" w:hAnsi="GHEA Grapalat"/>
          <w:noProof/>
          <w:szCs w:val="22"/>
          <w:lang w:val="hy-AM" w:eastAsia="en-US"/>
        </w:rPr>
      </w:pPr>
      <w:r w:rsidRPr="001F63BA">
        <w:rPr>
          <w:rFonts w:ascii="GHEA Grapalat" w:hAnsi="GHEA Grapalat"/>
          <w:noProof/>
          <w:szCs w:val="22"/>
          <w:lang w:val="hy-AM" w:eastAsia="en-US"/>
        </w:rPr>
        <w:t xml:space="preserve">2022 թվականի բյուջետային գործընթացի շրջանակներում բյուջետային հայտերի կազմման և ներկայացման մեթոդական ցուցումներն արդեն իսկ պարունակում են պետության պարտադիր պարտավորություններից բխող ծրագրերի/միջոցառումների նույնականացման և հաշվառման մեթոդաբանությունը: </w:t>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AC199C">
      <w:pPr>
        <w:pStyle w:val="Heading2"/>
        <w:spacing w:before="0"/>
      </w:pPr>
      <w:bookmarkStart w:id="52" w:name="_Toc132204226"/>
      <w:r w:rsidRPr="001F63BA">
        <w:t>Հաշվապահական հաշվառում և աուդիտորական գործունեություն</w:t>
      </w:r>
      <w:bookmarkEnd w:id="52"/>
    </w:p>
    <w:p w:rsidR="001C411D" w:rsidRPr="001F63BA" w:rsidRDefault="001C411D" w:rsidP="00996CEB">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Հաշվապահական հաշվառման և աուդիտորական գործունեության ոլորտների կարգավորման նպատակով 2022 թվականի ընթացքում իրականացվել են ոլորտները կարգավորող օրենքներով նախատեսված կառուցակարգերի ներդրման աշխատանքներ։ Մասնավորապես` ներկայումս միակ հավատարմագրված մասնագիտացված կառույցի՝ «Հայաստանի աուդիտորների և փորձագետ հաշվապահների պալատ» հասարակական կազմակերպության կողմից մշակվել են մի շարք իրավական ակտեր, որոնք ներկայացվել են Հաշվապահական հաշվառման և աուդիտորական գործունեության հանրային վերահսկողության խորհրդին՝ համաձայնեցման նպատակով։ 2022 թվականի ընթացքում տեղի է ունեցել Հանրային վերահսկողության խորհրդի թվով 9 նիստ, որոնց արդյունքում ընդունվել են Հանրային վերահսկողության խորհրդի թվով 11 որոշումներ։ Մշակվել և ՀՀ ֆինանսների նախարարի 2022 հոկտեմբերի 7-ի թիվ 420-Ն հրամանով հաստատվել են աուդիտորական ծառայությունների որակի հսկողության պահանջների պահպանման արտաքին գնահատման ընթացակարգերը, որոնց հիման վրա փորձնական ստուգումներ են իրականացվել թվով 3 աուդիտորական ընկերություններում։</w:t>
      </w:r>
    </w:p>
    <w:p w:rsidR="001C411D" w:rsidRPr="001F63BA" w:rsidRDefault="001C411D" w:rsidP="00996CEB">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Հանրային հատվածի հաշվապահական հաշվառման ոլորտում 2022 թվականին կազմակերպվել են հանրային հատվածի հաշվապահների որակավորման 16 քննություններ, որոնց արդյունքում որակավորվել է թվով 78 անձ։ Իրականացվել է հանրային հատվածի թվով 47 կազմակերպությունների 2021 թվականի գործառնությունների մատյանների և ֆինանսական հաշվետվությունների մշտադիտարկում, որոնց արդյունքում վեր են հանվել տեղ գտած սխալներն ու անճշտությունները և ներկայացվել են համապատասխան կազմակերպու</w:t>
      </w:r>
      <w:r w:rsidRPr="001F63BA">
        <w:rPr>
          <w:rFonts w:ascii="GHEA Grapalat" w:hAnsi="GHEA Grapalat"/>
          <w:sz w:val="22"/>
          <w:szCs w:val="22"/>
          <w:lang w:val="en-US"/>
        </w:rPr>
        <w:softHyphen/>
        <w:t>թյուններին՝ հետագայում նմանատիպ սխալներից խուսափելու նպատակով։</w:t>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AC199C">
      <w:pPr>
        <w:pStyle w:val="Heading2"/>
        <w:spacing w:before="0"/>
      </w:pPr>
      <w:bookmarkStart w:id="53" w:name="_Toc132204227"/>
      <w:r w:rsidRPr="001F63BA">
        <w:lastRenderedPageBreak/>
        <w:t>Եկամուտների քաղաքականություն</w:t>
      </w:r>
      <w:bookmarkEnd w:id="53"/>
    </w:p>
    <w:p w:rsidR="001C411D" w:rsidRPr="001F63BA" w:rsidRDefault="001C411D" w:rsidP="00BE149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2022 թվականին հարկային քաղաքականությունը հիմնականում ուղղված է եղել </w:t>
      </w:r>
      <w:r w:rsidR="00FF639B" w:rsidRPr="001F63BA">
        <w:rPr>
          <w:rFonts w:ascii="GHEA Grapalat" w:hAnsi="GHEA Grapalat"/>
          <w:sz w:val="22"/>
          <w:szCs w:val="22"/>
          <w:lang w:val="en-US"/>
        </w:rPr>
        <w:t>Կ</w:t>
      </w:r>
      <w:r w:rsidRPr="001F63BA">
        <w:rPr>
          <w:rFonts w:ascii="GHEA Grapalat" w:hAnsi="GHEA Grapalat"/>
          <w:sz w:val="22"/>
          <w:szCs w:val="22"/>
          <w:lang w:val="en-US"/>
        </w:rPr>
        <w:t>առավարության 2021-2026 թվականների ծրագրով հարկային քաղաքականության մասով նախատես</w:t>
      </w:r>
      <w:r w:rsidRPr="001F63BA">
        <w:rPr>
          <w:rFonts w:ascii="GHEA Grapalat" w:hAnsi="GHEA Grapalat"/>
          <w:sz w:val="22"/>
          <w:szCs w:val="22"/>
          <w:lang w:val="en-US"/>
        </w:rPr>
        <w:softHyphen/>
      </w:r>
      <w:r w:rsidRPr="001F63BA">
        <w:rPr>
          <w:rFonts w:ascii="GHEA Grapalat" w:hAnsi="GHEA Grapalat"/>
          <w:sz w:val="22"/>
          <w:szCs w:val="22"/>
          <w:lang w:val="en-US"/>
        </w:rPr>
        <w:softHyphen/>
        <w:t>ված ծրագրային դրույթներն իրականացնելուն: Մասնավորապես, հարկային քաղա</w:t>
      </w:r>
      <w:r w:rsidRPr="001F63BA">
        <w:rPr>
          <w:rFonts w:ascii="GHEA Grapalat" w:hAnsi="GHEA Grapalat"/>
          <w:sz w:val="22"/>
          <w:szCs w:val="22"/>
          <w:lang w:val="en-US"/>
        </w:rPr>
        <w:softHyphen/>
        <w:t>քա</w:t>
      </w:r>
      <w:r w:rsidRPr="001F63BA">
        <w:rPr>
          <w:rFonts w:ascii="GHEA Grapalat" w:hAnsi="GHEA Grapalat"/>
          <w:sz w:val="22"/>
          <w:szCs w:val="22"/>
          <w:lang w:val="en-US"/>
        </w:rPr>
        <w:softHyphen/>
        <w:t>կա</w:t>
      </w:r>
      <w:r w:rsidRPr="001F63BA">
        <w:rPr>
          <w:rFonts w:ascii="GHEA Grapalat" w:hAnsi="GHEA Grapalat"/>
          <w:sz w:val="22"/>
          <w:szCs w:val="22"/>
          <w:lang w:val="en-US"/>
        </w:rPr>
        <w:softHyphen/>
        <w:t>նու</w:t>
      </w:r>
      <w:r w:rsidRPr="001F63BA">
        <w:rPr>
          <w:rFonts w:ascii="GHEA Grapalat" w:hAnsi="GHEA Grapalat"/>
          <w:sz w:val="22"/>
          <w:szCs w:val="22"/>
          <w:lang w:val="en-US"/>
        </w:rPr>
        <w:softHyphen/>
        <w:t>թյունն ուղղված է եղել հանրային ռեսուրսների կառավարման արդյունավետությունն ու հաս</w:t>
      </w:r>
      <w:r w:rsidRPr="001F63BA">
        <w:rPr>
          <w:rFonts w:ascii="GHEA Grapalat" w:hAnsi="GHEA Grapalat"/>
          <w:sz w:val="22"/>
          <w:szCs w:val="22"/>
          <w:lang w:val="en-US"/>
        </w:rPr>
        <w:softHyphen/>
        <w:t>ցեա</w:t>
      </w:r>
      <w:r w:rsidRPr="001F63BA">
        <w:rPr>
          <w:rFonts w:ascii="GHEA Grapalat" w:hAnsi="GHEA Grapalat"/>
          <w:sz w:val="22"/>
          <w:szCs w:val="22"/>
          <w:lang w:val="en-US"/>
        </w:rPr>
        <w:softHyphen/>
        <w:t>կանությունը բարձրացնելու և այդ ռեսուրսները հանրօգուտ ու համապետական նշա</w:t>
      </w:r>
      <w:r w:rsidRPr="001F63BA">
        <w:rPr>
          <w:rFonts w:ascii="GHEA Grapalat" w:hAnsi="GHEA Grapalat"/>
          <w:sz w:val="22"/>
          <w:szCs w:val="22"/>
          <w:lang w:val="en-US"/>
        </w:rPr>
        <w:softHyphen/>
        <w:t>նա</w:t>
      </w:r>
      <w:r w:rsidRPr="001F63BA">
        <w:rPr>
          <w:rFonts w:ascii="GHEA Grapalat" w:hAnsi="GHEA Grapalat"/>
          <w:sz w:val="22"/>
          <w:szCs w:val="22"/>
          <w:lang w:val="en-US"/>
        </w:rPr>
        <w:softHyphen/>
        <w:t>կու</w:t>
      </w:r>
      <w:r w:rsidRPr="001F63BA">
        <w:rPr>
          <w:rFonts w:ascii="GHEA Grapalat" w:hAnsi="GHEA Grapalat"/>
          <w:sz w:val="22"/>
          <w:szCs w:val="22"/>
          <w:lang w:val="en-US"/>
        </w:rPr>
        <w:softHyphen/>
        <w:t>թյուն ունեցող ծրագրերի վրա ծախսելու, ինչպես նաև հարկաբյուջետային կայունությունն ապա</w:t>
      </w:r>
      <w:r w:rsidRPr="001F63BA">
        <w:rPr>
          <w:rFonts w:ascii="GHEA Grapalat" w:hAnsi="GHEA Grapalat"/>
          <w:sz w:val="22"/>
          <w:szCs w:val="22"/>
          <w:lang w:val="en-US"/>
        </w:rPr>
        <w:softHyphen/>
        <w:t>հո</w:t>
      </w:r>
      <w:r w:rsidRPr="001F63BA">
        <w:rPr>
          <w:rFonts w:ascii="GHEA Grapalat" w:hAnsi="GHEA Grapalat"/>
          <w:sz w:val="22"/>
          <w:szCs w:val="22"/>
          <w:lang w:val="en-US"/>
        </w:rPr>
        <w:softHyphen/>
        <w:t>վելու նպատակով հարկային եկամուտների ընդլայնմանը և հարկեր/ՀՆԱ ցուցանիշի բարե</w:t>
      </w:r>
      <w:r w:rsidRPr="001F63BA">
        <w:rPr>
          <w:rFonts w:ascii="GHEA Grapalat" w:hAnsi="GHEA Grapalat"/>
          <w:sz w:val="22"/>
          <w:szCs w:val="22"/>
          <w:lang w:val="en-US"/>
        </w:rPr>
        <w:softHyphen/>
        <w:t>լավ</w:t>
      </w:r>
      <w:r w:rsidRPr="001F63BA">
        <w:rPr>
          <w:rFonts w:ascii="GHEA Grapalat" w:hAnsi="GHEA Grapalat"/>
          <w:sz w:val="22"/>
          <w:szCs w:val="22"/>
          <w:lang w:val="en-US"/>
        </w:rPr>
        <w:softHyphen/>
        <w:t>մանը: Մյուս կողմից, հարկային քաղա</w:t>
      </w:r>
      <w:r w:rsidRPr="001F63BA">
        <w:rPr>
          <w:rFonts w:ascii="GHEA Grapalat" w:hAnsi="GHEA Grapalat"/>
          <w:sz w:val="22"/>
          <w:szCs w:val="22"/>
          <w:lang w:val="en-US"/>
        </w:rPr>
        <w:softHyphen/>
        <w:t>քա</w:t>
      </w:r>
      <w:r w:rsidRPr="001F63BA">
        <w:rPr>
          <w:rFonts w:ascii="GHEA Grapalat" w:hAnsi="GHEA Grapalat"/>
          <w:sz w:val="22"/>
          <w:szCs w:val="22"/>
          <w:lang w:val="en-US"/>
        </w:rPr>
        <w:softHyphen/>
        <w:t>կա</w:t>
      </w:r>
      <w:r w:rsidRPr="001F63BA">
        <w:rPr>
          <w:rFonts w:ascii="GHEA Grapalat" w:hAnsi="GHEA Grapalat"/>
          <w:sz w:val="22"/>
          <w:szCs w:val="22"/>
          <w:lang w:val="en-US"/>
        </w:rPr>
        <w:softHyphen/>
        <w:t>նու</w:t>
      </w:r>
      <w:r w:rsidRPr="001F63BA">
        <w:rPr>
          <w:rFonts w:ascii="GHEA Grapalat" w:hAnsi="GHEA Grapalat"/>
          <w:sz w:val="22"/>
          <w:szCs w:val="22"/>
          <w:lang w:val="en-US"/>
        </w:rPr>
        <w:softHyphen/>
        <w:t>թյունն ուղղված է եղել ներդրողների համար արդար, ընկալելի և կանխատեսելի միջավայր ձևավորելուն, հարկ</w:t>
      </w:r>
      <w:r w:rsidRPr="001F63BA">
        <w:rPr>
          <w:rFonts w:ascii="GHEA Grapalat" w:hAnsi="GHEA Grapalat"/>
          <w:sz w:val="22"/>
          <w:szCs w:val="22"/>
          <w:lang w:val="en-US"/>
        </w:rPr>
        <w:softHyphen/>
        <w:t>ման համակարգում հարկային բեռի արդարացի և հավասար բաշխմանը, տնտեսական շարժառիթների հիման վրա գործող՝ ֆիզիկական անձանց եկամուտների համընդհանուր հայ</w:t>
      </w:r>
      <w:r w:rsidRPr="001F63BA">
        <w:rPr>
          <w:rFonts w:ascii="GHEA Grapalat" w:hAnsi="GHEA Grapalat"/>
          <w:sz w:val="22"/>
          <w:szCs w:val="22"/>
          <w:lang w:val="en-US"/>
        </w:rPr>
        <w:softHyphen/>
        <w:t>տա</w:t>
      </w:r>
      <w:r w:rsidRPr="001F63BA">
        <w:rPr>
          <w:rFonts w:ascii="GHEA Grapalat" w:hAnsi="GHEA Grapalat"/>
          <w:sz w:val="22"/>
          <w:szCs w:val="22"/>
          <w:lang w:val="en-US"/>
        </w:rPr>
        <w:softHyphen/>
        <w:t>րարագրման գործուն համակարգի ներդրմանը և այլն:</w:t>
      </w:r>
    </w:p>
    <w:p w:rsidR="001C411D" w:rsidRPr="001F63BA" w:rsidRDefault="001C411D" w:rsidP="00BB1B4B">
      <w:pPr>
        <w:numPr>
          <w:ilvl w:val="0"/>
          <w:numId w:val="1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Հարկեր/ՀՆԱ ցուցանիշի բարելավման աշխատանքների շրջանակներում՝</w:t>
      </w:r>
    </w:p>
    <w:p w:rsidR="001C411D" w:rsidRPr="001F63BA" w:rsidRDefault="001C411D" w:rsidP="00BB1B4B">
      <w:pPr>
        <w:numPr>
          <w:ilvl w:val="0"/>
          <w:numId w:val="20"/>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ՀՀ հարկային օրենս</w:t>
      </w:r>
      <w:r w:rsidRPr="001F63BA">
        <w:rPr>
          <w:rFonts w:ascii="GHEA Grapalat" w:hAnsi="GHEA Grapalat"/>
          <w:sz w:val="22"/>
          <w:szCs w:val="22"/>
          <w:lang w:val="en-US"/>
        </w:rPr>
        <w:softHyphen/>
        <w:t>գրքում կատարվել են լրացումներ և փոփո</w:t>
      </w:r>
      <w:r w:rsidRPr="001F63BA">
        <w:rPr>
          <w:rFonts w:ascii="GHEA Grapalat" w:hAnsi="GHEA Grapalat"/>
          <w:sz w:val="22"/>
          <w:szCs w:val="22"/>
          <w:lang w:val="en-US"/>
        </w:rPr>
        <w:softHyphen/>
        <w:t>խու</w:t>
      </w:r>
      <w:r w:rsidRPr="001F63BA">
        <w:rPr>
          <w:rFonts w:ascii="GHEA Grapalat" w:hAnsi="GHEA Grapalat"/>
          <w:sz w:val="22"/>
          <w:szCs w:val="22"/>
          <w:lang w:val="en-US"/>
        </w:rPr>
        <w:softHyphen/>
        <w:t>թյուն</w:t>
      </w:r>
      <w:r w:rsidRPr="001F63BA">
        <w:rPr>
          <w:rFonts w:ascii="GHEA Grapalat" w:hAnsi="GHEA Grapalat"/>
          <w:sz w:val="22"/>
          <w:szCs w:val="22"/>
          <w:lang w:val="en-US"/>
        </w:rPr>
        <w:softHyphen/>
        <w:t>ներ, որով հնարավորություն է ստեղծվել մետաղական օգտա</w:t>
      </w:r>
      <w:r w:rsidRPr="001F63BA">
        <w:rPr>
          <w:rFonts w:ascii="GHEA Grapalat" w:hAnsi="GHEA Grapalat"/>
          <w:sz w:val="22"/>
          <w:szCs w:val="22"/>
          <w:lang w:val="en-US"/>
        </w:rPr>
        <w:softHyphen/>
        <w:t>կար հանածո</w:t>
      </w:r>
      <w:r w:rsidRPr="001F63BA">
        <w:rPr>
          <w:rFonts w:ascii="GHEA Grapalat" w:hAnsi="GHEA Grapalat"/>
          <w:sz w:val="22"/>
          <w:szCs w:val="22"/>
          <w:lang w:val="en-US"/>
        </w:rPr>
        <w:softHyphen/>
        <w:t>ների համար վճար</w:t>
      </w:r>
      <w:r w:rsidRPr="001F63BA">
        <w:rPr>
          <w:rFonts w:ascii="GHEA Grapalat" w:hAnsi="GHEA Grapalat"/>
          <w:sz w:val="22"/>
          <w:szCs w:val="22"/>
          <w:lang w:val="en-US"/>
        </w:rPr>
        <w:softHyphen/>
        <w:t>վող ռոյալթիի համա</w:t>
      </w:r>
      <w:r w:rsidRPr="001F63BA">
        <w:rPr>
          <w:rFonts w:ascii="GHEA Grapalat" w:hAnsi="GHEA Grapalat"/>
          <w:sz w:val="22"/>
          <w:szCs w:val="22"/>
          <w:lang w:val="en-US"/>
        </w:rPr>
        <w:softHyphen/>
        <w:t>կարգը դարձնել մետաղ</w:t>
      </w:r>
      <w:r w:rsidRPr="001F63BA">
        <w:rPr>
          <w:rFonts w:ascii="GHEA Grapalat" w:hAnsi="GHEA Grapalat"/>
          <w:sz w:val="22"/>
          <w:szCs w:val="22"/>
          <w:lang w:val="en-US"/>
        </w:rPr>
        <w:softHyphen/>
      </w:r>
      <w:r w:rsidRPr="001F63BA">
        <w:rPr>
          <w:rFonts w:ascii="GHEA Grapalat" w:hAnsi="GHEA Grapalat"/>
          <w:sz w:val="22"/>
          <w:szCs w:val="22"/>
          <w:lang w:val="en-US"/>
        </w:rPr>
        <w:softHyphen/>
        <w:t>ների միջազ</w:t>
      </w:r>
      <w:r w:rsidRPr="001F63BA">
        <w:rPr>
          <w:rFonts w:ascii="GHEA Grapalat" w:hAnsi="GHEA Grapalat"/>
          <w:sz w:val="22"/>
          <w:szCs w:val="22"/>
          <w:lang w:val="en-US"/>
        </w:rPr>
        <w:softHyphen/>
        <w:t>գա</w:t>
      </w:r>
      <w:r w:rsidRPr="001F63BA">
        <w:rPr>
          <w:rFonts w:ascii="GHEA Grapalat" w:hAnsi="GHEA Grapalat"/>
          <w:sz w:val="22"/>
          <w:szCs w:val="22"/>
          <w:lang w:val="en-US"/>
        </w:rPr>
        <w:softHyphen/>
        <w:t>յին գնե</w:t>
      </w:r>
      <w:r w:rsidRPr="001F63BA">
        <w:rPr>
          <w:rFonts w:ascii="GHEA Grapalat" w:hAnsi="GHEA Grapalat"/>
          <w:sz w:val="22"/>
          <w:szCs w:val="22"/>
          <w:lang w:val="en-US"/>
        </w:rPr>
        <w:softHyphen/>
        <w:t>րին ավելի արձագանքող և ավելի պրոգ</w:t>
      </w:r>
      <w:r w:rsidRPr="001F63BA">
        <w:rPr>
          <w:rFonts w:ascii="GHEA Grapalat" w:hAnsi="GHEA Grapalat"/>
          <w:sz w:val="22"/>
          <w:szCs w:val="22"/>
          <w:lang w:val="en-US"/>
        </w:rPr>
        <w:softHyphen/>
      </w:r>
      <w:r w:rsidRPr="001F63BA">
        <w:rPr>
          <w:rFonts w:ascii="GHEA Grapalat" w:hAnsi="GHEA Grapalat"/>
          <w:sz w:val="22"/>
          <w:szCs w:val="22"/>
          <w:lang w:val="en-US"/>
        </w:rPr>
        <w:softHyphen/>
        <w:t>րե</w:t>
      </w:r>
      <w:r w:rsidRPr="001F63BA">
        <w:rPr>
          <w:rFonts w:ascii="GHEA Grapalat" w:hAnsi="GHEA Grapalat"/>
          <w:sz w:val="22"/>
          <w:szCs w:val="22"/>
          <w:lang w:val="en-US"/>
        </w:rPr>
        <w:softHyphen/>
        <w:t>սիվ՝ դրանով իսկ մետաղ</w:t>
      </w:r>
      <w:r w:rsidRPr="001F63BA">
        <w:rPr>
          <w:rFonts w:ascii="GHEA Grapalat" w:hAnsi="GHEA Grapalat"/>
          <w:sz w:val="22"/>
          <w:szCs w:val="22"/>
          <w:lang w:val="en-US"/>
        </w:rPr>
        <w:softHyphen/>
      </w:r>
      <w:r w:rsidRPr="001F63BA">
        <w:rPr>
          <w:rFonts w:ascii="GHEA Grapalat" w:hAnsi="GHEA Grapalat"/>
          <w:sz w:val="22"/>
          <w:szCs w:val="22"/>
          <w:lang w:val="en-US"/>
        </w:rPr>
        <w:softHyphen/>
        <w:t>ների բարձր գների պայ</w:t>
      </w:r>
      <w:r w:rsidRPr="001F63BA">
        <w:rPr>
          <w:rFonts w:ascii="GHEA Grapalat" w:hAnsi="GHEA Grapalat"/>
          <w:sz w:val="22"/>
          <w:szCs w:val="22"/>
          <w:lang w:val="en-US"/>
        </w:rPr>
        <w:softHyphen/>
      </w:r>
      <w:r w:rsidRPr="001F63BA">
        <w:rPr>
          <w:rFonts w:ascii="GHEA Grapalat" w:hAnsi="GHEA Grapalat"/>
          <w:sz w:val="22"/>
          <w:szCs w:val="22"/>
          <w:lang w:val="en-US"/>
        </w:rPr>
        <w:softHyphen/>
        <w:t>մաններում պետական բյուջեի համար ապա</w:t>
      </w:r>
      <w:r w:rsidRPr="001F63BA">
        <w:rPr>
          <w:rFonts w:ascii="GHEA Grapalat" w:hAnsi="GHEA Grapalat"/>
          <w:sz w:val="22"/>
          <w:szCs w:val="22"/>
          <w:lang w:val="en-US"/>
        </w:rPr>
        <w:softHyphen/>
        <w:t>հո</w:t>
      </w:r>
      <w:r w:rsidRPr="001F63BA">
        <w:rPr>
          <w:rFonts w:ascii="GHEA Grapalat" w:hAnsi="GHEA Grapalat"/>
          <w:sz w:val="22"/>
          <w:szCs w:val="22"/>
          <w:lang w:val="en-US"/>
        </w:rPr>
        <w:softHyphen/>
        <w:t>վե</w:t>
      </w:r>
      <w:r w:rsidRPr="001F63BA">
        <w:rPr>
          <w:rFonts w:ascii="GHEA Grapalat" w:hAnsi="GHEA Grapalat"/>
          <w:sz w:val="22"/>
          <w:szCs w:val="22"/>
          <w:lang w:val="en-US"/>
        </w:rPr>
        <w:softHyphen/>
        <w:t>լով լրացուցիչ հար</w:t>
      </w:r>
      <w:r w:rsidRPr="001F63BA">
        <w:rPr>
          <w:rFonts w:ascii="GHEA Grapalat" w:hAnsi="GHEA Grapalat"/>
          <w:sz w:val="22"/>
          <w:szCs w:val="22"/>
          <w:lang w:val="en-US"/>
        </w:rPr>
        <w:softHyphen/>
      </w:r>
      <w:r w:rsidRPr="001F63BA">
        <w:rPr>
          <w:rFonts w:ascii="GHEA Grapalat" w:hAnsi="GHEA Grapalat"/>
          <w:sz w:val="22"/>
          <w:szCs w:val="22"/>
          <w:lang w:val="en-US"/>
        </w:rPr>
        <w:softHyphen/>
        <w:t>կային եկա</w:t>
      </w:r>
      <w:r w:rsidRPr="001F63BA">
        <w:rPr>
          <w:rFonts w:ascii="GHEA Grapalat" w:hAnsi="GHEA Grapalat"/>
          <w:sz w:val="22"/>
          <w:szCs w:val="22"/>
          <w:lang w:val="en-US"/>
        </w:rPr>
        <w:softHyphen/>
        <w:t>մուտ</w:t>
      </w:r>
      <w:r w:rsidRPr="001F63BA">
        <w:rPr>
          <w:rFonts w:ascii="GHEA Grapalat" w:hAnsi="GHEA Grapalat"/>
          <w:sz w:val="22"/>
          <w:szCs w:val="22"/>
          <w:lang w:val="en-US"/>
        </w:rPr>
        <w:softHyphen/>
        <w:t>ներ: Մաս</w:t>
      </w:r>
      <w:r w:rsidRPr="001F63BA">
        <w:rPr>
          <w:rFonts w:ascii="GHEA Grapalat" w:hAnsi="GHEA Grapalat"/>
          <w:sz w:val="22"/>
          <w:szCs w:val="22"/>
          <w:lang w:val="en-US"/>
        </w:rPr>
        <w:softHyphen/>
      </w:r>
      <w:r w:rsidRPr="001F63BA">
        <w:rPr>
          <w:rFonts w:ascii="GHEA Grapalat" w:hAnsi="GHEA Grapalat"/>
          <w:sz w:val="22"/>
          <w:szCs w:val="22"/>
          <w:lang w:val="en-US"/>
        </w:rPr>
        <w:softHyphen/>
        <w:t>նավորապես, վերանայվել է մետաղական օգտա</w:t>
      </w:r>
      <w:r w:rsidRPr="001F63BA">
        <w:rPr>
          <w:rFonts w:ascii="GHEA Grapalat" w:hAnsi="GHEA Grapalat"/>
          <w:sz w:val="22"/>
          <w:szCs w:val="22"/>
          <w:lang w:val="en-US"/>
        </w:rPr>
        <w:softHyphen/>
        <w:t>կար հանածոների մասով ռոյալ</w:t>
      </w:r>
      <w:r w:rsidRPr="001F63BA">
        <w:rPr>
          <w:rFonts w:ascii="GHEA Grapalat" w:hAnsi="GHEA Grapalat"/>
          <w:sz w:val="22"/>
          <w:szCs w:val="22"/>
          <w:lang w:val="en-US"/>
        </w:rPr>
        <w:softHyphen/>
        <w:t>թիի դրույ</w:t>
      </w:r>
      <w:r w:rsidRPr="001F63BA">
        <w:rPr>
          <w:rFonts w:ascii="GHEA Grapalat" w:hAnsi="GHEA Grapalat"/>
          <w:sz w:val="22"/>
          <w:szCs w:val="22"/>
          <w:lang w:val="en-US"/>
        </w:rPr>
        <w:softHyphen/>
        <w:t>քաչափի հաշ</w:t>
      </w:r>
      <w:r w:rsidRPr="001F63BA">
        <w:rPr>
          <w:rFonts w:ascii="GHEA Grapalat" w:hAnsi="GHEA Grapalat"/>
          <w:sz w:val="22"/>
          <w:szCs w:val="22"/>
          <w:lang w:val="en-US"/>
        </w:rPr>
        <w:softHyphen/>
        <w:t>վարկման բանաձևը, և բանաձևում լրացվել է 15 տոկոսից բարձր շահու</w:t>
      </w:r>
      <w:r w:rsidRPr="001F63BA">
        <w:rPr>
          <w:rFonts w:ascii="GHEA Grapalat" w:hAnsi="GHEA Grapalat"/>
          <w:sz w:val="22"/>
          <w:szCs w:val="22"/>
          <w:lang w:val="en-US"/>
        </w:rPr>
        <w:softHyphen/>
      </w:r>
      <w:r w:rsidRPr="001F63BA">
        <w:rPr>
          <w:rFonts w:ascii="GHEA Grapalat" w:hAnsi="GHEA Grapalat"/>
          <w:sz w:val="22"/>
          <w:szCs w:val="22"/>
          <w:lang w:val="en-US"/>
        </w:rPr>
        <w:softHyphen/>
        <w:t>թա</w:t>
      </w:r>
      <w:r w:rsidRPr="001F63BA">
        <w:rPr>
          <w:rFonts w:ascii="GHEA Grapalat" w:hAnsi="GHEA Grapalat"/>
          <w:sz w:val="22"/>
          <w:szCs w:val="22"/>
          <w:lang w:val="en-US"/>
        </w:rPr>
        <w:softHyphen/>
        <w:t>բե</w:t>
      </w:r>
      <w:r w:rsidRPr="001F63BA">
        <w:rPr>
          <w:rFonts w:ascii="GHEA Grapalat" w:hAnsi="GHEA Grapalat"/>
          <w:sz w:val="22"/>
          <w:szCs w:val="22"/>
          <w:lang w:val="en-US"/>
        </w:rPr>
        <w:softHyphen/>
        <w:t>րության պայ</w:t>
      </w:r>
      <w:r w:rsidRPr="001F63BA">
        <w:rPr>
          <w:rFonts w:ascii="GHEA Grapalat" w:hAnsi="GHEA Grapalat"/>
          <w:sz w:val="22"/>
          <w:szCs w:val="22"/>
          <w:lang w:val="en-US"/>
        </w:rPr>
        <w:softHyphen/>
      </w:r>
      <w:r w:rsidRPr="001F63BA">
        <w:rPr>
          <w:rFonts w:ascii="GHEA Grapalat" w:hAnsi="GHEA Grapalat"/>
          <w:sz w:val="22"/>
          <w:szCs w:val="22"/>
          <w:lang w:val="en-US"/>
        </w:rPr>
        <w:softHyphen/>
        <w:t>մաններում հաշվարկվող լրացուցիչ բաղադրիչ, որի արդյուն</w:t>
      </w:r>
      <w:r w:rsidRPr="001F63BA">
        <w:rPr>
          <w:rFonts w:ascii="GHEA Grapalat" w:hAnsi="GHEA Grapalat"/>
          <w:sz w:val="22"/>
          <w:szCs w:val="22"/>
          <w:lang w:val="en-US"/>
        </w:rPr>
        <w:softHyphen/>
      </w:r>
      <w:r w:rsidRPr="001F63BA">
        <w:rPr>
          <w:rFonts w:ascii="GHEA Grapalat" w:hAnsi="GHEA Grapalat"/>
          <w:sz w:val="22"/>
          <w:szCs w:val="22"/>
          <w:lang w:val="en-US"/>
        </w:rPr>
        <w:softHyphen/>
        <w:t>քում կհա</w:t>
      </w:r>
      <w:r w:rsidRPr="001F63BA">
        <w:rPr>
          <w:rFonts w:ascii="GHEA Grapalat" w:hAnsi="GHEA Grapalat"/>
          <w:sz w:val="22"/>
          <w:szCs w:val="22"/>
          <w:lang w:val="en-US"/>
        </w:rPr>
        <w:softHyphen/>
        <w:t>շ</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վարկվի հավել</w:t>
      </w:r>
      <w:r w:rsidRPr="001F63BA">
        <w:rPr>
          <w:rFonts w:ascii="GHEA Grapalat" w:hAnsi="GHEA Grapalat"/>
          <w:sz w:val="22"/>
          <w:szCs w:val="22"/>
          <w:lang w:val="en-US"/>
        </w:rPr>
        <w:softHyphen/>
        <w:t>յալ ռոյալթի՝ 15 տոկոս դրույքաչափով: Բարձրացվել է նաև 2023 թվա</w:t>
      </w:r>
      <w:r w:rsidRPr="001F63BA">
        <w:rPr>
          <w:rFonts w:ascii="GHEA Grapalat" w:hAnsi="GHEA Grapalat"/>
          <w:sz w:val="22"/>
          <w:szCs w:val="22"/>
          <w:lang w:val="en-US"/>
        </w:rPr>
        <w:softHyphen/>
        <w:t>կանի ռոյալթիի կան</w:t>
      </w:r>
      <w:r w:rsidRPr="001F63BA">
        <w:rPr>
          <w:rFonts w:ascii="GHEA Grapalat" w:hAnsi="GHEA Grapalat"/>
          <w:sz w:val="22"/>
          <w:szCs w:val="22"/>
          <w:lang w:val="en-US"/>
        </w:rPr>
        <w:softHyphen/>
        <w:t>խավճարների չափը՝ 25 տոկոսի փոխարեն սահմանվելով 30 տոկոս,</w:t>
      </w:r>
    </w:p>
    <w:p w:rsidR="001C411D" w:rsidRPr="001F63BA" w:rsidRDefault="001C411D" w:rsidP="00BB1B4B">
      <w:pPr>
        <w:numPr>
          <w:ilvl w:val="0"/>
          <w:numId w:val="20"/>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«Պետա</w:t>
      </w:r>
      <w:r w:rsidRPr="001F63BA">
        <w:rPr>
          <w:rFonts w:ascii="GHEA Grapalat" w:hAnsi="GHEA Grapalat"/>
          <w:sz w:val="22"/>
          <w:szCs w:val="22"/>
          <w:lang w:val="en-US"/>
        </w:rPr>
        <w:softHyphen/>
      </w:r>
      <w:r w:rsidRPr="001F63BA">
        <w:rPr>
          <w:rFonts w:ascii="GHEA Grapalat" w:hAnsi="GHEA Grapalat"/>
          <w:sz w:val="22"/>
          <w:szCs w:val="22"/>
          <w:lang w:val="en-US"/>
        </w:rPr>
        <w:softHyphen/>
        <w:t>կան տուրքի մասին», «Վիճա</w:t>
      </w:r>
      <w:r w:rsidRPr="001F63BA">
        <w:rPr>
          <w:rFonts w:ascii="GHEA Grapalat" w:hAnsi="GHEA Grapalat"/>
          <w:sz w:val="22"/>
          <w:szCs w:val="22"/>
          <w:lang w:val="en-US"/>
        </w:rPr>
        <w:softHyphen/>
      </w:r>
      <w:r w:rsidRPr="001F63BA">
        <w:rPr>
          <w:rFonts w:ascii="GHEA Grapalat" w:hAnsi="GHEA Grapalat"/>
          <w:sz w:val="22"/>
          <w:szCs w:val="22"/>
          <w:lang w:val="en-US"/>
        </w:rPr>
        <w:softHyphen/>
        <w:t xml:space="preserve">կախաղերի մասին» և </w:t>
      </w:r>
      <w:bookmarkStart w:id="54" w:name="_Hlk96600651"/>
      <w:r w:rsidRPr="001F63BA">
        <w:rPr>
          <w:rFonts w:ascii="GHEA Grapalat" w:hAnsi="GHEA Grapalat"/>
          <w:sz w:val="22"/>
          <w:szCs w:val="22"/>
          <w:lang w:val="en-US"/>
        </w:rPr>
        <w:t>«</w:t>
      </w:r>
      <w:bookmarkEnd w:id="54"/>
      <w:r w:rsidRPr="001F63BA">
        <w:rPr>
          <w:rFonts w:ascii="GHEA Grapalat" w:hAnsi="GHEA Grapalat"/>
          <w:sz w:val="22"/>
          <w:szCs w:val="22"/>
          <w:lang w:val="en-US"/>
        </w:rPr>
        <w:t>Շահու</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մով խաղերի, ինտեր</w:t>
      </w:r>
      <w:r w:rsidRPr="001F63BA">
        <w:rPr>
          <w:rFonts w:ascii="GHEA Grapalat" w:hAnsi="GHEA Grapalat"/>
          <w:sz w:val="22"/>
          <w:szCs w:val="22"/>
          <w:lang w:val="en-US"/>
        </w:rPr>
        <w:softHyphen/>
        <w:t>նետ շահու</w:t>
      </w:r>
      <w:r w:rsidRPr="001F63BA">
        <w:rPr>
          <w:rFonts w:ascii="GHEA Grapalat" w:hAnsi="GHEA Grapalat"/>
          <w:sz w:val="22"/>
          <w:szCs w:val="22"/>
          <w:lang w:val="en-US"/>
        </w:rPr>
        <w:softHyphen/>
        <w:t>մով խաղերի և խաղատների մասին</w:t>
      </w:r>
      <w:bookmarkStart w:id="55" w:name="_Hlk96600667"/>
      <w:r w:rsidRPr="001F63BA">
        <w:rPr>
          <w:rFonts w:ascii="GHEA Grapalat" w:hAnsi="GHEA Grapalat"/>
          <w:sz w:val="22"/>
          <w:szCs w:val="22"/>
          <w:lang w:val="en-US"/>
        </w:rPr>
        <w:t>»</w:t>
      </w:r>
      <w:bookmarkEnd w:id="55"/>
      <w:r w:rsidRPr="001F63BA">
        <w:rPr>
          <w:rFonts w:ascii="GHEA Grapalat" w:hAnsi="GHEA Grapalat"/>
          <w:sz w:val="22"/>
          <w:szCs w:val="22"/>
          <w:lang w:val="en-US"/>
        </w:rPr>
        <w:t xml:space="preserve"> ՀՀ օրենքներում կատարվել են լրացումներ, որոն</w:t>
      </w:r>
      <w:r w:rsidRPr="001F63BA">
        <w:rPr>
          <w:rFonts w:ascii="GHEA Grapalat" w:hAnsi="GHEA Grapalat"/>
          <w:sz w:val="22"/>
          <w:szCs w:val="22"/>
          <w:lang w:val="en-US"/>
        </w:rPr>
        <w:softHyphen/>
        <w:t>ցով բարձրացվել է խաղա</w:t>
      </w:r>
      <w:r w:rsidRPr="001F63BA">
        <w:rPr>
          <w:rFonts w:ascii="GHEA Grapalat" w:hAnsi="GHEA Grapalat"/>
          <w:sz w:val="22"/>
          <w:szCs w:val="22"/>
          <w:lang w:val="en-US"/>
        </w:rPr>
        <w:softHyphen/>
        <w:t>յին ոլորտի ինտեր</w:t>
      </w:r>
      <w:r w:rsidRPr="001F63BA">
        <w:rPr>
          <w:rFonts w:ascii="GHEA Grapalat" w:hAnsi="GHEA Grapalat"/>
          <w:sz w:val="22"/>
          <w:szCs w:val="22"/>
          <w:lang w:val="en-US"/>
        </w:rPr>
        <w:softHyphen/>
        <w:t>նետ շահումով խաղերի և տոտալիզատորի, ինտերնետ տոտա</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լի</w:t>
      </w:r>
      <w:r w:rsidRPr="001F63BA">
        <w:rPr>
          <w:rFonts w:ascii="GHEA Grapalat" w:hAnsi="GHEA Grapalat"/>
          <w:sz w:val="22"/>
          <w:szCs w:val="22"/>
          <w:lang w:val="en-US"/>
        </w:rPr>
        <w:softHyphen/>
        <w:t>զա</w:t>
      </w:r>
      <w:r w:rsidRPr="001F63BA">
        <w:rPr>
          <w:rFonts w:ascii="GHEA Grapalat" w:hAnsi="GHEA Grapalat"/>
          <w:sz w:val="22"/>
          <w:szCs w:val="22"/>
          <w:lang w:val="en-US"/>
        </w:rPr>
        <w:softHyphen/>
        <w:t>տորի հարկային բեռը, մասնավորապես, ինտեր</w:t>
      </w:r>
      <w:r w:rsidRPr="001F63BA">
        <w:rPr>
          <w:rFonts w:ascii="GHEA Grapalat" w:hAnsi="GHEA Grapalat"/>
          <w:sz w:val="22"/>
          <w:szCs w:val="22"/>
          <w:lang w:val="en-US"/>
        </w:rPr>
        <w:softHyphen/>
        <w:t>նետ շահումով խաղերի և տոտալիզատորի, ինտերնետ տոտա</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լի</w:t>
      </w:r>
      <w:r w:rsidRPr="001F63BA">
        <w:rPr>
          <w:rFonts w:ascii="GHEA Grapalat" w:hAnsi="GHEA Grapalat"/>
          <w:sz w:val="22"/>
          <w:szCs w:val="22"/>
          <w:lang w:val="en-US"/>
        </w:rPr>
        <w:softHyphen/>
        <w:t>զա</w:t>
      </w:r>
      <w:r w:rsidRPr="001F63BA">
        <w:rPr>
          <w:rFonts w:ascii="GHEA Grapalat" w:hAnsi="GHEA Grapalat"/>
          <w:sz w:val="22"/>
          <w:szCs w:val="22"/>
          <w:lang w:val="en-US"/>
        </w:rPr>
        <w:softHyphen/>
        <w:t>տորի մասով խաղադրույքներ ընդու</w:t>
      </w:r>
      <w:r w:rsidRPr="001F63BA">
        <w:rPr>
          <w:rFonts w:ascii="GHEA Grapalat" w:hAnsi="GHEA Grapalat"/>
          <w:sz w:val="22"/>
          <w:szCs w:val="22"/>
          <w:lang w:val="en-US"/>
        </w:rPr>
        <w:softHyphen/>
        <w:t>նելու իրա</w:t>
      </w:r>
      <w:r w:rsidRPr="001F63BA">
        <w:rPr>
          <w:rFonts w:ascii="GHEA Grapalat" w:hAnsi="GHEA Grapalat"/>
          <w:sz w:val="22"/>
          <w:szCs w:val="22"/>
          <w:lang w:val="en-US"/>
        </w:rPr>
        <w:softHyphen/>
        <w:t>վունք ձեռք բերելու համար սահ</w:t>
      </w:r>
      <w:r w:rsidRPr="001F63BA">
        <w:rPr>
          <w:rFonts w:ascii="GHEA Grapalat" w:hAnsi="GHEA Grapalat"/>
          <w:sz w:val="22"/>
          <w:szCs w:val="22"/>
          <w:lang w:val="en-US"/>
        </w:rPr>
        <w:softHyphen/>
        <w:t>ման</w:t>
      </w:r>
      <w:r w:rsidRPr="001F63BA">
        <w:rPr>
          <w:rFonts w:ascii="GHEA Grapalat" w:hAnsi="GHEA Grapalat"/>
          <w:sz w:val="22"/>
          <w:szCs w:val="22"/>
          <w:lang w:val="en-US"/>
        </w:rPr>
        <w:softHyphen/>
        <w:t>վել են պետական տուրքեր:</w:t>
      </w:r>
    </w:p>
    <w:p w:rsidR="001C411D" w:rsidRPr="001F63BA" w:rsidRDefault="001C411D" w:rsidP="00AD47FB">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ՀՀ հարկային օրենսգրքով սահմանվել են նաև էլեկ</w:t>
      </w:r>
      <w:r w:rsidRPr="001F63BA">
        <w:rPr>
          <w:rFonts w:ascii="GHEA Grapalat" w:hAnsi="GHEA Grapalat"/>
          <w:sz w:val="22"/>
          <w:szCs w:val="22"/>
          <w:lang w:val="en-US"/>
        </w:rPr>
        <w:softHyphen/>
        <w:t>տրական ծխախոտի արտադ</w:t>
      </w:r>
      <w:r w:rsidRPr="001F63BA">
        <w:rPr>
          <w:rFonts w:ascii="GHEA Grapalat" w:hAnsi="GHEA Grapalat"/>
          <w:sz w:val="22"/>
          <w:szCs w:val="22"/>
          <w:lang w:val="en-US"/>
        </w:rPr>
        <w:softHyphen/>
        <w:t>րանքի՝ ակցիզային հար</w:t>
      </w:r>
      <w:r w:rsidRPr="001F63BA">
        <w:rPr>
          <w:rFonts w:ascii="GHEA Grapalat" w:hAnsi="GHEA Grapalat"/>
          <w:sz w:val="22"/>
          <w:szCs w:val="22"/>
          <w:lang w:val="en-US"/>
        </w:rPr>
        <w:softHyphen/>
        <w:t>կով հարկ</w:t>
      </w:r>
      <w:r w:rsidRPr="001F63BA">
        <w:rPr>
          <w:rFonts w:ascii="GHEA Grapalat" w:hAnsi="GHEA Grapalat"/>
          <w:sz w:val="22"/>
          <w:szCs w:val="22"/>
          <w:lang w:val="en-US"/>
        </w:rPr>
        <w:softHyphen/>
        <w:t>ման կարգա</w:t>
      </w:r>
      <w:r w:rsidRPr="001F63BA">
        <w:rPr>
          <w:rFonts w:ascii="GHEA Grapalat" w:hAnsi="GHEA Grapalat"/>
          <w:sz w:val="22"/>
          <w:szCs w:val="22"/>
          <w:lang w:val="en-US"/>
        </w:rPr>
        <w:softHyphen/>
        <w:t>վո</w:t>
      </w:r>
      <w:r w:rsidRPr="001F63BA">
        <w:rPr>
          <w:rFonts w:ascii="GHEA Grapalat" w:hAnsi="GHEA Grapalat"/>
          <w:sz w:val="22"/>
          <w:szCs w:val="22"/>
          <w:lang w:val="en-US"/>
        </w:rPr>
        <w:softHyphen/>
        <w:t>րում</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ներ, ինչպես նաև ԵՏՄ անդամ երկրներից էլեկտ</w:t>
      </w:r>
      <w:r w:rsidRPr="001F63BA">
        <w:rPr>
          <w:rFonts w:ascii="GHEA Grapalat" w:hAnsi="GHEA Grapalat"/>
          <w:sz w:val="22"/>
          <w:szCs w:val="22"/>
          <w:lang w:val="en-US"/>
        </w:rPr>
        <w:softHyphen/>
      </w:r>
      <w:r w:rsidRPr="001F63BA">
        <w:rPr>
          <w:rFonts w:ascii="GHEA Grapalat" w:hAnsi="GHEA Grapalat"/>
          <w:sz w:val="22"/>
          <w:szCs w:val="22"/>
          <w:lang w:val="en-US"/>
        </w:rPr>
        <w:softHyphen/>
        <w:t>րո</w:t>
      </w:r>
      <w:r w:rsidRPr="001F63BA">
        <w:rPr>
          <w:rFonts w:ascii="GHEA Grapalat" w:hAnsi="GHEA Grapalat"/>
          <w:sz w:val="22"/>
          <w:szCs w:val="22"/>
          <w:lang w:val="en-US"/>
        </w:rPr>
        <w:softHyphen/>
        <w:t>նա</w:t>
      </w:r>
      <w:r w:rsidRPr="001F63BA">
        <w:rPr>
          <w:rFonts w:ascii="GHEA Grapalat" w:hAnsi="GHEA Grapalat"/>
          <w:sz w:val="22"/>
          <w:szCs w:val="22"/>
          <w:lang w:val="en-US"/>
        </w:rPr>
        <w:softHyphen/>
        <w:t xml:space="preserve">յին </w:t>
      </w:r>
      <w:r w:rsidRPr="001F63BA">
        <w:rPr>
          <w:rFonts w:ascii="GHEA Grapalat" w:hAnsi="GHEA Grapalat"/>
          <w:sz w:val="22"/>
          <w:szCs w:val="22"/>
          <w:lang w:val="en-US"/>
        </w:rPr>
        <w:lastRenderedPageBreak/>
        <w:t>առևտրի շրջանակում ՀՀ տարածքում ֆիզի</w:t>
      </w:r>
      <w:r w:rsidRPr="001F63BA">
        <w:rPr>
          <w:rFonts w:ascii="GHEA Grapalat" w:hAnsi="GHEA Grapalat"/>
          <w:sz w:val="22"/>
          <w:szCs w:val="22"/>
          <w:lang w:val="en-US"/>
        </w:rPr>
        <w:softHyphen/>
        <w:t>կա</w:t>
      </w:r>
      <w:r w:rsidRPr="001F63BA">
        <w:rPr>
          <w:rFonts w:ascii="GHEA Grapalat" w:hAnsi="GHEA Grapalat"/>
          <w:sz w:val="22"/>
          <w:szCs w:val="22"/>
          <w:lang w:val="en-US"/>
        </w:rPr>
        <w:softHyphen/>
        <w:t>կան անձանց ապրանքների իրաց</w:t>
      </w:r>
      <w:r w:rsidRPr="001F63BA">
        <w:rPr>
          <w:rFonts w:ascii="GHEA Grapalat" w:hAnsi="GHEA Grapalat"/>
          <w:sz w:val="22"/>
          <w:szCs w:val="22"/>
          <w:lang w:val="en-US"/>
        </w:rPr>
        <w:softHyphen/>
        <w:t>ման դեպ</w:t>
      </w:r>
      <w:r w:rsidRPr="001F63BA">
        <w:rPr>
          <w:rFonts w:ascii="GHEA Grapalat" w:hAnsi="GHEA Grapalat"/>
          <w:sz w:val="22"/>
          <w:szCs w:val="22"/>
          <w:lang w:val="en-US"/>
        </w:rPr>
        <w:softHyphen/>
      </w:r>
      <w:r w:rsidRPr="001F63BA">
        <w:rPr>
          <w:rFonts w:ascii="GHEA Grapalat" w:hAnsi="GHEA Grapalat"/>
          <w:sz w:val="22"/>
          <w:szCs w:val="22"/>
          <w:lang w:val="en-US"/>
        </w:rPr>
        <w:softHyphen/>
        <w:t>քում ԱԱՀ-ի հաշ</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վարկման հետ կապված կարգավորումներ:</w:t>
      </w:r>
    </w:p>
    <w:p w:rsidR="001C411D" w:rsidRPr="001F63BA" w:rsidRDefault="001C411D" w:rsidP="00AD47FB">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Մյուս կողմից, փոփոխություններ են կատարվել ՀՀ հարկային օրենսգրքում, «Տեղական տուրքերի և վճարների մասին» և «Անշարժ գույքի հարկով հարկ</w:t>
      </w:r>
      <w:r w:rsidRPr="001F63BA">
        <w:rPr>
          <w:rFonts w:ascii="GHEA Grapalat" w:hAnsi="GHEA Grapalat"/>
          <w:sz w:val="22"/>
          <w:szCs w:val="22"/>
          <w:lang w:val="en-US"/>
        </w:rPr>
        <w:softHyphen/>
        <w:t>ման նպատակով անշարժ գույքի շուկայական արժեքին մոտարկված կադաստրային գնա</w:t>
      </w:r>
      <w:r w:rsidRPr="001F63BA">
        <w:rPr>
          <w:rFonts w:ascii="GHEA Grapalat" w:hAnsi="GHEA Grapalat"/>
          <w:sz w:val="22"/>
          <w:szCs w:val="22"/>
          <w:lang w:val="en-US"/>
        </w:rPr>
        <w:softHyphen/>
        <w:t>հատման կարգը սահմանելու մասին» ՀՀ օրենքներում, որոնցով մասնավորապես, սահմանվել է, որ՝</w:t>
      </w:r>
    </w:p>
    <w:p w:rsidR="001C411D" w:rsidRPr="001F63BA" w:rsidRDefault="001C411D" w:rsidP="00BB1B4B">
      <w:pPr>
        <w:numPr>
          <w:ilvl w:val="0"/>
          <w:numId w:val="21"/>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անշարժ գույքի հարկով հարկման օբյեկտ են համարվում նաև պետական և համայն</w:t>
      </w:r>
      <w:r w:rsidRPr="001F63BA">
        <w:rPr>
          <w:rFonts w:ascii="GHEA Grapalat" w:hAnsi="GHEA Grapalat"/>
          <w:sz w:val="22"/>
          <w:szCs w:val="22"/>
          <w:lang w:val="en-US"/>
        </w:rPr>
        <w:softHyphen/>
        <w:t>քային սեփականության հողամասերի վրա կառուցված ինքնակամ շինու</w:t>
      </w:r>
      <w:r w:rsidRPr="001F63BA">
        <w:rPr>
          <w:rFonts w:ascii="GHEA Grapalat" w:hAnsi="GHEA Grapalat"/>
          <w:sz w:val="22"/>
          <w:szCs w:val="22"/>
          <w:lang w:val="en-US"/>
        </w:rPr>
        <w:softHyphen/>
        <w:t>թյուն</w:t>
      </w:r>
      <w:r w:rsidRPr="001F63BA">
        <w:rPr>
          <w:rFonts w:ascii="GHEA Grapalat" w:hAnsi="GHEA Grapalat"/>
          <w:sz w:val="22"/>
          <w:szCs w:val="22"/>
          <w:lang w:val="en-US"/>
        </w:rPr>
        <w:softHyphen/>
        <w:t>ները: Անշարժ գույքի հարկ վճարում են նաև պետական և համայնքային սեփակա</w:t>
      </w:r>
      <w:r w:rsidRPr="001F63BA">
        <w:rPr>
          <w:rFonts w:ascii="GHEA Grapalat" w:hAnsi="GHEA Grapalat"/>
          <w:sz w:val="22"/>
          <w:szCs w:val="22"/>
          <w:lang w:val="en-US"/>
        </w:rPr>
        <w:softHyphen/>
        <w:t>նու</w:t>
      </w:r>
      <w:r w:rsidRPr="001F63BA">
        <w:rPr>
          <w:rFonts w:ascii="GHEA Grapalat" w:hAnsi="GHEA Grapalat"/>
          <w:sz w:val="22"/>
          <w:szCs w:val="22"/>
          <w:lang w:val="en-US"/>
        </w:rPr>
        <w:softHyphen/>
        <w:t>թյան հողա</w:t>
      </w:r>
      <w:r w:rsidRPr="001F63BA">
        <w:rPr>
          <w:rFonts w:ascii="GHEA Grapalat" w:hAnsi="GHEA Grapalat"/>
          <w:sz w:val="22"/>
          <w:szCs w:val="22"/>
          <w:lang w:val="en-US"/>
        </w:rPr>
        <w:softHyphen/>
      </w:r>
      <w:r w:rsidRPr="001F63BA">
        <w:rPr>
          <w:rFonts w:ascii="GHEA Grapalat" w:hAnsi="GHEA Grapalat"/>
          <w:sz w:val="22"/>
          <w:szCs w:val="22"/>
          <w:lang w:val="en-US"/>
        </w:rPr>
        <w:softHyphen/>
        <w:t>մասերի և շինու</w:t>
      </w:r>
      <w:r w:rsidRPr="001F63BA">
        <w:rPr>
          <w:rFonts w:ascii="GHEA Grapalat" w:hAnsi="GHEA Grapalat"/>
          <w:sz w:val="22"/>
          <w:szCs w:val="22"/>
          <w:lang w:val="en-US"/>
        </w:rPr>
        <w:softHyphen/>
        <w:t>թյունների անհատույց (մշտական) օգտագործողները, կառուցապատման կամ վարձա</w:t>
      </w:r>
      <w:r w:rsidRPr="001F63BA">
        <w:rPr>
          <w:rFonts w:ascii="GHEA Grapalat" w:hAnsi="GHEA Grapalat"/>
          <w:sz w:val="22"/>
          <w:szCs w:val="22"/>
          <w:lang w:val="en-US"/>
        </w:rPr>
        <w:softHyphen/>
        <w:t>կա</w:t>
      </w:r>
      <w:r w:rsidRPr="001F63BA">
        <w:rPr>
          <w:rFonts w:ascii="GHEA Grapalat" w:hAnsi="GHEA Grapalat"/>
          <w:sz w:val="22"/>
          <w:szCs w:val="22"/>
          <w:lang w:val="en-US"/>
        </w:rPr>
        <w:softHyphen/>
        <w:t>լու</w:t>
      </w:r>
      <w:r w:rsidRPr="001F63BA">
        <w:rPr>
          <w:rFonts w:ascii="GHEA Grapalat" w:hAnsi="GHEA Grapalat"/>
          <w:sz w:val="22"/>
          <w:szCs w:val="22"/>
          <w:lang w:val="en-US"/>
        </w:rPr>
        <w:softHyphen/>
        <w:t>թյան իրա</w:t>
      </w:r>
      <w:r w:rsidRPr="001F63BA">
        <w:rPr>
          <w:rFonts w:ascii="GHEA Grapalat" w:hAnsi="GHEA Grapalat"/>
          <w:sz w:val="22"/>
          <w:szCs w:val="22"/>
          <w:lang w:val="en-US"/>
        </w:rPr>
        <w:softHyphen/>
      </w:r>
      <w:r w:rsidRPr="001F63BA">
        <w:rPr>
          <w:rFonts w:ascii="GHEA Grapalat" w:hAnsi="GHEA Grapalat"/>
          <w:sz w:val="22"/>
          <w:szCs w:val="22"/>
          <w:lang w:val="en-US"/>
        </w:rPr>
        <w:softHyphen/>
        <w:t>վուն</w:t>
      </w:r>
      <w:r w:rsidRPr="001F63BA">
        <w:rPr>
          <w:rFonts w:ascii="GHEA Grapalat" w:hAnsi="GHEA Grapalat"/>
          <w:sz w:val="22"/>
          <w:szCs w:val="22"/>
          <w:lang w:val="en-US"/>
        </w:rPr>
        <w:softHyphen/>
      </w:r>
      <w:r w:rsidRPr="001F63BA">
        <w:rPr>
          <w:rFonts w:ascii="GHEA Grapalat" w:hAnsi="GHEA Grapalat"/>
          <w:sz w:val="22"/>
          <w:szCs w:val="22"/>
          <w:lang w:val="en-US"/>
        </w:rPr>
        <w:softHyphen/>
        <w:t>քով տրամադրված՝ պետական և համայնքային սեփականության հողամասերի մշտա</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կան օգտա</w:t>
      </w:r>
      <w:r w:rsidRPr="001F63BA">
        <w:rPr>
          <w:rFonts w:ascii="GHEA Grapalat" w:hAnsi="GHEA Grapalat"/>
          <w:sz w:val="22"/>
          <w:szCs w:val="22"/>
          <w:lang w:val="en-US"/>
        </w:rPr>
        <w:softHyphen/>
      </w:r>
      <w:r w:rsidRPr="001F63BA">
        <w:rPr>
          <w:rFonts w:ascii="GHEA Grapalat" w:hAnsi="GHEA Grapalat"/>
          <w:sz w:val="22"/>
          <w:szCs w:val="22"/>
          <w:lang w:val="en-US"/>
        </w:rPr>
        <w:softHyphen/>
        <w:t>գոր</w:t>
      </w:r>
      <w:r w:rsidRPr="001F63BA">
        <w:rPr>
          <w:rFonts w:ascii="GHEA Grapalat" w:hAnsi="GHEA Grapalat"/>
          <w:sz w:val="22"/>
          <w:szCs w:val="22"/>
          <w:lang w:val="en-US"/>
        </w:rPr>
        <w:softHyphen/>
        <w:t>ծողները՝ ստորգետնյա և վերգետնյա շենքերի, շինու</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թյուն</w:t>
      </w:r>
      <w:r w:rsidRPr="001F63BA">
        <w:rPr>
          <w:rFonts w:ascii="GHEA Grapalat" w:hAnsi="GHEA Grapalat"/>
          <w:sz w:val="22"/>
          <w:szCs w:val="22"/>
          <w:lang w:val="en-US"/>
        </w:rPr>
        <w:softHyphen/>
        <w:t>ների կամ կառույց</w:t>
      </w:r>
      <w:r w:rsidRPr="001F63BA">
        <w:rPr>
          <w:rFonts w:ascii="GHEA Grapalat" w:hAnsi="GHEA Grapalat"/>
          <w:sz w:val="22"/>
          <w:szCs w:val="22"/>
          <w:lang w:val="en-US"/>
        </w:rPr>
        <w:softHyphen/>
        <w:t>ների մասով,</w:t>
      </w:r>
    </w:p>
    <w:p w:rsidR="001C411D" w:rsidRPr="001F63BA" w:rsidRDefault="001C411D" w:rsidP="00BB1B4B">
      <w:pPr>
        <w:numPr>
          <w:ilvl w:val="0"/>
          <w:numId w:val="21"/>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շինարարության թույլտվության ժամկետն անցնելու կամ երկարաձգելու դեպքում ավարտ</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վա</w:t>
      </w:r>
      <w:r w:rsidRPr="001F63BA">
        <w:rPr>
          <w:rFonts w:ascii="GHEA Grapalat" w:hAnsi="GHEA Grapalat"/>
          <w:sz w:val="22"/>
          <w:szCs w:val="22"/>
          <w:lang w:val="en-US"/>
        </w:rPr>
        <w:softHyphen/>
      </w:r>
      <w:r w:rsidRPr="001F63BA">
        <w:rPr>
          <w:rFonts w:ascii="GHEA Grapalat" w:hAnsi="GHEA Grapalat"/>
          <w:sz w:val="22"/>
          <w:szCs w:val="22"/>
          <w:lang w:val="en-US"/>
        </w:rPr>
        <w:softHyphen/>
        <w:t>ծության աստիճանից կախված՝ անշարժ գույքի հարկման բազան նվազեցնող գոր</w:t>
      </w:r>
      <w:r w:rsidRPr="001F63BA">
        <w:rPr>
          <w:rFonts w:ascii="GHEA Grapalat" w:hAnsi="GHEA Grapalat"/>
          <w:sz w:val="22"/>
          <w:szCs w:val="22"/>
          <w:lang w:val="en-US"/>
        </w:rPr>
        <w:softHyphen/>
        <w:t>ծա</w:t>
      </w:r>
      <w:r w:rsidRPr="001F63BA">
        <w:rPr>
          <w:rFonts w:ascii="GHEA Grapalat" w:hAnsi="GHEA Grapalat"/>
          <w:sz w:val="22"/>
          <w:szCs w:val="22"/>
          <w:lang w:val="en-US"/>
        </w:rPr>
        <w:softHyphen/>
        <w:t>կից</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ները չեն կիրառվում,</w:t>
      </w:r>
    </w:p>
    <w:p w:rsidR="001C411D" w:rsidRPr="001F63BA" w:rsidRDefault="001C411D" w:rsidP="00BB1B4B">
      <w:pPr>
        <w:numPr>
          <w:ilvl w:val="0"/>
          <w:numId w:val="21"/>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շինարարության թույլտվության ժամկետները երկարաձգելու համար նույնպես վճար</w:t>
      </w:r>
      <w:r w:rsidRPr="001F63BA">
        <w:rPr>
          <w:rFonts w:ascii="GHEA Grapalat" w:hAnsi="GHEA Grapalat"/>
          <w:sz w:val="22"/>
          <w:szCs w:val="22"/>
          <w:lang w:val="en-US"/>
        </w:rPr>
        <w:softHyphen/>
      </w:r>
      <w:r w:rsidRPr="001F63BA">
        <w:rPr>
          <w:rFonts w:ascii="GHEA Grapalat" w:hAnsi="GHEA Grapalat"/>
          <w:sz w:val="22"/>
          <w:szCs w:val="22"/>
          <w:lang w:val="en-US"/>
        </w:rPr>
        <w:softHyphen/>
        <w:t>վում է տեղական տուրք՝ ընդգծված բարձր դրույքաչափերով, որպեսզի կանխվեն շինա</w:t>
      </w:r>
      <w:r w:rsidRPr="001F63BA">
        <w:rPr>
          <w:rFonts w:ascii="GHEA Grapalat" w:hAnsi="GHEA Grapalat"/>
          <w:sz w:val="22"/>
          <w:szCs w:val="22"/>
          <w:lang w:val="en-US"/>
        </w:rPr>
        <w:softHyphen/>
      </w:r>
      <w:r w:rsidRPr="001F63BA">
        <w:rPr>
          <w:rFonts w:ascii="GHEA Grapalat" w:hAnsi="GHEA Grapalat"/>
          <w:sz w:val="22"/>
          <w:szCs w:val="22"/>
          <w:lang w:val="en-US"/>
        </w:rPr>
        <w:softHyphen/>
        <w:t>րա</w:t>
      </w:r>
      <w:r w:rsidRPr="001F63BA">
        <w:rPr>
          <w:rFonts w:ascii="GHEA Grapalat" w:hAnsi="GHEA Grapalat"/>
          <w:sz w:val="22"/>
          <w:szCs w:val="22"/>
          <w:lang w:val="en-US"/>
        </w:rPr>
        <w:softHyphen/>
        <w:t>րության ժամկետներն անընդհատ երկարաձգելու՝ կառուցապատողների ձգտում</w:t>
      </w:r>
      <w:r w:rsidRPr="001F63BA">
        <w:rPr>
          <w:rFonts w:ascii="GHEA Grapalat" w:hAnsi="GHEA Grapalat"/>
          <w:sz w:val="22"/>
          <w:szCs w:val="22"/>
          <w:lang w:val="en-US"/>
        </w:rPr>
        <w:softHyphen/>
        <w:t>ները:</w:t>
      </w:r>
    </w:p>
    <w:p w:rsidR="001C411D" w:rsidRPr="001F63BA" w:rsidRDefault="001C411D" w:rsidP="00CF0866">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Բարձրացվել են նաև շինարարության թույլտվության տրա</w:t>
      </w:r>
      <w:r w:rsidRPr="001F63BA">
        <w:rPr>
          <w:rFonts w:ascii="GHEA Grapalat" w:hAnsi="GHEA Grapalat"/>
          <w:sz w:val="22"/>
          <w:szCs w:val="22"/>
          <w:lang w:val="en-US"/>
        </w:rPr>
        <w:softHyphen/>
        <w:t>մադր</w:t>
      </w:r>
      <w:r w:rsidRPr="001F63BA">
        <w:rPr>
          <w:rFonts w:ascii="GHEA Grapalat" w:hAnsi="GHEA Grapalat"/>
          <w:sz w:val="22"/>
          <w:szCs w:val="22"/>
          <w:lang w:val="en-US"/>
        </w:rPr>
        <w:softHyphen/>
        <w:t>ման համար նախա</w:t>
      </w:r>
      <w:r w:rsidRPr="001F63BA">
        <w:rPr>
          <w:rFonts w:ascii="GHEA Grapalat" w:hAnsi="GHEA Grapalat"/>
          <w:sz w:val="22"/>
          <w:szCs w:val="22"/>
          <w:lang w:val="en-US"/>
        </w:rPr>
        <w:softHyphen/>
        <w:t>տես</w:t>
      </w:r>
      <w:r w:rsidRPr="001F63BA">
        <w:rPr>
          <w:rFonts w:ascii="GHEA Grapalat" w:hAnsi="GHEA Grapalat"/>
          <w:sz w:val="22"/>
          <w:szCs w:val="22"/>
          <w:lang w:val="en-US"/>
        </w:rPr>
        <w:softHyphen/>
      </w:r>
      <w:r w:rsidRPr="001F63BA">
        <w:rPr>
          <w:rFonts w:ascii="GHEA Grapalat" w:hAnsi="GHEA Grapalat"/>
          <w:sz w:val="22"/>
          <w:szCs w:val="22"/>
          <w:lang w:val="en-US"/>
        </w:rPr>
        <w:softHyphen/>
        <w:t>ված տեղական տուրքի դրույքաչափերը:</w:t>
      </w:r>
    </w:p>
    <w:p w:rsidR="001C411D" w:rsidRPr="001F63BA" w:rsidRDefault="001C411D" w:rsidP="00BB1B4B">
      <w:pPr>
        <w:numPr>
          <w:ilvl w:val="0"/>
          <w:numId w:val="1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Հարկային օրենսդրության բարելավման միջոցով ներդրողների համար արդար, ընկա</w:t>
      </w:r>
      <w:r w:rsidRPr="001F63BA">
        <w:rPr>
          <w:rFonts w:ascii="GHEA Grapalat" w:hAnsi="GHEA Grapalat"/>
          <w:sz w:val="22"/>
          <w:szCs w:val="22"/>
          <w:lang w:val="en-US"/>
        </w:rPr>
        <w:softHyphen/>
      </w:r>
      <w:r w:rsidRPr="001F63BA">
        <w:rPr>
          <w:rFonts w:ascii="GHEA Grapalat" w:hAnsi="GHEA Grapalat"/>
          <w:sz w:val="22"/>
          <w:szCs w:val="22"/>
          <w:lang w:val="en-US"/>
        </w:rPr>
        <w:softHyphen/>
        <w:t>լելի և կանխատեսելի միջավայրի ձևավորման ծրագրային դրույթի իրագործման աշխատանք</w:t>
      </w:r>
      <w:r w:rsidRPr="001F63BA">
        <w:rPr>
          <w:rFonts w:ascii="GHEA Grapalat" w:hAnsi="GHEA Grapalat"/>
          <w:sz w:val="22"/>
          <w:szCs w:val="22"/>
          <w:lang w:val="en-US"/>
        </w:rPr>
        <w:softHyphen/>
        <w:t>ների շրջանակ</w:t>
      </w:r>
      <w:r w:rsidRPr="001F63BA">
        <w:rPr>
          <w:rFonts w:ascii="GHEA Grapalat" w:hAnsi="GHEA Grapalat"/>
          <w:sz w:val="22"/>
          <w:szCs w:val="22"/>
          <w:lang w:val="en-US"/>
        </w:rPr>
        <w:softHyphen/>
      </w:r>
      <w:r w:rsidRPr="001F63BA">
        <w:rPr>
          <w:rFonts w:ascii="GHEA Grapalat" w:hAnsi="GHEA Grapalat"/>
          <w:sz w:val="22"/>
          <w:szCs w:val="22"/>
          <w:lang w:val="en-US"/>
        </w:rPr>
        <w:softHyphen/>
        <w:t>ներում ակցի</w:t>
      </w:r>
      <w:r w:rsidRPr="001F63BA">
        <w:rPr>
          <w:rFonts w:ascii="GHEA Grapalat" w:hAnsi="GHEA Grapalat"/>
          <w:sz w:val="22"/>
          <w:szCs w:val="22"/>
          <w:lang w:val="en-US"/>
        </w:rPr>
        <w:softHyphen/>
        <w:t>զա</w:t>
      </w:r>
      <w:r w:rsidRPr="001F63BA">
        <w:rPr>
          <w:rFonts w:ascii="GHEA Grapalat" w:hAnsi="GHEA Grapalat"/>
          <w:sz w:val="22"/>
          <w:szCs w:val="22"/>
          <w:lang w:val="en-US"/>
        </w:rPr>
        <w:softHyphen/>
      </w:r>
      <w:r w:rsidRPr="001F63BA">
        <w:rPr>
          <w:rFonts w:ascii="GHEA Grapalat" w:hAnsi="GHEA Grapalat"/>
          <w:sz w:val="22"/>
          <w:szCs w:val="22"/>
          <w:lang w:val="en-US"/>
        </w:rPr>
        <w:softHyphen/>
        <w:t>յին հարկով հարկվող ապրանքների՝ Հայաս</w:t>
      </w:r>
      <w:r w:rsidRPr="001F63BA">
        <w:rPr>
          <w:rFonts w:ascii="GHEA Grapalat" w:hAnsi="GHEA Grapalat"/>
          <w:sz w:val="22"/>
          <w:szCs w:val="22"/>
          <w:lang w:val="en-US"/>
        </w:rPr>
        <w:softHyphen/>
        <w:t>տանի Հանրա</w:t>
      </w:r>
      <w:r w:rsidRPr="001F63BA">
        <w:rPr>
          <w:rFonts w:ascii="GHEA Grapalat" w:hAnsi="GHEA Grapalat"/>
          <w:sz w:val="22"/>
          <w:szCs w:val="22"/>
          <w:lang w:val="en-US"/>
        </w:rPr>
        <w:softHyphen/>
        <w:t>պե</w:t>
      </w:r>
      <w:r w:rsidRPr="001F63BA">
        <w:rPr>
          <w:rFonts w:ascii="GHEA Grapalat" w:hAnsi="GHEA Grapalat"/>
          <w:sz w:val="22"/>
          <w:szCs w:val="22"/>
          <w:lang w:val="en-US"/>
        </w:rPr>
        <w:softHyphen/>
        <w:t>տու</w:t>
      </w:r>
      <w:r w:rsidRPr="001F63BA">
        <w:rPr>
          <w:rFonts w:ascii="GHEA Grapalat" w:hAnsi="GHEA Grapalat"/>
          <w:sz w:val="22"/>
          <w:szCs w:val="22"/>
          <w:lang w:val="en-US"/>
        </w:rPr>
        <w:softHyphen/>
        <w:t>թյուն ներմուծման և հետա</w:t>
      </w:r>
      <w:r w:rsidRPr="001F63BA">
        <w:rPr>
          <w:rFonts w:ascii="GHEA Grapalat" w:hAnsi="GHEA Grapalat"/>
          <w:sz w:val="22"/>
          <w:szCs w:val="22"/>
          <w:lang w:val="en-US"/>
        </w:rPr>
        <w:softHyphen/>
        <w:t>գա</w:t>
      </w:r>
      <w:r w:rsidRPr="001F63BA">
        <w:rPr>
          <w:rFonts w:ascii="GHEA Grapalat" w:hAnsi="GHEA Grapalat"/>
          <w:sz w:val="22"/>
          <w:szCs w:val="22"/>
          <w:lang w:val="en-US"/>
        </w:rPr>
        <w:softHyphen/>
        <w:t>յում արտահանման դեպքերում ներմուծման ժամանակ վճարված ակցի</w:t>
      </w:r>
      <w:r w:rsidRPr="001F63BA">
        <w:rPr>
          <w:rFonts w:ascii="GHEA Grapalat" w:hAnsi="GHEA Grapalat"/>
          <w:sz w:val="22"/>
          <w:szCs w:val="22"/>
          <w:lang w:val="en-US"/>
        </w:rPr>
        <w:softHyphen/>
      </w:r>
      <w:r w:rsidRPr="001F63BA">
        <w:rPr>
          <w:rFonts w:ascii="GHEA Grapalat" w:hAnsi="GHEA Grapalat"/>
          <w:sz w:val="22"/>
          <w:szCs w:val="22"/>
          <w:lang w:val="en-US"/>
        </w:rPr>
        <w:softHyphen/>
        <w:t>զային հարկի գումար</w:t>
      </w:r>
      <w:r w:rsidRPr="001F63BA">
        <w:rPr>
          <w:rFonts w:ascii="GHEA Grapalat" w:hAnsi="GHEA Grapalat"/>
          <w:sz w:val="22"/>
          <w:szCs w:val="22"/>
          <w:lang w:val="en-US"/>
        </w:rPr>
        <w:softHyphen/>
        <w:t>ները տնտեսավարող սուբյեկտներին վերադարձման նպա</w:t>
      </w:r>
      <w:r w:rsidRPr="001F63BA">
        <w:rPr>
          <w:rFonts w:ascii="GHEA Grapalat" w:hAnsi="GHEA Grapalat"/>
          <w:sz w:val="22"/>
          <w:szCs w:val="22"/>
          <w:lang w:val="en-US"/>
        </w:rPr>
        <w:softHyphen/>
        <w:t>տա</w:t>
      </w:r>
      <w:r w:rsidRPr="001F63BA">
        <w:rPr>
          <w:rFonts w:ascii="GHEA Grapalat" w:hAnsi="GHEA Grapalat"/>
          <w:sz w:val="22"/>
          <w:szCs w:val="22"/>
          <w:lang w:val="en-US"/>
        </w:rPr>
        <w:softHyphen/>
        <w:t>կով ՀՀ հար</w:t>
      </w:r>
      <w:r w:rsidRPr="001F63BA">
        <w:rPr>
          <w:rFonts w:ascii="GHEA Grapalat" w:hAnsi="GHEA Grapalat"/>
          <w:sz w:val="22"/>
          <w:szCs w:val="22"/>
          <w:lang w:val="en-US"/>
        </w:rPr>
        <w:softHyphen/>
        <w:t>կա</w:t>
      </w:r>
      <w:r w:rsidRPr="001F63BA">
        <w:rPr>
          <w:rFonts w:ascii="GHEA Grapalat" w:hAnsi="GHEA Grapalat"/>
          <w:sz w:val="22"/>
          <w:szCs w:val="22"/>
          <w:lang w:val="en-US"/>
        </w:rPr>
        <w:softHyphen/>
        <w:t>յին օրենսգրքում սահմանվել են համապատասխան կարգավորումներ:</w:t>
      </w:r>
    </w:p>
    <w:p w:rsidR="001C411D" w:rsidRPr="001F63BA" w:rsidRDefault="001C411D" w:rsidP="00BB1B4B">
      <w:pPr>
        <w:numPr>
          <w:ilvl w:val="0"/>
          <w:numId w:val="1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Հարկման տարբեր համա</w:t>
      </w:r>
      <w:r w:rsidRPr="001F63BA">
        <w:rPr>
          <w:rFonts w:ascii="GHEA Grapalat" w:hAnsi="GHEA Grapalat"/>
          <w:sz w:val="22"/>
          <w:szCs w:val="22"/>
          <w:lang w:val="en-US"/>
        </w:rPr>
        <w:softHyphen/>
        <w:t>կարգերի միջև համադրելի և արդարացի հարկային բեռի սահմանման ուղղությամբ աշխատանքների շրջանակում վերանայվել է միկրո</w:t>
      </w:r>
      <w:r w:rsidRPr="001F63BA">
        <w:rPr>
          <w:rFonts w:ascii="GHEA Grapalat" w:hAnsi="GHEA Grapalat"/>
          <w:sz w:val="22"/>
          <w:szCs w:val="22"/>
          <w:lang w:val="en-US"/>
        </w:rPr>
        <w:softHyphen/>
        <w:t>ձեռ</w:t>
      </w:r>
      <w:r w:rsidRPr="001F63BA">
        <w:rPr>
          <w:rFonts w:ascii="GHEA Grapalat" w:hAnsi="GHEA Grapalat"/>
          <w:sz w:val="22"/>
          <w:szCs w:val="22"/>
          <w:lang w:val="en-US"/>
        </w:rPr>
        <w:softHyphen/>
        <w:t>նարկատիրության հարկման համակարգը: Մասնավորապես, միկ</w:t>
      </w:r>
      <w:r w:rsidRPr="001F63BA">
        <w:rPr>
          <w:rFonts w:ascii="GHEA Grapalat" w:hAnsi="GHEA Grapalat"/>
          <w:sz w:val="22"/>
          <w:szCs w:val="22"/>
          <w:lang w:val="en-US"/>
        </w:rPr>
        <w:softHyphen/>
        <w:t>րո</w:t>
      </w:r>
      <w:r w:rsidRPr="001F63BA">
        <w:rPr>
          <w:rFonts w:ascii="GHEA Grapalat" w:hAnsi="GHEA Grapalat"/>
          <w:sz w:val="22"/>
          <w:szCs w:val="22"/>
          <w:lang w:val="en-US"/>
        </w:rPr>
        <w:softHyphen/>
      </w:r>
      <w:r w:rsidRPr="001F63BA">
        <w:rPr>
          <w:rFonts w:ascii="GHEA Grapalat" w:hAnsi="GHEA Grapalat"/>
          <w:sz w:val="22"/>
          <w:szCs w:val="22"/>
          <w:lang w:val="en-US"/>
        </w:rPr>
        <w:softHyphen/>
        <w:t>ձեռ</w:t>
      </w:r>
      <w:r w:rsidRPr="001F63BA">
        <w:rPr>
          <w:rFonts w:ascii="GHEA Grapalat" w:hAnsi="GHEA Grapalat"/>
          <w:sz w:val="22"/>
          <w:szCs w:val="22"/>
          <w:lang w:val="en-US"/>
        </w:rPr>
        <w:softHyphen/>
        <w:t>նար</w:t>
      </w:r>
      <w:r w:rsidRPr="001F63BA">
        <w:rPr>
          <w:rFonts w:ascii="GHEA Grapalat" w:hAnsi="GHEA Grapalat"/>
          <w:sz w:val="22"/>
          <w:szCs w:val="22"/>
          <w:lang w:val="en-US"/>
        </w:rPr>
        <w:softHyphen/>
        <w:t>կա</w:t>
      </w:r>
      <w:r w:rsidRPr="001F63BA">
        <w:rPr>
          <w:rFonts w:ascii="GHEA Grapalat" w:hAnsi="GHEA Grapalat"/>
          <w:sz w:val="22"/>
          <w:szCs w:val="22"/>
          <w:lang w:val="en-US"/>
        </w:rPr>
        <w:softHyphen/>
        <w:t>տի</w:t>
      </w:r>
      <w:r w:rsidRPr="001F63BA">
        <w:rPr>
          <w:rFonts w:ascii="GHEA Grapalat" w:hAnsi="GHEA Grapalat"/>
          <w:sz w:val="22"/>
          <w:szCs w:val="22"/>
          <w:lang w:val="en-US"/>
        </w:rPr>
        <w:softHyphen/>
        <w:t>րության մեջ ներգրավված վարձու աշխատողների մասով սահմանված՝ ամսա</w:t>
      </w:r>
      <w:r w:rsidRPr="001F63BA">
        <w:rPr>
          <w:rFonts w:ascii="GHEA Grapalat" w:hAnsi="GHEA Grapalat"/>
          <w:sz w:val="22"/>
          <w:szCs w:val="22"/>
          <w:lang w:val="en-US"/>
        </w:rPr>
        <w:softHyphen/>
      </w:r>
      <w:r w:rsidRPr="001F63BA">
        <w:rPr>
          <w:rFonts w:ascii="GHEA Grapalat" w:hAnsi="GHEA Grapalat"/>
          <w:sz w:val="22"/>
          <w:szCs w:val="22"/>
          <w:lang w:val="en-US"/>
        </w:rPr>
        <w:softHyphen/>
        <w:t>կան հինգ հազար դրամի չափով եկամտային հարկ վճարելու պարտավորության փոխա</w:t>
      </w:r>
      <w:r w:rsidRPr="001F63BA">
        <w:rPr>
          <w:rFonts w:ascii="GHEA Grapalat" w:hAnsi="GHEA Grapalat"/>
          <w:sz w:val="22"/>
          <w:szCs w:val="22"/>
          <w:lang w:val="en-US"/>
        </w:rPr>
        <w:softHyphen/>
      </w:r>
      <w:r w:rsidRPr="001F63BA">
        <w:rPr>
          <w:rFonts w:ascii="GHEA Grapalat" w:hAnsi="GHEA Grapalat"/>
          <w:sz w:val="22"/>
          <w:szCs w:val="22"/>
          <w:lang w:val="en-US"/>
        </w:rPr>
        <w:softHyphen/>
        <w:t>րեն սահմանվել է եկամտային հարկն ընդ</w:t>
      </w:r>
      <w:r w:rsidRPr="001F63BA">
        <w:rPr>
          <w:rFonts w:ascii="GHEA Grapalat" w:hAnsi="GHEA Grapalat"/>
          <w:sz w:val="22"/>
          <w:szCs w:val="22"/>
          <w:lang w:val="en-US"/>
        </w:rPr>
        <w:softHyphen/>
        <w:t>հա</w:t>
      </w:r>
      <w:r w:rsidRPr="001F63BA">
        <w:rPr>
          <w:rFonts w:ascii="GHEA Grapalat" w:hAnsi="GHEA Grapalat"/>
          <w:sz w:val="22"/>
          <w:szCs w:val="22"/>
          <w:lang w:val="en-US"/>
        </w:rPr>
        <w:softHyphen/>
        <w:t>նուր սահ</w:t>
      </w:r>
      <w:r w:rsidRPr="001F63BA">
        <w:rPr>
          <w:rFonts w:ascii="GHEA Grapalat" w:hAnsi="GHEA Grapalat"/>
          <w:sz w:val="22"/>
          <w:szCs w:val="22"/>
          <w:lang w:val="en-US"/>
        </w:rPr>
        <w:softHyphen/>
        <w:t>ման</w:t>
      </w:r>
      <w:r w:rsidRPr="001F63BA">
        <w:rPr>
          <w:rFonts w:ascii="GHEA Grapalat" w:hAnsi="GHEA Grapalat"/>
          <w:sz w:val="22"/>
          <w:szCs w:val="22"/>
          <w:lang w:val="en-US"/>
        </w:rPr>
        <w:softHyphen/>
        <w:t xml:space="preserve">ված </w:t>
      </w:r>
      <w:r w:rsidRPr="001F63BA">
        <w:rPr>
          <w:rFonts w:ascii="GHEA Grapalat" w:hAnsi="GHEA Grapalat"/>
          <w:sz w:val="22"/>
          <w:szCs w:val="22"/>
          <w:lang w:val="en-US"/>
        </w:rPr>
        <w:lastRenderedPageBreak/>
        <w:t>կարգով վճարելու պար</w:t>
      </w:r>
      <w:r w:rsidRPr="001F63BA">
        <w:rPr>
          <w:rFonts w:ascii="GHEA Grapalat" w:hAnsi="GHEA Grapalat"/>
          <w:sz w:val="22"/>
          <w:szCs w:val="22"/>
          <w:lang w:val="en-US"/>
        </w:rPr>
        <w:softHyphen/>
        <w:t>տա</w:t>
      </w:r>
      <w:r w:rsidRPr="001F63BA">
        <w:rPr>
          <w:rFonts w:ascii="GHEA Grapalat" w:hAnsi="GHEA Grapalat"/>
          <w:sz w:val="22"/>
          <w:szCs w:val="22"/>
          <w:lang w:val="en-US"/>
        </w:rPr>
        <w:softHyphen/>
        <w:t>վո</w:t>
      </w:r>
      <w:r w:rsidRPr="001F63BA">
        <w:rPr>
          <w:rFonts w:ascii="GHEA Grapalat" w:hAnsi="GHEA Grapalat"/>
          <w:sz w:val="22"/>
          <w:szCs w:val="22"/>
          <w:lang w:val="en-US"/>
        </w:rPr>
        <w:softHyphen/>
        <w:t>րու</w:t>
      </w:r>
      <w:r w:rsidRPr="001F63BA">
        <w:rPr>
          <w:rFonts w:ascii="GHEA Grapalat" w:hAnsi="GHEA Grapalat"/>
          <w:sz w:val="22"/>
          <w:szCs w:val="22"/>
          <w:lang w:val="en-US"/>
        </w:rPr>
        <w:softHyphen/>
        <w:t>թյուն, ինչպես նաև սահմանափակվել են միկրո</w:t>
      </w:r>
      <w:r w:rsidRPr="001F63BA">
        <w:rPr>
          <w:rFonts w:ascii="GHEA Grapalat" w:hAnsi="GHEA Grapalat"/>
          <w:sz w:val="22"/>
          <w:szCs w:val="22"/>
          <w:lang w:val="en-US"/>
        </w:rPr>
        <w:softHyphen/>
        <w:t>ձեռ</w:t>
      </w:r>
      <w:r w:rsidRPr="001F63BA">
        <w:rPr>
          <w:rFonts w:ascii="GHEA Grapalat" w:hAnsi="GHEA Grapalat"/>
          <w:sz w:val="22"/>
          <w:szCs w:val="22"/>
          <w:lang w:val="en-US"/>
        </w:rPr>
        <w:softHyphen/>
        <w:t>նարկատիրության սուբյեկտների կողմից դուրս գրված հաշվարկային փաստաթղթերի հիման վրա շահութահարկով հարկման նպատակով համա</w:t>
      </w:r>
      <w:r w:rsidRPr="001F63BA">
        <w:rPr>
          <w:rFonts w:ascii="GHEA Grapalat" w:hAnsi="GHEA Grapalat"/>
          <w:sz w:val="22"/>
          <w:szCs w:val="22"/>
          <w:lang w:val="en-US"/>
        </w:rPr>
        <w:softHyphen/>
      </w:r>
      <w:r w:rsidRPr="001F63BA">
        <w:rPr>
          <w:rFonts w:ascii="GHEA Grapalat" w:hAnsi="GHEA Grapalat"/>
          <w:sz w:val="22"/>
          <w:szCs w:val="22"/>
          <w:lang w:val="en-US"/>
        </w:rPr>
        <w:softHyphen/>
        <w:t>խառն եկամուտը նվազեցնելու հնա</w:t>
      </w:r>
      <w:r w:rsidRPr="001F63BA">
        <w:rPr>
          <w:rFonts w:ascii="GHEA Grapalat" w:hAnsi="GHEA Grapalat"/>
          <w:sz w:val="22"/>
          <w:szCs w:val="22"/>
          <w:lang w:val="en-US"/>
        </w:rPr>
        <w:softHyphen/>
        <w:t>րա</w:t>
      </w:r>
      <w:r w:rsidRPr="001F63BA">
        <w:rPr>
          <w:rFonts w:ascii="GHEA Grapalat" w:hAnsi="GHEA Grapalat"/>
          <w:sz w:val="22"/>
          <w:szCs w:val="22"/>
          <w:lang w:val="en-US"/>
        </w:rPr>
        <w:softHyphen/>
        <w:t>վո</w:t>
      </w:r>
      <w:r w:rsidRPr="001F63BA">
        <w:rPr>
          <w:rFonts w:ascii="GHEA Grapalat" w:hAnsi="GHEA Grapalat"/>
          <w:sz w:val="22"/>
          <w:szCs w:val="22"/>
          <w:lang w:val="en-US"/>
        </w:rPr>
        <w:softHyphen/>
        <w:t>րու</w:t>
      </w:r>
      <w:r w:rsidRPr="001F63BA">
        <w:rPr>
          <w:rFonts w:ascii="GHEA Grapalat" w:hAnsi="GHEA Grapalat"/>
          <w:sz w:val="22"/>
          <w:szCs w:val="22"/>
          <w:lang w:val="en-US"/>
        </w:rPr>
        <w:softHyphen/>
        <w:t>թյուն</w:t>
      </w:r>
      <w:r w:rsidRPr="001F63BA">
        <w:rPr>
          <w:rFonts w:ascii="GHEA Grapalat" w:hAnsi="GHEA Grapalat"/>
          <w:sz w:val="22"/>
          <w:szCs w:val="22"/>
          <w:lang w:val="en-US"/>
        </w:rPr>
        <w:softHyphen/>
        <w:t>ները:</w:t>
      </w:r>
    </w:p>
    <w:p w:rsidR="001C411D" w:rsidRPr="001F63BA" w:rsidRDefault="001C411D" w:rsidP="00BB1B4B">
      <w:pPr>
        <w:numPr>
          <w:ilvl w:val="0"/>
          <w:numId w:val="19"/>
        </w:numPr>
        <w:tabs>
          <w:tab w:val="left" w:pos="851"/>
        </w:tabs>
        <w:spacing w:line="360" w:lineRule="auto"/>
        <w:ind w:left="0" w:firstLine="567"/>
        <w:jc w:val="both"/>
        <w:rPr>
          <w:rFonts w:ascii="GHEA Grapalat" w:hAnsi="GHEA Grapalat"/>
          <w:sz w:val="22"/>
          <w:szCs w:val="22"/>
          <w:lang w:val="en-US"/>
        </w:rPr>
      </w:pPr>
      <w:r w:rsidRPr="001F63BA">
        <w:rPr>
          <w:rFonts w:ascii="GHEA Grapalat" w:hAnsi="GHEA Grapalat"/>
          <w:sz w:val="22"/>
          <w:szCs w:val="22"/>
          <w:lang w:val="en-US"/>
        </w:rPr>
        <w:t>Տնտեսական շարժառիթների հիման վրա գործող՝ եկամուտների հայտարարագրման համակարգի ներդրման նպատակով լրացումներ են կատարվել ՀՀ հար</w:t>
      </w:r>
      <w:r w:rsidRPr="001F63BA">
        <w:rPr>
          <w:rFonts w:ascii="GHEA Grapalat" w:hAnsi="GHEA Grapalat"/>
          <w:sz w:val="22"/>
          <w:szCs w:val="22"/>
          <w:lang w:val="en-US"/>
        </w:rPr>
        <w:softHyphen/>
        <w:t>կա</w:t>
      </w:r>
      <w:r w:rsidRPr="001F63BA">
        <w:rPr>
          <w:rFonts w:ascii="GHEA Grapalat" w:hAnsi="GHEA Grapalat"/>
          <w:sz w:val="22"/>
          <w:szCs w:val="22"/>
          <w:lang w:val="en-US"/>
        </w:rPr>
        <w:softHyphen/>
        <w:t>յին օրենսգրքում և Վարչա</w:t>
      </w:r>
      <w:r w:rsidRPr="001F63BA">
        <w:rPr>
          <w:rFonts w:ascii="GHEA Grapalat" w:hAnsi="GHEA Grapalat"/>
          <w:sz w:val="22"/>
          <w:szCs w:val="22"/>
          <w:lang w:val="en-US"/>
        </w:rPr>
        <w:softHyphen/>
        <w:t>կան իրավախախ</w:t>
      </w:r>
      <w:r w:rsidRPr="001F63BA">
        <w:rPr>
          <w:rFonts w:ascii="GHEA Grapalat" w:hAnsi="GHEA Grapalat"/>
          <w:sz w:val="22"/>
          <w:szCs w:val="22"/>
          <w:lang w:val="en-US"/>
        </w:rPr>
        <w:softHyphen/>
        <w:t>տում</w:t>
      </w:r>
      <w:r w:rsidRPr="001F63BA">
        <w:rPr>
          <w:rFonts w:ascii="GHEA Grapalat" w:hAnsi="GHEA Grapalat"/>
          <w:sz w:val="22"/>
          <w:szCs w:val="22"/>
          <w:lang w:val="en-US"/>
        </w:rPr>
        <w:softHyphen/>
        <w:t>ների վերա</w:t>
      </w:r>
      <w:r w:rsidRPr="001F63BA">
        <w:rPr>
          <w:rFonts w:ascii="GHEA Grapalat" w:hAnsi="GHEA Grapalat"/>
          <w:sz w:val="22"/>
          <w:szCs w:val="22"/>
          <w:lang w:val="en-US"/>
        </w:rPr>
        <w:softHyphen/>
        <w:t>բեր</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յալ ՀՀ օրենս</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գրքում, որոնցով 2023 թվականի հունվարի 1-ից երեք փուլերով ներդրվում է ռեզիդենտ հան</w:t>
      </w:r>
      <w:r w:rsidRPr="001F63BA">
        <w:rPr>
          <w:rFonts w:ascii="GHEA Grapalat" w:hAnsi="GHEA Grapalat"/>
          <w:sz w:val="22"/>
          <w:szCs w:val="22"/>
          <w:lang w:val="en-US"/>
        </w:rPr>
        <w:softHyphen/>
        <w:t>դի</w:t>
      </w:r>
      <w:r w:rsidRPr="001F63BA">
        <w:rPr>
          <w:rFonts w:ascii="GHEA Grapalat" w:hAnsi="GHEA Grapalat"/>
          <w:sz w:val="22"/>
          <w:szCs w:val="22"/>
          <w:lang w:val="en-US"/>
        </w:rPr>
        <w:softHyphen/>
        <w:t>սացող ՀՀ քաղա</w:t>
      </w:r>
      <w:r w:rsidRPr="001F63BA">
        <w:rPr>
          <w:rFonts w:ascii="GHEA Grapalat" w:hAnsi="GHEA Grapalat"/>
          <w:sz w:val="22"/>
          <w:szCs w:val="22"/>
          <w:lang w:val="en-US"/>
        </w:rPr>
        <w:softHyphen/>
        <w:t>քա</w:t>
      </w:r>
      <w:r w:rsidRPr="001F63BA">
        <w:rPr>
          <w:rFonts w:ascii="GHEA Grapalat" w:hAnsi="GHEA Grapalat"/>
          <w:sz w:val="22"/>
          <w:szCs w:val="22"/>
          <w:lang w:val="en-US"/>
        </w:rPr>
        <w:softHyphen/>
        <w:t>ցիների բացա</w:t>
      </w:r>
      <w:r w:rsidRPr="001F63BA">
        <w:rPr>
          <w:rFonts w:ascii="GHEA Grapalat" w:hAnsi="GHEA Grapalat"/>
          <w:sz w:val="22"/>
          <w:szCs w:val="22"/>
          <w:lang w:val="en-US"/>
        </w:rPr>
        <w:softHyphen/>
        <w:t>ռու</w:t>
      </w:r>
      <w:r w:rsidRPr="001F63BA">
        <w:rPr>
          <w:rFonts w:ascii="GHEA Grapalat" w:hAnsi="GHEA Grapalat"/>
          <w:sz w:val="22"/>
          <w:szCs w:val="22"/>
          <w:lang w:val="en-US"/>
        </w:rPr>
        <w:softHyphen/>
        <w:t>թյամբ անչա</w:t>
      </w:r>
      <w:r w:rsidRPr="001F63BA">
        <w:rPr>
          <w:rFonts w:ascii="GHEA Grapalat" w:hAnsi="GHEA Grapalat"/>
          <w:sz w:val="22"/>
          <w:szCs w:val="22"/>
          <w:lang w:val="en-US"/>
        </w:rPr>
        <w:softHyphen/>
        <w:t>փահասների եկամուտների հայտա</w:t>
      </w:r>
      <w:r w:rsidRPr="001F63BA">
        <w:rPr>
          <w:rFonts w:ascii="GHEA Grapalat" w:hAnsi="GHEA Grapalat"/>
          <w:sz w:val="22"/>
          <w:szCs w:val="22"/>
          <w:lang w:val="en-US"/>
        </w:rPr>
        <w:softHyphen/>
        <w:t>րա</w:t>
      </w:r>
      <w:r w:rsidRPr="001F63BA">
        <w:rPr>
          <w:rFonts w:ascii="GHEA Grapalat" w:hAnsi="GHEA Grapalat"/>
          <w:sz w:val="22"/>
          <w:szCs w:val="22"/>
          <w:lang w:val="en-US"/>
        </w:rPr>
        <w:softHyphen/>
        <w:t>րա</w:t>
      </w:r>
      <w:r w:rsidRPr="001F63BA">
        <w:rPr>
          <w:rFonts w:ascii="GHEA Grapalat" w:hAnsi="GHEA Grapalat"/>
          <w:sz w:val="22"/>
          <w:szCs w:val="22"/>
          <w:lang w:val="en-US"/>
        </w:rPr>
        <w:softHyphen/>
        <w:t>գրման և դրան զուգահեռ` «սոցիա</w:t>
      </w:r>
      <w:r w:rsidRPr="001F63BA">
        <w:rPr>
          <w:rFonts w:ascii="GHEA Grapalat" w:hAnsi="GHEA Grapalat"/>
          <w:sz w:val="22"/>
          <w:szCs w:val="22"/>
          <w:lang w:val="en-US"/>
        </w:rPr>
        <w:softHyphen/>
        <w:t>լա</w:t>
      </w:r>
      <w:r w:rsidRPr="001F63BA">
        <w:rPr>
          <w:rFonts w:ascii="GHEA Grapalat" w:hAnsi="GHEA Grapalat"/>
          <w:sz w:val="22"/>
          <w:szCs w:val="22"/>
          <w:lang w:val="en-US"/>
        </w:rPr>
        <w:softHyphen/>
        <w:t>կան ծախսերի» համակարգ: Համակարգի շրջա</w:t>
      </w:r>
      <w:r w:rsidRPr="001F63BA">
        <w:rPr>
          <w:rFonts w:ascii="GHEA Grapalat" w:hAnsi="GHEA Grapalat"/>
          <w:sz w:val="22"/>
          <w:szCs w:val="22"/>
          <w:lang w:val="en-US"/>
        </w:rPr>
        <w:softHyphen/>
        <w:t>նակ</w:t>
      </w:r>
      <w:r w:rsidRPr="001F63BA">
        <w:rPr>
          <w:rFonts w:ascii="GHEA Grapalat" w:hAnsi="GHEA Grapalat"/>
          <w:sz w:val="22"/>
          <w:szCs w:val="22"/>
          <w:lang w:val="en-US"/>
        </w:rPr>
        <w:softHyphen/>
        <w:t>ներում հայտա</w:t>
      </w:r>
      <w:r w:rsidRPr="001F63BA">
        <w:rPr>
          <w:rFonts w:ascii="GHEA Grapalat" w:hAnsi="GHEA Grapalat"/>
          <w:sz w:val="22"/>
          <w:szCs w:val="22"/>
          <w:lang w:val="en-US"/>
        </w:rPr>
        <w:softHyphen/>
        <w:t>րա</w:t>
      </w:r>
      <w:r w:rsidRPr="001F63BA">
        <w:rPr>
          <w:rFonts w:ascii="GHEA Grapalat" w:hAnsi="GHEA Grapalat"/>
          <w:sz w:val="22"/>
          <w:szCs w:val="22"/>
          <w:lang w:val="en-US"/>
        </w:rPr>
        <w:softHyphen/>
        <w:t>րատուները հնարա</w:t>
      </w:r>
      <w:r w:rsidRPr="001F63BA">
        <w:rPr>
          <w:rFonts w:ascii="GHEA Grapalat" w:hAnsi="GHEA Grapalat"/>
          <w:sz w:val="22"/>
          <w:szCs w:val="22"/>
          <w:lang w:val="en-US"/>
        </w:rPr>
        <w:softHyphen/>
        <w:t>վո</w:t>
      </w:r>
      <w:r w:rsidRPr="001F63BA">
        <w:rPr>
          <w:rFonts w:ascii="GHEA Grapalat" w:hAnsi="GHEA Grapalat"/>
          <w:sz w:val="22"/>
          <w:szCs w:val="22"/>
          <w:lang w:val="en-US"/>
        </w:rPr>
        <w:softHyphen/>
        <w:t>րու</w:t>
      </w:r>
      <w:r w:rsidRPr="001F63BA">
        <w:rPr>
          <w:rFonts w:ascii="GHEA Grapalat" w:hAnsi="GHEA Grapalat"/>
          <w:sz w:val="22"/>
          <w:szCs w:val="22"/>
          <w:lang w:val="en-US"/>
        </w:rPr>
        <w:softHyphen/>
        <w:t>թյուն են ստա</w:t>
      </w:r>
      <w:r w:rsidRPr="001F63BA">
        <w:rPr>
          <w:rFonts w:ascii="GHEA Grapalat" w:hAnsi="GHEA Grapalat"/>
          <w:sz w:val="22"/>
          <w:szCs w:val="22"/>
          <w:lang w:val="en-US"/>
        </w:rPr>
        <w:softHyphen/>
      </w:r>
      <w:r w:rsidRPr="001F63BA">
        <w:rPr>
          <w:rFonts w:ascii="GHEA Grapalat" w:hAnsi="GHEA Grapalat"/>
          <w:sz w:val="22"/>
          <w:szCs w:val="22"/>
          <w:lang w:val="en-US"/>
        </w:rPr>
        <w:softHyphen/>
        <w:t>նալու իրենց վճա</w:t>
      </w:r>
      <w:r w:rsidRPr="001F63BA">
        <w:rPr>
          <w:rFonts w:ascii="GHEA Grapalat" w:hAnsi="GHEA Grapalat"/>
          <w:sz w:val="22"/>
          <w:szCs w:val="22"/>
          <w:lang w:val="en-US"/>
        </w:rPr>
        <w:softHyphen/>
        <w:t>րած եկա</w:t>
      </w:r>
      <w:r w:rsidRPr="001F63BA">
        <w:rPr>
          <w:rFonts w:ascii="GHEA Grapalat" w:hAnsi="GHEA Grapalat"/>
          <w:sz w:val="22"/>
          <w:szCs w:val="22"/>
          <w:lang w:val="en-US"/>
        </w:rPr>
        <w:softHyphen/>
        <w:t>մտային հարկի գումար</w:t>
      </w:r>
      <w:r w:rsidRPr="001F63BA">
        <w:rPr>
          <w:rFonts w:ascii="GHEA Grapalat" w:hAnsi="GHEA Grapalat"/>
          <w:sz w:val="22"/>
          <w:szCs w:val="22"/>
          <w:lang w:val="en-US"/>
        </w:rPr>
        <w:softHyphen/>
        <w:t>նե</w:t>
      </w:r>
      <w:r w:rsidRPr="001F63BA">
        <w:rPr>
          <w:rFonts w:ascii="GHEA Grapalat" w:hAnsi="GHEA Grapalat"/>
          <w:sz w:val="22"/>
          <w:szCs w:val="22"/>
          <w:lang w:val="en-US"/>
        </w:rPr>
        <w:softHyphen/>
        <w:t>րից հետ ստա</w:t>
      </w:r>
      <w:r w:rsidRPr="001F63BA">
        <w:rPr>
          <w:rFonts w:ascii="GHEA Grapalat" w:hAnsi="GHEA Grapalat"/>
          <w:sz w:val="22"/>
          <w:szCs w:val="22"/>
          <w:lang w:val="en-US"/>
        </w:rPr>
        <w:softHyphen/>
      </w:r>
      <w:r w:rsidRPr="001F63BA">
        <w:rPr>
          <w:rFonts w:ascii="GHEA Grapalat" w:hAnsi="GHEA Grapalat"/>
          <w:sz w:val="22"/>
          <w:szCs w:val="22"/>
          <w:lang w:val="en-US"/>
        </w:rPr>
        <w:softHyphen/>
        <w:t>նալ տարվա ընթաց</w:t>
      </w:r>
      <w:r w:rsidRPr="001F63BA">
        <w:rPr>
          <w:rFonts w:ascii="GHEA Grapalat" w:hAnsi="GHEA Grapalat"/>
          <w:sz w:val="22"/>
          <w:szCs w:val="22"/>
          <w:lang w:val="en-US"/>
        </w:rPr>
        <w:softHyphen/>
      </w:r>
      <w:r w:rsidRPr="001F63BA">
        <w:rPr>
          <w:rFonts w:ascii="GHEA Grapalat" w:hAnsi="GHEA Grapalat"/>
          <w:sz w:val="22"/>
          <w:szCs w:val="22"/>
          <w:lang w:val="en-US"/>
        </w:rPr>
        <w:softHyphen/>
        <w:t>քում իրենց (կամ ընտանիքի անդամ</w:t>
      </w:r>
      <w:r w:rsidRPr="001F63BA">
        <w:rPr>
          <w:rFonts w:ascii="GHEA Grapalat" w:hAnsi="GHEA Grapalat"/>
          <w:sz w:val="22"/>
          <w:szCs w:val="22"/>
          <w:lang w:val="en-US"/>
        </w:rPr>
        <w:softHyphen/>
        <w:t>ների) համար կատար</w:t>
      </w:r>
      <w:r w:rsidRPr="001F63BA">
        <w:rPr>
          <w:rFonts w:ascii="GHEA Grapalat" w:hAnsi="GHEA Grapalat"/>
          <w:sz w:val="22"/>
          <w:szCs w:val="22"/>
          <w:lang w:val="en-US"/>
        </w:rPr>
        <w:softHyphen/>
        <w:t>ված ու փաս</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տա</w:t>
      </w:r>
      <w:r w:rsidRPr="001F63BA">
        <w:rPr>
          <w:rFonts w:ascii="GHEA Grapalat" w:hAnsi="GHEA Grapalat"/>
          <w:sz w:val="22"/>
          <w:szCs w:val="22"/>
          <w:lang w:val="en-US"/>
        </w:rPr>
        <w:softHyphen/>
      </w:r>
      <w:r w:rsidRPr="001F63BA">
        <w:rPr>
          <w:rFonts w:ascii="GHEA Grapalat" w:hAnsi="GHEA Grapalat"/>
          <w:sz w:val="22"/>
          <w:szCs w:val="22"/>
          <w:lang w:val="en-US"/>
        </w:rPr>
        <w:softHyphen/>
        <w:t>թղթե</w:t>
      </w:r>
      <w:r w:rsidRPr="001F63BA">
        <w:rPr>
          <w:rFonts w:ascii="GHEA Grapalat" w:hAnsi="GHEA Grapalat"/>
          <w:sz w:val="22"/>
          <w:szCs w:val="22"/>
          <w:lang w:val="en-US"/>
        </w:rPr>
        <w:softHyphen/>
        <w:t>րով հիմ</w:t>
      </w:r>
      <w:r w:rsidRPr="001F63BA">
        <w:rPr>
          <w:rFonts w:ascii="GHEA Grapalat" w:hAnsi="GHEA Grapalat"/>
          <w:sz w:val="22"/>
          <w:szCs w:val="22"/>
          <w:lang w:val="en-US"/>
        </w:rPr>
        <w:softHyphen/>
        <w:t>նա</w:t>
      </w:r>
      <w:r w:rsidRPr="001F63BA">
        <w:rPr>
          <w:rFonts w:ascii="GHEA Grapalat" w:hAnsi="GHEA Grapalat"/>
          <w:sz w:val="22"/>
          <w:szCs w:val="22"/>
          <w:lang w:val="en-US"/>
        </w:rPr>
        <w:softHyphen/>
        <w:t>վոր</w:t>
      </w:r>
      <w:r w:rsidRPr="001F63BA">
        <w:rPr>
          <w:rFonts w:ascii="GHEA Grapalat" w:hAnsi="GHEA Grapalat"/>
          <w:sz w:val="22"/>
          <w:szCs w:val="22"/>
          <w:lang w:val="en-US"/>
        </w:rPr>
        <w:softHyphen/>
        <w:t>ված որոշ սոցիա</w:t>
      </w:r>
      <w:r w:rsidRPr="001F63BA">
        <w:rPr>
          <w:rFonts w:ascii="GHEA Grapalat" w:hAnsi="GHEA Grapalat"/>
          <w:sz w:val="22"/>
          <w:szCs w:val="22"/>
          <w:lang w:val="en-US"/>
        </w:rPr>
        <w:softHyphen/>
        <w:t>լական ծախսեր: Ընդ որում, առաջին անգամ՝ 2023 թվա</w:t>
      </w:r>
      <w:r w:rsidRPr="001F63BA">
        <w:rPr>
          <w:rFonts w:ascii="GHEA Grapalat" w:hAnsi="GHEA Grapalat"/>
          <w:sz w:val="22"/>
          <w:szCs w:val="22"/>
          <w:lang w:val="en-US"/>
        </w:rPr>
        <w:softHyphen/>
        <w:t>կանի հաշվետու տարվա համար, հայտարարագրեր պետք է ներ</w:t>
      </w:r>
      <w:r w:rsidRPr="001F63BA">
        <w:rPr>
          <w:rFonts w:ascii="GHEA Grapalat" w:hAnsi="GHEA Grapalat"/>
          <w:sz w:val="22"/>
          <w:szCs w:val="22"/>
          <w:lang w:val="en-US"/>
        </w:rPr>
        <w:softHyphen/>
        <w:t>կայացվեն 2024 թվա</w:t>
      </w:r>
      <w:r w:rsidRPr="001F63BA">
        <w:rPr>
          <w:rFonts w:ascii="GHEA Grapalat" w:hAnsi="GHEA Grapalat"/>
          <w:sz w:val="22"/>
          <w:szCs w:val="22"/>
          <w:lang w:val="en-US"/>
        </w:rPr>
        <w:softHyphen/>
        <w:t>կանի հունվարի 1-ից:</w:t>
      </w:r>
    </w:p>
    <w:p w:rsidR="001C411D" w:rsidRPr="001F63BA" w:rsidRDefault="001C411D" w:rsidP="00AC199C">
      <w:pPr>
        <w:spacing w:line="360" w:lineRule="auto"/>
        <w:ind w:firstLine="567"/>
        <w:jc w:val="both"/>
        <w:rPr>
          <w:rFonts w:ascii="GHEA Grapalat" w:hAnsi="GHEA Grapalat"/>
          <w:sz w:val="22"/>
          <w:szCs w:val="22"/>
          <w:lang w:val="en-US"/>
        </w:rPr>
      </w:pPr>
    </w:p>
    <w:p w:rsidR="001C411D" w:rsidRPr="001F63BA" w:rsidRDefault="001C411D" w:rsidP="00AC199C">
      <w:pPr>
        <w:pStyle w:val="Heading2"/>
        <w:spacing w:before="0"/>
      </w:pPr>
      <w:bookmarkStart w:id="56" w:name="_Toc6389307"/>
      <w:bookmarkStart w:id="57" w:name="_Toc132204228"/>
      <w:r w:rsidRPr="001F63BA">
        <w:t>Պետական եկամուտների վարչարարություն</w:t>
      </w:r>
      <w:bookmarkEnd w:id="56"/>
      <w:bookmarkEnd w:id="57"/>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Պետական եկամուտների վարչարարության ոլորտում իրականացված միջոցա</w:t>
      </w:r>
      <w:r w:rsidRPr="001F63BA">
        <w:rPr>
          <w:rFonts w:ascii="GHEA Grapalat" w:hAnsi="GHEA Grapalat"/>
          <w:sz w:val="22"/>
          <w:szCs w:val="22"/>
          <w:lang w:val="en-US"/>
        </w:rPr>
        <w:softHyphen/>
        <w:t>ռում</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ները բխել են ՀՀ կառա</w:t>
      </w:r>
      <w:r w:rsidRPr="001F63BA">
        <w:rPr>
          <w:rFonts w:ascii="GHEA Grapalat" w:hAnsi="GHEA Grapalat"/>
          <w:sz w:val="22"/>
          <w:szCs w:val="22"/>
          <w:lang w:val="en-US"/>
        </w:rPr>
        <w:softHyphen/>
        <w:t>վա</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րու</w:t>
      </w:r>
      <w:r w:rsidRPr="001F63BA">
        <w:rPr>
          <w:rFonts w:ascii="GHEA Grapalat" w:hAnsi="GHEA Grapalat"/>
          <w:sz w:val="22"/>
          <w:szCs w:val="22"/>
          <w:lang w:val="en-US"/>
        </w:rPr>
        <w:softHyphen/>
        <w:t>թյան 2021 թվականի օգոստոսի 18-ի N 1363-Ա որոշմամբ հաստատ</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ված ՀՀ կառավարության հնգամյա (2021-2026թթ.) ծրագրից, ՀՀ կառա</w:t>
      </w:r>
      <w:r w:rsidRPr="001F63BA">
        <w:rPr>
          <w:rFonts w:ascii="GHEA Grapalat" w:hAnsi="GHEA Grapalat"/>
          <w:sz w:val="22"/>
          <w:szCs w:val="22"/>
          <w:lang w:val="en-US"/>
        </w:rPr>
        <w:softHyphen/>
        <w:t>վա</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րու</w:t>
      </w:r>
      <w:r w:rsidRPr="001F63BA">
        <w:rPr>
          <w:rFonts w:ascii="GHEA Grapalat" w:hAnsi="GHEA Grapalat"/>
          <w:sz w:val="22"/>
          <w:szCs w:val="22"/>
          <w:lang w:val="en-US"/>
        </w:rPr>
        <w:softHyphen/>
        <w:t>թյան 2021 թվականի նոյեմբերի 18-ի N 1902-Ա որոշմամբ հաստատ</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ված ՀՀ կառավարության 2021-2026 թվականների գործունեության միջոցառումների ծրագրից, ՀՀ կառա</w:t>
      </w:r>
      <w:r w:rsidRPr="001F63BA">
        <w:rPr>
          <w:rFonts w:ascii="GHEA Grapalat" w:hAnsi="GHEA Grapalat"/>
          <w:sz w:val="22"/>
          <w:szCs w:val="22"/>
          <w:lang w:val="en-US"/>
        </w:rPr>
        <w:softHyphen/>
        <w:t>վա</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րու</w:t>
      </w:r>
      <w:r w:rsidRPr="001F63BA">
        <w:rPr>
          <w:rFonts w:ascii="GHEA Grapalat" w:hAnsi="GHEA Grapalat"/>
          <w:sz w:val="22"/>
          <w:szCs w:val="22"/>
          <w:lang w:val="en-US"/>
        </w:rPr>
        <w:softHyphen/>
        <w:t>թյան 2019 թվականի դեկտեմբերի 12-ի N 1830-Լ որոշմամբ հաստատ</w:t>
      </w:r>
      <w:r w:rsidRPr="001F63BA">
        <w:rPr>
          <w:rFonts w:ascii="GHEA Grapalat" w:hAnsi="GHEA Grapalat"/>
          <w:sz w:val="22"/>
          <w:szCs w:val="22"/>
          <w:lang w:val="en-US"/>
        </w:rPr>
        <w:softHyphen/>
      </w:r>
      <w:r w:rsidRPr="001F63BA">
        <w:rPr>
          <w:rFonts w:ascii="GHEA Grapalat" w:hAnsi="GHEA Grapalat"/>
          <w:sz w:val="22"/>
          <w:szCs w:val="22"/>
          <w:lang w:val="en-US"/>
        </w:rPr>
        <w:softHyphen/>
      </w:r>
      <w:r w:rsidRPr="001F63BA">
        <w:rPr>
          <w:rFonts w:ascii="GHEA Grapalat" w:hAnsi="GHEA Grapalat"/>
          <w:sz w:val="22"/>
          <w:szCs w:val="22"/>
          <w:lang w:val="en-US"/>
        </w:rPr>
        <w:softHyphen/>
        <w:t xml:space="preserve">ված՝ ՀՀ ՊԵԿ զարգացման և վարչարարության բարելավման ռազմավարական ծրագրից, ինչպես նաև </w:t>
      </w:r>
      <w:r w:rsidR="00FF639B" w:rsidRPr="001F63BA">
        <w:rPr>
          <w:rFonts w:ascii="GHEA Grapalat" w:hAnsi="GHEA Grapalat"/>
          <w:sz w:val="22"/>
          <w:szCs w:val="22"/>
          <w:lang w:val="en-US"/>
        </w:rPr>
        <w:t>Կառավարությ</w:t>
      </w:r>
      <w:r w:rsidRPr="001F63BA">
        <w:rPr>
          <w:rFonts w:ascii="GHEA Grapalat" w:hAnsi="GHEA Grapalat"/>
          <w:sz w:val="22"/>
          <w:szCs w:val="22"/>
          <w:lang w:val="en-US"/>
        </w:rPr>
        <w:t>ան կողմից հաստատված այլ ծրագրերից:</w:t>
      </w:r>
    </w:p>
    <w:p w:rsidR="001C411D" w:rsidRPr="001F63BA" w:rsidRDefault="001C411D" w:rsidP="00F10703">
      <w:pPr>
        <w:spacing w:line="360" w:lineRule="auto"/>
        <w:ind w:firstLine="567"/>
        <w:jc w:val="both"/>
        <w:rPr>
          <w:rFonts w:ascii="GHEA Grapalat" w:hAnsi="GHEA Grapalat"/>
          <w:sz w:val="22"/>
          <w:szCs w:val="22"/>
          <w:u w:val="single"/>
          <w:lang w:val="en-US"/>
        </w:rPr>
      </w:pPr>
    </w:p>
    <w:p w:rsidR="001C411D" w:rsidRPr="001F63BA" w:rsidRDefault="001C411D" w:rsidP="00926AA2">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Հարկ վճարողների սպասարկում և որակյալ ծառայությունների մատուցում</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Էլեկտրոնային համակարգերի և ենթակառուցվածքների արդիականացման, մասնավորապես՝ վերլուծական գործիքների (Big Data Analytics – Power BI) կատարելագործման և ավտոմատացման շրջանակներում 2022 թվականին մոնիտորինգի ինքնաշխատ ծանուցման համակարգում գործարկվել է 63 ռիսկի գնահատման չափանիշ, ընդ որում՝ արդեն իսկ ներդրված են ընդհանուր թվով 45 վերլուծական ձևեր, այդ թվում 6-ը՝ արտաքին տնտեսական։</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2022 թվականի հունվարի 1-ից ներդրվել է հիփոթեքային վարկի սպասարկման համար վճարվող տոկոսների գումարների վերադարձի էլեկտրոնային հարթակը, ինչի արդյունքում շահառուները </w:t>
      </w:r>
      <w:r w:rsidRPr="001F63BA">
        <w:rPr>
          <w:rFonts w:ascii="GHEA Grapalat" w:hAnsi="GHEA Grapalat"/>
          <w:sz w:val="22"/>
          <w:szCs w:val="22"/>
          <w:lang w:val="en-US"/>
        </w:rPr>
        <w:lastRenderedPageBreak/>
        <w:t>եկամտային հարկի վերադարձման վերաբերյալ դիմումները ներկայացնում են բացառապես էլեկտրոնային եղանակով: Արդյունքում՝ գումարների վերադարձը շահառուների բանկային հաշվեհամարներին կատարվում է 2-5 աշխատանքային օրերի ընթացքում։</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ընթացքում կատարվել է ընդհանուր առմամբ 261.9 մլրդ դրամի հարկերի վերադարձ (նախորդ տարվա համեմատ աճը կազմել է 45.3%), որոնք արտացոլված չեն պետական բյուջե հաշվեգրված եկամուտներում: Մասնավորապես՝ ԱԱՀ-ի գծով վերադարձը կազմել է 212.8</w:t>
      </w:r>
      <w:r w:rsidRPr="001F63BA">
        <w:rPr>
          <w:rFonts w:ascii="Courier New" w:hAnsi="Courier New" w:cs="Courier New"/>
          <w:sz w:val="22"/>
          <w:szCs w:val="22"/>
          <w:lang w:val="en-US"/>
        </w:rPr>
        <w:t> </w:t>
      </w:r>
      <w:r w:rsidRPr="001F63BA">
        <w:rPr>
          <w:rFonts w:ascii="GHEA Grapalat" w:hAnsi="GHEA Grapalat"/>
          <w:sz w:val="22"/>
          <w:szCs w:val="22"/>
          <w:lang w:val="en-US"/>
        </w:rPr>
        <w:t>մլրդ դրամ (այդ թվում՝ Tax Free գծով փոխհատուցումները), ակցիզային հարկի գծով վերադարձը կազմել է մոտ 1.7 մլրդ դրամ, եկամտային հարկի գծով վերադարձը` 47.4 մլրդ դրամ, այդ թվում՝ հիփոթեքային վարկի սպասարկման համար վճարվող տոկոսագումարների վերադարձի գծով` 36.5 մլրդ դրամ:</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ընթացքում շարունակել է ակտիվորեն գործել հեռախոսազանգերի կենտրոն-բաժինը: Հարկային և մաքսային հարաբերությունները կարգավորող օրենսդրության և վարչարարության վերաբերյալ ստացվել է 242640 հարցադիմում (նախորդ տարվա համեմատ աճը կազմել է 7.8%): Նույն ժամանակահատվածում կենտրոնը ստացել է նաև 3 առաջարկություն և 874 բողոք, իսկ հարկ վճարողների 79.7%-ը կենտրոնի աշխատանքը դրական են գնահատել:</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«Օրինապահ հարկ վճարող» կարգավիճակի տրամադրման համակարգով 2022 թվականի ընթացքում ընդհանուր առմամբ ներկայացվել է օրինապահ հարկ վճարողի հավաստագիր ստանալու թվով 167 դիմում, 31.12.2022թ. դրությամբ առկա է եղել 103 օրինապահ հարկ վճարողի գործող հավաստագիր ունեցող տնտեսավարող սուբյեկտ: ՀՀ հարկային օրենսգրքի 305-րդ հոդվածի համաձայն, 2022 թվականին օրինապահ հարկ վճարողներին hարկային հարաբերությունները կարգավորող իրավական ակտերի վերաբերյալ էլեկտրոնային փոստին ծանուցման միջոցով ուղարկվել է թվով 2796 իրազեկում:</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Մշակվել և հաջողությամբ գործարկվել է առանց մաքսային մարմինների գտնվելու վայրեր այցելության ապրանքների և տրանսպորտային միջոցների ինքնաշխատ բացթողման էլեկտրոնային համակարգը (ավտոմատ բացթողում):</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Հարկ վճարողների իրազեկվածության բարձրացման նպատակով՝ հարկ վճարողների տարբեր խմբերի համար 2022 թվականին, համաձայն հաստատված ծրագրի, հարկ վճարողների համար անց է կացվել 82 ուսումնական միջոցառում՝ 1548 ակ/ժամ ընդհանուր տևողությամբ, որոնց մասնակցել են 1704 հարկ վճարողներ և (կամ) նրանց ներկայացուցիչներ: Թվով 58 իրազեկման միջոցառումներ են իրականացվել նաև ԶԼՄ-ներով, ՊԵԿ պաշտոնական կայքով, սոցիալական հարթակներով:</w:t>
      </w:r>
    </w:p>
    <w:p w:rsidR="001C411D" w:rsidRPr="001F63BA" w:rsidRDefault="001C411D" w:rsidP="00F1070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Հարկային մարմնի կողմից իրականացվող հարկային և մաքսային վարչարարության վերաբերյալ հարկ վճարողների ընկալումները գնահատելու նպատակով 2022 թվականի ապրիլի 4</w:t>
      </w:r>
      <w:r w:rsidRPr="001F63BA">
        <w:rPr>
          <w:rFonts w:ascii="GHEA Grapalat" w:hAnsi="GHEA Grapalat"/>
          <w:sz w:val="22"/>
          <w:szCs w:val="22"/>
          <w:lang w:val="en-US"/>
        </w:rPr>
        <w:noBreakHyphen/>
        <w:t xml:space="preserve">ից մայիսի 4-ն ընկած ժամանակահատվածում ՀՀ ՊԵԿ կողմից իրականացվել է ՊԵԿ գործունեության </w:t>
      </w:r>
      <w:r w:rsidRPr="001F63BA">
        <w:rPr>
          <w:rFonts w:ascii="GHEA Grapalat" w:hAnsi="GHEA Grapalat"/>
          <w:sz w:val="22"/>
          <w:szCs w:val="22"/>
          <w:lang w:val="en-US"/>
        </w:rPr>
        <w:lastRenderedPageBreak/>
        <w:t>վերաբերյալ գոհունակության գնահատման հարցում: Հարցմանը մասնակցել է թվով 641 կազմակերպություն (ԱՁ) և ֆիզիկական անձ: Հարցման արդյունքները ցույց են տվել, որ ՊԵԿ գործունեությունը դրական են գնահատել հարկային մարմնի մասով հարցման մասնակիցների 87.1%-ը, մաքսային մարմնի մասով` 81.2%-ը, իսկ ընդհանուր հարցման մասնակիցների` 86.1%-ը:</w:t>
      </w:r>
    </w:p>
    <w:p w:rsidR="001C411D" w:rsidRPr="001F63BA" w:rsidRDefault="001C411D" w:rsidP="00F10703">
      <w:pPr>
        <w:spacing w:line="360" w:lineRule="auto"/>
        <w:ind w:firstLine="567"/>
        <w:jc w:val="both"/>
        <w:rPr>
          <w:rFonts w:ascii="GHEA Grapalat" w:hAnsi="GHEA Grapalat"/>
          <w:sz w:val="22"/>
          <w:szCs w:val="22"/>
          <w:lang w:val="en-US"/>
        </w:rPr>
      </w:pPr>
    </w:p>
    <w:p w:rsidR="001C411D" w:rsidRPr="001F63BA" w:rsidRDefault="001C411D" w:rsidP="00926AA2">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 xml:space="preserve">Հարկային և մաքսային հսկողության, վարչարարության արդյունավետության բարձրացում, հարկային վարչարարական ճեղքի կրճատում, կամավոր կարգապահության բարձրացում </w:t>
      </w:r>
    </w:p>
    <w:p w:rsidR="001C411D" w:rsidRPr="001F63BA" w:rsidRDefault="001C411D" w:rsidP="00926AA2">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ՀՀ ՊԵԿ-ում ներդրված Հարկային և մաքսային կարգապահության բարելավման ռազմավարության ծրագրի շրջանակներում գնահատվել են արդեն իսկ գործող ոլորտային կարգապահության բարելավման ծրագրերի իրականացման արդյունքները, ինչպես նաև հաստատվել են հարկային և մաքսային կարգապահության բարելավման նոր ծրագրեր: Վերջիններիս շրջանակներում իրականացված հսկողական միջոցառումների արդյունքում 2022 թվականի ընթացքում արձանագրվել է. </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ստվերային շրջանառության բացահայտման 876 դեպք, որի արդյունքում ներկայացված ԱԱՀ-ի, շրջանառության հարկի, եկամտային հարկի, ակցիզային հարկի ճշտված հաշվարկներով իրացման շրջանառությունն ավելացել է շուրջ 19.3 մլրդ դրամով, իսկ լրացուցիչ բյուջե վճարման ենթակա գումարը կազմել է 2.1 մլրդ դրամ,</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շահութահարկի թաքցված հարկվող օբյեկտների բացահայտման 123 դեպք, որից 47 դեպքով ավելացված հարկվող շահույթը կազմել է 571.3 մլն դրամ, շահութահարկը՝ 105.3 մլն դրամ, իսկ 76 դեպքով ծախսերը և (կամ) վնասը պակասեցվել են 1.9 մլրդ դրամով, լրացուցիչ շահութահարկի գումարը կազմել է 254.9 մլրդ դրամ,</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հարկ վճարողների կողմից դուրսգրված հաշվարկային փաստաթղթերի քանակը (ներառյալ ՀԴՄ կտրոնները) կազմել է 603.4 մլն, որոնցով արտացոլվել է 10.2 տրիլիոն դրամի իրացման շրջանառություն. վերջինիս աճը նախորդ տարվա համեմատ կազմել է 24.5%,</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2022 թվականի դեկտեմբերին գրանցված աշխատողների թվաքանակը կազմել է 704420, որը երբևէ արձանագրված ամենաբարձր ցուցանիշն է, և որի աճը նախորդ տարվա համեմատ կազմել է 6.8%:</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Ռիսկերի վերհանման և ստվերի կրճատման նպատակով 2022 թվականին հարկային մարմնի կողմից հսկողական աշխատանքների շրջանակներում իրականացվել է թվով 1126 համալիր հարկային ստուգում, որի արդյունքում առաջադրվել է 6.1 մլրդ դրամ (առանց հաշվի առնելու ստուգման ընթացքում հաշվարկներով կատարված ճշտումները):</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ԵԱՏՄ անդամ պետություններից ՀՀ ներմուծում իրականացնող հարկ վճարողների հարկային կարգապահության բարելավման և հսկողական գործիքի կատարելագործման շրջանակներում ինվոյսային արժեքների ճշտման ուղղությամբ ձեռնարկվել է թվով 2771 միջոցառում, և բոլոր դեպքերով ներկայացվել են ճշտված հայտարարագրեր: Արդյունքում նախկինում ներկայացված 5.7 մլրդ դրամ ինվոյսային արժեքի փոխարեն արտացոլվել է մոտ 10.0</w:t>
      </w:r>
      <w:r w:rsidRPr="001F63BA">
        <w:rPr>
          <w:rFonts w:ascii="Courier New" w:hAnsi="Courier New" w:cs="Courier New"/>
          <w:sz w:val="22"/>
          <w:szCs w:val="22"/>
          <w:lang w:val="en-US"/>
        </w:rPr>
        <w:t> </w:t>
      </w:r>
      <w:r w:rsidRPr="001F63BA">
        <w:rPr>
          <w:rFonts w:ascii="GHEA Grapalat" w:hAnsi="GHEA Grapalat"/>
          <w:sz w:val="22"/>
          <w:szCs w:val="22"/>
          <w:lang w:val="en-US"/>
        </w:rPr>
        <w:t>մլրդ դրամ ինվոյսային արժեք, և ներկայացված ճշտված հայտարարագրերով հաշվարկվել է լրացուցիչ բյուջե վճարման ենթակա 855.6 մլն դրամ: 2022 թվականի ընթացքում վերոնշյալ գումարից վերականգնվել է ավելի քան 754.1 մլն դրամ:</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ՀՀ Ազգային ժողովի կողմից 23.12.2022թ. ընդունվել է «Հայաստանի Հանրապետության հարկային օրենսգրքում փոփոխություններ և լրացումներ կատարելու մասին» օրենքը, որով ներդրվել են հարկերի հաշվարկման անուղղակի եղանակների կատարելագործման և միջազգային փորձին համապատասխան հարկային պլանավորման չարաշահման կանխարգելման կանոնները:</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ապրիլի 13-ից ուժի մեջ են մտել ՀՀ հարկային օրենսգրքում տրանսֆերային գնագոյացման նկատմամբ հսկողության կարգավորումներն ամրագրող փոփոխությունները՝ վերջիններս համապատասխանեցնելով միջազգային լավագույն փորձին: Ընդունվել է ՀՀ կառավարության 2022թ. հոկտեմբերի 27-ի թիվ 1659-Ն որոշումը, որով սահմանվել է հարկային մարմնի գործունեության շրջանակներում ռիսկի վրա հիմնված տրանսֆերային գնագոյացման ստուգումների մեթոդաբանությունը և ռիսկայնությունը որոշող չափանիշների ընդհանուր նկարագիրը:</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շարունակվել են ԱՄՀ կողմից առաջարկվող մեթոդաբանության շրջանակներում ԱԱՀ-ի, շահութահարկի և եկամտային հարկի հարկային ճեղքերի գնահատման մեթոդաբանության կատարելագործման և գնահատման աշխատանքները:</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Վերանայվել են ստուգման ենթակա հարկ վճարողների ռիսկայնության չափանիշները՝ դրանք համապատասխանեցնելով օրենսդրության փոփոխություններին և գործնականում ի հայտ եկող խնդիրներին:</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Ներդրվել է ստուգումների և ուսումնասիրությունների փաստաթղթերի էլեկտրոնային եղանակով փոխանակման համակարգը:</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Հարկային օրենսգրքում կատարված փոփոխությամբ ներդրվել է թեմատիկ ուսումնասիրության տեսակը, որի շրջանակներում հարկային մարմնում առկա բավարար տեղեկատվության հիման վրա հնարավոր է հարկային պարտավորություններ առաջադրել իրավախախտ հարկ վճարողներին:</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Աշխատանքներ են տարվել այլ պետական մարմինների հետ տեղեկատվության փոխանակման գործընթացը բարելավելու ուղղությամբ:</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 xml:space="preserve">«ՀՀ արտաքին առևտրի ազգային մեկ պատուհան» հարթակի «Թույլատվական փաստաթղթեր» համակարգի թվով 16 ենթահամակարգերից գործարկվել են 10-ը: Մյուս ենթահամակարգերը գտնվում են թեստավորման և լրամշակման փուլում: Միաժամանակ «Մեկ կանգառ, մեկ պատուհան» համակարգի կատարելագործման շրջանակներում հաստատվել է կշեռքների կենտրոնացված համակարգի սպասարկման և բարելավման (վերակազմավորման) տեխնիկական բնութագիրը, և ներկայումս իրականացվում է ծրագրի պիլոտային շահագործումը։ </w:t>
      </w:r>
    </w:p>
    <w:p w:rsidR="001C411D" w:rsidRPr="001F63BA" w:rsidRDefault="001C411D" w:rsidP="00E91994">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ՏՀԶԿ Գլոբալ ֆորումի կողմից 2021 թվականի սեպտեմբերին մեկնարկած փորձագիտական գնահատման գործընթացի առաջին փուլի շրջանակներում ՀՀ ՊԵԿ համակարգմամբ ապահովվել է գնահատման հարցաշարի պաշտոնական լրացումը ՀՀ շահագրգիռ մարմինների կողմից և հանձնումը միջազգային փորձագետներին: Միաժամանակ, ՏՀԶԿ փորձագետների հետ տարվում են համապատասխան աշխատանքներ «Հարկվող բազայի քայքայումը և շահույթի տեղաշարժ» ծրագրի նվազագույն ստանդարտների ներդրման ուղղությամբ:</w:t>
      </w:r>
    </w:p>
    <w:p w:rsidR="001C411D" w:rsidRPr="001F63BA" w:rsidRDefault="001C411D" w:rsidP="00E91994">
      <w:pPr>
        <w:spacing w:line="360" w:lineRule="auto"/>
        <w:ind w:firstLine="567"/>
        <w:jc w:val="both"/>
        <w:rPr>
          <w:rFonts w:ascii="GHEA Grapalat" w:hAnsi="GHEA Grapalat"/>
          <w:sz w:val="22"/>
          <w:szCs w:val="22"/>
          <w:lang w:val="en-US"/>
        </w:rPr>
      </w:pPr>
    </w:p>
    <w:p w:rsidR="001C411D" w:rsidRPr="001F63BA" w:rsidRDefault="001C411D" w:rsidP="00926AA2">
      <w:pPr>
        <w:spacing w:line="360" w:lineRule="auto"/>
        <w:ind w:left="567"/>
        <w:jc w:val="both"/>
        <w:rPr>
          <w:rFonts w:ascii="GHEA Grapalat" w:hAnsi="GHEA Grapalat"/>
          <w:sz w:val="22"/>
          <w:szCs w:val="22"/>
          <w:u w:val="single"/>
          <w:lang w:val="en-US"/>
        </w:rPr>
      </w:pPr>
      <w:r w:rsidRPr="001F63BA">
        <w:rPr>
          <w:rFonts w:ascii="GHEA Grapalat" w:hAnsi="GHEA Grapalat"/>
          <w:sz w:val="22"/>
          <w:szCs w:val="22"/>
          <w:u w:val="single"/>
          <w:lang w:val="en-US"/>
        </w:rPr>
        <w:t>Հարկային և մաքսային համակարգը բանիմաց, մասնագիտական և անձնային հատկանիշներով օժտված անձնակազմով համալրելուն ուղղված աշխատանքների շրջանակներում արձանագրվել են հետևյալ արդյունքները.</w:t>
      </w:r>
    </w:p>
    <w:p w:rsidR="001C411D" w:rsidRPr="001F63BA" w:rsidRDefault="001C411D" w:rsidP="0083264A">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Նախապես մշակված ձևաչափով իրականացվել է նոր մաքսային ծառայության ընդունելության դիմորդների և գործող մաքսային ծառայողների բարեվարքության ստուգում։ Մասնավորապես՝ կատարվել է Կոռուպցիայի կանխարգելման հանձնաժողով ներկայացված հայտարարագրերի վերլուծություն։ Ուսումնասիրության է ենթարկվել 704 անձ, որից գործող մաքսային ծառայողներ՝ 132-ը, այլ դիմորդներ՝ 572-ը։ Արդյունքում դրական եզրակացություն է ստացել 260 անձ, այդ թվում՝ գործող մաքսային ծառայողներից՝ 83 անձ և այլ դիմորդներից՝ 173 անձ։ 49 մաքսային ծառայող բարեվարքության ուսումնասիրության արդյունքում ազատվել է մաքսային ծառայությունից:</w:t>
      </w:r>
    </w:p>
    <w:p w:rsidR="001C411D" w:rsidRPr="001F63BA" w:rsidRDefault="001C411D" w:rsidP="0083264A">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Նոր թափով շարունակվել են աշխատանքները հարկային և մաքսային մարմիններում կոռուպցիոն ռիսկերի և երևույթների բացահայտման ու կանխարգելման ուղղությամբ: Մասնավորապես՝ 2022 թվականին իրականացվել է 73 ծառայողական քննություն, որոնց արդյունքներով ՊԵԿ հարկային և մաքսային մարմինների ծառայողական քննություն անցկացնող հանձնաժողովի կողմից 89 ծառայող ենթարկվել է տարբեր կարգապահական պատասխանատվության, այդ թվում՝ 5 աշխատակից ազատվել է աշխատանքից։ </w:t>
      </w:r>
    </w:p>
    <w:p w:rsidR="001C411D" w:rsidRPr="001F63BA" w:rsidRDefault="001C411D" w:rsidP="0083264A">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2022 թվականի ընթացքում հարկային և մաքսային ծառայողների մասնագիտական գիտելիքներն ու հմտություններն ամրապնդելու և կատարելագործելու նպատակով կազմակերպվել են 1675 ակ/ժ ընդհանուր տևողությամբ դասընթացներ: </w:t>
      </w:r>
    </w:p>
    <w:p w:rsidR="001C411D" w:rsidRPr="001F63BA" w:rsidRDefault="001C411D" w:rsidP="00AC199C">
      <w:pPr>
        <w:spacing w:line="360" w:lineRule="auto"/>
        <w:ind w:firstLine="567"/>
        <w:jc w:val="both"/>
        <w:rPr>
          <w:rFonts w:ascii="GHEA Grapalat" w:hAnsi="GHEA Grapalat"/>
          <w:sz w:val="22"/>
          <w:szCs w:val="22"/>
          <w:lang w:val="af-ZA"/>
        </w:rPr>
      </w:pPr>
    </w:p>
    <w:p w:rsidR="001C411D" w:rsidRPr="001F63BA" w:rsidRDefault="001C411D" w:rsidP="00AC199C">
      <w:pPr>
        <w:pStyle w:val="Heading2"/>
        <w:spacing w:before="0"/>
      </w:pPr>
      <w:bookmarkStart w:id="58" w:name="_Toc132204229"/>
      <w:r w:rsidRPr="001F63BA">
        <w:t>Կապիտալի շուկայի զարգացում</w:t>
      </w:r>
      <w:bookmarkEnd w:id="58"/>
      <w:r w:rsidRPr="001F63BA">
        <w:t xml:space="preserve"> </w:t>
      </w:r>
    </w:p>
    <w:p w:rsidR="001C411D" w:rsidRPr="001F63BA" w:rsidRDefault="001C411D" w:rsidP="0057151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Հայաստանի կապիտալի շուկայի զարգացման ուղղությամբ թիրախավորված, կոորդինացված և արդյունավետ գործողություններ իրականացնելու համար 2022 թվականին նախատեսված՝ խոշոր համայնքների (մասնավորապես՝ Երևան քաղաքի) կողմից պարտատոմսերի շուկայի միջոցով ֆինանսավորման իրականացման համար անհրաժեշտ իրավական և ինստիտուցիոնալ ենթակառուցվածքների ստեղծման ուղղությամբ կատարվել են հետևյալ գործողությունները.</w:t>
      </w:r>
    </w:p>
    <w:p w:rsidR="001C411D" w:rsidRPr="001F63BA" w:rsidRDefault="001C411D" w:rsidP="00BB1B4B">
      <w:pPr>
        <w:numPr>
          <w:ilvl w:val="0"/>
          <w:numId w:val="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ՀՀ ՖՆ կողմից ուսումնասիրվել է համայնքային պարտատոմսերի թողարկման միջազգային առաջատար փորձը, ինչպես նաև վերջինիս՝ ՀՀ-ում արդյունավետ կիրառման հնարավորությունները և ռիսկերը</w:t>
      </w:r>
      <w:r w:rsidRPr="001F63BA">
        <w:rPr>
          <w:rFonts w:ascii="GHEA Grapalat" w:hAnsi="GHEA Grapalat"/>
          <w:sz w:val="22"/>
          <w:szCs w:val="22"/>
          <w:lang w:val="en-US"/>
        </w:rPr>
        <w:t>.</w:t>
      </w:r>
    </w:p>
    <w:p w:rsidR="001C411D" w:rsidRPr="001F63BA" w:rsidRDefault="001C411D" w:rsidP="00BB1B4B">
      <w:pPr>
        <w:numPr>
          <w:ilvl w:val="0"/>
          <w:numId w:val="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Համայնքային պարտատոմսերի թողարկման արդյունավետությունը գնահատելու նպատակով իրականացվել են վերլուծություններ տարբեր երկրների պետական պարտատոմսերի և համայնքային պարտատոմսերի եկամտաբերության ցուցանիշների համեմատականի, ինչպես նաև համայնքների կողմից թողարկած պարտքի սպասարկման խնդիրների դեպքում պետության կողմից ուղղակի կամ անուղղակի երաշխիքների կիրառման և տնտեսության վրա վերջիններիս ազդեցության վերաբերյալ</w:t>
      </w:r>
      <w:r w:rsidRPr="001F63BA">
        <w:rPr>
          <w:rFonts w:ascii="GHEA Grapalat" w:hAnsi="GHEA Grapalat"/>
          <w:sz w:val="22"/>
          <w:szCs w:val="22"/>
          <w:lang w:val="en-US"/>
        </w:rPr>
        <w:t>.</w:t>
      </w:r>
    </w:p>
    <w:p w:rsidR="001C411D" w:rsidRPr="001F63BA" w:rsidRDefault="001C411D" w:rsidP="00BB1B4B">
      <w:pPr>
        <w:numPr>
          <w:ilvl w:val="0"/>
          <w:numId w:val="8"/>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Ուսումնասիրվել են ՀՀ օրենսդրական դաշտում առկա խնդիրները, մասնավորապես՝</w:t>
      </w:r>
      <w:r w:rsidRPr="001F63BA">
        <w:rPr>
          <w:rFonts w:ascii="GHEA Grapalat" w:hAnsi="GHEA Grapalat"/>
          <w:sz w:val="22"/>
          <w:szCs w:val="22"/>
          <w:lang w:val="en-US"/>
        </w:rPr>
        <w:t xml:space="preserve"> </w:t>
      </w:r>
      <w:r w:rsidRPr="001F63BA">
        <w:rPr>
          <w:rFonts w:ascii="GHEA Grapalat" w:hAnsi="GHEA Grapalat"/>
          <w:sz w:val="22"/>
          <w:szCs w:val="22"/>
        </w:rPr>
        <w:t xml:space="preserve">2022 թվականին ՀՀ ԿԲ կողմից առաջարկվել էր «Կուտակային կենսաթոշակների մասին» օրենքի փոփոխության նախագիծ, համաձայն որի «Կուտակային կենսաթոշակների մասին» օրենքով </w:t>
      </w:r>
      <w:r w:rsidRPr="001F63BA">
        <w:rPr>
          <w:rFonts w:ascii="GHEA Grapalat" w:hAnsi="GHEA Grapalat"/>
          <w:sz w:val="22"/>
          <w:szCs w:val="22"/>
          <w:lang w:val="en-US"/>
        </w:rPr>
        <w:t>կ</w:t>
      </w:r>
      <w:r w:rsidRPr="001F63BA">
        <w:rPr>
          <w:rFonts w:ascii="GHEA Grapalat" w:hAnsi="GHEA Grapalat"/>
          <w:sz w:val="22"/>
          <w:szCs w:val="22"/>
        </w:rPr>
        <w:t xml:space="preserve">ուտակային </w:t>
      </w:r>
      <w:r w:rsidRPr="001F63BA">
        <w:rPr>
          <w:rFonts w:ascii="GHEA Grapalat" w:hAnsi="GHEA Grapalat"/>
          <w:sz w:val="22"/>
          <w:szCs w:val="22"/>
          <w:lang w:val="en-US"/>
        </w:rPr>
        <w:t>կ</w:t>
      </w:r>
      <w:r w:rsidRPr="001F63BA">
        <w:rPr>
          <w:rFonts w:ascii="GHEA Grapalat" w:hAnsi="GHEA Grapalat"/>
          <w:sz w:val="22"/>
          <w:szCs w:val="22"/>
        </w:rPr>
        <w:t>ենսաթոշակային ֆոնդերին հնարավորություն էր տրվելու ներդրումներ իրականացնել նաև ՀՀ համայնքների թողարկած արժեթղթերում: Այս հարցի շուրջ ծավալվել են մի շարք քննարկումներ ՀՀ ԿԲ և ԱՄՀ հետ համատեղ:</w:t>
      </w:r>
    </w:p>
    <w:p w:rsidR="001C411D" w:rsidRPr="001F63BA" w:rsidRDefault="001C411D" w:rsidP="0057151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Հաշվի առնելով այն հանգամանքը, որ ֆիսկալ ապակենտրոնացման շրջանակներում համայնքների կողմից պարտքի ներգրավման գործիքների կիրառման հնարավորություն ընձեռելու վերաբերյալ առկա է ԱՄՀ կառուցվածքային նախապայման, խնդրի մասով հետագա աշխատանքներ ծավալելու կապակցությամբ ԱՄՀ կողմից 2023 թվականին ակնկալվում է տեխնիկական աջակցություն:</w:t>
      </w:r>
    </w:p>
    <w:p w:rsidR="001C411D" w:rsidRPr="001F63BA" w:rsidRDefault="001C411D" w:rsidP="006417C8">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ՀՀ Էկոնոմիկայի </w:t>
      </w:r>
      <w:r w:rsidR="00FF639B" w:rsidRPr="001F63BA">
        <w:rPr>
          <w:rFonts w:ascii="GHEA Grapalat" w:hAnsi="GHEA Grapalat"/>
          <w:sz w:val="22"/>
          <w:szCs w:val="22"/>
          <w:lang w:val="en-US"/>
        </w:rPr>
        <w:t>նախարարության կողմից մշակվել և Կառավարությ</w:t>
      </w:r>
      <w:r w:rsidRPr="001F63BA">
        <w:rPr>
          <w:rFonts w:ascii="GHEA Grapalat" w:hAnsi="GHEA Grapalat"/>
          <w:sz w:val="22"/>
          <w:szCs w:val="22"/>
          <w:lang w:val="en-US"/>
        </w:rPr>
        <w:t>ան հաստատմանն է ներկայացվել Թողարկման և վարկանիշավորման պետական աջակցության ծրագիրը, համաձայն որի պետական աջակցություն է տրամադրվելու թողարկողներին և վարկանիշավորված ընկերություններին։</w:t>
      </w:r>
    </w:p>
    <w:p w:rsidR="001C411D" w:rsidRPr="001F63BA" w:rsidRDefault="001C411D" w:rsidP="006417C8">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 xml:space="preserve">Թողարկողների աջակցությունը տրամադրվելու է Հայաստանի Հանրապետության հազար խոշոր հարկատուների ցանկում հայտնված այն տնտեսավարողներին, որոնք ՀՀ-ում գործունեություն իրականացնող ֆոնդային բորսայում ցուցակել են իրենց կողմից թողարկված պարտատոմսերը, ընդ որում՝ պարտատոմսերն արտահայտված են դրամով, թողարկվել են առնվազն 36 ամիս շրջանառության ժամկետով և տեղաբաշխվել են հրապարակային առաջարկի միջոցով։ Ծրագրի շրջանակում տնտեսավարողները կստանան պարտատոմսերի թողարկման, տեղաբաշխման և շրջանառության սպասարկման օժանդակություն։ Արդյունքում, նախնական գնահատմամբ, իրական հատվածը ներկայացնող տնտեսավարողները երկարաժամկետում հնարավորություն կստանան դիվերսիֆիկացնելու իրենց ֆինանսավորման աղբյուրները, ինչը թույլ կտա հաղթահարել ունեցած գրավի իրացվելի արժեքով պայմանավորված վարկավորման սահմանափակումները՝ բիզնեսի հետագա զարգացման ֆինանսավորումը դնելով նոր և առավել հրապարակային ու թափանցիկ հիմքերի վրա։ Ի հավելումն, ակնկալվում է, որ կմեծանա պարտատոմսերի շուկայում ոչ ֆինանսական հատվածի ընկերությունների ներկայացվածությունը, ինչը կնպաստի նշյալ շուկայում որակական փոփոխությունների ի հայտ գալուն։ </w:t>
      </w:r>
    </w:p>
    <w:p w:rsidR="001C411D" w:rsidRPr="001F63BA" w:rsidRDefault="001C411D" w:rsidP="006417C8">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Վարկանիշավորողների աջակցությունը տրամադրվելու է ՀՀ տարածքում գրանցված և փաստացի գործունեություն իրականացնող կազմակերպություններին, որոնք ծրագրով նախատեսված կարգով հայտ ներկայացնելու նախորդող եռամսյակում ընդգրկվել են Հայաստանի Հանրապետության հազար խոշոր հարկատուների ցանկում և ծրագիրն ուժի մեջ մտնելուց հետո «Ֆիթչ» միջազգային վարկանիշային գործակալության կողմից ստացել են ՀՀ սուվերեն վարկանիշից երկու նիշ ցածր կամ ավելի բարձր միջազգային վարկանիշ կամ «Մուդիզ» կամ «Ստանդարտ ընդ Փուրզ» վարկանիշային գործակալությունների կողմից տրված համարժեք վարկանիշ։ Շահառուները կստանան վարկանիշի ստացման և սպասարկման առաջին տարվա ծախսերի 50%-ի չափով փոխհատուցում։ </w:t>
      </w:r>
    </w:p>
    <w:p w:rsidR="001C411D" w:rsidRPr="001F63BA" w:rsidRDefault="001C411D" w:rsidP="003C64A3">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ՀՀ էկոնոմիկայի նախարարության և ՀՀ կենտրոնական բանկի կողմից ածանցյալ գործիքների շուկայի ակտիվացման նպատակով իրականացվել են խթանիչ միջոցառումներ, որի արդյունքում բանկերի կողմից մշակվել են հեջավորման նոր ծառայություններ։ Արդյունքում բանկերն արտարժույթի հեջավորման նոր պայմանագրեր են կնքել իրական հատվածը ներկայացնող կազմակերպությունների հետ։ </w:t>
      </w:r>
    </w:p>
    <w:p w:rsidR="001C411D" w:rsidRPr="001F63BA" w:rsidRDefault="001C411D" w:rsidP="006417C8">
      <w:pPr>
        <w:spacing w:line="360" w:lineRule="auto"/>
        <w:ind w:firstLine="567"/>
        <w:jc w:val="both"/>
        <w:rPr>
          <w:rFonts w:ascii="GHEA Grapalat" w:hAnsi="GHEA Grapalat"/>
          <w:sz w:val="22"/>
          <w:szCs w:val="22"/>
          <w:lang w:val="en-US"/>
        </w:rPr>
        <w:sectPr w:rsidR="001C411D" w:rsidRPr="001F63BA" w:rsidSect="00A41AD1">
          <w:headerReference w:type="default" r:id="rId18"/>
          <w:pgSz w:w="11909" w:h="16834" w:code="9"/>
          <w:pgMar w:top="1134" w:right="567" w:bottom="567" w:left="1134" w:header="720" w:footer="397" w:gutter="0"/>
          <w:cols w:space="720"/>
          <w:docGrid w:linePitch="360"/>
        </w:sectPr>
      </w:pPr>
    </w:p>
    <w:p w:rsidR="001C411D" w:rsidRPr="001F63BA" w:rsidRDefault="001C411D" w:rsidP="00EA4DFC">
      <w:pPr>
        <w:pStyle w:val="Heading1"/>
        <w:rPr>
          <w:rFonts w:ascii="GHEA Grapalat" w:hAnsi="GHEA Grapalat" w:cs="Sylfaen"/>
          <w:sz w:val="22"/>
          <w:szCs w:val="22"/>
        </w:rPr>
      </w:pPr>
      <w:bookmarkStart w:id="59" w:name="_Toc511744957"/>
      <w:bookmarkStart w:id="60" w:name="_Toc6389317"/>
      <w:bookmarkStart w:id="61" w:name="_Toc69232221"/>
      <w:bookmarkStart w:id="62" w:name="_Toc132204230"/>
      <w:r w:rsidRPr="001F63BA">
        <w:rPr>
          <w:rFonts w:ascii="GHEA Grapalat" w:hAnsi="GHEA Grapalat" w:cs="Sylfaen"/>
          <w:sz w:val="22"/>
          <w:szCs w:val="22"/>
        </w:rPr>
        <w:lastRenderedPageBreak/>
        <w:t xml:space="preserve">ՀԱՅԱՍՏԱՆԻ ՀԱՆՐԱՊԵՏՈՒԹՅԱՆ </w:t>
      </w:r>
      <w:bookmarkStart w:id="63" w:name="_Toc322445708"/>
      <w:bookmarkStart w:id="64" w:name="_Toc322445786"/>
      <w:bookmarkStart w:id="65" w:name="_Toc353882534"/>
      <w:bookmarkStart w:id="66" w:name="_Toc354657491"/>
      <w:bookmarkStart w:id="67" w:name="_Toc354658845"/>
      <w:bookmarkStart w:id="68" w:name="_Toc385937080"/>
      <w:bookmarkStart w:id="69" w:name="_Toc417292092"/>
      <w:bookmarkStart w:id="70" w:name="_Toc448908371"/>
      <w:bookmarkStart w:id="71" w:name="_Toc448912548"/>
      <w:bookmarkStart w:id="72" w:name="_Toc448913277"/>
      <w:bookmarkStart w:id="73" w:name="_Toc511744958"/>
      <w:bookmarkStart w:id="74" w:name="_Toc6389318"/>
      <w:bookmarkStart w:id="75" w:name="_Toc290409638"/>
      <w:bookmarkEnd w:id="59"/>
      <w:bookmarkEnd w:id="60"/>
      <w:r w:rsidRPr="001F63BA">
        <w:rPr>
          <w:rFonts w:ascii="GHEA Grapalat" w:hAnsi="GHEA Grapalat" w:cs="Sylfaen"/>
          <w:sz w:val="22"/>
          <w:szCs w:val="22"/>
        </w:rPr>
        <w:t>ՄԱԿՐՈՏՆՏԵՍԱԿԱՆ ԵՎ ՀԱՐԿԱԲՅՈՒՋԵՏԱՅԻՆ ԶԱՐԳԱՑՈՒՄՆԵՐԸ 2022 ԹՎԱԿԱՆԻՆ</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1C411D" w:rsidRPr="001F63BA" w:rsidRDefault="001C411D" w:rsidP="002073E2">
      <w:pPr>
        <w:ind w:firstLine="540"/>
        <w:jc w:val="both"/>
        <w:rPr>
          <w:rFonts w:ascii="GHEA Grapalat" w:hAnsi="GHEA Grapalat"/>
          <w:sz w:val="22"/>
          <w:szCs w:val="22"/>
          <w:lang w:val="af-ZA"/>
        </w:rPr>
      </w:pPr>
    </w:p>
    <w:p w:rsidR="001C411D" w:rsidRPr="001F63BA" w:rsidRDefault="001C411D" w:rsidP="00F65EA5">
      <w:pPr>
        <w:pStyle w:val="Heading2"/>
        <w:spacing w:before="0"/>
        <w:ind w:firstLine="0"/>
      </w:pPr>
      <w:bookmarkStart w:id="76" w:name="_Toc100315618"/>
      <w:bookmarkStart w:id="77" w:name="_Toc132204231"/>
      <w:r w:rsidRPr="001F63BA">
        <w:t>ՄԱԿՐՈՏՆՏԵՍԱԿԱՆ ԶԱՐԳԱՑՈՒՄՆԵՐ</w:t>
      </w:r>
      <w:bookmarkEnd w:id="76"/>
      <w:bookmarkEnd w:id="77"/>
    </w:p>
    <w:p w:rsidR="001C411D" w:rsidRPr="001F63BA" w:rsidRDefault="001C411D" w:rsidP="00F65EA5">
      <w:pPr>
        <w:pStyle w:val="Heading2"/>
        <w:ind w:firstLine="0"/>
        <w:rPr>
          <w:bCs/>
        </w:rPr>
      </w:pPr>
      <w:bookmarkStart w:id="78" w:name="_Toc100315619"/>
      <w:bookmarkStart w:id="79" w:name="_Toc132204232"/>
      <w:r w:rsidRPr="001F63BA">
        <w:rPr>
          <w:bCs/>
        </w:rPr>
        <w:t>Արտաքին միջավայրի զարգացումներ</w:t>
      </w:r>
      <w:bookmarkEnd w:id="78"/>
      <w:bookmarkEnd w:id="79"/>
    </w:p>
    <w:p w:rsidR="001C411D" w:rsidRPr="001F63BA" w:rsidRDefault="001C411D" w:rsidP="006A49EC">
      <w:pPr>
        <w:spacing w:line="360" w:lineRule="auto"/>
        <w:ind w:firstLine="567"/>
        <w:jc w:val="both"/>
        <w:rPr>
          <w:rFonts w:ascii="GHEA Grapalat" w:hAnsi="GHEA Grapalat"/>
          <w:sz w:val="22"/>
          <w:szCs w:val="22"/>
          <w:lang w:val="en-US"/>
        </w:rPr>
      </w:pPr>
      <w:r w:rsidRPr="001F63BA">
        <w:rPr>
          <w:rFonts w:ascii="GHEA Grapalat" w:hAnsi="GHEA Grapalat" w:cs="GHEA Grapalat"/>
          <w:b/>
          <w:i/>
          <w:sz w:val="22"/>
          <w:szCs w:val="22"/>
        </w:rPr>
        <w:t>Տնտեսական զարգացումներ</w:t>
      </w:r>
      <w:r w:rsidRPr="001F63BA">
        <w:rPr>
          <w:rFonts w:ascii="GHEA Grapalat" w:hAnsi="GHEA Grapalat"/>
          <w:b/>
          <w:i/>
          <w:sz w:val="22"/>
          <w:szCs w:val="22"/>
          <w:lang w:val="en-US"/>
        </w:rPr>
        <w:t>:</w:t>
      </w:r>
      <w:r w:rsidRPr="001F63BA">
        <w:rPr>
          <w:rFonts w:ascii="GHEA Grapalat" w:hAnsi="GHEA Grapalat"/>
          <w:sz w:val="22"/>
          <w:szCs w:val="22"/>
          <w:lang w:val="en-US"/>
        </w:rPr>
        <w:t xml:space="preserve"> 2022 թվականին համաշխարհային տնտեսությունում և հիմնական գործընկեր երկրների տնտեսություններում տնտեսական աճի դանդաղումը պայմանավորված էր ռուս-ուկրաինական հակամարտությամբ և դրա արդյունքում ՌԴ նկատմամբ կիրառվող աննախադեպ պատժամիջոցների բացասական կողմնակի ազդեցություններով, ինչպես նաև կենտրոնական բանկերի կողմից իրականացվող դրամավարկային քաղաքականության խստացմամբ: 2022 թվականին համաշխարհային տնտեսական աճը կազմել է 3.4%՝ նախորդ տարվա 5.9%-ի դիմաց: 2022 թվականին ԱՄՆ տնտեսությունը գրանցել է 2.1% աճ</w:t>
      </w:r>
      <w:r w:rsidRPr="001F63BA">
        <w:rPr>
          <w:rFonts w:ascii="GHEA Grapalat" w:hAnsi="GHEA Grapalat"/>
          <w:sz w:val="22"/>
          <w:szCs w:val="22"/>
          <w:vertAlign w:val="superscript"/>
          <w:lang w:val="en-US"/>
        </w:rPr>
        <w:footnoteReference w:id="6"/>
      </w:r>
      <w:r w:rsidRPr="001F63BA">
        <w:rPr>
          <w:rFonts w:ascii="GHEA Grapalat" w:hAnsi="GHEA Grapalat"/>
          <w:sz w:val="22"/>
          <w:szCs w:val="22"/>
          <w:lang w:val="en-US"/>
        </w:rPr>
        <w:t>, ընդ որում՝ առաջին եռամսյակում աճը կազմել է 3.7%, հաջորդող եռամսյակներում դանդաղել է՝ չորրորդ եռամսյակում կազմելով 0.9%: Աճի դանդաղմանը նպաստել է արդյունաբերական արտադրանքի և ծառայությունների անկումը՝ պայմանավորված թույլ ներքին և արտաքին պահանջարկով: Էներգետիկ խնդիրների և բարձր գնաճի պայմաններում Եվրագոտու տնտեսությունն աճել է 3.5%</w:t>
      </w:r>
      <w:r w:rsidRPr="001F63BA">
        <w:rPr>
          <w:rFonts w:ascii="GHEA Grapalat" w:hAnsi="GHEA Grapalat"/>
          <w:sz w:val="22"/>
          <w:szCs w:val="22"/>
          <w:lang w:val="en-US"/>
        </w:rPr>
        <w:noBreakHyphen/>
        <w:t>ով</w:t>
      </w:r>
      <w:r w:rsidRPr="001F63BA">
        <w:rPr>
          <w:rFonts w:ascii="GHEA Grapalat" w:hAnsi="GHEA Grapalat"/>
          <w:sz w:val="22"/>
          <w:szCs w:val="22"/>
          <w:vertAlign w:val="superscript"/>
          <w:lang w:val="en-US"/>
        </w:rPr>
        <w:footnoteReference w:id="7"/>
      </w:r>
      <w:r w:rsidRPr="001F63BA">
        <w:rPr>
          <w:rFonts w:ascii="GHEA Grapalat" w:hAnsi="GHEA Grapalat"/>
          <w:sz w:val="22"/>
          <w:szCs w:val="22"/>
          <w:lang w:val="en-US"/>
        </w:rPr>
        <w:t>, ընդ որում՝ առաջին եռամսյակում տնտեսական աճը կազմել է 5.5%, իսկ հաջորդ եռամսյակներում՝ աստիճանաբար դանդաղել՝ 4-րդ եռամսյակում հասնելով 1.8%-ի: Աճի դանդաղումը պայմանավորված էր հիմնականում էներգատար արդյունաբերության ոլորտում արտադրության անկմամբ: Չինաստանի տնտեսությունը գրանցել է 3% աճ</w:t>
      </w:r>
      <w:r w:rsidRPr="001F63BA">
        <w:rPr>
          <w:rFonts w:ascii="GHEA Grapalat" w:hAnsi="GHEA Grapalat"/>
          <w:sz w:val="22"/>
          <w:szCs w:val="22"/>
          <w:vertAlign w:val="superscript"/>
          <w:lang w:val="en-US"/>
        </w:rPr>
        <w:footnoteReference w:id="8"/>
      </w:r>
      <w:r w:rsidRPr="001F63BA">
        <w:rPr>
          <w:rFonts w:ascii="GHEA Grapalat" w:hAnsi="GHEA Grapalat"/>
          <w:sz w:val="22"/>
          <w:szCs w:val="22"/>
          <w:lang w:val="en-US"/>
        </w:rPr>
        <w:t>:</w:t>
      </w:r>
    </w:p>
    <w:p w:rsidR="001C411D" w:rsidRPr="001F63BA" w:rsidRDefault="001C411D" w:rsidP="00683FFF">
      <w:pPr>
        <w:ind w:firstLine="567"/>
        <w:jc w:val="both"/>
        <w:rPr>
          <w:rFonts w:ascii="GHEA Grapalat" w:hAnsi="GHEA Grapalat"/>
          <w:sz w:val="22"/>
          <w:szCs w:val="22"/>
          <w:lang w:val="en-US"/>
        </w:rPr>
      </w:pPr>
    </w:p>
    <w:p w:rsidR="001C411D" w:rsidRPr="001F63BA" w:rsidRDefault="001C411D" w:rsidP="00D508BE">
      <w:pPr>
        <w:pStyle w:val="a"/>
        <w:rPr>
          <w:rFonts w:eastAsia="Calibri"/>
        </w:rPr>
      </w:pPr>
      <w:r w:rsidRPr="001F63BA">
        <w:rPr>
          <w:rFonts w:eastAsia="Calibri"/>
        </w:rPr>
        <w:t>Գործընկեր երկրների տնտեսական աճեր, %</w:t>
      </w:r>
    </w:p>
    <w:p w:rsidR="001C411D" w:rsidRPr="001F63BA" w:rsidRDefault="009A358E" w:rsidP="00E61457">
      <w:pPr>
        <w:spacing w:line="360" w:lineRule="auto"/>
        <w:jc w:val="both"/>
        <w:rPr>
          <w:rFonts w:ascii="GHEA Grapalat" w:hAnsi="GHEA Grapalat"/>
          <w:b/>
          <w:sz w:val="22"/>
        </w:rPr>
      </w:pPr>
      <w:r w:rsidRPr="001F63BA">
        <w:rPr>
          <w:rFonts w:ascii="GHEA Grapalat" w:hAnsi="GHEA Grapalat"/>
          <w:sz w:val="22"/>
          <w:lang w:val="en-US"/>
        </w:rPr>
        <w:drawing>
          <wp:inline distT="0" distB="0" distL="0" distR="0" wp14:anchorId="0AA17144" wp14:editId="6E82F1C7">
            <wp:extent cx="6600825" cy="1895475"/>
            <wp:effectExtent l="0" t="0" r="0" b="0"/>
            <wp:docPr id="6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411D" w:rsidRPr="001F63BA" w:rsidRDefault="001C411D" w:rsidP="006A49EC">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lastRenderedPageBreak/>
        <w:t>Ռուսաստանի տնտեսության անկումը 2022 թվականին կազմել է 2.1%</w:t>
      </w:r>
      <w:r w:rsidRPr="001F63BA">
        <w:rPr>
          <w:rFonts w:ascii="GHEA Grapalat" w:hAnsi="GHEA Grapalat"/>
          <w:sz w:val="22"/>
          <w:szCs w:val="22"/>
          <w:vertAlign w:val="superscript"/>
          <w:lang w:val="en-US"/>
        </w:rPr>
        <w:footnoteReference w:id="9"/>
      </w:r>
      <w:r w:rsidRPr="001F63BA">
        <w:rPr>
          <w:rFonts w:ascii="GHEA Grapalat" w:hAnsi="GHEA Grapalat"/>
          <w:sz w:val="22"/>
          <w:szCs w:val="22"/>
          <w:lang w:val="en-US"/>
        </w:rPr>
        <w:t>, ընդ որում՝ առաջին եռամսյակում տնտեսական աճը կազմել է 3.5%, իսկ հաջորդող ինն ամիսներին տնտեսական անկումը կազմել է միջինում 3.9%` հիմնականում պայմանավորված մշակող արդյունաբերության, մեծածախ և մանրածախ առևտրի ոլորտների անկմամբ:</w:t>
      </w:r>
    </w:p>
    <w:p w:rsidR="001C411D" w:rsidRPr="001F63BA" w:rsidRDefault="001C411D" w:rsidP="006A49EC">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Ռուս-ուկրաինական հակամարտության պայմաններում մարտ ամսից արագացող գնաճը զսպելու նպատակով առաջատար տնտեսությունների կենտրոնական բանկերի կողմից իրականացվող զսպող քաղաքականության արդյունքում վերջին երկու եռամսյակներում նկատվում է գնաճի տեմպերի դանդաղում, սակայն այն շարունակում է բարձր մնալ սահմանված թիրախներից։</w:t>
      </w:r>
    </w:p>
    <w:p w:rsidR="001C411D" w:rsidRPr="001F63BA" w:rsidRDefault="001C411D" w:rsidP="00907831">
      <w:pPr>
        <w:ind w:firstLine="567"/>
        <w:jc w:val="both"/>
        <w:rPr>
          <w:rFonts w:ascii="GHEA Grapalat" w:hAnsi="GHEA Grapalat"/>
          <w:sz w:val="22"/>
          <w:szCs w:val="22"/>
          <w:lang w:val="en-US"/>
        </w:rPr>
      </w:pPr>
    </w:p>
    <w:p w:rsidR="001C411D" w:rsidRPr="001F63BA" w:rsidRDefault="001C411D" w:rsidP="00D508BE">
      <w:pPr>
        <w:pStyle w:val="a"/>
        <w:rPr>
          <w:rFonts w:eastAsia="Calibri"/>
        </w:rPr>
      </w:pPr>
      <w:r w:rsidRPr="001F63BA">
        <w:rPr>
          <w:rFonts w:eastAsia="Calibri"/>
        </w:rPr>
        <w:t>Գնաճն ու դրամավարկային քաղաքականության արձագանքը գործընկեր երկրներում</w:t>
      </w:r>
      <w:r w:rsidRPr="001F63BA">
        <w:rPr>
          <w:rFonts w:eastAsia="Calibri"/>
          <w:vertAlign w:val="superscript"/>
        </w:rPr>
        <w:footnoteReference w:id="10"/>
      </w:r>
    </w:p>
    <w:p w:rsidR="00103848" w:rsidRPr="001F63BA" w:rsidRDefault="00103848" w:rsidP="00103848">
      <w:pPr>
        <w:spacing w:line="360" w:lineRule="auto"/>
        <w:jc w:val="both"/>
        <w:rPr>
          <w:rFonts w:ascii="GHEA Grapalat" w:hAnsi="GHEA Grapalat"/>
          <w:b/>
          <w:sz w:val="22"/>
        </w:rPr>
      </w:pPr>
      <w:r w:rsidRPr="001F63BA">
        <w:rPr>
          <w:rFonts w:ascii="GHEA Grapalat" w:hAnsi="GHEA Grapalat"/>
          <w:b/>
          <w:sz w:val="22"/>
          <w:lang w:val="en-US"/>
        </w:rPr>
        <w:drawing>
          <wp:inline distT="0" distB="0" distL="0" distR="0" wp14:anchorId="30824259" wp14:editId="10382F45">
            <wp:extent cx="3038475" cy="2162175"/>
            <wp:effectExtent l="0" t="0" r="0" b="0"/>
            <wp:docPr id="76" name="Chart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F63BA">
        <w:rPr>
          <w:rFonts w:ascii="GHEA Grapalat" w:hAnsi="GHEA Grapalat"/>
          <w:b/>
          <w:sz w:val="22"/>
        </w:rPr>
        <w:t xml:space="preserve"> </w:t>
      </w:r>
      <w:r w:rsidRPr="001F63BA">
        <w:rPr>
          <w:rFonts w:ascii="GHEA Grapalat" w:hAnsi="GHEA Grapalat"/>
          <w:b/>
          <w:sz w:val="22"/>
          <w:lang w:val="en-US"/>
        </w:rPr>
        <w:drawing>
          <wp:inline distT="0" distB="0" distL="0" distR="0" wp14:anchorId="567A22DC" wp14:editId="269845FD">
            <wp:extent cx="3362325" cy="2162175"/>
            <wp:effectExtent l="0" t="0" r="0" b="0"/>
            <wp:docPr id="75" name="Chart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C411D" w:rsidRPr="001F63BA" w:rsidRDefault="00103848" w:rsidP="00103848">
      <w:pPr>
        <w:ind w:firstLine="567"/>
        <w:jc w:val="both"/>
        <w:rPr>
          <w:rFonts w:ascii="GHEA Grapalat" w:hAnsi="GHEA Grapalat"/>
          <w:i/>
          <w:sz w:val="18"/>
          <w:szCs w:val="22"/>
        </w:rPr>
      </w:pPr>
      <w:r w:rsidRPr="001F63BA">
        <w:rPr>
          <w:rFonts w:ascii="GHEA Grapalat" w:hAnsi="GHEA Grapalat"/>
          <w:i/>
          <w:sz w:val="18"/>
          <w:szCs w:val="22"/>
        </w:rPr>
        <w:t>Աղբյուրը՝ ԱՄՆ ԴՊՀ, ԵԿԲ, Չինաստանի ժողովրդական բանկ, ՌԴ ԿԲ</w:t>
      </w:r>
    </w:p>
    <w:p w:rsidR="00103848" w:rsidRPr="001F63BA" w:rsidRDefault="00103848" w:rsidP="00103848">
      <w:pPr>
        <w:spacing w:line="360" w:lineRule="auto"/>
        <w:ind w:firstLine="567"/>
        <w:jc w:val="both"/>
        <w:rPr>
          <w:rFonts w:ascii="GHEA Grapalat" w:hAnsi="GHEA Grapalat"/>
          <w:sz w:val="22"/>
          <w:szCs w:val="22"/>
          <w:lang w:val="en-US"/>
        </w:rPr>
      </w:pPr>
    </w:p>
    <w:p w:rsidR="001C411D" w:rsidRPr="001F63BA" w:rsidRDefault="001C411D" w:rsidP="00E61457">
      <w:pPr>
        <w:spacing w:line="360" w:lineRule="auto"/>
        <w:ind w:firstLine="567"/>
        <w:jc w:val="both"/>
        <w:rPr>
          <w:rFonts w:ascii="GHEA Grapalat" w:hAnsi="GHEA Grapalat"/>
          <w:sz w:val="22"/>
          <w:szCs w:val="22"/>
          <w:lang w:val="en-US"/>
        </w:rPr>
      </w:pPr>
      <w:r w:rsidRPr="001F63BA">
        <w:rPr>
          <w:rFonts w:ascii="GHEA Grapalat" w:hAnsi="GHEA Grapalat"/>
          <w:b/>
          <w:i/>
          <w:iCs/>
          <w:sz w:val="22"/>
        </w:rPr>
        <w:t>Միջազգային գներ</w:t>
      </w:r>
      <w:r w:rsidRPr="001F63BA">
        <w:rPr>
          <w:rFonts w:ascii="GHEA Grapalat" w:hAnsi="GHEA Grapalat"/>
          <w:b/>
          <w:i/>
          <w:iCs/>
          <w:sz w:val="22"/>
          <w:vertAlign w:val="superscript"/>
        </w:rPr>
        <w:footnoteReference w:id="11"/>
      </w:r>
      <w:r w:rsidRPr="001F63BA">
        <w:rPr>
          <w:rFonts w:ascii="GHEA Grapalat" w:hAnsi="GHEA Grapalat"/>
          <w:b/>
          <w:sz w:val="22"/>
        </w:rPr>
        <w:t>:</w:t>
      </w:r>
      <w:r w:rsidRPr="001F63BA">
        <w:rPr>
          <w:rFonts w:ascii="GHEA Grapalat" w:hAnsi="GHEA Grapalat"/>
          <w:sz w:val="22"/>
        </w:rPr>
        <w:t xml:space="preserve"> </w:t>
      </w:r>
      <w:r w:rsidRPr="001F63BA">
        <w:rPr>
          <w:rFonts w:ascii="GHEA Grapalat" w:hAnsi="GHEA Grapalat"/>
          <w:sz w:val="22"/>
          <w:szCs w:val="22"/>
          <w:lang w:val="en-US"/>
        </w:rPr>
        <w:t xml:space="preserve">Ռուս-ուկրաինական հակամարտության հետևանքով համաշխարհային մատակարարման շղթաների խաթարման պայմաններում տարվա առաջին կեսին հումքային և պարենային ապրանքների շուկայում դիտվել է բարձր գնաճային միջավայր, սակայն տարվա ընթացքում համաշխարհային արժեշղթաների որոշակի վերականգման և խստացող դրամավարկային քաղաքականությունների պայմաններում գնաճային ճնշումները թուլացել են: 2022 թվականին պղնձի միջազգային շուկայում գները նվազել են 5.3%-ով, ինչին մեծապես նպաստել է Չինաստանի թույլ պահանջարկը: 2022 թվականի մարտ և ապրիլ ամիսներին պղնձի գները հասել էին </w:t>
      </w:r>
      <w:r w:rsidRPr="001F63BA">
        <w:rPr>
          <w:rFonts w:ascii="GHEA Grapalat" w:hAnsi="GHEA Grapalat"/>
          <w:sz w:val="22"/>
          <w:szCs w:val="22"/>
          <w:lang w:val="en-US"/>
        </w:rPr>
        <w:lastRenderedPageBreak/>
        <w:t>ամենաբարձր մակարդակին՝ համապատասխանաբար 10,230 և 10,161 ԱՄՆ դոլարի մեկ տոննայի համար:</w:t>
      </w:r>
    </w:p>
    <w:p w:rsidR="001C411D" w:rsidRPr="001F63BA" w:rsidRDefault="001C411D" w:rsidP="00E61457">
      <w:pPr>
        <w:spacing w:line="360" w:lineRule="auto"/>
        <w:ind w:firstLine="567"/>
        <w:jc w:val="both"/>
        <w:rPr>
          <w:rFonts w:ascii="GHEA Grapalat" w:hAnsi="GHEA Grapalat"/>
          <w:sz w:val="22"/>
          <w:szCs w:val="22"/>
          <w:lang w:val="en-US"/>
        </w:rPr>
      </w:pPr>
    </w:p>
    <w:p w:rsidR="00E71112" w:rsidRPr="001F63BA" w:rsidRDefault="00E71112" w:rsidP="00D508BE">
      <w:pPr>
        <w:pStyle w:val="a"/>
        <w:rPr>
          <w:rFonts w:eastAsia="Calibri"/>
        </w:rPr>
      </w:pPr>
      <w:r w:rsidRPr="001F63BA">
        <w:rPr>
          <w:rFonts w:eastAsia="Calibri"/>
        </w:rPr>
        <w:t>Նավթի, մետաղների և պարենի գների զարգացումներ</w:t>
      </w:r>
      <w:r w:rsidRPr="001F63BA">
        <w:rPr>
          <w:rFonts w:eastAsia="Calibri"/>
          <w:vertAlign w:val="superscript"/>
        </w:rPr>
        <w:footnoteReference w:id="12"/>
      </w:r>
    </w:p>
    <w:tbl>
      <w:tblPr>
        <w:tblW w:w="10665" w:type="dxa"/>
        <w:jc w:val="center"/>
        <w:tblLook w:val="04A0" w:firstRow="1" w:lastRow="0" w:firstColumn="1" w:lastColumn="0" w:noHBand="0" w:noVBand="1"/>
      </w:tblPr>
      <w:tblGrid>
        <w:gridCol w:w="5334"/>
        <w:gridCol w:w="5331"/>
      </w:tblGrid>
      <w:tr w:rsidR="001F63BA" w:rsidRPr="001F63BA" w:rsidTr="00A43295">
        <w:trPr>
          <w:trHeight w:val="113"/>
          <w:jc w:val="center"/>
        </w:trPr>
        <w:tc>
          <w:tcPr>
            <w:tcW w:w="5334" w:type="dxa"/>
            <w:shd w:val="clear" w:color="auto" w:fill="auto"/>
          </w:tcPr>
          <w:p w:rsidR="0087627B" w:rsidRPr="001F63BA" w:rsidRDefault="0087627B" w:rsidP="0087627B">
            <w:pPr>
              <w:spacing w:line="259" w:lineRule="auto"/>
              <w:rPr>
                <w:rFonts w:ascii="GHEA Grapalat" w:eastAsia="Calibri" w:hAnsi="GHEA Grapalat"/>
                <w:sz w:val="22"/>
              </w:rPr>
            </w:pPr>
            <w:r w:rsidRPr="001F63BA">
              <w:rPr>
                <w:rFonts w:ascii="GHEA Grapalat" w:eastAsia="Calibri" w:hAnsi="GHEA Grapalat"/>
                <w:sz w:val="22"/>
                <w:szCs w:val="22"/>
                <w:lang w:val="en-US"/>
              </w:rPr>
              <w:object w:dxaOrig="5117" w:dyaOrig="4157" w14:anchorId="1D509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1" o:spid="_x0000_i1025" type="#_x0000_t75" style="width:255.75pt;height:207.75pt;visibility:visible" o:ole="">
                  <v:imagedata r:id="rId22" o:title=""/>
                  <o:lock v:ext="edit" aspectratio="f"/>
                </v:shape>
                <o:OLEObject Type="Embed" ProgID="Excel.Sheet.8" ShapeID="Chart 31" DrawAspect="Content" ObjectID="_1748097462" r:id="rId23">
                  <o:FieldCodes>\s</o:FieldCodes>
                </o:OLEObject>
              </w:object>
            </w:r>
          </w:p>
        </w:tc>
        <w:tc>
          <w:tcPr>
            <w:tcW w:w="5331" w:type="dxa"/>
            <w:shd w:val="clear" w:color="auto" w:fill="auto"/>
          </w:tcPr>
          <w:p w:rsidR="0087627B" w:rsidRPr="001F63BA" w:rsidRDefault="0087627B" w:rsidP="0087627B">
            <w:pPr>
              <w:spacing w:line="259" w:lineRule="auto"/>
              <w:rPr>
                <w:rFonts w:ascii="GHEA Grapalat" w:eastAsia="Calibri" w:hAnsi="GHEA Grapalat"/>
                <w:sz w:val="22"/>
              </w:rPr>
            </w:pPr>
            <w:r w:rsidRPr="001F63BA">
              <w:rPr>
                <w:rFonts w:ascii="GHEA Grapalat" w:eastAsia="GHEA Grapalat" w:hAnsi="GHEA Grapalat" w:cs="GHEA Grapalat"/>
                <w:sz w:val="20"/>
                <w:szCs w:val="20"/>
                <w:lang w:val="en-US"/>
              </w:rPr>
              <w:drawing>
                <wp:inline distT="0" distB="0" distL="0" distR="0" wp14:anchorId="3AC1BC40" wp14:editId="355FA5B6">
                  <wp:extent cx="3248025" cy="2647950"/>
                  <wp:effectExtent l="0" t="0" r="0" b="0"/>
                  <wp:docPr id="81" name="Chart 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1F63BA" w:rsidRPr="001F63BA" w:rsidTr="00A43295">
        <w:tblPrEx>
          <w:jc w:val="left"/>
        </w:tblPrEx>
        <w:trPr>
          <w:trHeight w:val="454"/>
        </w:trPr>
        <w:tc>
          <w:tcPr>
            <w:tcW w:w="5334" w:type="dxa"/>
            <w:shd w:val="clear" w:color="auto" w:fill="auto"/>
          </w:tcPr>
          <w:p w:rsidR="0087627B" w:rsidRPr="001F63BA" w:rsidRDefault="0087627B" w:rsidP="008333FB">
            <w:pPr>
              <w:rPr>
                <w:rFonts w:ascii="GHEA Grapalat" w:eastAsia="Calibri" w:hAnsi="GHEA Grapalat"/>
                <w:i/>
                <w:sz w:val="18"/>
                <w:szCs w:val="18"/>
              </w:rPr>
            </w:pPr>
            <w:r w:rsidRPr="001F63BA">
              <w:rPr>
                <w:rFonts w:ascii="GHEA Grapalat" w:eastAsia="Calibri" w:hAnsi="GHEA Grapalat"/>
                <w:i/>
                <w:sz w:val="18"/>
                <w:szCs w:val="18"/>
              </w:rPr>
              <w:t>Աղբյուրը՝ Համաշխարհային բանկ</w:t>
            </w:r>
          </w:p>
          <w:p w:rsidR="0087627B" w:rsidRPr="001F63BA" w:rsidRDefault="0087627B" w:rsidP="008333FB">
            <w:pPr>
              <w:spacing w:line="259" w:lineRule="auto"/>
              <w:rPr>
                <w:rFonts w:ascii="GHEA Grapalat" w:eastAsia="Calibri" w:hAnsi="GHEA Grapalat"/>
                <w:sz w:val="18"/>
                <w:szCs w:val="18"/>
              </w:rPr>
            </w:pPr>
          </w:p>
        </w:tc>
        <w:tc>
          <w:tcPr>
            <w:tcW w:w="5331" w:type="dxa"/>
            <w:shd w:val="clear" w:color="auto" w:fill="auto"/>
          </w:tcPr>
          <w:p w:rsidR="0087627B" w:rsidRPr="001F63BA" w:rsidRDefault="0087627B" w:rsidP="008333FB">
            <w:pPr>
              <w:spacing w:line="259" w:lineRule="auto"/>
              <w:rPr>
                <w:rFonts w:ascii="GHEA Grapalat" w:eastAsia="Calibri" w:hAnsi="GHEA Grapalat"/>
                <w:i/>
                <w:sz w:val="18"/>
                <w:szCs w:val="18"/>
              </w:rPr>
            </w:pPr>
            <w:r w:rsidRPr="001F63BA">
              <w:rPr>
                <w:rFonts w:ascii="GHEA Grapalat" w:eastAsia="Calibri" w:hAnsi="GHEA Grapalat"/>
                <w:i/>
                <w:sz w:val="18"/>
                <w:szCs w:val="18"/>
              </w:rPr>
              <w:t>Աղբյուրը՝ ՄԱԿ–ի պարենի և գյուղատնտեսության կազմակերպություն</w:t>
            </w:r>
          </w:p>
        </w:tc>
      </w:tr>
    </w:tbl>
    <w:p w:rsidR="00146DDC" w:rsidRPr="001F63BA" w:rsidRDefault="00146DDC" w:rsidP="00E61457">
      <w:pPr>
        <w:spacing w:line="360" w:lineRule="auto"/>
        <w:ind w:firstLine="567"/>
        <w:jc w:val="both"/>
        <w:rPr>
          <w:rFonts w:ascii="GHEA Grapalat" w:hAnsi="GHEA Grapalat"/>
          <w:sz w:val="22"/>
          <w:szCs w:val="22"/>
          <w:lang w:val="en-US"/>
        </w:rPr>
      </w:pPr>
    </w:p>
    <w:p w:rsidR="001C411D" w:rsidRPr="001F63BA" w:rsidRDefault="001C411D" w:rsidP="00E61457">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առաջին կիսամյակում մոլիբդենի միջազգային գների նվազումը պայմանավորված էր թույլ պահանջարկով: Մոլիբդենի միջազգային գների մակարդակն օգոստոս ամսին կտրուկ անկումից հետո չորրորդ եռամսյակում աճեց՝ տարին ամփոփելով 46,000 ԱՄՆ դոլարից բարձր մակարդակում:</w:t>
      </w:r>
    </w:p>
    <w:p w:rsidR="001C411D" w:rsidRPr="001F63BA" w:rsidRDefault="001C411D" w:rsidP="00E61457">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ընթացքում նավթի գները նախորդ տարվա համեմատ աճել են 41.7%-ով՝ հատկապես առաջին երկու եռամսյակներում՝ պայմանավորված ռուս-ուկրաինական հակամարտության հետևանքով արժեշղթաների խաթարմամբ։ Այդուհանդերձ հուլիս ամսից գները նախորդ ամսվա համեմատ աստիճանաբար նվազել են՝ պայմանավորված Չինաստանի առավել թույլ պահանջարկով:</w:t>
      </w:r>
    </w:p>
    <w:p w:rsidR="001C411D" w:rsidRPr="001F63BA" w:rsidRDefault="001C411D" w:rsidP="00E61457">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Պարենի միջազգային գները</w:t>
      </w:r>
      <w:r w:rsidRPr="001F63BA">
        <w:rPr>
          <w:rFonts w:ascii="GHEA Grapalat" w:hAnsi="GHEA Grapalat"/>
          <w:sz w:val="22"/>
          <w:szCs w:val="22"/>
          <w:vertAlign w:val="superscript"/>
          <w:lang w:val="en-US"/>
        </w:rPr>
        <w:footnoteReference w:id="13"/>
      </w:r>
      <w:r w:rsidRPr="001F63BA">
        <w:rPr>
          <w:rFonts w:ascii="GHEA Grapalat" w:hAnsi="GHEA Grapalat"/>
          <w:sz w:val="22"/>
          <w:szCs w:val="22"/>
          <w:lang w:val="en-US"/>
        </w:rPr>
        <w:t xml:space="preserve"> 2022 թվականին նախորդ տարվա նկատմամբ նվազել են շուրջ 9.4%-ով։ 2022 թվականի մարտ ամսին գրանցված աննախադեպ բարձր մակարդակից հետո ապրիլ ամսից գները սկսել են շարունակաբար նվազել՝ պայմանավորված որոշ ապրանքների (մսամթերք, </w:t>
      </w:r>
      <w:r w:rsidRPr="001F63BA">
        <w:rPr>
          <w:rFonts w:ascii="GHEA Grapalat" w:hAnsi="GHEA Grapalat"/>
          <w:sz w:val="22"/>
          <w:szCs w:val="22"/>
          <w:lang w:val="en-US"/>
        </w:rPr>
        <w:lastRenderedPageBreak/>
        <w:t>կաթնամթերք, հացահատիկ, բուսական յուղեր, շաքարավազ) միջազգային գների նվազմամբ, ինչպես նաև դրամավարկային քաղաքականության բարձր տոկոսադրույքներով:</w:t>
      </w:r>
    </w:p>
    <w:p w:rsidR="001C411D" w:rsidRPr="001F63BA" w:rsidRDefault="001C411D" w:rsidP="00907831">
      <w:pPr>
        <w:ind w:firstLine="567"/>
        <w:jc w:val="both"/>
        <w:rPr>
          <w:rFonts w:ascii="GHEA Grapalat" w:hAnsi="GHEA Grapalat"/>
          <w:sz w:val="22"/>
          <w:szCs w:val="22"/>
          <w:lang w:val="en-US"/>
        </w:rPr>
      </w:pPr>
    </w:p>
    <w:p w:rsidR="001C411D" w:rsidRPr="001F63BA" w:rsidRDefault="001C411D" w:rsidP="00F65EA5">
      <w:pPr>
        <w:pStyle w:val="Heading2"/>
        <w:ind w:firstLine="0"/>
        <w:rPr>
          <w:bCs/>
        </w:rPr>
      </w:pPr>
      <w:bookmarkStart w:id="80" w:name="_Toc100315620"/>
      <w:bookmarkStart w:id="81" w:name="_Toc71532744"/>
      <w:bookmarkStart w:id="82" w:name="_Toc132204233"/>
      <w:r w:rsidRPr="001F63BA">
        <w:rPr>
          <w:bCs/>
        </w:rPr>
        <w:t>ՀՀ մակրոտնտեսական զարգացումներ</w:t>
      </w:r>
      <w:bookmarkEnd w:id="80"/>
      <w:bookmarkEnd w:id="81"/>
      <w:bookmarkEnd w:id="82"/>
    </w:p>
    <w:p w:rsidR="001C411D" w:rsidRPr="001F63BA" w:rsidRDefault="001C411D" w:rsidP="00A07DCC">
      <w:pPr>
        <w:pStyle w:val="Heading6"/>
        <w:ind w:left="567"/>
        <w:rPr>
          <w:rFonts w:ascii="GHEA Grapalat" w:hAnsi="GHEA Grapalat"/>
          <w:b/>
          <w:sz w:val="22"/>
          <w:szCs w:val="22"/>
          <w:u w:val="none"/>
        </w:rPr>
      </w:pPr>
      <w:r w:rsidRPr="001F63BA">
        <w:rPr>
          <w:rFonts w:ascii="GHEA Grapalat" w:hAnsi="GHEA Grapalat"/>
          <w:b/>
          <w:sz w:val="22"/>
          <w:szCs w:val="22"/>
          <w:u w:val="none"/>
        </w:rPr>
        <w:t>Համախառն առաջարկ և պահանջարկ</w:t>
      </w: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cs="GHEA Grapalat"/>
          <w:b/>
          <w:sz w:val="22"/>
          <w:szCs w:val="22"/>
        </w:rPr>
        <w:t xml:space="preserve">Համախառն առաջարկ: </w:t>
      </w:r>
      <w:r w:rsidRPr="001F63BA">
        <w:rPr>
          <w:rFonts w:ascii="GHEA Grapalat" w:hAnsi="GHEA Grapalat"/>
          <w:sz w:val="22"/>
          <w:szCs w:val="22"/>
          <w:lang w:val="en-US"/>
        </w:rPr>
        <w:t>ՀՀ տնտեսության վերականգնման տարեսկզբի բարձր տեմպերը 2022 թվականի փետրվարի վերջերից սկիզբ առած ռուս-ուկրաինական հակամարտության և Ռուսաստանի դեմ կիրառված պատժամիջոցների բացասական ազդեցությունների արդյունքում մարտ ամսին դանդաղեցին։ Ապրիլ ամսից տնտեսական ակտիվության աճի տեմպերը կտրուկ արագացան, ինչը պահպանվեց նաև հետագա ամիսներին՝ կրելով նաև սեպտեմբերին միգրանտների երկրորդ ալիքի տնտեսական ազդեցությունները: Արդյունքում 2022 թվականին գրանցվեց ՀՆԱ-ի 12.6% իրական աճ: Տնտեսական աճը պայմանավորված է եղել հիմնականում ծառայությունների աճով՝ (նպաստումը՝ 9.3 տոկոսային կետ): Արդյունաբերությունը և շինարարությունը ևս աճել են՝ նպաստելով տնտեսական աճին (նպաստումները՝ համապատասխանաբար 1.3 և 1.2 տոկոսային կետեր): Մինչդեռ գյուղատնտեսության նվազումը բացասաբար է ազդել տնտեսական աճի վրա (նպաստումը՝ 0.1 տոկոսային կետ):</w:t>
      </w:r>
    </w:p>
    <w:p w:rsidR="001C411D" w:rsidRPr="001F63BA" w:rsidRDefault="001C411D" w:rsidP="00907831">
      <w:pPr>
        <w:ind w:firstLine="567"/>
        <w:jc w:val="both"/>
        <w:rPr>
          <w:rFonts w:ascii="GHEA Grapalat" w:hAnsi="GHEA Grapalat"/>
          <w:sz w:val="22"/>
          <w:szCs w:val="22"/>
          <w:lang w:val="en-US"/>
        </w:rPr>
      </w:pPr>
    </w:p>
    <w:tbl>
      <w:tblPr>
        <w:tblW w:w="10424" w:type="dxa"/>
        <w:tblInd w:w="-108" w:type="dxa"/>
        <w:tblLook w:val="04A0" w:firstRow="1" w:lastRow="0" w:firstColumn="1" w:lastColumn="0" w:noHBand="0" w:noVBand="1"/>
      </w:tblPr>
      <w:tblGrid>
        <w:gridCol w:w="108"/>
        <w:gridCol w:w="5122"/>
        <w:gridCol w:w="47"/>
        <w:gridCol w:w="5039"/>
        <w:gridCol w:w="108"/>
      </w:tblGrid>
      <w:tr w:rsidR="001F63BA" w:rsidRPr="001F63BA" w:rsidTr="00882477">
        <w:trPr>
          <w:trHeight w:val="624"/>
        </w:trPr>
        <w:tc>
          <w:tcPr>
            <w:tcW w:w="5277" w:type="dxa"/>
            <w:gridSpan w:val="3"/>
            <w:shd w:val="clear" w:color="auto" w:fill="auto"/>
          </w:tcPr>
          <w:p w:rsidR="00882477" w:rsidRPr="001F63BA" w:rsidRDefault="00882477" w:rsidP="00D508BE">
            <w:pPr>
              <w:pStyle w:val="a"/>
            </w:pPr>
            <w:r w:rsidRPr="001F63BA">
              <w:t>ՀՆԱ-ի իրական աճը (%) և նպաստումները (տ.կ.)</w:t>
            </w:r>
          </w:p>
        </w:tc>
        <w:tc>
          <w:tcPr>
            <w:tcW w:w="5147" w:type="dxa"/>
            <w:gridSpan w:val="2"/>
            <w:shd w:val="clear" w:color="auto" w:fill="auto"/>
          </w:tcPr>
          <w:p w:rsidR="00882477" w:rsidRPr="001F63BA" w:rsidRDefault="00882477" w:rsidP="00D508BE">
            <w:pPr>
              <w:pStyle w:val="a"/>
            </w:pPr>
            <w:r w:rsidRPr="001F63BA">
              <w:t>ՀՆԱ-ի կառուցվածքը (%)</w:t>
            </w:r>
          </w:p>
        </w:tc>
      </w:tr>
      <w:tr w:rsidR="001F63BA" w:rsidRPr="001F63BA" w:rsidTr="00882477">
        <w:tblPrEx>
          <w:tblLook w:val="00A0" w:firstRow="1" w:lastRow="0" w:firstColumn="1" w:lastColumn="0" w:noHBand="0" w:noVBand="0"/>
        </w:tblPrEx>
        <w:trPr>
          <w:gridBefore w:val="1"/>
          <w:gridAfter w:val="1"/>
          <w:wBefore w:w="108" w:type="dxa"/>
          <w:wAfter w:w="108" w:type="dxa"/>
          <w:trHeight w:val="3175"/>
        </w:trPr>
        <w:tc>
          <w:tcPr>
            <w:tcW w:w="5122" w:type="dxa"/>
          </w:tcPr>
          <w:p w:rsidR="001C411D" w:rsidRPr="001F63BA" w:rsidRDefault="009A358E" w:rsidP="00A6734C">
            <w:pPr>
              <w:tabs>
                <w:tab w:val="right" w:pos="0"/>
              </w:tabs>
              <w:spacing w:before="60" w:after="60"/>
              <w:rPr>
                <w:rFonts w:ascii="GHEA Grapalat" w:hAnsi="GHEA Grapalat" w:cs="Sylfaen"/>
                <w:i/>
              </w:rPr>
            </w:pPr>
            <w:r w:rsidRPr="001F63BA">
              <w:rPr>
                <w:rFonts w:ascii="GHEA Grapalat" w:hAnsi="GHEA Grapalat"/>
                <w:sz w:val="18"/>
                <w:szCs w:val="22"/>
                <w:lang w:val="en-US"/>
              </w:rPr>
              <w:drawing>
                <wp:inline distT="0" distB="0" distL="0" distR="0" wp14:anchorId="31651561" wp14:editId="0DF1F10D">
                  <wp:extent cx="3076575" cy="1952625"/>
                  <wp:effectExtent l="0" t="0" r="0" b="0"/>
                  <wp:docPr id="5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5086" w:type="dxa"/>
            <w:gridSpan w:val="2"/>
          </w:tcPr>
          <w:p w:rsidR="001C411D" w:rsidRPr="001F63BA" w:rsidRDefault="009A358E" w:rsidP="00A6734C">
            <w:pPr>
              <w:tabs>
                <w:tab w:val="right" w:pos="0"/>
              </w:tabs>
              <w:spacing w:before="60" w:after="60"/>
              <w:rPr>
                <w:rFonts w:ascii="GHEA Grapalat" w:hAnsi="GHEA Grapalat" w:cs="Sylfaen"/>
                <w:i/>
              </w:rPr>
            </w:pPr>
            <w:r w:rsidRPr="001F63BA">
              <w:rPr>
                <w:rFonts w:ascii="GHEA Grapalat" w:hAnsi="GHEA Grapalat"/>
                <w:sz w:val="16"/>
                <w:szCs w:val="16"/>
                <w:lang w:val="en-US"/>
              </w:rPr>
              <w:drawing>
                <wp:inline distT="0" distB="0" distL="0" distR="0" wp14:anchorId="15B925CA" wp14:editId="7AEB7458">
                  <wp:extent cx="3076575" cy="1952625"/>
                  <wp:effectExtent l="0" t="0" r="0" b="0"/>
                  <wp:docPr id="3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1F63BA" w:rsidRPr="001F63BA" w:rsidTr="00882477">
        <w:tblPrEx>
          <w:tblLook w:val="00A0" w:firstRow="1" w:lastRow="0" w:firstColumn="1" w:lastColumn="0" w:noHBand="0" w:noVBand="0"/>
        </w:tblPrEx>
        <w:trPr>
          <w:gridBefore w:val="1"/>
          <w:gridAfter w:val="1"/>
          <w:wBefore w:w="108" w:type="dxa"/>
          <w:wAfter w:w="108" w:type="dxa"/>
          <w:trHeight w:val="340"/>
        </w:trPr>
        <w:tc>
          <w:tcPr>
            <w:tcW w:w="5122" w:type="dxa"/>
          </w:tcPr>
          <w:p w:rsidR="001C411D" w:rsidRPr="001F63BA" w:rsidRDefault="001C411D" w:rsidP="00A6734C">
            <w:pPr>
              <w:tabs>
                <w:tab w:val="right" w:pos="0"/>
              </w:tabs>
              <w:spacing w:before="120" w:after="60"/>
              <w:contextualSpacing/>
              <w:rPr>
                <w:rFonts w:ascii="GHEA Grapalat" w:hAnsi="GHEA Grapalat" w:cs="Sylfaen"/>
                <w:b/>
                <w:sz w:val="18"/>
                <w:szCs w:val="18"/>
              </w:rPr>
            </w:pPr>
            <w:r w:rsidRPr="001F63BA">
              <w:rPr>
                <w:rFonts w:ascii="GHEA Grapalat" w:hAnsi="GHEA Grapalat"/>
                <w:i/>
                <w:sz w:val="18"/>
                <w:szCs w:val="18"/>
              </w:rPr>
              <w:t>Աղբյուրը՝ ՀՀ ՎԿ, ՀՀ ՖՆ հաշվարկներ</w:t>
            </w:r>
          </w:p>
        </w:tc>
        <w:tc>
          <w:tcPr>
            <w:tcW w:w="5086" w:type="dxa"/>
            <w:gridSpan w:val="2"/>
          </w:tcPr>
          <w:p w:rsidR="001C411D" w:rsidRPr="001F63BA" w:rsidRDefault="001C411D" w:rsidP="00A6734C">
            <w:pPr>
              <w:tabs>
                <w:tab w:val="right" w:pos="0"/>
              </w:tabs>
              <w:spacing w:before="120" w:after="60"/>
              <w:contextualSpacing/>
              <w:rPr>
                <w:rFonts w:ascii="GHEA Grapalat" w:hAnsi="GHEA Grapalat" w:cs="Sylfaen"/>
                <w:b/>
                <w:sz w:val="18"/>
                <w:szCs w:val="18"/>
              </w:rPr>
            </w:pPr>
            <w:r w:rsidRPr="001F63BA">
              <w:rPr>
                <w:rFonts w:ascii="GHEA Grapalat" w:hAnsi="GHEA Grapalat"/>
                <w:i/>
                <w:sz w:val="18"/>
                <w:szCs w:val="18"/>
              </w:rPr>
              <w:t>Աղբյուրը՝ ՀՀ ՎԿ, ՀՀ ՖՆ հաշվարկներ</w:t>
            </w:r>
          </w:p>
        </w:tc>
      </w:tr>
    </w:tbl>
    <w:p w:rsidR="001C411D" w:rsidRPr="001F63BA" w:rsidRDefault="001C411D" w:rsidP="00683FFF">
      <w:pPr>
        <w:spacing w:before="120"/>
        <w:ind w:firstLine="547"/>
        <w:jc w:val="both"/>
        <w:rPr>
          <w:rFonts w:ascii="GHEA Grapalat" w:hAnsi="GHEA Grapalat"/>
          <w:sz w:val="22"/>
          <w:szCs w:val="22"/>
          <w:lang w:val="en-US"/>
        </w:rPr>
      </w:pP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2022 թվականին նախորդ տարվա համեմատ գրանցվեց տնտեսական ակտիվության ցուցանիշի (ՏԱՑ) 14.2% աճ (Գծապատկերներ 6-9)։ Տնտեսական ակտիվության աճը հիմնականում պայմանավորված էր ծառայությունների աճով (նպաստումը` 12.9 տոկոսային կետ): Առևտրի, </w:t>
      </w:r>
      <w:r w:rsidRPr="001F63BA">
        <w:rPr>
          <w:rFonts w:ascii="GHEA Grapalat" w:hAnsi="GHEA Grapalat"/>
          <w:sz w:val="22"/>
          <w:szCs w:val="22"/>
          <w:lang w:val="en-US"/>
        </w:rPr>
        <w:lastRenderedPageBreak/>
        <w:t>արդյունաբերության, շինարարության և գյուղատնտեսության աճերը ևս նպաստել են տնտեսական ակտիվությանը (համապատասխանաբար՝ 2.1, 1.8, 0.9 և 0.05 տոկոսային կետ):</w:t>
      </w: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2022 թվականի փետրվարի 24-ից մեկնարկած ռուս-ուկրաինական պատերազմի և Ռուսաստանի դեմ կիրառված պատժամիջոցների բացասական ազդեցությունները ՀՀ տնտեսության վրա նկատվեցին մարտ ամսին։ Մասնավորապես՝ մարտ ամսին գրանցվեց արդյունաբերության նվազում (նախորդ տարվա մարտի նկատմամբ 6.4%-ով)՝ պայմանավորված Թեղուտի հանքի գործունեության դադարեցմամբ, ՌԴ տնտեսական աճի դանդաղմամբ և հումքային ու պարենային ապրանքների մատակարարման շղթաների որոշ խաթարումներով: Սակայն պատկերը փոխվեց ապրիլ ամսից, նախ՝ միջազգային զբոսաշրջիկների կտրուկ (2021 թվականի նկատմամբ՝ 90.2%) ավելացման և ՌԴ-ից ՏՏ ոլորտի աշխատակիցների և ընկերությունների՝ ՀՀ տեղափոխման, ինչպես նաև Ռուսաստանում հայտարարված մասնակի զորահավաքի հետևանքով դեպի Հայաստան միգրանտների նոր հոսքի արդյունքում, ծառայությունների, առևտրի ոլորտներում նկատվեց աճի տեմպերի արագացում: Մյուս կողմից՝ պատժամիջոցների հետևանքով որոշ երկրներից ՌԴ ներմուծման շուկայի սահմանափակումները նպաստեցին ՀՀ-ից դեպի Ռուսաստան արտահանման պահանջարկի ավելացմանը, ինչի արդյունքում արդյունաբերության ճյուղը սկսեց վերականգնվել: </w:t>
      </w: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Տնտեսական դրական զարգացումներին իր նպաստումն է ունեցել բնակարանային շինարարության ոլորտի բարձր աշխուժությունը, որին նպաստել է հիպոտեկային վարկերի տոկոսավճարների՝ եկամտահարկից վերադարձման պետական աջակցության ծրագիրը, ծրագրի՝ Երևան քաղաքից աստիճանական դուրսբերման մասով կատարված օրենսդրական փոփոխությունները՝ ձևավորելով նորակառույց բնակարանների նկատմամբ բարձր պահանջարկ, ինչպես նաև օտարերկրացիների ներհոսքը:</w:t>
      </w: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կորոնավիրուսի համավարակի հինգերորդ ալիքի, ինչպես նաև բնակչության շրջանում պատվաստման աճող, սակայն դեռևս համեմատաբար ցածր մակարդակի ազդեցությունները տնտեսության զարգացումների վրա չեն նկատվել</w:t>
      </w:r>
      <w:r w:rsidRPr="001F63BA">
        <w:rPr>
          <w:rFonts w:ascii="GHEA Grapalat" w:hAnsi="GHEA Grapalat"/>
          <w:sz w:val="22"/>
          <w:szCs w:val="22"/>
          <w:vertAlign w:val="superscript"/>
          <w:lang w:val="en-US"/>
        </w:rPr>
        <w:footnoteReference w:id="14"/>
      </w:r>
      <w:r w:rsidRPr="001F63BA">
        <w:rPr>
          <w:rFonts w:ascii="GHEA Grapalat" w:hAnsi="GHEA Grapalat"/>
          <w:sz w:val="22"/>
          <w:szCs w:val="22"/>
          <w:lang w:val="en-US"/>
        </w:rPr>
        <w:t xml:space="preserve">։ </w:t>
      </w: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cs="GHEA Grapalat"/>
          <w:b/>
          <w:i/>
          <w:iCs/>
          <w:sz w:val="22"/>
          <w:szCs w:val="22"/>
        </w:rPr>
        <w:t>Արդյունաբերություն</w:t>
      </w:r>
      <w:r w:rsidRPr="001F63BA">
        <w:rPr>
          <w:rFonts w:ascii="GHEA Grapalat" w:hAnsi="GHEA Grapalat" w:cs="GHEA Grapalat"/>
          <w:b/>
          <w:bCs/>
          <w:i/>
          <w:sz w:val="22"/>
          <w:szCs w:val="22"/>
          <w:vertAlign w:val="superscript"/>
        </w:rPr>
        <w:footnoteReference w:id="15"/>
      </w:r>
      <w:r w:rsidRPr="001F63BA">
        <w:rPr>
          <w:rFonts w:ascii="GHEA Grapalat" w:hAnsi="GHEA Grapalat" w:cs="GHEA Grapalat"/>
          <w:b/>
          <w:i/>
          <w:iCs/>
          <w:sz w:val="22"/>
          <w:szCs w:val="22"/>
        </w:rPr>
        <w:t>։</w:t>
      </w:r>
      <w:r w:rsidRPr="001F63BA">
        <w:rPr>
          <w:rFonts w:ascii="GHEA Grapalat" w:hAnsi="GHEA Grapalat" w:cs="GHEA Grapalat"/>
          <w:b/>
          <w:sz w:val="22"/>
          <w:szCs w:val="22"/>
        </w:rPr>
        <w:t xml:space="preserve"> </w:t>
      </w:r>
      <w:r w:rsidRPr="001F63BA">
        <w:rPr>
          <w:rFonts w:ascii="GHEA Grapalat" w:hAnsi="GHEA Grapalat"/>
          <w:sz w:val="22"/>
          <w:szCs w:val="22"/>
          <w:lang w:val="en-US"/>
        </w:rPr>
        <w:t xml:space="preserve">Արդյունաբերության ճյուղի տարեսկզբի բարձր աճի տեմպը փետրվարից սկսեց դանդաղել, իսկ մարտ ամսին գրանցվեց արդյունաբերության անկում՝ պայմանավորված ռուս-ուկրաինական պատերազմի և Ռուսաստանի դեմ կիրառված </w:t>
      </w:r>
      <w:r w:rsidRPr="001F63BA">
        <w:rPr>
          <w:rFonts w:ascii="GHEA Grapalat" w:hAnsi="GHEA Grapalat"/>
          <w:sz w:val="22"/>
          <w:szCs w:val="22"/>
          <w:lang w:val="en-US"/>
        </w:rPr>
        <w:lastRenderedPageBreak/>
        <w:t xml:space="preserve">պատժամիջոցների բացասական ազդեցություններով: Ապրիլ ամսից ճյուղը սկսեց վերականգնվել՝ հաջորդող ամիսներին գրանցելով երկնիշ աճեր։ Սակայն նոյեմբեր ամսին ճյուղում գրանցվեց անկում՝ պայմանավորված մշակող արդյունաբերության մեջ էլեկտրական սարքավորանքի, սննդամթերքի և խմիչքների արտադրության նվազմամբ: Դեկտեմբեր ամսին ճյուղի աճը վերականգնվեց, և 2022 թվականին արդյունաբերության համախառն թողարկման տարեկան աճը կազմեց 7.9%՝ պայմանավորված հիմնականում մշակող արդյունաբերության աճով </w:t>
      </w:r>
      <w:r w:rsidR="00C97EEE" w:rsidRPr="001F63BA">
        <w:rPr>
          <w:rFonts w:ascii="GHEA Grapalat" w:hAnsi="GHEA Grapalat"/>
          <w:sz w:val="22"/>
          <w:szCs w:val="22"/>
          <w:lang w:val="en-US"/>
        </w:rPr>
        <w:t>(նպաստումը՝ 8.5 տոկոսային կետ):</w:t>
      </w: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Մշակող արդյունաբերության աճին նպաստել է ինչպես ներքին, այնպես էլ արտաքին պահանջարկի աճը: ՌԴ ներմուծման շուկաների սահմանափակումները և ՌԴ-ում ՀՀ ապրանքների գնային մրցունակության բարձրացումը նպաստել են ՀՀ-ից դեպի ՌԴ մշակող արդյունաբերության արտահանման ավելացմանը, բացի այդ, ծառայությունների և շինարարության ոլորտի դրական զարգացումները մեծացրել են մշակող արդյունաբերության որոշ տեսակների նկատմամբ պահանջարկը: Ենթաճյուղի աճը հիմնականում պայմանավորված է եղել այլ ոչ մետաղական հանքային արտադրատեսակների (նպաստումը` 6.4 տոկոսային կետ), սննդամթերքի (նպաստումը` 2.8 տոկոսային կետ), ինչպես նաև հիմնային մետաղների (նպաստումը` 2.0 տոկոսային կետ) արտադրությունների աճով: </w:t>
      </w:r>
    </w:p>
    <w:p w:rsidR="001C411D" w:rsidRPr="001F63BA" w:rsidRDefault="001C411D" w:rsidP="00B5425E">
      <w:pPr>
        <w:spacing w:line="360" w:lineRule="auto"/>
        <w:ind w:firstLine="567"/>
        <w:jc w:val="both"/>
        <w:rPr>
          <w:rFonts w:ascii="GHEA Grapalat" w:hAnsi="GHEA Grapalat" w:cs="Sylfaen"/>
          <w:sz w:val="22"/>
          <w:szCs w:val="22"/>
        </w:rPr>
      </w:pPr>
      <w:r w:rsidRPr="001F63BA">
        <w:rPr>
          <w:rFonts w:ascii="GHEA Grapalat" w:hAnsi="GHEA Grapalat" w:cs="GHEA Grapalat"/>
          <w:b/>
          <w:i/>
          <w:iCs/>
          <w:sz w:val="22"/>
          <w:szCs w:val="22"/>
        </w:rPr>
        <w:t>Գյուղատնտեսություն։</w:t>
      </w:r>
      <w:r w:rsidRPr="001F63BA">
        <w:rPr>
          <w:rFonts w:ascii="GHEA Grapalat" w:hAnsi="GHEA Grapalat" w:cs="GHEA Grapalat"/>
          <w:b/>
          <w:sz w:val="22"/>
          <w:szCs w:val="22"/>
        </w:rPr>
        <w:t xml:space="preserve"> </w:t>
      </w:r>
      <w:r w:rsidRPr="001F63BA">
        <w:rPr>
          <w:rFonts w:ascii="GHEA Grapalat" w:hAnsi="GHEA Grapalat"/>
          <w:sz w:val="22"/>
          <w:szCs w:val="22"/>
          <w:lang w:val="en-US"/>
        </w:rPr>
        <w:t>Գյուղատնտեսության, անտառային տնտեսության և ձկնորսության համախառն արտադրանքն աճել է 1.6%-ով</w:t>
      </w:r>
      <w:r w:rsidRPr="001F63BA">
        <w:rPr>
          <w:rFonts w:ascii="GHEA Grapalat" w:hAnsi="GHEA Grapalat"/>
          <w:sz w:val="22"/>
          <w:szCs w:val="22"/>
          <w:vertAlign w:val="superscript"/>
          <w:lang w:val="en-US"/>
        </w:rPr>
        <w:footnoteReference w:id="16"/>
      </w:r>
      <w:r w:rsidRPr="001F63BA">
        <w:rPr>
          <w:rFonts w:ascii="GHEA Grapalat" w:hAnsi="GHEA Grapalat"/>
          <w:sz w:val="22"/>
          <w:szCs w:val="22"/>
          <w:lang w:val="en-US"/>
        </w:rPr>
        <w:t>՝ հիմնականում պայմանավորված բուսաբուծության և ձկնորսության աճով (նպաստումները` համապատասխանաբար՝ 2.8 և 1.2 տոկոսային կետեր)։ Բուսաբուծության աճն իր հերթին պայմանավորված է եղել հացահատիկի և հատիկաընդեղենի, ինչպես նաև պտղի և հատապտղի համախառն բերքի աճով: Անասնաբուծության նվազումը հակազդել է (նպաստումը` 2.4 տոկոսային կետ) ճյուղի աճին: Անասնաբուծության նվազումն իր հերթին պայմանավորված է եղել կաթի արտադրության, ինչպես նաև սպանդի համար նախատեսված գյուղատնտեսական կենդանու և թռչնի իրացման նվազմամբ, ինչի պատճառ է հանդիսացել անասնագլխաքանակի նվազումը:</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cs="GHEA Grapalat"/>
          <w:b/>
          <w:i/>
          <w:iCs/>
          <w:sz w:val="22"/>
          <w:szCs w:val="22"/>
        </w:rPr>
        <w:t>Շինարարություն։</w:t>
      </w:r>
      <w:r w:rsidRPr="001F63BA">
        <w:rPr>
          <w:rFonts w:ascii="GHEA Grapalat" w:hAnsi="GHEA Grapalat" w:cs="GHEA Grapalat"/>
          <w:b/>
          <w:sz w:val="22"/>
          <w:szCs w:val="22"/>
        </w:rPr>
        <w:t xml:space="preserve"> </w:t>
      </w:r>
      <w:r w:rsidRPr="001F63BA">
        <w:rPr>
          <w:rFonts w:ascii="GHEA Grapalat" w:hAnsi="GHEA Grapalat"/>
          <w:sz w:val="22"/>
          <w:szCs w:val="22"/>
          <w:lang w:val="en-US"/>
        </w:rPr>
        <w:t xml:space="preserve">Շինարարության ճյուղում գրանցված 12.5% աճը պայմանավորված է եղել հիմնականում կազմակերպությունների միջոցներով իրականացված շինարարության ծավալների աճով (նպաստումը՝ 9.3 տոկոսային կետ)։ Վերջինս պայմանավորվել է ներքին ներդրողների միջոցներով ֆինանսավորվող շինարարության աճով, ինչն էլ իր հերթին վկայում է ներքին միջոցներով իրականացվող մասնավոր ներդրումների աճի մասին (պայմանավորված հիմնականում </w:t>
      </w:r>
      <w:r w:rsidRPr="001F63BA">
        <w:rPr>
          <w:rFonts w:ascii="GHEA Grapalat" w:hAnsi="GHEA Grapalat"/>
          <w:sz w:val="22"/>
          <w:szCs w:val="22"/>
          <w:lang w:val="en-US"/>
        </w:rPr>
        <w:lastRenderedPageBreak/>
        <w:t>բնակարանային շինարարության ծավալների աճով, որին նպաստել է հիպոտեկային վարկերի տոկոսավճարների՝ եկամտահարկից վերադարձման պետական աջակցության ծրագիրը, ինչպես նաև օտարերկրյա քաղաքացիների մեծ ներհոսքի պայմաններում բնակարանային շուկայում առաջացած պահանջարկը)։ Շինարարության աճին դրական նպաստում է ունեցել նաև պետական ներդրումների, մասնավորապես՝ համայնքների (2.1 տոկոսային</w:t>
      </w:r>
      <w:bookmarkStart w:id="83" w:name="_Hlk110694542"/>
      <w:r w:rsidRPr="001F63BA">
        <w:rPr>
          <w:rFonts w:ascii="GHEA Grapalat" w:hAnsi="GHEA Grapalat"/>
          <w:sz w:val="22"/>
          <w:szCs w:val="22"/>
          <w:lang w:val="en-US"/>
        </w:rPr>
        <w:t xml:space="preserve"> կետ</w:t>
      </w:r>
      <w:bookmarkEnd w:id="83"/>
      <w:r w:rsidRPr="001F63BA">
        <w:rPr>
          <w:rFonts w:ascii="GHEA Grapalat" w:hAnsi="GHEA Grapalat"/>
          <w:sz w:val="22"/>
          <w:szCs w:val="22"/>
          <w:lang w:val="en-US"/>
        </w:rPr>
        <w:t xml:space="preserve">) և պետական բյուջեի (0.9 տոկոսային կետ) միջոցներով ֆինանսավորվող շինարարության աճը։ </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Ըստ տնտեսական գործունեության տեսակների՝ շինարարության աճին հիմնականում նպաստել է անշարժ գույքի հետ կապված գործունեության (հիմնականում՝ բնակարանաշինություն), տրանսպորտի (հիմնականում՝ ճանապարհաշինություն), կրթության, մշակող արդյունաբերության, ինչպես նաև առևտրի ոլորտներում իրականացված շինարարության ծավալների աճը։ Ճյուղի աճին հիմնականում հակազդել է էլեկտրականության, գազի, գոլորշու և լավորակ օդի մատակարարման, գյուղատնտեսության, անտառային տնտեսության և ձկնորսության, ինչպես նաև կացության և հանրային սննդի կազմակերպման ոլորտներում իրականացված շինարարության ծավալների նվազումը։ </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cs="GHEA Grapalat"/>
          <w:b/>
          <w:i/>
          <w:iCs/>
          <w:sz w:val="22"/>
          <w:szCs w:val="22"/>
        </w:rPr>
        <w:t>Ծառայություններ և առևտուր։</w:t>
      </w:r>
      <w:r w:rsidRPr="001F63BA">
        <w:rPr>
          <w:rFonts w:ascii="GHEA Grapalat" w:hAnsi="GHEA Grapalat" w:cs="GHEA Grapalat"/>
          <w:b/>
          <w:sz w:val="22"/>
          <w:szCs w:val="22"/>
        </w:rPr>
        <w:t xml:space="preserve"> </w:t>
      </w:r>
      <w:r w:rsidRPr="001F63BA">
        <w:rPr>
          <w:rFonts w:ascii="GHEA Grapalat" w:hAnsi="GHEA Grapalat"/>
          <w:sz w:val="22"/>
          <w:szCs w:val="22"/>
          <w:lang w:val="en-US"/>
        </w:rPr>
        <w:t>Ծառայություններն աճել են 28.2%-ով՝ հիմնականում պայմանավորված ֆինանսական և ապահովագրական գործունեություն (նպաստումը` 12.4 տոկոսային կետ), տեղեկատվություն և կապ (նպաստումը` 7.3 տոկոսային կետ), տրանսպորտ (նպաստումը` 4.6 տոկոսային կետ), ինչպես նաև կացության և հանրային սննդի կազմակերպում (նպաստումը` 1.7 տոկոսային կետ) ենթաճյուղերի աճով: Ֆինանսական և ապահովագրական գործունեություն ենթաճյուղի դրական զարգացումները զուգորդվել են բանկային համակարգում 2022 թվականին (հիմնականում երկրորդ, երրորդ և չորրորդ եռամսյակներում) շահութաբերության աննախադեպ բարձր ցուցանիշներով, ինչին նպաստել են արտարժութային գործառնություններից լրացուցիչ եկամուտները (այդ թվում՝ փոխարժեքի տատանումներից և միջնորդավճարներից գոյացած հասույթը), ինչպես նաև ոչ ռեզիդենտների կողմից նոր բանկային հաշիվների ստեղծումը: Տեղեկատվություն և կապ, տրանսպորտ, ինչպես նաև կացության և հանրային սննդի կազմակերպում ենթաճյուղերի դրական զարգացումները պայմանավորված են եղել ՌԴ-ից ՏՏ ոլորտի աշխատակիցների և ընկերությունների՝ ՀՀ տեղափոխմամբ, ինչպես նաև դեպի Հայաստան միջազգային զբոսաշրջության բարձր աճի տեմպերով:</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Առևտրի 17% աճը հիմնականում պայմանավորված է եղել մեծածախ առևտրի աճով (նպաստումը` 14.2 տոկոսային կետ)։ Մեծածախ առևտրի բարձր աճը պայմանավորված է եղել տնտեսության մյուս ճյուղերում առկա բարձր պահանջարկով: Առևտրի և ծառայությունների աճն ուղեկցվել է ներքին </w:t>
      </w:r>
      <w:r w:rsidRPr="001F63BA">
        <w:rPr>
          <w:rFonts w:ascii="GHEA Grapalat" w:hAnsi="GHEA Grapalat"/>
          <w:sz w:val="22"/>
          <w:szCs w:val="22"/>
          <w:lang w:val="en-US"/>
        </w:rPr>
        <w:lastRenderedPageBreak/>
        <w:t>(մասնավորապես՝ մասնավոր սպառման) և արտաքին (մասնավորապես՝ ծառայությունների արտահանման) պահանջարկի աճերով:</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Հաշվետու ժամանակահատվածում բեռնափոխադրումների և ուղևորափոխադրումների ծավալներն աճել են: Բեռնափոխադրումների ծավալի 11.1% աճը հիմնականում պայմանավորված է եղել ներհանրապետական ավտոմոբիլային բեռնափոխադրումների աճով (նպաստումը՝ 6.0 տոկոսային կետ): Ուղևորափոխադրումների ծավալն աճել է 47.8%-ով՝ հիմնականում պայմանավորված ավտոմոբիլային տրանսպորտային միջոցներով (նպաստումը՝ 41.6 տոկոսային կետ) և էլեկտրատրանսպորտով (նպաստումը՝ 4.9 տոկոսային կետ) իրականացված ուղևորափոխադրումների աճով:</w:t>
      </w:r>
    </w:p>
    <w:p w:rsidR="001C411D" w:rsidRPr="001F63BA" w:rsidRDefault="001C411D" w:rsidP="003C01DF">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Զբոսաշրջիկների այցելությունների բարձր աճն (90.2%) իր հերթին դրական ազդեցություն է ունեցել ծառայությունների որոշ տեսակների, առևտրի, ինչպես նաև ուղևորափոխադրումների վրա:</w:t>
      </w:r>
    </w:p>
    <w:p w:rsidR="001C411D" w:rsidRPr="001F63BA" w:rsidRDefault="001C411D" w:rsidP="00907831">
      <w:pPr>
        <w:ind w:firstLine="567"/>
        <w:jc w:val="both"/>
        <w:rPr>
          <w:rFonts w:ascii="GHEA Grapalat" w:hAnsi="GHEA Grapalat"/>
          <w:sz w:val="22"/>
          <w:szCs w:val="22"/>
          <w:lang w:val="en-US"/>
        </w:rPr>
      </w:pPr>
    </w:p>
    <w:tbl>
      <w:tblPr>
        <w:tblW w:w="0" w:type="auto"/>
        <w:tblLook w:val="04A0" w:firstRow="1" w:lastRow="0" w:firstColumn="1" w:lastColumn="0" w:noHBand="0" w:noVBand="1"/>
      </w:tblPr>
      <w:tblGrid>
        <w:gridCol w:w="5104"/>
        <w:gridCol w:w="5104"/>
      </w:tblGrid>
      <w:tr w:rsidR="001F63BA" w:rsidRPr="001F63BA" w:rsidTr="008333FB">
        <w:trPr>
          <w:trHeight w:val="1020"/>
        </w:trPr>
        <w:tc>
          <w:tcPr>
            <w:tcW w:w="5098" w:type="dxa"/>
            <w:shd w:val="clear" w:color="auto" w:fill="auto"/>
          </w:tcPr>
          <w:p w:rsidR="005842B1" w:rsidRPr="001F63BA" w:rsidRDefault="005842B1" w:rsidP="00D508BE">
            <w:pPr>
              <w:pStyle w:val="a"/>
              <w:rPr>
                <w:b/>
                <w:lang w:val="hy-AM"/>
              </w:rPr>
            </w:pPr>
            <w:r w:rsidRPr="001F63BA">
              <w:t>ՏԱՑ և տնտեսության ճյուղերի իրական աճերը նախորդ տարվա նույն ժամանակահատվածի նկատմամբ (%)</w:t>
            </w:r>
          </w:p>
        </w:tc>
        <w:tc>
          <w:tcPr>
            <w:tcW w:w="5245" w:type="dxa"/>
            <w:shd w:val="clear" w:color="auto" w:fill="auto"/>
          </w:tcPr>
          <w:p w:rsidR="005842B1" w:rsidRPr="001F63BA" w:rsidRDefault="005842B1" w:rsidP="00D508BE">
            <w:pPr>
              <w:pStyle w:val="a"/>
              <w:rPr>
                <w:i/>
                <w:sz w:val="20"/>
                <w:szCs w:val="20"/>
                <w:lang w:val="hy-AM"/>
              </w:rPr>
            </w:pPr>
            <w:r w:rsidRPr="001F63BA">
              <w:t>ՏԱՑ և տնտեսության ճյուղերի իրական աճերը նախորդ տարվա նույն ամսվա նկատմամբ (%)</w:t>
            </w:r>
          </w:p>
        </w:tc>
      </w:tr>
      <w:tr w:rsidR="001F63BA" w:rsidRPr="001F63BA" w:rsidTr="008333FB">
        <w:trPr>
          <w:trHeight w:val="2778"/>
        </w:trPr>
        <w:tc>
          <w:tcPr>
            <w:tcW w:w="5098" w:type="dxa"/>
            <w:shd w:val="clear" w:color="auto" w:fill="auto"/>
          </w:tcPr>
          <w:p w:rsidR="005842B1" w:rsidRPr="001F63BA" w:rsidRDefault="005842B1" w:rsidP="008333FB">
            <w:pPr>
              <w:tabs>
                <w:tab w:val="right" w:pos="0"/>
              </w:tabs>
              <w:spacing w:before="120" w:after="120"/>
              <w:contextualSpacing/>
              <w:rPr>
                <w:rFonts w:ascii="GHEA Grapalat" w:hAnsi="GHEA Grapalat"/>
                <w:sz w:val="16"/>
                <w:szCs w:val="16"/>
              </w:rPr>
            </w:pPr>
            <w:r w:rsidRPr="001F63BA">
              <w:rPr>
                <w:rFonts w:ascii="GHEA Grapalat" w:hAnsi="GHEA Grapalat"/>
                <w:sz w:val="22"/>
                <w:szCs w:val="22"/>
                <w:lang w:val="en-US"/>
              </w:rPr>
              <w:drawing>
                <wp:inline distT="0" distB="0" distL="0" distR="0" wp14:anchorId="35DB5C7D" wp14:editId="3B77FF74">
                  <wp:extent cx="3105150" cy="1809750"/>
                  <wp:effectExtent l="0" t="0" r="0" b="0"/>
                  <wp:docPr id="93" name="Chart 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5245" w:type="dxa"/>
            <w:shd w:val="clear" w:color="auto" w:fill="auto"/>
          </w:tcPr>
          <w:p w:rsidR="005842B1" w:rsidRPr="001F63BA" w:rsidRDefault="005842B1" w:rsidP="008333FB">
            <w:pPr>
              <w:tabs>
                <w:tab w:val="right" w:pos="0"/>
              </w:tabs>
              <w:spacing w:before="120" w:after="200"/>
              <w:contextualSpacing/>
              <w:rPr>
                <w:rFonts w:ascii="GHEA Grapalat" w:hAnsi="GHEA Grapalat"/>
                <w:i/>
                <w:sz w:val="16"/>
                <w:szCs w:val="16"/>
              </w:rPr>
            </w:pPr>
            <w:r w:rsidRPr="001F63BA">
              <w:rPr>
                <w:rFonts w:ascii="GHEA Grapalat" w:hAnsi="GHEA Grapalat" w:cs="Sylfaen"/>
                <w:b/>
                <w:sz w:val="22"/>
                <w:szCs w:val="22"/>
                <w:lang w:val="en-US"/>
              </w:rPr>
              <w:drawing>
                <wp:inline distT="0" distB="0" distL="0" distR="0" wp14:anchorId="058FC908" wp14:editId="781FDABF">
                  <wp:extent cx="3105150" cy="1809750"/>
                  <wp:effectExtent l="0" t="0" r="0" b="0"/>
                  <wp:docPr id="92" name="Chart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1F63BA" w:rsidRPr="001F63BA" w:rsidTr="008333FB">
        <w:trPr>
          <w:trHeight w:val="227"/>
        </w:trPr>
        <w:tc>
          <w:tcPr>
            <w:tcW w:w="5098" w:type="dxa"/>
            <w:shd w:val="clear" w:color="auto" w:fill="auto"/>
          </w:tcPr>
          <w:p w:rsidR="005842B1" w:rsidRPr="001F63BA" w:rsidRDefault="005842B1" w:rsidP="008333FB">
            <w:pPr>
              <w:tabs>
                <w:tab w:val="right" w:pos="0"/>
              </w:tabs>
              <w:spacing w:after="120" w:line="276" w:lineRule="auto"/>
              <w:rPr>
                <w:rFonts w:ascii="GHEA Grapalat" w:hAnsi="GHEA Grapalat"/>
                <w:sz w:val="22"/>
                <w:szCs w:val="22"/>
              </w:rPr>
            </w:pPr>
            <w:r w:rsidRPr="001F63BA">
              <w:rPr>
                <w:rFonts w:ascii="GHEA Grapalat" w:hAnsi="GHEA Grapalat"/>
                <w:i/>
                <w:sz w:val="18"/>
                <w:szCs w:val="18"/>
              </w:rPr>
              <w:t>Աղբյուրը՝ ՀՀ ՎԿ</w:t>
            </w:r>
          </w:p>
        </w:tc>
        <w:tc>
          <w:tcPr>
            <w:tcW w:w="5245" w:type="dxa"/>
            <w:shd w:val="clear" w:color="auto" w:fill="auto"/>
          </w:tcPr>
          <w:p w:rsidR="005842B1" w:rsidRPr="001F63BA" w:rsidRDefault="005842B1" w:rsidP="008333FB">
            <w:pPr>
              <w:tabs>
                <w:tab w:val="right" w:pos="0"/>
              </w:tabs>
              <w:spacing w:after="120" w:line="276" w:lineRule="auto"/>
              <w:rPr>
                <w:rFonts w:ascii="GHEA Grapalat" w:hAnsi="GHEA Grapalat" w:cs="Sylfaen"/>
                <w:b/>
                <w:sz w:val="22"/>
                <w:szCs w:val="22"/>
                <w:lang w:val="en-US"/>
              </w:rPr>
            </w:pPr>
            <w:r w:rsidRPr="001F63BA">
              <w:rPr>
                <w:rFonts w:ascii="GHEA Grapalat" w:hAnsi="GHEA Grapalat"/>
                <w:i/>
                <w:sz w:val="18"/>
                <w:szCs w:val="18"/>
              </w:rPr>
              <w:t>Աղբյուրը՝ ՀՀ ՎԿ</w:t>
            </w:r>
          </w:p>
        </w:tc>
      </w:tr>
      <w:tr w:rsidR="001F63BA" w:rsidRPr="001F63BA" w:rsidTr="008333FB">
        <w:trPr>
          <w:trHeight w:val="227"/>
        </w:trPr>
        <w:tc>
          <w:tcPr>
            <w:tcW w:w="5098" w:type="dxa"/>
            <w:shd w:val="clear" w:color="auto" w:fill="auto"/>
          </w:tcPr>
          <w:p w:rsidR="005842B1" w:rsidRPr="001F63BA" w:rsidRDefault="005842B1" w:rsidP="00D508BE">
            <w:pPr>
              <w:pStyle w:val="a"/>
              <w:rPr>
                <w:i/>
                <w:lang w:val="hy-AM"/>
              </w:rPr>
            </w:pPr>
            <w:r w:rsidRPr="001F63BA">
              <w:lastRenderedPageBreak/>
              <w:t>Տնտեսության ճյուղերի նպաստումները ՏԱՑ-ին (տ.կ.)</w:t>
            </w:r>
            <w:r w:rsidRPr="001F63BA">
              <w:rPr>
                <w:vertAlign w:val="superscript"/>
              </w:rPr>
              <w:footnoteReference w:id="17"/>
            </w:r>
          </w:p>
        </w:tc>
        <w:tc>
          <w:tcPr>
            <w:tcW w:w="5245" w:type="dxa"/>
            <w:shd w:val="clear" w:color="auto" w:fill="auto"/>
          </w:tcPr>
          <w:p w:rsidR="005842B1" w:rsidRPr="001F63BA" w:rsidRDefault="005842B1" w:rsidP="00D508BE">
            <w:pPr>
              <w:pStyle w:val="a"/>
              <w:rPr>
                <w:i/>
                <w:lang w:val="hy-AM"/>
              </w:rPr>
            </w:pPr>
            <w:r w:rsidRPr="001F63BA">
              <w:t>Տնտեսության ճյուղերի նպաստումները ՏԱՑ-ին նախորդ տարվա նույն ամսվա նկատմամբ (տ.կ.)</w:t>
            </w:r>
          </w:p>
        </w:tc>
      </w:tr>
      <w:tr w:rsidR="001F63BA" w:rsidRPr="001F63BA" w:rsidTr="008333FB">
        <w:trPr>
          <w:trHeight w:val="450"/>
        </w:trPr>
        <w:tc>
          <w:tcPr>
            <w:tcW w:w="5098" w:type="dxa"/>
            <w:shd w:val="clear" w:color="auto" w:fill="auto"/>
          </w:tcPr>
          <w:p w:rsidR="005842B1" w:rsidRPr="001F63BA" w:rsidRDefault="005842B1" w:rsidP="008333FB">
            <w:pPr>
              <w:tabs>
                <w:tab w:val="right" w:pos="0"/>
              </w:tabs>
              <w:spacing w:before="60"/>
              <w:rPr>
                <w:rFonts w:ascii="GHEA Grapalat" w:hAnsi="GHEA Grapalat" w:cs="Sylfaen"/>
                <w:i/>
                <w:sz w:val="16"/>
                <w:szCs w:val="16"/>
              </w:rPr>
            </w:pPr>
            <w:r w:rsidRPr="001F63BA">
              <w:rPr>
                <w:rFonts w:ascii="GHEA Grapalat" w:hAnsi="GHEA Grapalat"/>
                <w:i/>
                <w:sz w:val="16"/>
                <w:szCs w:val="16"/>
                <w:lang w:val="en-US"/>
              </w:rPr>
              <w:drawing>
                <wp:inline distT="0" distB="0" distL="0" distR="0" wp14:anchorId="7917BCFB" wp14:editId="1EB9E318">
                  <wp:extent cx="3105150" cy="1809750"/>
                  <wp:effectExtent l="0" t="0" r="0" b="0"/>
                  <wp:docPr id="91" name="Chart 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842B1" w:rsidRPr="001F63BA" w:rsidRDefault="005842B1" w:rsidP="008333FB">
            <w:pPr>
              <w:tabs>
                <w:tab w:val="right" w:pos="0"/>
              </w:tabs>
              <w:spacing w:before="60" w:after="60" w:line="360" w:lineRule="auto"/>
              <w:jc w:val="both"/>
              <w:rPr>
                <w:rFonts w:ascii="GHEA Grapalat" w:hAnsi="GHEA Grapalat" w:cs="Sylfaen"/>
              </w:rPr>
            </w:pPr>
            <w:r w:rsidRPr="001F63BA">
              <w:rPr>
                <w:rFonts w:ascii="GHEA Grapalat" w:hAnsi="GHEA Grapalat"/>
                <w:i/>
                <w:sz w:val="18"/>
                <w:szCs w:val="18"/>
              </w:rPr>
              <w:t>Աղբյուրը՝ ՀՀ ՎԿ, ՀՀ ՖՆ հաշվարկներ</w:t>
            </w:r>
            <w:r w:rsidRPr="001F63BA">
              <w:rPr>
                <w:rFonts w:ascii="GHEA Grapalat" w:hAnsi="GHEA Grapalat"/>
                <w:sz w:val="28"/>
                <w:szCs w:val="28"/>
              </w:rPr>
              <w:t xml:space="preserve"> </w:t>
            </w:r>
          </w:p>
        </w:tc>
        <w:tc>
          <w:tcPr>
            <w:tcW w:w="5245" w:type="dxa"/>
            <w:shd w:val="clear" w:color="auto" w:fill="auto"/>
          </w:tcPr>
          <w:p w:rsidR="005842B1" w:rsidRPr="001F63BA" w:rsidRDefault="005842B1" w:rsidP="008333FB">
            <w:pPr>
              <w:tabs>
                <w:tab w:val="right" w:pos="0"/>
              </w:tabs>
              <w:spacing w:before="60"/>
              <w:rPr>
                <w:rFonts w:ascii="GHEA Grapalat" w:hAnsi="GHEA Grapalat" w:cs="Sylfaen"/>
                <w:i/>
                <w:sz w:val="16"/>
                <w:szCs w:val="18"/>
              </w:rPr>
            </w:pPr>
            <w:r w:rsidRPr="001F63BA">
              <w:rPr>
                <w:rFonts w:ascii="GHEA Grapalat" w:hAnsi="GHEA Grapalat"/>
                <w:sz w:val="22"/>
                <w:szCs w:val="22"/>
                <w:lang w:val="en-US"/>
              </w:rPr>
              <w:drawing>
                <wp:inline distT="0" distB="0" distL="0" distR="0" wp14:anchorId="5C49D793" wp14:editId="17E003A9">
                  <wp:extent cx="3105150" cy="1809750"/>
                  <wp:effectExtent l="0" t="0" r="0" b="0"/>
                  <wp:docPr id="90" name="Chart 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842B1" w:rsidRPr="001F63BA" w:rsidRDefault="005842B1" w:rsidP="008333FB">
            <w:pPr>
              <w:spacing w:before="60" w:after="60" w:line="312" w:lineRule="auto"/>
              <w:jc w:val="both"/>
              <w:rPr>
                <w:rFonts w:ascii="GHEA Grapalat" w:hAnsi="GHEA Grapalat"/>
                <w:i/>
                <w:sz w:val="16"/>
                <w:szCs w:val="16"/>
              </w:rPr>
            </w:pPr>
            <w:r w:rsidRPr="001F63BA">
              <w:rPr>
                <w:rFonts w:ascii="GHEA Grapalat" w:hAnsi="GHEA Grapalat"/>
                <w:i/>
                <w:sz w:val="18"/>
                <w:szCs w:val="18"/>
              </w:rPr>
              <w:t>Աղբյուրը՝ ՀՀ ՎԿ, ՀՀ ՖՆ հաշվարկներ</w:t>
            </w:r>
          </w:p>
        </w:tc>
      </w:tr>
    </w:tbl>
    <w:p w:rsidR="005842B1" w:rsidRPr="001F63BA" w:rsidRDefault="005842B1" w:rsidP="00B5425E">
      <w:pPr>
        <w:spacing w:line="360" w:lineRule="auto"/>
        <w:ind w:firstLine="567"/>
        <w:jc w:val="both"/>
        <w:rPr>
          <w:rFonts w:ascii="GHEA Grapalat" w:hAnsi="GHEA Grapalat" w:cs="Sylfaen"/>
          <w:b/>
          <w:sz w:val="22"/>
          <w:szCs w:val="22"/>
        </w:rPr>
      </w:pP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cs="Sylfaen"/>
          <w:b/>
          <w:sz w:val="22"/>
          <w:szCs w:val="22"/>
        </w:rPr>
        <w:t xml:space="preserve">Համախառն պահանջարկ: </w:t>
      </w:r>
      <w:r w:rsidRPr="001F63BA">
        <w:rPr>
          <w:rFonts w:ascii="GHEA Grapalat" w:hAnsi="GHEA Grapalat"/>
          <w:sz w:val="22"/>
          <w:szCs w:val="22"/>
          <w:lang w:val="en-US"/>
        </w:rPr>
        <w:t>2022 թվականին տնտեսական աճն ուղեկցվել է ինչպես ներքին, այնպես էլ արտաքին պահանջարկի աճով:</w:t>
      </w:r>
    </w:p>
    <w:p w:rsidR="001C411D" w:rsidRPr="001F63BA" w:rsidRDefault="001C411D" w:rsidP="00B5425E">
      <w:pPr>
        <w:spacing w:line="360" w:lineRule="auto"/>
        <w:ind w:firstLine="567"/>
        <w:jc w:val="both"/>
        <w:rPr>
          <w:rFonts w:ascii="GHEA Grapalat" w:hAnsi="GHEA Grapalat"/>
          <w:sz w:val="22"/>
          <w:szCs w:val="22"/>
          <w:lang w:val="en-US"/>
        </w:rPr>
      </w:pPr>
    </w:p>
    <w:tbl>
      <w:tblPr>
        <w:tblW w:w="10348" w:type="dxa"/>
        <w:tblLook w:val="04A0" w:firstRow="1" w:lastRow="0" w:firstColumn="1" w:lastColumn="0" w:noHBand="0" w:noVBand="1"/>
      </w:tblPr>
      <w:tblGrid>
        <w:gridCol w:w="5526"/>
        <w:gridCol w:w="5091"/>
      </w:tblGrid>
      <w:tr w:rsidR="001F63BA" w:rsidRPr="001F63BA" w:rsidTr="00EB2CE8">
        <w:trPr>
          <w:trHeight w:val="3846"/>
        </w:trPr>
        <w:tc>
          <w:tcPr>
            <w:tcW w:w="5313" w:type="dxa"/>
            <w:shd w:val="clear" w:color="auto" w:fill="auto"/>
          </w:tcPr>
          <w:p w:rsidR="00692822" w:rsidRPr="001F63BA" w:rsidRDefault="00692822" w:rsidP="00D508BE">
            <w:pPr>
              <w:pStyle w:val="a"/>
            </w:pPr>
            <w:r w:rsidRPr="001F63BA">
              <w:t>ՀՆԱ-ի իրական աճը (%) և նպաստումները (տ.կ.) նախորդ տարվա նկատմամբ</w:t>
            </w:r>
          </w:p>
          <w:p w:rsidR="00692822" w:rsidRPr="001F63BA" w:rsidRDefault="00692822" w:rsidP="008333FB">
            <w:pPr>
              <w:tabs>
                <w:tab w:val="right" w:pos="0"/>
              </w:tabs>
              <w:spacing w:before="120" w:after="60"/>
              <w:contextualSpacing/>
              <w:rPr>
                <w:rFonts w:ascii="GHEA Grapalat" w:hAnsi="GHEA Grapalat" w:cs="Sylfaen"/>
                <w:i/>
                <w:sz w:val="16"/>
                <w:szCs w:val="16"/>
              </w:rPr>
            </w:pPr>
            <w:r w:rsidRPr="001F63BA">
              <w:rPr>
                <w:rFonts w:ascii="GHEA Grapalat" w:hAnsi="GHEA Grapalat"/>
                <w:sz w:val="22"/>
                <w:szCs w:val="22"/>
                <w:lang w:val="en-US"/>
              </w:rPr>
              <w:drawing>
                <wp:inline distT="0" distB="0" distL="0" distR="0" wp14:anchorId="07F93B65" wp14:editId="7F6852BA">
                  <wp:extent cx="3371850" cy="1895475"/>
                  <wp:effectExtent l="0" t="0" r="0" b="0"/>
                  <wp:docPr id="95" name="Chart 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B2CE8" w:rsidRPr="001F63BA" w:rsidRDefault="00EB2CE8" w:rsidP="008333FB">
            <w:pPr>
              <w:tabs>
                <w:tab w:val="right" w:pos="0"/>
              </w:tabs>
              <w:spacing w:before="120" w:after="60"/>
              <w:contextualSpacing/>
              <w:rPr>
                <w:rFonts w:ascii="GHEA Grapalat" w:hAnsi="GHEA Grapalat"/>
                <w:i/>
                <w:sz w:val="18"/>
                <w:szCs w:val="18"/>
              </w:rPr>
            </w:pPr>
          </w:p>
          <w:p w:rsidR="00692822" w:rsidRPr="001F63BA" w:rsidRDefault="00692822" w:rsidP="008333FB">
            <w:pPr>
              <w:tabs>
                <w:tab w:val="right" w:pos="0"/>
              </w:tabs>
              <w:spacing w:before="120" w:after="60"/>
              <w:contextualSpacing/>
              <w:rPr>
                <w:rFonts w:ascii="GHEA Grapalat" w:hAnsi="GHEA Grapalat" w:cs="Sylfaen"/>
                <w:b/>
                <w:sz w:val="22"/>
                <w:szCs w:val="22"/>
              </w:rPr>
            </w:pPr>
            <w:r w:rsidRPr="001F63BA">
              <w:rPr>
                <w:rFonts w:ascii="GHEA Grapalat" w:hAnsi="GHEA Grapalat"/>
                <w:i/>
                <w:sz w:val="18"/>
                <w:szCs w:val="18"/>
              </w:rPr>
              <w:t>Աղբյուրը՝ ՀՀ ՎԿ, ՀՀ ՖՆ հաշվարկներ</w:t>
            </w:r>
          </w:p>
        </w:tc>
        <w:tc>
          <w:tcPr>
            <w:tcW w:w="5035" w:type="dxa"/>
            <w:shd w:val="clear" w:color="auto" w:fill="auto"/>
          </w:tcPr>
          <w:p w:rsidR="00692822" w:rsidRPr="001F63BA" w:rsidRDefault="00692822" w:rsidP="00D508BE">
            <w:pPr>
              <w:pStyle w:val="a"/>
            </w:pPr>
            <w:r w:rsidRPr="001F63BA">
              <w:t>ՀՆԱ-ի կառուցվածքը (%)</w:t>
            </w:r>
          </w:p>
          <w:p w:rsidR="00692822" w:rsidRPr="001F63BA" w:rsidRDefault="00692822" w:rsidP="008333FB">
            <w:pPr>
              <w:tabs>
                <w:tab w:val="right" w:pos="0"/>
              </w:tabs>
              <w:spacing w:before="120"/>
              <w:contextualSpacing/>
              <w:rPr>
                <w:rFonts w:ascii="GHEA Grapalat" w:hAnsi="GHEA Grapalat" w:cs="Sylfaen"/>
                <w:i/>
                <w:sz w:val="20"/>
                <w:szCs w:val="20"/>
                <w:lang w:val="en-US"/>
              </w:rPr>
            </w:pPr>
          </w:p>
          <w:p w:rsidR="00692822" w:rsidRPr="001F63BA" w:rsidRDefault="00EB2CE8" w:rsidP="008333FB">
            <w:pPr>
              <w:tabs>
                <w:tab w:val="right" w:pos="0"/>
              </w:tabs>
              <w:spacing w:before="120"/>
              <w:contextualSpacing/>
              <w:rPr>
                <w:rFonts w:ascii="GHEA Grapalat" w:hAnsi="GHEA Grapalat" w:cs="Sylfaen"/>
                <w:i/>
                <w:sz w:val="20"/>
                <w:szCs w:val="20"/>
                <w:lang w:val="en-US"/>
              </w:rPr>
            </w:pPr>
            <w:r w:rsidRPr="001F63BA">
              <w:rPr>
                <w:rFonts w:ascii="GHEA Grapalat" w:hAnsi="GHEA Grapalat"/>
                <w:sz w:val="16"/>
                <w:szCs w:val="16"/>
                <w:lang w:val="en-US"/>
              </w:rPr>
              <w:drawing>
                <wp:inline distT="0" distB="0" distL="0" distR="0" wp14:anchorId="603A9CE2" wp14:editId="43A178EC">
                  <wp:extent cx="3095625" cy="1895475"/>
                  <wp:effectExtent l="0" t="0" r="0" b="0"/>
                  <wp:docPr id="94" name="Chart 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B2CE8" w:rsidRPr="001F63BA" w:rsidRDefault="00EB2CE8" w:rsidP="008333FB">
            <w:pPr>
              <w:tabs>
                <w:tab w:val="right" w:pos="0"/>
              </w:tabs>
              <w:spacing w:before="120" w:after="60"/>
              <w:contextualSpacing/>
              <w:rPr>
                <w:rFonts w:ascii="GHEA Grapalat" w:hAnsi="GHEA Grapalat"/>
                <w:i/>
                <w:sz w:val="18"/>
                <w:szCs w:val="18"/>
              </w:rPr>
            </w:pPr>
          </w:p>
          <w:p w:rsidR="00692822" w:rsidRPr="001F63BA" w:rsidRDefault="00692822" w:rsidP="008333FB">
            <w:pPr>
              <w:tabs>
                <w:tab w:val="right" w:pos="0"/>
              </w:tabs>
              <w:spacing w:before="120" w:after="60"/>
              <w:contextualSpacing/>
              <w:rPr>
                <w:rFonts w:ascii="GHEA Grapalat" w:hAnsi="GHEA Grapalat" w:cs="Sylfaen"/>
                <w:b/>
                <w:sz w:val="22"/>
                <w:szCs w:val="22"/>
              </w:rPr>
            </w:pPr>
            <w:r w:rsidRPr="001F63BA">
              <w:rPr>
                <w:rFonts w:ascii="GHEA Grapalat" w:hAnsi="GHEA Grapalat"/>
                <w:i/>
                <w:sz w:val="18"/>
                <w:szCs w:val="18"/>
              </w:rPr>
              <w:t>Աղբյուրը՝ ՀՀ ՎԿ, ՀՀ ՖՆ հաշվարկներ</w:t>
            </w:r>
          </w:p>
        </w:tc>
      </w:tr>
    </w:tbl>
    <w:p w:rsidR="001C411D" w:rsidRPr="001F63BA" w:rsidRDefault="001C411D" w:rsidP="003C01DF">
      <w:pPr>
        <w:rPr>
          <w:rFonts w:ascii="GHEA Grapalat" w:hAnsi="GHEA Grapalat"/>
          <w:b/>
        </w:rPr>
      </w:pP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cs="GHEA Grapalat"/>
          <w:b/>
          <w:bCs/>
          <w:i/>
          <w:iCs/>
          <w:sz w:val="22"/>
          <w:szCs w:val="22"/>
        </w:rPr>
        <w:t>Սպառում։</w:t>
      </w:r>
      <w:r w:rsidRPr="001F63BA">
        <w:rPr>
          <w:rFonts w:ascii="GHEA Grapalat" w:hAnsi="GHEA Grapalat" w:cs="GHEA Grapalat"/>
          <w:sz w:val="22"/>
          <w:szCs w:val="22"/>
        </w:rPr>
        <w:t xml:space="preserve"> </w:t>
      </w:r>
      <w:r w:rsidRPr="001F63BA">
        <w:rPr>
          <w:rFonts w:ascii="GHEA Grapalat" w:hAnsi="GHEA Grapalat"/>
          <w:sz w:val="22"/>
          <w:szCs w:val="22"/>
          <w:lang w:val="en-US"/>
        </w:rPr>
        <w:t xml:space="preserve">2022 թվականին սպառումն իրական արտահայտությամբ աճել է 7.7%-ով՝ հիմնականում պայմանավորված մասնավոր հատվածի սպառման աճով, որին նպաստել են բնակչության տնօրինվող եկամտի աճը (այդ թվում՝ դրամական փոխանցումների բարձր աճը, ինչպես նաև ծառայությունների ոլորտում աշխատավարձերի բարձր աճը) և համավարակի պայմաններում </w:t>
      </w:r>
      <w:r w:rsidRPr="001F63BA">
        <w:rPr>
          <w:rFonts w:ascii="GHEA Grapalat" w:hAnsi="GHEA Grapalat"/>
          <w:sz w:val="22"/>
          <w:szCs w:val="22"/>
          <w:lang w:val="en-US"/>
        </w:rPr>
        <w:lastRenderedPageBreak/>
        <w:t>կուտակված խնայողությունների օգտագործումը: Մասնավոր սպառման աճին դրական նպաստում է ունեցել նաև դեպի Հայաստան զբոսաշրջության բարձր աճը, ինչպես նաև սպառողական վարկավորման աճը։ Պետական սպառումը ևս աճել է՝ նպաստելով ընդհանուր սպառման աճին։</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cs="GHEA Grapalat"/>
          <w:b/>
          <w:bCs/>
          <w:i/>
          <w:iCs/>
          <w:sz w:val="22"/>
          <w:szCs w:val="22"/>
        </w:rPr>
        <w:t>Ներդրումներ։</w:t>
      </w:r>
      <w:r w:rsidRPr="001F63BA">
        <w:rPr>
          <w:rFonts w:ascii="GHEA Grapalat" w:hAnsi="GHEA Grapalat" w:cs="GHEA Grapalat"/>
          <w:sz w:val="22"/>
          <w:szCs w:val="22"/>
        </w:rPr>
        <w:t xml:space="preserve"> </w:t>
      </w:r>
      <w:r w:rsidRPr="001F63BA">
        <w:rPr>
          <w:rFonts w:ascii="GHEA Grapalat" w:hAnsi="GHEA Grapalat"/>
          <w:sz w:val="22"/>
          <w:szCs w:val="22"/>
          <w:lang w:val="en-US"/>
        </w:rPr>
        <w:t>Հաշվետու ժամանակահատվածում կապիտալ ներդրումները</w:t>
      </w:r>
      <w:r w:rsidRPr="001F63BA">
        <w:rPr>
          <w:rFonts w:ascii="GHEA Grapalat" w:hAnsi="GHEA Grapalat"/>
          <w:sz w:val="22"/>
          <w:szCs w:val="22"/>
          <w:vertAlign w:val="superscript"/>
          <w:lang w:val="en-US"/>
        </w:rPr>
        <w:footnoteReference w:id="18"/>
      </w:r>
      <w:r w:rsidRPr="001F63BA">
        <w:rPr>
          <w:rFonts w:ascii="GHEA Grapalat" w:hAnsi="GHEA Grapalat"/>
          <w:sz w:val="22"/>
          <w:szCs w:val="22"/>
          <w:lang w:val="en-US"/>
        </w:rPr>
        <w:t xml:space="preserve"> նախորդ տարվա նկատմամբ իրական արտահայտությամբ աճել են 9.5%-ով՝ հիմնականում պայմանավորված մասնավոր ներդրումների աճով: Պետական ներդրումների աճը ևս դրական է նպաստել ընդհանուր ներդրումների աճին։ Մասնավոր ներդրումների վրա դրական ազդեցություն են ունեցել հիպոտեկային և շինարարության վարկերի ծավալների աճը:</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Ներդրումների աճը հիմնականում պայմանավորված է եղել անշարժ գույքի հետ կապված գործունեության, տրանսպորտի, կրթության, մշակող արդյունաբերության, ինչպես նաև առևտրի ոլորտներում կատարված ներդրումների աճով</w:t>
      </w:r>
      <w:r w:rsidRPr="001F63BA">
        <w:rPr>
          <w:rFonts w:ascii="GHEA Grapalat" w:hAnsi="GHEA Grapalat"/>
          <w:sz w:val="22"/>
          <w:szCs w:val="22"/>
          <w:vertAlign w:val="superscript"/>
          <w:lang w:val="en-US"/>
        </w:rPr>
        <w:footnoteReference w:id="19"/>
      </w:r>
      <w:r w:rsidRPr="001F63BA">
        <w:rPr>
          <w:rFonts w:ascii="GHEA Grapalat" w:hAnsi="GHEA Grapalat"/>
          <w:sz w:val="22"/>
          <w:szCs w:val="22"/>
          <w:lang w:val="en-US"/>
        </w:rPr>
        <w:t>:</w:t>
      </w:r>
    </w:p>
    <w:p w:rsidR="001C411D" w:rsidRPr="001F63BA" w:rsidRDefault="001C411D" w:rsidP="00B5425E">
      <w:pPr>
        <w:spacing w:line="360" w:lineRule="auto"/>
        <w:ind w:firstLine="567"/>
        <w:jc w:val="both"/>
        <w:rPr>
          <w:rFonts w:ascii="GHEA Grapalat" w:hAnsi="GHEA Grapalat"/>
          <w:sz w:val="22"/>
          <w:szCs w:val="22"/>
          <w:lang w:val="en-US"/>
        </w:rPr>
      </w:pPr>
      <w:r w:rsidRPr="001F63BA">
        <w:rPr>
          <w:rFonts w:ascii="GHEA Grapalat" w:hAnsi="GHEA Grapalat" w:cs="GHEA Grapalat"/>
          <w:b/>
          <w:bCs/>
          <w:i/>
          <w:iCs/>
          <w:sz w:val="22"/>
          <w:szCs w:val="22"/>
        </w:rPr>
        <w:t>Զուտ արտահանում։</w:t>
      </w:r>
      <w:r w:rsidRPr="001F63BA">
        <w:rPr>
          <w:rFonts w:ascii="GHEA Grapalat" w:hAnsi="GHEA Grapalat" w:cs="GHEA Grapalat"/>
          <w:sz w:val="22"/>
          <w:szCs w:val="22"/>
        </w:rPr>
        <w:t xml:space="preserve"> </w:t>
      </w:r>
      <w:r w:rsidRPr="001F63BA">
        <w:rPr>
          <w:rFonts w:ascii="GHEA Grapalat" w:hAnsi="GHEA Grapalat"/>
          <w:sz w:val="22"/>
          <w:szCs w:val="22"/>
          <w:lang w:val="en-US"/>
        </w:rPr>
        <w:t>Ապրանքների և ծառայությունների արտահանման իրական ծավալներն աճել են 54.4%-ով` պայմանավորված արտաքին պահանջարկի աճով (ՏՏ, զբոսաշրջիկներին մատուցված ծառայությունների աճ), ինչպես նաև ՌԴ ներմուծման շուկաների սահմանափակման արդյունքում՝ դեպի ՌԴ արտահանման ծավալների աճով: Հաշվետու ժամանակահատվածում ապրանքների և ծառայությունների ներմուծման ծավալները նախորդ տարվա համեմատ աճել են 33.8%-ով` պայմանավորված տնտեսական ակտիվության և ներքին պահանջարկի աճով: Ներմուծման աճին դրական նպաստում են ունեցել նաև արժևորված ազգային արժույթը և տնտեսվարողների կողմից ազգային արժույթի արժեզրկման սպասումներով պայմանավորված՝ ներմուծման ծավալների աճը:</w:t>
      </w:r>
    </w:p>
    <w:p w:rsidR="001C411D" w:rsidRPr="001F63BA" w:rsidRDefault="001C411D" w:rsidP="0095749D">
      <w:pPr>
        <w:spacing w:line="360" w:lineRule="auto"/>
        <w:ind w:firstLine="567"/>
        <w:jc w:val="both"/>
        <w:rPr>
          <w:rFonts w:ascii="GHEA Grapalat" w:hAnsi="GHEA Grapalat"/>
          <w:sz w:val="22"/>
          <w:szCs w:val="22"/>
          <w:lang w:val="en-US"/>
        </w:rPr>
      </w:pPr>
    </w:p>
    <w:p w:rsidR="001C411D" w:rsidRPr="001F63BA" w:rsidRDefault="001C411D" w:rsidP="00A07DCC">
      <w:pPr>
        <w:pStyle w:val="Heading6"/>
        <w:ind w:left="567"/>
        <w:rPr>
          <w:rFonts w:ascii="GHEA Grapalat" w:hAnsi="GHEA Grapalat"/>
          <w:b/>
          <w:sz w:val="22"/>
          <w:szCs w:val="22"/>
          <w:u w:val="none"/>
        </w:rPr>
      </w:pPr>
      <w:r w:rsidRPr="001F63BA">
        <w:rPr>
          <w:rFonts w:ascii="GHEA Grapalat" w:hAnsi="GHEA Grapalat"/>
          <w:b/>
          <w:sz w:val="22"/>
          <w:szCs w:val="22"/>
          <w:u w:val="none"/>
        </w:rPr>
        <w:t xml:space="preserve">Աշխատանքի շուկա </w:t>
      </w:r>
    </w:p>
    <w:p w:rsidR="001C411D" w:rsidRPr="001F63BA" w:rsidRDefault="001C411D" w:rsidP="0095749D">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Տնտեսական բարձր ակտիվության պայմաններում գործազրկությունը նվազել է, իսկ զբաղվածությունը և աշխատավարձերը՝ աճել։ 2022 թվականին գործազրկության մակարդակը 2021 թվականի նկատմամբ նվազել է 2.5 տոկոսային կետով՝ կազմելով 13%։ Գործազուրկների թիվը նույն ժամանակահատվածում նվազել է 14.5%-ով՝ կազմելով 170.1 հազ. մարդ, իսկ զբաղվածների թիվն աճել է 4.7%-ով՝ կազմելով 1,139.1 հազ. մարդ։ </w:t>
      </w:r>
    </w:p>
    <w:p w:rsidR="001C411D" w:rsidRPr="001F63BA" w:rsidRDefault="001C411D" w:rsidP="0095749D">
      <w:pPr>
        <w:spacing w:line="360" w:lineRule="auto"/>
        <w:ind w:firstLine="540"/>
        <w:jc w:val="both"/>
        <w:rPr>
          <w:rFonts w:ascii="GHEA Grapalat" w:hAnsi="GHEA Grapalat" w:cs="GHEA Grapalat"/>
          <w:bCs/>
          <w:sz w:val="22"/>
          <w:szCs w:val="22"/>
        </w:rPr>
      </w:pPr>
    </w:p>
    <w:tbl>
      <w:tblPr>
        <w:tblW w:w="0" w:type="auto"/>
        <w:tblInd w:w="108" w:type="dxa"/>
        <w:tblLook w:val="04A0" w:firstRow="1" w:lastRow="0" w:firstColumn="1" w:lastColumn="0" w:noHBand="0" w:noVBand="1"/>
      </w:tblPr>
      <w:tblGrid>
        <w:gridCol w:w="5057"/>
        <w:gridCol w:w="5043"/>
      </w:tblGrid>
      <w:tr w:rsidR="001F63BA" w:rsidRPr="001F63BA" w:rsidTr="008333FB">
        <w:trPr>
          <w:trHeight w:val="4491"/>
        </w:trPr>
        <w:tc>
          <w:tcPr>
            <w:tcW w:w="5226" w:type="dxa"/>
            <w:shd w:val="clear" w:color="auto" w:fill="auto"/>
          </w:tcPr>
          <w:p w:rsidR="009900FC" w:rsidRPr="001F63BA" w:rsidRDefault="009900FC" w:rsidP="00D508BE">
            <w:pPr>
              <w:pStyle w:val="a"/>
            </w:pPr>
            <w:r w:rsidRPr="001F63BA">
              <w:lastRenderedPageBreak/>
              <w:t>Գործազրկության մակարդակ, գործազուրկներ, վարձու աշխատողներ և զբաղվածներ</w:t>
            </w:r>
          </w:p>
          <w:p w:rsidR="009900FC" w:rsidRPr="001F63BA" w:rsidRDefault="009900FC" w:rsidP="008333FB">
            <w:pPr>
              <w:tabs>
                <w:tab w:val="right" w:pos="0"/>
              </w:tabs>
              <w:spacing w:before="120" w:after="60"/>
              <w:contextualSpacing/>
              <w:rPr>
                <w:rFonts w:ascii="GHEA Grapalat" w:hAnsi="GHEA Grapalat" w:cs="Sylfaen"/>
                <w:i/>
                <w:sz w:val="16"/>
                <w:szCs w:val="16"/>
              </w:rPr>
            </w:pPr>
            <w:r w:rsidRPr="001F63BA">
              <w:rPr>
                <w:rFonts w:ascii="GHEA Grapalat" w:hAnsi="GHEA Grapalat"/>
                <w:sz w:val="22"/>
                <w:szCs w:val="22"/>
                <w:lang w:val="en-US"/>
              </w:rPr>
              <w:drawing>
                <wp:inline distT="0" distB="0" distL="0" distR="0" wp14:anchorId="24A8C203" wp14:editId="7927C37B">
                  <wp:extent cx="3181350" cy="2390775"/>
                  <wp:effectExtent l="0" t="0" r="0" b="0"/>
                  <wp:docPr id="97" name="Chart 9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900FC" w:rsidRPr="001F63BA" w:rsidRDefault="009900FC" w:rsidP="008333FB">
            <w:pPr>
              <w:tabs>
                <w:tab w:val="right" w:pos="0"/>
              </w:tabs>
              <w:spacing w:before="120" w:after="60"/>
              <w:contextualSpacing/>
              <w:rPr>
                <w:rFonts w:ascii="GHEA Grapalat" w:hAnsi="GHEA Grapalat" w:cs="Sylfaen"/>
                <w:b/>
                <w:sz w:val="22"/>
                <w:szCs w:val="22"/>
              </w:rPr>
            </w:pPr>
            <w:r w:rsidRPr="001F63BA">
              <w:rPr>
                <w:rFonts w:ascii="GHEA Grapalat" w:hAnsi="GHEA Grapalat"/>
                <w:i/>
                <w:sz w:val="18"/>
                <w:szCs w:val="18"/>
              </w:rPr>
              <w:t>Աղբյուրը՝ ՀՀ ՎԿ</w:t>
            </w:r>
          </w:p>
        </w:tc>
        <w:tc>
          <w:tcPr>
            <w:tcW w:w="5226" w:type="dxa"/>
            <w:shd w:val="clear" w:color="auto" w:fill="auto"/>
          </w:tcPr>
          <w:p w:rsidR="009900FC" w:rsidRPr="001F63BA" w:rsidRDefault="009900FC" w:rsidP="00D508BE">
            <w:pPr>
              <w:pStyle w:val="a"/>
            </w:pPr>
            <w:r w:rsidRPr="001F63BA">
              <w:t>Միջին ամսական աշխատավարձի աճը նախորդ տարվա նկատմամբ, %</w:t>
            </w:r>
          </w:p>
          <w:p w:rsidR="009900FC" w:rsidRPr="001F63BA" w:rsidRDefault="009900FC" w:rsidP="008333FB">
            <w:pPr>
              <w:tabs>
                <w:tab w:val="right" w:pos="0"/>
              </w:tabs>
              <w:spacing w:before="120" w:after="60"/>
              <w:contextualSpacing/>
              <w:rPr>
                <w:rFonts w:ascii="GHEA Grapalat" w:hAnsi="GHEA Grapalat" w:cs="Sylfaen"/>
                <w:i/>
                <w:sz w:val="16"/>
                <w:szCs w:val="16"/>
              </w:rPr>
            </w:pPr>
            <w:r w:rsidRPr="001F63BA">
              <w:rPr>
                <w:rFonts w:ascii="GHEA Grapalat" w:hAnsi="GHEA Grapalat"/>
                <w:sz w:val="16"/>
                <w:szCs w:val="16"/>
                <w:lang w:val="en-US"/>
              </w:rPr>
              <w:drawing>
                <wp:inline distT="0" distB="0" distL="0" distR="0" wp14:anchorId="05833016" wp14:editId="14D86CC6">
                  <wp:extent cx="3171825" cy="2390775"/>
                  <wp:effectExtent l="0" t="0" r="0" b="0"/>
                  <wp:docPr id="96" name="Chart 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900FC" w:rsidRPr="001F63BA" w:rsidRDefault="009900FC" w:rsidP="008333FB">
            <w:pPr>
              <w:tabs>
                <w:tab w:val="right" w:pos="0"/>
              </w:tabs>
              <w:spacing w:before="120" w:after="60"/>
              <w:contextualSpacing/>
              <w:rPr>
                <w:rFonts w:ascii="GHEA Grapalat" w:hAnsi="GHEA Grapalat"/>
                <w:i/>
                <w:sz w:val="18"/>
                <w:szCs w:val="18"/>
              </w:rPr>
            </w:pPr>
            <w:r w:rsidRPr="001F63BA">
              <w:rPr>
                <w:rFonts w:ascii="GHEA Grapalat" w:hAnsi="GHEA Grapalat"/>
                <w:i/>
                <w:sz w:val="18"/>
                <w:szCs w:val="18"/>
              </w:rPr>
              <w:t>Աղբյուրը՝ ՀՀ ՎԿ</w:t>
            </w:r>
          </w:p>
        </w:tc>
      </w:tr>
    </w:tbl>
    <w:p w:rsidR="009900FC" w:rsidRPr="001F63BA" w:rsidRDefault="009900FC" w:rsidP="0095749D">
      <w:pPr>
        <w:spacing w:line="360" w:lineRule="auto"/>
        <w:ind w:firstLine="540"/>
        <w:jc w:val="both"/>
        <w:rPr>
          <w:rFonts w:ascii="GHEA Grapalat" w:hAnsi="GHEA Grapalat" w:cs="GHEA Grapalat"/>
          <w:bCs/>
          <w:sz w:val="22"/>
          <w:szCs w:val="22"/>
        </w:rPr>
      </w:pPr>
    </w:p>
    <w:p w:rsidR="001C411D" w:rsidRPr="001F63BA" w:rsidRDefault="001C411D" w:rsidP="00952E3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Ի տարբերություն զբաղվածների՝ վարձու աշխատողների թիվը 2022 թվականին աճել է ավելի արագ տեմպերով՝ 5.4%-ով, ինչը պայմանավորված է ինչպես տնտեսության ֆորմալ զբաղվածության աճով, այնպես էլ նոր կազմակերպությունների ստեղծմամբ (կազմակերպությունների թվաքանակն աճել է շուրջ 10.6%-ով)։ Վարձու աշխատողների թվի աճին հիմնականում նպաստել են տնտեսական բարձր աճը պայմանավորող ոլորտներից՝ մեծածախ և մանրածախ առևտրի, տեղեկատվական տեխնոլոգիաների, կացության և հանրային սննդի կազմակերպման, ինչպես նաև շինարարության և մշակող արդյունաբերության ոլորտներում աշխատողների թվի աճը։ Այս զարգացումների վրա իրենց դրական ազդեցությունն են թողել ՀՀ ժամանած զբոսաշրջիկների և ՏՏ ոլորտի աշխատանքային միգրանտների թվի ավելացումը։ Միաժամանակ աշխատուժի առաջարկը (տնտեսապես ակտիվ բնակչություն) աճել է 1.7%-ով և կազմել է 1,309.2 հազ. մարդ։</w:t>
      </w:r>
    </w:p>
    <w:p w:rsidR="001C411D" w:rsidRPr="001F63BA" w:rsidRDefault="001C411D" w:rsidP="00952E30">
      <w:pPr>
        <w:spacing w:line="360" w:lineRule="auto"/>
        <w:ind w:firstLine="567"/>
        <w:jc w:val="both"/>
        <w:rPr>
          <w:rFonts w:ascii="GHEA Grapalat" w:hAnsi="GHEA Grapalat"/>
          <w:sz w:val="22"/>
          <w:szCs w:val="22"/>
          <w:lang w:val="en-US"/>
        </w:rPr>
      </w:pPr>
    </w:p>
    <w:tbl>
      <w:tblPr>
        <w:tblW w:w="0" w:type="auto"/>
        <w:tblLook w:val="00A0" w:firstRow="1" w:lastRow="0" w:firstColumn="1" w:lastColumn="0" w:noHBand="0" w:noVBand="0"/>
      </w:tblPr>
      <w:tblGrid>
        <w:gridCol w:w="5104"/>
        <w:gridCol w:w="5104"/>
      </w:tblGrid>
      <w:tr w:rsidR="001C411D" w:rsidRPr="001F63BA" w:rsidTr="00A6734C">
        <w:tc>
          <w:tcPr>
            <w:tcW w:w="5212" w:type="dxa"/>
          </w:tcPr>
          <w:p w:rsidR="001C411D" w:rsidRPr="001F63BA" w:rsidRDefault="001C411D" w:rsidP="00D508BE">
            <w:pPr>
              <w:pStyle w:val="a"/>
            </w:pPr>
            <w:r w:rsidRPr="001F63BA">
              <w:lastRenderedPageBreak/>
              <w:t>Գործազրկության մակարդակ, գործազուրկներ, վարձու աշխատողներ և զբաղվածներ</w:t>
            </w:r>
          </w:p>
          <w:p w:rsidR="001C411D" w:rsidRPr="001F63BA" w:rsidRDefault="009A358E" w:rsidP="00D508BE">
            <w:pPr>
              <w:pStyle w:val="a"/>
              <w:numPr>
                <w:ilvl w:val="0"/>
                <w:numId w:val="0"/>
              </w:numPr>
            </w:pPr>
            <w:r w:rsidRPr="001F63BA">
              <w:rPr>
                <w:noProof/>
              </w:rPr>
              <w:drawing>
                <wp:inline distT="0" distB="0" distL="0" distR="0" wp14:anchorId="4DD1A4EC" wp14:editId="7EB0C606">
                  <wp:extent cx="3181350" cy="2390775"/>
                  <wp:effectExtent l="0" t="0" r="0" b="0"/>
                  <wp:docPr id="16"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C411D" w:rsidRPr="001F63BA" w:rsidRDefault="001C411D" w:rsidP="00E45636">
            <w:pPr>
              <w:tabs>
                <w:tab w:val="right" w:pos="0"/>
              </w:tabs>
              <w:spacing w:before="120" w:after="60"/>
              <w:contextualSpacing/>
              <w:rPr>
                <w:i/>
                <w:sz w:val="22"/>
                <w:szCs w:val="22"/>
              </w:rPr>
            </w:pPr>
            <w:r w:rsidRPr="001F63BA">
              <w:rPr>
                <w:rFonts w:ascii="GHEA Grapalat" w:hAnsi="GHEA Grapalat"/>
                <w:i/>
                <w:sz w:val="18"/>
                <w:szCs w:val="18"/>
              </w:rPr>
              <w:t>Աղբյուրը՝ ՀՀ ՎԿ</w:t>
            </w:r>
          </w:p>
        </w:tc>
        <w:tc>
          <w:tcPr>
            <w:tcW w:w="5212" w:type="dxa"/>
          </w:tcPr>
          <w:p w:rsidR="001C411D" w:rsidRPr="001F63BA" w:rsidRDefault="001C411D" w:rsidP="00D508BE">
            <w:pPr>
              <w:pStyle w:val="a"/>
            </w:pPr>
            <w:r w:rsidRPr="001F63BA">
              <w:t>Միջին ամսական աշխատավարձի աճը նախորդ տարվա նույն ժամանակահատվածի նկատմամբ, %</w:t>
            </w:r>
          </w:p>
          <w:p w:rsidR="001C411D" w:rsidRPr="001F63BA" w:rsidRDefault="009A358E" w:rsidP="00D508BE">
            <w:pPr>
              <w:pStyle w:val="a"/>
              <w:numPr>
                <w:ilvl w:val="0"/>
                <w:numId w:val="0"/>
              </w:numPr>
            </w:pPr>
            <w:r w:rsidRPr="001F63BA">
              <w:rPr>
                <w:noProof/>
              </w:rPr>
              <w:drawing>
                <wp:inline distT="0" distB="0" distL="0" distR="0" wp14:anchorId="5EA9E1A5" wp14:editId="36424E62">
                  <wp:extent cx="3181350" cy="2390775"/>
                  <wp:effectExtent l="0" t="0" r="0" b="0"/>
                  <wp:docPr id="17"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C411D" w:rsidRPr="001F63BA" w:rsidRDefault="001C411D" w:rsidP="00A6734C">
            <w:pPr>
              <w:tabs>
                <w:tab w:val="right" w:pos="0"/>
              </w:tabs>
              <w:spacing w:before="120" w:after="60"/>
              <w:contextualSpacing/>
            </w:pPr>
            <w:r w:rsidRPr="001F63BA">
              <w:rPr>
                <w:rFonts w:ascii="GHEA Grapalat" w:hAnsi="GHEA Grapalat"/>
                <w:i/>
                <w:sz w:val="18"/>
                <w:szCs w:val="18"/>
              </w:rPr>
              <w:t>Աղբյուրը՝ ՀՀ ՎԿ</w:t>
            </w:r>
          </w:p>
        </w:tc>
      </w:tr>
    </w:tbl>
    <w:p w:rsidR="001C411D" w:rsidRPr="001F63BA" w:rsidRDefault="001C411D" w:rsidP="00952E30">
      <w:pPr>
        <w:spacing w:line="360" w:lineRule="auto"/>
        <w:ind w:firstLine="567"/>
        <w:jc w:val="both"/>
        <w:rPr>
          <w:rFonts w:ascii="GHEA Grapalat" w:hAnsi="GHEA Grapalat"/>
          <w:sz w:val="22"/>
          <w:szCs w:val="22"/>
          <w:lang w:val="en-US"/>
        </w:rPr>
      </w:pPr>
    </w:p>
    <w:p w:rsidR="001C411D" w:rsidRPr="001F63BA" w:rsidRDefault="001C411D" w:rsidP="00952E3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թվականին միջին ամսական անվանական աշխատավարձը նախորդ տարվա նկատմամբ աճել է 15.5%-ով` կազմելով 235,576 դրամ: Աշխատավարձի աճին հիմնականում նպաստել է տեղեկատվական տեխնոլոգիաների, մեծածախ և մանրածախ առևտրի, ինչպես նաև ֆինանսական և ապահովագրական գործունեության ոլորտների աշխատավարձերի աճը։ Միջին ամսական անվանական աշխատավարձը պետական հատվածում աճել է 4.3%-ով` կազմելով 186,940 դրամ, իսկ ոչ պետականում` 19.0%-ով և կազմել է 256,733 դրամ: Իրական աշխատավարձը 8.6% գնաճի պայմաններում աճել է 6.3%-ով:</w:t>
      </w:r>
    </w:p>
    <w:p w:rsidR="001C411D" w:rsidRPr="001F63BA" w:rsidRDefault="001C411D" w:rsidP="00952E30">
      <w:pPr>
        <w:spacing w:line="360" w:lineRule="auto"/>
        <w:ind w:firstLine="567"/>
        <w:jc w:val="both"/>
        <w:rPr>
          <w:rFonts w:ascii="GHEA Grapalat" w:hAnsi="GHEA Grapalat"/>
          <w:sz w:val="22"/>
          <w:szCs w:val="22"/>
          <w:lang w:val="en-US"/>
        </w:rPr>
      </w:pPr>
    </w:p>
    <w:p w:rsidR="001C411D" w:rsidRPr="001F63BA" w:rsidRDefault="001C411D" w:rsidP="00A07DCC">
      <w:pPr>
        <w:pStyle w:val="Heading6"/>
        <w:ind w:left="567"/>
        <w:rPr>
          <w:rFonts w:ascii="GHEA Grapalat" w:hAnsi="GHEA Grapalat"/>
          <w:b/>
          <w:sz w:val="22"/>
          <w:szCs w:val="22"/>
          <w:u w:val="none"/>
        </w:rPr>
      </w:pPr>
      <w:r w:rsidRPr="001F63BA">
        <w:rPr>
          <w:rFonts w:ascii="GHEA Grapalat" w:hAnsi="GHEA Grapalat"/>
          <w:b/>
          <w:sz w:val="22"/>
          <w:szCs w:val="22"/>
          <w:u w:val="none"/>
        </w:rPr>
        <w:t>Գնաճ և դրամավարկային քաղաքականություն</w:t>
      </w:r>
    </w:p>
    <w:p w:rsidR="001C411D" w:rsidRPr="001F63BA" w:rsidRDefault="001C411D" w:rsidP="00952E3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2022 թվականի ընթացքում գնաճի տեմպերն արագացել են, որի պայմաններում ՀՀ ԿԲ-ն շարունակել է խստացնել դրամավարկային պայմանները՝ բարձրացնելով վերաֆինանսավորման տոկոսադրույքը: Տարեսկզբին դիտվել է 12</w:t>
      </w:r>
      <w:r w:rsidRPr="001F63BA">
        <w:rPr>
          <w:rFonts w:ascii="GHEA Grapalat" w:hAnsi="GHEA Grapalat"/>
          <w:sz w:val="22"/>
          <w:szCs w:val="22"/>
          <w:lang w:val="en-US"/>
        </w:rPr>
        <w:noBreakHyphen/>
        <w:t xml:space="preserve">ամսյա գնաճի տեմպերի դանդաղման գործընթաց, մինչդեռ մարտ ամսից սկսած, պայմանավորված նախ ռուս-ուկրաինական հակամարտության սրման արդյունքում միջազգային ապրանքահումքային շուկաներում դիտված գների կտրուկ աճով և ՀՀ դրամի փոխարժեքի կարճատև արժեզրկմամբ, ապա՝ համախառն պահանջարկի զգալի աճով (այդ թվում՝ օտարերկրյա այցելուների կտրուկ ավելացմամբ պայմանավորված), 12-ամսյա գնաճը զգալիորեն արագացել է՝ հունիսին հասնելով մինչև 10.3%, ապա նվազել՝ դեկտեմբերին կազմելով 8.3%, իսկ միջին գնաճը տարվա համար կազմել է 8.6%: Գնաճի տեմպերի լրացուցիչ արագացումը </w:t>
      </w:r>
      <w:r w:rsidRPr="001F63BA">
        <w:rPr>
          <w:rFonts w:ascii="GHEA Grapalat" w:hAnsi="GHEA Grapalat"/>
          <w:sz w:val="22"/>
          <w:szCs w:val="22"/>
          <w:lang w:val="en-US"/>
        </w:rPr>
        <w:lastRenderedPageBreak/>
        <w:t>որոշակիորեն զսպվել է ՀՀ դրամի փոխարժեքի արժևորմամբ, որի ազդեցությունն աստիճանաբար արտացոլվել է ներմուծվող ապրանքների գներում։</w:t>
      </w:r>
    </w:p>
    <w:p w:rsidR="001C411D" w:rsidRPr="001F63BA" w:rsidRDefault="001C411D" w:rsidP="00952E30">
      <w:pPr>
        <w:spacing w:line="360" w:lineRule="auto"/>
        <w:ind w:firstLine="567"/>
        <w:jc w:val="both"/>
        <w:rPr>
          <w:rFonts w:ascii="GHEA Grapalat" w:hAnsi="GHEA Grapalat"/>
          <w:sz w:val="22"/>
          <w:szCs w:val="22"/>
          <w:lang w:val="en-US"/>
        </w:rPr>
      </w:pPr>
    </w:p>
    <w:p w:rsidR="001C411D" w:rsidRPr="001F63BA" w:rsidRDefault="001C411D" w:rsidP="00D508BE">
      <w:pPr>
        <w:pStyle w:val="a"/>
      </w:pPr>
      <w:r w:rsidRPr="001F63BA">
        <w:t>Գնաճի տեմպերը և դրամավարկային քաղաքականությունը 2018-2022 թթ</w:t>
      </w:r>
      <w:r w:rsidRPr="001F63BA">
        <w:rPr>
          <w:rFonts w:ascii="MS Gothic" w:eastAsia="MS Gothic" w:hAnsi="MS Gothic" w:cs="MS Gothic" w:hint="eastAsia"/>
        </w:rPr>
        <w:t>․</w:t>
      </w:r>
      <w:r w:rsidRPr="001F63BA">
        <w:t>, %</w:t>
      </w:r>
    </w:p>
    <w:p w:rsidR="001C411D" w:rsidRPr="001F63BA" w:rsidRDefault="009A358E" w:rsidP="00952E30">
      <w:pPr>
        <w:spacing w:line="360" w:lineRule="auto"/>
        <w:jc w:val="both"/>
        <w:rPr>
          <w:rFonts w:ascii="GHEA Grapalat" w:hAnsi="GHEA Grapalat" w:cs="GHEA Grapalat"/>
          <w:sz w:val="22"/>
          <w:szCs w:val="22"/>
        </w:rPr>
      </w:pPr>
      <w:r w:rsidRPr="001F63BA">
        <w:rPr>
          <w:rFonts w:ascii="GHEA Grapalat" w:hAnsi="GHEA Grapalat" w:cs="GHEA Grapalat"/>
          <w:sz w:val="22"/>
          <w:szCs w:val="22"/>
          <w:lang w:val="en-US"/>
        </w:rPr>
        <w:drawing>
          <wp:inline distT="0" distB="0" distL="0" distR="0" wp14:anchorId="28C5DE78" wp14:editId="49F46567">
            <wp:extent cx="6276975" cy="2809875"/>
            <wp:effectExtent l="0" t="0" r="0" b="0"/>
            <wp:docPr id="18"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C411D" w:rsidRPr="001F63BA" w:rsidRDefault="001C411D" w:rsidP="00952E30">
      <w:pPr>
        <w:spacing w:after="120" w:line="360" w:lineRule="auto"/>
        <w:jc w:val="both"/>
        <w:rPr>
          <w:rFonts w:ascii="GHEA Grapalat" w:hAnsi="GHEA Grapalat" w:cs="GHEA Grapalat"/>
          <w:i/>
          <w:iCs/>
          <w:sz w:val="22"/>
          <w:szCs w:val="22"/>
        </w:rPr>
      </w:pPr>
      <w:r w:rsidRPr="001F63BA">
        <w:rPr>
          <w:rFonts w:ascii="GHEA Grapalat" w:hAnsi="GHEA Grapalat" w:cs="GHEA Grapalat"/>
          <w:i/>
          <w:iCs/>
          <w:sz w:val="18"/>
          <w:szCs w:val="18"/>
        </w:rPr>
        <w:t>Աղբյուրը՝ ՀՀ ԿԲ</w:t>
      </w:r>
    </w:p>
    <w:p w:rsidR="001C411D" w:rsidRPr="001F63BA" w:rsidRDefault="001C411D" w:rsidP="00952E30">
      <w:pPr>
        <w:spacing w:line="360" w:lineRule="auto"/>
        <w:ind w:firstLine="567"/>
        <w:jc w:val="both"/>
        <w:rPr>
          <w:rFonts w:ascii="GHEA Grapalat" w:hAnsi="GHEA Grapalat"/>
          <w:sz w:val="22"/>
          <w:szCs w:val="22"/>
          <w:lang w:val="en-US"/>
        </w:rPr>
      </w:pPr>
    </w:p>
    <w:p w:rsidR="001C411D" w:rsidRPr="001F63BA" w:rsidRDefault="001C411D" w:rsidP="00952E3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Միջին գնաճին առավելապես նպաստել է «Սննդամթերք և ոչ ալկոհոլային խմիչքներ» ապրանքախմբում արձանագրված 13% գների աճը (նպաստումը գնաճին` 4.8 տոկոսային կետ)՝ հիմնականում պայմանավորված առաջին անհրաժեշտության պարենային ապրանքների (հացաբուլկեղեն և ձավարեղեն, բանջարեղեն, միս, կաթնամթերք և այլն) գների աճով: «Ալկոհոլային խմիչքներ, ծխախոտային արտադրատեսակներ» խմբում արձանագրվել է 8</w:t>
      </w:r>
      <w:r w:rsidRPr="001F63BA">
        <w:rPr>
          <w:rFonts w:ascii="MS Mincho" w:eastAsia="MS Mincho" w:hAnsi="MS Mincho" w:cs="MS Mincho" w:hint="eastAsia"/>
          <w:sz w:val="22"/>
          <w:szCs w:val="22"/>
          <w:lang w:val="en-US"/>
        </w:rPr>
        <w:t>․</w:t>
      </w:r>
      <w:r w:rsidRPr="001F63BA">
        <w:rPr>
          <w:rFonts w:ascii="GHEA Grapalat" w:hAnsi="GHEA Grapalat"/>
          <w:sz w:val="22"/>
          <w:szCs w:val="22"/>
          <w:lang w:val="en-US"/>
        </w:rPr>
        <w:t xml:space="preserve">2% գնաճ (նպաստումը գնաճին` 0.4 տոկոսային կետ), իսկ «Ոչ պարենային ապրանքների» խմբում արձանագրվել է 7% գնաճ (նպաստումը գնաճին` 1.6 տոկոսային կետ), ինչը հիմնականում պայմանավորված է հագուստի և կոշիկի, էլեկտրաէներգիայի և վառելիքի գների աճով։ Բնակչությանը մատուցված ծառայությունների գծով արձանագրվել է 5.2% գնաճ (նպաստումը գնաճին` 1.9 տոկոսային կետ), ինչը հիմնականում պայմանավորված է եղել տրանսպորտի, բնակարանների վարձավճարների, հանգստի կազմակերպման, ինչպես նաև առողջապահական սակագների աճերով։ </w:t>
      </w:r>
    </w:p>
    <w:p w:rsidR="001C411D" w:rsidRPr="001F63BA" w:rsidRDefault="001C411D" w:rsidP="00952E30">
      <w:pPr>
        <w:spacing w:line="360" w:lineRule="auto"/>
        <w:ind w:firstLine="567"/>
        <w:jc w:val="both"/>
        <w:rPr>
          <w:rFonts w:ascii="GHEA Grapalat" w:hAnsi="GHEA Grapalat"/>
          <w:sz w:val="22"/>
          <w:szCs w:val="22"/>
          <w:lang w:val="en-US"/>
        </w:rPr>
      </w:pPr>
    </w:p>
    <w:p w:rsidR="001957D9" w:rsidRPr="001F63BA" w:rsidRDefault="001957D9" w:rsidP="00D508BE">
      <w:pPr>
        <w:pStyle w:val="a"/>
      </w:pPr>
      <w:r w:rsidRPr="001F63BA">
        <w:lastRenderedPageBreak/>
        <w:t>Գնաճի նպաստումները խոշոր ապրանքախմբերով, տոկոսային կետ</w:t>
      </w:r>
    </w:p>
    <w:p w:rsidR="001957D9" w:rsidRPr="001F63BA" w:rsidRDefault="001957D9" w:rsidP="001957D9">
      <w:pPr>
        <w:spacing w:after="120"/>
        <w:rPr>
          <w:rFonts w:ascii="GHEA Grapalat" w:hAnsi="GHEA Grapalat" w:cs="Sylfaen"/>
          <w:b/>
          <w:sz w:val="22"/>
          <w:szCs w:val="22"/>
          <w:lang w:eastAsia="x-none"/>
        </w:rPr>
      </w:pPr>
      <w:r w:rsidRPr="001F63BA">
        <w:rPr>
          <w:rFonts w:ascii="GHEA Grapalat" w:hAnsi="GHEA Grapalat" w:cs="Sylfaen"/>
          <w:b/>
          <w:szCs w:val="22"/>
          <w:lang w:val="en-US"/>
        </w:rPr>
        <w:drawing>
          <wp:inline distT="0" distB="0" distL="0" distR="0" wp14:anchorId="3FE30905" wp14:editId="03DDCE2D">
            <wp:extent cx="3181350" cy="2286000"/>
            <wp:effectExtent l="0" t="0" r="0" b="0"/>
            <wp:docPr id="106" name="Chart 1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F63BA">
        <w:rPr>
          <w:rFonts w:ascii="GHEA Grapalat" w:hAnsi="GHEA Grapalat" w:cs="Sylfaen"/>
          <w:b/>
          <w:szCs w:val="22"/>
          <w:lang w:val="en-US"/>
        </w:rPr>
        <w:drawing>
          <wp:inline distT="0" distB="0" distL="0" distR="0" wp14:anchorId="6F3B4127" wp14:editId="4F3F66D5">
            <wp:extent cx="3181350" cy="2286000"/>
            <wp:effectExtent l="0" t="0" r="0" b="0"/>
            <wp:docPr id="105" name="Chart 10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1F63BA">
        <w:rPr>
          <w:rFonts w:ascii="GHEA Grapalat" w:hAnsi="GHEA Grapalat" w:cs="Sylfaen"/>
          <w:b/>
          <w:szCs w:val="22"/>
          <w:lang w:val="en-US"/>
        </w:rPr>
        <w:drawing>
          <wp:inline distT="0" distB="0" distL="0" distR="0" wp14:anchorId="4E58E859" wp14:editId="43D6788C">
            <wp:extent cx="6372225" cy="590550"/>
            <wp:effectExtent l="0" t="0" r="0" b="0"/>
            <wp:docPr id="104" name="Chart 1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957D9" w:rsidRPr="001F63BA" w:rsidRDefault="001957D9" w:rsidP="001957D9">
      <w:pPr>
        <w:spacing w:after="120"/>
        <w:rPr>
          <w:rFonts w:ascii="GHEA Grapalat" w:hAnsi="GHEA Grapalat" w:cs="Sylfaen"/>
          <w:b/>
          <w:i/>
          <w:iCs/>
          <w:sz w:val="22"/>
          <w:szCs w:val="22"/>
          <w:lang w:eastAsia="x-none"/>
        </w:rPr>
      </w:pPr>
      <w:r w:rsidRPr="001F63BA">
        <w:rPr>
          <w:rFonts w:ascii="GHEA Grapalat" w:eastAsia="GHEA Grapalat" w:hAnsi="GHEA Grapalat" w:cs="GHEA Grapalat"/>
          <w:i/>
          <w:iCs/>
          <w:sz w:val="18"/>
          <w:szCs w:val="18"/>
        </w:rPr>
        <w:t>Աղբյուրը՝ ՀՀ ՎԿ և ՀՀ ՖՆ հաշվարկներ</w:t>
      </w:r>
    </w:p>
    <w:p w:rsidR="001C411D" w:rsidRPr="001F63BA" w:rsidRDefault="001C411D" w:rsidP="00952E30">
      <w:pPr>
        <w:spacing w:line="360" w:lineRule="auto"/>
        <w:ind w:firstLine="567"/>
        <w:jc w:val="both"/>
        <w:rPr>
          <w:rFonts w:ascii="GHEA Grapalat" w:hAnsi="GHEA Grapalat"/>
          <w:sz w:val="22"/>
          <w:szCs w:val="22"/>
          <w:lang w:val="en-US"/>
        </w:rPr>
      </w:pPr>
    </w:p>
    <w:p w:rsidR="001C411D" w:rsidRPr="001F63BA" w:rsidRDefault="001C411D" w:rsidP="00952E30">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2022 թվականի ընթացքում, նախ հաշվի առնելով միջազգային պարենային շուկաներում գնաճային զարգացումները, ապա՝ տնտեսությունում պահանջարկի և հատկապես ծառայությունների նկատմամբ արտաքին պահանջարկի բարձր աճը, ՀՀ ԿԲ-ն բարձրացրել է վերաֆինանսավորման տոկոսադրույքն ընդհանուր առմամբ 3.0 տոկոսային կետով՝ սահմանելով այն 10.75%: Այնուամենայնիվ, դրա ազդեցության ներքո ֆինանսական շուկաներում վարկերի և ավանդների տոկոսադրույքներն անհամաչափորեն են ճշգրտվել միջբանկային ռեպո և կարճաժամկետ պետական պարտատոմսերի շուկաների համեմատ, որոնք ավելի զգայուն են եղել դրամավարկային քաղաքականության տոկոսադրույքների նկատմամբ։ Ավելին, ավանդների տոկոսադրույքներն անգամ նվազման միտումներ են ունեցել՝ պայմանավորված դեպի բանկային համակարգ ֆինանսական էական հոսքերով (Գծապատկեր 18)։ </w:t>
      </w:r>
    </w:p>
    <w:p w:rsidR="001C411D" w:rsidRPr="001F63BA" w:rsidRDefault="001C411D" w:rsidP="00952E30">
      <w:pPr>
        <w:spacing w:line="360" w:lineRule="auto"/>
        <w:ind w:firstLine="567"/>
        <w:jc w:val="both"/>
        <w:rPr>
          <w:rFonts w:ascii="GHEA Grapalat" w:hAnsi="GHEA Grapalat"/>
          <w:sz w:val="22"/>
          <w:szCs w:val="22"/>
          <w:lang w:val="en-US"/>
        </w:rPr>
      </w:pPr>
    </w:p>
    <w:p w:rsidR="001C411D" w:rsidRPr="001F63BA" w:rsidRDefault="001C411D" w:rsidP="00D508BE">
      <w:pPr>
        <w:pStyle w:val="a"/>
      </w:pPr>
      <w:r w:rsidRPr="001F63BA">
        <w:lastRenderedPageBreak/>
        <w:t>ՀՀ դրամով տոկոսադրույքների միտումները ՀՀ ֆինանսական շուկաներում, %</w:t>
      </w:r>
    </w:p>
    <w:p w:rsidR="001C411D" w:rsidRPr="001F63BA" w:rsidRDefault="009A358E" w:rsidP="00952E30">
      <w:pPr>
        <w:spacing w:line="360" w:lineRule="auto"/>
        <w:rPr>
          <w:rFonts w:ascii="GHEA Grapalat" w:hAnsi="GHEA Grapalat" w:cs="GHEA Grapalat"/>
          <w:sz w:val="22"/>
          <w:szCs w:val="22"/>
        </w:rPr>
      </w:pPr>
      <w:r w:rsidRPr="001F63BA">
        <w:rPr>
          <w:rFonts w:ascii="GHEA Grapalat" w:hAnsi="GHEA Grapalat" w:cs="GHEA Grapalat"/>
          <w:sz w:val="22"/>
          <w:szCs w:val="22"/>
          <w:lang w:val="en-US"/>
        </w:rPr>
        <w:drawing>
          <wp:inline distT="0" distB="0" distL="0" distR="0" wp14:anchorId="15DB6103" wp14:editId="1C2574E0">
            <wp:extent cx="6334125" cy="2438400"/>
            <wp:effectExtent l="0" t="0" r="0" b="0"/>
            <wp:docPr id="22"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C411D" w:rsidRPr="001F63BA" w:rsidRDefault="001C411D" w:rsidP="00952E30">
      <w:pPr>
        <w:spacing w:after="120" w:line="360" w:lineRule="auto"/>
        <w:rPr>
          <w:rFonts w:ascii="GHEA Grapalat" w:hAnsi="GHEA Grapalat" w:cs="GHEA Grapalat"/>
          <w:i/>
          <w:iCs/>
          <w:sz w:val="22"/>
          <w:szCs w:val="22"/>
        </w:rPr>
      </w:pPr>
      <w:r w:rsidRPr="001F63BA">
        <w:rPr>
          <w:rFonts w:ascii="GHEA Grapalat" w:hAnsi="GHEA Grapalat"/>
          <w:i/>
          <w:iCs/>
          <w:sz w:val="18"/>
          <w:szCs w:val="18"/>
        </w:rPr>
        <w:t>Աղբյուրը՝ ՀՀ ԿԲ</w:t>
      </w:r>
    </w:p>
    <w:p w:rsidR="001C411D" w:rsidRPr="001F63BA" w:rsidRDefault="001C411D" w:rsidP="00952E30">
      <w:pPr>
        <w:spacing w:line="360" w:lineRule="auto"/>
        <w:ind w:firstLine="567"/>
        <w:jc w:val="both"/>
        <w:rPr>
          <w:rFonts w:ascii="GHEA Grapalat" w:hAnsi="GHEA Grapalat"/>
          <w:sz w:val="22"/>
          <w:szCs w:val="22"/>
          <w:lang w:val="en-US"/>
        </w:rPr>
      </w:pPr>
    </w:p>
    <w:p w:rsidR="001C411D" w:rsidRPr="001F63BA" w:rsidRDefault="001C411D" w:rsidP="00A07DCC">
      <w:pPr>
        <w:pStyle w:val="Heading6"/>
        <w:ind w:left="567"/>
        <w:rPr>
          <w:rFonts w:ascii="GHEA Grapalat" w:hAnsi="GHEA Grapalat"/>
          <w:b/>
          <w:sz w:val="22"/>
          <w:szCs w:val="22"/>
          <w:u w:val="none"/>
        </w:rPr>
      </w:pPr>
      <w:r w:rsidRPr="001F63BA">
        <w:rPr>
          <w:rFonts w:ascii="GHEA Grapalat" w:hAnsi="GHEA Grapalat"/>
          <w:b/>
          <w:sz w:val="22"/>
          <w:szCs w:val="22"/>
          <w:u w:val="none"/>
        </w:rPr>
        <w:t>Արտաքին հատված</w:t>
      </w:r>
    </w:p>
    <w:p w:rsidR="001C411D" w:rsidRPr="001F63BA" w:rsidRDefault="001C411D" w:rsidP="00C0433B">
      <w:pPr>
        <w:spacing w:line="360" w:lineRule="auto"/>
        <w:ind w:firstLine="567"/>
        <w:jc w:val="both"/>
        <w:rPr>
          <w:rFonts w:ascii="GHEA Grapalat" w:hAnsi="GHEA Grapalat"/>
          <w:sz w:val="22"/>
          <w:szCs w:val="22"/>
          <w:lang w:val="en-US"/>
        </w:rPr>
      </w:pPr>
      <w:r w:rsidRPr="001F63BA">
        <w:rPr>
          <w:rFonts w:ascii="GHEA Grapalat" w:hAnsi="GHEA Grapalat" w:cs="Sylfaen"/>
          <w:b/>
          <w:i/>
          <w:sz w:val="22"/>
        </w:rPr>
        <w:t>Ընթացիկ հաշիվ:</w:t>
      </w:r>
      <w:r w:rsidRPr="001F63BA">
        <w:rPr>
          <w:rFonts w:ascii="GHEA Grapalat" w:hAnsi="GHEA Grapalat" w:cs="Sylfaen"/>
          <w:b/>
          <w:sz w:val="22"/>
        </w:rPr>
        <w:t xml:space="preserve"> </w:t>
      </w:r>
      <w:r w:rsidRPr="001F63BA">
        <w:rPr>
          <w:rFonts w:ascii="GHEA Grapalat" w:hAnsi="GHEA Grapalat"/>
          <w:sz w:val="22"/>
          <w:szCs w:val="22"/>
          <w:lang w:val="en-US"/>
        </w:rPr>
        <w:t>2022 թվականին ընթացիկ հաշվի պակասուրդը նախորդ տարվա համեմատ բարելավվել է՝ կազմելով ՀՆԱ-ի 0.9%-ը: Ընթացիկ հաշվի բարելավումը հիմնականում պայմանավորված է ծառայությունների արտահանման բարձր աճով, ինչպես նաև արտաքին որոշ շուկաներում (հատկապես՝ ՌԴ-ում) ՀՀ ապրանքների նկատմամբ պահանջարկի ավելացմամբ: Դոլարային արտահայտությամբ ապրանքների և ծառայությունների բացասական հաշվեկշիռը կազմել է ՀՆԱ-ի 2.1%-ը` նախորդ տարվա համեմատ բարելավվելով 5.8 տոկոսային կետով, ինչը հիմնականում պայմանավորված է ծառայությունների հաշվեկշռի՝ ՀՆԱ-ում 5.5 տոկոսային կետով բարելավմամբ: Տնտեսություն ներհոսող դրամական զուտ փոխանցումները 2022 թվականին աճել են մոտ 20%-ով` հիմնականում պայմանավորված ինչպես տրանսֆերտների ներհոսքով, այնպես էլ ռուս-ուկրաինական հակամարտության արդյունքում ՌԴ-ից դեպի ՀՀ փոխանցվող այլ դրամական հոսքերով: Նշված զարգացումների արդյունքում 2022 թվականին նախորդ տարվա համեմատ ՀՆԱ</w:t>
      </w:r>
      <w:r w:rsidRPr="001F63BA">
        <w:rPr>
          <w:rFonts w:ascii="GHEA Grapalat" w:hAnsi="GHEA Grapalat"/>
          <w:sz w:val="22"/>
          <w:szCs w:val="22"/>
          <w:lang w:val="en-US"/>
        </w:rPr>
        <w:noBreakHyphen/>
        <w:t xml:space="preserve">ում ընթացիկ հաշվի պակասուրդը բարելավվել է 2.9 տոկոսային կետով: </w:t>
      </w:r>
    </w:p>
    <w:p w:rsidR="001C411D" w:rsidRPr="001F63BA" w:rsidRDefault="001C411D" w:rsidP="00C727B5">
      <w:pPr>
        <w:spacing w:line="360" w:lineRule="auto"/>
        <w:ind w:firstLine="567"/>
        <w:jc w:val="both"/>
        <w:rPr>
          <w:rFonts w:ascii="GHEA Grapalat" w:hAnsi="GHEA Grapalat"/>
          <w:sz w:val="22"/>
          <w:szCs w:val="22"/>
          <w:lang w:val="en-US"/>
        </w:rPr>
      </w:pPr>
      <w:r w:rsidRPr="001F63BA">
        <w:rPr>
          <w:rFonts w:ascii="GHEA Grapalat" w:hAnsi="GHEA Grapalat"/>
          <w:b/>
          <w:i/>
          <w:sz w:val="22"/>
          <w:szCs w:val="22"/>
          <w:lang w:val="en-US"/>
        </w:rPr>
        <w:t>Արտաքին առևտուր (դոլարային արտահայտությամբ)</w:t>
      </w:r>
      <w:r w:rsidRPr="001F63BA">
        <w:rPr>
          <w:rFonts w:ascii="GHEA Grapalat" w:hAnsi="GHEA Grapalat"/>
          <w:b/>
          <w:i/>
          <w:sz w:val="22"/>
          <w:szCs w:val="22"/>
          <w:vertAlign w:val="superscript"/>
          <w:lang w:val="en-US"/>
        </w:rPr>
        <w:footnoteReference w:id="20"/>
      </w:r>
      <w:r w:rsidRPr="001F63BA">
        <w:rPr>
          <w:rFonts w:ascii="GHEA Grapalat" w:hAnsi="GHEA Grapalat"/>
          <w:b/>
          <w:i/>
          <w:sz w:val="22"/>
          <w:szCs w:val="22"/>
          <w:lang w:val="en-US"/>
        </w:rPr>
        <w:t>:</w:t>
      </w:r>
      <w:r w:rsidRPr="001F63BA">
        <w:rPr>
          <w:rFonts w:ascii="GHEA Grapalat" w:hAnsi="GHEA Grapalat"/>
          <w:sz w:val="22"/>
          <w:szCs w:val="22"/>
          <w:lang w:val="en-US"/>
        </w:rPr>
        <w:t xml:space="preserve"> 2022 թվականի ընթացքում գրանցվել է արտաքին ապրանքաշրջանառության երկնիշ աճ։ Արտաքին ապրանքաշրջանառու-թյունը 2022 թվականին կազմել է 14128.7 մլն ԱՄՆ դոլար` նախորդ տարվա համեմատ աճելով 68.6%-ով: Հաշվետու ժամանակահատվածում արձանագրվել է դոլարային արտահայտությամբ արտահանման և ներմուծման երկնիշ աճ. արտահանումն աճել է 77.7%</w:t>
      </w:r>
      <w:r w:rsidRPr="001F63BA">
        <w:rPr>
          <w:rFonts w:ascii="GHEA Grapalat" w:hAnsi="GHEA Grapalat"/>
          <w:sz w:val="22"/>
          <w:szCs w:val="22"/>
          <w:lang w:val="en-US"/>
        </w:rPr>
        <w:noBreakHyphen/>
        <w:t xml:space="preserve">ով` կազմելով 5360.1 մլն ԱՄՆ դոլար, իսկ </w:t>
      </w:r>
      <w:r w:rsidRPr="001F63BA">
        <w:rPr>
          <w:rFonts w:ascii="GHEA Grapalat" w:hAnsi="GHEA Grapalat"/>
          <w:sz w:val="22"/>
          <w:szCs w:val="22"/>
          <w:lang w:val="en-US"/>
        </w:rPr>
        <w:lastRenderedPageBreak/>
        <w:t>ներմուծումը` 63.5%-ով և կազմել 8768.7 մլն ԱՄՆ դոլար: 2022 թվականին ապրանքների գծով արտաքին առևտրի բացասական մնացորդը նախորդ տարվա նկատմամբ խորացել է (45.3%-ով) և կազմել 3408.6 մլն ԱՄՆ դոլար:</w:t>
      </w:r>
    </w:p>
    <w:p w:rsidR="001C411D" w:rsidRPr="001F63BA" w:rsidRDefault="001C411D" w:rsidP="005B6789">
      <w:pPr>
        <w:spacing w:line="360" w:lineRule="auto"/>
        <w:ind w:firstLine="567"/>
        <w:jc w:val="both"/>
        <w:rPr>
          <w:rFonts w:ascii="GHEA Grapalat" w:hAnsi="GHEA Grapalat"/>
          <w:sz w:val="22"/>
          <w:szCs w:val="22"/>
          <w:lang w:val="en-US"/>
        </w:rPr>
      </w:pPr>
    </w:p>
    <w:tbl>
      <w:tblPr>
        <w:tblStyle w:val="TableGrid14212"/>
        <w:tblW w:w="10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26"/>
      </w:tblGrid>
      <w:tr w:rsidR="001F63BA" w:rsidRPr="001F63BA" w:rsidTr="008333FB">
        <w:trPr>
          <w:trHeight w:val="6328"/>
        </w:trPr>
        <w:tc>
          <w:tcPr>
            <w:tcW w:w="5387" w:type="dxa"/>
          </w:tcPr>
          <w:p w:rsidR="005A15B4" w:rsidRPr="001F63BA" w:rsidRDefault="005A15B4" w:rsidP="008333FB">
            <w:pPr>
              <w:keepNext/>
              <w:spacing w:after="320" w:line="240" w:lineRule="auto"/>
              <w:rPr>
                <w:rFonts w:ascii="GHEA Grapalat" w:eastAsia="GHEA Grapalat" w:hAnsi="GHEA Grapalat" w:cs="GHEA Grapalat"/>
                <w:b/>
                <w:bCs/>
                <w:iCs/>
                <w:sz w:val="22"/>
                <w:szCs w:val="22"/>
              </w:rPr>
            </w:pPr>
            <w:r w:rsidRPr="001F63BA">
              <w:rPr>
                <w:rFonts w:ascii="GHEA Grapalat" w:eastAsia="GHEA Grapalat" w:hAnsi="GHEA Grapalat" w:cs="GHEA Grapalat"/>
                <w:b/>
                <w:i/>
                <w:sz w:val="22"/>
                <w:szCs w:val="22"/>
              </w:rPr>
              <w:t xml:space="preserve">Գծապատկեր 19. </w:t>
            </w:r>
            <w:r w:rsidRPr="001F63BA">
              <w:rPr>
                <w:rFonts w:ascii="GHEA Grapalat" w:eastAsia="GHEA Grapalat" w:hAnsi="GHEA Grapalat" w:cs="GHEA Grapalat"/>
                <w:iCs/>
                <w:sz w:val="22"/>
                <w:szCs w:val="22"/>
              </w:rPr>
              <w:t>Ընթացիկ հաշվի և դրա բաղադրատարրերի դինամիկան, % ՀՆԱ-ում</w:t>
            </w:r>
          </w:p>
          <w:p w:rsidR="005A15B4" w:rsidRPr="001F63BA" w:rsidRDefault="005A15B4" w:rsidP="008333FB">
            <w:pPr>
              <w:keepNext/>
              <w:spacing w:line="240" w:lineRule="auto"/>
              <w:rPr>
                <w:rFonts w:ascii="GHEA Grapalat" w:eastAsia="GHEA Grapalat" w:hAnsi="GHEA Grapalat" w:cs="GHEA Grapalat"/>
                <w:b/>
                <w:i/>
              </w:rPr>
            </w:pPr>
            <w:r w:rsidRPr="001F63BA">
              <w:rPr>
                <w:rFonts w:ascii="GHEA Grapalat" w:hAnsi="GHEA Grapalat"/>
                <w:lang w:val="en-US"/>
              </w:rPr>
              <w:drawing>
                <wp:inline distT="0" distB="0" distL="0" distR="0" wp14:anchorId="64018579" wp14:editId="296A5377">
                  <wp:extent cx="3168000" cy="2149961"/>
                  <wp:effectExtent l="0" t="0" r="13970" b="3175"/>
                  <wp:docPr id="13"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1F63BA">
              <w:rPr>
                <w:rFonts w:ascii="GHEA Grapalat" w:eastAsia="GHEA Grapalat" w:hAnsi="GHEA Grapalat" w:cs="GHEA Grapalat"/>
                <w:i/>
                <w:sz w:val="18"/>
                <w:szCs w:val="18"/>
              </w:rPr>
              <w:t>Աղբյուրը՝ ՀՀ ՎԿ, ՀՀ ՖՆ հաշվարկներ</w:t>
            </w:r>
          </w:p>
          <w:p w:rsidR="005A15B4" w:rsidRPr="001F63BA" w:rsidRDefault="005A15B4" w:rsidP="008333FB">
            <w:pPr>
              <w:keepNext/>
              <w:spacing w:after="240" w:line="240" w:lineRule="auto"/>
              <w:rPr>
                <w:rFonts w:ascii="GHEA Grapalat" w:eastAsia="GHEA Grapalat" w:hAnsi="GHEA Grapalat" w:cs="GHEA Grapalat"/>
                <w:bCs/>
                <w:i/>
                <w:sz w:val="22"/>
                <w:szCs w:val="22"/>
              </w:rPr>
            </w:pPr>
            <w:r w:rsidRPr="001F63BA">
              <w:rPr>
                <w:rFonts w:ascii="GHEA Grapalat" w:eastAsia="GHEA Grapalat" w:hAnsi="GHEA Grapalat" w:cs="GHEA Grapalat"/>
                <w:b/>
                <w:i/>
                <w:sz w:val="22"/>
                <w:szCs w:val="22"/>
              </w:rPr>
              <w:t xml:space="preserve">Գծապատկեր 21. </w:t>
            </w:r>
            <w:r w:rsidRPr="001F63BA">
              <w:rPr>
                <w:rFonts w:ascii="GHEA Grapalat" w:eastAsia="GHEA Grapalat" w:hAnsi="GHEA Grapalat" w:cs="GHEA Grapalat"/>
                <w:bCs/>
                <w:sz w:val="22"/>
                <w:szCs w:val="22"/>
              </w:rPr>
              <w:t>Ծառայությունների արտահանում, ներմուծում և հաշվեկշիռ դինամիկան, մլն ԱՄՆ դոլար</w:t>
            </w:r>
          </w:p>
          <w:p w:rsidR="005A15B4" w:rsidRPr="001F63BA" w:rsidRDefault="005A15B4" w:rsidP="008333FB">
            <w:pPr>
              <w:keepNext/>
              <w:spacing w:after="0" w:line="240" w:lineRule="auto"/>
              <w:rPr>
                <w:rFonts w:ascii="GHEA Grapalat" w:eastAsia="GHEA Grapalat" w:hAnsi="GHEA Grapalat" w:cs="GHEA Grapalat"/>
                <w:b/>
                <w:i/>
                <w:sz w:val="20"/>
                <w:szCs w:val="20"/>
              </w:rPr>
            </w:pPr>
            <w:r w:rsidRPr="001F63BA">
              <w:rPr>
                <w:rFonts w:ascii="GHEA Grapalat" w:hAnsi="GHEA Grapalat"/>
                <w:lang w:val="en-US"/>
              </w:rPr>
              <w:drawing>
                <wp:inline distT="0" distB="0" distL="0" distR="0" wp14:anchorId="6F10D445" wp14:editId="73AC4550">
                  <wp:extent cx="3167380" cy="2121485"/>
                  <wp:effectExtent l="0" t="0" r="13970" b="12700"/>
                  <wp:docPr id="119" name="Chart 1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A15B4" w:rsidRPr="001F63BA" w:rsidRDefault="005A15B4" w:rsidP="008333FB">
            <w:pPr>
              <w:keepNext/>
              <w:spacing w:after="0" w:line="336" w:lineRule="auto"/>
              <w:rPr>
                <w:rFonts w:ascii="GHEA Grapalat" w:eastAsia="GHEA Grapalat" w:hAnsi="GHEA Grapalat" w:cs="GHEA Grapalat"/>
                <w:b/>
                <w:i/>
              </w:rPr>
            </w:pPr>
            <w:r w:rsidRPr="001F63BA">
              <w:rPr>
                <w:rFonts w:ascii="GHEA Grapalat" w:eastAsia="GHEA Grapalat" w:hAnsi="GHEA Grapalat" w:cs="GHEA Grapalat"/>
                <w:i/>
                <w:sz w:val="18"/>
                <w:szCs w:val="18"/>
              </w:rPr>
              <w:t>Աղբյուրը՝ ՀՀ ՎԿ, ՀՀ ՖՆ հաշվարկներ</w:t>
            </w:r>
          </w:p>
        </w:tc>
        <w:tc>
          <w:tcPr>
            <w:tcW w:w="5226" w:type="dxa"/>
          </w:tcPr>
          <w:p w:rsidR="005A15B4" w:rsidRPr="001F63BA" w:rsidRDefault="005A15B4" w:rsidP="008333FB">
            <w:pPr>
              <w:keepNext/>
              <w:spacing w:after="240" w:line="240" w:lineRule="auto"/>
              <w:rPr>
                <w:rFonts w:ascii="GHEA Grapalat" w:eastAsia="GHEA Grapalat" w:hAnsi="GHEA Grapalat" w:cs="GHEA Grapalat"/>
                <w:i/>
                <w:sz w:val="16"/>
                <w:szCs w:val="16"/>
              </w:rPr>
            </w:pPr>
            <w:r w:rsidRPr="001F63BA">
              <w:rPr>
                <w:rFonts w:ascii="GHEA Grapalat" w:eastAsia="GHEA Grapalat" w:hAnsi="GHEA Grapalat" w:cs="GHEA Grapalat"/>
                <w:b/>
                <w:i/>
                <w:sz w:val="22"/>
                <w:szCs w:val="22"/>
              </w:rPr>
              <w:t>Գծապատկեր 20.</w:t>
            </w:r>
            <w:r w:rsidRPr="001F63BA">
              <w:rPr>
                <w:rFonts w:ascii="GHEA Grapalat" w:eastAsia="GHEA Grapalat" w:hAnsi="GHEA Grapalat" w:cs="GHEA Grapalat"/>
                <w:b/>
                <w:sz w:val="22"/>
                <w:szCs w:val="22"/>
              </w:rPr>
              <w:t xml:space="preserve"> </w:t>
            </w:r>
            <w:r w:rsidRPr="001F63BA">
              <w:rPr>
                <w:rFonts w:ascii="GHEA Grapalat" w:eastAsia="GHEA Grapalat" w:hAnsi="GHEA Grapalat" w:cs="GHEA Grapalat"/>
                <w:bCs/>
                <w:sz w:val="22"/>
                <w:szCs w:val="22"/>
              </w:rPr>
              <w:t>Ապրանքների արտահանման, ներմուծման և առևտրային հաշվի դինամիկան, մլն ԱՄՆ դոլար</w:t>
            </w:r>
            <w:r w:rsidRPr="001F63BA">
              <w:rPr>
                <w:rFonts w:ascii="GHEA Grapalat" w:hAnsi="GHEA Grapalat"/>
                <w:lang w:val="en-US"/>
              </w:rPr>
              <w:drawing>
                <wp:inline distT="0" distB="0" distL="0" distR="0" wp14:anchorId="32EBFDC8" wp14:editId="2273B4E7">
                  <wp:extent cx="3167380" cy="2158353"/>
                  <wp:effectExtent l="0" t="0" r="13970" b="13970"/>
                  <wp:docPr id="120" name="Chart 1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1F63BA">
              <w:rPr>
                <w:rFonts w:ascii="GHEA Grapalat" w:eastAsia="GHEA Grapalat" w:hAnsi="GHEA Grapalat" w:cs="GHEA Grapalat"/>
                <w:i/>
                <w:sz w:val="18"/>
                <w:szCs w:val="18"/>
              </w:rPr>
              <w:t>Աղբյուրը՝ ՀՀ ՎԿ, ՀՀ ՖՆ հաշվարկներ</w:t>
            </w:r>
          </w:p>
          <w:p w:rsidR="005A15B4" w:rsidRPr="001F63BA" w:rsidRDefault="005A15B4" w:rsidP="008333FB">
            <w:pPr>
              <w:keepNext/>
              <w:spacing w:line="240" w:lineRule="auto"/>
              <w:rPr>
                <w:rFonts w:ascii="GHEA Grapalat" w:eastAsia="GHEA Grapalat" w:hAnsi="GHEA Grapalat" w:cs="GHEA Grapalat"/>
                <w:bCs/>
                <w:i/>
                <w:sz w:val="22"/>
                <w:szCs w:val="22"/>
              </w:rPr>
            </w:pPr>
            <w:r w:rsidRPr="001F63BA">
              <w:rPr>
                <w:rFonts w:ascii="GHEA Grapalat" w:eastAsia="GHEA Grapalat" w:hAnsi="GHEA Grapalat" w:cs="GHEA Grapalat"/>
                <w:b/>
                <w:i/>
                <w:sz w:val="22"/>
                <w:szCs w:val="22"/>
              </w:rPr>
              <w:t xml:space="preserve">Գծապատկեր 22. </w:t>
            </w:r>
            <w:r w:rsidRPr="001F63BA">
              <w:rPr>
                <w:rFonts w:ascii="GHEA Grapalat" w:eastAsia="GHEA Grapalat" w:hAnsi="GHEA Grapalat" w:cs="GHEA Grapalat"/>
                <w:bCs/>
                <w:sz w:val="22"/>
                <w:szCs w:val="22"/>
              </w:rPr>
              <w:t>Զուտ դրամական փոխանցումների դինամիկան, մլն ԱՄՆ դոլար</w:t>
            </w:r>
          </w:p>
          <w:p w:rsidR="005A15B4" w:rsidRPr="001F63BA" w:rsidRDefault="005A15B4" w:rsidP="008333FB">
            <w:pPr>
              <w:keepNext/>
              <w:spacing w:after="0" w:line="240" w:lineRule="auto"/>
              <w:rPr>
                <w:rFonts w:ascii="GHEA Grapalat" w:eastAsia="GHEA Grapalat" w:hAnsi="GHEA Grapalat" w:cs="GHEA Grapalat"/>
                <w:b/>
                <w:i/>
              </w:rPr>
            </w:pPr>
          </w:p>
          <w:p w:rsidR="005A15B4" w:rsidRPr="001F63BA" w:rsidRDefault="005A15B4" w:rsidP="008333FB">
            <w:pPr>
              <w:keepNext/>
              <w:spacing w:after="0" w:line="336" w:lineRule="auto"/>
              <w:rPr>
                <w:rFonts w:ascii="GHEA Grapalat" w:eastAsia="GHEA Grapalat" w:hAnsi="GHEA Grapalat" w:cs="GHEA Grapalat"/>
                <w:b/>
                <w:i/>
                <w:sz w:val="20"/>
                <w:szCs w:val="20"/>
              </w:rPr>
            </w:pPr>
            <w:r w:rsidRPr="001F63BA">
              <w:rPr>
                <w:rFonts w:ascii="GHEA Grapalat" w:eastAsia="GHEA Grapalat" w:hAnsi="GHEA Grapalat" w:cs="GHEA Grapalat"/>
                <w:i/>
                <w:sz w:val="20"/>
                <w:szCs w:val="20"/>
                <w:lang w:val="en-US"/>
              </w:rPr>
              <w:drawing>
                <wp:inline distT="0" distB="0" distL="0" distR="0" wp14:anchorId="4BEFD430" wp14:editId="4AAC2036">
                  <wp:extent cx="3167380" cy="2086253"/>
                  <wp:effectExtent l="0" t="0" r="13970" b="9525"/>
                  <wp:docPr id="121" name="Chart 1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A15B4" w:rsidRPr="001F63BA" w:rsidRDefault="005A15B4" w:rsidP="008333FB">
            <w:pPr>
              <w:keepNext/>
              <w:spacing w:after="0" w:line="336" w:lineRule="auto"/>
              <w:rPr>
                <w:rFonts w:ascii="GHEA Grapalat" w:eastAsia="GHEA Grapalat" w:hAnsi="GHEA Grapalat" w:cs="GHEA Grapalat"/>
                <w:i/>
                <w:sz w:val="16"/>
                <w:szCs w:val="16"/>
              </w:rPr>
            </w:pPr>
            <w:r w:rsidRPr="001F63BA">
              <w:rPr>
                <w:rFonts w:ascii="GHEA Grapalat" w:eastAsia="GHEA Grapalat" w:hAnsi="GHEA Grapalat" w:cs="GHEA Grapalat"/>
                <w:i/>
                <w:sz w:val="18"/>
                <w:szCs w:val="18"/>
              </w:rPr>
              <w:t>Աղբյուրը՝ ՀՀ ՎԿ, ՀՀ ՖՆ հաշվարկներ</w:t>
            </w:r>
          </w:p>
        </w:tc>
      </w:tr>
    </w:tbl>
    <w:p w:rsidR="00C53268" w:rsidRPr="001F63BA" w:rsidRDefault="00C53268" w:rsidP="005B6789">
      <w:pPr>
        <w:spacing w:line="360" w:lineRule="auto"/>
        <w:ind w:firstLine="567"/>
        <w:jc w:val="both"/>
        <w:rPr>
          <w:rFonts w:ascii="GHEA Grapalat" w:hAnsi="GHEA Grapalat"/>
          <w:sz w:val="22"/>
          <w:szCs w:val="22"/>
          <w:lang w:val="en-US"/>
        </w:rPr>
      </w:pPr>
    </w:p>
    <w:p w:rsidR="001C411D" w:rsidRPr="001F63BA" w:rsidRDefault="001C411D" w:rsidP="005B6789">
      <w:pPr>
        <w:spacing w:line="360" w:lineRule="auto"/>
        <w:ind w:firstLine="567"/>
        <w:jc w:val="both"/>
        <w:rPr>
          <w:rFonts w:ascii="GHEA Grapalat" w:hAnsi="GHEA Grapalat"/>
          <w:sz w:val="22"/>
          <w:szCs w:val="22"/>
          <w:lang w:val="en-US"/>
        </w:rPr>
      </w:pPr>
      <w:r w:rsidRPr="001F63BA">
        <w:rPr>
          <w:rFonts w:ascii="GHEA Grapalat" w:hAnsi="GHEA Grapalat" w:cs="GHEA Grapalat"/>
          <w:b/>
          <w:i/>
          <w:sz w:val="22"/>
          <w:szCs w:val="22"/>
        </w:rPr>
        <w:t>Արտահանում:</w:t>
      </w:r>
      <w:r w:rsidRPr="001F63BA">
        <w:rPr>
          <w:rFonts w:ascii="GHEA Grapalat" w:hAnsi="GHEA Grapalat" w:cs="GHEA Grapalat"/>
          <w:sz w:val="22"/>
          <w:szCs w:val="22"/>
        </w:rPr>
        <w:t xml:space="preserve"> </w:t>
      </w:r>
      <w:r w:rsidRPr="001F63BA">
        <w:rPr>
          <w:rFonts w:ascii="GHEA Grapalat" w:hAnsi="GHEA Grapalat"/>
          <w:sz w:val="22"/>
          <w:szCs w:val="22"/>
          <w:lang w:val="en-US"/>
        </w:rPr>
        <w:t xml:space="preserve">2022 թվականին ապրանքների արտահանումն աճել է 77.7%-ով՝ պայմանավորված արտաքին որոշ շուկաներում (հատկապես՝ ՌԴ-ում) ՀՀ ապրանքների նկատմամբ պահանջարկի աճով, ինչպես նաև արտահանման ներուժի ավելացմամբ։ Ռուս-ուկրաինական հակամարտության և ՌԴ-ի նկատմամբ կիրառվող աննախադեպ պատժամիջոցների հետևանքով առաջացած՝ ՌԴ տնտեսական անկման, ռուբլու նկատմամբ դրամի արժևորման, մատակարարման </w:t>
      </w:r>
      <w:r w:rsidRPr="001F63BA">
        <w:rPr>
          <w:rFonts w:ascii="GHEA Grapalat" w:hAnsi="GHEA Grapalat"/>
          <w:sz w:val="22"/>
          <w:szCs w:val="22"/>
          <w:lang w:val="en-US"/>
        </w:rPr>
        <w:lastRenderedPageBreak/>
        <w:t>շղթաների որոշակի խաթարման, ինչպես նաև Թեղուտի հանքավայրի շահագործման ժամանակավոր կասեցման արդյունքում 2022 թվականի մարտ ամսին արձանագրվեց արտահանման աճի տեմպերի զգալի դանդաղում: Սակայն 2022 թվականի ապրիլ ամսից սկսած արտահանման աճը նորից արագացավ, ավելին՝ ապրիլ-դեկտեմբեր ամիսներին այն աճել է շուրջ 1.9 անգամ:</w:t>
      </w:r>
    </w:p>
    <w:p w:rsidR="001C411D" w:rsidRPr="001F63BA" w:rsidRDefault="001C411D" w:rsidP="005B6789">
      <w:pPr>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Արտահանման երկնիշ աճը (77.7%) հիմնականում պայմանավորվել է իրական ծավալների շուրջ 60% աճով: Աճին բոլոր ապրանքախմբերը դրական նպաստում են ունեցել. մասնավորապես դրական են նպաստել «Թանկարժեք և կիսաթանկարժեք քարեր, թանկարժեք մետաղներ և դրանցից իրեր» (22 տոկոսային կետով), «Մեքենաներ և սարքավորումներ» (21.2 տոկոսային կետով), «Վերգետնյա, օդային և ջրային տրանսպորտի միջոցներ» (9.4 տոկոսային կետով), ), «Պատրաստի սննդի արտադրանք» (8.4 տոկոսային կետով) «Հանքահումքային արտադրանք» ապրանքախմբերը</w:t>
      </w:r>
      <w:r w:rsidRPr="001F63BA">
        <w:rPr>
          <w:rFonts w:ascii="GHEA Grapalat" w:hAnsi="GHEA Grapalat"/>
          <w:sz w:val="22"/>
          <w:szCs w:val="22"/>
          <w:vertAlign w:val="superscript"/>
          <w:lang w:val="en-US"/>
        </w:rPr>
        <w:footnoteReference w:id="21"/>
      </w:r>
      <w:r w:rsidRPr="001F63BA">
        <w:rPr>
          <w:rFonts w:ascii="GHEA Grapalat" w:hAnsi="GHEA Grapalat"/>
          <w:sz w:val="22"/>
          <w:szCs w:val="22"/>
          <w:lang w:val="en-US"/>
        </w:rPr>
        <w:t>։</w:t>
      </w:r>
    </w:p>
    <w:p w:rsidR="001C411D" w:rsidRPr="001F63BA" w:rsidRDefault="001C411D" w:rsidP="005B6789">
      <w:pPr>
        <w:spacing w:line="360" w:lineRule="auto"/>
        <w:ind w:firstLine="567"/>
        <w:jc w:val="both"/>
        <w:rPr>
          <w:rFonts w:ascii="GHEA Grapalat" w:hAnsi="GHEA Grapalat"/>
          <w:sz w:val="22"/>
          <w:szCs w:val="22"/>
          <w:lang w:val="en-US"/>
        </w:rPr>
      </w:pPr>
    </w:p>
    <w:p w:rsidR="001C411D" w:rsidRPr="001F63BA" w:rsidRDefault="001C411D" w:rsidP="00D508BE">
      <w:pPr>
        <w:pStyle w:val="a"/>
        <w:numPr>
          <w:ilvl w:val="0"/>
          <w:numId w:val="37"/>
        </w:numPr>
      </w:pPr>
      <w:r w:rsidRPr="001F63BA">
        <w:t>Ապրանքների արտահանման ամսական միտումները 2022 թվականին</w:t>
      </w:r>
    </w:p>
    <w:p w:rsidR="001C411D" w:rsidRPr="001F63BA" w:rsidRDefault="009A358E" w:rsidP="0088013D">
      <w:pPr>
        <w:keepNext/>
        <w:spacing w:after="120" w:line="276" w:lineRule="auto"/>
        <w:jc w:val="both"/>
        <w:rPr>
          <w:lang w:val="en-US"/>
        </w:rPr>
      </w:pPr>
      <w:r w:rsidRPr="001F63BA">
        <w:rPr>
          <w:rFonts w:ascii="GHEA Grapalat" w:hAnsi="GHEA Grapalat"/>
          <w:sz w:val="22"/>
          <w:szCs w:val="22"/>
          <w:lang w:val="en-US"/>
        </w:rPr>
        <w:drawing>
          <wp:inline distT="0" distB="0" distL="0" distR="0" wp14:anchorId="485C8B3D" wp14:editId="215671E9">
            <wp:extent cx="3152775" cy="2219325"/>
            <wp:effectExtent l="0" t="0" r="0" b="0"/>
            <wp:docPr id="27"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1C411D" w:rsidRPr="001F63BA">
        <w:rPr>
          <w:rFonts w:ascii="GHEA Grapalat" w:hAnsi="GHEA Grapalat" w:cs="GHEA Grapalat"/>
          <w:i/>
          <w:sz w:val="18"/>
          <w:szCs w:val="18"/>
        </w:rPr>
        <w:t xml:space="preserve"> </w:t>
      </w:r>
      <w:r w:rsidRPr="001F63BA">
        <w:rPr>
          <w:rFonts w:ascii="GHEA Grapalat" w:hAnsi="GHEA Grapalat"/>
          <w:i/>
          <w:sz w:val="22"/>
          <w:szCs w:val="22"/>
          <w:lang w:val="en-US"/>
        </w:rPr>
        <w:drawing>
          <wp:inline distT="0" distB="0" distL="0" distR="0" wp14:anchorId="0C5CCDD1" wp14:editId="5F507A0E">
            <wp:extent cx="3019425" cy="2238375"/>
            <wp:effectExtent l="0" t="0" r="9525" b="9525"/>
            <wp:docPr id="28" name="Objec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C411D" w:rsidRPr="001F63BA" w:rsidRDefault="001C411D" w:rsidP="00952E30">
      <w:pPr>
        <w:keepNext/>
        <w:spacing w:after="120" w:line="276" w:lineRule="auto"/>
        <w:rPr>
          <w:rFonts w:ascii="GHEA Grapalat" w:hAnsi="GHEA Grapalat" w:cs="GHEA Grapalat"/>
          <w:b/>
          <w:i/>
          <w:sz w:val="22"/>
          <w:szCs w:val="22"/>
        </w:rPr>
      </w:pPr>
      <w:r w:rsidRPr="001F63BA">
        <w:rPr>
          <w:rFonts w:ascii="GHEA Grapalat" w:hAnsi="GHEA Grapalat" w:cs="GHEA Grapalat"/>
          <w:i/>
          <w:sz w:val="18"/>
          <w:szCs w:val="18"/>
        </w:rPr>
        <w:t>Աղբյուրը՝ ՀՀ ՎԿ և ՀՀ ՖՆ հաշվարկներ</w:t>
      </w:r>
    </w:p>
    <w:p w:rsidR="001C411D" w:rsidRPr="001F63BA" w:rsidRDefault="001C411D" w:rsidP="00952E30">
      <w:pPr>
        <w:spacing w:line="360" w:lineRule="auto"/>
        <w:ind w:firstLine="540"/>
        <w:jc w:val="both"/>
        <w:rPr>
          <w:rFonts w:ascii="GHEA Grapalat" w:hAnsi="GHEA Grapalat"/>
          <w:sz w:val="22"/>
          <w:szCs w:val="22"/>
          <w:lang w:val="en-US"/>
        </w:rPr>
      </w:pPr>
    </w:p>
    <w:p w:rsidR="001C411D" w:rsidRPr="001F63BA" w:rsidRDefault="001C411D" w:rsidP="00952E30">
      <w:pPr>
        <w:spacing w:line="360" w:lineRule="auto"/>
        <w:ind w:firstLine="540"/>
        <w:jc w:val="both"/>
        <w:rPr>
          <w:rFonts w:ascii="GHEA Grapalat" w:hAnsi="GHEA Grapalat"/>
          <w:sz w:val="22"/>
          <w:szCs w:val="22"/>
          <w:lang w:val="en-US"/>
        </w:rPr>
      </w:pPr>
      <w:r w:rsidRPr="001F63BA">
        <w:rPr>
          <w:rFonts w:ascii="GHEA Grapalat" w:hAnsi="GHEA Grapalat" w:cs="GHEA Grapalat"/>
          <w:b/>
          <w:i/>
          <w:sz w:val="22"/>
          <w:szCs w:val="22"/>
        </w:rPr>
        <w:t>Ներմուծում:</w:t>
      </w:r>
      <w:r w:rsidRPr="001F63BA">
        <w:rPr>
          <w:rFonts w:ascii="GHEA Grapalat" w:hAnsi="GHEA Grapalat" w:cs="GHEA Grapalat"/>
          <w:b/>
          <w:sz w:val="22"/>
          <w:szCs w:val="22"/>
        </w:rPr>
        <w:t xml:space="preserve"> </w:t>
      </w:r>
      <w:r w:rsidRPr="001F63BA">
        <w:rPr>
          <w:rFonts w:ascii="GHEA Grapalat" w:hAnsi="GHEA Grapalat"/>
          <w:sz w:val="22"/>
          <w:szCs w:val="22"/>
          <w:lang w:val="en-US"/>
        </w:rPr>
        <w:t>2022 թվականին արձանագրվել է ներմուծման բարձր երկնիշ աճ՝ պայմանավորված բարձր տնտեսական ակտիվության, պահանջարկի բարձր աճի և արտահանման հնարավորությունների մեծացման պայմաններում ներմուծվող ապրանքների բարձր պահանջարկով: 2022 թվականին դոլարային արտահայտությամբ ապրանքների ներմուծման աճը կազմել է 63.5%: Ընդ որում՝ գրանցվել է և՛ իրական ծավալների, և՛ ներմուծվող ապրանքների գների աճ:</w:t>
      </w:r>
    </w:p>
    <w:p w:rsidR="001C411D" w:rsidRPr="001F63BA" w:rsidRDefault="001C411D" w:rsidP="00D508BE">
      <w:pPr>
        <w:pStyle w:val="a"/>
      </w:pPr>
      <w:r w:rsidRPr="001F63BA">
        <w:lastRenderedPageBreak/>
        <w:t>Ապրանքների ներմուծման ամսական միտումները 2022 թվականին</w:t>
      </w:r>
    </w:p>
    <w:p w:rsidR="001C411D" w:rsidRPr="001F63BA" w:rsidRDefault="009A358E" w:rsidP="00952E30">
      <w:pPr>
        <w:spacing w:before="120" w:line="360" w:lineRule="auto"/>
        <w:jc w:val="both"/>
        <w:rPr>
          <w:rFonts w:ascii="GHEA Grapalat" w:hAnsi="GHEA Grapalat" w:cs="GHEA Grapalat"/>
          <w:sz w:val="22"/>
          <w:szCs w:val="22"/>
        </w:rPr>
      </w:pPr>
      <w:r w:rsidRPr="001F63BA">
        <w:rPr>
          <w:rFonts w:ascii="GHEA Grapalat" w:hAnsi="GHEA Grapalat"/>
          <w:sz w:val="22"/>
          <w:szCs w:val="22"/>
          <w:lang w:val="en-US"/>
        </w:rPr>
        <w:drawing>
          <wp:inline distT="0" distB="0" distL="0" distR="0" wp14:anchorId="2D674E98" wp14:editId="6F3ED915">
            <wp:extent cx="3181350" cy="2438400"/>
            <wp:effectExtent l="0" t="0" r="0" b="0"/>
            <wp:docPr id="29"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1C411D" w:rsidRPr="001F63BA">
        <w:rPr>
          <w:rFonts w:ascii="GHEA Grapalat" w:hAnsi="GHEA Grapalat" w:cs="GHEA Grapalat"/>
          <w:sz w:val="22"/>
          <w:szCs w:val="22"/>
        </w:rPr>
        <w:t xml:space="preserve"> </w:t>
      </w:r>
      <w:r w:rsidRPr="001F63BA">
        <w:rPr>
          <w:rFonts w:ascii="GHEA Grapalat" w:hAnsi="GHEA Grapalat"/>
          <w:i/>
          <w:sz w:val="22"/>
          <w:szCs w:val="22"/>
          <w:lang w:val="en-US"/>
        </w:rPr>
        <w:drawing>
          <wp:inline distT="0" distB="0" distL="0" distR="0" wp14:anchorId="591AFFDA" wp14:editId="7BD62688">
            <wp:extent cx="3181350" cy="2438400"/>
            <wp:effectExtent l="0" t="0" r="0" b="0"/>
            <wp:docPr id="3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C411D" w:rsidRPr="001F63BA" w:rsidRDefault="001C411D" w:rsidP="00952E30">
      <w:pPr>
        <w:keepNext/>
        <w:spacing w:after="120" w:line="276" w:lineRule="auto"/>
        <w:rPr>
          <w:rFonts w:ascii="GHEA Grapalat" w:hAnsi="GHEA Grapalat" w:cs="GHEA Grapalat"/>
          <w:b/>
          <w:i/>
          <w:sz w:val="22"/>
          <w:szCs w:val="22"/>
        </w:rPr>
      </w:pPr>
      <w:r w:rsidRPr="001F63BA">
        <w:rPr>
          <w:rFonts w:ascii="GHEA Grapalat" w:hAnsi="GHEA Grapalat" w:cs="GHEA Grapalat"/>
          <w:i/>
          <w:sz w:val="18"/>
          <w:szCs w:val="18"/>
        </w:rPr>
        <w:t>Աղբյուրը՝ ՀՀ ՎԿ և ՀՀ ՖՆ հաշվարկներ</w:t>
      </w:r>
    </w:p>
    <w:p w:rsidR="001C411D" w:rsidRPr="001F63BA" w:rsidRDefault="001C411D" w:rsidP="00952E30">
      <w:pPr>
        <w:spacing w:line="360" w:lineRule="auto"/>
        <w:ind w:firstLine="567"/>
        <w:jc w:val="both"/>
        <w:rPr>
          <w:rFonts w:ascii="GHEA Grapalat" w:hAnsi="GHEA Grapalat" w:cs="GHEA Grapalat"/>
          <w:sz w:val="22"/>
          <w:szCs w:val="22"/>
          <w:lang w:val="en-US"/>
        </w:rPr>
      </w:pPr>
    </w:p>
    <w:p w:rsidR="001C411D" w:rsidRPr="001F63BA" w:rsidRDefault="001C411D" w:rsidP="00F77A76">
      <w:pPr>
        <w:spacing w:line="360" w:lineRule="auto"/>
        <w:ind w:firstLine="540"/>
        <w:jc w:val="both"/>
        <w:rPr>
          <w:rFonts w:ascii="GHEA Grapalat" w:hAnsi="GHEA Grapalat"/>
          <w:sz w:val="22"/>
          <w:szCs w:val="22"/>
          <w:lang w:val="en-US"/>
        </w:rPr>
      </w:pPr>
      <w:r w:rsidRPr="001F63BA">
        <w:rPr>
          <w:rFonts w:ascii="GHEA Grapalat" w:hAnsi="GHEA Grapalat"/>
          <w:sz w:val="22"/>
          <w:szCs w:val="22"/>
          <w:lang w:val="en-US"/>
        </w:rPr>
        <w:t>2022 թվականին բոլոր ապրանքախմբերով տեղի է ունեցել ներմուծման՝ դոլարային արտահայտությամբ ծավալների աճ: Աճին ամենամեծ նպաստումն են ունեցել «Մեքենաներ, սարքավորումներ և մեխանիզմներ» (15.3 տոկոսային կետ), «Վերգետնյա, օդային և ջրային տրանսպորտի միջոցներ» (12.3 տոկոսային կետ), «Թանկարժեք և կիսաթանկարժեք քարեր, թանկարժեք մետաղներ և դրանցից իրեր» (8.2 տոկոսային կետ), «Հանքահումքային արտադրանք» (4.8 տոկոսային կետ), «Ոչ թանկարժեք մետաղներ և դրանցից պատրաստված իրեր» (4.3 տոկոսային կետ) ապրանքախմբերը</w:t>
      </w:r>
      <w:r w:rsidRPr="001F63BA">
        <w:rPr>
          <w:rFonts w:ascii="GHEA Grapalat" w:hAnsi="GHEA Grapalat"/>
          <w:sz w:val="22"/>
          <w:szCs w:val="22"/>
          <w:vertAlign w:val="superscript"/>
          <w:lang w:val="en-US"/>
        </w:rPr>
        <w:footnoteReference w:id="22"/>
      </w:r>
      <w:r w:rsidRPr="001F63BA">
        <w:rPr>
          <w:rFonts w:ascii="GHEA Grapalat" w:hAnsi="GHEA Grapalat"/>
          <w:sz w:val="22"/>
          <w:szCs w:val="22"/>
          <w:lang w:val="en-US"/>
        </w:rPr>
        <w:t>։ Ըստ ապրանքների լայն տնտեսական դասակարգման</w:t>
      </w:r>
      <w:r w:rsidRPr="001F63BA">
        <w:rPr>
          <w:rFonts w:ascii="GHEA Grapalat" w:hAnsi="GHEA Grapalat"/>
          <w:sz w:val="22"/>
          <w:szCs w:val="22"/>
          <w:vertAlign w:val="superscript"/>
          <w:lang w:val="en-US"/>
        </w:rPr>
        <w:footnoteReference w:id="23"/>
      </w:r>
      <w:r w:rsidRPr="001F63BA">
        <w:rPr>
          <w:rFonts w:ascii="GHEA Grapalat" w:hAnsi="GHEA Grapalat"/>
          <w:sz w:val="22"/>
          <w:szCs w:val="22"/>
          <w:lang w:val="en-US"/>
        </w:rPr>
        <w:t>` ներմուծման աճին նպաստել են «Միջանկյալ սպառման ապրանքները» (28.2 տոկոսային կետով, այդ թվում՝ արդյունաբերական մատակարարումները՝ 19.6 տոկոսային կետով), «Կապիտալ ապրանքները» (13.2 տոկոսային կետով) «Վերջնական սպառման ապրանքները» (11.2 տոկոսային կետով) և «Մարդատար ավտոմեքենաները» (10.9 տոկոսային կետով)</w:t>
      </w:r>
      <w:r w:rsidRPr="001F63BA">
        <w:rPr>
          <w:rFonts w:ascii="GHEA Grapalat" w:hAnsi="GHEA Grapalat"/>
          <w:sz w:val="22"/>
          <w:szCs w:val="22"/>
          <w:vertAlign w:val="superscript"/>
          <w:lang w:val="en-US"/>
        </w:rPr>
        <w:footnoteReference w:id="24"/>
      </w:r>
      <w:r w:rsidRPr="001F63BA">
        <w:rPr>
          <w:rFonts w:ascii="GHEA Grapalat" w:hAnsi="GHEA Grapalat"/>
          <w:sz w:val="22"/>
          <w:szCs w:val="22"/>
          <w:lang w:val="en-US"/>
        </w:rPr>
        <w:t xml:space="preserve">: </w:t>
      </w:r>
    </w:p>
    <w:p w:rsidR="001C411D" w:rsidRPr="001F63BA" w:rsidRDefault="001C411D" w:rsidP="005B6789">
      <w:pPr>
        <w:spacing w:line="360" w:lineRule="auto"/>
        <w:ind w:firstLine="567"/>
        <w:jc w:val="both"/>
        <w:rPr>
          <w:rFonts w:ascii="GHEA Grapalat" w:hAnsi="GHEA Grapalat" w:cs="GHEA Grapalat"/>
          <w:sz w:val="22"/>
          <w:szCs w:val="22"/>
        </w:rPr>
      </w:pPr>
      <w:r w:rsidRPr="001F63BA">
        <w:rPr>
          <w:rFonts w:ascii="GHEA Grapalat" w:hAnsi="GHEA Grapalat" w:cs="GHEA Grapalat"/>
          <w:b/>
          <w:i/>
          <w:sz w:val="22"/>
          <w:szCs w:val="22"/>
        </w:rPr>
        <w:t>Արտաքին առևտուրն ըստ գործընկեր երկրների:</w:t>
      </w:r>
      <w:r w:rsidRPr="001F63BA">
        <w:rPr>
          <w:rFonts w:ascii="GHEA Grapalat" w:hAnsi="GHEA Grapalat" w:cs="GHEA Grapalat"/>
          <w:i/>
          <w:sz w:val="22"/>
          <w:szCs w:val="22"/>
        </w:rPr>
        <w:t xml:space="preserve"> </w:t>
      </w:r>
      <w:r w:rsidRPr="001F63BA">
        <w:rPr>
          <w:rFonts w:ascii="GHEA Grapalat" w:hAnsi="GHEA Grapalat" w:cs="GHEA Grapalat"/>
          <w:sz w:val="22"/>
          <w:szCs w:val="22"/>
        </w:rPr>
        <w:t>2022 թվականի արտաքին առևտրաշրջանառության աշխարհագրական կառուցվածքը կրել է որոշ</w:t>
      </w:r>
      <w:r w:rsidRPr="001F63BA">
        <w:rPr>
          <w:rFonts w:ascii="GHEA Grapalat" w:hAnsi="GHEA Grapalat" w:cs="GHEA Grapalat"/>
          <w:sz w:val="22"/>
          <w:szCs w:val="22"/>
          <w:lang w:val="en-US"/>
        </w:rPr>
        <w:t>ա</w:t>
      </w:r>
      <w:r w:rsidRPr="001F63BA">
        <w:rPr>
          <w:rFonts w:ascii="GHEA Grapalat" w:hAnsi="GHEA Grapalat" w:cs="GHEA Grapalat"/>
          <w:sz w:val="22"/>
          <w:szCs w:val="22"/>
        </w:rPr>
        <w:t>կի փոփոխություն։ Արտաքին առևտրի կառուցվածքում ԵԱՏՄ-ի և այլ երկրների դերը բարձրացել է, իսկ ԵՄ-ի դերը՝ նվազել։ ՀՀ արտաքին առևտրաշրջանառության 38.4%-ը բաժին է ընկել ԱՊՀ (որից 37.3</w:t>
      </w:r>
      <w:r w:rsidRPr="001F63BA">
        <w:rPr>
          <w:rFonts w:ascii="GHEA Grapalat" w:hAnsi="GHEA Grapalat" w:cs="GHEA Grapalat"/>
          <w:sz w:val="22"/>
          <w:szCs w:val="22"/>
          <w:lang w:val="en-US"/>
        </w:rPr>
        <w:t xml:space="preserve"> տոկոս</w:t>
      </w:r>
      <w:r w:rsidRPr="001F63BA">
        <w:rPr>
          <w:rFonts w:ascii="GHEA Grapalat" w:hAnsi="GHEA Grapalat" w:cs="GHEA Grapalat"/>
          <w:sz w:val="22"/>
          <w:szCs w:val="22"/>
        </w:rPr>
        <w:t xml:space="preserve">ային կետը` ԵԱՏՄ), 16.2%-ը` ԵՄ և 45.4%-ը` այլ երկրներին: ՀՀ արտաքին առևտրաշրջանառության մեջ ԱՊՀ </w:t>
      </w:r>
      <w:r w:rsidRPr="001F63BA">
        <w:rPr>
          <w:rFonts w:ascii="GHEA Grapalat" w:hAnsi="GHEA Grapalat" w:cs="GHEA Grapalat"/>
          <w:sz w:val="22"/>
          <w:szCs w:val="22"/>
        </w:rPr>
        <w:lastRenderedPageBreak/>
        <w:t>երկրների կշիռ</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ավելացել է 3.3</w:t>
      </w:r>
      <w:r w:rsidRPr="001F63BA">
        <w:rPr>
          <w:rFonts w:ascii="GHEA Grapalat" w:hAnsi="GHEA Grapalat" w:cs="GHEA Grapalat"/>
          <w:sz w:val="22"/>
          <w:szCs w:val="22"/>
          <w:lang w:val="en-US"/>
        </w:rPr>
        <w:t xml:space="preserve"> տոկոս</w:t>
      </w:r>
      <w:r w:rsidRPr="001F63BA">
        <w:rPr>
          <w:rFonts w:ascii="GHEA Grapalat" w:hAnsi="GHEA Grapalat" w:cs="GHEA Grapalat"/>
          <w:sz w:val="22"/>
          <w:szCs w:val="22"/>
        </w:rPr>
        <w:t>ային կետով, ԵԱՏՄ-</w:t>
      </w:r>
      <w:r w:rsidRPr="001F63BA">
        <w:rPr>
          <w:rFonts w:ascii="GHEA Grapalat" w:hAnsi="GHEA Grapalat" w:cs="GHEA Grapalat"/>
          <w:sz w:val="22"/>
          <w:szCs w:val="22"/>
          <w:lang w:val="en-US"/>
        </w:rPr>
        <w:t>ինը</w:t>
      </w:r>
      <w:r w:rsidRPr="001F63BA">
        <w:rPr>
          <w:rFonts w:ascii="GHEA Grapalat" w:hAnsi="GHEA Grapalat" w:cs="GHEA Grapalat"/>
          <w:sz w:val="22"/>
          <w:szCs w:val="22"/>
        </w:rPr>
        <w:t>՝ 4.7</w:t>
      </w:r>
      <w:r w:rsidRPr="001F63BA">
        <w:rPr>
          <w:rFonts w:ascii="GHEA Grapalat" w:hAnsi="GHEA Grapalat" w:cs="GHEA Grapalat"/>
          <w:sz w:val="22"/>
          <w:szCs w:val="22"/>
          <w:lang w:val="en-US"/>
        </w:rPr>
        <w:t xml:space="preserve"> տոկոս</w:t>
      </w:r>
      <w:r w:rsidRPr="001F63BA">
        <w:rPr>
          <w:rFonts w:ascii="GHEA Grapalat" w:hAnsi="GHEA Grapalat" w:cs="GHEA Grapalat"/>
          <w:sz w:val="22"/>
          <w:szCs w:val="22"/>
        </w:rPr>
        <w:t xml:space="preserve">ային կետով (ՌԴ՝ 4.3), իսկ ԵՄ-ի և այլ երկրների կշիռները նվազել են համապատասխանաբար 2.8 և 0.5 </w:t>
      </w:r>
      <w:r w:rsidRPr="001F63BA">
        <w:rPr>
          <w:rFonts w:ascii="GHEA Grapalat" w:hAnsi="GHEA Grapalat" w:cs="GHEA Grapalat"/>
          <w:sz w:val="22"/>
          <w:szCs w:val="22"/>
          <w:lang w:val="en-US"/>
        </w:rPr>
        <w:t>տոկոս</w:t>
      </w:r>
      <w:r w:rsidRPr="001F63BA">
        <w:rPr>
          <w:rFonts w:ascii="GHEA Grapalat" w:hAnsi="GHEA Grapalat" w:cs="GHEA Grapalat"/>
          <w:sz w:val="22"/>
          <w:szCs w:val="22"/>
        </w:rPr>
        <w:t>ային կետերով։</w:t>
      </w:r>
    </w:p>
    <w:p w:rsidR="001C411D" w:rsidRPr="001F63BA" w:rsidRDefault="001C411D" w:rsidP="005B6789">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ՀՀ խոշոր առևտրային գործընկեր ՌԴ-ի հետ առևտրաշրջանառության ծավալները հաշվետու ժամանակաշրջանում սկսել են արգանալ, մասնավորապես՝ մայիս-դեկտեմբեր ամ</w:t>
      </w:r>
      <w:r w:rsidRPr="001F63BA">
        <w:rPr>
          <w:rFonts w:ascii="GHEA Grapalat" w:hAnsi="GHEA Grapalat" w:cs="GHEA Grapalat"/>
          <w:sz w:val="22"/>
          <w:szCs w:val="22"/>
          <w:lang w:val="en-US"/>
        </w:rPr>
        <w:t>ի</w:t>
      </w:r>
      <w:r w:rsidRPr="001F63BA">
        <w:rPr>
          <w:rFonts w:ascii="GHEA Grapalat" w:hAnsi="GHEA Grapalat" w:cs="GHEA Grapalat"/>
          <w:sz w:val="22"/>
          <w:szCs w:val="22"/>
        </w:rPr>
        <w:t>սներին նախ</w:t>
      </w:r>
      <w:r w:rsidRPr="001F63BA">
        <w:rPr>
          <w:rFonts w:ascii="GHEA Grapalat" w:hAnsi="GHEA Grapalat" w:cs="GHEA Grapalat"/>
          <w:sz w:val="22"/>
          <w:szCs w:val="22"/>
          <w:lang w:val="en-US"/>
        </w:rPr>
        <w:t>որ</w:t>
      </w:r>
      <w:r w:rsidRPr="001F63BA">
        <w:rPr>
          <w:rFonts w:ascii="GHEA Grapalat" w:hAnsi="GHEA Grapalat" w:cs="GHEA Grapalat"/>
          <w:sz w:val="22"/>
          <w:szCs w:val="22"/>
        </w:rPr>
        <w:t>դ տարվա նույն ժամանակա</w:t>
      </w:r>
      <w:r w:rsidRPr="001F63BA">
        <w:rPr>
          <w:rFonts w:ascii="GHEA Grapalat" w:hAnsi="GHEA Grapalat" w:cs="GHEA Grapalat"/>
          <w:sz w:val="22"/>
          <w:szCs w:val="22"/>
          <w:lang w:val="en-US"/>
        </w:rPr>
        <w:t>հատված</w:t>
      </w:r>
      <w:r w:rsidRPr="001F63BA">
        <w:rPr>
          <w:rFonts w:ascii="GHEA Grapalat" w:hAnsi="GHEA Grapalat" w:cs="GHEA Grapalat"/>
          <w:sz w:val="22"/>
          <w:szCs w:val="22"/>
        </w:rPr>
        <w:t>ի համեմատ արտահանումը դեպի ՌԴ աճել է շուրջ 3.7 անգամ, իսկ ներմուծումը` 48.5%-ով: 2022 թվականին ՌԴ-ի կշիռը կազմել է ՀՀ առևտրաշրջանառության 35.6%-ը: ՀՀ խոշոր առևտրային գործընկերների շրջանակում ընդգրկված են նաև Չինաստանը (12.4%), Իրանը (5%), Արաբական Միացյալ Էմիրություններ</w:t>
      </w:r>
      <w:r w:rsidRPr="001F63BA">
        <w:rPr>
          <w:rFonts w:ascii="GHEA Grapalat" w:hAnsi="GHEA Grapalat" w:cs="GHEA Grapalat"/>
          <w:sz w:val="22"/>
          <w:szCs w:val="22"/>
          <w:lang w:val="en-US"/>
        </w:rPr>
        <w:t xml:space="preserve">ը </w:t>
      </w:r>
      <w:r w:rsidRPr="001F63BA">
        <w:rPr>
          <w:rFonts w:ascii="GHEA Grapalat" w:hAnsi="GHEA Grapalat" w:cs="GHEA Grapalat"/>
          <w:sz w:val="22"/>
          <w:szCs w:val="22"/>
        </w:rPr>
        <w:t>(4.2%), Գերմանիան (3.8%)</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ԱՄՆ-ն (3.3%) և այլն:</w:t>
      </w:r>
    </w:p>
    <w:p w:rsidR="001C411D" w:rsidRPr="001F63BA" w:rsidRDefault="001C411D" w:rsidP="00F77A76">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b/>
          <w:i/>
          <w:sz w:val="22"/>
          <w:szCs w:val="22"/>
        </w:rPr>
        <w:t>Ծառայություններ:</w:t>
      </w:r>
      <w:r w:rsidRPr="001F63BA">
        <w:rPr>
          <w:rFonts w:ascii="GHEA Grapalat" w:hAnsi="GHEA Grapalat" w:cs="GHEA Grapalat"/>
          <w:b/>
          <w:sz w:val="22"/>
          <w:szCs w:val="22"/>
        </w:rPr>
        <w:t xml:space="preserve"> </w:t>
      </w:r>
      <w:r w:rsidRPr="001F63BA">
        <w:rPr>
          <w:rFonts w:ascii="GHEA Grapalat" w:hAnsi="GHEA Grapalat" w:cs="GHEA Grapalat"/>
          <w:sz w:val="22"/>
          <w:szCs w:val="22"/>
        </w:rPr>
        <w:t>2022 թվականին ծառայությունների արտահանում</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աճել է 140.7%-ով, իսկ ներմուծումը՝ 90.3%-ով: Ծառայությունների արտահանման և ներմուծման աճերի մեջ հիմնական նպաստում է ունեցել զբոսաշրջության կտրուկ աճը (համապատաս</w:t>
      </w:r>
      <w:r w:rsidRPr="001F63BA">
        <w:rPr>
          <w:rFonts w:ascii="GHEA Grapalat" w:hAnsi="GHEA Grapalat" w:cs="GHEA Grapalat"/>
          <w:sz w:val="22"/>
          <w:szCs w:val="22"/>
          <w:lang w:val="en-US"/>
        </w:rPr>
        <w:t>խ</w:t>
      </w:r>
      <w:r w:rsidRPr="001F63BA">
        <w:rPr>
          <w:rFonts w:ascii="GHEA Grapalat" w:hAnsi="GHEA Grapalat" w:cs="GHEA Grapalat"/>
          <w:sz w:val="22"/>
          <w:szCs w:val="22"/>
        </w:rPr>
        <w:t>անաբար՝ 95.3 և 62 տոկոսային կետերով): 2022 թվականին ՀՀ այցելած զբոսաշրջիկների թիվը կազմել է շուրջ 1665 հազար մարդ՝ նախորդ տարվա համեմատ ավելանալով շուրջ 2 անգամ (շուրջ 790 հազար մարդով), իսկ ՀՀ-ից մեկնած զբոսաշրջիկների թվաքանակը կազմել է շուրջ 1138 հազար՝ աճելով 2.6 անգամ (շուրջ 704 հազար մարդով): Ռուս-ուկրաինական հակամարտության, ՌԴ դեմ կիրառված աննախադեպ պատժամիջոցների և ՌԴ կողմից սեպտեմբերին հայտարարված մասնակի մոբիլիզացիայի արդյունքում 2022 թվականի ընթացքում ՀՀ այցելած ՌԴ զբոսաշրջիկների թվաքանակը կազմել է շուրջ 790 հազար՝ աճելով 2.2 անգամ (շուրջ 439 հազար մարդով):</w:t>
      </w:r>
    </w:p>
    <w:p w:rsidR="001C411D" w:rsidRPr="001F63BA" w:rsidRDefault="001C411D" w:rsidP="00F77A76">
      <w:pPr>
        <w:ind w:firstLine="567"/>
        <w:jc w:val="both"/>
        <w:rPr>
          <w:rFonts w:ascii="GHEA Grapalat" w:hAnsi="GHEA Grapalat" w:cs="GHEA Grapalat"/>
          <w:sz w:val="22"/>
          <w:szCs w:val="22"/>
          <w:lang w:val="en-US"/>
        </w:rPr>
      </w:pPr>
    </w:p>
    <w:p w:rsidR="001C411D" w:rsidRPr="001F63BA" w:rsidRDefault="001C411D" w:rsidP="00D508BE">
      <w:pPr>
        <w:pStyle w:val="a"/>
      </w:pPr>
      <w:r w:rsidRPr="001F63BA">
        <w:t xml:space="preserve">ՀՀ այցելած զբոսաշրջիկների դինամիկան 2018-2022թթ., հազար մարդ </w:t>
      </w:r>
    </w:p>
    <w:p w:rsidR="001C411D" w:rsidRPr="001F63BA" w:rsidRDefault="009A358E" w:rsidP="00952E30">
      <w:pPr>
        <w:spacing w:line="276" w:lineRule="auto"/>
        <w:jc w:val="both"/>
        <w:rPr>
          <w:rFonts w:ascii="GHEA Grapalat" w:hAnsi="GHEA Grapalat" w:cs="GHEA Grapalat"/>
          <w:i/>
          <w:sz w:val="22"/>
          <w:szCs w:val="22"/>
        </w:rPr>
      </w:pPr>
      <w:r w:rsidRPr="001F63BA">
        <w:rPr>
          <w:rFonts w:ascii="GHEA Grapalat" w:hAnsi="GHEA Grapalat" w:cs="GHEA Grapalat"/>
          <w:i/>
          <w:sz w:val="22"/>
          <w:szCs w:val="22"/>
          <w:lang w:val="en-US"/>
        </w:rPr>
        <w:drawing>
          <wp:inline distT="0" distB="0" distL="0" distR="0" wp14:anchorId="61913587" wp14:editId="1ABF5B48">
            <wp:extent cx="6381750" cy="2352675"/>
            <wp:effectExtent l="0" t="0" r="0" b="0"/>
            <wp:docPr id="31"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C411D" w:rsidRPr="001F63BA" w:rsidRDefault="001C411D" w:rsidP="00952E30">
      <w:pPr>
        <w:spacing w:after="120" w:line="276" w:lineRule="auto"/>
        <w:jc w:val="both"/>
        <w:rPr>
          <w:rFonts w:ascii="GHEA Grapalat" w:hAnsi="GHEA Grapalat" w:cs="GHEA Grapalat"/>
          <w:i/>
          <w:sz w:val="20"/>
          <w:szCs w:val="20"/>
        </w:rPr>
      </w:pPr>
      <w:r w:rsidRPr="001F63BA">
        <w:rPr>
          <w:rFonts w:ascii="GHEA Grapalat" w:hAnsi="GHEA Grapalat" w:cs="GHEA Grapalat"/>
          <w:i/>
          <w:sz w:val="20"/>
          <w:szCs w:val="20"/>
        </w:rPr>
        <w:t>Աղբյուրը՝ ՀՀ ՎԿ</w:t>
      </w:r>
    </w:p>
    <w:p w:rsidR="001C411D" w:rsidRPr="001F63BA" w:rsidRDefault="001C411D" w:rsidP="00F77A76">
      <w:pPr>
        <w:spacing w:line="360" w:lineRule="auto"/>
        <w:ind w:firstLine="567"/>
        <w:jc w:val="both"/>
        <w:rPr>
          <w:rFonts w:ascii="GHEA Grapalat" w:hAnsi="GHEA Grapalat" w:cs="GHEA Grapalat"/>
          <w:b/>
          <w:i/>
          <w:sz w:val="22"/>
          <w:szCs w:val="22"/>
        </w:rPr>
      </w:pPr>
    </w:p>
    <w:p w:rsidR="001C411D" w:rsidRPr="001F63BA" w:rsidRDefault="001C411D" w:rsidP="00F77A76">
      <w:pPr>
        <w:spacing w:line="360" w:lineRule="auto"/>
        <w:ind w:firstLine="567"/>
        <w:jc w:val="both"/>
        <w:rPr>
          <w:rFonts w:ascii="GHEA Grapalat" w:hAnsi="GHEA Grapalat" w:cs="GHEA Grapalat"/>
          <w:sz w:val="22"/>
          <w:szCs w:val="22"/>
        </w:rPr>
      </w:pPr>
      <w:r w:rsidRPr="001F63BA">
        <w:rPr>
          <w:rFonts w:ascii="GHEA Grapalat" w:hAnsi="GHEA Grapalat" w:cs="GHEA Grapalat"/>
          <w:b/>
          <w:i/>
          <w:sz w:val="22"/>
          <w:szCs w:val="22"/>
        </w:rPr>
        <w:lastRenderedPageBreak/>
        <w:t>Դրամական փոխանցումներ:</w:t>
      </w:r>
      <w:r w:rsidRPr="001F63BA">
        <w:rPr>
          <w:rFonts w:ascii="GHEA Grapalat" w:hAnsi="GHEA Grapalat" w:cs="GHEA Grapalat"/>
          <w:sz w:val="22"/>
          <w:szCs w:val="22"/>
        </w:rPr>
        <w:t xml:space="preserve"> Տարեսկզբից դեպի ՀՀ անձնական դրամական փոխանցումներն զգալի աճել են՝ պայմանավորված ինչպես տրանսֆերտների ներհոսքով, այնպես էլ ռուս-ուկրաինական հակամարտության արդյունքում ՌԴ-ից դեպի ՀՀ փոխանցվող այլ դրամական հոսքերով։ 2022 թվականին զուտ դրամական փոխանցումները կազմել են շուրջ 1.5 մլրդ դոլար՝ նախորդ տարվա նկատմամբ աճելով 20%-ով, որից աշխատանքի վարձատրությունը մնացել է 2021 թվականի մակարդակ</w:t>
      </w:r>
      <w:r w:rsidRPr="001F63BA">
        <w:rPr>
          <w:rFonts w:ascii="GHEA Grapalat" w:hAnsi="GHEA Grapalat" w:cs="GHEA Grapalat"/>
          <w:sz w:val="22"/>
          <w:szCs w:val="22"/>
          <w:lang w:val="en-US"/>
        </w:rPr>
        <w:t>ին</w:t>
      </w:r>
      <w:r w:rsidRPr="001F63BA">
        <w:rPr>
          <w:rFonts w:ascii="GHEA Grapalat" w:hAnsi="GHEA Grapalat" w:cs="GHEA Grapalat"/>
          <w:sz w:val="22"/>
          <w:szCs w:val="22"/>
        </w:rPr>
        <w:t>, իսկ անձնական տրանսֆերտներ</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աճել են 26.9%-ով:</w:t>
      </w:r>
    </w:p>
    <w:p w:rsidR="001C411D" w:rsidRPr="001F63BA" w:rsidRDefault="001C411D" w:rsidP="00F77A76">
      <w:pPr>
        <w:spacing w:line="360" w:lineRule="auto"/>
        <w:ind w:firstLine="567"/>
        <w:jc w:val="both"/>
        <w:rPr>
          <w:rFonts w:ascii="GHEA Grapalat" w:hAnsi="GHEA Grapalat" w:cs="GHEA Grapalat"/>
          <w:sz w:val="22"/>
          <w:szCs w:val="22"/>
        </w:rPr>
      </w:pPr>
    </w:p>
    <w:p w:rsidR="001C411D" w:rsidRPr="001F63BA" w:rsidRDefault="001C411D" w:rsidP="00F77A76">
      <w:pPr>
        <w:pStyle w:val="Heading6"/>
        <w:ind w:left="567"/>
        <w:rPr>
          <w:rFonts w:ascii="GHEA Grapalat" w:hAnsi="GHEA Grapalat"/>
          <w:b/>
          <w:sz w:val="22"/>
          <w:szCs w:val="22"/>
          <w:u w:val="none"/>
        </w:rPr>
      </w:pPr>
      <w:bookmarkStart w:id="84" w:name="_Toc6389323"/>
      <w:bookmarkStart w:id="85" w:name="_Toc37763590"/>
      <w:r w:rsidRPr="001F63BA">
        <w:rPr>
          <w:rFonts w:ascii="GHEA Grapalat" w:hAnsi="GHEA Grapalat"/>
          <w:b/>
          <w:sz w:val="22"/>
          <w:szCs w:val="22"/>
          <w:u w:val="none"/>
        </w:rPr>
        <w:t>Արժութային շուկա և փոխարժեքներ</w:t>
      </w:r>
    </w:p>
    <w:p w:rsidR="001C411D" w:rsidRPr="001F63BA" w:rsidRDefault="001C411D" w:rsidP="00F77A76">
      <w:pPr>
        <w:spacing w:line="360" w:lineRule="auto"/>
        <w:ind w:firstLine="567"/>
        <w:jc w:val="both"/>
        <w:rPr>
          <w:rFonts w:ascii="GHEA Grapalat" w:hAnsi="GHEA Grapalat" w:cs="GHEA Grapalat"/>
          <w:sz w:val="22"/>
          <w:szCs w:val="22"/>
        </w:rPr>
      </w:pPr>
      <w:r w:rsidRPr="001F63BA">
        <w:rPr>
          <w:rFonts w:ascii="GHEA Grapalat" w:hAnsi="GHEA Grapalat" w:cs="GHEA Grapalat"/>
          <w:b/>
          <w:i/>
          <w:sz w:val="22"/>
          <w:szCs w:val="22"/>
        </w:rPr>
        <w:t xml:space="preserve">Ֆիզիկական անձանց փոխանցումներ։ </w:t>
      </w:r>
      <w:r w:rsidRPr="001F63BA">
        <w:rPr>
          <w:rFonts w:ascii="GHEA Grapalat" w:hAnsi="GHEA Grapalat" w:cs="GHEA Grapalat"/>
          <w:sz w:val="22"/>
          <w:szCs w:val="22"/>
        </w:rPr>
        <w:t>Դեպի ՀՀ ֆիզիկական անձանց փոխանցումները 2022 թվականին հասել են աննախադեպ մակարդակի՝ զգալիորեն ավելացնելով ՀՀ-ում արտարժույթի առաջարկը։ ՀՀ բանկերի միջոցով ֆիզիկական անձանց անունով արտերկրներից մուտք եղած և ՀՀ-ից արտերկիր կատարված առևտրային և ոչ առևտրային նպատակով զուտ փոխանցումները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վականին</w:t>
      </w:r>
      <w:r w:rsidRPr="001F63BA">
        <w:rPr>
          <w:rFonts w:ascii="GHEA Grapalat" w:hAnsi="GHEA Grapalat" w:cs="GHEA Grapalat"/>
          <w:sz w:val="22"/>
          <w:szCs w:val="22"/>
        </w:rPr>
        <w:t xml:space="preserve"> հասել են 2.6 մլրդ դոլարի</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2021</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w:t>
      </w:r>
      <w:r w:rsidRPr="001F63BA">
        <w:rPr>
          <w:rFonts w:ascii="GHEA Grapalat" w:hAnsi="GHEA Grapalat" w:cs="GHEA Grapalat"/>
          <w:sz w:val="22"/>
          <w:szCs w:val="22"/>
        </w:rPr>
        <w:t xml:space="preserve"> համեմատ աճելով 2.9 անգամ: Ընդ որում</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ՌԴ-ից զուտ փոխանցումները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վականին</w:t>
      </w:r>
      <w:r w:rsidRPr="001F63BA">
        <w:rPr>
          <w:rFonts w:ascii="GHEA Grapalat" w:hAnsi="GHEA Grapalat" w:cs="GHEA Grapalat"/>
          <w:sz w:val="22"/>
          <w:szCs w:val="22"/>
        </w:rPr>
        <w:t xml:space="preserve"> կազմել են 3.1 մլրդ դոլար</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նախորդ տարվա համեմատ աճելով շուրջ 6.8 անգամ։ Արդյունքում՝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վականին</w:t>
      </w:r>
      <w:r w:rsidRPr="001F63BA">
        <w:rPr>
          <w:rFonts w:ascii="GHEA Grapalat" w:hAnsi="GHEA Grapalat" w:cs="GHEA Grapalat"/>
          <w:sz w:val="22"/>
          <w:szCs w:val="22"/>
        </w:rPr>
        <w:t xml:space="preserve"> ՀՀ-ում արտարժույթի ծավալները կտրուկ ավելացել են:</w:t>
      </w:r>
    </w:p>
    <w:p w:rsidR="001C411D" w:rsidRPr="001F63BA" w:rsidRDefault="001C411D" w:rsidP="00F77A76">
      <w:pPr>
        <w:spacing w:line="360" w:lineRule="auto"/>
        <w:ind w:firstLine="567"/>
        <w:jc w:val="both"/>
        <w:rPr>
          <w:rFonts w:ascii="GHEA Grapalat" w:hAnsi="GHEA Grapalat" w:cs="GHEA Grapalat"/>
          <w:sz w:val="22"/>
          <w:szCs w:val="22"/>
        </w:rPr>
      </w:pPr>
    </w:p>
    <w:p w:rsidR="001C411D" w:rsidRPr="001F63BA" w:rsidRDefault="001C411D" w:rsidP="00D508BE">
      <w:pPr>
        <w:pStyle w:val="a"/>
      </w:pPr>
      <w:r w:rsidRPr="001F63BA">
        <w:t xml:space="preserve">ՀՀ բանկերի միջոցով ֆիզիկական անձանց անունով արտերկրներից մուտք եղած և ՀՀ-ից ֆիզիկական անձանց կողմից արտերկիր կատարված զուտ փոխանցումներ, մլն ԱՄՆ դոլար </w:t>
      </w:r>
    </w:p>
    <w:p w:rsidR="001C411D" w:rsidRPr="001F63BA" w:rsidRDefault="009A358E" w:rsidP="00952E30">
      <w:pPr>
        <w:spacing w:after="60"/>
        <w:rPr>
          <w:rFonts w:ascii="GHEA Grapalat" w:hAnsi="GHEA Grapalat"/>
          <w:b/>
        </w:rPr>
      </w:pPr>
      <w:r w:rsidRPr="001F63BA">
        <w:rPr>
          <w:rFonts w:ascii="GHEA Grapalat" w:hAnsi="GHEA Grapalat"/>
          <w:b/>
          <w:lang w:val="en-US"/>
        </w:rPr>
        <w:drawing>
          <wp:inline distT="0" distB="0" distL="0" distR="0" wp14:anchorId="3A1D8776" wp14:editId="19E29D73">
            <wp:extent cx="6638925" cy="2790825"/>
            <wp:effectExtent l="0" t="0" r="0" b="0"/>
            <wp:docPr id="32" name="Objec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C411D" w:rsidRPr="001F63BA" w:rsidRDefault="001C411D" w:rsidP="00952E30">
      <w:pPr>
        <w:spacing w:after="120"/>
        <w:rPr>
          <w:rFonts w:ascii="GHEA Grapalat" w:hAnsi="GHEA Grapalat"/>
          <w:b/>
        </w:rPr>
      </w:pPr>
      <w:r w:rsidRPr="001F63BA">
        <w:rPr>
          <w:rFonts w:ascii="GHEA Grapalat" w:hAnsi="GHEA Grapalat" w:cs="Sylfaen"/>
          <w:i/>
          <w:sz w:val="18"/>
          <w:szCs w:val="18"/>
        </w:rPr>
        <w:t>Աղբյուրը՝ ՀՀ ԿԲ, ՀՀ ՖՆ հաշվարկներ</w:t>
      </w:r>
    </w:p>
    <w:p w:rsidR="002D4D5A" w:rsidRPr="001F63BA" w:rsidRDefault="002D4D5A" w:rsidP="00952E30">
      <w:pPr>
        <w:spacing w:line="360" w:lineRule="auto"/>
        <w:ind w:firstLine="567"/>
        <w:jc w:val="both"/>
        <w:rPr>
          <w:rFonts w:ascii="GHEA Grapalat" w:hAnsi="GHEA Grapalat" w:cs="GHEA Grapalat"/>
          <w:sz w:val="22"/>
          <w:szCs w:val="22"/>
        </w:rPr>
      </w:pPr>
    </w:p>
    <w:p w:rsidR="001C411D" w:rsidRPr="001F63BA" w:rsidRDefault="001C411D" w:rsidP="00952E30">
      <w:pPr>
        <w:spacing w:line="360" w:lineRule="auto"/>
        <w:ind w:firstLine="567"/>
        <w:jc w:val="both"/>
        <w:rPr>
          <w:rFonts w:ascii="GHEA Grapalat" w:hAnsi="GHEA Grapalat" w:cs="GHEA Grapalat"/>
          <w:sz w:val="22"/>
          <w:szCs w:val="22"/>
        </w:rPr>
      </w:pPr>
      <w:r w:rsidRPr="001F63BA">
        <w:rPr>
          <w:rFonts w:ascii="GHEA Grapalat" w:hAnsi="GHEA Grapalat" w:cs="GHEA Grapalat"/>
          <w:b/>
          <w:i/>
          <w:sz w:val="22"/>
          <w:szCs w:val="22"/>
        </w:rPr>
        <w:lastRenderedPageBreak/>
        <w:t xml:space="preserve">Արժութային շուկա։ </w:t>
      </w:r>
      <w:r w:rsidRPr="001F63BA">
        <w:rPr>
          <w:rFonts w:ascii="GHEA Grapalat" w:hAnsi="GHEA Grapalat" w:cs="GHEA Grapalat"/>
          <w:sz w:val="22"/>
          <w:szCs w:val="22"/>
        </w:rPr>
        <w:t>ՀՀ արժութային շուկայի շրջանառության ծավալները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ի մարտից սկսած մինչև տարեվերջ մեծ տեմպերով ավելացել են: Ընդ որում՝ մարտ և ապրիլ ամիսներին բանկերի կողմից վաճառքի ծավալները գերազանցել են առքի ծավալները, իսկ մայիս, հունիս և հուլիս ամիսներին առքի և վաճառքի ծավալներն իրար ավելի մոտ են եղել: Սկսած օգոստոսից՝ կրկին առքի ծավալները սկսել են գերազանցել վաճառքի ծավալներին։ Միաժամանակ, եթե մարտ և ապրիլ ամիսներին բանկերի կողմից լրացուցիչ ձեռքբերումները եղել են ԱՄՆ դոլարով, ապա մայիս ամսից սկսած՝ կտրուկ աճել է ռուսական ռուբլու առքի ծավալը՝ զգալիորեն գերազանցելով վաճառքի ծավալները։ Նշված զարգացումներով պայմանավորված՝ ՀՀ ԿԲ-ն արժութային շուկայում իրականացրել է արտարժույթի ձեռքբերումներ:</w:t>
      </w:r>
    </w:p>
    <w:p w:rsidR="001C411D" w:rsidRPr="001F63BA" w:rsidRDefault="001C411D" w:rsidP="00952E30">
      <w:pPr>
        <w:spacing w:line="360" w:lineRule="auto"/>
        <w:ind w:firstLine="567"/>
        <w:jc w:val="both"/>
        <w:rPr>
          <w:rFonts w:ascii="GHEA Grapalat" w:hAnsi="GHEA Grapalat" w:cs="GHEA Grapalat"/>
          <w:sz w:val="22"/>
          <w:szCs w:val="22"/>
          <w:lang w:val="en-US"/>
        </w:rPr>
      </w:pPr>
    </w:p>
    <w:tbl>
      <w:tblPr>
        <w:tblW w:w="5082" w:type="pct"/>
        <w:tblLook w:val="00A0" w:firstRow="1" w:lastRow="0" w:firstColumn="1" w:lastColumn="0" w:noHBand="0" w:noVBand="0"/>
      </w:tblPr>
      <w:tblGrid>
        <w:gridCol w:w="5231"/>
        <w:gridCol w:w="5144"/>
      </w:tblGrid>
      <w:tr w:rsidR="001F63BA" w:rsidRPr="001F63BA" w:rsidTr="00A6734C">
        <w:trPr>
          <w:trHeight w:val="701"/>
        </w:trPr>
        <w:tc>
          <w:tcPr>
            <w:tcW w:w="2521" w:type="pct"/>
          </w:tcPr>
          <w:p w:rsidR="001C411D" w:rsidRPr="001F63BA" w:rsidRDefault="001C411D" w:rsidP="00D508BE">
            <w:pPr>
              <w:pStyle w:val="a"/>
              <w:rPr>
                <w:rFonts w:cs="GHEA Grapalat"/>
                <w:b/>
              </w:rPr>
            </w:pPr>
            <w:r w:rsidRPr="001F63BA">
              <w:t>ՀՀ արժութային (ներբանկային) շուկայի շրջանառության տվյալներն ըստ դրամային համարժեքների, զուտ մլրդ դրամ</w:t>
            </w:r>
          </w:p>
        </w:tc>
        <w:tc>
          <w:tcPr>
            <w:tcW w:w="2479" w:type="pct"/>
          </w:tcPr>
          <w:p w:rsidR="001C411D" w:rsidRPr="001F63BA" w:rsidRDefault="001C411D" w:rsidP="00D508BE">
            <w:pPr>
              <w:pStyle w:val="a"/>
            </w:pPr>
            <w:r w:rsidRPr="001F63BA">
              <w:t>Փոխարժեք և ԿԲ արձագանք</w:t>
            </w:r>
          </w:p>
        </w:tc>
      </w:tr>
      <w:tr w:rsidR="001C411D" w:rsidRPr="001F63BA" w:rsidTr="00A6734C">
        <w:trPr>
          <w:trHeight w:val="3912"/>
        </w:trPr>
        <w:tc>
          <w:tcPr>
            <w:tcW w:w="2521" w:type="pct"/>
          </w:tcPr>
          <w:p w:rsidR="001C411D" w:rsidRPr="001F63BA" w:rsidRDefault="009A358E" w:rsidP="00A6734C">
            <w:pPr>
              <w:spacing w:line="360" w:lineRule="auto"/>
              <w:jc w:val="both"/>
              <w:rPr>
                <w:rFonts w:ascii="GHEA Grapalat" w:hAnsi="GHEA Grapalat" w:cs="GHEA Grapalat"/>
              </w:rPr>
            </w:pPr>
            <w:r w:rsidRPr="001F63BA">
              <w:rPr>
                <w:lang w:val="en-US"/>
              </w:rPr>
              <w:drawing>
                <wp:anchor distT="0" distB="0" distL="114300" distR="114300" simplePos="0" relativeHeight="251657728" behindDoc="0" locked="0" layoutInCell="1" allowOverlap="1" wp14:anchorId="25BF079E" wp14:editId="2C93ECC6">
                  <wp:simplePos x="0" y="0"/>
                  <wp:positionH relativeFrom="column">
                    <wp:posOffset>-9525</wp:posOffset>
                  </wp:positionH>
                  <wp:positionV relativeFrom="paragraph">
                    <wp:posOffset>2540</wp:posOffset>
                  </wp:positionV>
                  <wp:extent cx="3274060" cy="2426970"/>
                  <wp:effectExtent l="5715" t="4445" r="0" b="0"/>
                  <wp:wrapNone/>
                  <wp:docPr id="71" name="Chart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tc>
        <w:tc>
          <w:tcPr>
            <w:tcW w:w="2479" w:type="pct"/>
          </w:tcPr>
          <w:p w:rsidR="001C411D" w:rsidRPr="001F63BA" w:rsidRDefault="009A358E" w:rsidP="00A6734C">
            <w:pPr>
              <w:spacing w:line="360" w:lineRule="auto"/>
              <w:jc w:val="both"/>
              <w:rPr>
                <w:rFonts w:ascii="GHEA Grapalat" w:hAnsi="GHEA Grapalat" w:cs="GHEA Grapalat"/>
              </w:rPr>
            </w:pPr>
            <w:r w:rsidRPr="001F63BA">
              <w:rPr>
                <w:lang w:val="en-US"/>
              </w:rPr>
              <w:drawing>
                <wp:anchor distT="0" distB="0" distL="114300" distR="114300" simplePos="0" relativeHeight="251658752" behindDoc="0" locked="0" layoutInCell="1" allowOverlap="1" wp14:anchorId="41EF407F" wp14:editId="128A1671">
                  <wp:simplePos x="0" y="0"/>
                  <wp:positionH relativeFrom="column">
                    <wp:posOffset>-10795</wp:posOffset>
                  </wp:positionH>
                  <wp:positionV relativeFrom="paragraph">
                    <wp:posOffset>2540</wp:posOffset>
                  </wp:positionV>
                  <wp:extent cx="3249930" cy="2456815"/>
                  <wp:effectExtent l="0" t="4445" r="1905" b="0"/>
                  <wp:wrapNone/>
                  <wp:docPr id="70" name="Char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tc>
      </w:tr>
      <w:tr w:rsidR="001C411D" w:rsidRPr="001F63BA" w:rsidTr="00A6734C">
        <w:trPr>
          <w:trHeight w:val="306"/>
        </w:trPr>
        <w:tc>
          <w:tcPr>
            <w:tcW w:w="2521" w:type="pct"/>
          </w:tcPr>
          <w:p w:rsidR="001C411D" w:rsidRPr="001F63BA" w:rsidRDefault="001C411D" w:rsidP="00A6734C">
            <w:pPr>
              <w:spacing w:line="360" w:lineRule="auto"/>
              <w:jc w:val="both"/>
              <w:rPr>
                <w:rFonts w:ascii="GHEA Grapalat" w:hAnsi="GHEA Grapalat" w:cs="GHEA Grapalat"/>
                <w:b/>
                <w:i/>
                <w:iCs/>
              </w:rPr>
            </w:pPr>
            <w:r w:rsidRPr="001F63BA">
              <w:rPr>
                <w:rFonts w:ascii="GHEA Grapalat" w:hAnsi="GHEA Grapalat" w:cs="Sylfaen"/>
                <w:i/>
                <w:sz w:val="18"/>
                <w:szCs w:val="18"/>
              </w:rPr>
              <w:t>Աղբյուրը՝ ՀՀ ԿԲ, ՀՀ ՖՆ հաշվարկներ</w:t>
            </w:r>
          </w:p>
        </w:tc>
        <w:tc>
          <w:tcPr>
            <w:tcW w:w="2479" w:type="pct"/>
          </w:tcPr>
          <w:p w:rsidR="001C411D" w:rsidRPr="001F63BA" w:rsidRDefault="001C411D" w:rsidP="00A6734C">
            <w:pPr>
              <w:spacing w:line="360" w:lineRule="auto"/>
              <w:jc w:val="both"/>
              <w:rPr>
                <w:rFonts w:ascii="GHEA Grapalat" w:hAnsi="GHEA Grapalat" w:cs="GHEA Grapalat"/>
                <w:b/>
                <w:i/>
                <w:iCs/>
              </w:rPr>
            </w:pPr>
            <w:r w:rsidRPr="001F63BA">
              <w:rPr>
                <w:rFonts w:ascii="GHEA Grapalat" w:hAnsi="GHEA Grapalat" w:cs="Sylfaen"/>
                <w:i/>
                <w:sz w:val="18"/>
                <w:szCs w:val="18"/>
              </w:rPr>
              <w:t>Աղբյուրը՝ ՀՀ ԿԲ, ՀՀ ՖՆ հաշվարկներ</w:t>
            </w:r>
          </w:p>
        </w:tc>
      </w:tr>
    </w:tbl>
    <w:p w:rsidR="001C411D" w:rsidRPr="001F63BA" w:rsidRDefault="001C411D" w:rsidP="00F77A76">
      <w:pPr>
        <w:spacing w:line="360" w:lineRule="auto"/>
        <w:ind w:firstLine="567"/>
        <w:jc w:val="both"/>
        <w:rPr>
          <w:rFonts w:ascii="GHEA Grapalat" w:hAnsi="GHEA Grapalat" w:cs="GHEA Grapalat"/>
          <w:sz w:val="22"/>
          <w:szCs w:val="22"/>
        </w:rPr>
      </w:pPr>
    </w:p>
    <w:p w:rsidR="001C411D" w:rsidRPr="001F63BA" w:rsidRDefault="001C411D" w:rsidP="00F77A76">
      <w:pPr>
        <w:spacing w:line="360" w:lineRule="auto"/>
        <w:ind w:firstLine="567"/>
        <w:jc w:val="both"/>
        <w:rPr>
          <w:rFonts w:ascii="GHEA Grapalat" w:hAnsi="GHEA Grapalat" w:cs="GHEA Grapalat"/>
          <w:sz w:val="22"/>
          <w:szCs w:val="22"/>
        </w:rPr>
      </w:pPr>
      <w:r w:rsidRPr="001F63BA">
        <w:rPr>
          <w:rFonts w:ascii="GHEA Grapalat" w:hAnsi="GHEA Grapalat" w:cs="GHEA Grapalat"/>
          <w:b/>
          <w:i/>
          <w:iCs/>
          <w:sz w:val="22"/>
          <w:szCs w:val="22"/>
        </w:rPr>
        <w:t>Երկկողմանի փոխարժեքներ։</w:t>
      </w:r>
      <w:r w:rsidRPr="001F63BA">
        <w:rPr>
          <w:rFonts w:ascii="GHEA Grapalat" w:hAnsi="GHEA Grapalat" w:cs="GHEA Grapalat"/>
          <w:b/>
          <w:sz w:val="22"/>
          <w:szCs w:val="22"/>
        </w:rPr>
        <w:t xml:space="preserve"> </w:t>
      </w:r>
      <w:r w:rsidRPr="001F63BA">
        <w:rPr>
          <w:rFonts w:ascii="GHEA Grapalat" w:hAnsi="GHEA Grapalat" w:cs="GHEA Grapalat"/>
          <w:sz w:val="22"/>
          <w:szCs w:val="22"/>
        </w:rPr>
        <w:t>2022 թվականին ՀՀ դրամը ԱՄՆ դոլարի, ռուբլու և եվրոյի նկատմամբ դրսևորել է արժևորման վարքագիծ` պայմանավորված արտարժույթի նշանակալի ներհոսքով:</w:t>
      </w:r>
    </w:p>
    <w:p w:rsidR="001C411D" w:rsidRPr="001F63BA" w:rsidRDefault="001C411D" w:rsidP="00F77A76">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ԱՄՆ դոլարի, Եվրոյի և ՌԴ ռուբլու նկատմամբ ՀՀ դրամը 2022 թվականին արժևորվել է համապատասխանաբար 15.6%</w:t>
      </w:r>
      <w:r w:rsidRPr="001F63BA">
        <w:rPr>
          <w:rFonts w:ascii="GHEA Grapalat" w:hAnsi="GHEA Grapalat" w:cs="GHEA Grapalat"/>
          <w:sz w:val="22"/>
          <w:szCs w:val="22"/>
          <w:lang w:val="en-US"/>
        </w:rPr>
        <w:t>-ով</w:t>
      </w:r>
      <w:r w:rsidRPr="001F63BA">
        <w:rPr>
          <w:rFonts w:ascii="GHEA Grapalat" w:hAnsi="GHEA Grapalat" w:cs="GHEA Grapalat"/>
          <w:sz w:val="22"/>
          <w:szCs w:val="22"/>
        </w:rPr>
        <w:t xml:space="preserve">, 29.4%-ով և 5.5%-ով։ </w:t>
      </w:r>
    </w:p>
    <w:p w:rsidR="001C411D" w:rsidRPr="001F63BA" w:rsidRDefault="001C411D" w:rsidP="00F77A76">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տնտեսական բարենպաստ զարգացումներով, ինչպես նաև ՀՀ ԿԲ համապատասխան արձագանքմամբ պայմանավորված (վերաֆինանսավորման տոկոսադրույքի բարձրացում, արտարժութային գործառնություններ)՝ ԱՄՆ դոլարի նկատմամբ ՀՀ դրամ</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առաջին </w:t>
      </w:r>
      <w:r w:rsidRPr="001F63BA">
        <w:rPr>
          <w:rFonts w:ascii="GHEA Grapalat" w:hAnsi="GHEA Grapalat" w:cs="GHEA Grapalat"/>
          <w:sz w:val="22"/>
          <w:szCs w:val="22"/>
        </w:rPr>
        <w:lastRenderedPageBreak/>
        <w:t>կիսամյակում հարաբերականորեն կայուն վարքագիծ էր դրսևորել, որից հետո սկսել էր արժևորվել</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հիմնականում պայմանավորված առևտրային հաշվեկշռի բարելավմամբ և դրամական փոխանցումների նշանակալի ներհոսքով։</w:t>
      </w:r>
    </w:p>
    <w:p w:rsidR="001C411D" w:rsidRPr="001F63BA" w:rsidRDefault="001C411D" w:rsidP="00F77A76">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ՀՀ դրամի միջին փոխարժեքը ՌԴ ռուբլու նկատմամբ 2022 թվականին նախորդ տարվա համեմատությամբ արժևորվել է 5.5%-ով՝ միջազգային շուկայում ռուսական ռուբլու դիրքի թուլացմամբ պայմանավորված, իսկ դեկտեմբեր ամսին նախորդ տարվա դեկտեմբերի համեմատ այն դ</w:t>
      </w:r>
      <w:r w:rsidRPr="001F63BA">
        <w:rPr>
          <w:rFonts w:ascii="GHEA Grapalat" w:hAnsi="GHEA Grapalat" w:cs="GHEA Grapalat"/>
          <w:sz w:val="22"/>
          <w:szCs w:val="22"/>
          <w:lang w:val="en-US"/>
        </w:rPr>
        <w:t>ր</w:t>
      </w:r>
      <w:r w:rsidRPr="001F63BA">
        <w:rPr>
          <w:rFonts w:ascii="GHEA Grapalat" w:hAnsi="GHEA Grapalat" w:cs="GHEA Grapalat"/>
          <w:sz w:val="22"/>
          <w:szCs w:val="22"/>
        </w:rPr>
        <w:t>սևորել է առաջանցիկ արժևորում՝ 9.8%:</w:t>
      </w:r>
    </w:p>
    <w:p w:rsidR="001C411D" w:rsidRPr="001F63BA" w:rsidRDefault="001C411D" w:rsidP="00F77A76">
      <w:pPr>
        <w:spacing w:line="360" w:lineRule="auto"/>
        <w:ind w:firstLine="567"/>
        <w:jc w:val="both"/>
        <w:rPr>
          <w:rFonts w:ascii="GHEA Grapalat" w:hAnsi="GHEA Grapalat" w:cs="GHEA Grapalat"/>
          <w:sz w:val="22"/>
          <w:szCs w:val="22"/>
          <w:lang w:val="en-US"/>
        </w:rPr>
      </w:pPr>
    </w:p>
    <w:tbl>
      <w:tblPr>
        <w:tblW w:w="5123" w:type="pct"/>
        <w:tblLook w:val="00A0" w:firstRow="1" w:lastRow="0" w:firstColumn="1" w:lastColumn="0" w:noHBand="0" w:noVBand="0"/>
      </w:tblPr>
      <w:tblGrid>
        <w:gridCol w:w="5243"/>
        <w:gridCol w:w="5391"/>
      </w:tblGrid>
      <w:tr w:rsidR="001F63BA" w:rsidRPr="001F63BA" w:rsidTr="00A6734C">
        <w:trPr>
          <w:trHeight w:val="701"/>
        </w:trPr>
        <w:tc>
          <w:tcPr>
            <w:tcW w:w="2500" w:type="pct"/>
          </w:tcPr>
          <w:p w:rsidR="001C411D" w:rsidRPr="001F63BA" w:rsidRDefault="001C411D" w:rsidP="00D508BE">
            <w:pPr>
              <w:pStyle w:val="a"/>
              <w:rPr>
                <w:rFonts w:cs="GHEA Grapalat"/>
                <w:b/>
                <w:i/>
                <w:sz w:val="18"/>
              </w:rPr>
            </w:pPr>
            <w:r w:rsidRPr="001F63BA">
              <w:t>ՀՀ դրամի անվանական փոխարժեքի ամսական դինամիկան հիմնական արժույթների նկատմամբ (բարձրացումը՝ դրամի արժեզրկում)</w:t>
            </w:r>
          </w:p>
        </w:tc>
        <w:tc>
          <w:tcPr>
            <w:tcW w:w="2500" w:type="pct"/>
          </w:tcPr>
          <w:p w:rsidR="001C411D" w:rsidRPr="001F63BA" w:rsidRDefault="001C411D" w:rsidP="00D508BE">
            <w:pPr>
              <w:pStyle w:val="a"/>
              <w:rPr>
                <w:rFonts w:cs="GHEA Grapalat"/>
                <w:b/>
                <w:i/>
                <w:sz w:val="18"/>
              </w:rPr>
            </w:pPr>
            <w:r w:rsidRPr="001F63BA">
              <w:t>ՀՀ իրական և անվանական արդյունավետ փոխարժեքների դինամիկան (աճ՝ արժևորում)</w:t>
            </w:r>
          </w:p>
        </w:tc>
      </w:tr>
      <w:tr w:rsidR="001C411D" w:rsidRPr="001F63BA" w:rsidTr="00A6734C">
        <w:trPr>
          <w:trHeight w:val="4022"/>
        </w:trPr>
        <w:tc>
          <w:tcPr>
            <w:tcW w:w="2500" w:type="pct"/>
          </w:tcPr>
          <w:p w:rsidR="001C411D" w:rsidRPr="001F63BA" w:rsidRDefault="001C411D" w:rsidP="00A6734C">
            <w:pPr>
              <w:spacing w:before="60" w:line="360" w:lineRule="auto"/>
              <w:jc w:val="both"/>
              <w:rPr>
                <w:rFonts w:ascii="GHEA Grapalat" w:hAnsi="GHEA Grapalat" w:cs="GHEA Grapalat"/>
              </w:rPr>
            </w:pPr>
            <w:r w:rsidRPr="001F63BA">
              <w:rPr>
                <w:rFonts w:ascii="GHEA Grapalat" w:hAnsi="GHEA Grapalat" w:cs="Sylfaen"/>
                <w:i/>
                <w:sz w:val="18"/>
                <w:szCs w:val="18"/>
                <w:lang w:val="en-US"/>
              </w:rPr>
              <w:object w:dxaOrig="5021" w:dyaOrig="4052">
                <v:shape id="Chart 24" o:spid="_x0000_i1026" type="#_x0000_t75" style="width:251.25pt;height:202.5pt;visibility:visible" o:ole="">
                  <v:imagedata r:id="rId54" o:title=""/>
                  <o:lock v:ext="edit" aspectratio="f"/>
                </v:shape>
                <o:OLEObject Type="Embed" ProgID="Excel.Sheet.8" ShapeID="Chart 24" DrawAspect="Content" ObjectID="_1748097463" r:id="rId55">
                  <o:FieldCodes>\s</o:FieldCodes>
                </o:OLEObject>
              </w:object>
            </w:r>
          </w:p>
        </w:tc>
        <w:tc>
          <w:tcPr>
            <w:tcW w:w="2500" w:type="pct"/>
          </w:tcPr>
          <w:p w:rsidR="001C411D" w:rsidRPr="001F63BA" w:rsidRDefault="009A358E" w:rsidP="00A6734C">
            <w:pPr>
              <w:spacing w:before="60" w:line="360" w:lineRule="auto"/>
              <w:jc w:val="both"/>
              <w:rPr>
                <w:rFonts w:ascii="GHEA Grapalat" w:hAnsi="GHEA Grapalat" w:cs="GHEA Grapalat"/>
              </w:rPr>
            </w:pPr>
            <w:r w:rsidRPr="001F63BA">
              <w:rPr>
                <w:rFonts w:cs="GHEA Grapalat"/>
                <w:i/>
                <w:sz w:val="18"/>
                <w:szCs w:val="20"/>
                <w:lang w:val="en-US"/>
              </w:rPr>
              <w:drawing>
                <wp:inline distT="0" distB="0" distL="0" distR="0" wp14:anchorId="568B9968" wp14:editId="44891900">
                  <wp:extent cx="3286125" cy="2571750"/>
                  <wp:effectExtent l="0" t="0" r="0" b="0"/>
                  <wp:docPr id="36"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r w:rsidR="001C411D" w:rsidRPr="001F63BA" w:rsidTr="00A6734C">
        <w:trPr>
          <w:trHeight w:val="207"/>
        </w:trPr>
        <w:tc>
          <w:tcPr>
            <w:tcW w:w="2500" w:type="pct"/>
          </w:tcPr>
          <w:p w:rsidR="001C411D" w:rsidRPr="001F63BA" w:rsidRDefault="001C411D" w:rsidP="00A6734C">
            <w:pPr>
              <w:spacing w:line="360" w:lineRule="auto"/>
              <w:jc w:val="both"/>
              <w:rPr>
                <w:rFonts w:ascii="GHEA Grapalat" w:hAnsi="GHEA Grapalat" w:cs="Sylfaen"/>
                <w:i/>
                <w:sz w:val="18"/>
                <w:szCs w:val="18"/>
              </w:rPr>
            </w:pPr>
            <w:r w:rsidRPr="001F63BA">
              <w:rPr>
                <w:rFonts w:ascii="GHEA Grapalat" w:hAnsi="GHEA Grapalat" w:cs="Sylfaen"/>
                <w:i/>
                <w:sz w:val="18"/>
                <w:szCs w:val="18"/>
              </w:rPr>
              <w:t>Աղբյուրը՝ ՀՀ ԿԲ</w:t>
            </w:r>
          </w:p>
        </w:tc>
        <w:tc>
          <w:tcPr>
            <w:tcW w:w="2500" w:type="pct"/>
          </w:tcPr>
          <w:p w:rsidR="001C411D" w:rsidRPr="001F63BA" w:rsidRDefault="001C411D" w:rsidP="00A6734C">
            <w:pPr>
              <w:spacing w:line="360" w:lineRule="auto"/>
              <w:jc w:val="both"/>
              <w:rPr>
                <w:rFonts w:ascii="GHEA Grapalat" w:hAnsi="GHEA Grapalat" w:cs="GHEA Grapalat"/>
                <w:b/>
                <w:i/>
                <w:sz w:val="18"/>
                <w:szCs w:val="20"/>
              </w:rPr>
            </w:pPr>
            <w:r w:rsidRPr="001F63BA">
              <w:rPr>
                <w:rFonts w:ascii="GHEA Grapalat" w:hAnsi="GHEA Grapalat" w:cs="Sylfaen"/>
                <w:i/>
                <w:sz w:val="18"/>
                <w:szCs w:val="18"/>
              </w:rPr>
              <w:t>Աղբյուրը՝ ՀՀ ԿԲ, ՀՀ ՖՆ հաշվարկներ</w:t>
            </w:r>
            <w:r w:rsidRPr="001F63BA" w:rsidDel="00B027E9">
              <w:rPr>
                <w:rFonts w:ascii="GHEA Grapalat" w:hAnsi="GHEA Grapalat" w:cs="GHEA Grapalat"/>
                <w:b/>
                <w:i/>
                <w:sz w:val="18"/>
                <w:szCs w:val="20"/>
              </w:rPr>
              <w:t xml:space="preserve"> </w:t>
            </w:r>
          </w:p>
        </w:tc>
      </w:tr>
    </w:tbl>
    <w:p w:rsidR="001C411D" w:rsidRPr="001F63BA" w:rsidRDefault="001C411D" w:rsidP="00952E30">
      <w:pPr>
        <w:spacing w:before="120" w:line="360" w:lineRule="auto"/>
        <w:ind w:firstLine="567"/>
        <w:jc w:val="both"/>
        <w:rPr>
          <w:rFonts w:ascii="GHEA Grapalat" w:hAnsi="GHEA Grapalat" w:cs="GHEA Grapalat"/>
          <w:sz w:val="22"/>
          <w:szCs w:val="22"/>
        </w:rPr>
      </w:pPr>
    </w:p>
    <w:p w:rsidR="001C411D" w:rsidRPr="001F63BA" w:rsidRDefault="001C411D" w:rsidP="00F77A76">
      <w:pPr>
        <w:spacing w:line="360" w:lineRule="auto"/>
        <w:ind w:firstLine="567"/>
        <w:jc w:val="both"/>
        <w:rPr>
          <w:rFonts w:cs="GHEA Grapalat"/>
        </w:rPr>
      </w:pPr>
      <w:r w:rsidRPr="001F63BA">
        <w:rPr>
          <w:rFonts w:ascii="GHEA Grapalat" w:hAnsi="GHEA Grapalat" w:cs="GHEA Grapalat"/>
          <w:b/>
          <w:i/>
          <w:sz w:val="22"/>
          <w:szCs w:val="22"/>
        </w:rPr>
        <w:t>Արդյունավետ փոխարժեքներ:</w:t>
      </w:r>
      <w:r w:rsidRPr="001F63BA">
        <w:rPr>
          <w:rFonts w:ascii="GHEA Grapalat" w:hAnsi="GHEA Grapalat" w:cs="GHEA Grapalat"/>
          <w:sz w:val="22"/>
          <w:szCs w:val="22"/>
        </w:rPr>
        <w:t xml:space="preserve"> ՀՀ արտաքին առևտրի տեսանկյունից առավել կարևոր արժույթներից բաղկացած զամբյուղի նկատմամբ ՀՀ ազգային արժույթն անվանական արտահայտությամբ 2022 թվակա</w:t>
      </w:r>
      <w:r w:rsidRPr="001F63BA">
        <w:rPr>
          <w:rFonts w:ascii="GHEA Grapalat" w:hAnsi="GHEA Grapalat" w:cs="GHEA Grapalat"/>
          <w:sz w:val="22"/>
          <w:szCs w:val="22"/>
          <w:lang w:val="en-US"/>
        </w:rPr>
        <w:t>ն</w:t>
      </w:r>
      <w:r w:rsidRPr="001F63BA">
        <w:rPr>
          <w:rFonts w:ascii="GHEA Grapalat" w:hAnsi="GHEA Grapalat" w:cs="GHEA Grapalat"/>
          <w:sz w:val="22"/>
          <w:szCs w:val="22"/>
        </w:rPr>
        <w:t>ին արժևորվել է 40%-ով, իսկ իրական արտահայտությամբ՝ 33.5%-ով։</w:t>
      </w:r>
    </w:p>
    <w:bookmarkEnd w:id="84"/>
    <w:bookmarkEnd w:id="85"/>
    <w:p w:rsidR="001C411D" w:rsidRPr="001F63BA" w:rsidRDefault="001C411D" w:rsidP="00F4064A">
      <w:pPr>
        <w:spacing w:line="336" w:lineRule="auto"/>
        <w:ind w:firstLine="567"/>
        <w:jc w:val="both"/>
        <w:rPr>
          <w:rFonts w:ascii="GHEA Grapalat" w:hAnsi="GHEA Grapalat" w:cs="GHEA Grapalat"/>
          <w:b/>
          <w:i/>
          <w:sz w:val="22"/>
          <w:szCs w:val="22"/>
          <w:lang w:val="en-US"/>
        </w:rPr>
      </w:pPr>
    </w:p>
    <w:p w:rsidR="001C411D" w:rsidRPr="001F63BA" w:rsidRDefault="001C411D" w:rsidP="00A07DCC">
      <w:pPr>
        <w:pStyle w:val="Heading6"/>
        <w:ind w:left="567"/>
        <w:rPr>
          <w:rFonts w:ascii="GHEA Grapalat" w:hAnsi="GHEA Grapalat"/>
          <w:b/>
          <w:sz w:val="22"/>
          <w:szCs w:val="22"/>
          <w:u w:val="none"/>
        </w:rPr>
      </w:pPr>
      <w:r w:rsidRPr="001F63BA">
        <w:rPr>
          <w:rFonts w:ascii="GHEA Grapalat" w:hAnsi="GHEA Grapalat"/>
          <w:b/>
          <w:sz w:val="22"/>
          <w:szCs w:val="22"/>
          <w:u w:val="none"/>
        </w:rPr>
        <w:lastRenderedPageBreak/>
        <w:t>Ֆինանսական շուկաներ</w:t>
      </w:r>
      <w:r w:rsidRPr="001F63BA">
        <w:rPr>
          <w:rFonts w:ascii="GHEA Grapalat" w:hAnsi="GHEA Grapalat"/>
          <w:b/>
          <w:sz w:val="22"/>
          <w:szCs w:val="22"/>
          <w:u w:val="none"/>
          <w:vertAlign w:val="superscript"/>
        </w:rPr>
        <w:footnoteReference w:id="25"/>
      </w:r>
    </w:p>
    <w:p w:rsidR="001C411D" w:rsidRPr="001F63BA" w:rsidRDefault="001C411D" w:rsidP="00833581">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b/>
          <w:i/>
          <w:sz w:val="22"/>
          <w:szCs w:val="22"/>
        </w:rPr>
        <w:t>Վարկեր և ավանդներ:</w:t>
      </w:r>
      <w:r w:rsidRPr="001F63BA">
        <w:rPr>
          <w:rFonts w:ascii="GHEA Grapalat" w:hAnsi="GHEA Grapalat" w:cs="GHEA Grapalat"/>
          <w:sz w:val="22"/>
          <w:szCs w:val="22"/>
        </w:rPr>
        <w:t xml:space="preserve"> 2021 թվականին գրանցված վարկերի ծավալների անկումից հետո 2022 թվականի ընթացքում վարկերի ծավալները որոշակիորեն աճել են՝ չնայած ԱՄՆ դոլարի նկատմամբ դրամի արժևորումը հանգեցրել է դրամային արտահայտությամբ արտարժութային վարկերի էական նվազման։ 2022 թվականին առևտրային բանկերի կողմից ռեզիդենտներին տրամադրված վարկերի ծավալների աճը կազմել է 6.2%</w:t>
      </w:r>
      <w:r w:rsidRPr="001F63BA">
        <w:rPr>
          <w:rFonts w:ascii="GHEA Grapalat" w:hAnsi="GHEA Grapalat" w:cs="GHEA Grapalat"/>
          <w:sz w:val="22"/>
          <w:szCs w:val="22"/>
          <w:vertAlign w:val="superscript"/>
        </w:rPr>
        <w:footnoteReference w:id="26"/>
      </w:r>
      <w:r w:rsidRPr="001F63BA">
        <w:rPr>
          <w:rFonts w:ascii="GHEA Grapalat" w:hAnsi="GHEA Grapalat" w:cs="GHEA Grapalat"/>
          <w:sz w:val="22"/>
          <w:szCs w:val="22"/>
        </w:rPr>
        <w:t>՝ 2021 թվականին արձանագրված 4.3% անկման համեմատ: Վարկերի աճին 11.8 տոկոսային կետով նպաստել է դրամային վարկերի աճը, իսկ արտարժութային վարկերն ունեցել են բացասական նպաստում՝ 5.7 տոկոսային կետով (արտարժութային վարկերը դրամային արտահայտությամբ նվազել են 12.9%-ով՝ պայմանավորված ԱՄՆ դոլարի նկատմամբ դրամի արժևորմամբ):</w:t>
      </w:r>
    </w:p>
    <w:p w:rsidR="001C411D" w:rsidRPr="001F63BA" w:rsidRDefault="001C411D" w:rsidP="00833581">
      <w:pPr>
        <w:spacing w:before="120" w:line="360" w:lineRule="auto"/>
        <w:ind w:firstLine="567"/>
        <w:jc w:val="both"/>
        <w:rPr>
          <w:rFonts w:ascii="GHEA Grapalat" w:hAnsi="GHEA Grapalat" w:cs="GHEA Grapalat"/>
          <w:sz w:val="22"/>
          <w:szCs w:val="22"/>
          <w:lang w:val="en-US"/>
        </w:rPr>
      </w:pPr>
    </w:p>
    <w:p w:rsidR="000E04F6" w:rsidRPr="001F63BA" w:rsidRDefault="000E04F6" w:rsidP="00D508BE">
      <w:pPr>
        <w:pStyle w:val="a"/>
      </w:pPr>
      <w:r w:rsidRPr="001F63BA">
        <w:t>Ռեզիդենտների վարկերի և ավանդների ծավալների աճը (նախորդ տարվա նկատմամբ, %)</w:t>
      </w:r>
      <w:r w:rsidRPr="001F63BA">
        <w:rPr>
          <w:vertAlign w:val="superscript"/>
        </w:rPr>
        <w:footnoteReference w:id="27"/>
      </w:r>
    </w:p>
    <w:p w:rsidR="000E04F6" w:rsidRPr="001F63BA" w:rsidRDefault="000E04F6" w:rsidP="000E04F6">
      <w:pPr>
        <w:jc w:val="both"/>
        <w:rPr>
          <w:rFonts w:ascii="GHEA Grapalat" w:eastAsia="Calibri" w:hAnsi="GHEA Grapalat" w:cs="Sylfaen"/>
          <w:sz w:val="22"/>
          <w:szCs w:val="22"/>
        </w:rPr>
      </w:pPr>
      <w:r w:rsidRPr="001F63BA">
        <w:rPr>
          <w:rFonts w:ascii="GHEA Grapalat" w:hAnsi="GHEA Grapalat"/>
          <w:sz w:val="28"/>
          <w:lang w:val="en-US"/>
        </w:rPr>
        <w:drawing>
          <wp:inline distT="0" distB="0" distL="0" distR="0" wp14:anchorId="5A90F641" wp14:editId="064412FA">
            <wp:extent cx="3028950" cy="2886075"/>
            <wp:effectExtent l="0" t="0" r="0" b="0"/>
            <wp:docPr id="123" name="Chart 1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1F63BA">
        <w:rPr>
          <w:rFonts w:ascii="GHEA Grapalat" w:eastAsia="Calibri" w:hAnsi="GHEA Grapalat" w:cs="Sylfaen"/>
          <w:sz w:val="22"/>
          <w:szCs w:val="22"/>
        </w:rPr>
        <w:t xml:space="preserve"> </w:t>
      </w:r>
      <w:r w:rsidRPr="001F63BA">
        <w:rPr>
          <w:rFonts w:ascii="GHEA Grapalat" w:hAnsi="GHEA Grapalat"/>
          <w:sz w:val="28"/>
          <w:lang w:val="en-US"/>
        </w:rPr>
        <w:drawing>
          <wp:inline distT="0" distB="0" distL="0" distR="0" wp14:anchorId="7C98C1DB" wp14:editId="0B51E1E0">
            <wp:extent cx="3028950" cy="2886075"/>
            <wp:effectExtent l="0" t="0" r="0" b="0"/>
            <wp:docPr id="122" name="Chart 1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E04F6" w:rsidRPr="001F63BA" w:rsidRDefault="000E04F6" w:rsidP="000E04F6">
      <w:pPr>
        <w:spacing w:after="120" w:line="360" w:lineRule="auto"/>
        <w:jc w:val="both"/>
        <w:rPr>
          <w:rFonts w:ascii="GHEA Grapalat" w:eastAsia="Calibri" w:hAnsi="GHEA Grapalat" w:cs="Sylfaen"/>
          <w:sz w:val="22"/>
          <w:szCs w:val="22"/>
        </w:rPr>
      </w:pPr>
      <w:r w:rsidRPr="001F63BA">
        <w:rPr>
          <w:rFonts w:ascii="GHEA Grapalat" w:hAnsi="GHEA Grapalat" w:cs="Sylfaen"/>
          <w:i/>
          <w:sz w:val="18"/>
          <w:szCs w:val="18"/>
        </w:rPr>
        <w:t>Աղբյուրը՝ ՀՀ ԿԲ և ՀՀ ՖՆ հաշվարկներ: 2022</w:t>
      </w:r>
      <w:r w:rsidRPr="001F63BA">
        <w:rPr>
          <w:rFonts w:ascii="GHEA Grapalat" w:hAnsi="GHEA Grapalat" w:cs="Sylfaen"/>
          <w:i/>
          <w:sz w:val="18"/>
          <w:szCs w:val="18"/>
          <w:lang w:val="en-US"/>
        </w:rPr>
        <w:t xml:space="preserve"> </w:t>
      </w:r>
      <w:r w:rsidRPr="001F63BA">
        <w:rPr>
          <w:rFonts w:ascii="GHEA Grapalat" w:hAnsi="GHEA Grapalat" w:cs="Sylfaen"/>
          <w:i/>
          <w:sz w:val="18"/>
          <w:szCs w:val="18"/>
        </w:rPr>
        <w:t>թ</w:t>
      </w:r>
      <w:r w:rsidRPr="001F63BA">
        <w:rPr>
          <w:rFonts w:ascii="GHEA Grapalat" w:hAnsi="GHEA Grapalat" w:cs="Sylfaen"/>
          <w:i/>
          <w:sz w:val="18"/>
          <w:szCs w:val="18"/>
          <w:lang w:val="en-US"/>
        </w:rPr>
        <w:t>վական</w:t>
      </w:r>
      <w:r w:rsidRPr="001F63BA">
        <w:rPr>
          <w:rFonts w:ascii="GHEA Grapalat" w:hAnsi="GHEA Grapalat" w:cs="GHEA Grapalat"/>
          <w:i/>
          <w:sz w:val="18"/>
          <w:szCs w:val="18"/>
        </w:rPr>
        <w:t>ի</w:t>
      </w:r>
      <w:r w:rsidRPr="001F63BA">
        <w:rPr>
          <w:rFonts w:ascii="GHEA Grapalat" w:hAnsi="GHEA Grapalat" w:cs="Sylfaen"/>
          <w:i/>
          <w:sz w:val="18"/>
          <w:szCs w:val="18"/>
        </w:rPr>
        <w:t xml:space="preserve"> </w:t>
      </w:r>
      <w:r w:rsidRPr="001F63BA">
        <w:rPr>
          <w:rFonts w:ascii="GHEA Grapalat" w:hAnsi="GHEA Grapalat" w:cs="GHEA Grapalat"/>
          <w:i/>
          <w:sz w:val="18"/>
          <w:szCs w:val="18"/>
        </w:rPr>
        <w:t>համար</w:t>
      </w:r>
      <w:r w:rsidRPr="001F63BA">
        <w:rPr>
          <w:rFonts w:ascii="GHEA Grapalat" w:hAnsi="GHEA Grapalat" w:cs="Sylfaen"/>
          <w:i/>
          <w:sz w:val="18"/>
          <w:szCs w:val="18"/>
        </w:rPr>
        <w:t xml:space="preserve"> </w:t>
      </w:r>
      <w:r w:rsidRPr="001F63BA">
        <w:rPr>
          <w:rFonts w:ascii="GHEA Grapalat" w:hAnsi="GHEA Grapalat" w:cs="GHEA Grapalat"/>
          <w:i/>
          <w:sz w:val="18"/>
          <w:szCs w:val="18"/>
        </w:rPr>
        <w:t>առանց</w:t>
      </w:r>
      <w:r w:rsidRPr="001F63BA">
        <w:rPr>
          <w:rFonts w:ascii="GHEA Grapalat" w:hAnsi="GHEA Grapalat" w:cs="Sylfaen"/>
          <w:i/>
          <w:sz w:val="18"/>
          <w:szCs w:val="18"/>
        </w:rPr>
        <w:t xml:space="preserve"> </w:t>
      </w:r>
      <w:r w:rsidRPr="001F63BA">
        <w:rPr>
          <w:rFonts w:ascii="GHEA Grapalat" w:hAnsi="GHEA Grapalat" w:cs="GHEA Grapalat"/>
          <w:i/>
          <w:sz w:val="18"/>
          <w:szCs w:val="18"/>
        </w:rPr>
        <w:t>դրամի</w:t>
      </w:r>
      <w:r w:rsidRPr="001F63BA">
        <w:rPr>
          <w:rFonts w:ascii="GHEA Grapalat" w:hAnsi="GHEA Grapalat" w:cs="Sylfaen"/>
          <w:i/>
          <w:sz w:val="18"/>
          <w:szCs w:val="18"/>
        </w:rPr>
        <w:t xml:space="preserve"> </w:t>
      </w:r>
      <w:r w:rsidRPr="001F63BA">
        <w:rPr>
          <w:rFonts w:ascii="GHEA Grapalat" w:hAnsi="GHEA Grapalat" w:cs="GHEA Grapalat"/>
          <w:i/>
          <w:sz w:val="18"/>
          <w:szCs w:val="18"/>
        </w:rPr>
        <w:t>արժևորման</w:t>
      </w:r>
      <w:r w:rsidRPr="001F63BA">
        <w:rPr>
          <w:rFonts w:ascii="GHEA Grapalat" w:hAnsi="GHEA Grapalat" w:cs="Sylfaen"/>
          <w:i/>
          <w:sz w:val="18"/>
          <w:szCs w:val="18"/>
        </w:rPr>
        <w:t xml:space="preserve"> </w:t>
      </w:r>
      <w:r w:rsidRPr="001F63BA">
        <w:rPr>
          <w:rFonts w:ascii="GHEA Grapalat" w:hAnsi="GHEA Grapalat" w:cs="GHEA Grapalat"/>
          <w:i/>
          <w:sz w:val="18"/>
          <w:szCs w:val="18"/>
        </w:rPr>
        <w:t>վարկերի</w:t>
      </w:r>
      <w:r w:rsidRPr="001F63BA">
        <w:rPr>
          <w:rFonts w:ascii="GHEA Grapalat" w:hAnsi="GHEA Grapalat" w:cs="Sylfaen"/>
          <w:i/>
          <w:sz w:val="18"/>
          <w:szCs w:val="18"/>
        </w:rPr>
        <w:t xml:space="preserve"> </w:t>
      </w:r>
      <w:r w:rsidRPr="001F63BA">
        <w:rPr>
          <w:rFonts w:ascii="GHEA Grapalat" w:hAnsi="GHEA Grapalat" w:cs="GHEA Grapalat"/>
          <w:i/>
          <w:sz w:val="18"/>
          <w:szCs w:val="18"/>
        </w:rPr>
        <w:t>և</w:t>
      </w:r>
      <w:r w:rsidRPr="001F63BA">
        <w:rPr>
          <w:rFonts w:ascii="GHEA Grapalat" w:hAnsi="GHEA Grapalat" w:cs="Sylfaen"/>
          <w:i/>
          <w:sz w:val="18"/>
          <w:szCs w:val="18"/>
        </w:rPr>
        <w:t xml:space="preserve"> </w:t>
      </w:r>
      <w:r w:rsidRPr="001F63BA">
        <w:rPr>
          <w:rFonts w:ascii="GHEA Grapalat" w:hAnsi="GHEA Grapalat" w:cs="GHEA Grapalat"/>
          <w:i/>
          <w:sz w:val="18"/>
          <w:szCs w:val="18"/>
        </w:rPr>
        <w:t>ավանդների</w:t>
      </w:r>
      <w:r w:rsidRPr="001F63BA">
        <w:rPr>
          <w:rFonts w:ascii="GHEA Grapalat" w:hAnsi="GHEA Grapalat" w:cs="Sylfaen"/>
          <w:i/>
          <w:sz w:val="18"/>
          <w:szCs w:val="18"/>
        </w:rPr>
        <w:t xml:space="preserve"> </w:t>
      </w:r>
      <w:r w:rsidRPr="001F63BA">
        <w:rPr>
          <w:rFonts w:ascii="GHEA Grapalat" w:hAnsi="GHEA Grapalat" w:cs="GHEA Grapalat"/>
          <w:i/>
          <w:sz w:val="18"/>
          <w:szCs w:val="18"/>
        </w:rPr>
        <w:t>աճի</w:t>
      </w:r>
      <w:r w:rsidRPr="001F63BA">
        <w:rPr>
          <w:rFonts w:ascii="GHEA Grapalat" w:hAnsi="GHEA Grapalat" w:cs="Sylfaen"/>
          <w:i/>
          <w:sz w:val="18"/>
          <w:szCs w:val="18"/>
        </w:rPr>
        <w:t xml:space="preserve"> </w:t>
      </w:r>
      <w:r w:rsidRPr="001F63BA">
        <w:rPr>
          <w:rFonts w:ascii="GHEA Grapalat" w:hAnsi="GHEA Grapalat" w:cs="GHEA Grapalat"/>
          <w:i/>
          <w:sz w:val="18"/>
          <w:szCs w:val="18"/>
        </w:rPr>
        <w:t>տեմպերը</w:t>
      </w:r>
    </w:p>
    <w:p w:rsidR="001C411D" w:rsidRPr="001F63BA" w:rsidRDefault="001C411D" w:rsidP="00833581">
      <w:pPr>
        <w:spacing w:line="360" w:lineRule="auto"/>
        <w:ind w:firstLine="567"/>
        <w:jc w:val="both"/>
        <w:rPr>
          <w:rFonts w:ascii="GHEA Grapalat" w:hAnsi="GHEA Grapalat" w:cs="GHEA Grapalat"/>
          <w:sz w:val="22"/>
          <w:szCs w:val="22"/>
          <w:lang w:val="en-US"/>
        </w:rPr>
      </w:pP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lastRenderedPageBreak/>
        <w:t>Վարկերի աճը հիմնականում պայմանավորվել է հի</w:t>
      </w:r>
      <w:r w:rsidRPr="001F63BA">
        <w:rPr>
          <w:rFonts w:ascii="GHEA Grapalat" w:hAnsi="GHEA Grapalat" w:cs="GHEA Grapalat"/>
          <w:sz w:val="22"/>
          <w:szCs w:val="22"/>
          <w:lang w:val="en-US"/>
        </w:rPr>
        <w:t>պ</w:t>
      </w:r>
      <w:r w:rsidRPr="001F63BA">
        <w:rPr>
          <w:rFonts w:ascii="GHEA Grapalat" w:hAnsi="GHEA Grapalat" w:cs="GHEA Grapalat"/>
          <w:sz w:val="22"/>
          <w:szCs w:val="22"/>
        </w:rPr>
        <w:t>ո</w:t>
      </w:r>
      <w:r w:rsidRPr="001F63BA">
        <w:rPr>
          <w:rFonts w:ascii="GHEA Grapalat" w:hAnsi="GHEA Grapalat" w:cs="GHEA Grapalat"/>
          <w:sz w:val="22"/>
          <w:szCs w:val="22"/>
          <w:lang w:val="en-US"/>
        </w:rPr>
        <w:t>տ</w:t>
      </w:r>
      <w:r w:rsidRPr="001F63BA">
        <w:rPr>
          <w:rFonts w:ascii="GHEA Grapalat" w:hAnsi="GHEA Grapalat" w:cs="GHEA Grapalat"/>
          <w:sz w:val="22"/>
          <w:szCs w:val="22"/>
        </w:rPr>
        <w:t>եկային (աճը՝ 29.7%, նպաստումը՝ 5.4 տոկոսային կետ), սպառողական (աճը՝ 8.6%, նպաստումը՝ 2 տոկոսային կետ) վարկերով, շինարարության (աճը՝ 10.9%, նպաստումը՝ 1 տոկոսային կետ) և գյուղատնտեսության վարկերով (աճը՝ 6.7%, նպաստումը՝ 0.4 տոկոսային կետ), իսկ տրանսպորտի և կապի, սպասարկման, առևտրի և արդյունաբերության ոլորտներին ուղղված վարկերը բացասական նպաստում են ունեցել (համապատասխանաբար 1.1, 1.0, 0.4 և 0.1 տոկոսային կետով):</w:t>
      </w: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2022 թվականին ավանդների ծավալները նախորդ տարվա նկատմամբ շարունակել են աճել, թեպետ աճի տեմպի վրա նվազեցնող ազդեցություն է ունեցել ԱՄՆ դոլարի նկատմամբ դրամի արժևորումը։ Առևտրային բանկերի կողմից ռեզիդենտներից ներգրավված ավանդներն աճել են 17.5%</w:t>
      </w:r>
      <w:r w:rsidRPr="001F63BA">
        <w:rPr>
          <w:rFonts w:ascii="GHEA Grapalat" w:hAnsi="GHEA Grapalat" w:cs="GHEA Grapalat"/>
          <w:sz w:val="22"/>
          <w:szCs w:val="22"/>
        </w:rPr>
        <w:noBreakHyphen/>
        <w:t xml:space="preserve">ով, որին նպաստել է ինչպես տնային տնտեսությունների, այնպես էլ ձեռնարկությունների ավանդների աճը՝ համապատասխանաբար 5.1 և 7.9 տոկոսային կետով։ Արժութային կառուցվածքի տեսակետից 8.0 տոկոսային կետով դրական նպաստում է ունեցել դրամային ավանդների աճը, իսկ արտարժութային ավանդների նպաստումը կազմել է 9.5 տոկոսային կետ: Ավանդների աճն ամբողջությամբ տեղի է ունեցել ցպահանջ ավանդների հաշվին։ Վերջիններիս նպաստումը ռեզիդենտների ավանդային պորտֆելի աճին կազմել է 18.5 տոկոսային կետ, մինչդեռ ժամկետային ավանդները բացասաբար են նպաստել պորտֆելի փոփոխությանը։ Ոչ ռեզիդենտների ավանդների աճի տեմպը կտրուկ արագացել է՝ տարեվերջին կազմելով 62.4%, իսկ դրանց նպաստումը բանկերի ավանդային պորտֆելի աճին կազմել է 13.6%-ային կետ։ Ընդհանուր առմամբ, ոչ ռեզիդենտների ավանդները տարվա ընթացքում ավելացել են 549 մլրդ դրամով, որից 514 մլրդ դրամը արտարժույթով են, ինչն արտահայտում է դեպի ՀՀ միջազգային այցելուների, ինչպես նաև աշխատանքային նպատակներով տեղափոխված անձանցով պայմանավորված արտարժութային հոսքերը դեպի ՀՀ։ </w:t>
      </w: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2022 թվականին ամիսներին ավանդների դոլարայնացման մակարդակն աճել է, իսկ վարկերինը՝ նվազել՝ հիմնականում պայմանավորված ԱՄՆ դոլարի նկատմամբ ՀՀ դրամի արժևորմամբ: Ռեզիդենտների արտարժութային ավանդներ/ընդամենը ավանդներ հարաբերակցությունը նախորդ տարվա համեմատ աճել է 1.9 տոկոսային կետով՝ կազմելով 43.6%, իսկ ռեզիդենտների վարկավորման ընդհանուր կառուցվածքում արտարժույթով վարկերի կշիռը նվազել է 8.2 տոկոսային կետով՝ կազմելով 35.6%։ Առանց դրամի արժևորման՝ ավանդների դոլարայնացումը կաճեր 7.0 տոկոսային կետով, իսկ վարկերի դոլարայնացումը կնվազեր 3.0 տոկոսային կետով՝ պայմանավորված առաջին դեպքում արտարժութային ավանդների, և երկրորդ դեպքում՝ դրամային վարկերի առաջանցիկ աճերով</w:t>
      </w:r>
      <w:r w:rsidRPr="001F63BA">
        <w:rPr>
          <w:rFonts w:ascii="GHEA Grapalat" w:hAnsi="GHEA Grapalat" w:cs="GHEA Grapalat"/>
          <w:sz w:val="22"/>
          <w:szCs w:val="22"/>
          <w:vertAlign w:val="superscript"/>
        </w:rPr>
        <w:footnoteReference w:id="28"/>
      </w:r>
      <w:r w:rsidRPr="001F63BA">
        <w:rPr>
          <w:rFonts w:ascii="GHEA Grapalat" w:hAnsi="GHEA Grapalat" w:cs="GHEA Grapalat"/>
          <w:sz w:val="22"/>
          <w:szCs w:val="22"/>
        </w:rPr>
        <w:t>։</w:t>
      </w:r>
    </w:p>
    <w:p w:rsidR="001C411D" w:rsidRPr="001F63BA" w:rsidRDefault="001C411D" w:rsidP="00833581">
      <w:pPr>
        <w:spacing w:line="360" w:lineRule="auto"/>
        <w:ind w:firstLine="567"/>
        <w:jc w:val="both"/>
        <w:rPr>
          <w:rFonts w:ascii="GHEA Grapalat" w:hAnsi="GHEA Grapalat" w:cs="GHEA Grapalat"/>
          <w:sz w:val="22"/>
          <w:szCs w:val="22"/>
        </w:rPr>
      </w:pPr>
    </w:p>
    <w:p w:rsidR="001C411D" w:rsidRPr="001F63BA" w:rsidRDefault="001C411D" w:rsidP="00D508BE">
      <w:pPr>
        <w:pStyle w:val="a"/>
      </w:pPr>
      <w:r w:rsidRPr="001F63BA">
        <w:t>ՀՀ բանկերի վարկային և ավանդային պորտֆելները, 2018-2022</w:t>
      </w:r>
      <w:r w:rsidR="00F0116F" w:rsidRPr="001F63BA">
        <w:t>թթ.</w:t>
      </w:r>
    </w:p>
    <w:p w:rsidR="001C411D" w:rsidRPr="001F63BA" w:rsidRDefault="009A358E" w:rsidP="00833581">
      <w:pPr>
        <w:spacing w:line="360" w:lineRule="auto"/>
        <w:jc w:val="both"/>
        <w:rPr>
          <w:rFonts w:ascii="GHEA Grapalat" w:hAnsi="GHEA Grapalat" w:cs="Sylfaen"/>
          <w:sz w:val="22"/>
          <w:szCs w:val="22"/>
        </w:rPr>
      </w:pPr>
      <w:r w:rsidRPr="001F63BA">
        <w:rPr>
          <w:rFonts w:ascii="GHEA Grapalat" w:hAnsi="GHEA Grapalat" w:cs="Sylfaen"/>
          <w:sz w:val="22"/>
          <w:szCs w:val="22"/>
          <w:lang w:val="en-US"/>
        </w:rPr>
        <w:drawing>
          <wp:inline distT="0" distB="0" distL="0" distR="0" wp14:anchorId="5F5316D4" wp14:editId="119FB5A9">
            <wp:extent cx="3076575" cy="3181350"/>
            <wp:effectExtent l="0" t="0" r="0" b="0"/>
            <wp:docPr id="39" name="Chart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1C411D" w:rsidRPr="001F63BA">
        <w:rPr>
          <w:rFonts w:ascii="GHEA Grapalat" w:hAnsi="GHEA Grapalat" w:cs="Sylfaen"/>
          <w:sz w:val="22"/>
          <w:szCs w:val="22"/>
        </w:rPr>
        <w:t xml:space="preserve"> </w:t>
      </w:r>
      <w:r w:rsidRPr="001F63BA">
        <w:rPr>
          <w:rFonts w:ascii="GHEA Grapalat" w:hAnsi="GHEA Grapalat" w:cs="Sylfaen"/>
          <w:sz w:val="22"/>
          <w:szCs w:val="22"/>
          <w:lang w:val="en-US"/>
        </w:rPr>
        <w:drawing>
          <wp:inline distT="0" distB="0" distL="0" distR="0" wp14:anchorId="3708C46D" wp14:editId="66644DA1">
            <wp:extent cx="3162300" cy="3181350"/>
            <wp:effectExtent l="0" t="0" r="0" b="0"/>
            <wp:docPr id="40" name="Chart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1C411D" w:rsidRPr="001F63BA" w:rsidRDefault="001C411D" w:rsidP="00833581">
      <w:pPr>
        <w:spacing w:after="120" w:line="360" w:lineRule="auto"/>
        <w:jc w:val="both"/>
        <w:rPr>
          <w:rFonts w:ascii="GHEA Grapalat" w:hAnsi="GHEA Grapalat" w:cs="Sylfaen"/>
          <w:i/>
          <w:iCs/>
          <w:sz w:val="22"/>
          <w:szCs w:val="22"/>
        </w:rPr>
      </w:pPr>
      <w:r w:rsidRPr="001F63BA">
        <w:rPr>
          <w:rFonts w:ascii="GHEA Grapalat" w:hAnsi="GHEA Grapalat"/>
          <w:i/>
          <w:iCs/>
          <w:sz w:val="18"/>
          <w:szCs w:val="18"/>
        </w:rPr>
        <w:t>Աղբյուրը՝ ՀՀ ԿԲ, ՀՀ ՖՆ հաշվարկներ</w:t>
      </w:r>
    </w:p>
    <w:p w:rsidR="001C411D" w:rsidRPr="001F63BA" w:rsidRDefault="001C411D" w:rsidP="00F0116F">
      <w:pPr>
        <w:ind w:firstLine="567"/>
        <w:jc w:val="both"/>
        <w:rPr>
          <w:rFonts w:ascii="GHEA Grapalat" w:hAnsi="GHEA Grapalat" w:cs="GHEA Grapalat"/>
          <w:sz w:val="22"/>
          <w:szCs w:val="22"/>
        </w:rPr>
      </w:pP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b/>
          <w:i/>
          <w:sz w:val="22"/>
          <w:szCs w:val="22"/>
        </w:rPr>
        <w:t>Վարկերի և ավանդների տոկոսադրույքներ:</w:t>
      </w:r>
      <w:r w:rsidRPr="001F63BA">
        <w:rPr>
          <w:rFonts w:ascii="GHEA Grapalat" w:hAnsi="GHEA Grapalat" w:cs="GHEA Grapalat"/>
          <w:sz w:val="22"/>
          <w:szCs w:val="22"/>
        </w:rPr>
        <w:t xml:space="preserve"> 2022 թվականի ընթացքում ՀՀ դրամով վարկերի և ավանդների տոկոսադրույքները էականորեն չեն փոփոխվել, ինչին նպաստել է ֆինանսական շուկայում ավանդների առաջարկի (այդ թվում՝ ոչ ռեզիդենտների կողմից) զգալի ավելացմանը, որը հակակշռել է վերաֆինանսավորման տոկոսադրույքի բարձրացման ազդեցությանը։ 2022 թվականին ՀՀ դրամով վարկավորման (մինչև մեկ տարի ժամկետով) միջին տարեկան տոկոսադրույքը կազմել է 11.7%՝ նախորդ տարվա նկատմամբ նվազելով 0.1 տոկոսային կետով: ՀՀ դրամային ավանդների (մինչև մեկ տարի ժամկետով) միջին տոկոսադրույքը կազմել է 8.4%՝ նախորդ տարվա համեմատ աճելով 0.2 տոկոսային կետով:</w:t>
      </w: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Արտարժույթով ավանդների (մինչև մեկ տարի ժամկետով) և վարկերի միջին տարեկան տոկոսադրույքը 2022 թվականին նախորդ տարվա համեմատ մնացել է անփոփոխ՝ կազմելով համապատասխանաբար 1.9% և 7.8%:</w:t>
      </w: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Ֆինանսական շուկայում արտարժույթով և դրամով միջին կշռված մինչև 1 տարի ժամկետով տոկոսադրույքների միջև միջին սպրեդը 2022 թվականին նախորդ տարվա համեմատ աճել է 0.2 տոկոսային կետով և կազմել 5</w:t>
      </w:r>
      <w:r w:rsidRPr="001F63BA">
        <w:rPr>
          <w:rFonts w:ascii="MS Mincho" w:eastAsia="MS Mincho" w:hAnsi="MS Mincho" w:cs="MS Mincho" w:hint="eastAsia"/>
          <w:sz w:val="22"/>
          <w:szCs w:val="22"/>
        </w:rPr>
        <w:t>․</w:t>
      </w:r>
      <w:r w:rsidRPr="001F63BA">
        <w:rPr>
          <w:rFonts w:ascii="GHEA Grapalat" w:hAnsi="GHEA Grapalat" w:cs="GHEA Grapalat"/>
          <w:sz w:val="22"/>
          <w:szCs w:val="22"/>
        </w:rPr>
        <w:t>1 տոկոս: Դրամով վարկերի և ավանդների միջև տոկոսադրույքների սպրեդը նվազել է 0.2 տոկոսային կետով՝ մինչև 3.3 տոկոսային կետ, իսկ արտարժույթով վարկերի և ավանդների սպրեդը մնացել է անփոփոխ՝ կազմելով 5.9 տոկոսային կետ:</w:t>
      </w: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b/>
          <w:i/>
          <w:sz w:val="22"/>
          <w:szCs w:val="22"/>
        </w:rPr>
        <w:lastRenderedPageBreak/>
        <w:t>ՀՀ պետական պարտատոմսերի շուկա:</w:t>
      </w:r>
      <w:r w:rsidRPr="001F63BA">
        <w:rPr>
          <w:rFonts w:ascii="GHEA Grapalat" w:hAnsi="GHEA Grapalat" w:cs="GHEA Grapalat"/>
          <w:sz w:val="22"/>
          <w:szCs w:val="22"/>
        </w:rPr>
        <w:t xml:space="preserve"> ՀՀ պետական պարտատոմսերի շուկայում նկատվել է ՊՊ տեղաբաշխման միջին կշռված եկամտաբերության աճ, ինչը կարող է բացատրվել գնաճի և գնաճային սպասումների ավելացմամբ, ՀՀ ԿԲ կողմից վերաֆինանսավորման տոկոսադրույքի բարձրացմամբ, ինչպես նաև մարտ ամսից սկսած ռուս-ուկրաինական հակամարտությունից բխող ռազմաքաղաքական և տնտեսական ճգնաժամով պայմանավորված՝ տարածաշրջանի երկրների և Հայաստանի սուվերեն ռիսկի հավելավճարի աճով: Եթե 2021 թվականին տեղաբաշխված պետական պարտատոմսերի միջին կշռված եկամտաբերությունը կազմել էր 9.3%, ապա 2022 թվականին այն կազմել է 11.1% կամ շուրջ 1.8 տոկոսային կետով ավելի:</w:t>
      </w: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2022 թվականի տեղաբաշխված պետական պարտատոմսերի ծավալը կազմել է 435.9 մլրդ դրամ՝ 2021 թվականի նույն ժամանակահատվածի 394.3 մլրդ դրամի դիմաց, իսկ տեղաբաշխման միջին կշռված ժամկետայնությունը` 1762 օր՝ 2021 թվականի նույն ժամանակահատվածի 3207 օր ցուցանիշի համեմատ:</w:t>
      </w: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2022 թվականին պետական (շուկայական) պարտատոմսերի նկատմամբ պահանջարկը գերազանցել է տեղաբաշխման ցուցանիշը 2.0 անգամ (2021 թվականին՝ 1.9 անգամ), իսկ տեղաբաշխման ենթակա ծավալ/տեղաբաշխված ծավալ միջին հարաբերակցությունը կազմել է 1.3 (2021 թվականին` 1.2):</w:t>
      </w:r>
    </w:p>
    <w:p w:rsidR="001C411D" w:rsidRPr="001F63BA" w:rsidRDefault="001C411D" w:rsidP="00833581">
      <w:pPr>
        <w:spacing w:line="360" w:lineRule="auto"/>
        <w:ind w:firstLine="567"/>
        <w:jc w:val="both"/>
        <w:rPr>
          <w:rFonts w:ascii="GHEA Grapalat" w:hAnsi="GHEA Grapalat" w:cs="GHEA Grapalat"/>
          <w:sz w:val="22"/>
          <w:szCs w:val="22"/>
        </w:rPr>
      </w:pPr>
    </w:p>
    <w:p w:rsidR="001C411D" w:rsidRPr="001F63BA" w:rsidRDefault="001C411D" w:rsidP="00D508BE">
      <w:pPr>
        <w:pStyle w:val="a"/>
      </w:pPr>
      <w:r w:rsidRPr="001F63BA">
        <w:t>ՀՀ պետական պարտատոմսերի առաջնային շուկայի զարգացումները 2018-2022թթ.</w:t>
      </w:r>
    </w:p>
    <w:p w:rsidR="001C411D" w:rsidRPr="001F63BA" w:rsidRDefault="009A358E" w:rsidP="00833581">
      <w:pPr>
        <w:spacing w:line="360" w:lineRule="auto"/>
        <w:jc w:val="both"/>
        <w:rPr>
          <w:rFonts w:ascii="GHEA Grapalat" w:hAnsi="GHEA Grapalat" w:cs="Sylfaen"/>
          <w:sz w:val="22"/>
          <w:szCs w:val="22"/>
        </w:rPr>
      </w:pPr>
      <w:r w:rsidRPr="001F63BA">
        <w:rPr>
          <w:rFonts w:ascii="GHEA Grapalat" w:hAnsi="GHEA Grapalat" w:cs="Sylfaen"/>
          <w:sz w:val="22"/>
          <w:szCs w:val="22"/>
          <w:lang w:val="en-US"/>
        </w:rPr>
        <w:drawing>
          <wp:inline distT="0" distB="0" distL="0" distR="0" wp14:anchorId="310316FF" wp14:editId="5E95F1A0">
            <wp:extent cx="3200400" cy="3181350"/>
            <wp:effectExtent l="0" t="0" r="0" b="0"/>
            <wp:docPr id="41" name="Chart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1F63BA">
        <w:rPr>
          <w:rFonts w:ascii="GHEA Grapalat" w:hAnsi="GHEA Grapalat" w:cs="Sylfaen"/>
          <w:sz w:val="22"/>
          <w:szCs w:val="22"/>
          <w:lang w:val="en-US"/>
        </w:rPr>
        <w:drawing>
          <wp:inline distT="0" distB="0" distL="0" distR="0" wp14:anchorId="396381C9" wp14:editId="3976BCC2">
            <wp:extent cx="3200400" cy="3181350"/>
            <wp:effectExtent l="0" t="0" r="0" b="0"/>
            <wp:docPr id="42"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C411D" w:rsidRPr="001F63BA" w:rsidRDefault="001C411D" w:rsidP="00833581">
      <w:pPr>
        <w:spacing w:after="120" w:line="360" w:lineRule="auto"/>
        <w:jc w:val="both"/>
        <w:rPr>
          <w:rFonts w:ascii="GHEA Grapalat" w:hAnsi="GHEA Grapalat" w:cs="Sylfaen"/>
          <w:i/>
          <w:sz w:val="22"/>
          <w:szCs w:val="22"/>
          <w:lang w:val="en-US"/>
        </w:rPr>
      </w:pPr>
      <w:r w:rsidRPr="001F63BA">
        <w:rPr>
          <w:rFonts w:ascii="GHEA Grapalat" w:hAnsi="GHEA Grapalat"/>
          <w:i/>
          <w:sz w:val="18"/>
          <w:szCs w:val="18"/>
        </w:rPr>
        <w:t>Աղբյուրը՝ ՀՀ ՖՆ</w:t>
      </w:r>
    </w:p>
    <w:p w:rsidR="001C411D" w:rsidRPr="001F63BA" w:rsidRDefault="001C411D" w:rsidP="00833581">
      <w:pPr>
        <w:spacing w:line="360" w:lineRule="auto"/>
        <w:ind w:firstLine="567"/>
        <w:jc w:val="both"/>
        <w:rPr>
          <w:rFonts w:ascii="GHEA Grapalat" w:hAnsi="GHEA Grapalat" w:cs="GHEA Grapalat"/>
          <w:sz w:val="22"/>
          <w:szCs w:val="22"/>
        </w:rPr>
      </w:pPr>
    </w:p>
    <w:p w:rsidR="001C411D" w:rsidRPr="001F63BA" w:rsidRDefault="001C411D" w:rsidP="00833581">
      <w:pPr>
        <w:spacing w:line="360" w:lineRule="auto"/>
        <w:ind w:firstLine="567"/>
        <w:jc w:val="both"/>
        <w:rPr>
          <w:rFonts w:ascii="GHEA Grapalat" w:hAnsi="GHEA Grapalat" w:cs="GHEA Grapalat"/>
          <w:sz w:val="22"/>
          <w:szCs w:val="22"/>
        </w:rPr>
      </w:pPr>
      <w:r w:rsidRPr="001F63BA">
        <w:rPr>
          <w:rFonts w:ascii="GHEA Grapalat" w:hAnsi="GHEA Grapalat" w:cs="GHEA Grapalat"/>
          <w:b/>
          <w:i/>
          <w:sz w:val="22"/>
          <w:szCs w:val="22"/>
        </w:rPr>
        <w:t>ՀՀ եվրապարտատոմսերի երկրորդային շուկա:</w:t>
      </w:r>
      <w:r w:rsidRPr="001F63BA">
        <w:rPr>
          <w:rFonts w:ascii="GHEA Grapalat" w:hAnsi="GHEA Grapalat" w:cs="GHEA Grapalat"/>
          <w:sz w:val="22"/>
          <w:szCs w:val="22"/>
        </w:rPr>
        <w:t xml:space="preserve"> ՀՀ եվրապարտատոմսերի երկրորդային շուկայում եկամտաբերությունները 2022 թվականին զգալի աճ են գրանցել՝ պայմանավորված մի կողմից միջազգային շուկաներում տոկոսադրույքների բարձրացման միտումով, մյուս կողմից՝ ռուս-ուկրաինական հակամարտության առաջացրած ռիսկերի ներքո տարածաշրջանի երկրների, այդ թվում՝ ՀՀ երկրի ռիսկի հավելավճարի աճով։ Միջազգային կապիտալի շուկայում 2015 թվականին 7.5% եկամտաբերությամբ թողարկված պետական արտարժութային պարտատոմսերի եկամտաբերությունը 2022 թվականին միջինում կազմել է 6.8%՝ 2021 թվականի նույն ժամանակահատվածում արձանագրված 3.3%-ի դիմաց, 2019 թվականին 4.2% եկամտաբերությամբ թողարկված պարտատոմսերի եկամտաբերությունը միջինում կազմել է 7.6%` 2021 թվականին գրանցված 4.2%-ի դիմաց, իսկ 2021 թվականի փետրվարին 3.9% եկամտաբերությամբ թողարկված պարտատոմսերի եկամտաբերությունը միջինում կազմել է 7.6%` նախորդ տարվա նույն ժամանակահատվածի 4.4%-ի համեմատությամբ։</w:t>
      </w:r>
    </w:p>
    <w:p w:rsidR="001C411D" w:rsidRPr="001F63BA" w:rsidRDefault="001C411D" w:rsidP="00833581">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Պետք է նշել, որ զգալիորեն բարձրացել են նաև տոկոսադրույքները զարգացած երկրներում՝ պայմանավորված այդ երկրների կենտրոնական բանկերի կողմից իրականացվող դրամավարկային կոշտացման քաղաքականությամբ։ Այսպես, ԱՄՆ 10 տարի ժամկետայնությամբ պետական պարտատոմսերի եկամտաբերությունը միջինում կազմել է 3.0%` նախորդ տարվա 1.4%-ի համեմատությամբ։ Զարգացած երկրներում (ԱՄՆ-ում, Մեծ Բրիտանիայում, Եվրոմիությունում) տոկոսադրույքների բարձրացումը, ինչպես նաև ռուս-ուկրաինական հակամարտության առաջացրած ռիսկերը հանգեցրել են զարգացող երկրներից կապիտալի արտահոսքի, ինչի արդյունքում բարձրացել է զարգացող երկրների արտարժութային պարտատոմսերի ռիսկի հավելավճարը:</w:t>
      </w:r>
    </w:p>
    <w:p w:rsidR="001C411D" w:rsidRPr="001F63BA" w:rsidRDefault="001C411D" w:rsidP="00833581">
      <w:pPr>
        <w:spacing w:line="360" w:lineRule="auto"/>
        <w:ind w:firstLine="567"/>
        <w:jc w:val="both"/>
        <w:rPr>
          <w:rFonts w:ascii="GHEA Grapalat" w:hAnsi="GHEA Grapalat" w:cs="GHEA Grapalat"/>
          <w:sz w:val="22"/>
          <w:szCs w:val="22"/>
          <w:lang w:val="en-US"/>
        </w:rPr>
      </w:pPr>
    </w:p>
    <w:p w:rsidR="001C411D" w:rsidRPr="001F63BA" w:rsidRDefault="001C411D" w:rsidP="00D508BE">
      <w:pPr>
        <w:pStyle w:val="a"/>
      </w:pPr>
      <w:r w:rsidRPr="001F63BA">
        <w:lastRenderedPageBreak/>
        <w:t>ՀՀ եվրոբոնդերի եկամտաբերությունները և ռիսկի հավելավճարը 2018-2022թթ.</w:t>
      </w:r>
    </w:p>
    <w:p w:rsidR="001C411D" w:rsidRPr="001F63BA" w:rsidRDefault="009A358E" w:rsidP="00833581">
      <w:pPr>
        <w:spacing w:line="276" w:lineRule="auto"/>
        <w:jc w:val="both"/>
        <w:rPr>
          <w:rFonts w:ascii="GHEA Grapalat" w:hAnsi="GHEA Grapalat" w:cs="GHEA Grapalat"/>
          <w:sz w:val="22"/>
          <w:szCs w:val="22"/>
        </w:rPr>
      </w:pPr>
      <w:r w:rsidRPr="001F63BA">
        <w:rPr>
          <w:rFonts w:ascii="GHEA Grapalat" w:hAnsi="GHEA Grapalat" w:cs="GHEA Grapalat"/>
          <w:sz w:val="22"/>
          <w:szCs w:val="22"/>
          <w:lang w:val="en-US"/>
        </w:rPr>
        <w:drawing>
          <wp:inline distT="0" distB="0" distL="0" distR="0" wp14:anchorId="1B3435EC" wp14:editId="3D05513D">
            <wp:extent cx="3028950" cy="2771775"/>
            <wp:effectExtent l="0" t="0" r="0" b="0"/>
            <wp:docPr id="43" name="Char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1F63BA">
        <w:rPr>
          <w:rFonts w:ascii="GHEA Grapalat" w:hAnsi="GHEA Grapalat" w:cs="GHEA Grapalat"/>
          <w:sz w:val="22"/>
          <w:szCs w:val="22"/>
          <w:lang w:val="en-US"/>
        </w:rPr>
        <w:drawing>
          <wp:inline distT="0" distB="0" distL="0" distR="0" wp14:anchorId="100A54F9" wp14:editId="776A96B1">
            <wp:extent cx="3143250" cy="2771775"/>
            <wp:effectExtent l="0" t="0" r="0" b="0"/>
            <wp:docPr id="44" name="Chart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1C411D" w:rsidRPr="001F63BA" w:rsidRDefault="001C411D" w:rsidP="00833581">
      <w:pPr>
        <w:spacing w:after="120"/>
        <w:jc w:val="both"/>
        <w:rPr>
          <w:rFonts w:ascii="GHEA Grapalat" w:hAnsi="GHEA Grapalat" w:cs="GHEA Grapalat"/>
          <w:i/>
          <w:iCs/>
          <w:sz w:val="22"/>
          <w:szCs w:val="22"/>
        </w:rPr>
      </w:pPr>
      <w:r w:rsidRPr="001F63BA">
        <w:rPr>
          <w:rFonts w:ascii="GHEA Grapalat" w:hAnsi="GHEA Grapalat"/>
          <w:i/>
          <w:iCs/>
          <w:sz w:val="18"/>
          <w:szCs w:val="18"/>
        </w:rPr>
        <w:t>Աղբյուրը՝ ՀՀ ՖՆ։ Ռիսկի հավելավճարը ՀՀ ՖՆ գնահատումներն են՝ հաշվարկված որպես ՀՀ եվրոբոնդերի և ԱՄՆ պետական պարտատոմսերի եկամտաբերությունների տարբերություն</w:t>
      </w:r>
    </w:p>
    <w:p w:rsidR="001C411D" w:rsidRPr="001F63BA" w:rsidRDefault="001C411D" w:rsidP="00833581">
      <w:pPr>
        <w:spacing w:line="360" w:lineRule="auto"/>
        <w:ind w:firstLine="567"/>
        <w:jc w:val="both"/>
        <w:rPr>
          <w:rFonts w:ascii="GHEA Grapalat" w:hAnsi="GHEA Grapalat" w:cs="Sylfaen"/>
          <w:sz w:val="22"/>
          <w:szCs w:val="22"/>
          <w:lang w:val="en-US"/>
        </w:rPr>
      </w:pPr>
    </w:p>
    <w:p w:rsidR="001C411D" w:rsidRPr="001F63BA" w:rsidRDefault="001C411D" w:rsidP="00833581">
      <w:pPr>
        <w:spacing w:line="360" w:lineRule="auto"/>
        <w:ind w:firstLine="567"/>
        <w:jc w:val="both"/>
        <w:rPr>
          <w:rFonts w:ascii="GHEA Grapalat" w:hAnsi="GHEA Grapalat" w:cs="Sylfaen"/>
          <w:sz w:val="22"/>
          <w:szCs w:val="22"/>
        </w:rPr>
      </w:pPr>
      <w:r w:rsidRPr="001F63BA">
        <w:rPr>
          <w:rFonts w:ascii="GHEA Grapalat" w:hAnsi="GHEA Grapalat" w:cs="Sylfaen"/>
          <w:sz w:val="22"/>
          <w:szCs w:val="22"/>
        </w:rPr>
        <w:t>ՀՀ երկրի ռիսկի հավելավճարը ևս զգալիորեն ավելացել է՝ ինչպես զարգացող երկրներին բնորոշ միտումների, այնպես էլ՝ ռուս-ուկրաինական հակամարտության պայմաններում տարածաշրջանի երկրներում ռիսկերի ավելացման ազդեցությամբ։ Մասնավորապես, 2029 թվականին մարվող եվրապարտատոմսերի ռիսկի հավելավճարը 2022 թվականին միջինում կազմել է 4.6 տոկոսային կետ՝ նախորդ տարվա 2.8 տոկոսային կետ ցուցանիշի դիմաց։</w:t>
      </w:r>
    </w:p>
    <w:p w:rsidR="001C411D" w:rsidRPr="001F63BA" w:rsidRDefault="001C411D" w:rsidP="00400A22">
      <w:pPr>
        <w:spacing w:line="360" w:lineRule="auto"/>
        <w:ind w:firstLine="567"/>
        <w:jc w:val="both"/>
        <w:rPr>
          <w:rFonts w:ascii="GHEA Grapalat" w:hAnsi="GHEA Grapalat" w:cs="Sylfaen"/>
          <w:sz w:val="22"/>
          <w:szCs w:val="22"/>
        </w:rPr>
      </w:pPr>
    </w:p>
    <w:p w:rsidR="001C411D" w:rsidRPr="001F63BA" w:rsidRDefault="001C411D" w:rsidP="00BC60C6">
      <w:pPr>
        <w:pStyle w:val="Heading2"/>
        <w:spacing w:before="0"/>
        <w:ind w:firstLine="0"/>
      </w:pPr>
      <w:bookmarkStart w:id="86" w:name="_Toc100315621"/>
      <w:bookmarkStart w:id="87" w:name="_Toc132204234"/>
      <w:r w:rsidRPr="001F63BA">
        <w:t>ՀԱՐԿԱԲՅՈՒՋԵՏԱՅԻՆ ՔԱՂԱՔԱԿԱՆՈՒԹՅԱՆ ՀԻՄՆԱԿԱՆ ԶԱՐԳԱՑՈՒՄՆԵՐԸ</w:t>
      </w:r>
      <w:bookmarkEnd w:id="86"/>
      <w:bookmarkEnd w:id="87"/>
      <w:r w:rsidRPr="001F63BA">
        <w:t xml:space="preserve"> </w:t>
      </w:r>
    </w:p>
    <w:p w:rsidR="001C411D" w:rsidRPr="001F63BA" w:rsidRDefault="001C411D" w:rsidP="00400A22">
      <w:pPr>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2022 թվականին հարկաբյուջետային քաղաքականությունն ուղղված է եղել տնտեսական շոկերին արդյունավետ արձագանքելու միջոցով մակրոտնտեսական և հարկաբյուջետային կայունության ապահովմանը: Այդ նպատակից ելնելով, տարվա ընթացքում կանխատեսվածից բարձր տնտեսական աճի պայմաններում </w:t>
      </w:r>
      <w:r w:rsidR="00FF639B" w:rsidRPr="001F63BA">
        <w:rPr>
          <w:rFonts w:ascii="GHEA Grapalat" w:hAnsi="GHEA Grapalat" w:cs="Sylfaen"/>
          <w:sz w:val="22"/>
          <w:szCs w:val="22"/>
        </w:rPr>
        <w:t>Կառավարությ</w:t>
      </w:r>
      <w:r w:rsidRPr="001F63BA">
        <w:rPr>
          <w:rFonts w:ascii="GHEA Grapalat" w:hAnsi="GHEA Grapalat" w:cs="Sylfaen"/>
          <w:sz w:val="22"/>
          <w:szCs w:val="22"/>
        </w:rPr>
        <w:t xml:space="preserve">ունը պլանավորված չեզոք հարկաբյուջետային քաղաքականության փոխարեն իրականացրել է զսպող քաղաքականություն՝ միևնույն ժամանակ իրականացնելով տնտեսական ներուժի բարձրացմանը միտված միջոցառումներ և նպաստելով պարտքի կայունության ապահովմանը: </w:t>
      </w:r>
    </w:p>
    <w:p w:rsidR="001C411D" w:rsidRPr="001F63BA" w:rsidRDefault="001C411D" w:rsidP="00400A22">
      <w:pPr>
        <w:spacing w:line="360" w:lineRule="auto"/>
        <w:ind w:firstLine="567"/>
        <w:jc w:val="both"/>
        <w:rPr>
          <w:rFonts w:ascii="GHEA Grapalat" w:hAnsi="GHEA Grapalat" w:cs="Sylfaen"/>
          <w:sz w:val="22"/>
          <w:szCs w:val="22"/>
        </w:rPr>
      </w:pPr>
      <w:r w:rsidRPr="001F63BA">
        <w:rPr>
          <w:rFonts w:ascii="GHEA Grapalat" w:hAnsi="GHEA Grapalat" w:cs="GHEA Grapalat"/>
          <w:b/>
          <w:i/>
          <w:sz w:val="22"/>
          <w:szCs w:val="22"/>
        </w:rPr>
        <w:t>Պետական բյուջեի եկամուտները:</w:t>
      </w:r>
      <w:r w:rsidRPr="001F63BA">
        <w:rPr>
          <w:rFonts w:ascii="GHEA Grapalat" w:hAnsi="GHEA Grapalat" w:cs="GHEA Grapalat"/>
          <w:sz w:val="22"/>
          <w:szCs w:val="22"/>
        </w:rPr>
        <w:t xml:space="preserve"> 2022 թվականին ՀՀ պետական բյուջեի եկամուտներն աճել են բարձր տեմպերով՝ պայմանավորված բարձր տնտեսական աճով և գնաճով, ինչպես նաև հարկային օրենսդրության փոփոխություններով: </w:t>
      </w:r>
      <w:r w:rsidRPr="001F63BA">
        <w:rPr>
          <w:rFonts w:ascii="GHEA Grapalat" w:hAnsi="GHEA Grapalat" w:cs="Sylfaen"/>
          <w:sz w:val="22"/>
          <w:szCs w:val="22"/>
        </w:rPr>
        <w:t>2022</w:t>
      </w:r>
      <w:r w:rsidRPr="001F63BA">
        <w:rPr>
          <w:rFonts w:ascii="GHEA Grapalat" w:hAnsi="GHEA Grapalat" w:cs="Sylfaen"/>
          <w:sz w:val="22"/>
          <w:szCs w:val="22"/>
          <w:lang w:val="en-US"/>
        </w:rPr>
        <w:t xml:space="preserve"> թվականի</w:t>
      </w:r>
      <w:r w:rsidRPr="001F63BA">
        <w:rPr>
          <w:rFonts w:ascii="GHEA Grapalat" w:hAnsi="GHEA Grapalat" w:cs="Sylfaen"/>
          <w:sz w:val="22"/>
          <w:szCs w:val="22"/>
        </w:rPr>
        <w:t xml:space="preserve"> </w:t>
      </w:r>
      <w:r w:rsidRPr="001F63BA">
        <w:rPr>
          <w:rFonts w:ascii="GHEA Grapalat" w:hAnsi="GHEA Grapalat" w:cs="Sylfaen"/>
          <w:sz w:val="22"/>
          <w:szCs w:val="22"/>
          <w:lang w:val="en-US"/>
        </w:rPr>
        <w:t>տ</w:t>
      </w:r>
      <w:r w:rsidRPr="001F63BA">
        <w:rPr>
          <w:rFonts w:ascii="GHEA Grapalat" w:hAnsi="GHEA Grapalat" w:cs="Sylfaen"/>
          <w:sz w:val="22"/>
          <w:szCs w:val="22"/>
        </w:rPr>
        <w:t xml:space="preserve">արեկան արդյունքներով ՀՀ պետական բյուջեի ընդհանուր եկամուտները կազմել են 2063.1 մլրդ դրամ՝ նախորդ տարվա համեմատ աճելով </w:t>
      </w:r>
      <w:r w:rsidRPr="001F63BA">
        <w:rPr>
          <w:rFonts w:ascii="GHEA Grapalat" w:hAnsi="GHEA Grapalat" w:cs="Sylfaen"/>
          <w:sz w:val="22"/>
          <w:szCs w:val="22"/>
        </w:rPr>
        <w:lastRenderedPageBreak/>
        <w:t>22.5%-ով, որի վրա ազդել են ինչպես տնտեսական աճի և գնաճի բարձր տեմպերը, այնպես էլ հարկային օրենսդրության փոփոխությունները: ՀՀ պետական բյուջեի ընդհանուր եկամուտները ՀՆԱ-ի նկատմամբ կազմել են 24.3%</w:t>
      </w:r>
      <w:r w:rsidRPr="001F63BA">
        <w:rPr>
          <w:rFonts w:ascii="GHEA Grapalat" w:hAnsi="GHEA Grapalat" w:cs="Sylfaen"/>
          <w:sz w:val="22"/>
          <w:szCs w:val="22"/>
        </w:rPr>
        <w:noBreakHyphen/>
        <w:t xml:space="preserve">ը՝ նախորդ տարվա 24.1%-ի դիմաց, ինչը հիմնականում պայմանավորված է եղել ՀՆԱ-ի նկատմամբ այլ եկամուտների կշռի ավելացմամբ: </w:t>
      </w:r>
    </w:p>
    <w:p w:rsidR="001C411D" w:rsidRPr="001F63BA" w:rsidRDefault="001C411D" w:rsidP="00400A22">
      <w:pPr>
        <w:spacing w:line="360" w:lineRule="auto"/>
        <w:ind w:firstLine="567"/>
        <w:jc w:val="both"/>
        <w:rPr>
          <w:rFonts w:ascii="GHEA Grapalat" w:hAnsi="GHEA Grapalat" w:cs="Sylfaen"/>
          <w:sz w:val="22"/>
          <w:szCs w:val="22"/>
        </w:rPr>
      </w:pPr>
    </w:p>
    <w:p w:rsidR="001C411D" w:rsidRPr="001F63BA" w:rsidRDefault="001C411D" w:rsidP="00D508BE">
      <w:pPr>
        <w:pStyle w:val="a"/>
        <w:rPr>
          <w:rFonts w:cs="GHEA Grapalat"/>
        </w:rPr>
      </w:pPr>
      <w:r w:rsidRPr="001F63BA">
        <w:t>Պետական բյուջեի եկամուտները և ծախսերը 2018-2022թթ.</w:t>
      </w:r>
    </w:p>
    <w:p w:rsidR="001C411D" w:rsidRPr="001F63BA" w:rsidRDefault="009A358E" w:rsidP="00400A22">
      <w:pPr>
        <w:rPr>
          <w:rFonts w:ascii="GHEA Grapalat" w:hAnsi="GHEA Grapalat" w:cs="GHEA Grapalat"/>
          <w:sz w:val="22"/>
          <w:szCs w:val="22"/>
        </w:rPr>
      </w:pPr>
      <w:r w:rsidRPr="001F63BA">
        <w:rPr>
          <w:rFonts w:ascii="GHEA Grapalat" w:hAnsi="GHEA Grapalat"/>
          <w:sz w:val="22"/>
          <w:szCs w:val="22"/>
          <w:lang w:val="en-US"/>
        </w:rPr>
        <w:drawing>
          <wp:inline distT="0" distB="0" distL="0" distR="0" wp14:anchorId="4F23F405" wp14:editId="31553710">
            <wp:extent cx="3162300" cy="2876550"/>
            <wp:effectExtent l="0" t="0" r="0" b="0"/>
            <wp:docPr id="45" name="Objec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1C411D" w:rsidRPr="001F63BA">
        <w:rPr>
          <w:rFonts w:ascii="GHEA Grapalat" w:hAnsi="GHEA Grapalat" w:cs="GHEA Grapalat"/>
          <w:sz w:val="22"/>
          <w:szCs w:val="22"/>
        </w:rPr>
        <w:t xml:space="preserve"> </w:t>
      </w:r>
      <w:r w:rsidRPr="001F63BA">
        <w:rPr>
          <w:rFonts w:ascii="GHEA Grapalat" w:hAnsi="GHEA Grapalat"/>
          <w:sz w:val="22"/>
          <w:szCs w:val="22"/>
          <w:lang w:val="en-US"/>
        </w:rPr>
        <w:drawing>
          <wp:inline distT="0" distB="0" distL="0" distR="0" wp14:anchorId="2D2E3316" wp14:editId="606A9766">
            <wp:extent cx="3238500" cy="2876550"/>
            <wp:effectExtent l="0" t="0" r="0" b="0"/>
            <wp:docPr id="46" name="Objec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1C411D" w:rsidRPr="001F63BA" w:rsidRDefault="001C411D" w:rsidP="00400A22">
      <w:pPr>
        <w:spacing w:after="120" w:line="360" w:lineRule="auto"/>
        <w:rPr>
          <w:rFonts w:ascii="GHEA Grapalat" w:hAnsi="GHEA Grapalat" w:cs="GHEA Grapalat"/>
          <w:i/>
          <w:sz w:val="18"/>
          <w:szCs w:val="18"/>
        </w:rPr>
      </w:pPr>
      <w:r w:rsidRPr="001F63BA">
        <w:rPr>
          <w:rFonts w:ascii="GHEA Grapalat" w:hAnsi="GHEA Grapalat" w:cs="GHEA Grapalat"/>
          <w:i/>
          <w:sz w:val="18"/>
          <w:szCs w:val="18"/>
        </w:rPr>
        <w:t>Աղբյուրը՝ ՀՀ ՖՆ</w:t>
      </w:r>
    </w:p>
    <w:p w:rsidR="001C411D" w:rsidRPr="001F63BA" w:rsidRDefault="001C411D" w:rsidP="00A3340A">
      <w:pPr>
        <w:spacing w:line="360" w:lineRule="auto"/>
        <w:ind w:firstLine="567"/>
        <w:jc w:val="both"/>
        <w:rPr>
          <w:rFonts w:ascii="GHEA Grapalat" w:hAnsi="GHEA Grapalat" w:cs="Sylfaen"/>
          <w:sz w:val="22"/>
          <w:szCs w:val="22"/>
          <w:lang w:val="en-US"/>
        </w:rPr>
      </w:pPr>
    </w:p>
    <w:p w:rsidR="001C411D" w:rsidRPr="001F63BA" w:rsidRDefault="001C411D" w:rsidP="00A3340A">
      <w:pPr>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2022 թվականին հարկեր</w:t>
      </w:r>
      <w:r w:rsidRPr="001F63BA">
        <w:rPr>
          <w:rFonts w:ascii="GHEA Grapalat" w:hAnsi="GHEA Grapalat" w:cs="Sylfaen"/>
          <w:sz w:val="22"/>
          <w:szCs w:val="22"/>
          <w:lang w:val="en-US"/>
        </w:rPr>
        <w:t>ը</w:t>
      </w:r>
      <w:r w:rsidRPr="001F63BA">
        <w:rPr>
          <w:rFonts w:ascii="GHEA Grapalat" w:hAnsi="GHEA Grapalat" w:cs="Sylfaen"/>
          <w:sz w:val="22"/>
          <w:szCs w:val="22"/>
        </w:rPr>
        <w:t xml:space="preserve"> և տուրքերը կազմել են 1926.0 մլրդ դրամ՝ նախորդ տարվա համեմատ աճելով 21.4%-ով: Հարկերի և տուրքերի աճը հիմնականում պայմանավորված է հարկման բազաների (հիմնականում՝ սպառման և ներմուծման, ինչպես նաև՝ շահույթների և աշխատավարձերի) աճի, ինչպես նաև 2021 թվականին իրականացված հարկային օրենսդրության բարեփոխումներով, մասնավորապես՝ մետաղական հանքանյութերի արտահանման տուրքի ներդրմամբ, որը գործել է մինչև 2022 թվականի սեպտեմբերի 1-ը: Չնայած որ 2022 թվականին ներմուծման հարկերի մասով արձանագրվել է աճ, սակայն մաքսատուրքերը նվազել են, որը պայմանավորված է ԵԱՏՄ երկրների՝ երրորդ երկրներից ընդհանուր ներմուծման ծավալի նվազմամբ: Այս պայմաններում հարկեր և տուրքերը կազմել են ՀՆԱ-ի 22.7%-ը՝ պահպանվելով նախորդ տարվա գրեթե նույն մակարդակում (նվազելով 0.06 տոկոսային կետով): </w:t>
      </w:r>
    </w:p>
    <w:p w:rsidR="001C411D" w:rsidRPr="001F63BA" w:rsidRDefault="001C411D" w:rsidP="00A3340A">
      <w:pPr>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Հարկեր/ՀՆԱ հարաբերակցության բարելավմանը հիմնականում նպաստել են շահութահարկի, պետական տուրքի (մետաղական հանքանյութերի արտահանման տուրքերի աճի հաշվին) և այլ հարկային եկամուտների (հիմնականում բնապահպանական հարկի և բնօգտագործման վճարի </w:t>
      </w:r>
      <w:r w:rsidRPr="001F63BA">
        <w:rPr>
          <w:rFonts w:ascii="GHEA Grapalat" w:hAnsi="GHEA Grapalat" w:cs="Sylfaen"/>
          <w:sz w:val="22"/>
          <w:szCs w:val="22"/>
        </w:rPr>
        <w:lastRenderedPageBreak/>
        <w:t>հաշվին) ՀՆԱ-ի նկատմամբ աճերը: Միևնույն ժամանակ, հարկեր/ՀՆԱ հարաբերակցության աճին հակազդել են մաքսատուրքերի և եկամտային հարկի (հիմնականում հիպոտեկային վարկերի տոկոսավճարների համար եկամտային հարկի վերադարձի ծավալի աճով պայմանավորված) ՀՆԱ-ի նկատմամբ 0.5-ական տոկոսային կետով նվազումները:</w:t>
      </w:r>
    </w:p>
    <w:p w:rsidR="001C411D" w:rsidRPr="001F63BA" w:rsidRDefault="001C411D" w:rsidP="00A3340A">
      <w:pPr>
        <w:spacing w:line="360" w:lineRule="auto"/>
        <w:ind w:firstLine="567"/>
        <w:jc w:val="both"/>
        <w:rPr>
          <w:rFonts w:ascii="GHEA Grapalat" w:hAnsi="GHEA Grapalat" w:cs="Sylfaen"/>
          <w:sz w:val="22"/>
          <w:szCs w:val="22"/>
          <w:lang w:val="en-US"/>
        </w:rPr>
      </w:pPr>
    </w:p>
    <w:p w:rsidR="001C411D" w:rsidRPr="001F63BA" w:rsidRDefault="001C411D" w:rsidP="00D508BE">
      <w:pPr>
        <w:pStyle w:val="a"/>
      </w:pPr>
      <w:r w:rsidRPr="001F63BA">
        <w:t xml:space="preserve">Պետական բյուջեի հարկատեսակների կշիռը ՀՆԱ-ում 2021-2022թթ. </w:t>
      </w:r>
    </w:p>
    <w:p w:rsidR="001C411D" w:rsidRPr="001F63BA" w:rsidRDefault="009A358E" w:rsidP="00A3340A">
      <w:pPr>
        <w:spacing w:line="360" w:lineRule="auto"/>
        <w:ind w:firstLine="90"/>
        <w:jc w:val="both"/>
        <w:rPr>
          <w:rFonts w:ascii="GHEA Grapalat" w:hAnsi="GHEA Grapalat" w:cs="GHEA Grapalat"/>
          <w:sz w:val="22"/>
          <w:szCs w:val="22"/>
        </w:rPr>
      </w:pPr>
      <w:r w:rsidRPr="001F63BA">
        <w:rPr>
          <w:rFonts w:ascii="GHEA Grapalat" w:hAnsi="GHEA Grapalat"/>
          <w:sz w:val="22"/>
          <w:szCs w:val="22"/>
          <w:lang w:val="en-US"/>
        </w:rPr>
        <w:drawing>
          <wp:inline distT="0" distB="0" distL="0" distR="0" wp14:anchorId="743F1E09" wp14:editId="34703462">
            <wp:extent cx="3733800" cy="3609975"/>
            <wp:effectExtent l="0" t="0" r="0" b="0"/>
            <wp:docPr id="47" name="Objec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1C411D" w:rsidRPr="001F63BA">
        <w:rPr>
          <w:rFonts w:ascii="GHEA Grapalat" w:hAnsi="GHEA Grapalat" w:cs="GHEA Grapalat"/>
          <w:sz w:val="22"/>
          <w:szCs w:val="22"/>
        </w:rPr>
        <w:t xml:space="preserve"> </w:t>
      </w:r>
      <w:r w:rsidRPr="001F63BA">
        <w:rPr>
          <w:rFonts w:ascii="GHEA Grapalat" w:hAnsi="GHEA Grapalat" w:cs="GHEA Grapalat"/>
          <w:sz w:val="22"/>
          <w:szCs w:val="22"/>
          <w:lang w:val="en-US"/>
        </w:rPr>
        <w:drawing>
          <wp:inline distT="0" distB="0" distL="0" distR="0" wp14:anchorId="4F9669D8" wp14:editId="58675FEE">
            <wp:extent cx="2495550" cy="3600450"/>
            <wp:effectExtent l="0" t="0" r="0" b="0"/>
            <wp:docPr id="48" name="Objec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C411D" w:rsidRPr="001F63BA" w:rsidRDefault="001C411D" w:rsidP="00A3340A">
      <w:pPr>
        <w:spacing w:after="120" w:line="360" w:lineRule="auto"/>
        <w:ind w:firstLine="91"/>
        <w:jc w:val="both"/>
        <w:rPr>
          <w:rFonts w:ascii="GHEA Grapalat" w:hAnsi="GHEA Grapalat" w:cs="GHEA Grapalat"/>
          <w:i/>
          <w:iCs/>
          <w:sz w:val="18"/>
          <w:szCs w:val="18"/>
          <w:lang w:val="en-US"/>
        </w:rPr>
      </w:pPr>
      <w:r w:rsidRPr="001F63BA">
        <w:rPr>
          <w:rFonts w:ascii="GHEA Grapalat" w:hAnsi="GHEA Grapalat" w:cs="GHEA Grapalat"/>
          <w:i/>
          <w:iCs/>
          <w:sz w:val="18"/>
          <w:szCs w:val="18"/>
        </w:rPr>
        <w:t>Աղբյուրը՝ ՀՀ ՖՆ</w:t>
      </w:r>
    </w:p>
    <w:p w:rsidR="001C411D" w:rsidRPr="001F63BA" w:rsidRDefault="001C411D" w:rsidP="00A3340A">
      <w:pPr>
        <w:spacing w:line="360" w:lineRule="auto"/>
        <w:ind w:firstLine="567"/>
        <w:jc w:val="both"/>
        <w:rPr>
          <w:rFonts w:ascii="GHEA Grapalat" w:hAnsi="GHEA Grapalat" w:cs="Sylfaen"/>
          <w:sz w:val="22"/>
          <w:szCs w:val="22"/>
          <w:lang w:val="en-US"/>
        </w:rPr>
      </w:pPr>
    </w:p>
    <w:p w:rsidR="001C411D" w:rsidRPr="001F63BA" w:rsidRDefault="001C411D" w:rsidP="00A3340A">
      <w:pPr>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2022 թվականին նախորդ տարվա համեմատ այլ եկամուտները ՀՆԱ-ի նկատմամբ ավելացել են 0.2 տոկոսային կետով, նախորդ տարվա նկատմամբ աճելով 44.5 տոկոսով, որը հիմնականում պայմանավորված է տոկոսավճարներ և շահաբաժինների ու օրենքով և այլ իրավական ակտերով սահմանված պետական բյուջե մուտ</w:t>
      </w:r>
      <w:r w:rsidRPr="001F63BA">
        <w:rPr>
          <w:rFonts w:ascii="GHEA Grapalat" w:hAnsi="GHEA Grapalat" w:cs="Sylfaen"/>
          <w:sz w:val="22"/>
          <w:szCs w:val="22"/>
          <w:lang w:val="en-US"/>
        </w:rPr>
        <w:t>ք</w:t>
      </w:r>
      <w:r w:rsidRPr="001F63BA">
        <w:rPr>
          <w:rFonts w:ascii="GHEA Grapalat" w:hAnsi="GHEA Grapalat" w:cs="Sylfaen"/>
          <w:sz w:val="22"/>
          <w:szCs w:val="22"/>
        </w:rPr>
        <w:t>ագրվող այլ եկամուտներով: Պաշտոնական դրամաշնորհները ՀՆԱ-ի կշռում մնացել են անփոփոխ, իսկ նախորդ տարվա նկատմամբ աճը կազմել է 21.1 տոկոս:</w:t>
      </w:r>
    </w:p>
    <w:p w:rsidR="001C411D" w:rsidRPr="001F63BA" w:rsidRDefault="001C411D" w:rsidP="00A3340A">
      <w:pPr>
        <w:spacing w:line="336" w:lineRule="auto"/>
        <w:ind w:firstLine="567"/>
        <w:jc w:val="both"/>
        <w:rPr>
          <w:rFonts w:ascii="GHEA Grapalat" w:hAnsi="GHEA Grapalat" w:cs="GHEA Grapalat"/>
          <w:sz w:val="22"/>
          <w:szCs w:val="22"/>
        </w:rPr>
      </w:pPr>
      <w:r w:rsidRPr="001F63BA">
        <w:rPr>
          <w:rFonts w:ascii="GHEA Grapalat" w:hAnsi="GHEA Grapalat" w:cs="GHEA Grapalat"/>
          <w:b/>
          <w:i/>
          <w:sz w:val="22"/>
          <w:szCs w:val="22"/>
        </w:rPr>
        <w:t>Պետական բյուջեի ծախսերը:</w:t>
      </w:r>
      <w:r w:rsidRPr="001F63BA">
        <w:rPr>
          <w:rFonts w:ascii="GHEA Grapalat" w:hAnsi="GHEA Grapalat" w:cs="GHEA Grapalat"/>
          <w:sz w:val="22"/>
          <w:szCs w:val="22"/>
        </w:rPr>
        <w:t xml:space="preserve"> Պետական բյուջեի ծախսերը 2022 թվականին աճել են, սակայն ծախսերի կշիռը ՀՆԱ-ում նվազել է: 2022 թվականին պետական բյուջեի ծախսերը կազմել են 2,242.6 մլրդ դրամ՝ նախորդ տարվա համեմատ աճելով 11.9%-ով: Ընդ որում, ընթացիկ ծախսերը կազմել են 1,862.2 մլրդ դրամ` նախորդ տարվա համեմատ աճելով 4.2%-ով: Պետական բյուջեի ծախսերի կշիռը ՀՆԱ-ում 2021 թվականի նկատմամբ նվազել է 2.3 տոկոսային կետով՝ կազմելով 26.4%, որում ընթացիկ ծախսերի կշիռը նվազել է 3.7 տոկոսային կետով՝ կազմելով 21.9%:</w:t>
      </w:r>
    </w:p>
    <w:p w:rsidR="001C411D" w:rsidRPr="001F63BA" w:rsidRDefault="001C411D" w:rsidP="00A3340A">
      <w:pPr>
        <w:spacing w:line="336" w:lineRule="auto"/>
        <w:ind w:firstLine="567"/>
        <w:jc w:val="both"/>
        <w:rPr>
          <w:rFonts w:ascii="GHEA Grapalat" w:hAnsi="GHEA Grapalat" w:cs="GHEA Grapalat"/>
          <w:sz w:val="22"/>
          <w:szCs w:val="22"/>
        </w:rPr>
      </w:pPr>
      <w:r w:rsidRPr="001F63BA">
        <w:rPr>
          <w:rFonts w:ascii="GHEA Grapalat" w:hAnsi="GHEA Grapalat" w:cs="GHEA Grapalat"/>
          <w:sz w:val="22"/>
          <w:szCs w:val="22"/>
        </w:rPr>
        <w:lastRenderedPageBreak/>
        <w:t>Ոչ ֆինանսական ակտիվների հետ գործառնությունները կազմել են 380.4 մլրդ դրամ, որում ոչ ֆինանսական ակտիվների գծով ծախսերը (կապիտալ ծախսեր) կազմել են 389.1 մլրդ դրամ` նախորդ տարվա նկատմամբ աճելով 78.2%-ով: Ոչ ֆինանսական ակտիվների հետ գործառնությունների կշիռը ՀՆԱ-ում աճել է 1.4 տոկոսային կետով՝ կազմելով 4.5%: Միևնույն ժամանակ, 2020-2021 թվականների կապիտալ ծախսերի թերակատարման խնդիրը 2022 թվականին մեղմվել է, և կատարողականը ճշտված ծրագրի նկատմամբ կազմել է 94.9%՝ նախորդ տարվա 92.5%-ի համեմատ բարելավվելով 2.4 տոկոսային կետով: Ընդ որում, պետական բյուջեի տարեկան պլանի նկատմամբ կատարողականը կազմել է 110.6%: Հատկանշական է, որ արտաքին աջակցությամբ իրականացվող ծրագրերի կատարողականը (առանց պետական բյուջեի համաֆինանսավորման) վատացել է՝ ճշտված ծրագրի նկատմամբ կազմելով 80.5% (2021 թվականին այդ ցուցանիշը կազմել էր 88.1%): Այդուհանդերձ, արտաքին աջակցությամբ իրականացվող կապիտալ ծրագրերի կառավարման և իրականացման արդյունավետության բարձրացման խնդիրը շարունակում է մնալ արդիական:</w:t>
      </w:r>
    </w:p>
    <w:p w:rsidR="001C411D" w:rsidRPr="001F63BA" w:rsidRDefault="001C411D" w:rsidP="00A3340A">
      <w:pPr>
        <w:spacing w:line="336" w:lineRule="auto"/>
        <w:ind w:firstLine="567"/>
        <w:jc w:val="both"/>
        <w:rPr>
          <w:rFonts w:ascii="GHEA Grapalat" w:hAnsi="GHEA Grapalat" w:cs="GHEA Grapalat"/>
          <w:sz w:val="22"/>
          <w:szCs w:val="22"/>
        </w:rPr>
      </w:pPr>
      <w:r w:rsidRPr="001F63BA">
        <w:rPr>
          <w:rFonts w:ascii="GHEA Grapalat" w:hAnsi="GHEA Grapalat" w:cs="GHEA Grapalat"/>
          <w:b/>
          <w:i/>
          <w:sz w:val="22"/>
          <w:szCs w:val="22"/>
        </w:rPr>
        <w:t>Պետական աջակցության ծրագրերը:</w:t>
      </w:r>
      <w:r w:rsidRPr="001F63BA">
        <w:rPr>
          <w:rFonts w:ascii="GHEA Grapalat" w:hAnsi="GHEA Grapalat" w:cs="GHEA Grapalat"/>
          <w:sz w:val="22"/>
          <w:szCs w:val="22"/>
        </w:rPr>
        <w:t xml:space="preserve"> 2022 թվականին շարունակել են իրականացվել համավարակի և Արցախյան պատերազմի, ինչպես նաև արտարժույթի մեծ ներհոսքի հետևանքով դրամի արժևորման և ստեղծված բարձր գնաճային միջավայրի հետևանքների մեղմման հարկաբյուջետային միջոցառումներ: 2022 թվականի տարեկան տվյալներով ՀՀ պետական բյուջեի ընթացիկ ծախսերի կազմում կորոնավիրուսի (COVID-19) սոցիալ-տնտեսական հետևանքների չեզոքացման նպատակով իրականացված միջոցառումների գծով հատկացված միջոցների ծավալը կազմել է 16.1 մլրդ դրամ: Նույն ժամանակահատվածում ՀՀ պետական բյուջեից շարունակել են իրականացվել Արցախյան պատերազմի հետևանքների մեղմմանն ուղղված միջոցառումները, որոնց ծավալը կազմել է շուրջ 2.0 մլրդ դրամ: Բացի այդ, աճել է ՀՀ պետական բյուջեից Արցախի Հանրապետությանը տրամադրված միջպետական վարկի ծավալը՝ կազմելով 176.0 մլրդ դրամ՝ նախորդ տարվա 128.8 մլրդ դրամի համեմատ: </w:t>
      </w:r>
    </w:p>
    <w:p w:rsidR="001C411D" w:rsidRPr="001F63BA" w:rsidRDefault="001C411D" w:rsidP="00A3340A">
      <w:pPr>
        <w:spacing w:line="336" w:lineRule="auto"/>
        <w:ind w:firstLine="567"/>
        <w:jc w:val="both"/>
        <w:rPr>
          <w:rFonts w:ascii="GHEA Grapalat" w:hAnsi="GHEA Grapalat" w:cs="GHEA Grapalat"/>
          <w:sz w:val="22"/>
          <w:szCs w:val="22"/>
        </w:rPr>
      </w:pPr>
      <w:r w:rsidRPr="001F63BA">
        <w:rPr>
          <w:rFonts w:ascii="GHEA Grapalat" w:hAnsi="GHEA Grapalat" w:cs="GHEA Grapalat"/>
          <w:sz w:val="22"/>
          <w:szCs w:val="22"/>
        </w:rPr>
        <w:t>Դեպի ՀՀ կապիտալի լրացուցիչ հոսքերով պայմանավորված ՀՀ դրամի արժևորման պայմաններում արտահանելի հատվածին աջակցելու նպատակով ՀՀ կառավարությունը 2022թ. մարտի 24-ի թիվ N399-Լ որոշմամբ նախատեսել է տեղեկատվական տեխնոլոգիաների ոլորտի առևտրային կազմակերպություններին և անհատ ձեռնարկատերերին, որոնք համապատասխանում են որոշմամբ սահմանված պահանջներին, տրամադրել պետական աջակցություն՝ նոր ընդունված աշխատողների գծով պետական բյուջե վճարված եկամտային հարկի 50 տոկոսի չափով: Այս ծրագրի գծով փաստացի ծախսերը հաշվետու ժամանակահատվածում կազմել են շուրջ 2.6 մլրդ դրամ: 2022</w:t>
      </w:r>
      <w:r w:rsidR="00FF639B"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00FF639B" w:rsidRPr="001F63BA">
        <w:rPr>
          <w:rFonts w:ascii="GHEA Grapalat" w:hAnsi="GHEA Grapalat" w:cs="GHEA Grapalat"/>
          <w:sz w:val="22"/>
          <w:szCs w:val="22"/>
          <w:lang w:val="en-US"/>
        </w:rPr>
        <w:t>վական</w:t>
      </w:r>
      <w:r w:rsidRPr="001F63BA">
        <w:rPr>
          <w:rFonts w:ascii="GHEA Grapalat" w:hAnsi="GHEA Grapalat" w:cs="GHEA Grapalat"/>
          <w:sz w:val="22"/>
          <w:szCs w:val="22"/>
        </w:rPr>
        <w:t xml:space="preserve">ին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 xml:space="preserve">ունն իրականացրել է սոցիալական և տնտեսական միջոցառումներ նաև բարձր գնաճի հետևանքների մեղմման նպատակով: Ընթացիկ տարվա բարձր տնտեսական աճի և հարկային եկամուտների գերակատարման արդյունքում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 xml:space="preserve">ունը սեպտեմբերի 1-ից բարձրացրել է կենսաթոշակներն ու նպաստները, որոնք նախատեսվել էր բարձրացնել 2023 </w:t>
      </w:r>
      <w:r w:rsidRPr="001F63BA">
        <w:rPr>
          <w:rFonts w:ascii="GHEA Grapalat" w:hAnsi="GHEA Grapalat" w:cs="GHEA Grapalat"/>
          <w:sz w:val="22"/>
          <w:szCs w:val="22"/>
        </w:rPr>
        <w:lastRenderedPageBreak/>
        <w:t>թվականի հունվարի 1</w:t>
      </w:r>
      <w:r w:rsidRPr="001F63BA">
        <w:rPr>
          <w:rFonts w:ascii="GHEA Grapalat" w:hAnsi="GHEA Grapalat" w:cs="GHEA Grapalat"/>
          <w:sz w:val="22"/>
          <w:szCs w:val="22"/>
        </w:rPr>
        <w:noBreakHyphen/>
        <w:t>ից: 2022 թվականին կենսաթոշակները նախորդ տարվա նկատմամբ աճել են 9.2%-ով: Բացի այդ, էապես աճել են նաև գյուղատնտեսության և ոռոգման ոլորտների սուբսիդիաները՝ նախորդ տարվա 25.4 մլրդ դրամից դառնալով 40.2 մլրդ դրամ՝ աճելով 58.2%-ով:</w:t>
      </w:r>
    </w:p>
    <w:p w:rsidR="001C411D" w:rsidRPr="001F63BA" w:rsidRDefault="001C411D" w:rsidP="00A3340A">
      <w:pPr>
        <w:spacing w:line="336" w:lineRule="auto"/>
        <w:ind w:firstLine="567"/>
        <w:jc w:val="both"/>
        <w:rPr>
          <w:rFonts w:ascii="GHEA Grapalat" w:hAnsi="GHEA Grapalat" w:cs="GHEA Grapalat"/>
          <w:sz w:val="22"/>
          <w:szCs w:val="22"/>
        </w:rPr>
      </w:pPr>
      <w:r w:rsidRPr="001F63BA">
        <w:rPr>
          <w:rFonts w:ascii="GHEA Grapalat" w:hAnsi="GHEA Grapalat" w:cs="GHEA Grapalat"/>
          <w:b/>
          <w:i/>
          <w:sz w:val="22"/>
          <w:szCs w:val="22"/>
        </w:rPr>
        <w:t xml:space="preserve">Պետական բյուջեի պակասուրդը և </w:t>
      </w:r>
      <w:r w:rsidR="00FF639B" w:rsidRPr="001F63BA">
        <w:rPr>
          <w:rFonts w:ascii="GHEA Grapalat" w:hAnsi="GHEA Grapalat" w:cs="GHEA Grapalat"/>
          <w:b/>
          <w:i/>
          <w:sz w:val="22"/>
          <w:szCs w:val="22"/>
        </w:rPr>
        <w:t>Կառավարությ</w:t>
      </w:r>
      <w:r w:rsidRPr="001F63BA">
        <w:rPr>
          <w:rFonts w:ascii="GHEA Grapalat" w:hAnsi="GHEA Grapalat" w:cs="GHEA Grapalat"/>
          <w:b/>
          <w:i/>
          <w:sz w:val="22"/>
          <w:szCs w:val="22"/>
        </w:rPr>
        <w:t>ան պարտքը:</w:t>
      </w:r>
      <w:r w:rsidRPr="001F63BA">
        <w:rPr>
          <w:rFonts w:ascii="GHEA Grapalat" w:hAnsi="GHEA Grapalat" w:cs="GHEA Grapalat"/>
          <w:sz w:val="22"/>
          <w:szCs w:val="22"/>
        </w:rPr>
        <w:t xml:space="preserve"> </w:t>
      </w:r>
      <w:bookmarkStart w:id="88" w:name="_Hlk131890248"/>
      <w:r w:rsidRPr="001F63BA">
        <w:rPr>
          <w:rFonts w:ascii="GHEA Grapalat" w:hAnsi="GHEA Grapalat" w:cs="GHEA Grapalat"/>
          <w:sz w:val="22"/>
          <w:szCs w:val="22"/>
        </w:rPr>
        <w:t xml:space="preserve">2022 թվականի բարձր տնտեսական աճը և հարկաբյուջետային քաղաքականության ջանքերը թույլ են տվել ապահովելու ՀՆԱ համեմատությամբ պետական բյուջեի պակասուրդի և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 xml:space="preserve">ան պարտքի նվազում, որը հիմքեր է ստեղծել 2022-2026թթ. պարտքի բեռի նվազեցման ծրագրի թիրախների իրականացման համար՝ միաժամանակ չխաթարելով 2020 թվականի շոկերից հետո տնտեսության վերականգնումը։ </w:t>
      </w:r>
      <w:bookmarkEnd w:id="88"/>
      <w:r w:rsidRPr="001F63BA">
        <w:rPr>
          <w:rFonts w:ascii="GHEA Grapalat" w:hAnsi="GHEA Grapalat" w:cs="GHEA Grapalat"/>
          <w:sz w:val="22"/>
          <w:szCs w:val="22"/>
        </w:rPr>
        <w:t>2022 թվականի ընթացքում ձևավորվել է պետական բյուջեի 179.5 մլրդ դրամ դեֆիցիտ՝ նախորդ տարվա 320.5 մլրդ դրամի համեմատ: ՀՆԱ-ի նկատմամբ, պետական բյուջեի պակասուրդը կազմել է 2.1%՝ նախորդ տարվա համեմատ</w:t>
      </w:r>
      <w:r w:rsidR="00FF639B" w:rsidRPr="001F63BA">
        <w:rPr>
          <w:rFonts w:ascii="GHEA Grapalat" w:hAnsi="GHEA Grapalat" w:cs="GHEA Grapalat"/>
          <w:sz w:val="22"/>
          <w:szCs w:val="22"/>
        </w:rPr>
        <w:t xml:space="preserve"> նվազելով 2.5 տոկոսային կետով: Կառավարությ</w:t>
      </w:r>
      <w:r w:rsidRPr="001F63BA">
        <w:rPr>
          <w:rFonts w:ascii="GHEA Grapalat" w:hAnsi="GHEA Grapalat" w:cs="GHEA Grapalat"/>
          <w:sz w:val="22"/>
          <w:szCs w:val="22"/>
        </w:rPr>
        <w:t>ան պարտք/ՀՆԱ ցուցանիշը կազմել է 46.7%՝ նախորդ տարվա նկատմամբ նվազելով 13.6 տոկոսային կետով:</w:t>
      </w:r>
    </w:p>
    <w:p w:rsidR="001C411D" w:rsidRPr="001F63BA" w:rsidRDefault="001C411D" w:rsidP="00A3340A">
      <w:pPr>
        <w:spacing w:line="336"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Կառավարության պարտք/ՀՆԱ ցուցանիշի նվազումը հիմնականում պայմանավորվել է ՀՀ դրամի արժևորմամբ և ՀՆԱ իրական աճով։ Կառավարության պարտք/ՀՆԱ ցուցանիշի 13.6 տոկոսային կետով նվազմանը 11 տոկոսային կետով նպաստել է ԱՄՆ դոլարի նկատմամբ ՀՀ դրամի արժևորումը, 6.2 տոկոսային կետով՝ տնտեսական աճը, 1.8 տոկոսային կետով` իրական տոկոսադրույքի նվազումը, և 0.2 տոկոսային կետով՝ առաջնային պակասուրդը։ Պետական բյուջեից զուտ վարկավորումը կազմել է ՀՆԱ-</w:t>
      </w:r>
      <w:r w:rsidRPr="001F63BA">
        <w:rPr>
          <w:rFonts w:ascii="GHEA Grapalat" w:hAnsi="GHEA Grapalat" w:cs="GHEA Grapalat"/>
          <w:sz w:val="22"/>
          <w:szCs w:val="22"/>
          <w:lang w:val="en-US"/>
        </w:rPr>
        <w:t>ի</w:t>
      </w:r>
      <w:r w:rsidRPr="001F63BA">
        <w:rPr>
          <w:rFonts w:ascii="GHEA Grapalat" w:hAnsi="GHEA Grapalat" w:cs="GHEA Grapalat"/>
          <w:sz w:val="22"/>
          <w:szCs w:val="22"/>
        </w:rPr>
        <w:t xml:space="preserve"> 1</w:t>
      </w:r>
      <w:r w:rsidRPr="001F63BA">
        <w:rPr>
          <w:rFonts w:ascii="GHEA Grapalat" w:hAnsi="GHEA Grapalat" w:cs="GHEA Grapalat"/>
          <w:sz w:val="22"/>
          <w:szCs w:val="22"/>
          <w:lang w:val="en-US"/>
        </w:rPr>
        <w:t>.</w:t>
      </w:r>
      <w:r w:rsidRPr="001F63BA">
        <w:rPr>
          <w:rFonts w:ascii="GHEA Grapalat" w:hAnsi="GHEA Grapalat" w:cs="GHEA Grapalat"/>
          <w:sz w:val="22"/>
          <w:szCs w:val="22"/>
        </w:rPr>
        <w:t>7</w:t>
      </w:r>
      <w:r w:rsidRPr="001F63BA">
        <w:rPr>
          <w:rFonts w:ascii="GHEA Grapalat" w:hAnsi="GHEA Grapalat" w:cs="GHEA Grapalat"/>
          <w:sz w:val="22"/>
          <w:szCs w:val="22"/>
          <w:lang w:val="en-US"/>
        </w:rPr>
        <w:t>%-</w:t>
      </w:r>
      <w:r w:rsidRPr="001F63BA">
        <w:rPr>
          <w:rFonts w:ascii="GHEA Grapalat" w:hAnsi="GHEA Grapalat" w:cs="GHEA Grapalat"/>
          <w:sz w:val="22"/>
          <w:szCs w:val="22"/>
        </w:rPr>
        <w:t>ը:</w:t>
      </w:r>
    </w:p>
    <w:p w:rsidR="001C411D" w:rsidRPr="001F63BA" w:rsidRDefault="001C411D" w:rsidP="00A3340A">
      <w:pPr>
        <w:spacing w:line="336" w:lineRule="auto"/>
        <w:ind w:firstLine="567"/>
        <w:jc w:val="both"/>
        <w:rPr>
          <w:rFonts w:ascii="GHEA Grapalat" w:hAnsi="GHEA Grapalat" w:cs="GHEA Grapalat"/>
          <w:sz w:val="22"/>
          <w:szCs w:val="22"/>
          <w:lang w:val="en-US"/>
        </w:rPr>
      </w:pPr>
    </w:p>
    <w:p w:rsidR="001C411D" w:rsidRPr="001F63BA" w:rsidRDefault="00FF639B" w:rsidP="00D508BE">
      <w:pPr>
        <w:pStyle w:val="a"/>
        <w:rPr>
          <w:rFonts w:cs="GHEA Grapalat"/>
        </w:rPr>
      </w:pPr>
      <w:r w:rsidRPr="001F63BA">
        <w:t>Կառավարությ</w:t>
      </w:r>
      <w:r w:rsidR="001C411D" w:rsidRPr="001F63BA">
        <w:t>ան պարտքի և պակասուրդի դինամիկան</w:t>
      </w:r>
      <w:r w:rsidR="001C411D" w:rsidRPr="001F63BA">
        <w:rPr>
          <w:rStyle w:val="FootnoteReference"/>
          <w:iCs/>
        </w:rPr>
        <w:footnoteReference w:id="29"/>
      </w:r>
    </w:p>
    <w:p w:rsidR="001C411D" w:rsidRPr="001F63BA" w:rsidRDefault="009A358E" w:rsidP="00A3340A">
      <w:pPr>
        <w:autoSpaceDE w:val="0"/>
        <w:autoSpaceDN w:val="0"/>
        <w:adjustRightInd w:val="0"/>
        <w:spacing w:line="360" w:lineRule="auto"/>
        <w:rPr>
          <w:rFonts w:ascii="GHEA Grapalat" w:hAnsi="GHEA Grapalat"/>
          <w:sz w:val="22"/>
          <w:szCs w:val="22"/>
        </w:rPr>
      </w:pPr>
      <w:r w:rsidRPr="001F63BA">
        <w:rPr>
          <w:rFonts w:ascii="GHEA Grapalat" w:hAnsi="GHEA Grapalat"/>
          <w:sz w:val="22"/>
          <w:szCs w:val="22"/>
          <w:lang w:val="en-US"/>
        </w:rPr>
        <w:drawing>
          <wp:inline distT="0" distB="0" distL="0" distR="0" wp14:anchorId="10D80CD9" wp14:editId="4B719D13">
            <wp:extent cx="3162300" cy="2562225"/>
            <wp:effectExtent l="0" t="0" r="0" b="0"/>
            <wp:docPr id="49" name="Objec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1C411D" w:rsidRPr="001F63BA">
        <w:rPr>
          <w:rFonts w:ascii="GHEA Grapalat" w:hAnsi="GHEA Grapalat"/>
          <w:sz w:val="22"/>
          <w:szCs w:val="22"/>
        </w:rPr>
        <w:t xml:space="preserve"> </w:t>
      </w:r>
      <w:r w:rsidRPr="001F63BA">
        <w:rPr>
          <w:rFonts w:ascii="GHEA Grapalat" w:hAnsi="GHEA Grapalat"/>
          <w:sz w:val="22"/>
          <w:szCs w:val="22"/>
          <w:lang w:val="en-US"/>
        </w:rPr>
        <w:drawing>
          <wp:inline distT="0" distB="0" distL="0" distR="0" wp14:anchorId="60A3BD3D" wp14:editId="049FB71D">
            <wp:extent cx="3238500" cy="2571750"/>
            <wp:effectExtent l="0" t="0" r="0" b="0"/>
            <wp:docPr id="50" name="Objec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1C411D" w:rsidRPr="001F63BA" w:rsidRDefault="001C411D" w:rsidP="00A3340A">
      <w:pPr>
        <w:autoSpaceDE w:val="0"/>
        <w:autoSpaceDN w:val="0"/>
        <w:adjustRightInd w:val="0"/>
        <w:spacing w:after="120" w:line="360" w:lineRule="auto"/>
        <w:rPr>
          <w:rFonts w:ascii="GHEA Grapalat" w:hAnsi="GHEA Grapalat"/>
          <w:i/>
          <w:sz w:val="18"/>
          <w:szCs w:val="18"/>
        </w:rPr>
      </w:pPr>
      <w:r w:rsidRPr="001F63BA">
        <w:rPr>
          <w:rFonts w:ascii="GHEA Grapalat" w:hAnsi="GHEA Grapalat"/>
          <w:i/>
          <w:sz w:val="18"/>
          <w:szCs w:val="18"/>
        </w:rPr>
        <w:t>Աղբյուրը՝ ՀՀ ՖՆ</w:t>
      </w:r>
    </w:p>
    <w:p w:rsidR="001C411D" w:rsidRPr="001F63BA" w:rsidRDefault="001C411D" w:rsidP="00B17522">
      <w:pPr>
        <w:spacing w:line="336" w:lineRule="auto"/>
        <w:ind w:firstLine="567"/>
        <w:jc w:val="both"/>
        <w:rPr>
          <w:rFonts w:ascii="GHEA Grapalat" w:hAnsi="GHEA Grapalat" w:cs="GHEA Grapalat"/>
          <w:sz w:val="22"/>
          <w:szCs w:val="22"/>
        </w:rPr>
      </w:pPr>
    </w:p>
    <w:p w:rsidR="001C411D" w:rsidRPr="001F63BA" w:rsidRDefault="001C411D" w:rsidP="00D508BE">
      <w:pPr>
        <w:pStyle w:val="a"/>
        <w:rPr>
          <w:rFonts w:cs="GHEA Grapalat"/>
        </w:rPr>
      </w:pPr>
      <w:r w:rsidRPr="001F63BA">
        <w:lastRenderedPageBreak/>
        <w:t>Կառավարության պարտքի բեռի փոփոխությանը նպաստող գործոնները, տոկոսային կետ</w:t>
      </w:r>
    </w:p>
    <w:p w:rsidR="001C411D" w:rsidRPr="001F63BA" w:rsidRDefault="009A358E" w:rsidP="00A3340A">
      <w:pPr>
        <w:autoSpaceDE w:val="0"/>
        <w:autoSpaceDN w:val="0"/>
        <w:adjustRightInd w:val="0"/>
        <w:spacing w:line="360" w:lineRule="auto"/>
        <w:rPr>
          <w:rFonts w:ascii="GHEA Grapalat" w:hAnsi="GHEA Grapalat"/>
          <w:sz w:val="22"/>
          <w:szCs w:val="22"/>
        </w:rPr>
      </w:pPr>
      <w:r w:rsidRPr="001F63BA">
        <w:rPr>
          <w:rFonts w:ascii="GHEA Grapalat" w:hAnsi="GHEA Grapalat"/>
          <w:sz w:val="22"/>
          <w:szCs w:val="22"/>
          <w:lang w:val="en-US"/>
        </w:rPr>
        <w:drawing>
          <wp:inline distT="0" distB="0" distL="0" distR="0" wp14:anchorId="7E4080DD" wp14:editId="0B9C9A5F">
            <wp:extent cx="6429375" cy="2543175"/>
            <wp:effectExtent l="0" t="0" r="0" b="0"/>
            <wp:docPr id="51"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C411D" w:rsidRPr="001F63BA" w:rsidRDefault="001C411D" w:rsidP="00A3340A">
      <w:pPr>
        <w:autoSpaceDE w:val="0"/>
        <w:autoSpaceDN w:val="0"/>
        <w:adjustRightInd w:val="0"/>
        <w:spacing w:after="120" w:line="360" w:lineRule="auto"/>
        <w:rPr>
          <w:rFonts w:ascii="GHEA Grapalat" w:hAnsi="GHEA Grapalat"/>
          <w:i/>
          <w:sz w:val="22"/>
          <w:szCs w:val="22"/>
          <w:lang w:val="en-US"/>
        </w:rPr>
      </w:pPr>
      <w:r w:rsidRPr="001F63BA">
        <w:rPr>
          <w:rFonts w:ascii="GHEA Grapalat" w:hAnsi="GHEA Grapalat"/>
          <w:i/>
          <w:sz w:val="18"/>
          <w:szCs w:val="18"/>
        </w:rPr>
        <w:t>Աղբյուրը՝ ՀՀ ՖՆ</w:t>
      </w:r>
    </w:p>
    <w:p w:rsidR="001C411D" w:rsidRPr="001F63BA" w:rsidRDefault="001C411D" w:rsidP="00A3340A">
      <w:pPr>
        <w:spacing w:line="336" w:lineRule="auto"/>
        <w:ind w:firstLine="567"/>
        <w:jc w:val="both"/>
        <w:rPr>
          <w:rFonts w:ascii="GHEA Grapalat" w:hAnsi="GHEA Grapalat" w:cs="GHEA Grapalat"/>
          <w:b/>
          <w:i/>
          <w:sz w:val="22"/>
          <w:szCs w:val="22"/>
          <w:lang w:val="en-US"/>
        </w:rPr>
      </w:pPr>
    </w:p>
    <w:p w:rsidR="001C411D" w:rsidRPr="001F63BA" w:rsidRDefault="001C411D" w:rsidP="00A3340A">
      <w:pPr>
        <w:spacing w:line="336" w:lineRule="auto"/>
        <w:ind w:firstLine="567"/>
        <w:jc w:val="both"/>
        <w:rPr>
          <w:rFonts w:ascii="GHEA Grapalat" w:hAnsi="GHEA Grapalat" w:cs="GHEA Grapalat"/>
          <w:sz w:val="22"/>
          <w:szCs w:val="22"/>
        </w:rPr>
      </w:pPr>
      <w:r w:rsidRPr="001F63BA">
        <w:rPr>
          <w:rFonts w:ascii="GHEA Grapalat" w:hAnsi="GHEA Grapalat" w:cs="GHEA Grapalat"/>
          <w:b/>
          <w:i/>
          <w:sz w:val="22"/>
          <w:szCs w:val="22"/>
        </w:rPr>
        <w:t>Հարկաբյուջետային կանոններ:</w:t>
      </w:r>
      <w:r w:rsidRPr="001F63BA">
        <w:rPr>
          <w:rFonts w:ascii="GHEA Grapalat" w:hAnsi="GHEA Grapalat" w:cs="GHEA Grapalat"/>
          <w:sz w:val="22"/>
          <w:szCs w:val="22"/>
        </w:rPr>
        <w:t xml:space="preserve"> </w:t>
      </w:r>
      <w:bookmarkStart w:id="89" w:name="_Hlk131890375"/>
      <w:r w:rsidRPr="001F63BA">
        <w:rPr>
          <w:rFonts w:ascii="GHEA Grapalat" w:hAnsi="GHEA Grapalat" w:cs="GHEA Grapalat"/>
          <w:sz w:val="22"/>
          <w:szCs w:val="22"/>
        </w:rPr>
        <w:t>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ին վերականգնվել է հարկաբյուջետային կանոնների բնականոն իրավիճակների տրամաբանությունը՝ համահունչ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ի պետական բյուջեի ուղերձում նախանշած քաղաքականությանը։ Այսպես, եթե բացառիկ դեպքերի կարգավորումների կիրառման պայմաններում 2021</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ին հաջողվել էր նվազեցնել պետական բյուջեի պակասուրդի և կապիտալ ծախսերի շեղման չափը, ապա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 xml:space="preserve">ին պետական բյուջեի կապիտալ ծախսերը գերազանցել են պետական բյուջեի պակասուրդը շուրջ 201 մլրդ դրամով, ինչը կարևոր է երկարաժամկետ հարկաբյուջետային կայունության տեսակետից և երաշխավորում է, որ նոր վերցված փոխառություններին առաջանցիկ պետական ենթակառուցվածքներ ձևավորվեն՝ կայուն դարձնելով զուտ պարտքի դիրքը։ </w:t>
      </w:r>
    </w:p>
    <w:p w:rsidR="001C411D" w:rsidRPr="001F63BA" w:rsidRDefault="001C411D" w:rsidP="00A3340A">
      <w:pPr>
        <w:spacing w:line="336"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Միաժամանակ,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ունը 2021</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ին շեղման չափը կրճատելուց հետո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ին մոտեցրել է ըստ կանոնի (երկու տարի նախորդող ցուցանիշի նկատմամբ հաշվարկված) ընթացիկ առաջնային ծախսերի աճի տեմպը նախորդ տարվա ՀՆԱ աճերի՝ 0</w:t>
      </w:r>
      <w:r w:rsidRPr="001F63BA">
        <w:rPr>
          <w:rFonts w:ascii="GHEA Grapalat" w:hAnsi="GHEA Grapalat" w:cs="GHEA Grapalat"/>
          <w:sz w:val="22"/>
          <w:szCs w:val="22"/>
          <w:lang w:val="en-US"/>
        </w:rPr>
        <w:t>.</w:t>
      </w:r>
      <w:r w:rsidRPr="001F63BA">
        <w:rPr>
          <w:rFonts w:ascii="GHEA Grapalat" w:hAnsi="GHEA Grapalat" w:cs="GHEA Grapalat"/>
          <w:sz w:val="22"/>
          <w:szCs w:val="22"/>
        </w:rPr>
        <w:t>5</w:t>
      </w:r>
      <w:r w:rsidRPr="001F63BA">
        <w:rPr>
          <w:rFonts w:ascii="GHEA Grapalat" w:hAnsi="GHEA Grapalat" w:cs="GHEA Grapalat"/>
          <w:sz w:val="22"/>
          <w:szCs w:val="22"/>
          <w:lang w:val="en-US"/>
        </w:rPr>
        <w:t xml:space="preserve"> տոկոս</w:t>
      </w:r>
      <w:r w:rsidRPr="001F63BA">
        <w:rPr>
          <w:rFonts w:ascii="GHEA Grapalat" w:hAnsi="GHEA Grapalat" w:cs="GHEA Grapalat"/>
          <w:sz w:val="22"/>
          <w:szCs w:val="22"/>
        </w:rPr>
        <w:t>ային կետով նվազեցված ցուցանիշին՝ շեղման չափը կրճատելով մինչև 30 մլրդ դրամի։ Նշված շեղումը իր հերթին գրանցվել է տարվա ընթացքում պետական բյուջեի եկամուտների պլանի բարձրացման պայմաններում՝ համապատասխան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 xml:space="preserve">ի պետական բյուջեի մասին ՀՀ օրենքի դրույթներին (ինչը թույլ է տալիս ավելացնել ծախսերը հարկային եկամուտների ավելացման պարագայում), ինչպես նաև հարկաբյուջետային կանոնների տրամաբանությանը։ Միաժամանակ, </w:t>
      </w:r>
      <w:bookmarkStart w:id="90" w:name="_Hlk131890663"/>
      <w:r w:rsidRPr="001F63BA">
        <w:rPr>
          <w:rFonts w:ascii="GHEA Grapalat" w:hAnsi="GHEA Grapalat" w:cs="GHEA Grapalat"/>
          <w:sz w:val="22"/>
          <w:szCs w:val="22"/>
        </w:rPr>
        <w:t>ընթացիկ առաջնային ծախսերի աճի տեմպի համապատասխանությունը եկամուտ գեներացնելու հնարավորություններն արտահայտող երկարաժամկետ միջին ՀՆԱ աճի ցուցանիշին ընդհանուր առմամբ համապատասխանեցված է՝ ըստ նախորդ տարվա նկատմամբ ցուցանիշի հաշվարկի</w:t>
      </w:r>
      <w:bookmarkEnd w:id="90"/>
      <w:r w:rsidRPr="001F63BA">
        <w:rPr>
          <w:rFonts w:ascii="GHEA Grapalat" w:hAnsi="GHEA Grapalat" w:cs="GHEA Grapalat"/>
          <w:sz w:val="22"/>
          <w:szCs w:val="22"/>
        </w:rPr>
        <w:t xml:space="preserve">, իսկ </w:t>
      </w:r>
      <w:r w:rsidRPr="001F63BA">
        <w:rPr>
          <w:rFonts w:ascii="GHEA Grapalat" w:hAnsi="GHEA Grapalat" w:cs="GHEA Grapalat"/>
          <w:sz w:val="22"/>
          <w:szCs w:val="22"/>
        </w:rPr>
        <w:lastRenderedPageBreak/>
        <w:t>տարվա ընթացքում պլանավորված մակարդակից ծախսերի ավելացումները հիմնականում միանգամյա ծախսերի բնույթ են կրել և չեն ենթադրել երկարաժամկետ ծախսային պարտավորությունների բեռի ավելացում</w:t>
      </w:r>
      <w:bookmarkEnd w:id="89"/>
      <w:r w:rsidRPr="001F63BA">
        <w:rPr>
          <w:rFonts w:ascii="GHEA Grapalat" w:hAnsi="GHEA Grapalat" w:cs="GHEA Grapalat"/>
          <w:sz w:val="22"/>
          <w:szCs w:val="22"/>
        </w:rPr>
        <w:t xml:space="preserve">։ </w:t>
      </w:r>
    </w:p>
    <w:p w:rsidR="001C411D" w:rsidRPr="001F63BA" w:rsidRDefault="001C411D" w:rsidP="008E5B45">
      <w:pPr>
        <w:spacing w:line="360" w:lineRule="auto"/>
        <w:ind w:firstLine="567"/>
        <w:jc w:val="both"/>
        <w:rPr>
          <w:rFonts w:cs="GHEA Grapalat"/>
        </w:rPr>
      </w:pPr>
    </w:p>
    <w:p w:rsidR="001C411D" w:rsidRPr="001F63BA" w:rsidRDefault="001C411D" w:rsidP="00D508BE">
      <w:pPr>
        <w:pStyle w:val="a"/>
        <w:rPr>
          <w:rFonts w:cs="GHEA Grapalat"/>
        </w:rPr>
      </w:pPr>
      <w:r w:rsidRPr="001F63BA">
        <w:t>Հարկաբյուջետային կանոնները և դրանցից շեղումը 2018-2022թթ.</w:t>
      </w:r>
      <w:r w:rsidRPr="001F63BA">
        <w:rPr>
          <w:rStyle w:val="FootnoteReference"/>
        </w:rPr>
        <w:footnoteReference w:id="30"/>
      </w:r>
    </w:p>
    <w:p w:rsidR="001C411D" w:rsidRPr="001F63BA" w:rsidRDefault="009A358E" w:rsidP="00A3340A">
      <w:pPr>
        <w:tabs>
          <w:tab w:val="left" w:pos="1035"/>
        </w:tabs>
        <w:rPr>
          <w:rFonts w:ascii="GHEA Grapalat" w:hAnsi="GHEA Grapalat"/>
        </w:rPr>
      </w:pPr>
      <w:r w:rsidRPr="001F63BA">
        <w:rPr>
          <w:lang w:val="en-US"/>
        </w:rPr>
        <mc:AlternateContent>
          <mc:Choice Requires="wps">
            <w:drawing>
              <wp:anchor distT="0" distB="0" distL="114300" distR="114300" simplePos="0" relativeHeight="251659776" behindDoc="0" locked="0" layoutInCell="1" allowOverlap="1" wp14:anchorId="11DADA33" wp14:editId="13F18609">
                <wp:simplePos x="0" y="0"/>
                <wp:positionH relativeFrom="column">
                  <wp:posOffset>3009900</wp:posOffset>
                </wp:positionH>
                <wp:positionV relativeFrom="paragraph">
                  <wp:posOffset>503555</wp:posOffset>
                </wp:positionV>
                <wp:extent cx="304800" cy="866775"/>
                <wp:effectExtent l="0" t="0" r="0" b="9525"/>
                <wp:wrapNone/>
                <wp:docPr id="72" name="Right Brac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866775"/>
                        </a:xfrm>
                        <a:prstGeom prst="rightBrace">
                          <a:avLst>
                            <a:gd name="adj1" fmla="val 8333"/>
                            <a:gd name="adj2" fmla="val 51099"/>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E6B4C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2" o:spid="_x0000_s1026" type="#_x0000_t88" style="position:absolute;margin-left:237pt;margin-top:39.65pt;width:24pt;height:6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XAkAIAACMFAAAOAAAAZHJzL2Uyb0RvYy54bWysVE1v2zAMvQ/YfxB0X+18J0adImuRYUDQ&#10;FmuHnhlZsr3JkiYpcbpfP0p2PrrtNOwiiOIzyfdI+vrm0Eiy59bVWuV0cJVSwhXTRa3KnH59Xn+Y&#10;U+I8qAKkVjynr9zRm+X7d9etyfhQV1oW3BIMolzWmpxW3pssSRyreAPuShuu0Cm0bcCjacuksNBi&#10;9EYmwzSdJq22hbGacefw9a5z0mWMLwRn/kEIxz2ROcXafDxtPLfhTJbXkJUWTFWzvgz4hyoaqBUm&#10;PYW6Aw9kZ+s/QjU1s9pp4a+YbhItRM145IBsBulvbJ4qMDxyQXGcOcnk/l9Ydr9/tKQucjobUqKg&#10;wR59qcvKk48WGCf4ihK1xmWIfDKPNpB0ZqPZd4eO5I0nGK7HHIRtAhYpkkPU+/WkNz94wvBxlI7n&#10;KXaFoWs+nc5mk5Asgez4sbHOf+K6IeGSUxsKi3VFrWG/cT6KXvSVQ/FtQIloJPZwD5LMR6NR3+IL&#10;CBI9QyaDdLHo0/YBsYBj4hBd6XUtZRwUqUib0+FkHKsGnFchwSOBxqCCTpWUgCxxEZi3sUSnZV2E&#10;z6NsttzeSkuwspyuZ4vpeNonfgMLue/AVR0uunqYVCEMj2ON1I/6d5IH8be6eMV2Wt3NuTNsXWO0&#10;DTj/CBZFQbFxWf0DHkJq5KL7GyWVtj//9h7wOG/opaTFRUGeP3ZgOSXys8JJXAzG47BZ0RhPZkM0&#10;7KVne+lRu+ZWI31sE1YXrwHv5fEqrG5ecKdXISu6QDHM3SnaG7e+W2D8KzC+WkUYbpMBv1FPhoXg&#10;Qaeg4/PhBazpx8fj3N3r41JBFtvdDdwZ23V8tfNa1CeFO137ccdNjEPa/zXCql/aEXX+ty1/AQAA&#10;//8DAFBLAwQUAAYACAAAACEADeC0IeEAAAAKAQAADwAAAGRycy9kb3ducmV2LnhtbEyPwU7DMBBE&#10;70j8g7VI3KjTtKEhxKkqJITUnGjh0Jsbb5OIeB3Fbhr+vtsTHGdnNPsmX0+2EyMOvnWkYD6LQCBV&#10;zrRUK/javz+lIHzQZHTnCBX8ood1cX+X68y4C33iuAu14BLymVbQhNBnUvqqQav9zPVI7J3cYHVg&#10;OdTSDPrC5baTcRQ9S6tb4g+N7vGtwepnd7YK9ovSHL63JY31x2lbHlzabZJKqceHafMKIuAU/sJw&#10;w2d0KJjp6M5kvOgULFdL3hIUrF4WIDiQxDEfjgrieZKCLHL5f0JxBQAA//8DAFBLAQItABQABgAI&#10;AAAAIQC2gziS/gAAAOEBAAATAAAAAAAAAAAAAAAAAAAAAABbQ29udGVudF9UeXBlc10ueG1sUEsB&#10;Ai0AFAAGAAgAAAAhADj9If/WAAAAlAEAAAsAAAAAAAAAAAAAAAAALwEAAF9yZWxzLy5yZWxzUEsB&#10;Ai0AFAAGAAgAAAAhAPL7RcCQAgAAIwUAAA4AAAAAAAAAAAAAAAAALgIAAGRycy9lMm9Eb2MueG1s&#10;UEsBAi0AFAAGAAgAAAAhAA3gtCHhAAAACgEAAA8AAAAAAAAAAAAAAAAA6gQAAGRycy9kb3ducmV2&#10;LnhtbFBLBQYAAAAABAAEAPMAAAD4BQAAAAA=&#10;" adj="633,11037" strokecolor="#f79646" strokeweight="2pt"/>
            </w:pict>
          </mc:Fallback>
        </mc:AlternateContent>
      </w:r>
      <w:r w:rsidRPr="001F63BA">
        <w:rPr>
          <w:rFonts w:ascii="GHEA Grapalat" w:hAnsi="GHEA Grapalat"/>
          <w:lang w:val="en-US"/>
        </w:rPr>
        <w:drawing>
          <wp:inline distT="0" distB="0" distL="0" distR="0" wp14:anchorId="33AFC0E4" wp14:editId="7887B873">
            <wp:extent cx="3143250" cy="2752725"/>
            <wp:effectExtent l="0" t="0" r="0" b="0"/>
            <wp:docPr id="52" name="Objec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1C411D" w:rsidRPr="001F63BA">
        <w:rPr>
          <w:rFonts w:ascii="GHEA Grapalat" w:hAnsi="GHEA Grapalat"/>
        </w:rPr>
        <w:t xml:space="preserve"> </w:t>
      </w:r>
      <w:r w:rsidRPr="001F63BA">
        <w:rPr>
          <w:rFonts w:ascii="GHEA Grapalat" w:hAnsi="GHEA Grapalat"/>
          <w:lang w:val="en-US"/>
        </w:rPr>
        <w:drawing>
          <wp:inline distT="0" distB="0" distL="0" distR="0" wp14:anchorId="09BC1AE0" wp14:editId="105FCA09">
            <wp:extent cx="3086100" cy="2752725"/>
            <wp:effectExtent l="0" t="0" r="0" b="0"/>
            <wp:docPr id="53" name="Objec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C411D" w:rsidRPr="001F63BA" w:rsidRDefault="001C411D" w:rsidP="008E5B45">
      <w:pPr>
        <w:spacing w:line="336" w:lineRule="auto"/>
        <w:ind w:firstLine="567"/>
        <w:jc w:val="both"/>
        <w:rPr>
          <w:rFonts w:ascii="GHEA Grapalat" w:hAnsi="GHEA Grapalat" w:cs="GHEA Grapalat"/>
          <w:sz w:val="22"/>
          <w:szCs w:val="22"/>
          <w:lang w:val="en-US"/>
        </w:rPr>
      </w:pPr>
    </w:p>
    <w:p w:rsidR="001C411D" w:rsidRPr="001F63BA" w:rsidRDefault="001C411D" w:rsidP="008E5B45">
      <w:pPr>
        <w:spacing w:line="336" w:lineRule="auto"/>
        <w:ind w:firstLine="567"/>
        <w:jc w:val="both"/>
        <w:rPr>
          <w:rFonts w:ascii="GHEA Grapalat" w:hAnsi="GHEA Grapalat" w:cs="GHEA Grapalat"/>
          <w:sz w:val="22"/>
          <w:szCs w:val="22"/>
          <w:lang w:val="en-US"/>
        </w:rPr>
      </w:pPr>
    </w:p>
    <w:p w:rsidR="001C411D" w:rsidRPr="001F63BA" w:rsidRDefault="001C411D" w:rsidP="00A817E9">
      <w:pPr>
        <w:spacing w:line="336" w:lineRule="auto"/>
        <w:ind w:firstLine="567"/>
        <w:jc w:val="both"/>
        <w:rPr>
          <w:rFonts w:ascii="GHEA Grapalat" w:hAnsi="GHEA Grapalat" w:cs="GHEA Grapalat"/>
          <w:sz w:val="22"/>
          <w:szCs w:val="22"/>
          <w:lang w:val="en-US"/>
        </w:rPr>
      </w:pPr>
      <w:r w:rsidRPr="001F63BA">
        <w:rPr>
          <w:rFonts w:ascii="GHEA Grapalat" w:hAnsi="GHEA Grapalat" w:cs="GHEA Grapalat"/>
          <w:b/>
          <w:i/>
          <w:sz w:val="22"/>
          <w:szCs w:val="22"/>
        </w:rPr>
        <w:t>Հարկաբյուջետային դիրքը և ազդակը:</w:t>
      </w:r>
      <w:r w:rsidRPr="001F63BA">
        <w:rPr>
          <w:rFonts w:ascii="GHEA Grapalat" w:hAnsi="GHEA Grapalat" w:cs="GHEA Grapalat"/>
          <w:sz w:val="22"/>
          <w:szCs w:val="22"/>
        </w:rPr>
        <w:t xml:space="preserve">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 xml:space="preserve">ի պետական բյուջեի ընդհանուր և առաջնային պակասուրդի ցուցանիշները զգալիորեն ցածր են եղել նախորդ 10 տարիների միջին ցուցանիշներից՝ արտացոլելով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 xml:space="preserve">ան կողմից նախանշված հարկաբյուջետային կոնսոլիդացիայի քաղաքականության իրականացումը և սպասվածից ավելի դրական տնտեսական զարգացումները։ Արդյունքում, համախառն պահանջարկի վրա հարկաբյուջետային քաղաքականությունը 2022 թվականին նախորդ տարվա նկատմամբ ունեցել է 2.1 զսպող ազդեցություն` պայմանավորված եկամուտների չեզոք (0.2), ծախսերի զսպող (1.9) ազդեցություններով: </w:t>
      </w:r>
    </w:p>
    <w:p w:rsidR="001C411D" w:rsidRPr="001F63BA" w:rsidRDefault="001C411D" w:rsidP="006E100B">
      <w:pPr>
        <w:spacing w:line="336" w:lineRule="auto"/>
        <w:ind w:firstLine="567"/>
        <w:jc w:val="both"/>
        <w:rPr>
          <w:rFonts w:ascii="GHEA Grapalat" w:hAnsi="GHEA Grapalat" w:cs="GHEA Grapalat"/>
          <w:sz w:val="22"/>
          <w:szCs w:val="22"/>
          <w:lang w:val="en-US"/>
        </w:rPr>
      </w:pPr>
    </w:p>
    <w:p w:rsidR="001C411D" w:rsidRPr="001F63BA" w:rsidRDefault="001C411D" w:rsidP="006E100B">
      <w:pPr>
        <w:spacing w:line="336" w:lineRule="auto"/>
        <w:ind w:firstLine="567"/>
        <w:jc w:val="both"/>
        <w:rPr>
          <w:rFonts w:ascii="GHEA Grapalat" w:hAnsi="GHEA Grapalat" w:cs="GHEA Grapalat"/>
          <w:sz w:val="22"/>
          <w:szCs w:val="22"/>
          <w:lang w:val="en-US"/>
        </w:rPr>
      </w:pPr>
    </w:p>
    <w:p w:rsidR="001C411D" w:rsidRPr="001F63BA" w:rsidRDefault="001C411D" w:rsidP="00D508BE">
      <w:pPr>
        <w:pStyle w:val="a"/>
      </w:pPr>
      <w:r w:rsidRPr="001F63BA">
        <w:lastRenderedPageBreak/>
        <w:t>Հարկաբյուջետային դիրքը և ազդակը</w:t>
      </w:r>
      <w:r w:rsidRPr="001F63BA">
        <w:rPr>
          <w:vertAlign w:val="superscript"/>
        </w:rPr>
        <w:footnoteReference w:id="31"/>
      </w:r>
    </w:p>
    <w:p w:rsidR="001C411D" w:rsidRPr="001F63BA" w:rsidRDefault="009A358E" w:rsidP="00A3340A">
      <w:pPr>
        <w:tabs>
          <w:tab w:val="left" w:pos="90"/>
        </w:tabs>
        <w:spacing w:line="360" w:lineRule="auto"/>
        <w:rPr>
          <w:rFonts w:ascii="GHEA Grapalat" w:hAnsi="GHEA Grapalat" w:cs="GHEA Grapalat"/>
          <w:sz w:val="22"/>
          <w:szCs w:val="22"/>
        </w:rPr>
      </w:pPr>
      <w:r w:rsidRPr="001F63BA">
        <w:rPr>
          <w:rFonts w:ascii="GHEA Grapalat" w:hAnsi="GHEA Grapalat"/>
          <w:lang w:val="en-US"/>
        </w:rPr>
        <w:drawing>
          <wp:inline distT="0" distB="0" distL="0" distR="0" wp14:anchorId="45D679C2" wp14:editId="5009F40C">
            <wp:extent cx="3133725" cy="2752725"/>
            <wp:effectExtent l="0" t="0" r="0" b="0"/>
            <wp:docPr id="54"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001C411D" w:rsidRPr="001F63BA">
        <w:rPr>
          <w:rFonts w:ascii="GHEA Grapalat" w:hAnsi="GHEA Grapalat" w:cs="GHEA Grapalat"/>
          <w:sz w:val="22"/>
          <w:szCs w:val="22"/>
        </w:rPr>
        <w:t xml:space="preserve"> </w:t>
      </w:r>
      <w:r w:rsidRPr="001F63BA">
        <w:rPr>
          <w:rFonts w:ascii="GHEA Grapalat" w:hAnsi="GHEA Grapalat" w:cs="GHEA Grapalat"/>
          <w:sz w:val="22"/>
          <w:szCs w:val="22"/>
          <w:lang w:val="en-US"/>
        </w:rPr>
        <w:drawing>
          <wp:inline distT="0" distB="0" distL="0" distR="0" wp14:anchorId="28E451C5" wp14:editId="5A21AB23">
            <wp:extent cx="3152775" cy="2714625"/>
            <wp:effectExtent l="0" t="0" r="0" b="0"/>
            <wp:docPr id="55" name="Objec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1C411D" w:rsidRPr="001F63BA" w:rsidRDefault="001C411D" w:rsidP="00A3340A">
      <w:pPr>
        <w:tabs>
          <w:tab w:val="left" w:pos="90"/>
        </w:tabs>
        <w:spacing w:after="120" w:line="360" w:lineRule="auto"/>
        <w:rPr>
          <w:rFonts w:ascii="GHEA Grapalat" w:hAnsi="GHEA Grapalat" w:cs="GHEA Grapalat"/>
          <w:sz w:val="22"/>
          <w:szCs w:val="22"/>
        </w:rPr>
      </w:pPr>
      <w:r w:rsidRPr="001F63BA">
        <w:rPr>
          <w:rFonts w:ascii="GHEA Grapalat" w:hAnsi="GHEA Grapalat" w:cs="GHEA Grapalat"/>
          <w:i/>
          <w:iCs/>
          <w:sz w:val="18"/>
          <w:szCs w:val="18"/>
        </w:rPr>
        <w:t>Աղբյուրը՝ ՀՀ ՖՆ գնահատական</w:t>
      </w:r>
    </w:p>
    <w:p w:rsidR="001C411D" w:rsidRPr="001F63BA" w:rsidRDefault="001C411D" w:rsidP="00A3340A">
      <w:pPr>
        <w:spacing w:line="360" w:lineRule="auto"/>
        <w:ind w:firstLine="567"/>
        <w:jc w:val="both"/>
        <w:rPr>
          <w:rFonts w:ascii="GHEA Grapalat" w:hAnsi="GHEA Grapalat" w:cs="Sylfaen"/>
          <w:sz w:val="22"/>
          <w:szCs w:val="22"/>
          <w:lang w:val="en-US"/>
        </w:rPr>
      </w:pPr>
    </w:p>
    <w:p w:rsidR="001C411D" w:rsidRPr="001F63BA" w:rsidRDefault="001C411D" w:rsidP="00400A22">
      <w:pPr>
        <w:spacing w:line="360" w:lineRule="auto"/>
        <w:jc w:val="both"/>
        <w:rPr>
          <w:rFonts w:ascii="GHEA Grapalat" w:hAnsi="GHEA Grapalat" w:cs="GHEA Grapalat"/>
          <w:b/>
          <w:sz w:val="22"/>
          <w:szCs w:val="22"/>
        </w:rPr>
      </w:pPr>
    </w:p>
    <w:p w:rsidR="001C411D" w:rsidRPr="001F63BA" w:rsidRDefault="001C411D" w:rsidP="00400A22">
      <w:pPr>
        <w:rPr>
          <w:rFonts w:ascii="GHEA Grapalat" w:hAnsi="GHEA Grapalat"/>
          <w:b/>
          <w:szCs w:val="20"/>
        </w:rPr>
      </w:pPr>
      <w:r w:rsidRPr="001F63BA">
        <w:rPr>
          <w:rFonts w:ascii="GHEA Grapalat" w:hAnsi="GHEA Grapalat"/>
          <w:i/>
        </w:rPr>
        <w:br w:type="page"/>
      </w:r>
    </w:p>
    <w:p w:rsidR="001C411D" w:rsidRPr="001F63BA" w:rsidRDefault="001C411D" w:rsidP="00520396">
      <w:pPr>
        <w:spacing w:line="276" w:lineRule="auto"/>
        <w:ind w:firstLine="567"/>
        <w:jc w:val="center"/>
        <w:rPr>
          <w:rFonts w:ascii="GHEA Grapalat" w:hAnsi="GHEA Grapalat" w:cs="GHEA Grapalat"/>
          <w:sz w:val="22"/>
          <w:szCs w:val="22"/>
        </w:rPr>
      </w:pPr>
      <w:bookmarkStart w:id="91" w:name="_Toc131980951"/>
      <w:r w:rsidRPr="001F63BA">
        <w:rPr>
          <w:rFonts w:ascii="GHEA Grapalat" w:hAnsi="GHEA Grapalat" w:cs="GHEA Grapalat"/>
          <w:b/>
          <w:sz w:val="22"/>
          <w:szCs w:val="22"/>
        </w:rPr>
        <w:lastRenderedPageBreak/>
        <w:t xml:space="preserve">Աղյուսակ </w:t>
      </w:r>
      <w:r w:rsidRPr="001F63BA">
        <w:rPr>
          <w:rFonts w:ascii="GHEA Grapalat" w:hAnsi="GHEA Grapalat" w:cs="GHEA Grapalat"/>
          <w:b/>
          <w:sz w:val="22"/>
          <w:szCs w:val="22"/>
          <w:lang w:val="en-US"/>
        </w:rPr>
        <w:t>2</w:t>
      </w:r>
      <w:r w:rsidRPr="001F63BA">
        <w:rPr>
          <w:rFonts w:ascii="GHEA Grapalat" w:hAnsi="GHEA Grapalat" w:cs="GHEA Grapalat"/>
          <w:b/>
          <w:sz w:val="22"/>
          <w:szCs w:val="22"/>
        </w:rPr>
        <w:t>:</w:t>
      </w:r>
      <w:r w:rsidRPr="001F63BA">
        <w:rPr>
          <w:rFonts w:ascii="GHEA Grapalat" w:hAnsi="GHEA Grapalat" w:cs="GHEA Grapalat"/>
          <w:sz w:val="22"/>
          <w:szCs w:val="22"/>
        </w:rPr>
        <w:t xml:space="preserve"> Տնտեսության ճյուղերի և ենթաճյուղերի, արտահանման և ներմուծման ապրանքախմբերի հիմնական ցուցանիշներ</w:t>
      </w:r>
      <w:bookmarkEnd w:id="91"/>
      <w:r w:rsidRPr="001F63BA">
        <w:rPr>
          <w:rFonts w:ascii="GHEA Grapalat" w:hAnsi="GHEA Grapalat" w:cs="GHEA Grapalat"/>
          <w:sz w:val="22"/>
          <w:szCs w:val="22"/>
        </w:rPr>
        <w:t>ը</w:t>
      </w:r>
    </w:p>
    <w:p w:rsidR="001C411D" w:rsidRPr="001F63BA" w:rsidRDefault="001C411D" w:rsidP="003B693F">
      <w:pPr>
        <w:jc w:val="center"/>
        <w:rPr>
          <w:rFonts w:ascii="GHEA Grapalat" w:hAnsi="GHEA Grapalat"/>
          <w:b/>
          <w:sz w:val="22"/>
          <w:szCs w:val="20"/>
        </w:rPr>
      </w:pPr>
    </w:p>
    <w:p w:rsidR="001C411D" w:rsidRPr="001F63BA" w:rsidRDefault="001C411D" w:rsidP="00400A22">
      <w:pPr>
        <w:jc w:val="center"/>
        <w:rPr>
          <w:rFonts w:ascii="GHEA Grapalat" w:hAnsi="GHEA Grapalat"/>
          <w:sz w:val="22"/>
          <w:szCs w:val="20"/>
        </w:rPr>
      </w:pPr>
      <w:r w:rsidRPr="001F63BA">
        <w:rPr>
          <w:rFonts w:ascii="GHEA Grapalat" w:hAnsi="GHEA Grapalat" w:cs="Arial"/>
          <w:b/>
          <w:sz w:val="22"/>
          <w:szCs w:val="20"/>
        </w:rPr>
        <w:t xml:space="preserve">Աղյուսակ </w:t>
      </w:r>
      <w:r w:rsidRPr="001F63BA">
        <w:rPr>
          <w:rFonts w:ascii="GHEA Grapalat" w:hAnsi="GHEA Grapalat" w:cs="Arial"/>
          <w:b/>
          <w:sz w:val="22"/>
          <w:szCs w:val="20"/>
          <w:lang w:val="en-US"/>
        </w:rPr>
        <w:t>2.</w:t>
      </w:r>
      <w:r w:rsidRPr="001F63BA">
        <w:rPr>
          <w:rFonts w:ascii="GHEA Grapalat" w:hAnsi="GHEA Grapalat" w:cs="Arial"/>
          <w:b/>
          <w:sz w:val="22"/>
          <w:szCs w:val="20"/>
        </w:rPr>
        <w:t>1</w:t>
      </w:r>
      <w:r w:rsidRPr="001F63BA">
        <w:rPr>
          <w:rFonts w:ascii="GHEA Grapalat" w:hAnsi="GHEA Grapalat" w:cs="Arial"/>
          <w:b/>
          <w:sz w:val="22"/>
          <w:szCs w:val="20"/>
          <w:lang w:val="en-US"/>
        </w:rPr>
        <w:t>.</w:t>
      </w:r>
      <w:r w:rsidRPr="001F63BA">
        <w:rPr>
          <w:rFonts w:ascii="GHEA Grapalat" w:hAnsi="GHEA Grapalat" w:cs="Arial"/>
          <w:b/>
          <w:sz w:val="22"/>
          <w:szCs w:val="20"/>
        </w:rPr>
        <w:t xml:space="preserve"> </w:t>
      </w:r>
      <w:r w:rsidRPr="001F63BA">
        <w:rPr>
          <w:rFonts w:ascii="GHEA Grapalat" w:hAnsi="GHEA Grapalat" w:cs="Arial"/>
          <w:sz w:val="22"/>
          <w:szCs w:val="20"/>
        </w:rPr>
        <w:t>Տնտեսության ճյուղերի և ենթաճյուղերի թողարկման</w:t>
      </w:r>
      <w:r w:rsidRPr="001F63BA">
        <w:rPr>
          <w:rFonts w:ascii="GHEA Grapalat" w:hAnsi="GHEA Grapalat"/>
          <w:sz w:val="22"/>
          <w:szCs w:val="20"/>
        </w:rPr>
        <w:t xml:space="preserve"> </w:t>
      </w:r>
      <w:r w:rsidRPr="001F63BA">
        <w:rPr>
          <w:rFonts w:ascii="GHEA Grapalat" w:hAnsi="GHEA Grapalat" w:cs="Arial"/>
          <w:sz w:val="22"/>
          <w:szCs w:val="20"/>
        </w:rPr>
        <w:t>ծավալների</w:t>
      </w:r>
      <w:r w:rsidRPr="001F63BA">
        <w:rPr>
          <w:rFonts w:ascii="GHEA Grapalat" w:hAnsi="GHEA Grapalat"/>
          <w:sz w:val="22"/>
          <w:szCs w:val="20"/>
        </w:rPr>
        <w:t xml:space="preserve"> </w:t>
      </w:r>
      <w:r w:rsidRPr="001F63BA">
        <w:rPr>
          <w:rFonts w:ascii="GHEA Grapalat" w:hAnsi="GHEA Grapalat" w:cs="Arial"/>
          <w:sz w:val="22"/>
          <w:szCs w:val="20"/>
        </w:rPr>
        <w:t>ցուցանիշները,</w:t>
      </w:r>
      <w:r w:rsidRPr="001F63BA">
        <w:rPr>
          <w:rFonts w:ascii="GHEA Grapalat" w:hAnsi="GHEA Grapalat"/>
          <w:sz w:val="22"/>
          <w:szCs w:val="20"/>
        </w:rPr>
        <w:t xml:space="preserve"> 2022</w:t>
      </w:r>
      <w:r w:rsidRPr="001F63BA">
        <w:rPr>
          <w:rFonts w:ascii="GHEA Grapalat" w:hAnsi="GHEA Grapalat" w:cs="Arial"/>
          <w:sz w:val="22"/>
          <w:szCs w:val="20"/>
        </w:rPr>
        <w:t>թ</w:t>
      </w:r>
      <w:r w:rsidRPr="001F63BA">
        <w:rPr>
          <w:rFonts w:ascii="GHEA Grapalat" w:hAnsi="GHEA Grapalat"/>
          <w:sz w:val="22"/>
          <w:szCs w:val="20"/>
        </w:rPr>
        <w:t>.</w:t>
      </w:r>
    </w:p>
    <w:p w:rsidR="001C411D" w:rsidRPr="001F63BA" w:rsidRDefault="001C411D" w:rsidP="00400A22">
      <w:pPr>
        <w:jc w:val="center"/>
        <w:rPr>
          <w:rFonts w:ascii="GHEA Grapalat" w:hAnsi="GHEA Grapalat"/>
          <w:sz w:val="22"/>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4518"/>
        <w:gridCol w:w="1440"/>
        <w:gridCol w:w="1048"/>
        <w:gridCol w:w="1202"/>
        <w:gridCol w:w="1980"/>
      </w:tblGrid>
      <w:tr w:rsidR="001C411D" w:rsidRPr="001F63BA" w:rsidTr="00A6734C">
        <w:trPr>
          <w:trHeight w:val="540"/>
        </w:trPr>
        <w:tc>
          <w:tcPr>
            <w:tcW w:w="4518" w:type="dxa"/>
            <w:tcBorders>
              <w:top w:val="single" w:sz="4" w:space="0" w:color="4F81BD"/>
              <w:left w:val="single" w:sz="4" w:space="0" w:color="4F81BD"/>
              <w:bottom w:val="single" w:sz="4" w:space="0" w:color="4F81BD"/>
              <w:right w:val="nil"/>
            </w:tcBorders>
            <w:shd w:val="clear" w:color="auto" w:fill="4F81BD"/>
            <w:noWrap/>
          </w:tcPr>
          <w:p w:rsidR="001C411D" w:rsidRPr="001F63BA" w:rsidRDefault="001C411D" w:rsidP="00A6734C">
            <w:pPr>
              <w:jc w:val="center"/>
              <w:rPr>
                <w:rFonts w:ascii="GHEA Grapalat" w:hAnsi="GHEA Grapalat"/>
                <w:b/>
                <w:bCs/>
                <w:i/>
                <w:iCs/>
                <w:sz w:val="20"/>
                <w:szCs w:val="20"/>
              </w:rPr>
            </w:pPr>
          </w:p>
        </w:tc>
        <w:tc>
          <w:tcPr>
            <w:tcW w:w="144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lang w:val="en-US"/>
              </w:rPr>
            </w:pPr>
            <w:r w:rsidRPr="001F63BA">
              <w:rPr>
                <w:rFonts w:ascii="GHEA Grapalat" w:hAnsi="GHEA Grapalat"/>
                <w:b/>
                <w:bCs/>
                <w:sz w:val="20"/>
                <w:szCs w:val="20"/>
              </w:rPr>
              <w:t>Արժեք</w:t>
            </w:r>
          </w:p>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(մլրդ դրամ)</w:t>
            </w:r>
          </w:p>
        </w:tc>
        <w:tc>
          <w:tcPr>
            <w:tcW w:w="1048"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Կշիռը (%)</w:t>
            </w:r>
          </w:p>
        </w:tc>
        <w:tc>
          <w:tcPr>
            <w:tcW w:w="1202"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Նպաստում (տոկոսային</w:t>
            </w:r>
            <w:r w:rsidRPr="001F63BA">
              <w:rPr>
                <w:rFonts w:ascii="GHEA Grapalat" w:hAnsi="GHEA Grapalat"/>
                <w:b/>
                <w:bCs/>
                <w:sz w:val="20"/>
                <w:szCs w:val="20"/>
                <w:lang w:val="en-US"/>
              </w:rPr>
              <w:t xml:space="preserve"> </w:t>
            </w:r>
            <w:r w:rsidRPr="001F63BA">
              <w:rPr>
                <w:rFonts w:ascii="GHEA Grapalat" w:hAnsi="GHEA Grapalat"/>
                <w:b/>
                <w:bCs/>
                <w:sz w:val="20"/>
                <w:szCs w:val="20"/>
              </w:rPr>
              <w:t>կետ)</w:t>
            </w:r>
            <w:r w:rsidRPr="001F63BA">
              <w:rPr>
                <w:rStyle w:val="FootnoteReference"/>
                <w:rFonts w:ascii="GHEA Grapalat" w:hAnsi="GHEA Grapalat"/>
                <w:b/>
                <w:bCs/>
                <w:sz w:val="20"/>
                <w:szCs w:val="20"/>
              </w:rPr>
              <w:footnoteReference w:id="32"/>
            </w:r>
          </w:p>
        </w:tc>
      </w:tr>
      <w:tr w:rsidR="001C411D" w:rsidRPr="001F63BA" w:rsidTr="00A6734C">
        <w:trPr>
          <w:trHeight w:val="285"/>
        </w:trPr>
        <w:tc>
          <w:tcPr>
            <w:tcW w:w="4518" w:type="dxa"/>
            <w:shd w:val="clear" w:color="auto" w:fill="DBE5F1"/>
            <w:noWrap/>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Ամբողջ արդյունաբերություն, այդ թվում՝</w:t>
            </w:r>
          </w:p>
        </w:tc>
        <w:tc>
          <w:tcPr>
            <w:tcW w:w="1440" w:type="dxa"/>
            <w:shd w:val="clear" w:color="auto" w:fill="DBE5F1"/>
            <w:vAlign w:val="center"/>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2683.6</w:t>
            </w:r>
          </w:p>
        </w:tc>
        <w:tc>
          <w:tcPr>
            <w:tcW w:w="1048" w:type="dxa"/>
            <w:shd w:val="clear" w:color="auto" w:fill="DBE5F1"/>
            <w:vAlign w:val="center"/>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100.0</w:t>
            </w:r>
          </w:p>
        </w:tc>
        <w:tc>
          <w:tcPr>
            <w:tcW w:w="1202" w:type="dxa"/>
            <w:shd w:val="clear" w:color="auto" w:fill="DBE5F1"/>
            <w:vAlign w:val="center"/>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107.9</w:t>
            </w:r>
          </w:p>
        </w:tc>
        <w:tc>
          <w:tcPr>
            <w:tcW w:w="1980" w:type="dxa"/>
            <w:shd w:val="clear" w:color="auto" w:fill="DBE5F1"/>
            <w:vAlign w:val="center"/>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7.9</w:t>
            </w:r>
          </w:p>
        </w:tc>
      </w:tr>
      <w:tr w:rsidR="001C411D" w:rsidRPr="001F63BA" w:rsidTr="00A6734C">
        <w:trPr>
          <w:trHeight w:val="203"/>
        </w:trPr>
        <w:tc>
          <w:tcPr>
            <w:tcW w:w="4518" w:type="dxa"/>
          </w:tcPr>
          <w:p w:rsidR="001C411D" w:rsidRPr="001F63BA" w:rsidRDefault="001C411D" w:rsidP="00400A22">
            <w:pPr>
              <w:rPr>
                <w:rFonts w:ascii="GHEA Grapalat" w:hAnsi="GHEA Grapalat"/>
                <w:b/>
                <w:bCs/>
                <w:sz w:val="20"/>
                <w:szCs w:val="20"/>
              </w:rPr>
            </w:pPr>
            <w:r w:rsidRPr="001F63BA">
              <w:rPr>
                <w:rFonts w:ascii="Calibri" w:hAnsi="Calibri" w:cs="Calibri"/>
                <w:b/>
                <w:bCs/>
                <w:sz w:val="20"/>
                <w:szCs w:val="20"/>
              </w:rPr>
              <w:t> </w:t>
            </w:r>
          </w:p>
        </w:tc>
        <w:tc>
          <w:tcPr>
            <w:tcW w:w="1440" w:type="dxa"/>
            <w:vAlign w:val="center"/>
          </w:tcPr>
          <w:p w:rsidR="001C411D" w:rsidRPr="001F63BA" w:rsidRDefault="001C411D" w:rsidP="00A6734C">
            <w:pPr>
              <w:jc w:val="right"/>
              <w:rPr>
                <w:rFonts w:ascii="GHEA Grapalat" w:hAnsi="GHEA Grapalat"/>
                <w:b/>
                <w:sz w:val="20"/>
                <w:szCs w:val="20"/>
              </w:rPr>
            </w:pPr>
          </w:p>
        </w:tc>
        <w:tc>
          <w:tcPr>
            <w:tcW w:w="1048" w:type="dxa"/>
            <w:vAlign w:val="center"/>
          </w:tcPr>
          <w:p w:rsidR="001C411D" w:rsidRPr="001F63BA" w:rsidRDefault="001C411D" w:rsidP="00A6734C">
            <w:pPr>
              <w:jc w:val="right"/>
              <w:rPr>
                <w:rFonts w:ascii="GHEA Grapalat" w:hAnsi="GHEA Grapalat"/>
                <w:b/>
                <w:sz w:val="20"/>
                <w:szCs w:val="20"/>
              </w:rPr>
            </w:pPr>
            <w:r w:rsidRPr="001F63BA">
              <w:rPr>
                <w:rFonts w:ascii="Calibri" w:hAnsi="Calibri" w:cs="Calibri"/>
                <w:b/>
                <w:sz w:val="20"/>
                <w:szCs w:val="20"/>
              </w:rPr>
              <w:t> </w:t>
            </w:r>
          </w:p>
        </w:tc>
        <w:tc>
          <w:tcPr>
            <w:tcW w:w="1202" w:type="dxa"/>
            <w:vAlign w:val="center"/>
          </w:tcPr>
          <w:p w:rsidR="001C411D" w:rsidRPr="001F63BA" w:rsidRDefault="001C411D" w:rsidP="00A6734C">
            <w:pPr>
              <w:jc w:val="right"/>
              <w:rPr>
                <w:rFonts w:ascii="GHEA Grapalat" w:hAnsi="GHEA Grapalat"/>
                <w:b/>
                <w:sz w:val="20"/>
                <w:szCs w:val="20"/>
              </w:rPr>
            </w:pPr>
          </w:p>
        </w:tc>
        <w:tc>
          <w:tcPr>
            <w:tcW w:w="1980" w:type="dxa"/>
            <w:vAlign w:val="center"/>
          </w:tcPr>
          <w:p w:rsidR="001C411D" w:rsidRPr="001F63BA" w:rsidRDefault="001C411D" w:rsidP="00A6734C">
            <w:pPr>
              <w:jc w:val="right"/>
              <w:rPr>
                <w:rFonts w:ascii="GHEA Grapalat" w:hAnsi="GHEA Grapalat"/>
                <w:b/>
                <w:sz w:val="20"/>
                <w:szCs w:val="20"/>
              </w:rPr>
            </w:pPr>
          </w:p>
        </w:tc>
      </w:tr>
      <w:tr w:rsidR="001C411D" w:rsidRPr="001F63BA" w:rsidTr="00A6734C">
        <w:trPr>
          <w:trHeight w:val="570"/>
        </w:trPr>
        <w:tc>
          <w:tcPr>
            <w:tcW w:w="4518" w:type="dxa"/>
            <w:shd w:val="clear" w:color="auto" w:fill="DBE5F1"/>
          </w:tcPr>
          <w:p w:rsidR="001C411D" w:rsidRPr="001F63BA" w:rsidRDefault="001C411D" w:rsidP="00A6734C">
            <w:pPr>
              <w:ind w:left="270" w:hanging="180"/>
              <w:rPr>
                <w:rFonts w:ascii="GHEA Grapalat" w:hAnsi="GHEA Grapalat"/>
                <w:b/>
                <w:bCs/>
                <w:sz w:val="20"/>
                <w:szCs w:val="20"/>
              </w:rPr>
            </w:pPr>
            <w:r w:rsidRPr="001F63BA">
              <w:rPr>
                <w:rFonts w:ascii="GHEA Grapalat" w:hAnsi="GHEA Grapalat"/>
                <w:b/>
                <w:bCs/>
                <w:sz w:val="20"/>
                <w:szCs w:val="20"/>
              </w:rPr>
              <w:t>հանքագործական արդյունաբերություն և բացահանքերի շահագործում</w:t>
            </w:r>
          </w:p>
        </w:tc>
        <w:tc>
          <w:tcPr>
            <w:tcW w:w="1440"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517.4</w:t>
            </w:r>
          </w:p>
        </w:tc>
        <w:tc>
          <w:tcPr>
            <w:tcW w:w="1048"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19.3</w:t>
            </w:r>
          </w:p>
        </w:tc>
        <w:tc>
          <w:tcPr>
            <w:tcW w:w="1202"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96.8</w:t>
            </w:r>
          </w:p>
        </w:tc>
        <w:tc>
          <w:tcPr>
            <w:tcW w:w="1980"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-0.8</w:t>
            </w:r>
          </w:p>
        </w:tc>
      </w:tr>
      <w:tr w:rsidR="001C411D" w:rsidRPr="001F63BA" w:rsidTr="00A6734C">
        <w:trPr>
          <w:trHeight w:val="285"/>
        </w:trPr>
        <w:tc>
          <w:tcPr>
            <w:tcW w:w="4518" w:type="dxa"/>
            <w:noWrap/>
          </w:tcPr>
          <w:p w:rsidR="001C411D" w:rsidRPr="001F63BA" w:rsidRDefault="001C411D" w:rsidP="00A6734C">
            <w:pPr>
              <w:ind w:left="270" w:hanging="180"/>
              <w:rPr>
                <w:rFonts w:ascii="GHEA Grapalat" w:hAnsi="GHEA Grapalat"/>
                <w:b/>
                <w:bCs/>
                <w:sz w:val="20"/>
                <w:szCs w:val="20"/>
              </w:rPr>
            </w:pPr>
            <w:r w:rsidRPr="001F63BA">
              <w:rPr>
                <w:rFonts w:ascii="GHEA Grapalat" w:hAnsi="GHEA Grapalat"/>
                <w:b/>
                <w:bCs/>
                <w:sz w:val="20"/>
                <w:szCs w:val="20"/>
              </w:rPr>
              <w:t>մշակող արդյունաբերություն</w:t>
            </w:r>
          </w:p>
        </w:tc>
        <w:tc>
          <w:tcPr>
            <w:tcW w:w="1440"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1810.1</w:t>
            </w:r>
          </w:p>
        </w:tc>
        <w:tc>
          <w:tcPr>
            <w:tcW w:w="1048"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67.5</w:t>
            </w:r>
          </w:p>
        </w:tc>
        <w:tc>
          <w:tcPr>
            <w:tcW w:w="1202"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113.5</w:t>
            </w:r>
          </w:p>
        </w:tc>
        <w:tc>
          <w:tcPr>
            <w:tcW w:w="1980"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8.5</w:t>
            </w:r>
          </w:p>
        </w:tc>
      </w:tr>
      <w:tr w:rsidR="001C411D" w:rsidRPr="001F63BA" w:rsidTr="00A6734C">
        <w:trPr>
          <w:trHeight w:val="570"/>
        </w:trPr>
        <w:tc>
          <w:tcPr>
            <w:tcW w:w="4518" w:type="dxa"/>
            <w:shd w:val="clear" w:color="auto" w:fill="DBE5F1"/>
          </w:tcPr>
          <w:p w:rsidR="001C411D" w:rsidRPr="001F63BA" w:rsidRDefault="001C411D" w:rsidP="00A6734C">
            <w:pPr>
              <w:ind w:left="270" w:hanging="180"/>
              <w:rPr>
                <w:rFonts w:ascii="GHEA Grapalat" w:hAnsi="GHEA Grapalat"/>
                <w:b/>
                <w:bCs/>
                <w:sz w:val="20"/>
                <w:szCs w:val="20"/>
              </w:rPr>
            </w:pPr>
            <w:r w:rsidRPr="001F63BA">
              <w:rPr>
                <w:rFonts w:ascii="GHEA Grapalat" w:hAnsi="GHEA Grapalat"/>
                <w:b/>
                <w:bCs/>
                <w:sz w:val="20"/>
                <w:szCs w:val="20"/>
              </w:rPr>
              <w:t xml:space="preserve"> էլեկտրաէներգիայի, գազի, գոլորշու և լավորակ օդի մատակարարում</w:t>
            </w:r>
          </w:p>
        </w:tc>
        <w:tc>
          <w:tcPr>
            <w:tcW w:w="1440"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328.9</w:t>
            </w:r>
          </w:p>
        </w:tc>
        <w:tc>
          <w:tcPr>
            <w:tcW w:w="1048"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12.3</w:t>
            </w:r>
          </w:p>
        </w:tc>
        <w:tc>
          <w:tcPr>
            <w:tcW w:w="1202"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100.9</w:t>
            </w:r>
          </w:p>
        </w:tc>
        <w:tc>
          <w:tcPr>
            <w:tcW w:w="1980" w:type="dxa"/>
            <w:shd w:val="clear" w:color="auto" w:fill="DBE5F1"/>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0.1</w:t>
            </w:r>
          </w:p>
        </w:tc>
      </w:tr>
      <w:tr w:rsidR="001C411D" w:rsidRPr="001F63BA" w:rsidTr="00A6734C">
        <w:trPr>
          <w:trHeight w:val="570"/>
        </w:trPr>
        <w:tc>
          <w:tcPr>
            <w:tcW w:w="4518" w:type="dxa"/>
          </w:tcPr>
          <w:p w:rsidR="001C411D" w:rsidRPr="001F63BA" w:rsidRDefault="001C411D" w:rsidP="00A6734C">
            <w:pPr>
              <w:ind w:left="270" w:hanging="180"/>
              <w:rPr>
                <w:rFonts w:ascii="GHEA Grapalat" w:hAnsi="GHEA Grapalat"/>
                <w:b/>
                <w:bCs/>
                <w:sz w:val="20"/>
                <w:szCs w:val="20"/>
              </w:rPr>
            </w:pPr>
            <w:r w:rsidRPr="001F63BA">
              <w:rPr>
                <w:rFonts w:ascii="GHEA Grapalat" w:hAnsi="GHEA Grapalat"/>
                <w:b/>
                <w:bCs/>
                <w:sz w:val="20"/>
                <w:szCs w:val="20"/>
              </w:rPr>
              <w:t>ջրամատակարարում, կոյուղի, թափոնների կառավարում և վերամշակում</w:t>
            </w:r>
          </w:p>
        </w:tc>
        <w:tc>
          <w:tcPr>
            <w:tcW w:w="1440"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27.1</w:t>
            </w:r>
          </w:p>
        </w:tc>
        <w:tc>
          <w:tcPr>
            <w:tcW w:w="1048"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1.0</w:t>
            </w:r>
          </w:p>
        </w:tc>
        <w:tc>
          <w:tcPr>
            <w:tcW w:w="1202"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107.6</w:t>
            </w:r>
          </w:p>
        </w:tc>
        <w:tc>
          <w:tcPr>
            <w:tcW w:w="1980" w:type="dxa"/>
            <w:vAlign w:val="center"/>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0.1</w:t>
            </w:r>
          </w:p>
        </w:tc>
      </w:tr>
    </w:tbl>
    <w:p w:rsidR="001C411D" w:rsidRPr="001F63BA" w:rsidRDefault="001C411D" w:rsidP="00400A22">
      <w:pPr>
        <w:rPr>
          <w:rFonts w:ascii="GHEA Grapalat" w:hAnsi="GHEA Grapalat" w:cs="Arial"/>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4518"/>
        <w:gridCol w:w="1440"/>
        <w:gridCol w:w="1080"/>
        <w:gridCol w:w="1170"/>
        <w:gridCol w:w="1980"/>
      </w:tblGrid>
      <w:tr w:rsidR="001C411D" w:rsidRPr="001F63BA" w:rsidTr="00A6734C">
        <w:trPr>
          <w:trHeight w:val="570"/>
        </w:trPr>
        <w:tc>
          <w:tcPr>
            <w:tcW w:w="4518" w:type="dxa"/>
            <w:tcBorders>
              <w:top w:val="single" w:sz="4" w:space="0" w:color="4F81BD"/>
              <w:left w:val="single" w:sz="4" w:space="0" w:color="4F81BD"/>
              <w:bottom w:val="single" w:sz="4" w:space="0" w:color="4F81BD"/>
              <w:right w:val="nil"/>
            </w:tcBorders>
            <w:shd w:val="clear" w:color="auto" w:fill="4F81BD"/>
            <w:noWrap/>
          </w:tcPr>
          <w:p w:rsidR="001C411D" w:rsidRPr="001F63BA" w:rsidRDefault="001C411D" w:rsidP="004C40A5">
            <w:pPr>
              <w:ind w:firstLineChars="400" w:firstLine="800"/>
              <w:rPr>
                <w:rFonts w:ascii="GHEA Grapalat" w:hAnsi="GHEA Grapalat"/>
                <w:b/>
                <w:bCs/>
                <w:sz w:val="20"/>
                <w:szCs w:val="20"/>
              </w:rPr>
            </w:pPr>
            <w:r w:rsidRPr="001F63BA">
              <w:rPr>
                <w:rFonts w:ascii="Calibri" w:hAnsi="Calibri" w:cs="Calibri"/>
                <w:b/>
                <w:bCs/>
                <w:sz w:val="20"/>
                <w:szCs w:val="20"/>
              </w:rPr>
              <w:t> </w:t>
            </w:r>
          </w:p>
        </w:tc>
        <w:tc>
          <w:tcPr>
            <w:tcW w:w="144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lang w:val="en-US"/>
              </w:rPr>
            </w:pPr>
            <w:r w:rsidRPr="001F63BA">
              <w:rPr>
                <w:rFonts w:ascii="GHEA Grapalat" w:hAnsi="GHEA Grapalat"/>
                <w:b/>
                <w:bCs/>
                <w:sz w:val="20"/>
                <w:szCs w:val="20"/>
              </w:rPr>
              <w:t>Արժեք</w:t>
            </w:r>
          </w:p>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(մլրդ դրամ)</w:t>
            </w:r>
          </w:p>
        </w:tc>
        <w:tc>
          <w:tcPr>
            <w:tcW w:w="108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Կշիռը (%)</w:t>
            </w:r>
          </w:p>
        </w:tc>
        <w:tc>
          <w:tcPr>
            <w:tcW w:w="117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Նպաստում (տոկոսային կետ)</w:t>
            </w:r>
          </w:p>
        </w:tc>
      </w:tr>
      <w:tr w:rsidR="001C411D" w:rsidRPr="001F63BA" w:rsidTr="00A6734C">
        <w:trPr>
          <w:trHeight w:val="285"/>
        </w:trPr>
        <w:tc>
          <w:tcPr>
            <w:tcW w:w="4518" w:type="dxa"/>
            <w:shd w:val="clear" w:color="auto" w:fill="DBE5F1"/>
            <w:noWrap/>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Գյուղատնտեսություն, անտառային տնտեսություն և ձկնորսություն</w:t>
            </w:r>
          </w:p>
        </w:tc>
        <w:tc>
          <w:tcPr>
            <w:tcW w:w="1440" w:type="dxa"/>
            <w:shd w:val="clear" w:color="auto" w:fill="DBE5F1"/>
            <w:noWrap/>
            <w:vAlign w:val="center"/>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1083.8</w:t>
            </w:r>
          </w:p>
        </w:tc>
        <w:tc>
          <w:tcPr>
            <w:tcW w:w="1080" w:type="dxa"/>
            <w:shd w:val="clear" w:color="auto" w:fill="DBE5F1"/>
            <w:noWrap/>
            <w:vAlign w:val="center"/>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100.0</w:t>
            </w:r>
          </w:p>
        </w:tc>
        <w:tc>
          <w:tcPr>
            <w:tcW w:w="1170" w:type="dxa"/>
            <w:shd w:val="clear" w:color="auto" w:fill="DBE5F1"/>
            <w:noWrap/>
            <w:vAlign w:val="center"/>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101.6</w:t>
            </w:r>
          </w:p>
        </w:tc>
        <w:tc>
          <w:tcPr>
            <w:tcW w:w="1980" w:type="dxa"/>
            <w:shd w:val="clear" w:color="auto" w:fill="DBE5F1"/>
            <w:vAlign w:val="center"/>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1.6</w:t>
            </w:r>
          </w:p>
        </w:tc>
      </w:tr>
      <w:tr w:rsidR="001C411D" w:rsidRPr="001F63BA" w:rsidTr="00A6734C">
        <w:trPr>
          <w:trHeight w:val="285"/>
        </w:trPr>
        <w:tc>
          <w:tcPr>
            <w:tcW w:w="4518" w:type="dxa"/>
            <w:noWrap/>
          </w:tcPr>
          <w:p w:rsidR="001C411D" w:rsidRPr="001F63BA" w:rsidRDefault="001C411D" w:rsidP="00A6734C">
            <w:pPr>
              <w:ind w:firstLineChars="45" w:firstLine="90"/>
              <w:jc w:val="right"/>
              <w:rPr>
                <w:rFonts w:ascii="GHEA Grapalat" w:hAnsi="GHEA Grapalat"/>
                <w:b/>
                <w:bCs/>
                <w:sz w:val="20"/>
                <w:szCs w:val="20"/>
              </w:rPr>
            </w:pPr>
            <w:r w:rsidRPr="001F63BA">
              <w:rPr>
                <w:rFonts w:ascii="GHEA Grapalat" w:hAnsi="GHEA Grapalat"/>
                <w:b/>
                <w:bCs/>
                <w:i/>
                <w:iCs/>
                <w:sz w:val="20"/>
                <w:szCs w:val="20"/>
              </w:rPr>
              <w:t>այդ թվում`</w:t>
            </w:r>
          </w:p>
        </w:tc>
        <w:tc>
          <w:tcPr>
            <w:tcW w:w="1440" w:type="dxa"/>
            <w:vAlign w:val="center"/>
          </w:tcPr>
          <w:p w:rsidR="001C411D" w:rsidRPr="001F63BA" w:rsidRDefault="001C411D" w:rsidP="00A6734C">
            <w:pPr>
              <w:jc w:val="right"/>
              <w:rPr>
                <w:rFonts w:ascii="GHEA Grapalat" w:hAnsi="GHEA Grapalat"/>
                <w:b/>
                <w:bCs/>
                <w:sz w:val="20"/>
                <w:szCs w:val="20"/>
              </w:rPr>
            </w:pPr>
          </w:p>
        </w:tc>
        <w:tc>
          <w:tcPr>
            <w:tcW w:w="1080" w:type="dxa"/>
            <w:noWrap/>
            <w:vAlign w:val="center"/>
          </w:tcPr>
          <w:p w:rsidR="001C411D" w:rsidRPr="001F63BA" w:rsidRDefault="001C411D" w:rsidP="00A6734C">
            <w:pPr>
              <w:jc w:val="right"/>
              <w:rPr>
                <w:rFonts w:ascii="GHEA Grapalat" w:hAnsi="GHEA Grapalat"/>
                <w:b/>
                <w:bCs/>
                <w:sz w:val="20"/>
                <w:szCs w:val="20"/>
              </w:rPr>
            </w:pPr>
            <w:r w:rsidRPr="001F63BA">
              <w:rPr>
                <w:rFonts w:ascii="Calibri" w:hAnsi="Calibri" w:cs="Calibri"/>
                <w:b/>
                <w:bCs/>
                <w:sz w:val="20"/>
                <w:szCs w:val="20"/>
              </w:rPr>
              <w:t> </w:t>
            </w:r>
          </w:p>
        </w:tc>
        <w:tc>
          <w:tcPr>
            <w:tcW w:w="1170" w:type="dxa"/>
            <w:noWrap/>
            <w:vAlign w:val="center"/>
          </w:tcPr>
          <w:p w:rsidR="001C411D" w:rsidRPr="001F63BA" w:rsidRDefault="001C411D" w:rsidP="00A6734C">
            <w:pPr>
              <w:jc w:val="right"/>
              <w:rPr>
                <w:rFonts w:ascii="GHEA Grapalat" w:hAnsi="GHEA Grapalat"/>
                <w:b/>
                <w:bCs/>
                <w:sz w:val="20"/>
                <w:szCs w:val="20"/>
              </w:rPr>
            </w:pPr>
          </w:p>
        </w:tc>
        <w:tc>
          <w:tcPr>
            <w:tcW w:w="1980" w:type="dxa"/>
            <w:vAlign w:val="center"/>
          </w:tcPr>
          <w:p w:rsidR="001C411D" w:rsidRPr="001F63BA" w:rsidRDefault="001C411D" w:rsidP="00A6734C">
            <w:pPr>
              <w:jc w:val="right"/>
              <w:rPr>
                <w:rFonts w:ascii="GHEA Grapalat" w:hAnsi="GHEA Grapalat"/>
                <w:b/>
                <w:bCs/>
                <w:sz w:val="20"/>
                <w:szCs w:val="20"/>
              </w:rPr>
            </w:pPr>
          </w:p>
        </w:tc>
      </w:tr>
      <w:tr w:rsidR="001C411D" w:rsidRPr="001F63BA" w:rsidTr="00A6734C">
        <w:trPr>
          <w:trHeight w:val="270"/>
        </w:trPr>
        <w:tc>
          <w:tcPr>
            <w:tcW w:w="4518" w:type="dxa"/>
            <w:shd w:val="clear" w:color="auto" w:fill="DBE5F1"/>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բուսաբուծություն</w:t>
            </w:r>
          </w:p>
        </w:tc>
        <w:tc>
          <w:tcPr>
            <w:tcW w:w="1440" w:type="dxa"/>
            <w:shd w:val="clear" w:color="auto" w:fill="DBE5F1"/>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518.8</w:t>
            </w:r>
          </w:p>
        </w:tc>
        <w:tc>
          <w:tcPr>
            <w:tcW w:w="108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47.9</w:t>
            </w:r>
          </w:p>
        </w:tc>
        <w:tc>
          <w:tcPr>
            <w:tcW w:w="1170" w:type="dxa"/>
            <w:shd w:val="clear" w:color="auto" w:fill="DBE5F1"/>
            <w:noWrap/>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105.7</w:t>
            </w:r>
          </w:p>
        </w:tc>
        <w:tc>
          <w:tcPr>
            <w:tcW w:w="1980" w:type="dxa"/>
            <w:shd w:val="clear" w:color="auto" w:fill="DBE5F1"/>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2.8</w:t>
            </w:r>
          </w:p>
        </w:tc>
      </w:tr>
      <w:tr w:rsidR="001C411D" w:rsidRPr="001F63BA" w:rsidTr="00A6734C">
        <w:trPr>
          <w:trHeight w:val="270"/>
        </w:trPr>
        <w:tc>
          <w:tcPr>
            <w:tcW w:w="4518" w:type="dxa"/>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անասնաբուծություն</w:t>
            </w:r>
          </w:p>
        </w:tc>
        <w:tc>
          <w:tcPr>
            <w:tcW w:w="1440" w:type="dxa"/>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502.6</w:t>
            </w:r>
          </w:p>
        </w:tc>
        <w:tc>
          <w:tcPr>
            <w:tcW w:w="108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46.4</w:t>
            </w:r>
          </w:p>
        </w:tc>
        <w:tc>
          <w:tcPr>
            <w:tcW w:w="1170" w:type="dxa"/>
            <w:noWrap/>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95.0</w:t>
            </w:r>
          </w:p>
        </w:tc>
        <w:tc>
          <w:tcPr>
            <w:tcW w:w="1980" w:type="dxa"/>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-2.4</w:t>
            </w:r>
          </w:p>
        </w:tc>
      </w:tr>
      <w:tr w:rsidR="001C411D" w:rsidRPr="001F63BA" w:rsidTr="00A6734C">
        <w:trPr>
          <w:trHeight w:val="285"/>
        </w:trPr>
        <w:tc>
          <w:tcPr>
            <w:tcW w:w="4518" w:type="dxa"/>
            <w:shd w:val="clear" w:color="auto" w:fill="DBE5F1"/>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անտառային տնտեսություն</w:t>
            </w:r>
          </w:p>
        </w:tc>
        <w:tc>
          <w:tcPr>
            <w:tcW w:w="1440" w:type="dxa"/>
            <w:shd w:val="clear" w:color="auto" w:fill="DBE5F1"/>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2.2</w:t>
            </w:r>
          </w:p>
        </w:tc>
        <w:tc>
          <w:tcPr>
            <w:tcW w:w="108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0.2</w:t>
            </w:r>
          </w:p>
        </w:tc>
        <w:tc>
          <w:tcPr>
            <w:tcW w:w="1170" w:type="dxa"/>
            <w:shd w:val="clear" w:color="auto" w:fill="DBE5F1"/>
            <w:noWrap/>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108.0</w:t>
            </w:r>
          </w:p>
        </w:tc>
        <w:tc>
          <w:tcPr>
            <w:tcW w:w="1980" w:type="dxa"/>
            <w:shd w:val="clear" w:color="auto" w:fill="DBE5F1"/>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0.01</w:t>
            </w:r>
          </w:p>
        </w:tc>
      </w:tr>
      <w:tr w:rsidR="001C411D" w:rsidRPr="001F63BA" w:rsidTr="00A6734C">
        <w:trPr>
          <w:trHeight w:val="285"/>
        </w:trPr>
        <w:tc>
          <w:tcPr>
            <w:tcW w:w="4518" w:type="dxa"/>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ձկնորսություն</w:t>
            </w:r>
          </w:p>
        </w:tc>
        <w:tc>
          <w:tcPr>
            <w:tcW w:w="1440" w:type="dxa"/>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60.3</w:t>
            </w:r>
          </w:p>
        </w:tc>
        <w:tc>
          <w:tcPr>
            <w:tcW w:w="108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5.6</w:t>
            </w:r>
          </w:p>
        </w:tc>
        <w:tc>
          <w:tcPr>
            <w:tcW w:w="1170" w:type="dxa"/>
            <w:noWrap/>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126.9</w:t>
            </w:r>
          </w:p>
        </w:tc>
        <w:tc>
          <w:tcPr>
            <w:tcW w:w="1980" w:type="dxa"/>
            <w:vAlign w:val="center"/>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1.2</w:t>
            </w:r>
          </w:p>
        </w:tc>
      </w:tr>
    </w:tbl>
    <w:p w:rsidR="001C411D" w:rsidRPr="001F63BA" w:rsidRDefault="001C411D" w:rsidP="00400A22">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4518"/>
        <w:gridCol w:w="1440"/>
        <w:gridCol w:w="1080"/>
        <w:gridCol w:w="1170"/>
        <w:gridCol w:w="1980"/>
      </w:tblGrid>
      <w:tr w:rsidR="001C411D" w:rsidRPr="001F63BA" w:rsidTr="00A6734C">
        <w:trPr>
          <w:trHeight w:val="570"/>
        </w:trPr>
        <w:tc>
          <w:tcPr>
            <w:tcW w:w="4518" w:type="dxa"/>
            <w:tcBorders>
              <w:top w:val="single" w:sz="4" w:space="0" w:color="4F81BD"/>
              <w:left w:val="single" w:sz="4" w:space="0" w:color="4F81BD"/>
              <w:bottom w:val="single" w:sz="4" w:space="0" w:color="4F81BD"/>
              <w:right w:val="nil"/>
            </w:tcBorders>
            <w:shd w:val="clear" w:color="auto" w:fill="4F81BD"/>
            <w:noWrap/>
          </w:tcPr>
          <w:p w:rsidR="001C411D" w:rsidRPr="001F63BA" w:rsidRDefault="001C411D" w:rsidP="00A6734C">
            <w:pPr>
              <w:jc w:val="center"/>
              <w:rPr>
                <w:rFonts w:ascii="GHEA Grapalat" w:hAnsi="GHEA Grapalat"/>
                <w:b/>
                <w:bCs/>
                <w:i/>
                <w:iCs/>
                <w:sz w:val="20"/>
                <w:szCs w:val="20"/>
              </w:rPr>
            </w:pPr>
            <w:r w:rsidRPr="001F63BA">
              <w:rPr>
                <w:rFonts w:ascii="GHEA Grapalat" w:hAnsi="GHEA Grapalat"/>
                <w:b/>
                <w:bCs/>
                <w:i/>
                <w:iCs/>
                <w:sz w:val="20"/>
                <w:szCs w:val="20"/>
              </w:rPr>
              <w:t>ըստ ֆինանսավորման աղբյուրների</w:t>
            </w:r>
          </w:p>
        </w:tc>
        <w:tc>
          <w:tcPr>
            <w:tcW w:w="144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lang w:val="en-US"/>
              </w:rPr>
            </w:pPr>
            <w:r w:rsidRPr="001F63BA">
              <w:rPr>
                <w:rFonts w:ascii="GHEA Grapalat" w:hAnsi="GHEA Grapalat"/>
                <w:b/>
                <w:bCs/>
                <w:sz w:val="20"/>
                <w:szCs w:val="20"/>
              </w:rPr>
              <w:t>Արժեք</w:t>
            </w:r>
          </w:p>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(մլրդ դրամ)</w:t>
            </w:r>
          </w:p>
        </w:tc>
        <w:tc>
          <w:tcPr>
            <w:tcW w:w="108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Կշիռը (%)</w:t>
            </w:r>
          </w:p>
        </w:tc>
        <w:tc>
          <w:tcPr>
            <w:tcW w:w="117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Նպաստում (տոկոսային կետ)</w:t>
            </w:r>
          </w:p>
        </w:tc>
      </w:tr>
      <w:tr w:rsidR="001C411D" w:rsidRPr="001F63BA" w:rsidTr="00A6734C">
        <w:trPr>
          <w:trHeight w:val="285"/>
        </w:trPr>
        <w:tc>
          <w:tcPr>
            <w:tcW w:w="4518" w:type="dxa"/>
            <w:shd w:val="clear" w:color="auto" w:fill="DBE5F1"/>
            <w:noWrap/>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Շինարարություն</w:t>
            </w:r>
          </w:p>
        </w:tc>
        <w:tc>
          <w:tcPr>
            <w:tcW w:w="1440" w:type="dxa"/>
            <w:shd w:val="clear" w:color="auto" w:fill="DBE5F1"/>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541.1</w:t>
            </w:r>
          </w:p>
        </w:tc>
        <w:tc>
          <w:tcPr>
            <w:tcW w:w="1080" w:type="dxa"/>
            <w:shd w:val="clear" w:color="auto" w:fill="DBE5F1"/>
            <w:noWrap/>
            <w:vAlign w:val="center"/>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100.0</w:t>
            </w:r>
          </w:p>
        </w:tc>
        <w:tc>
          <w:tcPr>
            <w:tcW w:w="1170" w:type="dxa"/>
            <w:shd w:val="clear" w:color="auto" w:fill="DBE5F1"/>
            <w:noWrap/>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112.5</w:t>
            </w:r>
          </w:p>
        </w:tc>
        <w:tc>
          <w:tcPr>
            <w:tcW w:w="1980" w:type="dxa"/>
            <w:shd w:val="clear" w:color="auto" w:fill="DBE5F1"/>
          </w:tcPr>
          <w:p w:rsidR="001C411D" w:rsidRPr="001F63BA" w:rsidRDefault="001C411D" w:rsidP="00A6734C">
            <w:pPr>
              <w:jc w:val="right"/>
              <w:rPr>
                <w:rFonts w:ascii="GHEA Grapalat" w:hAnsi="GHEA Grapalat"/>
                <w:b/>
                <w:bCs/>
                <w:sz w:val="20"/>
                <w:szCs w:val="20"/>
              </w:rPr>
            </w:pPr>
            <w:r w:rsidRPr="001F63BA">
              <w:rPr>
                <w:rFonts w:ascii="GHEA Grapalat" w:hAnsi="GHEA Grapalat"/>
                <w:b/>
                <w:bCs/>
                <w:sz w:val="20"/>
                <w:szCs w:val="20"/>
              </w:rPr>
              <w:t>12.5</w:t>
            </w:r>
          </w:p>
        </w:tc>
      </w:tr>
      <w:tr w:rsidR="001C411D" w:rsidRPr="001F63BA" w:rsidTr="00A6734C">
        <w:trPr>
          <w:trHeight w:val="285"/>
        </w:trPr>
        <w:tc>
          <w:tcPr>
            <w:tcW w:w="4518" w:type="dxa"/>
            <w:noWrap/>
          </w:tcPr>
          <w:p w:rsidR="001C411D" w:rsidRPr="001F63BA" w:rsidRDefault="001C411D" w:rsidP="00A6734C">
            <w:pPr>
              <w:jc w:val="right"/>
              <w:rPr>
                <w:rFonts w:ascii="GHEA Grapalat" w:hAnsi="GHEA Grapalat"/>
                <w:b/>
                <w:bCs/>
                <w:sz w:val="20"/>
                <w:szCs w:val="20"/>
              </w:rPr>
            </w:pPr>
            <w:r w:rsidRPr="001F63BA">
              <w:rPr>
                <w:rFonts w:ascii="Calibri" w:hAnsi="Calibri" w:cs="Calibri"/>
                <w:b/>
                <w:bCs/>
                <w:sz w:val="20"/>
                <w:szCs w:val="20"/>
              </w:rPr>
              <w:t> </w:t>
            </w:r>
            <w:r w:rsidRPr="001F63BA">
              <w:rPr>
                <w:rFonts w:ascii="GHEA Grapalat" w:hAnsi="GHEA Grapalat"/>
                <w:b/>
                <w:bCs/>
                <w:i/>
                <w:iCs/>
                <w:sz w:val="20"/>
                <w:szCs w:val="20"/>
              </w:rPr>
              <w:t>այդ թվում`</w:t>
            </w:r>
          </w:p>
        </w:tc>
        <w:tc>
          <w:tcPr>
            <w:tcW w:w="1440" w:type="dxa"/>
            <w:noWrap/>
          </w:tcPr>
          <w:p w:rsidR="001C411D" w:rsidRPr="001F63BA" w:rsidRDefault="001C411D" w:rsidP="00A6734C">
            <w:pPr>
              <w:jc w:val="right"/>
              <w:rPr>
                <w:rFonts w:ascii="GHEA Grapalat" w:hAnsi="GHEA Grapalat"/>
                <w:b/>
                <w:bCs/>
                <w:sz w:val="20"/>
                <w:szCs w:val="20"/>
              </w:rPr>
            </w:pPr>
          </w:p>
        </w:tc>
        <w:tc>
          <w:tcPr>
            <w:tcW w:w="1080" w:type="dxa"/>
            <w:noWrap/>
            <w:vAlign w:val="center"/>
          </w:tcPr>
          <w:p w:rsidR="001C411D" w:rsidRPr="001F63BA" w:rsidRDefault="001C411D" w:rsidP="00A6734C">
            <w:pPr>
              <w:jc w:val="right"/>
              <w:rPr>
                <w:rFonts w:ascii="GHEA Grapalat" w:hAnsi="GHEA Grapalat"/>
                <w:b/>
                <w:bCs/>
                <w:sz w:val="20"/>
                <w:szCs w:val="20"/>
              </w:rPr>
            </w:pPr>
            <w:r w:rsidRPr="001F63BA">
              <w:rPr>
                <w:rFonts w:ascii="Calibri" w:hAnsi="Calibri" w:cs="Calibri"/>
                <w:b/>
                <w:bCs/>
                <w:sz w:val="20"/>
                <w:szCs w:val="20"/>
              </w:rPr>
              <w:t> </w:t>
            </w:r>
          </w:p>
        </w:tc>
        <w:tc>
          <w:tcPr>
            <w:tcW w:w="1170" w:type="dxa"/>
            <w:noWrap/>
          </w:tcPr>
          <w:p w:rsidR="001C411D" w:rsidRPr="001F63BA" w:rsidRDefault="001C411D" w:rsidP="00A6734C">
            <w:pPr>
              <w:jc w:val="right"/>
              <w:rPr>
                <w:rFonts w:ascii="GHEA Grapalat" w:hAnsi="GHEA Grapalat"/>
                <w:b/>
                <w:bCs/>
                <w:sz w:val="20"/>
                <w:szCs w:val="20"/>
              </w:rPr>
            </w:pPr>
          </w:p>
        </w:tc>
        <w:tc>
          <w:tcPr>
            <w:tcW w:w="1980" w:type="dxa"/>
          </w:tcPr>
          <w:p w:rsidR="001C411D" w:rsidRPr="001F63BA" w:rsidRDefault="001C411D" w:rsidP="00A6734C">
            <w:pPr>
              <w:jc w:val="right"/>
              <w:rPr>
                <w:rFonts w:ascii="GHEA Grapalat" w:hAnsi="GHEA Grapalat"/>
                <w:b/>
                <w:bCs/>
                <w:sz w:val="20"/>
                <w:szCs w:val="20"/>
              </w:rPr>
            </w:pPr>
          </w:p>
        </w:tc>
      </w:tr>
      <w:tr w:rsidR="001C411D" w:rsidRPr="001F63BA" w:rsidTr="00A6734C">
        <w:trPr>
          <w:trHeight w:val="270"/>
        </w:trPr>
        <w:tc>
          <w:tcPr>
            <w:tcW w:w="4518" w:type="dxa"/>
            <w:shd w:val="clear" w:color="auto" w:fill="DBE5F1"/>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 xml:space="preserve">պետական բյուջեի, </w:t>
            </w:r>
            <w:r w:rsidRPr="001F63BA">
              <w:rPr>
                <w:rFonts w:ascii="GHEA Grapalat" w:hAnsi="GHEA Grapalat"/>
                <w:b/>
                <w:bCs/>
                <w:i/>
                <w:sz w:val="20"/>
                <w:szCs w:val="20"/>
              </w:rPr>
              <w:t>այդ թվում՝</w:t>
            </w:r>
          </w:p>
        </w:tc>
        <w:tc>
          <w:tcPr>
            <w:tcW w:w="144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147.2</w:t>
            </w:r>
          </w:p>
        </w:tc>
        <w:tc>
          <w:tcPr>
            <w:tcW w:w="108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27.2</w:t>
            </w:r>
          </w:p>
        </w:tc>
        <w:tc>
          <w:tcPr>
            <w:tcW w:w="117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103.0</w:t>
            </w:r>
          </w:p>
        </w:tc>
        <w:tc>
          <w:tcPr>
            <w:tcW w:w="198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0.9</w:t>
            </w:r>
          </w:p>
        </w:tc>
      </w:tr>
      <w:tr w:rsidR="001C411D" w:rsidRPr="001F63BA" w:rsidTr="00A6734C">
        <w:trPr>
          <w:trHeight w:val="270"/>
        </w:trPr>
        <w:tc>
          <w:tcPr>
            <w:tcW w:w="4518" w:type="dxa"/>
            <w:noWrap/>
          </w:tcPr>
          <w:p w:rsidR="001C411D" w:rsidRPr="001F63BA" w:rsidRDefault="001C411D" w:rsidP="00A6734C">
            <w:pPr>
              <w:ind w:firstLineChars="45" w:firstLine="90"/>
              <w:jc w:val="center"/>
              <w:rPr>
                <w:rFonts w:ascii="GHEA Grapalat" w:hAnsi="GHEA Grapalat"/>
                <w:b/>
                <w:bCs/>
                <w:i/>
                <w:iCs/>
                <w:sz w:val="20"/>
                <w:szCs w:val="20"/>
              </w:rPr>
            </w:pPr>
            <w:r w:rsidRPr="001F63BA">
              <w:rPr>
                <w:rFonts w:ascii="GHEA Grapalat" w:hAnsi="GHEA Grapalat"/>
                <w:b/>
                <w:bCs/>
                <w:i/>
                <w:iCs/>
                <w:sz w:val="20"/>
                <w:szCs w:val="20"/>
              </w:rPr>
              <w:t>միջազգային վարկերի</w:t>
            </w:r>
          </w:p>
        </w:tc>
        <w:tc>
          <w:tcPr>
            <w:tcW w:w="1440" w:type="dxa"/>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37.0</w:t>
            </w:r>
          </w:p>
        </w:tc>
        <w:tc>
          <w:tcPr>
            <w:tcW w:w="108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6.8</w:t>
            </w:r>
          </w:p>
        </w:tc>
        <w:tc>
          <w:tcPr>
            <w:tcW w:w="117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52.5</w:t>
            </w:r>
          </w:p>
        </w:tc>
        <w:tc>
          <w:tcPr>
            <w:tcW w:w="1980" w:type="dxa"/>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-7.1</w:t>
            </w:r>
          </w:p>
        </w:tc>
      </w:tr>
      <w:tr w:rsidR="001C411D" w:rsidRPr="001F63BA" w:rsidTr="00A6734C">
        <w:trPr>
          <w:trHeight w:val="270"/>
        </w:trPr>
        <w:tc>
          <w:tcPr>
            <w:tcW w:w="4518" w:type="dxa"/>
            <w:shd w:val="clear" w:color="auto" w:fill="DBE5F1"/>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համայնքների միջոցների</w:t>
            </w:r>
          </w:p>
        </w:tc>
        <w:tc>
          <w:tcPr>
            <w:tcW w:w="144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32.8</w:t>
            </w:r>
          </w:p>
        </w:tc>
        <w:tc>
          <w:tcPr>
            <w:tcW w:w="108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6.1</w:t>
            </w:r>
          </w:p>
        </w:tc>
        <w:tc>
          <w:tcPr>
            <w:tcW w:w="117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143.8</w:t>
            </w:r>
          </w:p>
        </w:tc>
        <w:tc>
          <w:tcPr>
            <w:tcW w:w="198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2.1</w:t>
            </w:r>
          </w:p>
        </w:tc>
      </w:tr>
      <w:tr w:rsidR="001C411D" w:rsidRPr="001F63BA" w:rsidTr="00A6734C">
        <w:trPr>
          <w:trHeight w:val="270"/>
        </w:trPr>
        <w:tc>
          <w:tcPr>
            <w:tcW w:w="4518" w:type="dxa"/>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մարդասիրական օգնության միջոցների</w:t>
            </w:r>
          </w:p>
        </w:tc>
        <w:tc>
          <w:tcPr>
            <w:tcW w:w="1440" w:type="dxa"/>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4.9</w:t>
            </w:r>
          </w:p>
        </w:tc>
        <w:tc>
          <w:tcPr>
            <w:tcW w:w="108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0.9</w:t>
            </w:r>
          </w:p>
        </w:tc>
        <w:tc>
          <w:tcPr>
            <w:tcW w:w="117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80.6</w:t>
            </w:r>
          </w:p>
        </w:tc>
        <w:tc>
          <w:tcPr>
            <w:tcW w:w="1980" w:type="dxa"/>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-0.2</w:t>
            </w:r>
          </w:p>
        </w:tc>
      </w:tr>
      <w:tr w:rsidR="001C411D" w:rsidRPr="001F63BA" w:rsidTr="00A6734C">
        <w:trPr>
          <w:trHeight w:val="270"/>
        </w:trPr>
        <w:tc>
          <w:tcPr>
            <w:tcW w:w="4518" w:type="dxa"/>
            <w:shd w:val="clear" w:color="auto" w:fill="DBE5F1"/>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 xml:space="preserve">կազմակերպությունների միջոցների, </w:t>
            </w:r>
            <w:r w:rsidRPr="001F63BA">
              <w:rPr>
                <w:rFonts w:ascii="GHEA Grapalat" w:hAnsi="GHEA Grapalat"/>
                <w:b/>
                <w:bCs/>
                <w:i/>
                <w:sz w:val="20"/>
                <w:szCs w:val="20"/>
              </w:rPr>
              <w:t>այդ թվում՝</w:t>
            </w:r>
          </w:p>
        </w:tc>
        <w:tc>
          <w:tcPr>
            <w:tcW w:w="144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254.0</w:t>
            </w:r>
          </w:p>
        </w:tc>
        <w:tc>
          <w:tcPr>
            <w:tcW w:w="108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46.9</w:t>
            </w:r>
          </w:p>
        </w:tc>
        <w:tc>
          <w:tcPr>
            <w:tcW w:w="117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121.3</w:t>
            </w:r>
          </w:p>
        </w:tc>
        <w:tc>
          <w:tcPr>
            <w:tcW w:w="198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9.3</w:t>
            </w:r>
          </w:p>
        </w:tc>
      </w:tr>
      <w:tr w:rsidR="001C411D" w:rsidRPr="001F63BA" w:rsidTr="00A6734C">
        <w:trPr>
          <w:trHeight w:val="270"/>
        </w:trPr>
        <w:tc>
          <w:tcPr>
            <w:tcW w:w="4518" w:type="dxa"/>
            <w:noWrap/>
          </w:tcPr>
          <w:p w:rsidR="001C411D" w:rsidRPr="001F63BA" w:rsidRDefault="001C411D" w:rsidP="00A6734C">
            <w:pPr>
              <w:ind w:firstLineChars="45" w:firstLine="90"/>
              <w:jc w:val="center"/>
              <w:rPr>
                <w:rFonts w:ascii="GHEA Grapalat" w:hAnsi="GHEA Grapalat"/>
                <w:b/>
                <w:bCs/>
                <w:i/>
                <w:iCs/>
                <w:sz w:val="20"/>
                <w:szCs w:val="20"/>
              </w:rPr>
            </w:pPr>
            <w:r w:rsidRPr="001F63BA">
              <w:rPr>
                <w:rFonts w:ascii="GHEA Grapalat" w:hAnsi="GHEA Grapalat"/>
                <w:b/>
                <w:bCs/>
                <w:i/>
                <w:iCs/>
                <w:sz w:val="20"/>
                <w:szCs w:val="20"/>
              </w:rPr>
              <w:t xml:space="preserve"> օտարերկրյա ներդրողների</w:t>
            </w:r>
          </w:p>
        </w:tc>
        <w:tc>
          <w:tcPr>
            <w:tcW w:w="1440" w:type="dxa"/>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13.6</w:t>
            </w:r>
          </w:p>
        </w:tc>
        <w:tc>
          <w:tcPr>
            <w:tcW w:w="108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2.5</w:t>
            </w:r>
          </w:p>
        </w:tc>
        <w:tc>
          <w:tcPr>
            <w:tcW w:w="1170" w:type="dxa"/>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91.5</w:t>
            </w:r>
          </w:p>
        </w:tc>
        <w:tc>
          <w:tcPr>
            <w:tcW w:w="1980" w:type="dxa"/>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-0.3</w:t>
            </w:r>
          </w:p>
        </w:tc>
      </w:tr>
      <w:tr w:rsidR="001C411D" w:rsidRPr="001F63BA" w:rsidTr="00A6734C">
        <w:trPr>
          <w:trHeight w:val="285"/>
        </w:trPr>
        <w:tc>
          <w:tcPr>
            <w:tcW w:w="4518" w:type="dxa"/>
            <w:shd w:val="clear" w:color="auto" w:fill="DBE5F1"/>
            <w:noWrap/>
          </w:tcPr>
          <w:p w:rsidR="001C411D" w:rsidRPr="001F63BA" w:rsidRDefault="001C411D" w:rsidP="00A6734C">
            <w:pPr>
              <w:ind w:firstLineChars="45" w:firstLine="90"/>
              <w:rPr>
                <w:rFonts w:ascii="GHEA Grapalat" w:hAnsi="GHEA Grapalat"/>
                <w:b/>
                <w:bCs/>
                <w:sz w:val="20"/>
                <w:szCs w:val="20"/>
              </w:rPr>
            </w:pPr>
            <w:r w:rsidRPr="001F63BA">
              <w:rPr>
                <w:rFonts w:ascii="GHEA Grapalat" w:hAnsi="GHEA Grapalat"/>
                <w:b/>
                <w:bCs/>
                <w:sz w:val="20"/>
                <w:szCs w:val="20"/>
              </w:rPr>
              <w:t>բնակչության միջոցների</w:t>
            </w:r>
          </w:p>
        </w:tc>
        <w:tc>
          <w:tcPr>
            <w:tcW w:w="144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102.3</w:t>
            </w:r>
          </w:p>
        </w:tc>
        <w:tc>
          <w:tcPr>
            <w:tcW w:w="108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18.9</w:t>
            </w:r>
          </w:p>
        </w:tc>
        <w:tc>
          <w:tcPr>
            <w:tcW w:w="1170" w:type="dxa"/>
            <w:shd w:val="clear" w:color="auto" w:fill="DBE5F1"/>
            <w:noWrap/>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102.2</w:t>
            </w:r>
          </w:p>
        </w:tc>
        <w:tc>
          <w:tcPr>
            <w:tcW w:w="1980" w:type="dxa"/>
            <w:shd w:val="clear" w:color="auto" w:fill="DBE5F1"/>
          </w:tcPr>
          <w:p w:rsidR="001C411D" w:rsidRPr="001F63BA" w:rsidRDefault="001C411D" w:rsidP="00A6734C">
            <w:pPr>
              <w:jc w:val="right"/>
              <w:rPr>
                <w:rFonts w:ascii="GHEA Grapalat" w:hAnsi="GHEA Grapalat"/>
                <w:bCs/>
                <w:sz w:val="20"/>
                <w:szCs w:val="20"/>
              </w:rPr>
            </w:pPr>
            <w:r w:rsidRPr="001F63BA">
              <w:rPr>
                <w:rFonts w:ascii="GHEA Grapalat" w:hAnsi="GHEA Grapalat"/>
                <w:bCs/>
                <w:sz w:val="20"/>
                <w:szCs w:val="20"/>
              </w:rPr>
              <w:t>0.5</w:t>
            </w:r>
          </w:p>
        </w:tc>
      </w:tr>
    </w:tbl>
    <w:p w:rsidR="001C411D" w:rsidRPr="001F63BA" w:rsidRDefault="001C411D" w:rsidP="00400A22">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4518"/>
        <w:gridCol w:w="1440"/>
        <w:gridCol w:w="1080"/>
        <w:gridCol w:w="1170"/>
        <w:gridCol w:w="1980"/>
      </w:tblGrid>
      <w:tr w:rsidR="001C411D" w:rsidRPr="001F63BA" w:rsidTr="00A6734C">
        <w:trPr>
          <w:trHeight w:val="570"/>
        </w:trPr>
        <w:tc>
          <w:tcPr>
            <w:tcW w:w="4518" w:type="dxa"/>
            <w:tcBorders>
              <w:top w:val="single" w:sz="4" w:space="0" w:color="4F81BD"/>
              <w:left w:val="single" w:sz="4" w:space="0" w:color="4F81BD"/>
              <w:bottom w:val="single" w:sz="4" w:space="0" w:color="4F81BD"/>
              <w:right w:val="nil"/>
            </w:tcBorders>
            <w:shd w:val="clear" w:color="auto" w:fill="4F81BD"/>
            <w:noWrap/>
          </w:tcPr>
          <w:p w:rsidR="001C411D" w:rsidRPr="001F63BA" w:rsidRDefault="001C411D" w:rsidP="004C40A5">
            <w:pPr>
              <w:ind w:firstLineChars="400" w:firstLine="800"/>
              <w:rPr>
                <w:rFonts w:ascii="GHEA Grapalat" w:hAnsi="GHEA Grapalat"/>
                <w:b/>
                <w:bCs/>
                <w:sz w:val="20"/>
                <w:szCs w:val="20"/>
              </w:rPr>
            </w:pPr>
            <w:r w:rsidRPr="001F63BA">
              <w:rPr>
                <w:rFonts w:ascii="Calibri" w:hAnsi="Calibri" w:cs="Calibri"/>
                <w:b/>
                <w:bCs/>
                <w:sz w:val="20"/>
                <w:szCs w:val="20"/>
              </w:rPr>
              <w:t> </w:t>
            </w:r>
          </w:p>
        </w:tc>
        <w:tc>
          <w:tcPr>
            <w:tcW w:w="144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lang w:val="en-US"/>
              </w:rPr>
            </w:pPr>
            <w:r w:rsidRPr="001F63BA">
              <w:rPr>
                <w:rFonts w:ascii="GHEA Grapalat" w:hAnsi="GHEA Grapalat"/>
                <w:b/>
                <w:bCs/>
                <w:sz w:val="20"/>
                <w:szCs w:val="20"/>
              </w:rPr>
              <w:t>Արժեք</w:t>
            </w:r>
          </w:p>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(մլրդ դրամ)</w:t>
            </w:r>
          </w:p>
        </w:tc>
        <w:tc>
          <w:tcPr>
            <w:tcW w:w="108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Կշիռը (%)</w:t>
            </w:r>
          </w:p>
        </w:tc>
        <w:tc>
          <w:tcPr>
            <w:tcW w:w="117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Նպաստում (տոկոսային կետ)</w:t>
            </w:r>
          </w:p>
        </w:tc>
      </w:tr>
      <w:tr w:rsidR="001C411D" w:rsidRPr="001F63BA" w:rsidTr="00A6734C">
        <w:trPr>
          <w:trHeight w:val="285"/>
        </w:trPr>
        <w:tc>
          <w:tcPr>
            <w:tcW w:w="4518" w:type="dxa"/>
            <w:shd w:val="clear" w:color="auto" w:fill="DBE5F1"/>
            <w:noWrap/>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Առևտուր</w:t>
            </w:r>
          </w:p>
        </w:tc>
        <w:tc>
          <w:tcPr>
            <w:tcW w:w="1440" w:type="dxa"/>
            <w:shd w:val="clear" w:color="auto" w:fill="DBE5F1"/>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4370.3</w:t>
            </w:r>
          </w:p>
        </w:tc>
        <w:tc>
          <w:tcPr>
            <w:tcW w:w="1080" w:type="dxa"/>
            <w:shd w:val="clear" w:color="auto" w:fill="DBE5F1"/>
            <w:noWrap/>
            <w:vAlign w:val="center"/>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100.0</w:t>
            </w:r>
          </w:p>
        </w:tc>
        <w:tc>
          <w:tcPr>
            <w:tcW w:w="1170" w:type="dxa"/>
            <w:shd w:val="clear" w:color="auto" w:fill="DBE5F1"/>
            <w:noWrap/>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117.0</w:t>
            </w:r>
          </w:p>
        </w:tc>
        <w:tc>
          <w:tcPr>
            <w:tcW w:w="1980" w:type="dxa"/>
            <w:shd w:val="clear" w:color="auto" w:fill="DBE5F1"/>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17.0</w:t>
            </w:r>
          </w:p>
        </w:tc>
      </w:tr>
      <w:tr w:rsidR="001C411D" w:rsidRPr="001F63BA" w:rsidTr="00A6734C">
        <w:trPr>
          <w:trHeight w:val="285"/>
        </w:trPr>
        <w:tc>
          <w:tcPr>
            <w:tcW w:w="4518" w:type="dxa"/>
            <w:noWrap/>
          </w:tcPr>
          <w:p w:rsidR="001C411D" w:rsidRPr="001F63BA" w:rsidRDefault="001C411D" w:rsidP="00A6734C">
            <w:pPr>
              <w:jc w:val="right"/>
              <w:rPr>
                <w:rFonts w:ascii="GHEA Grapalat" w:hAnsi="GHEA Grapalat"/>
                <w:b/>
                <w:bCs/>
                <w:sz w:val="20"/>
                <w:szCs w:val="20"/>
              </w:rPr>
            </w:pPr>
            <w:r w:rsidRPr="001F63BA">
              <w:rPr>
                <w:rFonts w:ascii="Calibri" w:hAnsi="Calibri" w:cs="Calibri"/>
                <w:b/>
                <w:bCs/>
                <w:sz w:val="20"/>
                <w:szCs w:val="20"/>
              </w:rPr>
              <w:t> </w:t>
            </w:r>
            <w:r w:rsidRPr="001F63BA">
              <w:rPr>
                <w:rFonts w:ascii="GHEA Grapalat" w:hAnsi="GHEA Grapalat"/>
                <w:b/>
                <w:bCs/>
                <w:i/>
                <w:iCs/>
                <w:sz w:val="20"/>
                <w:szCs w:val="20"/>
              </w:rPr>
              <w:t>այդ թվում`</w:t>
            </w:r>
          </w:p>
        </w:tc>
        <w:tc>
          <w:tcPr>
            <w:tcW w:w="1440" w:type="dxa"/>
          </w:tcPr>
          <w:p w:rsidR="001C411D" w:rsidRPr="001F63BA" w:rsidRDefault="001C411D" w:rsidP="00A6734C">
            <w:pPr>
              <w:jc w:val="right"/>
              <w:rPr>
                <w:rFonts w:ascii="GHEA Grapalat" w:hAnsi="GHEA Grapalat"/>
                <w:b/>
                <w:sz w:val="20"/>
                <w:szCs w:val="20"/>
              </w:rPr>
            </w:pPr>
          </w:p>
        </w:tc>
        <w:tc>
          <w:tcPr>
            <w:tcW w:w="1080" w:type="dxa"/>
            <w:noWrap/>
            <w:vAlign w:val="center"/>
          </w:tcPr>
          <w:p w:rsidR="001C411D" w:rsidRPr="001F63BA" w:rsidRDefault="001C411D" w:rsidP="00A6734C">
            <w:pPr>
              <w:jc w:val="right"/>
              <w:rPr>
                <w:rFonts w:ascii="GHEA Grapalat" w:hAnsi="GHEA Grapalat"/>
                <w:b/>
                <w:sz w:val="20"/>
                <w:szCs w:val="20"/>
              </w:rPr>
            </w:pPr>
          </w:p>
        </w:tc>
        <w:tc>
          <w:tcPr>
            <w:tcW w:w="1170" w:type="dxa"/>
            <w:noWrap/>
          </w:tcPr>
          <w:p w:rsidR="001C411D" w:rsidRPr="001F63BA" w:rsidRDefault="001C411D" w:rsidP="00A6734C">
            <w:pPr>
              <w:jc w:val="right"/>
              <w:rPr>
                <w:rFonts w:ascii="GHEA Grapalat" w:hAnsi="GHEA Grapalat"/>
                <w:b/>
                <w:sz w:val="20"/>
                <w:szCs w:val="20"/>
              </w:rPr>
            </w:pPr>
          </w:p>
        </w:tc>
        <w:tc>
          <w:tcPr>
            <w:tcW w:w="1980" w:type="dxa"/>
          </w:tcPr>
          <w:p w:rsidR="001C411D" w:rsidRPr="001F63BA" w:rsidRDefault="001C411D" w:rsidP="00A6734C">
            <w:pPr>
              <w:jc w:val="right"/>
              <w:rPr>
                <w:rFonts w:ascii="GHEA Grapalat" w:hAnsi="GHEA Grapalat"/>
                <w:b/>
                <w:sz w:val="20"/>
                <w:szCs w:val="20"/>
              </w:rPr>
            </w:pPr>
          </w:p>
        </w:tc>
      </w:tr>
      <w:tr w:rsidR="001C411D" w:rsidRPr="001F63BA" w:rsidTr="00A6734C">
        <w:trPr>
          <w:trHeight w:val="270"/>
        </w:trPr>
        <w:tc>
          <w:tcPr>
            <w:tcW w:w="4518" w:type="dxa"/>
            <w:shd w:val="clear" w:color="auto" w:fill="DBE5F1"/>
            <w:noWrap/>
          </w:tcPr>
          <w:p w:rsidR="001C411D" w:rsidRPr="001F63BA" w:rsidRDefault="001C411D" w:rsidP="004C40A5">
            <w:pPr>
              <w:ind w:firstLineChars="200" w:firstLine="400"/>
              <w:rPr>
                <w:rFonts w:ascii="GHEA Grapalat" w:hAnsi="GHEA Grapalat"/>
                <w:b/>
                <w:bCs/>
                <w:sz w:val="20"/>
                <w:szCs w:val="20"/>
              </w:rPr>
            </w:pPr>
            <w:r w:rsidRPr="001F63BA">
              <w:rPr>
                <w:rFonts w:ascii="GHEA Grapalat" w:hAnsi="GHEA Grapalat"/>
                <w:b/>
                <w:bCs/>
                <w:sz w:val="20"/>
                <w:szCs w:val="20"/>
              </w:rPr>
              <w:t>մանրածախ առևտուր</w:t>
            </w:r>
          </w:p>
        </w:tc>
        <w:tc>
          <w:tcPr>
            <w:tcW w:w="144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1639.4</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37.5</w:t>
            </w:r>
          </w:p>
        </w:tc>
        <w:tc>
          <w:tcPr>
            <w:tcW w:w="117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102.6</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1.1</w:t>
            </w:r>
          </w:p>
        </w:tc>
      </w:tr>
      <w:tr w:rsidR="001C411D" w:rsidRPr="001F63BA" w:rsidTr="00A6734C">
        <w:trPr>
          <w:trHeight w:val="270"/>
        </w:trPr>
        <w:tc>
          <w:tcPr>
            <w:tcW w:w="4518" w:type="dxa"/>
            <w:noWrap/>
          </w:tcPr>
          <w:p w:rsidR="001C411D" w:rsidRPr="001F63BA" w:rsidRDefault="001C411D" w:rsidP="004C40A5">
            <w:pPr>
              <w:ind w:firstLineChars="200" w:firstLine="400"/>
              <w:rPr>
                <w:rFonts w:ascii="GHEA Grapalat" w:hAnsi="GHEA Grapalat"/>
                <w:b/>
                <w:bCs/>
                <w:sz w:val="20"/>
                <w:szCs w:val="20"/>
              </w:rPr>
            </w:pPr>
            <w:r w:rsidRPr="001F63BA">
              <w:rPr>
                <w:rFonts w:ascii="GHEA Grapalat" w:hAnsi="GHEA Grapalat"/>
                <w:b/>
                <w:bCs/>
                <w:sz w:val="20"/>
                <w:szCs w:val="20"/>
              </w:rPr>
              <w:lastRenderedPageBreak/>
              <w:t>մեծածախ առևտուր</w:t>
            </w:r>
          </w:p>
        </w:tc>
        <w:tc>
          <w:tcPr>
            <w:tcW w:w="1440" w:type="dxa"/>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2547.7</w:t>
            </w:r>
          </w:p>
        </w:tc>
        <w:tc>
          <w:tcPr>
            <w:tcW w:w="108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58.3</w:t>
            </w:r>
          </w:p>
        </w:tc>
        <w:tc>
          <w:tcPr>
            <w:tcW w:w="117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126.6</w:t>
            </w:r>
          </w:p>
        </w:tc>
        <w:tc>
          <w:tcPr>
            <w:tcW w:w="1980" w:type="dxa"/>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14.2</w:t>
            </w:r>
          </w:p>
        </w:tc>
      </w:tr>
      <w:tr w:rsidR="001C411D" w:rsidRPr="001F63BA" w:rsidTr="00A6734C">
        <w:trPr>
          <w:trHeight w:val="285"/>
        </w:trPr>
        <w:tc>
          <w:tcPr>
            <w:tcW w:w="4518" w:type="dxa"/>
            <w:shd w:val="clear" w:color="auto" w:fill="DBE5F1"/>
            <w:noWrap/>
          </w:tcPr>
          <w:p w:rsidR="001C411D" w:rsidRPr="001F63BA" w:rsidRDefault="001C411D" w:rsidP="004C40A5">
            <w:pPr>
              <w:ind w:firstLineChars="200" w:firstLine="400"/>
              <w:rPr>
                <w:rFonts w:ascii="GHEA Grapalat" w:hAnsi="GHEA Grapalat"/>
                <w:b/>
                <w:bCs/>
                <w:sz w:val="20"/>
                <w:szCs w:val="20"/>
              </w:rPr>
            </w:pPr>
            <w:r w:rsidRPr="001F63BA">
              <w:rPr>
                <w:rFonts w:ascii="GHEA Grapalat" w:hAnsi="GHEA Grapalat"/>
                <w:b/>
                <w:bCs/>
                <w:sz w:val="20"/>
                <w:szCs w:val="20"/>
              </w:rPr>
              <w:t>ավտոմեքենաների առևտուր</w:t>
            </w:r>
          </w:p>
        </w:tc>
        <w:tc>
          <w:tcPr>
            <w:tcW w:w="144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183.2</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4.2</w:t>
            </w:r>
          </w:p>
        </w:tc>
        <w:tc>
          <w:tcPr>
            <w:tcW w:w="117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147.2</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1.7</w:t>
            </w:r>
          </w:p>
        </w:tc>
      </w:tr>
    </w:tbl>
    <w:p w:rsidR="001C411D" w:rsidRPr="001F63BA" w:rsidRDefault="001C411D" w:rsidP="00400A22">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4518"/>
        <w:gridCol w:w="1440"/>
        <w:gridCol w:w="1080"/>
        <w:gridCol w:w="1170"/>
        <w:gridCol w:w="1980"/>
      </w:tblGrid>
      <w:tr w:rsidR="001C411D" w:rsidRPr="001F63BA" w:rsidTr="00A6734C">
        <w:trPr>
          <w:trHeight w:val="570"/>
        </w:trPr>
        <w:tc>
          <w:tcPr>
            <w:tcW w:w="4518" w:type="dxa"/>
            <w:tcBorders>
              <w:top w:val="single" w:sz="4" w:space="0" w:color="4F81BD"/>
              <w:left w:val="single" w:sz="4" w:space="0" w:color="4F81BD"/>
              <w:bottom w:val="single" w:sz="4" w:space="0" w:color="4F81BD"/>
              <w:right w:val="nil"/>
            </w:tcBorders>
            <w:shd w:val="clear" w:color="auto" w:fill="4F81BD"/>
            <w:noWrap/>
          </w:tcPr>
          <w:p w:rsidR="001C411D" w:rsidRPr="001F63BA" w:rsidRDefault="001C411D" w:rsidP="00400A22">
            <w:pPr>
              <w:rPr>
                <w:rFonts w:ascii="GHEA Grapalat" w:hAnsi="GHEA Grapalat"/>
                <w:b/>
                <w:bCs/>
                <w:sz w:val="20"/>
                <w:szCs w:val="20"/>
              </w:rPr>
            </w:pPr>
            <w:r w:rsidRPr="001F63BA">
              <w:rPr>
                <w:rFonts w:ascii="Calibri" w:hAnsi="Calibri" w:cs="Calibri"/>
                <w:b/>
                <w:bCs/>
                <w:sz w:val="20"/>
                <w:szCs w:val="20"/>
              </w:rPr>
              <w:t> </w:t>
            </w:r>
          </w:p>
        </w:tc>
        <w:tc>
          <w:tcPr>
            <w:tcW w:w="144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lang w:val="en-US"/>
              </w:rPr>
            </w:pPr>
            <w:r w:rsidRPr="001F63BA">
              <w:rPr>
                <w:rFonts w:ascii="GHEA Grapalat" w:hAnsi="GHEA Grapalat"/>
                <w:b/>
                <w:bCs/>
                <w:sz w:val="20"/>
                <w:szCs w:val="20"/>
              </w:rPr>
              <w:t>Արժեք</w:t>
            </w:r>
          </w:p>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(մլրդ դրամ)</w:t>
            </w:r>
          </w:p>
        </w:tc>
        <w:tc>
          <w:tcPr>
            <w:tcW w:w="108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Կշիռը (%)</w:t>
            </w:r>
          </w:p>
        </w:tc>
        <w:tc>
          <w:tcPr>
            <w:tcW w:w="1170"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Նպաստում (տոկոսային կետ)</w:t>
            </w:r>
          </w:p>
        </w:tc>
      </w:tr>
      <w:tr w:rsidR="001C411D" w:rsidRPr="001F63BA" w:rsidTr="00A6734C">
        <w:trPr>
          <w:trHeight w:val="285"/>
        </w:trPr>
        <w:tc>
          <w:tcPr>
            <w:tcW w:w="4518" w:type="dxa"/>
            <w:shd w:val="clear" w:color="auto" w:fill="DBE5F1"/>
            <w:noWrap/>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Ծառայություններ</w:t>
            </w:r>
          </w:p>
        </w:tc>
        <w:tc>
          <w:tcPr>
            <w:tcW w:w="1440" w:type="dxa"/>
            <w:shd w:val="clear" w:color="auto" w:fill="DBE5F1"/>
            <w:noWrap/>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2575.8</w:t>
            </w:r>
          </w:p>
        </w:tc>
        <w:tc>
          <w:tcPr>
            <w:tcW w:w="1080" w:type="dxa"/>
            <w:shd w:val="clear" w:color="auto" w:fill="DBE5F1"/>
            <w:noWrap/>
            <w:vAlign w:val="center"/>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100.0</w:t>
            </w:r>
          </w:p>
        </w:tc>
        <w:tc>
          <w:tcPr>
            <w:tcW w:w="1170" w:type="dxa"/>
            <w:shd w:val="clear" w:color="auto" w:fill="DBE5F1"/>
            <w:noWrap/>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128.2</w:t>
            </w:r>
          </w:p>
        </w:tc>
        <w:tc>
          <w:tcPr>
            <w:tcW w:w="1980" w:type="dxa"/>
            <w:shd w:val="clear" w:color="auto" w:fill="DBE5F1"/>
          </w:tcPr>
          <w:p w:rsidR="001C411D" w:rsidRPr="001F63BA" w:rsidRDefault="001C411D" w:rsidP="00A6734C">
            <w:pPr>
              <w:jc w:val="right"/>
              <w:rPr>
                <w:rFonts w:ascii="GHEA Grapalat" w:hAnsi="GHEA Grapalat"/>
                <w:b/>
                <w:sz w:val="20"/>
                <w:szCs w:val="20"/>
              </w:rPr>
            </w:pPr>
            <w:r w:rsidRPr="001F63BA">
              <w:rPr>
                <w:rFonts w:ascii="GHEA Grapalat" w:hAnsi="GHEA Grapalat"/>
                <w:b/>
                <w:sz w:val="20"/>
                <w:szCs w:val="20"/>
              </w:rPr>
              <w:t>28.2</w:t>
            </w:r>
          </w:p>
        </w:tc>
      </w:tr>
      <w:tr w:rsidR="001C411D" w:rsidRPr="001F63BA" w:rsidTr="00A6734C">
        <w:trPr>
          <w:trHeight w:val="285"/>
        </w:trPr>
        <w:tc>
          <w:tcPr>
            <w:tcW w:w="4518" w:type="dxa"/>
            <w:noWrap/>
          </w:tcPr>
          <w:p w:rsidR="001C411D" w:rsidRPr="001F63BA" w:rsidRDefault="001C411D" w:rsidP="00A6734C">
            <w:pPr>
              <w:jc w:val="right"/>
              <w:rPr>
                <w:rFonts w:ascii="GHEA Grapalat" w:hAnsi="GHEA Grapalat"/>
                <w:b/>
                <w:bCs/>
                <w:sz w:val="20"/>
                <w:szCs w:val="20"/>
              </w:rPr>
            </w:pPr>
            <w:r w:rsidRPr="001F63BA">
              <w:rPr>
                <w:rFonts w:ascii="Calibri" w:hAnsi="Calibri" w:cs="Calibri"/>
                <w:b/>
                <w:bCs/>
                <w:sz w:val="20"/>
                <w:szCs w:val="20"/>
              </w:rPr>
              <w:t> </w:t>
            </w:r>
            <w:r w:rsidRPr="001F63BA">
              <w:rPr>
                <w:rFonts w:ascii="GHEA Grapalat" w:hAnsi="GHEA Grapalat"/>
                <w:b/>
                <w:bCs/>
                <w:i/>
                <w:iCs/>
                <w:sz w:val="20"/>
                <w:szCs w:val="20"/>
              </w:rPr>
              <w:t>այդ թվում`</w:t>
            </w:r>
          </w:p>
        </w:tc>
        <w:tc>
          <w:tcPr>
            <w:tcW w:w="1440" w:type="dxa"/>
            <w:noWrap/>
          </w:tcPr>
          <w:p w:rsidR="001C411D" w:rsidRPr="001F63BA" w:rsidRDefault="001C411D" w:rsidP="00A6734C">
            <w:pPr>
              <w:jc w:val="right"/>
              <w:rPr>
                <w:rFonts w:ascii="GHEA Grapalat" w:hAnsi="GHEA Grapalat"/>
                <w:b/>
                <w:sz w:val="20"/>
                <w:szCs w:val="20"/>
              </w:rPr>
            </w:pPr>
          </w:p>
        </w:tc>
        <w:tc>
          <w:tcPr>
            <w:tcW w:w="1080" w:type="dxa"/>
            <w:noWrap/>
            <w:vAlign w:val="center"/>
          </w:tcPr>
          <w:p w:rsidR="001C411D" w:rsidRPr="001F63BA" w:rsidRDefault="001C411D" w:rsidP="00A6734C">
            <w:pPr>
              <w:jc w:val="right"/>
              <w:rPr>
                <w:rFonts w:ascii="GHEA Grapalat" w:hAnsi="GHEA Grapalat"/>
                <w:b/>
                <w:sz w:val="20"/>
                <w:szCs w:val="20"/>
              </w:rPr>
            </w:pPr>
            <w:r w:rsidRPr="001F63BA">
              <w:rPr>
                <w:rFonts w:ascii="Calibri" w:hAnsi="Calibri" w:cs="Calibri"/>
                <w:b/>
                <w:sz w:val="20"/>
                <w:szCs w:val="20"/>
              </w:rPr>
              <w:t> </w:t>
            </w:r>
          </w:p>
        </w:tc>
        <w:tc>
          <w:tcPr>
            <w:tcW w:w="1170" w:type="dxa"/>
            <w:noWrap/>
          </w:tcPr>
          <w:p w:rsidR="001C411D" w:rsidRPr="001F63BA" w:rsidRDefault="001C411D" w:rsidP="00A6734C">
            <w:pPr>
              <w:jc w:val="right"/>
              <w:rPr>
                <w:rFonts w:ascii="GHEA Grapalat" w:hAnsi="GHEA Grapalat"/>
                <w:b/>
                <w:sz w:val="20"/>
                <w:szCs w:val="20"/>
              </w:rPr>
            </w:pPr>
          </w:p>
        </w:tc>
        <w:tc>
          <w:tcPr>
            <w:tcW w:w="1980" w:type="dxa"/>
          </w:tcPr>
          <w:p w:rsidR="001C411D" w:rsidRPr="001F63BA" w:rsidRDefault="001C411D" w:rsidP="00A6734C">
            <w:pPr>
              <w:jc w:val="right"/>
              <w:rPr>
                <w:rFonts w:ascii="GHEA Grapalat" w:hAnsi="GHEA Grapalat"/>
                <w:b/>
                <w:sz w:val="20"/>
                <w:szCs w:val="20"/>
              </w:rPr>
            </w:pPr>
          </w:p>
        </w:tc>
      </w:tr>
      <w:tr w:rsidR="001C411D" w:rsidRPr="001F63BA" w:rsidTr="00A6734C">
        <w:trPr>
          <w:trHeight w:val="270"/>
        </w:trPr>
        <w:tc>
          <w:tcPr>
            <w:tcW w:w="4518" w:type="dxa"/>
            <w:shd w:val="clear" w:color="auto" w:fill="DBE5F1"/>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 xml:space="preserve">կացության և հանրային սննդի կազմակերպում </w:t>
            </w:r>
          </w:p>
        </w:tc>
        <w:tc>
          <w:tcPr>
            <w:tcW w:w="144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241.5</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9.4</w:t>
            </w:r>
          </w:p>
        </w:tc>
        <w:tc>
          <w:tcPr>
            <w:tcW w:w="117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117.2</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1.7</w:t>
            </w:r>
          </w:p>
        </w:tc>
      </w:tr>
      <w:tr w:rsidR="001C411D" w:rsidRPr="001F63BA" w:rsidTr="00A6734C">
        <w:trPr>
          <w:trHeight w:val="270"/>
        </w:trPr>
        <w:tc>
          <w:tcPr>
            <w:tcW w:w="4518" w:type="dxa"/>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մշակույթ, զվարճություններ և հանգիստ</w:t>
            </w:r>
          </w:p>
        </w:tc>
        <w:tc>
          <w:tcPr>
            <w:tcW w:w="144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245.9</w:t>
            </w:r>
          </w:p>
        </w:tc>
        <w:tc>
          <w:tcPr>
            <w:tcW w:w="108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9.5</w:t>
            </w:r>
          </w:p>
        </w:tc>
        <w:tc>
          <w:tcPr>
            <w:tcW w:w="117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104.7</w:t>
            </w:r>
          </w:p>
        </w:tc>
        <w:tc>
          <w:tcPr>
            <w:tcW w:w="1980" w:type="dxa"/>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0.6</w:t>
            </w:r>
          </w:p>
        </w:tc>
      </w:tr>
      <w:tr w:rsidR="001C411D" w:rsidRPr="001F63BA" w:rsidTr="00A6734C">
        <w:trPr>
          <w:trHeight w:val="270"/>
        </w:trPr>
        <w:tc>
          <w:tcPr>
            <w:tcW w:w="4518" w:type="dxa"/>
            <w:shd w:val="clear" w:color="auto" w:fill="DBE5F1"/>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 xml:space="preserve">կրթություն </w:t>
            </w:r>
          </w:p>
        </w:tc>
        <w:tc>
          <w:tcPr>
            <w:tcW w:w="144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67.3</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2.6</w:t>
            </w:r>
          </w:p>
        </w:tc>
        <w:tc>
          <w:tcPr>
            <w:tcW w:w="117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109.8</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0.3</w:t>
            </w:r>
          </w:p>
        </w:tc>
      </w:tr>
      <w:tr w:rsidR="001C411D" w:rsidRPr="001F63BA" w:rsidTr="00A6734C">
        <w:trPr>
          <w:trHeight w:val="540"/>
        </w:trPr>
        <w:tc>
          <w:tcPr>
            <w:tcW w:w="4518" w:type="dxa"/>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 xml:space="preserve">առողջապահություն և բնակչության սոցիալական սպասարկում </w:t>
            </w:r>
          </w:p>
        </w:tc>
        <w:tc>
          <w:tcPr>
            <w:tcW w:w="144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130.0</w:t>
            </w:r>
          </w:p>
        </w:tc>
        <w:tc>
          <w:tcPr>
            <w:tcW w:w="108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5.0</w:t>
            </w:r>
          </w:p>
        </w:tc>
        <w:tc>
          <w:tcPr>
            <w:tcW w:w="117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97.1</w:t>
            </w:r>
          </w:p>
        </w:tc>
        <w:tc>
          <w:tcPr>
            <w:tcW w:w="1980" w:type="dxa"/>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-0.2</w:t>
            </w:r>
          </w:p>
        </w:tc>
      </w:tr>
      <w:tr w:rsidR="001C411D" w:rsidRPr="001F63BA" w:rsidTr="00A6734C">
        <w:trPr>
          <w:trHeight w:val="270"/>
        </w:trPr>
        <w:tc>
          <w:tcPr>
            <w:tcW w:w="4518" w:type="dxa"/>
            <w:shd w:val="clear" w:color="auto" w:fill="DBE5F1"/>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անշարժ գույքի հետ կապված գործունեություն</w:t>
            </w:r>
          </w:p>
        </w:tc>
        <w:tc>
          <w:tcPr>
            <w:tcW w:w="144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94.4</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3.7</w:t>
            </w:r>
          </w:p>
        </w:tc>
        <w:tc>
          <w:tcPr>
            <w:tcW w:w="117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98.8</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0.0</w:t>
            </w:r>
          </w:p>
        </w:tc>
      </w:tr>
      <w:tr w:rsidR="001C411D" w:rsidRPr="001F63BA" w:rsidTr="00A6734C">
        <w:trPr>
          <w:trHeight w:val="270"/>
        </w:trPr>
        <w:tc>
          <w:tcPr>
            <w:tcW w:w="4518" w:type="dxa"/>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 xml:space="preserve">տեղեկատվություն և կապ </w:t>
            </w:r>
          </w:p>
        </w:tc>
        <w:tc>
          <w:tcPr>
            <w:tcW w:w="144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464.8</w:t>
            </w:r>
          </w:p>
        </w:tc>
        <w:tc>
          <w:tcPr>
            <w:tcW w:w="108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18.0</w:t>
            </w:r>
          </w:p>
        </w:tc>
        <w:tc>
          <w:tcPr>
            <w:tcW w:w="117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142</w:t>
            </w:r>
          </w:p>
        </w:tc>
        <w:tc>
          <w:tcPr>
            <w:tcW w:w="1980" w:type="dxa"/>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7.3</w:t>
            </w:r>
          </w:p>
        </w:tc>
      </w:tr>
      <w:tr w:rsidR="001C411D" w:rsidRPr="001F63BA" w:rsidTr="00A6734C">
        <w:trPr>
          <w:trHeight w:val="270"/>
        </w:trPr>
        <w:tc>
          <w:tcPr>
            <w:tcW w:w="4518" w:type="dxa"/>
            <w:shd w:val="clear" w:color="auto" w:fill="DBE5F1"/>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 xml:space="preserve">տրանսպորտ </w:t>
            </w:r>
          </w:p>
        </w:tc>
        <w:tc>
          <w:tcPr>
            <w:tcW w:w="144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329.1</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12.8</w:t>
            </w:r>
          </w:p>
        </w:tc>
        <w:tc>
          <w:tcPr>
            <w:tcW w:w="117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139.1</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4.6</w:t>
            </w:r>
          </w:p>
        </w:tc>
      </w:tr>
      <w:tr w:rsidR="001C411D" w:rsidRPr="001F63BA" w:rsidTr="00A6734C">
        <w:trPr>
          <w:trHeight w:val="270"/>
        </w:trPr>
        <w:tc>
          <w:tcPr>
            <w:tcW w:w="4518" w:type="dxa"/>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վարչարարական և օժանդակ գործունեություն</w:t>
            </w:r>
          </w:p>
        </w:tc>
        <w:tc>
          <w:tcPr>
            <w:tcW w:w="144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84.5</w:t>
            </w:r>
          </w:p>
        </w:tc>
        <w:tc>
          <w:tcPr>
            <w:tcW w:w="108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3.3</w:t>
            </w:r>
          </w:p>
        </w:tc>
        <w:tc>
          <w:tcPr>
            <w:tcW w:w="117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120.3</w:t>
            </w:r>
          </w:p>
        </w:tc>
        <w:tc>
          <w:tcPr>
            <w:tcW w:w="1980" w:type="dxa"/>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0.7</w:t>
            </w:r>
          </w:p>
        </w:tc>
      </w:tr>
      <w:tr w:rsidR="001C411D" w:rsidRPr="001F63BA" w:rsidTr="00A6734C">
        <w:trPr>
          <w:trHeight w:val="270"/>
        </w:trPr>
        <w:tc>
          <w:tcPr>
            <w:tcW w:w="4518" w:type="dxa"/>
            <w:shd w:val="clear" w:color="auto" w:fill="DBE5F1"/>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 xml:space="preserve">մասնագիտ., գիտական և տեխ. գործունեություն </w:t>
            </w:r>
          </w:p>
        </w:tc>
        <w:tc>
          <w:tcPr>
            <w:tcW w:w="144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116.8</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4.5</w:t>
            </w:r>
          </w:p>
        </w:tc>
        <w:tc>
          <w:tcPr>
            <w:tcW w:w="117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116.6</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0.8</w:t>
            </w:r>
          </w:p>
        </w:tc>
      </w:tr>
      <w:tr w:rsidR="001C411D" w:rsidRPr="001F63BA" w:rsidTr="00A6734C">
        <w:trPr>
          <w:trHeight w:val="270"/>
        </w:trPr>
        <w:tc>
          <w:tcPr>
            <w:tcW w:w="4518" w:type="dxa"/>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ֆինանսական և ապահովագրական գործունեություն</w:t>
            </w:r>
          </w:p>
        </w:tc>
        <w:tc>
          <w:tcPr>
            <w:tcW w:w="144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776.5</w:t>
            </w:r>
          </w:p>
        </w:tc>
        <w:tc>
          <w:tcPr>
            <w:tcW w:w="108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30.1</w:t>
            </w:r>
          </w:p>
        </w:tc>
        <w:tc>
          <w:tcPr>
            <w:tcW w:w="1170" w:type="dxa"/>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149.3</w:t>
            </w:r>
          </w:p>
        </w:tc>
        <w:tc>
          <w:tcPr>
            <w:tcW w:w="1980" w:type="dxa"/>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12.4</w:t>
            </w:r>
          </w:p>
        </w:tc>
      </w:tr>
      <w:tr w:rsidR="001C411D" w:rsidRPr="001F63BA" w:rsidTr="00A6734C">
        <w:trPr>
          <w:trHeight w:val="285"/>
        </w:trPr>
        <w:tc>
          <w:tcPr>
            <w:tcW w:w="4518" w:type="dxa"/>
            <w:shd w:val="clear" w:color="auto" w:fill="DBE5F1"/>
          </w:tcPr>
          <w:p w:rsidR="001C411D" w:rsidRPr="001F63BA" w:rsidRDefault="001C411D" w:rsidP="004C40A5">
            <w:pPr>
              <w:ind w:leftChars="82" w:left="377" w:hangingChars="90" w:hanging="180"/>
              <w:rPr>
                <w:rFonts w:ascii="GHEA Grapalat" w:hAnsi="GHEA Grapalat"/>
                <w:b/>
                <w:bCs/>
                <w:sz w:val="20"/>
                <w:szCs w:val="20"/>
              </w:rPr>
            </w:pPr>
            <w:r w:rsidRPr="001F63BA">
              <w:rPr>
                <w:rFonts w:ascii="GHEA Grapalat" w:hAnsi="GHEA Grapalat"/>
                <w:b/>
                <w:bCs/>
                <w:sz w:val="20"/>
                <w:szCs w:val="20"/>
              </w:rPr>
              <w:t>սպասարկման այլ ծառայություններ</w:t>
            </w:r>
          </w:p>
        </w:tc>
        <w:tc>
          <w:tcPr>
            <w:tcW w:w="144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24.8</w:t>
            </w:r>
          </w:p>
        </w:tc>
        <w:tc>
          <w:tcPr>
            <w:tcW w:w="108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1.0</w:t>
            </w:r>
          </w:p>
        </w:tc>
        <w:tc>
          <w:tcPr>
            <w:tcW w:w="1170" w:type="dxa"/>
            <w:shd w:val="clear" w:color="auto" w:fill="DBE5F1"/>
            <w:noWrap/>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112.6</w:t>
            </w:r>
          </w:p>
        </w:tc>
        <w:tc>
          <w:tcPr>
            <w:tcW w:w="1980" w:type="dxa"/>
            <w:shd w:val="clear" w:color="auto" w:fill="DBE5F1"/>
          </w:tcPr>
          <w:p w:rsidR="001C411D" w:rsidRPr="001F63BA" w:rsidRDefault="001C411D" w:rsidP="00A6734C">
            <w:pPr>
              <w:jc w:val="right"/>
              <w:rPr>
                <w:rFonts w:ascii="GHEA Grapalat" w:hAnsi="GHEA Grapalat"/>
                <w:sz w:val="20"/>
                <w:szCs w:val="20"/>
              </w:rPr>
            </w:pPr>
            <w:r w:rsidRPr="001F63BA">
              <w:rPr>
                <w:rFonts w:ascii="GHEA Grapalat" w:hAnsi="GHEA Grapalat"/>
                <w:sz w:val="20"/>
                <w:szCs w:val="20"/>
              </w:rPr>
              <w:t>0.1</w:t>
            </w:r>
          </w:p>
        </w:tc>
      </w:tr>
    </w:tbl>
    <w:p w:rsidR="001C411D" w:rsidRPr="001F63BA" w:rsidRDefault="001C411D" w:rsidP="003B693F">
      <w:pPr>
        <w:jc w:val="center"/>
        <w:rPr>
          <w:rFonts w:ascii="GHEA Grapalat" w:hAnsi="GHEA Grapalat"/>
          <w:b/>
          <w:sz w:val="22"/>
          <w:szCs w:val="20"/>
        </w:rPr>
      </w:pPr>
    </w:p>
    <w:p w:rsidR="001C411D" w:rsidRPr="001F63BA" w:rsidRDefault="001C411D" w:rsidP="00400A22">
      <w:pPr>
        <w:jc w:val="center"/>
        <w:rPr>
          <w:rFonts w:ascii="GHEA Grapalat" w:hAnsi="GHEA Grapalat"/>
          <w:sz w:val="22"/>
          <w:szCs w:val="20"/>
          <w:lang w:val="en-US"/>
        </w:rPr>
      </w:pPr>
      <w:r w:rsidRPr="001F63BA">
        <w:rPr>
          <w:rFonts w:ascii="GHEA Grapalat" w:hAnsi="GHEA Grapalat"/>
          <w:b/>
          <w:sz w:val="22"/>
          <w:szCs w:val="20"/>
        </w:rPr>
        <w:t xml:space="preserve">Աղյուսակ </w:t>
      </w:r>
      <w:r w:rsidRPr="001F63BA">
        <w:rPr>
          <w:rFonts w:ascii="GHEA Grapalat" w:hAnsi="GHEA Grapalat"/>
          <w:b/>
          <w:sz w:val="22"/>
          <w:szCs w:val="20"/>
          <w:lang w:val="en-US"/>
        </w:rPr>
        <w:t>2.</w:t>
      </w:r>
      <w:r w:rsidRPr="001F63BA">
        <w:rPr>
          <w:rFonts w:ascii="GHEA Grapalat" w:hAnsi="GHEA Grapalat"/>
          <w:b/>
          <w:sz w:val="22"/>
          <w:szCs w:val="20"/>
        </w:rPr>
        <w:t xml:space="preserve">2. </w:t>
      </w:r>
      <w:r w:rsidRPr="001F63BA">
        <w:rPr>
          <w:rFonts w:ascii="GHEA Grapalat" w:hAnsi="GHEA Grapalat"/>
          <w:sz w:val="22"/>
          <w:szCs w:val="20"/>
        </w:rPr>
        <w:t>Արտահանման ապրանքային կառուցվածքը և նպաստումները 2022 թվականի</w:t>
      </w:r>
      <w:r w:rsidRPr="001F63BA" w:rsidDel="00911C8A">
        <w:rPr>
          <w:rFonts w:ascii="GHEA Grapalat" w:hAnsi="GHEA Grapalat"/>
          <w:sz w:val="22"/>
          <w:szCs w:val="20"/>
        </w:rPr>
        <w:t xml:space="preserve"> </w:t>
      </w:r>
      <w:r w:rsidRPr="001F63BA">
        <w:rPr>
          <w:rFonts w:ascii="GHEA Grapalat" w:hAnsi="GHEA Grapalat"/>
          <w:sz w:val="22"/>
          <w:szCs w:val="20"/>
        </w:rPr>
        <w:t>արտահանման աճին</w:t>
      </w:r>
    </w:p>
    <w:p w:rsidR="001C411D" w:rsidRPr="001F63BA" w:rsidRDefault="001C411D" w:rsidP="00400A22">
      <w:pPr>
        <w:jc w:val="center"/>
        <w:rPr>
          <w:rFonts w:ascii="GHEA Grapalat" w:hAnsi="GHEA Grapalat" w:cs="Arial"/>
          <w:szCs w:val="20"/>
          <w:lang w:val="en-US"/>
        </w:rPr>
      </w:pPr>
    </w:p>
    <w:tbl>
      <w:tblPr>
        <w:tblW w:w="1062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6091"/>
        <w:gridCol w:w="1134"/>
        <w:gridCol w:w="992"/>
        <w:gridCol w:w="1015"/>
        <w:gridCol w:w="1395"/>
      </w:tblGrid>
      <w:tr w:rsidR="001C411D" w:rsidRPr="001F63BA" w:rsidTr="00A6734C">
        <w:tc>
          <w:tcPr>
            <w:tcW w:w="6091" w:type="dxa"/>
            <w:tcBorders>
              <w:top w:val="single" w:sz="4" w:space="0" w:color="4F81BD"/>
              <w:left w:val="single" w:sz="4" w:space="0" w:color="4F81BD"/>
              <w:bottom w:val="single" w:sz="4" w:space="0" w:color="4F81BD"/>
              <w:right w:val="nil"/>
            </w:tcBorders>
            <w:shd w:val="clear" w:color="auto" w:fill="4F81BD"/>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ԱՐՏԱՀԱՆՈՒՄ</w:t>
            </w:r>
          </w:p>
        </w:tc>
        <w:tc>
          <w:tcPr>
            <w:tcW w:w="1134"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 xml:space="preserve">Ծավալ </w:t>
            </w:r>
            <w:r w:rsidRPr="001F63BA">
              <w:rPr>
                <w:rFonts w:ascii="GHEA Grapalat" w:hAnsi="GHEA Grapalat" w:cs="Sylfaen"/>
                <w:b/>
                <w:bCs/>
                <w:sz w:val="20"/>
                <w:szCs w:val="20"/>
              </w:rPr>
              <w:t>(մլն ԱՄՆ դոլար)</w:t>
            </w:r>
          </w:p>
        </w:tc>
        <w:tc>
          <w:tcPr>
            <w:tcW w:w="992"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cs="Sylfaen"/>
                <w:b/>
                <w:bCs/>
                <w:sz w:val="20"/>
                <w:szCs w:val="20"/>
              </w:rPr>
              <w:t xml:space="preserve">Կշիռ </w:t>
            </w:r>
            <w:r w:rsidRPr="001F63BA">
              <w:rPr>
                <w:rFonts w:ascii="GHEA Grapalat" w:hAnsi="GHEA Grapalat" w:cs="Sylfaen"/>
                <w:b/>
                <w:bCs/>
                <w:sz w:val="20"/>
                <w:szCs w:val="20"/>
                <w:lang w:val="ru-RU"/>
              </w:rPr>
              <w:t>(</w:t>
            </w:r>
            <w:r w:rsidRPr="001F63BA">
              <w:rPr>
                <w:rFonts w:ascii="GHEA Grapalat" w:hAnsi="GHEA Grapalat" w:cs="Sylfaen"/>
                <w:b/>
                <w:bCs/>
                <w:sz w:val="20"/>
                <w:szCs w:val="20"/>
              </w:rPr>
              <w:t>տոկոս</w:t>
            </w:r>
            <w:r w:rsidRPr="001F63BA">
              <w:rPr>
                <w:rFonts w:ascii="GHEA Grapalat" w:hAnsi="GHEA Grapalat" w:cs="Sylfaen"/>
                <w:b/>
                <w:bCs/>
                <w:sz w:val="20"/>
                <w:szCs w:val="20"/>
                <w:lang w:val="ru-RU"/>
              </w:rPr>
              <w:t>)</w:t>
            </w:r>
          </w:p>
        </w:tc>
        <w:tc>
          <w:tcPr>
            <w:tcW w:w="1015"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cs="Sylfaen"/>
                <w:b/>
                <w:bCs/>
                <w:sz w:val="20"/>
                <w:szCs w:val="20"/>
              </w:rPr>
              <w:t xml:space="preserve">Աճ </w:t>
            </w:r>
            <w:r w:rsidRPr="001F63BA">
              <w:rPr>
                <w:rFonts w:ascii="GHEA Grapalat" w:hAnsi="GHEA Grapalat" w:cs="Sylfaen"/>
                <w:b/>
                <w:bCs/>
                <w:sz w:val="20"/>
                <w:szCs w:val="20"/>
                <w:lang w:val="ru-RU"/>
              </w:rPr>
              <w:t>(</w:t>
            </w:r>
            <w:r w:rsidRPr="001F63BA">
              <w:rPr>
                <w:rFonts w:ascii="GHEA Grapalat" w:hAnsi="GHEA Grapalat" w:cs="Sylfaen"/>
                <w:b/>
                <w:bCs/>
                <w:sz w:val="20"/>
                <w:szCs w:val="20"/>
              </w:rPr>
              <w:t>տոկոս</w:t>
            </w:r>
            <w:r w:rsidRPr="001F63BA">
              <w:rPr>
                <w:rFonts w:ascii="GHEA Grapalat" w:hAnsi="GHEA Grapalat" w:cs="Sylfaen"/>
                <w:b/>
                <w:bCs/>
                <w:sz w:val="20"/>
                <w:szCs w:val="20"/>
                <w:lang w:val="ru-RU"/>
              </w:rPr>
              <w:t>)</w:t>
            </w:r>
          </w:p>
        </w:tc>
        <w:tc>
          <w:tcPr>
            <w:tcW w:w="1395" w:type="dxa"/>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lang w:val="ru-RU"/>
              </w:rPr>
            </w:pPr>
            <w:r w:rsidRPr="001F63BA">
              <w:rPr>
                <w:rFonts w:ascii="GHEA Grapalat" w:hAnsi="GHEA Grapalat" w:cs="Sylfaen"/>
                <w:b/>
                <w:bCs/>
                <w:sz w:val="20"/>
                <w:szCs w:val="20"/>
              </w:rPr>
              <w:t xml:space="preserve">Նպաստում </w:t>
            </w:r>
            <w:r w:rsidRPr="001F63BA">
              <w:rPr>
                <w:rFonts w:ascii="GHEA Grapalat" w:hAnsi="GHEA Grapalat" w:cs="Sylfaen"/>
                <w:b/>
                <w:bCs/>
                <w:sz w:val="20"/>
                <w:szCs w:val="20"/>
                <w:lang w:val="ru-RU"/>
              </w:rPr>
              <w:t>(</w:t>
            </w:r>
            <w:r w:rsidRPr="001F63BA">
              <w:rPr>
                <w:rFonts w:ascii="GHEA Grapalat" w:hAnsi="GHEA Grapalat" w:cs="Sylfaen"/>
                <w:b/>
                <w:bCs/>
                <w:sz w:val="20"/>
                <w:szCs w:val="20"/>
              </w:rPr>
              <w:t>տոկոսային կետ</w:t>
            </w:r>
            <w:r w:rsidRPr="001F63BA">
              <w:rPr>
                <w:rFonts w:ascii="GHEA Grapalat" w:hAnsi="GHEA Grapalat" w:cs="Sylfaen"/>
                <w:b/>
                <w:bCs/>
                <w:sz w:val="20"/>
                <w:szCs w:val="20"/>
                <w:lang w:val="ru-RU"/>
              </w:rPr>
              <w:t>)</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 xml:space="preserve">ԸՆԴԱՄԵՆԸ </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bCs/>
                <w:sz w:val="20"/>
                <w:szCs w:val="20"/>
              </w:rPr>
              <w:t>5360.1</w:t>
            </w:r>
          </w:p>
        </w:tc>
        <w:tc>
          <w:tcPr>
            <w:tcW w:w="992" w:type="dxa"/>
            <w:shd w:val="clear" w:color="auto" w:fill="DBE5F1"/>
            <w:vAlign w:val="bottom"/>
          </w:tcPr>
          <w:p w:rsidR="001C411D" w:rsidRPr="001F63BA" w:rsidRDefault="001C411D" w:rsidP="00A6734C">
            <w:pPr>
              <w:jc w:val="center"/>
              <w:rPr>
                <w:rFonts w:ascii="GHEA Grapalat" w:hAnsi="GHEA Grapalat" w:cs="Arial"/>
                <w:b/>
                <w:bCs/>
                <w:sz w:val="20"/>
                <w:szCs w:val="20"/>
              </w:rPr>
            </w:pPr>
            <w:r w:rsidRPr="001F63BA">
              <w:rPr>
                <w:rFonts w:ascii="GHEA Grapalat" w:hAnsi="GHEA Grapalat" w:cs="Arial"/>
                <w:b/>
                <w:bCs/>
                <w:sz w:val="20"/>
                <w:szCs w:val="20"/>
              </w:rPr>
              <w:t>100.00</w:t>
            </w:r>
          </w:p>
        </w:tc>
        <w:tc>
          <w:tcPr>
            <w:tcW w:w="101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bCs/>
                <w:sz w:val="20"/>
                <w:szCs w:val="20"/>
              </w:rPr>
              <w:t>77.7</w:t>
            </w:r>
          </w:p>
        </w:tc>
        <w:tc>
          <w:tcPr>
            <w:tcW w:w="139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bCs/>
                <w:sz w:val="20"/>
                <w:szCs w:val="20"/>
              </w:rPr>
              <w:t>77.7</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Կենդանի կենդանիներ և կենդանական ծագման արտադրանք</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171.6</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3.2</w:t>
            </w:r>
          </w:p>
        </w:tc>
        <w:tc>
          <w:tcPr>
            <w:tcW w:w="101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60.3</w:t>
            </w:r>
          </w:p>
        </w:tc>
        <w:tc>
          <w:tcPr>
            <w:tcW w:w="139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2.1</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Բուսական ծագման արտադրանք</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225.4</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4.2</w:t>
            </w:r>
          </w:p>
        </w:tc>
        <w:tc>
          <w:tcPr>
            <w:tcW w:w="101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20.7</w:t>
            </w:r>
          </w:p>
        </w:tc>
        <w:tc>
          <w:tcPr>
            <w:tcW w:w="139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1.3</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Կենդանական և բուսական ծագման յուղեր և ճարպեր</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7.5</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c>
          <w:tcPr>
            <w:tcW w:w="101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9475.2</w:t>
            </w:r>
          </w:p>
        </w:tc>
        <w:tc>
          <w:tcPr>
            <w:tcW w:w="139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0.2</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Պատրաստի սննդի արտադրանք</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877.2</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16.4</w:t>
            </w:r>
          </w:p>
        </w:tc>
        <w:tc>
          <w:tcPr>
            <w:tcW w:w="101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40.4</w:t>
            </w:r>
          </w:p>
        </w:tc>
        <w:tc>
          <w:tcPr>
            <w:tcW w:w="139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8.4</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Հանքահումքային արտադրանք</w:t>
            </w:r>
          </w:p>
        </w:tc>
        <w:tc>
          <w:tcPr>
            <w:tcW w:w="1134"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1022.0</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19.1</w:t>
            </w:r>
          </w:p>
        </w:tc>
        <w:tc>
          <w:tcPr>
            <w:tcW w:w="101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4.1</w:t>
            </w:r>
          </w:p>
        </w:tc>
        <w:tc>
          <w:tcPr>
            <w:tcW w:w="139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1.3</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Քիմիայի և դրա հետ կապված արդյունաբերության ճյուղերի արտադրանք</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82.8</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1.5</w:t>
            </w:r>
          </w:p>
        </w:tc>
        <w:tc>
          <w:tcPr>
            <w:tcW w:w="101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99.8</w:t>
            </w:r>
          </w:p>
        </w:tc>
        <w:tc>
          <w:tcPr>
            <w:tcW w:w="139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1.4</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Պլաստմասսա և դրանցից իրեր, կաուչուկ և ռետինե իրեր</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62.5</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1.2</w:t>
            </w:r>
          </w:p>
        </w:tc>
        <w:tc>
          <w:tcPr>
            <w:tcW w:w="101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215.7</w:t>
            </w:r>
          </w:p>
        </w:tc>
        <w:tc>
          <w:tcPr>
            <w:tcW w:w="139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1.4</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Կաշվի հումք, կաշի, մորթի և դրանցից պատրաստված իրեր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11.1</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0.2</w:t>
            </w:r>
          </w:p>
        </w:tc>
        <w:tc>
          <w:tcPr>
            <w:tcW w:w="101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89.1</w:t>
            </w:r>
          </w:p>
        </w:tc>
        <w:tc>
          <w:tcPr>
            <w:tcW w:w="139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0.2</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 xml:space="preserve">Փայտ և փայտյա իրեր </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4.7</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c>
          <w:tcPr>
            <w:tcW w:w="101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322.0</w:t>
            </w:r>
          </w:p>
        </w:tc>
        <w:tc>
          <w:tcPr>
            <w:tcW w:w="139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Թուղթ և թղթից իրեր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6.7</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c>
          <w:tcPr>
            <w:tcW w:w="101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298.2</w:t>
            </w:r>
          </w:p>
        </w:tc>
        <w:tc>
          <w:tcPr>
            <w:tcW w:w="139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0.2</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Մանածագործական իրեր</w:t>
            </w:r>
          </w:p>
        </w:tc>
        <w:tc>
          <w:tcPr>
            <w:tcW w:w="1134"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212.4</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4.0</w:t>
            </w:r>
          </w:p>
        </w:tc>
        <w:tc>
          <w:tcPr>
            <w:tcW w:w="101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15.7</w:t>
            </w:r>
          </w:p>
        </w:tc>
        <w:tc>
          <w:tcPr>
            <w:tcW w:w="139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1.0</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Կոշկեղեն, գլխարկներ, հովանոցներ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12.6</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0.2</w:t>
            </w:r>
          </w:p>
        </w:tc>
        <w:tc>
          <w:tcPr>
            <w:tcW w:w="101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167.9</w:t>
            </w:r>
          </w:p>
        </w:tc>
        <w:tc>
          <w:tcPr>
            <w:tcW w:w="139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0.3</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Իրեր քարից, գիպսից, ցեմենտից</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37.1</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0.7</w:t>
            </w:r>
          </w:p>
        </w:tc>
        <w:tc>
          <w:tcPr>
            <w:tcW w:w="101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82.9</w:t>
            </w:r>
          </w:p>
        </w:tc>
        <w:tc>
          <w:tcPr>
            <w:tcW w:w="139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0.6</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Թանկարժեք և կիսաթանկարժեք քարեր, թանկարժեք մետաղներ և դրանցից իրեր</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989.3</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18.5</w:t>
            </w:r>
          </w:p>
        </w:tc>
        <w:tc>
          <w:tcPr>
            <w:tcW w:w="101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203.2</w:t>
            </w:r>
          </w:p>
        </w:tc>
        <w:tc>
          <w:tcPr>
            <w:tcW w:w="139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22.0</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Ոչ թանկարժեք մետաղներ և դրանցից պատրաստված իրեր</w:t>
            </w:r>
          </w:p>
        </w:tc>
        <w:tc>
          <w:tcPr>
            <w:tcW w:w="1134"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459.8</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8.6</w:t>
            </w:r>
          </w:p>
        </w:tc>
        <w:tc>
          <w:tcPr>
            <w:tcW w:w="101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26.2</w:t>
            </w:r>
          </w:p>
        </w:tc>
        <w:tc>
          <w:tcPr>
            <w:tcW w:w="139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3.2</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lastRenderedPageBreak/>
              <w:t>Մեքենաներ, սարքավորումներ և մեխանիզմներ</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695.5</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13.0</w:t>
            </w:r>
          </w:p>
        </w:tc>
        <w:tc>
          <w:tcPr>
            <w:tcW w:w="101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1126.4</w:t>
            </w:r>
          </w:p>
        </w:tc>
        <w:tc>
          <w:tcPr>
            <w:tcW w:w="1395"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21.2</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Վերգետնյա, օդային և ջրային տրանսպորտի միջոցներ</w:t>
            </w:r>
          </w:p>
        </w:tc>
        <w:tc>
          <w:tcPr>
            <w:tcW w:w="1134"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321.7</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6.0</w:t>
            </w:r>
          </w:p>
        </w:tc>
        <w:tc>
          <w:tcPr>
            <w:tcW w:w="101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731.2</w:t>
            </w:r>
          </w:p>
        </w:tc>
        <w:tc>
          <w:tcPr>
            <w:tcW w:w="1395"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9.4</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Սարքեր և ապարատներ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116.6</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2.2</w:t>
            </w:r>
          </w:p>
        </w:tc>
        <w:tc>
          <w:tcPr>
            <w:tcW w:w="101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223.4</w:t>
            </w:r>
          </w:p>
        </w:tc>
        <w:tc>
          <w:tcPr>
            <w:tcW w:w="139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2.7</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Տարբեր արդյունաբերական ապրանքներ</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40.1</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0.7</w:t>
            </w:r>
          </w:p>
        </w:tc>
        <w:tc>
          <w:tcPr>
            <w:tcW w:w="101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202.7</w:t>
            </w:r>
          </w:p>
        </w:tc>
        <w:tc>
          <w:tcPr>
            <w:tcW w:w="1395"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0.9</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Արվեստի ստեղծագործություններ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3.3</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c>
          <w:tcPr>
            <w:tcW w:w="101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237.3</w:t>
            </w:r>
          </w:p>
        </w:tc>
        <w:tc>
          <w:tcPr>
            <w:tcW w:w="1395"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r>
    </w:tbl>
    <w:p w:rsidR="001C411D" w:rsidRPr="001F63BA" w:rsidRDefault="001C411D" w:rsidP="00400A22">
      <w:pPr>
        <w:jc w:val="center"/>
        <w:rPr>
          <w:rFonts w:ascii="GHEA Grapalat" w:hAnsi="GHEA Grapalat"/>
          <w:b/>
          <w:sz w:val="22"/>
          <w:szCs w:val="20"/>
        </w:rPr>
      </w:pPr>
    </w:p>
    <w:p w:rsidR="001C411D" w:rsidRPr="001F63BA" w:rsidRDefault="001C411D" w:rsidP="00400A22">
      <w:pPr>
        <w:jc w:val="center"/>
        <w:rPr>
          <w:rFonts w:ascii="GHEA Grapalat" w:hAnsi="GHEA Grapalat"/>
          <w:sz w:val="22"/>
          <w:szCs w:val="20"/>
          <w:lang w:val="en-US"/>
        </w:rPr>
      </w:pPr>
      <w:r w:rsidRPr="001F63BA">
        <w:rPr>
          <w:rFonts w:ascii="GHEA Grapalat" w:hAnsi="GHEA Grapalat"/>
          <w:b/>
          <w:sz w:val="22"/>
          <w:szCs w:val="20"/>
        </w:rPr>
        <w:t xml:space="preserve">Աղյուսակ </w:t>
      </w:r>
      <w:r w:rsidRPr="001F63BA">
        <w:rPr>
          <w:rFonts w:ascii="GHEA Grapalat" w:hAnsi="GHEA Grapalat"/>
          <w:b/>
          <w:sz w:val="22"/>
          <w:szCs w:val="20"/>
          <w:lang w:val="en-US"/>
        </w:rPr>
        <w:t>2.3</w:t>
      </w:r>
      <w:r w:rsidRPr="001F63BA">
        <w:rPr>
          <w:rFonts w:ascii="GHEA Grapalat" w:hAnsi="GHEA Grapalat"/>
          <w:b/>
          <w:sz w:val="22"/>
          <w:szCs w:val="20"/>
        </w:rPr>
        <w:t xml:space="preserve">. </w:t>
      </w:r>
      <w:r w:rsidRPr="001F63BA">
        <w:rPr>
          <w:rFonts w:ascii="GHEA Grapalat" w:hAnsi="GHEA Grapalat"/>
          <w:sz w:val="22"/>
          <w:szCs w:val="20"/>
        </w:rPr>
        <w:t>Ներմուծման ապրանքային կառուցվածքը և նպաստումները 2022 թվականի ներմուծման աճին</w:t>
      </w:r>
    </w:p>
    <w:p w:rsidR="001C411D" w:rsidRPr="001F63BA" w:rsidRDefault="001C411D" w:rsidP="00400A22">
      <w:pPr>
        <w:jc w:val="center"/>
        <w:rPr>
          <w:rFonts w:ascii="GHEA Grapalat" w:hAnsi="GHEA Grapalat"/>
          <w:sz w:val="22"/>
          <w:szCs w:val="20"/>
          <w:lang w:val="en-US"/>
        </w:rPr>
      </w:pPr>
    </w:p>
    <w:tbl>
      <w:tblPr>
        <w:tblW w:w="1062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6091"/>
        <w:gridCol w:w="1134"/>
        <w:gridCol w:w="992"/>
        <w:gridCol w:w="992"/>
        <w:gridCol w:w="1418"/>
      </w:tblGrid>
      <w:tr w:rsidR="001C411D" w:rsidRPr="001F63BA" w:rsidTr="00A6734C">
        <w:tc>
          <w:tcPr>
            <w:tcW w:w="6091" w:type="dxa"/>
            <w:tcBorders>
              <w:top w:val="single" w:sz="4" w:space="0" w:color="4F81BD"/>
              <w:left w:val="single" w:sz="4" w:space="0" w:color="4F81BD"/>
              <w:bottom w:val="single" w:sz="4" w:space="0" w:color="4F81BD"/>
              <w:right w:val="nil"/>
            </w:tcBorders>
            <w:shd w:val="clear" w:color="auto" w:fill="4F81BD"/>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ՆԵՐՄՈՒԾՈՒՄ</w:t>
            </w:r>
          </w:p>
        </w:tc>
        <w:tc>
          <w:tcPr>
            <w:tcW w:w="1134"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Ծավալ (մլն ԱՄՆ դոլար)</w:t>
            </w:r>
          </w:p>
        </w:tc>
        <w:tc>
          <w:tcPr>
            <w:tcW w:w="992"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cs="Sylfaen"/>
                <w:b/>
                <w:bCs/>
                <w:sz w:val="20"/>
                <w:szCs w:val="20"/>
              </w:rPr>
              <w:t xml:space="preserve">Կշիռ </w:t>
            </w:r>
            <w:r w:rsidRPr="001F63BA">
              <w:rPr>
                <w:rFonts w:ascii="GHEA Grapalat" w:hAnsi="GHEA Grapalat" w:cs="Sylfaen"/>
                <w:b/>
                <w:bCs/>
                <w:sz w:val="20"/>
                <w:szCs w:val="20"/>
                <w:lang w:val="ru-RU"/>
              </w:rPr>
              <w:t>(</w:t>
            </w:r>
            <w:r w:rsidRPr="001F63BA">
              <w:rPr>
                <w:rFonts w:ascii="GHEA Grapalat" w:hAnsi="GHEA Grapalat" w:cs="Sylfaen"/>
                <w:b/>
                <w:bCs/>
                <w:sz w:val="20"/>
                <w:szCs w:val="20"/>
              </w:rPr>
              <w:t>տոկոս</w:t>
            </w:r>
            <w:r w:rsidRPr="001F63BA">
              <w:rPr>
                <w:rFonts w:ascii="GHEA Grapalat" w:hAnsi="GHEA Grapalat" w:cs="Sylfaen"/>
                <w:b/>
                <w:bCs/>
                <w:sz w:val="20"/>
                <w:szCs w:val="20"/>
                <w:lang w:val="ru-RU"/>
              </w:rPr>
              <w:t>)</w:t>
            </w:r>
          </w:p>
        </w:tc>
        <w:tc>
          <w:tcPr>
            <w:tcW w:w="992" w:type="dxa"/>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cs="Sylfaen"/>
                <w:b/>
                <w:bCs/>
                <w:sz w:val="20"/>
                <w:szCs w:val="20"/>
              </w:rPr>
              <w:t xml:space="preserve">Աճ </w:t>
            </w:r>
            <w:r w:rsidRPr="001F63BA">
              <w:rPr>
                <w:rFonts w:ascii="GHEA Grapalat" w:hAnsi="GHEA Grapalat" w:cs="Sylfaen"/>
                <w:b/>
                <w:bCs/>
                <w:sz w:val="20"/>
                <w:szCs w:val="20"/>
                <w:lang w:val="ru-RU"/>
              </w:rPr>
              <w:t>(</w:t>
            </w:r>
            <w:r w:rsidRPr="001F63BA">
              <w:rPr>
                <w:rFonts w:ascii="GHEA Grapalat" w:hAnsi="GHEA Grapalat" w:cs="Sylfaen"/>
                <w:b/>
                <w:bCs/>
                <w:sz w:val="20"/>
                <w:szCs w:val="20"/>
              </w:rPr>
              <w:t>տոկոս</w:t>
            </w:r>
            <w:r w:rsidRPr="001F63BA">
              <w:rPr>
                <w:rFonts w:ascii="GHEA Grapalat" w:hAnsi="GHEA Grapalat" w:cs="Sylfaen"/>
                <w:b/>
                <w:bCs/>
                <w:sz w:val="20"/>
                <w:szCs w:val="20"/>
                <w:lang w:val="ru-RU"/>
              </w:rPr>
              <w:t>)</w:t>
            </w:r>
          </w:p>
        </w:tc>
        <w:tc>
          <w:tcPr>
            <w:tcW w:w="1418" w:type="dxa"/>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lang w:val="ru-RU"/>
              </w:rPr>
            </w:pPr>
            <w:r w:rsidRPr="001F63BA">
              <w:rPr>
                <w:rFonts w:ascii="GHEA Grapalat" w:hAnsi="GHEA Grapalat" w:cs="Sylfaen"/>
                <w:b/>
                <w:bCs/>
                <w:sz w:val="20"/>
                <w:szCs w:val="20"/>
              </w:rPr>
              <w:t xml:space="preserve">Նպաստում </w:t>
            </w:r>
            <w:r w:rsidRPr="001F63BA">
              <w:rPr>
                <w:rFonts w:ascii="GHEA Grapalat" w:hAnsi="GHEA Grapalat" w:cs="Sylfaen"/>
                <w:b/>
                <w:bCs/>
                <w:sz w:val="20"/>
                <w:szCs w:val="20"/>
                <w:lang w:val="ru-RU"/>
              </w:rPr>
              <w:t>(</w:t>
            </w:r>
            <w:r w:rsidRPr="001F63BA">
              <w:rPr>
                <w:rFonts w:ascii="GHEA Grapalat" w:hAnsi="GHEA Grapalat" w:cs="Sylfaen"/>
                <w:b/>
                <w:bCs/>
                <w:sz w:val="20"/>
                <w:szCs w:val="20"/>
              </w:rPr>
              <w:t>տոկոսային կետ</w:t>
            </w:r>
            <w:r w:rsidRPr="001F63BA">
              <w:rPr>
                <w:rFonts w:ascii="GHEA Grapalat" w:hAnsi="GHEA Grapalat" w:cs="Sylfaen"/>
                <w:b/>
                <w:bCs/>
                <w:sz w:val="20"/>
                <w:szCs w:val="20"/>
                <w:lang w:val="ru-RU"/>
              </w:rPr>
              <w:t>)</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 xml:space="preserve">ԸՆԴԱՄԵՆԸ </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bCs/>
                <w:sz w:val="20"/>
                <w:szCs w:val="20"/>
              </w:rPr>
              <w:t>8768.7</w:t>
            </w:r>
          </w:p>
        </w:tc>
        <w:tc>
          <w:tcPr>
            <w:tcW w:w="992" w:type="dxa"/>
            <w:shd w:val="clear" w:color="auto" w:fill="DBE5F1"/>
            <w:vAlign w:val="bottom"/>
          </w:tcPr>
          <w:p w:rsidR="001C411D" w:rsidRPr="001F63BA" w:rsidRDefault="001C411D" w:rsidP="00A6734C">
            <w:pPr>
              <w:jc w:val="center"/>
              <w:rPr>
                <w:rFonts w:ascii="GHEA Grapalat" w:hAnsi="GHEA Grapalat" w:cs="Arial"/>
                <w:b/>
                <w:bCs/>
                <w:sz w:val="20"/>
                <w:szCs w:val="20"/>
              </w:rPr>
            </w:pPr>
            <w:r w:rsidRPr="001F63BA">
              <w:rPr>
                <w:rFonts w:ascii="GHEA Grapalat" w:hAnsi="GHEA Grapalat" w:cs="Arial"/>
                <w:b/>
                <w:bCs/>
                <w:sz w:val="20"/>
                <w:szCs w:val="20"/>
              </w:rPr>
              <w:t>100.0</w:t>
            </w:r>
          </w:p>
        </w:tc>
        <w:tc>
          <w:tcPr>
            <w:tcW w:w="992" w:type="dxa"/>
            <w:shd w:val="clear" w:color="auto" w:fill="DBE5F1"/>
            <w:vAlign w:val="bottom"/>
          </w:tcPr>
          <w:p w:rsidR="001C411D" w:rsidRPr="001F63BA" w:rsidRDefault="001C411D" w:rsidP="00A6734C">
            <w:pPr>
              <w:jc w:val="center"/>
              <w:rPr>
                <w:rFonts w:ascii="GHEA Grapalat" w:hAnsi="GHEA Grapalat" w:cs="Arial"/>
                <w:b/>
                <w:bCs/>
                <w:sz w:val="20"/>
                <w:szCs w:val="20"/>
              </w:rPr>
            </w:pPr>
            <w:r w:rsidRPr="001F63BA">
              <w:rPr>
                <w:rFonts w:ascii="GHEA Grapalat" w:hAnsi="GHEA Grapalat" w:cs="Arial"/>
                <w:b/>
                <w:bCs/>
                <w:sz w:val="20"/>
                <w:szCs w:val="20"/>
              </w:rPr>
              <w:t>63.5</w:t>
            </w:r>
          </w:p>
        </w:tc>
        <w:tc>
          <w:tcPr>
            <w:tcW w:w="1418" w:type="dxa"/>
            <w:shd w:val="clear" w:color="auto" w:fill="DBE5F1"/>
            <w:vAlign w:val="bottom"/>
          </w:tcPr>
          <w:p w:rsidR="001C411D" w:rsidRPr="001F63BA" w:rsidRDefault="001C411D" w:rsidP="00A6734C">
            <w:pPr>
              <w:jc w:val="center"/>
              <w:rPr>
                <w:rFonts w:ascii="GHEA Grapalat" w:hAnsi="GHEA Grapalat" w:cs="Arial"/>
                <w:b/>
                <w:bCs/>
                <w:sz w:val="20"/>
                <w:szCs w:val="20"/>
              </w:rPr>
            </w:pPr>
            <w:r w:rsidRPr="001F63BA">
              <w:rPr>
                <w:rFonts w:ascii="GHEA Grapalat" w:hAnsi="GHEA Grapalat" w:cs="Arial"/>
                <w:b/>
                <w:bCs/>
                <w:sz w:val="20"/>
                <w:szCs w:val="20"/>
              </w:rPr>
              <w:t>63.5</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Կենդանի կենդանիներ և կենդանական ծագման արտադրանք</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260.3</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3.0</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55.9</w:t>
            </w:r>
          </w:p>
        </w:tc>
        <w:tc>
          <w:tcPr>
            <w:tcW w:w="1418"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1.7</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Բուսական ծագման արտադրանք</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421.3</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4.8</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45.1</w:t>
            </w:r>
          </w:p>
        </w:tc>
        <w:tc>
          <w:tcPr>
            <w:tcW w:w="1418"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2.4</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Կենդանական և բուսական ծագման յուղեր և ճարպեր</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105.6</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1.2</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45.7</w:t>
            </w:r>
          </w:p>
        </w:tc>
        <w:tc>
          <w:tcPr>
            <w:tcW w:w="1418"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0.6</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Պատրաստի սննդի արտադրանք</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579.4</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6.6</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33.3</w:t>
            </w:r>
          </w:p>
        </w:tc>
        <w:tc>
          <w:tcPr>
            <w:tcW w:w="1418"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2.7</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Հանքահումքային արտադրանք</w:t>
            </w:r>
          </w:p>
        </w:tc>
        <w:tc>
          <w:tcPr>
            <w:tcW w:w="1134"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1196.0</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13.6</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27.6</w:t>
            </w:r>
          </w:p>
        </w:tc>
        <w:tc>
          <w:tcPr>
            <w:tcW w:w="1418"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4.8</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Քիմիայի և դրա հետ կապված արդյունաբերության ճյուղերի արտադրանք</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586.8</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6.7</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28.7</w:t>
            </w:r>
          </w:p>
        </w:tc>
        <w:tc>
          <w:tcPr>
            <w:tcW w:w="1418"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2.4</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Պլաստմասսա և դրանցից իրեր, կաուչուկ և ռետինե իրեր</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326.7</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3.7</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39.3</w:t>
            </w:r>
          </w:p>
        </w:tc>
        <w:tc>
          <w:tcPr>
            <w:tcW w:w="1418"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1.7</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Կաշվի հումք, կաշի, մորթի և դրանցից պատրաստված իրեր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28.4</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0.3</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17.4</w:t>
            </w:r>
          </w:p>
        </w:tc>
        <w:tc>
          <w:tcPr>
            <w:tcW w:w="1418"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 xml:space="preserve">Փայտ և փայտյա իրեր </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93.2</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1.1</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28.9</w:t>
            </w:r>
          </w:p>
        </w:tc>
        <w:tc>
          <w:tcPr>
            <w:tcW w:w="1418"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0.4</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Թուղթ և թղթից իրեր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137.4</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1.6</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56.9</w:t>
            </w:r>
          </w:p>
        </w:tc>
        <w:tc>
          <w:tcPr>
            <w:tcW w:w="1418"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0.9</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Մանածագործական իրեր</w:t>
            </w:r>
          </w:p>
        </w:tc>
        <w:tc>
          <w:tcPr>
            <w:tcW w:w="1134"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396.2</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4.5</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31.4</w:t>
            </w:r>
          </w:p>
        </w:tc>
        <w:tc>
          <w:tcPr>
            <w:tcW w:w="1418"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sz w:val="20"/>
                <w:szCs w:val="20"/>
              </w:rPr>
              <w:t>1.8</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Կոշկեղեն, գլխարկներ, հովանոցներ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76.6</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0.9</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27.9</w:t>
            </w:r>
          </w:p>
        </w:tc>
        <w:tc>
          <w:tcPr>
            <w:tcW w:w="1418"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0.3</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Իրեր քարից, գիպսից, ցեմենտից</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160.6</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1.8</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46.8</w:t>
            </w:r>
          </w:p>
        </w:tc>
        <w:tc>
          <w:tcPr>
            <w:tcW w:w="1418"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1.0</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Թանկարժեք և կիսաթանկարժեք քարեր, թանկարժեք մետաղներ և դրանցից իրեր</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690.8</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7.9</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178.0</w:t>
            </w:r>
          </w:p>
        </w:tc>
        <w:tc>
          <w:tcPr>
            <w:tcW w:w="1418"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8.2</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Ոչ թանկարժեք մետաղներ և դրանցից պատրաստված իրեր</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624.4</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7.1</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59.6</w:t>
            </w:r>
          </w:p>
        </w:tc>
        <w:tc>
          <w:tcPr>
            <w:tcW w:w="1418"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4.3</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Մեքենաներ, սարքավորումներ և մեխանիզմներ</w:t>
            </w:r>
          </w:p>
        </w:tc>
        <w:tc>
          <w:tcPr>
            <w:tcW w:w="1134"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1721.7</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19.6</w:t>
            </w:r>
          </w:p>
        </w:tc>
        <w:tc>
          <w:tcPr>
            <w:tcW w:w="992"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91.5</w:t>
            </w:r>
          </w:p>
        </w:tc>
        <w:tc>
          <w:tcPr>
            <w:tcW w:w="1418" w:type="dxa"/>
            <w:shd w:val="clear" w:color="auto" w:fill="DBE5F1"/>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15.3</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Վերգետնյա, օդային և ջրային տրանսպորտի միջոցներ</w:t>
            </w:r>
          </w:p>
        </w:tc>
        <w:tc>
          <w:tcPr>
            <w:tcW w:w="1134"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966.0</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11.0</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215.3</w:t>
            </w:r>
          </w:p>
        </w:tc>
        <w:tc>
          <w:tcPr>
            <w:tcW w:w="1418"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cs="Arial"/>
                <w:b/>
                <w:sz w:val="20"/>
                <w:szCs w:val="20"/>
              </w:rPr>
              <w:t>12.3</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Սարքեր և ապարատներ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196.9</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2.2</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59.6</w:t>
            </w:r>
          </w:p>
        </w:tc>
        <w:tc>
          <w:tcPr>
            <w:tcW w:w="1418"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1.4</w:t>
            </w:r>
          </w:p>
        </w:tc>
      </w:tr>
      <w:tr w:rsidR="001C411D" w:rsidRPr="001F63BA" w:rsidTr="00A6734C">
        <w:tc>
          <w:tcPr>
            <w:tcW w:w="6091" w:type="dxa"/>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Տարբեր արդյունաբերական ապրանքներ</w:t>
            </w:r>
          </w:p>
        </w:tc>
        <w:tc>
          <w:tcPr>
            <w:tcW w:w="1134"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191.0</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2.2</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31.1</w:t>
            </w:r>
          </w:p>
        </w:tc>
        <w:tc>
          <w:tcPr>
            <w:tcW w:w="1418"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0.8</w:t>
            </w:r>
          </w:p>
        </w:tc>
      </w:tr>
      <w:tr w:rsidR="001C411D" w:rsidRPr="001F63BA" w:rsidTr="00A6734C">
        <w:tc>
          <w:tcPr>
            <w:tcW w:w="6091" w:type="dxa"/>
            <w:shd w:val="clear" w:color="auto" w:fill="DBE5F1"/>
          </w:tcPr>
          <w:p w:rsidR="001C411D" w:rsidRPr="001F63BA" w:rsidRDefault="001C411D" w:rsidP="00400A22">
            <w:pPr>
              <w:rPr>
                <w:rFonts w:ascii="GHEA Grapalat" w:hAnsi="GHEA Grapalat"/>
                <w:b/>
                <w:bCs/>
                <w:sz w:val="20"/>
                <w:szCs w:val="20"/>
              </w:rPr>
            </w:pPr>
            <w:r w:rsidRPr="001F63BA">
              <w:rPr>
                <w:rFonts w:ascii="GHEA Grapalat" w:hAnsi="GHEA Grapalat"/>
                <w:b/>
                <w:bCs/>
                <w:sz w:val="20"/>
                <w:szCs w:val="20"/>
              </w:rPr>
              <w:t>Արվեստի ստեղծագործություններ</w:t>
            </w:r>
          </w:p>
        </w:tc>
        <w:tc>
          <w:tcPr>
            <w:tcW w:w="1134"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9.3</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0.1</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3327.0</w:t>
            </w:r>
          </w:p>
        </w:tc>
        <w:tc>
          <w:tcPr>
            <w:tcW w:w="1418"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cs="Arial"/>
                <w:sz w:val="20"/>
                <w:szCs w:val="20"/>
              </w:rPr>
              <w:t>0.2</w:t>
            </w:r>
          </w:p>
        </w:tc>
      </w:tr>
    </w:tbl>
    <w:p w:rsidR="001C411D" w:rsidRPr="001F63BA" w:rsidRDefault="001C411D" w:rsidP="00400A22">
      <w:pPr>
        <w:rPr>
          <w:rFonts w:ascii="GHEA Grapalat" w:hAnsi="GHEA Grapalat"/>
          <w:b/>
          <w:sz w:val="20"/>
          <w:szCs w:val="20"/>
          <w:lang w:val="en-US"/>
        </w:rPr>
      </w:pPr>
    </w:p>
    <w:p w:rsidR="001C411D" w:rsidRPr="001F63BA" w:rsidRDefault="001C411D" w:rsidP="00400A22">
      <w:pPr>
        <w:jc w:val="center"/>
        <w:rPr>
          <w:rFonts w:ascii="GHEA Grapalat" w:hAnsi="GHEA Grapalat"/>
          <w:sz w:val="22"/>
          <w:szCs w:val="20"/>
        </w:rPr>
      </w:pPr>
      <w:r w:rsidRPr="001F63BA">
        <w:rPr>
          <w:rFonts w:ascii="GHEA Grapalat" w:hAnsi="GHEA Grapalat"/>
          <w:b/>
          <w:sz w:val="22"/>
          <w:szCs w:val="20"/>
        </w:rPr>
        <w:t xml:space="preserve">Աղյուսակ </w:t>
      </w:r>
      <w:r w:rsidRPr="001F63BA">
        <w:rPr>
          <w:rFonts w:ascii="GHEA Grapalat" w:hAnsi="GHEA Grapalat"/>
          <w:b/>
          <w:sz w:val="22"/>
          <w:szCs w:val="20"/>
          <w:lang w:val="en-US"/>
        </w:rPr>
        <w:t>2.</w:t>
      </w:r>
      <w:r w:rsidRPr="001F63BA">
        <w:rPr>
          <w:rFonts w:ascii="GHEA Grapalat" w:hAnsi="GHEA Grapalat"/>
          <w:b/>
          <w:sz w:val="22"/>
          <w:szCs w:val="20"/>
        </w:rPr>
        <w:t>4.</w:t>
      </w:r>
      <w:r w:rsidRPr="001F63BA">
        <w:rPr>
          <w:rFonts w:ascii="GHEA Grapalat" w:hAnsi="GHEA Grapalat"/>
          <w:b/>
          <w:szCs w:val="20"/>
        </w:rPr>
        <w:t xml:space="preserve"> </w:t>
      </w:r>
      <w:r w:rsidRPr="001F63BA">
        <w:rPr>
          <w:rFonts w:ascii="GHEA Grapalat" w:hAnsi="GHEA Grapalat"/>
          <w:sz w:val="22"/>
          <w:szCs w:val="20"/>
        </w:rPr>
        <w:t>Ներմուծումն ըստ ապրանքների լայն տնտեսական՝ BEC դասակարգչի և նպաստումները, 2022 թվական</w:t>
      </w:r>
    </w:p>
    <w:p w:rsidR="001C411D" w:rsidRPr="001F63BA" w:rsidRDefault="001C411D" w:rsidP="00400A22">
      <w:pPr>
        <w:jc w:val="center"/>
        <w:rPr>
          <w:rFonts w:ascii="GHEA Grapalat" w:hAnsi="GHEA Grapalat"/>
          <w:sz w:val="22"/>
          <w:szCs w:val="20"/>
          <w:lang w:val="en-US"/>
        </w:rPr>
      </w:pPr>
    </w:p>
    <w:tbl>
      <w:tblPr>
        <w:tblW w:w="963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3964"/>
        <w:gridCol w:w="993"/>
        <w:gridCol w:w="850"/>
        <w:gridCol w:w="992"/>
        <w:gridCol w:w="851"/>
        <w:gridCol w:w="992"/>
        <w:gridCol w:w="992"/>
      </w:tblGrid>
      <w:tr w:rsidR="001C411D" w:rsidRPr="001F63BA" w:rsidTr="00A6734C">
        <w:tc>
          <w:tcPr>
            <w:tcW w:w="3964" w:type="dxa"/>
            <w:tcBorders>
              <w:top w:val="single" w:sz="4" w:space="0" w:color="4F81BD"/>
              <w:left w:val="single" w:sz="4" w:space="0" w:color="4F81BD"/>
              <w:bottom w:val="single" w:sz="4" w:space="0" w:color="4F81BD"/>
              <w:right w:val="nil"/>
            </w:tcBorders>
            <w:shd w:val="clear" w:color="auto" w:fill="4F81BD"/>
          </w:tcPr>
          <w:p w:rsidR="001C411D" w:rsidRPr="001F63BA" w:rsidRDefault="001C411D" w:rsidP="00A6734C">
            <w:pPr>
              <w:spacing w:line="360" w:lineRule="auto"/>
              <w:jc w:val="both"/>
              <w:rPr>
                <w:rFonts w:ascii="GHEA Grapalat" w:hAnsi="GHEA Grapalat"/>
                <w:b/>
                <w:bCs/>
                <w:sz w:val="20"/>
                <w:szCs w:val="20"/>
              </w:rPr>
            </w:pPr>
          </w:p>
        </w:tc>
        <w:tc>
          <w:tcPr>
            <w:tcW w:w="1843" w:type="dxa"/>
            <w:gridSpan w:val="2"/>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 xml:space="preserve">Կշիռ </w:t>
            </w:r>
            <w:r w:rsidRPr="001F63BA">
              <w:rPr>
                <w:rFonts w:ascii="GHEA Grapalat" w:hAnsi="GHEA Grapalat"/>
                <w:b/>
                <w:bCs/>
                <w:sz w:val="20"/>
                <w:szCs w:val="20"/>
                <w:lang w:val="ru-RU"/>
              </w:rPr>
              <w:t>(</w:t>
            </w:r>
            <w:r w:rsidRPr="001F63BA">
              <w:rPr>
                <w:rFonts w:ascii="GHEA Grapalat" w:hAnsi="GHEA Grapalat"/>
                <w:b/>
                <w:bCs/>
                <w:sz w:val="20"/>
                <w:szCs w:val="20"/>
              </w:rPr>
              <w:t>տոկոս</w:t>
            </w:r>
            <w:r w:rsidRPr="001F63BA">
              <w:rPr>
                <w:rFonts w:ascii="GHEA Grapalat" w:hAnsi="GHEA Grapalat"/>
                <w:b/>
                <w:bCs/>
                <w:sz w:val="20"/>
                <w:szCs w:val="20"/>
                <w:lang w:val="ru-RU"/>
              </w:rPr>
              <w:t>)</w:t>
            </w:r>
          </w:p>
        </w:tc>
        <w:tc>
          <w:tcPr>
            <w:tcW w:w="1843" w:type="dxa"/>
            <w:gridSpan w:val="2"/>
            <w:tcBorders>
              <w:top w:val="single" w:sz="4" w:space="0" w:color="4F81BD"/>
              <w:left w:val="nil"/>
              <w:bottom w:val="single" w:sz="4" w:space="0" w:color="4F81BD"/>
              <w:right w:val="nil"/>
            </w:tcBorders>
            <w:shd w:val="clear" w:color="auto" w:fill="4F81BD"/>
          </w:tcPr>
          <w:p w:rsidR="001C411D" w:rsidRPr="001F63BA" w:rsidRDefault="001C411D" w:rsidP="00A6734C">
            <w:pPr>
              <w:jc w:val="center"/>
              <w:rPr>
                <w:rFonts w:ascii="GHEA Grapalat" w:hAnsi="GHEA Grapalat"/>
                <w:b/>
                <w:bCs/>
                <w:sz w:val="20"/>
                <w:szCs w:val="20"/>
                <w:lang w:val="ru-RU"/>
              </w:rPr>
            </w:pPr>
            <w:r w:rsidRPr="001F63BA">
              <w:rPr>
                <w:rFonts w:ascii="GHEA Grapalat" w:hAnsi="GHEA Grapalat"/>
                <w:b/>
                <w:bCs/>
                <w:sz w:val="20"/>
                <w:szCs w:val="20"/>
              </w:rPr>
              <w:t>Աճ</w:t>
            </w:r>
            <w:r w:rsidRPr="001F63BA">
              <w:rPr>
                <w:rFonts w:ascii="GHEA Grapalat" w:hAnsi="GHEA Grapalat"/>
                <w:b/>
                <w:bCs/>
                <w:sz w:val="20"/>
                <w:szCs w:val="20"/>
                <w:lang w:val="ru-RU"/>
              </w:rPr>
              <w:t xml:space="preserve"> (</w:t>
            </w:r>
            <w:r w:rsidRPr="001F63BA">
              <w:rPr>
                <w:rFonts w:ascii="GHEA Grapalat" w:hAnsi="GHEA Grapalat"/>
                <w:b/>
                <w:bCs/>
                <w:sz w:val="20"/>
                <w:szCs w:val="20"/>
              </w:rPr>
              <w:t>տոկոս</w:t>
            </w:r>
            <w:r w:rsidRPr="001F63BA">
              <w:rPr>
                <w:rFonts w:ascii="GHEA Grapalat" w:hAnsi="GHEA Grapalat"/>
                <w:b/>
                <w:bCs/>
                <w:sz w:val="20"/>
                <w:szCs w:val="20"/>
                <w:lang w:val="ru-RU"/>
              </w:rPr>
              <w:t>)</w:t>
            </w:r>
          </w:p>
        </w:tc>
        <w:tc>
          <w:tcPr>
            <w:tcW w:w="1984" w:type="dxa"/>
            <w:gridSpan w:val="2"/>
            <w:tcBorders>
              <w:top w:val="single" w:sz="4" w:space="0" w:color="4F81BD"/>
              <w:left w:val="nil"/>
              <w:bottom w:val="single" w:sz="4" w:space="0" w:color="4F81BD"/>
              <w:right w:val="single" w:sz="4" w:space="0" w:color="4F81BD"/>
            </w:tcBorders>
            <w:shd w:val="clear" w:color="auto" w:fill="4F81BD"/>
          </w:tcPr>
          <w:p w:rsidR="001C411D" w:rsidRPr="001F63BA" w:rsidRDefault="001C411D" w:rsidP="00A6734C">
            <w:pPr>
              <w:jc w:val="center"/>
              <w:rPr>
                <w:rFonts w:ascii="GHEA Grapalat" w:hAnsi="GHEA Grapalat"/>
                <w:b/>
                <w:bCs/>
                <w:sz w:val="20"/>
                <w:szCs w:val="20"/>
              </w:rPr>
            </w:pPr>
            <w:r w:rsidRPr="001F63BA">
              <w:rPr>
                <w:rFonts w:ascii="GHEA Grapalat" w:hAnsi="GHEA Grapalat"/>
                <w:b/>
                <w:bCs/>
                <w:sz w:val="20"/>
                <w:szCs w:val="20"/>
              </w:rPr>
              <w:t>Նպաստում</w:t>
            </w:r>
          </w:p>
          <w:p w:rsidR="001C411D" w:rsidRPr="001F63BA" w:rsidRDefault="001C411D" w:rsidP="00A6734C">
            <w:pPr>
              <w:jc w:val="center"/>
              <w:rPr>
                <w:rFonts w:ascii="GHEA Grapalat" w:hAnsi="GHEA Grapalat"/>
                <w:b/>
                <w:bCs/>
                <w:sz w:val="20"/>
                <w:szCs w:val="20"/>
                <w:lang w:val="ru-RU"/>
              </w:rPr>
            </w:pPr>
            <w:r w:rsidRPr="001F63BA">
              <w:rPr>
                <w:rFonts w:ascii="GHEA Grapalat" w:hAnsi="GHEA Grapalat"/>
                <w:b/>
                <w:bCs/>
                <w:sz w:val="20"/>
                <w:szCs w:val="20"/>
                <w:lang w:val="ru-RU"/>
              </w:rPr>
              <w:t>(</w:t>
            </w:r>
            <w:r w:rsidRPr="001F63BA">
              <w:rPr>
                <w:rFonts w:ascii="GHEA Grapalat" w:hAnsi="GHEA Grapalat"/>
                <w:b/>
                <w:bCs/>
                <w:sz w:val="20"/>
                <w:szCs w:val="20"/>
              </w:rPr>
              <w:t>տոկոսային կետ</w:t>
            </w:r>
            <w:r w:rsidRPr="001F63BA">
              <w:rPr>
                <w:rFonts w:ascii="GHEA Grapalat" w:hAnsi="GHEA Grapalat"/>
                <w:b/>
                <w:bCs/>
                <w:sz w:val="20"/>
                <w:szCs w:val="20"/>
                <w:lang w:val="ru-RU"/>
              </w:rPr>
              <w:t>)</w:t>
            </w:r>
          </w:p>
        </w:tc>
      </w:tr>
      <w:tr w:rsidR="001C411D" w:rsidRPr="001F63BA" w:rsidTr="00A6734C">
        <w:tc>
          <w:tcPr>
            <w:tcW w:w="3964" w:type="dxa"/>
            <w:shd w:val="clear" w:color="auto" w:fill="DBE5F1"/>
          </w:tcPr>
          <w:p w:rsidR="001C411D" w:rsidRPr="001F63BA" w:rsidRDefault="001C411D" w:rsidP="00A6734C">
            <w:pPr>
              <w:spacing w:line="360" w:lineRule="auto"/>
              <w:jc w:val="both"/>
              <w:rPr>
                <w:rFonts w:ascii="GHEA Grapalat" w:hAnsi="GHEA Grapalat"/>
                <w:b/>
                <w:bCs/>
                <w:sz w:val="20"/>
                <w:szCs w:val="20"/>
              </w:rPr>
            </w:pPr>
          </w:p>
        </w:tc>
        <w:tc>
          <w:tcPr>
            <w:tcW w:w="993" w:type="dxa"/>
            <w:shd w:val="clear" w:color="auto" w:fill="DBE5F1"/>
          </w:tcPr>
          <w:p w:rsidR="001C411D" w:rsidRPr="001F63BA" w:rsidRDefault="001C411D" w:rsidP="00A6734C">
            <w:pPr>
              <w:spacing w:line="360" w:lineRule="auto"/>
              <w:jc w:val="center"/>
              <w:rPr>
                <w:rFonts w:ascii="GHEA Grapalat" w:hAnsi="GHEA Grapalat"/>
                <w:b/>
                <w:sz w:val="20"/>
                <w:szCs w:val="20"/>
              </w:rPr>
            </w:pPr>
            <w:r w:rsidRPr="001F63BA">
              <w:rPr>
                <w:rFonts w:ascii="GHEA Grapalat" w:hAnsi="GHEA Grapalat"/>
                <w:b/>
                <w:sz w:val="20"/>
                <w:szCs w:val="20"/>
              </w:rPr>
              <w:t>2021</w:t>
            </w:r>
          </w:p>
        </w:tc>
        <w:tc>
          <w:tcPr>
            <w:tcW w:w="850" w:type="dxa"/>
            <w:shd w:val="clear" w:color="auto" w:fill="DBE5F1"/>
          </w:tcPr>
          <w:p w:rsidR="001C411D" w:rsidRPr="001F63BA" w:rsidRDefault="001C411D" w:rsidP="00A6734C">
            <w:pPr>
              <w:spacing w:line="360" w:lineRule="auto"/>
              <w:jc w:val="center"/>
              <w:rPr>
                <w:rFonts w:ascii="GHEA Grapalat" w:hAnsi="GHEA Grapalat"/>
                <w:b/>
                <w:sz w:val="20"/>
                <w:szCs w:val="20"/>
              </w:rPr>
            </w:pPr>
            <w:r w:rsidRPr="001F63BA">
              <w:rPr>
                <w:rFonts w:ascii="GHEA Grapalat" w:hAnsi="GHEA Grapalat"/>
                <w:b/>
                <w:sz w:val="20"/>
                <w:szCs w:val="20"/>
              </w:rPr>
              <w:t>2022</w:t>
            </w:r>
          </w:p>
        </w:tc>
        <w:tc>
          <w:tcPr>
            <w:tcW w:w="992" w:type="dxa"/>
            <w:shd w:val="clear" w:color="auto" w:fill="DBE5F1"/>
          </w:tcPr>
          <w:p w:rsidR="001C411D" w:rsidRPr="001F63BA" w:rsidRDefault="001C411D" w:rsidP="00A6734C">
            <w:pPr>
              <w:spacing w:line="360" w:lineRule="auto"/>
              <w:jc w:val="center"/>
              <w:rPr>
                <w:rFonts w:ascii="GHEA Grapalat" w:hAnsi="GHEA Grapalat"/>
                <w:b/>
                <w:sz w:val="20"/>
                <w:szCs w:val="20"/>
              </w:rPr>
            </w:pPr>
            <w:r w:rsidRPr="001F63BA">
              <w:rPr>
                <w:rFonts w:ascii="GHEA Grapalat" w:hAnsi="GHEA Grapalat"/>
                <w:b/>
                <w:sz w:val="20"/>
                <w:szCs w:val="20"/>
              </w:rPr>
              <w:t>2021</w:t>
            </w:r>
          </w:p>
        </w:tc>
        <w:tc>
          <w:tcPr>
            <w:tcW w:w="851" w:type="dxa"/>
            <w:shd w:val="clear" w:color="auto" w:fill="DBE5F1"/>
          </w:tcPr>
          <w:p w:rsidR="001C411D" w:rsidRPr="001F63BA" w:rsidRDefault="001C411D" w:rsidP="00A6734C">
            <w:pPr>
              <w:spacing w:line="360" w:lineRule="auto"/>
              <w:jc w:val="center"/>
              <w:rPr>
                <w:rFonts w:ascii="GHEA Grapalat" w:hAnsi="GHEA Grapalat"/>
                <w:b/>
                <w:sz w:val="20"/>
                <w:szCs w:val="20"/>
              </w:rPr>
            </w:pPr>
            <w:r w:rsidRPr="001F63BA">
              <w:rPr>
                <w:rFonts w:ascii="GHEA Grapalat" w:hAnsi="GHEA Grapalat"/>
                <w:b/>
                <w:sz w:val="20"/>
                <w:szCs w:val="20"/>
              </w:rPr>
              <w:t>2022</w:t>
            </w:r>
          </w:p>
        </w:tc>
        <w:tc>
          <w:tcPr>
            <w:tcW w:w="992" w:type="dxa"/>
            <w:shd w:val="clear" w:color="auto" w:fill="DBE5F1"/>
          </w:tcPr>
          <w:p w:rsidR="001C411D" w:rsidRPr="001F63BA" w:rsidRDefault="001C411D" w:rsidP="00A6734C">
            <w:pPr>
              <w:spacing w:line="360" w:lineRule="auto"/>
              <w:jc w:val="center"/>
              <w:rPr>
                <w:rFonts w:ascii="GHEA Grapalat" w:hAnsi="GHEA Grapalat"/>
                <w:b/>
                <w:sz w:val="20"/>
                <w:szCs w:val="20"/>
              </w:rPr>
            </w:pPr>
            <w:r w:rsidRPr="001F63BA">
              <w:rPr>
                <w:rFonts w:ascii="GHEA Grapalat" w:hAnsi="GHEA Grapalat"/>
                <w:b/>
                <w:sz w:val="20"/>
                <w:szCs w:val="20"/>
              </w:rPr>
              <w:t>2021</w:t>
            </w:r>
          </w:p>
        </w:tc>
        <w:tc>
          <w:tcPr>
            <w:tcW w:w="992" w:type="dxa"/>
            <w:shd w:val="clear" w:color="auto" w:fill="DBE5F1"/>
          </w:tcPr>
          <w:p w:rsidR="001C411D" w:rsidRPr="001F63BA" w:rsidRDefault="001C411D" w:rsidP="00A6734C">
            <w:pPr>
              <w:spacing w:line="360" w:lineRule="auto"/>
              <w:jc w:val="center"/>
              <w:rPr>
                <w:rFonts w:ascii="GHEA Grapalat" w:hAnsi="GHEA Grapalat"/>
                <w:b/>
                <w:sz w:val="20"/>
                <w:szCs w:val="20"/>
              </w:rPr>
            </w:pPr>
            <w:r w:rsidRPr="001F63BA">
              <w:rPr>
                <w:rFonts w:ascii="GHEA Grapalat" w:hAnsi="GHEA Grapalat"/>
                <w:b/>
                <w:sz w:val="20"/>
                <w:szCs w:val="20"/>
              </w:rPr>
              <w:t>2022</w:t>
            </w:r>
          </w:p>
        </w:tc>
      </w:tr>
      <w:tr w:rsidR="001C411D" w:rsidRPr="001F63BA" w:rsidTr="00A6734C">
        <w:tc>
          <w:tcPr>
            <w:tcW w:w="3964" w:type="dxa"/>
            <w:vAlign w:val="bottom"/>
          </w:tcPr>
          <w:p w:rsidR="001C411D" w:rsidRPr="001F63BA" w:rsidRDefault="001C411D" w:rsidP="00ED6B47">
            <w:pPr>
              <w:rPr>
                <w:rFonts w:ascii="GHEA Grapalat" w:hAnsi="GHEA Grapalat"/>
                <w:b/>
                <w:bCs/>
                <w:sz w:val="20"/>
                <w:szCs w:val="20"/>
              </w:rPr>
            </w:pPr>
            <w:r w:rsidRPr="001F63BA">
              <w:rPr>
                <w:rFonts w:ascii="GHEA Grapalat" w:hAnsi="GHEA Grapalat"/>
                <w:b/>
                <w:bCs/>
                <w:sz w:val="20"/>
                <w:szCs w:val="20"/>
              </w:rPr>
              <w:t>Ընդամենը</w:t>
            </w:r>
          </w:p>
        </w:tc>
        <w:tc>
          <w:tcPr>
            <w:tcW w:w="993"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b/>
                <w:sz w:val="20"/>
                <w:szCs w:val="20"/>
              </w:rPr>
              <w:t>100</w:t>
            </w:r>
          </w:p>
        </w:tc>
        <w:tc>
          <w:tcPr>
            <w:tcW w:w="850"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b/>
                <w:sz w:val="20"/>
                <w:szCs w:val="20"/>
              </w:rPr>
              <w:t>100</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b/>
                <w:sz w:val="20"/>
                <w:szCs w:val="20"/>
              </w:rPr>
              <w:t>17.5</w:t>
            </w:r>
          </w:p>
        </w:tc>
        <w:tc>
          <w:tcPr>
            <w:tcW w:w="851"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b/>
                <w:sz w:val="20"/>
                <w:szCs w:val="20"/>
              </w:rPr>
              <w:t>63.5</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b/>
                <w:sz w:val="20"/>
                <w:szCs w:val="20"/>
              </w:rPr>
              <w:t>17.5</w:t>
            </w:r>
          </w:p>
        </w:tc>
        <w:tc>
          <w:tcPr>
            <w:tcW w:w="992" w:type="dxa"/>
            <w:vAlign w:val="bottom"/>
          </w:tcPr>
          <w:p w:rsidR="001C411D" w:rsidRPr="001F63BA" w:rsidRDefault="001C411D" w:rsidP="00A6734C">
            <w:pPr>
              <w:jc w:val="center"/>
              <w:rPr>
                <w:rFonts w:ascii="GHEA Grapalat" w:hAnsi="GHEA Grapalat"/>
                <w:b/>
                <w:sz w:val="20"/>
                <w:szCs w:val="20"/>
              </w:rPr>
            </w:pPr>
            <w:r w:rsidRPr="001F63BA">
              <w:rPr>
                <w:rFonts w:ascii="GHEA Grapalat" w:hAnsi="GHEA Grapalat"/>
                <w:b/>
                <w:sz w:val="20"/>
                <w:szCs w:val="20"/>
              </w:rPr>
              <w:t>63.5</w:t>
            </w:r>
          </w:p>
        </w:tc>
      </w:tr>
      <w:tr w:rsidR="001C411D" w:rsidRPr="001F63BA" w:rsidTr="00A6734C">
        <w:tc>
          <w:tcPr>
            <w:tcW w:w="3964" w:type="dxa"/>
            <w:shd w:val="clear" w:color="auto" w:fill="DBE5F1"/>
            <w:vAlign w:val="bottom"/>
          </w:tcPr>
          <w:p w:rsidR="001C411D" w:rsidRPr="001F63BA" w:rsidRDefault="001C411D" w:rsidP="00ED6B47">
            <w:pPr>
              <w:rPr>
                <w:rFonts w:ascii="GHEA Grapalat" w:hAnsi="GHEA Grapalat"/>
                <w:b/>
                <w:bCs/>
                <w:sz w:val="20"/>
                <w:szCs w:val="20"/>
              </w:rPr>
            </w:pPr>
            <w:r w:rsidRPr="001F63BA">
              <w:rPr>
                <w:rFonts w:ascii="GHEA Grapalat" w:hAnsi="GHEA Grapalat"/>
                <w:b/>
                <w:bCs/>
                <w:sz w:val="20"/>
                <w:szCs w:val="20"/>
              </w:rPr>
              <w:t>Վերջնական սպառման ապրանքներ</w:t>
            </w:r>
          </w:p>
        </w:tc>
        <w:tc>
          <w:tcPr>
            <w:tcW w:w="993"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27.6</w:t>
            </w:r>
          </w:p>
        </w:tc>
        <w:tc>
          <w:tcPr>
            <w:tcW w:w="850"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23.7</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18.6</w:t>
            </w:r>
          </w:p>
        </w:tc>
        <w:tc>
          <w:tcPr>
            <w:tcW w:w="851"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40.6</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5.1</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11.2</w:t>
            </w:r>
          </w:p>
        </w:tc>
      </w:tr>
      <w:tr w:rsidR="001C411D" w:rsidRPr="001F63BA" w:rsidTr="00A6734C">
        <w:tc>
          <w:tcPr>
            <w:tcW w:w="3964" w:type="dxa"/>
            <w:vAlign w:val="bottom"/>
          </w:tcPr>
          <w:p w:rsidR="001C411D" w:rsidRPr="001F63BA" w:rsidRDefault="001C411D" w:rsidP="00ED6B47">
            <w:pPr>
              <w:rPr>
                <w:rFonts w:ascii="GHEA Grapalat" w:hAnsi="GHEA Grapalat"/>
                <w:b/>
                <w:bCs/>
                <w:sz w:val="20"/>
                <w:szCs w:val="20"/>
              </w:rPr>
            </w:pPr>
            <w:r w:rsidRPr="001F63BA">
              <w:rPr>
                <w:rFonts w:ascii="GHEA Grapalat" w:hAnsi="GHEA Grapalat"/>
                <w:b/>
                <w:bCs/>
                <w:sz w:val="20"/>
                <w:szCs w:val="20"/>
              </w:rPr>
              <w:t>Միջանկյալ սպառման ապրանքներ</w:t>
            </w:r>
          </w:p>
        </w:tc>
        <w:tc>
          <w:tcPr>
            <w:tcW w:w="993"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54.6</w:t>
            </w:r>
          </w:p>
        </w:tc>
        <w:tc>
          <w:tcPr>
            <w:tcW w:w="850"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50.6</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18.9</w:t>
            </w:r>
          </w:p>
        </w:tc>
        <w:tc>
          <w:tcPr>
            <w:tcW w:w="851"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51.7</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10.2</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28.2</w:t>
            </w:r>
          </w:p>
        </w:tc>
      </w:tr>
      <w:tr w:rsidR="001C411D" w:rsidRPr="001F63BA" w:rsidTr="00A6734C">
        <w:tc>
          <w:tcPr>
            <w:tcW w:w="3964" w:type="dxa"/>
            <w:shd w:val="clear" w:color="auto" w:fill="DBE5F1"/>
            <w:vAlign w:val="bottom"/>
          </w:tcPr>
          <w:p w:rsidR="001C411D" w:rsidRPr="001F63BA" w:rsidRDefault="001C411D" w:rsidP="00ED6B47">
            <w:pPr>
              <w:rPr>
                <w:rFonts w:ascii="GHEA Grapalat" w:hAnsi="GHEA Grapalat"/>
                <w:b/>
                <w:bCs/>
                <w:sz w:val="20"/>
                <w:szCs w:val="20"/>
              </w:rPr>
            </w:pPr>
            <w:r w:rsidRPr="001F63BA">
              <w:rPr>
                <w:rFonts w:ascii="GHEA Grapalat" w:hAnsi="GHEA Grapalat"/>
                <w:b/>
                <w:bCs/>
                <w:sz w:val="20"/>
                <w:szCs w:val="20"/>
              </w:rPr>
              <w:t>Կապիտալ ապրանքներ</w:t>
            </w:r>
          </w:p>
        </w:tc>
        <w:tc>
          <w:tcPr>
            <w:tcW w:w="993"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15.4</w:t>
            </w:r>
          </w:p>
        </w:tc>
        <w:tc>
          <w:tcPr>
            <w:tcW w:w="850"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17.5</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5.0</w:t>
            </w:r>
          </w:p>
        </w:tc>
        <w:tc>
          <w:tcPr>
            <w:tcW w:w="851"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85.7</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0.9</w:t>
            </w:r>
          </w:p>
        </w:tc>
        <w:tc>
          <w:tcPr>
            <w:tcW w:w="992" w:type="dxa"/>
            <w:shd w:val="clear" w:color="auto" w:fill="DBE5F1"/>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13.2</w:t>
            </w:r>
          </w:p>
        </w:tc>
      </w:tr>
      <w:tr w:rsidR="001C411D" w:rsidRPr="001F63BA" w:rsidTr="00A6734C">
        <w:tc>
          <w:tcPr>
            <w:tcW w:w="3964" w:type="dxa"/>
            <w:vAlign w:val="bottom"/>
          </w:tcPr>
          <w:p w:rsidR="001C411D" w:rsidRPr="001F63BA" w:rsidRDefault="001C411D" w:rsidP="00ED6B47">
            <w:pPr>
              <w:rPr>
                <w:rFonts w:ascii="GHEA Grapalat" w:hAnsi="GHEA Grapalat"/>
                <w:b/>
                <w:bCs/>
                <w:sz w:val="20"/>
                <w:szCs w:val="20"/>
              </w:rPr>
            </w:pPr>
            <w:r w:rsidRPr="001F63BA">
              <w:rPr>
                <w:rFonts w:ascii="GHEA Grapalat" w:hAnsi="GHEA Grapalat"/>
                <w:b/>
                <w:bCs/>
                <w:sz w:val="20"/>
                <w:szCs w:val="20"/>
              </w:rPr>
              <w:t>Ավտոմեքենա մարդատար</w:t>
            </w:r>
          </w:p>
        </w:tc>
        <w:tc>
          <w:tcPr>
            <w:tcW w:w="993"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2.4</w:t>
            </w:r>
          </w:p>
        </w:tc>
        <w:tc>
          <w:tcPr>
            <w:tcW w:w="850"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8.1</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90.1</w:t>
            </w:r>
          </w:p>
        </w:tc>
        <w:tc>
          <w:tcPr>
            <w:tcW w:w="851"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453.7</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1.3</w:t>
            </w:r>
          </w:p>
        </w:tc>
        <w:tc>
          <w:tcPr>
            <w:tcW w:w="992" w:type="dxa"/>
            <w:vAlign w:val="bottom"/>
          </w:tcPr>
          <w:p w:rsidR="001C411D" w:rsidRPr="001F63BA" w:rsidRDefault="001C411D" w:rsidP="00A6734C">
            <w:pPr>
              <w:jc w:val="center"/>
              <w:rPr>
                <w:rFonts w:ascii="GHEA Grapalat" w:hAnsi="GHEA Grapalat"/>
                <w:sz w:val="20"/>
                <w:szCs w:val="20"/>
              </w:rPr>
            </w:pPr>
            <w:r w:rsidRPr="001F63BA">
              <w:rPr>
                <w:rFonts w:ascii="GHEA Grapalat" w:hAnsi="GHEA Grapalat"/>
                <w:sz w:val="20"/>
                <w:szCs w:val="20"/>
              </w:rPr>
              <w:t>10.9</w:t>
            </w:r>
          </w:p>
        </w:tc>
      </w:tr>
    </w:tbl>
    <w:p w:rsidR="001C411D" w:rsidRPr="001F63BA" w:rsidRDefault="001C411D" w:rsidP="002073E2">
      <w:pPr>
        <w:jc w:val="both"/>
        <w:rPr>
          <w:rFonts w:ascii="GHEA Grapalat" w:hAnsi="GHEA Grapalat"/>
          <w:sz w:val="22"/>
          <w:szCs w:val="22"/>
          <w:lang w:val="en-US"/>
        </w:rPr>
        <w:sectPr w:rsidR="001C411D" w:rsidRPr="001F63BA" w:rsidSect="009D5C15">
          <w:headerReference w:type="default" r:id="rId76"/>
          <w:pgSz w:w="11909" w:h="16834" w:code="9"/>
          <w:pgMar w:top="1134" w:right="567" w:bottom="567" w:left="1134" w:header="720" w:footer="397" w:gutter="0"/>
          <w:cols w:space="720"/>
          <w:docGrid w:linePitch="360"/>
        </w:sectPr>
      </w:pPr>
    </w:p>
    <w:p w:rsidR="001C411D" w:rsidRPr="001F63BA" w:rsidRDefault="001C411D" w:rsidP="00DD39CD">
      <w:pPr>
        <w:pStyle w:val="Heading1"/>
        <w:spacing w:line="480" w:lineRule="auto"/>
        <w:rPr>
          <w:rFonts w:ascii="GHEA Grapalat" w:hAnsi="GHEA Grapalat" w:cs="Sylfaen"/>
          <w:sz w:val="22"/>
          <w:szCs w:val="22"/>
        </w:rPr>
      </w:pPr>
      <w:bookmarkStart w:id="92" w:name="_Toc511744966"/>
      <w:bookmarkStart w:id="93" w:name="_Toc6389325"/>
      <w:bookmarkStart w:id="94" w:name="_Toc69232229"/>
      <w:bookmarkStart w:id="95" w:name="_Toc132204235"/>
      <w:bookmarkStart w:id="96" w:name="OLE_LINK4"/>
      <w:bookmarkStart w:id="97" w:name="OLE_LINK5"/>
      <w:bookmarkStart w:id="98" w:name="_Toc6886226"/>
      <w:bookmarkStart w:id="99" w:name="_Toc481825099"/>
      <w:bookmarkStart w:id="100" w:name="_Toc481828750"/>
      <w:bookmarkStart w:id="101" w:name="_Toc503586041"/>
      <w:bookmarkStart w:id="102" w:name="_Toc503587414"/>
      <w:bookmarkStart w:id="103" w:name="_Toc503591504"/>
      <w:bookmarkStart w:id="104" w:name="_Toc503591836"/>
      <w:bookmarkStart w:id="105" w:name="_Toc512260758"/>
      <w:bookmarkStart w:id="106" w:name="_Toc513128852"/>
      <w:bookmarkStart w:id="107" w:name="_Toc6886218"/>
      <w:bookmarkStart w:id="108" w:name="_Toc70997766"/>
      <w:bookmarkStart w:id="109" w:name="_Toc101775458"/>
      <w:bookmarkStart w:id="110" w:name="_Toc101775837"/>
      <w:bookmarkStart w:id="111" w:name="_Toc196049684"/>
      <w:bookmarkStart w:id="112" w:name="_Toc231873599"/>
      <w:bookmarkStart w:id="113" w:name="_Toc290409640"/>
      <w:bookmarkStart w:id="114" w:name="_Toc291747228"/>
      <w:bookmarkStart w:id="115" w:name="_Toc291747557"/>
      <w:bookmarkStart w:id="116" w:name="_Toc291747927"/>
      <w:bookmarkStart w:id="117" w:name="_Toc322445710"/>
      <w:bookmarkStart w:id="118" w:name="_Toc322445788"/>
      <w:bookmarkStart w:id="119" w:name="_Toc353882536"/>
      <w:bookmarkStart w:id="120" w:name="_Toc354657493"/>
      <w:bookmarkStart w:id="121" w:name="_Toc354658847"/>
      <w:bookmarkStart w:id="122" w:name="_Toc417292094"/>
      <w:bookmarkStart w:id="123" w:name="_Toc6886230"/>
      <w:bookmarkStart w:id="124" w:name="_Toc70997779"/>
      <w:bookmarkStart w:id="125" w:name="_Toc101775463"/>
      <w:bookmarkStart w:id="126" w:name="_Toc101775842"/>
      <w:bookmarkStart w:id="127" w:name="_Toc198638699"/>
      <w:bookmarkStart w:id="128" w:name="_Toc231873604"/>
      <w:bookmarkStart w:id="129" w:name="_Toc259309557"/>
      <w:bookmarkStart w:id="130" w:name="_Toc259309997"/>
      <w:bookmarkStart w:id="131" w:name="_Toc259310274"/>
      <w:bookmarkStart w:id="132" w:name="_Toc259523496"/>
      <w:bookmarkStart w:id="133" w:name="_Toc264905144"/>
      <w:bookmarkStart w:id="134" w:name="_Toc264968387"/>
      <w:r w:rsidRPr="001F63BA">
        <w:rPr>
          <w:rFonts w:ascii="GHEA Grapalat" w:hAnsi="GHEA Grapalat" w:cs="Sylfaen"/>
          <w:sz w:val="22"/>
          <w:szCs w:val="22"/>
        </w:rPr>
        <w:lastRenderedPageBreak/>
        <w:t>ՀԱՅԱՍՏԱՆԻ ՀԱՆՐԱՊԵՏՈՒԹՅԱՆ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ՊԵՏԱԿԱՆ ԲՅՈՒՋԵԻ ԵԿԱՄՈՒՏՆԵՐԸ</w:t>
      </w:r>
      <w:bookmarkEnd w:id="92"/>
      <w:bookmarkEnd w:id="93"/>
      <w:bookmarkEnd w:id="94"/>
      <w:bookmarkEnd w:id="95"/>
    </w:p>
    <w:p w:rsidR="001C411D" w:rsidRPr="001F63BA" w:rsidRDefault="001C411D" w:rsidP="002F7E29">
      <w:pPr>
        <w:spacing w:line="360" w:lineRule="auto"/>
        <w:ind w:firstLine="567"/>
        <w:jc w:val="both"/>
        <w:rPr>
          <w:rFonts w:ascii="GHEA Grapalat" w:hAnsi="GHEA Grapalat"/>
          <w:sz w:val="22"/>
          <w:szCs w:val="22"/>
        </w:rPr>
      </w:pPr>
      <w:bookmarkStart w:id="135" w:name="_Toc79417560"/>
      <w:bookmarkEnd w:id="96"/>
      <w:bookmarkEnd w:id="97"/>
      <w:r w:rsidRPr="001F63BA">
        <w:rPr>
          <w:rFonts w:ascii="GHEA Grapalat" w:hAnsi="GHEA Grapalat" w:cs="GHEA Grapalat"/>
          <w:sz w:val="22"/>
          <w:szCs w:val="22"/>
        </w:rPr>
        <w:t>Հայաստանի Հանրապետության 2022 թվականի բյուջեի մասին օրենքով (այսուհետ՝ Օրենք), ելնելով մակրոտնտեսական ցուցանիշների կանխատեսվող զարգացումներից, ինչպես նաև օրենսդրության փոփոխությունների և վարչարարական միջոցառումների</w:t>
      </w:r>
      <w:r w:rsidRPr="001F63BA">
        <w:rPr>
          <w:rFonts w:ascii="GHEA Grapalat" w:hAnsi="GHEA Grapalat" w:cs="GHEA Grapalat"/>
          <w:sz w:val="22"/>
          <w:szCs w:val="22"/>
          <w:lang w:val="en-US"/>
        </w:rPr>
        <w:t xml:space="preserve"> արդյունքում</w:t>
      </w:r>
      <w:r w:rsidRPr="001F63BA">
        <w:rPr>
          <w:rFonts w:ascii="GHEA Grapalat" w:hAnsi="GHEA Grapalat" w:cs="GHEA Grapalat"/>
          <w:sz w:val="22"/>
          <w:szCs w:val="22"/>
        </w:rPr>
        <w:t xml:space="preserve"> ակնկալվող մուտքերի</w:t>
      </w:r>
      <w:r w:rsidRPr="001F63BA">
        <w:rPr>
          <w:rFonts w:ascii="GHEA Grapalat" w:hAnsi="GHEA Grapalat" w:cs="GHEA Grapalat"/>
          <w:sz w:val="22"/>
          <w:szCs w:val="22"/>
          <w:lang w:val="en-US"/>
        </w:rPr>
        <w:t xml:space="preserve"> կանխատեսումներից</w:t>
      </w:r>
      <w:r w:rsidRPr="001F63BA">
        <w:rPr>
          <w:rFonts w:ascii="GHEA Grapalat" w:hAnsi="GHEA Grapalat" w:cs="GHEA Grapalat"/>
          <w:sz w:val="22"/>
          <w:szCs w:val="22"/>
        </w:rPr>
        <w:t>, ծրագրվել էր ստանալ շուրջ 1,947.8 մլրդ դրամ եկամուտներ, որից շուրջ 1,906.0 մլրդ դրամը՝ ներքին աղբյուրներից ստացվող եկամուտների, 41.8 մլրդ դրամը` արտաքին պաշտոնական դրամաշնորհների տեսքով: Հարկ է նշել, որ Օրենքի 9-րդ հոդվածի 2</w:t>
      </w:r>
      <w:r w:rsidRPr="001F63BA">
        <w:rPr>
          <w:rFonts w:ascii="GHEA Grapalat" w:hAnsi="GHEA Grapalat" w:cs="GHEA Grapalat"/>
          <w:sz w:val="22"/>
          <w:szCs w:val="22"/>
        </w:rPr>
        <w:noBreakHyphen/>
        <w:t>րդ կետի պահանջներից ելնելով` պետության դրամական միջոցների համախմբված հաշվառման նպատակով պետական բյուջեի ցուցանիշներում ներառվել են առանց սահմանափակման պետական բյուջեից կատարվող վճարումներն ու դրանց արդյունքում ձևավորված եկամուտները</w:t>
      </w:r>
      <w:r w:rsidRPr="001F63BA">
        <w:rPr>
          <w:rFonts w:ascii="GHEA Grapalat" w:hAnsi="GHEA Grapalat" w:cs="GHEA Grapalat"/>
          <w:sz w:val="22"/>
          <w:szCs w:val="22"/>
          <w:lang w:val="en-US"/>
        </w:rPr>
        <w:t xml:space="preserve">, որոնք կազմել են </w:t>
      </w:r>
      <w:r w:rsidRPr="001F63BA">
        <w:rPr>
          <w:rFonts w:ascii="GHEA Grapalat" w:hAnsi="GHEA Grapalat" w:cs="GHEA Grapalat"/>
          <w:sz w:val="22"/>
          <w:szCs w:val="22"/>
        </w:rPr>
        <w:t xml:space="preserve">ավելի քան 1.2 մլրդ դրամ: Բացի այդ,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 xml:space="preserve">ունը, ի լրումն եկամուտների ցուցանիշների վերոնշյալ փոփոխությունների, իր լիազորությունների շրջանակում ևս </w:t>
      </w:r>
      <w:r w:rsidRPr="001F63BA">
        <w:rPr>
          <w:rFonts w:ascii="GHEA Grapalat" w:hAnsi="GHEA Grapalat" w:cs="GHEA Grapalat"/>
          <w:sz w:val="22"/>
          <w:szCs w:val="22"/>
          <w:lang w:val="en-US"/>
        </w:rPr>
        <w:t>110.4</w:t>
      </w:r>
      <w:r w:rsidRPr="001F63BA">
        <w:rPr>
          <w:rFonts w:ascii="GHEA Grapalat" w:hAnsi="GHEA Grapalat" w:cs="GHEA Grapalat"/>
          <w:sz w:val="22"/>
          <w:szCs w:val="22"/>
        </w:rPr>
        <w:t xml:space="preserve"> մլրդ դրամով (5.7%-ով)</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վերանայել է պետական բյուջեի եկամուտների ցուցանիշը: Մասնավորապես՝ ծրագիր</w:t>
      </w:r>
      <w:r w:rsidRPr="001F63BA">
        <w:rPr>
          <w:rFonts w:ascii="GHEA Grapalat" w:hAnsi="GHEA Grapalat" w:cs="GHEA Grapalat"/>
          <w:sz w:val="22"/>
          <w:szCs w:val="22"/>
          <w:lang w:val="en-US"/>
        </w:rPr>
        <w:t>ը 81.1</w:t>
      </w:r>
      <w:r w:rsidRPr="001F63BA">
        <w:rPr>
          <w:rFonts w:ascii="GHEA Grapalat" w:hAnsi="GHEA Grapalat" w:cs="GHEA Grapalat"/>
          <w:sz w:val="22"/>
          <w:szCs w:val="22"/>
        </w:rPr>
        <w:t xml:space="preserve"> մլրդ դրամի չափով ավելացվել է հարկային եկամուտների և պետական տուրքերի գծով հարկաբյուջետային </w:t>
      </w:r>
      <w:r w:rsidRPr="001F63BA">
        <w:rPr>
          <w:rFonts w:ascii="GHEA Grapalat" w:hAnsi="GHEA Grapalat" w:cs="GHEA Grapalat"/>
          <w:sz w:val="22"/>
          <w:szCs w:val="22"/>
          <w:lang w:val="en-US"/>
        </w:rPr>
        <w:t xml:space="preserve">քաղաքականության </w:t>
      </w:r>
      <w:r w:rsidRPr="001F63BA">
        <w:rPr>
          <w:rFonts w:ascii="GHEA Grapalat" w:hAnsi="GHEA Grapalat" w:cs="GHEA Grapalat"/>
          <w:sz w:val="22"/>
          <w:szCs w:val="22"/>
        </w:rPr>
        <w:t>վերանայման արդյունքում</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51.2</w:t>
      </w:r>
      <w:r w:rsidRPr="001F63BA">
        <w:rPr>
          <w:rFonts w:ascii="GHEA Grapalat" w:hAnsi="GHEA Grapalat" w:cs="GHEA Grapalat"/>
          <w:sz w:val="22"/>
          <w:szCs w:val="22"/>
        </w:rPr>
        <w:t xml:space="preserve"> մլրդ դրամի չափով ավելացվել է այլ </w:t>
      </w:r>
      <w:r w:rsidRPr="001F63BA">
        <w:rPr>
          <w:rFonts w:ascii="GHEA Grapalat" w:hAnsi="GHEA Grapalat" w:cs="GHEA Grapalat"/>
          <w:sz w:val="22"/>
          <w:szCs w:val="22"/>
          <w:lang w:val="en-US"/>
        </w:rPr>
        <w:t>եկամուտների ծրագիրը՝ հիմնականում պայմանավորված բյուջեի ժամանակավոր ազատ միջոցների տեղաբաշխումից և դեպոզիտներից ստացվող տոկոսավճարների և օրենքով ու իրավական այլ ակտերով սահմանված պետական բյուջե մուտքագրվող այլ եկամուտների գծով լրացուցիչ մուտքերով, իսկ պաշտոնական դրամաշնորհների ծրագիրը նվազեցվել է 21.9 մլրդ</w:t>
      </w:r>
      <w:r w:rsidRPr="001F63BA">
        <w:rPr>
          <w:rFonts w:ascii="GHEA Grapalat" w:hAnsi="GHEA Grapalat" w:cs="GHEA Grapalat"/>
          <w:sz w:val="22"/>
          <w:szCs w:val="22"/>
        </w:rPr>
        <w:t xml:space="preserve"> դրամով՝ պայմանավորված </w:t>
      </w:r>
      <w:r w:rsidRPr="001F63BA">
        <w:rPr>
          <w:rFonts w:ascii="GHEA Grapalat" w:hAnsi="GHEA Grapalat" w:cs="GHEA Grapalat"/>
          <w:sz w:val="22"/>
          <w:szCs w:val="22"/>
          <w:lang w:val="en-US"/>
        </w:rPr>
        <w:t>նպատակային</w:t>
      </w:r>
      <w:r w:rsidRPr="001F63BA">
        <w:rPr>
          <w:rFonts w:ascii="GHEA Grapalat" w:hAnsi="GHEA Grapalat" w:cs="GHEA Grapalat"/>
          <w:sz w:val="22"/>
          <w:szCs w:val="22"/>
        </w:rPr>
        <w:t xml:space="preserve"> ծրագրերի կատարողականով։ Արդյունքում ՀՀ պետական բյուջեի եկամուտների </w:t>
      </w:r>
      <w:r w:rsidRPr="001F63BA">
        <w:rPr>
          <w:rFonts w:ascii="GHEA Grapalat" w:hAnsi="GHEA Grapalat" w:cs="GHEA Grapalat"/>
          <w:sz w:val="22"/>
          <w:szCs w:val="22"/>
          <w:lang w:val="en-US"/>
        </w:rPr>
        <w:t xml:space="preserve">ճշտված </w:t>
      </w:r>
      <w:r w:rsidRPr="001F63BA">
        <w:rPr>
          <w:rFonts w:ascii="GHEA Grapalat" w:hAnsi="GHEA Grapalat" w:cs="GHEA Grapalat"/>
          <w:sz w:val="22"/>
          <w:szCs w:val="22"/>
        </w:rPr>
        <w:t>ծրագիր</w:t>
      </w:r>
      <w:r w:rsidRPr="001F63BA">
        <w:rPr>
          <w:rFonts w:ascii="GHEA Grapalat" w:hAnsi="GHEA Grapalat" w:cs="GHEA Grapalat"/>
          <w:sz w:val="22"/>
          <w:szCs w:val="22"/>
          <w:lang w:val="en-US"/>
        </w:rPr>
        <w:t>ը</w:t>
      </w:r>
      <w:r w:rsidRPr="001F63BA">
        <w:rPr>
          <w:rFonts w:ascii="GHEA Grapalat" w:hAnsi="GHEA Grapalat" w:cs="GHEA Grapalat"/>
          <w:sz w:val="22"/>
          <w:szCs w:val="22"/>
        </w:rPr>
        <w:t xml:space="preserve"> կազմել</w:t>
      </w:r>
      <w:r w:rsidRPr="001F63BA">
        <w:rPr>
          <w:rFonts w:ascii="GHEA Grapalat" w:hAnsi="GHEA Grapalat" w:cs="GHEA Grapalat"/>
          <w:sz w:val="22"/>
          <w:szCs w:val="22"/>
          <w:lang w:val="en-US"/>
        </w:rPr>
        <w:t xml:space="preserve"> է</w:t>
      </w:r>
      <w:r w:rsidRPr="001F63BA">
        <w:rPr>
          <w:rFonts w:ascii="GHEA Grapalat" w:hAnsi="GHEA Grapalat" w:cs="GHEA Grapalat"/>
          <w:sz w:val="22"/>
          <w:szCs w:val="22"/>
        </w:rPr>
        <w:t xml:space="preserve"> 2,058.2 մլրդ դրամ: Նշված գումարից 2,038.3 մլրդ դրամը կազմել է ներքին աղբյուրներից ստացվող եկամուտների, 19.9 մլրդ դրամը` պաշտոնական դրամաշնորհների ծրագիրը: </w:t>
      </w:r>
    </w:p>
    <w:p w:rsidR="001C411D" w:rsidRPr="001F63BA" w:rsidRDefault="001C411D" w:rsidP="002F7E29">
      <w:pPr>
        <w:spacing w:line="360" w:lineRule="auto"/>
        <w:ind w:firstLine="567"/>
        <w:jc w:val="both"/>
        <w:rPr>
          <w:rFonts w:ascii="GHEA Grapalat" w:hAnsi="GHEA Grapalat" w:cs="GHEA Grapalat"/>
          <w:sz w:val="22"/>
          <w:szCs w:val="22"/>
          <w:lang w:val="en-US"/>
        </w:rPr>
      </w:pPr>
      <w:r w:rsidRPr="001F63BA">
        <w:rPr>
          <w:rFonts w:ascii="GHEA Grapalat" w:hAnsi="GHEA Grapalat"/>
          <w:sz w:val="22"/>
          <w:szCs w:val="22"/>
        </w:rPr>
        <w:t>2022 թվականին պետական բյուջեի փաստացի եկամուտները կազմել են շուրջ 2,063.1 մլրդ դրամ` ապահովելով Օրենքով հաստատված տարեկան ծրագրի 105.9%</w:t>
      </w:r>
      <w:r w:rsidRPr="001F63BA">
        <w:rPr>
          <w:rFonts w:ascii="GHEA Grapalat" w:hAnsi="GHEA Grapalat"/>
          <w:sz w:val="22"/>
          <w:szCs w:val="22"/>
          <w:lang w:val="en-US"/>
        </w:rPr>
        <w:t xml:space="preserve"> </w:t>
      </w:r>
      <w:r w:rsidRPr="001F63BA">
        <w:rPr>
          <w:rFonts w:ascii="GHEA Grapalat" w:hAnsi="GHEA Grapalat"/>
          <w:sz w:val="22"/>
          <w:szCs w:val="22"/>
        </w:rPr>
        <w:t xml:space="preserve">կատարողական, իսկ </w:t>
      </w:r>
      <w:r w:rsidR="00FF639B" w:rsidRPr="001F63BA">
        <w:rPr>
          <w:rFonts w:ascii="GHEA Grapalat" w:hAnsi="GHEA Grapalat"/>
          <w:sz w:val="22"/>
          <w:szCs w:val="22"/>
        </w:rPr>
        <w:t>Կառավարությ</w:t>
      </w:r>
      <w:r w:rsidRPr="001F63BA">
        <w:rPr>
          <w:rFonts w:ascii="GHEA Grapalat" w:hAnsi="GHEA Grapalat"/>
          <w:sz w:val="22"/>
          <w:szCs w:val="22"/>
        </w:rPr>
        <w:t>ան կողմից ճշտված ծրագրի</w:t>
      </w:r>
      <w:r w:rsidRPr="001F63BA">
        <w:rPr>
          <w:rFonts w:ascii="GHEA Grapalat" w:hAnsi="GHEA Grapalat"/>
          <w:sz w:val="22"/>
          <w:szCs w:val="22"/>
          <w:lang w:val="en-US"/>
        </w:rPr>
        <w:t>՝</w:t>
      </w:r>
      <w:r w:rsidRPr="001F63BA">
        <w:rPr>
          <w:rFonts w:ascii="GHEA Grapalat" w:hAnsi="GHEA Grapalat"/>
          <w:sz w:val="22"/>
          <w:szCs w:val="22"/>
        </w:rPr>
        <w:t xml:space="preserve"> 100.2% կատարողական:</w:t>
      </w:r>
      <w:r w:rsidRPr="001F63BA">
        <w:rPr>
          <w:rFonts w:ascii="GHEA Grapalat" w:hAnsi="GHEA Grapalat"/>
          <w:sz w:val="22"/>
          <w:szCs w:val="22"/>
          <w:lang w:val="en-US"/>
        </w:rPr>
        <w:t xml:space="preserve"> </w:t>
      </w:r>
      <w:r w:rsidRPr="001F63BA">
        <w:rPr>
          <w:rFonts w:ascii="GHEA Grapalat" w:hAnsi="GHEA Grapalat" w:cs="GHEA Grapalat"/>
          <w:sz w:val="22"/>
          <w:szCs w:val="22"/>
        </w:rPr>
        <w:t>Նշված գումարից</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2,048.1</w:t>
      </w:r>
      <w:r w:rsidRPr="001F63BA">
        <w:rPr>
          <w:rFonts w:ascii="Courier New" w:hAnsi="Courier New" w:cs="Courier New"/>
          <w:sz w:val="22"/>
          <w:szCs w:val="22"/>
        </w:rPr>
        <w:t> </w:t>
      </w:r>
      <w:r w:rsidRPr="001F63BA">
        <w:rPr>
          <w:rFonts w:ascii="GHEA Grapalat" w:hAnsi="GHEA Grapalat" w:cs="GHEA Grapalat"/>
          <w:sz w:val="22"/>
          <w:szCs w:val="22"/>
        </w:rPr>
        <w:t xml:space="preserve">մլրդ դրամը կազմել են ներքին աղբյուրներից ստացված եկամուտները` ապահովելով </w:t>
      </w:r>
      <w:r w:rsidRPr="001F63BA">
        <w:rPr>
          <w:rFonts w:ascii="GHEA Grapalat" w:hAnsi="GHEA Grapalat" w:cs="GHEA Grapalat"/>
          <w:sz w:val="22"/>
          <w:szCs w:val="22"/>
          <w:lang w:val="en-US"/>
        </w:rPr>
        <w:t xml:space="preserve">սկզբնական </w:t>
      </w:r>
      <w:r w:rsidRPr="001F63BA">
        <w:rPr>
          <w:rFonts w:ascii="GHEA Grapalat" w:hAnsi="GHEA Grapalat" w:cs="GHEA Grapalat"/>
          <w:sz w:val="22"/>
          <w:szCs w:val="22"/>
        </w:rPr>
        <w:t>ծրագրի 10</w:t>
      </w:r>
      <w:r w:rsidRPr="001F63BA">
        <w:rPr>
          <w:rFonts w:ascii="GHEA Grapalat" w:hAnsi="GHEA Grapalat" w:cs="GHEA Grapalat"/>
          <w:sz w:val="22"/>
          <w:szCs w:val="22"/>
          <w:lang w:val="en-US"/>
        </w:rPr>
        <w:t>7</w:t>
      </w:r>
      <w:r w:rsidRPr="001F63BA">
        <w:rPr>
          <w:rFonts w:ascii="GHEA Grapalat" w:hAnsi="GHEA Grapalat" w:cs="GHEA Grapalat"/>
          <w:sz w:val="22"/>
          <w:szCs w:val="22"/>
        </w:rPr>
        <w:t>.5%</w:t>
      </w:r>
      <w:r w:rsidRPr="001F63BA">
        <w:rPr>
          <w:rFonts w:ascii="GHEA Grapalat" w:hAnsi="GHEA Grapalat" w:cs="GHEA Grapalat"/>
          <w:sz w:val="22"/>
          <w:szCs w:val="22"/>
        </w:rPr>
        <w:noBreakHyphen/>
        <w:t>ը</w:t>
      </w:r>
      <w:r w:rsidRPr="001F63BA">
        <w:rPr>
          <w:rFonts w:ascii="GHEA Grapalat" w:hAnsi="GHEA Grapalat" w:cs="GHEA Grapalat"/>
          <w:sz w:val="22"/>
          <w:szCs w:val="22"/>
          <w:lang w:val="en-US"/>
        </w:rPr>
        <w:t xml:space="preserve"> և</w:t>
      </w:r>
      <w:r w:rsidRPr="001F63BA">
        <w:rPr>
          <w:rFonts w:ascii="GHEA Grapalat" w:hAnsi="GHEA Grapalat"/>
          <w:sz w:val="22"/>
          <w:szCs w:val="22"/>
          <w:lang w:val="en-US"/>
        </w:rPr>
        <w:t xml:space="preserve"> ճշտվ</w:t>
      </w:r>
      <w:r w:rsidRPr="001F63BA">
        <w:rPr>
          <w:rFonts w:ascii="GHEA Grapalat" w:hAnsi="GHEA Grapalat"/>
          <w:sz w:val="22"/>
          <w:szCs w:val="22"/>
        </w:rPr>
        <w:t>ած ծրագր</w:t>
      </w:r>
      <w:r w:rsidRPr="001F63BA">
        <w:rPr>
          <w:rFonts w:ascii="GHEA Grapalat" w:hAnsi="GHEA Grapalat"/>
          <w:sz w:val="22"/>
          <w:szCs w:val="22"/>
          <w:lang w:val="en-US"/>
        </w:rPr>
        <w:t>ի</w:t>
      </w:r>
      <w:r w:rsidRPr="001F63BA">
        <w:rPr>
          <w:rFonts w:ascii="GHEA Grapalat" w:hAnsi="GHEA Grapalat"/>
          <w:sz w:val="22"/>
          <w:szCs w:val="22"/>
        </w:rPr>
        <w:t xml:space="preserve"> </w:t>
      </w:r>
      <w:r w:rsidRPr="001F63BA">
        <w:rPr>
          <w:rFonts w:ascii="GHEA Grapalat" w:hAnsi="GHEA Grapalat" w:cs="GHEA Grapalat"/>
          <w:sz w:val="22"/>
          <w:szCs w:val="22"/>
        </w:rPr>
        <w:t>100.5%</w:t>
      </w:r>
      <w:r w:rsidRPr="001F63BA">
        <w:rPr>
          <w:rFonts w:ascii="GHEA Grapalat" w:hAnsi="GHEA Grapalat" w:cs="GHEA Grapalat"/>
          <w:sz w:val="22"/>
          <w:szCs w:val="22"/>
        </w:rPr>
        <w:noBreakHyphen/>
        <w:t>ը, շուրջ 15 մլրդ դրամը ստացվել է պաշտոնական դրամաշնորհների տեսքով, որոնք 6</w:t>
      </w:r>
      <w:r w:rsidRPr="001F63BA">
        <w:rPr>
          <w:rFonts w:ascii="GHEA Grapalat" w:hAnsi="GHEA Grapalat" w:cs="GHEA Grapalat"/>
          <w:sz w:val="22"/>
          <w:szCs w:val="22"/>
          <w:lang w:val="en-US"/>
        </w:rPr>
        <w:t>4.1</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ով զիջել են </w:t>
      </w:r>
      <w:r w:rsidRPr="001F63BA">
        <w:rPr>
          <w:rFonts w:ascii="GHEA Grapalat" w:hAnsi="GHEA Grapalat" w:cs="GHEA Grapalat"/>
          <w:sz w:val="22"/>
          <w:szCs w:val="22"/>
          <w:lang w:val="en-US"/>
        </w:rPr>
        <w:t xml:space="preserve">սկզբնական </w:t>
      </w:r>
      <w:r w:rsidRPr="001F63BA">
        <w:rPr>
          <w:rFonts w:ascii="GHEA Grapalat" w:hAnsi="GHEA Grapalat" w:cs="GHEA Grapalat"/>
          <w:sz w:val="22"/>
          <w:szCs w:val="22"/>
        </w:rPr>
        <w:t>ծրագր</w:t>
      </w:r>
      <w:r w:rsidRPr="001F63BA">
        <w:rPr>
          <w:rFonts w:ascii="GHEA Grapalat" w:hAnsi="GHEA Grapalat" w:cs="GHEA Grapalat"/>
          <w:sz w:val="22"/>
          <w:szCs w:val="22"/>
          <w:lang w:val="en-US"/>
        </w:rPr>
        <w:t xml:space="preserve">ային </w:t>
      </w:r>
      <w:r w:rsidRPr="001F63BA">
        <w:rPr>
          <w:rFonts w:ascii="GHEA Grapalat" w:hAnsi="GHEA Grapalat" w:cs="GHEA Grapalat"/>
          <w:sz w:val="22"/>
          <w:szCs w:val="22"/>
        </w:rPr>
        <w:t>ցուցանիշը</w:t>
      </w:r>
      <w:r w:rsidRPr="001F63BA">
        <w:rPr>
          <w:rFonts w:ascii="GHEA Grapalat" w:hAnsi="GHEA Grapalat" w:cs="GHEA Grapalat"/>
          <w:sz w:val="22"/>
          <w:szCs w:val="22"/>
          <w:lang w:val="en-US"/>
        </w:rPr>
        <w:t xml:space="preserve"> և </w:t>
      </w:r>
      <w:r w:rsidRPr="001F63BA">
        <w:rPr>
          <w:rFonts w:ascii="GHEA Grapalat" w:hAnsi="GHEA Grapalat" w:cs="GHEA Grapalat"/>
          <w:sz w:val="22"/>
          <w:szCs w:val="22"/>
        </w:rPr>
        <w:t>24.6%</w:t>
      </w:r>
      <w:r w:rsidRPr="001F63BA">
        <w:rPr>
          <w:rFonts w:ascii="GHEA Grapalat" w:hAnsi="GHEA Grapalat" w:cs="GHEA Grapalat"/>
          <w:sz w:val="22"/>
          <w:szCs w:val="22"/>
        </w:rPr>
        <w:noBreakHyphen/>
        <w:t>ով</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w:t>
      </w:r>
      <w:r w:rsidRPr="001F63BA">
        <w:rPr>
          <w:rFonts w:ascii="GHEA Grapalat" w:hAnsi="GHEA Grapalat"/>
          <w:sz w:val="22"/>
          <w:szCs w:val="22"/>
          <w:lang w:val="en-US"/>
        </w:rPr>
        <w:t>ճշտվ</w:t>
      </w:r>
      <w:r w:rsidRPr="001F63BA">
        <w:rPr>
          <w:rFonts w:ascii="GHEA Grapalat" w:hAnsi="GHEA Grapalat"/>
          <w:sz w:val="22"/>
          <w:szCs w:val="22"/>
        </w:rPr>
        <w:t>ած</w:t>
      </w:r>
      <w:r w:rsidRPr="001F63BA">
        <w:rPr>
          <w:rFonts w:ascii="GHEA Grapalat" w:hAnsi="GHEA Grapalat" w:cs="GHEA Grapalat"/>
          <w:sz w:val="22"/>
          <w:szCs w:val="22"/>
        </w:rPr>
        <w:t xml:space="preserve"> ծրագր</w:t>
      </w:r>
      <w:r w:rsidRPr="001F63BA">
        <w:rPr>
          <w:rFonts w:ascii="GHEA Grapalat" w:hAnsi="GHEA Grapalat" w:cs="GHEA Grapalat"/>
          <w:sz w:val="22"/>
          <w:szCs w:val="22"/>
          <w:lang w:val="en-US"/>
        </w:rPr>
        <w:t xml:space="preserve">ային </w:t>
      </w:r>
      <w:r w:rsidRPr="001F63BA">
        <w:rPr>
          <w:rFonts w:ascii="GHEA Grapalat" w:hAnsi="GHEA Grapalat" w:cs="GHEA Grapalat"/>
          <w:sz w:val="22"/>
          <w:szCs w:val="22"/>
        </w:rPr>
        <w:t>ցուցանիշը:</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2021 թվականի համեմատ պետական բյուջեի եկամուտներն աճել են 22.5%</w:t>
      </w:r>
      <w:r w:rsidRPr="001F63BA">
        <w:rPr>
          <w:rFonts w:ascii="GHEA Grapalat" w:hAnsi="GHEA Grapalat" w:cs="GHEA Grapalat"/>
          <w:sz w:val="22"/>
          <w:szCs w:val="22"/>
        </w:rPr>
        <w:noBreakHyphen/>
        <w:t>ով կամ 379.3 մլրդ դրամով, որը հիմնականում պայմանավորված է հարկային եկամուտների և պետական տուրքերի աճով:</w:t>
      </w:r>
    </w:p>
    <w:p w:rsidR="001C411D" w:rsidRPr="001F63BA" w:rsidRDefault="001C411D" w:rsidP="002F7E29">
      <w:pPr>
        <w:spacing w:line="360" w:lineRule="auto"/>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709"/>
          <w:tab w:val="left" w:pos="1134"/>
        </w:tabs>
        <w:ind w:left="0" w:firstLine="0"/>
        <w:jc w:val="left"/>
        <w:rPr>
          <w:rFonts w:ascii="GHEA Grapalat" w:hAnsi="GHEA Grapalat"/>
          <w:bCs w:val="0"/>
          <w:i/>
          <w:sz w:val="18"/>
          <w:szCs w:val="18"/>
        </w:rPr>
      </w:pPr>
      <w:r w:rsidRPr="001F63BA">
        <w:rPr>
          <w:rFonts w:ascii="GHEA Grapalat" w:hAnsi="GHEA Grapalat"/>
          <w:bCs w:val="0"/>
          <w:i/>
          <w:sz w:val="18"/>
          <w:szCs w:val="18"/>
        </w:rPr>
        <w:t xml:space="preserve">ՀՀ պետական բյուջեի </w:t>
      </w:r>
      <w:r w:rsidRPr="001F63BA">
        <w:rPr>
          <w:rFonts w:ascii="GHEA Grapalat" w:hAnsi="GHEA Grapalat"/>
          <w:i/>
          <w:sz w:val="18"/>
          <w:szCs w:val="18"/>
          <w:lang w:val="hy-AM"/>
        </w:rPr>
        <w:t>եկամուտները</w:t>
      </w:r>
      <w:r w:rsidRPr="001F63BA">
        <w:rPr>
          <w:rFonts w:ascii="GHEA Grapalat" w:hAnsi="GHEA Grapalat"/>
          <w:bCs w:val="0"/>
          <w:i/>
          <w:sz w:val="18"/>
          <w:szCs w:val="18"/>
        </w:rPr>
        <w:t xml:space="preserve"> (մլրդ դրամ) </w:t>
      </w:r>
    </w:p>
    <w:tbl>
      <w:tblPr>
        <w:tblW w:w="10200" w:type="dxa"/>
        <w:tblInd w:w="108" w:type="dxa"/>
        <w:tblLayout w:type="fixed"/>
        <w:tblLook w:val="00A0" w:firstRow="1" w:lastRow="0" w:firstColumn="1" w:lastColumn="0" w:noHBand="0" w:noVBand="0"/>
      </w:tblPr>
      <w:tblGrid>
        <w:gridCol w:w="3118"/>
        <w:gridCol w:w="1130"/>
        <w:gridCol w:w="1154"/>
        <w:gridCol w:w="1134"/>
        <w:gridCol w:w="1259"/>
        <w:gridCol w:w="1259"/>
        <w:gridCol w:w="1146"/>
      </w:tblGrid>
      <w:tr w:rsidR="001C411D" w:rsidRPr="001F63BA" w:rsidTr="002F7E29">
        <w:trPr>
          <w:trHeight w:val="855"/>
        </w:trPr>
        <w:tc>
          <w:tcPr>
            <w:tcW w:w="3118"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2F7E29">
            <w:pPr>
              <w:rPr>
                <w:rFonts w:ascii="GHEA Grapalat" w:hAnsi="GHEA Grapalat" w:cs="Calibri"/>
                <w:sz w:val="18"/>
                <w:szCs w:val="18"/>
              </w:rPr>
            </w:pPr>
            <w:r w:rsidRPr="001F63BA">
              <w:rPr>
                <w:rFonts w:ascii="Courier New" w:hAnsi="Courier New" w:cs="Courier New"/>
                <w:sz w:val="18"/>
                <w:szCs w:val="18"/>
              </w:rPr>
              <w:t> </w:t>
            </w:r>
          </w:p>
        </w:tc>
        <w:tc>
          <w:tcPr>
            <w:tcW w:w="1130" w:type="dxa"/>
            <w:tcBorders>
              <w:top w:val="single" w:sz="4" w:space="0" w:color="auto"/>
              <w:left w:val="nil"/>
              <w:bottom w:val="single" w:sz="4" w:space="0" w:color="auto"/>
              <w:right w:val="single" w:sz="4" w:space="0" w:color="auto"/>
            </w:tcBorders>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154"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ճշտված պլան</w:t>
            </w:r>
          </w:p>
        </w:tc>
        <w:tc>
          <w:tcPr>
            <w:tcW w:w="1134"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259"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59"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-ի</w:t>
            </w:r>
            <w:r w:rsidRPr="001F63BA">
              <w:rPr>
                <w:rFonts w:ascii="GHEA Grapalat" w:hAnsi="GHEA Grapalat" w:cs="Calibri"/>
                <w:b/>
                <w:bCs/>
                <w:sz w:val="18"/>
                <w:szCs w:val="18"/>
              </w:rPr>
              <w:t xml:space="preserve">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146"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7B4107">
        <w:trPr>
          <w:trHeight w:val="293"/>
        </w:trPr>
        <w:tc>
          <w:tcPr>
            <w:tcW w:w="3118" w:type="dxa"/>
            <w:tcBorders>
              <w:top w:val="nil"/>
              <w:left w:val="single" w:sz="4" w:space="0" w:color="auto"/>
              <w:bottom w:val="single" w:sz="4" w:space="0" w:color="auto"/>
              <w:right w:val="single" w:sz="4" w:space="0" w:color="auto"/>
            </w:tcBorders>
            <w:vAlign w:val="bottom"/>
          </w:tcPr>
          <w:p w:rsidR="001C411D" w:rsidRPr="001F63BA" w:rsidRDefault="001C411D" w:rsidP="007B4107">
            <w:pPr>
              <w:rPr>
                <w:rFonts w:ascii="GHEA Grapalat" w:hAnsi="GHEA Grapalat" w:cs="Arial"/>
                <w:b/>
                <w:sz w:val="18"/>
                <w:szCs w:val="18"/>
              </w:rPr>
            </w:pPr>
            <w:r w:rsidRPr="001F63BA">
              <w:rPr>
                <w:rFonts w:ascii="GHEA Grapalat" w:hAnsi="GHEA Grapalat" w:cs="Calibri"/>
                <w:b/>
                <w:sz w:val="18"/>
                <w:szCs w:val="18"/>
              </w:rPr>
              <w:t>Պետական բյուջեի եկամուտներ</w:t>
            </w:r>
          </w:p>
        </w:tc>
        <w:tc>
          <w:tcPr>
            <w:tcW w:w="1130"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F6771">
            <w:pPr>
              <w:jc w:val="right"/>
              <w:rPr>
                <w:rFonts w:ascii="GHEA Grapalat" w:hAnsi="GHEA Grapalat" w:cs="Calibri"/>
                <w:b/>
                <w:sz w:val="18"/>
                <w:szCs w:val="18"/>
                <w:lang w:val="en-US"/>
              </w:rPr>
            </w:pPr>
            <w:r w:rsidRPr="001F63BA">
              <w:rPr>
                <w:rFonts w:ascii="GHEA Grapalat" w:hAnsi="GHEA Grapalat" w:cs="Calibri"/>
                <w:b/>
                <w:sz w:val="18"/>
                <w:szCs w:val="18"/>
              </w:rPr>
              <w:t>1,683.8</w:t>
            </w:r>
          </w:p>
        </w:tc>
        <w:tc>
          <w:tcPr>
            <w:tcW w:w="115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b/>
                <w:sz w:val="18"/>
                <w:szCs w:val="18"/>
                <w:lang w:val="en-US"/>
              </w:rPr>
            </w:pPr>
            <w:r w:rsidRPr="001F63BA">
              <w:rPr>
                <w:rFonts w:ascii="GHEA Grapalat" w:hAnsi="GHEA Grapalat" w:cs="Calibri"/>
                <w:b/>
                <w:sz w:val="18"/>
                <w:szCs w:val="18"/>
              </w:rPr>
              <w:t>2,058.2</w:t>
            </w:r>
          </w:p>
        </w:tc>
        <w:tc>
          <w:tcPr>
            <w:tcW w:w="113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b/>
                <w:sz w:val="18"/>
                <w:szCs w:val="18"/>
                <w:lang w:val="en-US"/>
              </w:rPr>
            </w:pPr>
            <w:r w:rsidRPr="001F63BA">
              <w:rPr>
                <w:rFonts w:ascii="GHEA Grapalat" w:hAnsi="GHEA Grapalat" w:cs="Calibri"/>
                <w:b/>
                <w:sz w:val="18"/>
                <w:szCs w:val="18"/>
              </w:rPr>
              <w:t>2,063.1</w:t>
            </w:r>
          </w:p>
        </w:tc>
        <w:tc>
          <w:tcPr>
            <w:tcW w:w="1259"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b/>
                <w:sz w:val="18"/>
                <w:szCs w:val="18"/>
                <w:lang w:val="en-US"/>
              </w:rPr>
            </w:pPr>
            <w:r w:rsidRPr="001F63BA">
              <w:rPr>
                <w:rFonts w:ascii="GHEA Grapalat" w:hAnsi="GHEA Grapalat" w:cs="Calibri"/>
                <w:b/>
                <w:sz w:val="18"/>
                <w:szCs w:val="18"/>
              </w:rPr>
              <w:t>100.2</w:t>
            </w:r>
          </w:p>
        </w:tc>
        <w:tc>
          <w:tcPr>
            <w:tcW w:w="1259" w:type="dxa"/>
            <w:tcBorders>
              <w:top w:val="nil"/>
              <w:left w:val="nil"/>
              <w:bottom w:val="single" w:sz="4" w:space="0" w:color="auto"/>
              <w:right w:val="single" w:sz="4" w:space="0" w:color="auto"/>
            </w:tcBorders>
            <w:vAlign w:val="bottom"/>
          </w:tcPr>
          <w:p w:rsidR="001C411D" w:rsidRPr="001F63BA" w:rsidRDefault="001C411D" w:rsidP="00E540CC">
            <w:pPr>
              <w:jc w:val="right"/>
              <w:rPr>
                <w:rFonts w:ascii="GHEA Grapalat" w:hAnsi="GHEA Grapalat" w:cs="Calibri"/>
                <w:b/>
                <w:sz w:val="18"/>
                <w:szCs w:val="18"/>
                <w:lang w:val="en-US"/>
              </w:rPr>
            </w:pPr>
            <w:r w:rsidRPr="001F63BA">
              <w:rPr>
                <w:rFonts w:ascii="GHEA Grapalat" w:hAnsi="GHEA Grapalat" w:cs="Calibri"/>
                <w:b/>
                <w:sz w:val="18"/>
                <w:szCs w:val="18"/>
              </w:rPr>
              <w:t>122.5</w:t>
            </w:r>
          </w:p>
        </w:tc>
        <w:tc>
          <w:tcPr>
            <w:tcW w:w="1146"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b/>
                <w:sz w:val="18"/>
                <w:szCs w:val="18"/>
                <w:lang w:val="en-US"/>
              </w:rPr>
            </w:pPr>
            <w:r w:rsidRPr="001F63BA">
              <w:rPr>
                <w:rFonts w:ascii="GHEA Grapalat" w:hAnsi="GHEA Grapalat" w:cs="Calibri"/>
                <w:b/>
                <w:sz w:val="18"/>
                <w:szCs w:val="18"/>
              </w:rPr>
              <w:t>379.3</w:t>
            </w:r>
          </w:p>
        </w:tc>
      </w:tr>
      <w:tr w:rsidR="001C411D" w:rsidRPr="001F63BA" w:rsidTr="007B4107">
        <w:trPr>
          <w:trHeight w:val="293"/>
        </w:trPr>
        <w:tc>
          <w:tcPr>
            <w:tcW w:w="3118" w:type="dxa"/>
            <w:tcBorders>
              <w:top w:val="nil"/>
              <w:left w:val="single" w:sz="4" w:space="0" w:color="auto"/>
              <w:bottom w:val="single" w:sz="4" w:space="0" w:color="auto"/>
              <w:right w:val="single" w:sz="4" w:space="0" w:color="auto"/>
            </w:tcBorders>
            <w:noWrap/>
            <w:vAlign w:val="bottom"/>
          </w:tcPr>
          <w:p w:rsidR="001C411D" w:rsidRPr="001F63BA" w:rsidRDefault="001C411D" w:rsidP="007B4107">
            <w:pPr>
              <w:rPr>
                <w:rFonts w:ascii="GHEA Grapalat" w:hAnsi="GHEA Grapalat" w:cs="Arial"/>
                <w:sz w:val="18"/>
                <w:szCs w:val="18"/>
              </w:rPr>
            </w:pPr>
            <w:r w:rsidRPr="001F63BA">
              <w:rPr>
                <w:rFonts w:ascii="GHEA Grapalat" w:hAnsi="GHEA Grapalat" w:cs="Arial"/>
                <w:sz w:val="18"/>
                <w:szCs w:val="18"/>
              </w:rPr>
              <w:t>Հարկային եկամուտներ և պետական տուրքեր</w:t>
            </w:r>
          </w:p>
        </w:tc>
        <w:tc>
          <w:tcPr>
            <w:tcW w:w="1130" w:type="dxa"/>
            <w:tcBorders>
              <w:top w:val="nil"/>
              <w:left w:val="single" w:sz="4" w:space="0" w:color="auto"/>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1,586.9</w:t>
            </w:r>
          </w:p>
        </w:tc>
        <w:tc>
          <w:tcPr>
            <w:tcW w:w="115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1,925.0</w:t>
            </w:r>
          </w:p>
        </w:tc>
        <w:tc>
          <w:tcPr>
            <w:tcW w:w="113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1,926.0</w:t>
            </w:r>
          </w:p>
        </w:tc>
        <w:tc>
          <w:tcPr>
            <w:tcW w:w="1259"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100.0</w:t>
            </w:r>
          </w:p>
        </w:tc>
        <w:tc>
          <w:tcPr>
            <w:tcW w:w="1259" w:type="dxa"/>
            <w:tcBorders>
              <w:top w:val="nil"/>
              <w:left w:val="nil"/>
              <w:bottom w:val="single" w:sz="4" w:space="0" w:color="auto"/>
              <w:right w:val="single" w:sz="4" w:space="0" w:color="auto"/>
            </w:tcBorders>
            <w:vAlign w:val="bottom"/>
          </w:tcPr>
          <w:p w:rsidR="001C411D" w:rsidRPr="001F63BA" w:rsidRDefault="001C411D" w:rsidP="00E540CC">
            <w:pPr>
              <w:jc w:val="right"/>
              <w:rPr>
                <w:rFonts w:ascii="GHEA Grapalat" w:hAnsi="GHEA Grapalat" w:cs="Calibri"/>
                <w:sz w:val="18"/>
                <w:szCs w:val="18"/>
                <w:lang w:val="en-US"/>
              </w:rPr>
            </w:pPr>
            <w:r w:rsidRPr="001F63BA">
              <w:rPr>
                <w:rFonts w:ascii="GHEA Grapalat" w:hAnsi="GHEA Grapalat" w:cs="Calibri"/>
                <w:sz w:val="18"/>
                <w:szCs w:val="18"/>
              </w:rPr>
              <w:t>121.4</w:t>
            </w:r>
          </w:p>
        </w:tc>
        <w:tc>
          <w:tcPr>
            <w:tcW w:w="1146"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339.1</w:t>
            </w:r>
          </w:p>
        </w:tc>
      </w:tr>
      <w:tr w:rsidR="001C411D" w:rsidRPr="001F63BA" w:rsidTr="007B4107">
        <w:trPr>
          <w:trHeight w:val="300"/>
        </w:trPr>
        <w:tc>
          <w:tcPr>
            <w:tcW w:w="3118" w:type="dxa"/>
            <w:tcBorders>
              <w:top w:val="nil"/>
              <w:left w:val="single" w:sz="4" w:space="0" w:color="auto"/>
              <w:bottom w:val="single" w:sz="4" w:space="0" w:color="auto"/>
              <w:right w:val="single" w:sz="4" w:space="0" w:color="auto"/>
            </w:tcBorders>
            <w:noWrap/>
            <w:vAlign w:val="bottom"/>
          </w:tcPr>
          <w:p w:rsidR="001C411D" w:rsidRPr="001F63BA" w:rsidRDefault="001C411D" w:rsidP="007B4107">
            <w:pPr>
              <w:rPr>
                <w:rFonts w:ascii="GHEA Grapalat" w:hAnsi="GHEA Grapalat" w:cs="Arial"/>
                <w:sz w:val="18"/>
                <w:szCs w:val="18"/>
              </w:rPr>
            </w:pPr>
            <w:r w:rsidRPr="001F63BA">
              <w:rPr>
                <w:rFonts w:ascii="GHEA Grapalat" w:hAnsi="GHEA Grapalat" w:cs="Arial"/>
                <w:sz w:val="18"/>
                <w:szCs w:val="18"/>
              </w:rPr>
              <w:t>Պաշտոնական դրամաշնորհներ</w:t>
            </w:r>
          </w:p>
        </w:tc>
        <w:tc>
          <w:tcPr>
            <w:tcW w:w="1130" w:type="dxa"/>
            <w:tcBorders>
              <w:top w:val="nil"/>
              <w:left w:val="single" w:sz="4" w:space="0" w:color="auto"/>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12.4</w:t>
            </w:r>
          </w:p>
        </w:tc>
        <w:tc>
          <w:tcPr>
            <w:tcW w:w="115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19.9</w:t>
            </w:r>
          </w:p>
        </w:tc>
        <w:tc>
          <w:tcPr>
            <w:tcW w:w="113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15.0</w:t>
            </w:r>
          </w:p>
        </w:tc>
        <w:tc>
          <w:tcPr>
            <w:tcW w:w="1259" w:type="dxa"/>
            <w:tcBorders>
              <w:top w:val="nil"/>
              <w:left w:val="nil"/>
              <w:bottom w:val="single" w:sz="4" w:space="0" w:color="auto"/>
              <w:right w:val="single" w:sz="4" w:space="0" w:color="auto"/>
            </w:tcBorders>
            <w:vAlign w:val="bottom"/>
          </w:tcPr>
          <w:p w:rsidR="001C411D" w:rsidRPr="001F63BA" w:rsidRDefault="001C411D" w:rsidP="00E540CC">
            <w:pPr>
              <w:jc w:val="right"/>
              <w:rPr>
                <w:rFonts w:ascii="GHEA Grapalat" w:hAnsi="GHEA Grapalat" w:cs="Calibri"/>
                <w:sz w:val="18"/>
                <w:szCs w:val="18"/>
                <w:lang w:val="en-US"/>
              </w:rPr>
            </w:pPr>
            <w:r w:rsidRPr="001F63BA">
              <w:rPr>
                <w:rFonts w:ascii="GHEA Grapalat" w:hAnsi="GHEA Grapalat" w:cs="Calibri"/>
                <w:sz w:val="18"/>
                <w:szCs w:val="18"/>
              </w:rPr>
              <w:t>75.4</w:t>
            </w:r>
          </w:p>
        </w:tc>
        <w:tc>
          <w:tcPr>
            <w:tcW w:w="1259"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121.1</w:t>
            </w:r>
          </w:p>
        </w:tc>
        <w:tc>
          <w:tcPr>
            <w:tcW w:w="1146"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2.6</w:t>
            </w:r>
          </w:p>
        </w:tc>
      </w:tr>
      <w:tr w:rsidR="001C411D" w:rsidRPr="001F63BA" w:rsidTr="007B4107">
        <w:trPr>
          <w:trHeight w:val="167"/>
        </w:trPr>
        <w:tc>
          <w:tcPr>
            <w:tcW w:w="3118" w:type="dxa"/>
            <w:tcBorders>
              <w:top w:val="nil"/>
              <w:left w:val="single" w:sz="4" w:space="0" w:color="auto"/>
              <w:bottom w:val="single" w:sz="4" w:space="0" w:color="auto"/>
              <w:right w:val="single" w:sz="4" w:space="0" w:color="auto"/>
            </w:tcBorders>
            <w:noWrap/>
            <w:vAlign w:val="bottom"/>
          </w:tcPr>
          <w:p w:rsidR="001C411D" w:rsidRPr="001F63BA" w:rsidRDefault="001C411D" w:rsidP="007B4107">
            <w:pPr>
              <w:rPr>
                <w:rFonts w:ascii="GHEA Grapalat" w:hAnsi="GHEA Grapalat" w:cs="Arial"/>
                <w:sz w:val="18"/>
                <w:szCs w:val="18"/>
              </w:rPr>
            </w:pPr>
            <w:r w:rsidRPr="001F63BA">
              <w:rPr>
                <w:rFonts w:ascii="GHEA Grapalat" w:hAnsi="GHEA Grapalat" w:cs="Arial"/>
                <w:sz w:val="18"/>
                <w:szCs w:val="18"/>
              </w:rPr>
              <w:t>Այլ եկամուտներ</w:t>
            </w:r>
          </w:p>
        </w:tc>
        <w:tc>
          <w:tcPr>
            <w:tcW w:w="1130" w:type="dxa"/>
            <w:tcBorders>
              <w:top w:val="nil"/>
              <w:left w:val="single" w:sz="4" w:space="0" w:color="auto"/>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84.6</w:t>
            </w:r>
          </w:p>
        </w:tc>
        <w:tc>
          <w:tcPr>
            <w:tcW w:w="115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113.3</w:t>
            </w:r>
          </w:p>
        </w:tc>
        <w:tc>
          <w:tcPr>
            <w:tcW w:w="1134" w:type="dxa"/>
            <w:tcBorders>
              <w:top w:val="nil"/>
              <w:left w:val="nil"/>
              <w:bottom w:val="single" w:sz="4" w:space="0" w:color="auto"/>
              <w:right w:val="single" w:sz="4" w:space="0" w:color="auto"/>
            </w:tcBorders>
            <w:noWrap/>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122.1</w:t>
            </w:r>
          </w:p>
        </w:tc>
        <w:tc>
          <w:tcPr>
            <w:tcW w:w="1259"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107.8</w:t>
            </w:r>
          </w:p>
        </w:tc>
        <w:tc>
          <w:tcPr>
            <w:tcW w:w="1259"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144.5</w:t>
            </w:r>
          </w:p>
        </w:tc>
        <w:tc>
          <w:tcPr>
            <w:tcW w:w="1146" w:type="dxa"/>
            <w:tcBorders>
              <w:top w:val="nil"/>
              <w:left w:val="nil"/>
              <w:bottom w:val="single" w:sz="4" w:space="0" w:color="auto"/>
              <w:right w:val="single" w:sz="4" w:space="0" w:color="auto"/>
            </w:tcBorders>
            <w:vAlign w:val="bottom"/>
          </w:tcPr>
          <w:p w:rsidR="001C411D" w:rsidRPr="001F63BA" w:rsidRDefault="001C411D" w:rsidP="007B4107">
            <w:pPr>
              <w:jc w:val="right"/>
              <w:rPr>
                <w:rFonts w:ascii="GHEA Grapalat" w:hAnsi="GHEA Grapalat" w:cs="Calibri"/>
                <w:sz w:val="18"/>
                <w:szCs w:val="18"/>
                <w:lang w:val="en-US"/>
              </w:rPr>
            </w:pPr>
            <w:r w:rsidRPr="001F63BA">
              <w:rPr>
                <w:rFonts w:ascii="GHEA Grapalat" w:hAnsi="GHEA Grapalat" w:cs="Calibri"/>
                <w:sz w:val="18"/>
                <w:szCs w:val="18"/>
              </w:rPr>
              <w:t>37.6</w:t>
            </w:r>
          </w:p>
        </w:tc>
      </w:tr>
    </w:tbl>
    <w:p w:rsidR="001C411D" w:rsidRPr="001F63BA" w:rsidRDefault="001C411D" w:rsidP="007B7221">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D508BE">
      <w:pPr>
        <w:pStyle w:val="a"/>
      </w:pPr>
      <w:r w:rsidRPr="001F63BA">
        <w:t>ՀՀ պետական բյուջեի փաստացի եկամուտները 2020-2022թթ.</w:t>
      </w:r>
    </w:p>
    <w:p w:rsidR="001C411D" w:rsidRPr="001F63BA" w:rsidRDefault="009A358E" w:rsidP="002F7E29">
      <w:pPr>
        <w:jc w:val="center"/>
        <w:rPr>
          <w:lang w:val="de-AT"/>
        </w:rPr>
      </w:pPr>
      <w:r w:rsidRPr="001F63BA">
        <w:rPr>
          <w:lang w:val="en-US"/>
        </w:rPr>
        <w:drawing>
          <wp:inline distT="0" distB="0" distL="0" distR="0" wp14:anchorId="58AF3CDF" wp14:editId="55BF2B13">
            <wp:extent cx="5886450" cy="3819525"/>
            <wp:effectExtent l="0" t="0" r="0" b="0"/>
            <wp:docPr id="56" name="Objec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Հ</w:t>
      </w:r>
      <w:r w:rsidRPr="001F63BA">
        <w:rPr>
          <w:rFonts w:ascii="GHEA Grapalat" w:hAnsi="GHEA Grapalat" w:cs="GHEA Grapalat"/>
          <w:sz w:val="22"/>
          <w:szCs w:val="22"/>
        </w:rPr>
        <w:t>արկային եկամուտների</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պետական տուրքերի</w:t>
      </w:r>
      <w:r w:rsidRPr="001F63BA">
        <w:rPr>
          <w:rFonts w:ascii="GHEA Grapalat" w:hAnsi="GHEA Grapalat" w:cs="GHEA Grapalat"/>
          <w:sz w:val="22"/>
          <w:szCs w:val="22"/>
          <w:lang w:val="en-US"/>
        </w:rPr>
        <w:t xml:space="preserve"> և պաշտոնական դրամաշնորհների համեմատ այլ եկամուտների առաջանցիկ աճի</w:t>
      </w:r>
      <w:r w:rsidRPr="001F63BA">
        <w:rPr>
          <w:rFonts w:ascii="GHEA Grapalat" w:hAnsi="GHEA Grapalat" w:cs="GHEA Grapalat"/>
          <w:sz w:val="22"/>
          <w:szCs w:val="22"/>
        </w:rPr>
        <w:t xml:space="preserve"> արդյունքում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պետական բյուջեի եկամուտներում 202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թվականի համեմատ </w:t>
      </w:r>
      <w:r w:rsidRPr="001F63BA">
        <w:rPr>
          <w:rFonts w:ascii="GHEA Grapalat" w:hAnsi="GHEA Grapalat" w:cs="GHEA Grapalat"/>
          <w:sz w:val="22"/>
          <w:szCs w:val="22"/>
          <w:lang w:val="en-US"/>
        </w:rPr>
        <w:t>0.9</w:t>
      </w:r>
      <w:r w:rsidRPr="001F63BA">
        <w:rPr>
          <w:rFonts w:ascii="GHEA Grapalat" w:hAnsi="GHEA Grapalat" w:cs="GHEA Grapalat"/>
          <w:sz w:val="22"/>
          <w:szCs w:val="22"/>
        </w:rPr>
        <w:t xml:space="preserve"> տոկոսային կետով ավելացել է այլ եկամուտների տեսակարար կշիռը, հարկային եկամուտների և պետական տուրքերի տեսակարար կշիռը </w:t>
      </w:r>
      <w:r w:rsidRPr="001F63BA">
        <w:rPr>
          <w:rFonts w:ascii="GHEA Grapalat" w:hAnsi="GHEA Grapalat" w:cs="GHEA Grapalat"/>
          <w:sz w:val="22"/>
          <w:szCs w:val="22"/>
          <w:lang w:val="en-US"/>
        </w:rPr>
        <w:t xml:space="preserve">նույնքան </w:t>
      </w:r>
      <w:r w:rsidRPr="001F63BA">
        <w:rPr>
          <w:rFonts w:ascii="GHEA Grapalat" w:hAnsi="GHEA Grapalat" w:cs="GHEA Grapalat"/>
          <w:sz w:val="22"/>
          <w:szCs w:val="22"/>
        </w:rPr>
        <w:t>նվազել</w:t>
      </w:r>
      <w:r w:rsidRPr="001F63BA">
        <w:rPr>
          <w:rFonts w:ascii="GHEA Grapalat" w:hAnsi="GHEA Grapalat" w:cs="GHEA Grapalat"/>
          <w:sz w:val="22"/>
          <w:szCs w:val="22"/>
          <w:lang w:val="en-US"/>
        </w:rPr>
        <w:t xml:space="preserve"> է,</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իսկ </w:t>
      </w:r>
      <w:r w:rsidRPr="001F63BA">
        <w:rPr>
          <w:rFonts w:ascii="GHEA Grapalat" w:hAnsi="GHEA Grapalat" w:cs="GHEA Grapalat"/>
          <w:sz w:val="22"/>
          <w:szCs w:val="22"/>
        </w:rPr>
        <w:t>պաշտոնական դրամաշնորհների</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տեսակարար կշիռը</w:t>
      </w:r>
      <w:r w:rsidRPr="001F63BA">
        <w:rPr>
          <w:rFonts w:ascii="GHEA Grapalat" w:hAnsi="GHEA Grapalat" w:cs="GHEA Grapalat"/>
          <w:sz w:val="22"/>
          <w:szCs w:val="22"/>
          <w:lang w:val="en-US"/>
        </w:rPr>
        <w:t xml:space="preserve"> մնացել է անփոփոխ:</w:t>
      </w: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D508BE">
      <w:pPr>
        <w:pStyle w:val="a"/>
      </w:pPr>
      <w:r w:rsidRPr="001F63BA">
        <w:lastRenderedPageBreak/>
        <w:t xml:space="preserve">ՀՀ պետական բյուջեի եկամուտների կառուցվածքը 2021-2022թթ. </w:t>
      </w:r>
    </w:p>
    <w:p w:rsidR="001C411D" w:rsidRPr="001F63BA" w:rsidRDefault="009A358E" w:rsidP="002F7E29">
      <w:pPr>
        <w:spacing w:line="360" w:lineRule="auto"/>
        <w:ind w:firstLine="567"/>
        <w:jc w:val="both"/>
        <w:rPr>
          <w:rFonts w:ascii="GHEA Grapalat" w:hAnsi="GHEA Grapalat"/>
          <w:noProof w:val="0"/>
          <w:sz w:val="22"/>
          <w:szCs w:val="22"/>
          <w:lang w:val="en-US"/>
        </w:rPr>
      </w:pPr>
      <w:r w:rsidRPr="001F63BA">
        <w:rPr>
          <w:rFonts w:ascii="GHEA Grapalat" w:hAnsi="GHEA Grapalat" w:cs="Calibri"/>
          <w:sz w:val="22"/>
          <w:szCs w:val="22"/>
          <w:lang w:val="en-US"/>
        </w:rPr>
        <w:drawing>
          <wp:inline distT="0" distB="0" distL="0" distR="0" wp14:anchorId="21E45F9B" wp14:editId="51347FC5">
            <wp:extent cx="5295900" cy="3600450"/>
            <wp:effectExtent l="0" t="0" r="0" b="0"/>
            <wp:docPr id="57" name="Object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1C411D" w:rsidRPr="001F63BA" w:rsidRDefault="001C411D" w:rsidP="002F7E29">
      <w:pPr>
        <w:spacing w:line="360" w:lineRule="auto"/>
        <w:ind w:firstLine="567"/>
        <w:jc w:val="both"/>
        <w:rPr>
          <w:rFonts w:ascii="GHEA Grapalat" w:hAnsi="GHEA Grapalat"/>
          <w:noProof w:val="0"/>
          <w:sz w:val="22"/>
          <w:szCs w:val="22"/>
          <w:lang w:val="en-US"/>
        </w:rPr>
      </w:pP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2022 թվականին պետական բյուջեի եկամուտներ/ՀՆԱ ցուցանիշը կազմել է 24.3%՝ </w:t>
      </w:r>
      <w:r w:rsidRPr="001F63BA">
        <w:rPr>
          <w:rFonts w:ascii="GHEA Grapalat" w:hAnsi="GHEA Grapalat" w:cs="GHEA Grapalat"/>
          <w:sz w:val="22"/>
          <w:szCs w:val="22"/>
          <w:lang w:val="en-US"/>
        </w:rPr>
        <w:t xml:space="preserve">սկզբնական բյուջեով </w:t>
      </w:r>
      <w:r w:rsidRPr="001F63BA">
        <w:rPr>
          <w:rFonts w:ascii="GHEA Grapalat" w:hAnsi="GHEA Grapalat" w:cs="GHEA Grapalat"/>
          <w:sz w:val="22"/>
          <w:szCs w:val="22"/>
        </w:rPr>
        <w:t>կանխատեսված 24.8%</w:t>
      </w:r>
      <w:r w:rsidRPr="001F63BA">
        <w:rPr>
          <w:rFonts w:ascii="GHEA Grapalat" w:hAnsi="GHEA Grapalat" w:cs="GHEA Grapalat"/>
          <w:sz w:val="22"/>
          <w:szCs w:val="22"/>
        </w:rPr>
        <w:noBreakHyphen/>
        <w:t>ի և նախորդ տարվա 24.1%-ի դիմաց:</w:t>
      </w:r>
    </w:p>
    <w:p w:rsidR="001C411D" w:rsidRPr="001F63BA" w:rsidRDefault="001C411D" w:rsidP="002214A6">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FC2F7D">
      <w:pPr>
        <w:pStyle w:val="Heading2"/>
        <w:rPr>
          <w:bCs/>
        </w:rPr>
      </w:pPr>
      <w:bookmarkStart w:id="136" w:name="_Toc87365143"/>
      <w:bookmarkStart w:id="137" w:name="_Toc132204236"/>
      <w:r w:rsidRPr="001F63BA">
        <w:rPr>
          <w:bCs/>
        </w:rPr>
        <w:t>Հարկային եկամուտներ և պետական տուրքեր</w:t>
      </w:r>
      <w:bookmarkEnd w:id="135"/>
      <w:bookmarkEnd w:id="136"/>
      <w:r w:rsidRPr="001F63BA">
        <w:rPr>
          <w:rStyle w:val="FootnoteReference"/>
          <w:bCs/>
        </w:rPr>
        <w:footnoteReference w:id="33"/>
      </w:r>
      <w:bookmarkEnd w:id="137"/>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Կառավարության</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սկզբնական</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ծրագրով</w:t>
      </w:r>
      <w:r w:rsidRPr="001F63BA">
        <w:rPr>
          <w:rFonts w:ascii="GHEA Grapalat" w:hAnsi="GHEA Grapalat" w:cs="GHEA Grapalat"/>
          <w:sz w:val="22"/>
          <w:szCs w:val="22"/>
          <w:lang w:val="de-AT"/>
        </w:rPr>
        <w:t xml:space="preserve"> 2022 </w:t>
      </w:r>
      <w:r w:rsidRPr="001F63BA">
        <w:rPr>
          <w:rFonts w:ascii="GHEA Grapalat" w:hAnsi="GHEA Grapalat" w:cs="GHEA Grapalat"/>
          <w:sz w:val="22"/>
          <w:szCs w:val="22"/>
        </w:rPr>
        <w:t>թվականի</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համար</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սահմանվել</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էր</w:t>
      </w:r>
      <w:r w:rsidRPr="001F63BA">
        <w:rPr>
          <w:rFonts w:ascii="GHEA Grapalat" w:hAnsi="GHEA Grapalat" w:cs="GHEA Grapalat"/>
          <w:sz w:val="22"/>
          <w:szCs w:val="22"/>
          <w:lang w:val="de-AT"/>
        </w:rPr>
        <w:t xml:space="preserve"> 1,843.9 </w:t>
      </w:r>
      <w:r w:rsidRPr="001F63BA">
        <w:rPr>
          <w:rFonts w:ascii="GHEA Grapalat" w:hAnsi="GHEA Grapalat" w:cs="GHEA Grapalat"/>
          <w:sz w:val="22"/>
          <w:szCs w:val="22"/>
        </w:rPr>
        <w:t>մլրդ</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դրամ</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հարկերի ու տուրքերի ստացում: Կառավարության լիազորությունների շրջանակներում կատարված փոփոխությունների արդյունքում 2022 թվականի ճշտված ծրագիրը կազմել է 1,925.0</w:t>
      </w:r>
      <w:r w:rsidRPr="001F63BA">
        <w:rPr>
          <w:rFonts w:ascii="Courier New" w:hAnsi="Courier New" w:cs="Courier New"/>
          <w:sz w:val="22"/>
          <w:szCs w:val="22"/>
        </w:rPr>
        <w:t> </w:t>
      </w:r>
      <w:r w:rsidRPr="001F63BA">
        <w:rPr>
          <w:rFonts w:ascii="GHEA Grapalat" w:hAnsi="GHEA Grapalat" w:cs="GHEA Grapalat"/>
          <w:sz w:val="22"/>
          <w:szCs w:val="22"/>
        </w:rPr>
        <w:t xml:space="preserve">մլրդ դրամ, որի դիմաց ՀՀ պետական բյուջե են մուտքագրվել </w:t>
      </w:r>
      <w:r w:rsidRPr="001F63BA">
        <w:rPr>
          <w:rFonts w:ascii="GHEA Grapalat" w:hAnsi="GHEA Grapalat" w:cs="GHEA Grapalat"/>
          <w:sz w:val="22"/>
          <w:szCs w:val="22"/>
          <w:lang w:val="en-US"/>
        </w:rPr>
        <w:t xml:space="preserve">շուրջ </w:t>
      </w:r>
      <w:r w:rsidRPr="001F63BA">
        <w:rPr>
          <w:rFonts w:ascii="GHEA Grapalat" w:hAnsi="GHEA Grapalat" w:cs="GHEA Grapalat"/>
          <w:sz w:val="22"/>
          <w:szCs w:val="22"/>
        </w:rPr>
        <w:t>1,926.0</w:t>
      </w:r>
      <w:r w:rsidRPr="001F63BA">
        <w:rPr>
          <w:rFonts w:ascii="Courier New" w:hAnsi="Courier New" w:cs="Courier New"/>
          <w:sz w:val="22"/>
          <w:szCs w:val="22"/>
        </w:rPr>
        <w:t> </w:t>
      </w:r>
      <w:r w:rsidRPr="001F63BA">
        <w:rPr>
          <w:rFonts w:ascii="GHEA Grapalat" w:hAnsi="GHEA Grapalat" w:cs="GHEA Grapalat"/>
          <w:sz w:val="22"/>
          <w:szCs w:val="22"/>
        </w:rPr>
        <w:t>մլրդ դրամ հարկային եկամուտներ և պետական տուրքեր, որոնք 10</w:t>
      </w:r>
      <w:r w:rsidRPr="001F63BA">
        <w:rPr>
          <w:rFonts w:ascii="GHEA Grapalat" w:hAnsi="GHEA Grapalat" w:cs="GHEA Grapalat"/>
          <w:sz w:val="22"/>
          <w:szCs w:val="22"/>
          <w:lang w:val="en-US"/>
        </w:rPr>
        <w:t>4.4</w:t>
      </w:r>
      <w:r w:rsidRPr="001F63BA">
        <w:rPr>
          <w:rFonts w:ascii="GHEA Grapalat" w:hAnsi="GHEA Grapalat" w:cs="GHEA Grapalat"/>
          <w:sz w:val="22"/>
          <w:szCs w:val="22"/>
        </w:rPr>
        <w:t>%</w:t>
      </w:r>
      <w:r w:rsidRPr="001F63BA">
        <w:rPr>
          <w:rFonts w:ascii="GHEA Grapalat" w:hAnsi="GHEA Grapalat" w:cs="GHEA Grapalat"/>
          <w:sz w:val="22"/>
          <w:szCs w:val="22"/>
        </w:rPr>
        <w:noBreakHyphen/>
        <w:t>ով ապահովել</w:t>
      </w:r>
      <w:r w:rsidRPr="001F63BA">
        <w:rPr>
          <w:rFonts w:ascii="Courier New" w:hAnsi="Courier New" w:cs="Courier New"/>
          <w:sz w:val="22"/>
          <w:szCs w:val="22"/>
        </w:rPr>
        <w:t> </w:t>
      </w:r>
      <w:r w:rsidRPr="001F63BA">
        <w:rPr>
          <w:rFonts w:ascii="GHEA Grapalat" w:hAnsi="GHEA Grapalat" w:cs="GHEA Grapalat"/>
          <w:sz w:val="22"/>
          <w:szCs w:val="22"/>
        </w:rPr>
        <w:t xml:space="preserve">են </w:t>
      </w:r>
      <w:r w:rsidRPr="001F63BA">
        <w:rPr>
          <w:rFonts w:ascii="GHEA Grapalat" w:hAnsi="GHEA Grapalat"/>
          <w:sz w:val="22"/>
          <w:szCs w:val="22"/>
        </w:rPr>
        <w:t xml:space="preserve">Օրենքով հաստատված </w:t>
      </w:r>
      <w:r w:rsidRPr="001F63BA">
        <w:rPr>
          <w:rFonts w:ascii="GHEA Grapalat" w:hAnsi="GHEA Grapalat" w:cs="GHEA Grapalat"/>
          <w:sz w:val="22"/>
          <w:szCs w:val="22"/>
        </w:rPr>
        <w:t>ցուցանիշը</w:t>
      </w:r>
      <w:r w:rsidRPr="001F63BA">
        <w:rPr>
          <w:rFonts w:ascii="GHEA Grapalat" w:hAnsi="GHEA Grapalat" w:cs="GHEA Grapalat"/>
          <w:sz w:val="22"/>
          <w:szCs w:val="22"/>
          <w:lang w:val="en-US"/>
        </w:rPr>
        <w:t xml:space="preserve"> և </w:t>
      </w:r>
      <w:r w:rsidRPr="001F63BA">
        <w:rPr>
          <w:rFonts w:ascii="GHEA Grapalat" w:hAnsi="GHEA Grapalat" w:cs="GHEA Grapalat"/>
          <w:sz w:val="22"/>
          <w:szCs w:val="22"/>
        </w:rPr>
        <w:t>100%</w:t>
      </w:r>
      <w:r w:rsidRPr="001F63BA">
        <w:rPr>
          <w:rFonts w:ascii="GHEA Grapalat" w:hAnsi="GHEA Grapalat" w:cs="GHEA Grapalat"/>
          <w:sz w:val="22"/>
          <w:szCs w:val="22"/>
        </w:rPr>
        <w:noBreakHyphen/>
        <w:t>ով</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ճշտված ծրագրով սահմանված ցուցանիշը: </w:t>
      </w:r>
    </w:p>
    <w:p w:rsidR="001C411D" w:rsidRPr="001F63BA" w:rsidRDefault="001C411D" w:rsidP="002F7E29">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cs="GHEA Grapalat"/>
          <w:sz w:val="22"/>
          <w:szCs w:val="22"/>
        </w:rPr>
        <w:t>2021 թվականի համեմատ հարկային եկամուտներն ու պետական տուրքերն աճել են 21.4%</w:t>
      </w:r>
      <w:r w:rsidRPr="001F63BA">
        <w:rPr>
          <w:rFonts w:ascii="GHEA Grapalat" w:hAnsi="GHEA Grapalat" w:cs="GHEA Grapalat"/>
          <w:sz w:val="22"/>
          <w:szCs w:val="22"/>
        </w:rPr>
        <w:noBreakHyphen/>
        <w:t>ով կամ 339.1</w:t>
      </w:r>
      <w:r w:rsidRPr="001F63BA">
        <w:rPr>
          <w:rFonts w:ascii="Courier New" w:hAnsi="Courier New" w:cs="Courier New"/>
          <w:sz w:val="22"/>
          <w:szCs w:val="22"/>
        </w:rPr>
        <w:t> </w:t>
      </w:r>
      <w:r w:rsidRPr="001F63BA">
        <w:rPr>
          <w:rFonts w:ascii="GHEA Grapalat" w:hAnsi="GHEA Grapalat" w:cs="GHEA Grapalat"/>
          <w:sz w:val="22"/>
          <w:szCs w:val="22"/>
        </w:rPr>
        <w:t>մլրդ դրամով, որը հիմնականում պայմանավորված է ԱԱՀ-ի, շահութահարկի</w:t>
      </w:r>
      <w:r w:rsidRPr="001F63BA">
        <w:rPr>
          <w:rFonts w:ascii="GHEA Grapalat" w:hAnsi="GHEA Grapalat" w:cs="GHEA Grapalat"/>
          <w:sz w:val="22"/>
          <w:szCs w:val="22"/>
          <w:lang w:val="en-US"/>
        </w:rPr>
        <w:t xml:space="preserve"> և</w:t>
      </w:r>
      <w:r w:rsidRPr="001F63BA">
        <w:rPr>
          <w:rFonts w:ascii="GHEA Grapalat" w:hAnsi="GHEA Grapalat" w:cs="GHEA Grapalat"/>
          <w:sz w:val="22"/>
          <w:szCs w:val="22"/>
        </w:rPr>
        <w:t xml:space="preserve"> եկամտային հարկի գծով մուտքերի աճով: 2021 թվականի համեմատ գրեթե բոլոր հարկատեսակների գծով արձանագրվել է մուտքերի աճ, բացառությամբ մաքսատուրքի գծով մուտքերի: Հարկ է նշել, որ </w:t>
      </w:r>
      <w:r w:rsidRPr="001F63BA">
        <w:rPr>
          <w:rFonts w:ascii="GHEA Grapalat" w:hAnsi="GHEA Grapalat" w:cs="GHEA Grapalat"/>
          <w:sz w:val="22"/>
          <w:szCs w:val="22"/>
        </w:rPr>
        <w:lastRenderedPageBreak/>
        <w:t>2022 թվականի պետական բյուջեի հարկային եկամուտների ցուցանիշի վրա զգալի դրական ազդեցություն են ունեցել տնտեսական ակտիվության, ներմուծման և արտահանման աճը, հարկունակ ոլորտների</w:t>
      </w:r>
      <w:r w:rsidRPr="001F63BA">
        <w:rPr>
          <w:rFonts w:ascii="GHEA Grapalat" w:hAnsi="GHEA Grapalat"/>
          <w:sz w:val="22"/>
          <w:szCs w:val="22"/>
        </w:rPr>
        <w:t xml:space="preserve"> իրացման շրջանառությունների, աշխատատեղերի ու միջին աշխատավարձի ավելացումը: Միաժամանակ, 2022 թվականի պետական բյուջեի հարկային եկամուտների ցուցանիշի վրա նվազեցնող ազդեցություն է ունեցել ԱԱՀ-ի, եկամտային հարկի և ակցիզային հարկի գծով վերադարձված գումարների աճը, որոնք կազմել են 261.9 մլրդ դրամ՝ 45.3%</w:t>
      </w:r>
      <w:r w:rsidRPr="001F63BA">
        <w:rPr>
          <w:rFonts w:ascii="GHEA Grapalat" w:hAnsi="GHEA Grapalat"/>
          <w:sz w:val="22"/>
          <w:szCs w:val="22"/>
        </w:rPr>
        <w:noBreakHyphen/>
        <w:t xml:space="preserve">ով գերազանցելով նախորդ տարվա համապատասխան ցուցանիշը: </w:t>
      </w:r>
    </w:p>
    <w:p w:rsidR="001C411D" w:rsidRPr="001F63BA" w:rsidRDefault="001C411D" w:rsidP="002F7E29">
      <w:pPr>
        <w:autoSpaceDE w:val="0"/>
        <w:autoSpaceDN w:val="0"/>
        <w:adjustRightInd w:val="0"/>
        <w:spacing w:line="360" w:lineRule="auto"/>
        <w:ind w:firstLine="567"/>
        <w:jc w:val="both"/>
        <w:rPr>
          <w:rFonts w:ascii="GHEA Grapalat" w:hAnsi="GHEA Grapalat"/>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bCs w:val="0"/>
          <w:i/>
          <w:sz w:val="18"/>
          <w:szCs w:val="18"/>
        </w:rPr>
      </w:pPr>
      <w:r w:rsidRPr="001F63BA">
        <w:rPr>
          <w:rFonts w:ascii="GHEA Grapalat" w:hAnsi="GHEA Grapalat"/>
          <w:bCs w:val="0"/>
          <w:i/>
          <w:sz w:val="18"/>
          <w:szCs w:val="18"/>
        </w:rPr>
        <w:t xml:space="preserve">2021-2022թթ. հարկային եկամուտների վերադարձը (մլրդ դրամ) </w:t>
      </w:r>
    </w:p>
    <w:tbl>
      <w:tblPr>
        <w:tblW w:w="10221" w:type="dxa"/>
        <w:tblInd w:w="93" w:type="dxa"/>
        <w:tblLook w:val="00A0" w:firstRow="1" w:lastRow="0" w:firstColumn="1" w:lastColumn="0" w:noHBand="0" w:noVBand="0"/>
      </w:tblPr>
      <w:tblGrid>
        <w:gridCol w:w="4332"/>
        <w:gridCol w:w="1760"/>
        <w:gridCol w:w="1436"/>
        <w:gridCol w:w="1470"/>
        <w:gridCol w:w="1223"/>
      </w:tblGrid>
      <w:tr w:rsidR="001C411D" w:rsidRPr="001F63BA" w:rsidTr="00496290">
        <w:trPr>
          <w:trHeight w:val="660"/>
        </w:trPr>
        <w:tc>
          <w:tcPr>
            <w:tcW w:w="4332"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pPr>
              <w:rPr>
                <w:rFonts w:ascii="GHEA Grapalat" w:hAnsi="GHEA Grapalat" w:cs="Calibri"/>
                <w:sz w:val="20"/>
                <w:szCs w:val="20"/>
              </w:rPr>
            </w:pPr>
            <w:r w:rsidRPr="001F63BA">
              <w:rPr>
                <w:rFonts w:ascii="Courier New" w:hAnsi="Courier New" w:cs="Courier New"/>
                <w:sz w:val="20"/>
                <w:szCs w:val="20"/>
              </w:rPr>
              <w:t> </w:t>
            </w:r>
          </w:p>
        </w:tc>
        <w:tc>
          <w:tcPr>
            <w:tcW w:w="1760" w:type="dxa"/>
            <w:tcBorders>
              <w:top w:val="single" w:sz="4" w:space="0" w:color="auto"/>
              <w:left w:val="nil"/>
              <w:bottom w:val="single" w:sz="4" w:space="0" w:color="auto"/>
              <w:right w:val="single" w:sz="4" w:space="0" w:color="auto"/>
            </w:tcBorders>
            <w:noWrap/>
          </w:tcPr>
          <w:p w:rsidR="001C411D" w:rsidRPr="001F63BA" w:rsidRDefault="001C411D" w:rsidP="00496290">
            <w:pPr>
              <w:jc w:val="cente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436" w:type="dxa"/>
            <w:tcBorders>
              <w:top w:val="single" w:sz="4" w:space="0" w:color="auto"/>
              <w:left w:val="nil"/>
              <w:bottom w:val="single" w:sz="4" w:space="0" w:color="auto"/>
              <w:right w:val="single" w:sz="4" w:space="0" w:color="auto"/>
            </w:tcBorders>
            <w:noWrap/>
          </w:tcPr>
          <w:p w:rsidR="001C411D" w:rsidRPr="001F63BA" w:rsidRDefault="001C411D" w:rsidP="00496290">
            <w:pPr>
              <w:jc w:val="cente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470" w:type="dxa"/>
            <w:tcBorders>
              <w:top w:val="single" w:sz="4" w:space="0" w:color="auto"/>
              <w:left w:val="nil"/>
              <w:bottom w:val="single" w:sz="4" w:space="0" w:color="auto"/>
              <w:right w:val="single" w:sz="4" w:space="0" w:color="auto"/>
            </w:tcBorders>
          </w:tcPr>
          <w:p w:rsidR="001C411D" w:rsidRPr="001F63BA" w:rsidRDefault="001C411D" w:rsidP="00496290">
            <w:pPr>
              <w:jc w:val="center"/>
              <w:rPr>
                <w:rFonts w:ascii="GHEA Grapalat" w:hAnsi="GHEA Grapalat" w:cs="Calibri"/>
                <w:b/>
                <w:bCs/>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p>
          <w:p w:rsidR="001C411D" w:rsidRPr="001F63BA" w:rsidRDefault="001C411D" w:rsidP="00496290">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-ի</w:t>
            </w:r>
            <w:r w:rsidRPr="001F63BA">
              <w:rPr>
                <w:rFonts w:ascii="GHEA Grapalat" w:hAnsi="GHEA Grapalat" w:cs="Calibri"/>
                <w:b/>
                <w:bCs/>
                <w:sz w:val="18"/>
                <w:szCs w:val="18"/>
              </w:rPr>
              <w:t xml:space="preserve"> նկատմամբ</w:t>
            </w:r>
          </w:p>
          <w:p w:rsidR="001C411D" w:rsidRPr="001F63BA" w:rsidRDefault="001C411D" w:rsidP="00496290">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23" w:type="dxa"/>
            <w:tcBorders>
              <w:top w:val="single" w:sz="4" w:space="0" w:color="auto"/>
              <w:left w:val="nil"/>
              <w:bottom w:val="single" w:sz="4" w:space="0" w:color="auto"/>
              <w:right w:val="single" w:sz="4" w:space="0" w:color="auto"/>
            </w:tcBorders>
            <w:noWrap/>
          </w:tcPr>
          <w:p w:rsidR="001C411D" w:rsidRPr="001F63BA" w:rsidRDefault="001C411D" w:rsidP="00496290">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496290">
        <w:trPr>
          <w:trHeight w:val="279"/>
        </w:trPr>
        <w:tc>
          <w:tcPr>
            <w:tcW w:w="4332" w:type="dxa"/>
            <w:tcBorders>
              <w:top w:val="nil"/>
              <w:left w:val="single" w:sz="4" w:space="0" w:color="auto"/>
              <w:bottom w:val="single" w:sz="4" w:space="0" w:color="auto"/>
              <w:right w:val="single" w:sz="4" w:space="0" w:color="auto"/>
            </w:tcBorders>
            <w:noWrap/>
            <w:vAlign w:val="bottom"/>
          </w:tcPr>
          <w:p w:rsidR="001C411D" w:rsidRPr="001F63BA" w:rsidRDefault="001C411D" w:rsidP="003F102C">
            <w:pPr>
              <w:rPr>
                <w:rFonts w:ascii="GHEA Grapalat" w:hAnsi="GHEA Grapalat" w:cs="Calibri"/>
                <w:b/>
                <w:bCs/>
                <w:sz w:val="18"/>
                <w:szCs w:val="18"/>
                <w:lang w:val="en-US"/>
              </w:rPr>
            </w:pPr>
            <w:r w:rsidRPr="001F63BA">
              <w:rPr>
                <w:rFonts w:ascii="GHEA Grapalat" w:hAnsi="GHEA Grapalat" w:cs="Calibri"/>
                <w:b/>
                <w:bCs/>
                <w:sz w:val="18"/>
                <w:szCs w:val="18"/>
              </w:rPr>
              <w:t>Ընդամենը</w:t>
            </w:r>
            <w:r w:rsidRPr="001F63BA">
              <w:rPr>
                <w:rFonts w:ascii="GHEA Grapalat" w:hAnsi="GHEA Grapalat" w:cs="Calibri"/>
                <w:b/>
                <w:bCs/>
                <w:sz w:val="18"/>
                <w:szCs w:val="18"/>
                <w:lang w:val="en-US"/>
              </w:rPr>
              <w:t xml:space="preserve"> հարկային եկամուտների գծով</w:t>
            </w:r>
            <w:r w:rsidRPr="001F63BA">
              <w:rPr>
                <w:rFonts w:ascii="GHEA Grapalat" w:hAnsi="GHEA Grapalat" w:cs="Calibri"/>
                <w:b/>
                <w:bCs/>
                <w:sz w:val="18"/>
                <w:szCs w:val="18"/>
              </w:rPr>
              <w:t xml:space="preserve"> վերադարձված գումարներ</w:t>
            </w:r>
            <w:r w:rsidRPr="001F63BA">
              <w:rPr>
                <w:rFonts w:ascii="GHEA Grapalat" w:hAnsi="GHEA Grapalat" w:cs="Calibri"/>
                <w:b/>
                <w:bCs/>
                <w:sz w:val="18"/>
                <w:szCs w:val="18"/>
                <w:lang w:val="en-US"/>
              </w:rPr>
              <w:t>, այդ թվում՝</w:t>
            </w:r>
          </w:p>
        </w:tc>
        <w:tc>
          <w:tcPr>
            <w:tcW w:w="176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bCs/>
                <w:sz w:val="18"/>
                <w:szCs w:val="18"/>
              </w:rPr>
            </w:pPr>
            <w:r w:rsidRPr="001F63BA">
              <w:rPr>
                <w:rFonts w:ascii="GHEA Grapalat" w:hAnsi="GHEA Grapalat" w:cs="Calibri"/>
                <w:b/>
                <w:bCs/>
                <w:sz w:val="18"/>
                <w:szCs w:val="18"/>
              </w:rPr>
              <w:t xml:space="preserve">180.2 </w:t>
            </w:r>
          </w:p>
        </w:tc>
        <w:tc>
          <w:tcPr>
            <w:tcW w:w="1436"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bCs/>
                <w:sz w:val="18"/>
                <w:szCs w:val="18"/>
              </w:rPr>
            </w:pPr>
            <w:r w:rsidRPr="001F63BA">
              <w:rPr>
                <w:rFonts w:ascii="GHEA Grapalat" w:hAnsi="GHEA Grapalat" w:cs="Calibri"/>
                <w:b/>
                <w:bCs/>
                <w:sz w:val="18"/>
                <w:szCs w:val="18"/>
              </w:rPr>
              <w:t xml:space="preserve">261.9 </w:t>
            </w:r>
          </w:p>
        </w:tc>
        <w:tc>
          <w:tcPr>
            <w:tcW w:w="147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sz w:val="18"/>
                <w:szCs w:val="18"/>
              </w:rPr>
            </w:pPr>
            <w:r w:rsidRPr="001F63BA">
              <w:rPr>
                <w:rFonts w:ascii="GHEA Grapalat" w:hAnsi="GHEA Grapalat" w:cs="Calibri"/>
                <w:b/>
                <w:sz w:val="18"/>
                <w:szCs w:val="18"/>
              </w:rPr>
              <w:t>145.3</w:t>
            </w:r>
          </w:p>
        </w:tc>
        <w:tc>
          <w:tcPr>
            <w:tcW w:w="1223"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sz w:val="18"/>
                <w:szCs w:val="18"/>
              </w:rPr>
            </w:pPr>
            <w:r w:rsidRPr="001F63BA">
              <w:rPr>
                <w:rFonts w:ascii="GHEA Grapalat" w:hAnsi="GHEA Grapalat" w:cs="Calibri"/>
                <w:b/>
                <w:sz w:val="18"/>
                <w:szCs w:val="18"/>
              </w:rPr>
              <w:t xml:space="preserve"> 81.6 </w:t>
            </w:r>
          </w:p>
        </w:tc>
      </w:tr>
      <w:tr w:rsidR="001C411D" w:rsidRPr="001F63BA" w:rsidTr="00496290">
        <w:trPr>
          <w:trHeight w:val="279"/>
        </w:trPr>
        <w:tc>
          <w:tcPr>
            <w:tcW w:w="4332" w:type="dxa"/>
            <w:tcBorders>
              <w:top w:val="nil"/>
              <w:left w:val="single" w:sz="4" w:space="0" w:color="auto"/>
              <w:bottom w:val="single" w:sz="4" w:space="0" w:color="auto"/>
              <w:right w:val="single" w:sz="4" w:space="0" w:color="auto"/>
            </w:tcBorders>
            <w:noWrap/>
            <w:vAlign w:val="bottom"/>
          </w:tcPr>
          <w:p w:rsidR="001C411D" w:rsidRPr="001F63BA" w:rsidRDefault="001C411D" w:rsidP="00496290">
            <w:pPr>
              <w:ind w:firstLine="333"/>
              <w:rPr>
                <w:rFonts w:ascii="GHEA Grapalat" w:hAnsi="GHEA Grapalat" w:cs="Calibri"/>
                <w:sz w:val="18"/>
                <w:szCs w:val="18"/>
                <w:lang w:val="en-US"/>
              </w:rPr>
            </w:pPr>
            <w:r w:rsidRPr="001F63BA">
              <w:rPr>
                <w:rFonts w:ascii="GHEA Grapalat" w:hAnsi="GHEA Grapalat" w:cs="Calibri"/>
                <w:sz w:val="18"/>
                <w:szCs w:val="18"/>
              </w:rPr>
              <w:t>ԱԱՀ</w:t>
            </w:r>
          </w:p>
        </w:tc>
        <w:tc>
          <w:tcPr>
            <w:tcW w:w="1760"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146.7 </w:t>
            </w:r>
          </w:p>
        </w:tc>
        <w:tc>
          <w:tcPr>
            <w:tcW w:w="1436"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212.8 </w:t>
            </w:r>
          </w:p>
        </w:tc>
        <w:tc>
          <w:tcPr>
            <w:tcW w:w="1470"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145.1</w:t>
            </w:r>
          </w:p>
        </w:tc>
        <w:tc>
          <w:tcPr>
            <w:tcW w:w="1223"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 66.1 </w:t>
            </w:r>
          </w:p>
        </w:tc>
      </w:tr>
      <w:tr w:rsidR="001C411D" w:rsidRPr="001F63BA" w:rsidTr="00496290">
        <w:trPr>
          <w:trHeight w:val="334"/>
        </w:trPr>
        <w:tc>
          <w:tcPr>
            <w:tcW w:w="4332" w:type="dxa"/>
            <w:tcBorders>
              <w:top w:val="nil"/>
              <w:left w:val="single" w:sz="4" w:space="0" w:color="auto"/>
              <w:bottom w:val="single" w:sz="4" w:space="0" w:color="auto"/>
              <w:right w:val="single" w:sz="4" w:space="0" w:color="auto"/>
            </w:tcBorders>
            <w:vAlign w:val="bottom"/>
          </w:tcPr>
          <w:p w:rsidR="001C411D" w:rsidRPr="001F63BA" w:rsidRDefault="001C411D" w:rsidP="00496290">
            <w:pPr>
              <w:ind w:firstLine="333"/>
              <w:rPr>
                <w:rFonts w:ascii="GHEA Grapalat" w:hAnsi="GHEA Grapalat" w:cs="Calibri"/>
                <w:sz w:val="18"/>
                <w:szCs w:val="18"/>
                <w:lang w:val="en-US"/>
              </w:rPr>
            </w:pPr>
            <w:r w:rsidRPr="001F63BA">
              <w:rPr>
                <w:rFonts w:ascii="GHEA Grapalat" w:hAnsi="GHEA Grapalat" w:cs="Calibri"/>
                <w:sz w:val="18"/>
                <w:szCs w:val="18"/>
              </w:rPr>
              <w:t>Եկամտային հարկ</w:t>
            </w:r>
          </w:p>
        </w:tc>
        <w:tc>
          <w:tcPr>
            <w:tcW w:w="1760"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32.6 </w:t>
            </w:r>
          </w:p>
        </w:tc>
        <w:tc>
          <w:tcPr>
            <w:tcW w:w="1436"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47.4 </w:t>
            </w:r>
          </w:p>
        </w:tc>
        <w:tc>
          <w:tcPr>
            <w:tcW w:w="1470"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145.2</w:t>
            </w:r>
          </w:p>
        </w:tc>
        <w:tc>
          <w:tcPr>
            <w:tcW w:w="1223"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14.7 </w:t>
            </w:r>
          </w:p>
        </w:tc>
      </w:tr>
      <w:tr w:rsidR="001C411D" w:rsidRPr="001F63BA" w:rsidTr="00496290">
        <w:trPr>
          <w:trHeight w:val="281"/>
        </w:trPr>
        <w:tc>
          <w:tcPr>
            <w:tcW w:w="4332" w:type="dxa"/>
            <w:tcBorders>
              <w:top w:val="nil"/>
              <w:left w:val="single" w:sz="4" w:space="0" w:color="auto"/>
              <w:bottom w:val="single" w:sz="4" w:space="0" w:color="auto"/>
              <w:right w:val="single" w:sz="4" w:space="0" w:color="auto"/>
            </w:tcBorders>
            <w:vAlign w:val="bottom"/>
          </w:tcPr>
          <w:p w:rsidR="001C411D" w:rsidRPr="001F63BA" w:rsidRDefault="001C411D" w:rsidP="00496290">
            <w:pPr>
              <w:ind w:firstLine="333"/>
              <w:rPr>
                <w:rFonts w:ascii="GHEA Grapalat" w:hAnsi="GHEA Grapalat" w:cs="Calibri"/>
                <w:sz w:val="18"/>
                <w:szCs w:val="18"/>
                <w:lang w:val="en-US"/>
              </w:rPr>
            </w:pPr>
            <w:r w:rsidRPr="001F63BA">
              <w:rPr>
                <w:rFonts w:ascii="GHEA Grapalat" w:hAnsi="GHEA Grapalat" w:cs="Calibri"/>
                <w:sz w:val="18"/>
                <w:szCs w:val="18"/>
              </w:rPr>
              <w:t>Ակցիզային հարկ</w:t>
            </w:r>
          </w:p>
        </w:tc>
        <w:tc>
          <w:tcPr>
            <w:tcW w:w="1760"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0.9 </w:t>
            </w:r>
          </w:p>
        </w:tc>
        <w:tc>
          <w:tcPr>
            <w:tcW w:w="1436"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1.7 </w:t>
            </w:r>
          </w:p>
        </w:tc>
        <w:tc>
          <w:tcPr>
            <w:tcW w:w="1470"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182.6</w:t>
            </w:r>
          </w:p>
        </w:tc>
        <w:tc>
          <w:tcPr>
            <w:tcW w:w="1223" w:type="dxa"/>
            <w:tcBorders>
              <w:top w:val="nil"/>
              <w:left w:val="nil"/>
              <w:bottom w:val="single" w:sz="4" w:space="0" w:color="auto"/>
              <w:right w:val="single" w:sz="4" w:space="0" w:color="auto"/>
            </w:tcBorders>
            <w:noWrap/>
            <w:vAlign w:val="bottom"/>
          </w:tcPr>
          <w:p w:rsidR="001C411D" w:rsidRPr="001F63BA" w:rsidRDefault="001C411D" w:rsidP="00E94BA5">
            <w:pPr>
              <w:jc w:val="right"/>
              <w:rPr>
                <w:rFonts w:ascii="GHEA Grapalat" w:hAnsi="GHEA Grapalat" w:cs="Calibri"/>
                <w:sz w:val="18"/>
                <w:szCs w:val="18"/>
              </w:rPr>
            </w:pPr>
            <w:r w:rsidRPr="001F63BA">
              <w:rPr>
                <w:rFonts w:ascii="GHEA Grapalat" w:hAnsi="GHEA Grapalat" w:cs="Calibri"/>
                <w:sz w:val="18"/>
                <w:szCs w:val="18"/>
              </w:rPr>
              <w:t xml:space="preserve">0.8 </w:t>
            </w:r>
          </w:p>
        </w:tc>
      </w:tr>
    </w:tbl>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Հարկային եկամուտներ և պետական տուրքեր/ՀՆԱ ցուցանիշը 2022 թվականին կազմել է 22.7%, որը 0.7 տոկոսային կետով զիջել է կանխատեսված ցուցանիշը, իսկ 2021 թվականի փաստացի ցուցանիշի համեմատ մնացել է անփոփոխ:</w:t>
      </w: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2022 թվականին պետական բյուջե մուտքագրված առանձին հարկատեսակների վերաբերյալ տեղեկատվությունը ներկայացված է Աղյուսակ </w:t>
      </w:r>
      <w:r w:rsidRPr="001F63BA">
        <w:rPr>
          <w:rFonts w:ascii="GHEA Grapalat" w:hAnsi="GHEA Grapalat" w:cs="GHEA Grapalat"/>
          <w:sz w:val="22"/>
          <w:szCs w:val="22"/>
          <w:lang w:val="en-US"/>
        </w:rPr>
        <w:t>6</w:t>
      </w:r>
      <w:r w:rsidRPr="001F63BA">
        <w:rPr>
          <w:rFonts w:ascii="GHEA Grapalat" w:hAnsi="GHEA Grapalat" w:cs="GHEA Grapalat"/>
          <w:sz w:val="22"/>
          <w:szCs w:val="22"/>
        </w:rPr>
        <w:t>-ում:</w:t>
      </w: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 հարկային եկամուտների և պետական տուրքերի փաստացի ցուցանիշները (մլրդ դրամ)</w:t>
      </w:r>
    </w:p>
    <w:tbl>
      <w:tblPr>
        <w:tblW w:w="10173" w:type="dxa"/>
        <w:tblLayout w:type="fixed"/>
        <w:tblLook w:val="00A0" w:firstRow="1" w:lastRow="0" w:firstColumn="1" w:lastColumn="0" w:noHBand="0" w:noVBand="0"/>
      </w:tblPr>
      <w:tblGrid>
        <w:gridCol w:w="4219"/>
        <w:gridCol w:w="1559"/>
        <w:gridCol w:w="1418"/>
        <w:gridCol w:w="1559"/>
        <w:gridCol w:w="1418"/>
      </w:tblGrid>
      <w:tr w:rsidR="001C411D" w:rsidRPr="001F63BA" w:rsidTr="002F7E29">
        <w:trPr>
          <w:trHeight w:val="917"/>
        </w:trPr>
        <w:tc>
          <w:tcPr>
            <w:tcW w:w="4219"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2F7E29">
            <w:pPr>
              <w:rPr>
                <w:rFonts w:ascii="GHEA Grapalat" w:hAnsi="GHEA Grapalat" w:cs="Calibri"/>
                <w:sz w:val="18"/>
                <w:szCs w:val="18"/>
              </w:rPr>
            </w:pPr>
            <w:r w:rsidRPr="001F63BA">
              <w:rPr>
                <w:rFonts w:ascii="Courier New" w:hAnsi="Courier New" w:cs="Courier New"/>
                <w:sz w:val="18"/>
                <w:szCs w:val="18"/>
              </w:rPr>
              <w:t> </w:t>
            </w:r>
          </w:p>
        </w:tc>
        <w:tc>
          <w:tcPr>
            <w:tcW w:w="1559"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418"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559"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 xml:space="preserve"> (%)</w:t>
            </w:r>
          </w:p>
        </w:tc>
        <w:tc>
          <w:tcPr>
            <w:tcW w:w="1418"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2502CA">
        <w:trPr>
          <w:trHeight w:val="315"/>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rPr>
                <w:rFonts w:ascii="GHEA Grapalat" w:hAnsi="GHEA Grapalat" w:cs="Calibri"/>
                <w:b/>
                <w:bCs/>
                <w:sz w:val="18"/>
                <w:szCs w:val="18"/>
              </w:rPr>
            </w:pPr>
            <w:r w:rsidRPr="001F63BA">
              <w:rPr>
                <w:rFonts w:ascii="GHEA Grapalat" w:hAnsi="GHEA Grapalat" w:cs="Calibri"/>
                <w:b/>
                <w:bCs/>
                <w:sz w:val="18"/>
                <w:szCs w:val="18"/>
              </w:rPr>
              <w:t>Հարկային եկամուտներ և պետական տուրքեր</w:t>
            </w:r>
          </w:p>
        </w:tc>
        <w:tc>
          <w:tcPr>
            <w:tcW w:w="1559"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 xml:space="preserve"> 1,586.9</w:t>
            </w:r>
          </w:p>
        </w:tc>
        <w:tc>
          <w:tcPr>
            <w:tcW w:w="1418"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 xml:space="preserve"> 1,926.0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121.4</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b/>
                <w:sz w:val="18"/>
                <w:szCs w:val="18"/>
                <w:lang w:val="en-US"/>
              </w:rPr>
            </w:pPr>
            <w:r w:rsidRPr="001F63BA">
              <w:rPr>
                <w:rFonts w:ascii="GHEA Grapalat" w:hAnsi="GHEA Grapalat" w:cs="Calibri"/>
                <w:b/>
                <w:sz w:val="18"/>
                <w:szCs w:val="18"/>
              </w:rPr>
              <w:t>339.1</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rPr>
                <w:rFonts w:ascii="GHEA Grapalat" w:hAnsi="GHEA Grapalat" w:cs="Calibri"/>
                <w:b/>
                <w:bCs/>
                <w:sz w:val="18"/>
                <w:szCs w:val="18"/>
              </w:rPr>
            </w:pPr>
            <w:r w:rsidRPr="001F63BA">
              <w:rPr>
                <w:rFonts w:ascii="GHEA Grapalat" w:hAnsi="GHEA Grapalat" w:cs="Calibri"/>
                <w:b/>
                <w:bCs/>
                <w:sz w:val="18"/>
                <w:szCs w:val="18"/>
              </w:rPr>
              <w:t>1. Հարկային եկամուտներ</w:t>
            </w:r>
          </w:p>
        </w:tc>
        <w:tc>
          <w:tcPr>
            <w:tcW w:w="1559"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1,520.0</w:t>
            </w:r>
          </w:p>
        </w:tc>
        <w:tc>
          <w:tcPr>
            <w:tcW w:w="1418" w:type="dxa"/>
            <w:tcBorders>
              <w:top w:val="nil"/>
              <w:left w:val="nil"/>
              <w:bottom w:val="single" w:sz="4" w:space="0" w:color="auto"/>
              <w:right w:val="single" w:sz="4" w:space="0" w:color="auto"/>
            </w:tcBorders>
            <w:vAlign w:val="bottom"/>
          </w:tcPr>
          <w:p w:rsidR="001C411D" w:rsidRPr="001F63BA" w:rsidRDefault="001C411D" w:rsidP="00AC0C8C">
            <w:pPr>
              <w:jc w:val="right"/>
              <w:rPr>
                <w:rFonts w:ascii="GHEA Grapalat" w:hAnsi="GHEA Grapalat" w:cs="Calibri"/>
                <w:b/>
                <w:sz w:val="18"/>
                <w:szCs w:val="18"/>
                <w:lang w:val="en-US"/>
              </w:rPr>
            </w:pPr>
            <w:r w:rsidRPr="001F63BA">
              <w:rPr>
                <w:rFonts w:ascii="GHEA Grapalat" w:hAnsi="GHEA Grapalat" w:cs="Calibri"/>
                <w:b/>
                <w:sz w:val="18"/>
                <w:szCs w:val="18"/>
              </w:rPr>
              <w:t>1,819.1</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119.7</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b/>
                <w:sz w:val="18"/>
                <w:szCs w:val="18"/>
                <w:lang w:val="en-US"/>
              </w:rPr>
            </w:pPr>
            <w:r w:rsidRPr="001F63BA">
              <w:rPr>
                <w:rFonts w:ascii="GHEA Grapalat" w:hAnsi="GHEA Grapalat" w:cs="Calibri"/>
                <w:b/>
                <w:sz w:val="18"/>
                <w:szCs w:val="18"/>
              </w:rPr>
              <w:t>299.2</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ԱԱՀ</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556.0</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679.6</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122.2</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123.6</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Ակցիզային հարկ</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113.1</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127.5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112.7</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14.4</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Շահութահարկ</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158.6</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222.8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140.5</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64.2</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Մաքսատուրք</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84.8</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56.7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66.8</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rPr>
            </w:pPr>
            <w:r w:rsidRPr="001F63BA">
              <w:rPr>
                <w:rFonts w:ascii="GHEA Grapalat" w:hAnsi="GHEA Grapalat" w:cs="Calibri"/>
                <w:sz w:val="18"/>
                <w:szCs w:val="18"/>
              </w:rPr>
              <w:t>(28.2)</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Եկամտային հարկ</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426.3</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474.8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111.4</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48.5</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Շրջանառության հարկ</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32.4</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40.7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125.7</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8.3</w:t>
            </w:r>
          </w:p>
        </w:tc>
      </w:tr>
      <w:tr w:rsidR="001C411D" w:rsidRPr="001F63BA" w:rsidTr="002502CA">
        <w:trPr>
          <w:trHeight w:val="32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Սոցիալական վճար (կուտակային կենսաթոշակի գծով)</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43.0</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64.5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150.0</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21.5</w:t>
            </w:r>
          </w:p>
        </w:tc>
      </w:tr>
      <w:tr w:rsidR="001C411D" w:rsidRPr="001F63BA" w:rsidTr="002502CA">
        <w:trPr>
          <w:trHeight w:val="32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lastRenderedPageBreak/>
              <w:t>Բնապահպանական հարկ և բնօգտագործման վճար</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62.7</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95.9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153.0</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33.3</w:t>
            </w:r>
          </w:p>
        </w:tc>
      </w:tr>
      <w:tr w:rsidR="001C411D" w:rsidRPr="001F63BA" w:rsidTr="002502CA">
        <w:trPr>
          <w:trHeight w:val="287"/>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Այլ հարկեր</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47.2</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56.7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120.1</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9.5</w:t>
            </w:r>
          </w:p>
        </w:tc>
      </w:tr>
      <w:tr w:rsidR="001C411D" w:rsidRPr="001F63BA" w:rsidTr="002502CA">
        <w:trPr>
          <w:trHeight w:val="315"/>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Հարկերի անցումային գերավճարից մարված հարկային պարտավորություններ</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(4.1)</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(0.0)</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1.1</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sz w:val="18"/>
                <w:szCs w:val="18"/>
                <w:lang w:val="en-US"/>
              </w:rPr>
            </w:pPr>
            <w:r w:rsidRPr="001F63BA">
              <w:rPr>
                <w:rFonts w:ascii="GHEA Grapalat" w:hAnsi="GHEA Grapalat" w:cs="Calibri"/>
                <w:sz w:val="18"/>
                <w:szCs w:val="18"/>
              </w:rPr>
              <w:t>4.1</w:t>
            </w: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rPr>
                <w:rFonts w:ascii="GHEA Grapalat" w:hAnsi="GHEA Grapalat" w:cs="Calibri"/>
                <w:b/>
                <w:bCs/>
                <w:sz w:val="18"/>
                <w:szCs w:val="18"/>
              </w:rPr>
            </w:pPr>
            <w:r w:rsidRPr="001F63BA">
              <w:rPr>
                <w:rFonts w:ascii="GHEA Grapalat" w:hAnsi="GHEA Grapalat" w:cs="Calibri"/>
                <w:b/>
                <w:bCs/>
                <w:sz w:val="18"/>
                <w:szCs w:val="18"/>
              </w:rPr>
              <w:t>2. Պետական տուրք</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 xml:space="preserve">66.9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 xml:space="preserve">106.8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159.7</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b/>
                <w:sz w:val="18"/>
                <w:szCs w:val="18"/>
                <w:lang w:val="en-US"/>
              </w:rPr>
            </w:pPr>
            <w:r w:rsidRPr="001F63BA">
              <w:rPr>
                <w:rFonts w:ascii="GHEA Grapalat" w:hAnsi="GHEA Grapalat" w:cs="Calibri"/>
                <w:b/>
                <w:sz w:val="18"/>
                <w:szCs w:val="18"/>
              </w:rPr>
              <w:t>39.9</w:t>
            </w:r>
          </w:p>
        </w:tc>
      </w:tr>
      <w:tr w:rsidR="001C411D" w:rsidRPr="001F63BA" w:rsidTr="001A6F13">
        <w:trPr>
          <w:trHeight w:val="462"/>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rPr>
                <w:rFonts w:ascii="GHEA Grapalat" w:hAnsi="GHEA Grapalat" w:cs="Calibri"/>
                <w:b/>
                <w:bCs/>
                <w:sz w:val="18"/>
                <w:szCs w:val="18"/>
              </w:rPr>
            </w:pPr>
            <w:r w:rsidRPr="001F63BA">
              <w:rPr>
                <w:rFonts w:ascii="GHEA Grapalat" w:hAnsi="GHEA Grapalat" w:cs="Calibri"/>
                <w:b/>
                <w:bCs/>
                <w:sz w:val="18"/>
                <w:szCs w:val="18"/>
              </w:rPr>
              <w:t>Կշիռն ընդամենը հարկերի և տուրքերի մեջ</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rPr>
                <w:rFonts w:ascii="GHEA Grapalat" w:hAnsi="GHEA Grapalat" w:cs="Calibri"/>
                <w:b/>
                <w:bCs/>
                <w:sz w:val="18"/>
                <w:szCs w:val="18"/>
              </w:rPr>
            </w:pPr>
            <w:r w:rsidRPr="001F63BA">
              <w:rPr>
                <w:rFonts w:ascii="GHEA Grapalat" w:hAnsi="GHEA Grapalat" w:cs="Calibri"/>
                <w:b/>
                <w:bCs/>
                <w:sz w:val="18"/>
                <w:szCs w:val="18"/>
              </w:rPr>
              <w:t>1. Հարկային եկամուտներ</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 xml:space="preserve">95.8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rPr>
            </w:pPr>
            <w:r w:rsidRPr="001F63BA">
              <w:rPr>
                <w:rFonts w:ascii="GHEA Grapalat" w:hAnsi="GHEA Grapalat" w:cs="Calibri"/>
                <w:b/>
                <w:sz w:val="18"/>
                <w:szCs w:val="18"/>
              </w:rPr>
              <w:t xml:space="preserve">94.5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ԱԱՀ</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35.0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35.3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Ակցիզային հարկ</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7.1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6.6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Շահութահարկ</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10.0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11.6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Մաքսատուրք</w:t>
            </w:r>
          </w:p>
        </w:tc>
        <w:tc>
          <w:tcPr>
            <w:tcW w:w="1559"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5.3 </w:t>
            </w:r>
          </w:p>
        </w:tc>
        <w:tc>
          <w:tcPr>
            <w:tcW w:w="1418"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2.9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Եկամտային հարկ</w:t>
            </w:r>
          </w:p>
        </w:tc>
        <w:tc>
          <w:tcPr>
            <w:tcW w:w="1559"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26.9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24.7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Շրջանառության հարկ</w:t>
            </w:r>
          </w:p>
        </w:tc>
        <w:tc>
          <w:tcPr>
            <w:tcW w:w="1559"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2.0 </w:t>
            </w:r>
          </w:p>
        </w:tc>
        <w:tc>
          <w:tcPr>
            <w:tcW w:w="1418"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2.1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315"/>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Սոցիալական վճար (կուտակային կենսաթոշակից)</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2.7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3.3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315"/>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Բնապահպանական հարկ և բնօգտագործման վճար</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3.9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5.0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1A6F13">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lang w:val="en-US"/>
              </w:rPr>
              <w:t>Ա</w:t>
            </w:r>
            <w:r w:rsidRPr="001F63BA">
              <w:rPr>
                <w:rFonts w:ascii="GHEA Grapalat" w:hAnsi="GHEA Grapalat" w:cs="Calibri"/>
                <w:sz w:val="18"/>
                <w:szCs w:val="18"/>
              </w:rPr>
              <w:t>յլ հարկեր</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3.0 </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 xml:space="preserve">2.9 </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315"/>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ind w:firstLineChars="100" w:firstLine="180"/>
              <w:rPr>
                <w:rFonts w:ascii="GHEA Grapalat" w:hAnsi="GHEA Grapalat" w:cs="Calibri"/>
                <w:sz w:val="18"/>
                <w:szCs w:val="18"/>
              </w:rPr>
            </w:pPr>
            <w:r w:rsidRPr="001F63BA">
              <w:rPr>
                <w:rFonts w:ascii="GHEA Grapalat" w:hAnsi="GHEA Grapalat" w:cs="Calibri"/>
                <w:sz w:val="18"/>
                <w:szCs w:val="18"/>
              </w:rPr>
              <w:t>Հարկերի անցումային գերավճարից մարված հարկային պարտավորություններ</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(0.3)</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(0.0)</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rPr>
            </w:pPr>
            <w:r w:rsidRPr="001F63BA">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Courier New" w:hAnsi="Courier New" w:cs="Courier New"/>
                <w:sz w:val="18"/>
                <w:szCs w:val="18"/>
              </w:rPr>
            </w:pPr>
          </w:p>
        </w:tc>
      </w:tr>
      <w:tr w:rsidR="001C411D" w:rsidRPr="001F63BA" w:rsidTr="002502CA">
        <w:trPr>
          <w:trHeight w:val="289"/>
        </w:trPr>
        <w:tc>
          <w:tcPr>
            <w:tcW w:w="4219" w:type="dxa"/>
            <w:tcBorders>
              <w:top w:val="nil"/>
              <w:left w:val="single" w:sz="4" w:space="0" w:color="auto"/>
              <w:bottom w:val="single" w:sz="4" w:space="0" w:color="auto"/>
              <w:right w:val="single" w:sz="4" w:space="0" w:color="auto"/>
            </w:tcBorders>
            <w:vAlign w:val="bottom"/>
          </w:tcPr>
          <w:p w:rsidR="001C411D" w:rsidRPr="001F63BA" w:rsidRDefault="001C411D" w:rsidP="002502CA">
            <w:pPr>
              <w:rPr>
                <w:rFonts w:ascii="GHEA Grapalat" w:hAnsi="GHEA Grapalat" w:cs="Calibri"/>
                <w:b/>
                <w:bCs/>
                <w:sz w:val="18"/>
                <w:szCs w:val="18"/>
              </w:rPr>
            </w:pPr>
            <w:r w:rsidRPr="001F63BA">
              <w:rPr>
                <w:rFonts w:ascii="GHEA Grapalat" w:hAnsi="GHEA Grapalat" w:cs="Calibri"/>
                <w:b/>
                <w:bCs/>
                <w:sz w:val="18"/>
                <w:szCs w:val="18"/>
              </w:rPr>
              <w:t>2. Պետական տուրք</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4.2</w:t>
            </w:r>
          </w:p>
        </w:tc>
        <w:tc>
          <w:tcPr>
            <w:tcW w:w="1418"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5.5</w:t>
            </w:r>
          </w:p>
        </w:tc>
        <w:tc>
          <w:tcPr>
            <w:tcW w:w="1559"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bCs/>
                <w:sz w:val="18"/>
                <w:szCs w:val="18"/>
              </w:rPr>
            </w:pPr>
          </w:p>
        </w:tc>
        <w:tc>
          <w:tcPr>
            <w:tcW w:w="1418" w:type="dxa"/>
            <w:tcBorders>
              <w:top w:val="nil"/>
              <w:left w:val="nil"/>
              <w:bottom w:val="single" w:sz="4" w:space="0" w:color="auto"/>
              <w:right w:val="single" w:sz="4" w:space="0" w:color="auto"/>
            </w:tcBorders>
            <w:vAlign w:val="bottom"/>
          </w:tcPr>
          <w:p w:rsidR="001C411D" w:rsidRPr="001F63BA" w:rsidRDefault="001C411D" w:rsidP="001A6F13">
            <w:pPr>
              <w:jc w:val="right"/>
              <w:rPr>
                <w:rFonts w:ascii="GHEA Grapalat" w:hAnsi="GHEA Grapalat" w:cs="Calibri"/>
                <w:b/>
                <w:bCs/>
                <w:sz w:val="18"/>
                <w:szCs w:val="18"/>
              </w:rPr>
            </w:pPr>
          </w:p>
        </w:tc>
      </w:tr>
    </w:tbl>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2F7E29">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Հաշվետու ժամանակահատվածի հարկային եկամուտների և պետական տուրքերի 35.3%</w:t>
      </w:r>
      <w:r w:rsidRPr="001F63BA">
        <w:rPr>
          <w:rFonts w:ascii="GHEA Grapalat" w:hAnsi="GHEA Grapalat" w:cs="GHEA Grapalat"/>
          <w:sz w:val="22"/>
          <w:szCs w:val="22"/>
        </w:rPr>
        <w:noBreakHyphen/>
        <w:t xml:space="preserve">ն ապահովվել է </w:t>
      </w:r>
      <w:r w:rsidRPr="001F63BA">
        <w:rPr>
          <w:rFonts w:ascii="GHEA Grapalat" w:hAnsi="GHEA Grapalat" w:cs="GHEA Grapalat"/>
          <w:i/>
          <w:sz w:val="22"/>
          <w:szCs w:val="22"/>
        </w:rPr>
        <w:t>ավելացված արժեքի հարկի</w:t>
      </w:r>
      <w:r w:rsidRPr="001F63BA">
        <w:rPr>
          <w:rFonts w:ascii="GHEA Grapalat" w:hAnsi="GHEA Grapalat" w:cs="GHEA Grapalat"/>
          <w:sz w:val="22"/>
          <w:szCs w:val="22"/>
        </w:rPr>
        <w:t xml:space="preserve"> հաշվին: Նախորդ տարվա համեմատ ԱԱՀ-ի մուտքերի աճը </w:t>
      </w:r>
      <w:r w:rsidRPr="001F63BA">
        <w:rPr>
          <w:rFonts w:ascii="GHEA Grapalat" w:hAnsi="GHEA Grapalat" w:cs="GHEA Grapalat"/>
          <w:sz w:val="22"/>
          <w:szCs w:val="22"/>
          <w:lang w:val="en-US"/>
        </w:rPr>
        <w:t xml:space="preserve">հիմնականում </w:t>
      </w:r>
      <w:r w:rsidRPr="001F63BA">
        <w:rPr>
          <w:rFonts w:ascii="GHEA Grapalat" w:hAnsi="GHEA Grapalat" w:cs="GHEA Grapalat"/>
          <w:sz w:val="22"/>
          <w:szCs w:val="22"/>
        </w:rPr>
        <w:t>պայմանավորված է ներմուծ</w:t>
      </w:r>
      <w:r w:rsidRPr="001F63BA">
        <w:rPr>
          <w:rFonts w:ascii="GHEA Grapalat" w:hAnsi="GHEA Grapalat" w:cs="GHEA Grapalat"/>
          <w:sz w:val="22"/>
          <w:szCs w:val="22"/>
          <w:lang w:val="en-US"/>
        </w:rPr>
        <w:t>ումից</w:t>
      </w:r>
      <w:r w:rsidRPr="001F63BA">
        <w:rPr>
          <w:rFonts w:ascii="GHEA Grapalat" w:hAnsi="GHEA Grapalat" w:cs="GHEA Grapalat"/>
          <w:sz w:val="22"/>
          <w:szCs w:val="22"/>
        </w:rPr>
        <w:t xml:space="preserve"> մուտքերի աճով:</w:t>
      </w:r>
    </w:p>
    <w:p w:rsidR="001C411D" w:rsidRPr="001F63BA" w:rsidRDefault="001C411D" w:rsidP="002F7E29">
      <w:pPr>
        <w:ind w:firstLine="567"/>
        <w:jc w:val="both"/>
        <w:rPr>
          <w:rFonts w:ascii="GHEA Grapalat" w:hAnsi="GHEA Grapalat" w:cs="GHEA Grapalat"/>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ԱԱՀ-ի գծով ՀՀ պետական բյուջեի մուտքերը (մլրդ դրամ)</w:t>
      </w:r>
    </w:p>
    <w:tbl>
      <w:tblPr>
        <w:tblW w:w="10205" w:type="dxa"/>
        <w:tblLook w:val="00A0" w:firstRow="1" w:lastRow="0" w:firstColumn="1" w:lastColumn="0" w:noHBand="0" w:noVBand="0"/>
      </w:tblPr>
      <w:tblGrid>
        <w:gridCol w:w="4479"/>
        <w:gridCol w:w="1405"/>
        <w:gridCol w:w="1593"/>
        <w:gridCol w:w="1372"/>
        <w:gridCol w:w="1356"/>
      </w:tblGrid>
      <w:tr w:rsidR="001C411D" w:rsidRPr="001F63BA" w:rsidTr="002F7E29">
        <w:trPr>
          <w:trHeight w:val="855"/>
        </w:trPr>
        <w:tc>
          <w:tcPr>
            <w:tcW w:w="4479"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2F7E29">
            <w:pPr>
              <w:rPr>
                <w:rFonts w:ascii="GHEA Grapalat" w:hAnsi="GHEA Grapalat" w:cs="Calibri"/>
                <w:sz w:val="18"/>
                <w:szCs w:val="18"/>
              </w:rPr>
            </w:pPr>
            <w:r w:rsidRPr="001F63BA">
              <w:rPr>
                <w:rFonts w:ascii="Courier New" w:hAnsi="Courier New" w:cs="Courier New"/>
                <w:sz w:val="18"/>
                <w:szCs w:val="18"/>
              </w:rPr>
              <w:t> </w:t>
            </w:r>
          </w:p>
        </w:tc>
        <w:tc>
          <w:tcPr>
            <w:tcW w:w="1405" w:type="dxa"/>
            <w:tcBorders>
              <w:top w:val="single" w:sz="4" w:space="0" w:color="auto"/>
              <w:left w:val="nil"/>
              <w:bottom w:val="single" w:sz="4" w:space="0" w:color="auto"/>
              <w:right w:val="single" w:sz="4" w:space="0" w:color="auto"/>
            </w:tcBorders>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593"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372"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356"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4D1B50">
        <w:trPr>
          <w:trHeight w:val="289"/>
        </w:trPr>
        <w:tc>
          <w:tcPr>
            <w:tcW w:w="4479" w:type="dxa"/>
            <w:tcBorders>
              <w:top w:val="nil"/>
              <w:left w:val="single" w:sz="4" w:space="0" w:color="auto"/>
              <w:bottom w:val="single" w:sz="4" w:space="0" w:color="auto"/>
              <w:right w:val="single" w:sz="4" w:space="0" w:color="auto"/>
            </w:tcBorders>
            <w:vAlign w:val="bottom"/>
          </w:tcPr>
          <w:p w:rsidR="001C411D" w:rsidRPr="001F63BA" w:rsidRDefault="001C411D" w:rsidP="004D1B50">
            <w:pPr>
              <w:rPr>
                <w:rFonts w:ascii="GHEA Grapalat" w:hAnsi="GHEA Grapalat" w:cs="Calibri"/>
                <w:b/>
                <w:bCs/>
                <w:sz w:val="18"/>
                <w:szCs w:val="18"/>
                <w:lang w:val="en-US"/>
              </w:rPr>
            </w:pPr>
            <w:r w:rsidRPr="001F63BA">
              <w:rPr>
                <w:rFonts w:ascii="GHEA Grapalat" w:hAnsi="GHEA Grapalat" w:cs="Calibri"/>
                <w:b/>
                <w:bCs/>
                <w:sz w:val="18"/>
                <w:szCs w:val="18"/>
              </w:rPr>
              <w:t>Ավելացված արժեքի հարկ</w:t>
            </w:r>
          </w:p>
        </w:tc>
        <w:tc>
          <w:tcPr>
            <w:tcW w:w="1405"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4D1B50">
            <w:pPr>
              <w:jc w:val="right"/>
              <w:rPr>
                <w:rFonts w:ascii="GHEA Grapalat" w:hAnsi="GHEA Grapalat" w:cs="Calibri"/>
                <w:b/>
                <w:bCs/>
                <w:sz w:val="18"/>
                <w:szCs w:val="18"/>
              </w:rPr>
            </w:pPr>
            <w:r w:rsidRPr="001F63BA">
              <w:rPr>
                <w:rFonts w:ascii="GHEA Grapalat" w:hAnsi="GHEA Grapalat" w:cs="Calibri"/>
                <w:b/>
                <w:bCs/>
                <w:sz w:val="18"/>
                <w:szCs w:val="18"/>
              </w:rPr>
              <w:t>556.0</w:t>
            </w:r>
          </w:p>
        </w:tc>
        <w:tc>
          <w:tcPr>
            <w:tcW w:w="1593" w:type="dxa"/>
            <w:tcBorders>
              <w:top w:val="nil"/>
              <w:left w:val="nil"/>
              <w:bottom w:val="single" w:sz="4" w:space="0" w:color="auto"/>
              <w:right w:val="single" w:sz="4" w:space="0" w:color="auto"/>
            </w:tcBorders>
            <w:noWrap/>
            <w:vAlign w:val="bottom"/>
          </w:tcPr>
          <w:p w:rsidR="001C411D" w:rsidRPr="001F63BA" w:rsidRDefault="001C411D" w:rsidP="004D1B50">
            <w:pPr>
              <w:jc w:val="right"/>
              <w:rPr>
                <w:rFonts w:ascii="GHEA Grapalat" w:hAnsi="GHEA Grapalat" w:cs="Calibri"/>
                <w:b/>
                <w:bCs/>
                <w:sz w:val="18"/>
                <w:szCs w:val="18"/>
              </w:rPr>
            </w:pPr>
            <w:r w:rsidRPr="001F63BA">
              <w:rPr>
                <w:rFonts w:ascii="GHEA Grapalat" w:hAnsi="GHEA Grapalat" w:cs="Calibri"/>
                <w:b/>
                <w:bCs/>
                <w:sz w:val="18"/>
                <w:szCs w:val="18"/>
              </w:rPr>
              <w:t>6</w:t>
            </w:r>
            <w:r w:rsidRPr="001F63BA">
              <w:rPr>
                <w:rFonts w:ascii="GHEA Grapalat" w:hAnsi="GHEA Grapalat" w:cs="Calibri"/>
                <w:b/>
                <w:bCs/>
                <w:sz w:val="18"/>
                <w:szCs w:val="18"/>
                <w:lang w:val="en-US"/>
              </w:rPr>
              <w:t>79</w:t>
            </w:r>
            <w:r w:rsidRPr="001F63BA">
              <w:rPr>
                <w:rFonts w:ascii="GHEA Grapalat" w:hAnsi="GHEA Grapalat" w:cs="Calibri"/>
                <w:b/>
                <w:bCs/>
                <w:sz w:val="18"/>
                <w:szCs w:val="18"/>
              </w:rPr>
              <w:t>.</w:t>
            </w:r>
            <w:r w:rsidRPr="001F63BA">
              <w:rPr>
                <w:rFonts w:ascii="GHEA Grapalat" w:hAnsi="GHEA Grapalat" w:cs="Calibri"/>
                <w:b/>
                <w:bCs/>
                <w:sz w:val="18"/>
                <w:szCs w:val="18"/>
                <w:lang w:val="en-US"/>
              </w:rPr>
              <w:t>6</w:t>
            </w:r>
          </w:p>
        </w:tc>
        <w:tc>
          <w:tcPr>
            <w:tcW w:w="1372"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b/>
                <w:bCs/>
                <w:sz w:val="18"/>
                <w:szCs w:val="18"/>
              </w:rPr>
            </w:pPr>
            <w:r w:rsidRPr="001F63BA">
              <w:rPr>
                <w:rFonts w:ascii="GHEA Grapalat" w:hAnsi="GHEA Grapalat" w:cs="Calibri"/>
                <w:b/>
                <w:bCs/>
                <w:sz w:val="18"/>
                <w:szCs w:val="18"/>
              </w:rPr>
              <w:t>1</w:t>
            </w:r>
            <w:r w:rsidRPr="001F63BA">
              <w:rPr>
                <w:rFonts w:ascii="GHEA Grapalat" w:hAnsi="GHEA Grapalat" w:cs="Calibri"/>
                <w:b/>
                <w:bCs/>
                <w:sz w:val="18"/>
                <w:szCs w:val="18"/>
                <w:lang w:val="en-US"/>
              </w:rPr>
              <w:t>22</w:t>
            </w:r>
            <w:r w:rsidRPr="001F63BA">
              <w:rPr>
                <w:rFonts w:ascii="GHEA Grapalat" w:hAnsi="GHEA Grapalat" w:cs="Calibri"/>
                <w:b/>
                <w:bCs/>
                <w:sz w:val="18"/>
                <w:szCs w:val="18"/>
              </w:rPr>
              <w:t>.</w:t>
            </w:r>
            <w:r w:rsidRPr="001F63BA">
              <w:rPr>
                <w:rFonts w:ascii="GHEA Grapalat" w:hAnsi="GHEA Grapalat" w:cs="Calibri"/>
                <w:b/>
                <w:bCs/>
                <w:sz w:val="18"/>
                <w:szCs w:val="18"/>
                <w:lang w:val="en-US"/>
              </w:rPr>
              <w:t>2</w:t>
            </w:r>
          </w:p>
        </w:tc>
        <w:tc>
          <w:tcPr>
            <w:tcW w:w="1356"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b/>
                <w:bCs/>
                <w:sz w:val="18"/>
                <w:szCs w:val="18"/>
                <w:lang w:val="en-US"/>
              </w:rPr>
            </w:pPr>
            <w:r w:rsidRPr="001F63BA">
              <w:rPr>
                <w:rFonts w:ascii="GHEA Grapalat" w:hAnsi="GHEA Grapalat" w:cs="Calibri"/>
                <w:b/>
                <w:bCs/>
                <w:sz w:val="18"/>
                <w:szCs w:val="18"/>
                <w:lang w:val="en-US"/>
              </w:rPr>
              <w:t>123</w:t>
            </w:r>
            <w:r w:rsidRPr="001F63BA">
              <w:rPr>
                <w:rFonts w:ascii="GHEA Grapalat" w:hAnsi="GHEA Grapalat" w:cs="Calibri"/>
                <w:b/>
                <w:bCs/>
                <w:sz w:val="18"/>
                <w:szCs w:val="18"/>
              </w:rPr>
              <w:t>.</w:t>
            </w:r>
            <w:r w:rsidRPr="001F63BA">
              <w:rPr>
                <w:rFonts w:ascii="GHEA Grapalat" w:hAnsi="GHEA Grapalat" w:cs="Calibri"/>
                <w:b/>
                <w:bCs/>
                <w:sz w:val="18"/>
                <w:szCs w:val="18"/>
                <w:lang w:val="en-US"/>
              </w:rPr>
              <w:t>6</w:t>
            </w:r>
          </w:p>
        </w:tc>
      </w:tr>
      <w:tr w:rsidR="001C411D" w:rsidRPr="001F63BA" w:rsidTr="004D1B50">
        <w:trPr>
          <w:trHeight w:val="289"/>
        </w:trPr>
        <w:tc>
          <w:tcPr>
            <w:tcW w:w="4479" w:type="dxa"/>
            <w:tcBorders>
              <w:top w:val="nil"/>
              <w:left w:val="single" w:sz="4" w:space="0" w:color="auto"/>
              <w:bottom w:val="single" w:sz="4" w:space="0" w:color="auto"/>
              <w:right w:val="single" w:sz="4" w:space="0" w:color="auto"/>
            </w:tcBorders>
            <w:noWrap/>
            <w:vAlign w:val="bottom"/>
          </w:tcPr>
          <w:p w:rsidR="001C411D" w:rsidRPr="001F63BA" w:rsidRDefault="001C411D" w:rsidP="004D1B50">
            <w:pPr>
              <w:ind w:firstLineChars="100" w:firstLine="180"/>
              <w:rPr>
                <w:rFonts w:ascii="GHEA Grapalat" w:hAnsi="GHEA Grapalat" w:cs="Calibri"/>
                <w:sz w:val="18"/>
                <w:szCs w:val="18"/>
              </w:rPr>
            </w:pPr>
            <w:r w:rsidRPr="001F63BA">
              <w:rPr>
                <w:rFonts w:ascii="GHEA Grapalat" w:hAnsi="GHEA Grapalat" w:cs="Calibri"/>
                <w:sz w:val="18"/>
                <w:szCs w:val="18"/>
              </w:rPr>
              <w:t>Ներմուծումից, այդ թվում՝</w:t>
            </w:r>
          </w:p>
        </w:tc>
        <w:tc>
          <w:tcPr>
            <w:tcW w:w="1405" w:type="dxa"/>
            <w:tcBorders>
              <w:top w:val="nil"/>
              <w:left w:val="single" w:sz="4" w:space="0" w:color="auto"/>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rPr>
            </w:pPr>
            <w:r w:rsidRPr="001F63BA">
              <w:rPr>
                <w:rFonts w:ascii="GHEA Grapalat" w:hAnsi="GHEA Grapalat" w:cs="Calibri"/>
                <w:sz w:val="18"/>
                <w:szCs w:val="18"/>
              </w:rPr>
              <w:t>336.7</w:t>
            </w:r>
          </w:p>
        </w:tc>
        <w:tc>
          <w:tcPr>
            <w:tcW w:w="1593" w:type="dxa"/>
            <w:tcBorders>
              <w:top w:val="nil"/>
              <w:left w:val="nil"/>
              <w:bottom w:val="single" w:sz="4" w:space="0" w:color="auto"/>
              <w:right w:val="single" w:sz="4" w:space="0" w:color="auto"/>
            </w:tcBorders>
            <w:noWrap/>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lang w:val="en-US"/>
              </w:rPr>
              <w:t>44</w:t>
            </w:r>
            <w:r w:rsidRPr="001F63BA">
              <w:rPr>
                <w:rFonts w:ascii="GHEA Grapalat" w:hAnsi="GHEA Grapalat" w:cs="Calibri"/>
                <w:sz w:val="18"/>
                <w:szCs w:val="18"/>
              </w:rPr>
              <w:t>3.</w:t>
            </w:r>
            <w:r w:rsidRPr="001F63BA">
              <w:rPr>
                <w:rFonts w:ascii="GHEA Grapalat" w:hAnsi="GHEA Grapalat" w:cs="Calibri"/>
                <w:sz w:val="18"/>
                <w:szCs w:val="18"/>
                <w:lang w:val="en-US"/>
              </w:rPr>
              <w:t>1</w:t>
            </w:r>
          </w:p>
        </w:tc>
        <w:tc>
          <w:tcPr>
            <w:tcW w:w="1372"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rPr>
            </w:pPr>
            <w:r w:rsidRPr="001F63BA">
              <w:rPr>
                <w:rFonts w:ascii="GHEA Grapalat" w:hAnsi="GHEA Grapalat" w:cs="Calibri"/>
                <w:sz w:val="18"/>
                <w:szCs w:val="18"/>
              </w:rPr>
              <w:t>1</w:t>
            </w:r>
            <w:r w:rsidRPr="001F63BA">
              <w:rPr>
                <w:rFonts w:ascii="GHEA Grapalat" w:hAnsi="GHEA Grapalat" w:cs="Calibri"/>
                <w:sz w:val="18"/>
                <w:szCs w:val="18"/>
                <w:lang w:val="en-US"/>
              </w:rPr>
              <w:t>31</w:t>
            </w:r>
            <w:r w:rsidRPr="001F63BA">
              <w:rPr>
                <w:rFonts w:ascii="GHEA Grapalat" w:hAnsi="GHEA Grapalat" w:cs="Calibri"/>
                <w:sz w:val="18"/>
                <w:szCs w:val="18"/>
              </w:rPr>
              <w:t>.6</w:t>
            </w:r>
          </w:p>
        </w:tc>
        <w:tc>
          <w:tcPr>
            <w:tcW w:w="1356"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lang w:val="en-US"/>
              </w:rPr>
              <w:t>106</w:t>
            </w:r>
            <w:r w:rsidRPr="001F63BA">
              <w:rPr>
                <w:rFonts w:ascii="GHEA Grapalat" w:hAnsi="GHEA Grapalat" w:cs="Calibri"/>
                <w:sz w:val="18"/>
                <w:szCs w:val="18"/>
              </w:rPr>
              <w:t>.</w:t>
            </w:r>
            <w:r w:rsidRPr="001F63BA">
              <w:rPr>
                <w:rFonts w:ascii="GHEA Grapalat" w:hAnsi="GHEA Grapalat" w:cs="Calibri"/>
                <w:sz w:val="18"/>
                <w:szCs w:val="18"/>
                <w:lang w:val="en-US"/>
              </w:rPr>
              <w:t>3</w:t>
            </w:r>
          </w:p>
        </w:tc>
      </w:tr>
      <w:tr w:rsidR="001C411D" w:rsidRPr="001F63BA" w:rsidTr="004D1B50">
        <w:trPr>
          <w:trHeight w:val="289"/>
        </w:trPr>
        <w:tc>
          <w:tcPr>
            <w:tcW w:w="4479" w:type="dxa"/>
            <w:tcBorders>
              <w:top w:val="nil"/>
              <w:left w:val="single" w:sz="4" w:space="0" w:color="auto"/>
              <w:bottom w:val="single" w:sz="4" w:space="0" w:color="auto"/>
              <w:right w:val="single" w:sz="4" w:space="0" w:color="auto"/>
            </w:tcBorders>
            <w:noWrap/>
            <w:vAlign w:val="bottom"/>
          </w:tcPr>
          <w:p w:rsidR="001C411D" w:rsidRPr="001F63BA" w:rsidRDefault="001C411D" w:rsidP="00BB1B4B">
            <w:pPr>
              <w:pStyle w:val="ListParagraph"/>
              <w:numPr>
                <w:ilvl w:val="0"/>
                <w:numId w:val="27"/>
              </w:numPr>
              <w:tabs>
                <w:tab w:val="left" w:pos="459"/>
              </w:tabs>
              <w:spacing w:after="0" w:line="240" w:lineRule="auto"/>
              <w:ind w:left="34" w:firstLine="236"/>
              <w:rPr>
                <w:rFonts w:ascii="GHEA Grapalat" w:hAnsi="GHEA Grapalat"/>
                <w:sz w:val="18"/>
                <w:szCs w:val="18"/>
                <w:lang w:val="hy-AM"/>
              </w:rPr>
            </w:pPr>
            <w:r w:rsidRPr="001F63BA">
              <w:rPr>
                <w:rFonts w:ascii="GHEA Grapalat" w:hAnsi="GHEA Grapalat"/>
                <w:sz w:val="18"/>
                <w:szCs w:val="18"/>
                <w:lang w:val="hy-AM"/>
              </w:rPr>
              <w:t>ԵԱՏՄ երկրներից</w:t>
            </w:r>
          </w:p>
        </w:tc>
        <w:tc>
          <w:tcPr>
            <w:tcW w:w="1405" w:type="dxa"/>
            <w:tcBorders>
              <w:top w:val="nil"/>
              <w:left w:val="single" w:sz="4" w:space="0" w:color="auto"/>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rPr>
            </w:pPr>
            <w:r w:rsidRPr="001F63BA">
              <w:rPr>
                <w:rFonts w:ascii="GHEA Grapalat" w:hAnsi="GHEA Grapalat" w:cs="Calibri"/>
                <w:sz w:val="18"/>
                <w:szCs w:val="18"/>
              </w:rPr>
              <w:t>137.4</w:t>
            </w:r>
          </w:p>
        </w:tc>
        <w:tc>
          <w:tcPr>
            <w:tcW w:w="1593" w:type="dxa"/>
            <w:tcBorders>
              <w:top w:val="nil"/>
              <w:left w:val="nil"/>
              <w:bottom w:val="single" w:sz="4" w:space="0" w:color="auto"/>
              <w:right w:val="single" w:sz="4" w:space="0" w:color="auto"/>
            </w:tcBorders>
            <w:noWrap/>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60</w:t>
            </w:r>
            <w:r w:rsidRPr="001F63BA">
              <w:rPr>
                <w:rFonts w:ascii="GHEA Grapalat" w:hAnsi="GHEA Grapalat" w:cs="Calibri"/>
                <w:sz w:val="18"/>
                <w:szCs w:val="18"/>
              </w:rPr>
              <w:t>.</w:t>
            </w:r>
            <w:r w:rsidRPr="001F63BA">
              <w:rPr>
                <w:rFonts w:ascii="GHEA Grapalat" w:hAnsi="GHEA Grapalat" w:cs="Calibri"/>
                <w:sz w:val="18"/>
                <w:szCs w:val="18"/>
                <w:lang w:val="en-US"/>
              </w:rPr>
              <w:t>1</w:t>
            </w:r>
          </w:p>
        </w:tc>
        <w:tc>
          <w:tcPr>
            <w:tcW w:w="1372"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16</w:t>
            </w:r>
            <w:r w:rsidRPr="001F63BA">
              <w:rPr>
                <w:rFonts w:ascii="GHEA Grapalat" w:hAnsi="GHEA Grapalat" w:cs="Calibri"/>
                <w:sz w:val="18"/>
                <w:szCs w:val="18"/>
              </w:rPr>
              <w:t>.</w:t>
            </w:r>
            <w:r w:rsidRPr="001F63BA">
              <w:rPr>
                <w:rFonts w:ascii="GHEA Grapalat" w:hAnsi="GHEA Grapalat" w:cs="Calibri"/>
                <w:sz w:val="18"/>
                <w:szCs w:val="18"/>
                <w:lang w:val="en-US"/>
              </w:rPr>
              <w:t>5</w:t>
            </w:r>
          </w:p>
        </w:tc>
        <w:tc>
          <w:tcPr>
            <w:tcW w:w="1356"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lang w:val="en-US"/>
              </w:rPr>
              <w:t>22</w:t>
            </w:r>
            <w:r w:rsidRPr="001F63BA">
              <w:rPr>
                <w:rFonts w:ascii="GHEA Grapalat" w:hAnsi="GHEA Grapalat" w:cs="Calibri"/>
                <w:sz w:val="18"/>
                <w:szCs w:val="18"/>
              </w:rPr>
              <w:t>.</w:t>
            </w:r>
            <w:r w:rsidRPr="001F63BA">
              <w:rPr>
                <w:rFonts w:ascii="GHEA Grapalat" w:hAnsi="GHEA Grapalat" w:cs="Calibri"/>
                <w:sz w:val="18"/>
                <w:szCs w:val="18"/>
                <w:lang w:val="en-US"/>
              </w:rPr>
              <w:t>7</w:t>
            </w:r>
          </w:p>
        </w:tc>
      </w:tr>
      <w:tr w:rsidR="001C411D" w:rsidRPr="001F63BA" w:rsidTr="004D1B50">
        <w:trPr>
          <w:trHeight w:val="289"/>
        </w:trPr>
        <w:tc>
          <w:tcPr>
            <w:tcW w:w="4479" w:type="dxa"/>
            <w:tcBorders>
              <w:top w:val="nil"/>
              <w:left w:val="single" w:sz="4" w:space="0" w:color="auto"/>
              <w:bottom w:val="single" w:sz="4" w:space="0" w:color="auto"/>
              <w:right w:val="single" w:sz="4" w:space="0" w:color="auto"/>
            </w:tcBorders>
            <w:noWrap/>
            <w:vAlign w:val="bottom"/>
          </w:tcPr>
          <w:p w:rsidR="001C411D" w:rsidRPr="001F63BA" w:rsidRDefault="001C411D" w:rsidP="004D1B50">
            <w:pPr>
              <w:ind w:firstLineChars="100" w:firstLine="180"/>
              <w:rPr>
                <w:rFonts w:ascii="GHEA Grapalat" w:hAnsi="GHEA Grapalat" w:cs="Calibri"/>
                <w:sz w:val="18"/>
                <w:szCs w:val="18"/>
              </w:rPr>
            </w:pPr>
            <w:r w:rsidRPr="001F63BA">
              <w:rPr>
                <w:rFonts w:ascii="GHEA Grapalat" w:hAnsi="GHEA Grapalat" w:cs="Calibri"/>
                <w:sz w:val="18"/>
                <w:szCs w:val="18"/>
              </w:rPr>
              <w:t>Ներքին շրջանառությունից</w:t>
            </w:r>
          </w:p>
        </w:tc>
        <w:tc>
          <w:tcPr>
            <w:tcW w:w="1405" w:type="dxa"/>
            <w:tcBorders>
              <w:top w:val="nil"/>
              <w:left w:val="single" w:sz="4" w:space="0" w:color="auto"/>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rPr>
            </w:pPr>
            <w:r w:rsidRPr="001F63BA">
              <w:rPr>
                <w:rFonts w:ascii="GHEA Grapalat" w:hAnsi="GHEA Grapalat" w:cs="Calibri"/>
                <w:sz w:val="18"/>
                <w:szCs w:val="18"/>
              </w:rPr>
              <w:t>219.2</w:t>
            </w:r>
          </w:p>
        </w:tc>
        <w:tc>
          <w:tcPr>
            <w:tcW w:w="1593" w:type="dxa"/>
            <w:tcBorders>
              <w:top w:val="nil"/>
              <w:left w:val="nil"/>
              <w:bottom w:val="single" w:sz="4" w:space="0" w:color="auto"/>
              <w:right w:val="single" w:sz="4" w:space="0" w:color="auto"/>
            </w:tcBorders>
            <w:noWrap/>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rPr>
              <w:t>2</w:t>
            </w:r>
            <w:r w:rsidRPr="001F63BA">
              <w:rPr>
                <w:rFonts w:ascii="GHEA Grapalat" w:hAnsi="GHEA Grapalat" w:cs="Calibri"/>
                <w:sz w:val="18"/>
                <w:szCs w:val="18"/>
                <w:lang w:val="en-US"/>
              </w:rPr>
              <w:t>36</w:t>
            </w:r>
            <w:r w:rsidRPr="001F63BA">
              <w:rPr>
                <w:rFonts w:ascii="GHEA Grapalat" w:hAnsi="GHEA Grapalat" w:cs="Calibri"/>
                <w:sz w:val="18"/>
                <w:szCs w:val="18"/>
              </w:rPr>
              <w:t>.</w:t>
            </w:r>
            <w:r w:rsidRPr="001F63BA">
              <w:rPr>
                <w:rFonts w:ascii="GHEA Grapalat" w:hAnsi="GHEA Grapalat" w:cs="Calibri"/>
                <w:sz w:val="18"/>
                <w:szCs w:val="18"/>
                <w:lang w:val="en-US"/>
              </w:rPr>
              <w:t>5</w:t>
            </w:r>
          </w:p>
        </w:tc>
        <w:tc>
          <w:tcPr>
            <w:tcW w:w="1372"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07</w:t>
            </w:r>
            <w:r w:rsidRPr="001F63BA">
              <w:rPr>
                <w:rFonts w:ascii="GHEA Grapalat" w:hAnsi="GHEA Grapalat" w:cs="Calibri"/>
                <w:sz w:val="18"/>
                <w:szCs w:val="18"/>
              </w:rPr>
              <w:t>.</w:t>
            </w:r>
            <w:r w:rsidRPr="001F63BA">
              <w:rPr>
                <w:rFonts w:ascii="GHEA Grapalat" w:hAnsi="GHEA Grapalat" w:cs="Calibri"/>
                <w:sz w:val="18"/>
                <w:szCs w:val="18"/>
                <w:lang w:val="en-US"/>
              </w:rPr>
              <w:t>9</w:t>
            </w:r>
          </w:p>
        </w:tc>
        <w:tc>
          <w:tcPr>
            <w:tcW w:w="1356" w:type="dxa"/>
            <w:tcBorders>
              <w:top w:val="nil"/>
              <w:left w:val="nil"/>
              <w:bottom w:val="single" w:sz="4" w:space="0" w:color="auto"/>
              <w:right w:val="single" w:sz="4" w:space="0" w:color="auto"/>
            </w:tcBorders>
            <w:vAlign w:val="bottom"/>
          </w:tcPr>
          <w:p w:rsidR="001C411D" w:rsidRPr="001F63BA" w:rsidRDefault="001C411D" w:rsidP="004D1B50">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7</w:t>
            </w:r>
            <w:r w:rsidRPr="001F63BA">
              <w:rPr>
                <w:rFonts w:ascii="GHEA Grapalat" w:hAnsi="GHEA Grapalat" w:cs="Calibri"/>
                <w:sz w:val="18"/>
                <w:szCs w:val="18"/>
              </w:rPr>
              <w:t>.</w:t>
            </w:r>
            <w:r w:rsidRPr="001F63BA">
              <w:rPr>
                <w:rFonts w:ascii="GHEA Grapalat" w:hAnsi="GHEA Grapalat" w:cs="Calibri"/>
                <w:sz w:val="18"/>
                <w:szCs w:val="18"/>
                <w:lang w:val="en-US"/>
              </w:rPr>
              <w:t>3</w:t>
            </w:r>
          </w:p>
        </w:tc>
      </w:tr>
    </w:tbl>
    <w:p w:rsidR="001C411D" w:rsidRPr="001F63BA" w:rsidRDefault="001C411D" w:rsidP="002F7E29">
      <w:pPr>
        <w:spacing w:line="360" w:lineRule="auto"/>
        <w:ind w:firstLine="567"/>
        <w:jc w:val="both"/>
        <w:rPr>
          <w:rFonts w:ascii="GHEA Grapalat" w:hAnsi="GHEA Grapalat" w:cs="GHEA Grapalat"/>
        </w:rPr>
      </w:pPr>
    </w:p>
    <w:p w:rsidR="001C411D" w:rsidRPr="001F63BA" w:rsidRDefault="001C411D" w:rsidP="0048439E">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2022 թվականի արդյունքներով արձանագրվել է ՀՆԱ-ի</w:t>
      </w:r>
      <w:r w:rsidRPr="001F63BA">
        <w:rPr>
          <w:rFonts w:ascii="GHEA Grapalat" w:hAnsi="GHEA Grapalat" w:cs="Sylfaen"/>
          <w:sz w:val="22"/>
          <w:szCs w:val="22"/>
          <w:lang w:val="en-US"/>
        </w:rPr>
        <w:t xml:space="preserve"> </w:t>
      </w:r>
      <w:r w:rsidRPr="001F63BA">
        <w:rPr>
          <w:rFonts w:ascii="GHEA Grapalat" w:hAnsi="GHEA Grapalat" w:cs="Sylfaen"/>
          <w:sz w:val="22"/>
          <w:szCs w:val="22"/>
        </w:rPr>
        <w:t>8,496.8</w:t>
      </w:r>
      <w:r w:rsidRPr="001F63BA">
        <w:rPr>
          <w:rFonts w:ascii="GHEA Grapalat" w:hAnsi="GHEA Grapalat" w:cs="Sylfaen"/>
          <w:sz w:val="22"/>
          <w:szCs w:val="22"/>
          <w:lang w:val="en-US"/>
        </w:rPr>
        <w:t xml:space="preserve"> </w:t>
      </w:r>
      <w:r w:rsidRPr="001F63BA">
        <w:rPr>
          <w:rFonts w:ascii="GHEA Grapalat" w:hAnsi="GHEA Grapalat" w:cs="Sylfaen"/>
          <w:sz w:val="22"/>
          <w:szCs w:val="22"/>
        </w:rPr>
        <w:t>մլրդ դրամ մակարդակ՝ կանխատեսված 7,869.4 մլրդ դրամի դիմաց: ՀՆԱ-ի փաստացի</w:t>
      </w:r>
      <w:r w:rsidRPr="001F63BA">
        <w:rPr>
          <w:rFonts w:ascii="GHEA Grapalat" w:hAnsi="GHEA Grapalat" w:cs="Sylfaen"/>
          <w:sz w:val="22"/>
          <w:szCs w:val="22"/>
          <w:lang w:val="en-US"/>
        </w:rPr>
        <w:t xml:space="preserve"> և </w:t>
      </w:r>
      <w:r w:rsidRPr="001F63BA">
        <w:rPr>
          <w:rFonts w:ascii="GHEA Grapalat" w:hAnsi="GHEA Grapalat" w:cs="Sylfaen"/>
          <w:sz w:val="22"/>
          <w:szCs w:val="22"/>
        </w:rPr>
        <w:t>կանխատեսված ցուցանիշների տարբերությունը կազմում է 627.4 մլրդ դրամ: Վերջինս, այլ հավասար պայմաններում, համարժեք է 5</w:t>
      </w:r>
      <w:r w:rsidRPr="001F63BA">
        <w:rPr>
          <w:rFonts w:ascii="GHEA Grapalat" w:hAnsi="GHEA Grapalat" w:cs="Sylfaen"/>
          <w:sz w:val="22"/>
          <w:szCs w:val="22"/>
          <w:lang w:val="en-US"/>
        </w:rPr>
        <w:t>0</w:t>
      </w:r>
      <w:r w:rsidRPr="001F63BA">
        <w:rPr>
          <w:rFonts w:ascii="GHEA Grapalat" w:hAnsi="GHEA Grapalat" w:cs="Sylfaen"/>
          <w:sz w:val="22"/>
          <w:szCs w:val="22"/>
        </w:rPr>
        <w:t>.</w:t>
      </w:r>
      <w:r w:rsidRPr="001F63BA">
        <w:rPr>
          <w:rFonts w:ascii="GHEA Grapalat" w:hAnsi="GHEA Grapalat" w:cs="Sylfaen"/>
          <w:sz w:val="22"/>
          <w:szCs w:val="22"/>
          <w:lang w:val="en-US"/>
        </w:rPr>
        <w:t>3</w:t>
      </w:r>
      <w:r w:rsidRPr="001F63BA">
        <w:rPr>
          <w:rFonts w:ascii="GHEA Grapalat" w:hAnsi="GHEA Grapalat" w:cs="Sylfaen"/>
          <w:sz w:val="22"/>
          <w:szCs w:val="22"/>
        </w:rPr>
        <w:t xml:space="preserve"> մլրդ դրամ ԱԱՀ</w:t>
      </w:r>
      <w:r w:rsidRPr="001F63BA">
        <w:rPr>
          <w:rFonts w:ascii="GHEA Grapalat" w:hAnsi="GHEA Grapalat" w:cs="Sylfaen"/>
          <w:sz w:val="22"/>
          <w:szCs w:val="22"/>
        </w:rPr>
        <w:noBreakHyphen/>
        <w:t>ի` հաշվի առնելով 2022 թվականի</w:t>
      </w:r>
      <w:r w:rsidRPr="001F63BA">
        <w:rPr>
          <w:rFonts w:ascii="GHEA Grapalat" w:hAnsi="GHEA Grapalat" w:cs="Sylfaen"/>
          <w:sz w:val="22"/>
          <w:szCs w:val="22"/>
          <w:lang w:val="en-US"/>
        </w:rPr>
        <w:t>ն</w:t>
      </w:r>
      <w:r w:rsidRPr="001F63BA">
        <w:rPr>
          <w:rFonts w:ascii="GHEA Grapalat" w:hAnsi="GHEA Grapalat" w:cs="Sylfaen"/>
          <w:sz w:val="22"/>
          <w:szCs w:val="22"/>
        </w:rPr>
        <w:t xml:space="preserve"> հարկային եկամուտներ և պետական տուրքեր/ՀՆԱ հարաբերակցությ</w:t>
      </w:r>
      <w:r w:rsidRPr="001F63BA">
        <w:rPr>
          <w:rFonts w:ascii="GHEA Grapalat" w:hAnsi="GHEA Grapalat" w:cs="Sylfaen"/>
          <w:sz w:val="22"/>
          <w:szCs w:val="22"/>
          <w:lang w:val="en-US"/>
        </w:rPr>
        <w:t xml:space="preserve">ան փաստացի ցուցանիշը՝ </w:t>
      </w:r>
      <w:r w:rsidRPr="001F63BA">
        <w:rPr>
          <w:rFonts w:ascii="GHEA Grapalat" w:hAnsi="GHEA Grapalat" w:cs="Sylfaen"/>
          <w:sz w:val="22"/>
          <w:szCs w:val="22"/>
        </w:rPr>
        <w:t>2</w:t>
      </w:r>
      <w:r w:rsidRPr="001F63BA">
        <w:rPr>
          <w:rFonts w:ascii="GHEA Grapalat" w:hAnsi="GHEA Grapalat" w:cs="Sylfaen"/>
          <w:sz w:val="22"/>
          <w:szCs w:val="22"/>
          <w:lang w:val="en-US"/>
        </w:rPr>
        <w:t>2.7</w:t>
      </w:r>
      <w:r w:rsidRPr="001F63BA">
        <w:rPr>
          <w:rFonts w:ascii="GHEA Grapalat" w:hAnsi="GHEA Grapalat" w:cs="Sylfaen"/>
          <w:sz w:val="22"/>
          <w:szCs w:val="22"/>
        </w:rPr>
        <w:t>%</w:t>
      </w:r>
      <w:r w:rsidRPr="001F63BA">
        <w:rPr>
          <w:rFonts w:ascii="GHEA Grapalat" w:hAnsi="GHEA Grapalat" w:cs="Sylfaen"/>
          <w:sz w:val="22"/>
          <w:szCs w:val="22"/>
          <w:lang w:val="en-US"/>
        </w:rPr>
        <w:t>-ը,</w:t>
      </w:r>
      <w:r w:rsidRPr="001F63BA">
        <w:rPr>
          <w:rFonts w:ascii="GHEA Grapalat" w:hAnsi="GHEA Grapalat" w:cs="Sylfaen"/>
          <w:sz w:val="22"/>
          <w:szCs w:val="22"/>
        </w:rPr>
        <w:t xml:space="preserve"> և ԱԱՀ-ի փաստացի մուտքերի կշիռը (35.3%) հարկային եկամուտների և պետական տուրքերի մեջ (627.4*2</w:t>
      </w:r>
      <w:r w:rsidRPr="001F63BA">
        <w:rPr>
          <w:rFonts w:ascii="GHEA Grapalat" w:hAnsi="GHEA Grapalat" w:cs="Sylfaen"/>
          <w:sz w:val="22"/>
          <w:szCs w:val="22"/>
          <w:lang w:val="en-US"/>
        </w:rPr>
        <w:t>2.7</w:t>
      </w:r>
      <w:r w:rsidRPr="001F63BA">
        <w:rPr>
          <w:rFonts w:ascii="GHEA Grapalat" w:hAnsi="GHEA Grapalat" w:cs="Sylfaen"/>
          <w:sz w:val="22"/>
          <w:szCs w:val="22"/>
        </w:rPr>
        <w:t xml:space="preserve">%*35.3%): ԱԱՀ-ի </w:t>
      </w:r>
      <w:r w:rsidRPr="001F63BA">
        <w:rPr>
          <w:rFonts w:ascii="GHEA Grapalat" w:hAnsi="GHEA Grapalat" w:cs="Sylfaen"/>
          <w:sz w:val="22"/>
          <w:szCs w:val="22"/>
        </w:rPr>
        <w:lastRenderedPageBreak/>
        <w:t xml:space="preserve">մուտքերի վրա դրական ազդեցություն </w:t>
      </w:r>
      <w:r w:rsidRPr="001F63BA">
        <w:rPr>
          <w:rFonts w:ascii="GHEA Grapalat" w:hAnsi="GHEA Grapalat" w:cs="Sylfaen"/>
          <w:sz w:val="22"/>
          <w:szCs w:val="22"/>
          <w:lang w:val="en-US"/>
        </w:rPr>
        <w:t>են</w:t>
      </w:r>
      <w:r w:rsidRPr="001F63BA">
        <w:rPr>
          <w:rFonts w:ascii="GHEA Grapalat" w:hAnsi="GHEA Grapalat" w:cs="Sylfaen"/>
          <w:sz w:val="22"/>
          <w:szCs w:val="22"/>
        </w:rPr>
        <w:t xml:space="preserve"> գործել տնտեսական գործունեության ոլորտներում ստեղծված ավելացված արժեքների և սպառման ծավալների աճը, ինչպես նաև ներմուծման աճը: ԱԱՀ-ի գծով մուտքերի վրա ազդող դրական գործոններից հարկ է նշել գնաճի գործոնը, որը պայմանավորված է վերջին տարիների համար աննախադեպ` սպառողական գների 8.6% և ներմուծման գների 4.8% աճով: Մյուս առանցքային ուղղությունը հարկային վարչարարության արդյունավետության բարձրացման հաշվին հարկային հսկողության և կանխարգելիչ միջոցառումների արդյունքում հավաքագրված լրացուցիչ մուտքերի աճն է, որով էլ պայմանավորված՝ հնարավոր է եղել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w:t>
      </w:r>
      <w:r w:rsidRPr="001F63BA">
        <w:rPr>
          <w:rFonts w:ascii="GHEA Grapalat" w:hAnsi="GHEA Grapalat" w:cs="Sylfaen"/>
          <w:sz w:val="22"/>
          <w:szCs w:val="22"/>
        </w:rPr>
        <w:softHyphen/>
        <w:t>քում հարկ վճարողներին վերադարձնել</w:t>
      </w:r>
      <w:r w:rsidRPr="001F63BA">
        <w:rPr>
          <w:rFonts w:ascii="GHEA Grapalat" w:hAnsi="GHEA Grapalat" w:cs="Sylfaen"/>
          <w:sz w:val="22"/>
          <w:szCs w:val="22"/>
          <w:lang w:val="en-US"/>
        </w:rPr>
        <w:t xml:space="preserve"> 6</w:t>
      </w:r>
      <w:r w:rsidRPr="001F63BA">
        <w:rPr>
          <w:rFonts w:ascii="GHEA Grapalat" w:hAnsi="GHEA Grapalat" w:cs="Sylfaen"/>
          <w:sz w:val="22"/>
          <w:szCs w:val="22"/>
        </w:rPr>
        <w:t>6.</w:t>
      </w:r>
      <w:r w:rsidRPr="001F63BA">
        <w:rPr>
          <w:rFonts w:ascii="GHEA Grapalat" w:hAnsi="GHEA Grapalat" w:cs="Sylfaen"/>
          <w:sz w:val="22"/>
          <w:szCs w:val="22"/>
          <w:lang w:val="en-US"/>
        </w:rPr>
        <w:t>1</w:t>
      </w:r>
      <w:r w:rsidRPr="001F63BA">
        <w:rPr>
          <w:rFonts w:ascii="GHEA Grapalat" w:hAnsi="GHEA Grapalat" w:cs="Sylfaen"/>
          <w:sz w:val="22"/>
          <w:szCs w:val="22"/>
        </w:rPr>
        <w:t xml:space="preserve"> մլրդ դրամով (45.1%-ով) ավել ԱԱՀ, քան նախորդ տարի: Վերջինս, ինչպես նշվել է, բացասական ազդեցություն է ունեցել ԱԱՀ-ի գծով մուտքերի վրա, որոնք 2022 թվականին կազմել են 212.8 մլրդ դրամ:</w:t>
      </w:r>
    </w:p>
    <w:p w:rsidR="001C411D" w:rsidRPr="001F63BA" w:rsidRDefault="001C411D" w:rsidP="0048439E">
      <w:pPr>
        <w:autoSpaceDE w:val="0"/>
        <w:autoSpaceDN w:val="0"/>
        <w:adjustRightInd w:val="0"/>
        <w:spacing w:line="360" w:lineRule="auto"/>
        <w:ind w:firstLine="567"/>
        <w:jc w:val="both"/>
        <w:rPr>
          <w:rFonts w:ascii="GHEA Grapalat" w:hAnsi="GHEA Grapalat" w:cs="Sylfaen"/>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bCs w:val="0"/>
          <w:i/>
          <w:sz w:val="18"/>
          <w:szCs w:val="18"/>
        </w:rPr>
      </w:pPr>
      <w:r w:rsidRPr="001F63BA">
        <w:rPr>
          <w:rFonts w:ascii="GHEA Grapalat" w:hAnsi="GHEA Grapalat"/>
          <w:bCs w:val="0"/>
          <w:i/>
          <w:sz w:val="18"/>
          <w:szCs w:val="18"/>
        </w:rPr>
        <w:t xml:space="preserve">2021-2022թթ. ԱԱՀ-ի վերադարձը (մլրդ դրամ) </w:t>
      </w:r>
    </w:p>
    <w:tbl>
      <w:tblPr>
        <w:tblW w:w="10221" w:type="dxa"/>
        <w:tblInd w:w="93" w:type="dxa"/>
        <w:tblLook w:val="00A0" w:firstRow="1" w:lastRow="0" w:firstColumn="1" w:lastColumn="0" w:noHBand="0" w:noVBand="0"/>
      </w:tblPr>
      <w:tblGrid>
        <w:gridCol w:w="4332"/>
        <w:gridCol w:w="1760"/>
        <w:gridCol w:w="1436"/>
        <w:gridCol w:w="1470"/>
        <w:gridCol w:w="1223"/>
      </w:tblGrid>
      <w:tr w:rsidR="001C411D" w:rsidRPr="001F63BA" w:rsidTr="003F102C">
        <w:trPr>
          <w:trHeight w:val="660"/>
        </w:trPr>
        <w:tc>
          <w:tcPr>
            <w:tcW w:w="4332"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3F102C">
            <w:pPr>
              <w:rPr>
                <w:rFonts w:ascii="GHEA Grapalat" w:hAnsi="GHEA Grapalat" w:cs="Calibri"/>
                <w:sz w:val="20"/>
                <w:szCs w:val="20"/>
              </w:rPr>
            </w:pPr>
            <w:r w:rsidRPr="001F63BA">
              <w:rPr>
                <w:rFonts w:ascii="Courier New" w:hAnsi="Courier New" w:cs="Courier New"/>
                <w:sz w:val="20"/>
                <w:szCs w:val="20"/>
              </w:rPr>
              <w:t> </w:t>
            </w:r>
          </w:p>
        </w:tc>
        <w:tc>
          <w:tcPr>
            <w:tcW w:w="1760" w:type="dxa"/>
            <w:tcBorders>
              <w:top w:val="single" w:sz="4" w:space="0" w:color="auto"/>
              <w:left w:val="nil"/>
              <w:bottom w:val="single" w:sz="4" w:space="0" w:color="auto"/>
              <w:right w:val="single" w:sz="4" w:space="0" w:color="auto"/>
            </w:tcBorders>
            <w:noWrap/>
          </w:tcPr>
          <w:p w:rsidR="001C411D" w:rsidRPr="001F63BA" w:rsidRDefault="001C411D" w:rsidP="003F102C">
            <w:pPr>
              <w:jc w:val="cente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436" w:type="dxa"/>
            <w:tcBorders>
              <w:top w:val="single" w:sz="4" w:space="0" w:color="auto"/>
              <w:left w:val="nil"/>
              <w:bottom w:val="single" w:sz="4" w:space="0" w:color="auto"/>
              <w:right w:val="single" w:sz="4" w:space="0" w:color="auto"/>
            </w:tcBorders>
            <w:noWrap/>
          </w:tcPr>
          <w:p w:rsidR="001C411D" w:rsidRPr="001F63BA" w:rsidRDefault="001C411D" w:rsidP="003F102C">
            <w:pPr>
              <w:jc w:val="cente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470" w:type="dxa"/>
            <w:tcBorders>
              <w:top w:val="single" w:sz="4" w:space="0" w:color="auto"/>
              <w:left w:val="nil"/>
              <w:bottom w:val="single" w:sz="4" w:space="0" w:color="auto"/>
              <w:right w:val="single" w:sz="4" w:space="0" w:color="auto"/>
            </w:tcBorders>
          </w:tcPr>
          <w:p w:rsidR="001C411D" w:rsidRPr="001F63BA" w:rsidRDefault="001C411D" w:rsidP="003F102C">
            <w:pPr>
              <w:jc w:val="center"/>
              <w:rPr>
                <w:rFonts w:ascii="GHEA Grapalat" w:hAnsi="GHEA Grapalat" w:cs="Calibri"/>
                <w:b/>
                <w:bCs/>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p>
          <w:p w:rsidR="001C411D" w:rsidRPr="001F63BA" w:rsidRDefault="001C411D" w:rsidP="003F102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-ի</w:t>
            </w:r>
            <w:r w:rsidRPr="001F63BA">
              <w:rPr>
                <w:rFonts w:ascii="GHEA Grapalat" w:hAnsi="GHEA Grapalat" w:cs="Calibri"/>
                <w:b/>
                <w:bCs/>
                <w:sz w:val="18"/>
                <w:szCs w:val="18"/>
              </w:rPr>
              <w:t xml:space="preserve"> նկատմամբ</w:t>
            </w:r>
          </w:p>
          <w:p w:rsidR="001C411D" w:rsidRPr="001F63BA" w:rsidRDefault="001C411D" w:rsidP="003F102C">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23" w:type="dxa"/>
            <w:tcBorders>
              <w:top w:val="single" w:sz="4" w:space="0" w:color="auto"/>
              <w:left w:val="nil"/>
              <w:bottom w:val="single" w:sz="4" w:space="0" w:color="auto"/>
              <w:right w:val="single" w:sz="4" w:space="0" w:color="auto"/>
            </w:tcBorders>
            <w:noWrap/>
          </w:tcPr>
          <w:p w:rsidR="001C411D" w:rsidRPr="001F63BA" w:rsidRDefault="001C411D" w:rsidP="003F102C">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3F102C">
        <w:trPr>
          <w:trHeight w:val="279"/>
        </w:trPr>
        <w:tc>
          <w:tcPr>
            <w:tcW w:w="4332" w:type="dxa"/>
            <w:tcBorders>
              <w:top w:val="nil"/>
              <w:left w:val="single" w:sz="4" w:space="0" w:color="auto"/>
              <w:bottom w:val="single" w:sz="4" w:space="0" w:color="auto"/>
              <w:right w:val="single" w:sz="4" w:space="0" w:color="auto"/>
            </w:tcBorders>
            <w:noWrap/>
            <w:vAlign w:val="bottom"/>
          </w:tcPr>
          <w:p w:rsidR="001C411D" w:rsidRPr="001F63BA" w:rsidRDefault="001C411D" w:rsidP="003F102C">
            <w:pPr>
              <w:rPr>
                <w:rFonts w:ascii="GHEA Grapalat" w:hAnsi="GHEA Grapalat" w:cs="Calibri"/>
                <w:b/>
                <w:bCs/>
                <w:sz w:val="18"/>
                <w:szCs w:val="18"/>
                <w:lang w:val="en-US"/>
              </w:rPr>
            </w:pPr>
            <w:r w:rsidRPr="001F63BA">
              <w:rPr>
                <w:rFonts w:ascii="GHEA Grapalat" w:hAnsi="GHEA Grapalat" w:cs="Calibri"/>
                <w:b/>
                <w:bCs/>
                <w:sz w:val="18"/>
                <w:szCs w:val="18"/>
              </w:rPr>
              <w:t>Ընդամենը</w:t>
            </w:r>
            <w:r w:rsidRPr="001F63BA">
              <w:rPr>
                <w:rFonts w:ascii="GHEA Grapalat" w:hAnsi="GHEA Grapalat" w:cs="Calibri"/>
                <w:b/>
                <w:bCs/>
                <w:sz w:val="18"/>
                <w:szCs w:val="18"/>
                <w:lang w:val="en-US"/>
              </w:rPr>
              <w:t xml:space="preserve"> ԱԱՀ-ի գծով</w:t>
            </w:r>
            <w:r w:rsidRPr="001F63BA">
              <w:rPr>
                <w:rFonts w:ascii="GHEA Grapalat" w:hAnsi="GHEA Grapalat" w:cs="Calibri"/>
                <w:b/>
                <w:bCs/>
                <w:sz w:val="18"/>
                <w:szCs w:val="18"/>
              </w:rPr>
              <w:t xml:space="preserve"> վերադարձված գումարներ</w:t>
            </w:r>
            <w:r w:rsidRPr="001F63BA">
              <w:rPr>
                <w:rFonts w:ascii="GHEA Grapalat" w:hAnsi="GHEA Grapalat" w:cs="Calibri"/>
                <w:b/>
                <w:bCs/>
                <w:sz w:val="18"/>
                <w:szCs w:val="18"/>
                <w:lang w:val="en-US"/>
              </w:rPr>
              <w:t>, այդ թվում՝</w:t>
            </w:r>
          </w:p>
        </w:tc>
        <w:tc>
          <w:tcPr>
            <w:tcW w:w="176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bCs/>
                <w:sz w:val="18"/>
                <w:szCs w:val="18"/>
                <w:lang w:val="en-US"/>
              </w:rPr>
            </w:pPr>
            <w:r w:rsidRPr="001F63BA">
              <w:rPr>
                <w:rFonts w:ascii="GHEA Grapalat" w:hAnsi="GHEA Grapalat" w:cs="Calibri"/>
                <w:b/>
                <w:bCs/>
                <w:sz w:val="18"/>
                <w:szCs w:val="18"/>
              </w:rPr>
              <w:t>146.7</w:t>
            </w:r>
          </w:p>
        </w:tc>
        <w:tc>
          <w:tcPr>
            <w:tcW w:w="1436"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bCs/>
                <w:sz w:val="18"/>
                <w:szCs w:val="18"/>
                <w:lang w:val="en-US"/>
              </w:rPr>
            </w:pPr>
            <w:r w:rsidRPr="001F63BA">
              <w:rPr>
                <w:rFonts w:ascii="GHEA Grapalat" w:hAnsi="GHEA Grapalat" w:cs="Calibri"/>
                <w:b/>
                <w:bCs/>
                <w:sz w:val="18"/>
                <w:szCs w:val="18"/>
              </w:rPr>
              <w:t>212.8</w:t>
            </w:r>
          </w:p>
        </w:tc>
        <w:tc>
          <w:tcPr>
            <w:tcW w:w="147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sz w:val="18"/>
                <w:szCs w:val="18"/>
              </w:rPr>
            </w:pPr>
            <w:r w:rsidRPr="001F63BA">
              <w:rPr>
                <w:rFonts w:ascii="GHEA Grapalat" w:hAnsi="GHEA Grapalat" w:cs="Calibri"/>
                <w:b/>
                <w:sz w:val="18"/>
                <w:szCs w:val="18"/>
              </w:rPr>
              <w:t>145.1</w:t>
            </w:r>
          </w:p>
        </w:tc>
        <w:tc>
          <w:tcPr>
            <w:tcW w:w="1223"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b/>
                <w:sz w:val="18"/>
                <w:szCs w:val="18"/>
                <w:lang w:val="en-US"/>
              </w:rPr>
            </w:pPr>
            <w:r w:rsidRPr="001F63BA">
              <w:rPr>
                <w:rFonts w:ascii="GHEA Grapalat" w:hAnsi="GHEA Grapalat" w:cs="Calibri"/>
                <w:b/>
                <w:sz w:val="18"/>
                <w:szCs w:val="18"/>
              </w:rPr>
              <w:t>66.1</w:t>
            </w:r>
          </w:p>
        </w:tc>
      </w:tr>
      <w:tr w:rsidR="001C411D" w:rsidRPr="001F63BA" w:rsidTr="003F102C">
        <w:trPr>
          <w:trHeight w:val="279"/>
        </w:trPr>
        <w:tc>
          <w:tcPr>
            <w:tcW w:w="4332" w:type="dxa"/>
            <w:tcBorders>
              <w:top w:val="nil"/>
              <w:left w:val="single" w:sz="4" w:space="0" w:color="auto"/>
              <w:bottom w:val="single" w:sz="4" w:space="0" w:color="auto"/>
              <w:right w:val="single" w:sz="4" w:space="0" w:color="auto"/>
            </w:tcBorders>
            <w:noWrap/>
            <w:vAlign w:val="bottom"/>
          </w:tcPr>
          <w:p w:rsidR="001C411D" w:rsidRPr="001F63BA" w:rsidRDefault="001C411D" w:rsidP="003F102C">
            <w:pPr>
              <w:ind w:left="333"/>
              <w:rPr>
                <w:rFonts w:ascii="GHEA Grapalat" w:hAnsi="GHEA Grapalat" w:cs="Calibri"/>
                <w:sz w:val="18"/>
                <w:szCs w:val="18"/>
              </w:rPr>
            </w:pPr>
            <w:r w:rsidRPr="001F63BA">
              <w:rPr>
                <w:rFonts w:ascii="GHEA Grapalat" w:hAnsi="GHEA Grapalat" w:cs="Calibri"/>
                <w:sz w:val="18"/>
                <w:szCs w:val="18"/>
              </w:rPr>
              <w:t>Արտահանողներին ԱԱՀ-ի փոխհատուցվ</w:t>
            </w:r>
            <w:r w:rsidRPr="001F63BA">
              <w:rPr>
                <w:rFonts w:ascii="GHEA Grapalat" w:hAnsi="GHEA Grapalat" w:cs="Calibri"/>
                <w:sz w:val="18"/>
                <w:szCs w:val="18"/>
                <w:lang w:val="en-US"/>
              </w:rPr>
              <w:t>ած</w:t>
            </w:r>
            <w:r w:rsidRPr="001F63BA">
              <w:rPr>
                <w:rFonts w:ascii="GHEA Grapalat" w:hAnsi="GHEA Grapalat" w:cs="Calibri"/>
                <w:sz w:val="18"/>
                <w:szCs w:val="18"/>
              </w:rPr>
              <w:t xml:space="preserve"> գումարներ</w:t>
            </w:r>
          </w:p>
        </w:tc>
        <w:tc>
          <w:tcPr>
            <w:tcW w:w="176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lang w:val="en-US"/>
              </w:rPr>
            </w:pPr>
            <w:r w:rsidRPr="001F63BA">
              <w:rPr>
                <w:rFonts w:ascii="GHEA Grapalat" w:hAnsi="GHEA Grapalat" w:cs="Calibri"/>
                <w:sz w:val="18"/>
                <w:szCs w:val="18"/>
              </w:rPr>
              <w:t xml:space="preserve"> 146.2</w:t>
            </w:r>
          </w:p>
        </w:tc>
        <w:tc>
          <w:tcPr>
            <w:tcW w:w="1436"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lang w:val="en-US"/>
              </w:rPr>
            </w:pPr>
            <w:r w:rsidRPr="001F63BA">
              <w:rPr>
                <w:rFonts w:ascii="GHEA Grapalat" w:hAnsi="GHEA Grapalat" w:cs="Calibri"/>
                <w:sz w:val="18"/>
                <w:szCs w:val="18"/>
              </w:rPr>
              <w:t xml:space="preserve"> 211.8</w:t>
            </w:r>
          </w:p>
        </w:tc>
        <w:tc>
          <w:tcPr>
            <w:tcW w:w="147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rPr>
            </w:pPr>
            <w:r w:rsidRPr="001F63BA">
              <w:rPr>
                <w:rFonts w:ascii="GHEA Grapalat" w:hAnsi="GHEA Grapalat" w:cs="Calibri"/>
                <w:sz w:val="18"/>
                <w:szCs w:val="18"/>
              </w:rPr>
              <w:t>144.9</w:t>
            </w:r>
          </w:p>
        </w:tc>
        <w:tc>
          <w:tcPr>
            <w:tcW w:w="1223"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lang w:val="en-US"/>
              </w:rPr>
            </w:pPr>
            <w:r w:rsidRPr="001F63BA">
              <w:rPr>
                <w:rFonts w:ascii="GHEA Grapalat" w:hAnsi="GHEA Grapalat" w:cs="Calibri"/>
                <w:sz w:val="18"/>
                <w:szCs w:val="18"/>
              </w:rPr>
              <w:t>65.6</w:t>
            </w:r>
          </w:p>
        </w:tc>
      </w:tr>
      <w:tr w:rsidR="001C411D" w:rsidRPr="001F63BA" w:rsidTr="003F102C">
        <w:trPr>
          <w:trHeight w:val="334"/>
        </w:trPr>
        <w:tc>
          <w:tcPr>
            <w:tcW w:w="4332" w:type="dxa"/>
            <w:tcBorders>
              <w:top w:val="nil"/>
              <w:left w:val="single" w:sz="4" w:space="0" w:color="auto"/>
              <w:bottom w:val="single" w:sz="4" w:space="0" w:color="auto"/>
              <w:right w:val="single" w:sz="4" w:space="0" w:color="auto"/>
            </w:tcBorders>
            <w:vAlign w:val="bottom"/>
          </w:tcPr>
          <w:p w:rsidR="001C411D" w:rsidRPr="001F63BA" w:rsidRDefault="001C411D" w:rsidP="003F102C">
            <w:pPr>
              <w:ind w:left="333"/>
              <w:rPr>
                <w:rFonts w:ascii="GHEA Grapalat" w:hAnsi="GHEA Grapalat" w:cs="Calibri"/>
                <w:sz w:val="18"/>
                <w:szCs w:val="18"/>
              </w:rPr>
            </w:pPr>
            <w:r w:rsidRPr="001F63BA">
              <w:rPr>
                <w:rFonts w:ascii="GHEA Grapalat" w:hAnsi="GHEA Grapalat" w:cs="Calibri"/>
                <w:sz w:val="18"/>
                <w:szCs w:val="18"/>
              </w:rPr>
              <w:t>Tax free հաշիվներով ԱԱՀ-ի վերադարձված գումարներ</w:t>
            </w:r>
          </w:p>
        </w:tc>
        <w:tc>
          <w:tcPr>
            <w:tcW w:w="176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lang w:val="en-US"/>
              </w:rPr>
            </w:pPr>
            <w:r w:rsidRPr="001F63BA">
              <w:rPr>
                <w:rFonts w:ascii="GHEA Grapalat" w:hAnsi="GHEA Grapalat" w:cs="Calibri"/>
                <w:sz w:val="18"/>
                <w:szCs w:val="18"/>
              </w:rPr>
              <w:t>0.5</w:t>
            </w:r>
          </w:p>
        </w:tc>
        <w:tc>
          <w:tcPr>
            <w:tcW w:w="1436"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lang w:val="en-US"/>
              </w:rPr>
            </w:pPr>
            <w:r w:rsidRPr="001F63BA">
              <w:rPr>
                <w:rFonts w:ascii="GHEA Grapalat" w:hAnsi="GHEA Grapalat" w:cs="Calibri"/>
                <w:sz w:val="18"/>
                <w:szCs w:val="18"/>
              </w:rPr>
              <w:t>1.0</w:t>
            </w:r>
          </w:p>
        </w:tc>
        <w:tc>
          <w:tcPr>
            <w:tcW w:w="1470"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rPr>
            </w:pPr>
            <w:r w:rsidRPr="001F63BA">
              <w:rPr>
                <w:rFonts w:ascii="GHEA Grapalat" w:hAnsi="GHEA Grapalat" w:cs="Calibri"/>
                <w:sz w:val="18"/>
                <w:szCs w:val="18"/>
              </w:rPr>
              <w:t>198.9</w:t>
            </w:r>
          </w:p>
        </w:tc>
        <w:tc>
          <w:tcPr>
            <w:tcW w:w="1223" w:type="dxa"/>
            <w:tcBorders>
              <w:top w:val="nil"/>
              <w:left w:val="nil"/>
              <w:bottom w:val="single" w:sz="4" w:space="0" w:color="auto"/>
              <w:right w:val="single" w:sz="4" w:space="0" w:color="auto"/>
            </w:tcBorders>
            <w:noWrap/>
            <w:vAlign w:val="bottom"/>
          </w:tcPr>
          <w:p w:rsidR="001C411D" w:rsidRPr="001F63BA" w:rsidRDefault="001C411D" w:rsidP="003F102C">
            <w:pPr>
              <w:jc w:val="right"/>
              <w:rPr>
                <w:rFonts w:ascii="GHEA Grapalat" w:hAnsi="GHEA Grapalat" w:cs="Calibri"/>
                <w:sz w:val="18"/>
                <w:szCs w:val="18"/>
                <w:lang w:val="en-US"/>
              </w:rPr>
            </w:pPr>
            <w:r w:rsidRPr="001F63BA">
              <w:rPr>
                <w:rFonts w:ascii="GHEA Grapalat" w:hAnsi="GHEA Grapalat" w:cs="Calibri"/>
                <w:sz w:val="18"/>
                <w:szCs w:val="18"/>
              </w:rPr>
              <w:t>0.5</w:t>
            </w:r>
          </w:p>
        </w:tc>
      </w:tr>
    </w:tbl>
    <w:p w:rsidR="001C411D" w:rsidRPr="007B7221" w:rsidRDefault="001C411D" w:rsidP="0048439E">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48439E">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sz w:val="22"/>
          <w:szCs w:val="22"/>
        </w:rPr>
        <w:t xml:space="preserve">ԱԱՀ-ի վերադարձը փաստացի մուտքերում ներառելու դեպքում ԱԱՀ-ի մուտքերի աճը կկազմի </w:t>
      </w:r>
      <w:r w:rsidRPr="001F63BA">
        <w:rPr>
          <w:rFonts w:ascii="GHEA Grapalat" w:hAnsi="GHEA Grapalat"/>
          <w:sz w:val="22"/>
          <w:szCs w:val="22"/>
          <w:lang w:val="en-US"/>
        </w:rPr>
        <w:t>27</w:t>
      </w:r>
      <w:r w:rsidRPr="001F63BA">
        <w:rPr>
          <w:rFonts w:ascii="GHEA Grapalat" w:hAnsi="GHEA Grapalat"/>
          <w:sz w:val="22"/>
          <w:szCs w:val="22"/>
        </w:rPr>
        <w:t xml:space="preserve">% կամ </w:t>
      </w:r>
      <w:r w:rsidRPr="001F63BA">
        <w:rPr>
          <w:rFonts w:ascii="GHEA Grapalat" w:hAnsi="GHEA Grapalat"/>
          <w:sz w:val="22"/>
          <w:szCs w:val="22"/>
          <w:lang w:val="en-US"/>
        </w:rPr>
        <w:t xml:space="preserve">189.7 </w:t>
      </w:r>
      <w:r w:rsidRPr="001F63BA">
        <w:rPr>
          <w:rFonts w:ascii="GHEA Grapalat" w:hAnsi="GHEA Grapalat"/>
          <w:sz w:val="22"/>
          <w:szCs w:val="22"/>
        </w:rPr>
        <w:t>մլրդ դրամ, որից 4.7 տոկոսային կետը</w:t>
      </w:r>
      <w:r w:rsidRPr="001F63BA">
        <w:rPr>
          <w:rFonts w:ascii="GHEA Grapalat" w:hAnsi="GHEA Grapalat" w:cs="Sylfaen"/>
          <w:sz w:val="22"/>
          <w:szCs w:val="22"/>
        </w:rPr>
        <w:t xml:space="preserve"> (լրացուցիչ աճի 17.4%</w:t>
      </w:r>
      <w:r w:rsidRPr="001F63BA">
        <w:rPr>
          <w:rFonts w:ascii="GHEA Grapalat" w:hAnsi="GHEA Grapalat" w:cs="Sylfaen"/>
          <w:sz w:val="22"/>
          <w:szCs w:val="22"/>
        </w:rPr>
        <w:noBreakHyphen/>
        <w:t xml:space="preserve">ը կամ 33 մլրդ դրամը) բաժին է ընկել հարկային վարչարարության արդյունավետության բարձրացման հաշվին հարկային հսկողության և կանխարգելիչ միջոցառումների արդյունքում հավաքագրված լրացուցիչ մուտքերի աճին, 9.7 տոկոսային կետը (լրացուցիչ աճի 35.9%-ը կամ 68.2 մլրդ դրամը)՝ գնաճին, իսկ մնացած 12.6 տոկոսային կետը (լրացուցիչ աճի 46.7%-ը կամ 88.5 մլրդ դրամը)՝ տնտեսական աճին: </w:t>
      </w:r>
    </w:p>
    <w:p w:rsidR="001C411D" w:rsidRPr="001F63BA" w:rsidRDefault="001C411D" w:rsidP="002F7E29">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2022 թվականի</w:t>
      </w:r>
      <w:r w:rsidRPr="001F63BA">
        <w:rPr>
          <w:rFonts w:ascii="GHEA Grapalat" w:hAnsi="GHEA Grapalat"/>
          <w:sz w:val="22"/>
          <w:szCs w:val="22"/>
        </w:rPr>
        <w:t xml:space="preserve">ն </w:t>
      </w:r>
      <w:r w:rsidRPr="001F63BA">
        <w:rPr>
          <w:rFonts w:ascii="GHEA Grapalat" w:hAnsi="GHEA Grapalat" w:cs="GHEA Grapalat"/>
          <w:sz w:val="22"/>
          <w:szCs w:val="22"/>
        </w:rPr>
        <w:t xml:space="preserve">պետական բյուջե մուտքագրված հարկային եկամուտների ու պետական տուրքերի </w:t>
      </w:r>
      <w:r w:rsidRPr="001F63BA">
        <w:rPr>
          <w:rFonts w:ascii="GHEA Grapalat" w:hAnsi="GHEA Grapalat" w:cs="GHEA Grapalat"/>
          <w:sz w:val="22"/>
          <w:szCs w:val="22"/>
          <w:lang w:val="en-US"/>
        </w:rPr>
        <w:t>6.6</w:t>
      </w:r>
      <w:r w:rsidRPr="001F63BA">
        <w:rPr>
          <w:rFonts w:ascii="GHEA Grapalat" w:hAnsi="GHEA Grapalat" w:cs="GHEA Grapalat"/>
          <w:sz w:val="22"/>
          <w:szCs w:val="22"/>
        </w:rPr>
        <w:t xml:space="preserve">%-ն ապահովվել է </w:t>
      </w:r>
      <w:r w:rsidRPr="001F63BA">
        <w:rPr>
          <w:rFonts w:ascii="GHEA Grapalat" w:hAnsi="GHEA Grapalat" w:cs="GHEA Grapalat"/>
          <w:i/>
          <w:sz w:val="22"/>
          <w:szCs w:val="22"/>
        </w:rPr>
        <w:t>ակցիզային հարկի</w:t>
      </w:r>
      <w:r w:rsidRPr="001F63BA">
        <w:rPr>
          <w:rFonts w:ascii="GHEA Grapalat" w:hAnsi="GHEA Grapalat" w:cs="GHEA Grapalat"/>
          <w:sz w:val="22"/>
          <w:szCs w:val="22"/>
        </w:rPr>
        <w:t xml:space="preserve"> հաշվին: </w:t>
      </w:r>
    </w:p>
    <w:p w:rsidR="001C411D" w:rsidRDefault="001C411D" w:rsidP="007B7221">
      <w:pPr>
        <w:spacing w:line="360" w:lineRule="auto"/>
        <w:ind w:firstLine="567"/>
        <w:jc w:val="both"/>
        <w:rPr>
          <w:rFonts w:ascii="GHEA Grapalat" w:hAnsi="GHEA Grapalat" w:cs="GHEA Grapalat"/>
          <w:sz w:val="22"/>
          <w:szCs w:val="22"/>
        </w:rPr>
      </w:pPr>
    </w:p>
    <w:p w:rsidR="009C20C7" w:rsidRDefault="009C20C7" w:rsidP="007B7221">
      <w:pPr>
        <w:spacing w:line="360" w:lineRule="auto"/>
        <w:ind w:firstLine="567"/>
        <w:jc w:val="both"/>
        <w:rPr>
          <w:rFonts w:ascii="GHEA Grapalat" w:hAnsi="GHEA Grapalat" w:cs="GHEA Grapalat"/>
          <w:sz w:val="22"/>
          <w:szCs w:val="22"/>
        </w:rPr>
      </w:pPr>
    </w:p>
    <w:p w:rsidR="009C20C7" w:rsidRPr="001F63BA" w:rsidRDefault="009C20C7" w:rsidP="007B7221">
      <w:pPr>
        <w:spacing w:line="360" w:lineRule="auto"/>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lastRenderedPageBreak/>
        <w:t>Ակցիզային հարկի գծով ՀՀ պետական բյուջեի մուտքերը (մլրդ դրամ)</w:t>
      </w:r>
    </w:p>
    <w:tbl>
      <w:tblPr>
        <w:tblW w:w="10206" w:type="dxa"/>
        <w:tblInd w:w="108" w:type="dxa"/>
        <w:tblLook w:val="00A0" w:firstRow="1" w:lastRow="0" w:firstColumn="1" w:lastColumn="0" w:noHBand="0" w:noVBand="0"/>
      </w:tblPr>
      <w:tblGrid>
        <w:gridCol w:w="4962"/>
        <w:gridCol w:w="1275"/>
        <w:gridCol w:w="1276"/>
        <w:gridCol w:w="1418"/>
        <w:gridCol w:w="1275"/>
      </w:tblGrid>
      <w:tr w:rsidR="001C411D" w:rsidRPr="001F63BA" w:rsidTr="001C5B47">
        <w:trPr>
          <w:trHeight w:val="855"/>
        </w:trPr>
        <w:tc>
          <w:tcPr>
            <w:tcW w:w="4962"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2F7E29">
            <w:pPr>
              <w:rPr>
                <w:rFonts w:ascii="GHEA Grapalat" w:hAnsi="GHEA Grapalat" w:cs="Calibri"/>
                <w:sz w:val="18"/>
                <w:szCs w:val="18"/>
              </w:rPr>
            </w:pPr>
            <w:r w:rsidRPr="001F63BA">
              <w:rPr>
                <w:rFonts w:ascii="Courier New" w:hAnsi="Courier New" w:cs="Courier New"/>
                <w:sz w:val="18"/>
                <w:szCs w:val="18"/>
              </w:rPr>
              <w:t> </w:t>
            </w:r>
          </w:p>
        </w:tc>
        <w:tc>
          <w:tcPr>
            <w:tcW w:w="1275" w:type="dxa"/>
            <w:tcBorders>
              <w:top w:val="single" w:sz="4" w:space="0" w:color="auto"/>
              <w:left w:val="nil"/>
              <w:bottom w:val="single" w:sz="4" w:space="0" w:color="auto"/>
              <w:right w:val="single" w:sz="4" w:space="0" w:color="auto"/>
            </w:tcBorders>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418"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75"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1C5B47">
        <w:trPr>
          <w:trHeight w:val="293"/>
        </w:trPr>
        <w:tc>
          <w:tcPr>
            <w:tcW w:w="4962" w:type="dxa"/>
            <w:tcBorders>
              <w:top w:val="nil"/>
              <w:left w:val="single" w:sz="4" w:space="0" w:color="auto"/>
              <w:bottom w:val="single" w:sz="4" w:space="0" w:color="auto"/>
              <w:right w:val="single" w:sz="4" w:space="0" w:color="auto"/>
            </w:tcBorders>
            <w:vAlign w:val="bottom"/>
          </w:tcPr>
          <w:p w:rsidR="001C411D" w:rsidRPr="001F63BA" w:rsidRDefault="001C411D" w:rsidP="001C5B47">
            <w:pPr>
              <w:rPr>
                <w:rFonts w:ascii="GHEA Grapalat" w:hAnsi="GHEA Grapalat" w:cs="Calibri"/>
                <w:b/>
                <w:bCs/>
                <w:sz w:val="18"/>
                <w:szCs w:val="18"/>
              </w:rPr>
            </w:pPr>
            <w:r w:rsidRPr="001F63BA">
              <w:rPr>
                <w:rFonts w:ascii="GHEA Grapalat" w:hAnsi="GHEA Grapalat" w:cs="Calibri"/>
                <w:b/>
                <w:bCs/>
                <w:sz w:val="18"/>
                <w:szCs w:val="18"/>
              </w:rPr>
              <w:t>Ակցիզային հարկ</w:t>
            </w:r>
          </w:p>
        </w:tc>
        <w:tc>
          <w:tcPr>
            <w:tcW w:w="1275"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1C5B47">
            <w:pPr>
              <w:jc w:val="right"/>
              <w:rPr>
                <w:rFonts w:ascii="GHEA Grapalat" w:hAnsi="GHEA Grapalat" w:cs="Calibri"/>
                <w:b/>
                <w:bCs/>
                <w:sz w:val="18"/>
                <w:szCs w:val="18"/>
              </w:rPr>
            </w:pPr>
            <w:r w:rsidRPr="001F63BA">
              <w:rPr>
                <w:rFonts w:ascii="GHEA Grapalat" w:hAnsi="GHEA Grapalat" w:cs="Calibri"/>
                <w:b/>
                <w:bCs/>
                <w:sz w:val="18"/>
                <w:szCs w:val="18"/>
              </w:rPr>
              <w:t>113.1</w:t>
            </w:r>
          </w:p>
        </w:tc>
        <w:tc>
          <w:tcPr>
            <w:tcW w:w="1276" w:type="dxa"/>
            <w:tcBorders>
              <w:top w:val="nil"/>
              <w:left w:val="nil"/>
              <w:bottom w:val="single" w:sz="4" w:space="0" w:color="auto"/>
              <w:right w:val="single" w:sz="4" w:space="0" w:color="auto"/>
            </w:tcBorders>
            <w:noWrap/>
            <w:vAlign w:val="bottom"/>
          </w:tcPr>
          <w:p w:rsidR="001C411D" w:rsidRPr="001F63BA" w:rsidRDefault="001C411D" w:rsidP="001C5B47">
            <w:pPr>
              <w:jc w:val="right"/>
              <w:rPr>
                <w:rFonts w:ascii="GHEA Grapalat" w:hAnsi="GHEA Grapalat" w:cs="Calibri"/>
                <w:b/>
                <w:bCs/>
                <w:sz w:val="18"/>
                <w:szCs w:val="18"/>
                <w:lang w:val="en-US"/>
              </w:rPr>
            </w:pPr>
            <w:r w:rsidRPr="001F63BA">
              <w:rPr>
                <w:rFonts w:ascii="GHEA Grapalat" w:hAnsi="GHEA Grapalat" w:cs="Calibri"/>
                <w:b/>
                <w:bCs/>
                <w:sz w:val="18"/>
                <w:szCs w:val="18"/>
              </w:rPr>
              <w:t>1</w:t>
            </w:r>
            <w:r w:rsidRPr="001F63BA">
              <w:rPr>
                <w:rFonts w:ascii="GHEA Grapalat" w:hAnsi="GHEA Grapalat" w:cs="Calibri"/>
                <w:b/>
                <w:bCs/>
                <w:sz w:val="18"/>
                <w:szCs w:val="18"/>
                <w:lang w:val="en-US"/>
              </w:rPr>
              <w:t>27</w:t>
            </w:r>
            <w:r w:rsidRPr="001F63BA">
              <w:rPr>
                <w:rFonts w:ascii="GHEA Grapalat" w:hAnsi="GHEA Grapalat" w:cs="Calibri"/>
                <w:b/>
                <w:bCs/>
                <w:sz w:val="18"/>
                <w:szCs w:val="18"/>
              </w:rPr>
              <w:t>.</w:t>
            </w:r>
            <w:r w:rsidRPr="001F63BA">
              <w:rPr>
                <w:rFonts w:ascii="GHEA Grapalat" w:hAnsi="GHEA Grapalat" w:cs="Calibri"/>
                <w:b/>
                <w:bCs/>
                <w:sz w:val="18"/>
                <w:szCs w:val="18"/>
                <w:lang w:val="en-US"/>
              </w:rPr>
              <w:t>5</w:t>
            </w:r>
          </w:p>
        </w:tc>
        <w:tc>
          <w:tcPr>
            <w:tcW w:w="1418"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b/>
                <w:bCs/>
                <w:sz w:val="18"/>
                <w:szCs w:val="18"/>
                <w:lang w:val="en-US"/>
              </w:rPr>
            </w:pPr>
            <w:r w:rsidRPr="001F63BA">
              <w:rPr>
                <w:rFonts w:ascii="GHEA Grapalat" w:hAnsi="GHEA Grapalat" w:cs="Calibri"/>
                <w:b/>
                <w:bCs/>
                <w:sz w:val="18"/>
                <w:szCs w:val="18"/>
                <w:lang w:val="en-US"/>
              </w:rPr>
              <w:t>1</w:t>
            </w:r>
            <w:r w:rsidRPr="001F63BA">
              <w:rPr>
                <w:rFonts w:ascii="GHEA Grapalat" w:hAnsi="GHEA Grapalat" w:cs="Calibri"/>
                <w:b/>
                <w:bCs/>
                <w:sz w:val="18"/>
                <w:szCs w:val="18"/>
              </w:rPr>
              <w:t>1</w:t>
            </w:r>
            <w:r w:rsidRPr="001F63BA">
              <w:rPr>
                <w:rFonts w:ascii="GHEA Grapalat" w:hAnsi="GHEA Grapalat" w:cs="Calibri"/>
                <w:b/>
                <w:bCs/>
                <w:sz w:val="18"/>
                <w:szCs w:val="18"/>
                <w:lang w:val="en-US"/>
              </w:rPr>
              <w:t>2</w:t>
            </w:r>
            <w:r w:rsidRPr="001F63BA">
              <w:rPr>
                <w:rFonts w:ascii="GHEA Grapalat" w:hAnsi="GHEA Grapalat" w:cs="Calibri"/>
                <w:b/>
                <w:bCs/>
                <w:sz w:val="18"/>
                <w:szCs w:val="18"/>
              </w:rPr>
              <w:t>.</w:t>
            </w:r>
            <w:r w:rsidRPr="001F63BA">
              <w:rPr>
                <w:rFonts w:ascii="GHEA Grapalat" w:hAnsi="GHEA Grapalat" w:cs="Calibri"/>
                <w:b/>
                <w:bCs/>
                <w:sz w:val="18"/>
                <w:szCs w:val="18"/>
                <w:lang w:val="en-US"/>
              </w:rPr>
              <w:t>7</w:t>
            </w:r>
          </w:p>
        </w:tc>
        <w:tc>
          <w:tcPr>
            <w:tcW w:w="1275"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b/>
                <w:bCs/>
                <w:sz w:val="18"/>
                <w:szCs w:val="18"/>
                <w:lang w:val="en-US"/>
              </w:rPr>
            </w:pPr>
            <w:r w:rsidRPr="001F63BA">
              <w:rPr>
                <w:rFonts w:ascii="GHEA Grapalat" w:hAnsi="GHEA Grapalat" w:cs="Calibri"/>
                <w:b/>
                <w:bCs/>
                <w:sz w:val="18"/>
                <w:szCs w:val="18"/>
              </w:rPr>
              <w:t>1</w:t>
            </w:r>
            <w:r w:rsidRPr="001F63BA">
              <w:rPr>
                <w:rFonts w:ascii="GHEA Grapalat" w:hAnsi="GHEA Grapalat" w:cs="Calibri"/>
                <w:b/>
                <w:bCs/>
                <w:sz w:val="18"/>
                <w:szCs w:val="18"/>
                <w:lang w:val="en-US"/>
              </w:rPr>
              <w:t>4</w:t>
            </w:r>
            <w:r w:rsidRPr="001F63BA">
              <w:rPr>
                <w:rFonts w:ascii="GHEA Grapalat" w:hAnsi="GHEA Grapalat" w:cs="Calibri"/>
                <w:b/>
                <w:bCs/>
                <w:sz w:val="18"/>
                <w:szCs w:val="18"/>
              </w:rPr>
              <w:t>.4</w:t>
            </w:r>
          </w:p>
        </w:tc>
      </w:tr>
      <w:tr w:rsidR="001C411D" w:rsidRPr="001F63BA" w:rsidTr="001C5B47">
        <w:trPr>
          <w:trHeight w:val="293"/>
        </w:trPr>
        <w:tc>
          <w:tcPr>
            <w:tcW w:w="4962" w:type="dxa"/>
            <w:tcBorders>
              <w:top w:val="nil"/>
              <w:left w:val="single" w:sz="4" w:space="0" w:color="auto"/>
              <w:bottom w:val="single" w:sz="4" w:space="0" w:color="auto"/>
              <w:right w:val="single" w:sz="4" w:space="0" w:color="auto"/>
            </w:tcBorders>
            <w:noWrap/>
            <w:vAlign w:val="bottom"/>
          </w:tcPr>
          <w:p w:rsidR="001C411D" w:rsidRPr="001F63BA" w:rsidRDefault="001C411D" w:rsidP="001C5B47">
            <w:pPr>
              <w:ind w:firstLineChars="100" w:firstLine="180"/>
              <w:rPr>
                <w:rFonts w:ascii="GHEA Grapalat" w:hAnsi="GHEA Grapalat" w:cs="Calibri"/>
                <w:sz w:val="18"/>
                <w:szCs w:val="18"/>
              </w:rPr>
            </w:pPr>
            <w:r w:rsidRPr="001F63BA">
              <w:rPr>
                <w:rFonts w:ascii="GHEA Grapalat" w:hAnsi="GHEA Grapalat" w:cs="Calibri"/>
                <w:sz w:val="18"/>
                <w:szCs w:val="18"/>
              </w:rPr>
              <w:t>Ներմուծվող ենթաակցիզային ապրանքներից, այդ թվում՝</w:t>
            </w:r>
          </w:p>
        </w:tc>
        <w:tc>
          <w:tcPr>
            <w:tcW w:w="1275" w:type="dxa"/>
            <w:tcBorders>
              <w:top w:val="nil"/>
              <w:left w:val="single" w:sz="4" w:space="0" w:color="auto"/>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rPr>
            </w:pPr>
            <w:r w:rsidRPr="001F63BA">
              <w:rPr>
                <w:rFonts w:ascii="GHEA Grapalat" w:hAnsi="GHEA Grapalat" w:cs="Calibri"/>
                <w:sz w:val="18"/>
                <w:szCs w:val="18"/>
              </w:rPr>
              <w:t>56.2</w:t>
            </w:r>
          </w:p>
        </w:tc>
        <w:tc>
          <w:tcPr>
            <w:tcW w:w="1276" w:type="dxa"/>
            <w:tcBorders>
              <w:top w:val="nil"/>
              <w:left w:val="nil"/>
              <w:bottom w:val="single" w:sz="4" w:space="0" w:color="auto"/>
              <w:right w:val="single" w:sz="4" w:space="0" w:color="auto"/>
            </w:tcBorders>
            <w:noWrap/>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60</w:t>
            </w:r>
            <w:r w:rsidRPr="001F63BA">
              <w:rPr>
                <w:rFonts w:ascii="GHEA Grapalat" w:hAnsi="GHEA Grapalat" w:cs="Calibri"/>
                <w:sz w:val="18"/>
                <w:szCs w:val="18"/>
              </w:rPr>
              <w:t>.</w:t>
            </w:r>
            <w:r w:rsidRPr="001F63BA">
              <w:rPr>
                <w:rFonts w:ascii="GHEA Grapalat" w:hAnsi="GHEA Grapalat" w:cs="Calibri"/>
                <w:sz w:val="18"/>
                <w:szCs w:val="18"/>
                <w:lang w:val="en-US"/>
              </w:rPr>
              <w:t>9</w:t>
            </w:r>
          </w:p>
        </w:tc>
        <w:tc>
          <w:tcPr>
            <w:tcW w:w="1418"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108</w:t>
            </w:r>
            <w:r w:rsidRPr="001F63BA">
              <w:rPr>
                <w:rFonts w:ascii="GHEA Grapalat" w:hAnsi="GHEA Grapalat" w:cs="Calibri"/>
                <w:sz w:val="18"/>
                <w:szCs w:val="18"/>
              </w:rPr>
              <w:t>.</w:t>
            </w:r>
            <w:r w:rsidRPr="001F63BA">
              <w:rPr>
                <w:rFonts w:ascii="GHEA Grapalat" w:hAnsi="GHEA Grapalat" w:cs="Calibri"/>
                <w:sz w:val="18"/>
                <w:szCs w:val="18"/>
                <w:lang w:val="en-US"/>
              </w:rPr>
              <w:t>3</w:t>
            </w:r>
          </w:p>
        </w:tc>
        <w:tc>
          <w:tcPr>
            <w:tcW w:w="1275"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4</w:t>
            </w:r>
            <w:r w:rsidRPr="001F63BA">
              <w:rPr>
                <w:rFonts w:ascii="GHEA Grapalat" w:hAnsi="GHEA Grapalat" w:cs="Calibri"/>
                <w:sz w:val="18"/>
                <w:szCs w:val="18"/>
              </w:rPr>
              <w:t>.</w:t>
            </w:r>
            <w:r w:rsidRPr="001F63BA">
              <w:rPr>
                <w:rFonts w:ascii="GHEA Grapalat" w:hAnsi="GHEA Grapalat" w:cs="Calibri"/>
                <w:sz w:val="18"/>
                <w:szCs w:val="18"/>
                <w:lang w:val="en-US"/>
              </w:rPr>
              <w:t>7</w:t>
            </w:r>
          </w:p>
        </w:tc>
      </w:tr>
      <w:tr w:rsidR="001C411D" w:rsidRPr="001F63BA" w:rsidTr="00BC510E">
        <w:trPr>
          <w:trHeight w:val="289"/>
        </w:trPr>
        <w:tc>
          <w:tcPr>
            <w:tcW w:w="4962" w:type="dxa"/>
            <w:tcBorders>
              <w:top w:val="nil"/>
              <w:left w:val="single" w:sz="4" w:space="0" w:color="auto"/>
              <w:bottom w:val="single" w:sz="4" w:space="0" w:color="auto"/>
              <w:right w:val="single" w:sz="4" w:space="0" w:color="auto"/>
            </w:tcBorders>
            <w:noWrap/>
            <w:vAlign w:val="bottom"/>
          </w:tcPr>
          <w:p w:rsidR="001C411D" w:rsidRPr="001F63BA" w:rsidRDefault="001C411D" w:rsidP="00BB1B4B">
            <w:pPr>
              <w:pStyle w:val="ListParagraph"/>
              <w:numPr>
                <w:ilvl w:val="0"/>
                <w:numId w:val="27"/>
              </w:numPr>
              <w:tabs>
                <w:tab w:val="left" w:pos="459"/>
              </w:tabs>
              <w:spacing w:after="0" w:line="240" w:lineRule="auto"/>
              <w:ind w:left="34" w:firstLine="236"/>
              <w:rPr>
                <w:rFonts w:ascii="GHEA Grapalat" w:hAnsi="GHEA Grapalat"/>
                <w:sz w:val="18"/>
                <w:szCs w:val="18"/>
                <w:lang w:val="hy-AM"/>
              </w:rPr>
            </w:pPr>
            <w:r w:rsidRPr="001F63BA">
              <w:rPr>
                <w:rFonts w:ascii="GHEA Grapalat" w:hAnsi="GHEA Grapalat"/>
                <w:sz w:val="18"/>
                <w:szCs w:val="18"/>
                <w:lang w:val="hy-AM"/>
              </w:rPr>
              <w:t>ԵԱՏՄ երկրներից</w:t>
            </w:r>
          </w:p>
        </w:tc>
        <w:tc>
          <w:tcPr>
            <w:tcW w:w="1275" w:type="dxa"/>
            <w:tcBorders>
              <w:top w:val="nil"/>
              <w:left w:val="single" w:sz="4" w:space="0" w:color="auto"/>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rPr>
            </w:pPr>
            <w:r w:rsidRPr="001F63BA">
              <w:rPr>
                <w:rFonts w:ascii="GHEA Grapalat" w:hAnsi="GHEA Grapalat" w:cs="Calibri"/>
                <w:sz w:val="18"/>
                <w:szCs w:val="18"/>
              </w:rPr>
              <w:t>15.2</w:t>
            </w:r>
          </w:p>
        </w:tc>
        <w:tc>
          <w:tcPr>
            <w:tcW w:w="1276" w:type="dxa"/>
            <w:tcBorders>
              <w:top w:val="nil"/>
              <w:left w:val="nil"/>
              <w:bottom w:val="single" w:sz="4" w:space="0" w:color="auto"/>
              <w:right w:val="single" w:sz="4" w:space="0" w:color="auto"/>
            </w:tcBorders>
            <w:noWrap/>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7</w:t>
            </w:r>
            <w:r w:rsidRPr="001F63BA">
              <w:rPr>
                <w:rFonts w:ascii="GHEA Grapalat" w:hAnsi="GHEA Grapalat" w:cs="Calibri"/>
                <w:sz w:val="18"/>
                <w:szCs w:val="18"/>
              </w:rPr>
              <w:t>.</w:t>
            </w:r>
            <w:r w:rsidRPr="001F63BA">
              <w:rPr>
                <w:rFonts w:ascii="GHEA Grapalat" w:hAnsi="GHEA Grapalat" w:cs="Calibri"/>
                <w:sz w:val="18"/>
                <w:szCs w:val="18"/>
                <w:lang w:val="en-US"/>
              </w:rPr>
              <w:t>9</w:t>
            </w:r>
          </w:p>
        </w:tc>
        <w:tc>
          <w:tcPr>
            <w:tcW w:w="1418"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1</w:t>
            </w:r>
            <w:r w:rsidRPr="001F63BA">
              <w:rPr>
                <w:rFonts w:ascii="GHEA Grapalat" w:hAnsi="GHEA Grapalat" w:cs="Calibri"/>
                <w:sz w:val="18"/>
                <w:szCs w:val="18"/>
              </w:rPr>
              <w:t>1</w:t>
            </w:r>
            <w:r w:rsidRPr="001F63BA">
              <w:rPr>
                <w:rFonts w:ascii="GHEA Grapalat" w:hAnsi="GHEA Grapalat" w:cs="Calibri"/>
                <w:sz w:val="18"/>
                <w:szCs w:val="18"/>
                <w:lang w:val="en-US"/>
              </w:rPr>
              <w:t>7</w:t>
            </w:r>
            <w:r w:rsidRPr="001F63BA">
              <w:rPr>
                <w:rFonts w:ascii="GHEA Grapalat" w:hAnsi="GHEA Grapalat" w:cs="Calibri"/>
                <w:sz w:val="18"/>
                <w:szCs w:val="18"/>
              </w:rPr>
              <w:t>.</w:t>
            </w:r>
            <w:r w:rsidRPr="001F63BA">
              <w:rPr>
                <w:rFonts w:ascii="GHEA Grapalat" w:hAnsi="GHEA Grapalat" w:cs="Calibri"/>
                <w:sz w:val="18"/>
                <w:szCs w:val="18"/>
                <w:lang w:val="en-US"/>
              </w:rPr>
              <w:t>5</w:t>
            </w:r>
          </w:p>
        </w:tc>
        <w:tc>
          <w:tcPr>
            <w:tcW w:w="1275"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2</w:t>
            </w:r>
            <w:r w:rsidRPr="001F63BA">
              <w:rPr>
                <w:rFonts w:ascii="GHEA Grapalat" w:hAnsi="GHEA Grapalat" w:cs="Calibri"/>
                <w:sz w:val="18"/>
                <w:szCs w:val="18"/>
              </w:rPr>
              <w:t>.</w:t>
            </w:r>
            <w:r w:rsidRPr="001F63BA">
              <w:rPr>
                <w:rFonts w:ascii="GHEA Grapalat" w:hAnsi="GHEA Grapalat" w:cs="Calibri"/>
                <w:sz w:val="18"/>
                <w:szCs w:val="18"/>
                <w:lang w:val="en-US"/>
              </w:rPr>
              <w:t>7</w:t>
            </w:r>
          </w:p>
        </w:tc>
      </w:tr>
      <w:tr w:rsidR="001C411D" w:rsidRPr="001F63BA" w:rsidTr="00BC510E">
        <w:trPr>
          <w:trHeight w:val="289"/>
        </w:trPr>
        <w:tc>
          <w:tcPr>
            <w:tcW w:w="4962" w:type="dxa"/>
            <w:tcBorders>
              <w:top w:val="nil"/>
              <w:left w:val="single" w:sz="4" w:space="0" w:color="auto"/>
              <w:bottom w:val="single" w:sz="4" w:space="0" w:color="auto"/>
              <w:right w:val="single" w:sz="4" w:space="0" w:color="auto"/>
            </w:tcBorders>
            <w:noWrap/>
            <w:vAlign w:val="bottom"/>
          </w:tcPr>
          <w:p w:rsidR="001C411D" w:rsidRPr="001F63BA" w:rsidRDefault="001C411D" w:rsidP="001C5B47">
            <w:pPr>
              <w:ind w:firstLineChars="100" w:firstLine="180"/>
              <w:rPr>
                <w:rFonts w:ascii="GHEA Grapalat" w:hAnsi="GHEA Grapalat" w:cs="Calibri"/>
                <w:sz w:val="18"/>
                <w:szCs w:val="18"/>
              </w:rPr>
            </w:pPr>
            <w:r w:rsidRPr="001F63BA">
              <w:rPr>
                <w:rFonts w:ascii="GHEA Grapalat" w:hAnsi="GHEA Grapalat" w:cs="Calibri"/>
                <w:sz w:val="18"/>
                <w:szCs w:val="18"/>
              </w:rPr>
              <w:t>ՀՀ-ում արտադրվող ենթաակցիզային ապրանքներից</w:t>
            </w:r>
          </w:p>
        </w:tc>
        <w:tc>
          <w:tcPr>
            <w:tcW w:w="1275" w:type="dxa"/>
            <w:tcBorders>
              <w:top w:val="nil"/>
              <w:left w:val="single" w:sz="4" w:space="0" w:color="auto"/>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rPr>
            </w:pPr>
            <w:r w:rsidRPr="001F63BA">
              <w:rPr>
                <w:rFonts w:ascii="GHEA Grapalat" w:hAnsi="GHEA Grapalat" w:cs="Calibri"/>
                <w:sz w:val="18"/>
                <w:szCs w:val="18"/>
              </w:rPr>
              <w:t>56.9</w:t>
            </w:r>
          </w:p>
        </w:tc>
        <w:tc>
          <w:tcPr>
            <w:tcW w:w="1276" w:type="dxa"/>
            <w:tcBorders>
              <w:top w:val="nil"/>
              <w:left w:val="nil"/>
              <w:bottom w:val="single" w:sz="4" w:space="0" w:color="auto"/>
              <w:right w:val="single" w:sz="4" w:space="0" w:color="auto"/>
            </w:tcBorders>
            <w:noWrap/>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6</w:t>
            </w:r>
            <w:r w:rsidRPr="001F63BA">
              <w:rPr>
                <w:rFonts w:ascii="GHEA Grapalat" w:hAnsi="GHEA Grapalat" w:cs="Calibri"/>
                <w:sz w:val="18"/>
                <w:szCs w:val="18"/>
              </w:rPr>
              <w:t>6.</w:t>
            </w:r>
            <w:r w:rsidRPr="001F63BA">
              <w:rPr>
                <w:rFonts w:ascii="GHEA Grapalat" w:hAnsi="GHEA Grapalat" w:cs="Calibri"/>
                <w:sz w:val="18"/>
                <w:szCs w:val="18"/>
                <w:lang w:val="en-US"/>
              </w:rPr>
              <w:t>6</w:t>
            </w:r>
          </w:p>
        </w:tc>
        <w:tc>
          <w:tcPr>
            <w:tcW w:w="1418"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1</w:t>
            </w:r>
            <w:r w:rsidRPr="001F63BA">
              <w:rPr>
                <w:rFonts w:ascii="GHEA Grapalat" w:hAnsi="GHEA Grapalat" w:cs="Calibri"/>
                <w:sz w:val="18"/>
                <w:szCs w:val="18"/>
              </w:rPr>
              <w:t>1</w:t>
            </w:r>
            <w:r w:rsidRPr="001F63BA">
              <w:rPr>
                <w:rFonts w:ascii="GHEA Grapalat" w:hAnsi="GHEA Grapalat" w:cs="Calibri"/>
                <w:sz w:val="18"/>
                <w:szCs w:val="18"/>
                <w:lang w:val="en-US"/>
              </w:rPr>
              <w:t>7</w:t>
            </w:r>
            <w:r w:rsidRPr="001F63BA">
              <w:rPr>
                <w:rFonts w:ascii="GHEA Grapalat" w:hAnsi="GHEA Grapalat" w:cs="Calibri"/>
                <w:sz w:val="18"/>
                <w:szCs w:val="18"/>
              </w:rPr>
              <w:t>.</w:t>
            </w:r>
            <w:r w:rsidRPr="001F63BA">
              <w:rPr>
                <w:rFonts w:ascii="GHEA Grapalat" w:hAnsi="GHEA Grapalat" w:cs="Calibri"/>
                <w:sz w:val="18"/>
                <w:szCs w:val="18"/>
                <w:lang w:val="en-US"/>
              </w:rPr>
              <w:t>0</w:t>
            </w:r>
          </w:p>
        </w:tc>
        <w:tc>
          <w:tcPr>
            <w:tcW w:w="1275" w:type="dxa"/>
            <w:tcBorders>
              <w:top w:val="nil"/>
              <w:left w:val="nil"/>
              <w:bottom w:val="single" w:sz="4" w:space="0" w:color="auto"/>
              <w:right w:val="single" w:sz="4" w:space="0" w:color="auto"/>
            </w:tcBorders>
            <w:vAlign w:val="bottom"/>
          </w:tcPr>
          <w:p w:rsidR="001C411D" w:rsidRPr="001F63BA" w:rsidRDefault="001C411D" w:rsidP="001C5B47">
            <w:pPr>
              <w:jc w:val="right"/>
              <w:rPr>
                <w:rFonts w:ascii="GHEA Grapalat" w:hAnsi="GHEA Grapalat" w:cs="Calibri"/>
                <w:sz w:val="18"/>
                <w:szCs w:val="18"/>
                <w:lang w:val="en-US"/>
              </w:rPr>
            </w:pPr>
            <w:r w:rsidRPr="001F63BA">
              <w:rPr>
                <w:rFonts w:ascii="GHEA Grapalat" w:hAnsi="GHEA Grapalat" w:cs="Calibri"/>
                <w:sz w:val="18"/>
                <w:szCs w:val="18"/>
                <w:lang w:val="en-US"/>
              </w:rPr>
              <w:t>9</w:t>
            </w:r>
            <w:r w:rsidRPr="001F63BA">
              <w:rPr>
                <w:rFonts w:ascii="GHEA Grapalat" w:hAnsi="GHEA Grapalat" w:cs="Calibri"/>
                <w:sz w:val="18"/>
                <w:szCs w:val="18"/>
              </w:rPr>
              <w:t>.</w:t>
            </w:r>
            <w:r w:rsidRPr="001F63BA">
              <w:rPr>
                <w:rFonts w:ascii="GHEA Grapalat" w:hAnsi="GHEA Grapalat" w:cs="Calibri"/>
                <w:sz w:val="18"/>
                <w:szCs w:val="18"/>
                <w:lang w:val="en-US"/>
              </w:rPr>
              <w:t>7</w:t>
            </w:r>
          </w:p>
        </w:tc>
      </w:tr>
    </w:tbl>
    <w:p w:rsidR="001C411D" w:rsidRPr="001F63BA" w:rsidRDefault="001C411D" w:rsidP="002F7E29">
      <w:pPr>
        <w:autoSpaceDE w:val="0"/>
        <w:autoSpaceDN w:val="0"/>
        <w:adjustRightInd w:val="0"/>
        <w:ind w:firstLine="567"/>
        <w:jc w:val="both"/>
        <w:rPr>
          <w:rFonts w:ascii="GHEA Grapalat" w:hAnsi="GHEA Grapalat" w:cs="GHEA Grapalat"/>
          <w:sz w:val="22"/>
          <w:szCs w:val="22"/>
        </w:rPr>
      </w:pPr>
    </w:p>
    <w:p w:rsidR="001C411D" w:rsidRPr="001F63BA" w:rsidRDefault="001C411D" w:rsidP="002F7E29">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Նախորդ տարվա համեմատ ակցիզային հարկի մուտքերի աճը պայմանավորված է ինչպես հանրապետությունում արտադրվող, այնպես էլ ներմուծվող ենթաակցիզային ապրանքների գծով մուտքերի աճով: Ակցիզային հարկի գծով մուտքերի աճը բացատրվում է հիմնականում 2021 թվականի դեկտեմբերին ակցիզային հարկով հարկվող ապրանքների իրացման և ներմուծման ծավալների աճով, որով էլ պայմանավորված՝ 2022 թվականի հունվարին վճարման ենթակա ակցիզային հարկի մուտքերն էականորեն աճել են: Այսպես` 2022 թվականի հունվարին ակցիզային հարկի մուտքերը կազմել են շուրջ 14.8 մլրդ դրամ՝ 2021 թվականի հունվարի 8.4 մլրդ դրամի դիմաց, այսինքն` միայն այս գործոնի հաշվին դրական նպաստումը կազմում է 6.4 մլրդ դրամ: Ստորև ներկայացվում են ակցիզային հարկով հարկվող այն ապրանքների արտադրության և ներմուծման ծավալների փոփոխությունները, որոնք էական ազդեցություն են ունեցել 2022 թվականի ակցիզային հարկի մուտքերի վրա: Այսպես, գինու արտադրության ծավալները կազմել են 20,062.1 հազար լիտր՝ նախորդ տարվա նկատմամբ աճելով 53.3%-ով կամ 6,979.4 հազար լիտրով, իսկ ներմուծման ծավալները՝ 61.6%-ով կամ 383.7 հազար լիտրով: Կոնյակի արտադրության ծավալները կազմել են 23,298.4 հազար լիտր՝ նախորդ տարվա նկատմամբ աճելով 24.7%-ով կամ 4,619.9 հազար լիտրով, </w:t>
      </w:r>
      <w:r w:rsidRPr="001F63BA">
        <w:rPr>
          <w:rFonts w:ascii="GHEA Grapalat" w:hAnsi="GHEA Grapalat" w:cs="GHEA Grapalat"/>
          <w:sz w:val="22"/>
          <w:szCs w:val="22"/>
          <w:lang w:val="en-US"/>
        </w:rPr>
        <w:t>իսկ ներմուծման ծավալները՝ 5.5 անգամ</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կամ 61.7 հազար լիտրով: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Գարեջրի</w:t>
      </w:r>
      <w:r w:rsidRPr="001F63BA">
        <w:rPr>
          <w:rFonts w:ascii="GHEA Grapalat" w:hAnsi="GHEA Grapalat" w:cs="GHEA Grapalat"/>
          <w:sz w:val="22"/>
          <w:szCs w:val="22"/>
        </w:rPr>
        <w:t xml:space="preserve"> արտադրության ծավալները կազմել են 30,525.9 հազար լիտր՝ նախորդ տարվա նկատմամբ աճելով 8.4%-ով կամ 2,353.9 հազար լիտրով, իսկ ներմուծման ծավալները՝ 1.2%</w:t>
      </w:r>
      <w:r w:rsidRPr="001F63BA">
        <w:rPr>
          <w:rFonts w:ascii="GHEA Grapalat" w:hAnsi="GHEA Grapalat" w:cs="GHEA Grapalat"/>
          <w:sz w:val="22"/>
          <w:szCs w:val="22"/>
        </w:rPr>
        <w:noBreakHyphen/>
        <w:t>ով կամ 85.1 հազար լիտրով: Ծխախոտի արտադրության ծավալները կազմել են 1,430.0 մլն տուփ՝ նախորդ տարվա նկատմամբ աճելով 16.5%-ով կամ 202.1</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մլն տուփով, իսկ ծխախոտի ներմուծման ծավալները՝ </w:t>
      </w:r>
      <w:r w:rsidRPr="001F63BA">
        <w:rPr>
          <w:rFonts w:ascii="GHEA Grapalat" w:hAnsi="GHEA Grapalat" w:cs="GHEA Grapalat"/>
          <w:sz w:val="22"/>
          <w:szCs w:val="22"/>
          <w:lang w:val="en-US"/>
        </w:rPr>
        <w:t>7.7</w:t>
      </w:r>
      <w:r w:rsidRPr="001F63BA">
        <w:rPr>
          <w:rFonts w:ascii="GHEA Grapalat" w:hAnsi="GHEA Grapalat" w:cs="GHEA Grapalat"/>
          <w:sz w:val="22"/>
          <w:szCs w:val="22"/>
        </w:rPr>
        <w:t>%-ով կամ 8.</w:t>
      </w:r>
      <w:r w:rsidRPr="001F63BA">
        <w:rPr>
          <w:rFonts w:ascii="GHEA Grapalat" w:hAnsi="GHEA Grapalat" w:cs="GHEA Grapalat"/>
          <w:sz w:val="22"/>
          <w:szCs w:val="22"/>
          <w:lang w:val="en-US"/>
        </w:rPr>
        <w:t xml:space="preserve">5 </w:t>
      </w:r>
      <w:r w:rsidRPr="001F63BA">
        <w:rPr>
          <w:rFonts w:ascii="GHEA Grapalat" w:hAnsi="GHEA Grapalat" w:cs="GHEA Grapalat"/>
          <w:sz w:val="22"/>
          <w:szCs w:val="22"/>
        </w:rPr>
        <w:t>մլն տուփով՝ կազմելով 118.8 մլն տուփ:</w:t>
      </w:r>
    </w:p>
    <w:p w:rsidR="001C411D" w:rsidRPr="001F63BA" w:rsidRDefault="001C411D" w:rsidP="002F7E29">
      <w:pPr>
        <w:spacing w:line="360" w:lineRule="auto"/>
        <w:ind w:firstLine="567"/>
        <w:jc w:val="both"/>
        <w:rPr>
          <w:rFonts w:ascii="GHEA Grapalat" w:hAnsi="GHEA Grapalat"/>
          <w:sz w:val="22"/>
          <w:szCs w:val="22"/>
          <w:lang w:eastAsia="nl-NL"/>
        </w:rPr>
      </w:pPr>
      <w:r w:rsidRPr="001F63BA">
        <w:rPr>
          <w:rFonts w:ascii="GHEA Grapalat" w:hAnsi="GHEA Grapalat"/>
          <w:sz w:val="22"/>
          <w:szCs w:val="22"/>
          <w:lang w:eastAsia="nl-NL"/>
        </w:rPr>
        <w:t>2022 թվականին ՀՀ պետական բյուջեի հարկային եկամուտների և պետական տուրքերի 11.6%</w:t>
      </w:r>
      <w:r w:rsidRPr="001F63BA">
        <w:rPr>
          <w:rFonts w:ascii="GHEA Grapalat" w:hAnsi="GHEA Grapalat"/>
          <w:sz w:val="22"/>
          <w:szCs w:val="22"/>
          <w:lang w:val="en-US" w:eastAsia="nl-NL"/>
        </w:rPr>
        <w:noBreakHyphen/>
      </w:r>
      <w:r w:rsidRPr="001F63BA">
        <w:rPr>
          <w:rFonts w:ascii="GHEA Grapalat" w:hAnsi="GHEA Grapalat"/>
          <w:sz w:val="22"/>
          <w:szCs w:val="22"/>
          <w:lang w:eastAsia="nl-NL"/>
        </w:rPr>
        <w:t xml:space="preserve">ն ապահովվել է </w:t>
      </w:r>
      <w:r w:rsidRPr="001F63BA">
        <w:rPr>
          <w:rFonts w:ascii="GHEA Grapalat" w:hAnsi="GHEA Grapalat"/>
          <w:i/>
          <w:sz w:val="22"/>
          <w:szCs w:val="22"/>
          <w:lang w:eastAsia="nl-NL"/>
        </w:rPr>
        <w:t>շահութահարկի</w:t>
      </w:r>
      <w:r w:rsidRPr="001F63BA">
        <w:rPr>
          <w:rFonts w:ascii="GHEA Grapalat" w:hAnsi="GHEA Grapalat"/>
          <w:sz w:val="22"/>
          <w:szCs w:val="22"/>
          <w:lang w:eastAsia="nl-NL"/>
        </w:rPr>
        <w:t xml:space="preserve"> հաշվին՝ կազմելով </w:t>
      </w:r>
      <w:r w:rsidRPr="001F63BA">
        <w:rPr>
          <w:rFonts w:ascii="GHEA Grapalat" w:hAnsi="GHEA Grapalat"/>
          <w:sz w:val="22"/>
          <w:szCs w:val="22"/>
          <w:lang w:val="en-US" w:eastAsia="nl-NL"/>
        </w:rPr>
        <w:t xml:space="preserve">222.8 </w:t>
      </w:r>
      <w:r w:rsidRPr="001F63BA">
        <w:rPr>
          <w:rFonts w:ascii="GHEA Grapalat" w:hAnsi="GHEA Grapalat"/>
          <w:sz w:val="22"/>
          <w:szCs w:val="22"/>
          <w:lang w:eastAsia="nl-NL"/>
        </w:rPr>
        <w:t xml:space="preserve">մլրդ դրամ և </w:t>
      </w:r>
      <w:r w:rsidRPr="001F63BA">
        <w:rPr>
          <w:rFonts w:ascii="GHEA Grapalat" w:hAnsi="GHEA Grapalat"/>
          <w:sz w:val="22"/>
          <w:szCs w:val="22"/>
          <w:lang w:val="en-US" w:eastAsia="nl-NL"/>
        </w:rPr>
        <w:t>40.5</w:t>
      </w:r>
      <w:r w:rsidRPr="001F63BA">
        <w:rPr>
          <w:rFonts w:ascii="GHEA Grapalat" w:hAnsi="GHEA Grapalat"/>
          <w:sz w:val="22"/>
          <w:szCs w:val="22"/>
          <w:lang w:eastAsia="nl-NL"/>
        </w:rPr>
        <w:t>%-ով (</w:t>
      </w:r>
      <w:r w:rsidRPr="001F63BA">
        <w:rPr>
          <w:rFonts w:ascii="GHEA Grapalat" w:hAnsi="GHEA Grapalat"/>
          <w:sz w:val="22"/>
          <w:szCs w:val="22"/>
          <w:lang w:val="en-US" w:eastAsia="nl-NL"/>
        </w:rPr>
        <w:t>64.2</w:t>
      </w:r>
      <w:r w:rsidRPr="001F63BA">
        <w:rPr>
          <w:rFonts w:ascii="GHEA Grapalat" w:hAnsi="GHEA Grapalat"/>
          <w:sz w:val="22"/>
          <w:szCs w:val="22"/>
          <w:lang w:eastAsia="nl-NL"/>
        </w:rPr>
        <w:t xml:space="preserve"> մլրդ դրամով) գերազանցելով նախորդ տարվա ցուցանիշը: Շահութահարկի գծով պետական բյուջեի մուտքերի վրա իրենց ազդեցությունն են ունեցել ռեզիդենտների և ոչ ռեզիդենտների շահութահարկի և աղբյուրի մոտ պահվող ոչ ռեզիդենտների շահութահարկի հաշվարկման բազա</w:t>
      </w:r>
      <w:r w:rsidRPr="001F63BA">
        <w:rPr>
          <w:rFonts w:ascii="GHEA Grapalat" w:hAnsi="GHEA Grapalat"/>
          <w:sz w:val="22"/>
          <w:szCs w:val="22"/>
          <w:lang w:val="en-US" w:eastAsia="nl-NL"/>
        </w:rPr>
        <w:t>ներ</w:t>
      </w:r>
      <w:r w:rsidRPr="001F63BA">
        <w:rPr>
          <w:rFonts w:ascii="GHEA Grapalat" w:hAnsi="GHEA Grapalat"/>
          <w:sz w:val="22"/>
          <w:szCs w:val="22"/>
          <w:lang w:eastAsia="nl-NL"/>
        </w:rPr>
        <w:t xml:space="preserve">ի աճը: Մասնավորապես, 2022 </w:t>
      </w:r>
      <w:r w:rsidRPr="001F63BA">
        <w:rPr>
          <w:rFonts w:ascii="GHEA Grapalat" w:hAnsi="GHEA Grapalat"/>
          <w:sz w:val="22"/>
          <w:szCs w:val="22"/>
          <w:lang w:eastAsia="nl-NL"/>
        </w:rPr>
        <w:lastRenderedPageBreak/>
        <w:t>թվականին ռեզիդենտ և ոչ ռեզիդենտ շահութահարկ վճարողների համախառն եկամուտները կազմել են 10,387.2 մլրդ դրամ՝ նախորդ տարվա համեմատ աճելով 24.3%-ով կամ 2,029.2</w:t>
      </w:r>
      <w:r w:rsidRPr="001F63BA">
        <w:rPr>
          <w:rFonts w:ascii="GHEA Grapalat" w:hAnsi="GHEA Grapalat"/>
          <w:sz w:val="22"/>
          <w:szCs w:val="22"/>
          <w:lang w:val="en-US" w:eastAsia="nl-NL"/>
        </w:rPr>
        <w:t xml:space="preserve"> </w:t>
      </w:r>
      <w:r w:rsidRPr="001F63BA">
        <w:rPr>
          <w:rFonts w:ascii="GHEA Grapalat" w:hAnsi="GHEA Grapalat"/>
          <w:sz w:val="22"/>
          <w:szCs w:val="22"/>
          <w:lang w:eastAsia="nl-NL"/>
        </w:rPr>
        <w:t>մլրդ դրամով: Ռեզիդենտ և ոչ ռեզիդենտ շահութահարկ վճարողների 2022 թվականի հարկվող շահույթը կազմել է 1,078.4 մլրդ դրամ, որը նախորդ տարվա համեմատ աճել է 33%-ով կամ 267.7 մլրդ դրամով: Ռեզիդենտ շահութահարկ վճարողների՝ աղբյուրի մոտ պահվող 202</w:t>
      </w:r>
      <w:r w:rsidRPr="001F63BA">
        <w:rPr>
          <w:rFonts w:ascii="GHEA Grapalat" w:hAnsi="GHEA Grapalat"/>
          <w:sz w:val="22"/>
          <w:szCs w:val="22"/>
          <w:lang w:val="en-US" w:eastAsia="nl-NL"/>
        </w:rPr>
        <w:t>2</w:t>
      </w:r>
      <w:r w:rsidRPr="001F63BA">
        <w:rPr>
          <w:rFonts w:ascii="GHEA Grapalat" w:hAnsi="GHEA Grapalat"/>
          <w:sz w:val="22"/>
          <w:szCs w:val="22"/>
          <w:lang w:eastAsia="nl-NL"/>
        </w:rPr>
        <w:t xml:space="preserve"> թվականի եկամուտները կազմել են 270.7 մլրդ դրամ, որը նախորդ տարվա համեմատ ա</w:t>
      </w:r>
      <w:r w:rsidRPr="001F63BA">
        <w:rPr>
          <w:rFonts w:ascii="GHEA Grapalat" w:hAnsi="GHEA Grapalat"/>
          <w:sz w:val="22"/>
          <w:szCs w:val="22"/>
          <w:lang w:val="en-US" w:eastAsia="nl-NL"/>
        </w:rPr>
        <w:t>ճ</w:t>
      </w:r>
      <w:r w:rsidRPr="001F63BA">
        <w:rPr>
          <w:rFonts w:ascii="GHEA Grapalat" w:hAnsi="GHEA Grapalat"/>
          <w:sz w:val="22"/>
          <w:szCs w:val="22"/>
          <w:lang w:eastAsia="nl-NL"/>
        </w:rPr>
        <w:t>ել է 7.5%-ով կամ 18.9 մլրդ դրամով, իսկ վճարված եկամուտներից պահված հարկերը կազմել են 1</w:t>
      </w:r>
      <w:r w:rsidRPr="001F63BA">
        <w:rPr>
          <w:rFonts w:ascii="GHEA Grapalat" w:hAnsi="GHEA Grapalat"/>
          <w:sz w:val="22"/>
          <w:szCs w:val="22"/>
          <w:lang w:val="en-US" w:eastAsia="nl-NL"/>
        </w:rPr>
        <w:t>4.5</w:t>
      </w:r>
      <w:r w:rsidRPr="001F63BA">
        <w:rPr>
          <w:rFonts w:ascii="Courier New" w:hAnsi="Courier New" w:cs="Courier New"/>
          <w:sz w:val="22"/>
          <w:szCs w:val="22"/>
          <w:lang w:val="en-US" w:eastAsia="nl-NL"/>
        </w:rPr>
        <w:t> </w:t>
      </w:r>
      <w:r w:rsidRPr="001F63BA">
        <w:rPr>
          <w:rFonts w:ascii="GHEA Grapalat" w:hAnsi="GHEA Grapalat" w:cs="GHEA Grapalat"/>
          <w:sz w:val="22"/>
          <w:szCs w:val="22"/>
          <w:lang w:eastAsia="nl-NL"/>
        </w:rPr>
        <w:t>մլրդ</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դրամ</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որը</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նախորդ</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տարվա</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համեմատ</w:t>
      </w:r>
      <w:r w:rsidRPr="001F63BA">
        <w:rPr>
          <w:rFonts w:ascii="GHEA Grapalat" w:hAnsi="GHEA Grapalat"/>
          <w:sz w:val="22"/>
          <w:szCs w:val="22"/>
          <w:lang w:eastAsia="nl-NL"/>
        </w:rPr>
        <w:t xml:space="preserve"> </w:t>
      </w:r>
      <w:r w:rsidRPr="001F63BA">
        <w:rPr>
          <w:rFonts w:ascii="GHEA Grapalat" w:hAnsi="GHEA Grapalat"/>
          <w:sz w:val="22"/>
          <w:szCs w:val="22"/>
          <w:lang w:val="en-US" w:eastAsia="nl-NL"/>
        </w:rPr>
        <w:t>նվ</w:t>
      </w:r>
      <w:r w:rsidRPr="001F63BA">
        <w:rPr>
          <w:rFonts w:ascii="GHEA Grapalat" w:hAnsi="GHEA Grapalat" w:cs="GHEA Grapalat"/>
          <w:sz w:val="22"/>
          <w:szCs w:val="22"/>
          <w:lang w:eastAsia="nl-NL"/>
        </w:rPr>
        <w:t>ա</w:t>
      </w:r>
      <w:r w:rsidRPr="001F63BA">
        <w:rPr>
          <w:rFonts w:ascii="GHEA Grapalat" w:hAnsi="GHEA Grapalat" w:cs="GHEA Grapalat"/>
          <w:sz w:val="22"/>
          <w:szCs w:val="22"/>
          <w:lang w:val="en-US" w:eastAsia="nl-NL"/>
        </w:rPr>
        <w:t>զ</w:t>
      </w:r>
      <w:r w:rsidRPr="001F63BA">
        <w:rPr>
          <w:rFonts w:ascii="GHEA Grapalat" w:hAnsi="GHEA Grapalat" w:cs="GHEA Grapalat"/>
          <w:sz w:val="22"/>
          <w:szCs w:val="22"/>
          <w:lang w:eastAsia="nl-NL"/>
        </w:rPr>
        <w:t>ել</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է</w:t>
      </w:r>
      <w:r w:rsidRPr="001F63BA">
        <w:rPr>
          <w:rFonts w:ascii="GHEA Grapalat" w:hAnsi="GHEA Grapalat"/>
          <w:sz w:val="22"/>
          <w:szCs w:val="22"/>
          <w:lang w:eastAsia="nl-NL"/>
        </w:rPr>
        <w:t xml:space="preserve"> </w:t>
      </w:r>
      <w:r w:rsidRPr="001F63BA">
        <w:rPr>
          <w:rFonts w:ascii="GHEA Grapalat" w:hAnsi="GHEA Grapalat"/>
          <w:sz w:val="22"/>
          <w:szCs w:val="22"/>
          <w:lang w:val="en-US" w:eastAsia="nl-NL"/>
        </w:rPr>
        <w:t>11.4</w:t>
      </w:r>
      <w:r w:rsidRPr="001F63BA">
        <w:rPr>
          <w:rFonts w:ascii="GHEA Grapalat" w:hAnsi="GHEA Grapalat"/>
          <w:sz w:val="22"/>
          <w:szCs w:val="22"/>
          <w:lang w:eastAsia="nl-NL"/>
        </w:rPr>
        <w:t>%-</w:t>
      </w:r>
      <w:r w:rsidRPr="001F63BA">
        <w:rPr>
          <w:rFonts w:ascii="GHEA Grapalat" w:hAnsi="GHEA Grapalat" w:cs="GHEA Grapalat"/>
          <w:sz w:val="22"/>
          <w:szCs w:val="22"/>
          <w:lang w:eastAsia="nl-NL"/>
        </w:rPr>
        <w:t>ով</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կամ</w:t>
      </w:r>
      <w:r w:rsidRPr="001F63BA">
        <w:rPr>
          <w:rFonts w:ascii="GHEA Grapalat" w:hAnsi="GHEA Grapalat"/>
          <w:sz w:val="22"/>
          <w:szCs w:val="22"/>
          <w:lang w:eastAsia="nl-NL"/>
        </w:rPr>
        <w:t xml:space="preserve"> 1</w:t>
      </w:r>
      <w:r w:rsidRPr="001F63BA">
        <w:rPr>
          <w:rFonts w:ascii="GHEA Grapalat" w:hAnsi="GHEA Grapalat"/>
          <w:sz w:val="22"/>
          <w:szCs w:val="22"/>
          <w:lang w:val="en-US" w:eastAsia="nl-NL"/>
        </w:rPr>
        <w:t xml:space="preserve">.8 </w:t>
      </w:r>
      <w:r w:rsidRPr="001F63BA">
        <w:rPr>
          <w:rFonts w:ascii="GHEA Grapalat" w:hAnsi="GHEA Grapalat" w:cs="GHEA Grapalat"/>
          <w:sz w:val="22"/>
          <w:szCs w:val="22"/>
          <w:lang w:eastAsia="nl-NL"/>
        </w:rPr>
        <w:t>մլրդ</w:t>
      </w:r>
      <w:r w:rsidRPr="001F63BA">
        <w:rPr>
          <w:rFonts w:ascii="GHEA Grapalat" w:hAnsi="GHEA Grapalat"/>
          <w:sz w:val="22"/>
          <w:szCs w:val="22"/>
          <w:lang w:eastAsia="nl-NL"/>
        </w:rPr>
        <w:t xml:space="preserve"> </w:t>
      </w:r>
      <w:r w:rsidRPr="001F63BA">
        <w:rPr>
          <w:rFonts w:ascii="GHEA Grapalat" w:hAnsi="GHEA Grapalat" w:cs="GHEA Grapalat"/>
          <w:sz w:val="22"/>
          <w:szCs w:val="22"/>
          <w:lang w:eastAsia="nl-NL"/>
        </w:rPr>
        <w:t>դրամով</w:t>
      </w:r>
      <w:r w:rsidRPr="001F63BA">
        <w:rPr>
          <w:rFonts w:ascii="GHEA Grapalat" w:hAnsi="GHEA Grapalat"/>
          <w:sz w:val="22"/>
          <w:szCs w:val="22"/>
          <w:lang w:eastAsia="nl-NL"/>
        </w:rPr>
        <w:t xml:space="preserve">: </w:t>
      </w:r>
    </w:p>
    <w:p w:rsidR="001C411D" w:rsidRPr="001F63BA" w:rsidRDefault="001C411D" w:rsidP="002F7E29">
      <w:pPr>
        <w:tabs>
          <w:tab w:val="left" w:pos="0"/>
          <w:tab w:val="left" w:pos="900"/>
        </w:tabs>
        <w:spacing w:line="360" w:lineRule="auto"/>
        <w:ind w:firstLine="567"/>
        <w:jc w:val="both"/>
        <w:rPr>
          <w:rFonts w:ascii="GHEA Grapalat" w:hAnsi="GHEA Grapalat" w:cs="Sylfaen"/>
          <w:sz w:val="22"/>
          <w:szCs w:val="22"/>
          <w:lang w:val="en-US"/>
        </w:rPr>
      </w:pPr>
      <w:r w:rsidRPr="001F63BA">
        <w:rPr>
          <w:rFonts w:ascii="GHEA Grapalat" w:hAnsi="GHEA Grapalat" w:cs="GHEA Grapalat"/>
          <w:sz w:val="22"/>
          <w:szCs w:val="22"/>
          <w:lang w:val="en-US"/>
        </w:rPr>
        <w:t>Հաշվետու ժամանակահատվածում 474.8</w:t>
      </w:r>
      <w:r w:rsidRPr="001F63BA">
        <w:rPr>
          <w:rFonts w:ascii="GHEA Grapalat" w:hAnsi="GHEA Grapalat" w:cs="GHEA Grapalat"/>
          <w:sz w:val="22"/>
          <w:szCs w:val="22"/>
        </w:rPr>
        <w:t xml:space="preserve"> մլրդ դրամ են կազմել </w:t>
      </w:r>
      <w:r w:rsidRPr="001F63BA">
        <w:rPr>
          <w:rFonts w:ascii="GHEA Grapalat" w:hAnsi="GHEA Grapalat" w:cs="GHEA Grapalat"/>
          <w:i/>
          <w:iCs/>
          <w:sz w:val="22"/>
          <w:szCs w:val="22"/>
        </w:rPr>
        <w:t>եկամտային հարկի</w:t>
      </w:r>
      <w:r w:rsidRPr="001F63BA">
        <w:rPr>
          <w:rFonts w:ascii="GHEA Grapalat" w:hAnsi="GHEA Grapalat" w:cs="GHEA Grapalat"/>
          <w:sz w:val="22"/>
          <w:szCs w:val="22"/>
        </w:rPr>
        <w:t xml:space="preserve"> մուտքերը՝ ապահովելով հարկային եկամուտների և պետական տուրքերի 2</w:t>
      </w:r>
      <w:r w:rsidRPr="001F63BA">
        <w:rPr>
          <w:rFonts w:ascii="GHEA Grapalat" w:hAnsi="GHEA Grapalat" w:cs="GHEA Grapalat"/>
          <w:sz w:val="22"/>
          <w:szCs w:val="22"/>
          <w:lang w:val="en-US"/>
        </w:rPr>
        <w:t>4.7</w:t>
      </w:r>
      <w:r w:rsidRPr="001F63BA">
        <w:rPr>
          <w:rFonts w:ascii="GHEA Grapalat" w:hAnsi="GHEA Grapalat" w:cs="GHEA Grapalat"/>
          <w:sz w:val="22"/>
          <w:szCs w:val="22"/>
        </w:rPr>
        <w:t>%-ը: Նախորդ տարվա համեմատ ե</w:t>
      </w:r>
      <w:r w:rsidRPr="001F63BA">
        <w:rPr>
          <w:rFonts w:ascii="GHEA Grapalat" w:hAnsi="GHEA Grapalat" w:cs="Sylfaen"/>
          <w:sz w:val="22"/>
          <w:szCs w:val="22"/>
        </w:rPr>
        <w:t xml:space="preserve">կամտային հարկի </w:t>
      </w:r>
      <w:r w:rsidRPr="001F63BA">
        <w:rPr>
          <w:rFonts w:ascii="GHEA Grapalat" w:hAnsi="GHEA Grapalat" w:cs="Sylfaen"/>
          <w:sz w:val="22"/>
          <w:szCs w:val="22"/>
          <w:lang w:val="en-US"/>
        </w:rPr>
        <w:t>11.4</w:t>
      </w:r>
      <w:r w:rsidRPr="001F63BA">
        <w:rPr>
          <w:rFonts w:ascii="GHEA Grapalat" w:hAnsi="GHEA Grapalat" w:cs="Sylfaen"/>
          <w:sz w:val="22"/>
          <w:szCs w:val="22"/>
        </w:rPr>
        <w:t>% (48</w:t>
      </w:r>
      <w:r w:rsidRPr="001F63BA">
        <w:rPr>
          <w:rFonts w:ascii="GHEA Grapalat" w:hAnsi="GHEA Grapalat" w:cs="Sylfaen"/>
          <w:sz w:val="22"/>
          <w:szCs w:val="22"/>
          <w:lang w:val="en-US"/>
        </w:rPr>
        <w:t>.5</w:t>
      </w:r>
      <w:r w:rsidRPr="001F63BA">
        <w:rPr>
          <w:rFonts w:ascii="GHEA Grapalat" w:hAnsi="GHEA Grapalat" w:cs="Sylfaen"/>
          <w:sz w:val="22"/>
          <w:szCs w:val="22"/>
        </w:rPr>
        <w:t xml:space="preserve"> մլրդ դրամ) աճը հիմնականում պայմանավորված է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աշխատատեղերի և միջին աշխատավարձերի աճով: Մասնավորապես,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գրանցված աշխատատեղերի թիվը նախորդ տարվա համեմատ աճել է </w:t>
      </w:r>
      <w:r w:rsidRPr="001F63BA">
        <w:rPr>
          <w:rFonts w:ascii="GHEA Grapalat" w:hAnsi="GHEA Grapalat" w:cs="Sylfaen"/>
          <w:sz w:val="22"/>
          <w:szCs w:val="22"/>
          <w:lang w:val="en-US"/>
        </w:rPr>
        <w:t>5.4</w:t>
      </w:r>
      <w:r w:rsidRPr="001F63BA">
        <w:rPr>
          <w:rFonts w:ascii="GHEA Grapalat" w:hAnsi="GHEA Grapalat" w:cs="Sylfaen"/>
          <w:sz w:val="22"/>
          <w:szCs w:val="22"/>
        </w:rPr>
        <w:t xml:space="preserve">%-ով, իսկ միջին ամսական անվանական աշխատավարձն աճել է </w:t>
      </w:r>
      <w:r w:rsidRPr="001F63BA">
        <w:rPr>
          <w:rFonts w:ascii="GHEA Grapalat" w:hAnsi="GHEA Grapalat" w:cs="Sylfaen"/>
          <w:sz w:val="22"/>
          <w:szCs w:val="22"/>
          <w:lang w:val="en-US"/>
        </w:rPr>
        <w:t>15.5</w:t>
      </w:r>
      <w:r w:rsidRPr="001F63BA">
        <w:rPr>
          <w:rFonts w:ascii="GHEA Grapalat" w:hAnsi="GHEA Grapalat" w:cs="Sylfaen"/>
          <w:sz w:val="22"/>
          <w:szCs w:val="22"/>
        </w:rPr>
        <w:t>%-ով: Նշված երկու գործոնների համադրմամբ, եկամտային հարկի հարկման բազայի նպաստումը եղել է</w:t>
      </w:r>
      <w:r w:rsidRPr="001F63BA">
        <w:rPr>
          <w:rFonts w:ascii="GHEA Grapalat" w:hAnsi="GHEA Grapalat" w:cs="Sylfaen"/>
          <w:sz w:val="22"/>
          <w:szCs w:val="22"/>
          <w:lang w:val="en-US"/>
        </w:rPr>
        <w:t xml:space="preserve"> 21.7</w:t>
      </w:r>
      <w:r w:rsidRPr="001F63BA">
        <w:rPr>
          <w:rFonts w:ascii="GHEA Grapalat" w:hAnsi="GHEA Grapalat" w:cs="Sylfaen"/>
          <w:sz w:val="22"/>
          <w:szCs w:val="22"/>
        </w:rPr>
        <w:t xml:space="preserve"> տոկոս (1.0</w:t>
      </w:r>
      <w:r w:rsidRPr="001F63BA">
        <w:rPr>
          <w:rFonts w:ascii="GHEA Grapalat" w:hAnsi="GHEA Grapalat" w:cs="Sylfaen"/>
          <w:sz w:val="22"/>
          <w:szCs w:val="22"/>
          <w:lang w:val="en-US"/>
        </w:rPr>
        <w:t>5</w:t>
      </w:r>
      <w:r w:rsidRPr="001F63BA">
        <w:rPr>
          <w:rFonts w:ascii="GHEA Grapalat" w:hAnsi="GHEA Grapalat" w:cs="Sylfaen"/>
          <w:sz w:val="22"/>
          <w:szCs w:val="22"/>
        </w:rPr>
        <w:t>4*1.</w:t>
      </w:r>
      <w:r w:rsidRPr="001F63BA">
        <w:rPr>
          <w:rFonts w:ascii="GHEA Grapalat" w:hAnsi="GHEA Grapalat" w:cs="Sylfaen"/>
          <w:sz w:val="22"/>
          <w:szCs w:val="22"/>
          <w:lang w:val="en-US"/>
        </w:rPr>
        <w:t>155</w:t>
      </w:r>
      <w:r w:rsidRPr="001F63BA">
        <w:rPr>
          <w:rFonts w:ascii="GHEA Grapalat" w:hAnsi="GHEA Grapalat" w:cs="Sylfaen"/>
          <w:sz w:val="22"/>
          <w:szCs w:val="22"/>
        </w:rPr>
        <w:t>=1.</w:t>
      </w:r>
      <w:r w:rsidRPr="001F63BA">
        <w:rPr>
          <w:rFonts w:ascii="GHEA Grapalat" w:hAnsi="GHEA Grapalat" w:cs="Sylfaen"/>
          <w:sz w:val="22"/>
          <w:szCs w:val="22"/>
          <w:lang w:val="en-US"/>
        </w:rPr>
        <w:t>2</w:t>
      </w:r>
      <w:r w:rsidRPr="001F63BA">
        <w:rPr>
          <w:rFonts w:ascii="GHEA Grapalat" w:hAnsi="GHEA Grapalat" w:cs="Sylfaen"/>
          <w:sz w:val="22"/>
          <w:szCs w:val="22"/>
        </w:rPr>
        <w:t>1</w:t>
      </w:r>
      <w:r w:rsidRPr="001F63BA">
        <w:rPr>
          <w:rFonts w:ascii="GHEA Grapalat" w:hAnsi="GHEA Grapalat" w:cs="Sylfaen"/>
          <w:sz w:val="22"/>
          <w:szCs w:val="22"/>
          <w:lang w:val="en-US"/>
        </w:rPr>
        <w:t>7</w:t>
      </w:r>
      <w:r w:rsidRPr="001F63BA">
        <w:rPr>
          <w:rFonts w:ascii="GHEA Grapalat" w:hAnsi="GHEA Grapalat" w:cs="Sylfaen"/>
          <w:sz w:val="22"/>
          <w:szCs w:val="22"/>
        </w:rPr>
        <w:t xml:space="preserve">): </w:t>
      </w:r>
    </w:p>
    <w:p w:rsidR="001C411D" w:rsidRPr="001F63BA" w:rsidRDefault="001C411D" w:rsidP="002F7E29">
      <w:pPr>
        <w:tabs>
          <w:tab w:val="left" w:pos="0"/>
          <w:tab w:val="left" w:pos="900"/>
        </w:tabs>
        <w:spacing w:line="360" w:lineRule="auto"/>
        <w:ind w:firstLine="567"/>
        <w:jc w:val="both"/>
        <w:rPr>
          <w:rFonts w:ascii="GHEA Grapalat" w:hAnsi="GHEA Grapalat"/>
          <w:sz w:val="22"/>
          <w:szCs w:val="22"/>
          <w:lang w:val="en-US"/>
        </w:rPr>
      </w:pPr>
      <w:r w:rsidRPr="001F63BA">
        <w:rPr>
          <w:rFonts w:ascii="GHEA Grapalat" w:hAnsi="GHEA Grapalat" w:cs="Sylfaen"/>
          <w:sz w:val="22"/>
          <w:szCs w:val="22"/>
        </w:rPr>
        <w:t>Միաժամանակ, եկամտային հարկի մուտքերի վրա բացասական ազդեցություն է ունեցել</w:t>
      </w:r>
      <w:r w:rsidRPr="001F63BA">
        <w:rPr>
          <w:rFonts w:ascii="GHEA Grapalat" w:hAnsi="GHEA Grapalat"/>
          <w:sz w:val="22"/>
          <w:szCs w:val="22"/>
        </w:rPr>
        <w:t xml:space="preserve"> եկամտային հարկի գծով վերադարձված գումարների աճը: 2022 թվականին եկամտային հարկի գծով վերադարձված գումարները կազմել են 47.4</w:t>
      </w:r>
      <w:r w:rsidRPr="001F63BA">
        <w:rPr>
          <w:rFonts w:ascii="Courier New" w:hAnsi="Courier New" w:cs="Courier New"/>
          <w:sz w:val="22"/>
          <w:szCs w:val="22"/>
        </w:rPr>
        <w:t> </w:t>
      </w:r>
      <w:r w:rsidRPr="001F63BA">
        <w:rPr>
          <w:rFonts w:ascii="GHEA Grapalat" w:hAnsi="GHEA Grapalat" w:cs="GHEA Grapalat"/>
          <w:sz w:val="22"/>
          <w:szCs w:val="22"/>
        </w:rPr>
        <w:t>մլրդ</w:t>
      </w:r>
      <w:r w:rsidRPr="001F63BA">
        <w:rPr>
          <w:rFonts w:ascii="GHEA Grapalat" w:hAnsi="GHEA Grapalat"/>
          <w:sz w:val="22"/>
          <w:szCs w:val="22"/>
        </w:rPr>
        <w:t xml:space="preserve"> </w:t>
      </w:r>
      <w:r w:rsidRPr="001F63BA">
        <w:rPr>
          <w:rFonts w:ascii="GHEA Grapalat" w:hAnsi="GHEA Grapalat" w:cs="GHEA Grapalat"/>
          <w:sz w:val="22"/>
          <w:szCs w:val="22"/>
        </w:rPr>
        <w:t>դրամ՝</w:t>
      </w:r>
      <w:r w:rsidRPr="001F63BA">
        <w:rPr>
          <w:rFonts w:ascii="GHEA Grapalat" w:hAnsi="GHEA Grapalat"/>
          <w:sz w:val="22"/>
          <w:szCs w:val="22"/>
        </w:rPr>
        <w:t xml:space="preserve"> 45.2%-ով կամ 14.7</w:t>
      </w:r>
      <w:r w:rsidRPr="001F63BA">
        <w:rPr>
          <w:rFonts w:ascii="Courier New" w:hAnsi="Courier New" w:cs="Courier New"/>
          <w:sz w:val="22"/>
          <w:szCs w:val="22"/>
        </w:rPr>
        <w:t> </w:t>
      </w:r>
      <w:r w:rsidRPr="001F63BA">
        <w:rPr>
          <w:rFonts w:ascii="GHEA Grapalat" w:hAnsi="GHEA Grapalat" w:cs="GHEA Grapalat"/>
          <w:sz w:val="22"/>
          <w:szCs w:val="22"/>
        </w:rPr>
        <w:t>մլրդ</w:t>
      </w:r>
      <w:r w:rsidRPr="001F63BA">
        <w:rPr>
          <w:rFonts w:ascii="GHEA Grapalat" w:hAnsi="GHEA Grapalat"/>
          <w:sz w:val="22"/>
          <w:szCs w:val="22"/>
        </w:rPr>
        <w:t xml:space="preserve"> </w:t>
      </w:r>
      <w:r w:rsidRPr="001F63BA">
        <w:rPr>
          <w:rFonts w:ascii="GHEA Grapalat" w:hAnsi="GHEA Grapalat" w:cs="GHEA Grapalat"/>
          <w:sz w:val="22"/>
          <w:szCs w:val="22"/>
        </w:rPr>
        <w:t>դրամով</w:t>
      </w:r>
      <w:r w:rsidRPr="001F63BA">
        <w:rPr>
          <w:rFonts w:ascii="GHEA Grapalat" w:hAnsi="GHEA Grapalat"/>
          <w:sz w:val="22"/>
          <w:szCs w:val="22"/>
        </w:rPr>
        <w:t xml:space="preserve"> </w:t>
      </w:r>
      <w:r w:rsidRPr="001F63BA">
        <w:rPr>
          <w:rFonts w:ascii="GHEA Grapalat" w:hAnsi="GHEA Grapalat" w:cs="GHEA Grapalat"/>
          <w:sz w:val="22"/>
          <w:szCs w:val="22"/>
        </w:rPr>
        <w:t>գերազանցելով</w:t>
      </w:r>
      <w:r w:rsidRPr="001F63BA">
        <w:rPr>
          <w:rFonts w:ascii="GHEA Grapalat" w:hAnsi="GHEA Grapalat"/>
          <w:sz w:val="22"/>
          <w:szCs w:val="22"/>
        </w:rPr>
        <w:t xml:space="preserve"> </w:t>
      </w:r>
      <w:r w:rsidRPr="001F63BA">
        <w:rPr>
          <w:rFonts w:ascii="GHEA Grapalat" w:hAnsi="GHEA Grapalat" w:cs="GHEA Grapalat"/>
          <w:sz w:val="22"/>
          <w:szCs w:val="22"/>
        </w:rPr>
        <w:t>նախորդ</w:t>
      </w:r>
      <w:r w:rsidRPr="001F63BA">
        <w:rPr>
          <w:rFonts w:ascii="GHEA Grapalat" w:hAnsi="GHEA Grapalat"/>
          <w:sz w:val="22"/>
          <w:szCs w:val="22"/>
        </w:rPr>
        <w:t xml:space="preserve"> </w:t>
      </w:r>
      <w:r w:rsidRPr="001F63BA">
        <w:rPr>
          <w:rFonts w:ascii="GHEA Grapalat" w:hAnsi="GHEA Grapalat" w:cs="GHEA Grapalat"/>
          <w:sz w:val="22"/>
          <w:szCs w:val="22"/>
        </w:rPr>
        <w:t>տարվա</w:t>
      </w:r>
      <w:r w:rsidRPr="001F63BA">
        <w:rPr>
          <w:rFonts w:ascii="GHEA Grapalat" w:hAnsi="GHEA Grapalat"/>
          <w:sz w:val="22"/>
          <w:szCs w:val="22"/>
        </w:rPr>
        <w:t xml:space="preserve"> </w:t>
      </w:r>
      <w:r w:rsidRPr="001F63BA">
        <w:rPr>
          <w:rFonts w:ascii="GHEA Grapalat" w:hAnsi="GHEA Grapalat" w:cs="GHEA Grapalat"/>
          <w:sz w:val="22"/>
          <w:szCs w:val="22"/>
        </w:rPr>
        <w:t>ցուցանիշը</w:t>
      </w:r>
      <w:r w:rsidRPr="001F63BA">
        <w:rPr>
          <w:rFonts w:ascii="GHEA Grapalat" w:hAnsi="GHEA Grapalat"/>
          <w:sz w:val="22"/>
          <w:szCs w:val="22"/>
        </w:rPr>
        <w:t xml:space="preserve">: </w:t>
      </w:r>
      <w:r w:rsidRPr="001F63BA">
        <w:rPr>
          <w:rFonts w:ascii="GHEA Grapalat" w:hAnsi="GHEA Grapalat" w:cs="GHEA Grapalat"/>
          <w:sz w:val="22"/>
          <w:szCs w:val="22"/>
        </w:rPr>
        <w:t>Ընդ</w:t>
      </w:r>
      <w:r w:rsidRPr="001F63BA">
        <w:rPr>
          <w:rFonts w:ascii="GHEA Grapalat" w:hAnsi="GHEA Grapalat"/>
          <w:sz w:val="22"/>
          <w:szCs w:val="22"/>
        </w:rPr>
        <w:t xml:space="preserve"> </w:t>
      </w:r>
      <w:r w:rsidRPr="001F63BA">
        <w:rPr>
          <w:rFonts w:ascii="GHEA Grapalat" w:hAnsi="GHEA Grapalat" w:cs="GHEA Grapalat"/>
          <w:sz w:val="22"/>
          <w:szCs w:val="22"/>
        </w:rPr>
        <w:t>որում</w:t>
      </w:r>
      <w:r w:rsidRPr="001F63BA">
        <w:rPr>
          <w:rFonts w:ascii="GHEA Grapalat" w:hAnsi="GHEA Grapalat"/>
          <w:sz w:val="22"/>
          <w:szCs w:val="22"/>
        </w:rPr>
        <w:t xml:space="preserve">, </w:t>
      </w:r>
      <w:r w:rsidRPr="001F63BA">
        <w:rPr>
          <w:rFonts w:ascii="GHEA Grapalat" w:hAnsi="GHEA Grapalat" w:cs="GHEA Grapalat"/>
          <w:sz w:val="22"/>
          <w:szCs w:val="22"/>
        </w:rPr>
        <w:t>եկամտային</w:t>
      </w:r>
      <w:r w:rsidRPr="001F63BA">
        <w:rPr>
          <w:rFonts w:ascii="GHEA Grapalat" w:hAnsi="GHEA Grapalat"/>
          <w:sz w:val="22"/>
          <w:szCs w:val="22"/>
        </w:rPr>
        <w:t xml:space="preserve"> </w:t>
      </w:r>
      <w:r w:rsidRPr="001F63BA">
        <w:rPr>
          <w:rFonts w:ascii="GHEA Grapalat" w:hAnsi="GHEA Grapalat" w:cs="GHEA Grapalat"/>
          <w:sz w:val="22"/>
          <w:szCs w:val="22"/>
        </w:rPr>
        <w:t>հարկի</w:t>
      </w:r>
      <w:r w:rsidRPr="001F63BA">
        <w:rPr>
          <w:rFonts w:ascii="GHEA Grapalat" w:hAnsi="GHEA Grapalat"/>
          <w:sz w:val="22"/>
          <w:szCs w:val="22"/>
        </w:rPr>
        <w:t xml:space="preserve"> </w:t>
      </w:r>
      <w:r w:rsidRPr="001F63BA">
        <w:rPr>
          <w:rFonts w:ascii="GHEA Grapalat" w:hAnsi="GHEA Grapalat" w:cs="GHEA Grapalat"/>
          <w:sz w:val="22"/>
          <w:szCs w:val="22"/>
        </w:rPr>
        <w:t>գծով</w:t>
      </w:r>
      <w:r w:rsidRPr="001F63BA">
        <w:rPr>
          <w:rFonts w:ascii="GHEA Grapalat" w:hAnsi="GHEA Grapalat"/>
          <w:sz w:val="22"/>
          <w:szCs w:val="22"/>
        </w:rPr>
        <w:t xml:space="preserve"> </w:t>
      </w:r>
      <w:r w:rsidRPr="001F63BA">
        <w:rPr>
          <w:rFonts w:ascii="GHEA Grapalat" w:hAnsi="GHEA Grapalat" w:cs="GHEA Grapalat"/>
          <w:sz w:val="22"/>
          <w:szCs w:val="22"/>
        </w:rPr>
        <w:t>վերադարձված</w:t>
      </w:r>
      <w:r w:rsidRPr="001F63BA">
        <w:rPr>
          <w:rFonts w:ascii="GHEA Grapalat" w:hAnsi="GHEA Grapalat"/>
          <w:sz w:val="22"/>
          <w:szCs w:val="22"/>
        </w:rPr>
        <w:t xml:space="preserve"> </w:t>
      </w:r>
      <w:r w:rsidRPr="001F63BA">
        <w:rPr>
          <w:rFonts w:ascii="GHEA Grapalat" w:hAnsi="GHEA Grapalat" w:cs="GHEA Grapalat"/>
          <w:sz w:val="22"/>
          <w:szCs w:val="22"/>
        </w:rPr>
        <w:t>գումարներում</w:t>
      </w:r>
      <w:r w:rsidRPr="001F63BA">
        <w:rPr>
          <w:rFonts w:ascii="GHEA Grapalat" w:hAnsi="GHEA Grapalat"/>
          <w:sz w:val="22"/>
          <w:szCs w:val="22"/>
        </w:rPr>
        <w:t xml:space="preserve"> </w:t>
      </w:r>
      <w:r w:rsidRPr="001F63BA">
        <w:rPr>
          <w:rFonts w:ascii="GHEA Grapalat" w:hAnsi="GHEA Grapalat" w:cs="GHEA Grapalat"/>
          <w:sz w:val="22"/>
          <w:szCs w:val="22"/>
        </w:rPr>
        <w:t>ներառված</w:t>
      </w:r>
      <w:r w:rsidRPr="001F63BA">
        <w:rPr>
          <w:rFonts w:ascii="GHEA Grapalat" w:hAnsi="GHEA Grapalat"/>
          <w:sz w:val="22"/>
          <w:szCs w:val="22"/>
        </w:rPr>
        <w:t xml:space="preserve"> </w:t>
      </w:r>
      <w:r w:rsidRPr="001F63BA">
        <w:rPr>
          <w:rFonts w:ascii="GHEA Grapalat" w:hAnsi="GHEA Grapalat" w:cs="GHEA Grapalat"/>
          <w:sz w:val="22"/>
          <w:szCs w:val="22"/>
        </w:rPr>
        <w:t>են</w:t>
      </w:r>
      <w:r w:rsidRPr="001F63BA">
        <w:rPr>
          <w:rFonts w:ascii="GHEA Grapalat" w:hAnsi="GHEA Grapalat"/>
          <w:sz w:val="22"/>
          <w:szCs w:val="22"/>
        </w:rPr>
        <w:t xml:space="preserve"> </w:t>
      </w:r>
      <w:r w:rsidRPr="001F63BA">
        <w:rPr>
          <w:rFonts w:ascii="GHEA Grapalat" w:hAnsi="GHEA Grapalat" w:cs="GHEA Grapalat"/>
          <w:sz w:val="22"/>
          <w:szCs w:val="22"/>
        </w:rPr>
        <w:t>բնակարան</w:t>
      </w:r>
      <w:r w:rsidRPr="001F63BA">
        <w:rPr>
          <w:rFonts w:ascii="GHEA Grapalat" w:hAnsi="GHEA Grapalat"/>
          <w:sz w:val="22"/>
          <w:szCs w:val="22"/>
        </w:rPr>
        <w:t xml:space="preserve"> </w:t>
      </w:r>
      <w:r w:rsidRPr="001F63BA">
        <w:rPr>
          <w:rFonts w:ascii="GHEA Grapalat" w:hAnsi="GHEA Grapalat" w:cs="GHEA Grapalat"/>
          <w:sz w:val="22"/>
          <w:szCs w:val="22"/>
        </w:rPr>
        <w:t>ձեռք</w:t>
      </w:r>
      <w:r w:rsidRPr="001F63BA">
        <w:rPr>
          <w:rFonts w:ascii="GHEA Grapalat" w:hAnsi="GHEA Grapalat"/>
          <w:sz w:val="22"/>
          <w:szCs w:val="22"/>
        </w:rPr>
        <w:t xml:space="preserve"> բերելու կամ անհատական բնակելի տուն կառուցելու նպատակով հիպոտեկային վարկի սպասարկման համար վճարվող տոկոսների մասով վարկառուներին և համավարկառուներին վերադարձված, շահաբաժիններից վճարված պետական բյուջեից փոխհատուցվող, ինչպես նաև վարձու աշխատող հանդիսացող ֆիզիկական անձանց` ուսման վարձավճարի փոխհատուցման նպատակով գումարները: </w:t>
      </w:r>
    </w:p>
    <w:p w:rsidR="001C411D" w:rsidRPr="001F63BA" w:rsidRDefault="001C411D" w:rsidP="002F7E29">
      <w:pPr>
        <w:tabs>
          <w:tab w:val="left" w:pos="0"/>
          <w:tab w:val="left" w:pos="900"/>
        </w:tabs>
        <w:spacing w:line="360" w:lineRule="auto"/>
        <w:ind w:firstLine="567"/>
        <w:jc w:val="both"/>
        <w:rPr>
          <w:rFonts w:ascii="GHEA Grapalat" w:hAnsi="GHEA Grapalat"/>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bCs w:val="0"/>
          <w:i/>
          <w:sz w:val="18"/>
          <w:szCs w:val="18"/>
        </w:rPr>
      </w:pPr>
      <w:r w:rsidRPr="001F63BA">
        <w:rPr>
          <w:rFonts w:ascii="GHEA Grapalat" w:hAnsi="GHEA Grapalat"/>
          <w:bCs w:val="0"/>
          <w:i/>
          <w:sz w:val="18"/>
          <w:szCs w:val="18"/>
        </w:rPr>
        <w:t xml:space="preserve">2021-2022թթ. եկամտային հարկի վերադարձը (մլրդ դրամ) </w:t>
      </w:r>
    </w:p>
    <w:tbl>
      <w:tblPr>
        <w:tblW w:w="10221" w:type="dxa"/>
        <w:tblInd w:w="93" w:type="dxa"/>
        <w:tblLook w:val="00A0" w:firstRow="1" w:lastRow="0" w:firstColumn="1" w:lastColumn="0" w:noHBand="0" w:noVBand="0"/>
      </w:tblPr>
      <w:tblGrid>
        <w:gridCol w:w="5544"/>
        <w:gridCol w:w="1134"/>
        <w:gridCol w:w="1117"/>
        <w:gridCol w:w="1203"/>
        <w:gridCol w:w="1223"/>
      </w:tblGrid>
      <w:tr w:rsidR="001C411D" w:rsidRPr="001F63BA" w:rsidTr="0089072E">
        <w:trPr>
          <w:trHeight w:val="660"/>
        </w:trPr>
        <w:tc>
          <w:tcPr>
            <w:tcW w:w="5544"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3F102C">
            <w:pPr>
              <w:rPr>
                <w:rFonts w:ascii="GHEA Grapalat" w:hAnsi="GHEA Grapalat" w:cs="Calibri"/>
                <w:sz w:val="20"/>
                <w:szCs w:val="20"/>
              </w:rPr>
            </w:pPr>
            <w:r w:rsidRPr="001F63BA">
              <w:rPr>
                <w:rFonts w:ascii="Courier New" w:hAnsi="Courier New" w:cs="Courier New"/>
                <w:sz w:val="20"/>
                <w:szCs w:val="20"/>
              </w:rPr>
              <w:t> </w:t>
            </w:r>
          </w:p>
        </w:tc>
        <w:tc>
          <w:tcPr>
            <w:tcW w:w="1134" w:type="dxa"/>
            <w:tcBorders>
              <w:top w:val="single" w:sz="4" w:space="0" w:color="auto"/>
              <w:left w:val="nil"/>
              <w:bottom w:val="single" w:sz="4" w:space="0" w:color="auto"/>
              <w:right w:val="single" w:sz="4" w:space="0" w:color="auto"/>
            </w:tcBorders>
            <w:noWrap/>
          </w:tcPr>
          <w:p w:rsidR="001C411D" w:rsidRPr="001F63BA" w:rsidRDefault="001C411D" w:rsidP="003F102C">
            <w:pPr>
              <w:jc w:val="cente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117" w:type="dxa"/>
            <w:tcBorders>
              <w:top w:val="single" w:sz="4" w:space="0" w:color="auto"/>
              <w:left w:val="nil"/>
              <w:bottom w:val="single" w:sz="4" w:space="0" w:color="auto"/>
              <w:right w:val="single" w:sz="4" w:space="0" w:color="auto"/>
            </w:tcBorders>
            <w:noWrap/>
          </w:tcPr>
          <w:p w:rsidR="001C411D" w:rsidRPr="001F63BA" w:rsidRDefault="001C411D" w:rsidP="003F102C">
            <w:pPr>
              <w:jc w:val="cente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203" w:type="dxa"/>
            <w:tcBorders>
              <w:top w:val="single" w:sz="4" w:space="0" w:color="auto"/>
              <w:left w:val="nil"/>
              <w:bottom w:val="single" w:sz="4" w:space="0" w:color="auto"/>
              <w:right w:val="single" w:sz="4" w:space="0" w:color="auto"/>
            </w:tcBorders>
          </w:tcPr>
          <w:p w:rsidR="001C411D" w:rsidRPr="001F63BA" w:rsidRDefault="001C411D" w:rsidP="003F102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-ի</w:t>
            </w:r>
            <w:r w:rsidRPr="001F63BA">
              <w:rPr>
                <w:rFonts w:ascii="GHEA Grapalat" w:hAnsi="GHEA Grapalat" w:cs="Calibri"/>
                <w:b/>
                <w:bCs/>
                <w:sz w:val="18"/>
                <w:szCs w:val="18"/>
              </w:rPr>
              <w:t xml:space="preserve"> նկատմամբ</w:t>
            </w:r>
          </w:p>
          <w:p w:rsidR="001C411D" w:rsidRPr="001F63BA" w:rsidRDefault="001C411D" w:rsidP="003F102C">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23" w:type="dxa"/>
            <w:tcBorders>
              <w:top w:val="single" w:sz="4" w:space="0" w:color="auto"/>
              <w:left w:val="nil"/>
              <w:bottom w:val="single" w:sz="4" w:space="0" w:color="auto"/>
              <w:right w:val="single" w:sz="4" w:space="0" w:color="auto"/>
            </w:tcBorders>
            <w:noWrap/>
          </w:tcPr>
          <w:p w:rsidR="001C411D" w:rsidRPr="001F63BA" w:rsidRDefault="001C411D" w:rsidP="003F102C">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89072E">
        <w:trPr>
          <w:trHeight w:val="279"/>
        </w:trPr>
        <w:tc>
          <w:tcPr>
            <w:tcW w:w="5544" w:type="dxa"/>
            <w:tcBorders>
              <w:top w:val="nil"/>
              <w:left w:val="single" w:sz="4" w:space="0" w:color="auto"/>
              <w:bottom w:val="single" w:sz="4" w:space="0" w:color="auto"/>
              <w:right w:val="single" w:sz="4" w:space="0" w:color="auto"/>
            </w:tcBorders>
            <w:noWrap/>
            <w:vAlign w:val="bottom"/>
          </w:tcPr>
          <w:p w:rsidR="001C411D" w:rsidRPr="001F63BA" w:rsidRDefault="001C411D" w:rsidP="00D314B5">
            <w:pPr>
              <w:rPr>
                <w:rFonts w:ascii="GHEA Grapalat" w:hAnsi="GHEA Grapalat" w:cs="Calibri"/>
                <w:b/>
                <w:bCs/>
                <w:sz w:val="18"/>
                <w:szCs w:val="18"/>
                <w:lang w:val="en-US"/>
              </w:rPr>
            </w:pPr>
            <w:r w:rsidRPr="001F63BA">
              <w:rPr>
                <w:rFonts w:ascii="GHEA Grapalat" w:hAnsi="GHEA Grapalat" w:cs="Calibri"/>
                <w:b/>
                <w:bCs/>
                <w:sz w:val="18"/>
                <w:szCs w:val="18"/>
              </w:rPr>
              <w:t>Ընդամենը</w:t>
            </w:r>
            <w:r w:rsidRPr="001F63BA">
              <w:rPr>
                <w:rFonts w:ascii="GHEA Grapalat" w:hAnsi="GHEA Grapalat" w:cs="Calibri"/>
                <w:b/>
                <w:bCs/>
                <w:sz w:val="18"/>
                <w:szCs w:val="18"/>
                <w:lang w:val="en-US"/>
              </w:rPr>
              <w:t xml:space="preserve"> եկամտային հարկի գծով</w:t>
            </w:r>
            <w:r w:rsidRPr="001F63BA">
              <w:rPr>
                <w:rFonts w:ascii="GHEA Grapalat" w:hAnsi="GHEA Grapalat" w:cs="Calibri"/>
                <w:b/>
                <w:bCs/>
                <w:sz w:val="18"/>
                <w:szCs w:val="18"/>
              </w:rPr>
              <w:t xml:space="preserve"> վերադարձված գումարներ</w:t>
            </w:r>
            <w:r w:rsidRPr="001F63BA">
              <w:rPr>
                <w:rFonts w:ascii="GHEA Grapalat" w:hAnsi="GHEA Grapalat" w:cs="Calibri"/>
                <w:b/>
                <w:bCs/>
                <w:sz w:val="18"/>
                <w:szCs w:val="18"/>
                <w:lang w:val="en-US"/>
              </w:rPr>
              <w:t>, այդ թվում՝</w:t>
            </w:r>
          </w:p>
        </w:tc>
        <w:tc>
          <w:tcPr>
            <w:tcW w:w="1134"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b/>
                <w:bCs/>
                <w:sz w:val="18"/>
                <w:szCs w:val="18"/>
                <w:lang w:val="en-US"/>
              </w:rPr>
            </w:pPr>
            <w:r w:rsidRPr="001F63BA">
              <w:rPr>
                <w:rFonts w:ascii="GHEA Grapalat" w:hAnsi="GHEA Grapalat" w:cs="Calibri"/>
                <w:b/>
                <w:bCs/>
                <w:sz w:val="18"/>
                <w:szCs w:val="18"/>
              </w:rPr>
              <w:t>32.6</w:t>
            </w:r>
          </w:p>
        </w:tc>
        <w:tc>
          <w:tcPr>
            <w:tcW w:w="1117"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b/>
                <w:bCs/>
                <w:sz w:val="18"/>
                <w:szCs w:val="18"/>
                <w:lang w:val="en-US"/>
              </w:rPr>
            </w:pPr>
            <w:r w:rsidRPr="001F63BA">
              <w:rPr>
                <w:rFonts w:ascii="GHEA Grapalat" w:hAnsi="GHEA Grapalat" w:cs="Calibri"/>
                <w:b/>
                <w:bCs/>
                <w:sz w:val="18"/>
                <w:szCs w:val="18"/>
              </w:rPr>
              <w:t>47.4</w:t>
            </w:r>
          </w:p>
        </w:tc>
        <w:tc>
          <w:tcPr>
            <w:tcW w:w="120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b/>
                <w:bCs/>
                <w:sz w:val="18"/>
                <w:szCs w:val="18"/>
              </w:rPr>
            </w:pPr>
            <w:r w:rsidRPr="001F63BA">
              <w:rPr>
                <w:rFonts w:ascii="GHEA Grapalat" w:hAnsi="GHEA Grapalat" w:cs="Calibri"/>
                <w:b/>
                <w:bCs/>
                <w:sz w:val="18"/>
                <w:szCs w:val="18"/>
              </w:rPr>
              <w:t>145.2</w:t>
            </w:r>
          </w:p>
        </w:tc>
        <w:tc>
          <w:tcPr>
            <w:tcW w:w="122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b/>
                <w:bCs/>
                <w:sz w:val="18"/>
                <w:szCs w:val="18"/>
                <w:lang w:val="en-US"/>
              </w:rPr>
            </w:pPr>
            <w:r w:rsidRPr="001F63BA">
              <w:rPr>
                <w:rFonts w:ascii="GHEA Grapalat" w:hAnsi="GHEA Grapalat" w:cs="Calibri"/>
                <w:b/>
                <w:bCs/>
                <w:sz w:val="18"/>
                <w:szCs w:val="18"/>
              </w:rPr>
              <w:t>14.7</w:t>
            </w:r>
          </w:p>
        </w:tc>
      </w:tr>
      <w:tr w:rsidR="001C411D" w:rsidRPr="001F63BA" w:rsidTr="0089072E">
        <w:trPr>
          <w:trHeight w:val="279"/>
        </w:trPr>
        <w:tc>
          <w:tcPr>
            <w:tcW w:w="5544" w:type="dxa"/>
            <w:tcBorders>
              <w:top w:val="nil"/>
              <w:left w:val="single" w:sz="4" w:space="0" w:color="auto"/>
              <w:bottom w:val="single" w:sz="4" w:space="0" w:color="auto"/>
              <w:right w:val="single" w:sz="4" w:space="0" w:color="auto"/>
            </w:tcBorders>
            <w:noWrap/>
            <w:vAlign w:val="bottom"/>
          </w:tcPr>
          <w:p w:rsidR="001C411D" w:rsidRPr="001F63BA" w:rsidRDefault="001C411D" w:rsidP="00D314B5">
            <w:pPr>
              <w:ind w:left="333"/>
              <w:rPr>
                <w:rFonts w:ascii="GHEA Grapalat" w:hAnsi="GHEA Grapalat" w:cs="Calibri"/>
                <w:sz w:val="18"/>
                <w:szCs w:val="18"/>
              </w:rPr>
            </w:pPr>
            <w:r w:rsidRPr="001F63BA">
              <w:rPr>
                <w:rFonts w:ascii="GHEA Grapalat" w:hAnsi="GHEA Grapalat" w:cs="Calibri"/>
                <w:sz w:val="18"/>
                <w:szCs w:val="18"/>
                <w:lang w:val="en-US"/>
              </w:rPr>
              <w:t>Հ</w:t>
            </w:r>
            <w:r w:rsidRPr="001F63BA">
              <w:rPr>
                <w:rFonts w:ascii="GHEA Grapalat" w:hAnsi="GHEA Grapalat" w:cs="Calibri"/>
                <w:sz w:val="18"/>
                <w:szCs w:val="18"/>
              </w:rPr>
              <w:t>իպոտեկային վարկի սպասարկման համար վճարվող տոկոսների մասով վարկառուներին և համավարկառու</w:t>
            </w:r>
            <w:r w:rsidRPr="001F63BA">
              <w:rPr>
                <w:rFonts w:ascii="GHEA Grapalat" w:hAnsi="GHEA Grapalat" w:cs="Calibri"/>
                <w:sz w:val="18"/>
                <w:szCs w:val="18"/>
                <w:lang w:val="en-US"/>
              </w:rPr>
              <w:t>-</w:t>
            </w:r>
            <w:r w:rsidRPr="001F63BA">
              <w:rPr>
                <w:rFonts w:ascii="GHEA Grapalat" w:hAnsi="GHEA Grapalat" w:cs="Calibri"/>
                <w:sz w:val="18"/>
                <w:szCs w:val="18"/>
              </w:rPr>
              <w:t>ներին վերադարձված եկամտային հարկ</w:t>
            </w:r>
          </w:p>
        </w:tc>
        <w:tc>
          <w:tcPr>
            <w:tcW w:w="1134"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22.7</w:t>
            </w:r>
          </w:p>
        </w:tc>
        <w:tc>
          <w:tcPr>
            <w:tcW w:w="1117"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36.5</w:t>
            </w:r>
          </w:p>
        </w:tc>
        <w:tc>
          <w:tcPr>
            <w:tcW w:w="120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rPr>
            </w:pPr>
            <w:r w:rsidRPr="001F63BA">
              <w:rPr>
                <w:rFonts w:ascii="GHEA Grapalat" w:hAnsi="GHEA Grapalat" w:cs="Calibri"/>
                <w:sz w:val="18"/>
                <w:szCs w:val="18"/>
              </w:rPr>
              <w:t>160.5</w:t>
            </w:r>
          </w:p>
        </w:tc>
        <w:tc>
          <w:tcPr>
            <w:tcW w:w="122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13.8</w:t>
            </w:r>
          </w:p>
        </w:tc>
      </w:tr>
      <w:tr w:rsidR="001C411D" w:rsidRPr="001F63BA" w:rsidTr="0089072E">
        <w:trPr>
          <w:trHeight w:val="334"/>
        </w:trPr>
        <w:tc>
          <w:tcPr>
            <w:tcW w:w="5544" w:type="dxa"/>
            <w:tcBorders>
              <w:top w:val="nil"/>
              <w:left w:val="single" w:sz="4" w:space="0" w:color="auto"/>
              <w:bottom w:val="single" w:sz="4" w:space="0" w:color="auto"/>
              <w:right w:val="single" w:sz="4" w:space="0" w:color="auto"/>
            </w:tcBorders>
            <w:vAlign w:val="bottom"/>
          </w:tcPr>
          <w:p w:rsidR="001C411D" w:rsidRPr="001F63BA" w:rsidRDefault="001C411D" w:rsidP="00D314B5">
            <w:pPr>
              <w:ind w:left="333"/>
              <w:rPr>
                <w:rFonts w:ascii="GHEA Grapalat" w:hAnsi="GHEA Grapalat" w:cs="Calibri"/>
                <w:sz w:val="18"/>
                <w:szCs w:val="18"/>
              </w:rPr>
            </w:pPr>
            <w:r w:rsidRPr="001F63BA">
              <w:rPr>
                <w:rFonts w:ascii="GHEA Grapalat" w:hAnsi="GHEA Grapalat" w:cs="Calibri"/>
                <w:sz w:val="18"/>
                <w:szCs w:val="18"/>
              </w:rPr>
              <w:t>Շահաբաժիններից վճարված՝ պետական բյուջեից փոխհատուցվ</w:t>
            </w:r>
            <w:r w:rsidRPr="001F63BA">
              <w:rPr>
                <w:rFonts w:ascii="GHEA Grapalat" w:hAnsi="GHEA Grapalat" w:cs="Calibri"/>
                <w:sz w:val="18"/>
                <w:szCs w:val="18"/>
                <w:lang w:val="en-US"/>
              </w:rPr>
              <w:t>ած</w:t>
            </w:r>
            <w:r w:rsidRPr="001F63BA">
              <w:rPr>
                <w:rFonts w:ascii="GHEA Grapalat" w:hAnsi="GHEA Grapalat" w:cs="Calibri"/>
                <w:sz w:val="18"/>
                <w:szCs w:val="18"/>
              </w:rPr>
              <w:t xml:space="preserve"> եկամտային հարկ</w:t>
            </w:r>
          </w:p>
        </w:tc>
        <w:tc>
          <w:tcPr>
            <w:tcW w:w="1134"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9.6</w:t>
            </w:r>
          </w:p>
        </w:tc>
        <w:tc>
          <w:tcPr>
            <w:tcW w:w="1117"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10.6</w:t>
            </w:r>
          </w:p>
        </w:tc>
        <w:tc>
          <w:tcPr>
            <w:tcW w:w="120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rPr>
            </w:pPr>
            <w:r w:rsidRPr="001F63BA">
              <w:rPr>
                <w:rFonts w:ascii="GHEA Grapalat" w:hAnsi="GHEA Grapalat" w:cs="Calibri"/>
                <w:sz w:val="18"/>
                <w:szCs w:val="18"/>
              </w:rPr>
              <w:t>110.0</w:t>
            </w:r>
          </w:p>
        </w:tc>
        <w:tc>
          <w:tcPr>
            <w:tcW w:w="122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1.0</w:t>
            </w:r>
          </w:p>
        </w:tc>
      </w:tr>
      <w:tr w:rsidR="001C411D" w:rsidRPr="001F63BA" w:rsidTr="0089072E">
        <w:trPr>
          <w:trHeight w:val="281"/>
        </w:trPr>
        <w:tc>
          <w:tcPr>
            <w:tcW w:w="5544" w:type="dxa"/>
            <w:tcBorders>
              <w:top w:val="nil"/>
              <w:left w:val="single" w:sz="4" w:space="0" w:color="auto"/>
              <w:bottom w:val="single" w:sz="4" w:space="0" w:color="auto"/>
              <w:right w:val="single" w:sz="4" w:space="0" w:color="auto"/>
            </w:tcBorders>
            <w:vAlign w:val="bottom"/>
          </w:tcPr>
          <w:p w:rsidR="001C411D" w:rsidRPr="001F63BA" w:rsidRDefault="001C411D" w:rsidP="00D314B5">
            <w:pPr>
              <w:ind w:left="333"/>
              <w:rPr>
                <w:rFonts w:ascii="GHEA Grapalat" w:hAnsi="GHEA Grapalat" w:cs="Calibri"/>
                <w:sz w:val="18"/>
                <w:szCs w:val="18"/>
                <w:lang w:val="en-US"/>
              </w:rPr>
            </w:pPr>
            <w:r w:rsidRPr="001F63BA">
              <w:rPr>
                <w:rFonts w:ascii="GHEA Grapalat" w:hAnsi="GHEA Grapalat" w:cs="Calibri"/>
                <w:sz w:val="18"/>
                <w:szCs w:val="18"/>
              </w:rPr>
              <w:lastRenderedPageBreak/>
              <w:t>Վարձու աշխատող հանդիսացող ֆիզիկական անձանց` ուսման վարձավճարի փոխհատուցման նպատակով</w:t>
            </w:r>
            <w:r w:rsidRPr="001F63BA">
              <w:rPr>
                <w:rFonts w:ascii="GHEA Grapalat" w:hAnsi="GHEA Grapalat" w:cs="Calibri"/>
                <w:sz w:val="18"/>
                <w:szCs w:val="18"/>
                <w:lang w:val="en-US"/>
              </w:rPr>
              <w:t xml:space="preserve"> </w:t>
            </w:r>
            <w:r w:rsidRPr="001F63BA">
              <w:rPr>
                <w:rFonts w:ascii="GHEA Grapalat" w:hAnsi="GHEA Grapalat" w:cs="Calibri"/>
                <w:sz w:val="18"/>
                <w:szCs w:val="18"/>
              </w:rPr>
              <w:t>վերադարձված եկամտային հարկ</w:t>
            </w:r>
          </w:p>
        </w:tc>
        <w:tc>
          <w:tcPr>
            <w:tcW w:w="1134"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0.3</w:t>
            </w:r>
          </w:p>
        </w:tc>
        <w:tc>
          <w:tcPr>
            <w:tcW w:w="1117"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0.3</w:t>
            </w:r>
          </w:p>
        </w:tc>
        <w:tc>
          <w:tcPr>
            <w:tcW w:w="120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rPr>
            </w:pPr>
            <w:r w:rsidRPr="001F63BA">
              <w:rPr>
                <w:rFonts w:ascii="GHEA Grapalat" w:hAnsi="GHEA Grapalat" w:cs="Calibri"/>
                <w:sz w:val="18"/>
                <w:szCs w:val="18"/>
              </w:rPr>
              <w:t>105.8</w:t>
            </w:r>
          </w:p>
        </w:tc>
        <w:tc>
          <w:tcPr>
            <w:tcW w:w="1223" w:type="dxa"/>
            <w:tcBorders>
              <w:top w:val="nil"/>
              <w:left w:val="nil"/>
              <w:bottom w:val="single" w:sz="4" w:space="0" w:color="auto"/>
              <w:right w:val="single" w:sz="4" w:space="0" w:color="auto"/>
            </w:tcBorders>
            <w:noWrap/>
            <w:vAlign w:val="bottom"/>
          </w:tcPr>
          <w:p w:rsidR="001C411D" w:rsidRPr="001F63BA" w:rsidRDefault="001C411D" w:rsidP="00D314B5">
            <w:pPr>
              <w:jc w:val="right"/>
              <w:rPr>
                <w:rFonts w:ascii="GHEA Grapalat" w:hAnsi="GHEA Grapalat" w:cs="Calibri"/>
                <w:sz w:val="18"/>
                <w:szCs w:val="18"/>
                <w:lang w:val="en-US"/>
              </w:rPr>
            </w:pPr>
            <w:r w:rsidRPr="001F63BA">
              <w:rPr>
                <w:rFonts w:ascii="GHEA Grapalat" w:hAnsi="GHEA Grapalat" w:cs="Calibri"/>
                <w:sz w:val="18"/>
                <w:szCs w:val="18"/>
              </w:rPr>
              <w:t>0.0</w:t>
            </w:r>
          </w:p>
        </w:tc>
      </w:tr>
    </w:tbl>
    <w:p w:rsidR="001C411D" w:rsidRPr="001F63BA" w:rsidRDefault="001C411D" w:rsidP="002F7E29">
      <w:pPr>
        <w:tabs>
          <w:tab w:val="left" w:pos="0"/>
          <w:tab w:val="left" w:pos="900"/>
        </w:tabs>
        <w:spacing w:line="360" w:lineRule="auto"/>
        <w:ind w:firstLine="567"/>
        <w:jc w:val="both"/>
        <w:rPr>
          <w:rFonts w:ascii="GHEA Grapalat" w:hAnsi="GHEA Grapalat"/>
          <w:sz w:val="22"/>
          <w:szCs w:val="22"/>
          <w:lang w:val="en-US"/>
        </w:rPr>
      </w:pPr>
    </w:p>
    <w:p w:rsidR="001C411D" w:rsidRPr="001F63BA" w:rsidRDefault="001C411D" w:rsidP="002F7E29">
      <w:pPr>
        <w:tabs>
          <w:tab w:val="left" w:pos="0"/>
          <w:tab w:val="left" w:pos="900"/>
        </w:tabs>
        <w:spacing w:line="360" w:lineRule="auto"/>
        <w:ind w:firstLine="567"/>
        <w:jc w:val="both"/>
        <w:rPr>
          <w:rFonts w:ascii="GHEA Grapalat" w:hAnsi="GHEA Grapalat" w:cs="Sylfaen"/>
          <w:sz w:val="22"/>
          <w:szCs w:val="22"/>
        </w:rPr>
      </w:pPr>
      <w:r w:rsidRPr="001F63BA">
        <w:rPr>
          <w:rFonts w:ascii="GHEA Grapalat" w:hAnsi="GHEA Grapalat"/>
          <w:sz w:val="22"/>
          <w:szCs w:val="22"/>
        </w:rPr>
        <w:t>Բացասական նպաստման չափը կազմել է 3% (14.7/(474.8+14.7)*100):</w:t>
      </w:r>
      <w:r w:rsidRPr="001F63BA">
        <w:rPr>
          <w:rFonts w:ascii="GHEA Grapalat" w:hAnsi="GHEA Grapalat" w:cs="Sylfaen"/>
          <w:sz w:val="22"/>
          <w:szCs w:val="22"/>
        </w:rPr>
        <w:t xml:space="preserve"> Եկամտային հարկի մուտքերի վրա նվազեցնող ազդեցություն է ունեցել նաև 2021 թվականի հունվարի 1-ից եկամտային հարկի միասնական դրույքաչափի 1 տոկոսային կետով նվազումը` 22% դրույքաչափից նվազելով 21% դրույքաչափի: Վերջինս, այլ հավասար պայմաններում, համարժեք է շուրջ 20.7</w:t>
      </w:r>
      <w:r w:rsidRPr="001F63BA">
        <w:rPr>
          <w:rFonts w:ascii="Courier New" w:hAnsi="Courier New" w:cs="Courier New"/>
          <w:sz w:val="22"/>
          <w:szCs w:val="22"/>
        </w:rPr>
        <w:t> </w:t>
      </w:r>
      <w:r w:rsidRPr="001F63BA">
        <w:rPr>
          <w:rFonts w:ascii="GHEA Grapalat" w:hAnsi="GHEA Grapalat" w:cs="GHEA Grapalat"/>
          <w:sz w:val="22"/>
          <w:szCs w:val="22"/>
        </w:rPr>
        <w:t>մլրդ</w:t>
      </w:r>
      <w:r w:rsidRPr="001F63BA">
        <w:rPr>
          <w:rFonts w:ascii="GHEA Grapalat" w:hAnsi="GHEA Grapalat" w:cs="Sylfaen"/>
          <w:sz w:val="22"/>
          <w:szCs w:val="22"/>
        </w:rPr>
        <w:t xml:space="preserve"> դրամ եկամտային հարկի</w:t>
      </w:r>
      <w:r w:rsidRPr="001F63BA">
        <w:rPr>
          <w:rFonts w:ascii="GHEA Grapalat" w:hAnsi="GHEA Grapalat" w:cs="Sylfaen"/>
          <w:sz w:val="22"/>
          <w:szCs w:val="22"/>
          <w:lang w:val="en-US"/>
        </w:rPr>
        <w:t>`</w:t>
      </w:r>
      <w:r w:rsidRPr="001F63BA">
        <w:rPr>
          <w:rFonts w:ascii="GHEA Grapalat" w:hAnsi="GHEA Grapalat" w:cs="Sylfaen"/>
          <w:sz w:val="22"/>
          <w:szCs w:val="22"/>
        </w:rPr>
        <w:t xml:space="preserve"> հ</w:t>
      </w:r>
      <w:r w:rsidRPr="001F63BA">
        <w:rPr>
          <w:rFonts w:ascii="GHEA Grapalat" w:hAnsi="GHEA Grapalat" w:cs="Sylfaen"/>
          <w:sz w:val="22"/>
          <w:szCs w:val="22"/>
          <w:lang w:val="en-US"/>
        </w:rPr>
        <w:t>իմք ընդուն</w:t>
      </w:r>
      <w:r w:rsidRPr="001F63BA">
        <w:rPr>
          <w:rFonts w:ascii="GHEA Grapalat" w:hAnsi="GHEA Grapalat" w:cs="Sylfaen"/>
          <w:sz w:val="22"/>
          <w:szCs w:val="22"/>
        </w:rPr>
        <w:t xml:space="preserve">ելով </w:t>
      </w:r>
      <w:r w:rsidRPr="001F63BA">
        <w:rPr>
          <w:rFonts w:ascii="GHEA Grapalat" w:hAnsi="GHEA Grapalat" w:cs="Sylfaen"/>
          <w:sz w:val="22"/>
          <w:szCs w:val="22"/>
          <w:lang w:val="en-US"/>
        </w:rPr>
        <w:t xml:space="preserve">2022 թվականի տարեկան արդյունքներով </w:t>
      </w:r>
      <w:r w:rsidRPr="001F63BA">
        <w:rPr>
          <w:rFonts w:ascii="GHEA Grapalat" w:hAnsi="GHEA Grapalat" w:cs="Sylfaen"/>
          <w:sz w:val="22"/>
          <w:szCs w:val="22"/>
        </w:rPr>
        <w:t>աշխատավարձի և դրան հավասարեցված եկամուտների ընդհանուր բազան (2,065.1 մլրդ դրամ*1%):</w:t>
      </w:r>
    </w:p>
    <w:p w:rsidR="001C411D" w:rsidRPr="001F63BA" w:rsidRDefault="001C411D" w:rsidP="002F7E29">
      <w:pPr>
        <w:tabs>
          <w:tab w:val="left" w:pos="0"/>
          <w:tab w:val="left" w:pos="900"/>
        </w:tabs>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2022 </w:t>
      </w:r>
      <w:r w:rsidRPr="001F63BA">
        <w:rPr>
          <w:rFonts w:ascii="GHEA Grapalat" w:hAnsi="GHEA Grapalat" w:cs="Sylfaen"/>
          <w:sz w:val="22"/>
          <w:szCs w:val="22"/>
        </w:rPr>
        <w:t>թվականին</w:t>
      </w:r>
      <w:r w:rsidRPr="001F63BA">
        <w:rPr>
          <w:rFonts w:ascii="GHEA Grapalat" w:hAnsi="GHEA Grapalat"/>
          <w:sz w:val="22"/>
          <w:szCs w:val="22"/>
        </w:rPr>
        <w:t xml:space="preserve"> </w:t>
      </w:r>
      <w:r w:rsidRPr="001F63BA">
        <w:rPr>
          <w:rFonts w:ascii="GHEA Grapalat" w:hAnsi="GHEA Grapalat" w:cs="GHEA Grapalat"/>
          <w:sz w:val="22"/>
          <w:szCs w:val="22"/>
        </w:rPr>
        <w:t xml:space="preserve">պետական բյուջե մուտքագրված հարկային եկամուտների ու պետական տուրքերի </w:t>
      </w:r>
      <w:r w:rsidRPr="001F63BA">
        <w:rPr>
          <w:rFonts w:ascii="GHEA Grapalat" w:hAnsi="GHEA Grapalat" w:cs="GHEA Grapalat"/>
          <w:sz w:val="22"/>
          <w:szCs w:val="22"/>
          <w:lang w:val="en-US"/>
        </w:rPr>
        <w:t>2.9</w:t>
      </w:r>
      <w:r w:rsidRPr="001F63BA">
        <w:rPr>
          <w:rFonts w:ascii="GHEA Grapalat" w:hAnsi="GHEA Grapalat" w:cs="GHEA Grapalat"/>
          <w:sz w:val="22"/>
          <w:szCs w:val="22"/>
        </w:rPr>
        <w:t xml:space="preserve">%-ն ապահովվել է </w:t>
      </w:r>
      <w:r w:rsidRPr="001F63BA">
        <w:rPr>
          <w:rFonts w:ascii="GHEA Grapalat" w:hAnsi="GHEA Grapalat" w:cs="GHEA Grapalat"/>
          <w:i/>
          <w:sz w:val="22"/>
          <w:szCs w:val="22"/>
        </w:rPr>
        <w:t>մաք</w:t>
      </w:r>
      <w:r w:rsidRPr="001F63BA">
        <w:rPr>
          <w:rFonts w:ascii="GHEA Grapalat" w:hAnsi="GHEA Grapalat" w:cs="GHEA Grapalat"/>
          <w:i/>
          <w:sz w:val="22"/>
          <w:szCs w:val="22"/>
        </w:rPr>
        <w:softHyphen/>
        <w:t>սա</w:t>
      </w:r>
      <w:r w:rsidRPr="001F63BA">
        <w:rPr>
          <w:rFonts w:ascii="GHEA Grapalat" w:hAnsi="GHEA Grapalat" w:cs="GHEA Grapalat"/>
          <w:i/>
          <w:sz w:val="22"/>
          <w:szCs w:val="22"/>
        </w:rPr>
        <w:softHyphen/>
        <w:t>տուրքերի</w:t>
      </w:r>
      <w:r w:rsidRPr="001F63BA">
        <w:rPr>
          <w:rFonts w:ascii="GHEA Grapalat" w:hAnsi="GHEA Grapalat" w:cs="GHEA Grapalat"/>
          <w:sz w:val="22"/>
          <w:szCs w:val="22"/>
        </w:rPr>
        <w:t xml:space="preserve"> հաշվին:</w:t>
      </w:r>
    </w:p>
    <w:p w:rsidR="001C411D" w:rsidRPr="001F63BA" w:rsidRDefault="001C411D" w:rsidP="009C20C7">
      <w:pPr>
        <w:tabs>
          <w:tab w:val="left" w:pos="0"/>
          <w:tab w:val="left" w:pos="900"/>
        </w:tabs>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Մաքսատուրքերի գծով ՀՀ պետական բյուջեի մուտքերը (մլրդ դրամ)</w:t>
      </w:r>
    </w:p>
    <w:tbl>
      <w:tblPr>
        <w:tblW w:w="10205" w:type="dxa"/>
        <w:tblLook w:val="00A0" w:firstRow="1" w:lastRow="0" w:firstColumn="1" w:lastColumn="0" w:noHBand="0" w:noVBand="0"/>
      </w:tblPr>
      <w:tblGrid>
        <w:gridCol w:w="4786"/>
        <w:gridCol w:w="1276"/>
        <w:gridCol w:w="1276"/>
        <w:gridCol w:w="1417"/>
        <w:gridCol w:w="1450"/>
      </w:tblGrid>
      <w:tr w:rsidR="001C411D" w:rsidRPr="001F63BA" w:rsidTr="002F7E29">
        <w:trPr>
          <w:trHeight w:val="855"/>
        </w:trPr>
        <w:tc>
          <w:tcPr>
            <w:tcW w:w="478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2F7E29">
            <w:pPr>
              <w:rPr>
                <w:rFonts w:ascii="GHEA Grapalat" w:hAnsi="GHEA Grapalat" w:cs="Calibri"/>
                <w:sz w:val="18"/>
                <w:szCs w:val="18"/>
              </w:rPr>
            </w:pPr>
            <w:r w:rsidRPr="001F63BA">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417"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450"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44719F">
        <w:trPr>
          <w:trHeight w:val="293"/>
        </w:trPr>
        <w:tc>
          <w:tcPr>
            <w:tcW w:w="4786" w:type="dxa"/>
            <w:tcBorders>
              <w:top w:val="nil"/>
              <w:left w:val="single" w:sz="4" w:space="0" w:color="auto"/>
              <w:bottom w:val="single" w:sz="4" w:space="0" w:color="auto"/>
              <w:right w:val="single" w:sz="4" w:space="0" w:color="auto"/>
            </w:tcBorders>
            <w:vAlign w:val="bottom"/>
          </w:tcPr>
          <w:p w:rsidR="001C411D" w:rsidRPr="001F63BA" w:rsidRDefault="001C411D" w:rsidP="0044719F">
            <w:pPr>
              <w:rPr>
                <w:rFonts w:ascii="GHEA Grapalat" w:hAnsi="GHEA Grapalat" w:cs="Calibri"/>
                <w:b/>
                <w:bCs/>
                <w:sz w:val="18"/>
                <w:szCs w:val="18"/>
              </w:rPr>
            </w:pPr>
            <w:r w:rsidRPr="001F63BA">
              <w:rPr>
                <w:rFonts w:ascii="GHEA Grapalat" w:hAnsi="GHEA Grapalat" w:cs="Calibri"/>
                <w:b/>
                <w:bCs/>
                <w:sz w:val="18"/>
                <w:szCs w:val="18"/>
              </w:rPr>
              <w:t>Մաքսատուրքեր</w:t>
            </w:r>
          </w:p>
        </w:tc>
        <w:tc>
          <w:tcPr>
            <w:tcW w:w="1276"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44719F">
            <w:pPr>
              <w:jc w:val="right"/>
              <w:rPr>
                <w:rFonts w:ascii="GHEA Grapalat" w:hAnsi="GHEA Grapalat" w:cs="Calibri"/>
                <w:b/>
                <w:bCs/>
                <w:sz w:val="18"/>
                <w:szCs w:val="18"/>
              </w:rPr>
            </w:pPr>
            <w:r w:rsidRPr="001F63BA">
              <w:rPr>
                <w:rFonts w:ascii="GHEA Grapalat" w:hAnsi="GHEA Grapalat" w:cs="Calibri"/>
                <w:b/>
                <w:bCs/>
                <w:sz w:val="18"/>
                <w:szCs w:val="18"/>
              </w:rPr>
              <w:t>84.8</w:t>
            </w:r>
          </w:p>
        </w:tc>
        <w:tc>
          <w:tcPr>
            <w:tcW w:w="1276" w:type="dxa"/>
            <w:tcBorders>
              <w:top w:val="nil"/>
              <w:left w:val="nil"/>
              <w:bottom w:val="single" w:sz="4" w:space="0" w:color="auto"/>
              <w:right w:val="single" w:sz="4" w:space="0" w:color="auto"/>
            </w:tcBorders>
            <w:noWrap/>
            <w:vAlign w:val="bottom"/>
          </w:tcPr>
          <w:p w:rsidR="001C411D" w:rsidRPr="001F63BA" w:rsidRDefault="001C411D" w:rsidP="0044719F">
            <w:pPr>
              <w:jc w:val="right"/>
              <w:rPr>
                <w:rFonts w:ascii="GHEA Grapalat" w:hAnsi="GHEA Grapalat" w:cs="Calibri"/>
                <w:b/>
                <w:bCs/>
                <w:sz w:val="18"/>
                <w:szCs w:val="18"/>
                <w:lang w:val="en-US"/>
              </w:rPr>
            </w:pPr>
            <w:r w:rsidRPr="001F63BA">
              <w:rPr>
                <w:rFonts w:ascii="GHEA Grapalat" w:hAnsi="GHEA Grapalat" w:cs="Calibri"/>
                <w:b/>
                <w:bCs/>
                <w:sz w:val="18"/>
                <w:szCs w:val="18"/>
                <w:lang w:val="en-US"/>
              </w:rPr>
              <w:t>56</w:t>
            </w:r>
            <w:r w:rsidRPr="001F63BA">
              <w:rPr>
                <w:rFonts w:ascii="GHEA Grapalat" w:hAnsi="GHEA Grapalat" w:cs="Calibri"/>
                <w:b/>
                <w:bCs/>
                <w:sz w:val="18"/>
                <w:szCs w:val="18"/>
              </w:rPr>
              <w:t>.</w:t>
            </w:r>
            <w:r w:rsidRPr="001F63BA">
              <w:rPr>
                <w:rFonts w:ascii="GHEA Grapalat" w:hAnsi="GHEA Grapalat" w:cs="Calibri"/>
                <w:b/>
                <w:bCs/>
                <w:sz w:val="18"/>
                <w:szCs w:val="18"/>
                <w:lang w:val="en-US"/>
              </w:rPr>
              <w:t>7</w:t>
            </w:r>
          </w:p>
        </w:tc>
        <w:tc>
          <w:tcPr>
            <w:tcW w:w="1417" w:type="dxa"/>
            <w:tcBorders>
              <w:top w:val="nil"/>
              <w:left w:val="nil"/>
              <w:bottom w:val="single" w:sz="4" w:space="0" w:color="auto"/>
              <w:right w:val="single" w:sz="4" w:space="0" w:color="auto"/>
            </w:tcBorders>
            <w:vAlign w:val="bottom"/>
          </w:tcPr>
          <w:p w:rsidR="001C411D" w:rsidRPr="001F63BA" w:rsidRDefault="001C411D" w:rsidP="0044719F">
            <w:pPr>
              <w:jc w:val="right"/>
              <w:rPr>
                <w:rFonts w:ascii="GHEA Grapalat" w:hAnsi="GHEA Grapalat" w:cs="Calibri"/>
                <w:b/>
                <w:bCs/>
                <w:sz w:val="18"/>
                <w:szCs w:val="18"/>
                <w:lang w:val="en-US"/>
              </w:rPr>
            </w:pPr>
            <w:r w:rsidRPr="001F63BA">
              <w:rPr>
                <w:rFonts w:ascii="GHEA Grapalat" w:hAnsi="GHEA Grapalat" w:cs="Calibri"/>
                <w:b/>
                <w:bCs/>
                <w:sz w:val="18"/>
                <w:szCs w:val="18"/>
                <w:lang w:val="en-US"/>
              </w:rPr>
              <w:t>66</w:t>
            </w:r>
            <w:r w:rsidRPr="001F63BA">
              <w:rPr>
                <w:rFonts w:ascii="GHEA Grapalat" w:hAnsi="GHEA Grapalat" w:cs="Calibri"/>
                <w:b/>
                <w:bCs/>
                <w:sz w:val="18"/>
                <w:szCs w:val="18"/>
              </w:rPr>
              <w:t>.</w:t>
            </w:r>
            <w:r w:rsidRPr="001F63BA">
              <w:rPr>
                <w:rFonts w:ascii="GHEA Grapalat" w:hAnsi="GHEA Grapalat" w:cs="Calibri"/>
                <w:b/>
                <w:bCs/>
                <w:sz w:val="18"/>
                <w:szCs w:val="18"/>
                <w:lang w:val="en-US"/>
              </w:rPr>
              <w:t>8</w:t>
            </w:r>
          </w:p>
        </w:tc>
        <w:tc>
          <w:tcPr>
            <w:tcW w:w="1450" w:type="dxa"/>
            <w:tcBorders>
              <w:top w:val="nil"/>
              <w:left w:val="nil"/>
              <w:bottom w:val="single" w:sz="4" w:space="0" w:color="auto"/>
              <w:right w:val="single" w:sz="4" w:space="0" w:color="auto"/>
            </w:tcBorders>
            <w:vAlign w:val="bottom"/>
          </w:tcPr>
          <w:p w:rsidR="001C411D" w:rsidRPr="001F63BA" w:rsidRDefault="001C411D" w:rsidP="0044719F">
            <w:pPr>
              <w:jc w:val="right"/>
              <w:rPr>
                <w:rFonts w:ascii="GHEA Grapalat" w:hAnsi="GHEA Grapalat" w:cs="Calibri"/>
                <w:b/>
                <w:bCs/>
                <w:sz w:val="18"/>
                <w:szCs w:val="18"/>
              </w:rPr>
            </w:pPr>
            <w:r w:rsidRPr="001F63BA">
              <w:rPr>
                <w:rFonts w:ascii="GHEA Grapalat" w:hAnsi="GHEA Grapalat" w:cs="Calibri"/>
                <w:b/>
                <w:sz w:val="18"/>
                <w:szCs w:val="18"/>
                <w:lang w:val="en-US"/>
              </w:rPr>
              <w:t>(28</w:t>
            </w:r>
            <w:r w:rsidRPr="001F63BA">
              <w:rPr>
                <w:rFonts w:ascii="GHEA Grapalat" w:hAnsi="GHEA Grapalat" w:cs="Calibri"/>
                <w:b/>
                <w:sz w:val="18"/>
                <w:szCs w:val="18"/>
              </w:rPr>
              <w:t>.2</w:t>
            </w:r>
            <w:r w:rsidRPr="001F63BA">
              <w:rPr>
                <w:rFonts w:ascii="GHEA Grapalat" w:hAnsi="GHEA Grapalat" w:cs="Calibri"/>
                <w:b/>
                <w:sz w:val="18"/>
                <w:szCs w:val="18"/>
                <w:lang w:val="en-US"/>
              </w:rPr>
              <w:t>)</w:t>
            </w:r>
          </w:p>
        </w:tc>
      </w:tr>
      <w:tr w:rsidR="001C411D" w:rsidRPr="001F63BA" w:rsidTr="0044719F">
        <w:trPr>
          <w:trHeight w:val="293"/>
        </w:trPr>
        <w:tc>
          <w:tcPr>
            <w:tcW w:w="4786" w:type="dxa"/>
            <w:tcBorders>
              <w:top w:val="nil"/>
              <w:left w:val="single" w:sz="4" w:space="0" w:color="auto"/>
              <w:bottom w:val="single" w:sz="4" w:space="0" w:color="auto"/>
              <w:right w:val="single" w:sz="4" w:space="0" w:color="auto"/>
            </w:tcBorders>
            <w:noWrap/>
            <w:vAlign w:val="bottom"/>
          </w:tcPr>
          <w:p w:rsidR="001C411D" w:rsidRPr="001F63BA" w:rsidRDefault="001C411D" w:rsidP="0044719F">
            <w:pPr>
              <w:ind w:firstLineChars="100" w:firstLine="180"/>
              <w:rPr>
                <w:rFonts w:ascii="GHEA Grapalat" w:hAnsi="GHEA Grapalat" w:cs="Calibri"/>
                <w:sz w:val="18"/>
                <w:szCs w:val="18"/>
              </w:rPr>
            </w:pPr>
            <w:r w:rsidRPr="001F63BA">
              <w:rPr>
                <w:rFonts w:ascii="GHEA Grapalat" w:hAnsi="GHEA Grapalat" w:cs="Calibri"/>
                <w:sz w:val="18"/>
                <w:szCs w:val="18"/>
              </w:rPr>
              <w:t>ԵԱՏՄ անդամ պետությունների կողմից փոխանցված մաքսատուրքեր</w:t>
            </w:r>
          </w:p>
        </w:tc>
        <w:tc>
          <w:tcPr>
            <w:tcW w:w="1276" w:type="dxa"/>
            <w:tcBorders>
              <w:top w:val="nil"/>
              <w:left w:val="single" w:sz="4" w:space="0" w:color="auto"/>
              <w:bottom w:val="single" w:sz="4" w:space="0" w:color="auto"/>
              <w:right w:val="single" w:sz="4" w:space="0" w:color="auto"/>
            </w:tcBorders>
            <w:vAlign w:val="bottom"/>
          </w:tcPr>
          <w:p w:rsidR="001C411D" w:rsidRPr="001F63BA" w:rsidRDefault="001C411D" w:rsidP="0044719F">
            <w:pPr>
              <w:jc w:val="right"/>
              <w:rPr>
                <w:rFonts w:ascii="GHEA Grapalat" w:hAnsi="GHEA Grapalat" w:cs="Calibri"/>
                <w:sz w:val="18"/>
                <w:szCs w:val="18"/>
              </w:rPr>
            </w:pPr>
            <w:r w:rsidRPr="001F63BA">
              <w:rPr>
                <w:rFonts w:ascii="GHEA Grapalat" w:hAnsi="GHEA Grapalat" w:cs="Calibri"/>
                <w:sz w:val="18"/>
                <w:szCs w:val="18"/>
              </w:rPr>
              <w:t>84.6</w:t>
            </w:r>
          </w:p>
        </w:tc>
        <w:tc>
          <w:tcPr>
            <w:tcW w:w="1276" w:type="dxa"/>
            <w:tcBorders>
              <w:top w:val="nil"/>
              <w:left w:val="nil"/>
              <w:bottom w:val="single" w:sz="4" w:space="0" w:color="auto"/>
              <w:right w:val="single" w:sz="4" w:space="0" w:color="auto"/>
            </w:tcBorders>
            <w:noWrap/>
            <w:vAlign w:val="bottom"/>
          </w:tcPr>
          <w:p w:rsidR="001C411D" w:rsidRPr="001F63BA" w:rsidRDefault="001C411D" w:rsidP="0044719F">
            <w:pPr>
              <w:jc w:val="right"/>
              <w:rPr>
                <w:rFonts w:ascii="GHEA Grapalat" w:hAnsi="GHEA Grapalat" w:cs="Calibri"/>
                <w:sz w:val="18"/>
                <w:szCs w:val="18"/>
                <w:lang w:val="en-US"/>
              </w:rPr>
            </w:pPr>
            <w:r w:rsidRPr="001F63BA">
              <w:rPr>
                <w:rFonts w:ascii="GHEA Grapalat" w:hAnsi="GHEA Grapalat" w:cs="Calibri"/>
                <w:sz w:val="18"/>
                <w:szCs w:val="18"/>
                <w:lang w:val="en-US"/>
              </w:rPr>
              <w:t>55</w:t>
            </w:r>
            <w:r w:rsidRPr="001F63BA">
              <w:rPr>
                <w:rFonts w:ascii="GHEA Grapalat" w:hAnsi="GHEA Grapalat" w:cs="Calibri"/>
                <w:sz w:val="18"/>
                <w:szCs w:val="18"/>
              </w:rPr>
              <w:t>.</w:t>
            </w:r>
            <w:r w:rsidRPr="001F63BA">
              <w:rPr>
                <w:rFonts w:ascii="GHEA Grapalat" w:hAnsi="GHEA Grapalat" w:cs="Calibri"/>
                <w:sz w:val="18"/>
                <w:szCs w:val="18"/>
                <w:lang w:val="en-US"/>
              </w:rPr>
              <w:t>1</w:t>
            </w:r>
          </w:p>
        </w:tc>
        <w:tc>
          <w:tcPr>
            <w:tcW w:w="1417" w:type="dxa"/>
            <w:tcBorders>
              <w:top w:val="nil"/>
              <w:left w:val="nil"/>
              <w:bottom w:val="single" w:sz="4" w:space="0" w:color="auto"/>
              <w:right w:val="single" w:sz="4" w:space="0" w:color="auto"/>
            </w:tcBorders>
            <w:vAlign w:val="bottom"/>
          </w:tcPr>
          <w:p w:rsidR="001C411D" w:rsidRPr="001F63BA" w:rsidRDefault="001C411D" w:rsidP="0044719F">
            <w:pPr>
              <w:jc w:val="right"/>
              <w:rPr>
                <w:rFonts w:ascii="GHEA Grapalat" w:hAnsi="GHEA Grapalat" w:cs="Calibri"/>
                <w:sz w:val="18"/>
                <w:szCs w:val="18"/>
                <w:lang w:val="en-US"/>
              </w:rPr>
            </w:pPr>
            <w:r w:rsidRPr="001F63BA">
              <w:rPr>
                <w:rFonts w:ascii="GHEA Grapalat" w:hAnsi="GHEA Grapalat" w:cs="Calibri"/>
                <w:sz w:val="18"/>
                <w:szCs w:val="18"/>
                <w:lang w:val="en-US"/>
              </w:rPr>
              <w:t>65</w:t>
            </w:r>
            <w:r w:rsidRPr="001F63BA">
              <w:rPr>
                <w:rFonts w:ascii="GHEA Grapalat" w:hAnsi="GHEA Grapalat" w:cs="Calibri"/>
                <w:sz w:val="18"/>
                <w:szCs w:val="18"/>
              </w:rPr>
              <w:t>.</w:t>
            </w:r>
            <w:r w:rsidRPr="001F63BA">
              <w:rPr>
                <w:rFonts w:ascii="GHEA Grapalat" w:hAnsi="GHEA Grapalat" w:cs="Calibri"/>
                <w:sz w:val="18"/>
                <w:szCs w:val="18"/>
                <w:lang w:val="en-US"/>
              </w:rPr>
              <w:t>1</w:t>
            </w:r>
          </w:p>
        </w:tc>
        <w:tc>
          <w:tcPr>
            <w:tcW w:w="1450" w:type="dxa"/>
            <w:tcBorders>
              <w:top w:val="nil"/>
              <w:left w:val="nil"/>
              <w:bottom w:val="single" w:sz="4" w:space="0" w:color="auto"/>
              <w:right w:val="single" w:sz="4" w:space="0" w:color="auto"/>
            </w:tcBorders>
            <w:vAlign w:val="bottom"/>
          </w:tcPr>
          <w:p w:rsidR="001C411D" w:rsidRPr="001F63BA" w:rsidRDefault="001C411D" w:rsidP="0044719F">
            <w:pPr>
              <w:jc w:val="right"/>
              <w:rPr>
                <w:rFonts w:ascii="GHEA Grapalat" w:hAnsi="GHEA Grapalat" w:cs="Calibri"/>
                <w:sz w:val="18"/>
                <w:szCs w:val="18"/>
              </w:rPr>
            </w:pPr>
            <w:r w:rsidRPr="001F63BA">
              <w:rPr>
                <w:rFonts w:ascii="GHEA Grapalat" w:hAnsi="GHEA Grapalat" w:cs="Calibri"/>
                <w:sz w:val="18"/>
                <w:szCs w:val="18"/>
                <w:lang w:val="en-US"/>
              </w:rPr>
              <w:t>(</w:t>
            </w:r>
            <w:r w:rsidRPr="001F63BA">
              <w:rPr>
                <w:rFonts w:ascii="GHEA Grapalat" w:hAnsi="GHEA Grapalat" w:cs="Calibri"/>
                <w:sz w:val="18"/>
                <w:szCs w:val="18"/>
              </w:rPr>
              <w:t>2</w:t>
            </w:r>
            <w:r w:rsidRPr="001F63BA">
              <w:rPr>
                <w:rFonts w:ascii="GHEA Grapalat" w:hAnsi="GHEA Grapalat" w:cs="Calibri"/>
                <w:sz w:val="18"/>
                <w:szCs w:val="18"/>
                <w:lang w:val="en-US"/>
              </w:rPr>
              <w:t>9.5)</w:t>
            </w:r>
          </w:p>
        </w:tc>
      </w:tr>
      <w:tr w:rsidR="001C411D" w:rsidRPr="001F63BA" w:rsidTr="0044719F">
        <w:trPr>
          <w:trHeight w:val="293"/>
        </w:trPr>
        <w:tc>
          <w:tcPr>
            <w:tcW w:w="4786" w:type="dxa"/>
            <w:tcBorders>
              <w:top w:val="nil"/>
              <w:left w:val="single" w:sz="4" w:space="0" w:color="auto"/>
              <w:bottom w:val="single" w:sz="4" w:space="0" w:color="auto"/>
              <w:right w:val="single" w:sz="4" w:space="0" w:color="auto"/>
            </w:tcBorders>
            <w:noWrap/>
            <w:vAlign w:val="bottom"/>
          </w:tcPr>
          <w:p w:rsidR="001C411D" w:rsidRPr="001F63BA" w:rsidRDefault="001C411D" w:rsidP="0044719F">
            <w:pPr>
              <w:ind w:firstLineChars="100" w:firstLine="180"/>
              <w:rPr>
                <w:rFonts w:ascii="GHEA Grapalat" w:hAnsi="GHEA Grapalat" w:cs="Calibri"/>
                <w:sz w:val="18"/>
                <w:szCs w:val="18"/>
              </w:rPr>
            </w:pPr>
            <w:r w:rsidRPr="001F63BA">
              <w:rPr>
                <w:rFonts w:ascii="GHEA Grapalat" w:hAnsi="GHEA Grapalat" w:cs="Calibri"/>
                <w:sz w:val="18"/>
                <w:szCs w:val="18"/>
              </w:rPr>
              <w:t>Երրորդ երկրներից ֆիզիկական անձանց կողմից ներմուծվող ապրանքներից գանձվող մաքսատուրքեր</w:t>
            </w:r>
          </w:p>
        </w:tc>
        <w:tc>
          <w:tcPr>
            <w:tcW w:w="1276" w:type="dxa"/>
            <w:tcBorders>
              <w:top w:val="nil"/>
              <w:left w:val="single" w:sz="4" w:space="0" w:color="auto"/>
              <w:bottom w:val="single" w:sz="4" w:space="0" w:color="auto"/>
              <w:right w:val="single" w:sz="4" w:space="0" w:color="auto"/>
            </w:tcBorders>
            <w:vAlign w:val="bottom"/>
          </w:tcPr>
          <w:p w:rsidR="001C411D" w:rsidRPr="001F63BA" w:rsidRDefault="001C411D" w:rsidP="0044719F">
            <w:pPr>
              <w:jc w:val="right"/>
              <w:rPr>
                <w:rFonts w:ascii="GHEA Grapalat" w:hAnsi="GHEA Grapalat" w:cs="Calibri"/>
                <w:sz w:val="18"/>
                <w:szCs w:val="18"/>
              </w:rPr>
            </w:pPr>
            <w:r w:rsidRPr="001F63BA">
              <w:rPr>
                <w:rFonts w:ascii="GHEA Grapalat" w:hAnsi="GHEA Grapalat" w:cs="Calibri"/>
                <w:sz w:val="18"/>
                <w:szCs w:val="18"/>
              </w:rPr>
              <w:t>0.2</w:t>
            </w:r>
          </w:p>
        </w:tc>
        <w:tc>
          <w:tcPr>
            <w:tcW w:w="1276" w:type="dxa"/>
            <w:tcBorders>
              <w:top w:val="nil"/>
              <w:left w:val="nil"/>
              <w:bottom w:val="single" w:sz="4" w:space="0" w:color="auto"/>
              <w:right w:val="single" w:sz="4" w:space="0" w:color="auto"/>
            </w:tcBorders>
            <w:noWrap/>
            <w:vAlign w:val="bottom"/>
          </w:tcPr>
          <w:p w:rsidR="001C411D" w:rsidRPr="001F63BA" w:rsidRDefault="001C411D" w:rsidP="0044719F">
            <w:pPr>
              <w:jc w:val="right"/>
              <w:rPr>
                <w:rFonts w:ascii="GHEA Grapalat" w:hAnsi="GHEA Grapalat" w:cs="Calibri"/>
                <w:sz w:val="18"/>
                <w:szCs w:val="18"/>
                <w:lang w:val="en-US"/>
              </w:rPr>
            </w:pPr>
            <w:r w:rsidRPr="001F63BA">
              <w:rPr>
                <w:rFonts w:ascii="GHEA Grapalat" w:hAnsi="GHEA Grapalat" w:cs="Calibri"/>
                <w:sz w:val="18"/>
                <w:szCs w:val="18"/>
                <w:lang w:val="en-US"/>
              </w:rPr>
              <w:t>1</w:t>
            </w:r>
            <w:r w:rsidRPr="001F63BA">
              <w:rPr>
                <w:rFonts w:ascii="GHEA Grapalat" w:hAnsi="GHEA Grapalat" w:cs="Calibri"/>
                <w:sz w:val="18"/>
                <w:szCs w:val="18"/>
              </w:rPr>
              <w:t>.</w:t>
            </w:r>
            <w:r w:rsidRPr="001F63BA">
              <w:rPr>
                <w:rFonts w:ascii="GHEA Grapalat" w:hAnsi="GHEA Grapalat" w:cs="Calibri"/>
                <w:sz w:val="18"/>
                <w:szCs w:val="18"/>
                <w:lang w:val="en-US"/>
              </w:rPr>
              <w:t>6</w:t>
            </w:r>
          </w:p>
        </w:tc>
        <w:tc>
          <w:tcPr>
            <w:tcW w:w="1417" w:type="dxa"/>
            <w:tcBorders>
              <w:top w:val="nil"/>
              <w:left w:val="nil"/>
              <w:bottom w:val="single" w:sz="4" w:space="0" w:color="auto"/>
              <w:right w:val="single" w:sz="4" w:space="0" w:color="auto"/>
            </w:tcBorders>
            <w:vAlign w:val="bottom"/>
          </w:tcPr>
          <w:p w:rsidR="001C411D" w:rsidRPr="001F63BA" w:rsidRDefault="001C411D" w:rsidP="0044719F">
            <w:pPr>
              <w:jc w:val="right"/>
              <w:rPr>
                <w:rFonts w:ascii="GHEA Grapalat" w:hAnsi="GHEA Grapalat" w:cs="Calibri"/>
                <w:sz w:val="18"/>
                <w:szCs w:val="18"/>
                <w:lang w:val="en-US"/>
              </w:rPr>
            </w:pPr>
            <w:r w:rsidRPr="001F63BA">
              <w:rPr>
                <w:rFonts w:ascii="GHEA Grapalat" w:hAnsi="GHEA Grapalat" w:cs="Calibri"/>
                <w:sz w:val="18"/>
                <w:szCs w:val="18"/>
                <w:lang w:val="en-US"/>
              </w:rPr>
              <w:t>697</w:t>
            </w:r>
            <w:r w:rsidRPr="001F63BA">
              <w:rPr>
                <w:rFonts w:ascii="GHEA Grapalat" w:hAnsi="GHEA Grapalat" w:cs="Calibri"/>
                <w:sz w:val="18"/>
                <w:szCs w:val="18"/>
              </w:rPr>
              <w:t>.</w:t>
            </w:r>
            <w:r w:rsidRPr="001F63BA">
              <w:rPr>
                <w:rFonts w:ascii="GHEA Grapalat" w:hAnsi="GHEA Grapalat" w:cs="Calibri"/>
                <w:sz w:val="18"/>
                <w:szCs w:val="18"/>
                <w:lang w:val="en-US"/>
              </w:rPr>
              <w:t>2</w:t>
            </w:r>
          </w:p>
        </w:tc>
        <w:tc>
          <w:tcPr>
            <w:tcW w:w="1450" w:type="dxa"/>
            <w:tcBorders>
              <w:top w:val="nil"/>
              <w:left w:val="nil"/>
              <w:bottom w:val="single" w:sz="4" w:space="0" w:color="auto"/>
              <w:right w:val="single" w:sz="4" w:space="0" w:color="auto"/>
            </w:tcBorders>
            <w:vAlign w:val="bottom"/>
          </w:tcPr>
          <w:p w:rsidR="001C411D" w:rsidRPr="001F63BA" w:rsidRDefault="001C411D" w:rsidP="0044719F">
            <w:pPr>
              <w:jc w:val="right"/>
              <w:rPr>
                <w:rFonts w:ascii="GHEA Grapalat" w:hAnsi="GHEA Grapalat" w:cs="Calibri"/>
                <w:sz w:val="18"/>
                <w:szCs w:val="18"/>
                <w:lang w:val="en-US"/>
              </w:rPr>
            </w:pPr>
            <w:r w:rsidRPr="001F63BA">
              <w:rPr>
                <w:rFonts w:ascii="GHEA Grapalat" w:hAnsi="GHEA Grapalat" w:cs="Calibri"/>
                <w:sz w:val="18"/>
                <w:szCs w:val="18"/>
                <w:lang w:val="en-US"/>
              </w:rPr>
              <w:t>1</w:t>
            </w:r>
            <w:r w:rsidRPr="001F63BA">
              <w:rPr>
                <w:rFonts w:ascii="GHEA Grapalat" w:hAnsi="GHEA Grapalat" w:cs="Calibri"/>
                <w:sz w:val="18"/>
                <w:szCs w:val="18"/>
              </w:rPr>
              <w:t>.</w:t>
            </w:r>
            <w:r w:rsidRPr="001F63BA">
              <w:rPr>
                <w:rFonts w:ascii="GHEA Grapalat" w:hAnsi="GHEA Grapalat" w:cs="Calibri"/>
                <w:sz w:val="18"/>
                <w:szCs w:val="18"/>
                <w:lang w:val="en-US"/>
              </w:rPr>
              <w:t>3</w:t>
            </w:r>
          </w:p>
        </w:tc>
      </w:tr>
    </w:tbl>
    <w:p w:rsidR="001C411D" w:rsidRPr="001F63BA" w:rsidRDefault="001C411D" w:rsidP="0067678F">
      <w:pPr>
        <w:tabs>
          <w:tab w:val="left" w:pos="0"/>
          <w:tab w:val="left" w:pos="900"/>
        </w:tabs>
        <w:spacing w:line="360" w:lineRule="auto"/>
        <w:ind w:firstLine="567"/>
        <w:jc w:val="both"/>
        <w:rPr>
          <w:rFonts w:ascii="GHEA Grapalat" w:hAnsi="GHEA Grapalat"/>
          <w:sz w:val="22"/>
          <w:szCs w:val="22"/>
          <w:lang w:val="en-US"/>
        </w:rPr>
      </w:pPr>
    </w:p>
    <w:p w:rsidR="001C411D" w:rsidRPr="001F63BA" w:rsidRDefault="001C411D" w:rsidP="002F0E75">
      <w:pPr>
        <w:tabs>
          <w:tab w:val="left" w:pos="0"/>
          <w:tab w:val="left" w:pos="900"/>
        </w:tabs>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ԵԱՏՄ երկրներից բաշխման արդյունքում ստացված և ԵԱՏՄ երկրների միջև ՀՀ կողմից բաշխվող մաքսատուրքերի տարբերությունը կազմել է </w:t>
      </w:r>
      <w:bookmarkStart w:id="138" w:name="OLE_LINK2"/>
      <w:r w:rsidRPr="001F63BA">
        <w:rPr>
          <w:rFonts w:ascii="GHEA Grapalat" w:hAnsi="GHEA Grapalat" w:cs="Sylfaen"/>
          <w:sz w:val="22"/>
          <w:szCs w:val="22"/>
          <w:lang w:val="en-US"/>
        </w:rPr>
        <w:t>-70.5</w:t>
      </w:r>
      <w:r w:rsidRPr="001F63BA">
        <w:rPr>
          <w:rFonts w:ascii="GHEA Grapalat" w:hAnsi="GHEA Grapalat" w:cs="Sylfaen"/>
          <w:sz w:val="22"/>
          <w:szCs w:val="22"/>
        </w:rPr>
        <w:t xml:space="preserve"> </w:t>
      </w:r>
      <w:bookmarkEnd w:id="138"/>
      <w:r w:rsidRPr="001F63BA">
        <w:rPr>
          <w:rFonts w:ascii="GHEA Grapalat" w:hAnsi="GHEA Grapalat" w:cs="Sylfaen"/>
          <w:sz w:val="22"/>
          <w:szCs w:val="22"/>
        </w:rPr>
        <w:t>մլրդ դրամ:</w:t>
      </w:r>
      <w:r w:rsidRPr="001F63BA">
        <w:rPr>
          <w:rFonts w:ascii="GHEA Grapalat" w:hAnsi="GHEA Grapalat" w:cs="Sylfaen"/>
          <w:sz w:val="22"/>
          <w:szCs w:val="22"/>
          <w:lang w:val="en-US"/>
        </w:rPr>
        <w:t xml:space="preserve"> Ընդ որում, </w:t>
      </w:r>
      <w:r w:rsidRPr="001F63BA">
        <w:rPr>
          <w:rFonts w:ascii="GHEA Grapalat" w:hAnsi="GHEA Grapalat" w:cs="Sylfaen"/>
          <w:sz w:val="22"/>
          <w:szCs w:val="22"/>
        </w:rPr>
        <w:t>2014 թվականի մայիսի 29-ի «Եվրասիական տնտեսական միության մասին» պայմանագրի 5</w:t>
      </w:r>
      <w:r w:rsidRPr="001F63BA">
        <w:rPr>
          <w:rFonts w:ascii="GHEA Grapalat" w:hAnsi="GHEA Grapalat" w:cs="Sylfaen"/>
          <w:sz w:val="22"/>
          <w:szCs w:val="22"/>
        </w:rPr>
        <w:noBreakHyphen/>
        <w:t>րդ հավելվածով հաստատված՝ «Ներմուծման մաքսատուրքերի (համարժեք այլ վճարների, հարկերի և տուրքերի) գումարները հաշվեգրելու և բաշխելու, դրանք որպես եկամուտ անդամ պետությունների բյուջեներ փոխանցելու կարգի վերաբերյալ» արձանագրության համաձայն`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ընթացքում </w:t>
      </w:r>
      <w:r w:rsidRPr="001F63BA">
        <w:rPr>
          <w:rFonts w:ascii="GHEA Grapalat" w:hAnsi="GHEA Grapalat" w:cs="Sylfaen"/>
          <w:sz w:val="22"/>
          <w:szCs w:val="22"/>
          <w:lang w:val="en-US"/>
        </w:rPr>
        <w:t>ԵԱՏՄ երկրներից (այդ թվում՝ ՀՀ-ից) մաքսատուրքերի բաշխման արդյունքում ստացվել են 55.1</w:t>
      </w:r>
      <w:r w:rsidRPr="001F63BA">
        <w:rPr>
          <w:rFonts w:ascii="Courier New" w:hAnsi="Courier New" w:cs="Courier New"/>
          <w:sz w:val="22"/>
          <w:szCs w:val="22"/>
          <w:lang w:val="en-US"/>
        </w:rPr>
        <w:t> </w:t>
      </w:r>
      <w:r w:rsidRPr="001F63BA">
        <w:rPr>
          <w:rFonts w:ascii="GHEA Grapalat" w:hAnsi="GHEA Grapalat" w:cs="Sylfaen"/>
          <w:sz w:val="22"/>
          <w:szCs w:val="22"/>
          <w:lang w:val="en-US"/>
        </w:rPr>
        <w:t>մլրդ դրամ մուտքեր, և</w:t>
      </w:r>
      <w:r w:rsidRPr="001F63BA">
        <w:rPr>
          <w:rFonts w:ascii="GHEA Grapalat" w:hAnsi="GHEA Grapalat" w:cs="Sylfaen"/>
          <w:sz w:val="22"/>
          <w:szCs w:val="22"/>
        </w:rPr>
        <w:t xml:space="preserve"> ՀՀ ՖՆ միասնական գանձապետական հաշվին հաշվեգրված ներմուծման մաքսատուրքի գումարներից ԵԱՏՄ պետությունների միջև բաշխվել է </w:t>
      </w:r>
      <w:r w:rsidRPr="001F63BA">
        <w:rPr>
          <w:rFonts w:ascii="GHEA Grapalat" w:hAnsi="GHEA Grapalat" w:cs="Sylfaen"/>
          <w:sz w:val="22"/>
          <w:szCs w:val="22"/>
          <w:lang w:val="en-US"/>
        </w:rPr>
        <w:t>125.6</w:t>
      </w:r>
      <w:r w:rsidRPr="001F63BA">
        <w:rPr>
          <w:rFonts w:ascii="GHEA Grapalat" w:hAnsi="GHEA Grapalat" w:cs="Sylfaen"/>
          <w:sz w:val="22"/>
          <w:szCs w:val="22"/>
        </w:rPr>
        <w:t xml:space="preserve"> մլ</w:t>
      </w:r>
      <w:r w:rsidRPr="001F63BA">
        <w:rPr>
          <w:rFonts w:ascii="GHEA Grapalat" w:hAnsi="GHEA Grapalat" w:cs="Sylfaen"/>
          <w:sz w:val="22"/>
          <w:szCs w:val="22"/>
          <w:lang w:val="en-US"/>
        </w:rPr>
        <w:t>րդ</w:t>
      </w:r>
      <w:r w:rsidRPr="001F63BA">
        <w:rPr>
          <w:rFonts w:ascii="GHEA Grapalat" w:hAnsi="GHEA Grapalat" w:cs="Sylfaen"/>
          <w:sz w:val="22"/>
          <w:szCs w:val="22"/>
        </w:rPr>
        <w:t xml:space="preserve"> դրամ</w:t>
      </w:r>
      <w:r w:rsidRPr="001F63BA">
        <w:rPr>
          <w:rStyle w:val="FootnoteReference"/>
          <w:rFonts w:ascii="GHEA Grapalat" w:hAnsi="GHEA Grapalat"/>
          <w:sz w:val="22"/>
          <w:szCs w:val="22"/>
        </w:rPr>
        <w:footnoteReference w:id="34"/>
      </w:r>
      <w:r w:rsidRPr="001F63BA">
        <w:rPr>
          <w:rFonts w:ascii="GHEA Grapalat" w:hAnsi="GHEA Grapalat" w:cs="Sylfaen"/>
          <w:sz w:val="22"/>
          <w:szCs w:val="22"/>
        </w:rPr>
        <w:t>:</w:t>
      </w:r>
    </w:p>
    <w:p w:rsidR="001C411D" w:rsidRPr="001F63BA" w:rsidRDefault="001C411D" w:rsidP="002F7E29">
      <w:pPr>
        <w:tabs>
          <w:tab w:val="left" w:pos="0"/>
          <w:tab w:val="left" w:pos="900"/>
        </w:tabs>
        <w:spacing w:line="360" w:lineRule="auto"/>
        <w:ind w:firstLine="567"/>
        <w:jc w:val="both"/>
        <w:rPr>
          <w:rFonts w:ascii="GHEA Grapalat" w:hAnsi="GHEA Grapalat" w:cs="Sylfaen"/>
          <w:sz w:val="22"/>
          <w:szCs w:val="22"/>
        </w:rPr>
      </w:pPr>
      <w:r w:rsidRPr="001F63BA">
        <w:rPr>
          <w:rFonts w:ascii="GHEA Grapalat" w:hAnsi="GHEA Grapalat"/>
          <w:sz w:val="22"/>
          <w:szCs w:val="22"/>
        </w:rPr>
        <w:t xml:space="preserve">Նախորդ տարվա </w:t>
      </w:r>
      <w:r w:rsidRPr="001F63BA">
        <w:rPr>
          <w:rFonts w:ascii="GHEA Grapalat" w:hAnsi="GHEA Grapalat" w:cs="Sylfaen"/>
          <w:sz w:val="22"/>
          <w:szCs w:val="22"/>
        </w:rPr>
        <w:t>համեմատ</w:t>
      </w:r>
      <w:r w:rsidRPr="001F63BA">
        <w:rPr>
          <w:rFonts w:ascii="GHEA Grapalat" w:hAnsi="GHEA Grapalat"/>
          <w:sz w:val="22"/>
          <w:szCs w:val="22"/>
        </w:rPr>
        <w:t xml:space="preserve"> ԵԱՏՄ անդամ պետությունների կողմից փոխանցված մաքսատուրքերի գծով մուտքերի </w:t>
      </w:r>
      <w:r w:rsidRPr="001F63BA">
        <w:rPr>
          <w:rFonts w:ascii="GHEA Grapalat" w:hAnsi="GHEA Grapalat"/>
          <w:sz w:val="22"/>
          <w:szCs w:val="22"/>
          <w:lang w:val="en-US"/>
        </w:rPr>
        <w:t>նվազում</w:t>
      </w:r>
      <w:r w:rsidRPr="001F63BA">
        <w:rPr>
          <w:rFonts w:ascii="GHEA Grapalat" w:hAnsi="GHEA Grapalat"/>
          <w:sz w:val="22"/>
          <w:szCs w:val="22"/>
        </w:rPr>
        <w:t xml:space="preserve">ը հիմնականում պայմանավորված է </w:t>
      </w:r>
      <w:r w:rsidRPr="001F63BA">
        <w:rPr>
          <w:rFonts w:ascii="GHEA Grapalat" w:hAnsi="GHEA Grapalat"/>
          <w:sz w:val="22"/>
          <w:szCs w:val="22"/>
          <w:lang w:val="en-US"/>
        </w:rPr>
        <w:t xml:space="preserve">2022 թվականին ՌԴ </w:t>
      </w:r>
      <w:r w:rsidRPr="001F63BA">
        <w:rPr>
          <w:rFonts w:ascii="GHEA Grapalat" w:hAnsi="GHEA Grapalat"/>
          <w:sz w:val="22"/>
          <w:szCs w:val="22"/>
          <w:lang w:val="en-US"/>
        </w:rPr>
        <w:lastRenderedPageBreak/>
        <w:t xml:space="preserve">դեմ ԵՄ և արևմուտքի մի շարք երկրների կողմից սահմանված պատժամիջոցներով: </w:t>
      </w:r>
      <w:r w:rsidRPr="001F63BA">
        <w:rPr>
          <w:rFonts w:ascii="GHEA Grapalat" w:hAnsi="GHEA Grapalat" w:cs="Sylfaen"/>
          <w:sz w:val="22"/>
          <w:szCs w:val="22"/>
        </w:rPr>
        <w:t xml:space="preserve">Միաժամանակ, երրորդ երկրներից ֆիզիկական անձանց կողմից ներմուծվող ապրանքներից գանձվող մաքսատուրքի գծով մուտքերը </w:t>
      </w:r>
      <w:r w:rsidRPr="001F63BA">
        <w:rPr>
          <w:rFonts w:ascii="GHEA Grapalat" w:hAnsi="GHEA Grapalat" w:cs="Sylfaen"/>
          <w:sz w:val="22"/>
          <w:szCs w:val="22"/>
          <w:lang w:val="en-US"/>
        </w:rPr>
        <w:t xml:space="preserve">ավելի քան </w:t>
      </w:r>
      <w:r w:rsidRPr="001F63BA">
        <w:rPr>
          <w:rFonts w:ascii="GHEA Grapalat" w:hAnsi="GHEA Grapalat" w:cs="Sylfaen"/>
          <w:sz w:val="22"/>
          <w:szCs w:val="22"/>
        </w:rPr>
        <w:t>1</w:t>
      </w:r>
      <w:r w:rsidRPr="001F63BA">
        <w:rPr>
          <w:rFonts w:ascii="GHEA Grapalat" w:hAnsi="GHEA Grapalat" w:cs="Sylfaen"/>
          <w:sz w:val="22"/>
          <w:szCs w:val="22"/>
          <w:lang w:val="en-US"/>
        </w:rPr>
        <w:t xml:space="preserve">.3 </w:t>
      </w:r>
      <w:r w:rsidRPr="001F63BA">
        <w:rPr>
          <w:rFonts w:ascii="GHEA Grapalat" w:hAnsi="GHEA Grapalat" w:cs="Sylfaen"/>
          <w:sz w:val="22"/>
          <w:szCs w:val="22"/>
        </w:rPr>
        <w:t>մլ</w:t>
      </w:r>
      <w:r w:rsidRPr="001F63BA">
        <w:rPr>
          <w:rFonts w:ascii="GHEA Grapalat" w:hAnsi="GHEA Grapalat" w:cs="Sylfaen"/>
          <w:sz w:val="22"/>
          <w:szCs w:val="22"/>
          <w:lang w:val="en-US"/>
        </w:rPr>
        <w:t>րդ</w:t>
      </w:r>
      <w:r w:rsidRPr="001F63BA">
        <w:rPr>
          <w:rFonts w:ascii="GHEA Grapalat" w:hAnsi="GHEA Grapalat" w:cs="Sylfaen"/>
          <w:sz w:val="22"/>
          <w:szCs w:val="22"/>
        </w:rPr>
        <w:t xml:space="preserve"> դրամով կամ </w:t>
      </w:r>
      <w:r w:rsidRPr="001F63BA">
        <w:rPr>
          <w:rFonts w:ascii="GHEA Grapalat" w:hAnsi="GHEA Grapalat" w:cs="Sylfaen"/>
          <w:sz w:val="22"/>
          <w:szCs w:val="22"/>
          <w:lang w:val="en-US"/>
        </w:rPr>
        <w:t>7 անգամ</w:t>
      </w:r>
      <w:r w:rsidRPr="001F63BA">
        <w:rPr>
          <w:rFonts w:ascii="GHEA Grapalat" w:hAnsi="GHEA Grapalat" w:cs="Sylfaen"/>
          <w:sz w:val="22"/>
          <w:szCs w:val="22"/>
        </w:rPr>
        <w:t xml:space="preserve"> </w:t>
      </w:r>
      <w:r w:rsidRPr="001F63BA">
        <w:rPr>
          <w:rFonts w:ascii="GHEA Grapalat" w:hAnsi="GHEA Grapalat" w:cs="Sylfaen"/>
          <w:sz w:val="22"/>
          <w:szCs w:val="22"/>
          <w:lang w:val="en-US"/>
        </w:rPr>
        <w:t>գերա</w:t>
      </w:r>
      <w:r w:rsidRPr="001F63BA">
        <w:rPr>
          <w:rFonts w:ascii="GHEA Grapalat" w:hAnsi="GHEA Grapalat" w:cs="Sylfaen"/>
          <w:sz w:val="22"/>
          <w:szCs w:val="22"/>
        </w:rPr>
        <w:t>զ</w:t>
      </w:r>
      <w:r w:rsidRPr="001F63BA">
        <w:rPr>
          <w:rFonts w:ascii="GHEA Grapalat" w:hAnsi="GHEA Grapalat" w:cs="Sylfaen"/>
          <w:sz w:val="22"/>
          <w:szCs w:val="22"/>
          <w:lang w:val="en-US"/>
        </w:rPr>
        <w:t>անց</w:t>
      </w:r>
      <w:r w:rsidRPr="001F63BA">
        <w:rPr>
          <w:rFonts w:ascii="GHEA Grapalat" w:hAnsi="GHEA Grapalat" w:cs="Sylfaen"/>
          <w:sz w:val="22"/>
          <w:szCs w:val="22"/>
        </w:rPr>
        <w:t xml:space="preserve">ել են նախորդ տարվա ցուցանիշը, որը հիմնականում բացատրվում է </w:t>
      </w:r>
      <w:r w:rsidRPr="001F63BA">
        <w:rPr>
          <w:rFonts w:ascii="GHEA Grapalat" w:hAnsi="GHEA Grapalat" w:cs="Sylfaen"/>
          <w:sz w:val="22"/>
          <w:szCs w:val="22"/>
          <w:lang w:val="en-US"/>
        </w:rPr>
        <w:t>ֆիզիկական անձանց կողմից ներմուծված ապրանքների</w:t>
      </w:r>
      <w:r w:rsidRPr="001F63BA">
        <w:rPr>
          <w:rFonts w:ascii="GHEA Grapalat" w:hAnsi="GHEA Grapalat" w:cs="Sylfaen"/>
          <w:sz w:val="22"/>
          <w:szCs w:val="22"/>
        </w:rPr>
        <w:t xml:space="preserve"> ծավալների աճով:</w:t>
      </w:r>
    </w:p>
    <w:p w:rsidR="001C411D" w:rsidRPr="001F63BA" w:rsidRDefault="001C411D" w:rsidP="002F7E29">
      <w:pPr>
        <w:tabs>
          <w:tab w:val="left" w:pos="0"/>
          <w:tab w:val="left" w:pos="900"/>
        </w:tabs>
        <w:spacing w:line="360" w:lineRule="auto"/>
        <w:ind w:firstLine="567"/>
        <w:jc w:val="both"/>
        <w:rPr>
          <w:rFonts w:ascii="GHEA Grapalat" w:hAnsi="GHEA Grapalat"/>
          <w:sz w:val="22"/>
          <w:szCs w:val="22"/>
          <w:lang w:eastAsia="nl-NL"/>
        </w:rPr>
      </w:pPr>
      <w:r w:rsidRPr="001F63BA">
        <w:rPr>
          <w:rFonts w:ascii="GHEA Grapalat" w:hAnsi="GHEA Grapalat" w:cs="Sylfaen"/>
          <w:sz w:val="22"/>
          <w:szCs w:val="22"/>
        </w:rPr>
        <w:t>Հարկ է նշել, որ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մի շարք ապրանքատեսակների համար տեղի են ունեցել </w:t>
      </w:r>
      <w:r w:rsidRPr="001F63BA">
        <w:rPr>
          <w:rFonts w:ascii="GHEA Grapalat" w:hAnsi="GHEA Grapalat"/>
          <w:sz w:val="22"/>
          <w:szCs w:val="22"/>
          <w:lang w:eastAsia="nl-NL"/>
        </w:rPr>
        <w:t>ներմուծման մաք</w:t>
      </w:r>
      <w:r w:rsidRPr="001F63BA">
        <w:rPr>
          <w:rFonts w:ascii="GHEA Grapalat" w:hAnsi="GHEA Grapalat"/>
          <w:sz w:val="22"/>
          <w:szCs w:val="22"/>
          <w:lang w:eastAsia="nl-NL"/>
        </w:rPr>
        <w:softHyphen/>
        <w:t>սա</w:t>
      </w:r>
      <w:r w:rsidRPr="001F63BA">
        <w:rPr>
          <w:rFonts w:ascii="GHEA Grapalat" w:hAnsi="GHEA Grapalat"/>
          <w:sz w:val="22"/>
          <w:szCs w:val="22"/>
          <w:lang w:eastAsia="nl-NL"/>
        </w:rPr>
        <w:softHyphen/>
        <w:t>տուրքերի դրույքաչափերի փոփոխություններ: Նշված փոփո</w:t>
      </w:r>
      <w:r w:rsidRPr="001F63BA">
        <w:rPr>
          <w:rFonts w:ascii="GHEA Grapalat" w:hAnsi="GHEA Grapalat"/>
          <w:sz w:val="22"/>
          <w:szCs w:val="22"/>
          <w:lang w:eastAsia="nl-NL"/>
        </w:rPr>
        <w:softHyphen/>
        <w:t>խու</w:t>
      </w:r>
      <w:r w:rsidRPr="001F63BA">
        <w:rPr>
          <w:rFonts w:ascii="GHEA Grapalat" w:hAnsi="GHEA Grapalat"/>
          <w:sz w:val="22"/>
          <w:szCs w:val="22"/>
          <w:lang w:eastAsia="nl-NL"/>
        </w:rPr>
        <w:softHyphen/>
        <w:t>թ</w:t>
      </w:r>
      <w:r w:rsidRPr="001F63BA">
        <w:rPr>
          <w:rFonts w:ascii="GHEA Grapalat" w:hAnsi="GHEA Grapalat"/>
          <w:sz w:val="22"/>
          <w:szCs w:val="22"/>
          <w:lang w:eastAsia="nl-NL"/>
        </w:rPr>
        <w:softHyphen/>
        <w:t>յուն</w:t>
      </w:r>
      <w:r w:rsidRPr="001F63BA">
        <w:rPr>
          <w:rFonts w:ascii="GHEA Grapalat" w:hAnsi="GHEA Grapalat"/>
          <w:sz w:val="22"/>
          <w:szCs w:val="22"/>
          <w:lang w:eastAsia="nl-NL"/>
        </w:rPr>
        <w:softHyphen/>
        <w:t>ներն, այլ հավա</w:t>
      </w:r>
      <w:r w:rsidRPr="001F63BA">
        <w:rPr>
          <w:rFonts w:ascii="GHEA Grapalat" w:hAnsi="GHEA Grapalat"/>
          <w:sz w:val="22"/>
          <w:szCs w:val="22"/>
          <w:lang w:eastAsia="nl-NL"/>
        </w:rPr>
        <w:softHyphen/>
        <w:t>սար պայ</w:t>
      </w:r>
      <w:r w:rsidRPr="001F63BA">
        <w:rPr>
          <w:rFonts w:ascii="GHEA Grapalat" w:hAnsi="GHEA Grapalat"/>
          <w:sz w:val="22"/>
          <w:szCs w:val="22"/>
          <w:lang w:eastAsia="nl-NL"/>
        </w:rPr>
        <w:softHyphen/>
      </w:r>
      <w:r w:rsidRPr="001F63BA">
        <w:rPr>
          <w:rFonts w:ascii="GHEA Grapalat" w:hAnsi="GHEA Grapalat"/>
          <w:sz w:val="22"/>
          <w:szCs w:val="22"/>
          <w:lang w:eastAsia="nl-NL"/>
        </w:rPr>
        <w:softHyphen/>
      </w:r>
      <w:r w:rsidRPr="001F63BA">
        <w:rPr>
          <w:rFonts w:ascii="GHEA Grapalat" w:hAnsi="GHEA Grapalat"/>
          <w:sz w:val="22"/>
          <w:szCs w:val="22"/>
          <w:lang w:eastAsia="nl-NL"/>
        </w:rPr>
        <w:softHyphen/>
        <w:t>ման</w:t>
      </w:r>
      <w:r w:rsidRPr="001F63BA">
        <w:rPr>
          <w:rFonts w:ascii="GHEA Grapalat" w:hAnsi="GHEA Grapalat"/>
          <w:sz w:val="22"/>
          <w:szCs w:val="22"/>
          <w:lang w:eastAsia="nl-NL"/>
        </w:rPr>
        <w:softHyphen/>
        <w:t>ներում, կարող են հանգեցնել ՀՀ պետական բյուջե հավա</w:t>
      </w:r>
      <w:r w:rsidRPr="001F63BA">
        <w:rPr>
          <w:rFonts w:ascii="GHEA Grapalat" w:hAnsi="GHEA Grapalat"/>
          <w:sz w:val="22"/>
          <w:szCs w:val="22"/>
          <w:lang w:eastAsia="nl-NL"/>
        </w:rPr>
        <w:softHyphen/>
      </w:r>
      <w:r w:rsidRPr="001F63BA">
        <w:rPr>
          <w:rFonts w:ascii="GHEA Grapalat" w:hAnsi="GHEA Grapalat"/>
          <w:sz w:val="22"/>
          <w:szCs w:val="22"/>
          <w:lang w:eastAsia="nl-NL"/>
        </w:rPr>
        <w:softHyphen/>
      </w:r>
      <w:r w:rsidRPr="001F63BA">
        <w:rPr>
          <w:rFonts w:ascii="GHEA Grapalat" w:hAnsi="GHEA Grapalat"/>
          <w:sz w:val="22"/>
          <w:szCs w:val="22"/>
          <w:lang w:eastAsia="nl-NL"/>
        </w:rPr>
        <w:softHyphen/>
      </w:r>
      <w:r w:rsidRPr="001F63BA">
        <w:rPr>
          <w:rFonts w:ascii="GHEA Grapalat" w:hAnsi="GHEA Grapalat"/>
          <w:sz w:val="22"/>
          <w:szCs w:val="22"/>
          <w:lang w:eastAsia="nl-NL"/>
        </w:rPr>
        <w:softHyphen/>
        <w:t>քա</w:t>
      </w:r>
      <w:r w:rsidRPr="001F63BA">
        <w:rPr>
          <w:rFonts w:ascii="GHEA Grapalat" w:hAnsi="GHEA Grapalat"/>
          <w:sz w:val="22"/>
          <w:szCs w:val="22"/>
          <w:lang w:eastAsia="nl-NL"/>
        </w:rPr>
        <w:softHyphen/>
        <w:t>գրվող մաքսա</w:t>
      </w:r>
      <w:r w:rsidRPr="001F63BA">
        <w:rPr>
          <w:rFonts w:ascii="GHEA Grapalat" w:hAnsi="GHEA Grapalat"/>
          <w:sz w:val="22"/>
          <w:szCs w:val="22"/>
          <w:lang w:eastAsia="nl-NL"/>
        </w:rPr>
        <w:softHyphen/>
        <w:t>տուր</w:t>
      </w:r>
      <w:r w:rsidRPr="001F63BA">
        <w:rPr>
          <w:rFonts w:ascii="GHEA Grapalat" w:hAnsi="GHEA Grapalat"/>
          <w:sz w:val="22"/>
          <w:szCs w:val="22"/>
          <w:lang w:eastAsia="nl-NL"/>
        </w:rPr>
        <w:softHyphen/>
        <w:t>քերի գծով եկամուտների փոփոխության, որի չափը հնարավոր չէ գնահա</w:t>
      </w:r>
      <w:r w:rsidRPr="001F63BA">
        <w:rPr>
          <w:rFonts w:ascii="GHEA Grapalat" w:hAnsi="GHEA Grapalat"/>
          <w:sz w:val="22"/>
          <w:szCs w:val="22"/>
          <w:lang w:eastAsia="nl-NL"/>
        </w:rPr>
        <w:softHyphen/>
        <w:t>տել:</w:t>
      </w:r>
    </w:p>
    <w:p w:rsidR="001C411D" w:rsidRPr="001F63BA" w:rsidRDefault="001C411D" w:rsidP="002F7E29">
      <w:pPr>
        <w:tabs>
          <w:tab w:val="left" w:pos="0"/>
          <w:tab w:val="left" w:pos="900"/>
        </w:tabs>
        <w:spacing w:line="360" w:lineRule="auto"/>
        <w:ind w:firstLine="567"/>
        <w:jc w:val="both"/>
        <w:rPr>
          <w:rFonts w:ascii="GHEA Grapalat" w:hAnsi="GHEA Grapalat"/>
          <w:sz w:val="22"/>
          <w:szCs w:val="22"/>
        </w:rPr>
      </w:pPr>
      <w:r w:rsidRPr="001F63BA">
        <w:rPr>
          <w:rFonts w:ascii="GHEA Grapalat" w:hAnsi="GHEA Grapalat"/>
          <w:sz w:val="22"/>
          <w:szCs w:val="22"/>
          <w:lang w:eastAsia="nl-NL"/>
        </w:rPr>
        <w:t>Հաշվետու ժամանակահատվածում ՀՀ պետական բյուջեի հարկային եկամուտների և պետական տուրքերի 2</w:t>
      </w:r>
      <w:r w:rsidRPr="001F63BA">
        <w:rPr>
          <w:rFonts w:ascii="GHEA Grapalat" w:hAnsi="GHEA Grapalat"/>
          <w:sz w:val="22"/>
          <w:szCs w:val="22"/>
          <w:lang w:val="en-US" w:eastAsia="nl-NL"/>
        </w:rPr>
        <w:t>.1</w:t>
      </w:r>
      <w:r w:rsidRPr="001F63BA">
        <w:rPr>
          <w:rFonts w:ascii="GHEA Grapalat" w:hAnsi="GHEA Grapalat"/>
          <w:sz w:val="22"/>
          <w:szCs w:val="22"/>
          <w:lang w:eastAsia="nl-NL"/>
        </w:rPr>
        <w:t xml:space="preserve">%-ն ապահովվել է </w:t>
      </w:r>
      <w:r w:rsidRPr="001F63BA">
        <w:rPr>
          <w:rFonts w:ascii="GHEA Grapalat" w:hAnsi="GHEA Grapalat"/>
          <w:i/>
          <w:sz w:val="22"/>
          <w:szCs w:val="22"/>
          <w:lang w:eastAsia="nl-NL"/>
        </w:rPr>
        <w:t>շրջանառության հարկի</w:t>
      </w:r>
      <w:r w:rsidRPr="001F63BA">
        <w:rPr>
          <w:rFonts w:ascii="GHEA Grapalat" w:hAnsi="GHEA Grapalat"/>
          <w:sz w:val="22"/>
          <w:szCs w:val="22"/>
          <w:lang w:eastAsia="nl-NL"/>
        </w:rPr>
        <w:t xml:space="preserve"> հաշվին՝ կազմելով 4</w:t>
      </w:r>
      <w:r w:rsidRPr="001F63BA">
        <w:rPr>
          <w:rFonts w:ascii="GHEA Grapalat" w:hAnsi="GHEA Grapalat"/>
          <w:sz w:val="22"/>
          <w:szCs w:val="22"/>
          <w:lang w:val="en-US" w:eastAsia="nl-NL"/>
        </w:rPr>
        <w:t>0.7</w:t>
      </w:r>
      <w:r w:rsidRPr="001F63BA">
        <w:rPr>
          <w:rFonts w:ascii="GHEA Grapalat" w:hAnsi="GHEA Grapalat"/>
          <w:sz w:val="22"/>
          <w:szCs w:val="22"/>
          <w:lang w:eastAsia="nl-NL"/>
        </w:rPr>
        <w:t xml:space="preserve"> մլրդ դրամ և 2</w:t>
      </w:r>
      <w:r w:rsidRPr="001F63BA">
        <w:rPr>
          <w:rFonts w:ascii="GHEA Grapalat" w:hAnsi="GHEA Grapalat"/>
          <w:sz w:val="22"/>
          <w:szCs w:val="22"/>
          <w:lang w:val="en-US" w:eastAsia="nl-NL"/>
        </w:rPr>
        <w:t>5.7</w:t>
      </w:r>
      <w:r w:rsidRPr="001F63BA">
        <w:rPr>
          <w:rFonts w:ascii="GHEA Grapalat" w:hAnsi="GHEA Grapalat"/>
          <w:sz w:val="22"/>
          <w:szCs w:val="22"/>
          <w:lang w:eastAsia="nl-NL"/>
        </w:rPr>
        <w:t>%-ով (8</w:t>
      </w:r>
      <w:r w:rsidRPr="001F63BA">
        <w:rPr>
          <w:rFonts w:ascii="GHEA Grapalat" w:hAnsi="GHEA Grapalat"/>
          <w:sz w:val="22"/>
          <w:szCs w:val="22"/>
          <w:lang w:val="en-US" w:eastAsia="nl-NL"/>
        </w:rPr>
        <w:t>.3</w:t>
      </w:r>
      <w:r w:rsidRPr="001F63BA">
        <w:rPr>
          <w:rFonts w:ascii="GHEA Grapalat" w:hAnsi="GHEA Grapalat"/>
          <w:sz w:val="22"/>
          <w:szCs w:val="22"/>
          <w:lang w:eastAsia="nl-NL"/>
        </w:rPr>
        <w:t xml:space="preserve"> մլրդ դրամով) գերազանցելով նախորդ տարվա ցուցանիշը: </w:t>
      </w:r>
      <w:r w:rsidRPr="001F63BA">
        <w:rPr>
          <w:rFonts w:ascii="GHEA Grapalat" w:hAnsi="GHEA Grapalat"/>
          <w:sz w:val="22"/>
          <w:szCs w:val="22"/>
        </w:rPr>
        <w:t xml:space="preserve">Նախորդ տարվա համեմատ շրջանառության հարկի գծով մուտքերի աճը հիմնականում պայմանավորված է տնտեսական ակտիվության աճով, հատկապես այն ոլորտներում, որտեղ գործում են շրջանառության հարկով հարկվող գործունեություն ծավալող հարկ վճարողները: Մասնավորապես, առևտրի ծավալներն աճել են </w:t>
      </w:r>
      <w:r w:rsidRPr="001F63BA">
        <w:rPr>
          <w:rFonts w:ascii="GHEA Grapalat" w:hAnsi="GHEA Grapalat"/>
          <w:sz w:val="22"/>
          <w:szCs w:val="22"/>
          <w:lang w:val="en-US"/>
        </w:rPr>
        <w:t>1</w:t>
      </w:r>
      <w:r w:rsidRPr="001F63BA">
        <w:rPr>
          <w:rFonts w:ascii="GHEA Grapalat" w:hAnsi="GHEA Grapalat"/>
          <w:sz w:val="22"/>
          <w:szCs w:val="22"/>
        </w:rPr>
        <w:t>7</w:t>
      </w:r>
      <w:r w:rsidRPr="001F63BA">
        <w:rPr>
          <w:rFonts w:ascii="GHEA Grapalat" w:hAnsi="GHEA Grapalat"/>
          <w:sz w:val="22"/>
          <w:szCs w:val="22"/>
          <w:lang w:eastAsia="nl-NL"/>
        </w:rPr>
        <w:t xml:space="preserve">%-ով, արդյունաբերական արտադրանքի </w:t>
      </w:r>
      <w:r w:rsidRPr="001F63BA">
        <w:rPr>
          <w:rFonts w:ascii="GHEA Grapalat" w:hAnsi="GHEA Grapalat"/>
          <w:sz w:val="22"/>
          <w:szCs w:val="22"/>
        </w:rPr>
        <w:t xml:space="preserve">ծավալները՝ </w:t>
      </w:r>
      <w:r w:rsidRPr="001F63BA">
        <w:rPr>
          <w:rFonts w:ascii="GHEA Grapalat" w:hAnsi="GHEA Grapalat"/>
          <w:sz w:val="22"/>
          <w:szCs w:val="22"/>
          <w:lang w:val="en-US"/>
        </w:rPr>
        <w:t>7.9</w:t>
      </w:r>
      <w:r w:rsidRPr="001F63BA">
        <w:rPr>
          <w:rFonts w:ascii="GHEA Grapalat" w:hAnsi="GHEA Grapalat"/>
          <w:sz w:val="22"/>
          <w:szCs w:val="22"/>
          <w:lang w:eastAsia="nl-NL"/>
        </w:rPr>
        <w:t xml:space="preserve">%-ով, իսկ ծառայությունների </w:t>
      </w:r>
      <w:r w:rsidRPr="001F63BA">
        <w:rPr>
          <w:rFonts w:ascii="GHEA Grapalat" w:hAnsi="GHEA Grapalat"/>
          <w:sz w:val="22"/>
          <w:szCs w:val="22"/>
        </w:rPr>
        <w:t xml:space="preserve">ծավալները՝ </w:t>
      </w:r>
      <w:r w:rsidRPr="001F63BA">
        <w:rPr>
          <w:rFonts w:ascii="GHEA Grapalat" w:hAnsi="GHEA Grapalat"/>
          <w:sz w:val="22"/>
          <w:szCs w:val="22"/>
          <w:lang w:val="en-US" w:eastAsia="nl-NL"/>
        </w:rPr>
        <w:t>28.2</w:t>
      </w:r>
      <w:r w:rsidRPr="001F63BA">
        <w:rPr>
          <w:rFonts w:ascii="GHEA Grapalat" w:hAnsi="GHEA Grapalat"/>
          <w:sz w:val="22"/>
          <w:szCs w:val="22"/>
          <w:lang w:eastAsia="nl-NL"/>
        </w:rPr>
        <w:t>%-ով:</w:t>
      </w:r>
    </w:p>
    <w:p w:rsidR="001C411D" w:rsidRPr="001F63BA" w:rsidRDefault="001C411D" w:rsidP="002F7E29">
      <w:pPr>
        <w:tabs>
          <w:tab w:val="left" w:pos="0"/>
          <w:tab w:val="left" w:pos="900"/>
        </w:tabs>
        <w:spacing w:line="360" w:lineRule="auto"/>
        <w:ind w:firstLine="567"/>
        <w:jc w:val="both"/>
        <w:rPr>
          <w:rFonts w:ascii="GHEA Grapalat" w:hAnsi="GHEA Grapalat" w:cs="GHEA Grapalat"/>
          <w:iCs/>
          <w:sz w:val="22"/>
          <w:szCs w:val="22"/>
          <w:lang w:val="en-US"/>
        </w:rPr>
      </w:pPr>
      <w:r w:rsidRPr="001F63BA">
        <w:rPr>
          <w:rFonts w:ascii="GHEA Grapalat" w:hAnsi="GHEA Grapalat" w:cs="GHEA Grapalat"/>
          <w:sz w:val="22"/>
          <w:szCs w:val="22"/>
        </w:rPr>
        <w:t>2022 թվականի</w:t>
      </w:r>
      <w:r w:rsidRPr="001F63BA">
        <w:rPr>
          <w:rFonts w:ascii="GHEA Grapalat" w:hAnsi="GHEA Grapalat"/>
          <w:sz w:val="22"/>
          <w:szCs w:val="22"/>
        </w:rPr>
        <w:t xml:space="preserve">ն </w:t>
      </w:r>
      <w:r w:rsidRPr="001F63BA">
        <w:rPr>
          <w:rFonts w:ascii="GHEA Grapalat" w:hAnsi="GHEA Grapalat" w:cs="Sylfaen"/>
          <w:sz w:val="22"/>
          <w:szCs w:val="22"/>
        </w:rPr>
        <w:t>պետական</w:t>
      </w:r>
      <w:r w:rsidRPr="001F63BA">
        <w:rPr>
          <w:rFonts w:ascii="GHEA Grapalat" w:hAnsi="GHEA Grapalat" w:cs="GHEA Grapalat"/>
          <w:sz w:val="22"/>
          <w:szCs w:val="22"/>
        </w:rPr>
        <w:t xml:space="preserve"> բյուջեի հարկային եկամուտների և պետական տուրքերի </w:t>
      </w:r>
      <w:r w:rsidRPr="001F63BA">
        <w:rPr>
          <w:rFonts w:ascii="GHEA Grapalat" w:hAnsi="GHEA Grapalat" w:cs="GHEA Grapalat"/>
          <w:sz w:val="22"/>
          <w:szCs w:val="22"/>
          <w:lang w:val="en-US"/>
        </w:rPr>
        <w:t>5</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ն ապահովվել է </w:t>
      </w:r>
      <w:r w:rsidRPr="001F63BA">
        <w:rPr>
          <w:rFonts w:ascii="GHEA Grapalat" w:hAnsi="GHEA Grapalat" w:cs="GHEA Grapalat"/>
          <w:i/>
          <w:iCs/>
          <w:sz w:val="22"/>
          <w:szCs w:val="22"/>
        </w:rPr>
        <w:t xml:space="preserve">բնապահպանական հարկի և բնօգտագործման վճարի </w:t>
      </w:r>
      <w:r w:rsidRPr="001F63BA">
        <w:rPr>
          <w:rFonts w:ascii="GHEA Grapalat" w:hAnsi="GHEA Grapalat" w:cs="GHEA Grapalat"/>
          <w:iCs/>
          <w:sz w:val="22"/>
          <w:szCs w:val="22"/>
        </w:rPr>
        <w:t xml:space="preserve">հաշվին: </w:t>
      </w:r>
    </w:p>
    <w:p w:rsidR="001C411D" w:rsidRPr="001F63BA" w:rsidRDefault="001C411D" w:rsidP="009C20C7">
      <w:pPr>
        <w:tabs>
          <w:tab w:val="left" w:pos="0"/>
          <w:tab w:val="left" w:pos="900"/>
        </w:tabs>
        <w:ind w:firstLine="567"/>
        <w:jc w:val="both"/>
        <w:rPr>
          <w:rFonts w:ascii="GHEA Grapalat" w:hAnsi="GHEA Grapalat" w:cs="GHEA Grapalat"/>
          <w:iCs/>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Բնապահպանական հարկերի և բնօգտագործման վճարների գծով ՀՀ պետական բյուջեի մուտքերը (մլրդ դրամ)</w:t>
      </w:r>
    </w:p>
    <w:tbl>
      <w:tblPr>
        <w:tblW w:w="10205" w:type="dxa"/>
        <w:tblLook w:val="00A0" w:firstRow="1" w:lastRow="0" w:firstColumn="1" w:lastColumn="0" w:noHBand="0" w:noVBand="0"/>
      </w:tblPr>
      <w:tblGrid>
        <w:gridCol w:w="4644"/>
        <w:gridCol w:w="1240"/>
        <w:gridCol w:w="1593"/>
        <w:gridCol w:w="1372"/>
        <w:gridCol w:w="1356"/>
      </w:tblGrid>
      <w:tr w:rsidR="001C411D" w:rsidRPr="001F63BA" w:rsidTr="002F7E29">
        <w:trPr>
          <w:trHeight w:val="855"/>
        </w:trPr>
        <w:tc>
          <w:tcPr>
            <w:tcW w:w="4644"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2F7E29">
            <w:pPr>
              <w:rPr>
                <w:rFonts w:ascii="GHEA Grapalat" w:hAnsi="GHEA Grapalat" w:cs="Calibri"/>
                <w:sz w:val="18"/>
                <w:szCs w:val="18"/>
              </w:rPr>
            </w:pPr>
            <w:r w:rsidRPr="001F63BA">
              <w:rPr>
                <w:rFonts w:ascii="Courier New" w:hAnsi="Courier New" w:cs="Courier New"/>
                <w:sz w:val="18"/>
                <w:szCs w:val="18"/>
              </w:rPr>
              <w:t> </w:t>
            </w:r>
          </w:p>
        </w:tc>
        <w:tc>
          <w:tcPr>
            <w:tcW w:w="1240" w:type="dxa"/>
            <w:tcBorders>
              <w:top w:val="single" w:sz="4" w:space="0" w:color="auto"/>
              <w:left w:val="nil"/>
              <w:bottom w:val="single" w:sz="4" w:space="0" w:color="auto"/>
              <w:right w:val="single" w:sz="4" w:space="0" w:color="auto"/>
            </w:tcBorders>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593"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372"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356"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2022թ. և 2021թ. տարբերու-թյունը</w:t>
            </w:r>
          </w:p>
        </w:tc>
      </w:tr>
      <w:tr w:rsidR="001C411D" w:rsidRPr="001F63BA" w:rsidTr="002F7E29">
        <w:trPr>
          <w:trHeight w:val="293"/>
        </w:trPr>
        <w:tc>
          <w:tcPr>
            <w:tcW w:w="4644" w:type="dxa"/>
            <w:tcBorders>
              <w:top w:val="nil"/>
              <w:left w:val="single" w:sz="4" w:space="0" w:color="auto"/>
              <w:bottom w:val="single" w:sz="4" w:space="0" w:color="auto"/>
              <w:right w:val="single" w:sz="4" w:space="0" w:color="auto"/>
            </w:tcBorders>
          </w:tcPr>
          <w:p w:rsidR="001C411D" w:rsidRPr="001F63BA" w:rsidRDefault="001C411D" w:rsidP="002F7E29">
            <w:pPr>
              <w:rPr>
                <w:rFonts w:ascii="GHEA Grapalat" w:hAnsi="GHEA Grapalat" w:cs="Calibri"/>
                <w:b/>
                <w:bCs/>
                <w:sz w:val="18"/>
                <w:szCs w:val="18"/>
              </w:rPr>
            </w:pPr>
            <w:r w:rsidRPr="001F63BA">
              <w:rPr>
                <w:rFonts w:ascii="GHEA Grapalat" w:hAnsi="GHEA Grapalat" w:cs="Calibri"/>
                <w:b/>
                <w:bCs/>
                <w:sz w:val="18"/>
                <w:szCs w:val="18"/>
              </w:rPr>
              <w:t>Բնապահպանական հարկեր և բնօգտագործման վճարներ</w:t>
            </w:r>
          </w:p>
        </w:tc>
        <w:tc>
          <w:tcPr>
            <w:tcW w:w="1240"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62.7</w:t>
            </w:r>
          </w:p>
        </w:tc>
        <w:tc>
          <w:tcPr>
            <w:tcW w:w="1593"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95.9</w:t>
            </w:r>
          </w:p>
        </w:tc>
        <w:tc>
          <w:tcPr>
            <w:tcW w:w="1372"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153.0</w:t>
            </w:r>
          </w:p>
        </w:tc>
        <w:tc>
          <w:tcPr>
            <w:tcW w:w="1356"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b/>
                <w:sz w:val="18"/>
                <w:szCs w:val="18"/>
                <w:lang w:val="en-US"/>
              </w:rPr>
            </w:pPr>
            <w:r w:rsidRPr="001F63BA">
              <w:rPr>
                <w:rFonts w:ascii="GHEA Grapalat" w:hAnsi="GHEA Grapalat" w:cs="Calibri"/>
                <w:b/>
                <w:sz w:val="18"/>
                <w:szCs w:val="18"/>
              </w:rPr>
              <w:t>33.3</w:t>
            </w:r>
          </w:p>
        </w:tc>
      </w:tr>
      <w:tr w:rsidR="001C411D" w:rsidRPr="001F63BA" w:rsidTr="002F7E29">
        <w:trPr>
          <w:trHeight w:val="293"/>
        </w:trPr>
        <w:tc>
          <w:tcPr>
            <w:tcW w:w="4644" w:type="dxa"/>
            <w:tcBorders>
              <w:top w:val="nil"/>
              <w:left w:val="single" w:sz="4" w:space="0" w:color="auto"/>
              <w:bottom w:val="single" w:sz="4" w:space="0" w:color="auto"/>
              <w:right w:val="single" w:sz="4" w:space="0" w:color="auto"/>
            </w:tcBorders>
            <w:noWrap/>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lang w:val="en-US"/>
              </w:rPr>
              <w:t xml:space="preserve"> Օգտակար հանածոների արդյունահանման համար</w:t>
            </w:r>
          </w:p>
        </w:tc>
        <w:tc>
          <w:tcPr>
            <w:tcW w:w="1240" w:type="dxa"/>
            <w:tcBorders>
              <w:top w:val="nil"/>
              <w:left w:val="single" w:sz="4" w:space="0" w:color="auto"/>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4.5</w:t>
            </w:r>
          </w:p>
        </w:tc>
        <w:tc>
          <w:tcPr>
            <w:tcW w:w="1593"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5.3</w:t>
            </w:r>
          </w:p>
        </w:tc>
        <w:tc>
          <w:tcPr>
            <w:tcW w:w="1372"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115.9</w:t>
            </w:r>
          </w:p>
        </w:tc>
        <w:tc>
          <w:tcPr>
            <w:tcW w:w="1356"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0.7</w:t>
            </w:r>
          </w:p>
        </w:tc>
      </w:tr>
      <w:tr w:rsidR="001C411D" w:rsidRPr="001F63BA" w:rsidTr="002F7E29">
        <w:trPr>
          <w:trHeight w:val="293"/>
        </w:trPr>
        <w:tc>
          <w:tcPr>
            <w:tcW w:w="4644" w:type="dxa"/>
            <w:tcBorders>
              <w:top w:val="nil"/>
              <w:left w:val="single" w:sz="4" w:space="0" w:color="auto"/>
              <w:bottom w:val="single" w:sz="4" w:space="0" w:color="auto"/>
              <w:right w:val="single" w:sz="4" w:space="0" w:color="auto"/>
            </w:tcBorders>
            <w:noWrap/>
          </w:tcPr>
          <w:p w:rsidR="001C411D" w:rsidRPr="001F63BA" w:rsidRDefault="001C411D" w:rsidP="00A91005">
            <w:pPr>
              <w:rPr>
                <w:rFonts w:ascii="GHEA Grapalat" w:hAnsi="GHEA Grapalat" w:cs="Calibri"/>
                <w:sz w:val="18"/>
                <w:szCs w:val="18"/>
              </w:rPr>
            </w:pPr>
            <w:r w:rsidRPr="001F63BA">
              <w:rPr>
                <w:rFonts w:ascii="GHEA Grapalat" w:hAnsi="GHEA Grapalat" w:cs="Calibri"/>
                <w:sz w:val="18"/>
                <w:szCs w:val="18"/>
              </w:rPr>
              <w:t xml:space="preserve"> Ավտոմեքենաներից</w:t>
            </w:r>
            <w:r w:rsidRPr="001F63BA">
              <w:t xml:space="preserve"> </w:t>
            </w:r>
            <w:r w:rsidRPr="001F63BA">
              <w:rPr>
                <w:rFonts w:ascii="GHEA Grapalat" w:hAnsi="GHEA Grapalat" w:cs="Calibri"/>
                <w:sz w:val="18"/>
                <w:szCs w:val="18"/>
              </w:rPr>
              <w:t>արտա</w:t>
            </w:r>
            <w:r w:rsidRPr="001F63BA">
              <w:rPr>
                <w:rFonts w:ascii="GHEA Grapalat" w:hAnsi="GHEA Grapalat" w:cs="Calibri"/>
                <w:sz w:val="18"/>
                <w:szCs w:val="18"/>
                <w:lang w:val="en-US"/>
              </w:rPr>
              <w:t>նետվ</w:t>
            </w:r>
            <w:r w:rsidRPr="001F63BA">
              <w:rPr>
                <w:rFonts w:ascii="GHEA Grapalat" w:hAnsi="GHEA Grapalat" w:cs="Calibri"/>
                <w:sz w:val="18"/>
                <w:szCs w:val="18"/>
              </w:rPr>
              <w:t>ող վնասակար նյութերի համար</w:t>
            </w:r>
          </w:p>
        </w:tc>
        <w:tc>
          <w:tcPr>
            <w:tcW w:w="1240" w:type="dxa"/>
            <w:tcBorders>
              <w:top w:val="nil"/>
              <w:left w:val="single" w:sz="4" w:space="0" w:color="auto"/>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1.5</w:t>
            </w:r>
          </w:p>
        </w:tc>
        <w:tc>
          <w:tcPr>
            <w:tcW w:w="1593"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1.8</w:t>
            </w:r>
          </w:p>
        </w:tc>
        <w:tc>
          <w:tcPr>
            <w:tcW w:w="1372"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115.9</w:t>
            </w:r>
          </w:p>
        </w:tc>
        <w:tc>
          <w:tcPr>
            <w:tcW w:w="1356"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0.2</w:t>
            </w:r>
          </w:p>
        </w:tc>
      </w:tr>
      <w:tr w:rsidR="001C411D" w:rsidRPr="001F63BA" w:rsidTr="002F7E29">
        <w:trPr>
          <w:trHeight w:val="293"/>
        </w:trPr>
        <w:tc>
          <w:tcPr>
            <w:tcW w:w="4644" w:type="dxa"/>
            <w:tcBorders>
              <w:top w:val="nil"/>
              <w:left w:val="single" w:sz="4" w:space="0" w:color="auto"/>
              <w:bottom w:val="single" w:sz="4" w:space="0" w:color="auto"/>
              <w:right w:val="single" w:sz="4" w:space="0" w:color="auto"/>
            </w:tcBorders>
            <w:noWrap/>
          </w:tcPr>
          <w:p w:rsidR="001C411D" w:rsidRPr="001F63BA" w:rsidRDefault="001C411D" w:rsidP="008A6DD2">
            <w:pPr>
              <w:rPr>
                <w:rFonts w:ascii="GHEA Grapalat" w:hAnsi="GHEA Grapalat" w:cs="Calibri"/>
                <w:sz w:val="18"/>
                <w:szCs w:val="18"/>
              </w:rPr>
            </w:pPr>
            <w:r w:rsidRPr="001F63BA">
              <w:rPr>
                <w:rFonts w:ascii="GHEA Grapalat" w:hAnsi="GHEA Grapalat" w:cs="Calibri"/>
                <w:sz w:val="18"/>
                <w:szCs w:val="18"/>
              </w:rPr>
              <w:t xml:space="preserve"> ՀՀ</w:t>
            </w:r>
            <w:r w:rsidRPr="001F63BA">
              <w:rPr>
                <w:rFonts w:ascii="GHEA Grapalat" w:hAnsi="GHEA Grapalat" w:cs="Calibri"/>
                <w:sz w:val="18"/>
                <w:szCs w:val="18"/>
                <w:lang w:val="en-US"/>
              </w:rPr>
              <w:t>-</w:t>
            </w:r>
            <w:r w:rsidRPr="001F63BA">
              <w:rPr>
                <w:rFonts w:ascii="GHEA Grapalat" w:hAnsi="GHEA Grapalat" w:cs="Calibri"/>
                <w:sz w:val="18"/>
                <w:szCs w:val="18"/>
              </w:rPr>
              <w:t>ում չգրանցված (չհաշվառված)՝ ՀՀ մուտք գործող ավտոտրանսպորտային միջոցներից մթնոլորտային օդ վնասակար նյութերի արտանետման համար</w:t>
            </w:r>
          </w:p>
        </w:tc>
        <w:tc>
          <w:tcPr>
            <w:tcW w:w="1240" w:type="dxa"/>
            <w:tcBorders>
              <w:top w:val="nil"/>
              <w:left w:val="single" w:sz="4" w:space="0" w:color="auto"/>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0.7</w:t>
            </w:r>
          </w:p>
        </w:tc>
        <w:tc>
          <w:tcPr>
            <w:tcW w:w="1593"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1.1</w:t>
            </w:r>
          </w:p>
        </w:tc>
        <w:tc>
          <w:tcPr>
            <w:tcW w:w="1372"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156.8</w:t>
            </w:r>
          </w:p>
        </w:tc>
        <w:tc>
          <w:tcPr>
            <w:tcW w:w="1356"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0.4</w:t>
            </w:r>
          </w:p>
        </w:tc>
      </w:tr>
      <w:tr w:rsidR="001C411D" w:rsidRPr="001F63BA" w:rsidTr="002F7E29">
        <w:trPr>
          <w:trHeight w:val="293"/>
        </w:trPr>
        <w:tc>
          <w:tcPr>
            <w:tcW w:w="4644" w:type="dxa"/>
            <w:tcBorders>
              <w:top w:val="nil"/>
              <w:left w:val="single" w:sz="4" w:space="0" w:color="auto"/>
              <w:bottom w:val="single" w:sz="4" w:space="0" w:color="auto"/>
              <w:right w:val="single" w:sz="4" w:space="0" w:color="auto"/>
            </w:tcBorders>
            <w:noWrap/>
          </w:tcPr>
          <w:p w:rsidR="001C411D" w:rsidRPr="001F63BA" w:rsidRDefault="001C411D" w:rsidP="002F7E29">
            <w:pPr>
              <w:ind w:firstLineChars="100" w:firstLine="180"/>
              <w:rPr>
                <w:rFonts w:ascii="GHEA Grapalat" w:hAnsi="GHEA Grapalat" w:cs="Calibri"/>
                <w:sz w:val="18"/>
                <w:szCs w:val="18"/>
              </w:rPr>
            </w:pPr>
            <w:r w:rsidRPr="001F63BA">
              <w:rPr>
                <w:rFonts w:ascii="GHEA Grapalat" w:hAnsi="GHEA Grapalat" w:cs="Calibri"/>
                <w:sz w:val="18"/>
                <w:szCs w:val="18"/>
              </w:rPr>
              <w:t>ՀՀ ներմուծվող շրջակա միջավայրին վնաս պատճառող ապրանքների համար</w:t>
            </w:r>
          </w:p>
        </w:tc>
        <w:tc>
          <w:tcPr>
            <w:tcW w:w="1240" w:type="dxa"/>
            <w:tcBorders>
              <w:top w:val="nil"/>
              <w:left w:val="single" w:sz="4" w:space="0" w:color="auto"/>
              <w:bottom w:val="single" w:sz="4" w:space="0" w:color="auto"/>
              <w:right w:val="single" w:sz="4" w:space="0" w:color="auto"/>
            </w:tcBorders>
            <w:vAlign w:val="bottom"/>
          </w:tcPr>
          <w:p w:rsidR="001C411D" w:rsidRPr="001F63BA" w:rsidRDefault="001C411D" w:rsidP="002F7E29">
            <w:pPr>
              <w:jc w:val="right"/>
              <w:rPr>
                <w:rFonts w:ascii="GHEA Grapalat" w:hAnsi="GHEA Grapalat"/>
                <w:sz w:val="18"/>
                <w:szCs w:val="18"/>
              </w:rPr>
            </w:pPr>
            <w:r w:rsidRPr="001F63BA">
              <w:rPr>
                <w:rFonts w:ascii="GHEA Grapalat" w:hAnsi="GHEA Grapalat"/>
                <w:sz w:val="18"/>
                <w:szCs w:val="18"/>
              </w:rPr>
              <w:t>3</w:t>
            </w:r>
            <w:r w:rsidRPr="001F63BA">
              <w:rPr>
                <w:rFonts w:ascii="GHEA Grapalat" w:hAnsi="GHEA Grapalat"/>
                <w:sz w:val="18"/>
                <w:szCs w:val="18"/>
                <w:lang w:val="ru-RU"/>
              </w:rPr>
              <w:t>.</w:t>
            </w:r>
            <w:r w:rsidRPr="001F63BA">
              <w:rPr>
                <w:rFonts w:ascii="GHEA Grapalat" w:hAnsi="GHEA Grapalat"/>
                <w:sz w:val="18"/>
                <w:szCs w:val="18"/>
              </w:rPr>
              <w:t>3</w:t>
            </w:r>
          </w:p>
        </w:tc>
        <w:tc>
          <w:tcPr>
            <w:tcW w:w="1593"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sz w:val="18"/>
                <w:szCs w:val="18"/>
              </w:rPr>
            </w:pPr>
            <w:r w:rsidRPr="001F63BA">
              <w:rPr>
                <w:rFonts w:ascii="GHEA Grapalat" w:hAnsi="GHEA Grapalat"/>
                <w:sz w:val="18"/>
                <w:szCs w:val="18"/>
              </w:rPr>
              <w:t>6</w:t>
            </w:r>
            <w:r w:rsidRPr="001F63BA">
              <w:rPr>
                <w:rFonts w:ascii="GHEA Grapalat" w:hAnsi="GHEA Grapalat"/>
                <w:sz w:val="18"/>
                <w:szCs w:val="18"/>
                <w:lang w:val="ru-RU"/>
              </w:rPr>
              <w:t>.</w:t>
            </w:r>
            <w:r w:rsidRPr="001F63BA">
              <w:rPr>
                <w:rFonts w:ascii="GHEA Grapalat" w:hAnsi="GHEA Grapalat"/>
                <w:sz w:val="18"/>
                <w:szCs w:val="18"/>
              </w:rPr>
              <w:t>1</w:t>
            </w:r>
          </w:p>
        </w:tc>
        <w:tc>
          <w:tcPr>
            <w:tcW w:w="1372"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sz w:val="18"/>
                <w:szCs w:val="18"/>
              </w:rPr>
            </w:pPr>
            <w:r w:rsidRPr="001F63BA">
              <w:rPr>
                <w:rFonts w:ascii="GHEA Grapalat" w:hAnsi="GHEA Grapalat"/>
                <w:sz w:val="18"/>
                <w:szCs w:val="18"/>
              </w:rPr>
              <w:t>181</w:t>
            </w:r>
            <w:r w:rsidRPr="001F63BA">
              <w:rPr>
                <w:rFonts w:ascii="GHEA Grapalat" w:hAnsi="GHEA Grapalat"/>
                <w:sz w:val="18"/>
                <w:szCs w:val="18"/>
                <w:lang w:val="ru-RU"/>
              </w:rPr>
              <w:t>.</w:t>
            </w:r>
            <w:r w:rsidRPr="001F63BA">
              <w:rPr>
                <w:rFonts w:ascii="GHEA Grapalat" w:hAnsi="GHEA Grapalat"/>
                <w:sz w:val="18"/>
                <w:szCs w:val="18"/>
              </w:rPr>
              <w:t>0</w:t>
            </w:r>
          </w:p>
        </w:tc>
        <w:tc>
          <w:tcPr>
            <w:tcW w:w="1356"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sz w:val="18"/>
                <w:szCs w:val="18"/>
              </w:rPr>
            </w:pPr>
            <w:r w:rsidRPr="001F63BA">
              <w:rPr>
                <w:rFonts w:ascii="GHEA Grapalat" w:hAnsi="GHEA Grapalat"/>
                <w:sz w:val="18"/>
                <w:szCs w:val="18"/>
              </w:rPr>
              <w:t>2</w:t>
            </w:r>
            <w:r w:rsidRPr="001F63BA">
              <w:rPr>
                <w:rFonts w:ascii="GHEA Grapalat" w:hAnsi="GHEA Grapalat"/>
                <w:sz w:val="18"/>
                <w:szCs w:val="18"/>
                <w:lang w:val="ru-RU"/>
              </w:rPr>
              <w:t>.</w:t>
            </w:r>
            <w:r w:rsidRPr="001F63BA">
              <w:rPr>
                <w:rFonts w:ascii="GHEA Grapalat" w:hAnsi="GHEA Grapalat"/>
                <w:sz w:val="18"/>
                <w:szCs w:val="18"/>
              </w:rPr>
              <w:t>7</w:t>
            </w:r>
          </w:p>
        </w:tc>
      </w:tr>
      <w:tr w:rsidR="001C411D" w:rsidRPr="001F63BA" w:rsidTr="002F7E29">
        <w:trPr>
          <w:trHeight w:val="293"/>
        </w:trPr>
        <w:tc>
          <w:tcPr>
            <w:tcW w:w="4644" w:type="dxa"/>
            <w:tcBorders>
              <w:top w:val="nil"/>
              <w:left w:val="single" w:sz="4" w:space="0" w:color="auto"/>
              <w:bottom w:val="single" w:sz="4" w:space="0" w:color="auto"/>
              <w:right w:val="single" w:sz="4" w:space="0" w:color="auto"/>
            </w:tcBorders>
            <w:noWrap/>
          </w:tcPr>
          <w:p w:rsidR="001C411D" w:rsidRPr="001F63BA" w:rsidRDefault="001C411D" w:rsidP="002F7E29">
            <w:pPr>
              <w:ind w:firstLineChars="100" w:firstLine="180"/>
              <w:rPr>
                <w:rFonts w:ascii="GHEA Grapalat" w:hAnsi="GHEA Grapalat" w:cs="Calibri"/>
                <w:sz w:val="18"/>
                <w:szCs w:val="18"/>
              </w:rPr>
            </w:pPr>
            <w:r w:rsidRPr="001F63BA">
              <w:rPr>
                <w:rFonts w:ascii="GHEA Grapalat" w:hAnsi="GHEA Grapalat" w:cs="Calibri"/>
                <w:sz w:val="18"/>
                <w:szCs w:val="18"/>
              </w:rPr>
              <w:t>Արդյունահանված մետաղական օգտակար հանածոների և դրանց վերամշակման արդյունքում ստացված արտադրանքի իրացման համար վճարվող ռոյալթի</w:t>
            </w:r>
          </w:p>
        </w:tc>
        <w:tc>
          <w:tcPr>
            <w:tcW w:w="1240" w:type="dxa"/>
            <w:tcBorders>
              <w:top w:val="nil"/>
              <w:left w:val="single" w:sz="4" w:space="0" w:color="auto"/>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52.6</w:t>
            </w:r>
          </w:p>
        </w:tc>
        <w:tc>
          <w:tcPr>
            <w:tcW w:w="1593" w:type="dxa"/>
            <w:tcBorders>
              <w:top w:val="nil"/>
              <w:left w:val="nil"/>
              <w:bottom w:val="single" w:sz="4" w:space="0" w:color="auto"/>
              <w:right w:val="single" w:sz="4" w:space="0" w:color="auto"/>
            </w:tcBorders>
            <w:noWrap/>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81.7</w:t>
            </w:r>
          </w:p>
        </w:tc>
        <w:tc>
          <w:tcPr>
            <w:tcW w:w="1372"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155.5</w:t>
            </w:r>
          </w:p>
        </w:tc>
        <w:tc>
          <w:tcPr>
            <w:tcW w:w="1356" w:type="dxa"/>
            <w:tcBorders>
              <w:top w:val="nil"/>
              <w:left w:val="nil"/>
              <w:bottom w:val="single" w:sz="4" w:space="0" w:color="auto"/>
              <w:right w:val="single" w:sz="4" w:space="0" w:color="auto"/>
            </w:tcBorders>
            <w:vAlign w:val="bottom"/>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29.2</w:t>
            </w:r>
          </w:p>
        </w:tc>
      </w:tr>
    </w:tbl>
    <w:p w:rsidR="001C411D" w:rsidRPr="001F63BA" w:rsidRDefault="001C411D" w:rsidP="002F7E29">
      <w:pPr>
        <w:autoSpaceDE w:val="0"/>
        <w:autoSpaceDN w:val="0"/>
        <w:adjustRightInd w:val="0"/>
        <w:spacing w:line="360" w:lineRule="auto"/>
        <w:ind w:firstLine="567"/>
        <w:jc w:val="both"/>
        <w:rPr>
          <w:rFonts w:ascii="GHEA Grapalat" w:hAnsi="GHEA Grapalat" w:cs="GHEA Grapalat"/>
          <w:iCs/>
          <w:sz w:val="22"/>
          <w:szCs w:val="22"/>
        </w:rPr>
      </w:pPr>
    </w:p>
    <w:p w:rsidR="001C411D" w:rsidRPr="001F63BA" w:rsidRDefault="001C411D" w:rsidP="002F7E29">
      <w:pPr>
        <w:tabs>
          <w:tab w:val="left" w:pos="0"/>
          <w:tab w:val="left" w:pos="900"/>
        </w:tabs>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Նախորդ տարվա համեմատ բնապահպանական հարկի և բնօգտագործման վճարների գծով մուտքերի աճը հիմնականում պայմանավորված է հանքարդյունաբերության և բաց հանքերի շահագործման ոլորտում 2021 թվականին 2020 թվականի համեմատ ավելացված արժեքների իրական աճով, որը կազմել է 61.7%: Հարկ է նշել, որ նշված ոլորտում գնաճը կազմել է 62%, ինչը նշանակում է, որ ռոյալթիի գծով պետական բյուջեի մուտքերի աճը հիմնականում ապահովվել է մետաղական հանքաքարի գների աճի հաշվին: Ընդ որում, հատկանշական է, որ Լոնդոնի մետաղների բորսայի տվյալներով 2021 թվականին 2020 թվականի համեմատ հիմնական մետաղների տարեկան միջին գներն էականորեն փոփոխվել են: Մասնավորապես՝ մոլիբդենի գինն աճել է 82.4%-ով, պղնձինը` 51%-ով, իսկ ոսկու գին</w:t>
      </w:r>
      <w:r w:rsidRPr="001F63BA">
        <w:rPr>
          <w:rFonts w:ascii="GHEA Grapalat" w:hAnsi="GHEA Grapalat" w:cs="GHEA Grapalat"/>
          <w:iCs/>
          <w:sz w:val="22"/>
          <w:szCs w:val="22"/>
          <w:lang w:val="en-US"/>
        </w:rPr>
        <w:t>ն</w:t>
      </w:r>
      <w:r w:rsidRPr="001F63BA">
        <w:rPr>
          <w:rFonts w:ascii="GHEA Grapalat" w:hAnsi="GHEA Grapalat" w:cs="GHEA Grapalat"/>
          <w:iCs/>
          <w:sz w:val="22"/>
          <w:szCs w:val="22"/>
        </w:rPr>
        <w:t xml:space="preserve"> աճել է ընդամենը 1.7%-ով: </w:t>
      </w:r>
    </w:p>
    <w:p w:rsidR="001C411D" w:rsidRPr="001F63BA" w:rsidRDefault="001C411D" w:rsidP="002F7E29">
      <w:pPr>
        <w:tabs>
          <w:tab w:val="left" w:pos="0"/>
          <w:tab w:val="left" w:pos="900"/>
        </w:tabs>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Օգտակար հանածոների արդյունահանման դիմաց ստացված բնօգտագործման վճարները գերազանցել են նախորդ տարվա մուտքերը, որը հիմնականում պայմանավորված է արդյունահանման ծավալների աճով: </w:t>
      </w:r>
    </w:p>
    <w:p w:rsidR="001C411D" w:rsidRPr="001F63BA" w:rsidRDefault="001C411D" w:rsidP="002F7E29">
      <w:pPr>
        <w:tabs>
          <w:tab w:val="left" w:pos="0"/>
          <w:tab w:val="left" w:pos="900"/>
        </w:tabs>
        <w:spacing w:line="360" w:lineRule="auto"/>
        <w:ind w:firstLine="567"/>
        <w:jc w:val="both"/>
        <w:rPr>
          <w:rFonts w:ascii="GHEA Grapalat" w:hAnsi="GHEA Grapalat" w:cs="GHEA Grapalat"/>
          <w:iCs/>
          <w:sz w:val="22"/>
          <w:szCs w:val="22"/>
          <w:lang w:val="en-US"/>
        </w:rPr>
      </w:pPr>
      <w:r w:rsidRPr="001F63BA">
        <w:rPr>
          <w:rFonts w:ascii="GHEA Grapalat" w:hAnsi="GHEA Grapalat" w:cs="GHEA Grapalat"/>
          <w:iCs/>
          <w:sz w:val="22"/>
          <w:szCs w:val="22"/>
        </w:rPr>
        <w:t>ՀՀ ներմուծվող (այդ թվում՝ ԵԱՏՄ անդամ պետություններից) շրջակա միջավայրին վնաս պատճառող ապրանքների համար գանձվող մուտքերի 81% (2.7 մլրդ դրամ) աճը հիմնականում պայմանավորված է ֆիզիկական անձանց կողմից երրորդ երկրներից ներմուծման ծավալների աճով: ԵԱՏՄ անդամ պետություններից ներմուծվող` շրջակա միջավայրին վնաս պատճառող ապրանքների համար գանձվող մուտքերն աճել են 35.8%-ով՝ պայմանավորված ԵԱՏՄ անդամ պետություններից ներմուծվող ապրանքների ծավալների աճով:</w:t>
      </w:r>
    </w:p>
    <w:p w:rsidR="001C411D" w:rsidRPr="001F63BA" w:rsidRDefault="001C411D" w:rsidP="002F7E29">
      <w:pPr>
        <w:tabs>
          <w:tab w:val="left" w:pos="0"/>
          <w:tab w:val="left" w:pos="900"/>
        </w:tabs>
        <w:spacing w:line="360" w:lineRule="auto"/>
        <w:ind w:firstLine="567"/>
        <w:jc w:val="both"/>
        <w:rPr>
          <w:rFonts w:ascii="GHEA Grapalat" w:hAnsi="GHEA Grapalat" w:cs="GHEA Grapalat"/>
          <w:iCs/>
          <w:sz w:val="22"/>
          <w:szCs w:val="22"/>
          <w:lang w:val="en-US"/>
        </w:rPr>
      </w:pPr>
      <w:r w:rsidRPr="001F63BA">
        <w:rPr>
          <w:rFonts w:ascii="GHEA Grapalat" w:hAnsi="GHEA Grapalat" w:cs="GHEA Grapalat"/>
          <w:iCs/>
          <w:sz w:val="22"/>
          <w:szCs w:val="22"/>
          <w:lang w:val="en-US"/>
        </w:rPr>
        <w:t>Նախորդ տարվա համեմատ 15.9% (242.7 մլն դրամ) աճ է արձանագրվել նաև Հայաստանի Հանրապետությունում գրանցված (հաշվառված) և շահագործվող ավտոտրանսպորտային միջոցներից, այլ ինքնագնաց մեքենաներից և մեխանիզմներից, ինչպես նաև լողամիջոցներից մթնոլորտային օդ վնասակար նյութերի արտանետման համար գանձվող մուտքերի գծով՝ հիմնականում պայմանավորված ՀՀ ներմուծվող և ՀՀ-ում շահագործվող ավտոմեքենաների քանակի աճով:</w:t>
      </w:r>
    </w:p>
    <w:p w:rsidR="001C411D" w:rsidRPr="001F63BA" w:rsidRDefault="001C411D" w:rsidP="002C3D05">
      <w:pPr>
        <w:tabs>
          <w:tab w:val="left" w:pos="0"/>
          <w:tab w:val="left" w:pos="900"/>
        </w:tabs>
        <w:spacing w:line="360" w:lineRule="auto"/>
        <w:ind w:firstLine="567"/>
        <w:jc w:val="both"/>
        <w:rPr>
          <w:rFonts w:ascii="GHEA Grapalat" w:hAnsi="GHEA Grapalat" w:cs="GHEA Grapalat"/>
          <w:iCs/>
          <w:sz w:val="22"/>
          <w:szCs w:val="22"/>
          <w:lang w:val="en-US"/>
        </w:rPr>
      </w:pPr>
      <w:r w:rsidRPr="001F63BA">
        <w:rPr>
          <w:rFonts w:ascii="GHEA Grapalat" w:hAnsi="GHEA Grapalat" w:cs="GHEA Grapalat"/>
          <w:iCs/>
          <w:sz w:val="22"/>
          <w:szCs w:val="22"/>
          <w:lang w:val="en-US"/>
        </w:rPr>
        <w:t xml:space="preserve">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մուտքերի 56.8% (403.4 մլն դրամ) աճը հիմնականում պայմանավորված է այլ պետություններում գրանցված՝ ՀՀ սահմանը հատող մարդատար տրանսպորտային միջոցների քանակի ավելացմամբ: </w:t>
      </w:r>
    </w:p>
    <w:p w:rsidR="001C411D" w:rsidRPr="001F63BA" w:rsidRDefault="001C411D" w:rsidP="002F7E29">
      <w:pPr>
        <w:tabs>
          <w:tab w:val="left" w:pos="0"/>
          <w:tab w:val="left" w:pos="900"/>
        </w:tabs>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Հաշվետու ժամանակահատվածում կուտակային կենսաթոշակային բաղադրիչի մասնակիցների կողմից պետական բյուջե է փոխանցվել շուրջ </w:t>
      </w:r>
      <w:r w:rsidRPr="001F63BA">
        <w:rPr>
          <w:rFonts w:ascii="GHEA Grapalat" w:hAnsi="GHEA Grapalat" w:cs="GHEA Grapalat"/>
          <w:sz w:val="22"/>
          <w:szCs w:val="22"/>
          <w:lang w:val="en-US"/>
        </w:rPr>
        <w:t xml:space="preserve">64.5 </w:t>
      </w:r>
      <w:r w:rsidRPr="001F63BA">
        <w:rPr>
          <w:rFonts w:ascii="GHEA Grapalat" w:hAnsi="GHEA Grapalat" w:cs="GHEA Grapalat"/>
          <w:sz w:val="22"/>
          <w:szCs w:val="22"/>
        </w:rPr>
        <w:t xml:space="preserve">մլրդ դրամ </w:t>
      </w:r>
      <w:r w:rsidRPr="001F63BA">
        <w:rPr>
          <w:rFonts w:ascii="GHEA Grapalat" w:hAnsi="GHEA Grapalat" w:cs="GHEA Grapalat"/>
          <w:i/>
          <w:iCs/>
          <w:sz w:val="22"/>
          <w:szCs w:val="22"/>
        </w:rPr>
        <w:t>սոցիալական վճար</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50</w:t>
      </w:r>
      <w:r w:rsidRPr="001F63BA">
        <w:rPr>
          <w:rFonts w:ascii="GHEA Grapalat" w:hAnsi="GHEA Grapalat" w:cs="GHEA Grapalat"/>
          <w:sz w:val="22"/>
          <w:szCs w:val="22"/>
        </w:rPr>
        <w:t xml:space="preserve">%-ով </w:t>
      </w:r>
      <w:r w:rsidRPr="001F63BA">
        <w:rPr>
          <w:rFonts w:ascii="GHEA Grapalat" w:hAnsi="GHEA Grapalat" w:cs="Sylfaen"/>
          <w:sz w:val="22"/>
          <w:szCs w:val="22"/>
        </w:rPr>
        <w:lastRenderedPageBreak/>
        <w:t>գերազանցելով</w:t>
      </w:r>
      <w:r w:rsidRPr="001F63BA">
        <w:rPr>
          <w:rFonts w:ascii="GHEA Grapalat" w:hAnsi="GHEA Grapalat" w:cs="GHEA Grapalat"/>
          <w:sz w:val="22"/>
          <w:szCs w:val="22"/>
        </w:rPr>
        <w:t xml:space="preserve"> նախորդ տարվա ցուցանիշը: Աճը հիմնականում պայմանավորված է «Կուտակային կենսաթոշակների մասին» ՀՀ օրենքում կատարված փոփոխություններով, որոնք ներկայացված են առանձին տեղեկանքով</w:t>
      </w:r>
      <w:r w:rsidRPr="001F63BA">
        <w:rPr>
          <w:rFonts w:ascii="GHEA Grapalat" w:hAnsi="GHEA Grapalat" w:cs="GHEA Grapalat"/>
          <w:sz w:val="22"/>
          <w:szCs w:val="22"/>
          <w:vertAlign w:val="superscript"/>
        </w:rPr>
        <w:t>5</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Բացի այդ, նախորդ տարվա համեմատ սոցիալական վճարի աճը պայմանավորված է նաև 2022 թվականին աշխատատեղերի թվի և միջին աշխատավարձերի աճով:</w:t>
      </w:r>
    </w:p>
    <w:p w:rsidR="001C411D" w:rsidRPr="001F63BA" w:rsidRDefault="001C411D" w:rsidP="002F7E29">
      <w:pPr>
        <w:tabs>
          <w:tab w:val="left" w:pos="0"/>
          <w:tab w:val="left" w:pos="900"/>
        </w:tabs>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2022 թվականի ընթացքում</w:t>
      </w:r>
      <w:r w:rsidRPr="001F63BA">
        <w:rPr>
          <w:rFonts w:ascii="GHEA Grapalat" w:hAnsi="GHEA Grapalat" w:cs="GHEA Grapalat"/>
          <w:iCs/>
          <w:sz w:val="22"/>
          <w:szCs w:val="22"/>
        </w:rPr>
        <w:t xml:space="preserve"> ՀՀ պետական բյուջե են մուտքագրվել ընդհանուր առմամբ </w:t>
      </w:r>
      <w:r w:rsidRPr="001F63BA">
        <w:rPr>
          <w:rFonts w:ascii="GHEA Grapalat" w:hAnsi="GHEA Grapalat" w:cs="GHEA Grapalat"/>
          <w:iCs/>
          <w:sz w:val="22"/>
          <w:szCs w:val="22"/>
          <w:lang w:val="en-US"/>
        </w:rPr>
        <w:t>56.7</w:t>
      </w:r>
      <w:r w:rsidRPr="001F63BA">
        <w:rPr>
          <w:rFonts w:ascii="Courier New" w:hAnsi="Courier New" w:cs="Courier New"/>
          <w:iCs/>
          <w:sz w:val="22"/>
          <w:szCs w:val="22"/>
        </w:rPr>
        <w:t> </w:t>
      </w:r>
      <w:r w:rsidRPr="001F63BA">
        <w:rPr>
          <w:rFonts w:ascii="GHEA Grapalat" w:hAnsi="GHEA Grapalat" w:cs="GHEA Grapalat"/>
          <w:iCs/>
          <w:sz w:val="22"/>
          <w:szCs w:val="22"/>
        </w:rPr>
        <w:t>մլրդ</w:t>
      </w:r>
      <w:r w:rsidRPr="001F63BA">
        <w:rPr>
          <w:rFonts w:ascii="Courier New" w:hAnsi="Courier New" w:cs="Courier New"/>
          <w:iCs/>
          <w:sz w:val="22"/>
          <w:szCs w:val="22"/>
        </w:rPr>
        <w:t> </w:t>
      </w:r>
      <w:r w:rsidRPr="001F63BA">
        <w:rPr>
          <w:rFonts w:ascii="GHEA Grapalat" w:hAnsi="GHEA Grapalat" w:cs="GHEA Grapalat"/>
          <w:iCs/>
          <w:sz w:val="22"/>
          <w:szCs w:val="22"/>
        </w:rPr>
        <w:t xml:space="preserve">դրամ այլ հարկեր՝ կազմելով պետական բյուջեի հարկային եկամուտների և պետական տուրքերի </w:t>
      </w:r>
      <w:r w:rsidRPr="001F63BA">
        <w:rPr>
          <w:rFonts w:ascii="GHEA Grapalat" w:hAnsi="GHEA Grapalat" w:cs="GHEA Grapalat"/>
          <w:iCs/>
          <w:sz w:val="22"/>
          <w:szCs w:val="22"/>
          <w:lang w:val="en-US"/>
        </w:rPr>
        <w:t>2.9</w:t>
      </w:r>
      <w:r w:rsidRPr="001F63BA">
        <w:rPr>
          <w:rFonts w:ascii="GHEA Grapalat" w:hAnsi="GHEA Grapalat" w:cs="GHEA Grapalat"/>
          <w:iCs/>
          <w:sz w:val="22"/>
          <w:szCs w:val="22"/>
        </w:rPr>
        <w:t xml:space="preserve">%-ը և </w:t>
      </w:r>
      <w:r w:rsidRPr="001F63BA">
        <w:rPr>
          <w:rFonts w:ascii="GHEA Grapalat" w:hAnsi="GHEA Grapalat" w:cs="GHEA Grapalat"/>
          <w:iCs/>
          <w:sz w:val="22"/>
          <w:szCs w:val="22"/>
          <w:lang w:val="en-US"/>
        </w:rPr>
        <w:t>20.1</w:t>
      </w:r>
      <w:r w:rsidRPr="001F63BA">
        <w:rPr>
          <w:rFonts w:ascii="GHEA Grapalat" w:hAnsi="GHEA Grapalat" w:cs="GHEA Grapalat"/>
          <w:iCs/>
          <w:sz w:val="22"/>
          <w:szCs w:val="22"/>
        </w:rPr>
        <w:t xml:space="preserve">%-ով գերազանցելով նախորդ տարվա փաստացի ցուցանիշը: Մասնավորապես՝ 37 մլրդ դրամ են կազմել «Հայաստանի Հանրապետության պաշտպանության ժամանակ զինծառայողների կյանքին կամ առողջությանը պատճառված վնասների հատուցման մասին» ՀՀ օրենքով սահմանված </w:t>
      </w:r>
      <w:r w:rsidRPr="001F63BA">
        <w:rPr>
          <w:rFonts w:ascii="GHEA Grapalat" w:hAnsi="GHEA Grapalat" w:cs="Sylfaen"/>
          <w:i/>
          <w:sz w:val="22"/>
          <w:szCs w:val="22"/>
        </w:rPr>
        <w:t>դրոշմանիշային վճարները:</w:t>
      </w:r>
      <w:r w:rsidRPr="001F63BA">
        <w:rPr>
          <w:rFonts w:ascii="GHEA Grapalat" w:hAnsi="GHEA Grapalat" w:cs="Calibri"/>
          <w:sz w:val="22"/>
          <w:szCs w:val="22"/>
        </w:rPr>
        <w:t xml:space="preserve"> Նախորդ տարվա համեմատ նշված մուտքերն աճել են </w:t>
      </w:r>
      <w:r w:rsidRPr="001F63BA">
        <w:rPr>
          <w:rFonts w:ascii="GHEA Grapalat" w:hAnsi="GHEA Grapalat" w:cs="GHEA Grapalat"/>
          <w:iCs/>
          <w:sz w:val="22"/>
          <w:szCs w:val="22"/>
          <w:lang w:val="en-US"/>
        </w:rPr>
        <w:t>20.4</w:t>
      </w:r>
      <w:r w:rsidRPr="001F63BA">
        <w:rPr>
          <w:rFonts w:ascii="GHEA Grapalat" w:hAnsi="GHEA Grapalat" w:cs="GHEA Grapalat"/>
          <w:iCs/>
          <w:sz w:val="22"/>
          <w:szCs w:val="22"/>
        </w:rPr>
        <w:t>%-ով</w:t>
      </w:r>
      <w:r w:rsidRPr="001F63BA">
        <w:rPr>
          <w:rFonts w:ascii="GHEA Grapalat" w:hAnsi="GHEA Grapalat" w:cs="Calibri"/>
          <w:sz w:val="22"/>
          <w:szCs w:val="22"/>
        </w:rPr>
        <w:t xml:space="preserve"> կամ </w:t>
      </w:r>
      <w:r w:rsidRPr="001F63BA">
        <w:rPr>
          <w:rFonts w:ascii="GHEA Grapalat" w:hAnsi="GHEA Grapalat" w:cs="GHEA Grapalat"/>
          <w:iCs/>
          <w:sz w:val="22"/>
          <w:szCs w:val="22"/>
          <w:lang w:val="en-US"/>
        </w:rPr>
        <w:t>6.3</w:t>
      </w:r>
      <w:r w:rsidRPr="001F63BA">
        <w:rPr>
          <w:rFonts w:ascii="GHEA Grapalat" w:hAnsi="GHEA Grapalat" w:cs="Calibri"/>
          <w:sz w:val="22"/>
          <w:szCs w:val="22"/>
        </w:rPr>
        <w:t xml:space="preserve"> </w:t>
      </w:r>
      <w:r w:rsidRPr="001F63BA">
        <w:rPr>
          <w:rFonts w:ascii="GHEA Grapalat" w:hAnsi="GHEA Grapalat" w:cs="GHEA Grapalat"/>
          <w:iCs/>
          <w:sz w:val="22"/>
          <w:szCs w:val="22"/>
        </w:rPr>
        <w:t>մլրդ</w:t>
      </w:r>
      <w:r w:rsidRPr="001F63BA">
        <w:rPr>
          <w:rFonts w:ascii="GHEA Grapalat" w:hAnsi="GHEA Grapalat" w:cs="Calibri"/>
          <w:sz w:val="22"/>
          <w:szCs w:val="22"/>
        </w:rPr>
        <w:t xml:space="preserve"> դրամով</w:t>
      </w:r>
      <w:r w:rsidRPr="001F63BA">
        <w:rPr>
          <w:rFonts w:ascii="GHEA Grapalat" w:hAnsi="GHEA Grapalat" w:cs="Calibri"/>
          <w:sz w:val="22"/>
          <w:szCs w:val="22"/>
          <w:lang w:val="en-US"/>
        </w:rPr>
        <w:t>, ինչը պայմանավորված է</w:t>
      </w:r>
      <w:r w:rsidRPr="001F63BA">
        <w:rPr>
          <w:rFonts w:ascii="GHEA Grapalat" w:hAnsi="GHEA Grapalat" w:cs="Calibri"/>
          <w:sz w:val="22"/>
          <w:szCs w:val="22"/>
        </w:rPr>
        <w:t xml:space="preserve"> </w:t>
      </w:r>
      <w:r w:rsidRPr="001F63BA">
        <w:rPr>
          <w:rFonts w:ascii="GHEA Grapalat" w:hAnsi="GHEA Grapalat" w:cs="GHEA Grapalat"/>
          <w:sz w:val="22"/>
          <w:szCs w:val="22"/>
          <w:lang w:val="en-US"/>
        </w:rPr>
        <w:t>2022 թվականին աշխատատեղերի թվի և միջին աշխատավարձերի աճով:</w:t>
      </w:r>
    </w:p>
    <w:p w:rsidR="001C411D" w:rsidRPr="001F63BA" w:rsidRDefault="001C411D" w:rsidP="002C3D05">
      <w:pPr>
        <w:tabs>
          <w:tab w:val="left" w:pos="0"/>
          <w:tab w:val="left" w:pos="900"/>
        </w:tabs>
        <w:spacing w:line="360" w:lineRule="auto"/>
        <w:ind w:firstLine="567"/>
        <w:jc w:val="both"/>
        <w:rPr>
          <w:rFonts w:ascii="GHEA Grapalat" w:hAnsi="GHEA Grapalat" w:cs="Sylfaen"/>
          <w:sz w:val="22"/>
          <w:szCs w:val="22"/>
        </w:rPr>
      </w:pPr>
      <w:r w:rsidRPr="001F63BA">
        <w:rPr>
          <w:rFonts w:ascii="GHEA Grapalat" w:hAnsi="GHEA Grapalat" w:cs="Sylfaen"/>
          <w:sz w:val="22"/>
          <w:szCs w:val="22"/>
        </w:rPr>
        <w:t>Հաշվետու տարում</w:t>
      </w:r>
      <w:r w:rsidRPr="001F63BA">
        <w:rPr>
          <w:rFonts w:ascii="GHEA Grapalat" w:hAnsi="GHEA Grapalat" w:cs="Calibri"/>
          <w:sz w:val="22"/>
          <w:szCs w:val="22"/>
        </w:rPr>
        <w:t xml:space="preserve"> </w:t>
      </w:r>
      <w:r w:rsidRPr="001F63BA">
        <w:rPr>
          <w:rFonts w:ascii="GHEA Grapalat" w:hAnsi="GHEA Grapalat" w:cs="Calibri"/>
          <w:sz w:val="22"/>
          <w:szCs w:val="22"/>
          <w:lang w:val="en-US"/>
        </w:rPr>
        <w:t>շուրջ 6.</w:t>
      </w:r>
      <w:r w:rsidRPr="001F63BA">
        <w:rPr>
          <w:rFonts w:ascii="GHEA Grapalat" w:hAnsi="GHEA Grapalat" w:cs="Calibri"/>
          <w:sz w:val="22"/>
          <w:szCs w:val="22"/>
        </w:rPr>
        <w:t>8</w:t>
      </w:r>
      <w:r w:rsidRPr="001F63BA">
        <w:rPr>
          <w:rFonts w:ascii="GHEA Grapalat" w:hAnsi="GHEA Grapalat" w:cs="Sylfaen"/>
          <w:sz w:val="22"/>
          <w:szCs w:val="22"/>
        </w:rPr>
        <w:t xml:space="preserve"> մլրդ դրամ են կազմել </w:t>
      </w:r>
      <w:r w:rsidRPr="001F63BA">
        <w:rPr>
          <w:rFonts w:ascii="GHEA Grapalat" w:hAnsi="GHEA Grapalat" w:cs="Sylfaen"/>
          <w:i/>
          <w:sz w:val="22"/>
          <w:szCs w:val="22"/>
        </w:rPr>
        <w:t>ռադիոհաճախականության օգտագործման պարտադիր վճարները`</w:t>
      </w:r>
      <w:r w:rsidRPr="001F63BA">
        <w:rPr>
          <w:rFonts w:ascii="GHEA Grapalat" w:hAnsi="GHEA Grapalat" w:cs="Sylfaen"/>
          <w:sz w:val="22"/>
          <w:szCs w:val="22"/>
        </w:rPr>
        <w:t xml:space="preserve"> նախորդ տարվա համեմատ նվազելով 15%</w:t>
      </w:r>
      <w:r w:rsidRPr="001F63BA">
        <w:rPr>
          <w:rFonts w:ascii="GHEA Grapalat" w:hAnsi="GHEA Grapalat" w:cs="Sylfaen"/>
          <w:sz w:val="22"/>
          <w:szCs w:val="22"/>
        </w:rPr>
        <w:noBreakHyphen/>
        <w:t xml:space="preserve">ով կամ 1.2 մլրդ դրամով, որը հիմնականում </w:t>
      </w:r>
      <w:r w:rsidRPr="001F63BA">
        <w:rPr>
          <w:rFonts w:ascii="GHEA Grapalat" w:hAnsi="GHEA Grapalat" w:cs="GHEA Grapalat"/>
          <w:iCs/>
          <w:sz w:val="22"/>
          <w:szCs w:val="22"/>
        </w:rPr>
        <w:t>պայմանավորված</w:t>
      </w:r>
      <w:r w:rsidRPr="001F63BA">
        <w:rPr>
          <w:rFonts w:ascii="GHEA Grapalat" w:hAnsi="GHEA Grapalat" w:cs="Sylfaen"/>
          <w:sz w:val="22"/>
          <w:szCs w:val="22"/>
        </w:rPr>
        <w:t xml:space="preserve"> է մեկ կազմակերպության կողմից 2022 թվականի 2-րդ եռամսյակի ռադիոհաճախականության օգտագործման պարտադիր վճարի մի մասը և 3-րդ եռամսյակի վճարը 2022 թվականին չվճարելու հանգամանքով:</w:t>
      </w:r>
    </w:p>
    <w:p w:rsidR="001C411D" w:rsidRPr="001F63BA" w:rsidRDefault="001C411D" w:rsidP="002C3D05">
      <w:pPr>
        <w:tabs>
          <w:tab w:val="left" w:pos="0"/>
          <w:tab w:val="left" w:pos="900"/>
        </w:tabs>
        <w:spacing w:line="360" w:lineRule="auto"/>
        <w:ind w:firstLine="567"/>
        <w:jc w:val="both"/>
        <w:rPr>
          <w:rFonts w:ascii="GHEA Grapalat" w:hAnsi="GHEA Grapalat" w:cs="Sylfaen"/>
          <w:sz w:val="22"/>
          <w:szCs w:val="22"/>
        </w:rPr>
      </w:pPr>
      <w:r w:rsidRPr="001F63BA">
        <w:rPr>
          <w:rFonts w:ascii="GHEA Grapalat" w:hAnsi="GHEA Grapalat" w:cs="Sylfaen"/>
          <w:sz w:val="22"/>
          <w:szCs w:val="22"/>
        </w:rPr>
        <w:t>Հաշվետու</w:t>
      </w:r>
      <w:r w:rsidRPr="001F63BA">
        <w:rPr>
          <w:rFonts w:ascii="GHEA Grapalat" w:hAnsi="GHEA Grapalat" w:cs="Calibri"/>
          <w:sz w:val="22"/>
          <w:szCs w:val="22"/>
        </w:rPr>
        <w:t xml:space="preserve"> տար</w:t>
      </w:r>
      <w:r w:rsidRPr="001F63BA">
        <w:rPr>
          <w:rFonts w:ascii="GHEA Grapalat" w:hAnsi="GHEA Grapalat" w:cs="Sylfaen"/>
          <w:sz w:val="22"/>
          <w:szCs w:val="22"/>
        </w:rPr>
        <w:t xml:space="preserve">ում </w:t>
      </w:r>
      <w:r w:rsidRPr="001F63BA">
        <w:rPr>
          <w:rFonts w:ascii="GHEA Grapalat" w:hAnsi="GHEA Grapalat" w:cs="GHEA Grapalat"/>
          <w:iCs/>
          <w:sz w:val="22"/>
          <w:szCs w:val="22"/>
          <w:lang w:val="en-US"/>
        </w:rPr>
        <w:t>4</w:t>
      </w:r>
      <w:r w:rsidRPr="001F63BA">
        <w:rPr>
          <w:rFonts w:ascii="GHEA Grapalat" w:hAnsi="GHEA Grapalat" w:cs="GHEA Grapalat"/>
          <w:iCs/>
          <w:sz w:val="22"/>
          <w:szCs w:val="22"/>
        </w:rPr>
        <w:t xml:space="preserve">.8 </w:t>
      </w:r>
      <w:r w:rsidRPr="001F63BA">
        <w:rPr>
          <w:rFonts w:ascii="GHEA Grapalat" w:hAnsi="GHEA Grapalat" w:cs="Sylfaen"/>
          <w:sz w:val="22"/>
          <w:szCs w:val="22"/>
        </w:rPr>
        <w:t xml:space="preserve">մլրդ դրամ են կազմել </w:t>
      </w:r>
      <w:r w:rsidRPr="001F63BA">
        <w:rPr>
          <w:rFonts w:ascii="GHEA Grapalat" w:hAnsi="GHEA Grapalat" w:cs="Sylfaen"/>
          <w:i/>
          <w:sz w:val="22"/>
          <w:szCs w:val="22"/>
        </w:rPr>
        <w:t>ճանապարհային հարկի</w:t>
      </w:r>
      <w:r w:rsidRPr="001F63BA">
        <w:rPr>
          <w:rFonts w:ascii="GHEA Grapalat" w:hAnsi="GHEA Grapalat" w:cs="Sylfaen"/>
          <w:sz w:val="22"/>
          <w:szCs w:val="22"/>
        </w:rPr>
        <w:t xml:space="preserve"> գծով մուտքերը, որոնք նախորդ տարվա համեմատ աճել են 26.2%</w:t>
      </w:r>
      <w:r w:rsidRPr="001F63BA">
        <w:rPr>
          <w:rFonts w:ascii="GHEA Grapalat" w:hAnsi="GHEA Grapalat" w:cs="Sylfaen"/>
          <w:sz w:val="22"/>
          <w:szCs w:val="22"/>
        </w:rPr>
        <w:noBreakHyphen/>
        <w:t xml:space="preserve">ով կամ 998.1 մլն դրամով՝ հիմնականում պայմանավորված </w:t>
      </w:r>
      <w:r w:rsidRPr="001F63BA">
        <w:rPr>
          <w:rFonts w:ascii="GHEA Grapalat" w:hAnsi="GHEA Grapalat" w:cs="GHEA Grapalat"/>
          <w:iCs/>
          <w:sz w:val="22"/>
          <w:szCs w:val="22"/>
        </w:rPr>
        <w:t>տնտեսական</w:t>
      </w:r>
      <w:r w:rsidRPr="001F63BA">
        <w:rPr>
          <w:rFonts w:ascii="GHEA Grapalat" w:hAnsi="GHEA Grapalat" w:cs="Sylfaen"/>
          <w:sz w:val="22"/>
          <w:szCs w:val="22"/>
        </w:rPr>
        <w:t xml:space="preserve"> ակտիվության աճով,</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որի հետևանքով ավելացել են 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օգտվող սուբյեկտների մուտքն ու ելքը, ինչպես նաև Հայաստանի Հանրապետության ընդհանուր օգտագործման պետական ավտոմոբիլային ճանապարհներին գովազդ տեղադրելու դեպքերը: </w:t>
      </w:r>
    </w:p>
    <w:p w:rsidR="001C411D" w:rsidRPr="001F63BA" w:rsidRDefault="001C411D" w:rsidP="002F7E29">
      <w:pPr>
        <w:tabs>
          <w:tab w:val="left" w:pos="851"/>
        </w:tabs>
        <w:spacing w:line="360" w:lineRule="auto"/>
        <w:ind w:firstLine="567"/>
        <w:jc w:val="both"/>
        <w:rPr>
          <w:rFonts w:ascii="GHEA Grapalat" w:hAnsi="GHEA Grapalat"/>
          <w:sz w:val="22"/>
          <w:szCs w:val="22"/>
        </w:rPr>
      </w:pPr>
      <w:r w:rsidRPr="001F63BA">
        <w:rPr>
          <w:rFonts w:ascii="GHEA Grapalat" w:hAnsi="GHEA Grapalat" w:cs="GHEA Grapalat"/>
          <w:iCs/>
          <w:sz w:val="22"/>
          <w:szCs w:val="22"/>
        </w:rPr>
        <w:t>202</w:t>
      </w:r>
      <w:r w:rsidRPr="001F63BA">
        <w:rPr>
          <w:rFonts w:ascii="GHEA Grapalat" w:hAnsi="GHEA Grapalat" w:cs="GHEA Grapalat"/>
          <w:iCs/>
          <w:sz w:val="22"/>
          <w:szCs w:val="22"/>
          <w:lang w:val="en-US"/>
        </w:rPr>
        <w:t>2</w:t>
      </w:r>
      <w:r w:rsidRPr="001F63BA">
        <w:rPr>
          <w:rFonts w:ascii="GHEA Grapalat" w:hAnsi="GHEA Grapalat" w:cs="GHEA Grapalat"/>
          <w:iCs/>
          <w:sz w:val="22"/>
          <w:szCs w:val="22"/>
        </w:rPr>
        <w:t xml:space="preserve"> թվականի ընթացքում </w:t>
      </w:r>
      <w:r w:rsidRPr="001F63BA">
        <w:rPr>
          <w:rFonts w:ascii="GHEA Grapalat" w:hAnsi="GHEA Grapalat" w:cs="GHEA Grapalat"/>
          <w:iCs/>
          <w:sz w:val="22"/>
          <w:szCs w:val="22"/>
          <w:lang w:val="en-US"/>
        </w:rPr>
        <w:t>3.1</w:t>
      </w:r>
      <w:r w:rsidRPr="001F63BA">
        <w:rPr>
          <w:rFonts w:ascii="GHEA Grapalat" w:hAnsi="GHEA Grapalat" w:cs="GHEA Grapalat"/>
          <w:iCs/>
          <w:sz w:val="22"/>
          <w:szCs w:val="22"/>
        </w:rPr>
        <w:t xml:space="preserve"> մլրդ դրամ</w:t>
      </w:r>
      <w:r w:rsidRPr="001F63BA">
        <w:rPr>
          <w:rFonts w:ascii="GHEA Grapalat" w:hAnsi="GHEA Grapalat" w:cs="GHEA Grapalat"/>
          <w:iCs/>
          <w:sz w:val="22"/>
          <w:szCs w:val="22"/>
          <w:lang w:val="af-ZA"/>
        </w:rPr>
        <w:t xml:space="preserve"> </w:t>
      </w:r>
      <w:r w:rsidRPr="001F63BA">
        <w:rPr>
          <w:rFonts w:ascii="GHEA Grapalat" w:hAnsi="GHEA Grapalat" w:cs="GHEA Grapalat"/>
          <w:iCs/>
          <w:sz w:val="22"/>
          <w:szCs w:val="22"/>
        </w:rPr>
        <w:t>են</w:t>
      </w:r>
      <w:r w:rsidRPr="001F63BA">
        <w:rPr>
          <w:rFonts w:ascii="GHEA Grapalat" w:hAnsi="GHEA Grapalat" w:cs="GHEA Grapalat"/>
          <w:iCs/>
          <w:sz w:val="22"/>
          <w:szCs w:val="22"/>
          <w:lang w:val="af-ZA"/>
        </w:rPr>
        <w:t xml:space="preserve"> </w:t>
      </w:r>
      <w:r w:rsidRPr="001F63BA">
        <w:rPr>
          <w:rFonts w:ascii="GHEA Grapalat" w:hAnsi="GHEA Grapalat" w:cs="GHEA Grapalat"/>
          <w:iCs/>
          <w:sz w:val="22"/>
          <w:szCs w:val="22"/>
        </w:rPr>
        <w:t xml:space="preserve">կազմել </w:t>
      </w:r>
      <w:r w:rsidRPr="001F63BA">
        <w:rPr>
          <w:rFonts w:ascii="GHEA Grapalat" w:hAnsi="GHEA Grapalat" w:cs="GHEA Grapalat"/>
          <w:i/>
          <w:iCs/>
          <w:sz w:val="22"/>
          <w:szCs w:val="22"/>
          <w:lang w:val="af-ZA"/>
        </w:rPr>
        <w:t>հ</w:t>
      </w:r>
      <w:r w:rsidRPr="001F63BA">
        <w:rPr>
          <w:rFonts w:ascii="GHEA Grapalat" w:hAnsi="GHEA Grapalat" w:cs="GHEA Grapalat"/>
          <w:i/>
          <w:iCs/>
          <w:sz w:val="22"/>
          <w:szCs w:val="22"/>
        </w:rPr>
        <w:t>արկային օրենսդրության խախտման համար սահմանված տուգանքները</w:t>
      </w:r>
      <w:r w:rsidRPr="001F63BA">
        <w:rPr>
          <w:rFonts w:ascii="GHEA Grapalat" w:hAnsi="GHEA Grapalat" w:cs="GHEA Grapalat"/>
          <w:iCs/>
          <w:sz w:val="22"/>
          <w:szCs w:val="22"/>
        </w:rPr>
        <w:t>՝</w:t>
      </w:r>
      <w:r w:rsidRPr="001F63BA">
        <w:rPr>
          <w:rFonts w:ascii="GHEA Grapalat" w:hAnsi="GHEA Grapalat" w:cs="GHEA Grapalat"/>
          <w:iCs/>
          <w:sz w:val="22"/>
          <w:szCs w:val="22"/>
          <w:lang w:val="af-ZA"/>
        </w:rPr>
        <w:t xml:space="preserve"> 20.8</w:t>
      </w:r>
      <w:r w:rsidRPr="001F63BA">
        <w:rPr>
          <w:rFonts w:ascii="GHEA Grapalat" w:hAnsi="GHEA Grapalat" w:cs="GHEA Grapalat"/>
          <w:iCs/>
          <w:sz w:val="22"/>
          <w:szCs w:val="22"/>
        </w:rPr>
        <w:t>%-ով կամ</w:t>
      </w:r>
      <w:r w:rsidRPr="001F63BA">
        <w:rPr>
          <w:rFonts w:ascii="GHEA Grapalat" w:hAnsi="GHEA Grapalat" w:cs="GHEA Grapalat"/>
          <w:iCs/>
          <w:sz w:val="22"/>
          <w:szCs w:val="22"/>
          <w:lang w:val="af-ZA"/>
        </w:rPr>
        <w:t xml:space="preserve"> 525</w:t>
      </w:r>
      <w:r w:rsidRPr="001F63BA">
        <w:rPr>
          <w:rFonts w:ascii="GHEA Grapalat" w:hAnsi="GHEA Grapalat" w:cs="GHEA Grapalat"/>
          <w:iCs/>
          <w:sz w:val="22"/>
          <w:szCs w:val="22"/>
        </w:rPr>
        <w:t xml:space="preserve"> մլն դրամով</w:t>
      </w:r>
      <w:r w:rsidRPr="001F63BA">
        <w:rPr>
          <w:rFonts w:ascii="GHEA Grapalat" w:hAnsi="GHEA Grapalat" w:cs="GHEA Grapalat"/>
          <w:iCs/>
          <w:sz w:val="22"/>
          <w:szCs w:val="22"/>
          <w:lang w:val="af-ZA"/>
        </w:rPr>
        <w:t xml:space="preserve"> գերա</w:t>
      </w:r>
      <w:r w:rsidRPr="001F63BA">
        <w:rPr>
          <w:rFonts w:ascii="GHEA Grapalat" w:hAnsi="GHEA Grapalat" w:cs="GHEA Grapalat"/>
          <w:iCs/>
          <w:sz w:val="22"/>
          <w:szCs w:val="22"/>
        </w:rPr>
        <w:t>զ</w:t>
      </w:r>
      <w:r w:rsidRPr="001F63BA">
        <w:rPr>
          <w:rFonts w:ascii="GHEA Grapalat" w:hAnsi="GHEA Grapalat" w:cs="GHEA Grapalat"/>
          <w:iCs/>
          <w:sz w:val="22"/>
          <w:szCs w:val="22"/>
          <w:lang w:val="en-US"/>
        </w:rPr>
        <w:t>անց</w:t>
      </w:r>
      <w:r w:rsidRPr="001F63BA">
        <w:rPr>
          <w:rFonts w:ascii="GHEA Grapalat" w:hAnsi="GHEA Grapalat" w:cs="GHEA Grapalat"/>
          <w:iCs/>
          <w:sz w:val="22"/>
          <w:szCs w:val="22"/>
        </w:rPr>
        <w:t>ելով</w:t>
      </w:r>
      <w:r w:rsidRPr="001F63BA">
        <w:rPr>
          <w:rFonts w:ascii="GHEA Grapalat" w:hAnsi="GHEA Grapalat" w:cs="GHEA Grapalat"/>
          <w:iCs/>
          <w:sz w:val="22"/>
          <w:szCs w:val="22"/>
          <w:lang w:val="af-ZA"/>
        </w:rPr>
        <w:t xml:space="preserve"> </w:t>
      </w:r>
      <w:r w:rsidRPr="001F63BA">
        <w:rPr>
          <w:rFonts w:ascii="GHEA Grapalat" w:hAnsi="GHEA Grapalat" w:cs="GHEA Grapalat"/>
          <w:iCs/>
          <w:sz w:val="22"/>
          <w:szCs w:val="22"/>
        </w:rPr>
        <w:t>նախորդ</w:t>
      </w:r>
      <w:r w:rsidRPr="001F63BA">
        <w:rPr>
          <w:rFonts w:ascii="GHEA Grapalat" w:hAnsi="GHEA Grapalat" w:cs="GHEA Grapalat"/>
          <w:iCs/>
          <w:sz w:val="22"/>
          <w:szCs w:val="22"/>
          <w:lang w:val="af-ZA"/>
        </w:rPr>
        <w:t xml:space="preserve"> </w:t>
      </w:r>
      <w:r w:rsidRPr="001F63BA">
        <w:rPr>
          <w:rFonts w:ascii="GHEA Grapalat" w:hAnsi="GHEA Grapalat" w:cs="GHEA Grapalat"/>
          <w:iCs/>
          <w:sz w:val="22"/>
          <w:szCs w:val="22"/>
        </w:rPr>
        <w:t>տարվա</w:t>
      </w:r>
      <w:r w:rsidRPr="001F63BA">
        <w:rPr>
          <w:rFonts w:ascii="GHEA Grapalat" w:hAnsi="GHEA Grapalat" w:cs="GHEA Grapalat"/>
          <w:iCs/>
          <w:sz w:val="22"/>
          <w:szCs w:val="22"/>
          <w:lang w:val="af-ZA"/>
        </w:rPr>
        <w:t xml:space="preserve"> </w:t>
      </w:r>
      <w:r w:rsidRPr="001F63BA">
        <w:rPr>
          <w:rFonts w:ascii="GHEA Grapalat" w:hAnsi="GHEA Grapalat" w:cs="GHEA Grapalat"/>
          <w:iCs/>
          <w:sz w:val="22"/>
          <w:szCs w:val="22"/>
        </w:rPr>
        <w:t>փաստացի</w:t>
      </w:r>
      <w:r w:rsidRPr="001F63BA">
        <w:rPr>
          <w:rFonts w:ascii="GHEA Grapalat" w:hAnsi="GHEA Grapalat" w:cs="GHEA Grapalat"/>
          <w:iCs/>
          <w:sz w:val="22"/>
          <w:szCs w:val="22"/>
          <w:lang w:val="af-ZA"/>
        </w:rPr>
        <w:t xml:space="preserve"> </w:t>
      </w:r>
      <w:r w:rsidRPr="001F63BA">
        <w:rPr>
          <w:rFonts w:ascii="GHEA Grapalat" w:hAnsi="GHEA Grapalat" w:cs="GHEA Grapalat"/>
          <w:iCs/>
          <w:sz w:val="22"/>
          <w:szCs w:val="22"/>
        </w:rPr>
        <w:t>ցուցանիշը</w:t>
      </w:r>
      <w:r w:rsidRPr="001F63BA">
        <w:rPr>
          <w:rFonts w:ascii="GHEA Grapalat" w:hAnsi="GHEA Grapalat" w:cs="GHEA Grapalat"/>
          <w:iCs/>
          <w:sz w:val="22"/>
          <w:szCs w:val="22"/>
          <w:lang w:val="af-ZA"/>
        </w:rPr>
        <w:t>:</w:t>
      </w:r>
    </w:p>
    <w:p w:rsidR="001C411D" w:rsidRPr="001F63BA" w:rsidRDefault="001C411D" w:rsidP="002C3D05">
      <w:pPr>
        <w:tabs>
          <w:tab w:val="left" w:pos="0"/>
          <w:tab w:val="left" w:pos="900"/>
        </w:tabs>
        <w:spacing w:line="360" w:lineRule="auto"/>
        <w:ind w:firstLine="567"/>
        <w:jc w:val="both"/>
        <w:rPr>
          <w:rFonts w:ascii="GHEA Grapalat" w:hAnsi="GHEA Grapalat" w:cs="Sylfaen"/>
          <w:sz w:val="22"/>
          <w:szCs w:val="22"/>
        </w:rPr>
      </w:pPr>
      <w:r w:rsidRPr="001F63BA">
        <w:rPr>
          <w:rFonts w:ascii="GHEA Grapalat" w:hAnsi="GHEA Grapalat" w:cs="Sylfaen"/>
          <w:sz w:val="22"/>
          <w:szCs w:val="22"/>
        </w:rPr>
        <w:t>Հաշվետու</w:t>
      </w:r>
      <w:r w:rsidRPr="001F63BA">
        <w:rPr>
          <w:rFonts w:ascii="GHEA Grapalat" w:hAnsi="GHEA Grapalat" w:cs="Calibri"/>
          <w:sz w:val="22"/>
          <w:szCs w:val="22"/>
        </w:rPr>
        <w:t xml:space="preserve"> տար</w:t>
      </w:r>
      <w:r w:rsidRPr="001F63BA">
        <w:rPr>
          <w:rFonts w:ascii="GHEA Grapalat" w:hAnsi="GHEA Grapalat" w:cs="Sylfaen"/>
          <w:sz w:val="22"/>
          <w:szCs w:val="22"/>
        </w:rPr>
        <w:t xml:space="preserve">ում </w:t>
      </w:r>
      <w:r w:rsidRPr="001F63BA">
        <w:rPr>
          <w:rFonts w:ascii="GHEA Grapalat" w:hAnsi="GHEA Grapalat" w:cs="GHEA Grapalat"/>
          <w:iCs/>
          <w:sz w:val="22"/>
          <w:szCs w:val="22"/>
          <w:lang w:val="en-US"/>
        </w:rPr>
        <w:t>3.8</w:t>
      </w:r>
      <w:r w:rsidRPr="001F63BA">
        <w:rPr>
          <w:rFonts w:ascii="GHEA Grapalat" w:hAnsi="GHEA Grapalat" w:cs="GHEA Grapalat"/>
          <w:iCs/>
          <w:sz w:val="22"/>
          <w:szCs w:val="22"/>
        </w:rPr>
        <w:t xml:space="preserve"> մլրդ դրամ է կազմել Ե</w:t>
      </w:r>
      <w:r w:rsidRPr="001F63BA">
        <w:rPr>
          <w:rFonts w:ascii="GHEA Grapalat" w:hAnsi="GHEA Grapalat" w:cs="GHEA Grapalat"/>
          <w:iCs/>
          <w:sz w:val="22"/>
          <w:szCs w:val="22"/>
          <w:lang w:val="en-US"/>
        </w:rPr>
        <w:t>Ա</w:t>
      </w:r>
      <w:r w:rsidRPr="001F63BA">
        <w:rPr>
          <w:rFonts w:ascii="GHEA Grapalat" w:hAnsi="GHEA Grapalat" w:cs="GHEA Grapalat"/>
          <w:iCs/>
          <w:sz w:val="22"/>
          <w:szCs w:val="22"/>
        </w:rPr>
        <w:t>ՏՄ անդամ չհանդիսացող պետություններից ՀՀ տարածք ներմուծվող ապրանքների համար ՀՀ մաքսային մարմինների կողմից գանձվող</w:t>
      </w:r>
      <w:r w:rsidRPr="001F63BA">
        <w:rPr>
          <w:rFonts w:ascii="GHEA Grapalat" w:hAnsi="GHEA Grapalat" w:cs="GHEA Grapalat"/>
          <w:i/>
          <w:iCs/>
          <w:sz w:val="22"/>
          <w:szCs w:val="22"/>
        </w:rPr>
        <w:t xml:space="preserve"> միասնական մաքսային վճարը,</w:t>
      </w:r>
      <w:r w:rsidRPr="001F63BA">
        <w:rPr>
          <w:rFonts w:ascii="GHEA Grapalat" w:hAnsi="GHEA Grapalat" w:cs="Sylfaen"/>
          <w:sz w:val="22"/>
          <w:szCs w:val="22"/>
        </w:rPr>
        <w:t xml:space="preserve"> որը </w:t>
      </w:r>
      <w:r w:rsidRPr="001F63BA">
        <w:rPr>
          <w:rFonts w:ascii="GHEA Grapalat" w:hAnsi="GHEA Grapalat" w:cs="Sylfaen"/>
          <w:sz w:val="22"/>
          <w:szCs w:val="22"/>
          <w:lang w:val="en-US"/>
        </w:rPr>
        <w:t>3.1 անգամ</w:t>
      </w:r>
      <w:r w:rsidRPr="001F63BA">
        <w:rPr>
          <w:rFonts w:ascii="GHEA Grapalat" w:hAnsi="GHEA Grapalat" w:cs="Sylfaen"/>
          <w:sz w:val="22"/>
          <w:szCs w:val="22"/>
        </w:rPr>
        <w:t xml:space="preserve"> կամ 2</w:t>
      </w:r>
      <w:r w:rsidRPr="001F63BA">
        <w:rPr>
          <w:rFonts w:ascii="GHEA Grapalat" w:hAnsi="GHEA Grapalat" w:cs="Sylfaen"/>
          <w:sz w:val="22"/>
          <w:szCs w:val="22"/>
          <w:lang w:val="en-US"/>
        </w:rPr>
        <w:t xml:space="preserve">.6 </w:t>
      </w:r>
      <w:r w:rsidRPr="001F63BA">
        <w:rPr>
          <w:rFonts w:ascii="GHEA Grapalat" w:hAnsi="GHEA Grapalat" w:cs="Sylfaen"/>
          <w:sz w:val="22"/>
          <w:szCs w:val="22"/>
        </w:rPr>
        <w:t>մլ</w:t>
      </w:r>
      <w:r w:rsidRPr="001F63BA">
        <w:rPr>
          <w:rFonts w:ascii="GHEA Grapalat" w:hAnsi="GHEA Grapalat" w:cs="Sylfaen"/>
          <w:sz w:val="22"/>
          <w:szCs w:val="22"/>
          <w:lang w:val="en-US"/>
        </w:rPr>
        <w:t>րդ</w:t>
      </w:r>
      <w:r w:rsidRPr="001F63BA">
        <w:rPr>
          <w:rFonts w:ascii="GHEA Grapalat" w:hAnsi="GHEA Grapalat" w:cs="Sylfaen"/>
          <w:sz w:val="22"/>
          <w:szCs w:val="22"/>
        </w:rPr>
        <w:t xml:space="preserve"> դրամով գերազանցել է նախորդ տարվա ցուցանիշը՝ հիմնականում պայմանավորված ՀՀ տարածք ներմուծվող փոստածրարների քանակի աճով:</w:t>
      </w:r>
    </w:p>
    <w:p w:rsidR="001C411D" w:rsidRPr="001F63BA" w:rsidRDefault="001C411D" w:rsidP="002C3D05">
      <w:pPr>
        <w:tabs>
          <w:tab w:val="left" w:pos="0"/>
          <w:tab w:val="left" w:pos="900"/>
        </w:tabs>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lastRenderedPageBreak/>
        <w:t>Հաշվետու</w:t>
      </w:r>
      <w:r w:rsidRPr="001F63BA">
        <w:rPr>
          <w:rFonts w:ascii="GHEA Grapalat" w:hAnsi="GHEA Grapalat" w:cs="Calibri"/>
          <w:sz w:val="22"/>
          <w:szCs w:val="22"/>
        </w:rPr>
        <w:t xml:space="preserve"> տար</w:t>
      </w:r>
      <w:r w:rsidRPr="001F63BA">
        <w:rPr>
          <w:rFonts w:ascii="GHEA Grapalat" w:hAnsi="GHEA Grapalat" w:cs="Sylfaen"/>
          <w:sz w:val="22"/>
          <w:szCs w:val="22"/>
        </w:rPr>
        <w:t xml:space="preserve">ում </w:t>
      </w:r>
      <w:r w:rsidRPr="001F63BA">
        <w:rPr>
          <w:rFonts w:ascii="GHEA Grapalat" w:hAnsi="GHEA Grapalat" w:cs="GHEA Grapalat"/>
          <w:iCs/>
          <w:sz w:val="22"/>
          <w:szCs w:val="22"/>
        </w:rPr>
        <w:t>992</w:t>
      </w:r>
      <w:r w:rsidRPr="001F63BA">
        <w:rPr>
          <w:rFonts w:ascii="GHEA Grapalat" w:hAnsi="GHEA Grapalat" w:cs="GHEA Grapalat"/>
          <w:iCs/>
          <w:sz w:val="22"/>
          <w:szCs w:val="22"/>
          <w:lang w:val="en-US"/>
        </w:rPr>
        <w:t>.1</w:t>
      </w:r>
      <w:r w:rsidRPr="001F63BA">
        <w:rPr>
          <w:rFonts w:ascii="GHEA Grapalat" w:hAnsi="GHEA Grapalat" w:cs="GHEA Grapalat"/>
          <w:iCs/>
          <w:sz w:val="22"/>
          <w:szCs w:val="22"/>
        </w:rPr>
        <w:t xml:space="preserve"> մլն դրամ է մուտքագրվել </w:t>
      </w:r>
      <w:r w:rsidRPr="001F63BA">
        <w:rPr>
          <w:rFonts w:ascii="GHEA Grapalat" w:hAnsi="GHEA Grapalat" w:cs="GHEA Grapalat"/>
          <w:i/>
          <w:iCs/>
          <w:sz w:val="22"/>
          <w:szCs w:val="22"/>
        </w:rPr>
        <w:t>հանրային ծառայությունների կարգավորման պարտադիր վճարների</w:t>
      </w:r>
      <w:r w:rsidRPr="001F63BA">
        <w:rPr>
          <w:rFonts w:ascii="GHEA Grapalat" w:hAnsi="GHEA Grapalat" w:cs="Calibri"/>
          <w:sz w:val="22"/>
          <w:szCs w:val="22"/>
        </w:rPr>
        <w:t xml:space="preserve"> </w:t>
      </w:r>
      <w:r w:rsidRPr="001F63BA">
        <w:rPr>
          <w:rFonts w:ascii="GHEA Grapalat" w:hAnsi="GHEA Grapalat" w:cs="Sylfaen"/>
          <w:sz w:val="22"/>
          <w:szCs w:val="22"/>
        </w:rPr>
        <w:t>գծով՝ 1</w:t>
      </w:r>
      <w:r w:rsidRPr="001F63BA">
        <w:rPr>
          <w:rFonts w:ascii="GHEA Grapalat" w:hAnsi="GHEA Grapalat" w:cs="Sylfaen"/>
          <w:sz w:val="22"/>
          <w:szCs w:val="22"/>
          <w:lang w:val="en-US"/>
        </w:rPr>
        <w:t>6</w:t>
      </w:r>
      <w:r w:rsidRPr="001F63BA">
        <w:rPr>
          <w:rFonts w:ascii="GHEA Grapalat" w:hAnsi="GHEA Grapalat" w:cs="Sylfaen"/>
          <w:sz w:val="22"/>
          <w:szCs w:val="22"/>
        </w:rPr>
        <w:t>.</w:t>
      </w:r>
      <w:r w:rsidRPr="001F63BA">
        <w:rPr>
          <w:rFonts w:ascii="GHEA Grapalat" w:hAnsi="GHEA Grapalat" w:cs="Sylfaen"/>
          <w:sz w:val="22"/>
          <w:szCs w:val="22"/>
          <w:lang w:val="en-US"/>
        </w:rPr>
        <w:t>4</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139.5</w:t>
      </w:r>
      <w:r w:rsidRPr="001F63BA">
        <w:rPr>
          <w:rFonts w:ascii="GHEA Grapalat" w:hAnsi="GHEA Grapalat" w:cs="Sylfaen"/>
          <w:sz w:val="22"/>
          <w:szCs w:val="22"/>
        </w:rPr>
        <w:t xml:space="preserve"> մլն դրամով գերազանցելով նախորդ տարվա ցուցանիշը</w:t>
      </w:r>
      <w:r w:rsidRPr="001F63BA">
        <w:rPr>
          <w:rFonts w:ascii="GHEA Grapalat" w:hAnsi="GHEA Grapalat" w:cs="Sylfaen"/>
          <w:sz w:val="22"/>
          <w:szCs w:val="22"/>
          <w:lang w:val="en-US"/>
        </w:rPr>
        <w:t>:</w:t>
      </w:r>
    </w:p>
    <w:p w:rsidR="001C411D" w:rsidRPr="001F63BA" w:rsidRDefault="001C411D" w:rsidP="002C3D05">
      <w:pPr>
        <w:tabs>
          <w:tab w:val="left" w:pos="0"/>
          <w:tab w:val="left" w:pos="900"/>
        </w:tabs>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ընթացքում ՀՀ պետական բյուջե են մուտքագրվել </w:t>
      </w:r>
      <w:r w:rsidRPr="001F63BA">
        <w:rPr>
          <w:rFonts w:ascii="GHEA Grapalat" w:hAnsi="GHEA Grapalat" w:cs="GHEA Grapalat"/>
          <w:sz w:val="22"/>
          <w:szCs w:val="22"/>
          <w:lang w:val="en-US"/>
        </w:rPr>
        <w:t>106.8</w:t>
      </w:r>
      <w:r w:rsidRPr="001F63BA">
        <w:rPr>
          <w:rFonts w:ascii="GHEA Grapalat" w:hAnsi="GHEA Grapalat" w:cs="GHEA Grapalat"/>
          <w:sz w:val="22"/>
          <w:szCs w:val="22"/>
        </w:rPr>
        <w:t xml:space="preserve"> մլրդ դրամ </w:t>
      </w:r>
      <w:r w:rsidRPr="001F63BA">
        <w:rPr>
          <w:rFonts w:ascii="GHEA Grapalat" w:hAnsi="GHEA Grapalat" w:cs="GHEA Grapalat"/>
          <w:i/>
          <w:sz w:val="22"/>
          <w:szCs w:val="22"/>
        </w:rPr>
        <w:t>պետական տուրքեր`</w:t>
      </w:r>
      <w:r w:rsidRPr="001F63BA">
        <w:rPr>
          <w:rFonts w:ascii="GHEA Grapalat" w:hAnsi="GHEA Grapalat" w:cs="GHEA Grapalat"/>
          <w:sz w:val="22"/>
          <w:szCs w:val="22"/>
        </w:rPr>
        <w:t xml:space="preserve"> կազմելով տարեկան ճշտված ծրագրի </w:t>
      </w:r>
      <w:r w:rsidRPr="001F63BA">
        <w:rPr>
          <w:rFonts w:ascii="GHEA Grapalat" w:hAnsi="GHEA Grapalat" w:cs="GHEA Grapalat"/>
          <w:sz w:val="22"/>
          <w:szCs w:val="22"/>
          <w:lang w:val="en-US"/>
        </w:rPr>
        <w:t>111.1</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ը: </w:t>
      </w:r>
      <w:r w:rsidRPr="001F63BA">
        <w:rPr>
          <w:rFonts w:ascii="GHEA Grapalat" w:hAnsi="GHEA Grapalat" w:cs="GHEA Grapalat"/>
          <w:sz w:val="22"/>
          <w:szCs w:val="22"/>
          <w:lang w:val="en-US"/>
        </w:rPr>
        <w:t>Ծրագրի գերազանցումը</w:t>
      </w:r>
      <w:r w:rsidRPr="001F63BA">
        <w:rPr>
          <w:rFonts w:ascii="GHEA Grapalat" w:hAnsi="GHEA Grapalat" w:cs="GHEA Grapalat"/>
          <w:sz w:val="22"/>
          <w:szCs w:val="22"/>
        </w:rPr>
        <w:t xml:space="preserve"> հիմնականում պայմանավորված է օրենքով սահմանված այլ ծառայությունների և գործողությունների ու </w:t>
      </w:r>
      <w:r w:rsidRPr="001F63BA">
        <w:rPr>
          <w:rFonts w:ascii="GHEA Grapalat" w:hAnsi="GHEA Grapalat" w:cs="GHEA Grapalat"/>
          <w:sz w:val="22"/>
          <w:szCs w:val="22"/>
          <w:lang w:val="en-US"/>
        </w:rPr>
        <w:t xml:space="preserve">լիցենզավորման ենթակա կամ թույլտվություններով գործունեություն իրականացնելու նպատակով լիցենզիաներ, արտոնագրեր (թույլտվություններ) տալու համար </w:t>
      </w:r>
      <w:r w:rsidRPr="001F63BA">
        <w:rPr>
          <w:rFonts w:ascii="GHEA Grapalat" w:hAnsi="GHEA Grapalat" w:cs="GHEA Grapalat"/>
          <w:sz w:val="22"/>
          <w:szCs w:val="22"/>
        </w:rPr>
        <w:t>սահմանված պետական տուրքերի կատարողականով:</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Նախորդ տարվա</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 xml:space="preserve">համեմատ պետական տուրքի գծով մուտքերի </w:t>
      </w:r>
      <w:r w:rsidRPr="001F63BA">
        <w:rPr>
          <w:rFonts w:ascii="GHEA Grapalat" w:hAnsi="GHEA Grapalat" w:cs="GHEA Grapalat"/>
          <w:sz w:val="22"/>
          <w:szCs w:val="22"/>
          <w:lang w:val="en-US"/>
        </w:rPr>
        <w:t>59.7% (39.9</w:t>
      </w:r>
      <w:r w:rsidRPr="001F63BA">
        <w:rPr>
          <w:rFonts w:ascii="Courier New" w:hAnsi="Courier New" w:cs="Courier New"/>
          <w:sz w:val="22"/>
          <w:szCs w:val="22"/>
          <w:lang w:val="en-US"/>
        </w:rPr>
        <w:t> </w:t>
      </w:r>
      <w:r w:rsidRPr="001F63BA">
        <w:rPr>
          <w:rFonts w:ascii="GHEA Grapalat" w:hAnsi="GHEA Grapalat" w:cs="GHEA Grapalat"/>
          <w:sz w:val="22"/>
          <w:szCs w:val="22"/>
          <w:lang w:val="en-US"/>
        </w:rPr>
        <w:t xml:space="preserve">մլրդ դրամ) </w:t>
      </w:r>
      <w:r w:rsidRPr="001F63BA">
        <w:rPr>
          <w:rFonts w:ascii="GHEA Grapalat" w:hAnsi="GHEA Grapalat" w:cs="GHEA Grapalat"/>
          <w:sz w:val="22"/>
          <w:szCs w:val="22"/>
        </w:rPr>
        <w:t xml:space="preserve">աճը հիմնականում պայմանավորված է լիցենզավորման ենթակա </w:t>
      </w:r>
      <w:r w:rsidRPr="001F63BA">
        <w:rPr>
          <w:rFonts w:ascii="GHEA Grapalat" w:hAnsi="GHEA Grapalat" w:cs="GHEA Grapalat"/>
          <w:sz w:val="22"/>
          <w:szCs w:val="22"/>
          <w:lang w:val="en-US"/>
        </w:rPr>
        <w:t xml:space="preserve">կամ թույլտվություններով </w:t>
      </w:r>
      <w:r w:rsidRPr="001F63BA">
        <w:rPr>
          <w:rFonts w:ascii="GHEA Grapalat" w:hAnsi="GHEA Grapalat" w:cs="GHEA Grapalat"/>
          <w:sz w:val="22"/>
          <w:szCs w:val="22"/>
        </w:rPr>
        <w:t>գործունեություն իրականացնելու նպատակով լիցենզիաներ, արտոնագրեր (թույլտվություններ) տալու համար գանձվող տուրքերի աճով:</w:t>
      </w: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Առանձին պետական տուրքերի վերաբերյալ տեղեկատվությունը ներկայացված է Աղյուսակ </w:t>
      </w:r>
      <w:r w:rsidRPr="001F63BA">
        <w:rPr>
          <w:rFonts w:ascii="GHEA Grapalat" w:hAnsi="GHEA Grapalat" w:cs="GHEA Grapalat"/>
          <w:sz w:val="22"/>
          <w:szCs w:val="22"/>
          <w:lang w:val="en-US"/>
        </w:rPr>
        <w:t>13</w:t>
      </w:r>
      <w:r w:rsidRPr="001F63BA">
        <w:rPr>
          <w:rFonts w:ascii="GHEA Grapalat" w:hAnsi="GHEA Grapalat" w:cs="GHEA Grapalat"/>
          <w:sz w:val="22"/>
          <w:szCs w:val="22"/>
        </w:rPr>
        <w:noBreakHyphen/>
        <w:t>ում:</w:t>
      </w:r>
    </w:p>
    <w:p w:rsidR="001C411D" w:rsidRPr="001F63BA" w:rsidRDefault="001C411D" w:rsidP="002F7E29">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Պետական տուրքերի գծով ՀՀ պետական բյուջեի մուտքերը (մլրդ դրամ)</w:t>
      </w:r>
    </w:p>
    <w:tbl>
      <w:tblPr>
        <w:tblW w:w="10314" w:type="dxa"/>
        <w:tblLayout w:type="fixed"/>
        <w:tblLook w:val="00A0" w:firstRow="1" w:lastRow="0" w:firstColumn="1" w:lastColumn="0" w:noHBand="0" w:noVBand="0"/>
      </w:tblPr>
      <w:tblGrid>
        <w:gridCol w:w="4644"/>
        <w:gridCol w:w="993"/>
        <w:gridCol w:w="1134"/>
        <w:gridCol w:w="992"/>
        <w:gridCol w:w="1276"/>
        <w:gridCol w:w="1275"/>
      </w:tblGrid>
      <w:tr w:rsidR="001C411D" w:rsidRPr="001F63BA" w:rsidTr="002F7E29">
        <w:trPr>
          <w:trHeight w:val="1320"/>
        </w:trPr>
        <w:tc>
          <w:tcPr>
            <w:tcW w:w="4644"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2F7E29">
            <w:pPr>
              <w:rPr>
                <w:rFonts w:ascii="GHEA Grapalat" w:hAnsi="GHEA Grapalat" w:cs="Calibri"/>
                <w:sz w:val="18"/>
                <w:szCs w:val="18"/>
              </w:rPr>
            </w:pPr>
            <w:r w:rsidRPr="001F63BA">
              <w:rPr>
                <w:rFonts w:ascii="Courier New" w:hAnsi="Courier New" w:cs="Courier New"/>
                <w:sz w:val="18"/>
                <w:szCs w:val="18"/>
              </w:rPr>
              <w:t> </w:t>
            </w:r>
          </w:p>
        </w:tc>
        <w:tc>
          <w:tcPr>
            <w:tcW w:w="993"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ru-RU"/>
              </w:rPr>
              <w:t>1</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134"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ru-RU"/>
              </w:rPr>
              <w:t>2</w:t>
            </w:r>
            <w:r w:rsidRPr="001F63BA">
              <w:rPr>
                <w:rFonts w:ascii="GHEA Grapalat" w:hAnsi="GHEA Grapalat" w:cs="Calibri"/>
                <w:b/>
                <w:bCs/>
                <w:sz w:val="18"/>
                <w:szCs w:val="18"/>
              </w:rPr>
              <w:t>թ. ճշտված պլան</w:t>
            </w:r>
          </w:p>
        </w:tc>
        <w:tc>
          <w:tcPr>
            <w:tcW w:w="992"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ru-RU"/>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75" w:type="dxa"/>
            <w:tcBorders>
              <w:top w:val="single" w:sz="4" w:space="0" w:color="auto"/>
              <w:left w:val="nil"/>
              <w:bottom w:val="single" w:sz="4" w:space="0" w:color="auto"/>
              <w:right w:val="single" w:sz="4" w:space="0" w:color="auto"/>
            </w:tcBorders>
            <w:shd w:val="clear" w:color="000000" w:fill="FFFFFF"/>
          </w:tcPr>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ru-RU"/>
              </w:rPr>
              <w:t>2</w:t>
            </w:r>
            <w:r w:rsidRPr="001F63BA">
              <w:rPr>
                <w:rFonts w:ascii="GHEA Grapalat" w:hAnsi="GHEA Grapalat" w:cs="Calibri"/>
                <w:b/>
                <w:bCs/>
                <w:sz w:val="18"/>
                <w:szCs w:val="18"/>
              </w:rPr>
              <w:t>թ. 202</w:t>
            </w:r>
            <w:r w:rsidRPr="001F63BA">
              <w:rPr>
                <w:rFonts w:ascii="GHEA Grapalat" w:hAnsi="GHEA Grapalat" w:cs="Calibri"/>
                <w:b/>
                <w:bCs/>
                <w:sz w:val="18"/>
                <w:szCs w:val="18"/>
                <w:lang w:val="ru-RU"/>
              </w:rPr>
              <w:t>1</w:t>
            </w:r>
            <w:r w:rsidRPr="001F63BA">
              <w:rPr>
                <w:rFonts w:ascii="GHEA Grapalat" w:hAnsi="GHEA Grapalat" w:cs="Calibri"/>
                <w:b/>
                <w:bCs/>
                <w:sz w:val="18"/>
                <w:szCs w:val="18"/>
              </w:rPr>
              <w:t>թ. նկատմամբ</w:t>
            </w:r>
          </w:p>
          <w:p w:rsidR="001C411D" w:rsidRPr="001F63BA" w:rsidRDefault="001C411D" w:rsidP="002F7E29">
            <w:pPr>
              <w:jc w:val="center"/>
              <w:rPr>
                <w:rFonts w:ascii="GHEA Grapalat" w:hAnsi="GHEA Grapalat" w:cs="Calibri"/>
                <w:b/>
                <w:bCs/>
                <w:sz w:val="18"/>
                <w:szCs w:val="18"/>
              </w:rPr>
            </w:pPr>
            <w:r w:rsidRPr="001F63BA">
              <w:rPr>
                <w:rFonts w:ascii="GHEA Grapalat" w:hAnsi="GHEA Grapalat" w:cs="Calibri"/>
                <w:b/>
                <w:bCs/>
                <w:sz w:val="18"/>
                <w:szCs w:val="18"/>
              </w:rPr>
              <w:t>(%)</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vAlign w:val="bottom"/>
          </w:tcPr>
          <w:p w:rsidR="001C411D" w:rsidRPr="001F63BA" w:rsidRDefault="001C411D" w:rsidP="002F7E29">
            <w:pPr>
              <w:rPr>
                <w:rFonts w:ascii="GHEA Grapalat" w:hAnsi="GHEA Grapalat" w:cs="Calibri"/>
                <w:b/>
                <w:bCs/>
                <w:sz w:val="18"/>
                <w:szCs w:val="18"/>
                <w:lang w:val="en-US"/>
              </w:rPr>
            </w:pPr>
            <w:r w:rsidRPr="001F63BA">
              <w:rPr>
                <w:rFonts w:ascii="GHEA Grapalat" w:hAnsi="GHEA Grapalat" w:cs="Calibri"/>
                <w:b/>
                <w:bCs/>
                <w:sz w:val="18"/>
                <w:szCs w:val="18"/>
              </w:rPr>
              <w:t>Պետական տուրքեր</w:t>
            </w:r>
          </w:p>
        </w:tc>
        <w:tc>
          <w:tcPr>
            <w:tcW w:w="993"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b/>
                <w:bCs/>
                <w:sz w:val="18"/>
                <w:szCs w:val="18"/>
              </w:rPr>
            </w:pPr>
            <w:r w:rsidRPr="001F63BA">
              <w:rPr>
                <w:rFonts w:ascii="GHEA Grapalat" w:hAnsi="GHEA Grapalat" w:cs="Calibri"/>
                <w:b/>
                <w:bCs/>
                <w:sz w:val="18"/>
                <w:szCs w:val="18"/>
              </w:rPr>
              <w:t>66.9</w:t>
            </w:r>
          </w:p>
        </w:tc>
        <w:tc>
          <w:tcPr>
            <w:tcW w:w="1134"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b/>
                <w:bCs/>
                <w:sz w:val="18"/>
                <w:szCs w:val="18"/>
              </w:rPr>
            </w:pPr>
            <w:r w:rsidRPr="001F63BA">
              <w:rPr>
                <w:rFonts w:ascii="GHEA Grapalat" w:hAnsi="GHEA Grapalat" w:cs="Calibri"/>
                <w:b/>
                <w:bCs/>
                <w:sz w:val="18"/>
                <w:szCs w:val="18"/>
              </w:rPr>
              <w:t>96.1</w:t>
            </w:r>
          </w:p>
        </w:tc>
        <w:tc>
          <w:tcPr>
            <w:tcW w:w="992"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b/>
                <w:bCs/>
                <w:sz w:val="18"/>
                <w:szCs w:val="18"/>
              </w:rPr>
            </w:pPr>
            <w:r w:rsidRPr="001F63BA">
              <w:rPr>
                <w:rFonts w:ascii="GHEA Grapalat" w:hAnsi="GHEA Grapalat" w:cs="Calibri"/>
                <w:b/>
                <w:bCs/>
                <w:sz w:val="18"/>
                <w:szCs w:val="18"/>
              </w:rPr>
              <w:t>106.8</w:t>
            </w:r>
          </w:p>
        </w:tc>
        <w:tc>
          <w:tcPr>
            <w:tcW w:w="1276"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b/>
                <w:bCs/>
                <w:sz w:val="18"/>
                <w:szCs w:val="18"/>
              </w:rPr>
            </w:pPr>
            <w:r w:rsidRPr="001F63BA">
              <w:rPr>
                <w:rFonts w:ascii="GHEA Grapalat" w:hAnsi="GHEA Grapalat" w:cs="Calibri"/>
                <w:b/>
                <w:bCs/>
                <w:sz w:val="18"/>
                <w:szCs w:val="18"/>
              </w:rPr>
              <w:t>111.1</w:t>
            </w:r>
          </w:p>
        </w:tc>
        <w:tc>
          <w:tcPr>
            <w:tcW w:w="1275"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b/>
                <w:bCs/>
                <w:sz w:val="18"/>
                <w:szCs w:val="18"/>
              </w:rPr>
            </w:pPr>
            <w:r w:rsidRPr="001F63BA">
              <w:rPr>
                <w:rFonts w:ascii="GHEA Grapalat" w:hAnsi="GHEA Grapalat" w:cs="Calibri"/>
                <w:b/>
                <w:bCs/>
                <w:sz w:val="18"/>
                <w:szCs w:val="18"/>
              </w:rPr>
              <w:t>159.7</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vAlign w:val="bottom"/>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rPr>
              <w:t>Դատարան տրվող հայցադիմումների, դիմումների, դատարանի դատական ակտերի դեմ վերաքննիչ և վճռաբեկ բողոքների համար, ինչպես նաև դատարանի կողմից տրվող փաստաթղթերի պատճեններ (կրկնօրինակներ) տալու համար</w:t>
            </w:r>
          </w:p>
        </w:tc>
        <w:tc>
          <w:tcPr>
            <w:tcW w:w="993"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2.4</w:t>
            </w:r>
          </w:p>
        </w:tc>
        <w:tc>
          <w:tcPr>
            <w:tcW w:w="1134"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2.5</w:t>
            </w:r>
          </w:p>
        </w:tc>
        <w:tc>
          <w:tcPr>
            <w:tcW w:w="992"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3.1</w:t>
            </w:r>
          </w:p>
        </w:tc>
        <w:tc>
          <w:tcPr>
            <w:tcW w:w="1276"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122.7</w:t>
            </w:r>
          </w:p>
        </w:tc>
        <w:tc>
          <w:tcPr>
            <w:tcW w:w="1275"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128.5</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rPr>
              <w:t>Հյուպատոսական ծառայությունների կամ գործողությունների համար</w:t>
            </w:r>
          </w:p>
        </w:tc>
        <w:tc>
          <w:tcPr>
            <w:tcW w:w="993"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3.1</w:t>
            </w:r>
          </w:p>
        </w:tc>
        <w:tc>
          <w:tcPr>
            <w:tcW w:w="1134"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2.5</w:t>
            </w:r>
          </w:p>
        </w:tc>
        <w:tc>
          <w:tcPr>
            <w:tcW w:w="992"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2.6</w:t>
            </w:r>
          </w:p>
        </w:tc>
        <w:tc>
          <w:tcPr>
            <w:tcW w:w="1276"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105.0</w:t>
            </w:r>
          </w:p>
        </w:tc>
        <w:tc>
          <w:tcPr>
            <w:tcW w:w="1275"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84.0</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rPr>
              <w:t>Պետական գրանցման համար</w:t>
            </w:r>
          </w:p>
        </w:tc>
        <w:tc>
          <w:tcPr>
            <w:tcW w:w="993"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5.1</w:t>
            </w:r>
          </w:p>
        </w:tc>
        <w:tc>
          <w:tcPr>
            <w:tcW w:w="1134"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5.3</w:t>
            </w:r>
          </w:p>
        </w:tc>
        <w:tc>
          <w:tcPr>
            <w:tcW w:w="992"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4.9</w:t>
            </w:r>
          </w:p>
        </w:tc>
        <w:tc>
          <w:tcPr>
            <w:tcW w:w="1276"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91.4</w:t>
            </w:r>
          </w:p>
        </w:tc>
        <w:tc>
          <w:tcPr>
            <w:tcW w:w="1275"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95.5</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vAlign w:val="bottom"/>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rPr>
              <w:t>Ֆիզիկական անձանց տրվող իրավաբանական նշանակություն ունեցող փաստաթղթերի, որոշակի ծառայությունների կամ գործողությունների համար</w:t>
            </w:r>
          </w:p>
        </w:tc>
        <w:tc>
          <w:tcPr>
            <w:tcW w:w="993"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2.2</w:t>
            </w:r>
          </w:p>
        </w:tc>
        <w:tc>
          <w:tcPr>
            <w:tcW w:w="1134"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2.8</w:t>
            </w:r>
          </w:p>
        </w:tc>
        <w:tc>
          <w:tcPr>
            <w:tcW w:w="992"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3.2</w:t>
            </w:r>
          </w:p>
        </w:tc>
        <w:tc>
          <w:tcPr>
            <w:tcW w:w="1276"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111.9</w:t>
            </w:r>
          </w:p>
        </w:tc>
        <w:tc>
          <w:tcPr>
            <w:tcW w:w="1275"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143.9</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vAlign w:val="bottom"/>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rPr>
              <w:t xml:space="preserve">Լիցենզավորման ենթակա </w:t>
            </w:r>
            <w:r w:rsidRPr="001F63BA">
              <w:rPr>
                <w:rFonts w:ascii="GHEA Grapalat" w:hAnsi="GHEA Grapalat" w:cs="Calibri"/>
                <w:sz w:val="18"/>
                <w:szCs w:val="18"/>
                <w:lang w:val="en-US"/>
              </w:rPr>
              <w:t xml:space="preserve">կամ թույլտվություններով </w:t>
            </w:r>
            <w:r w:rsidRPr="001F63BA">
              <w:rPr>
                <w:rFonts w:ascii="GHEA Grapalat" w:hAnsi="GHEA Grapalat" w:cs="Calibri"/>
                <w:sz w:val="18"/>
                <w:szCs w:val="18"/>
              </w:rPr>
              <w:t>գործունեություն իրականացնելու նպատակով լիցենզիաներ, արտոնագրեր (թույլտվություններ) տալու համար</w:t>
            </w:r>
          </w:p>
        </w:tc>
        <w:tc>
          <w:tcPr>
            <w:tcW w:w="993" w:type="dxa"/>
            <w:tcBorders>
              <w:top w:val="nil"/>
              <w:left w:val="nil"/>
              <w:bottom w:val="single" w:sz="4" w:space="0" w:color="auto"/>
              <w:right w:val="single" w:sz="4" w:space="0" w:color="auto"/>
            </w:tcBorders>
            <w:noWrap/>
            <w:vAlign w:val="center"/>
          </w:tcPr>
          <w:p w:rsidR="001C411D" w:rsidRPr="001F63BA" w:rsidRDefault="001C411D" w:rsidP="000374A5">
            <w:pPr>
              <w:jc w:val="right"/>
              <w:rPr>
                <w:rFonts w:ascii="GHEA Grapalat" w:hAnsi="GHEA Grapalat" w:cs="Calibri"/>
                <w:sz w:val="18"/>
                <w:szCs w:val="18"/>
                <w:lang w:val="en-US"/>
              </w:rPr>
            </w:pPr>
            <w:r w:rsidRPr="001F63BA">
              <w:rPr>
                <w:rFonts w:ascii="GHEA Grapalat" w:hAnsi="GHEA Grapalat" w:cs="Calibri"/>
                <w:sz w:val="18"/>
                <w:szCs w:val="18"/>
              </w:rPr>
              <w:t>38.</w:t>
            </w:r>
            <w:r w:rsidRPr="001F63BA">
              <w:rPr>
                <w:rFonts w:ascii="GHEA Grapalat" w:hAnsi="GHEA Grapalat" w:cs="Calibri"/>
                <w:sz w:val="18"/>
                <w:szCs w:val="18"/>
                <w:lang w:val="en-US"/>
              </w:rPr>
              <w:t>7</w:t>
            </w:r>
          </w:p>
        </w:tc>
        <w:tc>
          <w:tcPr>
            <w:tcW w:w="1134"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69.2</w:t>
            </w:r>
          </w:p>
        </w:tc>
        <w:tc>
          <w:tcPr>
            <w:tcW w:w="992" w:type="dxa"/>
            <w:tcBorders>
              <w:top w:val="nil"/>
              <w:left w:val="nil"/>
              <w:bottom w:val="single" w:sz="4" w:space="0" w:color="auto"/>
              <w:right w:val="single" w:sz="4" w:space="0" w:color="auto"/>
            </w:tcBorders>
            <w:noWrap/>
            <w:vAlign w:val="center"/>
          </w:tcPr>
          <w:p w:rsidR="001C411D" w:rsidRPr="001F63BA" w:rsidRDefault="001C411D" w:rsidP="000374A5">
            <w:pPr>
              <w:jc w:val="right"/>
              <w:rPr>
                <w:rFonts w:ascii="GHEA Grapalat" w:hAnsi="GHEA Grapalat" w:cs="Calibri"/>
                <w:sz w:val="18"/>
                <w:szCs w:val="18"/>
                <w:lang w:val="en-US"/>
              </w:rPr>
            </w:pPr>
            <w:r w:rsidRPr="001F63BA">
              <w:rPr>
                <w:rFonts w:ascii="GHEA Grapalat" w:hAnsi="GHEA Grapalat" w:cs="Calibri"/>
                <w:sz w:val="18"/>
                <w:szCs w:val="18"/>
              </w:rPr>
              <w:t>74.</w:t>
            </w:r>
            <w:r w:rsidRPr="001F63BA">
              <w:rPr>
                <w:rFonts w:ascii="GHEA Grapalat" w:hAnsi="GHEA Grapalat" w:cs="Calibri"/>
                <w:sz w:val="18"/>
                <w:szCs w:val="18"/>
                <w:lang w:val="en-US"/>
              </w:rPr>
              <w:t>8</w:t>
            </w:r>
          </w:p>
        </w:tc>
        <w:tc>
          <w:tcPr>
            <w:tcW w:w="1276"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10</w:t>
            </w:r>
            <w:r w:rsidRPr="001F63BA">
              <w:rPr>
                <w:rFonts w:ascii="GHEA Grapalat" w:hAnsi="GHEA Grapalat" w:cs="Calibri"/>
                <w:sz w:val="18"/>
                <w:szCs w:val="18"/>
                <w:lang w:val="en-US"/>
              </w:rPr>
              <w:t>8</w:t>
            </w:r>
            <w:r w:rsidRPr="001F63BA">
              <w:rPr>
                <w:rFonts w:ascii="GHEA Grapalat" w:hAnsi="GHEA Grapalat" w:cs="Calibri"/>
                <w:sz w:val="18"/>
                <w:szCs w:val="18"/>
              </w:rPr>
              <w:t>.1</w:t>
            </w:r>
          </w:p>
        </w:tc>
        <w:tc>
          <w:tcPr>
            <w:tcW w:w="1275"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lang w:val="en-US"/>
              </w:rPr>
            </w:pPr>
            <w:r w:rsidRPr="001F63BA">
              <w:rPr>
                <w:rFonts w:ascii="GHEA Grapalat" w:hAnsi="GHEA Grapalat" w:cs="Calibri"/>
                <w:sz w:val="18"/>
                <w:szCs w:val="18"/>
              </w:rPr>
              <w:t>193.</w:t>
            </w:r>
            <w:r w:rsidRPr="001F63BA">
              <w:rPr>
                <w:rFonts w:ascii="GHEA Grapalat" w:hAnsi="GHEA Grapalat" w:cs="Calibri"/>
                <w:sz w:val="18"/>
                <w:szCs w:val="18"/>
                <w:lang w:val="en-US"/>
              </w:rPr>
              <w:t>3</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vAlign w:val="bottom"/>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rPr>
              <w:t>Օրենքով սահմանված այլ ծառայությունների և գործողությունների համար</w:t>
            </w:r>
          </w:p>
        </w:tc>
        <w:tc>
          <w:tcPr>
            <w:tcW w:w="993" w:type="dxa"/>
            <w:tcBorders>
              <w:top w:val="nil"/>
              <w:left w:val="nil"/>
              <w:bottom w:val="single" w:sz="4" w:space="0" w:color="auto"/>
              <w:right w:val="single" w:sz="4" w:space="0" w:color="auto"/>
            </w:tcBorders>
            <w:noWrap/>
            <w:vAlign w:val="center"/>
          </w:tcPr>
          <w:p w:rsidR="001C411D" w:rsidRPr="001F63BA" w:rsidRDefault="001C411D" w:rsidP="000374A5">
            <w:pPr>
              <w:jc w:val="right"/>
              <w:rPr>
                <w:rFonts w:ascii="GHEA Grapalat" w:hAnsi="GHEA Grapalat" w:cs="Calibri"/>
                <w:sz w:val="18"/>
                <w:szCs w:val="18"/>
                <w:lang w:val="en-US"/>
              </w:rPr>
            </w:pPr>
            <w:r w:rsidRPr="001F63BA">
              <w:rPr>
                <w:rFonts w:ascii="GHEA Grapalat" w:hAnsi="GHEA Grapalat" w:cs="Calibri"/>
                <w:sz w:val="18"/>
                <w:szCs w:val="18"/>
              </w:rPr>
              <w:t>15.</w:t>
            </w:r>
            <w:r w:rsidRPr="001F63BA">
              <w:rPr>
                <w:rFonts w:ascii="GHEA Grapalat" w:hAnsi="GHEA Grapalat" w:cs="Calibri"/>
                <w:sz w:val="18"/>
                <w:szCs w:val="18"/>
                <w:lang w:val="en-US"/>
              </w:rPr>
              <w:t>0</w:t>
            </w:r>
          </w:p>
        </w:tc>
        <w:tc>
          <w:tcPr>
            <w:tcW w:w="1134"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13.3</w:t>
            </w:r>
          </w:p>
        </w:tc>
        <w:tc>
          <w:tcPr>
            <w:tcW w:w="992" w:type="dxa"/>
            <w:tcBorders>
              <w:top w:val="nil"/>
              <w:left w:val="nil"/>
              <w:bottom w:val="single" w:sz="4" w:space="0" w:color="auto"/>
              <w:right w:val="single" w:sz="4" w:space="0" w:color="auto"/>
            </w:tcBorders>
            <w:noWrap/>
            <w:vAlign w:val="center"/>
          </w:tcPr>
          <w:p w:rsidR="001C411D" w:rsidRPr="001F63BA" w:rsidRDefault="001C411D" w:rsidP="000374A5">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7.9</w:t>
            </w:r>
          </w:p>
        </w:tc>
        <w:tc>
          <w:tcPr>
            <w:tcW w:w="1276" w:type="dxa"/>
            <w:tcBorders>
              <w:top w:val="nil"/>
              <w:left w:val="nil"/>
              <w:bottom w:val="single" w:sz="4" w:space="0" w:color="auto"/>
              <w:right w:val="single" w:sz="4" w:space="0" w:color="auto"/>
            </w:tcBorders>
            <w:vAlign w:val="center"/>
          </w:tcPr>
          <w:p w:rsidR="001C411D" w:rsidRPr="001F63BA" w:rsidRDefault="001C411D" w:rsidP="000374A5">
            <w:pPr>
              <w:jc w:val="right"/>
              <w:rPr>
                <w:rFonts w:ascii="GHEA Grapalat" w:hAnsi="GHEA Grapalat" w:cs="Calibri"/>
                <w:sz w:val="18"/>
                <w:szCs w:val="18"/>
                <w:lang w:val="en-US"/>
              </w:rPr>
            </w:pPr>
            <w:r w:rsidRPr="001F63BA">
              <w:rPr>
                <w:rFonts w:ascii="GHEA Grapalat" w:hAnsi="GHEA Grapalat" w:cs="Calibri"/>
                <w:sz w:val="18"/>
                <w:szCs w:val="18"/>
              </w:rPr>
              <w:t>13</w:t>
            </w:r>
            <w:r w:rsidRPr="001F63BA">
              <w:rPr>
                <w:rFonts w:ascii="GHEA Grapalat" w:hAnsi="GHEA Grapalat" w:cs="Calibri"/>
                <w:sz w:val="18"/>
                <w:szCs w:val="18"/>
                <w:lang w:val="en-US"/>
              </w:rPr>
              <w:t>4.3</w:t>
            </w:r>
          </w:p>
        </w:tc>
        <w:tc>
          <w:tcPr>
            <w:tcW w:w="1275" w:type="dxa"/>
            <w:tcBorders>
              <w:top w:val="nil"/>
              <w:left w:val="nil"/>
              <w:bottom w:val="single" w:sz="4" w:space="0" w:color="auto"/>
              <w:right w:val="single" w:sz="4" w:space="0" w:color="auto"/>
            </w:tcBorders>
            <w:vAlign w:val="center"/>
          </w:tcPr>
          <w:p w:rsidR="001C411D" w:rsidRPr="001F63BA" w:rsidRDefault="001C411D" w:rsidP="000374A5">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19.0</w:t>
            </w:r>
          </w:p>
        </w:tc>
      </w:tr>
      <w:tr w:rsidR="001C411D" w:rsidRPr="001F63BA" w:rsidTr="002F7E29">
        <w:trPr>
          <w:trHeight w:val="315"/>
        </w:trPr>
        <w:tc>
          <w:tcPr>
            <w:tcW w:w="4644" w:type="dxa"/>
            <w:tcBorders>
              <w:top w:val="nil"/>
              <w:left w:val="single" w:sz="4" w:space="0" w:color="auto"/>
              <w:bottom w:val="single" w:sz="4" w:space="0" w:color="auto"/>
              <w:right w:val="single" w:sz="4" w:space="0" w:color="auto"/>
            </w:tcBorders>
            <w:vAlign w:val="bottom"/>
          </w:tcPr>
          <w:p w:rsidR="001C411D" w:rsidRPr="001F63BA" w:rsidRDefault="001C411D" w:rsidP="002F7E29">
            <w:pPr>
              <w:rPr>
                <w:rFonts w:ascii="GHEA Grapalat" w:hAnsi="GHEA Grapalat" w:cs="Calibri"/>
                <w:sz w:val="18"/>
                <w:szCs w:val="18"/>
              </w:rPr>
            </w:pPr>
            <w:r w:rsidRPr="001F63BA">
              <w:rPr>
                <w:rFonts w:ascii="GHEA Grapalat" w:hAnsi="GHEA Grapalat" w:cs="Calibri"/>
                <w:sz w:val="18"/>
                <w:szCs w:val="18"/>
              </w:rPr>
              <w:t>Այլ պետական տուրքեր</w:t>
            </w:r>
            <w:r w:rsidRPr="001F63BA">
              <w:rPr>
                <w:rStyle w:val="FootnoteReference"/>
                <w:rFonts w:ascii="GHEA Grapalat" w:hAnsi="GHEA Grapalat" w:cs="Calibri"/>
                <w:sz w:val="18"/>
                <w:szCs w:val="18"/>
              </w:rPr>
              <w:footnoteReference w:id="35"/>
            </w:r>
          </w:p>
        </w:tc>
        <w:tc>
          <w:tcPr>
            <w:tcW w:w="993"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0.5</w:t>
            </w:r>
          </w:p>
        </w:tc>
        <w:tc>
          <w:tcPr>
            <w:tcW w:w="1134"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0.5</w:t>
            </w:r>
          </w:p>
        </w:tc>
        <w:tc>
          <w:tcPr>
            <w:tcW w:w="992" w:type="dxa"/>
            <w:tcBorders>
              <w:top w:val="nil"/>
              <w:left w:val="nil"/>
              <w:bottom w:val="single" w:sz="4" w:space="0" w:color="auto"/>
              <w:right w:val="single" w:sz="4" w:space="0" w:color="auto"/>
            </w:tcBorders>
            <w:noWrap/>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0.5</w:t>
            </w:r>
          </w:p>
        </w:tc>
        <w:tc>
          <w:tcPr>
            <w:tcW w:w="1276"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95.5</w:t>
            </w:r>
          </w:p>
        </w:tc>
        <w:tc>
          <w:tcPr>
            <w:tcW w:w="1275" w:type="dxa"/>
            <w:tcBorders>
              <w:top w:val="nil"/>
              <w:left w:val="nil"/>
              <w:bottom w:val="single" w:sz="4" w:space="0" w:color="auto"/>
              <w:right w:val="single" w:sz="4" w:space="0" w:color="auto"/>
            </w:tcBorders>
            <w:vAlign w:val="center"/>
          </w:tcPr>
          <w:p w:rsidR="001C411D" w:rsidRPr="001F63BA" w:rsidRDefault="001C411D" w:rsidP="002F7E29">
            <w:pPr>
              <w:jc w:val="right"/>
              <w:rPr>
                <w:rFonts w:ascii="GHEA Grapalat" w:hAnsi="GHEA Grapalat" w:cs="Calibri"/>
                <w:sz w:val="18"/>
                <w:szCs w:val="18"/>
              </w:rPr>
            </w:pPr>
            <w:r w:rsidRPr="001F63BA">
              <w:rPr>
                <w:rFonts w:ascii="GHEA Grapalat" w:hAnsi="GHEA Grapalat" w:cs="Calibri"/>
                <w:sz w:val="18"/>
                <w:szCs w:val="18"/>
              </w:rPr>
              <w:t>109.2</w:t>
            </w:r>
          </w:p>
        </w:tc>
      </w:tr>
    </w:tbl>
    <w:p w:rsidR="001C411D" w:rsidRPr="001F63BA" w:rsidRDefault="001C411D" w:rsidP="002F7E29">
      <w:pPr>
        <w:tabs>
          <w:tab w:val="left" w:pos="851"/>
        </w:tabs>
        <w:spacing w:line="360" w:lineRule="auto"/>
        <w:ind w:firstLine="567"/>
        <w:jc w:val="both"/>
        <w:rPr>
          <w:rFonts w:ascii="GHEA Grapalat" w:hAnsi="GHEA Grapalat" w:cs="GHEA Grapalat"/>
          <w:sz w:val="22"/>
          <w:szCs w:val="22"/>
        </w:rPr>
      </w:pPr>
    </w:p>
    <w:p w:rsidR="001C411D" w:rsidRPr="001F63BA" w:rsidRDefault="001C411D" w:rsidP="002F7E29">
      <w:pPr>
        <w:tabs>
          <w:tab w:val="left" w:pos="851"/>
        </w:tabs>
        <w:spacing w:line="360" w:lineRule="auto"/>
        <w:ind w:firstLine="567"/>
        <w:jc w:val="both"/>
        <w:rPr>
          <w:rFonts w:ascii="GHEA Grapalat" w:hAnsi="GHEA Grapalat" w:cs="GHEA Grapalat"/>
          <w:sz w:val="22"/>
          <w:szCs w:val="22"/>
        </w:rPr>
      </w:pPr>
      <w:r w:rsidRPr="001F63BA">
        <w:rPr>
          <w:rFonts w:ascii="GHEA Grapalat" w:hAnsi="GHEA Grapalat" w:cs="Sylfaen"/>
          <w:sz w:val="22"/>
          <w:szCs w:val="22"/>
        </w:rPr>
        <w:t xml:space="preserve">Հաշվետու տարում </w:t>
      </w:r>
      <w:r w:rsidRPr="001F63BA">
        <w:rPr>
          <w:rFonts w:ascii="GHEA Grapalat" w:hAnsi="GHEA Grapalat" w:cs="GHEA Grapalat"/>
          <w:sz w:val="22"/>
          <w:szCs w:val="22"/>
        </w:rPr>
        <w:t>պետական տուրքեր</w:t>
      </w:r>
      <w:r w:rsidRPr="001F63BA">
        <w:rPr>
          <w:rFonts w:ascii="GHEA Grapalat" w:hAnsi="GHEA Grapalat" w:cs="GHEA Grapalat"/>
          <w:sz w:val="22"/>
          <w:szCs w:val="22"/>
          <w:lang w:val="en-US"/>
        </w:rPr>
        <w:t>ի</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70</w:t>
      </w:r>
      <w:r w:rsidRPr="001F63BA">
        <w:rPr>
          <w:rFonts w:ascii="GHEA Grapalat" w:hAnsi="GHEA Grapalat" w:cs="GHEA Grapalat"/>
          <w:sz w:val="22"/>
          <w:szCs w:val="22"/>
        </w:rPr>
        <w:t>%</w:t>
      </w:r>
      <w:r w:rsidRPr="001F63BA">
        <w:rPr>
          <w:rFonts w:ascii="GHEA Grapalat" w:hAnsi="GHEA Grapalat" w:cs="GHEA Grapalat"/>
          <w:sz w:val="22"/>
          <w:szCs w:val="22"/>
          <w:lang w:val="en-US"/>
        </w:rPr>
        <w:t>-ը կազմել են</w:t>
      </w:r>
      <w:r w:rsidRPr="001F63BA">
        <w:rPr>
          <w:rFonts w:ascii="GHEA Grapalat" w:hAnsi="GHEA Grapalat" w:cs="GHEA Grapalat"/>
          <w:sz w:val="22"/>
          <w:szCs w:val="22"/>
        </w:rPr>
        <w:t xml:space="preserve"> </w:t>
      </w:r>
      <w:r w:rsidRPr="001F63BA">
        <w:rPr>
          <w:rFonts w:ascii="GHEA Grapalat" w:hAnsi="GHEA Grapalat" w:cs="GHEA Grapalat"/>
          <w:i/>
          <w:sz w:val="22"/>
          <w:szCs w:val="22"/>
        </w:rPr>
        <w:t>լիցենզավորման ենթակա գործունեություն իրականացնելու նպատակով լիցենզիաներ, արտոնագրեր (թույլտվություններ) տալու համար գանձվող տուրքերը</w:t>
      </w:r>
      <w:r w:rsidRPr="001F63BA">
        <w:rPr>
          <w:rFonts w:ascii="GHEA Grapalat" w:hAnsi="GHEA Grapalat" w:cs="GHEA Grapalat"/>
          <w:i/>
          <w:sz w:val="22"/>
          <w:szCs w:val="22"/>
          <w:lang w:val="en-US"/>
        </w:rPr>
        <w:t>:</w:t>
      </w:r>
      <w:r w:rsidRPr="001F63BA">
        <w:rPr>
          <w:rFonts w:ascii="GHEA Grapalat" w:hAnsi="GHEA Grapalat" w:cs="GHEA Grapalat"/>
          <w:sz w:val="22"/>
          <w:szCs w:val="22"/>
        </w:rPr>
        <w:t xml:space="preserve"> Վերջիններս </w:t>
      </w:r>
      <w:r w:rsidRPr="001F63BA">
        <w:rPr>
          <w:rFonts w:ascii="GHEA Grapalat" w:hAnsi="GHEA Grapalat" w:cs="GHEA Grapalat"/>
          <w:sz w:val="22"/>
          <w:szCs w:val="22"/>
          <w:lang w:val="en-US"/>
        </w:rPr>
        <w:t xml:space="preserve">8.1%-ով գերազանցել են </w:t>
      </w:r>
      <w:r w:rsidRPr="001F63BA">
        <w:rPr>
          <w:rFonts w:ascii="GHEA Grapalat" w:hAnsi="GHEA Grapalat" w:cs="GHEA Grapalat"/>
          <w:sz w:val="22"/>
          <w:szCs w:val="22"/>
        </w:rPr>
        <w:t>տարեկան ծրագրային ցուցանիշը` հիմնականում պայմանավորված «Պետական տուրքի մասին» ՀՀ օրենքով 2021 թվականի սեպտեմբերի 4-ից պղնձի և մոլիբդենի խտահանքեր արտահանելու լիցենզիաներ կամ թույլտվություններ կամ հավաստագրեր տրամադրելու համար պետական տուրքի սահմանմամբ, որը կիրառվել է մինչև 2022 թվականի սեպտեմբերի 10-ը:</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Հիմնականում նշված հանգամանքով է պայմանավորված նաև նախորդ տարվա համեմատ լիցենզավորման ենթակա գործունեություն իրականացնելու նպատակով լիցենզիաներ, արտոնագրեր (թույլտվություններ) տալու համար գանձվող տուրքերի գծով մուտքերի աճը: Պղնձի և մոլիբդենի խտահանքեր արտահանելու լիցենզիաներ կամ թույլտվություններ կամ հավաստագրեր տրամադրելու համար ստացված պետական տուրքի հաշվին ապահովվել է լիցենզավորման ենթակա գործունեություն իրականացնելու նպատակով լիցենզիաներ, արտոնագրեր (թույլտվություններ) տալու համար գանձվող տուրքերի </w:t>
      </w:r>
      <w:r w:rsidRPr="001F63BA">
        <w:rPr>
          <w:rFonts w:ascii="GHEA Grapalat" w:hAnsi="GHEA Grapalat" w:cs="GHEA Grapalat"/>
          <w:sz w:val="22"/>
          <w:szCs w:val="22"/>
          <w:lang w:val="en-US"/>
        </w:rPr>
        <w:t>69.6</w:t>
      </w:r>
      <w:r w:rsidRPr="001F63BA">
        <w:rPr>
          <w:rFonts w:ascii="GHEA Grapalat" w:hAnsi="GHEA Grapalat" w:cs="GHEA Grapalat"/>
          <w:sz w:val="22"/>
          <w:szCs w:val="22"/>
        </w:rPr>
        <w:t xml:space="preserve">%-ը, որոնց գծով պետական բյուջե է մուտքագրվել </w:t>
      </w:r>
      <w:r w:rsidRPr="001F63BA">
        <w:rPr>
          <w:rFonts w:ascii="GHEA Grapalat" w:hAnsi="GHEA Grapalat" w:cs="GHEA Grapalat"/>
          <w:sz w:val="22"/>
          <w:szCs w:val="22"/>
          <w:lang w:val="en-US"/>
        </w:rPr>
        <w:t>52</w:t>
      </w:r>
      <w:r w:rsidRPr="001F63BA">
        <w:rPr>
          <w:rFonts w:ascii="GHEA Grapalat" w:hAnsi="GHEA Grapalat" w:cs="GHEA Grapalat"/>
          <w:sz w:val="22"/>
          <w:szCs w:val="22"/>
        </w:rPr>
        <w:t xml:space="preserve"> մլրդ դրամ՝ </w:t>
      </w:r>
      <w:r w:rsidRPr="001F63BA">
        <w:rPr>
          <w:rFonts w:ascii="GHEA Grapalat" w:hAnsi="GHEA Grapalat" w:cs="GHEA Grapalat"/>
          <w:sz w:val="22"/>
          <w:szCs w:val="22"/>
          <w:lang w:val="en-US"/>
        </w:rPr>
        <w:t>4</w:t>
      </w:r>
      <w:r w:rsidRPr="001F63BA">
        <w:rPr>
          <w:rFonts w:ascii="GHEA Grapalat" w:hAnsi="GHEA Grapalat" w:cs="GHEA Grapalat"/>
          <w:sz w:val="22"/>
          <w:szCs w:val="22"/>
        </w:rPr>
        <w:t>%-ով գերազանցելով տարեկան ծրագրային ցուցանիշը</w:t>
      </w:r>
      <w:r w:rsidRPr="001F63BA">
        <w:rPr>
          <w:rFonts w:ascii="GHEA Grapalat" w:hAnsi="GHEA Grapalat" w:cs="GHEA Grapalat"/>
          <w:sz w:val="22"/>
          <w:szCs w:val="22"/>
          <w:lang w:val="en-US"/>
        </w:rPr>
        <w:t xml:space="preserve"> և 2.1 անգամ՝ նախորդ տարվա ցուցանիշը</w:t>
      </w:r>
      <w:r w:rsidRPr="001F63BA">
        <w:rPr>
          <w:rFonts w:ascii="GHEA Grapalat" w:hAnsi="GHEA Grapalat" w:cs="GHEA Grapalat"/>
          <w:sz w:val="22"/>
          <w:szCs w:val="22"/>
        </w:rPr>
        <w:t>: Մուտքերի գերազանցումը պայմանավորված է երրորդ երկրներ արտահան</w:t>
      </w:r>
      <w:r w:rsidRPr="001F63BA">
        <w:rPr>
          <w:rFonts w:ascii="GHEA Grapalat" w:hAnsi="GHEA Grapalat" w:cs="GHEA Grapalat"/>
          <w:sz w:val="22"/>
          <w:szCs w:val="22"/>
          <w:lang w:val="en-US"/>
        </w:rPr>
        <w:t>վող</w:t>
      </w:r>
      <w:r w:rsidRPr="001F63BA">
        <w:rPr>
          <w:rFonts w:ascii="GHEA Grapalat" w:hAnsi="GHEA Grapalat" w:cs="GHEA Grapalat"/>
          <w:sz w:val="22"/>
          <w:szCs w:val="22"/>
        </w:rPr>
        <w:t xml:space="preserve"> պղնձի խտահանքի, մոլիբդենի խտահանքի, մոլիբդենի և դրանից պատրաստված արտադրատեսակների (բացառությամբ 810297000՝ թափոններ և ջարդոն)</w:t>
      </w:r>
      <w:r w:rsidRPr="001F63BA">
        <w:rPr>
          <w:rFonts w:ascii="GHEA Grapalat" w:hAnsi="GHEA Grapalat" w:cs="GHEA Grapalat"/>
          <w:sz w:val="22"/>
          <w:szCs w:val="22"/>
          <w:lang w:val="en-US"/>
        </w:rPr>
        <w:t xml:space="preserve"> նկատմամբ</w:t>
      </w:r>
      <w:r w:rsidRPr="001F63BA">
        <w:rPr>
          <w:rFonts w:ascii="GHEA Grapalat" w:hAnsi="GHEA Grapalat" w:cs="GHEA Grapalat"/>
          <w:sz w:val="22"/>
          <w:szCs w:val="22"/>
        </w:rPr>
        <w:t xml:space="preserve"> կանխատեսվածից բարձր պահանջարկով:</w:t>
      </w:r>
    </w:p>
    <w:p w:rsidR="001C411D" w:rsidRPr="001F63BA" w:rsidRDefault="001C411D" w:rsidP="002F7E29">
      <w:pPr>
        <w:tabs>
          <w:tab w:val="left" w:pos="851"/>
        </w:tabs>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Հաշվետու տարում վիճակախաղերի, շահումներով խաղերի բնագավառից գանձված տուրքերը կազմել են ավելի քան 12.5 մլրդ դրամ՝ 12.2%-ով կամ շուրջ 1.4 մլրդ դրամով գերազանցելով ծրագրված մուտքերը: Մուտքերի գերազանցումը հիմնականում պայմանավորված է տրամադրված այլ վայրում խաղատան կազմակերպման լիցենզիաների՝ նախատեսվածից ավել քանակով, ինչպես նաև թվով 5 լիցենզիաների վերաձևակերպման համար պետական տուրքի վճարմամբ: Նախորդ տարվա համեմատ նշված մուտքերն աճել են 2.2 անգամ կամ 6.8 մլրդ դրամով՝ պայմանավորված 2022 թվականին այլ վայրում խաղատան կազմակերպման թվով 1 լիցենզիայի գործողության վերականգնման հանգամանքով:</w:t>
      </w:r>
    </w:p>
    <w:p w:rsidR="001C411D" w:rsidRPr="001F63BA" w:rsidRDefault="001C411D" w:rsidP="002F7E29">
      <w:pPr>
        <w:tabs>
          <w:tab w:val="left" w:pos="851"/>
        </w:tabs>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lastRenderedPageBreak/>
        <w:t xml:space="preserve">Մաքսային բնագավառում լիցենզավորման գծով մուտքերը կազմել են շուրջ 5 մլրդ դրամ՝ 30.9%-ով գերազանցելով կանխատեսված ցուցանիշը, ինչը պայմանավորված է ներմուծման ծավալների աճով, որը հանգեցրել է արտաքին տնտեսական գործունեություն իրականացնողների կողմից նախատեսվածից շատ քանակով մաքսային ձևակերպումների: </w:t>
      </w:r>
      <w:r w:rsidRPr="001F63BA">
        <w:rPr>
          <w:rFonts w:ascii="GHEA Grapalat" w:hAnsi="GHEA Grapalat" w:cs="GHEA Grapalat"/>
          <w:sz w:val="22"/>
          <w:szCs w:val="22"/>
          <w:lang w:val="en-US"/>
        </w:rPr>
        <w:t>Հիմնականում վերոնշյալ հանգամանքով էլ պայմանավորված է ն</w:t>
      </w:r>
      <w:r w:rsidRPr="001F63BA">
        <w:rPr>
          <w:rFonts w:ascii="GHEA Grapalat" w:hAnsi="GHEA Grapalat" w:cs="GHEA Grapalat"/>
          <w:sz w:val="22"/>
          <w:szCs w:val="22"/>
        </w:rPr>
        <w:t>ախորդ տարվա համեմատ մաքսային բնագավառի լիցենզավորման գծով մուտքեր</w:t>
      </w:r>
      <w:r w:rsidRPr="001F63BA">
        <w:rPr>
          <w:rFonts w:ascii="GHEA Grapalat" w:hAnsi="GHEA Grapalat" w:cs="GHEA Grapalat"/>
          <w:sz w:val="22"/>
          <w:szCs w:val="22"/>
          <w:lang w:val="en-US"/>
        </w:rPr>
        <w:t>ի</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36.6</w:t>
      </w:r>
      <w:r w:rsidRPr="001F63BA">
        <w:rPr>
          <w:rFonts w:ascii="GHEA Grapalat" w:hAnsi="GHEA Grapalat" w:cs="GHEA Grapalat"/>
          <w:sz w:val="22"/>
          <w:szCs w:val="22"/>
        </w:rPr>
        <w:t xml:space="preserve">% կամ </w:t>
      </w:r>
      <w:r w:rsidRPr="001F63BA">
        <w:rPr>
          <w:rFonts w:ascii="GHEA Grapalat" w:hAnsi="GHEA Grapalat" w:cs="GHEA Grapalat"/>
          <w:sz w:val="22"/>
          <w:szCs w:val="22"/>
          <w:lang w:val="en-US"/>
        </w:rPr>
        <w:t xml:space="preserve">1.3 </w:t>
      </w:r>
      <w:r w:rsidRPr="001F63BA">
        <w:rPr>
          <w:rFonts w:ascii="GHEA Grapalat" w:hAnsi="GHEA Grapalat" w:cs="GHEA Grapalat"/>
          <w:sz w:val="22"/>
          <w:szCs w:val="22"/>
        </w:rPr>
        <w:t>մ</w:t>
      </w:r>
      <w:r w:rsidRPr="001F63BA">
        <w:rPr>
          <w:rFonts w:ascii="GHEA Grapalat" w:hAnsi="GHEA Grapalat" w:cs="GHEA Grapalat"/>
          <w:sz w:val="22"/>
          <w:szCs w:val="22"/>
          <w:lang w:val="en-US"/>
        </w:rPr>
        <w:t>լրդ</w:t>
      </w:r>
      <w:r w:rsidRPr="001F63BA">
        <w:rPr>
          <w:rFonts w:ascii="GHEA Grapalat" w:hAnsi="GHEA Grapalat" w:cs="GHEA Grapalat"/>
          <w:sz w:val="22"/>
          <w:szCs w:val="22"/>
        </w:rPr>
        <w:t xml:space="preserve"> դրամ աճ</w:t>
      </w:r>
      <w:r w:rsidRPr="001F63BA">
        <w:rPr>
          <w:rFonts w:ascii="GHEA Grapalat" w:hAnsi="GHEA Grapalat" w:cs="GHEA Grapalat"/>
          <w:sz w:val="22"/>
          <w:szCs w:val="22"/>
          <w:lang w:val="en-US"/>
        </w:rPr>
        <w:t>ը</w:t>
      </w:r>
      <w:r w:rsidRPr="001F63BA">
        <w:rPr>
          <w:rFonts w:ascii="GHEA Grapalat" w:hAnsi="GHEA Grapalat" w:cs="GHEA Grapalat"/>
          <w:sz w:val="22"/>
          <w:szCs w:val="22"/>
        </w:rPr>
        <w:t xml:space="preserve">: </w:t>
      </w:r>
    </w:p>
    <w:p w:rsidR="001C411D" w:rsidRPr="001F63BA" w:rsidRDefault="001C411D" w:rsidP="002F7E29">
      <w:pPr>
        <w:tabs>
          <w:tab w:val="left" w:pos="851"/>
        </w:tabs>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2022 թվականին պետական տուրքերի </w:t>
      </w:r>
      <w:r w:rsidRPr="001F63BA">
        <w:rPr>
          <w:rFonts w:ascii="GHEA Grapalat" w:hAnsi="GHEA Grapalat" w:cs="GHEA Grapalat"/>
          <w:sz w:val="22"/>
          <w:szCs w:val="22"/>
          <w:lang w:val="en-US"/>
        </w:rPr>
        <w:t>16.7</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ը </w:t>
      </w:r>
      <w:r w:rsidRPr="001F63BA">
        <w:rPr>
          <w:rFonts w:ascii="GHEA Grapalat" w:hAnsi="GHEA Grapalat" w:cs="Calibri"/>
          <w:sz w:val="22"/>
          <w:szCs w:val="22"/>
        </w:rPr>
        <w:t xml:space="preserve">կազմել են </w:t>
      </w:r>
      <w:r w:rsidRPr="001F63BA">
        <w:rPr>
          <w:rFonts w:ascii="GHEA Grapalat" w:hAnsi="GHEA Grapalat" w:cs="GHEA Grapalat"/>
          <w:i/>
          <w:sz w:val="22"/>
          <w:szCs w:val="22"/>
        </w:rPr>
        <w:t>օրենքով սահմանված այլ ծառայությունների և գործողությունների համար գանձվող տուրքերը,</w:t>
      </w:r>
      <w:r w:rsidRPr="001F63BA">
        <w:rPr>
          <w:rFonts w:ascii="GHEA Grapalat" w:hAnsi="GHEA Grapalat" w:cs="GHEA Grapalat"/>
          <w:sz w:val="22"/>
          <w:szCs w:val="22"/>
        </w:rPr>
        <w:t xml:space="preserve"> որոնք </w:t>
      </w:r>
      <w:r w:rsidRPr="001F63BA">
        <w:rPr>
          <w:rFonts w:ascii="GHEA Grapalat" w:hAnsi="GHEA Grapalat" w:cs="GHEA Grapalat"/>
          <w:sz w:val="22"/>
          <w:szCs w:val="22"/>
          <w:lang w:val="en-US"/>
        </w:rPr>
        <w:t>գերա</w:t>
      </w:r>
      <w:r w:rsidRPr="001F63BA">
        <w:rPr>
          <w:rFonts w:ascii="GHEA Grapalat" w:hAnsi="GHEA Grapalat" w:cs="GHEA Grapalat"/>
          <w:sz w:val="22"/>
          <w:szCs w:val="22"/>
        </w:rPr>
        <w:t>զ</w:t>
      </w:r>
      <w:r w:rsidRPr="001F63BA">
        <w:rPr>
          <w:rFonts w:ascii="GHEA Grapalat" w:hAnsi="GHEA Grapalat" w:cs="GHEA Grapalat"/>
          <w:sz w:val="22"/>
          <w:szCs w:val="22"/>
          <w:lang w:val="en-US"/>
        </w:rPr>
        <w:t>անց</w:t>
      </w:r>
      <w:r w:rsidRPr="001F63BA">
        <w:rPr>
          <w:rFonts w:ascii="GHEA Grapalat" w:hAnsi="GHEA Grapalat" w:cs="GHEA Grapalat"/>
          <w:sz w:val="22"/>
          <w:szCs w:val="22"/>
        </w:rPr>
        <w:t>ել են ծրագրված ցուցանիշը՝ հիմնականում պայմանավորված ՀՀ-ից օդային տրանսպորտի միջոցներով ֆիզիկական անձանց (օդային ուղևորների) ելքի համար գանձված տուրքերի կատարողականով: Հիմնականում նշված տուրքերի գծով մուտքերի աճով է պայմանավորված նախորդ տարվա համեմատ օրենքով սահմանված այլ ծառայությունների և գործողությունների համար գանձվող տուրքերի գծով մուտքերի աճը: Հաշվետու տարում ՀՀ-ից օդային տրանսպորտով ֆիզիկական անձանց (օդային ուղևորների) ելքի համար մուտքերը կազմել են շուրջ 13.1</w:t>
      </w:r>
      <w:r w:rsidRPr="001F63BA">
        <w:rPr>
          <w:rFonts w:ascii="Courier New" w:hAnsi="Courier New" w:cs="Courier New"/>
          <w:sz w:val="22"/>
          <w:szCs w:val="22"/>
        </w:rPr>
        <w:t> </w:t>
      </w:r>
      <w:r w:rsidRPr="001F63BA">
        <w:rPr>
          <w:rFonts w:ascii="GHEA Grapalat" w:hAnsi="GHEA Grapalat" w:cs="GHEA Grapalat"/>
          <w:sz w:val="22"/>
          <w:szCs w:val="22"/>
        </w:rPr>
        <w:t xml:space="preserve">մլրդ դրամ` 58.4%-ով (4.8 մլրդ դրամով) գերազանցելով կանխատեսված ցուցանիշը, որը պայմանավորված է օտարերկրյա խոշոր ավիաընկերությունների կողմից չվերթերի իրականացման, ոչ կանոնավոր չվերթերի քանակի աճով, ինչպես նաև չվերթերի աշխարհագրության ընդլայնմամբ: 2022 թվականին գրանցվել է ուղևորափոխադրումների աննախադեպ աճ, որը կազմել է մոտ 3.7 մլն ուղևոր։ </w:t>
      </w:r>
      <w:r w:rsidRPr="001F63BA">
        <w:rPr>
          <w:rFonts w:ascii="GHEA Grapalat" w:hAnsi="GHEA Grapalat" w:cs="GHEA Grapalat"/>
          <w:sz w:val="22"/>
          <w:szCs w:val="22"/>
          <w:lang w:val="en-US"/>
        </w:rPr>
        <w:t>Արդյունքում գրանցվել է</w:t>
      </w:r>
      <w:r w:rsidRPr="001F63BA">
        <w:rPr>
          <w:rFonts w:ascii="GHEA Grapalat" w:hAnsi="GHEA Grapalat" w:cs="GHEA Grapalat"/>
          <w:sz w:val="22"/>
          <w:szCs w:val="22"/>
        </w:rPr>
        <w:t xml:space="preserve"> նախորդ տարվա համեմատ ՀՀ-ից օդային տրանսպորտով ֆիզիկական անձանց (օդային ուղևորների) ելքի համար</w:t>
      </w:r>
      <w:r w:rsidRPr="001F63BA">
        <w:rPr>
          <w:rFonts w:ascii="GHEA Grapalat" w:hAnsi="GHEA Grapalat" w:cs="GHEA Grapalat"/>
          <w:sz w:val="22"/>
          <w:szCs w:val="22"/>
          <w:lang w:val="en-US"/>
        </w:rPr>
        <w:t xml:space="preserve"> գանձվող տուրքի</w:t>
      </w:r>
      <w:r w:rsidRPr="001F63BA">
        <w:rPr>
          <w:rFonts w:ascii="GHEA Grapalat" w:hAnsi="GHEA Grapalat" w:cs="GHEA Grapalat"/>
          <w:sz w:val="22"/>
          <w:szCs w:val="22"/>
        </w:rPr>
        <w:t xml:space="preserve"> 35.5% կամ 3.4 մլրդ դրամ ա</w:t>
      </w:r>
      <w:r w:rsidRPr="001F63BA">
        <w:rPr>
          <w:rFonts w:ascii="GHEA Grapalat" w:hAnsi="GHEA Grapalat" w:cs="GHEA Grapalat"/>
          <w:sz w:val="22"/>
          <w:szCs w:val="22"/>
          <w:lang w:val="en-US"/>
        </w:rPr>
        <w:t>ճ</w:t>
      </w:r>
      <w:r w:rsidRPr="001F63BA">
        <w:rPr>
          <w:rFonts w:ascii="GHEA Grapalat" w:hAnsi="GHEA Grapalat" w:cs="GHEA Grapalat"/>
          <w:sz w:val="22"/>
          <w:szCs w:val="22"/>
        </w:rPr>
        <w:t>:</w:t>
      </w:r>
    </w:p>
    <w:p w:rsidR="001C411D" w:rsidRPr="001F63BA" w:rsidRDefault="001C411D" w:rsidP="002F7E29">
      <w:pPr>
        <w:tabs>
          <w:tab w:val="left" w:pos="851"/>
        </w:tabs>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Օրենքով սահմանված դեպքերում ծանուցման ենթակա գործունեությամբ զբաղվելու իրավունք ձեռք բերելու համար սահմանված պետական տուրքը կազմել է 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մլրդ դրամ՝ 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անգամ (1.</w:t>
      </w:r>
      <w:r w:rsidRPr="001F63BA">
        <w:rPr>
          <w:rFonts w:ascii="GHEA Grapalat" w:hAnsi="GHEA Grapalat" w:cs="GHEA Grapalat"/>
          <w:sz w:val="22"/>
          <w:szCs w:val="22"/>
          <w:lang w:val="en-US"/>
        </w:rPr>
        <w:t>2</w:t>
      </w:r>
      <w:r w:rsidRPr="001F63BA">
        <w:rPr>
          <w:rFonts w:ascii="Courier New" w:hAnsi="Courier New" w:cs="Courier New"/>
          <w:sz w:val="22"/>
          <w:szCs w:val="22"/>
        </w:rPr>
        <w:t> </w:t>
      </w:r>
      <w:r w:rsidRPr="001F63BA">
        <w:rPr>
          <w:rFonts w:ascii="GHEA Grapalat" w:hAnsi="GHEA Grapalat" w:cs="GHEA Grapalat"/>
          <w:sz w:val="22"/>
          <w:szCs w:val="22"/>
        </w:rPr>
        <w:t>մլրդ</w:t>
      </w:r>
      <w:r w:rsidRPr="001F63BA">
        <w:rPr>
          <w:rFonts w:ascii="Courier New" w:hAnsi="Courier New" w:cs="Courier New"/>
          <w:sz w:val="22"/>
          <w:szCs w:val="22"/>
        </w:rPr>
        <w:t> </w:t>
      </w:r>
      <w:r w:rsidRPr="001F63BA">
        <w:rPr>
          <w:rFonts w:ascii="GHEA Grapalat" w:hAnsi="GHEA Grapalat" w:cs="GHEA Grapalat"/>
          <w:sz w:val="22"/>
          <w:szCs w:val="22"/>
        </w:rPr>
        <w:t>դրամով) գերազանցելով կանխատեսված ցուցանիշը, որը հիմնականում պայմանավորված է ԱՏԳ ԱԱ դասակարգչի 220820 ծածկագրին դասվող խաղողի գինու կամ խաղողի մզման թորումից ստացվող սպիրտային թրմօղիների արտադրության և մինչև 100 հազար լիտր (100 տոկոսանոց սպիրտի հաշվարկով) արտադրանքի իրացման՝ կանխատեսվածից մեծ ծավալներով: Նախորդ տարվա համեմատ նշված տուրքերի գծով մուտքերը</w:t>
      </w:r>
      <w:r w:rsidRPr="001F63BA">
        <w:rPr>
          <w:rFonts w:ascii="GHEA Grapalat" w:hAnsi="GHEA Grapalat" w:cs="Calibri"/>
          <w:sz w:val="22"/>
          <w:szCs w:val="22"/>
          <w:lang w:val="en-US"/>
        </w:rPr>
        <w:t xml:space="preserve"> </w:t>
      </w:r>
      <w:r w:rsidRPr="001F63BA">
        <w:rPr>
          <w:rFonts w:ascii="GHEA Grapalat" w:hAnsi="GHEA Grapalat" w:cs="Calibri"/>
          <w:sz w:val="22"/>
          <w:szCs w:val="22"/>
        </w:rPr>
        <w:t>ն</w:t>
      </w:r>
      <w:r w:rsidRPr="001F63BA">
        <w:rPr>
          <w:rFonts w:ascii="GHEA Grapalat" w:hAnsi="GHEA Grapalat" w:cs="Calibri"/>
          <w:sz w:val="22"/>
          <w:szCs w:val="22"/>
          <w:lang w:val="en-US"/>
        </w:rPr>
        <w:t>վ</w:t>
      </w:r>
      <w:r w:rsidRPr="001F63BA">
        <w:rPr>
          <w:rFonts w:ascii="GHEA Grapalat" w:hAnsi="GHEA Grapalat" w:cs="Calibri"/>
          <w:sz w:val="22"/>
          <w:szCs w:val="22"/>
        </w:rPr>
        <w:t>ա</w:t>
      </w:r>
      <w:r w:rsidRPr="001F63BA">
        <w:rPr>
          <w:rFonts w:ascii="GHEA Grapalat" w:hAnsi="GHEA Grapalat" w:cs="Calibri"/>
          <w:sz w:val="22"/>
          <w:szCs w:val="22"/>
          <w:lang w:val="en-US"/>
        </w:rPr>
        <w:t>զ</w:t>
      </w:r>
      <w:r w:rsidRPr="001F63BA">
        <w:rPr>
          <w:rFonts w:ascii="GHEA Grapalat" w:hAnsi="GHEA Grapalat" w:cs="Calibri"/>
          <w:sz w:val="22"/>
          <w:szCs w:val="22"/>
        </w:rPr>
        <w:t xml:space="preserve">ել են </w:t>
      </w:r>
      <w:r w:rsidRPr="001F63BA">
        <w:rPr>
          <w:rFonts w:ascii="GHEA Grapalat" w:hAnsi="GHEA Grapalat" w:cs="Calibri"/>
          <w:sz w:val="22"/>
          <w:szCs w:val="22"/>
          <w:lang w:val="en-US"/>
        </w:rPr>
        <w:t>15.6</w:t>
      </w:r>
      <w:r w:rsidRPr="001F63BA">
        <w:rPr>
          <w:rFonts w:ascii="GHEA Grapalat" w:hAnsi="GHEA Grapalat" w:cs="Calibri"/>
          <w:sz w:val="22"/>
          <w:szCs w:val="22"/>
        </w:rPr>
        <w:t xml:space="preserve">%-ով կամ </w:t>
      </w:r>
      <w:r w:rsidRPr="001F63BA">
        <w:rPr>
          <w:rFonts w:ascii="GHEA Grapalat" w:hAnsi="GHEA Grapalat" w:cs="Calibri"/>
          <w:sz w:val="22"/>
          <w:szCs w:val="22"/>
          <w:lang w:val="en-US"/>
        </w:rPr>
        <w:t xml:space="preserve">409.9 </w:t>
      </w:r>
      <w:r w:rsidRPr="001F63BA">
        <w:rPr>
          <w:rFonts w:ascii="GHEA Grapalat" w:hAnsi="GHEA Grapalat" w:cs="Calibri"/>
          <w:sz w:val="22"/>
          <w:szCs w:val="22"/>
        </w:rPr>
        <w:t>մլն դրամով</w:t>
      </w:r>
      <w:r w:rsidRPr="001F63BA">
        <w:rPr>
          <w:rFonts w:ascii="GHEA Grapalat" w:hAnsi="GHEA Grapalat" w:cs="Calibri"/>
          <w:sz w:val="22"/>
          <w:szCs w:val="22"/>
          <w:lang w:val="en-US"/>
        </w:rPr>
        <w:t>՝ հիմնականում պայմանավորված նշված արտադրանքի արտադրության և իրացման ծավալների նվազմամբ</w:t>
      </w:r>
      <w:r w:rsidRPr="001F63BA">
        <w:rPr>
          <w:rFonts w:ascii="GHEA Grapalat" w:hAnsi="GHEA Grapalat" w:cs="GHEA Grapalat"/>
          <w:sz w:val="22"/>
          <w:szCs w:val="22"/>
        </w:rPr>
        <w:t>:</w:t>
      </w:r>
      <w:r w:rsidRPr="001F63BA">
        <w:rPr>
          <w:rFonts w:ascii="GHEA Grapalat" w:hAnsi="GHEA Grapalat" w:cs="Calibri"/>
          <w:sz w:val="22"/>
          <w:szCs w:val="22"/>
        </w:rPr>
        <w:t xml:space="preserve"> </w:t>
      </w:r>
    </w:p>
    <w:p w:rsidR="001C411D" w:rsidRPr="001F63BA" w:rsidRDefault="001C411D" w:rsidP="002F7E29">
      <w:pPr>
        <w:spacing w:line="360" w:lineRule="auto"/>
        <w:ind w:right="9" w:firstLine="567"/>
        <w:jc w:val="both"/>
        <w:rPr>
          <w:rFonts w:ascii="GHEA Grapalat" w:hAnsi="GHEA Grapalat" w:cs="GHEA Grapalat"/>
          <w:sz w:val="22"/>
          <w:szCs w:val="22"/>
        </w:rPr>
      </w:pPr>
      <w:r w:rsidRPr="001F63BA">
        <w:rPr>
          <w:rFonts w:ascii="GHEA Grapalat" w:hAnsi="GHEA Grapalat" w:cs="GHEA Grapalat"/>
          <w:sz w:val="22"/>
          <w:szCs w:val="22"/>
        </w:rPr>
        <w:t xml:space="preserve">Օրենքով սահմանված այլ ծառայությունների և գործողությունների համար գանձված պետական տուրքի գումարներից շուրջ 1.6 մլրդ դրամը ստացվել է վարորդական իրավունքի վկայական և կորցրած վկայականի կրկնօրինակը տալու համար՝ 26.1%-ով (327.3 մլն դրամով) գերազանցելով </w:t>
      </w:r>
      <w:r w:rsidRPr="001F63BA">
        <w:rPr>
          <w:rFonts w:ascii="GHEA Grapalat" w:hAnsi="GHEA Grapalat" w:cs="GHEA Grapalat"/>
          <w:sz w:val="22"/>
          <w:szCs w:val="22"/>
        </w:rPr>
        <w:lastRenderedPageBreak/>
        <w:t>կանխատեսված ցուցանիշը և 8.6%</w:t>
      </w:r>
      <w:r w:rsidRPr="001F63BA">
        <w:rPr>
          <w:rFonts w:ascii="GHEA Grapalat" w:hAnsi="GHEA Grapalat" w:cs="GHEA Grapalat"/>
          <w:sz w:val="22"/>
          <w:szCs w:val="22"/>
        </w:rPr>
        <w:noBreakHyphen/>
        <w:t>ով (125.3 մլն դրամով)՝ նախորդ տարվա փաստացի ցուցանիշը: Մուտքերի գերազանցումը հիմնականում պայմանավորված է մեծ թվով ժամկետանց, ժամկետին մոտեցող, ինչպես նաև վնասված վարորդական վկայականների փոխանակմամբ:</w:t>
      </w:r>
    </w:p>
    <w:p w:rsidR="001C411D" w:rsidRPr="001F63BA" w:rsidRDefault="001C411D" w:rsidP="002F7E29">
      <w:pPr>
        <w:spacing w:line="360" w:lineRule="auto"/>
        <w:ind w:right="9" w:firstLine="567"/>
        <w:jc w:val="both"/>
        <w:rPr>
          <w:rFonts w:ascii="GHEA Grapalat" w:hAnsi="GHEA Grapalat" w:cs="Calibri"/>
          <w:sz w:val="22"/>
          <w:szCs w:val="22"/>
        </w:rPr>
      </w:pPr>
      <w:r w:rsidRPr="001F63BA">
        <w:rPr>
          <w:rFonts w:ascii="GHEA Grapalat" w:hAnsi="GHEA Grapalat" w:cs="Calibri"/>
          <w:sz w:val="22"/>
          <w:szCs w:val="22"/>
        </w:rPr>
        <w:t xml:space="preserve">Պետական տուրքերի 4.6%-ը կազմել են </w:t>
      </w:r>
      <w:r w:rsidRPr="001F63BA">
        <w:rPr>
          <w:rFonts w:ascii="GHEA Grapalat" w:hAnsi="GHEA Grapalat" w:cs="Calibri"/>
          <w:i/>
          <w:sz w:val="22"/>
          <w:szCs w:val="22"/>
        </w:rPr>
        <w:t>պետական գրանցումների</w:t>
      </w:r>
      <w:r w:rsidRPr="001F63BA">
        <w:rPr>
          <w:rFonts w:ascii="GHEA Grapalat" w:hAnsi="GHEA Grapalat" w:cs="Calibri"/>
          <w:sz w:val="22"/>
          <w:szCs w:val="22"/>
        </w:rPr>
        <w:t xml:space="preserve"> </w:t>
      </w:r>
      <w:r w:rsidRPr="001F63BA">
        <w:rPr>
          <w:rFonts w:ascii="GHEA Grapalat" w:hAnsi="GHEA Grapalat" w:cs="GHEA Grapalat"/>
          <w:sz w:val="22"/>
          <w:szCs w:val="22"/>
        </w:rPr>
        <w:t xml:space="preserve">համար գանձված տուրքերը, որոնք </w:t>
      </w:r>
      <w:r w:rsidRPr="001F63BA">
        <w:rPr>
          <w:rFonts w:ascii="GHEA Grapalat" w:hAnsi="GHEA Grapalat" w:cs="Calibri"/>
          <w:sz w:val="22"/>
          <w:szCs w:val="22"/>
        </w:rPr>
        <w:t>8</w:t>
      </w:r>
      <w:r w:rsidRPr="001F63BA">
        <w:rPr>
          <w:rFonts w:ascii="GHEA Grapalat" w:hAnsi="GHEA Grapalat" w:cs="Calibri"/>
          <w:sz w:val="22"/>
          <w:szCs w:val="22"/>
          <w:lang w:val="en-US"/>
        </w:rPr>
        <w:t>.6</w:t>
      </w:r>
      <w:r w:rsidRPr="001F63BA">
        <w:rPr>
          <w:rFonts w:ascii="GHEA Grapalat" w:hAnsi="GHEA Grapalat" w:cs="Calibri"/>
          <w:sz w:val="22"/>
          <w:szCs w:val="22"/>
        </w:rPr>
        <w:t>%-ով (</w:t>
      </w:r>
      <w:r w:rsidRPr="001F63BA">
        <w:rPr>
          <w:rFonts w:ascii="GHEA Grapalat" w:hAnsi="GHEA Grapalat" w:cs="Calibri"/>
          <w:sz w:val="22"/>
          <w:szCs w:val="22"/>
          <w:lang w:val="en-US"/>
        </w:rPr>
        <w:t>45</w:t>
      </w:r>
      <w:r w:rsidRPr="001F63BA">
        <w:rPr>
          <w:rFonts w:ascii="GHEA Grapalat" w:hAnsi="GHEA Grapalat" w:cs="Calibri"/>
          <w:sz w:val="22"/>
          <w:szCs w:val="22"/>
        </w:rPr>
        <w:t>7.8 մլն դրամով)</w:t>
      </w:r>
      <w:r w:rsidRPr="001F63BA">
        <w:rPr>
          <w:rFonts w:ascii="GHEA Grapalat" w:hAnsi="GHEA Grapalat" w:cs="Calibri"/>
          <w:sz w:val="22"/>
          <w:szCs w:val="22"/>
          <w:lang w:val="en-US"/>
        </w:rPr>
        <w:t xml:space="preserve"> </w:t>
      </w:r>
      <w:r w:rsidRPr="001F63BA">
        <w:rPr>
          <w:rFonts w:ascii="GHEA Grapalat" w:hAnsi="GHEA Grapalat" w:cs="GHEA Grapalat"/>
          <w:sz w:val="22"/>
          <w:szCs w:val="22"/>
        </w:rPr>
        <w:t xml:space="preserve">զիջել են </w:t>
      </w:r>
      <w:r w:rsidRPr="001F63BA">
        <w:rPr>
          <w:rFonts w:ascii="GHEA Grapalat" w:hAnsi="GHEA Grapalat" w:cs="Calibri"/>
          <w:sz w:val="22"/>
          <w:szCs w:val="22"/>
        </w:rPr>
        <w:t>կանխատեսված ցուցանիշը և 4.</w:t>
      </w:r>
      <w:r w:rsidRPr="001F63BA">
        <w:rPr>
          <w:rFonts w:ascii="GHEA Grapalat" w:hAnsi="GHEA Grapalat" w:cs="Calibri"/>
          <w:sz w:val="22"/>
          <w:szCs w:val="22"/>
          <w:lang w:val="en-US"/>
        </w:rPr>
        <w:t>5</w:t>
      </w:r>
      <w:r w:rsidRPr="001F63BA">
        <w:rPr>
          <w:rFonts w:ascii="GHEA Grapalat" w:hAnsi="GHEA Grapalat" w:cs="Calibri"/>
          <w:sz w:val="22"/>
          <w:szCs w:val="22"/>
        </w:rPr>
        <w:t>%-ով (</w:t>
      </w:r>
      <w:r w:rsidRPr="001F63BA">
        <w:rPr>
          <w:rFonts w:ascii="GHEA Grapalat" w:hAnsi="GHEA Grapalat" w:cs="Calibri"/>
          <w:sz w:val="22"/>
          <w:szCs w:val="22"/>
          <w:lang w:val="en-US"/>
        </w:rPr>
        <w:t>22</w:t>
      </w:r>
      <w:r w:rsidRPr="001F63BA">
        <w:rPr>
          <w:rFonts w:ascii="GHEA Grapalat" w:hAnsi="GHEA Grapalat" w:cs="Calibri"/>
          <w:sz w:val="22"/>
          <w:szCs w:val="22"/>
        </w:rPr>
        <w:t>8.</w:t>
      </w:r>
      <w:r w:rsidRPr="001F63BA">
        <w:rPr>
          <w:rFonts w:ascii="GHEA Grapalat" w:hAnsi="GHEA Grapalat" w:cs="Calibri"/>
          <w:sz w:val="22"/>
          <w:szCs w:val="22"/>
          <w:lang w:val="en-US"/>
        </w:rPr>
        <w:t>3</w:t>
      </w:r>
      <w:r w:rsidRPr="001F63BA">
        <w:rPr>
          <w:rFonts w:ascii="Courier New" w:hAnsi="Courier New" w:cs="Courier New"/>
          <w:sz w:val="22"/>
          <w:szCs w:val="22"/>
          <w:lang w:val="en-US"/>
        </w:rPr>
        <w:t> </w:t>
      </w:r>
      <w:r w:rsidRPr="001F63BA">
        <w:rPr>
          <w:rFonts w:ascii="GHEA Grapalat" w:hAnsi="GHEA Grapalat" w:cs="Calibri"/>
          <w:sz w:val="22"/>
          <w:szCs w:val="22"/>
        </w:rPr>
        <w:t>մլն դրամով)</w:t>
      </w:r>
      <w:r w:rsidRPr="001F63BA">
        <w:rPr>
          <w:rFonts w:ascii="GHEA Grapalat" w:hAnsi="GHEA Grapalat" w:cs="Calibri"/>
          <w:sz w:val="22"/>
          <w:szCs w:val="22"/>
          <w:lang w:val="en-US"/>
        </w:rPr>
        <w:t xml:space="preserve"> </w:t>
      </w:r>
      <w:r w:rsidRPr="001F63BA">
        <w:rPr>
          <w:rFonts w:ascii="GHEA Grapalat" w:hAnsi="GHEA Grapalat" w:cs="Calibri"/>
          <w:sz w:val="22"/>
          <w:szCs w:val="22"/>
        </w:rPr>
        <w:t>նախորդ տարվա փաստացի մուտքերը: Կանխատեսված ցուցանիշի համեմատ շեղումը հիմնականում</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պայմանավորված</w:t>
      </w:r>
      <w:r w:rsidRPr="001F63BA">
        <w:rPr>
          <w:rFonts w:ascii="GHEA Grapalat" w:hAnsi="GHEA Grapalat" w:cs="GHEA Grapalat"/>
          <w:sz w:val="22"/>
          <w:szCs w:val="22"/>
          <w:lang w:val="en-US"/>
        </w:rPr>
        <w:t xml:space="preserve"> է ա</w:t>
      </w:r>
      <w:r w:rsidRPr="001F63BA">
        <w:rPr>
          <w:rFonts w:ascii="GHEA Grapalat" w:hAnsi="GHEA Grapalat" w:cs="GHEA Grapalat"/>
          <w:sz w:val="22"/>
          <w:szCs w:val="22"/>
        </w:rPr>
        <w:t>վտոմոբիլի հաշվառման համարանիշ</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(բացառությամբ տարանցիկ և ժամանակավոր</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համարանիշ) տալու,</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գյուղատնտեսական ինքնագնաց մեքենայի գրանցման, պետական համարանիշ տալու, ինչպես նաև կորցրած պետական համարանիշը վերականգնելու</w:t>
      </w:r>
      <w:r w:rsidRPr="001F63BA">
        <w:rPr>
          <w:rFonts w:ascii="GHEA Grapalat" w:hAnsi="GHEA Grapalat" w:cs="GHEA Grapalat"/>
          <w:sz w:val="22"/>
          <w:szCs w:val="22"/>
          <w:lang w:val="en-US"/>
        </w:rPr>
        <w:t xml:space="preserve"> և ավտոմոբիլի, մոտոտրանսպորտային միջոցի, տրիցիկլի, քվադրիցիկլի</w:t>
      </w:r>
      <w:r w:rsidRPr="001F63BA">
        <w:rPr>
          <w:rFonts w:ascii="GHEA Grapalat" w:hAnsi="GHEA Grapalat" w:cs="GHEA Grapalat"/>
          <w:sz w:val="22"/>
          <w:szCs w:val="22"/>
        </w:rPr>
        <w:t>, կցորդի (կիսակցորդի) հաշվառման վկայագիր տալու համար բյուջե մուտքագրված տուրքերի կատարողականով:</w:t>
      </w:r>
      <w:r w:rsidRPr="001F63BA">
        <w:rPr>
          <w:rFonts w:ascii="GHEA Grapalat" w:hAnsi="GHEA Grapalat" w:cs="GHEA Grapalat"/>
          <w:sz w:val="22"/>
          <w:szCs w:val="22"/>
          <w:lang w:val="en-US"/>
        </w:rPr>
        <w:t xml:space="preserve"> </w:t>
      </w:r>
      <w:r w:rsidRPr="001F63BA">
        <w:rPr>
          <w:rFonts w:ascii="GHEA Grapalat" w:hAnsi="GHEA Grapalat" w:cs="Calibri"/>
          <w:sz w:val="22"/>
          <w:szCs w:val="22"/>
        </w:rPr>
        <w:t>Նախորդ տարվա համեմատ</w:t>
      </w:r>
      <w:r w:rsidRPr="001F63BA">
        <w:rPr>
          <w:rFonts w:ascii="GHEA Grapalat" w:hAnsi="GHEA Grapalat" w:cs="Calibri"/>
          <w:sz w:val="22"/>
          <w:szCs w:val="22"/>
          <w:lang w:val="en-US"/>
        </w:rPr>
        <w:t xml:space="preserve"> </w:t>
      </w:r>
      <w:r w:rsidRPr="001F63BA">
        <w:rPr>
          <w:rFonts w:ascii="GHEA Grapalat" w:hAnsi="GHEA Grapalat" w:cs="Calibri"/>
          <w:sz w:val="22"/>
          <w:szCs w:val="22"/>
        </w:rPr>
        <w:t>պետական գրանցումների համար գանձված տուրքերի 4.</w:t>
      </w:r>
      <w:r w:rsidRPr="001F63BA">
        <w:rPr>
          <w:rFonts w:ascii="GHEA Grapalat" w:hAnsi="GHEA Grapalat" w:cs="Calibri"/>
          <w:sz w:val="22"/>
          <w:szCs w:val="22"/>
          <w:lang w:val="en-US"/>
        </w:rPr>
        <w:t>5</w:t>
      </w:r>
      <w:r w:rsidRPr="001F63BA">
        <w:rPr>
          <w:rFonts w:ascii="GHEA Grapalat" w:hAnsi="GHEA Grapalat" w:cs="Calibri"/>
          <w:sz w:val="22"/>
          <w:szCs w:val="22"/>
        </w:rPr>
        <w:t>% նվազումը հիմնականում պայմանավորված է «Պետական տուրքի մասին» ՀՀ օրենքում կատարված փոփոխությամբ, որի համաձայն 2021 թվականի օգոստոսի 18-ից հանվել է լիցենզառուներին տրանսպորտային միջոցների պարտադիր տեխնիկական զննության համապատասխան նմուշի փաստաթուղթ տրամադրելու համար պետական տուրքի վճարման պահանջը:</w:t>
      </w:r>
    </w:p>
    <w:p w:rsidR="001C411D" w:rsidRPr="001F63BA" w:rsidRDefault="001C411D" w:rsidP="002F7E29">
      <w:pPr>
        <w:spacing w:line="360" w:lineRule="auto"/>
        <w:ind w:right="9" w:firstLine="567"/>
        <w:jc w:val="both"/>
        <w:rPr>
          <w:rFonts w:ascii="GHEA Grapalat" w:hAnsi="GHEA Grapalat" w:cs="Calibri"/>
          <w:sz w:val="22"/>
          <w:szCs w:val="22"/>
        </w:rPr>
      </w:pPr>
      <w:r w:rsidRPr="001F63BA">
        <w:rPr>
          <w:rFonts w:ascii="GHEA Grapalat" w:hAnsi="GHEA Grapalat" w:cs="Calibri"/>
          <w:sz w:val="22"/>
          <w:szCs w:val="22"/>
        </w:rPr>
        <w:t xml:space="preserve">Հաշվետու տարվա ընթացքում պետական գրանցումներից մուտքերից շուրջ 2.1 մլրդ դրամը կազմել են ավտոմոբիլի հաշվառման համարանիշ (բացառությամբ տարանցիկ և ժամանակավոր համարանիշի) հատկացնելու համար, գյուղատնտեսական ինքնագնաց մեքենայի գրանցման, պետական համարանիշ տալու, ինչպես նաև կորցրած պետական համարանիշը վերականգնելու դիմաց ստացված պետական տուրքերը, որոնք 13.9%-ով կամ 334.2 մլն դրամով զիջել են ծրագրային ցուցանիշը: Վերջինս հիմնականում պայմանավորված է գործարքների՝ </w:t>
      </w:r>
      <w:r w:rsidRPr="001F63BA">
        <w:rPr>
          <w:rFonts w:ascii="GHEA Grapalat" w:hAnsi="GHEA Grapalat" w:cs="Calibri"/>
          <w:sz w:val="22"/>
          <w:szCs w:val="22"/>
          <w:lang w:val="en-US"/>
        </w:rPr>
        <w:t>կան</w:t>
      </w:r>
      <w:r w:rsidRPr="001F63BA">
        <w:rPr>
          <w:rFonts w:ascii="GHEA Grapalat" w:hAnsi="GHEA Grapalat" w:cs="Calibri"/>
          <w:sz w:val="22"/>
          <w:szCs w:val="22"/>
        </w:rPr>
        <w:t xml:space="preserve">խատեսվածից պակաս քանակով: Նախորդ տարվա համեմատ նշված տուրքերի գծով մուտքերն աճել են </w:t>
      </w:r>
      <w:r w:rsidRPr="001F63BA">
        <w:rPr>
          <w:rFonts w:ascii="GHEA Grapalat" w:hAnsi="GHEA Grapalat" w:cs="Calibri"/>
          <w:sz w:val="22"/>
          <w:szCs w:val="22"/>
          <w:lang w:val="en-US"/>
        </w:rPr>
        <w:t>2.1</w:t>
      </w:r>
      <w:r w:rsidRPr="001F63BA">
        <w:rPr>
          <w:rFonts w:ascii="GHEA Grapalat" w:hAnsi="GHEA Grapalat" w:cs="Calibri"/>
          <w:sz w:val="22"/>
          <w:szCs w:val="22"/>
        </w:rPr>
        <w:t xml:space="preserve">%-ով կամ </w:t>
      </w:r>
      <w:r w:rsidRPr="001F63BA">
        <w:rPr>
          <w:rFonts w:ascii="GHEA Grapalat" w:hAnsi="GHEA Grapalat" w:cs="Calibri"/>
          <w:sz w:val="22"/>
          <w:szCs w:val="22"/>
          <w:lang w:val="en-US"/>
        </w:rPr>
        <w:t>42.8</w:t>
      </w:r>
      <w:r w:rsidRPr="001F63BA">
        <w:rPr>
          <w:rFonts w:ascii="Courier New" w:hAnsi="Courier New" w:cs="Courier New"/>
          <w:sz w:val="22"/>
          <w:szCs w:val="22"/>
          <w:lang w:val="en-US"/>
        </w:rPr>
        <w:t> </w:t>
      </w:r>
      <w:r w:rsidRPr="001F63BA">
        <w:rPr>
          <w:rFonts w:ascii="GHEA Grapalat" w:hAnsi="GHEA Grapalat" w:cs="Calibri"/>
          <w:sz w:val="22"/>
          <w:szCs w:val="22"/>
        </w:rPr>
        <w:t>մլն դրամով</w:t>
      </w:r>
      <w:r w:rsidRPr="001F63BA">
        <w:rPr>
          <w:rFonts w:ascii="GHEA Grapalat" w:hAnsi="GHEA Grapalat" w:cs="GHEA Grapalat"/>
          <w:sz w:val="22"/>
          <w:szCs w:val="22"/>
        </w:rPr>
        <w:t>:</w:t>
      </w:r>
      <w:r w:rsidRPr="001F63BA">
        <w:rPr>
          <w:rFonts w:ascii="GHEA Grapalat" w:hAnsi="GHEA Grapalat" w:cs="Calibri"/>
          <w:sz w:val="22"/>
          <w:szCs w:val="22"/>
        </w:rPr>
        <w:t xml:space="preserve"> </w:t>
      </w:r>
    </w:p>
    <w:p w:rsidR="001C411D" w:rsidRPr="001F63BA" w:rsidRDefault="001C411D" w:rsidP="00671B4E">
      <w:pPr>
        <w:spacing w:line="360" w:lineRule="auto"/>
        <w:ind w:right="9" w:firstLine="567"/>
        <w:jc w:val="both"/>
        <w:rPr>
          <w:rFonts w:ascii="GHEA Grapalat" w:hAnsi="GHEA Grapalat" w:cs="Calibri"/>
          <w:sz w:val="22"/>
          <w:szCs w:val="22"/>
        </w:rPr>
      </w:pPr>
      <w:r w:rsidRPr="001F63BA">
        <w:rPr>
          <w:rFonts w:ascii="GHEA Grapalat" w:hAnsi="GHEA Grapalat" w:cs="Calibri"/>
          <w:sz w:val="22"/>
          <w:szCs w:val="22"/>
        </w:rPr>
        <w:t xml:space="preserve">Գույքի նկատմամբ իրավունքների պետական գրանցում կատարելու դիմաց ստացվել է 1.3 մլրդ դրամ՝ ապահովելով 95.8% կատարողական, որը պայմանավորված է գործարքների՝ </w:t>
      </w:r>
      <w:r w:rsidRPr="001F63BA">
        <w:rPr>
          <w:rFonts w:ascii="GHEA Grapalat" w:hAnsi="GHEA Grapalat" w:cs="Calibri"/>
          <w:sz w:val="22"/>
          <w:szCs w:val="22"/>
          <w:lang w:val="en-US"/>
        </w:rPr>
        <w:t>կան</w:t>
      </w:r>
      <w:r w:rsidRPr="001F63BA">
        <w:rPr>
          <w:rFonts w:ascii="GHEA Grapalat" w:hAnsi="GHEA Grapalat" w:cs="Calibri"/>
          <w:sz w:val="22"/>
          <w:szCs w:val="22"/>
        </w:rPr>
        <w:t>խատեսվածից պակաս թվով։ Նախորդ տարվա համեմատ նշված տուրքերի գծով մուտքերն աճել են 5.6%</w:t>
      </w:r>
      <w:r w:rsidRPr="001F63BA">
        <w:rPr>
          <w:rFonts w:ascii="GHEA Grapalat" w:hAnsi="GHEA Grapalat" w:cs="Calibri"/>
          <w:sz w:val="22"/>
          <w:szCs w:val="22"/>
        </w:rPr>
        <w:noBreakHyphen/>
        <w:t>ով (70.2 մլն դրամով)</w:t>
      </w:r>
      <w:r w:rsidRPr="001F63BA">
        <w:rPr>
          <w:rFonts w:ascii="GHEA Grapalat" w:hAnsi="GHEA Grapalat" w:cs="Calibri"/>
          <w:sz w:val="22"/>
          <w:szCs w:val="22"/>
          <w:lang w:val="en-US"/>
        </w:rPr>
        <w:t>՝</w:t>
      </w:r>
      <w:r w:rsidRPr="001F63BA">
        <w:rPr>
          <w:rFonts w:ascii="GHEA Grapalat" w:hAnsi="GHEA Grapalat" w:cs="Calibri"/>
          <w:sz w:val="22"/>
          <w:szCs w:val="22"/>
        </w:rPr>
        <w:t xml:space="preserve"> պայմանավորված կատարված գործարքների թվի աճով:</w:t>
      </w:r>
    </w:p>
    <w:p w:rsidR="001C411D" w:rsidRPr="001F63BA" w:rsidRDefault="001C411D" w:rsidP="00865491">
      <w:pPr>
        <w:spacing w:line="360" w:lineRule="auto"/>
        <w:ind w:right="9" w:firstLine="567"/>
        <w:jc w:val="both"/>
        <w:rPr>
          <w:rFonts w:ascii="GHEA Grapalat" w:hAnsi="GHEA Grapalat" w:cs="Calibri"/>
          <w:sz w:val="22"/>
          <w:szCs w:val="22"/>
        </w:rPr>
      </w:pPr>
      <w:r w:rsidRPr="001F63BA">
        <w:rPr>
          <w:rFonts w:ascii="GHEA Grapalat" w:hAnsi="GHEA Grapalat" w:cs="Calibri"/>
          <w:sz w:val="22"/>
          <w:szCs w:val="22"/>
        </w:rPr>
        <w:t xml:space="preserve">Շուրջ 1.1 մլրդ դրամ պետական տուրք է ստացվել ավտոմոբիլի, մոտոտրանսպորտային միջոցի, տրիցիկլի, քվադրիցիկլի, կցորդի (կիսակցորդի) հաշվառման վկայագիր տալու համար, որը 10.6%-ով (126.8 մլն դրամով) զիջել է ծրագրված մուտքերը: Վերջինս հիմնականում պայմանավորված է </w:t>
      </w:r>
      <w:r w:rsidRPr="001F63BA">
        <w:rPr>
          <w:rFonts w:ascii="GHEA Grapalat" w:hAnsi="GHEA Grapalat" w:cs="Calibri"/>
          <w:sz w:val="22"/>
          <w:szCs w:val="22"/>
        </w:rPr>
        <w:lastRenderedPageBreak/>
        <w:t>գործարքների՝ նախատեսվածից պակաս քանակով: Նախորդ տարվա համեմատ նշված տուրքերի գծով մուտքերն աճել են 4%-ով կամ շուրջ 41 մլն դրամով` պայմանավորված գործարքների թվի աճով:</w:t>
      </w:r>
    </w:p>
    <w:p w:rsidR="001C411D" w:rsidRPr="001F63BA" w:rsidRDefault="001C411D" w:rsidP="00865491">
      <w:pPr>
        <w:spacing w:line="360" w:lineRule="auto"/>
        <w:ind w:right="9" w:firstLine="567"/>
        <w:jc w:val="both"/>
        <w:rPr>
          <w:rFonts w:ascii="GHEA Grapalat" w:hAnsi="GHEA Grapalat" w:cs="Calibri"/>
          <w:sz w:val="22"/>
          <w:szCs w:val="22"/>
        </w:rPr>
      </w:pPr>
      <w:r w:rsidRPr="001F63BA">
        <w:rPr>
          <w:rFonts w:ascii="GHEA Grapalat" w:hAnsi="GHEA Grapalat" w:cs="Calibri"/>
          <w:sz w:val="22"/>
          <w:szCs w:val="22"/>
        </w:rPr>
        <w:t>Հաշվետու տարում 332.1 մլն դրամ են կազմել ՀՀ պետական ռեգիստրում պետական գրանցման համար գանձված տուրքերը, որոնք 34.3%-ով (84.8 մլն դրամով) գերազանցել են ծրագրված մուտքերը և 37.5%</w:t>
      </w:r>
      <w:r w:rsidRPr="001F63BA">
        <w:rPr>
          <w:rFonts w:ascii="GHEA Grapalat" w:hAnsi="GHEA Grapalat" w:cs="Calibri"/>
          <w:sz w:val="22"/>
          <w:szCs w:val="22"/>
        </w:rPr>
        <w:noBreakHyphen/>
        <w:t xml:space="preserve">ով (90.6 մլն դրամով)՝ նախորդ տարվա փաստացի ցուցանիշը, որը պայմանավորված է գործարքների թվի աճով: </w:t>
      </w:r>
    </w:p>
    <w:p w:rsidR="001C411D" w:rsidRPr="001F63BA" w:rsidRDefault="001C411D" w:rsidP="00865491">
      <w:pPr>
        <w:spacing w:line="360" w:lineRule="auto"/>
        <w:ind w:right="9" w:firstLine="567"/>
        <w:jc w:val="both"/>
        <w:rPr>
          <w:rFonts w:ascii="GHEA Grapalat" w:hAnsi="GHEA Grapalat" w:cs="Calibri"/>
          <w:sz w:val="22"/>
          <w:szCs w:val="22"/>
        </w:rPr>
      </w:pPr>
      <w:r w:rsidRPr="001F63BA">
        <w:rPr>
          <w:rFonts w:ascii="GHEA Grapalat" w:hAnsi="GHEA Grapalat" w:cs="Calibri"/>
          <w:i/>
          <w:sz w:val="22"/>
          <w:szCs w:val="22"/>
        </w:rPr>
        <w:t>Հյուպատոսական ծառայությունների կամ գործողությունների դիմաց</w:t>
      </w:r>
      <w:r w:rsidRPr="001F63BA">
        <w:rPr>
          <w:rFonts w:ascii="GHEA Grapalat" w:hAnsi="GHEA Grapalat" w:cs="Calibri"/>
          <w:sz w:val="22"/>
          <w:szCs w:val="22"/>
        </w:rPr>
        <w:t xml:space="preserve"> պետական բյուջե վճարված տուրքերը</w:t>
      </w:r>
      <w:r w:rsidRPr="001F63BA">
        <w:rPr>
          <w:rFonts w:ascii="GHEA Grapalat" w:hAnsi="GHEA Grapalat" w:cs="Calibri"/>
          <w:sz w:val="22"/>
          <w:szCs w:val="22"/>
          <w:lang w:val="en-US"/>
        </w:rPr>
        <w:t xml:space="preserve"> 5%-ով</w:t>
      </w:r>
      <w:r w:rsidRPr="001F63BA">
        <w:rPr>
          <w:rFonts w:ascii="GHEA Grapalat" w:hAnsi="GHEA Grapalat" w:cs="Calibri"/>
          <w:sz w:val="22"/>
          <w:szCs w:val="22"/>
        </w:rPr>
        <w:t xml:space="preserve"> գերազանցել են կանխատեսված ցուցանիշը, ինչը հիմնականում պայմանավորված է ռուս-ուկրաինական </w:t>
      </w:r>
      <w:r w:rsidRPr="001F63BA">
        <w:rPr>
          <w:rFonts w:ascii="GHEA Grapalat" w:hAnsi="GHEA Grapalat" w:cs="Calibri"/>
          <w:sz w:val="22"/>
          <w:szCs w:val="22"/>
          <w:lang w:val="en-US"/>
        </w:rPr>
        <w:t>հակամարտության</w:t>
      </w:r>
      <w:r w:rsidRPr="001F63BA">
        <w:rPr>
          <w:rFonts w:ascii="GHEA Grapalat" w:hAnsi="GHEA Grapalat" w:cs="Calibri"/>
          <w:sz w:val="22"/>
          <w:szCs w:val="22"/>
        </w:rPr>
        <w:t xml:space="preserve"> հետևանքով ՀՀ քաղաքացիություն ձեռք բերելու գործերի թվի աճով: Նախորդ տարվա համեմատ մուտքերի</w:t>
      </w:r>
      <w:r w:rsidRPr="001F63BA">
        <w:rPr>
          <w:rFonts w:ascii="GHEA Grapalat" w:hAnsi="GHEA Grapalat" w:cs="Calibri"/>
          <w:sz w:val="22"/>
          <w:szCs w:val="22"/>
          <w:lang w:val="en-US"/>
        </w:rPr>
        <w:t xml:space="preserve"> 16%</w:t>
      </w:r>
      <w:r w:rsidRPr="001F63BA">
        <w:rPr>
          <w:rFonts w:ascii="GHEA Grapalat" w:hAnsi="GHEA Grapalat" w:cs="Calibri"/>
          <w:sz w:val="22"/>
          <w:szCs w:val="22"/>
        </w:rPr>
        <w:t xml:space="preserve"> նվազումը հիմնականում պայմանավորված է արտարժույթ</w:t>
      </w:r>
      <w:r w:rsidRPr="001F63BA">
        <w:rPr>
          <w:rFonts w:ascii="GHEA Grapalat" w:hAnsi="GHEA Grapalat" w:cs="Calibri"/>
          <w:sz w:val="22"/>
          <w:szCs w:val="22"/>
          <w:lang w:val="en-US"/>
        </w:rPr>
        <w:t>ներ</w:t>
      </w:r>
      <w:r w:rsidRPr="001F63BA">
        <w:rPr>
          <w:rFonts w:ascii="GHEA Grapalat" w:hAnsi="GHEA Grapalat" w:cs="Calibri"/>
          <w:sz w:val="22"/>
          <w:szCs w:val="22"/>
        </w:rPr>
        <w:t>ի փոխարժեքների էական նվազմամբ:</w:t>
      </w:r>
    </w:p>
    <w:p w:rsidR="001C411D" w:rsidRPr="001F63BA" w:rsidRDefault="001C411D" w:rsidP="00865491">
      <w:pPr>
        <w:spacing w:line="360" w:lineRule="auto"/>
        <w:ind w:right="9" w:firstLine="567"/>
        <w:jc w:val="both"/>
        <w:rPr>
          <w:rFonts w:ascii="GHEA Grapalat" w:hAnsi="GHEA Grapalat" w:cs="Calibri"/>
          <w:sz w:val="22"/>
          <w:szCs w:val="22"/>
        </w:rPr>
      </w:pPr>
      <w:r w:rsidRPr="001F63BA">
        <w:rPr>
          <w:rFonts w:ascii="GHEA Grapalat" w:hAnsi="GHEA Grapalat" w:cs="Calibri"/>
          <w:i/>
          <w:sz w:val="22"/>
          <w:szCs w:val="22"/>
        </w:rPr>
        <w:t>Ֆիզիկական անձանց տրվող իրավաբանական նշանակության փաստաթղթերի, որոշակի ծառայությունների կամ գործողությունների</w:t>
      </w:r>
      <w:r w:rsidRPr="001F63BA">
        <w:rPr>
          <w:rFonts w:ascii="GHEA Grapalat" w:hAnsi="GHEA Grapalat" w:cs="Calibri"/>
          <w:sz w:val="22"/>
          <w:szCs w:val="22"/>
        </w:rPr>
        <w:t xml:space="preserve"> համար գանձված տուրքերը</w:t>
      </w:r>
      <w:r w:rsidRPr="001F63BA">
        <w:rPr>
          <w:rFonts w:ascii="GHEA Grapalat" w:hAnsi="GHEA Grapalat" w:cs="Calibri"/>
          <w:sz w:val="22"/>
          <w:szCs w:val="22"/>
          <w:lang w:val="en-US"/>
        </w:rPr>
        <w:t xml:space="preserve"> 11.9%-ով</w:t>
      </w:r>
      <w:r w:rsidRPr="001F63BA">
        <w:rPr>
          <w:rFonts w:ascii="GHEA Grapalat" w:hAnsi="GHEA Grapalat" w:cs="Calibri"/>
          <w:sz w:val="22"/>
          <w:szCs w:val="22"/>
        </w:rPr>
        <w:t xml:space="preserve"> գերազանցել են կանխատեսված ցուցանիշը և</w:t>
      </w:r>
      <w:r w:rsidRPr="001F63BA">
        <w:rPr>
          <w:rFonts w:ascii="GHEA Grapalat" w:hAnsi="GHEA Grapalat" w:cs="Calibri"/>
          <w:sz w:val="22"/>
          <w:szCs w:val="22"/>
          <w:lang w:val="en-US"/>
        </w:rPr>
        <w:t xml:space="preserve"> 43.9%-ով՝</w:t>
      </w:r>
      <w:r w:rsidRPr="001F63BA">
        <w:rPr>
          <w:rFonts w:ascii="GHEA Grapalat" w:hAnsi="GHEA Grapalat" w:cs="Calibri"/>
          <w:sz w:val="22"/>
          <w:szCs w:val="22"/>
        </w:rPr>
        <w:t xml:space="preserve"> նախորդ տարվա փաստացի մուտքերը՝ հիմնականում պայմանավորված օտարերկրյա քաղաքացիների ներհոսքի աճով, ինչպես նաև ՀՀ քաղաքացիների՝ օտարերկրյա պետություններ ելքի վավերականացման դիմաց գանձումների աճով:</w:t>
      </w:r>
    </w:p>
    <w:p w:rsidR="001C411D" w:rsidRPr="001F63BA" w:rsidRDefault="001C411D" w:rsidP="00B87391">
      <w:pPr>
        <w:spacing w:line="360" w:lineRule="auto"/>
        <w:ind w:right="9" w:firstLine="567"/>
        <w:jc w:val="both"/>
        <w:rPr>
          <w:rFonts w:ascii="GHEA Grapalat" w:hAnsi="GHEA Grapalat" w:cs="Calibri"/>
          <w:sz w:val="22"/>
          <w:szCs w:val="22"/>
        </w:rPr>
      </w:pPr>
      <w:r w:rsidRPr="001F63BA">
        <w:rPr>
          <w:rFonts w:ascii="GHEA Grapalat" w:hAnsi="GHEA Grapalat" w:cs="Calibri"/>
          <w:sz w:val="22"/>
          <w:szCs w:val="22"/>
        </w:rPr>
        <w:t xml:space="preserve">Հաշվետու տարում </w:t>
      </w:r>
      <w:r w:rsidRPr="001F63BA">
        <w:rPr>
          <w:rFonts w:ascii="GHEA Grapalat" w:hAnsi="GHEA Grapalat" w:cs="Calibri"/>
          <w:i/>
          <w:sz w:val="22"/>
          <w:szCs w:val="22"/>
        </w:rPr>
        <w:t>դատարան տրվող հայցադիմումների, դիմումների ու գանգատների, դատարանների վճիռների և որոշումների դեմ տրվող վճռաբեկ բողոքների, ինչպես նաև դատարանի կողմից տրվող փաստաթղթերի պատճեններ (կրկնօրինակներ) տալու համար</w:t>
      </w:r>
      <w:r w:rsidRPr="001F63BA">
        <w:rPr>
          <w:rFonts w:ascii="GHEA Grapalat" w:hAnsi="GHEA Grapalat" w:cs="Calibri"/>
          <w:sz w:val="22"/>
          <w:szCs w:val="22"/>
        </w:rPr>
        <w:t xml:space="preserve"> պետական բյուջե վճարված </w:t>
      </w:r>
      <w:r w:rsidRPr="001F63BA">
        <w:rPr>
          <w:rFonts w:ascii="GHEA Grapalat" w:hAnsi="GHEA Grapalat" w:cs="Calibri"/>
          <w:sz w:val="22"/>
          <w:szCs w:val="22"/>
          <w:lang w:val="en-US"/>
        </w:rPr>
        <w:t>տուրքերը կազմել են</w:t>
      </w:r>
      <w:r w:rsidRPr="001F63BA">
        <w:rPr>
          <w:rFonts w:ascii="GHEA Grapalat" w:hAnsi="GHEA Grapalat" w:cs="Calibri"/>
          <w:sz w:val="22"/>
          <w:szCs w:val="22"/>
        </w:rPr>
        <w:t xml:space="preserve"> 3.1 մլրդ դրամ</w:t>
      </w:r>
      <w:r w:rsidRPr="001F63BA">
        <w:rPr>
          <w:rFonts w:ascii="GHEA Grapalat" w:hAnsi="GHEA Grapalat" w:cs="Calibri"/>
          <w:sz w:val="22"/>
          <w:szCs w:val="22"/>
          <w:lang w:val="en-US"/>
        </w:rPr>
        <w:t>՝</w:t>
      </w:r>
      <w:r w:rsidRPr="001F63BA">
        <w:rPr>
          <w:rFonts w:ascii="GHEA Grapalat" w:hAnsi="GHEA Grapalat" w:cs="Calibri"/>
          <w:sz w:val="22"/>
          <w:szCs w:val="22"/>
        </w:rPr>
        <w:t xml:space="preserve"> գերազանցել</w:t>
      </w:r>
      <w:r w:rsidRPr="001F63BA">
        <w:rPr>
          <w:rFonts w:ascii="GHEA Grapalat" w:hAnsi="GHEA Grapalat" w:cs="Calibri"/>
          <w:sz w:val="22"/>
          <w:szCs w:val="22"/>
          <w:lang w:val="en-US"/>
        </w:rPr>
        <w:t>ով</w:t>
      </w:r>
      <w:r w:rsidRPr="001F63BA">
        <w:rPr>
          <w:rFonts w:ascii="GHEA Grapalat" w:hAnsi="GHEA Grapalat" w:cs="Calibri"/>
          <w:sz w:val="22"/>
          <w:szCs w:val="22"/>
        </w:rPr>
        <w:t xml:space="preserve"> կանխատեսված և նախորդ տարվա փաստացի ցուցանիշները</w:t>
      </w:r>
      <w:r w:rsidRPr="001F63BA">
        <w:rPr>
          <w:rFonts w:ascii="GHEA Grapalat" w:hAnsi="GHEA Grapalat" w:cs="Calibri"/>
          <w:sz w:val="22"/>
          <w:szCs w:val="22"/>
          <w:lang w:val="en-US"/>
        </w:rPr>
        <w:t>՝</w:t>
      </w:r>
      <w:r w:rsidRPr="001F63BA">
        <w:rPr>
          <w:rFonts w:ascii="GHEA Grapalat" w:hAnsi="GHEA Grapalat" w:cs="Calibri"/>
          <w:sz w:val="22"/>
          <w:szCs w:val="22"/>
        </w:rPr>
        <w:t xml:space="preserve"> հիմնականում պայմանավորված դատական գործերի քանակի աճով: </w:t>
      </w:r>
    </w:p>
    <w:p w:rsidR="001C411D" w:rsidRPr="001F63BA" w:rsidRDefault="001C411D" w:rsidP="006E100B">
      <w:pPr>
        <w:ind w:right="9" w:firstLine="567"/>
        <w:jc w:val="both"/>
        <w:rPr>
          <w:rFonts w:ascii="GHEA Grapalat" w:hAnsi="GHEA Grapalat" w:cs="Calibri"/>
          <w:bCs/>
          <w:sz w:val="22"/>
          <w:szCs w:val="22"/>
        </w:rPr>
      </w:pPr>
    </w:p>
    <w:p w:rsidR="001C411D" w:rsidRPr="001F63BA" w:rsidRDefault="001C411D" w:rsidP="0094312A">
      <w:pPr>
        <w:pStyle w:val="Heading2"/>
      </w:pPr>
      <w:bookmarkStart w:id="139" w:name="_Toc290409646"/>
      <w:bookmarkStart w:id="140" w:name="_Toc291747232"/>
      <w:bookmarkStart w:id="141" w:name="_Toc291747561"/>
      <w:bookmarkStart w:id="142" w:name="_Toc291747931"/>
      <w:bookmarkStart w:id="143" w:name="_Toc322445714"/>
      <w:bookmarkStart w:id="144" w:name="_Toc322445792"/>
      <w:bookmarkStart w:id="145" w:name="_Toc353882541"/>
      <w:bookmarkStart w:id="146" w:name="_Toc354657498"/>
      <w:bookmarkStart w:id="147" w:name="_Toc354658852"/>
      <w:bookmarkStart w:id="148" w:name="_Toc385937083"/>
      <w:bookmarkStart w:id="149" w:name="_Toc417292095"/>
      <w:bookmarkStart w:id="150" w:name="_Toc448908374"/>
      <w:bookmarkStart w:id="151" w:name="_Toc448912551"/>
      <w:bookmarkStart w:id="152" w:name="_Toc448913280"/>
      <w:bookmarkStart w:id="153" w:name="_Toc511744968"/>
      <w:bookmarkStart w:id="154" w:name="_Toc6389327"/>
      <w:bookmarkStart w:id="155" w:name="_Toc69232231"/>
      <w:bookmarkStart w:id="156" w:name="_Toc132204237"/>
      <w:r w:rsidRPr="001F63BA">
        <w:t>Պաշտոնական դրամաշնորհներ</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1F63BA">
        <w:rPr>
          <w:rStyle w:val="FootnoteReference"/>
        </w:rPr>
        <w:footnoteReference w:id="36"/>
      </w:r>
      <w:bookmarkEnd w:id="156"/>
    </w:p>
    <w:p w:rsidR="001C411D" w:rsidRPr="001F63BA" w:rsidRDefault="001C411D" w:rsidP="005E4A11">
      <w:pPr>
        <w:spacing w:line="360" w:lineRule="auto"/>
        <w:ind w:right="9" w:firstLine="567"/>
        <w:jc w:val="both"/>
        <w:rPr>
          <w:rFonts w:ascii="GHEA Grapalat" w:hAnsi="GHEA Grapalat" w:cs="Calibri"/>
          <w:bCs/>
          <w:sz w:val="22"/>
          <w:szCs w:val="22"/>
          <w:lang w:val="en-US"/>
        </w:rPr>
      </w:pPr>
      <w:bookmarkStart w:id="157" w:name="_Toc8218753"/>
      <w:bookmarkStart w:id="158" w:name="_Toc39073422"/>
      <w:bookmarkStart w:id="159" w:name="_Toc290409647"/>
      <w:bookmarkStart w:id="160" w:name="_Toc291747233"/>
      <w:bookmarkStart w:id="161" w:name="_Toc291747562"/>
      <w:bookmarkStart w:id="162" w:name="_Toc291747932"/>
      <w:bookmarkStart w:id="163" w:name="_Toc322445715"/>
      <w:bookmarkStart w:id="164" w:name="_Toc322445793"/>
      <w:bookmarkStart w:id="165" w:name="_Toc353882542"/>
      <w:bookmarkStart w:id="166" w:name="_Toc354657499"/>
      <w:bookmarkStart w:id="167" w:name="_Toc354658853"/>
      <w:bookmarkStart w:id="168" w:name="_Toc385937084"/>
      <w:bookmarkStart w:id="169" w:name="_Toc417292096"/>
      <w:bookmarkStart w:id="170" w:name="_Toc448908375"/>
      <w:bookmarkStart w:id="171" w:name="_Toc448912552"/>
      <w:bookmarkStart w:id="172" w:name="_Toc448913281"/>
      <w:bookmarkStart w:id="173" w:name="_Toc511744969"/>
      <w:bookmarkStart w:id="174" w:name="_Toc6389328"/>
      <w:r w:rsidRPr="001F63BA">
        <w:rPr>
          <w:rFonts w:ascii="GHEA Grapalat" w:hAnsi="GHEA Grapalat" w:cs="Calibri"/>
          <w:bCs/>
          <w:sz w:val="22"/>
          <w:szCs w:val="22"/>
          <w:lang w:val="de-AT"/>
        </w:rPr>
        <w:t xml:space="preserve">2022 </w:t>
      </w:r>
      <w:r w:rsidRPr="001F63BA">
        <w:rPr>
          <w:rFonts w:ascii="GHEA Grapalat" w:hAnsi="GHEA Grapalat" w:cs="Calibri"/>
          <w:bCs/>
          <w:sz w:val="22"/>
          <w:szCs w:val="22"/>
        </w:rPr>
        <w:t>թվականին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արտաքին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աղբյուրներից</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տրամադրվել</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են</w:t>
      </w:r>
      <w:r w:rsidRPr="001F63BA">
        <w:rPr>
          <w:rFonts w:ascii="GHEA Grapalat" w:hAnsi="GHEA Grapalat" w:cs="Calibri"/>
          <w:bCs/>
          <w:sz w:val="22"/>
          <w:szCs w:val="22"/>
          <w:lang w:val="de-AT"/>
        </w:rPr>
        <w:t xml:space="preserve"> շուրջ 15 </w:t>
      </w:r>
      <w:r w:rsidRPr="001F63BA">
        <w:rPr>
          <w:rFonts w:ascii="GHEA Grapalat" w:hAnsi="GHEA Grapalat" w:cs="Calibri"/>
          <w:bCs/>
          <w:sz w:val="22"/>
          <w:szCs w:val="22"/>
        </w:rPr>
        <w:t>մլրդ</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դրամ</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պաշտոնական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դրամաշնորհներ</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կազմելով</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տարեկան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ճշտված</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ծրագրի</w:t>
      </w:r>
      <w:r w:rsidRPr="001F63BA">
        <w:rPr>
          <w:rFonts w:ascii="GHEA Grapalat" w:hAnsi="GHEA Grapalat" w:cs="Calibri"/>
          <w:bCs/>
          <w:sz w:val="22"/>
          <w:szCs w:val="22"/>
          <w:lang w:val="de-AT"/>
        </w:rPr>
        <w:t xml:space="preserve"> 75.4%</w:t>
      </w:r>
      <w:r w:rsidRPr="001F63BA">
        <w:rPr>
          <w:rFonts w:ascii="GHEA Grapalat" w:hAnsi="GHEA Grapalat" w:cs="Calibri"/>
          <w:bCs/>
          <w:sz w:val="22"/>
          <w:szCs w:val="22"/>
          <w:lang w:val="de-AT"/>
        </w:rPr>
        <w:noBreakHyphen/>
      </w:r>
      <w:r w:rsidRPr="001F63BA">
        <w:rPr>
          <w:rFonts w:ascii="GHEA Grapalat" w:hAnsi="GHEA Grapalat" w:cs="Calibri"/>
          <w:bCs/>
          <w:sz w:val="22"/>
          <w:szCs w:val="22"/>
        </w:rPr>
        <w:t>ը</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այսինքն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կանխատեսվածից</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պակաս</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է</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ստացվել</w:t>
      </w:r>
      <w:r w:rsidRPr="001F63BA">
        <w:rPr>
          <w:rFonts w:ascii="GHEA Grapalat" w:hAnsi="GHEA Grapalat" w:cs="Calibri"/>
          <w:bCs/>
          <w:sz w:val="22"/>
          <w:szCs w:val="22"/>
          <w:lang w:val="de-AT"/>
        </w:rPr>
        <w:t xml:space="preserve"> շուրջ 4.9 </w:t>
      </w:r>
      <w:r w:rsidRPr="001F63BA">
        <w:rPr>
          <w:rFonts w:ascii="GHEA Grapalat" w:hAnsi="GHEA Grapalat" w:cs="Calibri"/>
          <w:bCs/>
          <w:sz w:val="22"/>
          <w:szCs w:val="22"/>
        </w:rPr>
        <w:t>մլրդ</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դրամ:</w:t>
      </w:r>
    </w:p>
    <w:p w:rsidR="001C411D" w:rsidRPr="001F63BA" w:rsidRDefault="001C411D" w:rsidP="006E100B">
      <w:pPr>
        <w:ind w:right="9" w:firstLine="567"/>
        <w:jc w:val="both"/>
        <w:rPr>
          <w:rFonts w:ascii="GHEA Grapalat" w:hAnsi="GHEA Grapalat" w:cs="Calibri"/>
          <w:bCs/>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en-US"/>
        </w:rPr>
        <w:lastRenderedPageBreak/>
        <w:t>Պ</w:t>
      </w:r>
      <w:r w:rsidRPr="001F63BA">
        <w:rPr>
          <w:rFonts w:ascii="GHEA Grapalat" w:hAnsi="GHEA Grapalat"/>
          <w:i/>
          <w:sz w:val="18"/>
          <w:szCs w:val="18"/>
          <w:lang w:val="hy-AM"/>
        </w:rPr>
        <w:t xml:space="preserve">աշտոնական դրամաշնորհներ (մլրդ դրամ) </w:t>
      </w:r>
    </w:p>
    <w:tbl>
      <w:tblPr>
        <w:tblW w:w="10206" w:type="dxa"/>
        <w:tblInd w:w="108" w:type="dxa"/>
        <w:tblLayout w:type="fixed"/>
        <w:tblLook w:val="00A0" w:firstRow="1" w:lastRow="0" w:firstColumn="1" w:lastColumn="0" w:noHBand="0" w:noVBand="0"/>
      </w:tblPr>
      <w:tblGrid>
        <w:gridCol w:w="3828"/>
        <w:gridCol w:w="1134"/>
        <w:gridCol w:w="1134"/>
        <w:gridCol w:w="992"/>
        <w:gridCol w:w="1843"/>
        <w:gridCol w:w="1275"/>
      </w:tblGrid>
      <w:tr w:rsidR="001C411D" w:rsidRPr="001F63BA" w:rsidTr="006E100B">
        <w:trPr>
          <w:trHeight w:val="945"/>
        </w:trPr>
        <w:tc>
          <w:tcPr>
            <w:tcW w:w="3828"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714804">
            <w:pPr>
              <w:ind w:left="-15" w:firstLine="15"/>
              <w:rPr>
                <w:rFonts w:ascii="GHEA Grapalat" w:hAnsi="GHEA Grapalat" w:cs="Calibri"/>
                <w:sz w:val="18"/>
                <w:szCs w:val="18"/>
              </w:rPr>
            </w:pPr>
            <w:r w:rsidRPr="001F63BA">
              <w:rPr>
                <w:rFonts w:ascii="Courier New" w:hAnsi="Courier New" w:cs="Courier New"/>
                <w:sz w:val="18"/>
                <w:szCs w:val="18"/>
              </w:rPr>
              <w:t> </w:t>
            </w:r>
          </w:p>
        </w:tc>
        <w:tc>
          <w:tcPr>
            <w:tcW w:w="1134" w:type="dxa"/>
            <w:tcBorders>
              <w:top w:val="single" w:sz="4" w:space="0" w:color="auto"/>
              <w:left w:val="nil"/>
              <w:bottom w:val="single" w:sz="4" w:space="0" w:color="auto"/>
              <w:right w:val="single" w:sz="4" w:space="0" w:color="auto"/>
            </w:tcBorders>
          </w:tcPr>
          <w:p w:rsidR="001C411D" w:rsidRPr="001F63BA" w:rsidRDefault="001C411D" w:rsidP="00714804">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 xml:space="preserve">թ. </w:t>
            </w:r>
            <w:r w:rsidRPr="001F63BA">
              <w:rPr>
                <w:rFonts w:ascii="GHEA Grapalat" w:hAnsi="GHEA Grapalat" w:cs="Calibri"/>
                <w:b/>
                <w:bCs/>
                <w:sz w:val="18"/>
                <w:szCs w:val="18"/>
              </w:rPr>
              <w:br/>
              <w:t>փաստ</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C411D" w:rsidRPr="001F63BA" w:rsidRDefault="001C411D" w:rsidP="00714804">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տարեկան ճշտված պլան</w:t>
            </w:r>
          </w:p>
        </w:tc>
        <w:tc>
          <w:tcPr>
            <w:tcW w:w="992"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5C302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 xml:space="preserve">թ. </w:t>
            </w:r>
            <w:r w:rsidRPr="001F63BA">
              <w:rPr>
                <w:rFonts w:ascii="GHEA Grapalat" w:hAnsi="GHEA Grapalat" w:cs="Calibri"/>
                <w:b/>
                <w:bCs/>
                <w:sz w:val="18"/>
                <w:szCs w:val="18"/>
                <w:lang w:val="en-US"/>
              </w:rPr>
              <w:t>փ</w:t>
            </w:r>
            <w:r w:rsidRPr="001F63BA">
              <w:rPr>
                <w:rFonts w:ascii="GHEA Grapalat" w:hAnsi="GHEA Grapalat" w:cs="Calibri"/>
                <w:b/>
                <w:bCs/>
                <w:sz w:val="18"/>
                <w:szCs w:val="18"/>
              </w:rPr>
              <w:t>աստ</w:t>
            </w:r>
          </w:p>
        </w:tc>
        <w:tc>
          <w:tcPr>
            <w:tcW w:w="1843"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714804">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w:t>
            </w:r>
          </w:p>
          <w:p w:rsidR="001C411D" w:rsidRPr="001F63BA" w:rsidRDefault="001C411D" w:rsidP="00714804">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75"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714804">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նկատմամբ (%)</w:t>
            </w:r>
          </w:p>
        </w:tc>
      </w:tr>
      <w:tr w:rsidR="001C411D" w:rsidRPr="001F63BA" w:rsidTr="006E100B">
        <w:trPr>
          <w:trHeight w:val="312"/>
        </w:trPr>
        <w:tc>
          <w:tcPr>
            <w:tcW w:w="3828" w:type="dxa"/>
            <w:tcBorders>
              <w:top w:val="nil"/>
              <w:left w:val="single" w:sz="4" w:space="0" w:color="auto"/>
              <w:bottom w:val="single" w:sz="4" w:space="0" w:color="auto"/>
              <w:right w:val="single" w:sz="4" w:space="0" w:color="auto"/>
            </w:tcBorders>
            <w:vAlign w:val="center"/>
          </w:tcPr>
          <w:p w:rsidR="001C411D" w:rsidRPr="001F63BA" w:rsidRDefault="001C411D" w:rsidP="005C302C">
            <w:pPr>
              <w:rPr>
                <w:rFonts w:ascii="GHEA Grapalat" w:hAnsi="GHEA Grapalat" w:cs="Calibri"/>
                <w:b/>
                <w:bCs/>
                <w:sz w:val="18"/>
                <w:szCs w:val="18"/>
              </w:rPr>
            </w:pPr>
            <w:r w:rsidRPr="001F63BA">
              <w:rPr>
                <w:rFonts w:ascii="GHEA Grapalat" w:hAnsi="GHEA Grapalat" w:cs="Calibri"/>
                <w:b/>
                <w:i/>
                <w:sz w:val="18"/>
                <w:szCs w:val="18"/>
              </w:rPr>
              <w:t>Պաշտոնական դրամաշնորհներ</w:t>
            </w:r>
          </w:p>
        </w:tc>
        <w:tc>
          <w:tcPr>
            <w:tcW w:w="1134" w:type="dxa"/>
            <w:tcBorders>
              <w:top w:val="single" w:sz="4" w:space="0" w:color="auto"/>
              <w:left w:val="single" w:sz="4" w:space="0" w:color="auto"/>
              <w:bottom w:val="single" w:sz="4" w:space="0" w:color="auto"/>
              <w:right w:val="single" w:sz="4" w:space="0" w:color="auto"/>
            </w:tcBorders>
            <w:vAlign w:val="center"/>
          </w:tcPr>
          <w:p w:rsidR="001C411D" w:rsidRPr="001F63BA" w:rsidRDefault="001C411D" w:rsidP="005C302C">
            <w:pPr>
              <w:jc w:val="center"/>
              <w:rPr>
                <w:rFonts w:ascii="GHEA Grapalat" w:hAnsi="GHEA Grapalat" w:cs="Calibri"/>
                <w:b/>
                <w:bCs/>
                <w:sz w:val="18"/>
                <w:szCs w:val="18"/>
              </w:rPr>
            </w:pPr>
            <w:r w:rsidRPr="001F63BA">
              <w:rPr>
                <w:rFonts w:ascii="GHEA Grapalat" w:hAnsi="GHEA Grapalat" w:cs="Calibri"/>
                <w:b/>
                <w:bCs/>
                <w:sz w:val="18"/>
                <w:szCs w:val="18"/>
              </w:rPr>
              <w:t>12.4</w:t>
            </w:r>
          </w:p>
        </w:tc>
        <w:tc>
          <w:tcPr>
            <w:tcW w:w="1134" w:type="dxa"/>
            <w:tcBorders>
              <w:top w:val="nil"/>
              <w:left w:val="single" w:sz="4" w:space="0" w:color="auto"/>
              <w:bottom w:val="single" w:sz="4" w:space="0" w:color="auto"/>
              <w:right w:val="single" w:sz="4" w:space="0" w:color="auto"/>
            </w:tcBorders>
            <w:noWrap/>
            <w:vAlign w:val="center"/>
          </w:tcPr>
          <w:p w:rsidR="001C411D" w:rsidRPr="001F63BA" w:rsidRDefault="001C411D" w:rsidP="005C302C">
            <w:pPr>
              <w:jc w:val="center"/>
              <w:rPr>
                <w:rFonts w:ascii="GHEA Grapalat" w:hAnsi="GHEA Grapalat" w:cs="Calibri"/>
                <w:b/>
                <w:bCs/>
                <w:sz w:val="18"/>
                <w:szCs w:val="18"/>
                <w:lang w:val="en-US"/>
              </w:rPr>
            </w:pPr>
            <w:r w:rsidRPr="001F63BA">
              <w:rPr>
                <w:rFonts w:ascii="GHEA Grapalat" w:hAnsi="GHEA Grapalat" w:cs="Calibri"/>
                <w:b/>
                <w:bCs/>
                <w:sz w:val="18"/>
                <w:szCs w:val="18"/>
              </w:rPr>
              <w:t>1</w:t>
            </w:r>
            <w:r w:rsidRPr="001F63BA">
              <w:rPr>
                <w:rFonts w:ascii="GHEA Grapalat" w:hAnsi="GHEA Grapalat" w:cs="Calibri"/>
                <w:b/>
                <w:bCs/>
                <w:sz w:val="18"/>
                <w:szCs w:val="18"/>
                <w:lang w:val="en-US"/>
              </w:rPr>
              <w:t>9</w:t>
            </w:r>
            <w:r w:rsidRPr="001F63BA">
              <w:rPr>
                <w:rFonts w:ascii="GHEA Grapalat" w:hAnsi="GHEA Grapalat" w:cs="Calibri"/>
                <w:b/>
                <w:bCs/>
                <w:sz w:val="18"/>
                <w:szCs w:val="18"/>
              </w:rPr>
              <w:t>.</w:t>
            </w:r>
            <w:r w:rsidRPr="001F63BA">
              <w:rPr>
                <w:rFonts w:ascii="GHEA Grapalat" w:hAnsi="GHEA Grapalat" w:cs="Calibri"/>
                <w:b/>
                <w:bCs/>
                <w:sz w:val="18"/>
                <w:szCs w:val="18"/>
                <w:lang w:val="en-US"/>
              </w:rPr>
              <w:t>9</w:t>
            </w:r>
          </w:p>
        </w:tc>
        <w:tc>
          <w:tcPr>
            <w:tcW w:w="992" w:type="dxa"/>
            <w:tcBorders>
              <w:top w:val="nil"/>
              <w:left w:val="nil"/>
              <w:bottom w:val="single" w:sz="4" w:space="0" w:color="auto"/>
              <w:right w:val="single" w:sz="4" w:space="0" w:color="auto"/>
            </w:tcBorders>
            <w:noWrap/>
            <w:vAlign w:val="center"/>
          </w:tcPr>
          <w:p w:rsidR="001C411D" w:rsidRPr="001F63BA" w:rsidRDefault="001C411D" w:rsidP="005C302C">
            <w:pPr>
              <w:jc w:val="center"/>
              <w:rPr>
                <w:rFonts w:ascii="GHEA Grapalat" w:hAnsi="GHEA Grapalat" w:cs="Calibri"/>
                <w:b/>
                <w:bCs/>
                <w:sz w:val="18"/>
                <w:szCs w:val="18"/>
                <w:lang w:val="en-US"/>
              </w:rPr>
            </w:pPr>
            <w:r w:rsidRPr="001F63BA">
              <w:rPr>
                <w:rFonts w:ascii="GHEA Grapalat" w:hAnsi="GHEA Grapalat" w:cs="Calibri"/>
                <w:b/>
                <w:bCs/>
                <w:sz w:val="18"/>
                <w:szCs w:val="18"/>
              </w:rPr>
              <w:t>1</w:t>
            </w:r>
            <w:r w:rsidRPr="001F63BA">
              <w:rPr>
                <w:rFonts w:ascii="GHEA Grapalat" w:hAnsi="GHEA Grapalat" w:cs="Calibri"/>
                <w:b/>
                <w:bCs/>
                <w:sz w:val="18"/>
                <w:szCs w:val="18"/>
                <w:lang w:val="en-US"/>
              </w:rPr>
              <w:t>5.0</w:t>
            </w:r>
          </w:p>
        </w:tc>
        <w:tc>
          <w:tcPr>
            <w:tcW w:w="1843" w:type="dxa"/>
            <w:tcBorders>
              <w:top w:val="nil"/>
              <w:left w:val="nil"/>
              <w:bottom w:val="single" w:sz="4" w:space="0" w:color="auto"/>
              <w:right w:val="single" w:sz="4" w:space="0" w:color="auto"/>
            </w:tcBorders>
            <w:noWrap/>
            <w:vAlign w:val="center"/>
          </w:tcPr>
          <w:p w:rsidR="001C411D" w:rsidRPr="001F63BA" w:rsidRDefault="001C411D" w:rsidP="005C302C">
            <w:pPr>
              <w:jc w:val="center"/>
              <w:rPr>
                <w:rFonts w:ascii="GHEA Grapalat" w:hAnsi="GHEA Grapalat"/>
                <w:b/>
                <w:bCs/>
                <w:sz w:val="18"/>
                <w:szCs w:val="18"/>
                <w:lang w:val="en-US"/>
              </w:rPr>
            </w:pPr>
            <w:r w:rsidRPr="001F63BA">
              <w:rPr>
                <w:rFonts w:ascii="GHEA Grapalat" w:hAnsi="GHEA Grapalat"/>
                <w:b/>
                <w:bCs/>
                <w:sz w:val="18"/>
                <w:szCs w:val="18"/>
                <w:lang w:val="en-US"/>
              </w:rPr>
              <w:t>75.4</w:t>
            </w:r>
          </w:p>
        </w:tc>
        <w:tc>
          <w:tcPr>
            <w:tcW w:w="1275" w:type="dxa"/>
            <w:tcBorders>
              <w:top w:val="nil"/>
              <w:left w:val="nil"/>
              <w:bottom w:val="single" w:sz="4" w:space="0" w:color="auto"/>
              <w:right w:val="single" w:sz="4" w:space="0" w:color="auto"/>
            </w:tcBorders>
            <w:vAlign w:val="center"/>
          </w:tcPr>
          <w:p w:rsidR="001C411D" w:rsidRPr="001F63BA" w:rsidRDefault="001C411D" w:rsidP="005C302C">
            <w:pPr>
              <w:jc w:val="center"/>
              <w:rPr>
                <w:rFonts w:ascii="GHEA Grapalat" w:hAnsi="GHEA Grapalat"/>
                <w:b/>
                <w:bCs/>
                <w:sz w:val="18"/>
                <w:szCs w:val="18"/>
                <w:lang w:val="en-US"/>
              </w:rPr>
            </w:pPr>
            <w:r w:rsidRPr="001F63BA">
              <w:rPr>
                <w:rFonts w:ascii="GHEA Grapalat" w:hAnsi="GHEA Grapalat"/>
                <w:b/>
                <w:bCs/>
                <w:sz w:val="18"/>
                <w:szCs w:val="18"/>
                <w:lang w:val="en-US"/>
              </w:rPr>
              <w:t>121.1</w:t>
            </w:r>
          </w:p>
        </w:tc>
      </w:tr>
      <w:tr w:rsidR="001C411D" w:rsidRPr="001F63BA" w:rsidTr="006E100B">
        <w:trPr>
          <w:trHeight w:val="312"/>
        </w:trPr>
        <w:tc>
          <w:tcPr>
            <w:tcW w:w="3828" w:type="dxa"/>
            <w:tcBorders>
              <w:top w:val="nil"/>
              <w:left w:val="single" w:sz="4" w:space="0" w:color="auto"/>
              <w:bottom w:val="single" w:sz="4" w:space="0" w:color="auto"/>
              <w:right w:val="single" w:sz="4" w:space="0" w:color="auto"/>
            </w:tcBorders>
            <w:noWrap/>
            <w:vAlign w:val="center"/>
          </w:tcPr>
          <w:p w:rsidR="001C411D" w:rsidRPr="001F63BA" w:rsidRDefault="001C411D" w:rsidP="005C302C">
            <w:pPr>
              <w:ind w:firstLineChars="100" w:firstLine="180"/>
              <w:rPr>
                <w:rFonts w:ascii="GHEA Grapalat" w:hAnsi="GHEA Grapalat" w:cs="Calibri"/>
                <w:sz w:val="18"/>
                <w:szCs w:val="18"/>
              </w:rPr>
            </w:pPr>
            <w:r w:rsidRPr="001F63BA">
              <w:rPr>
                <w:rFonts w:ascii="GHEA Grapalat" w:hAnsi="GHEA Grapalat" w:cs="Calibri"/>
                <w:sz w:val="18"/>
                <w:szCs w:val="18"/>
              </w:rPr>
              <w:t>Նպատակային դրամաշնորհներ</w:t>
            </w:r>
          </w:p>
        </w:tc>
        <w:tc>
          <w:tcPr>
            <w:tcW w:w="1134" w:type="dxa"/>
            <w:tcBorders>
              <w:top w:val="nil"/>
              <w:left w:val="single" w:sz="4" w:space="0" w:color="auto"/>
              <w:bottom w:val="single" w:sz="4" w:space="0" w:color="auto"/>
              <w:right w:val="single" w:sz="4" w:space="0" w:color="auto"/>
            </w:tcBorders>
            <w:vAlign w:val="center"/>
          </w:tcPr>
          <w:p w:rsidR="001C411D" w:rsidRPr="001F63BA" w:rsidRDefault="001C411D" w:rsidP="005C302C">
            <w:pPr>
              <w:jc w:val="center"/>
              <w:rPr>
                <w:rFonts w:ascii="GHEA Grapalat" w:hAnsi="GHEA Grapalat" w:cs="Calibri"/>
                <w:sz w:val="18"/>
                <w:szCs w:val="18"/>
              </w:rPr>
            </w:pPr>
            <w:r w:rsidRPr="001F63BA">
              <w:rPr>
                <w:rFonts w:ascii="GHEA Grapalat" w:hAnsi="GHEA Grapalat" w:cs="Calibri"/>
                <w:sz w:val="18"/>
                <w:szCs w:val="18"/>
              </w:rPr>
              <w:t>9.6</w:t>
            </w:r>
          </w:p>
        </w:tc>
        <w:tc>
          <w:tcPr>
            <w:tcW w:w="1134" w:type="dxa"/>
            <w:tcBorders>
              <w:top w:val="nil"/>
              <w:left w:val="single" w:sz="4" w:space="0" w:color="auto"/>
              <w:bottom w:val="single" w:sz="4" w:space="0" w:color="auto"/>
              <w:right w:val="single" w:sz="4" w:space="0" w:color="auto"/>
            </w:tcBorders>
            <w:noWrap/>
            <w:vAlign w:val="center"/>
          </w:tcPr>
          <w:p w:rsidR="001C411D" w:rsidRPr="001F63BA" w:rsidRDefault="001C411D" w:rsidP="005C302C">
            <w:pPr>
              <w:jc w:val="center"/>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4</w:t>
            </w:r>
            <w:r w:rsidRPr="001F63BA">
              <w:rPr>
                <w:rFonts w:ascii="GHEA Grapalat" w:hAnsi="GHEA Grapalat" w:cs="Calibri"/>
                <w:sz w:val="18"/>
                <w:szCs w:val="18"/>
              </w:rPr>
              <w:t>.</w:t>
            </w:r>
            <w:r w:rsidRPr="001F63BA">
              <w:rPr>
                <w:rFonts w:ascii="GHEA Grapalat" w:hAnsi="GHEA Grapalat" w:cs="Calibri"/>
                <w:sz w:val="18"/>
                <w:szCs w:val="18"/>
                <w:lang w:val="en-US"/>
              </w:rPr>
              <w:t>5</w:t>
            </w:r>
          </w:p>
        </w:tc>
        <w:tc>
          <w:tcPr>
            <w:tcW w:w="992" w:type="dxa"/>
            <w:tcBorders>
              <w:top w:val="nil"/>
              <w:left w:val="nil"/>
              <w:bottom w:val="single" w:sz="4" w:space="0" w:color="auto"/>
              <w:right w:val="single" w:sz="4" w:space="0" w:color="auto"/>
            </w:tcBorders>
            <w:noWrap/>
            <w:vAlign w:val="center"/>
          </w:tcPr>
          <w:p w:rsidR="001C411D" w:rsidRPr="001F63BA" w:rsidRDefault="001C411D" w:rsidP="005C302C">
            <w:pPr>
              <w:jc w:val="center"/>
              <w:rPr>
                <w:rFonts w:ascii="GHEA Grapalat" w:hAnsi="GHEA Grapalat" w:cs="Calibri"/>
                <w:sz w:val="18"/>
                <w:szCs w:val="18"/>
                <w:lang w:val="en-US"/>
              </w:rPr>
            </w:pPr>
            <w:r w:rsidRPr="001F63BA">
              <w:rPr>
                <w:rFonts w:ascii="GHEA Grapalat" w:hAnsi="GHEA Grapalat" w:cs="Calibri"/>
                <w:sz w:val="18"/>
                <w:szCs w:val="18"/>
                <w:lang w:val="en-US"/>
              </w:rPr>
              <w:t>8</w:t>
            </w:r>
            <w:r w:rsidRPr="001F63BA">
              <w:rPr>
                <w:rFonts w:ascii="GHEA Grapalat" w:hAnsi="GHEA Grapalat" w:cs="Calibri"/>
                <w:sz w:val="18"/>
                <w:szCs w:val="18"/>
              </w:rPr>
              <w:t>.</w:t>
            </w:r>
            <w:r w:rsidRPr="001F63BA">
              <w:rPr>
                <w:rFonts w:ascii="GHEA Grapalat" w:hAnsi="GHEA Grapalat" w:cs="Calibri"/>
                <w:sz w:val="18"/>
                <w:szCs w:val="18"/>
                <w:lang w:val="en-US"/>
              </w:rPr>
              <w:t>7</w:t>
            </w:r>
          </w:p>
        </w:tc>
        <w:tc>
          <w:tcPr>
            <w:tcW w:w="1843" w:type="dxa"/>
            <w:tcBorders>
              <w:top w:val="nil"/>
              <w:left w:val="nil"/>
              <w:bottom w:val="single" w:sz="4" w:space="0" w:color="auto"/>
              <w:right w:val="single" w:sz="4" w:space="0" w:color="auto"/>
            </w:tcBorders>
            <w:noWrap/>
            <w:vAlign w:val="center"/>
          </w:tcPr>
          <w:p w:rsidR="001C411D" w:rsidRPr="001F63BA" w:rsidRDefault="001C411D" w:rsidP="005C302C">
            <w:pPr>
              <w:jc w:val="center"/>
              <w:rPr>
                <w:rFonts w:ascii="GHEA Grapalat" w:hAnsi="GHEA Grapalat" w:cs="Calibri"/>
                <w:sz w:val="18"/>
                <w:szCs w:val="18"/>
              </w:rPr>
            </w:pPr>
            <w:r w:rsidRPr="001F63BA">
              <w:rPr>
                <w:rFonts w:ascii="GHEA Grapalat" w:hAnsi="GHEA Grapalat"/>
                <w:bCs/>
                <w:sz w:val="18"/>
                <w:szCs w:val="18"/>
                <w:lang w:val="en-US"/>
              </w:rPr>
              <w:t>60.1</w:t>
            </w:r>
          </w:p>
        </w:tc>
        <w:tc>
          <w:tcPr>
            <w:tcW w:w="1275" w:type="dxa"/>
            <w:tcBorders>
              <w:top w:val="nil"/>
              <w:left w:val="nil"/>
              <w:bottom w:val="single" w:sz="4" w:space="0" w:color="auto"/>
              <w:right w:val="single" w:sz="4" w:space="0" w:color="auto"/>
            </w:tcBorders>
            <w:vAlign w:val="center"/>
          </w:tcPr>
          <w:p w:rsidR="001C411D" w:rsidRPr="001F63BA" w:rsidRDefault="001C411D" w:rsidP="005C302C">
            <w:pPr>
              <w:jc w:val="center"/>
              <w:rPr>
                <w:rFonts w:ascii="GHEA Grapalat" w:hAnsi="GHEA Grapalat"/>
                <w:bCs/>
                <w:sz w:val="18"/>
                <w:szCs w:val="18"/>
                <w:lang w:val="en-US"/>
              </w:rPr>
            </w:pPr>
            <w:r w:rsidRPr="001F63BA">
              <w:rPr>
                <w:rFonts w:ascii="GHEA Grapalat" w:hAnsi="GHEA Grapalat"/>
                <w:bCs/>
                <w:sz w:val="18"/>
                <w:szCs w:val="18"/>
                <w:lang w:val="en-US"/>
              </w:rPr>
              <w:t>91.4</w:t>
            </w:r>
          </w:p>
        </w:tc>
      </w:tr>
      <w:tr w:rsidR="001C411D" w:rsidRPr="001F63BA" w:rsidTr="006E100B">
        <w:trPr>
          <w:trHeight w:val="312"/>
        </w:trPr>
        <w:tc>
          <w:tcPr>
            <w:tcW w:w="3828" w:type="dxa"/>
            <w:tcBorders>
              <w:top w:val="nil"/>
              <w:left w:val="single" w:sz="4" w:space="0" w:color="auto"/>
              <w:bottom w:val="single" w:sz="4" w:space="0" w:color="auto"/>
              <w:right w:val="single" w:sz="4" w:space="0" w:color="auto"/>
            </w:tcBorders>
            <w:noWrap/>
            <w:vAlign w:val="center"/>
          </w:tcPr>
          <w:p w:rsidR="001C411D" w:rsidRPr="001F63BA" w:rsidRDefault="001C411D" w:rsidP="005C302C">
            <w:pPr>
              <w:ind w:firstLineChars="100" w:firstLine="180"/>
              <w:rPr>
                <w:rFonts w:ascii="GHEA Grapalat" w:hAnsi="GHEA Grapalat" w:cs="Calibri"/>
                <w:sz w:val="18"/>
                <w:szCs w:val="18"/>
              </w:rPr>
            </w:pPr>
            <w:r w:rsidRPr="001F63BA">
              <w:rPr>
                <w:rFonts w:ascii="GHEA Grapalat" w:hAnsi="GHEA Grapalat" w:cs="Calibri"/>
                <w:sz w:val="18"/>
                <w:szCs w:val="18"/>
              </w:rPr>
              <w:t>Ոչ նպատակային դրամաշնորհներ</w:t>
            </w:r>
          </w:p>
        </w:tc>
        <w:tc>
          <w:tcPr>
            <w:tcW w:w="1134" w:type="dxa"/>
            <w:tcBorders>
              <w:top w:val="nil"/>
              <w:left w:val="single" w:sz="4" w:space="0" w:color="auto"/>
              <w:bottom w:val="single" w:sz="4" w:space="0" w:color="auto"/>
              <w:right w:val="single" w:sz="4" w:space="0" w:color="auto"/>
            </w:tcBorders>
            <w:vAlign w:val="center"/>
          </w:tcPr>
          <w:p w:rsidR="001C411D" w:rsidRPr="001F63BA" w:rsidRDefault="001C411D" w:rsidP="005C302C">
            <w:pPr>
              <w:jc w:val="center"/>
              <w:rPr>
                <w:rFonts w:ascii="GHEA Grapalat" w:hAnsi="GHEA Grapalat" w:cs="Calibri"/>
                <w:sz w:val="18"/>
                <w:szCs w:val="18"/>
              </w:rPr>
            </w:pPr>
            <w:r w:rsidRPr="001F63BA">
              <w:rPr>
                <w:rFonts w:ascii="GHEA Grapalat" w:hAnsi="GHEA Grapalat" w:cs="Calibri"/>
                <w:sz w:val="18"/>
                <w:szCs w:val="18"/>
              </w:rPr>
              <w:t>2.8</w:t>
            </w:r>
          </w:p>
        </w:tc>
        <w:tc>
          <w:tcPr>
            <w:tcW w:w="1134" w:type="dxa"/>
            <w:tcBorders>
              <w:top w:val="nil"/>
              <w:left w:val="single" w:sz="4" w:space="0" w:color="auto"/>
              <w:bottom w:val="single" w:sz="4" w:space="0" w:color="auto"/>
              <w:right w:val="single" w:sz="4" w:space="0" w:color="auto"/>
            </w:tcBorders>
            <w:noWrap/>
            <w:vAlign w:val="center"/>
          </w:tcPr>
          <w:p w:rsidR="001C411D" w:rsidRPr="001F63BA" w:rsidRDefault="001C411D" w:rsidP="005C302C">
            <w:pPr>
              <w:jc w:val="center"/>
              <w:rPr>
                <w:rFonts w:ascii="GHEA Grapalat" w:hAnsi="GHEA Grapalat" w:cs="Calibri"/>
                <w:sz w:val="18"/>
                <w:szCs w:val="18"/>
                <w:lang w:val="en-US"/>
              </w:rPr>
            </w:pPr>
            <w:r w:rsidRPr="001F63BA">
              <w:rPr>
                <w:rFonts w:ascii="GHEA Grapalat" w:hAnsi="GHEA Grapalat" w:cs="Calibri"/>
                <w:sz w:val="18"/>
                <w:szCs w:val="18"/>
                <w:lang w:val="en-US"/>
              </w:rPr>
              <w:t>5</w:t>
            </w:r>
            <w:r w:rsidRPr="001F63BA">
              <w:rPr>
                <w:rFonts w:ascii="GHEA Grapalat" w:hAnsi="GHEA Grapalat" w:cs="Calibri"/>
                <w:sz w:val="18"/>
                <w:szCs w:val="18"/>
              </w:rPr>
              <w:t>.</w:t>
            </w:r>
            <w:r w:rsidRPr="001F63BA">
              <w:rPr>
                <w:rFonts w:ascii="GHEA Grapalat" w:hAnsi="GHEA Grapalat" w:cs="Calibri"/>
                <w:sz w:val="18"/>
                <w:szCs w:val="18"/>
                <w:lang w:val="en-US"/>
              </w:rPr>
              <w:t>3</w:t>
            </w:r>
          </w:p>
        </w:tc>
        <w:tc>
          <w:tcPr>
            <w:tcW w:w="992" w:type="dxa"/>
            <w:tcBorders>
              <w:top w:val="nil"/>
              <w:left w:val="nil"/>
              <w:bottom w:val="single" w:sz="4" w:space="0" w:color="auto"/>
              <w:right w:val="single" w:sz="4" w:space="0" w:color="auto"/>
            </w:tcBorders>
            <w:noWrap/>
            <w:vAlign w:val="center"/>
          </w:tcPr>
          <w:p w:rsidR="001C411D" w:rsidRPr="001F63BA" w:rsidRDefault="001C411D" w:rsidP="005C302C">
            <w:pPr>
              <w:jc w:val="center"/>
              <w:rPr>
                <w:rFonts w:ascii="GHEA Grapalat" w:hAnsi="GHEA Grapalat" w:cs="Calibri"/>
                <w:sz w:val="18"/>
                <w:szCs w:val="18"/>
                <w:lang w:val="en-US"/>
              </w:rPr>
            </w:pPr>
            <w:r w:rsidRPr="001F63BA">
              <w:rPr>
                <w:rFonts w:ascii="GHEA Grapalat" w:hAnsi="GHEA Grapalat" w:cs="Calibri"/>
                <w:sz w:val="18"/>
                <w:szCs w:val="18"/>
                <w:lang w:val="en-US"/>
              </w:rPr>
              <w:t>6</w:t>
            </w:r>
            <w:r w:rsidRPr="001F63BA">
              <w:rPr>
                <w:rFonts w:ascii="GHEA Grapalat" w:hAnsi="GHEA Grapalat" w:cs="Calibri"/>
                <w:sz w:val="18"/>
                <w:szCs w:val="18"/>
              </w:rPr>
              <w:t>.</w:t>
            </w:r>
            <w:r w:rsidRPr="001F63BA">
              <w:rPr>
                <w:rFonts w:ascii="GHEA Grapalat" w:hAnsi="GHEA Grapalat" w:cs="Calibri"/>
                <w:sz w:val="18"/>
                <w:szCs w:val="18"/>
                <w:lang w:val="en-US"/>
              </w:rPr>
              <w:t>2</w:t>
            </w:r>
          </w:p>
        </w:tc>
        <w:tc>
          <w:tcPr>
            <w:tcW w:w="1843" w:type="dxa"/>
            <w:tcBorders>
              <w:top w:val="nil"/>
              <w:left w:val="nil"/>
              <w:bottom w:val="single" w:sz="4" w:space="0" w:color="auto"/>
              <w:right w:val="single" w:sz="4" w:space="0" w:color="auto"/>
            </w:tcBorders>
            <w:noWrap/>
            <w:vAlign w:val="center"/>
          </w:tcPr>
          <w:p w:rsidR="001C411D" w:rsidRPr="001F63BA" w:rsidRDefault="001C411D" w:rsidP="005C302C">
            <w:pPr>
              <w:jc w:val="center"/>
              <w:rPr>
                <w:rFonts w:ascii="GHEA Grapalat" w:hAnsi="GHEA Grapalat"/>
                <w:bCs/>
                <w:sz w:val="18"/>
                <w:szCs w:val="18"/>
                <w:lang w:val="en-US"/>
              </w:rPr>
            </w:pPr>
            <w:r w:rsidRPr="001F63BA">
              <w:rPr>
                <w:rFonts w:ascii="GHEA Grapalat" w:hAnsi="GHEA Grapalat"/>
                <w:bCs/>
                <w:sz w:val="18"/>
                <w:szCs w:val="18"/>
                <w:lang w:val="en-US"/>
              </w:rPr>
              <w:t>117.1</w:t>
            </w:r>
          </w:p>
        </w:tc>
        <w:tc>
          <w:tcPr>
            <w:tcW w:w="1275" w:type="dxa"/>
            <w:tcBorders>
              <w:top w:val="nil"/>
              <w:left w:val="nil"/>
              <w:bottom w:val="single" w:sz="4" w:space="0" w:color="auto"/>
              <w:right w:val="single" w:sz="4" w:space="0" w:color="auto"/>
            </w:tcBorders>
            <w:vAlign w:val="center"/>
          </w:tcPr>
          <w:p w:rsidR="001C411D" w:rsidRPr="001F63BA" w:rsidRDefault="001C411D" w:rsidP="005C302C">
            <w:pPr>
              <w:jc w:val="center"/>
              <w:rPr>
                <w:rFonts w:ascii="GHEA Grapalat" w:hAnsi="GHEA Grapalat"/>
                <w:bCs/>
                <w:sz w:val="18"/>
                <w:szCs w:val="18"/>
                <w:lang w:val="en-US"/>
              </w:rPr>
            </w:pPr>
            <w:r w:rsidRPr="001F63BA">
              <w:rPr>
                <w:rFonts w:ascii="GHEA Grapalat" w:hAnsi="GHEA Grapalat"/>
                <w:bCs/>
                <w:sz w:val="18"/>
                <w:szCs w:val="18"/>
                <w:lang w:val="en-US"/>
              </w:rPr>
              <w:t>222.1</w:t>
            </w:r>
          </w:p>
        </w:tc>
      </w:tr>
    </w:tbl>
    <w:p w:rsidR="001C411D" w:rsidRPr="001F63BA" w:rsidRDefault="001C411D" w:rsidP="008A4F2A">
      <w:pPr>
        <w:ind w:right="9" w:firstLine="567"/>
        <w:jc w:val="both"/>
        <w:rPr>
          <w:rFonts w:ascii="GHEA Grapalat" w:hAnsi="GHEA Grapalat" w:cs="Calibri"/>
          <w:bCs/>
          <w:sz w:val="22"/>
          <w:szCs w:val="22"/>
          <w:lang w:val="en-US"/>
        </w:rPr>
      </w:pPr>
    </w:p>
    <w:p w:rsidR="001C411D" w:rsidRDefault="001C411D" w:rsidP="005E4A11">
      <w:pPr>
        <w:spacing w:line="360" w:lineRule="auto"/>
        <w:ind w:right="9" w:firstLine="567"/>
        <w:jc w:val="both"/>
        <w:rPr>
          <w:rFonts w:ascii="GHEA Grapalat" w:hAnsi="GHEA Grapalat" w:cs="Calibri"/>
          <w:bCs/>
          <w:sz w:val="22"/>
          <w:szCs w:val="22"/>
          <w:lang w:val="de-AT"/>
        </w:rPr>
      </w:pPr>
      <w:r w:rsidRPr="001F63BA">
        <w:rPr>
          <w:rFonts w:ascii="GHEA Grapalat" w:hAnsi="GHEA Grapalat" w:cs="GHEA Grapalat"/>
          <w:sz w:val="22"/>
          <w:szCs w:val="22"/>
          <w:lang w:val="en-US"/>
        </w:rPr>
        <w:t>Պաշտոնական դրամաշնորհների</w:t>
      </w:r>
      <w:r w:rsidRPr="001F63BA">
        <w:rPr>
          <w:rFonts w:ascii="GHEA Grapalat" w:hAnsi="GHEA Grapalat" w:cs="GHEA Grapalat"/>
          <w:sz w:val="22"/>
          <w:szCs w:val="22"/>
        </w:rPr>
        <w:t xml:space="preserve"> ցուցանիշը</w:t>
      </w:r>
      <w:r w:rsidRPr="001F63BA">
        <w:rPr>
          <w:rFonts w:ascii="GHEA Grapalat" w:hAnsi="GHEA Grapalat" w:cs="GHEA Grapalat"/>
          <w:sz w:val="22"/>
          <w:szCs w:val="22"/>
          <w:lang w:val="en-US"/>
        </w:rPr>
        <w:t xml:space="preserve"> հիմնականում</w:t>
      </w:r>
      <w:r w:rsidRPr="001F63BA">
        <w:rPr>
          <w:rFonts w:ascii="GHEA Grapalat" w:hAnsi="GHEA Grapalat" w:cs="GHEA Grapalat"/>
          <w:sz w:val="22"/>
          <w:szCs w:val="22"/>
        </w:rPr>
        <w:t xml:space="preserve"> պայմանավորված է նպատակային ծրագրերի կատարողականով</w:t>
      </w:r>
      <w:r w:rsidRPr="001F63BA">
        <w:rPr>
          <w:rFonts w:ascii="GHEA Grapalat" w:hAnsi="GHEA Grapalat" w:cs="GHEA Grapalat"/>
          <w:sz w:val="22"/>
          <w:szCs w:val="22"/>
          <w:lang w:val="en-US"/>
        </w:rPr>
        <w:t>, ինչպես նաև արտարժույթների ծրագրված և փաստացի փոխարժեքների տարբերություններով</w:t>
      </w:r>
      <w:r w:rsidRPr="001F63BA">
        <w:rPr>
          <w:rFonts w:ascii="GHEA Grapalat" w:hAnsi="GHEA Grapalat" w:cs="Calibri"/>
          <w:bCs/>
          <w:sz w:val="22"/>
          <w:szCs w:val="22"/>
        </w:rPr>
        <w:t xml:space="preserve">: Մասնավորապես՝ նպատակային դրամաշնորհների </w:t>
      </w:r>
      <w:r w:rsidRPr="001F63BA">
        <w:rPr>
          <w:rFonts w:ascii="GHEA Grapalat" w:hAnsi="GHEA Grapalat" w:cs="Calibri"/>
          <w:bCs/>
          <w:sz w:val="22"/>
          <w:szCs w:val="22"/>
          <w:lang w:val="en-US"/>
        </w:rPr>
        <w:t>22</w:t>
      </w:r>
      <w:r w:rsidRPr="001F63BA">
        <w:rPr>
          <w:rFonts w:ascii="GHEA Grapalat" w:hAnsi="GHEA Grapalat" w:cs="Calibri"/>
          <w:bCs/>
          <w:sz w:val="22"/>
          <w:szCs w:val="22"/>
        </w:rPr>
        <w:t xml:space="preserve"> ծրագրերի շրջանակներում նախատեսված միջոցները ստացվել են նախատեսված ոչ ամբողջ ծավալով՝ կազմելով </w:t>
      </w:r>
      <w:r w:rsidRPr="001F63BA">
        <w:rPr>
          <w:rFonts w:ascii="GHEA Grapalat" w:hAnsi="GHEA Grapalat" w:cs="Calibri"/>
          <w:bCs/>
          <w:sz w:val="22"/>
          <w:szCs w:val="22"/>
          <w:lang w:val="en-US"/>
        </w:rPr>
        <w:t>շուրջ 7</w:t>
      </w:r>
      <w:r w:rsidRPr="001F63BA">
        <w:rPr>
          <w:rFonts w:ascii="GHEA Grapalat" w:hAnsi="GHEA Grapalat" w:cs="Calibri"/>
          <w:bCs/>
          <w:sz w:val="22"/>
          <w:szCs w:val="22"/>
        </w:rPr>
        <w:t xml:space="preserve">.6 մլրդ դրամ կամ ծրագրային ցուցանիշի </w:t>
      </w:r>
      <w:r w:rsidRPr="001F63BA">
        <w:rPr>
          <w:rFonts w:ascii="GHEA Grapalat" w:hAnsi="GHEA Grapalat" w:cs="Calibri"/>
          <w:bCs/>
          <w:sz w:val="22"/>
          <w:szCs w:val="22"/>
          <w:lang w:val="en-US"/>
        </w:rPr>
        <w:t>54.9</w:t>
      </w:r>
      <w:r w:rsidRPr="001F63BA">
        <w:rPr>
          <w:rFonts w:ascii="GHEA Grapalat" w:hAnsi="GHEA Grapalat" w:cs="Calibri"/>
          <w:bCs/>
          <w:sz w:val="22"/>
          <w:szCs w:val="22"/>
        </w:rPr>
        <w:t>%</w:t>
      </w:r>
      <w:r w:rsidRPr="001F63BA">
        <w:rPr>
          <w:rFonts w:ascii="GHEA Grapalat" w:hAnsi="GHEA Grapalat" w:cs="Calibri"/>
          <w:bCs/>
          <w:sz w:val="22"/>
          <w:szCs w:val="22"/>
        </w:rPr>
        <w:noBreakHyphen/>
        <w:t>ը</w:t>
      </w:r>
      <w:r w:rsidRPr="001F63BA">
        <w:rPr>
          <w:rFonts w:ascii="GHEA Grapalat" w:hAnsi="GHEA Grapalat" w:cs="Calibri"/>
          <w:bCs/>
          <w:sz w:val="22"/>
          <w:szCs w:val="22"/>
          <w:lang w:val="en-US"/>
        </w:rPr>
        <w:t>: Միևնույն ժամանակ</w:t>
      </w:r>
      <w:r w:rsidRPr="001F63BA">
        <w:rPr>
          <w:rFonts w:ascii="GHEA Grapalat" w:hAnsi="GHEA Grapalat" w:cs="Calibri"/>
          <w:bCs/>
          <w:sz w:val="22"/>
          <w:szCs w:val="22"/>
          <w:lang w:val="de-AT"/>
        </w:rPr>
        <w:t xml:space="preserve"> 3 </w:t>
      </w:r>
      <w:r w:rsidRPr="001F63BA">
        <w:rPr>
          <w:rFonts w:ascii="GHEA Grapalat" w:hAnsi="GHEA Grapalat" w:cs="Calibri"/>
          <w:bCs/>
          <w:sz w:val="22"/>
          <w:szCs w:val="22"/>
        </w:rPr>
        <w:t>ծրագրերի</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շրջանակներում</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ստացվել են նախատեսվածից ավել դրամաշնորհներ՝ ընդհանուր առմամբ կազմելով</w:t>
      </w:r>
      <w:r w:rsidRPr="001F63BA">
        <w:rPr>
          <w:rFonts w:ascii="GHEA Grapalat" w:hAnsi="GHEA Grapalat" w:cs="Calibri"/>
          <w:bCs/>
          <w:sz w:val="22"/>
          <w:szCs w:val="22"/>
          <w:lang w:val="de-AT"/>
        </w:rPr>
        <w:t xml:space="preserve"> 1.2 </w:t>
      </w:r>
      <w:r w:rsidRPr="001F63BA">
        <w:rPr>
          <w:rFonts w:ascii="GHEA Grapalat" w:hAnsi="GHEA Grapalat" w:cs="Calibri"/>
          <w:bCs/>
          <w:sz w:val="22"/>
          <w:szCs w:val="22"/>
        </w:rPr>
        <w:t>մլրդ</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դրամ և</w:t>
      </w:r>
      <w:r w:rsidRPr="001F63BA">
        <w:rPr>
          <w:rFonts w:ascii="GHEA Grapalat" w:hAnsi="GHEA Grapalat" w:cs="Calibri"/>
          <w:bCs/>
          <w:sz w:val="22"/>
          <w:szCs w:val="22"/>
          <w:lang w:val="de-AT"/>
        </w:rPr>
        <w:t xml:space="preserve"> 53.5%-</w:t>
      </w:r>
      <w:r w:rsidRPr="001F63BA">
        <w:rPr>
          <w:rFonts w:ascii="GHEA Grapalat" w:hAnsi="GHEA Grapalat" w:cs="Calibri"/>
          <w:bCs/>
          <w:sz w:val="22"/>
          <w:szCs w:val="22"/>
        </w:rPr>
        <w:t>ով</w:t>
      </w:r>
      <w:r w:rsidRPr="001F63BA">
        <w:rPr>
          <w:rFonts w:ascii="GHEA Grapalat" w:hAnsi="GHEA Grapalat" w:cs="Calibri"/>
          <w:bCs/>
          <w:sz w:val="22"/>
          <w:szCs w:val="22"/>
          <w:lang w:val="de-AT"/>
        </w:rPr>
        <w:t xml:space="preserve"> (416.6 </w:t>
      </w:r>
      <w:r w:rsidRPr="001F63BA">
        <w:rPr>
          <w:rFonts w:ascii="GHEA Grapalat" w:hAnsi="GHEA Grapalat" w:cs="Calibri"/>
          <w:bCs/>
          <w:sz w:val="22"/>
          <w:szCs w:val="22"/>
        </w:rPr>
        <w:t>մլ</w:t>
      </w:r>
      <w:r w:rsidRPr="001F63BA">
        <w:rPr>
          <w:rFonts w:ascii="GHEA Grapalat" w:hAnsi="GHEA Grapalat" w:cs="Calibri"/>
          <w:bCs/>
          <w:sz w:val="22"/>
          <w:szCs w:val="22"/>
          <w:lang w:val="en-US"/>
        </w:rPr>
        <w:t>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դրամով</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գերազանցելով</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տարեկան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ծրագրված</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մուտքերը</w:t>
      </w:r>
      <w:r w:rsidRPr="001F63BA">
        <w:rPr>
          <w:rFonts w:ascii="GHEA Grapalat" w:hAnsi="GHEA Grapalat" w:cs="Calibri"/>
          <w:bCs/>
          <w:sz w:val="22"/>
          <w:szCs w:val="22"/>
          <w:lang w:val="de-AT"/>
        </w:rPr>
        <w:t>, իսկ</w:t>
      </w:r>
      <w:r w:rsidRPr="001F63BA">
        <w:rPr>
          <w:rFonts w:ascii="GHEA Grapalat" w:hAnsi="GHEA Grapalat" w:cs="Calibri"/>
          <w:bCs/>
          <w:sz w:val="22"/>
          <w:szCs w:val="22"/>
          <w:lang w:val="en-US"/>
        </w:rPr>
        <w:t xml:space="preserve"> մարդու իրավունքների պաշտպանության</w:t>
      </w:r>
      <w:r w:rsidRPr="001F63BA">
        <w:rPr>
          <w:rFonts w:ascii="GHEA Grapalat" w:hAnsi="GHEA Grapalat" w:cs="Calibri"/>
          <w:bCs/>
          <w:sz w:val="22"/>
          <w:szCs w:val="22"/>
        </w:rPr>
        <w:t xml:space="preserve"> ծրագրի շրջանակներում</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նախատեսված</w:t>
      </w:r>
      <w:r w:rsidRPr="001F63BA">
        <w:rPr>
          <w:rFonts w:ascii="GHEA Grapalat" w:hAnsi="GHEA Grapalat" w:cs="Calibri"/>
          <w:bCs/>
          <w:sz w:val="22"/>
          <w:szCs w:val="22"/>
          <w:lang w:val="de-AT"/>
        </w:rPr>
        <w:t xml:space="preserve"> 5.8 </w:t>
      </w:r>
      <w:r w:rsidRPr="001F63BA">
        <w:rPr>
          <w:rFonts w:ascii="GHEA Grapalat" w:hAnsi="GHEA Grapalat" w:cs="Calibri"/>
          <w:bCs/>
          <w:sz w:val="22"/>
          <w:szCs w:val="22"/>
        </w:rPr>
        <w:t>մլն</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դրամը</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ստացվել</w:t>
      </w:r>
      <w:r w:rsidRPr="001F63BA">
        <w:rPr>
          <w:rFonts w:ascii="GHEA Grapalat" w:hAnsi="GHEA Grapalat" w:cs="Calibri"/>
          <w:bCs/>
          <w:sz w:val="22"/>
          <w:szCs w:val="22"/>
          <w:lang w:val="de-AT"/>
        </w:rPr>
        <w:t xml:space="preserve"> </w:t>
      </w:r>
      <w:r w:rsidRPr="001F63BA">
        <w:rPr>
          <w:rFonts w:ascii="GHEA Grapalat" w:hAnsi="GHEA Grapalat" w:cs="Calibri"/>
          <w:bCs/>
          <w:sz w:val="22"/>
          <w:szCs w:val="22"/>
        </w:rPr>
        <w:t>է</w:t>
      </w:r>
      <w:r w:rsidRPr="001F63BA">
        <w:rPr>
          <w:rFonts w:ascii="GHEA Grapalat" w:hAnsi="GHEA Grapalat" w:cs="Calibri"/>
          <w:bCs/>
          <w:sz w:val="22"/>
          <w:szCs w:val="22"/>
          <w:lang w:val="de-AT"/>
        </w:rPr>
        <w:t xml:space="preserve"> </w:t>
      </w:r>
      <w:r w:rsidRPr="001F63BA">
        <w:rPr>
          <w:rFonts w:ascii="GHEA Grapalat" w:hAnsi="GHEA Grapalat" w:cs="Calibri"/>
          <w:bCs/>
          <w:sz w:val="22"/>
          <w:szCs w:val="22"/>
          <w:lang w:val="en-US"/>
        </w:rPr>
        <w:t>նախատեսված ծավալով:</w:t>
      </w:r>
      <w:r w:rsidRPr="001F63BA">
        <w:rPr>
          <w:rFonts w:ascii="GHEA Grapalat" w:hAnsi="GHEA Grapalat" w:cs="Calibri"/>
          <w:bCs/>
          <w:sz w:val="22"/>
          <w:szCs w:val="22"/>
          <w:lang w:val="de-AT"/>
        </w:rPr>
        <w:t xml:space="preserve"> </w:t>
      </w:r>
    </w:p>
    <w:p w:rsidR="008A4F2A" w:rsidRPr="001F63BA" w:rsidRDefault="008A4F2A" w:rsidP="008A4F2A">
      <w:pPr>
        <w:ind w:right="9" w:firstLine="567"/>
        <w:jc w:val="both"/>
        <w:rPr>
          <w:rFonts w:ascii="GHEA Grapalat" w:hAnsi="GHEA Grapalat" w:cs="Calibri"/>
          <w:bCs/>
          <w:sz w:val="22"/>
          <w:szCs w:val="22"/>
        </w:rPr>
      </w:pPr>
    </w:p>
    <w:p w:rsidR="001C411D" w:rsidRPr="00D508BE" w:rsidRDefault="00115312" w:rsidP="00D508BE">
      <w:pPr>
        <w:pStyle w:val="a"/>
      </w:pPr>
      <w:r w:rsidRPr="001F63BA">
        <w:drawing>
          <wp:anchor distT="0" distB="0" distL="114300" distR="114300" simplePos="0" relativeHeight="251655680" behindDoc="0" locked="0" layoutInCell="1" allowOverlap="1" wp14:anchorId="661686D3" wp14:editId="093F39D4">
            <wp:simplePos x="0" y="0"/>
            <wp:positionH relativeFrom="margin">
              <wp:align>right</wp:align>
            </wp:positionH>
            <wp:positionV relativeFrom="paragraph">
              <wp:posOffset>307340</wp:posOffset>
            </wp:positionV>
            <wp:extent cx="6477000" cy="4181475"/>
            <wp:effectExtent l="0" t="0" r="0" b="9525"/>
            <wp:wrapSquare wrapText="bothSides"/>
            <wp:docPr id="69"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page">
              <wp14:pctWidth>0</wp14:pctWidth>
            </wp14:sizeRelH>
            <wp14:sizeRelV relativeFrom="page">
              <wp14:pctHeight>0</wp14:pctHeight>
            </wp14:sizeRelV>
          </wp:anchor>
        </w:drawing>
      </w:r>
      <w:r w:rsidR="001C411D" w:rsidRPr="001F63BA">
        <w:t>Նպատակային</w:t>
      </w:r>
      <w:r w:rsidR="001C411D" w:rsidRPr="00D508BE">
        <w:t xml:space="preserve"> </w:t>
      </w:r>
      <w:r w:rsidR="001C411D" w:rsidRPr="001F63BA">
        <w:t>դրամաշնորհներն</w:t>
      </w:r>
      <w:r w:rsidR="001C411D" w:rsidRPr="00D508BE">
        <w:t xml:space="preserve"> </w:t>
      </w:r>
      <w:r w:rsidR="001C411D" w:rsidRPr="001F63BA">
        <w:t>ըստ</w:t>
      </w:r>
      <w:r w:rsidR="001C411D" w:rsidRPr="00D508BE">
        <w:t xml:space="preserve"> </w:t>
      </w:r>
      <w:r w:rsidR="001C411D" w:rsidRPr="001F63BA">
        <w:t>դոնորների</w:t>
      </w:r>
      <w:r w:rsidR="001C411D" w:rsidRPr="00D508BE">
        <w:t xml:space="preserve"> (</w:t>
      </w:r>
      <w:r w:rsidR="001C411D" w:rsidRPr="001F63BA">
        <w:t>մլն</w:t>
      </w:r>
      <w:r w:rsidR="001C411D" w:rsidRPr="00D508BE">
        <w:t xml:space="preserve"> </w:t>
      </w:r>
      <w:r w:rsidR="001C411D" w:rsidRPr="001F63BA">
        <w:t>դրամ</w:t>
      </w:r>
      <w:r w:rsidR="001C411D" w:rsidRPr="00D508BE">
        <w:t>)</w:t>
      </w:r>
    </w:p>
    <w:p w:rsidR="001C411D" w:rsidRPr="001F63BA" w:rsidRDefault="001C411D" w:rsidP="005E4A11">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5E4A11">
      <w:pPr>
        <w:spacing w:line="360" w:lineRule="auto"/>
        <w:ind w:right="9" w:firstLine="567"/>
        <w:jc w:val="both"/>
        <w:rPr>
          <w:rFonts w:ascii="GHEA Grapalat" w:hAnsi="GHEA Grapalat" w:cs="Calibri"/>
          <w:bCs/>
          <w:sz w:val="22"/>
          <w:szCs w:val="22"/>
        </w:rPr>
      </w:pPr>
      <w:r w:rsidRPr="001F63BA">
        <w:rPr>
          <w:rFonts w:ascii="GHEA Grapalat" w:hAnsi="GHEA Grapalat" w:cs="Calibri"/>
          <w:bCs/>
          <w:sz w:val="22"/>
          <w:szCs w:val="22"/>
          <w:lang w:val="de-AT"/>
        </w:rPr>
        <w:lastRenderedPageBreak/>
        <w:t>Բյուջետային աջակցության նպատակով հաշվետու ժամանակահատվածում Եվրամիության</w:t>
      </w:r>
      <w:r w:rsidRPr="001F63BA">
        <w:rPr>
          <w:rFonts w:ascii="GHEA Grapalat" w:hAnsi="GHEA Grapalat" w:cs="Calibri"/>
          <w:bCs/>
          <w:sz w:val="22"/>
          <w:szCs w:val="22"/>
        </w:rPr>
        <w:t xml:space="preserve"> կողմից 3.4 մլրդ դրամ</w:t>
      </w:r>
      <w:r w:rsidRPr="001F63BA">
        <w:rPr>
          <w:rFonts w:ascii="GHEA Grapalat" w:hAnsi="GHEA Grapalat" w:cs="Calibri"/>
          <w:bCs/>
          <w:sz w:val="22"/>
          <w:szCs w:val="22"/>
          <w:lang w:val="en-US"/>
        </w:rPr>
        <w:t xml:space="preserve"> (</w:t>
      </w:r>
      <w:r w:rsidRPr="001F63BA">
        <w:rPr>
          <w:rFonts w:ascii="GHEA Grapalat" w:hAnsi="GHEA Grapalat"/>
          <w:spacing w:val="-6"/>
          <w:sz w:val="22"/>
          <w:szCs w:val="22"/>
        </w:rPr>
        <w:t>8 մլն 190 հազ</w:t>
      </w:r>
      <w:r w:rsidRPr="001F63BA">
        <w:rPr>
          <w:rFonts w:ascii="GHEA Grapalat" w:hAnsi="GHEA Grapalat"/>
          <w:spacing w:val="-6"/>
          <w:sz w:val="22"/>
          <w:szCs w:val="22"/>
          <w:lang w:val="en-US"/>
        </w:rPr>
        <w:t>ար</w:t>
      </w:r>
      <w:r w:rsidRPr="001F63BA">
        <w:rPr>
          <w:rFonts w:ascii="GHEA Grapalat" w:hAnsi="GHEA Grapalat"/>
          <w:spacing w:val="-6"/>
          <w:sz w:val="22"/>
          <w:szCs w:val="22"/>
        </w:rPr>
        <w:t xml:space="preserve"> եվրո</w:t>
      </w:r>
      <w:r w:rsidRPr="001F63BA">
        <w:rPr>
          <w:rFonts w:ascii="GHEA Grapalat" w:hAnsi="GHEA Grapalat"/>
          <w:spacing w:val="-6"/>
          <w:sz w:val="22"/>
          <w:szCs w:val="22"/>
          <w:lang w:val="en-US"/>
        </w:rPr>
        <w:t>)՝</w:t>
      </w:r>
      <w:r w:rsidRPr="001F63BA">
        <w:rPr>
          <w:rFonts w:ascii="GHEA Grapalat" w:hAnsi="GHEA Grapalat" w:cs="Calibri"/>
          <w:bCs/>
          <w:sz w:val="22"/>
          <w:szCs w:val="22"/>
        </w:rPr>
        <w:t xml:space="preserve"> տրամադրվել է «Աջակցություն Հայաստանում դատական ոլորտի բարեփոխումների իրականացմանը</w:t>
      </w:r>
      <w:r w:rsidRPr="001F63BA">
        <w:rPr>
          <w:rFonts w:ascii="GHEA Grapalat" w:hAnsi="GHEA Grapalat" w:cs="Calibri"/>
          <w:bCs/>
          <w:sz w:val="22"/>
          <w:szCs w:val="22"/>
          <w:lang w:val="en-US"/>
        </w:rPr>
        <w:t>.</w:t>
      </w:r>
      <w:r w:rsidRPr="001F63BA">
        <w:rPr>
          <w:rFonts w:ascii="GHEA Grapalat" w:hAnsi="GHEA Grapalat" w:cs="Calibri"/>
          <w:bCs/>
          <w:sz w:val="22"/>
          <w:szCs w:val="22"/>
        </w:rPr>
        <w:t xml:space="preserve"> Փուլ I» ծրագրի ֆինանսավորման համաձայնագրի շրջանակներում</w:t>
      </w:r>
      <w:r w:rsidRPr="001F63BA">
        <w:rPr>
          <w:rFonts w:ascii="GHEA Grapalat" w:hAnsi="GHEA Grapalat" w:cs="Calibri"/>
          <w:bCs/>
          <w:sz w:val="22"/>
          <w:szCs w:val="22"/>
          <w:lang w:val="en-US"/>
        </w:rPr>
        <w:t xml:space="preserve">՝ կազմելով </w:t>
      </w:r>
      <w:r w:rsidRPr="001F63BA">
        <w:rPr>
          <w:rFonts w:ascii="GHEA Grapalat" w:hAnsi="GHEA Grapalat" w:cs="Calibri"/>
          <w:bCs/>
          <w:sz w:val="22"/>
          <w:szCs w:val="22"/>
        </w:rPr>
        <w:t>տարեկան ծրագրով նախատեսվածի</w:t>
      </w:r>
      <w:r w:rsidRPr="001F63BA">
        <w:rPr>
          <w:rFonts w:ascii="GHEA Grapalat" w:hAnsi="GHEA Grapalat" w:cs="Calibri"/>
          <w:bCs/>
          <w:sz w:val="22"/>
          <w:szCs w:val="22"/>
          <w:lang w:val="en-US"/>
        </w:rPr>
        <w:t xml:space="preserve"> (9 մլն եվրո)</w:t>
      </w:r>
      <w:r w:rsidRPr="001F63BA">
        <w:rPr>
          <w:rFonts w:ascii="GHEA Grapalat" w:hAnsi="GHEA Grapalat" w:cs="Calibri"/>
          <w:bCs/>
          <w:sz w:val="22"/>
          <w:szCs w:val="22"/>
        </w:rPr>
        <w:t xml:space="preserve"> 68.9%-ը: </w:t>
      </w:r>
      <w:r w:rsidRPr="001F63BA">
        <w:rPr>
          <w:rFonts w:ascii="GHEA Grapalat" w:hAnsi="GHEA Grapalat" w:cs="GHEA Grapalat"/>
          <w:sz w:val="22"/>
          <w:szCs w:val="22"/>
          <w:lang w:val="en-US"/>
        </w:rPr>
        <w:t>Գումարն ամբողջությամբ չի հատկացվել</w:t>
      </w:r>
      <w:r w:rsidRPr="001F63BA">
        <w:rPr>
          <w:rFonts w:ascii="GHEA Grapalat" w:hAnsi="GHEA Grapalat" w:cs="GHEA Grapalat"/>
          <w:sz w:val="22"/>
          <w:szCs w:val="22"/>
        </w:rPr>
        <w:t xml:space="preserve"> «Լիարժեք գործող և պատշաճ կադրերով համալրված մասնագիտացված Հակակոռուպցիոն դատարանի (ՀԿԴ) ստեղծում» նախապայման</w:t>
      </w:r>
      <w:r w:rsidRPr="001F63BA">
        <w:rPr>
          <w:rFonts w:ascii="GHEA Grapalat" w:hAnsi="GHEA Grapalat" w:cs="GHEA Grapalat"/>
          <w:sz w:val="22"/>
          <w:szCs w:val="22"/>
          <w:lang w:val="en-US"/>
        </w:rPr>
        <w:t>ը</w:t>
      </w:r>
      <w:r w:rsidRPr="001F63BA">
        <w:rPr>
          <w:rFonts w:ascii="GHEA Grapalat" w:hAnsi="GHEA Grapalat" w:cs="GHEA Grapalat"/>
          <w:sz w:val="22"/>
          <w:szCs w:val="22"/>
        </w:rPr>
        <w:t xml:space="preserve"> չկատարելու պատճառով: Համաձայնագրի շրջանակում </w:t>
      </w:r>
      <w:r w:rsidRPr="001F63BA">
        <w:rPr>
          <w:rFonts w:ascii="GHEA Grapalat" w:hAnsi="GHEA Grapalat" w:cs="GHEA Grapalat"/>
          <w:sz w:val="22"/>
          <w:szCs w:val="22"/>
          <w:lang w:val="en-US"/>
        </w:rPr>
        <w:t>կատար</w:t>
      </w:r>
      <w:r w:rsidRPr="001F63BA">
        <w:rPr>
          <w:rFonts w:ascii="GHEA Grapalat" w:hAnsi="GHEA Grapalat" w:cs="GHEA Grapalat"/>
          <w:sz w:val="22"/>
          <w:szCs w:val="22"/>
        </w:rPr>
        <w:t xml:space="preserve">վել </w:t>
      </w:r>
      <w:r w:rsidRPr="001F63BA">
        <w:rPr>
          <w:rFonts w:ascii="GHEA Grapalat" w:hAnsi="GHEA Grapalat" w:cs="GHEA Grapalat"/>
          <w:sz w:val="22"/>
          <w:szCs w:val="22"/>
          <w:lang w:val="en-US"/>
        </w:rPr>
        <w:t>են</w:t>
      </w:r>
      <w:r w:rsidRPr="001F63BA">
        <w:rPr>
          <w:rFonts w:ascii="GHEA Grapalat" w:hAnsi="GHEA Grapalat" w:cs="GHEA Grapalat"/>
          <w:sz w:val="22"/>
          <w:szCs w:val="22"/>
        </w:rPr>
        <w:t xml:space="preserve"> հետևյալ հատուկ նախապայմանները. </w:t>
      </w:r>
    </w:p>
    <w:p w:rsidR="001C411D" w:rsidRPr="001F63BA" w:rsidRDefault="001C411D" w:rsidP="00BB1B4B">
      <w:pPr>
        <w:numPr>
          <w:ilvl w:val="0"/>
          <w:numId w:val="30"/>
        </w:numPr>
        <w:tabs>
          <w:tab w:val="left" w:pos="851"/>
        </w:tabs>
        <w:spacing w:line="360" w:lineRule="auto"/>
        <w:ind w:left="0" w:right="9" w:firstLine="567"/>
        <w:jc w:val="both"/>
        <w:rPr>
          <w:rFonts w:ascii="GHEA Grapalat" w:hAnsi="GHEA Grapalat" w:cs="GHEA Grapalat"/>
          <w:sz w:val="22"/>
          <w:szCs w:val="22"/>
        </w:rPr>
      </w:pPr>
      <w:r w:rsidRPr="001F63BA">
        <w:rPr>
          <w:rFonts w:ascii="GHEA Grapalat" w:hAnsi="GHEA Grapalat" w:cs="GHEA Grapalat"/>
          <w:sz w:val="22"/>
          <w:szCs w:val="22"/>
        </w:rPr>
        <w:t>129 գործող դատավոր անցել է բարեվարքության ստուգում՝ վերանայված (ընդունված) ընթացակարգին համապատասխան,</w:t>
      </w:r>
    </w:p>
    <w:p w:rsidR="001C411D" w:rsidRPr="001F63BA" w:rsidRDefault="001C411D" w:rsidP="00BB1B4B">
      <w:pPr>
        <w:numPr>
          <w:ilvl w:val="0"/>
          <w:numId w:val="30"/>
        </w:numPr>
        <w:tabs>
          <w:tab w:val="left" w:pos="851"/>
        </w:tabs>
        <w:spacing w:line="360" w:lineRule="auto"/>
        <w:ind w:left="0" w:right="9" w:firstLine="567"/>
        <w:jc w:val="both"/>
        <w:rPr>
          <w:rFonts w:ascii="GHEA Grapalat" w:hAnsi="GHEA Grapalat" w:cs="GHEA Grapalat"/>
          <w:sz w:val="22"/>
          <w:szCs w:val="22"/>
        </w:rPr>
      </w:pPr>
      <w:r w:rsidRPr="001F63BA">
        <w:rPr>
          <w:rFonts w:ascii="GHEA Grapalat" w:hAnsi="GHEA Grapalat" w:cs="GHEA Grapalat"/>
          <w:sz w:val="22"/>
          <w:szCs w:val="22"/>
          <w:lang w:val="en-US"/>
        </w:rPr>
        <w:t>ը</w:t>
      </w:r>
      <w:r w:rsidRPr="001F63BA">
        <w:rPr>
          <w:rFonts w:ascii="GHEA Grapalat" w:hAnsi="GHEA Grapalat" w:cs="GHEA Grapalat"/>
          <w:sz w:val="22"/>
          <w:szCs w:val="22"/>
        </w:rPr>
        <w:t>նդունվել են Եվրոպական չափանիշներին համապատասխանող՝ դատավորների ընտրության ընթացակարգերը և նշանակման մեխանիզմներ</w:t>
      </w:r>
      <w:r w:rsidRPr="001F63BA">
        <w:rPr>
          <w:rFonts w:ascii="GHEA Grapalat" w:hAnsi="GHEA Grapalat" w:cs="GHEA Grapalat"/>
          <w:sz w:val="22"/>
          <w:szCs w:val="22"/>
          <w:lang w:val="en-US"/>
        </w:rPr>
        <w:t>ը</w:t>
      </w:r>
      <w:r w:rsidRPr="001F63BA">
        <w:rPr>
          <w:rFonts w:ascii="GHEA Grapalat" w:hAnsi="GHEA Grapalat" w:cs="GHEA Grapalat"/>
          <w:sz w:val="22"/>
          <w:szCs w:val="22"/>
        </w:rPr>
        <w:t>,</w:t>
      </w:r>
    </w:p>
    <w:p w:rsidR="001C411D" w:rsidRPr="001F63BA" w:rsidRDefault="001C411D" w:rsidP="00BB1B4B">
      <w:pPr>
        <w:numPr>
          <w:ilvl w:val="0"/>
          <w:numId w:val="30"/>
        </w:numPr>
        <w:tabs>
          <w:tab w:val="left" w:pos="851"/>
        </w:tabs>
        <w:spacing w:line="360" w:lineRule="auto"/>
        <w:ind w:left="0" w:right="9" w:firstLine="567"/>
        <w:jc w:val="both"/>
        <w:rPr>
          <w:rFonts w:ascii="GHEA Grapalat" w:hAnsi="GHEA Grapalat" w:cs="GHEA Grapalat"/>
          <w:sz w:val="22"/>
          <w:szCs w:val="22"/>
        </w:rPr>
      </w:pPr>
      <w:r w:rsidRPr="001F63BA">
        <w:rPr>
          <w:rFonts w:ascii="GHEA Grapalat" w:hAnsi="GHEA Grapalat" w:cs="GHEA Grapalat"/>
          <w:sz w:val="22"/>
          <w:szCs w:val="22"/>
          <w:lang w:val="en-US"/>
        </w:rPr>
        <w:t>ը</w:t>
      </w:r>
      <w:r w:rsidRPr="001F63BA">
        <w:rPr>
          <w:rFonts w:ascii="GHEA Grapalat" w:hAnsi="GHEA Grapalat" w:cs="GHEA Grapalat"/>
          <w:sz w:val="22"/>
          <w:szCs w:val="22"/>
        </w:rPr>
        <w:t>նդհանուր կուտակված գործերի քանակը թե՛ առաջին ատյանի Քաղաքացիական և թե՛ Վարչական դատարաններում 10</w:t>
      </w:r>
      <w:r w:rsidRPr="001F63BA">
        <w:rPr>
          <w:rFonts w:ascii="GHEA Grapalat" w:hAnsi="GHEA Grapalat" w:cs="GHEA Grapalat"/>
          <w:sz w:val="22"/>
          <w:szCs w:val="22"/>
          <w:lang w:val="en-US"/>
        </w:rPr>
        <w:t>%-</w:t>
      </w:r>
      <w:r w:rsidRPr="001F63BA">
        <w:rPr>
          <w:rFonts w:ascii="GHEA Grapalat" w:hAnsi="GHEA Grapalat" w:cs="GHEA Grapalat"/>
          <w:sz w:val="22"/>
          <w:szCs w:val="22"/>
        </w:rPr>
        <w:t>ով նվազել է 2019 թվականի համեմատ,</w:t>
      </w:r>
    </w:p>
    <w:p w:rsidR="001C411D" w:rsidRPr="001F63BA" w:rsidRDefault="001C411D" w:rsidP="00BB1B4B">
      <w:pPr>
        <w:numPr>
          <w:ilvl w:val="0"/>
          <w:numId w:val="30"/>
        </w:numPr>
        <w:tabs>
          <w:tab w:val="left" w:pos="851"/>
        </w:tabs>
        <w:spacing w:line="360" w:lineRule="auto"/>
        <w:ind w:left="0" w:right="9" w:firstLine="567"/>
        <w:jc w:val="both"/>
        <w:rPr>
          <w:rFonts w:ascii="GHEA Grapalat" w:hAnsi="GHEA Grapalat" w:cs="GHEA Grapalat"/>
          <w:sz w:val="22"/>
          <w:szCs w:val="22"/>
        </w:rPr>
      </w:pPr>
      <w:r w:rsidRPr="001F63BA">
        <w:rPr>
          <w:rFonts w:ascii="GHEA Grapalat" w:hAnsi="GHEA Grapalat" w:cs="GHEA Grapalat"/>
          <w:sz w:val="22"/>
          <w:szCs w:val="22"/>
        </w:rPr>
        <w:t>2021 թվականից նոր ներկայացված դատական գործերի 10</w:t>
      </w:r>
      <w:r w:rsidRPr="001F63BA">
        <w:rPr>
          <w:rFonts w:ascii="GHEA Grapalat" w:hAnsi="GHEA Grapalat" w:cs="GHEA Grapalat"/>
          <w:sz w:val="22"/>
          <w:szCs w:val="22"/>
          <w:lang w:val="en-US"/>
        </w:rPr>
        <w:t>%-</w:t>
      </w:r>
      <w:r w:rsidRPr="001F63BA">
        <w:rPr>
          <w:rFonts w:ascii="GHEA Grapalat" w:hAnsi="GHEA Grapalat" w:cs="GHEA Grapalat"/>
          <w:sz w:val="22"/>
          <w:szCs w:val="22"/>
        </w:rPr>
        <w:t>ին ընթացք է տրվել էլեկտրոնային արդարադատության համակարգի միջոցով,</w:t>
      </w:r>
    </w:p>
    <w:p w:rsidR="001C411D" w:rsidRPr="001F63BA" w:rsidRDefault="001C411D" w:rsidP="00BB1B4B">
      <w:pPr>
        <w:numPr>
          <w:ilvl w:val="0"/>
          <w:numId w:val="30"/>
        </w:numPr>
        <w:tabs>
          <w:tab w:val="left" w:pos="851"/>
        </w:tabs>
        <w:spacing w:line="360" w:lineRule="auto"/>
        <w:ind w:left="0" w:right="9" w:firstLine="567"/>
        <w:jc w:val="both"/>
        <w:rPr>
          <w:rFonts w:ascii="GHEA Grapalat" w:hAnsi="GHEA Grapalat" w:cs="GHEA Grapalat"/>
          <w:sz w:val="22"/>
          <w:szCs w:val="22"/>
        </w:rPr>
      </w:pPr>
      <w:r w:rsidRPr="001F63BA">
        <w:rPr>
          <w:rFonts w:ascii="GHEA Grapalat" w:hAnsi="GHEA Grapalat" w:cs="GHEA Grapalat"/>
          <w:sz w:val="22"/>
          <w:szCs w:val="22"/>
        </w:rPr>
        <w:t>Գլխավոր դատախազությունում</w:t>
      </w:r>
      <w:r w:rsidRPr="001F63BA">
        <w:rPr>
          <w:rFonts w:ascii="GHEA Grapalat" w:hAnsi="GHEA Grapalat" w:cs="GHEA Grapalat"/>
          <w:sz w:val="22"/>
          <w:szCs w:val="22"/>
          <w:lang w:val="en-US"/>
        </w:rPr>
        <w:t xml:space="preserve"> ստեղծվել է</w:t>
      </w:r>
      <w:r w:rsidRPr="001F63BA">
        <w:rPr>
          <w:rFonts w:ascii="GHEA Grapalat" w:hAnsi="GHEA Grapalat" w:cs="GHEA Grapalat"/>
          <w:sz w:val="22"/>
          <w:szCs w:val="22"/>
        </w:rPr>
        <w:t xml:space="preserve"> մասնագիտացված հակակոռուպցիոն վարչություն:</w:t>
      </w:r>
    </w:p>
    <w:p w:rsidR="001C411D" w:rsidRPr="001F63BA" w:rsidRDefault="001C411D" w:rsidP="006761A4">
      <w:pPr>
        <w:spacing w:line="360" w:lineRule="auto"/>
        <w:ind w:right="9" w:firstLine="567"/>
        <w:jc w:val="both"/>
        <w:rPr>
          <w:rFonts w:ascii="GHEA Grapalat" w:hAnsi="GHEA Grapalat"/>
          <w:spacing w:val="-6"/>
          <w:sz w:val="22"/>
          <w:szCs w:val="22"/>
        </w:rPr>
      </w:pPr>
      <w:r w:rsidRPr="001F63BA">
        <w:rPr>
          <w:rFonts w:ascii="GHEA Grapalat" w:hAnsi="GHEA Grapalat" w:cs="GHEA Grapalat"/>
          <w:sz w:val="22"/>
          <w:szCs w:val="22"/>
        </w:rPr>
        <w:t>2.5 մլրդ դրամ</w:t>
      </w:r>
      <w:r w:rsidRPr="001F63BA">
        <w:rPr>
          <w:rFonts w:ascii="GHEA Grapalat" w:hAnsi="GHEA Grapalat" w:cs="GHEA Grapalat"/>
          <w:sz w:val="22"/>
          <w:szCs w:val="22"/>
          <w:lang w:val="en-US"/>
        </w:rPr>
        <w:t xml:space="preserve"> (6 մլն եվրո)</w:t>
      </w:r>
      <w:r w:rsidRPr="001F63BA">
        <w:rPr>
          <w:rFonts w:ascii="GHEA Grapalat" w:hAnsi="GHEA Grapalat" w:cs="GHEA Grapalat"/>
          <w:sz w:val="22"/>
          <w:szCs w:val="22"/>
        </w:rPr>
        <w:t xml:space="preserve"> է ստացվել «COVID-19</w:t>
      </w:r>
      <w:r w:rsidRPr="001F63BA">
        <w:rPr>
          <w:rFonts w:ascii="Calibri" w:hAnsi="Calibri" w:cs="Calibri"/>
          <w:sz w:val="22"/>
          <w:szCs w:val="22"/>
        </w:rPr>
        <w:t> </w:t>
      </w:r>
      <w:r w:rsidRPr="001F63BA">
        <w:rPr>
          <w:rFonts w:ascii="GHEA Grapalat" w:hAnsi="GHEA Grapalat" w:cs="GHEA Grapalat"/>
          <w:sz w:val="22"/>
          <w:szCs w:val="22"/>
        </w:rPr>
        <w:t>համավարակի դիմակայման Հայաստանի պայմանագիր» ծրագրի շրջանակներում</w:t>
      </w:r>
      <w:r w:rsidRPr="001F63BA">
        <w:rPr>
          <w:rFonts w:ascii="GHEA Grapalat" w:hAnsi="GHEA Grapalat" w:cs="GHEA Grapalat"/>
          <w:sz w:val="22"/>
          <w:szCs w:val="22"/>
          <w:lang w:val="en-US"/>
        </w:rPr>
        <w:t xml:space="preserve">, որը </w:t>
      </w:r>
      <w:r w:rsidRPr="001F63BA">
        <w:rPr>
          <w:rFonts w:ascii="GHEA Grapalat" w:hAnsi="GHEA Grapalat" w:cs="GHEA Grapalat"/>
          <w:sz w:val="22"/>
          <w:szCs w:val="22"/>
        </w:rPr>
        <w:t xml:space="preserve">նախատեսվել էր 2021 թվականին։ </w:t>
      </w:r>
      <w:r w:rsidRPr="001F63BA">
        <w:rPr>
          <w:rFonts w:ascii="GHEA Grapalat" w:hAnsi="GHEA Grapalat"/>
          <w:spacing w:val="-6"/>
          <w:sz w:val="22"/>
          <w:szCs w:val="22"/>
        </w:rPr>
        <w:t>Ծրագիր</w:t>
      </w:r>
      <w:r w:rsidRPr="001F63BA">
        <w:rPr>
          <w:rFonts w:ascii="GHEA Grapalat" w:hAnsi="GHEA Grapalat"/>
          <w:spacing w:val="-6"/>
          <w:sz w:val="22"/>
          <w:szCs w:val="22"/>
          <w:lang w:val="en-US"/>
        </w:rPr>
        <w:t>ն</w:t>
      </w:r>
      <w:r w:rsidRPr="001F63BA">
        <w:rPr>
          <w:rFonts w:ascii="GHEA Grapalat" w:hAnsi="GHEA Grapalat"/>
          <w:spacing w:val="-6"/>
          <w:sz w:val="22"/>
          <w:szCs w:val="22"/>
        </w:rPr>
        <w:t xml:space="preserve"> աջակցել է Հայաստանի</w:t>
      </w:r>
      <w:r w:rsidRPr="001F63BA">
        <w:rPr>
          <w:rFonts w:ascii="GHEA Grapalat" w:hAnsi="GHEA Grapalat"/>
          <w:spacing w:val="-6"/>
          <w:sz w:val="22"/>
          <w:szCs w:val="22"/>
          <w:lang w:val="en-US"/>
        </w:rPr>
        <w:t>ն</w:t>
      </w:r>
      <w:r w:rsidRPr="001F63BA">
        <w:rPr>
          <w:rFonts w:ascii="GHEA Grapalat" w:hAnsi="GHEA Grapalat"/>
          <w:spacing w:val="-6"/>
          <w:sz w:val="22"/>
          <w:szCs w:val="22"/>
        </w:rPr>
        <w:t>՝ COVID-19</w:t>
      </w:r>
      <w:r w:rsidRPr="001F63BA">
        <w:rPr>
          <w:rFonts w:ascii="GHEA Grapalat" w:hAnsi="GHEA Grapalat"/>
          <w:spacing w:val="-6"/>
          <w:sz w:val="22"/>
          <w:szCs w:val="22"/>
          <w:lang w:val="en-US"/>
        </w:rPr>
        <w:t xml:space="preserve"> </w:t>
      </w:r>
      <w:r w:rsidRPr="001F63BA">
        <w:rPr>
          <w:rFonts w:ascii="GHEA Grapalat" w:hAnsi="GHEA Grapalat"/>
          <w:spacing w:val="-6"/>
          <w:sz w:val="22"/>
          <w:szCs w:val="22"/>
        </w:rPr>
        <w:t>համավարակի արդյունքում առողջապահական, սոցիալ-տնտեսական ոլորտներում առաջացած բացասական հետևանքների չեզոքացման</w:t>
      </w:r>
      <w:r w:rsidRPr="001F63BA">
        <w:rPr>
          <w:rFonts w:ascii="GHEA Grapalat" w:hAnsi="GHEA Grapalat"/>
          <w:spacing w:val="-6"/>
          <w:sz w:val="22"/>
          <w:szCs w:val="22"/>
          <w:lang w:val="en-US"/>
        </w:rPr>
        <w:t xml:space="preserve"> գործում</w:t>
      </w:r>
      <w:r w:rsidRPr="001F63BA">
        <w:rPr>
          <w:rFonts w:ascii="GHEA Grapalat" w:hAnsi="GHEA Grapalat"/>
          <w:spacing w:val="-6"/>
          <w:sz w:val="22"/>
          <w:szCs w:val="22"/>
        </w:rPr>
        <w:t>:</w:t>
      </w:r>
      <w:r w:rsidRPr="001F63BA">
        <w:rPr>
          <w:rFonts w:ascii="GHEA Grapalat" w:hAnsi="GHEA Grapalat"/>
          <w:spacing w:val="-6"/>
          <w:sz w:val="22"/>
          <w:szCs w:val="22"/>
          <w:lang w:val="en-US"/>
        </w:rPr>
        <w:t xml:space="preserve"> </w:t>
      </w:r>
      <w:r w:rsidRPr="001F63BA">
        <w:rPr>
          <w:rFonts w:ascii="GHEA Grapalat" w:hAnsi="GHEA Grapalat" w:cs="Calibri"/>
          <w:bCs/>
          <w:sz w:val="22"/>
          <w:szCs w:val="22"/>
        </w:rPr>
        <w:t>«COVID-19</w:t>
      </w:r>
      <w:r w:rsidRPr="001F63BA">
        <w:rPr>
          <w:rFonts w:ascii="Courier New" w:hAnsi="Courier New" w:cs="Courier New"/>
          <w:bCs/>
          <w:sz w:val="22"/>
          <w:szCs w:val="22"/>
        </w:rPr>
        <w:t> </w:t>
      </w:r>
      <w:r w:rsidRPr="001F63BA">
        <w:rPr>
          <w:rFonts w:ascii="GHEA Grapalat" w:hAnsi="GHEA Grapalat" w:cs="GHEA Grapalat"/>
          <w:bCs/>
          <w:sz w:val="22"/>
          <w:szCs w:val="22"/>
        </w:rPr>
        <w:t>համավարակի</w:t>
      </w:r>
      <w:r w:rsidRPr="001F63BA">
        <w:rPr>
          <w:rFonts w:ascii="GHEA Grapalat" w:hAnsi="GHEA Grapalat" w:cs="Calibri"/>
          <w:bCs/>
          <w:sz w:val="22"/>
          <w:szCs w:val="22"/>
        </w:rPr>
        <w:t xml:space="preserve"> </w:t>
      </w:r>
      <w:r w:rsidRPr="001F63BA">
        <w:rPr>
          <w:rFonts w:ascii="GHEA Grapalat" w:hAnsi="GHEA Grapalat" w:cs="GHEA Grapalat"/>
          <w:bCs/>
          <w:sz w:val="22"/>
          <w:szCs w:val="22"/>
        </w:rPr>
        <w:t>դիմակայման</w:t>
      </w:r>
      <w:r w:rsidRPr="001F63BA">
        <w:rPr>
          <w:rFonts w:ascii="GHEA Grapalat" w:hAnsi="GHEA Grapalat" w:cs="Calibri"/>
          <w:bCs/>
          <w:sz w:val="22"/>
          <w:szCs w:val="22"/>
        </w:rPr>
        <w:t xml:space="preserve"> </w:t>
      </w:r>
      <w:r w:rsidRPr="001F63BA">
        <w:rPr>
          <w:rFonts w:ascii="GHEA Grapalat" w:hAnsi="GHEA Grapalat" w:cs="GHEA Grapalat"/>
          <w:bCs/>
          <w:sz w:val="22"/>
          <w:szCs w:val="22"/>
        </w:rPr>
        <w:t>Հայաստանի</w:t>
      </w:r>
      <w:r w:rsidRPr="001F63BA">
        <w:rPr>
          <w:rFonts w:ascii="GHEA Grapalat" w:hAnsi="GHEA Grapalat" w:cs="Calibri"/>
          <w:bCs/>
          <w:sz w:val="22"/>
          <w:szCs w:val="22"/>
        </w:rPr>
        <w:t xml:space="preserve"> </w:t>
      </w:r>
      <w:r w:rsidRPr="001F63BA">
        <w:rPr>
          <w:rFonts w:ascii="GHEA Grapalat" w:hAnsi="GHEA Grapalat" w:cs="GHEA Grapalat"/>
          <w:bCs/>
          <w:sz w:val="22"/>
          <w:szCs w:val="22"/>
        </w:rPr>
        <w:t>պայմանագիր»</w:t>
      </w:r>
      <w:r w:rsidRPr="001F63BA">
        <w:rPr>
          <w:rFonts w:ascii="GHEA Grapalat" w:hAnsi="GHEA Grapalat" w:cs="Calibri"/>
          <w:bCs/>
          <w:sz w:val="22"/>
          <w:szCs w:val="22"/>
        </w:rPr>
        <w:t xml:space="preserve"> </w:t>
      </w:r>
      <w:r w:rsidRPr="001F63BA">
        <w:rPr>
          <w:rFonts w:ascii="GHEA Grapalat" w:hAnsi="GHEA Grapalat" w:cs="GHEA Grapalat"/>
          <w:bCs/>
          <w:sz w:val="22"/>
          <w:szCs w:val="22"/>
        </w:rPr>
        <w:t>ծրագրի</w:t>
      </w:r>
      <w:r w:rsidRPr="001F63BA">
        <w:rPr>
          <w:rFonts w:ascii="GHEA Grapalat" w:hAnsi="GHEA Grapalat" w:cs="Calibri"/>
          <w:bCs/>
          <w:sz w:val="22"/>
          <w:szCs w:val="22"/>
        </w:rPr>
        <w:t xml:space="preserve"> </w:t>
      </w:r>
      <w:r w:rsidRPr="001F63BA">
        <w:rPr>
          <w:rFonts w:ascii="GHEA Grapalat" w:hAnsi="GHEA Grapalat" w:cs="GHEA Grapalat"/>
          <w:bCs/>
          <w:sz w:val="22"/>
          <w:szCs w:val="22"/>
        </w:rPr>
        <w:t>ֆինանսավորման</w:t>
      </w:r>
      <w:r w:rsidRPr="001F63BA">
        <w:rPr>
          <w:rFonts w:ascii="GHEA Grapalat" w:hAnsi="GHEA Grapalat" w:cs="Calibri"/>
          <w:bCs/>
          <w:sz w:val="22"/>
          <w:szCs w:val="22"/>
        </w:rPr>
        <w:t xml:space="preserve"> </w:t>
      </w:r>
      <w:r w:rsidRPr="001F63BA">
        <w:rPr>
          <w:rFonts w:ascii="GHEA Grapalat" w:hAnsi="GHEA Grapalat" w:cs="GHEA Grapalat"/>
          <w:bCs/>
          <w:sz w:val="22"/>
          <w:szCs w:val="22"/>
        </w:rPr>
        <w:t>համաձայնագրի</w:t>
      </w:r>
      <w:r w:rsidRPr="001F63BA">
        <w:rPr>
          <w:rFonts w:ascii="GHEA Grapalat" w:hAnsi="GHEA Grapalat" w:cs="Calibri"/>
          <w:bCs/>
          <w:sz w:val="22"/>
          <w:szCs w:val="22"/>
        </w:rPr>
        <w:t xml:space="preserve"> </w:t>
      </w:r>
      <w:r w:rsidRPr="001F63BA">
        <w:rPr>
          <w:rFonts w:ascii="GHEA Grapalat" w:hAnsi="GHEA Grapalat" w:cs="GHEA Grapalat"/>
          <w:bCs/>
          <w:sz w:val="22"/>
          <w:szCs w:val="22"/>
        </w:rPr>
        <w:t>հատուկ</w:t>
      </w:r>
      <w:r w:rsidRPr="001F63BA">
        <w:rPr>
          <w:rFonts w:ascii="GHEA Grapalat" w:hAnsi="GHEA Grapalat" w:cs="Calibri"/>
          <w:bCs/>
          <w:sz w:val="22"/>
          <w:szCs w:val="22"/>
        </w:rPr>
        <w:t xml:space="preserve"> </w:t>
      </w:r>
      <w:r w:rsidRPr="001F63BA">
        <w:rPr>
          <w:rFonts w:ascii="GHEA Grapalat" w:hAnsi="GHEA Grapalat" w:cs="GHEA Grapalat"/>
          <w:bCs/>
          <w:sz w:val="22"/>
          <w:szCs w:val="22"/>
        </w:rPr>
        <w:t>նախապայմանների</w:t>
      </w:r>
      <w:r w:rsidRPr="001F63BA">
        <w:rPr>
          <w:rFonts w:ascii="GHEA Grapalat" w:hAnsi="GHEA Grapalat" w:cs="Calibri"/>
          <w:bCs/>
          <w:sz w:val="22"/>
          <w:szCs w:val="22"/>
        </w:rPr>
        <w:t xml:space="preserve"> </w:t>
      </w:r>
      <w:r w:rsidRPr="001F63BA">
        <w:rPr>
          <w:rFonts w:ascii="GHEA Grapalat" w:hAnsi="GHEA Grapalat" w:cs="GHEA Grapalat"/>
          <w:bCs/>
          <w:sz w:val="22"/>
          <w:szCs w:val="22"/>
        </w:rPr>
        <w:t>կատարմամբ</w:t>
      </w:r>
      <w:r w:rsidRPr="001F63BA">
        <w:rPr>
          <w:rFonts w:ascii="GHEA Grapalat" w:hAnsi="GHEA Grapalat" w:cs="Calibri"/>
          <w:bCs/>
          <w:sz w:val="22"/>
          <w:szCs w:val="22"/>
        </w:rPr>
        <w:t xml:space="preserve"> </w:t>
      </w:r>
      <w:r w:rsidRPr="001F63BA">
        <w:rPr>
          <w:rFonts w:ascii="GHEA Grapalat" w:hAnsi="GHEA Grapalat" w:cs="GHEA Grapalat"/>
          <w:bCs/>
          <w:sz w:val="22"/>
          <w:szCs w:val="22"/>
        </w:rPr>
        <w:t>նախատեսված</w:t>
      </w:r>
      <w:r w:rsidRPr="001F63BA">
        <w:rPr>
          <w:rFonts w:ascii="GHEA Grapalat" w:hAnsi="GHEA Grapalat" w:cs="Calibri"/>
          <w:bCs/>
          <w:sz w:val="22"/>
          <w:szCs w:val="22"/>
        </w:rPr>
        <w:t xml:space="preserve"> </w:t>
      </w:r>
      <w:r w:rsidRPr="001F63BA">
        <w:rPr>
          <w:rFonts w:ascii="GHEA Grapalat" w:hAnsi="GHEA Grapalat" w:cs="GHEA Grapalat"/>
          <w:bCs/>
          <w:sz w:val="22"/>
          <w:szCs w:val="22"/>
        </w:rPr>
        <w:t>մասհանման</w:t>
      </w:r>
      <w:r w:rsidRPr="001F63BA">
        <w:rPr>
          <w:rFonts w:ascii="GHEA Grapalat" w:hAnsi="GHEA Grapalat" w:cs="Calibri"/>
          <w:bCs/>
          <w:sz w:val="22"/>
          <w:szCs w:val="22"/>
        </w:rPr>
        <w:t xml:space="preserve"> </w:t>
      </w:r>
      <w:r w:rsidRPr="001F63BA">
        <w:rPr>
          <w:rFonts w:ascii="GHEA Grapalat" w:hAnsi="GHEA Grapalat" w:cs="GHEA Grapalat"/>
          <w:bCs/>
          <w:sz w:val="22"/>
          <w:szCs w:val="22"/>
        </w:rPr>
        <w:t>հատկացման</w:t>
      </w:r>
      <w:r w:rsidRPr="001F63BA">
        <w:rPr>
          <w:rFonts w:ascii="GHEA Grapalat" w:hAnsi="GHEA Grapalat" w:cs="Calibri"/>
          <w:bCs/>
          <w:sz w:val="22"/>
          <w:szCs w:val="22"/>
        </w:rPr>
        <w:t xml:space="preserve"> </w:t>
      </w:r>
      <w:r w:rsidRPr="001F63BA">
        <w:rPr>
          <w:rFonts w:ascii="GHEA Grapalat" w:hAnsi="GHEA Grapalat" w:cs="GHEA Grapalat"/>
          <w:bCs/>
          <w:sz w:val="22"/>
          <w:szCs w:val="22"/>
        </w:rPr>
        <w:t>համար</w:t>
      </w:r>
      <w:r w:rsidRPr="001F63BA">
        <w:rPr>
          <w:rFonts w:ascii="GHEA Grapalat" w:hAnsi="GHEA Grapalat" w:cs="GHEA Grapalat"/>
          <w:bCs/>
          <w:sz w:val="22"/>
          <w:szCs w:val="22"/>
          <w:lang w:val="en-US"/>
        </w:rPr>
        <w:t xml:space="preserve"> </w:t>
      </w:r>
      <w:r w:rsidRPr="001F63BA">
        <w:rPr>
          <w:rFonts w:ascii="GHEA Grapalat" w:hAnsi="GHEA Grapalat" w:cs="Calibri"/>
          <w:bCs/>
          <w:sz w:val="22"/>
          <w:szCs w:val="22"/>
        </w:rPr>
        <w:t>Հայաստանը պաշտոնապես դիմել է</w:t>
      </w:r>
      <w:r w:rsidRPr="001F63BA">
        <w:rPr>
          <w:rFonts w:ascii="GHEA Grapalat" w:hAnsi="GHEA Grapalat" w:cs="Calibri"/>
          <w:bCs/>
          <w:sz w:val="22"/>
          <w:szCs w:val="22"/>
          <w:lang w:val="en-US"/>
        </w:rPr>
        <w:t>ր</w:t>
      </w:r>
      <w:r w:rsidRPr="001F63BA">
        <w:rPr>
          <w:rFonts w:ascii="GHEA Grapalat" w:hAnsi="GHEA Grapalat" w:cs="Calibri"/>
          <w:bCs/>
          <w:sz w:val="22"/>
          <w:szCs w:val="22"/>
        </w:rPr>
        <w:t xml:space="preserve"> եվրոպական կողմին</w:t>
      </w:r>
      <w:r w:rsidRPr="001F63BA">
        <w:rPr>
          <w:rFonts w:ascii="GHEA Grapalat" w:hAnsi="GHEA Grapalat" w:cs="Calibri"/>
          <w:bCs/>
          <w:sz w:val="22"/>
          <w:szCs w:val="22"/>
          <w:lang w:val="en-US"/>
        </w:rPr>
        <w:t xml:space="preserve"> </w:t>
      </w:r>
      <w:r w:rsidRPr="001F63BA">
        <w:rPr>
          <w:rFonts w:ascii="GHEA Grapalat" w:hAnsi="GHEA Grapalat" w:cs="Calibri"/>
          <w:bCs/>
          <w:sz w:val="22"/>
          <w:szCs w:val="22"/>
        </w:rPr>
        <w:t>2021 թվականի դեկտեմբերին</w:t>
      </w:r>
      <w:r w:rsidRPr="001F63BA">
        <w:rPr>
          <w:rFonts w:ascii="GHEA Grapalat" w:hAnsi="GHEA Grapalat" w:cs="Calibri"/>
          <w:bCs/>
          <w:sz w:val="22"/>
          <w:szCs w:val="22"/>
          <w:lang w:val="en-US"/>
        </w:rPr>
        <w:t>՝</w:t>
      </w:r>
      <w:r w:rsidRPr="001F63BA">
        <w:rPr>
          <w:rFonts w:ascii="GHEA Grapalat" w:hAnsi="GHEA Grapalat" w:cs="Calibri"/>
          <w:bCs/>
          <w:sz w:val="22"/>
          <w:szCs w:val="22"/>
        </w:rPr>
        <w:t xml:space="preserve"> ներկայացնելով ինքնագնահատման զեկույց: </w:t>
      </w:r>
      <w:r w:rsidRPr="001F63BA">
        <w:rPr>
          <w:rFonts w:ascii="GHEA Grapalat" w:hAnsi="GHEA Grapalat"/>
          <w:spacing w:val="-6"/>
          <w:sz w:val="22"/>
          <w:szCs w:val="22"/>
          <w:lang w:val="en-US"/>
        </w:rPr>
        <w:t>Դրամաշնորհ</w:t>
      </w:r>
      <w:r w:rsidRPr="001F63BA">
        <w:rPr>
          <w:rFonts w:ascii="GHEA Grapalat" w:hAnsi="GHEA Grapalat" w:cs="Calibri"/>
          <w:bCs/>
          <w:sz w:val="22"/>
          <w:szCs w:val="22"/>
        </w:rPr>
        <w:t xml:space="preserve">ը հատկացվել </w:t>
      </w:r>
      <w:r w:rsidRPr="001F63BA">
        <w:rPr>
          <w:rFonts w:ascii="GHEA Grapalat" w:hAnsi="GHEA Grapalat"/>
          <w:spacing w:val="-6"/>
          <w:sz w:val="22"/>
          <w:szCs w:val="22"/>
        </w:rPr>
        <w:t>է 2022 թվականի հուլիս ամսին:</w:t>
      </w:r>
    </w:p>
    <w:p w:rsidR="001C411D" w:rsidRPr="001F63BA" w:rsidRDefault="001C411D" w:rsidP="005E4A11">
      <w:pPr>
        <w:spacing w:line="360" w:lineRule="auto"/>
        <w:ind w:right="9" w:firstLine="567"/>
        <w:jc w:val="both"/>
        <w:rPr>
          <w:rFonts w:ascii="GHEA Grapalat" w:hAnsi="GHEA Grapalat" w:cs="GHEA Grapalat"/>
          <w:sz w:val="22"/>
          <w:szCs w:val="22"/>
        </w:rPr>
      </w:pPr>
      <w:r w:rsidRPr="001F63BA">
        <w:rPr>
          <w:rFonts w:ascii="GHEA Grapalat" w:hAnsi="GHEA Grapalat" w:cs="GHEA Grapalat"/>
          <w:sz w:val="22"/>
          <w:szCs w:val="22"/>
        </w:rPr>
        <w:t xml:space="preserve">Հաշվետու տարում ՄԱԿ-ի Մանկական հիմնադրամի (ՅՈՒՆԻՍԵՖ) հետ կնքված սոցիալական աջակցության փոխըմբռնման հուշագրով նախատեսված «Աջակցություն ռազմական գործողությունների արդյունքում տեղահանված ընտանիքիների երեխաներին» բյուջետային աջակցության դրամաշնորհային ծրագրի շրջանակներում նախատեսված 183 մլն դրամն ամբողջությամբ ստացվել է, որն ուղղվել է Արցախի Հանրապետությունում փաստացի բնակված անչափահաս </w:t>
      </w:r>
      <w:r w:rsidRPr="001F63BA">
        <w:rPr>
          <w:rFonts w:ascii="GHEA Grapalat" w:hAnsi="GHEA Grapalat" w:cs="GHEA Grapalat"/>
          <w:sz w:val="22"/>
          <w:szCs w:val="22"/>
          <w:lang w:val="en-US"/>
        </w:rPr>
        <w:t>3</w:t>
      </w:r>
      <w:r w:rsidRPr="001F63BA">
        <w:rPr>
          <w:rFonts w:ascii="GHEA Grapalat" w:hAnsi="GHEA Grapalat" w:cs="GHEA Grapalat"/>
          <w:sz w:val="22"/>
          <w:szCs w:val="22"/>
        </w:rPr>
        <w:t>000 երեխաներին, ովքեր գտնվել են Հայաստանի Հանրապետությունում՝ յուրաքանչյուրի հաշվով 2 ամիս հատկացնելով ամսական 30500 դրամ։</w:t>
      </w:r>
    </w:p>
    <w:p w:rsidR="001C411D" w:rsidRPr="001F63BA" w:rsidRDefault="001C411D" w:rsidP="00997B43">
      <w:pPr>
        <w:spacing w:line="360" w:lineRule="auto"/>
        <w:ind w:right="9" w:firstLine="567"/>
        <w:jc w:val="both"/>
        <w:rPr>
          <w:rFonts w:ascii="GHEA Grapalat" w:hAnsi="GHEA Grapalat" w:cs="GHEA Grapalat"/>
          <w:sz w:val="22"/>
          <w:szCs w:val="22"/>
        </w:rPr>
      </w:pPr>
      <w:r w:rsidRPr="001F63BA">
        <w:rPr>
          <w:rFonts w:ascii="GHEA Grapalat" w:hAnsi="GHEA Grapalat" w:cs="Calibri"/>
          <w:bCs/>
          <w:sz w:val="22"/>
          <w:szCs w:val="22"/>
        </w:rPr>
        <w:lastRenderedPageBreak/>
        <w:t>2022 թվականի ընթացքում Պետականաշինության և խաղաղաշինության հիմնադրամի (ՊԽՀ) TF0B5651 դրամաշնորհային համաձայնագրով՝ «Հայաստան՝ աջակցություն հակամարտությունից տուժած ընտանիքներին» դրամաշնորհային ծրագրի շրջանակում ՀԲ-ի կողմից տրամադրվել է 169.6</w:t>
      </w:r>
      <w:r w:rsidRPr="001F63BA">
        <w:rPr>
          <w:rFonts w:ascii="Courier New" w:hAnsi="Courier New" w:cs="Courier New"/>
          <w:bCs/>
          <w:sz w:val="22"/>
          <w:szCs w:val="22"/>
          <w:lang w:val="en-US"/>
        </w:rPr>
        <w:t> </w:t>
      </w:r>
      <w:r w:rsidRPr="001F63BA">
        <w:rPr>
          <w:rFonts w:ascii="GHEA Grapalat" w:hAnsi="GHEA Grapalat" w:cs="Calibri"/>
          <w:bCs/>
          <w:sz w:val="22"/>
          <w:szCs w:val="22"/>
        </w:rPr>
        <w:t>մլ</w:t>
      </w:r>
      <w:r w:rsidRPr="001F63BA">
        <w:rPr>
          <w:rFonts w:ascii="GHEA Grapalat" w:hAnsi="GHEA Grapalat" w:cs="Calibri"/>
          <w:bCs/>
          <w:sz w:val="22"/>
          <w:szCs w:val="22"/>
          <w:lang w:val="en-US"/>
        </w:rPr>
        <w:t>ն</w:t>
      </w:r>
      <w:r w:rsidRPr="001F63BA">
        <w:rPr>
          <w:rFonts w:ascii="GHEA Grapalat" w:hAnsi="GHEA Grapalat" w:cs="Calibri"/>
          <w:bCs/>
          <w:sz w:val="22"/>
          <w:szCs w:val="22"/>
        </w:rPr>
        <w:t xml:space="preserve"> դրամ</w:t>
      </w:r>
      <w:r w:rsidRPr="001F63BA">
        <w:rPr>
          <w:rFonts w:ascii="GHEA Grapalat" w:hAnsi="GHEA Grapalat" w:cs="Calibri"/>
          <w:bCs/>
          <w:sz w:val="22"/>
          <w:szCs w:val="22"/>
          <w:lang w:val="en-US"/>
        </w:rPr>
        <w:t>, որը կազմել է</w:t>
      </w:r>
      <w:r w:rsidRPr="001F63BA">
        <w:rPr>
          <w:rFonts w:ascii="GHEA Grapalat" w:hAnsi="GHEA Grapalat" w:cs="Calibri"/>
          <w:bCs/>
          <w:sz w:val="22"/>
          <w:szCs w:val="22"/>
        </w:rPr>
        <w:t xml:space="preserve"> նախատեսվածի 93.4%-ը: </w:t>
      </w:r>
      <w:r w:rsidRPr="001F63BA">
        <w:rPr>
          <w:rFonts w:ascii="GHEA Grapalat" w:hAnsi="GHEA Grapalat"/>
          <w:sz w:val="22"/>
          <w:szCs w:val="22"/>
          <w:shd w:val="clear" w:color="auto" w:fill="FFFFFF"/>
        </w:rPr>
        <w:t>Ծրագիրն ուղղված է եղել հակամարտությունից տուժած ընտանիքների դիմացկունության բարձրացմանը դրամական օգնության միջոցով և հյուրընկալող ընտանիքների ֆինանսական բեռի նվազեցմանը:</w:t>
      </w:r>
      <w:r w:rsidRPr="001F63BA">
        <w:rPr>
          <w:rFonts w:ascii="GHEA Grapalat" w:hAnsi="GHEA Grapalat" w:cs="Sylfaen"/>
          <w:sz w:val="22"/>
          <w:szCs w:val="22"/>
        </w:rPr>
        <w:t xml:space="preserve"> Ծրագրի շրջանակում իրականացվել </w:t>
      </w:r>
      <w:r w:rsidRPr="001F63BA">
        <w:rPr>
          <w:rFonts w:ascii="GHEA Grapalat" w:hAnsi="GHEA Grapalat" w:cs="Sylfaen"/>
          <w:sz w:val="22"/>
          <w:szCs w:val="22"/>
          <w:lang w:val="en-US"/>
        </w:rPr>
        <w:t>են ռ</w:t>
      </w:r>
      <w:r w:rsidRPr="001F63BA">
        <w:rPr>
          <w:rFonts w:ascii="GHEA Grapalat" w:hAnsi="GHEA Grapalat" w:cs="GHEA Grapalat"/>
          <w:sz w:val="22"/>
          <w:szCs w:val="22"/>
        </w:rPr>
        <w:t>ազմական դրությամբ պայմանավորված՝ վարձատրվող հասարակական աշխատանքների կազմակերպման միջոցով՝ Ադրբեջանի կողմից 2020թ. սեպտեմբերի 27-ին սանձազերծված պատերազմի հետևանքով տեղահանված և փաստացի Հայաստանի Հանրապետությունում գտնվող Արցախի Հանրապետության գործազուրկ քաղաքացիների ժամանակավոր զբաղվածության ապահովում</w:t>
      </w:r>
      <w:r w:rsidRPr="001F63BA">
        <w:rPr>
          <w:rFonts w:ascii="GHEA Grapalat" w:hAnsi="GHEA Grapalat" w:cs="GHEA Grapalat"/>
          <w:sz w:val="22"/>
          <w:szCs w:val="22"/>
          <w:lang w:val="en-US"/>
        </w:rPr>
        <w:t xml:space="preserve"> և </w:t>
      </w:r>
      <w:r w:rsidRPr="001F63BA">
        <w:rPr>
          <w:rFonts w:ascii="GHEA Grapalat" w:hAnsi="GHEA Grapalat" w:cs="GHEA Grapalat"/>
          <w:sz w:val="22"/>
          <w:szCs w:val="22"/>
        </w:rPr>
        <w:t>աշխատանքային փորձ ձեռք բերելու համար աջակցության տրամադրում:</w:t>
      </w:r>
    </w:p>
    <w:p w:rsidR="001C411D" w:rsidRPr="001F63BA" w:rsidRDefault="001C411D" w:rsidP="005E4A11">
      <w:pPr>
        <w:spacing w:line="360" w:lineRule="auto"/>
        <w:ind w:right="9" w:firstLine="567"/>
        <w:jc w:val="both"/>
        <w:rPr>
          <w:rFonts w:ascii="GHEA Grapalat" w:hAnsi="GHEA Grapalat"/>
          <w:sz w:val="22"/>
          <w:szCs w:val="22"/>
          <w:shd w:val="clear" w:color="auto" w:fill="FFFFFF"/>
        </w:rPr>
      </w:pPr>
    </w:p>
    <w:p w:rsidR="001C411D" w:rsidRPr="001F63BA" w:rsidRDefault="009A358E" w:rsidP="00D508BE">
      <w:pPr>
        <w:pStyle w:val="a"/>
      </w:pPr>
      <w:r w:rsidRPr="001F63BA">
        <w:rPr>
          <w:noProof/>
        </w:rPr>
        <w:drawing>
          <wp:anchor distT="0" distB="0" distL="114300" distR="114300" simplePos="0" relativeHeight="251656704" behindDoc="0" locked="0" layoutInCell="1" allowOverlap="1" wp14:anchorId="599A2014" wp14:editId="08CD8399">
            <wp:simplePos x="0" y="0"/>
            <wp:positionH relativeFrom="column">
              <wp:posOffset>-42545</wp:posOffset>
            </wp:positionH>
            <wp:positionV relativeFrom="paragraph">
              <wp:posOffset>298450</wp:posOffset>
            </wp:positionV>
            <wp:extent cx="6328410" cy="2782570"/>
            <wp:effectExtent l="1270" t="1905" r="0" b="0"/>
            <wp:wrapSquare wrapText="bothSides"/>
            <wp:docPr id="68"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page">
              <wp14:pctWidth>0</wp14:pctWidth>
            </wp14:sizeRelH>
            <wp14:sizeRelV relativeFrom="page">
              <wp14:pctHeight>0</wp14:pctHeight>
            </wp14:sizeRelV>
          </wp:anchor>
        </w:drawing>
      </w:r>
      <w:r w:rsidR="001C411D" w:rsidRPr="001F63BA">
        <w:t>Ոչ նպատակային դրամաշնորհներն ըստ դոնորների (մլն դրամ)</w:t>
      </w:r>
    </w:p>
    <w:p w:rsidR="001C411D" w:rsidRPr="001F63BA" w:rsidRDefault="001C411D" w:rsidP="005E4A11">
      <w:pPr>
        <w:spacing w:line="360" w:lineRule="auto"/>
        <w:ind w:right="9" w:firstLine="567"/>
        <w:jc w:val="both"/>
        <w:rPr>
          <w:rFonts w:ascii="GHEA Grapalat" w:hAnsi="GHEA Grapalat" w:cs="Calibri"/>
          <w:bCs/>
          <w:sz w:val="22"/>
          <w:szCs w:val="22"/>
        </w:rPr>
      </w:pPr>
    </w:p>
    <w:p w:rsidR="001C411D" w:rsidRPr="001F63BA" w:rsidRDefault="001C411D" w:rsidP="005E4A11">
      <w:pPr>
        <w:spacing w:line="360" w:lineRule="auto"/>
        <w:ind w:right="9" w:firstLine="567"/>
        <w:jc w:val="both"/>
        <w:rPr>
          <w:rFonts w:ascii="GHEA Grapalat" w:hAnsi="GHEA Grapalat" w:cs="GHEA Grapalat"/>
          <w:sz w:val="22"/>
          <w:szCs w:val="22"/>
        </w:rPr>
      </w:pPr>
      <w:r w:rsidRPr="001F63BA">
        <w:rPr>
          <w:rFonts w:ascii="GHEA Grapalat" w:hAnsi="GHEA Grapalat" w:cs="Calibri"/>
          <w:bCs/>
          <w:sz w:val="22"/>
          <w:szCs w:val="22"/>
        </w:rPr>
        <w:t xml:space="preserve">Հաշվետու ժամանակահատվածում պետական բյուջե մուտքագրված պաշտոնական դրամաշնորհները </w:t>
      </w:r>
      <w:r w:rsidRPr="001F63BA">
        <w:rPr>
          <w:rFonts w:ascii="GHEA Grapalat" w:hAnsi="GHEA Grapalat" w:cs="GHEA Grapalat"/>
          <w:sz w:val="22"/>
          <w:szCs w:val="22"/>
        </w:rPr>
        <w:t>2.2 անգամ կամ 2.6 մլրդ դրամով գերազանցել</w:t>
      </w:r>
      <w:r w:rsidRPr="001F63BA">
        <w:rPr>
          <w:rFonts w:ascii="GHEA Grapalat" w:hAnsi="GHEA Grapalat" w:cs="Calibri"/>
          <w:bCs/>
          <w:sz w:val="22"/>
          <w:szCs w:val="22"/>
        </w:rPr>
        <w:t xml:space="preserve"> են նախորդ տարվա ցուցանիշը, </w:t>
      </w:r>
      <w:r w:rsidRPr="001F63BA">
        <w:rPr>
          <w:rFonts w:ascii="GHEA Grapalat" w:hAnsi="GHEA Grapalat" w:cs="GHEA Grapalat"/>
          <w:sz w:val="22"/>
          <w:szCs w:val="22"/>
        </w:rPr>
        <w:t>որը հիմնականում պայմանավորված</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 xml:space="preserve">է Եվրամիության բյուջետային աջակցության ծրագրերի շրջանակներում ստացված </w:t>
      </w:r>
      <w:r w:rsidRPr="001F63BA">
        <w:rPr>
          <w:rFonts w:ascii="GHEA Grapalat" w:hAnsi="GHEA Grapalat" w:cs="GHEA Grapalat"/>
          <w:sz w:val="22"/>
          <w:szCs w:val="22"/>
          <w:lang w:val="en-US"/>
        </w:rPr>
        <w:t>դրամաշնորհների աճով</w:t>
      </w:r>
      <w:r w:rsidRPr="001F63BA">
        <w:rPr>
          <w:rFonts w:ascii="GHEA Grapalat" w:hAnsi="GHEA Grapalat" w:cs="GHEA Grapalat"/>
          <w:sz w:val="22"/>
          <w:szCs w:val="22"/>
        </w:rPr>
        <w:t>:</w:t>
      </w:r>
    </w:p>
    <w:p w:rsidR="001C411D" w:rsidRPr="001F63BA" w:rsidRDefault="001C411D" w:rsidP="001F3411">
      <w:pPr>
        <w:ind w:right="9" w:firstLine="567"/>
        <w:jc w:val="both"/>
        <w:rPr>
          <w:rFonts w:ascii="GHEA Grapalat" w:hAnsi="GHEA Grapalat" w:cs="Calibri"/>
          <w:bCs/>
          <w:sz w:val="22"/>
          <w:szCs w:val="22"/>
        </w:rPr>
      </w:pPr>
    </w:p>
    <w:p w:rsidR="001C411D" w:rsidRPr="001F63BA" w:rsidRDefault="001C411D" w:rsidP="00537EC7">
      <w:pPr>
        <w:pStyle w:val="Heading2"/>
        <w:rPr>
          <w:bCs/>
        </w:rPr>
      </w:pPr>
      <w:bookmarkStart w:id="175" w:name="_Toc69232232"/>
      <w:bookmarkStart w:id="176" w:name="_Toc132204238"/>
      <w:bookmarkEnd w:id="157"/>
      <w:bookmarkEnd w:id="158"/>
      <w:r w:rsidRPr="001F63BA">
        <w:rPr>
          <w:bCs/>
        </w:rPr>
        <w:lastRenderedPageBreak/>
        <w:t>Այլ եկամուտներ</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1C411D" w:rsidRPr="001F63BA" w:rsidRDefault="001C411D" w:rsidP="005E4A11">
      <w:pPr>
        <w:spacing w:line="360" w:lineRule="auto"/>
        <w:ind w:right="9" w:firstLine="567"/>
        <w:jc w:val="both"/>
        <w:rPr>
          <w:rFonts w:ascii="GHEA Grapalat" w:hAnsi="GHEA Grapalat" w:cs="GHEA Grapalat"/>
          <w:sz w:val="22"/>
          <w:szCs w:val="22"/>
        </w:rPr>
      </w:pPr>
      <w:r w:rsidRPr="001F63BA">
        <w:rPr>
          <w:rFonts w:ascii="GHEA Grapalat" w:hAnsi="GHEA Grapalat" w:cs="GHEA Grapalat"/>
          <w:sz w:val="22"/>
          <w:szCs w:val="22"/>
        </w:rPr>
        <w:t xml:space="preserve">2022 </w:t>
      </w:r>
      <w:r w:rsidRPr="001F63BA">
        <w:rPr>
          <w:rFonts w:ascii="GHEA Grapalat" w:hAnsi="GHEA Grapalat" w:cs="Calibri"/>
          <w:sz w:val="22"/>
          <w:szCs w:val="22"/>
        </w:rPr>
        <w:t>թվականին</w:t>
      </w:r>
      <w:r w:rsidRPr="001F63BA">
        <w:rPr>
          <w:rFonts w:ascii="GHEA Grapalat" w:hAnsi="GHEA Grapalat" w:cs="GHEA Grapalat"/>
          <w:sz w:val="22"/>
          <w:szCs w:val="22"/>
        </w:rPr>
        <w:t xml:space="preserve"> ՀՀ պետական բյուջեի </w:t>
      </w:r>
      <w:r w:rsidRPr="001F63BA">
        <w:rPr>
          <w:rFonts w:ascii="GHEA Grapalat" w:hAnsi="GHEA Grapalat" w:cs="GHEA Grapalat"/>
          <w:i/>
          <w:sz w:val="22"/>
          <w:szCs w:val="22"/>
        </w:rPr>
        <w:t>այլ եկամուտները</w:t>
      </w:r>
      <w:r w:rsidRPr="001F63BA">
        <w:rPr>
          <w:rFonts w:ascii="GHEA Grapalat" w:hAnsi="GHEA Grapalat" w:cs="GHEA Grapalat"/>
          <w:sz w:val="22"/>
          <w:szCs w:val="22"/>
        </w:rPr>
        <w:t xml:space="preserve"> կազմել են 122.1 մլրդ դրամ՝ 7.8%-ով գերազանցելով ծրագրված ցուցանիշը: Վերջինս հիմնականում պայմանավորված է իրավախախտումների համար կիրառվող պատժամիջոցներից մուտքերի և ապրանքների մատակարարումից </w:t>
      </w:r>
      <w:r w:rsidRPr="001F63BA">
        <w:rPr>
          <w:rFonts w:ascii="GHEA Grapalat" w:hAnsi="GHEA Grapalat" w:cs="GHEA Grapalat"/>
          <w:sz w:val="22"/>
          <w:szCs w:val="22"/>
          <w:lang w:val="en-US"/>
        </w:rPr>
        <w:t>ու</w:t>
      </w:r>
      <w:r w:rsidRPr="001F63BA">
        <w:rPr>
          <w:rFonts w:ascii="GHEA Grapalat" w:hAnsi="GHEA Grapalat" w:cs="GHEA Grapalat"/>
          <w:sz w:val="22"/>
          <w:szCs w:val="22"/>
        </w:rPr>
        <w:t xml:space="preserve"> ծառայությունների մատուցումից ստացված մուտքերի տարեկան ծրագրային ցուցանիշների գերազանցմամբ: Նախորդ տարվա համեմատ այլ եկամուտների 44.5% (37.6 մլրդ դրամ) աճը հիմնականում պայմանավորված է օրենքով և այլ իրավական ակտերով սահմանված այլ եկամուտների և բանկերում ու այլ ֆինանսավարկային հաստատություններում բյուջեի ժամանակավոր ազատ միջոցների տեղաբաշխումից և դեպոզիտներից ստացված տոկոսավճարների գծով մուտքերի աճով:</w:t>
      </w:r>
    </w:p>
    <w:p w:rsidR="001C411D" w:rsidRPr="001F63BA" w:rsidRDefault="001C411D" w:rsidP="005E4A11">
      <w:pPr>
        <w:spacing w:line="360" w:lineRule="auto"/>
        <w:ind w:right="9" w:firstLine="567"/>
        <w:jc w:val="both"/>
        <w:rPr>
          <w:rFonts w:ascii="GHEA Grapalat" w:hAnsi="GHEA Grapalat" w:cs="Calibri"/>
          <w:sz w:val="22"/>
          <w:szCs w:val="22"/>
          <w:lang w:val="en-US"/>
        </w:rPr>
      </w:pPr>
      <w:r w:rsidRPr="001F63BA">
        <w:rPr>
          <w:rFonts w:ascii="GHEA Grapalat" w:hAnsi="GHEA Grapalat" w:cs="Calibri"/>
          <w:sz w:val="22"/>
          <w:szCs w:val="22"/>
        </w:rPr>
        <w:t>Այլ եկամուտների առանձին բաղադրիչների վերաբերյալ տեղեկատվությունը ներկայացված է Աղյուսակ 1</w:t>
      </w:r>
      <w:r w:rsidRPr="001F63BA">
        <w:rPr>
          <w:rFonts w:ascii="GHEA Grapalat" w:hAnsi="GHEA Grapalat" w:cs="Calibri"/>
          <w:sz w:val="22"/>
          <w:szCs w:val="22"/>
          <w:lang w:val="en-US"/>
        </w:rPr>
        <w:t>5</w:t>
      </w:r>
      <w:r w:rsidRPr="001F63BA">
        <w:rPr>
          <w:rFonts w:ascii="GHEA Grapalat" w:hAnsi="GHEA Grapalat" w:cs="Calibri"/>
          <w:sz w:val="22"/>
          <w:szCs w:val="22"/>
        </w:rPr>
        <w:noBreakHyphen/>
        <w:t>ում:</w:t>
      </w:r>
    </w:p>
    <w:p w:rsidR="001C411D" w:rsidRPr="001F63BA" w:rsidRDefault="001C411D" w:rsidP="00437B15">
      <w:pPr>
        <w:ind w:right="9" w:firstLine="567"/>
        <w:jc w:val="both"/>
        <w:rPr>
          <w:rFonts w:ascii="GHEA Grapalat" w:hAnsi="GHEA Grapalat" w:cs="Calibri"/>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sz w:val="18"/>
          <w:szCs w:val="18"/>
          <w:lang w:val="hy-AM"/>
        </w:rPr>
      </w:pPr>
      <w:r w:rsidRPr="001F63BA">
        <w:rPr>
          <w:rFonts w:ascii="GHEA Grapalat" w:hAnsi="GHEA Grapalat"/>
          <w:i/>
          <w:lang w:val="hy-AM"/>
        </w:rPr>
        <w:t xml:space="preserve">Այլ </w:t>
      </w:r>
      <w:r w:rsidRPr="001F63BA">
        <w:rPr>
          <w:rFonts w:ascii="GHEA Grapalat" w:hAnsi="GHEA Grapalat"/>
          <w:i/>
          <w:sz w:val="18"/>
          <w:szCs w:val="18"/>
          <w:lang w:val="hy-AM"/>
        </w:rPr>
        <w:t>եկամուտների</w:t>
      </w:r>
      <w:r w:rsidRPr="001F63BA">
        <w:rPr>
          <w:rFonts w:ascii="GHEA Grapalat" w:hAnsi="GHEA Grapalat"/>
          <w:i/>
          <w:lang w:val="hy-AM"/>
        </w:rPr>
        <w:t xml:space="preserve"> գծով ՀՀ պետական բյուջեի մուտքերը (մլրդ դրամ)</w:t>
      </w:r>
    </w:p>
    <w:tbl>
      <w:tblPr>
        <w:tblW w:w="10348" w:type="dxa"/>
        <w:tblInd w:w="108" w:type="dxa"/>
        <w:tblLayout w:type="fixed"/>
        <w:tblLook w:val="00A0" w:firstRow="1" w:lastRow="0" w:firstColumn="1" w:lastColumn="0" w:noHBand="0" w:noVBand="0"/>
      </w:tblPr>
      <w:tblGrid>
        <w:gridCol w:w="4249"/>
        <w:gridCol w:w="998"/>
        <w:gridCol w:w="1135"/>
        <w:gridCol w:w="1135"/>
        <w:gridCol w:w="1555"/>
        <w:gridCol w:w="1276"/>
      </w:tblGrid>
      <w:tr w:rsidR="001C411D" w:rsidRPr="001F63BA" w:rsidTr="00437B15">
        <w:trPr>
          <w:trHeight w:val="855"/>
        </w:trPr>
        <w:tc>
          <w:tcPr>
            <w:tcW w:w="4249"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pPr>
              <w:rPr>
                <w:rFonts w:ascii="GHEA Grapalat" w:hAnsi="GHEA Grapalat" w:cs="Calibri"/>
                <w:sz w:val="18"/>
                <w:szCs w:val="18"/>
              </w:rPr>
            </w:pPr>
            <w:r w:rsidRPr="001F63BA">
              <w:rPr>
                <w:rFonts w:ascii="Courier New" w:hAnsi="Courier New" w:cs="Courier New"/>
                <w:sz w:val="18"/>
                <w:szCs w:val="18"/>
              </w:rPr>
              <w:t> </w:t>
            </w:r>
          </w:p>
        </w:tc>
        <w:tc>
          <w:tcPr>
            <w:tcW w:w="998" w:type="dxa"/>
            <w:tcBorders>
              <w:top w:val="single" w:sz="4" w:space="0" w:color="auto"/>
              <w:left w:val="nil"/>
              <w:bottom w:val="single" w:sz="4" w:space="0" w:color="auto"/>
              <w:right w:val="single" w:sz="4" w:space="0" w:color="auto"/>
            </w:tcBorders>
          </w:tcPr>
          <w:p w:rsidR="001C411D" w:rsidRPr="001F63BA" w:rsidRDefault="001C411D">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r w:rsidRPr="001F63BA">
              <w:rPr>
                <w:rFonts w:ascii="GHEA Grapalat" w:hAnsi="GHEA Grapalat" w:cs="Calibri"/>
                <w:b/>
                <w:bCs/>
                <w:sz w:val="18"/>
                <w:szCs w:val="18"/>
              </w:rPr>
              <w:br/>
              <w:t>փաստ</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1C411D" w:rsidRPr="001F63BA" w:rsidRDefault="001C411D">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135" w:type="dxa"/>
            <w:tcBorders>
              <w:top w:val="single" w:sz="4" w:space="0" w:color="auto"/>
              <w:left w:val="nil"/>
              <w:bottom w:val="single" w:sz="4" w:space="0" w:color="auto"/>
              <w:right w:val="single" w:sz="4" w:space="0" w:color="auto"/>
            </w:tcBorders>
            <w:shd w:val="clear" w:color="auto" w:fill="FFFFFF"/>
          </w:tcPr>
          <w:p w:rsidR="001C411D" w:rsidRPr="001F63BA" w:rsidRDefault="001C411D">
            <w:pPr>
              <w:jc w:val="center"/>
              <w:rPr>
                <w:rFonts w:ascii="GHEA Grapalat" w:hAnsi="GHEA Grapalat" w:cs="Calibri"/>
                <w:b/>
                <w:bCs/>
                <w:sz w:val="18"/>
                <w:szCs w:val="18"/>
              </w:rPr>
            </w:pPr>
            <w:r w:rsidRPr="001F63BA">
              <w:rPr>
                <w:rFonts w:ascii="GHEA Grapalat" w:hAnsi="GHEA Grapalat" w:cs="Calibri"/>
                <w:b/>
                <w:bCs/>
                <w:sz w:val="18"/>
                <w:szCs w:val="18"/>
              </w:rPr>
              <w:t xml:space="preserve">2022թ. </w:t>
            </w:r>
            <w:r w:rsidRPr="001F63BA">
              <w:rPr>
                <w:rFonts w:ascii="GHEA Grapalat" w:hAnsi="GHEA Grapalat" w:cs="Calibri"/>
                <w:b/>
                <w:bCs/>
                <w:sz w:val="18"/>
                <w:szCs w:val="18"/>
              </w:rPr>
              <w:br/>
              <w:t>փաստ</w:t>
            </w:r>
          </w:p>
        </w:tc>
        <w:tc>
          <w:tcPr>
            <w:tcW w:w="1555" w:type="dxa"/>
            <w:tcBorders>
              <w:top w:val="single" w:sz="4" w:space="0" w:color="auto"/>
              <w:left w:val="nil"/>
              <w:bottom w:val="single" w:sz="4" w:space="0" w:color="auto"/>
              <w:right w:val="single" w:sz="4" w:space="0" w:color="auto"/>
            </w:tcBorders>
            <w:shd w:val="clear" w:color="auto" w:fill="FFFFFF"/>
          </w:tcPr>
          <w:p w:rsidR="001C411D" w:rsidRPr="001F63BA" w:rsidRDefault="001C411D">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w:t>
            </w:r>
          </w:p>
          <w:p w:rsidR="001C411D" w:rsidRPr="001F63BA" w:rsidRDefault="001C411D">
            <w:pPr>
              <w:jc w:val="center"/>
              <w:rPr>
                <w:rFonts w:ascii="GHEA Grapalat" w:hAnsi="GHEA Grapalat" w:cs="Calibri"/>
                <w:b/>
                <w:bCs/>
                <w:sz w:val="18"/>
                <w:szCs w:val="18"/>
              </w:rPr>
            </w:pPr>
            <w:r w:rsidRPr="001F63BA">
              <w:rPr>
                <w:rFonts w:ascii="GHEA Grapalat" w:hAnsi="GHEA Grapalat" w:cs="Calibri"/>
                <w:b/>
                <w:bCs/>
                <w:sz w:val="18"/>
                <w:szCs w:val="18"/>
              </w:rPr>
              <w:t>(%)</w:t>
            </w:r>
          </w:p>
        </w:tc>
        <w:tc>
          <w:tcPr>
            <w:tcW w:w="1276" w:type="dxa"/>
            <w:tcBorders>
              <w:top w:val="single" w:sz="4" w:space="0" w:color="auto"/>
              <w:left w:val="nil"/>
              <w:bottom w:val="single" w:sz="4" w:space="0" w:color="auto"/>
              <w:right w:val="single" w:sz="4" w:space="0" w:color="auto"/>
            </w:tcBorders>
            <w:shd w:val="clear" w:color="auto" w:fill="FFFFFF"/>
          </w:tcPr>
          <w:p w:rsidR="001C411D" w:rsidRPr="001F63BA" w:rsidRDefault="001C411D">
            <w:pPr>
              <w:jc w:val="center"/>
              <w:rPr>
                <w:rFonts w:ascii="GHEA Grapalat" w:hAnsi="GHEA Grapalat" w:cs="Calibri"/>
                <w:b/>
                <w:bCs/>
                <w:sz w:val="18"/>
                <w:szCs w:val="18"/>
              </w:rPr>
            </w:pPr>
            <w:r w:rsidRPr="001F63BA">
              <w:rPr>
                <w:rFonts w:ascii="GHEA Grapalat" w:hAnsi="GHEA Grapalat" w:cs="Calibri"/>
                <w:b/>
                <w:bCs/>
                <w:sz w:val="18"/>
                <w:szCs w:val="18"/>
              </w:rPr>
              <w:t>2022թ. 2021թ. նկատմամբ</w:t>
            </w:r>
          </w:p>
          <w:p w:rsidR="001C411D" w:rsidRPr="001F63BA" w:rsidRDefault="001C411D">
            <w:pPr>
              <w:ind w:right="271"/>
              <w:jc w:val="center"/>
              <w:rPr>
                <w:rFonts w:ascii="GHEA Grapalat" w:hAnsi="GHEA Grapalat" w:cs="Calibri"/>
                <w:b/>
                <w:bCs/>
                <w:sz w:val="18"/>
                <w:szCs w:val="18"/>
              </w:rPr>
            </w:pPr>
            <w:r w:rsidRPr="001F63BA">
              <w:rPr>
                <w:rFonts w:ascii="GHEA Grapalat" w:hAnsi="GHEA Grapalat" w:cs="Calibri"/>
                <w:b/>
                <w:bCs/>
                <w:sz w:val="18"/>
                <w:szCs w:val="18"/>
              </w:rPr>
              <w:t>(%)</w:t>
            </w:r>
          </w:p>
        </w:tc>
      </w:tr>
      <w:tr w:rsidR="001C411D" w:rsidRPr="001F63BA" w:rsidTr="00437B15">
        <w:trPr>
          <w:trHeight w:val="280"/>
        </w:trPr>
        <w:tc>
          <w:tcPr>
            <w:tcW w:w="4249" w:type="dxa"/>
            <w:tcBorders>
              <w:top w:val="nil"/>
              <w:left w:val="single" w:sz="4" w:space="0" w:color="auto"/>
              <w:bottom w:val="single" w:sz="4" w:space="0" w:color="auto"/>
              <w:right w:val="single" w:sz="4" w:space="0" w:color="auto"/>
            </w:tcBorders>
            <w:vAlign w:val="bottom"/>
          </w:tcPr>
          <w:p w:rsidR="001C411D" w:rsidRPr="001F63BA" w:rsidRDefault="001C411D" w:rsidP="00F52689">
            <w:pPr>
              <w:rPr>
                <w:rFonts w:ascii="GHEA Grapalat" w:hAnsi="GHEA Grapalat" w:cs="Calibri"/>
                <w:b/>
                <w:bCs/>
                <w:sz w:val="18"/>
                <w:szCs w:val="18"/>
              </w:rPr>
            </w:pPr>
            <w:r w:rsidRPr="001F63BA">
              <w:rPr>
                <w:rFonts w:ascii="GHEA Grapalat" w:hAnsi="GHEA Grapalat" w:cs="Calibri"/>
                <w:b/>
                <w:bCs/>
                <w:sz w:val="18"/>
                <w:szCs w:val="18"/>
              </w:rPr>
              <w:t xml:space="preserve"> Այլ եկամուտներ</w:t>
            </w:r>
          </w:p>
        </w:tc>
        <w:tc>
          <w:tcPr>
            <w:tcW w:w="998" w:type="dxa"/>
            <w:tcBorders>
              <w:top w:val="single" w:sz="4" w:space="0" w:color="auto"/>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Arial"/>
                <w:b/>
                <w:bCs/>
                <w:sz w:val="20"/>
                <w:szCs w:val="20"/>
              </w:rPr>
            </w:pPr>
            <w:r w:rsidRPr="001F63BA">
              <w:rPr>
                <w:rFonts w:ascii="GHEA Grapalat" w:hAnsi="GHEA Grapalat" w:cs="Arial"/>
                <w:b/>
                <w:bCs/>
                <w:sz w:val="20"/>
                <w:szCs w:val="20"/>
              </w:rPr>
              <w:t>84.6</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b/>
                <w:bCs/>
                <w:sz w:val="20"/>
                <w:szCs w:val="20"/>
              </w:rPr>
            </w:pPr>
            <w:r w:rsidRPr="001F63BA">
              <w:rPr>
                <w:rFonts w:ascii="GHEA Grapalat" w:hAnsi="GHEA Grapalat" w:cs="Arial"/>
                <w:b/>
                <w:bCs/>
                <w:sz w:val="20"/>
                <w:szCs w:val="20"/>
              </w:rPr>
              <w:t>113.3</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b/>
                <w:bCs/>
                <w:sz w:val="20"/>
                <w:szCs w:val="20"/>
              </w:rPr>
            </w:pPr>
            <w:r w:rsidRPr="001F63BA">
              <w:rPr>
                <w:rFonts w:ascii="GHEA Grapalat" w:hAnsi="GHEA Grapalat" w:cs="Arial"/>
                <w:b/>
                <w:bCs/>
                <w:sz w:val="20"/>
                <w:szCs w:val="20"/>
              </w:rPr>
              <w:t>122.1</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b/>
                <w:sz w:val="20"/>
                <w:szCs w:val="20"/>
              </w:rPr>
            </w:pPr>
            <w:r w:rsidRPr="001F63BA">
              <w:rPr>
                <w:rFonts w:ascii="GHEA Grapalat" w:hAnsi="GHEA Grapalat" w:cs="Arial"/>
                <w:b/>
                <w:sz w:val="20"/>
                <w:szCs w:val="20"/>
              </w:rPr>
              <w:t>107.8</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b/>
                <w:sz w:val="20"/>
                <w:szCs w:val="20"/>
              </w:rPr>
            </w:pPr>
            <w:r w:rsidRPr="001F63BA">
              <w:rPr>
                <w:rFonts w:ascii="GHEA Grapalat" w:hAnsi="GHEA Grapalat" w:cs="Arial"/>
                <w:b/>
                <w:sz w:val="20"/>
                <w:szCs w:val="20"/>
              </w:rPr>
              <w:t>144.5</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F52689">
            <w:pPr>
              <w:rPr>
                <w:rFonts w:ascii="GHEA Grapalat" w:hAnsi="GHEA Grapalat" w:cs="Calibri"/>
                <w:sz w:val="18"/>
                <w:szCs w:val="18"/>
              </w:rPr>
            </w:pPr>
            <w:r w:rsidRPr="001F63BA">
              <w:rPr>
                <w:rFonts w:ascii="GHEA Grapalat" w:hAnsi="GHEA Grapalat" w:cs="Calibri"/>
                <w:sz w:val="18"/>
                <w:szCs w:val="18"/>
              </w:rPr>
              <w:t>Պետական սեփականություն հանդիսացող գույքի վարձակալությունից եկամուտներ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1.2</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6.7</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3.8</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56.6</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318.8</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F52689">
            <w:pPr>
              <w:rPr>
                <w:rFonts w:ascii="GHEA Grapalat" w:hAnsi="GHEA Grapalat" w:cs="Calibri"/>
                <w:sz w:val="18"/>
                <w:szCs w:val="18"/>
              </w:rPr>
            </w:pPr>
            <w:r w:rsidRPr="001F63BA">
              <w:rPr>
                <w:rFonts w:ascii="GHEA Grapalat" w:hAnsi="GHEA Grapalat" w:cs="Calibri"/>
                <w:sz w:val="18"/>
                <w:szCs w:val="18"/>
              </w:rPr>
              <w:t>Տոկոսավճարներ և շահաբաժիններ, այդ թվում՝</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30.3</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38.6</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39.6</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102.6</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130.7</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BB1B4B">
            <w:pPr>
              <w:pStyle w:val="ListParagraph"/>
              <w:numPr>
                <w:ilvl w:val="0"/>
                <w:numId w:val="29"/>
              </w:numPr>
              <w:tabs>
                <w:tab w:val="left" w:pos="459"/>
              </w:tabs>
              <w:spacing w:after="0" w:line="240" w:lineRule="auto"/>
              <w:ind w:left="34" w:firstLine="236"/>
              <w:rPr>
                <w:rFonts w:ascii="GHEA Grapalat" w:hAnsi="GHEA Grapalat"/>
                <w:sz w:val="18"/>
                <w:szCs w:val="18"/>
                <w:lang w:val="hy-AM"/>
              </w:rPr>
            </w:pPr>
            <w:r w:rsidRPr="001F63BA">
              <w:rPr>
                <w:rFonts w:ascii="GHEA Grapalat" w:hAnsi="GHEA Grapalat"/>
                <w:sz w:val="18"/>
                <w:szCs w:val="18"/>
                <w:lang w:val="hy-AM"/>
              </w:rPr>
              <w:t>բանկերում և այլ ֆինանսավարկային հաստատություններում բյուջեի ժամանակավոր ազատ միջոցների տեղաբաշխումից և դեպոզիտներից ստացվող տոկոսավճարներ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29.5</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37.5</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38.3</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101.9</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129.8</w:t>
            </w:r>
          </w:p>
        </w:tc>
      </w:tr>
      <w:tr w:rsidR="001C411D" w:rsidRPr="001F63BA" w:rsidTr="00437B15">
        <w:trPr>
          <w:trHeight w:val="167"/>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BB1B4B">
            <w:pPr>
              <w:pStyle w:val="ListParagraph"/>
              <w:numPr>
                <w:ilvl w:val="0"/>
                <w:numId w:val="29"/>
              </w:numPr>
              <w:tabs>
                <w:tab w:val="left" w:pos="459"/>
              </w:tabs>
              <w:spacing w:after="0" w:line="240" w:lineRule="auto"/>
              <w:ind w:left="34" w:firstLine="236"/>
              <w:rPr>
                <w:rFonts w:ascii="GHEA Grapalat" w:hAnsi="GHEA Grapalat"/>
                <w:sz w:val="18"/>
                <w:szCs w:val="18"/>
                <w:lang w:val="hy-AM"/>
              </w:rPr>
            </w:pPr>
            <w:r w:rsidRPr="001F63BA">
              <w:rPr>
                <w:rFonts w:ascii="GHEA Grapalat" w:hAnsi="GHEA Grapalat"/>
                <w:sz w:val="18"/>
                <w:szCs w:val="18"/>
                <w:lang w:val="hy-AM"/>
              </w:rPr>
              <w:t>իրավաբանական անձանց կապիտալում կատարված ներդրումներից ստացվող շահաբաժիններ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0.8</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1.0</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1.3</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125.6</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165.2</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vAlign w:val="bottom"/>
          </w:tcPr>
          <w:p w:rsidR="001C411D" w:rsidRPr="001F63BA" w:rsidRDefault="001C411D" w:rsidP="00F52689">
            <w:pPr>
              <w:rPr>
                <w:rFonts w:ascii="GHEA Grapalat" w:hAnsi="GHEA Grapalat" w:cs="Calibri"/>
                <w:bCs/>
                <w:sz w:val="18"/>
                <w:szCs w:val="18"/>
              </w:rPr>
            </w:pPr>
            <w:r w:rsidRPr="001F63BA">
              <w:rPr>
                <w:rFonts w:ascii="GHEA Grapalat" w:hAnsi="GHEA Grapalat" w:cs="Calibri"/>
                <w:bCs/>
                <w:sz w:val="18"/>
                <w:szCs w:val="18"/>
              </w:rPr>
              <w:t>Պետության կողմից տրված վարկերի օգտագործման դիմաց վճարներ (տոկոսներ), այդ թվում՝</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11.6</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11.8</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11.7</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99.3</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100.9</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BB1B4B">
            <w:pPr>
              <w:pStyle w:val="ListParagraph"/>
              <w:numPr>
                <w:ilvl w:val="0"/>
                <w:numId w:val="29"/>
              </w:numPr>
              <w:tabs>
                <w:tab w:val="left" w:pos="459"/>
              </w:tabs>
              <w:spacing w:after="0" w:line="240" w:lineRule="auto"/>
              <w:ind w:left="34" w:firstLine="236"/>
              <w:rPr>
                <w:rFonts w:ascii="GHEA Grapalat" w:hAnsi="GHEA Grapalat"/>
                <w:sz w:val="18"/>
                <w:szCs w:val="18"/>
                <w:lang w:val="hy-AM"/>
              </w:rPr>
            </w:pPr>
            <w:r w:rsidRPr="001F63BA">
              <w:rPr>
                <w:rFonts w:ascii="GHEA Grapalat" w:hAnsi="GHEA Grapalat"/>
                <w:sz w:val="18"/>
                <w:szCs w:val="18"/>
                <w:lang w:val="hy-AM"/>
              </w:rPr>
              <w:t>ռեզիդենտներին տրամադրված վարկերի օգտագործման տոկոսավճարներ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11.6</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11.8</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11.7</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99.3</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101.2</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BB1B4B">
            <w:pPr>
              <w:pStyle w:val="ListParagraph"/>
              <w:numPr>
                <w:ilvl w:val="0"/>
                <w:numId w:val="29"/>
              </w:numPr>
              <w:tabs>
                <w:tab w:val="left" w:pos="459"/>
              </w:tabs>
              <w:spacing w:after="0" w:line="240" w:lineRule="auto"/>
              <w:ind w:left="34" w:firstLine="236"/>
              <w:rPr>
                <w:rFonts w:ascii="GHEA Grapalat" w:hAnsi="GHEA Grapalat"/>
                <w:sz w:val="18"/>
                <w:szCs w:val="18"/>
                <w:lang w:val="hy-AM"/>
              </w:rPr>
            </w:pPr>
            <w:r w:rsidRPr="001F63BA">
              <w:rPr>
                <w:rFonts w:ascii="GHEA Grapalat" w:hAnsi="GHEA Grapalat"/>
                <w:sz w:val="18"/>
                <w:szCs w:val="18"/>
                <w:lang w:val="hy-AM"/>
              </w:rPr>
              <w:t>ոչ ռեզիդենտներին տրամադրված վարկերի օգտագործման տոկոսավճարներ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0.1</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0.1</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0.05</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92.8</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60.6</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F52689">
            <w:pPr>
              <w:rPr>
                <w:rFonts w:ascii="GHEA Grapalat" w:hAnsi="GHEA Grapalat" w:cs="Calibri"/>
                <w:sz w:val="18"/>
                <w:szCs w:val="18"/>
              </w:rPr>
            </w:pPr>
            <w:r w:rsidRPr="001F63BA">
              <w:rPr>
                <w:rFonts w:ascii="GHEA Grapalat" w:hAnsi="GHEA Grapalat" w:cs="Calibri"/>
                <w:sz w:val="18"/>
                <w:szCs w:val="18"/>
              </w:rPr>
              <w:t>Այլ կատեգորիաներում չդասակարգված տրանսֆերտներ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0.7</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0.4</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0.4</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96.9</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51.7</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F52689">
            <w:pPr>
              <w:rPr>
                <w:rFonts w:ascii="GHEA Grapalat" w:hAnsi="GHEA Grapalat" w:cs="Calibri"/>
                <w:sz w:val="18"/>
                <w:szCs w:val="18"/>
              </w:rPr>
            </w:pPr>
            <w:r w:rsidRPr="001F63BA">
              <w:rPr>
                <w:rFonts w:ascii="GHEA Grapalat" w:hAnsi="GHEA Grapalat" w:cs="Calibri"/>
                <w:sz w:val="18"/>
                <w:szCs w:val="18"/>
              </w:rPr>
              <w:t>Իրավախախտումների համար գործադիր, դատական մարմինների կողմից կիրառվող պատժամիջոցներից մուտքեր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16.4</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12.8</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19.5</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152.7</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119.4</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F52689">
            <w:pPr>
              <w:rPr>
                <w:rFonts w:ascii="GHEA Grapalat" w:hAnsi="GHEA Grapalat" w:cs="Calibri"/>
                <w:sz w:val="18"/>
                <w:szCs w:val="18"/>
              </w:rPr>
            </w:pPr>
            <w:r w:rsidRPr="001F63BA">
              <w:rPr>
                <w:rFonts w:ascii="GHEA Grapalat" w:hAnsi="GHEA Grapalat" w:cs="Calibri"/>
                <w:sz w:val="18"/>
                <w:szCs w:val="18"/>
              </w:rPr>
              <w:t>Ապրանքների մատակարարումից և ծառայությունների մատուցումից եկամուտներ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21.3</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19.4</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24.1</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124.3</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113.3</w:t>
            </w:r>
          </w:p>
        </w:tc>
      </w:tr>
      <w:tr w:rsidR="001C411D" w:rsidRPr="001F63BA" w:rsidTr="00437B15">
        <w:trPr>
          <w:trHeight w:val="300"/>
        </w:trPr>
        <w:tc>
          <w:tcPr>
            <w:tcW w:w="4249" w:type="dxa"/>
            <w:tcBorders>
              <w:top w:val="nil"/>
              <w:left w:val="single" w:sz="4" w:space="0" w:color="auto"/>
              <w:bottom w:val="single" w:sz="4" w:space="0" w:color="auto"/>
              <w:right w:val="single" w:sz="4" w:space="0" w:color="auto"/>
            </w:tcBorders>
            <w:noWrap/>
            <w:vAlign w:val="bottom"/>
          </w:tcPr>
          <w:p w:rsidR="001C411D" w:rsidRPr="001F63BA" w:rsidRDefault="001C411D" w:rsidP="00F52689">
            <w:pPr>
              <w:rPr>
                <w:rFonts w:ascii="GHEA Grapalat" w:hAnsi="GHEA Grapalat" w:cs="Calibri"/>
                <w:sz w:val="18"/>
                <w:szCs w:val="18"/>
              </w:rPr>
            </w:pPr>
            <w:r w:rsidRPr="001F63BA">
              <w:rPr>
                <w:rFonts w:ascii="GHEA Grapalat" w:hAnsi="GHEA Grapalat" w:cs="Calibri"/>
                <w:sz w:val="18"/>
                <w:szCs w:val="18"/>
              </w:rPr>
              <w:lastRenderedPageBreak/>
              <w:t>Օրենքով և իրավական այլ ակտերով սահմանված՝ պետական բյուջե մուտքագրվող այլ եկամուտներ</w:t>
            </w:r>
          </w:p>
        </w:tc>
        <w:tc>
          <w:tcPr>
            <w:tcW w:w="998" w:type="dxa"/>
            <w:tcBorders>
              <w:top w:val="nil"/>
              <w:left w:val="single" w:sz="4" w:space="0" w:color="auto"/>
              <w:bottom w:val="single" w:sz="4" w:space="0" w:color="auto"/>
              <w:right w:val="single" w:sz="4" w:space="0" w:color="auto"/>
            </w:tcBorders>
            <w:vAlign w:val="center"/>
          </w:tcPr>
          <w:p w:rsidR="001C411D" w:rsidRPr="001F63BA" w:rsidRDefault="001C411D" w:rsidP="00F52689">
            <w:pPr>
              <w:jc w:val="right"/>
              <w:rPr>
                <w:rFonts w:ascii="GHEA Grapalat" w:hAnsi="GHEA Grapalat" w:cs="Calibri"/>
                <w:sz w:val="18"/>
                <w:szCs w:val="18"/>
              </w:rPr>
            </w:pPr>
            <w:r w:rsidRPr="001F63BA">
              <w:rPr>
                <w:rFonts w:ascii="GHEA Grapalat" w:hAnsi="GHEA Grapalat" w:cs="Calibri"/>
                <w:sz w:val="18"/>
                <w:szCs w:val="18"/>
              </w:rPr>
              <w:t>3.1</w:t>
            </w:r>
          </w:p>
        </w:tc>
        <w:tc>
          <w:tcPr>
            <w:tcW w:w="1135" w:type="dxa"/>
            <w:tcBorders>
              <w:top w:val="nil"/>
              <w:left w:val="single" w:sz="4" w:space="0" w:color="auto"/>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23.6</w:t>
            </w:r>
          </w:p>
        </w:tc>
        <w:tc>
          <w:tcPr>
            <w:tcW w:w="113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23.0</w:t>
            </w:r>
          </w:p>
        </w:tc>
        <w:tc>
          <w:tcPr>
            <w:tcW w:w="1555" w:type="dxa"/>
            <w:tcBorders>
              <w:top w:val="nil"/>
              <w:left w:val="nil"/>
              <w:bottom w:val="single" w:sz="4" w:space="0" w:color="auto"/>
              <w:right w:val="single" w:sz="4" w:space="0" w:color="auto"/>
            </w:tcBorders>
            <w:noWrap/>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97.5</w:t>
            </w:r>
          </w:p>
        </w:tc>
        <w:tc>
          <w:tcPr>
            <w:tcW w:w="1276" w:type="dxa"/>
            <w:tcBorders>
              <w:top w:val="nil"/>
              <w:left w:val="nil"/>
              <w:bottom w:val="single" w:sz="4" w:space="0" w:color="auto"/>
              <w:right w:val="single" w:sz="4" w:space="0" w:color="auto"/>
            </w:tcBorders>
            <w:vAlign w:val="center"/>
          </w:tcPr>
          <w:p w:rsidR="001C411D" w:rsidRPr="001F63BA" w:rsidRDefault="001C411D" w:rsidP="00F52689">
            <w:pPr>
              <w:jc w:val="right"/>
              <w:rPr>
                <w:rFonts w:ascii="GHEA Grapalat" w:hAnsi="GHEA Grapalat" w:cs="Arial"/>
                <w:sz w:val="20"/>
                <w:szCs w:val="20"/>
              </w:rPr>
            </w:pPr>
            <w:r w:rsidRPr="001F63BA">
              <w:rPr>
                <w:rFonts w:ascii="GHEA Grapalat" w:hAnsi="GHEA Grapalat" w:cs="Arial"/>
                <w:sz w:val="20"/>
                <w:szCs w:val="20"/>
              </w:rPr>
              <w:t>744.8</w:t>
            </w:r>
          </w:p>
        </w:tc>
      </w:tr>
    </w:tbl>
    <w:p w:rsidR="001C411D" w:rsidRPr="001F63BA" w:rsidRDefault="001C411D" w:rsidP="005E4A11">
      <w:pPr>
        <w:spacing w:line="360" w:lineRule="auto"/>
        <w:ind w:right="9" w:firstLine="567"/>
        <w:jc w:val="both"/>
        <w:rPr>
          <w:rFonts w:ascii="GHEA Grapalat" w:hAnsi="GHEA Grapalat" w:cs="GHEA Grapalat"/>
          <w:sz w:val="22"/>
          <w:szCs w:val="22"/>
        </w:rPr>
      </w:pPr>
    </w:p>
    <w:p w:rsidR="001C411D" w:rsidRPr="001F63BA" w:rsidRDefault="001C411D" w:rsidP="005E4A11">
      <w:pPr>
        <w:spacing w:line="360" w:lineRule="auto"/>
        <w:ind w:right="9" w:firstLine="567"/>
        <w:jc w:val="both"/>
        <w:rPr>
          <w:rFonts w:ascii="GHEA Grapalat" w:hAnsi="GHEA Grapalat" w:cs="GHEA Grapalat"/>
          <w:sz w:val="22"/>
          <w:szCs w:val="22"/>
          <w:lang w:val="en-US"/>
        </w:rPr>
      </w:pPr>
      <w:r w:rsidRPr="001F63BA">
        <w:rPr>
          <w:rFonts w:ascii="GHEA Grapalat" w:hAnsi="GHEA Grapalat" w:cs="GHEA Grapalat"/>
          <w:sz w:val="22"/>
          <w:szCs w:val="22"/>
        </w:rPr>
        <w:t>2022 թվականի ընթացքում իրավախախտումների համար գործադիր, դատական մարմինների կողմից կիրառվող պատժամիջոցներից ստացված մուտքերի ծրագրային ցուցանիշի 52.7%</w:t>
      </w:r>
      <w:r w:rsidRPr="001F63BA">
        <w:rPr>
          <w:rFonts w:ascii="GHEA Grapalat" w:hAnsi="GHEA Grapalat" w:cs="GHEA Grapalat"/>
          <w:sz w:val="22"/>
          <w:szCs w:val="22"/>
        </w:rPr>
        <w:noBreakHyphen/>
        <w:t xml:space="preserve">ով </w:t>
      </w:r>
      <w:r w:rsidRPr="001F63BA">
        <w:rPr>
          <w:rFonts w:ascii="GHEA Grapalat" w:hAnsi="GHEA Grapalat" w:cs="GHEA Grapalat"/>
          <w:sz w:val="22"/>
          <w:szCs w:val="22"/>
          <w:lang w:val="en-US"/>
        </w:rPr>
        <w:t xml:space="preserve">(6.7 մլրդ դրամով) </w:t>
      </w:r>
      <w:r w:rsidRPr="001F63BA">
        <w:rPr>
          <w:rFonts w:ascii="GHEA Grapalat" w:hAnsi="GHEA Grapalat" w:cs="GHEA Grapalat"/>
          <w:sz w:val="22"/>
          <w:szCs w:val="22"/>
        </w:rPr>
        <w:t xml:space="preserve">գերազանցումը և նախորդ տարվա համեմատ 19.4% (3.2 մլրդ դրամ) աճը հիմնականում պայմանավորված է երթևեկության բարձր ինտենսիվության պայմաններում ճանապարհատրանսպորտային պատահարների կանխարգելման նպատակով ՀՀ ոստիկանության կողմից հաճախակի ուժեղացված ծառայությունների իրականացմամբ և ՀՀ ոստիկանության տեսանկարահանող սարքերի միջոցով արձանագրված խախտումների համար ՀՀ ոստիկանության կողմից կիրառված պատժամիջոցներից գանձված գումարների աճով, որոնք կազմել են 15.7 մլրդ դրամ՝ 39.5%-ով </w:t>
      </w:r>
      <w:r w:rsidRPr="001F63BA">
        <w:rPr>
          <w:rFonts w:ascii="GHEA Grapalat" w:hAnsi="GHEA Grapalat" w:cs="GHEA Grapalat"/>
          <w:sz w:val="22"/>
          <w:szCs w:val="22"/>
          <w:lang w:val="en-US"/>
        </w:rPr>
        <w:t>(4.4 մլրդ դրամով) գերազանցելով ծրագրված ցուցանիշը և 9.5%-ով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w:t>
      </w:r>
      <w:r w:rsidRPr="001F63BA">
        <w:rPr>
          <w:rFonts w:ascii="GHEA Grapalat" w:hAnsi="GHEA Grapalat" w:cs="GHEA Grapalat"/>
          <w:sz w:val="22"/>
          <w:szCs w:val="22"/>
        </w:rPr>
        <w:t>1.4 մլրդ դրամով</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նախորդ տարվա ցուցանիշը: Մուտքերի բարձր ցուցանիշ</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ապահովվել </w:t>
      </w:r>
      <w:r w:rsidRPr="001F63BA">
        <w:rPr>
          <w:rFonts w:ascii="GHEA Grapalat" w:hAnsi="GHEA Grapalat" w:cs="GHEA Grapalat"/>
          <w:sz w:val="22"/>
          <w:szCs w:val="22"/>
          <w:lang w:val="en-US"/>
        </w:rPr>
        <w:t>է</w:t>
      </w:r>
      <w:r w:rsidRPr="001F63BA">
        <w:rPr>
          <w:rFonts w:ascii="GHEA Grapalat" w:hAnsi="GHEA Grapalat" w:cs="GHEA Grapalat"/>
          <w:sz w:val="22"/>
          <w:szCs w:val="22"/>
        </w:rPr>
        <w:t xml:space="preserve"> նաև ՀՀ </w:t>
      </w:r>
      <w:r w:rsidRPr="001F63BA">
        <w:rPr>
          <w:rFonts w:ascii="GHEA Grapalat" w:hAnsi="GHEA Grapalat" w:cs="GHEA Grapalat"/>
          <w:sz w:val="22"/>
          <w:szCs w:val="22"/>
          <w:lang w:val="en-US"/>
        </w:rPr>
        <w:t>ՊԵԿ</w:t>
      </w:r>
      <w:r w:rsidRPr="001F63BA">
        <w:rPr>
          <w:rFonts w:ascii="GHEA Grapalat" w:hAnsi="GHEA Grapalat" w:cs="GHEA Grapalat"/>
          <w:sz w:val="22"/>
          <w:szCs w:val="22"/>
        </w:rPr>
        <w:t xml:space="preserve"> կողմից «Շահումով խաղերի, ինտերնետ շահումով խաղերի և խաղատների մասին» ՀՀ օրենքի խախտումների համար կիրառվող տուգանքներից մուտքերի, ինչպես նաև մաքսային մարմինների կողմից այլ իրավախախտումների համար կիրառվող պատժամիջոցներից գանձվող մուտքեր</w:t>
      </w:r>
      <w:r w:rsidRPr="001F63BA">
        <w:rPr>
          <w:rFonts w:ascii="GHEA Grapalat" w:hAnsi="GHEA Grapalat" w:cs="GHEA Grapalat"/>
          <w:sz w:val="22"/>
          <w:szCs w:val="22"/>
          <w:lang w:val="en-US"/>
        </w:rPr>
        <w:t>ի հաշվին, որոնք կազմել են 1.2 մլրդ դրամ՝ 2 անգամ (608.5 մլն դրամով) գերազանցելով ծրագրված ցուցանիշը և 1.7 անգամ (508.9 մլն դրամով)՝ նախորդ տարվա ցուցանիշը</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Մուտքերի բարձր մակարդակ է գրանցվել նաև </w:t>
      </w:r>
      <w:r w:rsidRPr="001F63BA">
        <w:rPr>
          <w:rFonts w:ascii="GHEA Grapalat" w:hAnsi="GHEA Grapalat" w:cs="GHEA Grapalat"/>
          <w:sz w:val="22"/>
          <w:szCs w:val="22"/>
        </w:rPr>
        <w:t>ՀՀ վարչապետի աշխատակազմի ներքո գործող տեսչական մարմինների կողմից կիրառված պատժամիջոցների արդյունքում գանձված գումարների</w:t>
      </w:r>
      <w:r w:rsidRPr="001F63BA">
        <w:rPr>
          <w:rFonts w:ascii="GHEA Grapalat" w:hAnsi="GHEA Grapalat" w:cs="GHEA Grapalat"/>
          <w:sz w:val="22"/>
          <w:szCs w:val="22"/>
          <w:lang w:val="en-US"/>
        </w:rPr>
        <w:t xml:space="preserve"> գծով, որոնք կազմել են 900.1 մլն դրամ՝ 2.2 անգամ գերազանցելով ծրագրված ցուցանիշը և 2.3 անգամ՝ նախորդ տարվա փաստացի ցուցանիշը:</w:t>
      </w:r>
    </w:p>
    <w:p w:rsidR="001C411D" w:rsidRPr="001F63BA" w:rsidRDefault="001C411D" w:rsidP="005E4A11">
      <w:pPr>
        <w:spacing w:line="360" w:lineRule="auto"/>
        <w:ind w:right="9" w:firstLine="567"/>
        <w:jc w:val="both"/>
        <w:rPr>
          <w:rFonts w:ascii="GHEA Grapalat" w:hAnsi="GHEA Grapalat" w:cs="GHEA Grapalat"/>
          <w:sz w:val="22"/>
          <w:szCs w:val="22"/>
          <w:lang w:val="en-US"/>
        </w:rPr>
      </w:pPr>
      <w:r w:rsidRPr="001F63BA">
        <w:rPr>
          <w:rFonts w:ascii="GHEA Grapalat" w:hAnsi="GHEA Grapalat" w:cs="GHEA Grapalat"/>
          <w:sz w:val="22"/>
          <w:szCs w:val="22"/>
        </w:rPr>
        <w:t>Հաշվետու տարում ապրանքների մատակարարումից և ծառայությունների մատուցումից ստացված մուտքերը ծրագրային ցուցանիշը գերազանցել են 24.3%</w:t>
      </w:r>
      <w:r w:rsidRPr="001F63BA">
        <w:rPr>
          <w:rFonts w:ascii="GHEA Grapalat" w:hAnsi="GHEA Grapalat" w:cs="GHEA Grapalat"/>
          <w:sz w:val="22"/>
          <w:szCs w:val="22"/>
        </w:rPr>
        <w:noBreakHyphen/>
        <w:t>ով, որը հիմնականում պայմանավորված է ՀՀ արդարադատության նախարարության և ՀՀ ոստիկանության կողմից ապահովված եկամուտների</w:t>
      </w:r>
      <w:r w:rsidRPr="001F63BA">
        <w:rPr>
          <w:rFonts w:ascii="GHEA Grapalat" w:hAnsi="GHEA Grapalat" w:cs="GHEA Grapalat"/>
          <w:sz w:val="22"/>
          <w:szCs w:val="22"/>
          <w:lang w:val="en-US"/>
        </w:rPr>
        <w:t xml:space="preserve"> բարձր մակարդակով: Մասնավորապես՝ </w:t>
      </w:r>
      <w:r w:rsidRPr="001F63BA">
        <w:rPr>
          <w:rFonts w:ascii="GHEA Grapalat" w:hAnsi="GHEA Grapalat" w:cs="GHEA Grapalat"/>
          <w:sz w:val="22"/>
          <w:szCs w:val="22"/>
        </w:rPr>
        <w:t>ՀՀ արդարադատության նախարարության</w:t>
      </w:r>
      <w:r w:rsidRPr="001F63BA">
        <w:rPr>
          <w:rFonts w:ascii="GHEA Grapalat" w:hAnsi="GHEA Grapalat" w:cs="GHEA Grapalat"/>
          <w:sz w:val="22"/>
          <w:szCs w:val="22"/>
          <w:lang w:val="en-US"/>
        </w:rPr>
        <w:t xml:space="preserve"> կողմից մատուցված ծառայությունների դիմաց եկամուտները</w:t>
      </w:r>
      <w:r w:rsidRPr="001F63BA">
        <w:rPr>
          <w:rFonts w:ascii="GHEA Grapalat" w:hAnsi="GHEA Grapalat" w:cs="GHEA Grapalat"/>
          <w:sz w:val="22"/>
          <w:szCs w:val="22"/>
        </w:rPr>
        <w:t xml:space="preserve"> կազմել են 4.7 մլրդ դրամ՝ 79.3%</w:t>
      </w:r>
      <w:r w:rsidRPr="001F63BA">
        <w:rPr>
          <w:rFonts w:ascii="GHEA Grapalat" w:hAnsi="GHEA Grapalat" w:cs="GHEA Grapalat"/>
          <w:sz w:val="22"/>
          <w:szCs w:val="22"/>
        </w:rPr>
        <w:noBreakHyphen/>
        <w:t xml:space="preserve">ով կամ 2.1 մլրդ դրամով գերազանցելով ծրագրված ցուցանիշը, որը պայմանավորված է նրանով, որ 2022 թվականին ներդրվել են լրացուցիչ մեխանիզմներ հարկադիր կատարողների կողմից կատարված աշխատանքի ծավալների կամ որակական ցուցանիշների և վերջիններիս նյութական ապահովվածության միջև արդարացի հավասարակշռությունն ապահովելու, կատարողական գործողությունների արդյունավետության բարձրացման նպատակով: ՀՀ </w:t>
      </w:r>
      <w:r w:rsidRPr="001F63BA">
        <w:rPr>
          <w:rFonts w:ascii="GHEA Grapalat" w:hAnsi="GHEA Grapalat" w:cs="GHEA Grapalat"/>
          <w:sz w:val="22"/>
          <w:szCs w:val="22"/>
        </w:rPr>
        <w:lastRenderedPageBreak/>
        <w:t>ոստիկանության կողմից մատուցված ճանապարհային ծառայություններից ստացված մուտքերը կազմել են 10.3 մլրդ դրամ՝ 22.2%-ով գերազանցելով ծրագրված ցուցանիշը՝ պայմանավորված նրանով, որ ավելացել է ավտոմեքենաների և մոպե</w:t>
      </w:r>
      <w:r w:rsidRPr="001F63BA">
        <w:rPr>
          <w:rFonts w:ascii="GHEA Grapalat" w:hAnsi="GHEA Grapalat" w:cs="GHEA Grapalat"/>
          <w:sz w:val="22"/>
          <w:szCs w:val="22"/>
          <w:lang w:val="en-US"/>
        </w:rPr>
        <w:t>դ</w:t>
      </w:r>
      <w:r w:rsidRPr="001F63BA">
        <w:rPr>
          <w:rFonts w:ascii="GHEA Grapalat" w:hAnsi="GHEA Grapalat" w:cs="GHEA Grapalat"/>
          <w:sz w:val="22"/>
          <w:szCs w:val="22"/>
        </w:rPr>
        <w:t xml:space="preserve">ների գրանցման, վարորդական իրավունքի վկայական ստանալու համար գործնական քննությունների, ինչպես նաև մեծ թվով ցանկալի և մեծ պահանջարկ ունեցող համարանիշերի քանակը: Ապրանքների մատակարարումից և ծառայությունների մատուցումից եկամուտների զգալի աճ է գրանցվել նաև ՀՀ կադաստրի կոմիտեի ստորաբաժանումների կողմից մատուցվող ծառայությունների գծով՝ պայմանավորված գործարքների և արագացված գործակցով կատարված գործարքների թվի աճով, որոնք կազմել են 6 մլրդ դրամ 15.7%-ով գերազանցելով ծրագրված ցուցանիշը: 2021 թվականի համեմատ ապրանքների մատակարարումից և ծառայությունների մատուցումից ստացված մուտքեր 13.3% աճը հիմնականում պայմանավորված է ՀՀ </w:t>
      </w:r>
      <w:r w:rsidRPr="001F63BA">
        <w:rPr>
          <w:rFonts w:ascii="GHEA Grapalat" w:hAnsi="GHEA Grapalat" w:cs="GHEA Grapalat"/>
          <w:sz w:val="22"/>
          <w:szCs w:val="22"/>
          <w:lang w:val="en-US"/>
        </w:rPr>
        <w:t>ՏԿԵՆ</w:t>
      </w:r>
      <w:r w:rsidRPr="001F63BA">
        <w:rPr>
          <w:rFonts w:ascii="GHEA Grapalat" w:hAnsi="GHEA Grapalat" w:cs="GHEA Grapalat"/>
          <w:sz w:val="22"/>
          <w:szCs w:val="22"/>
        </w:rPr>
        <w:t xml:space="preserve"> ջրային կոմիտեի արտաբյուջետային հաշվին՝ 2021 թվականին Սևանա լճից բաց թողնվող ջրի 170 մլն մ</w:t>
      </w:r>
      <w:r w:rsidRPr="001F63BA">
        <w:rPr>
          <w:rFonts w:ascii="GHEA Grapalat" w:hAnsi="GHEA Grapalat" w:cs="GHEA Grapalat"/>
          <w:sz w:val="22"/>
          <w:szCs w:val="22"/>
          <w:vertAlign w:val="superscript"/>
        </w:rPr>
        <w:t>3</w:t>
      </w:r>
      <w:r w:rsidRPr="001F63BA">
        <w:rPr>
          <w:rFonts w:ascii="GHEA Grapalat" w:hAnsi="GHEA Grapalat" w:cs="GHEA Grapalat"/>
          <w:sz w:val="22"/>
          <w:szCs w:val="22"/>
        </w:rPr>
        <w:t>-ը գերազանցող չափաքանակի հաշվին արտադրվող էլեկտրաէներգիայի վաճառքից ստացված մուտքերով, որոնք կազմել են 1.5</w:t>
      </w:r>
      <w:r w:rsidRPr="001F63BA">
        <w:rPr>
          <w:rFonts w:ascii="Courier New" w:hAnsi="Courier New" w:cs="Courier New"/>
          <w:sz w:val="22"/>
          <w:szCs w:val="22"/>
          <w:lang w:val="en-US"/>
        </w:rPr>
        <w:t> </w:t>
      </w:r>
      <w:r w:rsidRPr="001F63BA">
        <w:rPr>
          <w:rFonts w:ascii="GHEA Grapalat" w:hAnsi="GHEA Grapalat" w:cs="GHEA Grapalat"/>
          <w:sz w:val="22"/>
          <w:szCs w:val="22"/>
        </w:rPr>
        <w:t>մլրդ դրամ:</w:t>
      </w:r>
      <w:r w:rsidRPr="001F63BA">
        <w:rPr>
          <w:rFonts w:ascii="GHEA Grapalat" w:hAnsi="GHEA Grapalat" w:cs="GHEA Grapalat"/>
          <w:sz w:val="22"/>
          <w:szCs w:val="22"/>
          <w:lang w:val="en-US"/>
        </w:rPr>
        <w:t xml:space="preserve"> 2021 թվականի համեմատ զգալի աճ է գրանցվել նաև </w:t>
      </w:r>
      <w:r w:rsidRPr="001F63BA">
        <w:rPr>
          <w:rFonts w:ascii="GHEA Grapalat" w:hAnsi="GHEA Grapalat" w:cs="GHEA Grapalat"/>
          <w:sz w:val="22"/>
          <w:szCs w:val="22"/>
        </w:rPr>
        <w:t>ՀՀ արդարադատության նախարարության և</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ՀՀ կադաստրի կոմիտեի</w:t>
      </w:r>
      <w:r w:rsidRPr="001F63BA">
        <w:rPr>
          <w:rFonts w:ascii="GHEA Grapalat" w:hAnsi="GHEA Grapalat" w:cs="GHEA Grapalat"/>
          <w:sz w:val="22"/>
          <w:szCs w:val="22"/>
          <w:lang w:val="en-US"/>
        </w:rPr>
        <w:t xml:space="preserve"> կողմից մատուցված ծառայությունների գծով՝ կազմելով համապատասխանաբար 28.4% (1 մլրդ դրամ) և 7.2% (405.7 մլն դրամ):</w:t>
      </w:r>
    </w:p>
    <w:p w:rsidR="001C411D" w:rsidRPr="001F63BA" w:rsidRDefault="001C411D" w:rsidP="005E4A11">
      <w:pPr>
        <w:spacing w:line="360" w:lineRule="auto"/>
        <w:ind w:right="9" w:firstLine="567"/>
        <w:jc w:val="both"/>
        <w:rPr>
          <w:rFonts w:ascii="GHEA Grapalat" w:hAnsi="GHEA Grapalat" w:cs="GHEA Grapalat"/>
          <w:sz w:val="22"/>
          <w:szCs w:val="22"/>
        </w:rPr>
      </w:pPr>
      <w:r w:rsidRPr="001F63BA">
        <w:rPr>
          <w:rFonts w:ascii="GHEA Grapalat" w:hAnsi="GHEA Grapalat" w:cs="GHEA Grapalat"/>
          <w:sz w:val="22"/>
          <w:szCs w:val="22"/>
        </w:rPr>
        <w:t>Հաշվետու տարում բանկերում և այլ ֆինանսավարկային հաստատություններում բյուջեի ժամանակավոր ազատ միջոցների տեղաբաշխումից և դեպոզիտներից ստացվել են շուրջ 38.3 մլրդ դրամ տոկոսավճարներ, որոնք 1.9%-ով գերազանցել են ծրագրային ցուցանիշը և 29.8%-ով՝ նախորդ տարվա ցուցանիշը: Նախորդ տարվա համեմատ աճին նպաստել է ավանդի ներդրման տոկոսադրույքի</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2.97 տոկոսային կետով աճը՝ ապահովելով 8</w:t>
      </w:r>
      <w:r w:rsidRPr="001F63BA">
        <w:rPr>
          <w:rFonts w:ascii="GHEA Grapalat" w:hAnsi="GHEA Grapalat" w:cs="GHEA Grapalat"/>
          <w:sz w:val="22"/>
          <w:szCs w:val="22"/>
          <w:lang w:val="en-US"/>
        </w:rPr>
        <w:t>.8</w:t>
      </w:r>
      <w:r w:rsidRPr="001F63BA">
        <w:rPr>
          <w:rFonts w:ascii="GHEA Grapalat" w:hAnsi="GHEA Grapalat" w:cs="GHEA Grapalat"/>
          <w:sz w:val="22"/>
          <w:szCs w:val="22"/>
        </w:rPr>
        <w:t xml:space="preserve"> մլրդ դրամով ավել մուտքեր: 2022 թվականի ընթացքում ներդրված ավանդների միջին կշռված տոկոսադրույքը կազմել է 9.66%` 2021 թվականի 6.69%-ի դիմաց: 2022 թվականի ընթացքում ՀՀ ԿԲ և ՀՀ ՖՆ միջև կնքվել է թվով 203 ավանդային պայմանագիր` 1,697 մլրդ դրամ ընդհանուր գումարով (նախորդ տարի կնքվել էր 198 ավանդային պայմանագիր` 1,859 մլրդ դրամ ընդհանուր գումարով): Հաշվետու տարում ներդրված ավանդների միջին մեծությունը կազմել է 8</w:t>
      </w:r>
      <w:r w:rsidRPr="001F63BA">
        <w:rPr>
          <w:rFonts w:ascii="GHEA Grapalat" w:hAnsi="GHEA Grapalat" w:cs="GHEA Grapalat"/>
          <w:sz w:val="22"/>
          <w:szCs w:val="22"/>
          <w:lang w:val="en-US"/>
        </w:rPr>
        <w:t>.</w:t>
      </w:r>
      <w:r w:rsidRPr="001F63BA">
        <w:rPr>
          <w:rFonts w:ascii="GHEA Grapalat" w:hAnsi="GHEA Grapalat" w:cs="GHEA Grapalat"/>
          <w:sz w:val="22"/>
          <w:szCs w:val="22"/>
        </w:rPr>
        <w:t>4 մլրդ դրամ, որը նախորդ տարվա համեմատ նվազել է շուրջ 1 մլրդ դրամով:</w:t>
      </w:r>
    </w:p>
    <w:p w:rsidR="001C411D" w:rsidRPr="001F63BA" w:rsidRDefault="001C411D" w:rsidP="005E4A11">
      <w:pPr>
        <w:spacing w:line="360" w:lineRule="auto"/>
        <w:ind w:right="9"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Պետական սեփականություն հանդիսացող գույքի վարձակալության դիմաց պետական բյուջե ստացված մուտքերի 56.6% կատարողականը հիմնականում պայմանավորված է այն հանգամանքով, որ սակագնի բարձրացում թույլ չտալու նպատակով </w:t>
      </w:r>
      <w:r w:rsidRPr="001F63BA">
        <w:rPr>
          <w:rFonts w:ascii="GHEA Grapalat" w:hAnsi="GHEA Grapalat" w:cs="GHEA Grapalat"/>
          <w:sz w:val="22"/>
          <w:szCs w:val="22"/>
          <w:lang w:val="en-US"/>
        </w:rPr>
        <w:t>փոփոխություն է կատարվել «</w:t>
      </w:r>
      <w:r w:rsidRPr="001F63BA">
        <w:rPr>
          <w:rFonts w:ascii="GHEA Grapalat" w:hAnsi="GHEA Grapalat" w:cs="GHEA Grapalat"/>
          <w:sz w:val="22"/>
          <w:szCs w:val="22"/>
        </w:rPr>
        <w:t>Վեոլիա Ջուր</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ՓԲԸ-ի </w:t>
      </w:r>
      <w:r w:rsidRPr="001F63BA">
        <w:rPr>
          <w:rFonts w:ascii="GHEA Grapalat" w:hAnsi="GHEA Grapalat" w:cs="GHEA Grapalat"/>
          <w:sz w:val="22"/>
          <w:szCs w:val="22"/>
          <w:lang w:val="en-US"/>
        </w:rPr>
        <w:t>հետ կնքված</w:t>
      </w:r>
      <w:r w:rsidRPr="001F63BA">
        <w:rPr>
          <w:rFonts w:ascii="GHEA Grapalat" w:hAnsi="GHEA Grapalat" w:cs="GHEA Grapalat"/>
          <w:sz w:val="22"/>
          <w:szCs w:val="22"/>
        </w:rPr>
        <w:t xml:space="preserve"> վարձակալության պայմանագր</w:t>
      </w:r>
      <w:r w:rsidRPr="001F63BA">
        <w:rPr>
          <w:rFonts w:ascii="GHEA Grapalat" w:hAnsi="GHEA Grapalat" w:cs="GHEA Grapalat"/>
          <w:sz w:val="22"/>
          <w:szCs w:val="22"/>
          <w:lang w:val="en-US"/>
        </w:rPr>
        <w:t>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վ</w:t>
      </w:r>
      <w:r w:rsidRPr="001F63BA">
        <w:rPr>
          <w:rFonts w:ascii="GHEA Grapalat" w:hAnsi="GHEA Grapalat" w:cs="GHEA Grapalat"/>
          <w:sz w:val="22"/>
          <w:szCs w:val="22"/>
        </w:rPr>
        <w:t>արձակալության վճարի վճարման ժամանակացույց</w:t>
      </w:r>
      <w:r w:rsidRPr="001F63BA">
        <w:rPr>
          <w:rFonts w:ascii="GHEA Grapalat" w:hAnsi="GHEA Grapalat" w:cs="GHEA Grapalat"/>
          <w:sz w:val="22"/>
          <w:szCs w:val="22"/>
          <w:lang w:val="en-US"/>
        </w:rPr>
        <w:t>ում, ինչպես նաև</w:t>
      </w:r>
      <w:r w:rsidRPr="001F63BA">
        <w:rPr>
          <w:rFonts w:ascii="GHEA Grapalat" w:hAnsi="GHEA Grapalat" w:cs="GHEA Grapalat"/>
          <w:sz w:val="22"/>
          <w:szCs w:val="22"/>
        </w:rPr>
        <w:t xml:space="preserve"> պետական և համայնքային կազմակերպությունների կողմից </w:t>
      </w:r>
      <w:r w:rsidRPr="001F63BA">
        <w:rPr>
          <w:rFonts w:ascii="GHEA Grapalat" w:hAnsi="GHEA Grapalat" w:cs="GHEA Grapalat"/>
          <w:sz w:val="22"/>
          <w:szCs w:val="22"/>
        </w:rPr>
        <w:lastRenderedPageBreak/>
        <w:t>ծախսված խմելու ջրի մատակարարման դիմաց կուտակված պարտքերի չվճարման հետևանքով</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«Վեոլիա Ջուր» ՓԲԸ-ի կողմից ՀՀ պետական բյուջեի պարտավորությունների չկատարմամբ՝ պարտավորվելով պարտքերի վճարումների դեպքում մարել չվճարված գումարը: Նախորդ տարվա համեմատ </w:t>
      </w:r>
      <w:r w:rsidRPr="001F63BA">
        <w:rPr>
          <w:rFonts w:ascii="GHEA Grapalat" w:hAnsi="GHEA Grapalat" w:cs="GHEA Grapalat"/>
          <w:sz w:val="22"/>
          <w:szCs w:val="22"/>
          <w:lang w:val="en-US"/>
        </w:rPr>
        <w:t>պ</w:t>
      </w:r>
      <w:r w:rsidRPr="001F63BA">
        <w:rPr>
          <w:rFonts w:ascii="GHEA Grapalat" w:hAnsi="GHEA Grapalat" w:cs="GHEA Grapalat"/>
          <w:sz w:val="22"/>
          <w:szCs w:val="22"/>
        </w:rPr>
        <w:t xml:space="preserve">ետական սեփականություն հանդիսացող գույքի վարձակալության դիմաց ստացված մուտքերի 3.2 անգամ </w:t>
      </w:r>
      <w:r w:rsidRPr="001F63BA">
        <w:rPr>
          <w:rFonts w:ascii="GHEA Grapalat" w:hAnsi="GHEA Grapalat" w:cs="GHEA Grapalat"/>
          <w:sz w:val="22"/>
          <w:szCs w:val="22"/>
          <w:lang w:val="en-US"/>
        </w:rPr>
        <w:t xml:space="preserve">աճը նույնպես հիմնականում պայմանավորված է </w:t>
      </w:r>
      <w:r w:rsidRPr="001F63BA">
        <w:rPr>
          <w:rFonts w:ascii="GHEA Grapalat" w:hAnsi="GHEA Grapalat" w:cs="GHEA Grapalat"/>
          <w:sz w:val="22"/>
          <w:szCs w:val="22"/>
        </w:rPr>
        <w:t>«Վեոլիա Ջուր» ՓԲԸ-ի կողմից</w:t>
      </w:r>
      <w:r w:rsidRPr="001F63BA">
        <w:rPr>
          <w:rFonts w:ascii="GHEA Grapalat" w:hAnsi="GHEA Grapalat" w:cs="GHEA Grapalat"/>
          <w:sz w:val="22"/>
          <w:szCs w:val="22"/>
          <w:lang w:val="en-US"/>
        </w:rPr>
        <w:t xml:space="preserve"> վճարված գումարների աճով:</w:t>
      </w:r>
    </w:p>
    <w:p w:rsidR="001C411D" w:rsidRPr="001F63BA" w:rsidRDefault="001C411D" w:rsidP="005E4A11">
      <w:pPr>
        <w:spacing w:line="360" w:lineRule="auto"/>
        <w:ind w:right="9" w:firstLine="567"/>
        <w:jc w:val="both"/>
        <w:rPr>
          <w:rFonts w:ascii="GHEA Grapalat" w:hAnsi="GHEA Grapalat" w:cs="GHEA Grapalat"/>
          <w:sz w:val="22"/>
          <w:szCs w:val="22"/>
        </w:rPr>
      </w:pPr>
      <w:r w:rsidRPr="001F63BA">
        <w:rPr>
          <w:rFonts w:ascii="GHEA Grapalat" w:hAnsi="GHEA Grapalat" w:cs="GHEA Grapalat"/>
          <w:sz w:val="22"/>
          <w:szCs w:val="22"/>
        </w:rPr>
        <w:t xml:space="preserve">2021 թվականի համեմատ իրավաբանական անձանց կապիտալում կատարված ներդրումներից ստացված շահութաբաժինների 65.2% աճը հիմնականում պայմանավորված է ՀՀ </w:t>
      </w:r>
      <w:r w:rsidRPr="001F63BA">
        <w:rPr>
          <w:rFonts w:ascii="GHEA Grapalat" w:hAnsi="GHEA Grapalat" w:cs="GHEA Grapalat"/>
          <w:sz w:val="22"/>
          <w:szCs w:val="22"/>
          <w:lang w:val="en-US"/>
        </w:rPr>
        <w:t>ՏԿԵՆ</w:t>
      </w:r>
      <w:r w:rsidRPr="001F63BA">
        <w:rPr>
          <w:rFonts w:ascii="GHEA Grapalat" w:hAnsi="GHEA Grapalat" w:cs="GHEA Grapalat"/>
          <w:sz w:val="22"/>
          <w:szCs w:val="22"/>
        </w:rPr>
        <w:t xml:space="preserve"> քաղաքացիական ավիացիայի կոմիտեի կառավարման ներքո գտնվող «Հայաէրոնավիգացիա» ՓԲԸ-ում պետական մասնակցության դիմաց հիմնական գործունեությունից շահութաբաժնի ստացմամբ (322.3 մլն դրամ), որը պայմանավորված է թռիչքների ու վայրէջքների քանակի և տարանցիկ չվերթների աճով։ </w:t>
      </w:r>
    </w:p>
    <w:p w:rsidR="001C411D" w:rsidRPr="001F63BA" w:rsidRDefault="001C411D" w:rsidP="005E4A11">
      <w:pPr>
        <w:spacing w:line="360" w:lineRule="auto"/>
        <w:ind w:right="9" w:firstLine="567"/>
        <w:jc w:val="both"/>
        <w:rPr>
          <w:rFonts w:ascii="GHEA Grapalat" w:hAnsi="GHEA Grapalat" w:cs="GHEA Grapalat"/>
          <w:sz w:val="22"/>
          <w:szCs w:val="22"/>
        </w:rPr>
      </w:pPr>
      <w:r w:rsidRPr="001F63BA">
        <w:rPr>
          <w:rFonts w:ascii="GHEA Grapalat" w:hAnsi="GHEA Grapalat" w:cs="GHEA Grapalat"/>
          <w:sz w:val="22"/>
          <w:szCs w:val="22"/>
        </w:rPr>
        <w:t>Հա</w:t>
      </w:r>
      <w:r w:rsidRPr="001F63BA">
        <w:rPr>
          <w:rFonts w:ascii="GHEA Grapalat" w:hAnsi="GHEA Grapalat" w:cs="GHEA Grapalat"/>
          <w:sz w:val="22"/>
          <w:szCs w:val="22"/>
        </w:rPr>
        <w:softHyphen/>
        <w:t>յաստանի Հանրապետության կողմից ոչ ռեզիդենտներին տրամադրված վարկերի գծով բյուջետային մուտ</w:t>
      </w:r>
      <w:r w:rsidRPr="001F63BA">
        <w:rPr>
          <w:rFonts w:ascii="GHEA Grapalat" w:hAnsi="GHEA Grapalat" w:cs="GHEA Grapalat"/>
          <w:sz w:val="22"/>
          <w:szCs w:val="22"/>
        </w:rPr>
        <w:softHyphen/>
        <w:t>քե</w:t>
      </w:r>
      <w:r w:rsidRPr="001F63BA">
        <w:rPr>
          <w:rFonts w:ascii="GHEA Grapalat" w:hAnsi="GHEA Grapalat" w:cs="GHEA Grapalat"/>
          <w:sz w:val="22"/>
          <w:szCs w:val="22"/>
        </w:rPr>
        <w:softHyphen/>
        <w:t>րը կազմել են շուրջ 47 մլն դրամ, որոնք գոյացել են Հայաստանի Հանրապետության հանդեպ Վրաստանի Հան</w:t>
      </w:r>
      <w:r w:rsidRPr="001F63BA">
        <w:rPr>
          <w:rFonts w:ascii="GHEA Grapalat" w:hAnsi="GHEA Grapalat" w:cs="GHEA Grapalat"/>
          <w:sz w:val="22"/>
          <w:szCs w:val="22"/>
        </w:rPr>
        <w:softHyphen/>
        <w:t>րա</w:t>
      </w:r>
      <w:r w:rsidRPr="001F63BA">
        <w:rPr>
          <w:rFonts w:ascii="GHEA Grapalat" w:hAnsi="GHEA Grapalat" w:cs="GHEA Grapalat"/>
          <w:sz w:val="22"/>
          <w:szCs w:val="22"/>
        </w:rPr>
        <w:softHyphen/>
        <w:t>պե</w:t>
      </w:r>
      <w:r w:rsidRPr="001F63BA">
        <w:rPr>
          <w:rFonts w:ascii="GHEA Grapalat" w:hAnsi="GHEA Grapalat" w:cs="GHEA Grapalat"/>
          <w:sz w:val="22"/>
          <w:szCs w:val="22"/>
        </w:rPr>
        <w:softHyphen/>
        <w:t>տու</w:t>
      </w:r>
      <w:r w:rsidRPr="001F63BA">
        <w:rPr>
          <w:rFonts w:ascii="GHEA Grapalat" w:hAnsi="GHEA Grapalat" w:cs="GHEA Grapalat"/>
          <w:sz w:val="22"/>
          <w:szCs w:val="22"/>
        </w:rPr>
        <w:softHyphen/>
        <w:t>թյան պարտքի սպա</w:t>
      </w:r>
      <w:r w:rsidRPr="001F63BA">
        <w:rPr>
          <w:rFonts w:ascii="GHEA Grapalat" w:hAnsi="GHEA Grapalat" w:cs="GHEA Grapalat"/>
          <w:sz w:val="22"/>
          <w:szCs w:val="22"/>
        </w:rPr>
        <w:softHyphen/>
      </w:r>
      <w:r w:rsidRPr="001F63BA">
        <w:rPr>
          <w:rFonts w:ascii="GHEA Grapalat" w:hAnsi="GHEA Grapalat" w:cs="GHEA Grapalat"/>
          <w:sz w:val="22"/>
          <w:szCs w:val="22"/>
        </w:rPr>
        <w:softHyphen/>
        <w:t>սարկման տոկոսավճար</w:t>
      </w:r>
      <w:r w:rsidRPr="001F63BA">
        <w:rPr>
          <w:rFonts w:ascii="GHEA Grapalat" w:hAnsi="GHEA Grapalat" w:cs="GHEA Grapalat"/>
          <w:sz w:val="22"/>
          <w:szCs w:val="22"/>
        </w:rPr>
        <w:softHyphen/>
      </w:r>
      <w:r w:rsidRPr="001F63BA">
        <w:rPr>
          <w:rFonts w:ascii="GHEA Grapalat" w:hAnsi="GHEA Grapalat" w:cs="GHEA Grapalat"/>
          <w:sz w:val="22"/>
          <w:szCs w:val="22"/>
        </w:rPr>
        <w:softHyphen/>
        <w:t>նե</w:t>
      </w:r>
      <w:r w:rsidRPr="001F63BA">
        <w:rPr>
          <w:rFonts w:ascii="GHEA Grapalat" w:hAnsi="GHEA Grapalat" w:cs="GHEA Grapalat"/>
          <w:sz w:val="22"/>
          <w:szCs w:val="22"/>
        </w:rPr>
        <w:softHyphen/>
        <w:t xml:space="preserve">րից: </w:t>
      </w:r>
    </w:p>
    <w:p w:rsidR="001C411D" w:rsidRPr="001F63BA" w:rsidRDefault="001C411D" w:rsidP="005E4A11">
      <w:pPr>
        <w:spacing w:line="360" w:lineRule="auto"/>
        <w:ind w:right="9" w:firstLine="567"/>
        <w:jc w:val="both"/>
        <w:rPr>
          <w:rFonts w:ascii="GHEA Grapalat" w:hAnsi="GHEA Grapalat" w:cs="GHEA Grapalat"/>
          <w:sz w:val="22"/>
          <w:szCs w:val="22"/>
          <w:lang w:val="en-US"/>
        </w:rPr>
        <w:sectPr w:rsidR="001C411D" w:rsidRPr="001F63BA" w:rsidSect="009D5C15">
          <w:headerReference w:type="default" r:id="rId81"/>
          <w:pgSz w:w="11909" w:h="16834" w:code="9"/>
          <w:pgMar w:top="1134" w:right="567" w:bottom="567" w:left="1134" w:header="720" w:footer="397" w:gutter="0"/>
          <w:cols w:space="720"/>
          <w:docGrid w:linePitch="360"/>
        </w:sectPr>
      </w:pPr>
      <w:r w:rsidRPr="001F63BA">
        <w:rPr>
          <w:rFonts w:ascii="GHEA Grapalat" w:hAnsi="GHEA Grapalat" w:cs="GHEA Grapalat"/>
          <w:sz w:val="22"/>
          <w:szCs w:val="22"/>
        </w:rPr>
        <w:t>Հաշվետու տարում պետական բյուջե մուտքագրված այլ կատեգորիաներում չդասակարգված տրանսֆերտները 48.3%-ով կամ 354.2 մլն դրամով զիջել են նախորդ տարվա ցուցանիշը՝ հիմնականում պայմանավորված օտարերկրյա պետություններում գործող ՀՀ դեսպանությունների գործունեությանն աջակցելու նպատակով կատարված նվիրաբերություններից մուտքերի նվազմամբ:</w:t>
      </w:r>
    </w:p>
    <w:p w:rsidR="001C411D" w:rsidRPr="001F63BA" w:rsidRDefault="001C411D" w:rsidP="00DD39CD">
      <w:pPr>
        <w:pStyle w:val="Heading1"/>
        <w:spacing w:line="480" w:lineRule="auto"/>
        <w:rPr>
          <w:rFonts w:ascii="GHEA Grapalat" w:hAnsi="GHEA Grapalat" w:cs="Sylfaen"/>
          <w:sz w:val="22"/>
          <w:szCs w:val="22"/>
        </w:rPr>
      </w:pPr>
      <w:bookmarkStart w:id="177" w:name="_Toc290409648"/>
      <w:bookmarkStart w:id="178" w:name="_Toc291747234"/>
      <w:bookmarkStart w:id="179" w:name="_Toc291747563"/>
      <w:bookmarkStart w:id="180" w:name="_Toc291747933"/>
      <w:bookmarkStart w:id="181" w:name="_Toc322445716"/>
      <w:bookmarkStart w:id="182" w:name="_Toc322445794"/>
      <w:bookmarkStart w:id="183" w:name="_Toc353882543"/>
      <w:bookmarkStart w:id="184" w:name="_Toc354657500"/>
      <w:bookmarkStart w:id="185" w:name="_Toc354658854"/>
      <w:bookmarkStart w:id="186" w:name="_Toc385937085"/>
      <w:bookmarkStart w:id="187" w:name="_Toc417292097"/>
      <w:bookmarkStart w:id="188" w:name="_Toc448908376"/>
      <w:bookmarkStart w:id="189" w:name="_Toc448912553"/>
      <w:bookmarkStart w:id="190" w:name="_Toc448913282"/>
      <w:bookmarkStart w:id="191" w:name="_Toc511744970"/>
      <w:bookmarkStart w:id="192" w:name="_Toc6389329"/>
      <w:bookmarkStart w:id="193" w:name="_Toc69232233"/>
      <w:bookmarkStart w:id="194" w:name="_Toc132204239"/>
      <w:bookmarkStart w:id="195" w:name="_Toc198638701"/>
      <w:bookmarkStart w:id="196" w:name="_Toc231873608"/>
      <w:bookmarkStart w:id="197" w:name="_Toc259309561"/>
      <w:bookmarkStart w:id="198" w:name="_Toc259310001"/>
      <w:bookmarkStart w:id="199" w:name="_Toc259310278"/>
      <w:bookmarkEnd w:id="123"/>
      <w:bookmarkEnd w:id="124"/>
      <w:bookmarkEnd w:id="125"/>
      <w:bookmarkEnd w:id="126"/>
      <w:bookmarkEnd w:id="127"/>
      <w:bookmarkEnd w:id="128"/>
      <w:bookmarkEnd w:id="129"/>
      <w:bookmarkEnd w:id="130"/>
      <w:bookmarkEnd w:id="131"/>
      <w:bookmarkEnd w:id="132"/>
      <w:bookmarkEnd w:id="133"/>
      <w:bookmarkEnd w:id="134"/>
      <w:r w:rsidRPr="001F63BA">
        <w:rPr>
          <w:rFonts w:ascii="GHEA Grapalat" w:hAnsi="GHEA Grapalat" w:cs="Sylfaen"/>
          <w:sz w:val="22"/>
          <w:szCs w:val="22"/>
        </w:rPr>
        <w:lastRenderedPageBreak/>
        <w:t>ՀԱՅԱՍՏԱՆԻ</w:t>
      </w:r>
      <w:r w:rsidRPr="001F63BA">
        <w:rPr>
          <w:rFonts w:ascii="GHEA Grapalat" w:hAnsi="GHEA Grapalat" w:cs="Sylfaen"/>
          <w:sz w:val="22"/>
          <w:szCs w:val="22"/>
          <w:lang w:val="de-AT"/>
        </w:rPr>
        <w:t xml:space="preserve"> </w:t>
      </w:r>
      <w:r w:rsidRPr="001F63BA">
        <w:rPr>
          <w:rFonts w:ascii="GHEA Grapalat" w:hAnsi="GHEA Grapalat" w:cs="Sylfaen"/>
          <w:sz w:val="22"/>
          <w:szCs w:val="22"/>
        </w:rPr>
        <w:t>ՀԱՆՐԱՊԵՏՈՒԹՅԱՆ 202</w:t>
      </w:r>
      <w:r w:rsidRPr="001F63BA">
        <w:rPr>
          <w:rFonts w:ascii="GHEA Grapalat" w:hAnsi="GHEA Grapalat" w:cs="Sylfaen"/>
          <w:sz w:val="22"/>
          <w:szCs w:val="22"/>
          <w:lang w:val="en-US"/>
        </w:rPr>
        <w:t xml:space="preserve">2 </w:t>
      </w:r>
      <w:r w:rsidRPr="001F63BA">
        <w:rPr>
          <w:rFonts w:ascii="GHEA Grapalat" w:hAnsi="GHEA Grapalat" w:cs="Sylfaen"/>
          <w:sz w:val="22"/>
          <w:szCs w:val="22"/>
        </w:rPr>
        <w:t>ԹՎԱԿԱՆԻ ՊԵՏԱԿԱՆ ԲՅՈՒՋԵԻ ԾԱԽՍԵՐԸ</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1C411D" w:rsidRPr="001F63BA" w:rsidRDefault="001C411D" w:rsidP="00AF71B8">
      <w:pPr>
        <w:spacing w:line="360" w:lineRule="auto"/>
        <w:ind w:firstLine="567"/>
        <w:jc w:val="both"/>
        <w:rPr>
          <w:rFonts w:ascii="GHEA Grapalat" w:hAnsi="GHEA Grapalat" w:cs="GHEA Grapalat"/>
          <w:sz w:val="22"/>
          <w:szCs w:val="22"/>
        </w:rPr>
      </w:pPr>
      <w:bookmarkStart w:id="200" w:name="_Toc385937087"/>
      <w:bookmarkStart w:id="201" w:name="_Toc291747238"/>
      <w:bookmarkStart w:id="202" w:name="_Toc291747567"/>
      <w:bookmarkStart w:id="203" w:name="_Toc291747937"/>
      <w:bookmarkStart w:id="204" w:name="_Toc322445720"/>
      <w:bookmarkStart w:id="205" w:name="_Toc322445798"/>
      <w:bookmarkStart w:id="206" w:name="_Toc353882548"/>
      <w:bookmarkStart w:id="207" w:name="_Toc354657505"/>
      <w:bookmarkStart w:id="208" w:name="_Toc354658859"/>
      <w:bookmarkStart w:id="209" w:name="_Toc385937089"/>
      <w:bookmarkStart w:id="210" w:name="_Toc417292101"/>
      <w:bookmarkStart w:id="211" w:name="_Toc448908380"/>
      <w:bookmarkStart w:id="212" w:name="_Toc448912557"/>
      <w:bookmarkStart w:id="213" w:name="_Toc448913286"/>
      <w:bookmarkStart w:id="214" w:name="_Toc511744974"/>
      <w:bookmarkStart w:id="215" w:name="_Toc6389333"/>
      <w:bookmarkEnd w:id="195"/>
      <w:bookmarkEnd w:id="196"/>
      <w:bookmarkEnd w:id="197"/>
      <w:bookmarkEnd w:id="198"/>
      <w:bookmarkEnd w:id="199"/>
      <w:r w:rsidRPr="001F63BA">
        <w:rPr>
          <w:rFonts w:ascii="GHEA Grapalat" w:hAnsi="GHEA Grapalat" w:cs="GHEA Grapalat"/>
          <w:sz w:val="22"/>
          <w:szCs w:val="22"/>
        </w:rPr>
        <w:t>ՀՀ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պետական բյուջեի մասին օրենքով նախատեսվել էր տարեկան </w:t>
      </w:r>
      <w:r w:rsidRPr="001F63BA">
        <w:rPr>
          <w:rFonts w:ascii="GHEA Grapalat" w:hAnsi="GHEA Grapalat" w:cs="GHEA Grapalat"/>
          <w:sz w:val="22"/>
          <w:szCs w:val="22"/>
          <w:lang w:val="en-US"/>
        </w:rPr>
        <w:t>2</w:t>
      </w:r>
      <w:r w:rsidRPr="001F63BA">
        <w:rPr>
          <w:rFonts w:ascii="GHEA Grapalat" w:hAnsi="GHEA Grapalat" w:cs="GHEA Grapalat"/>
          <w:sz w:val="22"/>
          <w:szCs w:val="22"/>
        </w:rPr>
        <w:t>,</w:t>
      </w:r>
      <w:r w:rsidRPr="001F63BA">
        <w:rPr>
          <w:rFonts w:ascii="GHEA Grapalat" w:hAnsi="GHEA Grapalat" w:cs="GHEA Grapalat"/>
          <w:sz w:val="22"/>
          <w:szCs w:val="22"/>
          <w:lang w:val="en-US"/>
        </w:rPr>
        <w:t>184.0</w:t>
      </w:r>
      <w:r w:rsidRPr="001F63BA">
        <w:rPr>
          <w:rFonts w:ascii="Courier New" w:hAnsi="Courier New" w:cs="Courier New"/>
          <w:sz w:val="22"/>
          <w:szCs w:val="22"/>
        </w:rPr>
        <w:t> </w:t>
      </w:r>
      <w:r w:rsidRPr="001F63BA">
        <w:rPr>
          <w:rFonts w:ascii="GHEA Grapalat" w:hAnsi="GHEA Grapalat" w:cs="GHEA Grapalat"/>
          <w:sz w:val="22"/>
          <w:szCs w:val="22"/>
        </w:rPr>
        <w:t>մլրդ դրամ ծախսերի կատարում: Ելնելով օրենսդրության պահանջներից՝ պետական բյուջեի ծրագրային և փաստացի ցուցանիշներում ներառվել են պետական բյուջեից առանց սահմանափակման կատարվող վճարումները: Նշված միջոցները, ինչպես նաև օրենքով Կառավարությանը վերապահված լիազորությունների շրջանակներում կատարված փոփոխությունները ներառյալ` ՀՀ պետական բյուջեի ծախսերի տարեկան ծրագիրն ավելացվել է 1</w:t>
      </w:r>
      <w:r w:rsidRPr="001F63BA">
        <w:rPr>
          <w:rFonts w:ascii="GHEA Grapalat" w:hAnsi="GHEA Grapalat" w:cs="GHEA Grapalat"/>
          <w:sz w:val="22"/>
          <w:szCs w:val="22"/>
          <w:lang w:val="en-US"/>
        </w:rPr>
        <w:t>03.</w:t>
      </w:r>
      <w:r w:rsidRPr="001F63BA">
        <w:rPr>
          <w:rFonts w:ascii="GHEA Grapalat" w:hAnsi="GHEA Grapalat" w:cs="GHEA Grapalat"/>
          <w:sz w:val="22"/>
          <w:szCs w:val="22"/>
        </w:rPr>
        <w:t>9 մլրդ դրամով:</w:t>
      </w:r>
    </w:p>
    <w:p w:rsidR="001C411D" w:rsidRPr="001F63BA" w:rsidRDefault="001C411D" w:rsidP="00AF71B8">
      <w:pPr>
        <w:spacing w:line="360" w:lineRule="auto"/>
        <w:ind w:firstLine="567"/>
        <w:jc w:val="both"/>
        <w:rPr>
          <w:rFonts w:ascii="GHEA Grapalat" w:hAnsi="GHEA Grapalat" w:cs="GHEA Grapalat"/>
          <w:sz w:val="22"/>
          <w:szCs w:val="22"/>
          <w:lang w:val="en-US"/>
        </w:rPr>
      </w:pPr>
    </w:p>
    <w:p w:rsidR="001C411D" w:rsidRPr="001F63BA" w:rsidRDefault="001C411D" w:rsidP="00CE2BD5">
      <w:pPr>
        <w:pStyle w:val="Heading2"/>
        <w:spacing w:line="360" w:lineRule="auto"/>
        <w:rPr>
          <w:bCs/>
        </w:rPr>
      </w:pPr>
      <w:bookmarkStart w:id="216" w:name="_Toc448908377"/>
      <w:bookmarkStart w:id="217" w:name="_Toc448912554"/>
      <w:bookmarkStart w:id="218" w:name="_Toc448913283"/>
      <w:bookmarkStart w:id="219" w:name="_Toc511744971"/>
      <w:bookmarkStart w:id="220" w:name="_Toc6389330"/>
      <w:bookmarkStart w:id="221" w:name="_Toc69232234"/>
      <w:bookmarkStart w:id="222" w:name="_Toc132204240"/>
      <w:r w:rsidRPr="001F63BA">
        <w:rPr>
          <w:bCs/>
        </w:rPr>
        <w:t>Տնտեսագիտական դասակարգում</w:t>
      </w:r>
      <w:bookmarkEnd w:id="216"/>
      <w:bookmarkEnd w:id="217"/>
      <w:bookmarkEnd w:id="218"/>
      <w:bookmarkEnd w:id="219"/>
      <w:bookmarkEnd w:id="220"/>
      <w:bookmarkEnd w:id="221"/>
      <w:r w:rsidRPr="001F63BA">
        <w:rPr>
          <w:rStyle w:val="FootnoteReference"/>
          <w:bCs/>
        </w:rPr>
        <w:footnoteReference w:id="37"/>
      </w:r>
      <w:bookmarkEnd w:id="222"/>
    </w:p>
    <w:p w:rsidR="001C411D" w:rsidRPr="001F63BA" w:rsidRDefault="001C411D" w:rsidP="0000157A">
      <w:pPr>
        <w:spacing w:line="360" w:lineRule="auto"/>
        <w:ind w:firstLine="567"/>
        <w:jc w:val="both"/>
        <w:rPr>
          <w:rFonts w:ascii="GHEA Grapalat" w:hAnsi="GHEA Grapalat" w:cs="GHEA Grapalat"/>
          <w:sz w:val="22"/>
          <w:szCs w:val="22"/>
          <w:lang w:val="en-US"/>
        </w:rPr>
      </w:pPr>
      <w:bookmarkStart w:id="223" w:name="_Toc386537635"/>
      <w:bookmarkStart w:id="224" w:name="_Toc417292099"/>
      <w:bookmarkStart w:id="225" w:name="_Toc448908378"/>
      <w:bookmarkStart w:id="226" w:name="_Toc448912555"/>
      <w:bookmarkStart w:id="227" w:name="_Toc448913284"/>
      <w:bookmarkStart w:id="228" w:name="_Toc511744972"/>
      <w:bookmarkStart w:id="229" w:name="_Toc6389331"/>
      <w:r w:rsidRPr="001F63BA">
        <w:rPr>
          <w:rFonts w:ascii="GHEA Grapalat" w:hAnsi="GHEA Grapalat" w:cs="GHEA Grapalat"/>
          <w:sz w:val="22"/>
          <w:szCs w:val="22"/>
        </w:rPr>
        <w:t>2022 թվականին ՀՀ պետական բյուջեի փաստացի ծախսերը կազմել են 2,242.6 մլրդ դրամ: Պետական բյուջեի ծախսերի տարեկան ճշտված ծրագիրը կատարվել է 98%-ով, շեղումների ընդհանուր գումարի 56.8%-ը բաժին է ընկել ընթացիկ ծախսերին, 43.2%-ը` ոչ ֆինանսական ակտիվների հետ գործառնություններին:</w:t>
      </w:r>
    </w:p>
    <w:p w:rsidR="001C411D" w:rsidRPr="001F63BA" w:rsidRDefault="001C411D" w:rsidP="0000157A">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Ըստ ֆինանսավորման աղբյուրների պետական բյուջեի ներքին աղբյուրների հաշվին կատարվել է ծախսերի 97.5%-ը կամ 2,185.6</w:t>
      </w:r>
      <w:r w:rsidRPr="001F63BA">
        <w:rPr>
          <w:rFonts w:ascii="Courier New" w:hAnsi="Courier New" w:cs="Courier New"/>
          <w:sz w:val="22"/>
          <w:szCs w:val="22"/>
        </w:rPr>
        <w:t> </w:t>
      </w:r>
      <w:r w:rsidRPr="001F63BA">
        <w:rPr>
          <w:rFonts w:ascii="GHEA Grapalat" w:hAnsi="GHEA Grapalat" w:cs="GHEA Grapalat"/>
          <w:sz w:val="22"/>
          <w:szCs w:val="22"/>
        </w:rPr>
        <w:t>մլրդ դրամը, որոնց տարեկան ծրագիրը կատարվել է 98.6%-ով: Բյուջեի ծախսերի 2.5%-ը՝ 57.1</w:t>
      </w:r>
      <w:r w:rsidRPr="001F63BA">
        <w:rPr>
          <w:rFonts w:ascii="Courier New" w:hAnsi="Courier New" w:cs="Courier New"/>
          <w:sz w:val="22"/>
          <w:szCs w:val="22"/>
        </w:rPr>
        <w:t> </w:t>
      </w:r>
      <w:r w:rsidRPr="001F63BA">
        <w:rPr>
          <w:rFonts w:ascii="GHEA Grapalat" w:hAnsi="GHEA Grapalat" w:cs="GHEA Grapalat"/>
          <w:sz w:val="22"/>
          <w:szCs w:val="22"/>
        </w:rPr>
        <w:t>մլրդ դրամը ֆինանսավորվել է արտաքին աղբյուրներից, որը կազմել է տարեկան ծրագրի 79.1%</w:t>
      </w:r>
      <w:r w:rsidRPr="001F63BA">
        <w:rPr>
          <w:rFonts w:ascii="GHEA Grapalat" w:hAnsi="GHEA Grapalat" w:cs="GHEA Grapalat"/>
          <w:sz w:val="22"/>
          <w:szCs w:val="22"/>
        </w:rPr>
        <w:noBreakHyphen/>
        <w:t>ը</w:t>
      </w:r>
      <w:r w:rsidRPr="001F63BA">
        <w:rPr>
          <w:rStyle w:val="FootnoteReference"/>
          <w:sz w:val="22"/>
          <w:szCs w:val="22"/>
        </w:rPr>
        <w:footnoteReference w:id="38"/>
      </w:r>
      <w:r w:rsidRPr="001F63BA">
        <w:rPr>
          <w:rFonts w:ascii="GHEA Grapalat" w:hAnsi="GHEA Grapalat" w:cs="GHEA Grapalat"/>
          <w:sz w:val="22"/>
          <w:szCs w:val="22"/>
        </w:rPr>
        <w:t>: Հարկ է նշել, 2022 թվականին ապահովվել է պետական բյուջեի ծախսային ծրագրերի շրջանակներում պետական մարմինների կողմից սահմանված կարգով ստանձնված պարտավորությունների ամբողջական</w:t>
      </w:r>
      <w:r w:rsidRPr="001F63BA">
        <w:rPr>
          <w:rFonts w:ascii="GHEA Grapalat" w:hAnsi="GHEA Grapalat"/>
          <w:sz w:val="22"/>
        </w:rPr>
        <w:t xml:space="preserve"> և </w:t>
      </w:r>
      <w:r w:rsidRPr="001F63BA">
        <w:rPr>
          <w:rFonts w:ascii="GHEA Grapalat" w:hAnsi="GHEA Grapalat" w:cs="GHEA Grapalat"/>
          <w:sz w:val="22"/>
          <w:szCs w:val="22"/>
        </w:rPr>
        <w:t>ժամանակին կատարումը:</w:t>
      </w:r>
    </w:p>
    <w:p w:rsidR="001C411D" w:rsidRPr="001F63BA" w:rsidRDefault="001C411D" w:rsidP="0000157A">
      <w:pPr>
        <w:spacing w:line="360" w:lineRule="auto"/>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 ծախսերը (մլրդ դրամ)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395"/>
        <w:gridCol w:w="1841"/>
        <w:gridCol w:w="1986"/>
        <w:gridCol w:w="1984"/>
      </w:tblGrid>
      <w:tr w:rsidR="001C411D" w:rsidRPr="001F63BA" w:rsidTr="00822650">
        <w:trPr>
          <w:trHeight w:val="763"/>
        </w:trPr>
        <w:tc>
          <w:tcPr>
            <w:tcW w:w="4395" w:type="dxa"/>
            <w:noWrap/>
            <w:vAlign w:val="center"/>
          </w:tcPr>
          <w:p w:rsidR="001C411D" w:rsidRPr="001F63BA" w:rsidRDefault="001C411D" w:rsidP="00822650">
            <w:pPr>
              <w:rPr>
                <w:rFonts w:ascii="GHEA Grapalat" w:hAnsi="GHEA Grapalat" w:cs="Calibri"/>
                <w:sz w:val="18"/>
                <w:szCs w:val="18"/>
              </w:rPr>
            </w:pPr>
            <w:r w:rsidRPr="001F63BA">
              <w:rPr>
                <w:rFonts w:ascii="Courier New" w:hAnsi="Courier New" w:cs="Courier New"/>
                <w:sz w:val="18"/>
                <w:szCs w:val="18"/>
              </w:rPr>
              <w:t> </w:t>
            </w:r>
          </w:p>
        </w:tc>
        <w:tc>
          <w:tcPr>
            <w:tcW w:w="1841" w:type="dxa"/>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 xml:space="preserve">2021թ </w:t>
            </w:r>
          </w:p>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փաստ</w:t>
            </w:r>
          </w:p>
        </w:tc>
        <w:tc>
          <w:tcPr>
            <w:tcW w:w="1986"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98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r>
      <w:tr w:rsidR="001C411D" w:rsidRPr="001F63BA" w:rsidTr="003523AC">
        <w:trPr>
          <w:trHeight w:val="288"/>
        </w:trPr>
        <w:tc>
          <w:tcPr>
            <w:tcW w:w="4395" w:type="dxa"/>
            <w:vAlign w:val="bottom"/>
          </w:tcPr>
          <w:p w:rsidR="001C411D" w:rsidRPr="001F63BA" w:rsidRDefault="001C411D" w:rsidP="003523AC">
            <w:pPr>
              <w:rPr>
                <w:rFonts w:ascii="GHEA Grapalat" w:hAnsi="GHEA Grapalat" w:cs="Calibri"/>
                <w:b/>
                <w:bCs/>
                <w:sz w:val="18"/>
                <w:szCs w:val="18"/>
              </w:rPr>
            </w:pPr>
            <w:r w:rsidRPr="001F63BA">
              <w:rPr>
                <w:rFonts w:ascii="GHEA Grapalat" w:hAnsi="GHEA Grapalat" w:cs="Calibri"/>
                <w:b/>
                <w:bCs/>
                <w:sz w:val="18"/>
                <w:szCs w:val="18"/>
              </w:rPr>
              <w:t>Ընդամենը ծախսեր</w:t>
            </w:r>
          </w:p>
        </w:tc>
        <w:tc>
          <w:tcPr>
            <w:tcW w:w="1841" w:type="dxa"/>
            <w:vAlign w:val="bottom"/>
          </w:tcPr>
          <w:p w:rsidR="001C411D" w:rsidRPr="001F63BA" w:rsidRDefault="001C411D" w:rsidP="003523AC">
            <w:pPr>
              <w:jc w:val="right"/>
              <w:rPr>
                <w:rFonts w:ascii="GHEA Grapalat" w:hAnsi="GHEA Grapalat" w:cs="Calibri"/>
                <w:b/>
                <w:bCs/>
                <w:sz w:val="18"/>
                <w:szCs w:val="18"/>
              </w:rPr>
            </w:pPr>
            <w:r w:rsidRPr="001F63BA">
              <w:rPr>
                <w:rFonts w:ascii="GHEA Grapalat" w:hAnsi="GHEA Grapalat" w:cs="Calibri"/>
                <w:b/>
                <w:bCs/>
                <w:sz w:val="18"/>
                <w:szCs w:val="18"/>
              </w:rPr>
              <w:t>2,004.3</w:t>
            </w:r>
          </w:p>
        </w:tc>
        <w:tc>
          <w:tcPr>
            <w:tcW w:w="1986" w:type="dxa"/>
            <w:vAlign w:val="bottom"/>
          </w:tcPr>
          <w:p w:rsidR="001C411D" w:rsidRPr="001F63BA" w:rsidRDefault="001C411D" w:rsidP="003523AC">
            <w:pPr>
              <w:jc w:val="right"/>
              <w:rPr>
                <w:rFonts w:ascii="GHEA Grapalat" w:hAnsi="GHEA Grapalat" w:cs="Calibri"/>
                <w:b/>
                <w:bCs/>
                <w:sz w:val="18"/>
                <w:szCs w:val="18"/>
              </w:rPr>
            </w:pPr>
            <w:r w:rsidRPr="001F63BA">
              <w:rPr>
                <w:rFonts w:ascii="GHEA Grapalat" w:hAnsi="GHEA Grapalat" w:cs="Calibri"/>
                <w:b/>
                <w:bCs/>
                <w:sz w:val="18"/>
                <w:szCs w:val="18"/>
              </w:rPr>
              <w:t>2,288.0</w:t>
            </w:r>
          </w:p>
        </w:tc>
        <w:tc>
          <w:tcPr>
            <w:tcW w:w="1984" w:type="dxa"/>
            <w:vAlign w:val="bottom"/>
          </w:tcPr>
          <w:p w:rsidR="001C411D" w:rsidRPr="001F63BA" w:rsidRDefault="001C411D" w:rsidP="003523AC">
            <w:pPr>
              <w:jc w:val="right"/>
              <w:rPr>
                <w:rFonts w:ascii="GHEA Grapalat" w:hAnsi="GHEA Grapalat" w:cs="Calibri"/>
                <w:b/>
                <w:bCs/>
                <w:sz w:val="18"/>
                <w:szCs w:val="18"/>
              </w:rPr>
            </w:pPr>
            <w:r w:rsidRPr="001F63BA">
              <w:rPr>
                <w:rFonts w:ascii="GHEA Grapalat" w:hAnsi="GHEA Grapalat" w:cs="Calibri"/>
                <w:b/>
                <w:bCs/>
                <w:sz w:val="18"/>
                <w:szCs w:val="18"/>
              </w:rPr>
              <w:t>2,242.6</w:t>
            </w:r>
          </w:p>
        </w:tc>
      </w:tr>
      <w:tr w:rsidR="001C411D" w:rsidRPr="001F63BA" w:rsidTr="003523AC">
        <w:trPr>
          <w:trHeight w:val="263"/>
        </w:trPr>
        <w:tc>
          <w:tcPr>
            <w:tcW w:w="4395" w:type="dxa"/>
            <w:noWrap/>
            <w:vAlign w:val="bottom"/>
          </w:tcPr>
          <w:p w:rsidR="001C411D" w:rsidRPr="001F63BA" w:rsidRDefault="001C411D" w:rsidP="003523AC">
            <w:pPr>
              <w:ind w:firstLineChars="100" w:firstLine="180"/>
              <w:rPr>
                <w:rFonts w:ascii="GHEA Grapalat" w:hAnsi="GHEA Grapalat" w:cs="Calibri"/>
                <w:sz w:val="18"/>
                <w:szCs w:val="18"/>
              </w:rPr>
            </w:pPr>
            <w:r w:rsidRPr="001F63BA">
              <w:rPr>
                <w:rFonts w:ascii="GHEA Grapalat" w:hAnsi="GHEA Grapalat" w:cs="Calibri"/>
                <w:sz w:val="18"/>
                <w:szCs w:val="18"/>
              </w:rPr>
              <w:t>Ընթացիկ ծախսեր</w:t>
            </w:r>
          </w:p>
        </w:tc>
        <w:tc>
          <w:tcPr>
            <w:tcW w:w="1841" w:type="dxa"/>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1,788.0</w:t>
            </w:r>
          </w:p>
        </w:tc>
        <w:tc>
          <w:tcPr>
            <w:tcW w:w="1986" w:type="dxa"/>
            <w:noWrap/>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1,888.0</w:t>
            </w:r>
          </w:p>
        </w:tc>
        <w:tc>
          <w:tcPr>
            <w:tcW w:w="1984" w:type="dxa"/>
            <w:noWrap/>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1,862.2</w:t>
            </w:r>
          </w:p>
        </w:tc>
      </w:tr>
      <w:tr w:rsidR="001C411D" w:rsidRPr="001F63BA" w:rsidTr="003523AC">
        <w:trPr>
          <w:trHeight w:val="332"/>
        </w:trPr>
        <w:tc>
          <w:tcPr>
            <w:tcW w:w="4395" w:type="dxa"/>
            <w:noWrap/>
            <w:vAlign w:val="bottom"/>
          </w:tcPr>
          <w:p w:rsidR="001C411D" w:rsidRPr="001F63BA" w:rsidRDefault="001C411D" w:rsidP="003523AC">
            <w:pPr>
              <w:ind w:firstLineChars="100" w:firstLine="180"/>
              <w:rPr>
                <w:rFonts w:ascii="GHEA Grapalat" w:hAnsi="GHEA Grapalat" w:cs="Calibri"/>
                <w:sz w:val="18"/>
                <w:szCs w:val="18"/>
              </w:rPr>
            </w:pPr>
            <w:r w:rsidRPr="001F63BA">
              <w:rPr>
                <w:rFonts w:ascii="GHEA Grapalat" w:hAnsi="GHEA Grapalat" w:cs="Calibri"/>
                <w:sz w:val="18"/>
                <w:szCs w:val="18"/>
              </w:rPr>
              <w:t>Ոչ ֆինանսական ակտիվների հետ գործառնություններ</w:t>
            </w:r>
          </w:p>
        </w:tc>
        <w:tc>
          <w:tcPr>
            <w:tcW w:w="1841" w:type="dxa"/>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216.3</w:t>
            </w:r>
          </w:p>
        </w:tc>
        <w:tc>
          <w:tcPr>
            <w:tcW w:w="1986" w:type="dxa"/>
            <w:noWrap/>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400.0</w:t>
            </w:r>
          </w:p>
        </w:tc>
        <w:tc>
          <w:tcPr>
            <w:tcW w:w="1984" w:type="dxa"/>
            <w:noWrap/>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380.4</w:t>
            </w:r>
          </w:p>
        </w:tc>
      </w:tr>
      <w:tr w:rsidR="001C411D" w:rsidRPr="001F63BA" w:rsidTr="003523AC">
        <w:trPr>
          <w:trHeight w:val="20"/>
        </w:trPr>
        <w:tc>
          <w:tcPr>
            <w:tcW w:w="4395" w:type="dxa"/>
            <w:noWrap/>
            <w:vAlign w:val="bottom"/>
          </w:tcPr>
          <w:p w:rsidR="001C411D" w:rsidRPr="001F63BA" w:rsidRDefault="001C411D" w:rsidP="003523AC">
            <w:pPr>
              <w:ind w:firstLineChars="100" w:firstLine="180"/>
              <w:rPr>
                <w:rFonts w:ascii="GHEA Grapalat" w:hAnsi="GHEA Grapalat" w:cs="Calibri"/>
                <w:sz w:val="18"/>
                <w:szCs w:val="18"/>
              </w:rPr>
            </w:pPr>
            <w:r w:rsidRPr="001F63BA">
              <w:rPr>
                <w:rFonts w:ascii="Courier New" w:hAnsi="Courier New" w:cs="Courier New"/>
                <w:sz w:val="18"/>
                <w:szCs w:val="18"/>
              </w:rPr>
              <w:t> </w:t>
            </w:r>
          </w:p>
        </w:tc>
        <w:tc>
          <w:tcPr>
            <w:tcW w:w="1841" w:type="dxa"/>
            <w:vAlign w:val="bottom"/>
          </w:tcPr>
          <w:p w:rsidR="001C411D" w:rsidRPr="001F63BA" w:rsidRDefault="001C411D" w:rsidP="003523AC">
            <w:pPr>
              <w:jc w:val="right"/>
              <w:rPr>
                <w:rFonts w:ascii="GHEA Grapalat" w:hAnsi="GHEA Grapalat" w:cs="Calibri"/>
                <w:sz w:val="18"/>
                <w:szCs w:val="18"/>
              </w:rPr>
            </w:pPr>
          </w:p>
        </w:tc>
        <w:tc>
          <w:tcPr>
            <w:tcW w:w="1986" w:type="dxa"/>
            <w:noWrap/>
            <w:vAlign w:val="bottom"/>
          </w:tcPr>
          <w:p w:rsidR="001C411D" w:rsidRPr="001F63BA" w:rsidRDefault="001C411D" w:rsidP="003523AC">
            <w:pPr>
              <w:jc w:val="right"/>
              <w:rPr>
                <w:rFonts w:ascii="GHEA Grapalat" w:hAnsi="GHEA Grapalat"/>
                <w:sz w:val="18"/>
                <w:szCs w:val="18"/>
              </w:rPr>
            </w:pPr>
          </w:p>
        </w:tc>
        <w:tc>
          <w:tcPr>
            <w:tcW w:w="1984" w:type="dxa"/>
            <w:noWrap/>
            <w:vAlign w:val="bottom"/>
          </w:tcPr>
          <w:p w:rsidR="001C411D" w:rsidRPr="001F63BA" w:rsidRDefault="001C411D" w:rsidP="003523AC">
            <w:pPr>
              <w:jc w:val="right"/>
              <w:rPr>
                <w:rFonts w:ascii="GHEA Grapalat" w:hAnsi="GHEA Grapalat"/>
                <w:sz w:val="18"/>
                <w:szCs w:val="18"/>
              </w:rPr>
            </w:pPr>
          </w:p>
        </w:tc>
      </w:tr>
      <w:tr w:rsidR="001C411D" w:rsidRPr="001F63BA" w:rsidTr="003523AC">
        <w:trPr>
          <w:trHeight w:val="264"/>
        </w:trPr>
        <w:tc>
          <w:tcPr>
            <w:tcW w:w="4395" w:type="dxa"/>
            <w:vAlign w:val="bottom"/>
          </w:tcPr>
          <w:p w:rsidR="001C411D" w:rsidRPr="001F63BA" w:rsidRDefault="001C411D" w:rsidP="003523AC">
            <w:pPr>
              <w:rPr>
                <w:rFonts w:ascii="GHEA Grapalat" w:hAnsi="GHEA Grapalat" w:cs="Calibri"/>
                <w:b/>
                <w:bCs/>
                <w:sz w:val="18"/>
                <w:szCs w:val="18"/>
              </w:rPr>
            </w:pPr>
            <w:r w:rsidRPr="001F63BA">
              <w:rPr>
                <w:rFonts w:ascii="GHEA Grapalat" w:hAnsi="GHEA Grapalat" w:cs="Calibri"/>
                <w:b/>
                <w:bCs/>
                <w:sz w:val="18"/>
                <w:szCs w:val="18"/>
              </w:rPr>
              <w:lastRenderedPageBreak/>
              <w:t>Կշիռն ընդամենը ծախսերի մեջ</w:t>
            </w:r>
          </w:p>
        </w:tc>
        <w:tc>
          <w:tcPr>
            <w:tcW w:w="1841" w:type="dxa"/>
            <w:vAlign w:val="bottom"/>
          </w:tcPr>
          <w:p w:rsidR="001C411D" w:rsidRPr="001F63BA" w:rsidRDefault="001C411D" w:rsidP="003523AC">
            <w:pPr>
              <w:jc w:val="right"/>
              <w:rPr>
                <w:rFonts w:ascii="GHEA Grapalat" w:hAnsi="GHEA Grapalat" w:cs="Calibri"/>
                <w:sz w:val="18"/>
                <w:szCs w:val="18"/>
              </w:rPr>
            </w:pPr>
          </w:p>
        </w:tc>
        <w:tc>
          <w:tcPr>
            <w:tcW w:w="1986" w:type="dxa"/>
            <w:noWrap/>
            <w:vAlign w:val="bottom"/>
          </w:tcPr>
          <w:p w:rsidR="001C411D" w:rsidRPr="001F63BA" w:rsidRDefault="001C411D" w:rsidP="003523AC">
            <w:pPr>
              <w:jc w:val="right"/>
              <w:rPr>
                <w:rFonts w:ascii="GHEA Grapalat" w:hAnsi="GHEA Grapalat"/>
                <w:sz w:val="18"/>
                <w:szCs w:val="18"/>
              </w:rPr>
            </w:pPr>
          </w:p>
        </w:tc>
        <w:tc>
          <w:tcPr>
            <w:tcW w:w="1984" w:type="dxa"/>
            <w:noWrap/>
            <w:vAlign w:val="bottom"/>
          </w:tcPr>
          <w:p w:rsidR="001C411D" w:rsidRPr="001F63BA" w:rsidRDefault="001C411D" w:rsidP="003523AC">
            <w:pPr>
              <w:jc w:val="right"/>
              <w:rPr>
                <w:rFonts w:ascii="GHEA Grapalat" w:hAnsi="GHEA Grapalat"/>
                <w:sz w:val="18"/>
                <w:szCs w:val="18"/>
              </w:rPr>
            </w:pPr>
          </w:p>
        </w:tc>
      </w:tr>
      <w:tr w:rsidR="001C411D" w:rsidRPr="001F63BA" w:rsidTr="003523AC">
        <w:trPr>
          <w:trHeight w:val="281"/>
        </w:trPr>
        <w:tc>
          <w:tcPr>
            <w:tcW w:w="4395" w:type="dxa"/>
            <w:noWrap/>
            <w:vAlign w:val="bottom"/>
          </w:tcPr>
          <w:p w:rsidR="001C411D" w:rsidRPr="001F63BA" w:rsidRDefault="001C411D" w:rsidP="003523AC">
            <w:pPr>
              <w:ind w:firstLineChars="100" w:firstLine="180"/>
              <w:rPr>
                <w:rFonts w:ascii="GHEA Grapalat" w:hAnsi="GHEA Grapalat" w:cs="Calibri"/>
                <w:sz w:val="18"/>
                <w:szCs w:val="18"/>
              </w:rPr>
            </w:pPr>
            <w:r w:rsidRPr="001F63BA">
              <w:rPr>
                <w:rFonts w:ascii="GHEA Grapalat" w:hAnsi="GHEA Grapalat" w:cs="Calibri"/>
                <w:sz w:val="18"/>
                <w:szCs w:val="18"/>
              </w:rPr>
              <w:t>Ընթացիկ ծախսեր</w:t>
            </w:r>
          </w:p>
        </w:tc>
        <w:tc>
          <w:tcPr>
            <w:tcW w:w="1841" w:type="dxa"/>
            <w:vAlign w:val="bottom"/>
          </w:tcPr>
          <w:p w:rsidR="001C411D" w:rsidRPr="001F63BA" w:rsidRDefault="001C411D" w:rsidP="003523AC">
            <w:pPr>
              <w:jc w:val="right"/>
              <w:rPr>
                <w:rFonts w:ascii="GHEA Grapalat" w:hAnsi="GHEA Grapalat" w:cs="Calibri"/>
                <w:sz w:val="18"/>
                <w:szCs w:val="18"/>
                <w:lang w:val="en-US"/>
              </w:rPr>
            </w:pPr>
            <w:r w:rsidRPr="001F63BA">
              <w:rPr>
                <w:rFonts w:ascii="GHEA Grapalat" w:hAnsi="GHEA Grapalat" w:cs="Calibri"/>
                <w:sz w:val="18"/>
                <w:szCs w:val="18"/>
                <w:lang w:val="en-US"/>
              </w:rPr>
              <w:t>89.2</w:t>
            </w:r>
          </w:p>
        </w:tc>
        <w:tc>
          <w:tcPr>
            <w:tcW w:w="1986" w:type="dxa"/>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82.5</w:t>
            </w:r>
          </w:p>
        </w:tc>
        <w:tc>
          <w:tcPr>
            <w:tcW w:w="1984" w:type="dxa"/>
            <w:vAlign w:val="bottom"/>
          </w:tcPr>
          <w:p w:rsidR="001C411D" w:rsidRPr="001F63BA" w:rsidRDefault="001C411D" w:rsidP="003523AC">
            <w:pPr>
              <w:jc w:val="right"/>
              <w:rPr>
                <w:rFonts w:ascii="GHEA Grapalat" w:hAnsi="GHEA Grapalat" w:cs="Calibri"/>
                <w:sz w:val="18"/>
                <w:szCs w:val="18"/>
                <w:lang w:val="en-US"/>
              </w:rPr>
            </w:pPr>
            <w:r w:rsidRPr="001F63BA">
              <w:rPr>
                <w:rFonts w:ascii="GHEA Grapalat" w:hAnsi="GHEA Grapalat" w:cs="Calibri"/>
                <w:sz w:val="18"/>
                <w:szCs w:val="18"/>
                <w:lang w:val="en-US"/>
              </w:rPr>
              <w:t>83.0</w:t>
            </w:r>
          </w:p>
        </w:tc>
      </w:tr>
      <w:tr w:rsidR="001C411D" w:rsidRPr="001F63BA" w:rsidTr="003523AC">
        <w:trPr>
          <w:trHeight w:val="332"/>
        </w:trPr>
        <w:tc>
          <w:tcPr>
            <w:tcW w:w="4395" w:type="dxa"/>
            <w:noWrap/>
            <w:vAlign w:val="bottom"/>
          </w:tcPr>
          <w:p w:rsidR="001C411D" w:rsidRPr="001F63BA" w:rsidRDefault="001C411D" w:rsidP="003523AC">
            <w:pPr>
              <w:ind w:firstLineChars="100" w:firstLine="180"/>
              <w:rPr>
                <w:rFonts w:ascii="GHEA Grapalat" w:hAnsi="GHEA Grapalat" w:cs="Calibri"/>
                <w:sz w:val="18"/>
                <w:szCs w:val="18"/>
              </w:rPr>
            </w:pPr>
            <w:r w:rsidRPr="001F63BA">
              <w:rPr>
                <w:rFonts w:ascii="GHEA Grapalat" w:hAnsi="GHEA Grapalat" w:cs="Calibri"/>
                <w:sz w:val="18"/>
                <w:szCs w:val="18"/>
              </w:rPr>
              <w:t>Ոչ ֆինանսական ակտիվների հետ գործառնություններ</w:t>
            </w:r>
          </w:p>
        </w:tc>
        <w:tc>
          <w:tcPr>
            <w:tcW w:w="1841" w:type="dxa"/>
            <w:vAlign w:val="bottom"/>
          </w:tcPr>
          <w:p w:rsidR="001C411D" w:rsidRPr="001F63BA" w:rsidRDefault="001C411D" w:rsidP="003523AC">
            <w:pPr>
              <w:jc w:val="right"/>
              <w:rPr>
                <w:rFonts w:ascii="GHEA Grapalat" w:hAnsi="GHEA Grapalat" w:cs="Calibri"/>
                <w:sz w:val="18"/>
                <w:szCs w:val="18"/>
                <w:lang w:val="en-US"/>
              </w:rPr>
            </w:pPr>
            <w:r w:rsidRPr="001F63BA">
              <w:rPr>
                <w:rFonts w:ascii="GHEA Grapalat" w:hAnsi="GHEA Grapalat" w:cs="Calibri"/>
                <w:sz w:val="18"/>
                <w:szCs w:val="18"/>
                <w:lang w:val="en-US"/>
              </w:rPr>
              <w:t>10.8</w:t>
            </w:r>
          </w:p>
        </w:tc>
        <w:tc>
          <w:tcPr>
            <w:tcW w:w="1986" w:type="dxa"/>
            <w:vAlign w:val="bottom"/>
          </w:tcPr>
          <w:p w:rsidR="001C411D" w:rsidRPr="001F63BA" w:rsidRDefault="001C411D" w:rsidP="003523AC">
            <w:pPr>
              <w:jc w:val="right"/>
              <w:rPr>
                <w:rFonts w:ascii="GHEA Grapalat" w:hAnsi="GHEA Grapalat" w:cs="Calibri"/>
                <w:sz w:val="18"/>
                <w:szCs w:val="18"/>
              </w:rPr>
            </w:pPr>
            <w:r w:rsidRPr="001F63BA">
              <w:rPr>
                <w:rFonts w:ascii="GHEA Grapalat" w:hAnsi="GHEA Grapalat" w:cs="Calibri"/>
                <w:sz w:val="18"/>
                <w:szCs w:val="18"/>
              </w:rPr>
              <w:t>17.5</w:t>
            </w:r>
          </w:p>
        </w:tc>
        <w:tc>
          <w:tcPr>
            <w:tcW w:w="1984" w:type="dxa"/>
            <w:vAlign w:val="bottom"/>
          </w:tcPr>
          <w:p w:rsidR="001C411D" w:rsidRPr="001F63BA" w:rsidRDefault="001C411D" w:rsidP="003523AC">
            <w:pPr>
              <w:jc w:val="right"/>
              <w:rPr>
                <w:rFonts w:ascii="GHEA Grapalat" w:hAnsi="GHEA Grapalat" w:cs="Calibri"/>
                <w:sz w:val="18"/>
                <w:szCs w:val="18"/>
                <w:lang w:val="en-US"/>
              </w:rPr>
            </w:pPr>
            <w:r w:rsidRPr="001F63BA">
              <w:rPr>
                <w:rFonts w:ascii="GHEA Grapalat" w:hAnsi="GHEA Grapalat" w:cs="Calibri"/>
                <w:sz w:val="18"/>
                <w:szCs w:val="18"/>
                <w:lang w:val="en-US"/>
              </w:rPr>
              <w:t>17.0</w:t>
            </w:r>
          </w:p>
        </w:tc>
      </w:tr>
    </w:tbl>
    <w:p w:rsidR="001C411D" w:rsidRPr="001F63BA" w:rsidRDefault="001C411D" w:rsidP="0000157A">
      <w:pPr>
        <w:spacing w:line="360" w:lineRule="auto"/>
        <w:ind w:firstLine="567"/>
        <w:jc w:val="both"/>
        <w:rPr>
          <w:rFonts w:ascii="GHEA Grapalat" w:hAnsi="GHEA Grapalat"/>
          <w:sz w:val="22"/>
        </w:rPr>
      </w:pPr>
    </w:p>
    <w:p w:rsidR="001C411D" w:rsidRPr="001F63BA" w:rsidRDefault="001C411D" w:rsidP="0000157A">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Նախորդ</w:t>
      </w:r>
      <w:r w:rsidRPr="001F63BA">
        <w:rPr>
          <w:rFonts w:ascii="GHEA Grapalat" w:hAnsi="GHEA Grapalat"/>
          <w:sz w:val="22"/>
        </w:rPr>
        <w:t xml:space="preserve"> տարվա համեմատ </w:t>
      </w:r>
      <w:r w:rsidRPr="001F63BA">
        <w:rPr>
          <w:rFonts w:ascii="GHEA Grapalat" w:hAnsi="GHEA Grapalat" w:cs="GHEA Grapalat"/>
          <w:sz w:val="22"/>
          <w:szCs w:val="22"/>
        </w:rPr>
        <w:t>պետական բյուջեի ծախսեր</w:t>
      </w:r>
      <w:r w:rsidRPr="001F63BA">
        <w:rPr>
          <w:rFonts w:ascii="GHEA Grapalat" w:hAnsi="GHEA Grapalat"/>
          <w:sz w:val="22"/>
        </w:rPr>
        <w:t>ն աճել են 11.9%-ով կամ 238.3</w:t>
      </w:r>
      <w:r w:rsidRPr="001F63BA">
        <w:rPr>
          <w:rFonts w:ascii="Courier New" w:hAnsi="Courier New"/>
          <w:sz w:val="22"/>
        </w:rPr>
        <w:t> </w:t>
      </w:r>
      <w:r w:rsidRPr="001F63BA">
        <w:rPr>
          <w:rFonts w:ascii="GHEA Grapalat" w:hAnsi="GHEA Grapalat"/>
          <w:sz w:val="22"/>
        </w:rPr>
        <w:t>մլրդ դրամով՝ հիմնականում պայմանավորված կապիտալ ծախսերի, կենսաթոշակների</w:t>
      </w:r>
      <w:r w:rsidRPr="001F63BA">
        <w:rPr>
          <w:rFonts w:ascii="GHEA Grapalat" w:hAnsi="GHEA Grapalat"/>
          <w:sz w:val="22"/>
          <w:lang w:val="en-US"/>
        </w:rPr>
        <w:t xml:space="preserve"> և</w:t>
      </w:r>
      <w:r w:rsidRPr="001F63BA">
        <w:rPr>
          <w:rFonts w:ascii="GHEA Grapalat" w:hAnsi="GHEA Grapalat"/>
          <w:sz w:val="22"/>
        </w:rPr>
        <w:t xml:space="preserve"> դրամաշնորհների </w:t>
      </w:r>
      <w:r w:rsidRPr="001F63BA">
        <w:rPr>
          <w:rFonts w:ascii="GHEA Grapalat" w:hAnsi="GHEA Grapalat"/>
          <w:sz w:val="22"/>
          <w:lang w:val="en-US"/>
        </w:rPr>
        <w:t>գծով ծախսերի</w:t>
      </w:r>
      <w:r w:rsidRPr="001F63BA">
        <w:rPr>
          <w:rFonts w:ascii="GHEA Grapalat" w:hAnsi="GHEA Grapalat"/>
          <w:sz w:val="22"/>
        </w:rPr>
        <w:t xml:space="preserve"> աճով:</w:t>
      </w:r>
      <w:r w:rsidRPr="001F63BA">
        <w:rPr>
          <w:rFonts w:ascii="GHEA Grapalat" w:hAnsi="GHEA Grapalat" w:cs="GHEA Grapalat"/>
          <w:sz w:val="22"/>
          <w:szCs w:val="22"/>
        </w:rPr>
        <w:t xml:space="preserve"> Կապիտալ ծախսերի առաջանցիկ աճով պայմանավորված՝ պետական բյուջեի ծախսերում 6.2 տոկոսային կետով նվազել է ընթացիկ ծախսերի տեսակարար կշիռը և նույնքան ավելացել ոչ ֆինանսական ակտիվների հետ գործառնությունների տեսակարար կշիռը:</w:t>
      </w:r>
    </w:p>
    <w:p w:rsidR="001C411D" w:rsidRPr="001F63BA" w:rsidRDefault="001C411D" w:rsidP="0000157A">
      <w:pPr>
        <w:spacing w:line="360" w:lineRule="auto"/>
        <w:ind w:firstLine="567"/>
        <w:jc w:val="both"/>
        <w:rPr>
          <w:rFonts w:ascii="GHEA Grapalat" w:hAnsi="GHEA Grapalat" w:cs="GHEA Grapalat"/>
          <w:sz w:val="22"/>
          <w:szCs w:val="22"/>
        </w:rPr>
      </w:pPr>
    </w:p>
    <w:p w:rsidR="001C411D" w:rsidRPr="001F63BA" w:rsidRDefault="001C411D" w:rsidP="00D508BE">
      <w:pPr>
        <w:pStyle w:val="a"/>
      </w:pPr>
      <w:r w:rsidRPr="001F63BA">
        <w:t>ՀՀ պետական բյուջեի ծախսերի կառուցվածքը 2021-2022թթ.</w:t>
      </w:r>
    </w:p>
    <w:p w:rsidR="001C411D" w:rsidRPr="001F63BA" w:rsidRDefault="009A358E" w:rsidP="00AD356E">
      <w:pPr>
        <w:spacing w:line="360" w:lineRule="auto"/>
        <w:jc w:val="both"/>
        <w:rPr>
          <w:rFonts w:ascii="GHEA Grapalat" w:hAnsi="GHEA Grapalat" w:cs="GHEA Grapalat"/>
          <w:sz w:val="22"/>
          <w:szCs w:val="22"/>
          <w:lang w:val="en-US"/>
        </w:rPr>
      </w:pPr>
      <w:r w:rsidRPr="001F63BA">
        <w:rPr>
          <w:rFonts w:ascii="GHEA Grapalat" w:hAnsi="GHEA Grapalat" w:cs="Calibri"/>
          <w:sz w:val="22"/>
          <w:szCs w:val="22"/>
          <w:lang w:val="en-US"/>
        </w:rPr>
        <w:drawing>
          <wp:inline distT="0" distB="0" distL="0" distR="0" wp14:anchorId="4F3E4060" wp14:editId="22387AC5">
            <wp:extent cx="5362575" cy="3143250"/>
            <wp:effectExtent l="0" t="0" r="0" b="0"/>
            <wp:docPr id="60" name="Object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1C411D" w:rsidRPr="001F63BA" w:rsidRDefault="001C411D" w:rsidP="00D508BE">
      <w:pPr>
        <w:pStyle w:val="a"/>
      </w:pPr>
      <w:r w:rsidRPr="001F63BA">
        <w:lastRenderedPageBreak/>
        <w:t>ՀՀ 2020-2022թթ. պետական բյուջեների ծախսերը</w:t>
      </w:r>
    </w:p>
    <w:p w:rsidR="001C411D" w:rsidRPr="001F63BA" w:rsidRDefault="009A358E" w:rsidP="0000157A">
      <w:pPr>
        <w:spacing w:line="360" w:lineRule="auto"/>
        <w:jc w:val="both"/>
        <w:rPr>
          <w:rFonts w:ascii="GHEA Grapalat" w:hAnsi="GHEA Grapalat" w:cs="GHEA Grapalat"/>
          <w:sz w:val="22"/>
          <w:szCs w:val="22"/>
        </w:rPr>
      </w:pPr>
      <w:r w:rsidRPr="001F63BA">
        <w:rPr>
          <w:rFonts w:ascii="GHEA Grapalat" w:hAnsi="GHEA Grapalat" w:cs="GHEA Grapalat"/>
          <w:sz w:val="22"/>
          <w:szCs w:val="22"/>
          <w:lang w:val="en-US"/>
        </w:rPr>
        <w:drawing>
          <wp:inline distT="0" distB="0" distL="0" distR="0" wp14:anchorId="6BCA8D83" wp14:editId="54A3D266">
            <wp:extent cx="6200775" cy="3248025"/>
            <wp:effectExtent l="0" t="0" r="0" b="0"/>
            <wp:docPr id="61" name="Objec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1C411D" w:rsidRPr="001F63BA" w:rsidRDefault="001C411D" w:rsidP="0000157A">
      <w:pPr>
        <w:spacing w:line="360" w:lineRule="auto"/>
        <w:ind w:firstLine="567"/>
        <w:jc w:val="both"/>
        <w:rPr>
          <w:rFonts w:ascii="GHEA Grapalat" w:hAnsi="GHEA Grapalat" w:cs="GHEA Grapalat"/>
          <w:sz w:val="22"/>
          <w:szCs w:val="22"/>
          <w:lang w:val="en-US"/>
        </w:rPr>
      </w:pPr>
    </w:p>
    <w:p w:rsidR="001C411D" w:rsidRPr="001F63BA" w:rsidRDefault="001C411D" w:rsidP="00D710D8">
      <w:pPr>
        <w:spacing w:line="480" w:lineRule="auto"/>
        <w:ind w:firstLine="567"/>
        <w:jc w:val="both"/>
        <w:rPr>
          <w:rFonts w:ascii="GHEA Grapalat" w:hAnsi="GHEA Grapalat" w:cs="GHEA Grapalat"/>
          <w:sz w:val="22"/>
          <w:szCs w:val="22"/>
          <w:u w:val="single"/>
        </w:rPr>
      </w:pPr>
      <w:r w:rsidRPr="001F63BA">
        <w:rPr>
          <w:rFonts w:ascii="GHEA Grapalat" w:hAnsi="GHEA Grapalat" w:cs="GHEA Grapalat"/>
          <w:sz w:val="22"/>
          <w:szCs w:val="22"/>
          <w:u w:val="single"/>
        </w:rPr>
        <w:t>Ընթացիկ ծախսեր</w:t>
      </w:r>
      <w:bookmarkEnd w:id="223"/>
      <w:bookmarkEnd w:id="224"/>
      <w:bookmarkEnd w:id="225"/>
      <w:bookmarkEnd w:id="226"/>
      <w:bookmarkEnd w:id="227"/>
      <w:bookmarkEnd w:id="228"/>
      <w:bookmarkEnd w:id="229"/>
    </w:p>
    <w:p w:rsidR="001C411D" w:rsidRPr="001F63BA" w:rsidRDefault="001C411D" w:rsidP="0000157A">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Ընթացիկ ծախսերում շեղումների հիմնական մասը բաժին է ընկել այլ ծախսերին, ծառայությունների և ապրանքների ձեռքբերման ծախսերին,</w:t>
      </w:r>
      <w:r w:rsidRPr="001F63BA">
        <w:rPr>
          <w:rFonts w:ascii="GHEA Grapalat" w:hAnsi="GHEA Grapalat" w:cs="Calibri"/>
          <w:sz w:val="18"/>
          <w:szCs w:val="18"/>
        </w:rPr>
        <w:t xml:space="preserve"> </w:t>
      </w:r>
      <w:r w:rsidRPr="001F63BA">
        <w:rPr>
          <w:rFonts w:ascii="GHEA Grapalat" w:hAnsi="GHEA Grapalat" w:cs="GHEA Grapalat"/>
          <w:sz w:val="22"/>
          <w:szCs w:val="22"/>
        </w:rPr>
        <w:t>սոցիալական նպաստներին և կենսաթոշակներին ու դրամաշնորհներին:</w:t>
      </w:r>
    </w:p>
    <w:p w:rsidR="001C411D" w:rsidRPr="001F63BA" w:rsidRDefault="001C411D" w:rsidP="0000157A">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Ընթացիկ ծախսերի բաղադրիչների վերաբերյալ տվյալները ներկայացված են Աղյուսակ 1</w:t>
      </w:r>
      <w:r w:rsidRPr="001F63BA">
        <w:rPr>
          <w:rFonts w:ascii="GHEA Grapalat" w:hAnsi="GHEA Grapalat" w:cs="GHEA Grapalat"/>
          <w:sz w:val="22"/>
          <w:szCs w:val="22"/>
          <w:lang w:val="en-US"/>
        </w:rPr>
        <w:t>7</w:t>
      </w:r>
      <w:r w:rsidRPr="001F63BA">
        <w:rPr>
          <w:rFonts w:ascii="GHEA Grapalat" w:hAnsi="GHEA Grapalat" w:cs="GHEA Grapalat"/>
          <w:sz w:val="22"/>
          <w:szCs w:val="22"/>
        </w:rPr>
        <w:t>-ում:</w:t>
      </w:r>
    </w:p>
    <w:p w:rsidR="001C411D" w:rsidRPr="001F63BA" w:rsidRDefault="001C411D" w:rsidP="0000157A">
      <w:pPr>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 ընթացիկ ծախսերը (մլրդ դրամ)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253"/>
        <w:gridCol w:w="1134"/>
        <w:gridCol w:w="1134"/>
        <w:gridCol w:w="992"/>
        <w:gridCol w:w="1380"/>
        <w:gridCol w:w="1313"/>
      </w:tblGrid>
      <w:tr w:rsidR="001C411D" w:rsidRPr="001F63BA" w:rsidTr="001E08C1">
        <w:tc>
          <w:tcPr>
            <w:tcW w:w="4253" w:type="dxa"/>
            <w:vAlign w:val="bottom"/>
          </w:tcPr>
          <w:p w:rsidR="001C411D" w:rsidRPr="001F63BA" w:rsidRDefault="001C411D" w:rsidP="00822650">
            <w:pPr>
              <w:rPr>
                <w:rFonts w:ascii="GHEA Grapalat" w:hAnsi="GHEA Grapalat" w:cs="Calibri"/>
                <w:sz w:val="18"/>
                <w:szCs w:val="18"/>
              </w:rPr>
            </w:pPr>
            <w:r w:rsidRPr="001F63BA">
              <w:rPr>
                <w:rFonts w:ascii="Courier New" w:hAnsi="Courier New" w:cs="Courier New"/>
                <w:sz w:val="18"/>
                <w:szCs w:val="18"/>
              </w:rPr>
              <w:t> </w:t>
            </w:r>
          </w:p>
        </w:tc>
        <w:tc>
          <w:tcPr>
            <w:tcW w:w="1134" w:type="dxa"/>
          </w:tcPr>
          <w:p w:rsidR="001C411D" w:rsidRPr="001F63BA" w:rsidRDefault="001C411D" w:rsidP="004A0164">
            <w:pPr>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134" w:type="dxa"/>
          </w:tcPr>
          <w:p w:rsidR="001C411D" w:rsidRPr="001F63BA" w:rsidRDefault="001C411D" w:rsidP="004A0164">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992" w:type="dxa"/>
          </w:tcPr>
          <w:p w:rsidR="001C411D" w:rsidRPr="001F63BA" w:rsidRDefault="001C411D" w:rsidP="004A0164">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380" w:type="dxa"/>
          </w:tcPr>
          <w:p w:rsidR="001C411D" w:rsidRPr="001F63BA" w:rsidRDefault="001C411D" w:rsidP="004A0164">
            <w:pPr>
              <w:jc w:val="center"/>
              <w:rPr>
                <w:rFonts w:ascii="GHEA Grapalat" w:hAnsi="GHEA Grapalat" w:cs="Calibri"/>
                <w:b/>
                <w:bCs/>
                <w:sz w:val="18"/>
                <w:szCs w:val="18"/>
              </w:rPr>
            </w:pPr>
            <w:r w:rsidRPr="001F63BA">
              <w:rPr>
                <w:rFonts w:ascii="GHEA Grapalat" w:hAnsi="GHEA Grapalat" w:cs="Calibri"/>
                <w:b/>
                <w:bCs/>
                <w:sz w:val="18"/>
                <w:szCs w:val="18"/>
              </w:rPr>
              <w:t>Կատարո-ղական</w:t>
            </w:r>
            <w:r w:rsidRPr="001F63BA">
              <w:rPr>
                <w:rFonts w:ascii="GHEA Grapalat" w:hAnsi="GHEA Grapalat" w:cs="Calibri"/>
                <w:b/>
                <w:bCs/>
                <w:sz w:val="18"/>
                <w:szCs w:val="18"/>
                <w:lang w:val="en-US"/>
              </w:rPr>
              <w:t>ը</w:t>
            </w:r>
            <w:r w:rsidRPr="001F63BA">
              <w:rPr>
                <w:rFonts w:ascii="GHEA Grapalat" w:hAnsi="GHEA Grapalat" w:cs="Calibri"/>
                <w:b/>
                <w:bCs/>
                <w:sz w:val="18"/>
                <w:szCs w:val="18"/>
              </w:rPr>
              <w:t xml:space="preserve"> ճշտված պլանի նկատմամբ (%)</w:t>
            </w:r>
          </w:p>
        </w:tc>
        <w:tc>
          <w:tcPr>
            <w:tcW w:w="1313" w:type="dxa"/>
          </w:tcPr>
          <w:p w:rsidR="001C411D" w:rsidRPr="001F63BA" w:rsidRDefault="001C411D" w:rsidP="004A0164">
            <w:pPr>
              <w:jc w:val="center"/>
              <w:rPr>
                <w:rFonts w:ascii="GHEA Grapalat" w:hAnsi="GHEA Grapalat" w:cs="Calibri"/>
                <w:b/>
                <w:bCs/>
                <w:sz w:val="18"/>
                <w:szCs w:val="18"/>
              </w:rPr>
            </w:pPr>
            <w:r w:rsidRPr="001F63BA">
              <w:rPr>
                <w:rFonts w:ascii="GHEA Grapalat" w:hAnsi="GHEA Grapalat" w:cs="Calibri"/>
                <w:b/>
                <w:bCs/>
                <w:sz w:val="18"/>
                <w:szCs w:val="18"/>
              </w:rPr>
              <w:t>2022թ 2021թ. նկատմամբ (%)</w:t>
            </w:r>
          </w:p>
        </w:tc>
      </w:tr>
      <w:tr w:rsidR="001C411D" w:rsidRPr="001F63BA" w:rsidTr="001E08C1">
        <w:tc>
          <w:tcPr>
            <w:tcW w:w="4253" w:type="dxa"/>
            <w:vAlign w:val="bottom"/>
          </w:tcPr>
          <w:p w:rsidR="001C411D" w:rsidRPr="001F63BA" w:rsidRDefault="001C411D" w:rsidP="004C40A5">
            <w:pPr>
              <w:ind w:firstLineChars="100" w:firstLine="180"/>
              <w:rPr>
                <w:rFonts w:ascii="GHEA Grapalat" w:hAnsi="GHEA Grapalat" w:cs="Calibri"/>
                <w:b/>
                <w:bCs/>
                <w:sz w:val="18"/>
                <w:szCs w:val="18"/>
              </w:rPr>
            </w:pPr>
            <w:r w:rsidRPr="001F63BA">
              <w:rPr>
                <w:rFonts w:ascii="GHEA Grapalat" w:hAnsi="GHEA Grapalat" w:cs="Calibri"/>
                <w:b/>
                <w:bCs/>
                <w:sz w:val="18"/>
                <w:szCs w:val="18"/>
              </w:rPr>
              <w:t>Ընթացիկ ծախսեր</w:t>
            </w:r>
          </w:p>
        </w:tc>
        <w:tc>
          <w:tcPr>
            <w:tcW w:w="1134" w:type="dxa"/>
            <w:vAlign w:val="bottom"/>
          </w:tcPr>
          <w:p w:rsidR="001C411D" w:rsidRPr="001F63BA" w:rsidRDefault="001C411D" w:rsidP="004A0164">
            <w:pPr>
              <w:jc w:val="right"/>
              <w:rPr>
                <w:rFonts w:ascii="GHEA Grapalat" w:hAnsi="GHEA Grapalat" w:cs="Calibri"/>
                <w:b/>
                <w:bCs/>
                <w:sz w:val="18"/>
                <w:szCs w:val="18"/>
              </w:rPr>
            </w:pPr>
            <w:r w:rsidRPr="001F63BA">
              <w:rPr>
                <w:rFonts w:ascii="GHEA Grapalat" w:hAnsi="GHEA Grapalat" w:cs="Calibri"/>
                <w:b/>
                <w:bCs/>
                <w:sz w:val="18"/>
                <w:szCs w:val="18"/>
              </w:rPr>
              <w:t xml:space="preserve">1,788.0 </w:t>
            </w:r>
          </w:p>
        </w:tc>
        <w:tc>
          <w:tcPr>
            <w:tcW w:w="1134" w:type="dxa"/>
            <w:vAlign w:val="bottom"/>
          </w:tcPr>
          <w:p w:rsidR="001C411D" w:rsidRPr="001F63BA" w:rsidRDefault="001C411D" w:rsidP="004A0164">
            <w:pPr>
              <w:jc w:val="right"/>
              <w:rPr>
                <w:rFonts w:ascii="GHEA Grapalat" w:hAnsi="GHEA Grapalat" w:cs="Calibri"/>
                <w:b/>
                <w:sz w:val="18"/>
                <w:szCs w:val="18"/>
              </w:rPr>
            </w:pPr>
            <w:r w:rsidRPr="001F63BA">
              <w:rPr>
                <w:rFonts w:ascii="GHEA Grapalat" w:hAnsi="GHEA Grapalat" w:cs="Calibri"/>
                <w:b/>
                <w:sz w:val="18"/>
                <w:szCs w:val="18"/>
              </w:rPr>
              <w:t>1,888.0</w:t>
            </w:r>
          </w:p>
        </w:tc>
        <w:tc>
          <w:tcPr>
            <w:tcW w:w="992" w:type="dxa"/>
            <w:vAlign w:val="bottom"/>
          </w:tcPr>
          <w:p w:rsidR="001C411D" w:rsidRPr="001F63BA" w:rsidRDefault="001C411D" w:rsidP="004A0164">
            <w:pPr>
              <w:jc w:val="right"/>
              <w:rPr>
                <w:rFonts w:ascii="GHEA Grapalat" w:hAnsi="GHEA Grapalat" w:cs="Calibri"/>
                <w:b/>
                <w:sz w:val="18"/>
                <w:szCs w:val="18"/>
              </w:rPr>
            </w:pPr>
            <w:r w:rsidRPr="001F63BA">
              <w:rPr>
                <w:rFonts w:ascii="GHEA Grapalat" w:hAnsi="GHEA Grapalat" w:cs="Calibri"/>
                <w:b/>
                <w:sz w:val="18"/>
                <w:szCs w:val="18"/>
              </w:rPr>
              <w:t>1,862.2</w:t>
            </w:r>
          </w:p>
        </w:tc>
        <w:tc>
          <w:tcPr>
            <w:tcW w:w="1380" w:type="dxa"/>
            <w:vAlign w:val="bottom"/>
          </w:tcPr>
          <w:p w:rsidR="001C411D" w:rsidRPr="001F63BA" w:rsidRDefault="001C411D" w:rsidP="004A0164">
            <w:pPr>
              <w:jc w:val="right"/>
              <w:rPr>
                <w:rFonts w:ascii="GHEA Grapalat" w:hAnsi="GHEA Grapalat" w:cs="Calibri"/>
                <w:b/>
                <w:sz w:val="18"/>
                <w:szCs w:val="18"/>
              </w:rPr>
            </w:pPr>
            <w:r w:rsidRPr="001F63BA">
              <w:rPr>
                <w:rFonts w:ascii="GHEA Grapalat" w:hAnsi="GHEA Grapalat" w:cs="Calibri"/>
                <w:b/>
                <w:sz w:val="18"/>
                <w:szCs w:val="18"/>
              </w:rPr>
              <w:t>98.6</w:t>
            </w:r>
          </w:p>
        </w:tc>
        <w:tc>
          <w:tcPr>
            <w:tcW w:w="1313" w:type="dxa"/>
            <w:vAlign w:val="bottom"/>
          </w:tcPr>
          <w:p w:rsidR="001C411D" w:rsidRPr="001F63BA" w:rsidRDefault="001C411D" w:rsidP="004A0164">
            <w:pPr>
              <w:jc w:val="right"/>
              <w:rPr>
                <w:rFonts w:ascii="GHEA Grapalat" w:hAnsi="GHEA Grapalat" w:cs="Calibri"/>
                <w:b/>
                <w:sz w:val="18"/>
                <w:szCs w:val="18"/>
              </w:rPr>
            </w:pPr>
            <w:r w:rsidRPr="001F63BA">
              <w:rPr>
                <w:rFonts w:ascii="GHEA Grapalat" w:hAnsi="GHEA Grapalat" w:cs="Calibri"/>
                <w:b/>
                <w:sz w:val="18"/>
                <w:szCs w:val="18"/>
              </w:rPr>
              <w:t>104.2</w:t>
            </w: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Աշխատավարձ</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 xml:space="preserve">181.4 </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195.8</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194.1</w:t>
            </w:r>
          </w:p>
        </w:tc>
        <w:tc>
          <w:tcPr>
            <w:tcW w:w="1380"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99.1</w:t>
            </w:r>
          </w:p>
        </w:tc>
        <w:tc>
          <w:tcPr>
            <w:tcW w:w="1313"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107.0</w:t>
            </w: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Ծառայությունների և ապրանքների ձեռքբերում</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198.5</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210.9</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205.3</w:t>
            </w:r>
          </w:p>
        </w:tc>
        <w:tc>
          <w:tcPr>
            <w:tcW w:w="1380"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97.3</w:t>
            </w:r>
          </w:p>
        </w:tc>
        <w:tc>
          <w:tcPr>
            <w:tcW w:w="1313"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103.4</w:t>
            </w: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Տոկոսավճարներ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 xml:space="preserve">180.8 </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198.8</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198.3</w:t>
            </w:r>
          </w:p>
        </w:tc>
        <w:tc>
          <w:tcPr>
            <w:tcW w:w="1380"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99.8</w:t>
            </w:r>
          </w:p>
        </w:tc>
        <w:tc>
          <w:tcPr>
            <w:tcW w:w="1313"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109.7</w:t>
            </w: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Սուբսիդիաներ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 xml:space="preserve"> 136.8 </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151.8</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150.5</w:t>
            </w:r>
          </w:p>
        </w:tc>
        <w:tc>
          <w:tcPr>
            <w:tcW w:w="1380"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99.1</w:t>
            </w:r>
          </w:p>
        </w:tc>
        <w:tc>
          <w:tcPr>
            <w:tcW w:w="1313"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110.0</w:t>
            </w: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Դրամաշնորհներ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 xml:space="preserve"> 204.7 </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243.5</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238.6</w:t>
            </w:r>
          </w:p>
        </w:tc>
        <w:tc>
          <w:tcPr>
            <w:tcW w:w="1380"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98.0</w:t>
            </w:r>
          </w:p>
        </w:tc>
        <w:tc>
          <w:tcPr>
            <w:tcW w:w="1313"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116.6</w:t>
            </w: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Սոցիալական նպաստներ և կենսաթոշակներ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 xml:space="preserve">621.2 </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618.2</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613.1</w:t>
            </w:r>
          </w:p>
        </w:tc>
        <w:tc>
          <w:tcPr>
            <w:tcW w:w="1380"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99.2</w:t>
            </w:r>
          </w:p>
        </w:tc>
        <w:tc>
          <w:tcPr>
            <w:tcW w:w="1313"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98.7</w:t>
            </w: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Այլ ծախսեր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 xml:space="preserve"> 264.6 </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269.0</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262.4</w:t>
            </w:r>
          </w:p>
        </w:tc>
        <w:tc>
          <w:tcPr>
            <w:tcW w:w="1380"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97.5</w:t>
            </w:r>
          </w:p>
        </w:tc>
        <w:tc>
          <w:tcPr>
            <w:tcW w:w="1313"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99.2</w:t>
            </w:r>
          </w:p>
        </w:tc>
      </w:tr>
      <w:tr w:rsidR="001C411D" w:rsidRPr="001F63BA" w:rsidTr="001E08C1">
        <w:tc>
          <w:tcPr>
            <w:tcW w:w="4253" w:type="dxa"/>
            <w:vAlign w:val="bottom"/>
          </w:tcPr>
          <w:p w:rsidR="001C411D" w:rsidRPr="001F63BA" w:rsidRDefault="001C411D" w:rsidP="004C40A5">
            <w:pPr>
              <w:ind w:firstLineChars="100" w:firstLine="180"/>
              <w:rPr>
                <w:rFonts w:ascii="GHEA Grapalat" w:hAnsi="GHEA Grapalat" w:cs="Calibri"/>
                <w:b/>
                <w:bCs/>
                <w:sz w:val="18"/>
                <w:szCs w:val="18"/>
              </w:rPr>
            </w:pPr>
            <w:r w:rsidRPr="001F63BA">
              <w:rPr>
                <w:rFonts w:ascii="GHEA Grapalat" w:hAnsi="GHEA Grapalat" w:cs="Calibri"/>
                <w:b/>
                <w:bCs/>
                <w:sz w:val="18"/>
                <w:szCs w:val="18"/>
              </w:rPr>
              <w:t>Կշիռն ընթացիկ ծախսերում (%)</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Courier New" w:hAnsi="Courier New" w:cs="Courier New"/>
                <w:sz w:val="18"/>
                <w:szCs w:val="18"/>
              </w:rPr>
              <w:t> </w:t>
            </w:r>
          </w:p>
        </w:tc>
        <w:tc>
          <w:tcPr>
            <w:tcW w:w="1134" w:type="dxa"/>
            <w:vAlign w:val="bottom"/>
          </w:tcPr>
          <w:p w:rsidR="001C411D" w:rsidRPr="001F63BA" w:rsidRDefault="001C411D" w:rsidP="004A0164">
            <w:pPr>
              <w:jc w:val="right"/>
              <w:rPr>
                <w:rFonts w:ascii="GHEA Grapalat" w:hAnsi="GHEA Grapalat"/>
                <w:sz w:val="18"/>
                <w:szCs w:val="18"/>
              </w:rPr>
            </w:pPr>
          </w:p>
        </w:tc>
        <w:tc>
          <w:tcPr>
            <w:tcW w:w="992" w:type="dxa"/>
            <w:vAlign w:val="bottom"/>
          </w:tcPr>
          <w:p w:rsidR="001C411D" w:rsidRPr="001F63BA" w:rsidRDefault="001C411D" w:rsidP="004A0164">
            <w:pPr>
              <w:jc w:val="right"/>
              <w:rPr>
                <w:rFonts w:ascii="GHEA Grapalat" w:hAnsi="GHEA Grapalat"/>
                <w:sz w:val="18"/>
                <w:szCs w:val="18"/>
              </w:rPr>
            </w:pP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sz w:val="18"/>
                <w:szCs w:val="18"/>
              </w:rPr>
            </w:pP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Աշխատավարձ</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10.1</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10.4</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10.4</w:t>
            </w: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cs="Calibri"/>
                <w:sz w:val="18"/>
                <w:szCs w:val="18"/>
              </w:rPr>
            </w:pP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Ծառայությունների և ապրանքների ձեռք բերում</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11.1</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11.2</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11.0</w:t>
            </w: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cs="Calibri"/>
                <w:sz w:val="18"/>
                <w:szCs w:val="18"/>
              </w:rPr>
            </w:pP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lastRenderedPageBreak/>
              <w:t>Տոկոսավճարներ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10.1</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10.5</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10.6</w:t>
            </w: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cs="Calibri"/>
                <w:sz w:val="18"/>
                <w:szCs w:val="18"/>
              </w:rPr>
            </w:pP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Սուբսիդիաներ</w:t>
            </w:r>
          </w:p>
        </w:tc>
        <w:tc>
          <w:tcPr>
            <w:tcW w:w="1134" w:type="dxa"/>
            <w:vAlign w:val="bottom"/>
          </w:tcPr>
          <w:p w:rsidR="001C411D" w:rsidRPr="001F63BA" w:rsidRDefault="001C411D" w:rsidP="004A0164">
            <w:pPr>
              <w:jc w:val="right"/>
              <w:rPr>
                <w:rFonts w:ascii="GHEA Grapalat" w:hAnsi="GHEA Grapalat" w:cs="Calibri"/>
                <w:sz w:val="18"/>
                <w:szCs w:val="18"/>
                <w:lang w:val="en-US"/>
              </w:rPr>
            </w:pPr>
            <w:r w:rsidRPr="001F63BA">
              <w:rPr>
                <w:rFonts w:ascii="GHEA Grapalat" w:hAnsi="GHEA Grapalat" w:cs="Calibri"/>
                <w:sz w:val="18"/>
                <w:szCs w:val="18"/>
              </w:rPr>
              <w:t>7</w:t>
            </w:r>
            <w:r w:rsidRPr="001F63BA">
              <w:rPr>
                <w:rFonts w:ascii="GHEA Grapalat" w:hAnsi="GHEA Grapalat" w:cs="Calibri"/>
                <w:sz w:val="18"/>
                <w:szCs w:val="18"/>
                <w:lang w:val="en-US"/>
              </w:rPr>
              <w:t>.6</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8.0</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8.1</w:t>
            </w: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cs="Calibri"/>
                <w:sz w:val="18"/>
                <w:szCs w:val="18"/>
              </w:rPr>
            </w:pP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Դրամաշնորհներ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11.4</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12.9</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12.8</w:t>
            </w: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cs="Calibri"/>
                <w:sz w:val="18"/>
                <w:szCs w:val="18"/>
              </w:rPr>
            </w:pP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Սոցիալական նպաստներ և կենսաթոշակներ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34.7</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32.7</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32.9</w:t>
            </w: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cs="Calibri"/>
                <w:sz w:val="18"/>
                <w:szCs w:val="18"/>
              </w:rPr>
            </w:pPr>
          </w:p>
        </w:tc>
      </w:tr>
      <w:tr w:rsidR="001C411D" w:rsidRPr="001F63BA" w:rsidTr="001E08C1">
        <w:tc>
          <w:tcPr>
            <w:tcW w:w="4253" w:type="dxa"/>
            <w:vAlign w:val="bottom"/>
          </w:tcPr>
          <w:p w:rsidR="001C411D" w:rsidRPr="001F63BA" w:rsidRDefault="001C411D" w:rsidP="004242C1">
            <w:pPr>
              <w:rPr>
                <w:rFonts w:ascii="GHEA Grapalat" w:hAnsi="GHEA Grapalat" w:cs="Calibri"/>
                <w:sz w:val="18"/>
                <w:szCs w:val="18"/>
              </w:rPr>
            </w:pPr>
            <w:r w:rsidRPr="001F63BA">
              <w:rPr>
                <w:rFonts w:ascii="GHEA Grapalat" w:hAnsi="GHEA Grapalat" w:cs="Calibri"/>
                <w:sz w:val="18"/>
                <w:szCs w:val="18"/>
              </w:rPr>
              <w:t>Այլ ծախսեր</w:t>
            </w:r>
          </w:p>
        </w:tc>
        <w:tc>
          <w:tcPr>
            <w:tcW w:w="1134"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14.8</w:t>
            </w:r>
          </w:p>
        </w:tc>
        <w:tc>
          <w:tcPr>
            <w:tcW w:w="1134" w:type="dxa"/>
            <w:vAlign w:val="bottom"/>
          </w:tcPr>
          <w:p w:rsidR="001C411D" w:rsidRPr="001F63BA" w:rsidRDefault="001C411D" w:rsidP="004A0164">
            <w:pPr>
              <w:jc w:val="right"/>
              <w:rPr>
                <w:rFonts w:ascii="GHEA Grapalat" w:hAnsi="GHEA Grapalat" w:cs="Calibri"/>
                <w:sz w:val="18"/>
                <w:szCs w:val="18"/>
                <w:lang w:val="en-US"/>
              </w:rPr>
            </w:pPr>
            <w:r w:rsidRPr="001F63BA">
              <w:rPr>
                <w:rFonts w:ascii="GHEA Grapalat" w:hAnsi="GHEA Grapalat" w:cs="Calibri"/>
                <w:sz w:val="18"/>
                <w:szCs w:val="18"/>
              </w:rPr>
              <w:t>14.</w:t>
            </w:r>
            <w:r w:rsidRPr="001F63BA">
              <w:rPr>
                <w:rFonts w:ascii="GHEA Grapalat" w:hAnsi="GHEA Grapalat" w:cs="Calibri"/>
                <w:sz w:val="18"/>
                <w:szCs w:val="18"/>
                <w:lang w:val="en-US"/>
              </w:rPr>
              <w:t>3</w:t>
            </w:r>
          </w:p>
        </w:tc>
        <w:tc>
          <w:tcPr>
            <w:tcW w:w="992" w:type="dxa"/>
            <w:vAlign w:val="bottom"/>
          </w:tcPr>
          <w:p w:rsidR="001C411D" w:rsidRPr="001F63BA" w:rsidRDefault="001C411D" w:rsidP="004A0164">
            <w:pPr>
              <w:jc w:val="right"/>
              <w:rPr>
                <w:rFonts w:ascii="GHEA Grapalat" w:hAnsi="GHEA Grapalat" w:cs="Calibri"/>
                <w:sz w:val="18"/>
                <w:szCs w:val="18"/>
              </w:rPr>
            </w:pPr>
            <w:r w:rsidRPr="001F63BA">
              <w:rPr>
                <w:rFonts w:ascii="GHEA Grapalat" w:hAnsi="GHEA Grapalat" w:cs="Calibri"/>
                <w:sz w:val="18"/>
                <w:szCs w:val="18"/>
              </w:rPr>
              <w:t>14.1</w:t>
            </w:r>
          </w:p>
        </w:tc>
        <w:tc>
          <w:tcPr>
            <w:tcW w:w="1380" w:type="dxa"/>
            <w:vAlign w:val="bottom"/>
          </w:tcPr>
          <w:p w:rsidR="001C411D" w:rsidRPr="001F63BA" w:rsidRDefault="001C411D" w:rsidP="004A0164">
            <w:pPr>
              <w:jc w:val="right"/>
              <w:rPr>
                <w:rFonts w:ascii="GHEA Grapalat" w:hAnsi="GHEA Grapalat" w:cs="Calibri"/>
                <w:sz w:val="18"/>
                <w:szCs w:val="18"/>
              </w:rPr>
            </w:pPr>
          </w:p>
        </w:tc>
        <w:tc>
          <w:tcPr>
            <w:tcW w:w="1313" w:type="dxa"/>
            <w:vAlign w:val="bottom"/>
          </w:tcPr>
          <w:p w:rsidR="001C411D" w:rsidRPr="001F63BA" w:rsidRDefault="001C411D" w:rsidP="004A0164">
            <w:pPr>
              <w:jc w:val="right"/>
              <w:rPr>
                <w:rFonts w:ascii="GHEA Grapalat" w:hAnsi="GHEA Grapalat" w:cs="Calibri"/>
                <w:sz w:val="18"/>
                <w:szCs w:val="18"/>
              </w:rPr>
            </w:pPr>
          </w:p>
        </w:tc>
      </w:tr>
    </w:tbl>
    <w:p w:rsidR="001C411D" w:rsidRPr="001F63BA" w:rsidRDefault="001C411D" w:rsidP="0000157A">
      <w:pPr>
        <w:spacing w:line="360" w:lineRule="auto"/>
        <w:ind w:firstLine="567"/>
        <w:jc w:val="both"/>
        <w:rPr>
          <w:rFonts w:ascii="GHEA Grapalat" w:hAnsi="GHEA Grapalat" w:cs="GHEA Grapalat"/>
          <w:sz w:val="22"/>
          <w:szCs w:val="22"/>
        </w:rPr>
      </w:pPr>
    </w:p>
    <w:p w:rsidR="001C411D" w:rsidRPr="001F63BA" w:rsidRDefault="001C411D" w:rsidP="0000157A">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2021 թվականի համեմատ աշխատանքի վարձատրության ծախսերի աճը հիմնականում պայմանավորված է պետական կառավարման համակարգում աշխատավարձերի բնականոն աճով, ինչպես նաև որոշ մարմիններում հաստիքների ավելացմամբ: </w:t>
      </w:r>
    </w:p>
    <w:p w:rsidR="001C411D" w:rsidRPr="001F63BA" w:rsidRDefault="001C411D" w:rsidP="0000157A">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Կառավարության պարտքի սպասարկման ծախսերի գծով հաշվետու ժամանակահատվածում արձանագրվել է 482.3 մլն դրամի խնայողություն, որը պայմանավորված է եղել հետևյալ գործոններով.</w:t>
      </w:r>
    </w:p>
    <w:p w:rsidR="001C411D" w:rsidRPr="001F63BA" w:rsidRDefault="001C411D" w:rsidP="00BB1B4B">
      <w:pPr>
        <w:numPr>
          <w:ilvl w:val="0"/>
          <w:numId w:val="31"/>
        </w:numPr>
        <w:shd w:val="clear" w:color="auto" w:fill="FFFFFF"/>
        <w:tabs>
          <w:tab w:val="left" w:pos="851"/>
        </w:tabs>
        <w:spacing w:line="360" w:lineRule="auto"/>
        <w:ind w:left="0" w:firstLine="567"/>
        <w:jc w:val="both"/>
        <w:rPr>
          <w:rFonts w:ascii="GHEA Grapalat" w:hAnsi="GHEA Grapalat" w:cs="Sylfaen"/>
          <w:sz w:val="22"/>
          <w:szCs w:val="22"/>
          <w:lang w:eastAsia="ru-RU"/>
        </w:rPr>
      </w:pPr>
      <w:r w:rsidRPr="001F63BA">
        <w:rPr>
          <w:rFonts w:ascii="GHEA Grapalat" w:hAnsi="GHEA Grapalat" w:cs="Sylfaen"/>
          <w:sz w:val="22"/>
          <w:szCs w:val="22"/>
          <w:lang w:eastAsia="ru-RU"/>
        </w:rPr>
        <w:t>6-ամսյա ԱՄՆ դոլարի LIBOR, 6-ամսյա EURIBOR, SOFR և SDR տոկոսադրույքի կանխատեսումային և 2022</w:t>
      </w:r>
      <w:r w:rsidRPr="001F63BA">
        <w:rPr>
          <w:rFonts w:ascii="GHEA Grapalat" w:hAnsi="GHEA Grapalat" w:cs="Sylfaen"/>
          <w:sz w:val="22"/>
          <w:szCs w:val="22"/>
          <w:lang w:val="en-US" w:eastAsia="ru-RU"/>
        </w:rPr>
        <w:t xml:space="preserve"> </w:t>
      </w:r>
      <w:r w:rsidRPr="001F63BA">
        <w:rPr>
          <w:rFonts w:ascii="GHEA Grapalat" w:hAnsi="GHEA Grapalat" w:cs="Sylfaen"/>
          <w:sz w:val="22"/>
          <w:szCs w:val="22"/>
          <w:lang w:eastAsia="ru-RU"/>
        </w:rPr>
        <w:t>թ</w:t>
      </w:r>
      <w:r w:rsidRPr="001F63BA">
        <w:rPr>
          <w:rFonts w:ascii="GHEA Grapalat" w:hAnsi="GHEA Grapalat" w:cs="Sylfaen"/>
          <w:sz w:val="22"/>
          <w:szCs w:val="22"/>
          <w:lang w:val="en-US" w:eastAsia="ru-RU"/>
        </w:rPr>
        <w:t>վականին</w:t>
      </w:r>
      <w:r w:rsidRPr="001F63BA">
        <w:rPr>
          <w:rFonts w:ascii="GHEA Grapalat" w:hAnsi="GHEA Grapalat" w:cs="Sylfaen"/>
          <w:sz w:val="22"/>
          <w:szCs w:val="22"/>
          <w:lang w:eastAsia="ru-RU"/>
        </w:rPr>
        <w:t xml:space="preserve"> վճարումների համար կիրառված փաստացի դրույքաչափերի տարբերություն,</w:t>
      </w:r>
    </w:p>
    <w:p w:rsidR="001C411D" w:rsidRPr="001F63BA" w:rsidRDefault="001C411D" w:rsidP="00BB1B4B">
      <w:pPr>
        <w:numPr>
          <w:ilvl w:val="0"/>
          <w:numId w:val="31"/>
        </w:numPr>
        <w:shd w:val="clear" w:color="auto" w:fill="FFFFFF"/>
        <w:tabs>
          <w:tab w:val="left" w:pos="851"/>
        </w:tabs>
        <w:spacing w:line="360" w:lineRule="auto"/>
        <w:ind w:left="0" w:firstLine="567"/>
        <w:jc w:val="both"/>
        <w:rPr>
          <w:rFonts w:ascii="GHEA Grapalat" w:hAnsi="GHEA Grapalat" w:cs="Sylfaen"/>
          <w:sz w:val="22"/>
          <w:szCs w:val="22"/>
          <w:lang w:eastAsia="ru-RU"/>
        </w:rPr>
      </w:pPr>
      <w:r w:rsidRPr="001F63BA">
        <w:rPr>
          <w:rFonts w:ascii="GHEA Grapalat" w:hAnsi="GHEA Grapalat" w:cs="Sylfaen"/>
          <w:sz w:val="22"/>
          <w:szCs w:val="22"/>
          <w:lang w:eastAsia="ru-RU"/>
        </w:rPr>
        <w:t>2021 և 2022</w:t>
      </w:r>
      <w:r w:rsidRPr="001F63BA">
        <w:rPr>
          <w:rFonts w:ascii="GHEA Grapalat" w:hAnsi="GHEA Grapalat" w:cs="Sylfaen"/>
          <w:sz w:val="22"/>
          <w:szCs w:val="22"/>
          <w:lang w:val="en-US" w:eastAsia="ru-RU"/>
        </w:rPr>
        <w:t xml:space="preserve"> </w:t>
      </w:r>
      <w:r w:rsidRPr="001F63BA">
        <w:rPr>
          <w:rFonts w:ascii="GHEA Grapalat" w:hAnsi="GHEA Grapalat" w:cs="Sylfaen"/>
          <w:sz w:val="22"/>
          <w:szCs w:val="22"/>
          <w:lang w:eastAsia="ru-RU"/>
        </w:rPr>
        <w:t>թ</w:t>
      </w:r>
      <w:r w:rsidRPr="001F63BA">
        <w:rPr>
          <w:rFonts w:ascii="GHEA Grapalat" w:hAnsi="GHEA Grapalat" w:cs="Sylfaen"/>
          <w:sz w:val="22"/>
          <w:szCs w:val="22"/>
          <w:lang w:val="en-US" w:eastAsia="ru-RU"/>
        </w:rPr>
        <w:t>վականների</w:t>
      </w:r>
      <w:r w:rsidRPr="001F63BA">
        <w:rPr>
          <w:rFonts w:ascii="GHEA Grapalat" w:hAnsi="GHEA Grapalat" w:cs="Sylfaen"/>
          <w:sz w:val="22"/>
          <w:szCs w:val="22"/>
          <w:lang w:eastAsia="ru-RU"/>
        </w:rPr>
        <w:t xml:space="preserve"> ընթացքում մի շարք վարկերի գծով մասհանումների պլանային ցուցանիշի էական թերակատարում,</w:t>
      </w:r>
    </w:p>
    <w:p w:rsidR="001C411D" w:rsidRPr="001F63BA" w:rsidRDefault="001C411D" w:rsidP="00BB1B4B">
      <w:pPr>
        <w:numPr>
          <w:ilvl w:val="0"/>
          <w:numId w:val="31"/>
        </w:numPr>
        <w:shd w:val="clear" w:color="auto" w:fill="FFFFFF"/>
        <w:tabs>
          <w:tab w:val="left" w:pos="851"/>
        </w:tabs>
        <w:spacing w:line="360" w:lineRule="auto"/>
        <w:ind w:left="0" w:firstLine="567"/>
        <w:jc w:val="both"/>
        <w:rPr>
          <w:rFonts w:ascii="GHEA Grapalat" w:hAnsi="GHEA Grapalat" w:cs="Sylfaen"/>
          <w:sz w:val="22"/>
          <w:szCs w:val="22"/>
          <w:lang w:eastAsia="ru-RU"/>
        </w:rPr>
      </w:pPr>
      <w:r w:rsidRPr="001F63BA">
        <w:rPr>
          <w:rFonts w:ascii="GHEA Grapalat" w:hAnsi="GHEA Grapalat" w:cs="Sylfaen"/>
          <w:sz w:val="22"/>
          <w:szCs w:val="22"/>
          <w:lang w:eastAsia="ru-RU"/>
        </w:rPr>
        <w:t>SDR-ի ԱՄՆ դոլարի նկատմամբ կանխատեսումային և փաստացի ձևավորված փոխարժեքի տարբերություն,</w:t>
      </w:r>
    </w:p>
    <w:p w:rsidR="001C411D" w:rsidRPr="001F63BA" w:rsidRDefault="001C411D" w:rsidP="00BB1B4B">
      <w:pPr>
        <w:numPr>
          <w:ilvl w:val="0"/>
          <w:numId w:val="31"/>
        </w:numPr>
        <w:shd w:val="clear" w:color="auto" w:fill="FFFFFF"/>
        <w:tabs>
          <w:tab w:val="left" w:pos="851"/>
        </w:tabs>
        <w:spacing w:line="360" w:lineRule="auto"/>
        <w:ind w:left="0" w:firstLine="567"/>
        <w:jc w:val="both"/>
        <w:rPr>
          <w:rFonts w:ascii="GHEA Grapalat" w:hAnsi="GHEA Grapalat" w:cs="Sylfaen"/>
          <w:sz w:val="22"/>
          <w:szCs w:val="22"/>
          <w:lang w:eastAsia="ru-RU"/>
        </w:rPr>
      </w:pPr>
      <w:r w:rsidRPr="001F63BA">
        <w:rPr>
          <w:rFonts w:ascii="GHEA Grapalat" w:hAnsi="GHEA Grapalat" w:cs="Sylfaen"/>
          <w:sz w:val="22"/>
          <w:szCs w:val="22"/>
          <w:lang w:eastAsia="ru-RU"/>
        </w:rPr>
        <w:t>ա</w:t>
      </w:r>
      <w:r w:rsidRPr="001F63BA">
        <w:rPr>
          <w:rFonts w:ascii="GHEA Grapalat" w:hAnsi="GHEA Grapalat"/>
          <w:sz w:val="22"/>
          <w:szCs w:val="22"/>
          <w:lang w:eastAsia="ru-RU"/>
        </w:rPr>
        <w:t>րտարժույթների նկատմամբ ՀՀ դրամի կանխատեսումային և փաստացի ձևավորված փոխարժեքների տարբերությ</w:t>
      </w:r>
      <w:r w:rsidRPr="001F63BA">
        <w:rPr>
          <w:rFonts w:ascii="GHEA Grapalat" w:hAnsi="GHEA Grapalat"/>
          <w:sz w:val="22"/>
          <w:szCs w:val="22"/>
          <w:lang w:val="en-US" w:eastAsia="ru-RU"/>
        </w:rPr>
        <w:t>ուն</w:t>
      </w:r>
      <w:r w:rsidRPr="001F63BA">
        <w:rPr>
          <w:rFonts w:ascii="GHEA Grapalat" w:hAnsi="GHEA Grapalat" w:cs="Sylfaen"/>
          <w:sz w:val="22"/>
          <w:szCs w:val="22"/>
          <w:lang w:eastAsia="ru-RU"/>
        </w:rPr>
        <w:t xml:space="preserve">: </w:t>
      </w:r>
      <w:r w:rsidRPr="001F63BA">
        <w:rPr>
          <w:rFonts w:ascii="GHEA Grapalat" w:hAnsi="GHEA Grapalat"/>
          <w:sz w:val="22"/>
          <w:szCs w:val="22"/>
          <w:lang w:eastAsia="ru-RU"/>
        </w:rPr>
        <w:t>2022</w:t>
      </w:r>
      <w:r w:rsidRPr="001F63BA">
        <w:rPr>
          <w:rFonts w:ascii="GHEA Grapalat" w:hAnsi="GHEA Grapalat"/>
          <w:sz w:val="22"/>
          <w:szCs w:val="22"/>
          <w:lang w:val="en-US" w:eastAsia="ru-RU"/>
        </w:rPr>
        <w:t xml:space="preserve"> </w:t>
      </w:r>
      <w:r w:rsidRPr="001F63BA">
        <w:rPr>
          <w:rFonts w:ascii="GHEA Grapalat" w:hAnsi="GHEA Grapalat"/>
          <w:sz w:val="22"/>
          <w:szCs w:val="22"/>
          <w:lang w:eastAsia="ru-RU"/>
        </w:rPr>
        <w:t>թ</w:t>
      </w:r>
      <w:r w:rsidRPr="001F63BA">
        <w:rPr>
          <w:rFonts w:ascii="GHEA Grapalat" w:hAnsi="GHEA Grapalat"/>
          <w:sz w:val="22"/>
          <w:szCs w:val="22"/>
          <w:lang w:val="en-US" w:eastAsia="ru-RU"/>
        </w:rPr>
        <w:t>վականի</w:t>
      </w:r>
      <w:r w:rsidRPr="001F63BA">
        <w:rPr>
          <w:rFonts w:ascii="GHEA Grapalat" w:hAnsi="GHEA Grapalat"/>
          <w:sz w:val="22"/>
          <w:szCs w:val="22"/>
          <w:lang w:eastAsia="ru-RU"/>
        </w:rPr>
        <w:t xml:space="preserve"> ընթացքում կիրառված ԱՄՆ դոլար / ՀՀ դրամ միջին կշռված փաստացի փոխարժեքը կազմել է 441.15, մինչդեռ 2022</w:t>
      </w:r>
      <w:r w:rsidRPr="001F63BA">
        <w:rPr>
          <w:rFonts w:ascii="GHEA Grapalat" w:hAnsi="GHEA Grapalat"/>
          <w:sz w:val="22"/>
          <w:szCs w:val="22"/>
          <w:lang w:val="en-US" w:eastAsia="ru-RU"/>
        </w:rPr>
        <w:t xml:space="preserve"> </w:t>
      </w:r>
      <w:r w:rsidRPr="001F63BA">
        <w:rPr>
          <w:rFonts w:ascii="GHEA Grapalat" w:hAnsi="GHEA Grapalat"/>
          <w:sz w:val="22"/>
          <w:szCs w:val="22"/>
          <w:lang w:eastAsia="ru-RU"/>
        </w:rPr>
        <w:t>թ</w:t>
      </w:r>
      <w:r w:rsidRPr="001F63BA">
        <w:rPr>
          <w:rFonts w:ascii="GHEA Grapalat" w:hAnsi="GHEA Grapalat"/>
          <w:sz w:val="22"/>
          <w:szCs w:val="22"/>
          <w:lang w:val="en-US" w:eastAsia="ru-RU"/>
        </w:rPr>
        <w:t>վականի</w:t>
      </w:r>
      <w:r w:rsidRPr="001F63BA">
        <w:rPr>
          <w:rFonts w:ascii="GHEA Grapalat" w:hAnsi="GHEA Grapalat"/>
          <w:sz w:val="22"/>
          <w:szCs w:val="22"/>
          <w:lang w:eastAsia="ru-RU"/>
        </w:rPr>
        <w:t xml:space="preserve"> պետական բյուջեի ծրագրավորման ընթացքում արտարժութային մուտքերի և ելքերի փոխարկման համար կիրառվել է 477.45 փոխարժեքը (01.11.2021թ. դրությամբ ՀՀ </w:t>
      </w:r>
      <w:r w:rsidRPr="001F63BA">
        <w:rPr>
          <w:rFonts w:ascii="GHEA Grapalat" w:hAnsi="GHEA Grapalat"/>
          <w:sz w:val="22"/>
          <w:szCs w:val="22"/>
          <w:lang w:val="en-US" w:eastAsia="ru-RU"/>
        </w:rPr>
        <w:t>ԿԲ</w:t>
      </w:r>
      <w:r w:rsidRPr="001F63BA">
        <w:rPr>
          <w:rFonts w:ascii="GHEA Grapalat" w:hAnsi="GHEA Grapalat"/>
          <w:sz w:val="22"/>
          <w:szCs w:val="22"/>
          <w:lang w:eastAsia="ru-RU"/>
        </w:rPr>
        <w:t xml:space="preserve"> կողմից հրապարակված միջին փոխարժեք)</w:t>
      </w:r>
      <w:r w:rsidRPr="001F63BA">
        <w:rPr>
          <w:rFonts w:ascii="GHEA Grapalat" w:hAnsi="GHEA Grapalat" w:cs="Sylfaen"/>
          <w:sz w:val="22"/>
          <w:szCs w:val="22"/>
          <w:lang w:eastAsia="ru-RU"/>
        </w:rPr>
        <w:t>:</w:t>
      </w:r>
    </w:p>
    <w:p w:rsidR="001C411D" w:rsidRPr="001F63BA" w:rsidRDefault="001C411D" w:rsidP="00EB411E">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2022 թվականին նախորդ տարվա համեմատ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 xml:space="preserve">ան պարտքի սպասարկման ծախսերն աճել են 9.7%-ով կամ 17.5 մլրդ դրամով, ինչը պայմանավորված է եղել շրջանառության մեջ գտնվող արտարժութային և գանձապետական պարտատոմսերի ծավալների աճով: </w:t>
      </w:r>
    </w:p>
    <w:p w:rsidR="001C411D" w:rsidRPr="001F63BA" w:rsidRDefault="001C411D" w:rsidP="00EB411E">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Կառավարության պարտքի կառուցվածքում գանձապետական պարտատոմսերի կշռի աճը նպաստել է </w:t>
      </w:r>
      <w:r w:rsidR="00FF639B" w:rsidRPr="001F63BA">
        <w:rPr>
          <w:rFonts w:ascii="GHEA Grapalat" w:hAnsi="GHEA Grapalat" w:cs="GHEA Grapalat"/>
          <w:sz w:val="22"/>
          <w:szCs w:val="22"/>
        </w:rPr>
        <w:t>Կառավարությ</w:t>
      </w:r>
      <w:r w:rsidRPr="001F63BA">
        <w:rPr>
          <w:rFonts w:ascii="GHEA Grapalat" w:hAnsi="GHEA Grapalat" w:cs="GHEA Grapalat"/>
          <w:sz w:val="22"/>
          <w:szCs w:val="22"/>
        </w:rPr>
        <w:t>ան ընդհանուր պարտքի միջին կշռված անվանական տոկոսադրույքի աճին: Այսպես՝ 2022 թվականի դեկտեմբերի 31-ի դրությամբ պարտքի միջին կշռված անվանական տոկոսադրույքը կազմել է 6.3% և նախորդ տարեվերջի համեմատությամբ աճել է 1.6 տոկոսային կետով:</w:t>
      </w:r>
    </w:p>
    <w:p w:rsidR="001C411D" w:rsidRPr="001F63BA" w:rsidRDefault="001C411D" w:rsidP="00EB411E">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Արտաքին վարկերի գծով տվյալ ցուցանիշն աճել է 1.7 տոկոսային կետով: Հարկ է նշել, որ.</w:t>
      </w:r>
    </w:p>
    <w:p w:rsidR="001C411D" w:rsidRPr="001F63BA" w:rsidRDefault="001C411D" w:rsidP="00BB1B4B">
      <w:pPr>
        <w:numPr>
          <w:ilvl w:val="0"/>
          <w:numId w:val="31"/>
        </w:numPr>
        <w:shd w:val="clear" w:color="auto" w:fill="FFFFFF"/>
        <w:tabs>
          <w:tab w:val="left" w:pos="851"/>
        </w:tabs>
        <w:spacing w:line="360" w:lineRule="auto"/>
        <w:ind w:left="0" w:firstLine="567"/>
        <w:jc w:val="both"/>
        <w:rPr>
          <w:rFonts w:ascii="GHEA Grapalat" w:hAnsi="GHEA Grapalat"/>
          <w:sz w:val="22"/>
          <w:szCs w:val="22"/>
          <w:lang w:eastAsia="ru-RU"/>
        </w:rPr>
      </w:pPr>
      <w:r w:rsidRPr="001F63BA">
        <w:rPr>
          <w:rFonts w:ascii="GHEA Grapalat" w:hAnsi="GHEA Grapalat"/>
          <w:sz w:val="22"/>
          <w:szCs w:val="22"/>
          <w:lang w:eastAsia="ru-RU"/>
        </w:rPr>
        <w:t xml:space="preserve">լողացող տոկոսադրույքով տրամադրվող վարկերի սպասարկման ծախսերի հաշվարկման հիմքում ընկած 6-ամսյա ԱՄՆ դոլարի LIBOR դրույքաչափի 2021թ. միջին ցուցանիշը կազմել էր </w:t>
      </w:r>
      <w:r w:rsidRPr="001F63BA">
        <w:rPr>
          <w:rFonts w:ascii="GHEA Grapalat" w:hAnsi="GHEA Grapalat"/>
          <w:sz w:val="22"/>
          <w:szCs w:val="22"/>
          <w:lang w:eastAsia="ru-RU"/>
        </w:rPr>
        <w:lastRenderedPageBreak/>
        <w:t>0.198%: 2022թ. հունվարից Համաշխարհային բանկն ու Ասիական զարգացման բանկը անցում կատարեցին SOFR տոկոսադրույքի հիման վրա վարկերի սպասարկմանը (ԱՄՆ դոլարով վարկերի համար)՝ 6-ամսյա ԱՄՆ դոլարի LIBOR-ի փոխարեն: SOFR տոկոսադրույքի միջին ցուցանիշը 2022թ. համար կազմել է 1.636%,</w:t>
      </w:r>
    </w:p>
    <w:p w:rsidR="001C411D" w:rsidRPr="001F63BA" w:rsidRDefault="001C411D" w:rsidP="00BB1B4B">
      <w:pPr>
        <w:numPr>
          <w:ilvl w:val="0"/>
          <w:numId w:val="31"/>
        </w:numPr>
        <w:shd w:val="clear" w:color="auto" w:fill="FFFFFF"/>
        <w:tabs>
          <w:tab w:val="left" w:pos="851"/>
        </w:tabs>
        <w:spacing w:line="360" w:lineRule="auto"/>
        <w:ind w:left="0" w:firstLine="567"/>
        <w:jc w:val="both"/>
        <w:rPr>
          <w:rFonts w:ascii="GHEA Grapalat" w:hAnsi="GHEA Grapalat"/>
          <w:sz w:val="22"/>
          <w:szCs w:val="22"/>
          <w:lang w:eastAsia="ru-RU"/>
        </w:rPr>
      </w:pPr>
      <w:r w:rsidRPr="001F63BA">
        <w:rPr>
          <w:rFonts w:ascii="GHEA Grapalat" w:hAnsi="GHEA Grapalat"/>
          <w:sz w:val="22"/>
          <w:szCs w:val="22"/>
          <w:lang w:eastAsia="ru-RU"/>
        </w:rPr>
        <w:t>6-ամսյա EURIBOR դրույքաչափի 2021թ. միջին ցուցանիշը կազմել էր (0.518)%, նույն ցուցանիշը 2022թ. համար կազմել է 0.674%,</w:t>
      </w:r>
    </w:p>
    <w:p w:rsidR="001C411D" w:rsidRPr="001F63BA" w:rsidRDefault="001C411D" w:rsidP="00BB1B4B">
      <w:pPr>
        <w:numPr>
          <w:ilvl w:val="0"/>
          <w:numId w:val="31"/>
        </w:numPr>
        <w:shd w:val="clear" w:color="auto" w:fill="FFFFFF"/>
        <w:tabs>
          <w:tab w:val="left" w:pos="851"/>
        </w:tabs>
        <w:spacing w:line="360" w:lineRule="auto"/>
        <w:ind w:left="0" w:firstLine="567"/>
        <w:jc w:val="both"/>
        <w:rPr>
          <w:rFonts w:ascii="GHEA Grapalat" w:hAnsi="GHEA Grapalat"/>
          <w:sz w:val="22"/>
          <w:szCs w:val="22"/>
          <w:lang w:eastAsia="ru-RU"/>
        </w:rPr>
      </w:pPr>
      <w:r w:rsidRPr="001F63BA">
        <w:rPr>
          <w:rFonts w:ascii="GHEA Grapalat" w:hAnsi="GHEA Grapalat"/>
          <w:sz w:val="22"/>
          <w:szCs w:val="22"/>
          <w:lang w:eastAsia="ru-RU"/>
        </w:rPr>
        <w:t xml:space="preserve">COVID-19-ի համավարակով պայմանավորված` Համաշխարհային բանկի և ՀՀ ֆինանսների նախարարության միջև ձեռք բերված պայմանավորվածությամբ առ այն, որ Համաշխարհային բանկը ևս մեկ տարի (2021թ. հուլիսի 1-ից մինչև 2022թ. հուլիսի 1-ը) ժամկետով չեղարկեց Զարգացման միջազգային ընկերակցության կողմից ՀՀ կառավարությանը տրամադրված վարկերի համար «արագացված մարման դրույթի» շրջանակներում 2014 թվականի հուլիսի 1-ից կիրառված լրացուցիչ 1.7% տոկոսադրույքը: </w:t>
      </w:r>
    </w:p>
    <w:p w:rsidR="001C411D" w:rsidRPr="001F63BA" w:rsidRDefault="001C411D" w:rsidP="00EB411E">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Շրջանառության մեջ գտնվող պետական գանձապետական պարտատոմսերի միջին կշռված եկամտաբերությունն աճել է 0.5 տոկոսային կետով:</w:t>
      </w:r>
    </w:p>
    <w:p w:rsidR="001C411D" w:rsidRPr="001F63BA" w:rsidRDefault="001C411D" w:rsidP="0000157A">
      <w:pPr>
        <w:spacing w:line="360" w:lineRule="auto"/>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Կառավարության պարտքի սպասարկման ծախսերը (մլրդ դրամ)</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77"/>
        <w:gridCol w:w="1276"/>
        <w:gridCol w:w="1417"/>
        <w:gridCol w:w="1276"/>
        <w:gridCol w:w="1401"/>
        <w:gridCol w:w="1530"/>
      </w:tblGrid>
      <w:tr w:rsidR="001C411D" w:rsidRPr="001F63BA" w:rsidTr="00822650">
        <w:trPr>
          <w:trHeight w:val="1425"/>
        </w:trPr>
        <w:tc>
          <w:tcPr>
            <w:tcW w:w="2977" w:type="dxa"/>
            <w:noWrap/>
            <w:vAlign w:val="bottom"/>
          </w:tcPr>
          <w:p w:rsidR="001C411D" w:rsidRPr="001F63BA" w:rsidRDefault="001C411D" w:rsidP="00822650">
            <w:pPr>
              <w:rPr>
                <w:rFonts w:ascii="GHEA Grapalat" w:hAnsi="GHEA Grapalat" w:cs="Calibri"/>
                <w:sz w:val="18"/>
                <w:szCs w:val="18"/>
              </w:rPr>
            </w:pPr>
            <w:r w:rsidRPr="001F63BA">
              <w:rPr>
                <w:rFonts w:ascii="Courier New" w:hAnsi="Courier New" w:cs="Courier New"/>
                <w:sz w:val="18"/>
                <w:szCs w:val="18"/>
              </w:rPr>
              <w:t> </w:t>
            </w:r>
          </w:p>
        </w:tc>
        <w:tc>
          <w:tcPr>
            <w:tcW w:w="1276"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417"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276"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401"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Կատարո-ղական</w:t>
            </w:r>
            <w:r w:rsidRPr="001F63BA">
              <w:rPr>
                <w:rFonts w:ascii="GHEA Grapalat" w:hAnsi="GHEA Grapalat" w:cs="Calibri"/>
                <w:b/>
                <w:bCs/>
                <w:sz w:val="18"/>
                <w:szCs w:val="18"/>
                <w:lang w:val="en-US"/>
              </w:rPr>
              <w:t>ը</w:t>
            </w:r>
            <w:r w:rsidRPr="001F63BA">
              <w:rPr>
                <w:rFonts w:ascii="GHEA Grapalat" w:hAnsi="GHEA Grapalat" w:cs="Calibri"/>
                <w:b/>
                <w:bCs/>
                <w:sz w:val="18"/>
                <w:szCs w:val="18"/>
              </w:rPr>
              <w:t xml:space="preserve"> ճշտված պլանի նկատմամբ (%)</w:t>
            </w:r>
          </w:p>
        </w:tc>
        <w:tc>
          <w:tcPr>
            <w:tcW w:w="1530"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2021թ. նկատմամբ (%)</w:t>
            </w:r>
          </w:p>
        </w:tc>
      </w:tr>
      <w:tr w:rsidR="001C411D" w:rsidRPr="001F63BA" w:rsidTr="00D3699C">
        <w:trPr>
          <w:trHeight w:val="140"/>
        </w:trPr>
        <w:tc>
          <w:tcPr>
            <w:tcW w:w="2977" w:type="dxa"/>
            <w:noWrap/>
            <w:vAlign w:val="bottom"/>
          </w:tcPr>
          <w:p w:rsidR="001C411D" w:rsidRPr="001F63BA" w:rsidRDefault="001C411D" w:rsidP="00D3699C">
            <w:pPr>
              <w:rPr>
                <w:rFonts w:ascii="GHEA Grapalat" w:hAnsi="GHEA Grapalat" w:cs="Calibri"/>
                <w:b/>
                <w:bCs/>
                <w:sz w:val="18"/>
                <w:szCs w:val="18"/>
              </w:rPr>
            </w:pPr>
            <w:r w:rsidRPr="001F63BA">
              <w:rPr>
                <w:rFonts w:ascii="GHEA Grapalat" w:hAnsi="GHEA Grapalat"/>
                <w:b/>
                <w:sz w:val="18"/>
                <w:szCs w:val="18"/>
              </w:rPr>
              <w:t>Տոկոսավճարներ</w:t>
            </w:r>
          </w:p>
        </w:tc>
        <w:tc>
          <w:tcPr>
            <w:tcW w:w="1276" w:type="dxa"/>
            <w:noWrap/>
            <w:vAlign w:val="bottom"/>
          </w:tcPr>
          <w:p w:rsidR="001C411D" w:rsidRPr="001F63BA" w:rsidRDefault="001C411D" w:rsidP="00D3699C">
            <w:pPr>
              <w:jc w:val="right"/>
              <w:rPr>
                <w:rFonts w:ascii="GHEA Grapalat" w:hAnsi="GHEA Grapalat" w:cs="Calibri"/>
                <w:b/>
                <w:sz w:val="18"/>
                <w:szCs w:val="18"/>
              </w:rPr>
            </w:pPr>
            <w:r w:rsidRPr="001F63BA">
              <w:rPr>
                <w:rFonts w:ascii="GHEA Grapalat" w:hAnsi="GHEA Grapalat" w:cs="Calibri"/>
                <w:b/>
                <w:sz w:val="18"/>
                <w:szCs w:val="18"/>
              </w:rPr>
              <w:t xml:space="preserve">180.8 </w:t>
            </w:r>
          </w:p>
        </w:tc>
        <w:tc>
          <w:tcPr>
            <w:tcW w:w="1417" w:type="dxa"/>
            <w:noWrap/>
            <w:vAlign w:val="bottom"/>
          </w:tcPr>
          <w:p w:rsidR="001C411D" w:rsidRPr="001F63BA" w:rsidRDefault="001C411D" w:rsidP="00D3699C">
            <w:pPr>
              <w:jc w:val="right"/>
              <w:rPr>
                <w:rFonts w:ascii="GHEA Grapalat" w:hAnsi="GHEA Grapalat" w:cs="Calibri"/>
                <w:b/>
                <w:sz w:val="18"/>
                <w:szCs w:val="18"/>
              </w:rPr>
            </w:pPr>
            <w:r w:rsidRPr="001F63BA">
              <w:rPr>
                <w:rFonts w:ascii="GHEA Grapalat" w:hAnsi="GHEA Grapalat" w:cs="Calibri"/>
                <w:b/>
                <w:sz w:val="18"/>
                <w:szCs w:val="18"/>
              </w:rPr>
              <w:t>198.8</w:t>
            </w:r>
          </w:p>
        </w:tc>
        <w:tc>
          <w:tcPr>
            <w:tcW w:w="1276" w:type="dxa"/>
            <w:noWrap/>
            <w:vAlign w:val="bottom"/>
          </w:tcPr>
          <w:p w:rsidR="001C411D" w:rsidRPr="001F63BA" w:rsidRDefault="001C411D" w:rsidP="00D3699C">
            <w:pPr>
              <w:jc w:val="right"/>
              <w:rPr>
                <w:rFonts w:ascii="GHEA Grapalat" w:hAnsi="GHEA Grapalat" w:cs="Calibri"/>
                <w:b/>
                <w:sz w:val="18"/>
                <w:szCs w:val="18"/>
              </w:rPr>
            </w:pPr>
            <w:r w:rsidRPr="001F63BA">
              <w:rPr>
                <w:rFonts w:ascii="GHEA Grapalat" w:hAnsi="GHEA Grapalat" w:cs="Calibri"/>
                <w:b/>
                <w:sz w:val="18"/>
                <w:szCs w:val="18"/>
              </w:rPr>
              <w:t>198.3</w:t>
            </w:r>
          </w:p>
        </w:tc>
        <w:tc>
          <w:tcPr>
            <w:tcW w:w="1401" w:type="dxa"/>
            <w:vAlign w:val="bottom"/>
          </w:tcPr>
          <w:p w:rsidR="001C411D" w:rsidRPr="001F63BA" w:rsidRDefault="001C411D" w:rsidP="00D3699C">
            <w:pPr>
              <w:jc w:val="right"/>
              <w:rPr>
                <w:rFonts w:ascii="GHEA Grapalat" w:hAnsi="GHEA Grapalat" w:cs="Calibri"/>
                <w:b/>
                <w:sz w:val="18"/>
                <w:szCs w:val="18"/>
              </w:rPr>
            </w:pPr>
            <w:r w:rsidRPr="001F63BA">
              <w:rPr>
                <w:rFonts w:ascii="GHEA Grapalat" w:hAnsi="GHEA Grapalat" w:cs="Calibri"/>
                <w:b/>
                <w:sz w:val="18"/>
                <w:szCs w:val="18"/>
              </w:rPr>
              <w:t>99.8</w:t>
            </w:r>
          </w:p>
        </w:tc>
        <w:tc>
          <w:tcPr>
            <w:tcW w:w="1530" w:type="dxa"/>
            <w:noWrap/>
            <w:vAlign w:val="bottom"/>
          </w:tcPr>
          <w:p w:rsidR="001C411D" w:rsidRPr="001F63BA" w:rsidRDefault="001C411D" w:rsidP="00D3699C">
            <w:pPr>
              <w:jc w:val="right"/>
              <w:rPr>
                <w:rFonts w:ascii="GHEA Grapalat" w:hAnsi="GHEA Grapalat" w:cs="Calibri"/>
                <w:b/>
                <w:sz w:val="18"/>
                <w:szCs w:val="18"/>
              </w:rPr>
            </w:pPr>
            <w:r w:rsidRPr="001F63BA">
              <w:rPr>
                <w:rFonts w:ascii="GHEA Grapalat" w:hAnsi="GHEA Grapalat" w:cs="Calibri"/>
                <w:b/>
                <w:sz w:val="18"/>
                <w:szCs w:val="18"/>
              </w:rPr>
              <w:t>109.7</w:t>
            </w:r>
          </w:p>
        </w:tc>
      </w:tr>
      <w:tr w:rsidR="001C411D" w:rsidRPr="001F63BA" w:rsidTr="00D3699C">
        <w:trPr>
          <w:trHeight w:val="187"/>
        </w:trPr>
        <w:tc>
          <w:tcPr>
            <w:tcW w:w="2977" w:type="dxa"/>
            <w:vAlign w:val="bottom"/>
          </w:tcPr>
          <w:p w:rsidR="001C411D" w:rsidRPr="001F63BA" w:rsidRDefault="001C411D" w:rsidP="00D3699C">
            <w:pPr>
              <w:rPr>
                <w:rFonts w:ascii="GHEA Grapalat" w:hAnsi="GHEA Grapalat" w:cs="Calibri"/>
                <w:sz w:val="18"/>
                <w:szCs w:val="18"/>
              </w:rPr>
            </w:pPr>
            <w:r w:rsidRPr="001F63BA">
              <w:rPr>
                <w:rFonts w:ascii="GHEA Grapalat" w:hAnsi="GHEA Grapalat"/>
                <w:sz w:val="18"/>
                <w:szCs w:val="18"/>
              </w:rPr>
              <w:t xml:space="preserve"> Ներքին տոկոսավճարներ</w:t>
            </w:r>
          </w:p>
        </w:tc>
        <w:tc>
          <w:tcPr>
            <w:tcW w:w="1276"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108.4</w:t>
            </w:r>
          </w:p>
        </w:tc>
        <w:tc>
          <w:tcPr>
            <w:tcW w:w="1417"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125.9</w:t>
            </w:r>
          </w:p>
        </w:tc>
        <w:tc>
          <w:tcPr>
            <w:tcW w:w="1276"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125.9</w:t>
            </w:r>
          </w:p>
        </w:tc>
        <w:tc>
          <w:tcPr>
            <w:tcW w:w="1401" w:type="dxa"/>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100.0</w:t>
            </w:r>
          </w:p>
        </w:tc>
        <w:tc>
          <w:tcPr>
            <w:tcW w:w="1530"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116.2</w:t>
            </w:r>
          </w:p>
        </w:tc>
      </w:tr>
      <w:tr w:rsidR="001C411D" w:rsidRPr="001F63BA" w:rsidTr="00D3699C">
        <w:trPr>
          <w:trHeight w:val="164"/>
        </w:trPr>
        <w:tc>
          <w:tcPr>
            <w:tcW w:w="2977" w:type="dxa"/>
            <w:vAlign w:val="bottom"/>
          </w:tcPr>
          <w:p w:rsidR="001C411D" w:rsidRPr="001F63BA" w:rsidRDefault="001C411D" w:rsidP="00D3699C">
            <w:pPr>
              <w:rPr>
                <w:rFonts w:ascii="GHEA Grapalat" w:hAnsi="GHEA Grapalat" w:cs="Calibri"/>
                <w:sz w:val="18"/>
                <w:szCs w:val="18"/>
              </w:rPr>
            </w:pPr>
            <w:r w:rsidRPr="001F63BA">
              <w:rPr>
                <w:rFonts w:ascii="GHEA Grapalat" w:hAnsi="GHEA Grapalat"/>
                <w:sz w:val="18"/>
                <w:szCs w:val="18"/>
              </w:rPr>
              <w:t xml:space="preserve"> Արտաքին տոկոսավճարներ</w:t>
            </w:r>
          </w:p>
        </w:tc>
        <w:tc>
          <w:tcPr>
            <w:tcW w:w="1276"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 xml:space="preserve">72.5 </w:t>
            </w:r>
          </w:p>
        </w:tc>
        <w:tc>
          <w:tcPr>
            <w:tcW w:w="1417"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72.9</w:t>
            </w:r>
          </w:p>
        </w:tc>
        <w:tc>
          <w:tcPr>
            <w:tcW w:w="1276"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72.4</w:t>
            </w:r>
          </w:p>
        </w:tc>
        <w:tc>
          <w:tcPr>
            <w:tcW w:w="1401" w:type="dxa"/>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 xml:space="preserve"> 99.3</w:t>
            </w:r>
          </w:p>
        </w:tc>
        <w:tc>
          <w:tcPr>
            <w:tcW w:w="1530" w:type="dxa"/>
            <w:noWrap/>
            <w:vAlign w:val="bottom"/>
          </w:tcPr>
          <w:p w:rsidR="001C411D" w:rsidRPr="001F63BA" w:rsidRDefault="001C411D" w:rsidP="00D3699C">
            <w:pPr>
              <w:jc w:val="right"/>
              <w:rPr>
                <w:rFonts w:ascii="GHEA Grapalat" w:hAnsi="GHEA Grapalat" w:cs="Calibri"/>
                <w:sz w:val="18"/>
                <w:szCs w:val="18"/>
              </w:rPr>
            </w:pPr>
            <w:r w:rsidRPr="001F63BA">
              <w:rPr>
                <w:rFonts w:ascii="GHEA Grapalat" w:hAnsi="GHEA Grapalat" w:cs="Calibri"/>
                <w:sz w:val="18"/>
                <w:szCs w:val="18"/>
              </w:rPr>
              <w:t>99.9</w:t>
            </w:r>
          </w:p>
        </w:tc>
      </w:tr>
    </w:tbl>
    <w:p w:rsidR="001C411D" w:rsidRPr="001F63BA" w:rsidRDefault="001C411D" w:rsidP="0000157A">
      <w:pPr>
        <w:spacing w:line="360" w:lineRule="auto"/>
        <w:ind w:firstLine="567"/>
        <w:jc w:val="both"/>
        <w:rPr>
          <w:rFonts w:ascii="GHEA Grapalat" w:hAnsi="GHEA Grapalat" w:cs="GHEA Grapalat"/>
          <w:sz w:val="22"/>
          <w:szCs w:val="22"/>
        </w:rPr>
      </w:pPr>
    </w:p>
    <w:p w:rsidR="001C411D" w:rsidRPr="001F63BA" w:rsidRDefault="001C411D" w:rsidP="001A77B8">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Հաշվետու տարում պետական բյուջեից տրամադրված սուբսիդիաների ծրագրային ցուցանիշից շեղումը հիմնականում արձանագրվել է Հանրակրթության և Բարձր տեխնոլոգիական արդյունաբերության էկոհամակարգի, թվայնացման և շուկայի զարգացման ծրագրերում: Նախորդ տարվա համեմատ սուբսիդիաներն աճել են 10%</w:t>
      </w:r>
      <w:r w:rsidRPr="001F63BA">
        <w:rPr>
          <w:rFonts w:ascii="GHEA Grapalat" w:hAnsi="GHEA Grapalat" w:cs="GHEA Grapalat"/>
          <w:sz w:val="22"/>
          <w:szCs w:val="22"/>
        </w:rPr>
        <w:noBreakHyphen/>
        <w:t>ով (13.7 մլրդ դրամով), որը հիմնականում պայմանավորված է Գյուղատնտեսության արդիականացման և Գյուղատնտեսության խթանման ծրագրերի շրջանակներում տրամադրված սուբսիդիաների աճով:</w:t>
      </w:r>
    </w:p>
    <w:p w:rsidR="001C411D" w:rsidRPr="001F63BA" w:rsidRDefault="001C411D" w:rsidP="0000157A">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Նախորդ տարվա համեմատ պետական բյուջեից տրամադրված դրամաշնորհների 33.9 մլրդ դրամի աճը հիմնականում պայմանավորված է Գիտական և գիտատեխնիկական հետազոտությունների ծրագրին տրամադրված սուբ</w:t>
      </w:r>
      <w:r w:rsidRPr="001F63BA">
        <w:rPr>
          <w:rFonts w:ascii="GHEA Grapalat" w:hAnsi="GHEA Grapalat" w:cs="GHEA Grapalat"/>
          <w:sz w:val="22"/>
          <w:szCs w:val="22"/>
          <w:lang w:val="en-US"/>
        </w:rPr>
        <w:t>սիդի</w:t>
      </w:r>
      <w:r w:rsidRPr="001F63BA">
        <w:rPr>
          <w:rFonts w:ascii="GHEA Grapalat" w:hAnsi="GHEA Grapalat" w:cs="GHEA Grapalat"/>
          <w:sz w:val="22"/>
          <w:szCs w:val="22"/>
        </w:rPr>
        <w:t xml:space="preserve">աների 47.8% (7 մլրդ դրամ) աճով, </w:t>
      </w:r>
      <w:r w:rsidRPr="001F63BA">
        <w:rPr>
          <w:rFonts w:ascii="GHEA Grapalat" w:hAnsi="GHEA Grapalat" w:cs="GHEA Grapalat"/>
          <w:sz w:val="22"/>
          <w:szCs w:val="22"/>
        </w:rPr>
        <w:lastRenderedPageBreak/>
        <w:t>Հայաստանի Հանրապետության պաշտպանության ժամանակ զինծառայողների կյանքին կամ առողջությանը պատճառված վնասների հատուցման ծախսերի 21.7% (6.1</w:t>
      </w:r>
      <w:r w:rsidRPr="001F63BA">
        <w:rPr>
          <w:rFonts w:ascii="Calibri" w:hAnsi="Calibri" w:cs="Calibri"/>
          <w:sz w:val="22"/>
          <w:szCs w:val="22"/>
        </w:rPr>
        <w:t> </w:t>
      </w:r>
      <w:r w:rsidRPr="001F63BA">
        <w:rPr>
          <w:rFonts w:ascii="GHEA Grapalat" w:hAnsi="GHEA Grapalat" w:cs="GHEA Grapalat"/>
          <w:sz w:val="22"/>
          <w:szCs w:val="22"/>
        </w:rPr>
        <w:t>մլրդ դրամ) աճով, ենթակառուցվածքների զարգացման նպատակով ՀՀ մարզերին տրամադրված սուբվենցիաների 49.7% (6.1 մլրդ դրամ) աճով, պաշտպանության բնագավառի այլ ծախսերի 58% (4.8 մլրդ դրամ) աճով, ինչպես նաև Մեծ նվաճումների սպորտ ծրագրի ծախսերի 3 անգամ (4.1</w:t>
      </w:r>
      <w:r w:rsidRPr="001F63BA">
        <w:rPr>
          <w:rFonts w:ascii="Calibri" w:hAnsi="Calibri" w:cs="Calibri"/>
          <w:sz w:val="22"/>
          <w:szCs w:val="22"/>
        </w:rPr>
        <w:t> </w:t>
      </w:r>
      <w:r w:rsidRPr="001F63BA">
        <w:rPr>
          <w:rFonts w:ascii="GHEA Grapalat" w:hAnsi="GHEA Grapalat" w:cs="GHEA Grapalat"/>
          <w:sz w:val="22"/>
          <w:szCs w:val="22"/>
        </w:rPr>
        <w:t xml:space="preserve">մլրդ դրամ) աճով: </w:t>
      </w:r>
    </w:p>
    <w:p w:rsidR="001C411D" w:rsidRPr="001F63BA" w:rsidRDefault="001C411D" w:rsidP="0000157A">
      <w:pPr>
        <w:spacing w:line="360" w:lineRule="auto"/>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բյուջեից տրամադրված դրամաշնորհները (մլրդ դրամ)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536"/>
        <w:gridCol w:w="993"/>
        <w:gridCol w:w="1134"/>
        <w:gridCol w:w="992"/>
        <w:gridCol w:w="1276"/>
        <w:gridCol w:w="1275"/>
      </w:tblGrid>
      <w:tr w:rsidR="001C411D" w:rsidRPr="001F63BA" w:rsidTr="00822650">
        <w:trPr>
          <w:trHeight w:val="1425"/>
        </w:trPr>
        <w:tc>
          <w:tcPr>
            <w:tcW w:w="4536" w:type="dxa"/>
            <w:noWrap/>
            <w:vAlign w:val="bottom"/>
          </w:tcPr>
          <w:p w:rsidR="001C411D" w:rsidRPr="001F63BA" w:rsidRDefault="001C411D" w:rsidP="00822650">
            <w:pPr>
              <w:rPr>
                <w:rFonts w:ascii="Courier New" w:hAnsi="Courier New" w:cs="Courier New"/>
                <w:sz w:val="18"/>
                <w:szCs w:val="18"/>
              </w:rPr>
            </w:pPr>
            <w:r w:rsidRPr="001F63BA">
              <w:rPr>
                <w:rFonts w:ascii="Courier New" w:hAnsi="Courier New" w:cs="Courier New"/>
                <w:sz w:val="18"/>
                <w:szCs w:val="18"/>
              </w:rPr>
              <w:t> </w:t>
            </w:r>
          </w:p>
          <w:p w:rsidR="001C411D" w:rsidRPr="001F63BA" w:rsidRDefault="001C411D" w:rsidP="00822650">
            <w:pPr>
              <w:rPr>
                <w:rFonts w:ascii="GHEA Grapalat" w:hAnsi="GHEA Grapalat" w:cs="Calibri"/>
                <w:sz w:val="18"/>
                <w:szCs w:val="18"/>
              </w:rPr>
            </w:pPr>
          </w:p>
        </w:tc>
        <w:tc>
          <w:tcPr>
            <w:tcW w:w="993"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992"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276"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Կատարո-ղական</w:t>
            </w:r>
            <w:r w:rsidRPr="001F63BA">
              <w:rPr>
                <w:rFonts w:ascii="GHEA Grapalat" w:hAnsi="GHEA Grapalat" w:cs="Calibri"/>
                <w:b/>
                <w:bCs/>
                <w:sz w:val="18"/>
                <w:szCs w:val="18"/>
                <w:lang w:val="en-US"/>
              </w:rPr>
              <w:t>ը</w:t>
            </w:r>
            <w:r w:rsidRPr="001F63BA">
              <w:rPr>
                <w:rFonts w:ascii="GHEA Grapalat" w:hAnsi="GHEA Grapalat" w:cs="Calibri"/>
                <w:b/>
                <w:bCs/>
                <w:sz w:val="18"/>
                <w:szCs w:val="18"/>
              </w:rPr>
              <w:t xml:space="preserve"> ճշտված պլանի նկատմամբ (%)</w:t>
            </w:r>
          </w:p>
        </w:tc>
        <w:tc>
          <w:tcPr>
            <w:tcW w:w="1275"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2021թ. նկատմամբ (%)</w:t>
            </w:r>
          </w:p>
        </w:tc>
      </w:tr>
      <w:tr w:rsidR="001C411D" w:rsidRPr="001F63BA" w:rsidTr="000A5B15">
        <w:trPr>
          <w:trHeight w:val="265"/>
        </w:trPr>
        <w:tc>
          <w:tcPr>
            <w:tcW w:w="4536" w:type="dxa"/>
            <w:noWrap/>
            <w:vAlign w:val="bottom"/>
          </w:tcPr>
          <w:p w:rsidR="001C411D" w:rsidRPr="001F63BA" w:rsidRDefault="001C411D" w:rsidP="000A5B15">
            <w:pPr>
              <w:rPr>
                <w:rFonts w:ascii="GHEA Grapalat" w:hAnsi="GHEA Grapalat" w:cs="Calibri"/>
                <w:b/>
                <w:bCs/>
                <w:sz w:val="18"/>
                <w:szCs w:val="18"/>
              </w:rPr>
            </w:pPr>
            <w:r w:rsidRPr="001F63BA">
              <w:rPr>
                <w:rFonts w:ascii="GHEA Grapalat" w:hAnsi="GHEA Grapalat"/>
                <w:b/>
                <w:sz w:val="18"/>
                <w:szCs w:val="18"/>
              </w:rPr>
              <w:t>Դրամաշնորհներ</w:t>
            </w:r>
          </w:p>
        </w:tc>
        <w:tc>
          <w:tcPr>
            <w:tcW w:w="993" w:type="dxa"/>
            <w:noWrap/>
            <w:vAlign w:val="bottom"/>
          </w:tcPr>
          <w:p w:rsidR="001C411D" w:rsidRPr="001F63BA" w:rsidRDefault="001C411D" w:rsidP="000A5B15">
            <w:pPr>
              <w:jc w:val="right"/>
              <w:rPr>
                <w:rFonts w:ascii="GHEA Grapalat" w:hAnsi="GHEA Grapalat" w:cs="Calibri"/>
                <w:b/>
                <w:sz w:val="18"/>
                <w:szCs w:val="18"/>
                <w:lang w:val="en-US"/>
              </w:rPr>
            </w:pPr>
            <w:r w:rsidRPr="001F63BA">
              <w:rPr>
                <w:rFonts w:ascii="GHEA Grapalat" w:hAnsi="GHEA Grapalat" w:cs="Calibri"/>
                <w:b/>
                <w:sz w:val="18"/>
                <w:szCs w:val="18"/>
              </w:rPr>
              <w:t>204.7</w:t>
            </w:r>
          </w:p>
        </w:tc>
        <w:tc>
          <w:tcPr>
            <w:tcW w:w="1134" w:type="dxa"/>
            <w:noWrap/>
            <w:vAlign w:val="bottom"/>
          </w:tcPr>
          <w:p w:rsidR="001C411D" w:rsidRPr="001F63BA" w:rsidRDefault="001C411D" w:rsidP="000A5B15">
            <w:pPr>
              <w:jc w:val="right"/>
              <w:rPr>
                <w:rFonts w:ascii="GHEA Grapalat" w:hAnsi="GHEA Grapalat" w:cs="Calibri"/>
                <w:b/>
                <w:sz w:val="18"/>
                <w:szCs w:val="18"/>
              </w:rPr>
            </w:pPr>
            <w:r w:rsidRPr="001F63BA">
              <w:rPr>
                <w:rFonts w:ascii="GHEA Grapalat" w:hAnsi="GHEA Grapalat" w:cs="Calibri"/>
                <w:b/>
                <w:sz w:val="18"/>
                <w:szCs w:val="18"/>
              </w:rPr>
              <w:t>243.5</w:t>
            </w:r>
          </w:p>
        </w:tc>
        <w:tc>
          <w:tcPr>
            <w:tcW w:w="992" w:type="dxa"/>
            <w:noWrap/>
            <w:vAlign w:val="bottom"/>
          </w:tcPr>
          <w:p w:rsidR="001C411D" w:rsidRPr="001F63BA" w:rsidRDefault="001C411D" w:rsidP="000A5B15">
            <w:pPr>
              <w:jc w:val="right"/>
              <w:rPr>
                <w:rFonts w:ascii="GHEA Grapalat" w:hAnsi="GHEA Grapalat" w:cs="Calibri"/>
                <w:b/>
                <w:sz w:val="18"/>
                <w:szCs w:val="18"/>
              </w:rPr>
            </w:pPr>
            <w:r w:rsidRPr="001F63BA">
              <w:rPr>
                <w:rFonts w:ascii="GHEA Grapalat" w:hAnsi="GHEA Grapalat" w:cs="Calibri"/>
                <w:b/>
                <w:sz w:val="18"/>
                <w:szCs w:val="18"/>
              </w:rPr>
              <w:t>238.6</w:t>
            </w:r>
          </w:p>
        </w:tc>
        <w:tc>
          <w:tcPr>
            <w:tcW w:w="1276" w:type="dxa"/>
            <w:vAlign w:val="bottom"/>
          </w:tcPr>
          <w:p w:rsidR="001C411D" w:rsidRPr="001F63BA" w:rsidRDefault="001C411D" w:rsidP="000A5B15">
            <w:pPr>
              <w:jc w:val="right"/>
              <w:rPr>
                <w:rFonts w:ascii="GHEA Grapalat" w:hAnsi="GHEA Grapalat" w:cs="Calibri"/>
                <w:b/>
                <w:sz w:val="18"/>
                <w:szCs w:val="18"/>
              </w:rPr>
            </w:pPr>
            <w:r w:rsidRPr="001F63BA">
              <w:rPr>
                <w:rFonts w:ascii="GHEA Grapalat" w:hAnsi="GHEA Grapalat" w:cs="Calibri"/>
                <w:b/>
                <w:sz w:val="18"/>
                <w:szCs w:val="18"/>
              </w:rPr>
              <w:t>98.0</w:t>
            </w:r>
          </w:p>
        </w:tc>
        <w:tc>
          <w:tcPr>
            <w:tcW w:w="1275" w:type="dxa"/>
            <w:noWrap/>
            <w:vAlign w:val="bottom"/>
          </w:tcPr>
          <w:p w:rsidR="001C411D" w:rsidRPr="001F63BA" w:rsidRDefault="001C411D" w:rsidP="000A5B15">
            <w:pPr>
              <w:jc w:val="right"/>
              <w:rPr>
                <w:rFonts w:ascii="GHEA Grapalat" w:hAnsi="GHEA Grapalat" w:cs="Calibri"/>
                <w:b/>
                <w:sz w:val="18"/>
                <w:szCs w:val="18"/>
              </w:rPr>
            </w:pPr>
            <w:r w:rsidRPr="001F63BA">
              <w:rPr>
                <w:rFonts w:ascii="GHEA Grapalat" w:hAnsi="GHEA Grapalat" w:cs="Calibri"/>
                <w:b/>
                <w:sz w:val="18"/>
                <w:szCs w:val="18"/>
              </w:rPr>
              <w:t>116.6</w:t>
            </w:r>
          </w:p>
        </w:tc>
      </w:tr>
      <w:tr w:rsidR="001C411D" w:rsidRPr="001F63BA" w:rsidTr="000A5B15">
        <w:trPr>
          <w:trHeight w:val="171"/>
        </w:trPr>
        <w:tc>
          <w:tcPr>
            <w:tcW w:w="4536" w:type="dxa"/>
            <w:vAlign w:val="bottom"/>
          </w:tcPr>
          <w:p w:rsidR="001C411D" w:rsidRPr="001F63BA" w:rsidRDefault="001C411D" w:rsidP="000A5B15">
            <w:pPr>
              <w:rPr>
                <w:rFonts w:ascii="GHEA Grapalat" w:hAnsi="GHEA Grapalat" w:cs="Calibri"/>
                <w:sz w:val="18"/>
                <w:szCs w:val="18"/>
              </w:rPr>
            </w:pPr>
            <w:r w:rsidRPr="001F63BA">
              <w:rPr>
                <w:rFonts w:ascii="GHEA Grapalat" w:hAnsi="GHEA Grapalat"/>
                <w:sz w:val="18"/>
                <w:szCs w:val="18"/>
              </w:rPr>
              <w:t xml:space="preserve"> Միջազգային կազմակերպություններին</w:t>
            </w:r>
          </w:p>
        </w:tc>
        <w:tc>
          <w:tcPr>
            <w:tcW w:w="993"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3.3</w:t>
            </w:r>
          </w:p>
        </w:tc>
        <w:tc>
          <w:tcPr>
            <w:tcW w:w="1134"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3.9</w:t>
            </w:r>
          </w:p>
        </w:tc>
        <w:tc>
          <w:tcPr>
            <w:tcW w:w="992"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3.7</w:t>
            </w:r>
          </w:p>
        </w:tc>
        <w:tc>
          <w:tcPr>
            <w:tcW w:w="1276" w:type="dxa"/>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95.1</w:t>
            </w:r>
          </w:p>
        </w:tc>
        <w:tc>
          <w:tcPr>
            <w:tcW w:w="1275"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113.7</w:t>
            </w:r>
          </w:p>
        </w:tc>
      </w:tr>
      <w:tr w:rsidR="001C411D" w:rsidRPr="001F63BA" w:rsidTr="000A5B15">
        <w:trPr>
          <w:trHeight w:val="315"/>
        </w:trPr>
        <w:tc>
          <w:tcPr>
            <w:tcW w:w="4536" w:type="dxa"/>
            <w:vAlign w:val="bottom"/>
          </w:tcPr>
          <w:p w:rsidR="001C411D" w:rsidRPr="001F63BA" w:rsidRDefault="001C411D" w:rsidP="000A5B15">
            <w:pPr>
              <w:rPr>
                <w:rFonts w:ascii="GHEA Grapalat" w:hAnsi="GHEA Grapalat" w:cs="Calibri"/>
                <w:sz w:val="18"/>
                <w:szCs w:val="18"/>
              </w:rPr>
            </w:pPr>
            <w:r w:rsidRPr="001F63BA">
              <w:rPr>
                <w:rFonts w:ascii="GHEA Grapalat" w:hAnsi="GHEA Grapalat"/>
                <w:sz w:val="18"/>
                <w:szCs w:val="18"/>
              </w:rPr>
              <w:t xml:space="preserve"> Պետական հատվածի այլ մակարդակներին (ընթացիկ), այդ թվում`</w:t>
            </w:r>
          </w:p>
        </w:tc>
        <w:tc>
          <w:tcPr>
            <w:tcW w:w="993"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183.9</w:t>
            </w:r>
          </w:p>
        </w:tc>
        <w:tc>
          <w:tcPr>
            <w:tcW w:w="1134"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212.4</w:t>
            </w:r>
          </w:p>
        </w:tc>
        <w:tc>
          <w:tcPr>
            <w:tcW w:w="992"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208.6</w:t>
            </w:r>
          </w:p>
        </w:tc>
        <w:tc>
          <w:tcPr>
            <w:tcW w:w="1276" w:type="dxa"/>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98.2</w:t>
            </w:r>
          </w:p>
        </w:tc>
        <w:tc>
          <w:tcPr>
            <w:tcW w:w="1275"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113.5</w:t>
            </w:r>
          </w:p>
        </w:tc>
      </w:tr>
      <w:tr w:rsidR="001C411D" w:rsidRPr="001F63BA" w:rsidTr="000A5B15">
        <w:trPr>
          <w:trHeight w:val="491"/>
        </w:trPr>
        <w:tc>
          <w:tcPr>
            <w:tcW w:w="4536" w:type="dxa"/>
            <w:vAlign w:val="bottom"/>
          </w:tcPr>
          <w:p w:rsidR="001C411D" w:rsidRPr="001F63BA" w:rsidRDefault="001C411D" w:rsidP="000A5B15">
            <w:pPr>
              <w:rPr>
                <w:rFonts w:ascii="GHEA Grapalat" w:hAnsi="GHEA Grapalat"/>
                <w:sz w:val="18"/>
                <w:szCs w:val="18"/>
              </w:rPr>
            </w:pPr>
            <w:r w:rsidRPr="001F63BA">
              <w:rPr>
                <w:rFonts w:ascii="GHEA Grapalat" w:hAnsi="GHEA Grapalat"/>
                <w:sz w:val="18"/>
                <w:szCs w:val="18"/>
              </w:rPr>
              <w:t xml:space="preserve"> - Համայնքների բյուջեներին համահարթեցման սկզբունքով տրվող դոտացիաներ</w:t>
            </w:r>
          </w:p>
        </w:tc>
        <w:tc>
          <w:tcPr>
            <w:tcW w:w="993"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64.5</w:t>
            </w:r>
          </w:p>
        </w:tc>
        <w:tc>
          <w:tcPr>
            <w:tcW w:w="1134"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64.3</w:t>
            </w:r>
          </w:p>
        </w:tc>
        <w:tc>
          <w:tcPr>
            <w:tcW w:w="992"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64.3</w:t>
            </w:r>
          </w:p>
        </w:tc>
        <w:tc>
          <w:tcPr>
            <w:tcW w:w="1276" w:type="dxa"/>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100.0</w:t>
            </w:r>
          </w:p>
        </w:tc>
        <w:tc>
          <w:tcPr>
            <w:tcW w:w="1275"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99.6</w:t>
            </w:r>
          </w:p>
        </w:tc>
      </w:tr>
      <w:tr w:rsidR="001C411D" w:rsidRPr="001F63BA" w:rsidTr="000A5B15">
        <w:trPr>
          <w:trHeight w:val="457"/>
        </w:trPr>
        <w:tc>
          <w:tcPr>
            <w:tcW w:w="4536" w:type="dxa"/>
            <w:vAlign w:val="bottom"/>
          </w:tcPr>
          <w:p w:rsidR="001C411D" w:rsidRPr="001F63BA" w:rsidRDefault="001C411D" w:rsidP="000A5B15">
            <w:pPr>
              <w:rPr>
                <w:rFonts w:ascii="GHEA Grapalat" w:hAnsi="GHEA Grapalat"/>
                <w:sz w:val="18"/>
                <w:szCs w:val="18"/>
              </w:rPr>
            </w:pPr>
            <w:r w:rsidRPr="001F63BA">
              <w:rPr>
                <w:rFonts w:ascii="GHEA Grapalat" w:hAnsi="GHEA Grapalat"/>
                <w:sz w:val="18"/>
                <w:szCs w:val="18"/>
              </w:rPr>
              <w:t>Պետական հատվածի այլ մակարդակներին (կապիտալ)</w:t>
            </w:r>
          </w:p>
        </w:tc>
        <w:tc>
          <w:tcPr>
            <w:tcW w:w="993"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17.5</w:t>
            </w:r>
          </w:p>
        </w:tc>
        <w:tc>
          <w:tcPr>
            <w:tcW w:w="1134" w:type="dxa"/>
            <w:noWrap/>
            <w:vAlign w:val="bottom"/>
          </w:tcPr>
          <w:p w:rsidR="001C411D" w:rsidRPr="001F63BA" w:rsidRDefault="001C411D" w:rsidP="000A5B15">
            <w:pPr>
              <w:jc w:val="right"/>
              <w:rPr>
                <w:rFonts w:ascii="GHEA Grapalat" w:hAnsi="GHEA Grapalat" w:cs="Calibri"/>
                <w:sz w:val="18"/>
                <w:szCs w:val="18"/>
                <w:lang w:val="en-US"/>
              </w:rPr>
            </w:pPr>
            <w:r w:rsidRPr="001F63BA">
              <w:rPr>
                <w:rFonts w:ascii="GHEA Grapalat" w:hAnsi="GHEA Grapalat" w:cs="Calibri"/>
                <w:sz w:val="18"/>
                <w:szCs w:val="18"/>
              </w:rPr>
              <w:t>27.</w:t>
            </w:r>
            <w:r w:rsidRPr="001F63BA">
              <w:rPr>
                <w:rFonts w:ascii="GHEA Grapalat" w:hAnsi="GHEA Grapalat" w:cs="Calibri"/>
                <w:sz w:val="18"/>
                <w:szCs w:val="18"/>
                <w:lang w:val="en-US"/>
              </w:rPr>
              <w:t>2</w:t>
            </w:r>
          </w:p>
        </w:tc>
        <w:tc>
          <w:tcPr>
            <w:tcW w:w="992"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26.2</w:t>
            </w:r>
          </w:p>
        </w:tc>
        <w:tc>
          <w:tcPr>
            <w:tcW w:w="1276" w:type="dxa"/>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96.5</w:t>
            </w:r>
          </w:p>
        </w:tc>
        <w:tc>
          <w:tcPr>
            <w:tcW w:w="1275" w:type="dxa"/>
            <w:noWrap/>
            <w:vAlign w:val="bottom"/>
          </w:tcPr>
          <w:p w:rsidR="001C411D" w:rsidRPr="001F63BA" w:rsidRDefault="001C411D" w:rsidP="000A5B15">
            <w:pPr>
              <w:jc w:val="right"/>
              <w:rPr>
                <w:rFonts w:ascii="GHEA Grapalat" w:hAnsi="GHEA Grapalat" w:cs="Calibri"/>
                <w:sz w:val="18"/>
                <w:szCs w:val="18"/>
              </w:rPr>
            </w:pPr>
            <w:r w:rsidRPr="001F63BA">
              <w:rPr>
                <w:rFonts w:ascii="GHEA Grapalat" w:hAnsi="GHEA Grapalat" w:cs="Calibri"/>
                <w:sz w:val="18"/>
                <w:szCs w:val="18"/>
              </w:rPr>
              <w:t>149.5</w:t>
            </w:r>
          </w:p>
        </w:tc>
      </w:tr>
    </w:tbl>
    <w:p w:rsidR="001C411D" w:rsidRPr="001F63BA" w:rsidRDefault="001C411D" w:rsidP="0000157A">
      <w:pPr>
        <w:spacing w:line="360" w:lineRule="auto"/>
        <w:ind w:firstLine="567"/>
        <w:jc w:val="both"/>
        <w:rPr>
          <w:rFonts w:ascii="GHEA Grapalat" w:hAnsi="GHEA Grapalat" w:cs="GHEA Grapalat"/>
          <w:sz w:val="22"/>
          <w:szCs w:val="22"/>
        </w:rPr>
      </w:pPr>
    </w:p>
    <w:p w:rsidR="001C411D" w:rsidRPr="001F63BA" w:rsidRDefault="001C411D" w:rsidP="0000157A">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Նախորդ տարվա համեմատ սոցիալական նպաստների և կենսաթոշակների գծով ծախսերի նվազումը պայմանավորված է նպաստների գծով ծախսերի կրճատմամբ: Վերջինս հիմնականում պայմանավորված է ռազմական դրությամբ պայմանավորված՝ Ադրբեջանի վերահսկողության տակ անցած տարածքներում հաշվառված քաղաքացիներին 2021 թվականին դրամական աջակցության տրամադրմամբ:</w:t>
      </w:r>
    </w:p>
    <w:p w:rsidR="001C411D" w:rsidRPr="001F63BA" w:rsidRDefault="001C411D" w:rsidP="0000157A">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2021 թվականի համեմատ կենսաթոշակների գծով ծախսերի աճը հիմնականում պայմանավորված է կուտակային կենսաթոշակային համակարգի մասնակիցների հաշիվներին կատարված հատկացումների աճով</w:t>
      </w:r>
      <w:r w:rsidRPr="001F63BA">
        <w:rPr>
          <w:rFonts w:ascii="GHEA Grapalat" w:hAnsi="GHEA Grapalat" w:cs="GHEA Grapalat"/>
          <w:sz w:val="22"/>
          <w:szCs w:val="22"/>
          <w:lang w:val="en-US"/>
        </w:rPr>
        <w:t xml:space="preserve"> (պայմանավորված մասնակիցների թվի աճով)</w:t>
      </w:r>
      <w:r w:rsidRPr="001F63BA">
        <w:rPr>
          <w:rFonts w:ascii="GHEA Grapalat" w:hAnsi="GHEA Grapalat" w:cs="GHEA Grapalat"/>
          <w:sz w:val="22"/>
          <w:szCs w:val="22"/>
        </w:rPr>
        <w:t>, որոնք կազմել են 118.7 մլրդ դրամ՝ 16.8%-ով կամ 17.1 մլրդ դրամով գերազանցելով 2021 թվականի ցուցանիշը</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ինչպես նաև աշխատանքային կենսաթոշակների 5.4% (12.8</w:t>
      </w:r>
      <w:r w:rsidRPr="001F63BA">
        <w:rPr>
          <w:rFonts w:ascii="Courier New" w:hAnsi="Courier New" w:cs="Courier New"/>
          <w:sz w:val="22"/>
          <w:szCs w:val="22"/>
        </w:rPr>
        <w:t> </w:t>
      </w:r>
      <w:r w:rsidRPr="001F63BA">
        <w:rPr>
          <w:rFonts w:ascii="GHEA Grapalat" w:hAnsi="GHEA Grapalat" w:cs="GHEA Grapalat"/>
          <w:sz w:val="22"/>
          <w:szCs w:val="22"/>
        </w:rPr>
        <w:t>մլրդ դրամ) և սպայական անձնակազմի և նրանց ընտանիքների անդամների կենսաթոշակների 13.1% (4.3</w:t>
      </w:r>
      <w:r w:rsidRPr="001F63BA">
        <w:rPr>
          <w:rFonts w:ascii="Courier New" w:hAnsi="Courier New" w:cs="Courier New"/>
          <w:sz w:val="22"/>
          <w:szCs w:val="22"/>
        </w:rPr>
        <w:t> </w:t>
      </w:r>
      <w:r w:rsidRPr="001F63BA">
        <w:rPr>
          <w:rFonts w:ascii="GHEA Grapalat" w:hAnsi="GHEA Grapalat" w:cs="GHEA Grapalat"/>
          <w:sz w:val="22"/>
          <w:szCs w:val="22"/>
        </w:rPr>
        <w:t>մլրդ դրամ) աճով:</w:t>
      </w:r>
    </w:p>
    <w:p w:rsidR="001C411D" w:rsidRPr="001F63BA" w:rsidRDefault="001C411D" w:rsidP="0000157A">
      <w:pPr>
        <w:spacing w:line="360" w:lineRule="auto"/>
        <w:ind w:firstLine="567"/>
        <w:jc w:val="both"/>
        <w:rPr>
          <w:rFonts w:ascii="GHEA Grapalat" w:hAnsi="GHEA Grapalat"/>
          <w:i/>
          <w:sz w:val="18"/>
          <w:szCs w:val="18"/>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lastRenderedPageBreak/>
        <w:t>ՀՀ պետական բյուջեից տրամադրված նպաստները և կենսաթոշակները (մլրդ դրամ)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111"/>
        <w:gridCol w:w="1134"/>
        <w:gridCol w:w="1134"/>
        <w:gridCol w:w="1134"/>
        <w:gridCol w:w="1418"/>
        <w:gridCol w:w="1275"/>
      </w:tblGrid>
      <w:tr w:rsidR="001C411D" w:rsidRPr="001F63BA" w:rsidTr="00437B15">
        <w:trPr>
          <w:trHeight w:val="1442"/>
        </w:trPr>
        <w:tc>
          <w:tcPr>
            <w:tcW w:w="4111" w:type="dxa"/>
            <w:noWrap/>
            <w:vAlign w:val="bottom"/>
          </w:tcPr>
          <w:p w:rsidR="001C411D" w:rsidRPr="001F63BA" w:rsidRDefault="001C411D" w:rsidP="00822650">
            <w:pPr>
              <w:rPr>
                <w:rFonts w:ascii="GHEA Grapalat" w:hAnsi="GHEA Grapalat" w:cs="Calibri"/>
                <w:sz w:val="18"/>
                <w:szCs w:val="18"/>
              </w:rPr>
            </w:pPr>
            <w:r w:rsidRPr="001F63BA">
              <w:rPr>
                <w:rFonts w:ascii="Courier New" w:hAnsi="Courier New" w:cs="Courier New"/>
                <w:sz w:val="18"/>
                <w:szCs w:val="18"/>
              </w:rPr>
              <w:t> </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418" w:type="dxa"/>
            <w:shd w:val="clear" w:color="auto" w:fill="FFFFFF"/>
          </w:tcPr>
          <w:p w:rsidR="001C411D" w:rsidRPr="001F63BA" w:rsidRDefault="001C411D" w:rsidP="00632ACB">
            <w:pPr>
              <w:jc w:val="center"/>
              <w:rPr>
                <w:rFonts w:ascii="GHEA Grapalat" w:hAnsi="GHEA Grapalat" w:cs="Calibri"/>
                <w:b/>
                <w:bCs/>
                <w:sz w:val="18"/>
                <w:szCs w:val="18"/>
              </w:rPr>
            </w:pPr>
            <w:r w:rsidRPr="001F63BA">
              <w:rPr>
                <w:rFonts w:ascii="GHEA Grapalat" w:hAnsi="GHEA Grapalat" w:cs="Calibri"/>
                <w:b/>
                <w:bCs/>
                <w:sz w:val="18"/>
                <w:szCs w:val="18"/>
              </w:rPr>
              <w:t>Կատարո-ղական</w:t>
            </w:r>
            <w:r w:rsidRPr="001F63BA">
              <w:rPr>
                <w:rFonts w:ascii="GHEA Grapalat" w:hAnsi="GHEA Grapalat" w:cs="Calibri"/>
                <w:b/>
                <w:bCs/>
                <w:sz w:val="18"/>
                <w:szCs w:val="18"/>
                <w:lang w:val="en-US"/>
              </w:rPr>
              <w:t>ը</w:t>
            </w:r>
            <w:r w:rsidRPr="001F63BA">
              <w:rPr>
                <w:rFonts w:ascii="GHEA Grapalat" w:hAnsi="GHEA Grapalat" w:cs="Calibri"/>
                <w:b/>
                <w:bCs/>
                <w:sz w:val="18"/>
                <w:szCs w:val="18"/>
              </w:rPr>
              <w:t xml:space="preserve"> ճշտված պլանի նկատմամբ (%)</w:t>
            </w:r>
          </w:p>
        </w:tc>
        <w:tc>
          <w:tcPr>
            <w:tcW w:w="1275"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2021թ. նկատմամբ (%)</w:t>
            </w:r>
          </w:p>
        </w:tc>
      </w:tr>
      <w:tr w:rsidR="001C411D" w:rsidRPr="001F63BA" w:rsidTr="00822650">
        <w:trPr>
          <w:trHeight w:val="188"/>
        </w:trPr>
        <w:tc>
          <w:tcPr>
            <w:tcW w:w="4111" w:type="dxa"/>
            <w:noWrap/>
            <w:vAlign w:val="bottom"/>
          </w:tcPr>
          <w:p w:rsidR="001C411D" w:rsidRPr="001F63BA" w:rsidRDefault="001C411D" w:rsidP="00822650">
            <w:pPr>
              <w:rPr>
                <w:rFonts w:ascii="Courier New" w:hAnsi="Courier New" w:cs="Courier New"/>
                <w:sz w:val="18"/>
                <w:szCs w:val="18"/>
              </w:rPr>
            </w:pPr>
            <w:r w:rsidRPr="001F63BA">
              <w:rPr>
                <w:rFonts w:ascii="GHEA Grapalat" w:hAnsi="GHEA Grapalat" w:cs="Calibri"/>
                <w:b/>
                <w:sz w:val="18"/>
                <w:szCs w:val="18"/>
              </w:rPr>
              <w:t>Սոցիալական նպաստներ և կենսաթոշակներ</w:t>
            </w:r>
          </w:p>
        </w:tc>
        <w:tc>
          <w:tcPr>
            <w:tcW w:w="1134" w:type="dxa"/>
            <w:shd w:val="clear" w:color="auto" w:fill="FFFFFF"/>
            <w:vAlign w:val="center"/>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621.2</w:t>
            </w:r>
          </w:p>
        </w:tc>
        <w:tc>
          <w:tcPr>
            <w:tcW w:w="1134" w:type="dxa"/>
            <w:shd w:val="clear" w:color="auto" w:fill="FFFFFF"/>
            <w:vAlign w:val="center"/>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618.1</w:t>
            </w:r>
          </w:p>
        </w:tc>
        <w:tc>
          <w:tcPr>
            <w:tcW w:w="1134" w:type="dxa"/>
            <w:shd w:val="clear" w:color="auto" w:fill="FFFFFF"/>
            <w:vAlign w:val="center"/>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613.1</w:t>
            </w:r>
          </w:p>
        </w:tc>
        <w:tc>
          <w:tcPr>
            <w:tcW w:w="1418" w:type="dxa"/>
            <w:shd w:val="clear" w:color="auto" w:fill="FFFFFF"/>
            <w:vAlign w:val="center"/>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99.2</w:t>
            </w:r>
          </w:p>
        </w:tc>
        <w:tc>
          <w:tcPr>
            <w:tcW w:w="1275" w:type="dxa"/>
            <w:shd w:val="clear" w:color="auto" w:fill="FFFFFF"/>
            <w:vAlign w:val="center"/>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98.7</w:t>
            </w:r>
          </w:p>
        </w:tc>
      </w:tr>
      <w:tr w:rsidR="001C411D" w:rsidRPr="001F63BA" w:rsidTr="00822650">
        <w:trPr>
          <w:trHeight w:val="261"/>
        </w:trPr>
        <w:tc>
          <w:tcPr>
            <w:tcW w:w="4111" w:type="dxa"/>
            <w:noWrap/>
            <w:vAlign w:val="bottom"/>
          </w:tcPr>
          <w:p w:rsidR="001C411D" w:rsidRPr="001F63BA" w:rsidRDefault="001C411D" w:rsidP="00822650">
            <w:pPr>
              <w:rPr>
                <w:rFonts w:ascii="Courier New" w:hAnsi="Courier New" w:cs="Courier New"/>
                <w:sz w:val="18"/>
                <w:szCs w:val="18"/>
              </w:rPr>
            </w:pPr>
            <w:r w:rsidRPr="001F63BA">
              <w:rPr>
                <w:rFonts w:ascii="GHEA Grapalat" w:hAnsi="GHEA Grapalat" w:cs="Calibri"/>
                <w:sz w:val="18"/>
                <w:szCs w:val="18"/>
              </w:rPr>
              <w:t>Նպաստներ</w:t>
            </w:r>
          </w:p>
        </w:tc>
        <w:tc>
          <w:tcPr>
            <w:tcW w:w="1134" w:type="dxa"/>
            <w:shd w:val="clear" w:color="auto" w:fill="FFFFFF"/>
            <w:vAlign w:val="bottom"/>
          </w:tcPr>
          <w:p w:rsidR="001C411D" w:rsidRPr="001F63BA" w:rsidRDefault="001C411D" w:rsidP="00822650">
            <w:pPr>
              <w:jc w:val="right"/>
              <w:rPr>
                <w:rFonts w:ascii="GHEA Grapalat" w:hAnsi="GHEA Grapalat" w:cs="Calibri"/>
                <w:b/>
                <w:bCs/>
                <w:sz w:val="18"/>
                <w:szCs w:val="18"/>
              </w:rPr>
            </w:pPr>
            <w:r w:rsidRPr="001F63BA">
              <w:rPr>
                <w:rFonts w:ascii="GHEA Grapalat" w:hAnsi="GHEA Grapalat" w:cs="Calibri"/>
                <w:sz w:val="18"/>
                <w:szCs w:val="18"/>
              </w:rPr>
              <w:t xml:space="preserve">244.8 </w:t>
            </w:r>
          </w:p>
        </w:tc>
        <w:tc>
          <w:tcPr>
            <w:tcW w:w="1134" w:type="dxa"/>
            <w:shd w:val="clear" w:color="auto" w:fill="FFFFFF"/>
            <w:vAlign w:val="bottom"/>
          </w:tcPr>
          <w:p w:rsidR="001C411D" w:rsidRPr="001F63BA" w:rsidRDefault="001C411D" w:rsidP="00822650">
            <w:pPr>
              <w:jc w:val="right"/>
              <w:rPr>
                <w:rFonts w:ascii="GHEA Grapalat" w:hAnsi="GHEA Grapalat" w:cs="Calibri"/>
                <w:bCs/>
                <w:sz w:val="18"/>
                <w:szCs w:val="18"/>
              </w:rPr>
            </w:pPr>
            <w:r w:rsidRPr="001F63BA">
              <w:rPr>
                <w:rFonts w:ascii="GHEA Grapalat" w:hAnsi="GHEA Grapalat" w:cs="Calibri"/>
                <w:bCs/>
                <w:sz w:val="18"/>
                <w:szCs w:val="18"/>
              </w:rPr>
              <w:t>207.1</w:t>
            </w:r>
          </w:p>
        </w:tc>
        <w:tc>
          <w:tcPr>
            <w:tcW w:w="1134" w:type="dxa"/>
            <w:shd w:val="clear" w:color="auto" w:fill="FFFFFF"/>
            <w:vAlign w:val="bottom"/>
          </w:tcPr>
          <w:p w:rsidR="001C411D" w:rsidRPr="001F63BA" w:rsidRDefault="001C411D" w:rsidP="00822650">
            <w:pPr>
              <w:jc w:val="right"/>
              <w:rPr>
                <w:rFonts w:ascii="GHEA Grapalat" w:hAnsi="GHEA Grapalat" w:cs="Calibri"/>
                <w:bCs/>
                <w:sz w:val="18"/>
                <w:szCs w:val="18"/>
              </w:rPr>
            </w:pPr>
            <w:r w:rsidRPr="001F63BA">
              <w:rPr>
                <w:rFonts w:ascii="GHEA Grapalat" w:hAnsi="GHEA Grapalat" w:cs="Calibri"/>
                <w:bCs/>
                <w:sz w:val="18"/>
                <w:szCs w:val="18"/>
              </w:rPr>
              <w:t>202.3</w:t>
            </w:r>
          </w:p>
        </w:tc>
        <w:tc>
          <w:tcPr>
            <w:tcW w:w="1418" w:type="dxa"/>
            <w:shd w:val="clear" w:color="auto" w:fill="FFFFFF"/>
            <w:vAlign w:val="center"/>
          </w:tcPr>
          <w:p w:rsidR="001C411D" w:rsidRPr="001F63BA" w:rsidRDefault="001C411D" w:rsidP="00822650">
            <w:pPr>
              <w:jc w:val="right"/>
              <w:rPr>
                <w:rFonts w:ascii="GHEA Grapalat" w:hAnsi="GHEA Grapalat" w:cs="Calibri"/>
                <w:bCs/>
                <w:sz w:val="18"/>
                <w:szCs w:val="18"/>
              </w:rPr>
            </w:pPr>
            <w:r w:rsidRPr="001F63BA">
              <w:rPr>
                <w:rFonts w:ascii="GHEA Grapalat" w:hAnsi="GHEA Grapalat" w:cs="Calibri"/>
                <w:bCs/>
                <w:sz w:val="18"/>
                <w:szCs w:val="18"/>
              </w:rPr>
              <w:t>97.7</w:t>
            </w:r>
          </w:p>
        </w:tc>
        <w:tc>
          <w:tcPr>
            <w:tcW w:w="1275" w:type="dxa"/>
            <w:shd w:val="clear" w:color="auto" w:fill="FFFFFF"/>
            <w:vAlign w:val="center"/>
          </w:tcPr>
          <w:p w:rsidR="001C411D" w:rsidRPr="001F63BA" w:rsidRDefault="001C411D" w:rsidP="00822650">
            <w:pPr>
              <w:jc w:val="right"/>
              <w:rPr>
                <w:rFonts w:ascii="GHEA Grapalat" w:hAnsi="GHEA Grapalat" w:cs="Calibri"/>
                <w:bCs/>
                <w:sz w:val="18"/>
                <w:szCs w:val="18"/>
              </w:rPr>
            </w:pPr>
            <w:r w:rsidRPr="001F63BA">
              <w:rPr>
                <w:rFonts w:ascii="GHEA Grapalat" w:hAnsi="GHEA Grapalat" w:cs="Calibri"/>
                <w:sz w:val="18"/>
                <w:szCs w:val="18"/>
              </w:rPr>
              <w:t>82.6</w:t>
            </w:r>
          </w:p>
        </w:tc>
      </w:tr>
      <w:tr w:rsidR="001C411D" w:rsidRPr="001F63BA" w:rsidTr="00822650">
        <w:trPr>
          <w:trHeight w:val="268"/>
        </w:trPr>
        <w:tc>
          <w:tcPr>
            <w:tcW w:w="4111" w:type="dxa"/>
            <w:noWrap/>
            <w:vAlign w:val="bottom"/>
          </w:tcPr>
          <w:p w:rsidR="001C411D" w:rsidRPr="001F63BA" w:rsidRDefault="001C411D" w:rsidP="00822650">
            <w:pPr>
              <w:rPr>
                <w:rFonts w:ascii="Courier New" w:hAnsi="Courier New" w:cs="Courier New"/>
                <w:sz w:val="18"/>
                <w:szCs w:val="18"/>
              </w:rPr>
            </w:pPr>
            <w:r w:rsidRPr="001F63BA">
              <w:rPr>
                <w:rFonts w:ascii="GHEA Grapalat" w:hAnsi="GHEA Grapalat" w:cs="Calibri"/>
                <w:sz w:val="18"/>
                <w:szCs w:val="18"/>
              </w:rPr>
              <w:t>Կենսաթոշակներ</w:t>
            </w:r>
          </w:p>
        </w:tc>
        <w:tc>
          <w:tcPr>
            <w:tcW w:w="1134" w:type="dxa"/>
            <w:shd w:val="clear" w:color="auto" w:fill="FFFFFF"/>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376.4</w:t>
            </w:r>
          </w:p>
        </w:tc>
        <w:tc>
          <w:tcPr>
            <w:tcW w:w="1134" w:type="dxa"/>
            <w:shd w:val="clear" w:color="auto" w:fill="FFFFFF"/>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411.0</w:t>
            </w:r>
          </w:p>
        </w:tc>
        <w:tc>
          <w:tcPr>
            <w:tcW w:w="1134" w:type="dxa"/>
            <w:shd w:val="clear" w:color="auto" w:fill="FFFFFF"/>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410.8</w:t>
            </w:r>
          </w:p>
        </w:tc>
        <w:tc>
          <w:tcPr>
            <w:tcW w:w="1418" w:type="dxa"/>
            <w:shd w:val="clear" w:color="auto" w:fill="FFFFFF"/>
            <w:vAlign w:val="center"/>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99.9</w:t>
            </w:r>
          </w:p>
        </w:tc>
        <w:tc>
          <w:tcPr>
            <w:tcW w:w="1275" w:type="dxa"/>
            <w:shd w:val="clear" w:color="auto" w:fill="FFFFFF"/>
            <w:vAlign w:val="center"/>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109.2</w:t>
            </w:r>
          </w:p>
        </w:tc>
      </w:tr>
    </w:tbl>
    <w:p w:rsidR="001C411D" w:rsidRPr="001F63BA" w:rsidRDefault="001C411D" w:rsidP="0000157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00157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Նախորդ տարվա համեմատ պետական բյուջեի այլ ծախսեր</w:t>
      </w:r>
      <w:r w:rsidRPr="001F63BA">
        <w:rPr>
          <w:rFonts w:ascii="GHEA Grapalat" w:hAnsi="GHEA Grapalat" w:cs="GHEA Grapalat"/>
          <w:sz w:val="22"/>
          <w:szCs w:val="22"/>
          <w:lang w:val="en-US"/>
        </w:rPr>
        <w:t>ն էական փոփոխություն չեն կրել, սակայն փոխվել է դրանց կառուցվածքը. զգալիորեն նվազել են Հանրային առողջության պահպանման ծրագրի շրջանակներում կատարված ծախսերը՝ պայմանավորված 2021 թվականին կորոնավիրուսի համավարակի հետ կապված ծախսերի բարձր մակարդակով, միևնույն ժամանակ ծախսերի զգալի աճ է արձանագրվել</w:t>
      </w:r>
      <w:r w:rsidRPr="001F63BA">
        <w:rPr>
          <w:rFonts w:ascii="GHEA Grapalat" w:hAnsi="GHEA Grapalat" w:cs="GHEA Grapalat"/>
          <w:sz w:val="22"/>
          <w:szCs w:val="22"/>
        </w:rPr>
        <w:t xml:space="preserve"> ՀՀ պաշտպանության ապահովման ծրագրի շրջանակներում:</w:t>
      </w:r>
    </w:p>
    <w:p w:rsidR="001C411D" w:rsidRPr="001F63BA" w:rsidRDefault="001C411D" w:rsidP="006C1654">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D710D8">
      <w:pPr>
        <w:autoSpaceDE w:val="0"/>
        <w:autoSpaceDN w:val="0"/>
        <w:adjustRightInd w:val="0"/>
        <w:spacing w:line="480" w:lineRule="auto"/>
        <w:ind w:firstLine="567"/>
        <w:jc w:val="both"/>
        <w:rPr>
          <w:rFonts w:ascii="GHEA Grapalat" w:hAnsi="GHEA Grapalat" w:cs="GHEA Grapalat"/>
          <w:sz w:val="22"/>
          <w:szCs w:val="22"/>
          <w:u w:val="single"/>
        </w:rPr>
      </w:pPr>
      <w:bookmarkStart w:id="230" w:name="_Toc511744973"/>
      <w:bookmarkStart w:id="231" w:name="_Toc6389332"/>
      <w:r w:rsidRPr="001F63BA">
        <w:rPr>
          <w:rFonts w:ascii="GHEA Grapalat" w:hAnsi="GHEA Grapalat" w:cs="GHEA Grapalat"/>
          <w:sz w:val="22"/>
          <w:szCs w:val="22"/>
          <w:u w:val="single"/>
        </w:rPr>
        <w:t>Ոչ ֆինանսական ակտիվների հետ գործառնություններ</w:t>
      </w:r>
      <w:bookmarkEnd w:id="230"/>
      <w:bookmarkEnd w:id="231"/>
    </w:p>
    <w:p w:rsidR="001C411D" w:rsidRPr="001F63BA" w:rsidRDefault="001C411D" w:rsidP="0000157A">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Ոչ ֆինանսական ակտիվների հետ գործառնությունների ցուցանիշի</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ծրագրից 4.9% (19.6 մլրդ դրամ) շեղումը և նախորդ տարվա համեմատ 75.8% (164.1 մլրդ դրամ) աճը պայմանավորված են ոչ ֆինանսական ակտիվների գծով ծախսերով (կապիտալ ծախսերով): Կապիտալ ծախսերի</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ծրագրից 20.9 մլրդ դրամ (5.1%) շեղումը հիմնականում պայմանավորված է «Ճանապարհային ցանցի բարելավում» (շեղումը՝ 5.7 մլրդ դրամ), «Սոցիալական պաշտպանության համակարգի բարեփոխումներ» (շեղումը՝ 1.6 մլրդ դրամ),</w:t>
      </w:r>
      <w:r w:rsidRPr="001F63BA">
        <w:t xml:space="preserve"> </w:t>
      </w:r>
      <w:r w:rsidRPr="001F63BA">
        <w:rPr>
          <w:rFonts w:ascii="GHEA Grapalat" w:hAnsi="GHEA Grapalat" w:cs="GHEA Grapalat"/>
          <w:sz w:val="22"/>
          <w:szCs w:val="22"/>
        </w:rPr>
        <w:t xml:space="preserve">«Հարկային և մաքսային ծառայություններ» (շեղումը՝ 1.4 մլրդ դրամ), «Ապահով դպրոց» (շեղումը 1.1 մլրդ դրամ), «Քաղաքային զարգացում» (շեղումը՝ 1 մլրդ դրամ) և «Ոռոգման համակարգի առողջացում» (շեղումը՝ շուրջ 1 մլրդ դրամ) ծրագրերի շրջանակներում կատարված կապիտալ ծախսերի շեղումներով: </w:t>
      </w:r>
      <w:r w:rsidRPr="001F63BA">
        <w:rPr>
          <w:rFonts w:ascii="GHEA Grapalat" w:hAnsi="GHEA Grapalat" w:cs="GHEA Grapalat"/>
          <w:sz w:val="22"/>
          <w:szCs w:val="22"/>
          <w:lang w:val="en-US"/>
        </w:rPr>
        <w:t>Ընդ որում, շեղումների մեծը մասը բաժին է ընկել արտաքին աջակցությամբ իրականացվող նպատակային ծրագրերին:</w:t>
      </w:r>
    </w:p>
    <w:p w:rsidR="001C411D" w:rsidRPr="001F63BA" w:rsidRDefault="001C411D" w:rsidP="00727B19">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Նախորդ տարվա համեմատ կապիտալ ծախսերի աճ</w:t>
      </w:r>
      <w:r w:rsidRPr="001F63BA">
        <w:rPr>
          <w:rFonts w:ascii="GHEA Grapalat" w:hAnsi="GHEA Grapalat" w:cs="GHEA Grapalat"/>
          <w:sz w:val="22"/>
          <w:szCs w:val="22"/>
          <w:lang w:val="en-US"/>
        </w:rPr>
        <w:t>ը</w:t>
      </w:r>
      <w:r w:rsidRPr="001F63BA">
        <w:rPr>
          <w:rFonts w:ascii="GHEA Grapalat" w:hAnsi="GHEA Grapalat" w:cs="GHEA Grapalat"/>
          <w:sz w:val="22"/>
          <w:szCs w:val="22"/>
        </w:rPr>
        <w:t xml:space="preserve"> հիմնականում</w:t>
      </w:r>
      <w:r w:rsidRPr="001F63BA">
        <w:rPr>
          <w:rFonts w:ascii="GHEA Grapalat" w:hAnsi="GHEA Grapalat" w:cs="GHEA Grapalat"/>
          <w:sz w:val="22"/>
          <w:szCs w:val="22"/>
          <w:lang w:val="en-US"/>
        </w:rPr>
        <w:t xml:space="preserve"> պայմանավորված է</w:t>
      </w:r>
      <w:r w:rsidRPr="001F63BA">
        <w:rPr>
          <w:rFonts w:ascii="GHEA Grapalat" w:hAnsi="GHEA Grapalat" w:cs="GHEA Grapalat"/>
          <w:sz w:val="22"/>
          <w:szCs w:val="22"/>
        </w:rPr>
        <w:t xml:space="preserve"> «ՀՀ պաշտպանության ապահովում»</w:t>
      </w:r>
      <w:r w:rsidRPr="001F63BA">
        <w:rPr>
          <w:rFonts w:ascii="GHEA Grapalat" w:hAnsi="GHEA Grapalat" w:cs="GHEA Grapalat"/>
          <w:sz w:val="22"/>
          <w:szCs w:val="22"/>
          <w:lang w:val="en-US"/>
        </w:rPr>
        <w:t xml:space="preserve"> ծրագրի</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ինչպես նաև </w:t>
      </w:r>
      <w:r w:rsidRPr="001F63BA">
        <w:rPr>
          <w:rFonts w:ascii="GHEA Grapalat" w:hAnsi="GHEA Grapalat" w:cs="GHEA Grapalat"/>
          <w:sz w:val="22"/>
          <w:szCs w:val="22"/>
        </w:rPr>
        <w:t>«Ճանապարհային ցանցի բարելավում», «Ոստիկանության ոլորտի քաղաքականության մշակում, կառավարում, կենտրոնացված միջոցառումներ, մոնիտորինգ և վերահսկողություն» և «Ապահով դպրոց» ծրագրեր</w:t>
      </w:r>
      <w:r w:rsidRPr="001F63BA">
        <w:rPr>
          <w:rFonts w:ascii="GHEA Grapalat" w:hAnsi="GHEA Grapalat" w:cs="GHEA Grapalat"/>
          <w:sz w:val="22"/>
          <w:szCs w:val="22"/>
          <w:lang w:val="en-US"/>
        </w:rPr>
        <w:t>ի շրջանակներում կատարված ծախսերի աճով</w:t>
      </w:r>
      <w:r w:rsidRPr="001F63BA">
        <w:rPr>
          <w:rFonts w:ascii="GHEA Grapalat" w:hAnsi="GHEA Grapalat" w:cs="GHEA Grapalat"/>
          <w:sz w:val="22"/>
          <w:szCs w:val="22"/>
        </w:rPr>
        <w:t>:</w:t>
      </w:r>
    </w:p>
    <w:p w:rsidR="001C411D" w:rsidRPr="001F63BA" w:rsidRDefault="001C411D" w:rsidP="0000157A">
      <w:pPr>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Աղյուսակ </w:t>
      </w:r>
      <w:r w:rsidRPr="001F63BA">
        <w:rPr>
          <w:rFonts w:ascii="GHEA Grapalat" w:hAnsi="GHEA Grapalat" w:cs="GHEA Grapalat"/>
          <w:sz w:val="22"/>
          <w:szCs w:val="22"/>
          <w:lang w:val="en-US"/>
        </w:rPr>
        <w:t>21</w:t>
      </w:r>
      <w:r w:rsidRPr="001F63BA">
        <w:rPr>
          <w:rFonts w:ascii="GHEA Grapalat" w:hAnsi="GHEA Grapalat" w:cs="GHEA Grapalat"/>
          <w:sz w:val="22"/>
          <w:szCs w:val="22"/>
        </w:rPr>
        <w:t>-ում ներկայացված են կապիտալ ծախսերն ըստ ֆինանսավորման աղբյուրների:</w:t>
      </w:r>
    </w:p>
    <w:p w:rsidR="001C411D" w:rsidRPr="001F63BA" w:rsidRDefault="001C411D" w:rsidP="0000157A">
      <w:pPr>
        <w:spacing w:line="360" w:lineRule="auto"/>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lastRenderedPageBreak/>
        <w:t xml:space="preserve">ՀՀ պետական բյուջեի </w:t>
      </w:r>
      <w:r w:rsidRPr="001F63BA">
        <w:rPr>
          <w:rFonts w:ascii="GHEA Grapalat" w:hAnsi="GHEA Grapalat"/>
          <w:i/>
          <w:sz w:val="18"/>
          <w:szCs w:val="18"/>
          <w:lang w:val="en-US"/>
        </w:rPr>
        <w:t>կապիտալ ծախսերն ըստ ֆինանսավորման աղբյուրների</w:t>
      </w:r>
      <w:r w:rsidRPr="001F63BA">
        <w:rPr>
          <w:rFonts w:ascii="GHEA Grapalat" w:hAnsi="GHEA Grapalat"/>
          <w:i/>
          <w:sz w:val="18"/>
          <w:szCs w:val="18"/>
          <w:lang w:val="hy-AM"/>
        </w:rPr>
        <w:t xml:space="preserve"> (մլրդ դրամ)</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111"/>
        <w:gridCol w:w="1134"/>
        <w:gridCol w:w="1134"/>
        <w:gridCol w:w="1134"/>
        <w:gridCol w:w="1418"/>
        <w:gridCol w:w="1281"/>
      </w:tblGrid>
      <w:tr w:rsidR="001C411D" w:rsidRPr="001F63BA" w:rsidTr="00437B15">
        <w:trPr>
          <w:trHeight w:val="1442"/>
        </w:trPr>
        <w:tc>
          <w:tcPr>
            <w:tcW w:w="4111" w:type="dxa"/>
            <w:noWrap/>
            <w:vAlign w:val="bottom"/>
          </w:tcPr>
          <w:p w:rsidR="001C411D" w:rsidRPr="001F63BA" w:rsidRDefault="001C411D" w:rsidP="00822650">
            <w:pPr>
              <w:rPr>
                <w:rFonts w:ascii="GHEA Grapalat" w:hAnsi="GHEA Grapalat" w:cs="Calibri"/>
                <w:sz w:val="18"/>
                <w:szCs w:val="18"/>
              </w:rPr>
            </w:pPr>
            <w:r w:rsidRPr="001F63BA">
              <w:rPr>
                <w:rFonts w:ascii="Courier New" w:hAnsi="Courier New" w:cs="Courier New"/>
                <w:sz w:val="18"/>
                <w:szCs w:val="18"/>
              </w:rPr>
              <w:t> </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418"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Կատարո-ղական</w:t>
            </w:r>
            <w:r w:rsidRPr="001F63BA">
              <w:rPr>
                <w:rFonts w:ascii="GHEA Grapalat" w:hAnsi="GHEA Grapalat" w:cs="Calibri"/>
                <w:b/>
                <w:bCs/>
                <w:sz w:val="18"/>
                <w:szCs w:val="18"/>
                <w:lang w:val="en-US"/>
              </w:rPr>
              <w:t>ը</w:t>
            </w:r>
            <w:r w:rsidRPr="001F63BA">
              <w:rPr>
                <w:rFonts w:ascii="GHEA Grapalat" w:hAnsi="GHEA Grapalat" w:cs="Calibri"/>
                <w:b/>
                <w:bCs/>
                <w:sz w:val="18"/>
                <w:szCs w:val="18"/>
              </w:rPr>
              <w:t xml:space="preserve"> ճշտված պլանի նկատմամբ (%)</w:t>
            </w:r>
          </w:p>
        </w:tc>
        <w:tc>
          <w:tcPr>
            <w:tcW w:w="1281"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2021թ. նկատմամբ (%)</w:t>
            </w:r>
          </w:p>
        </w:tc>
      </w:tr>
      <w:tr w:rsidR="001C411D" w:rsidRPr="001F63BA" w:rsidTr="00DB0F5B">
        <w:trPr>
          <w:trHeight w:val="351"/>
        </w:trPr>
        <w:tc>
          <w:tcPr>
            <w:tcW w:w="4111" w:type="dxa"/>
            <w:vAlign w:val="bottom"/>
          </w:tcPr>
          <w:p w:rsidR="001C411D" w:rsidRPr="001F63BA" w:rsidRDefault="001C411D" w:rsidP="00822650">
            <w:pPr>
              <w:rPr>
                <w:rFonts w:ascii="GHEA Grapalat" w:hAnsi="GHEA Grapalat" w:cs="Calibri"/>
                <w:b/>
                <w:bCs/>
                <w:sz w:val="18"/>
                <w:szCs w:val="18"/>
              </w:rPr>
            </w:pPr>
            <w:r w:rsidRPr="001F63BA">
              <w:rPr>
                <w:rFonts w:ascii="GHEA Grapalat" w:hAnsi="GHEA Grapalat" w:cs="Calibri"/>
                <w:b/>
                <w:bCs/>
                <w:sz w:val="18"/>
                <w:szCs w:val="18"/>
              </w:rPr>
              <w:t>Ոչ ֆինանսական ակտիվների գծով ծախսեր (կապիտալ ծախսեր), այդ թվում՝</w:t>
            </w:r>
          </w:p>
        </w:tc>
        <w:tc>
          <w:tcPr>
            <w:tcW w:w="1134" w:type="dxa"/>
            <w:noWrap/>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218.4</w:t>
            </w:r>
          </w:p>
        </w:tc>
        <w:tc>
          <w:tcPr>
            <w:tcW w:w="1134" w:type="dxa"/>
            <w:noWrap/>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410.1</w:t>
            </w:r>
          </w:p>
        </w:tc>
        <w:tc>
          <w:tcPr>
            <w:tcW w:w="1134" w:type="dxa"/>
            <w:noWrap/>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389.1</w:t>
            </w:r>
          </w:p>
        </w:tc>
        <w:tc>
          <w:tcPr>
            <w:tcW w:w="1418" w:type="dxa"/>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94.9</w:t>
            </w:r>
          </w:p>
        </w:tc>
        <w:tc>
          <w:tcPr>
            <w:tcW w:w="1281" w:type="dxa"/>
            <w:noWrap/>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178.2</w:t>
            </w:r>
          </w:p>
        </w:tc>
      </w:tr>
      <w:tr w:rsidR="001C411D" w:rsidRPr="001F63BA" w:rsidTr="00DB0F5B">
        <w:trPr>
          <w:trHeight w:val="232"/>
        </w:trPr>
        <w:tc>
          <w:tcPr>
            <w:tcW w:w="4111" w:type="dxa"/>
            <w:vAlign w:val="bottom"/>
          </w:tcPr>
          <w:p w:rsidR="001C411D" w:rsidRPr="001F63BA" w:rsidRDefault="001C411D" w:rsidP="00530FFC">
            <w:pPr>
              <w:pStyle w:val="ListParagraph"/>
              <w:spacing w:after="0"/>
              <w:ind w:left="270"/>
              <w:rPr>
                <w:rFonts w:ascii="GHEA Grapalat" w:hAnsi="GHEA Grapalat"/>
                <w:sz w:val="18"/>
                <w:szCs w:val="18"/>
              </w:rPr>
            </w:pPr>
            <w:r w:rsidRPr="001F63BA">
              <w:rPr>
                <w:rFonts w:ascii="GHEA Grapalat" w:hAnsi="GHEA Grapalat"/>
                <w:sz w:val="18"/>
                <w:szCs w:val="18"/>
              </w:rPr>
              <w:t>Արտաքին աջակցությամբ իրականացվող ծրագրեր (ներառյալ ՀՀ կառավարության համաֆինանսավորումները)</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80.6</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66.2</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54.0</w:t>
            </w:r>
          </w:p>
        </w:tc>
        <w:tc>
          <w:tcPr>
            <w:tcW w:w="1418" w:type="dxa"/>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81.6</w:t>
            </w:r>
          </w:p>
        </w:tc>
        <w:tc>
          <w:tcPr>
            <w:tcW w:w="1281" w:type="dxa"/>
            <w:noWrap/>
            <w:vAlign w:val="bottom"/>
          </w:tcPr>
          <w:p w:rsidR="001C411D" w:rsidRPr="001F63BA" w:rsidRDefault="001C411D" w:rsidP="00990EF8">
            <w:pPr>
              <w:jc w:val="right"/>
              <w:rPr>
                <w:rFonts w:ascii="GHEA Grapalat" w:hAnsi="GHEA Grapalat" w:cs="Calibri"/>
                <w:sz w:val="18"/>
                <w:szCs w:val="18"/>
                <w:lang w:val="en-US"/>
              </w:rPr>
            </w:pPr>
            <w:r w:rsidRPr="001F63BA">
              <w:rPr>
                <w:rFonts w:ascii="GHEA Grapalat" w:hAnsi="GHEA Grapalat" w:cs="Calibri"/>
                <w:sz w:val="18"/>
                <w:szCs w:val="18"/>
              </w:rPr>
              <w:t>67.</w:t>
            </w:r>
            <w:r w:rsidRPr="001F63BA">
              <w:rPr>
                <w:rFonts w:ascii="GHEA Grapalat" w:hAnsi="GHEA Grapalat" w:cs="Calibri"/>
                <w:sz w:val="18"/>
                <w:szCs w:val="18"/>
                <w:lang w:val="en-US"/>
              </w:rPr>
              <w:t>1</w:t>
            </w:r>
          </w:p>
        </w:tc>
      </w:tr>
      <w:tr w:rsidR="001C411D" w:rsidRPr="001F63BA" w:rsidTr="00DB0F5B">
        <w:trPr>
          <w:trHeight w:val="464"/>
        </w:trPr>
        <w:tc>
          <w:tcPr>
            <w:tcW w:w="4111" w:type="dxa"/>
            <w:vAlign w:val="bottom"/>
          </w:tcPr>
          <w:p w:rsidR="001C411D" w:rsidRPr="001F63BA" w:rsidRDefault="001C411D" w:rsidP="00530FFC">
            <w:pPr>
              <w:pStyle w:val="ListParagraph"/>
              <w:spacing w:after="0"/>
              <w:ind w:left="270"/>
              <w:rPr>
                <w:rFonts w:ascii="GHEA Grapalat" w:hAnsi="GHEA Grapalat"/>
                <w:sz w:val="18"/>
                <w:szCs w:val="18"/>
              </w:rPr>
            </w:pPr>
            <w:r w:rsidRPr="001F63BA">
              <w:rPr>
                <w:rFonts w:ascii="GHEA Grapalat" w:hAnsi="GHEA Grapalat"/>
                <w:sz w:val="18"/>
                <w:szCs w:val="18"/>
              </w:rPr>
              <w:t>Ներքին ռեսուրսների հաշվին իրականացվող ծրագրեր, այդ թվում՝</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137.8</w:t>
            </w:r>
          </w:p>
        </w:tc>
        <w:tc>
          <w:tcPr>
            <w:tcW w:w="1134" w:type="dxa"/>
            <w:noWrap/>
            <w:vAlign w:val="bottom"/>
          </w:tcPr>
          <w:p w:rsidR="001C411D" w:rsidRPr="001F63BA" w:rsidRDefault="001C411D" w:rsidP="00990EF8">
            <w:pPr>
              <w:jc w:val="right"/>
              <w:rPr>
                <w:rFonts w:ascii="GHEA Grapalat" w:hAnsi="GHEA Grapalat" w:cs="Calibri"/>
                <w:sz w:val="18"/>
                <w:szCs w:val="18"/>
                <w:lang w:val="en-US"/>
              </w:rPr>
            </w:pPr>
            <w:r w:rsidRPr="001F63BA">
              <w:rPr>
                <w:rFonts w:ascii="GHEA Grapalat" w:hAnsi="GHEA Grapalat" w:cs="Calibri"/>
                <w:sz w:val="18"/>
                <w:szCs w:val="18"/>
              </w:rPr>
              <w:t>343.</w:t>
            </w:r>
            <w:r w:rsidRPr="001F63BA">
              <w:rPr>
                <w:rFonts w:ascii="GHEA Grapalat" w:hAnsi="GHEA Grapalat" w:cs="Calibri"/>
                <w:sz w:val="18"/>
                <w:szCs w:val="18"/>
                <w:lang w:val="en-US"/>
              </w:rPr>
              <w:t>8</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335.1</w:t>
            </w:r>
          </w:p>
        </w:tc>
        <w:tc>
          <w:tcPr>
            <w:tcW w:w="1418" w:type="dxa"/>
            <w:vAlign w:val="bottom"/>
          </w:tcPr>
          <w:p w:rsidR="001C411D" w:rsidRPr="001F63BA" w:rsidRDefault="001C411D" w:rsidP="00990EF8">
            <w:pPr>
              <w:jc w:val="right"/>
              <w:rPr>
                <w:rFonts w:ascii="GHEA Grapalat" w:hAnsi="GHEA Grapalat" w:cs="Calibri"/>
                <w:sz w:val="18"/>
                <w:szCs w:val="18"/>
                <w:lang w:val="en-US"/>
              </w:rPr>
            </w:pPr>
            <w:r w:rsidRPr="001F63BA">
              <w:rPr>
                <w:rFonts w:ascii="GHEA Grapalat" w:hAnsi="GHEA Grapalat" w:cs="Calibri"/>
                <w:sz w:val="18"/>
                <w:szCs w:val="18"/>
              </w:rPr>
              <w:t>97.</w:t>
            </w:r>
            <w:r w:rsidRPr="001F63BA">
              <w:rPr>
                <w:rFonts w:ascii="GHEA Grapalat" w:hAnsi="GHEA Grapalat" w:cs="Calibri"/>
                <w:sz w:val="18"/>
                <w:szCs w:val="18"/>
                <w:lang w:val="en-US"/>
              </w:rPr>
              <w:t>5</w:t>
            </w:r>
          </w:p>
        </w:tc>
        <w:tc>
          <w:tcPr>
            <w:tcW w:w="1281" w:type="dxa"/>
            <w:noWrap/>
            <w:vAlign w:val="bottom"/>
          </w:tcPr>
          <w:p w:rsidR="001C411D" w:rsidRPr="001F63BA" w:rsidRDefault="001C411D" w:rsidP="00822650">
            <w:pPr>
              <w:jc w:val="right"/>
              <w:rPr>
                <w:rFonts w:ascii="GHEA Grapalat" w:hAnsi="GHEA Grapalat" w:cs="Calibri"/>
                <w:sz w:val="18"/>
                <w:szCs w:val="18"/>
                <w:lang w:val="en-US"/>
              </w:rPr>
            </w:pPr>
            <w:r w:rsidRPr="001F63BA">
              <w:rPr>
                <w:rFonts w:ascii="GHEA Grapalat" w:hAnsi="GHEA Grapalat" w:cs="Calibri"/>
                <w:sz w:val="18"/>
                <w:szCs w:val="18"/>
              </w:rPr>
              <w:t>243.</w:t>
            </w:r>
            <w:r w:rsidRPr="001F63BA">
              <w:rPr>
                <w:rFonts w:ascii="GHEA Grapalat" w:hAnsi="GHEA Grapalat" w:cs="Calibri"/>
                <w:sz w:val="18"/>
                <w:szCs w:val="18"/>
                <w:lang w:val="en-US"/>
              </w:rPr>
              <w:t>1</w:t>
            </w:r>
          </w:p>
        </w:tc>
      </w:tr>
      <w:tr w:rsidR="001C411D" w:rsidRPr="001F63BA" w:rsidTr="00AD356E">
        <w:trPr>
          <w:trHeight w:val="260"/>
        </w:trPr>
        <w:tc>
          <w:tcPr>
            <w:tcW w:w="4111" w:type="dxa"/>
            <w:vAlign w:val="bottom"/>
          </w:tcPr>
          <w:p w:rsidR="001C411D" w:rsidRPr="001F63BA" w:rsidRDefault="001C411D" w:rsidP="00BB1B4B">
            <w:pPr>
              <w:pStyle w:val="ListParagraph"/>
              <w:numPr>
                <w:ilvl w:val="0"/>
                <w:numId w:val="27"/>
              </w:numPr>
              <w:spacing w:after="0"/>
              <w:ind w:left="567" w:hanging="141"/>
              <w:rPr>
                <w:rFonts w:ascii="GHEA Grapalat" w:hAnsi="GHEA Grapalat"/>
                <w:sz w:val="18"/>
                <w:szCs w:val="18"/>
              </w:rPr>
            </w:pPr>
            <w:r w:rsidRPr="001F63BA">
              <w:rPr>
                <w:rFonts w:ascii="GHEA Grapalat" w:hAnsi="GHEA Grapalat"/>
                <w:i/>
                <w:iCs/>
                <w:sz w:val="18"/>
                <w:szCs w:val="18"/>
              </w:rPr>
              <w:t>ՀՀ պաշտպանության նախարարության ծրագրեր</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91.3</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237.4</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237.4</w:t>
            </w:r>
          </w:p>
        </w:tc>
        <w:tc>
          <w:tcPr>
            <w:tcW w:w="1418" w:type="dxa"/>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100.0</w:t>
            </w:r>
          </w:p>
        </w:tc>
        <w:tc>
          <w:tcPr>
            <w:tcW w:w="1281" w:type="dxa"/>
            <w:noWrap/>
            <w:vAlign w:val="bottom"/>
          </w:tcPr>
          <w:p w:rsidR="001C411D" w:rsidRPr="001F63BA" w:rsidRDefault="001C411D" w:rsidP="00822650">
            <w:pPr>
              <w:jc w:val="right"/>
              <w:rPr>
                <w:rFonts w:ascii="GHEA Grapalat" w:hAnsi="GHEA Grapalat" w:cs="Calibri"/>
                <w:sz w:val="18"/>
                <w:szCs w:val="18"/>
                <w:lang w:val="en-US"/>
              </w:rPr>
            </w:pPr>
            <w:r w:rsidRPr="001F63BA">
              <w:rPr>
                <w:rFonts w:ascii="GHEA Grapalat" w:hAnsi="GHEA Grapalat" w:cs="Calibri"/>
                <w:sz w:val="18"/>
                <w:szCs w:val="18"/>
                <w:lang w:val="en-US"/>
              </w:rPr>
              <w:t>259.9</w:t>
            </w:r>
          </w:p>
        </w:tc>
      </w:tr>
      <w:tr w:rsidR="001C411D" w:rsidRPr="001F63BA" w:rsidTr="00DB0F5B">
        <w:trPr>
          <w:trHeight w:val="207"/>
        </w:trPr>
        <w:tc>
          <w:tcPr>
            <w:tcW w:w="4111" w:type="dxa"/>
            <w:vAlign w:val="bottom"/>
          </w:tcPr>
          <w:p w:rsidR="001C411D" w:rsidRPr="001F63BA" w:rsidRDefault="001C411D" w:rsidP="00BB1B4B">
            <w:pPr>
              <w:pStyle w:val="ListParagraph"/>
              <w:numPr>
                <w:ilvl w:val="0"/>
                <w:numId w:val="27"/>
              </w:numPr>
              <w:spacing w:after="0"/>
              <w:ind w:left="567" w:hanging="141"/>
              <w:rPr>
                <w:rFonts w:ascii="GHEA Grapalat" w:hAnsi="GHEA Grapalat"/>
                <w:i/>
                <w:iCs/>
                <w:sz w:val="18"/>
                <w:szCs w:val="18"/>
              </w:rPr>
            </w:pPr>
            <w:r w:rsidRPr="001F63BA">
              <w:rPr>
                <w:rFonts w:ascii="GHEA Grapalat" w:hAnsi="GHEA Grapalat"/>
                <w:i/>
                <w:iCs/>
                <w:sz w:val="18"/>
                <w:szCs w:val="18"/>
              </w:rPr>
              <w:t>Այլ ծրագրեր</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46.5</w:t>
            </w:r>
          </w:p>
        </w:tc>
        <w:tc>
          <w:tcPr>
            <w:tcW w:w="1134" w:type="dxa"/>
            <w:noWrap/>
            <w:vAlign w:val="bottom"/>
          </w:tcPr>
          <w:p w:rsidR="001C411D" w:rsidRPr="001F63BA" w:rsidRDefault="001C411D" w:rsidP="00822650">
            <w:pPr>
              <w:jc w:val="right"/>
              <w:rPr>
                <w:rFonts w:ascii="GHEA Grapalat" w:hAnsi="GHEA Grapalat" w:cs="Calibri"/>
                <w:sz w:val="18"/>
                <w:szCs w:val="18"/>
                <w:lang w:val="en-US"/>
              </w:rPr>
            </w:pPr>
            <w:r w:rsidRPr="001F63BA">
              <w:rPr>
                <w:rFonts w:ascii="GHEA Grapalat" w:hAnsi="GHEA Grapalat" w:cs="Calibri"/>
                <w:sz w:val="18"/>
                <w:szCs w:val="18"/>
              </w:rPr>
              <w:t>106.</w:t>
            </w:r>
            <w:r w:rsidRPr="001F63BA">
              <w:rPr>
                <w:rFonts w:ascii="GHEA Grapalat" w:hAnsi="GHEA Grapalat" w:cs="Calibri"/>
                <w:sz w:val="18"/>
                <w:szCs w:val="18"/>
                <w:lang w:val="en-US"/>
              </w:rPr>
              <w:t>4</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97.7</w:t>
            </w:r>
          </w:p>
        </w:tc>
        <w:tc>
          <w:tcPr>
            <w:tcW w:w="1418" w:type="dxa"/>
            <w:vAlign w:val="bottom"/>
          </w:tcPr>
          <w:p w:rsidR="001C411D" w:rsidRPr="001F63BA" w:rsidRDefault="001C411D" w:rsidP="00990EF8">
            <w:pPr>
              <w:jc w:val="right"/>
              <w:rPr>
                <w:rFonts w:ascii="GHEA Grapalat" w:hAnsi="GHEA Grapalat" w:cs="Calibri"/>
                <w:sz w:val="18"/>
                <w:szCs w:val="18"/>
                <w:lang w:val="en-US"/>
              </w:rPr>
            </w:pPr>
            <w:r w:rsidRPr="001F63BA">
              <w:rPr>
                <w:rFonts w:ascii="GHEA Grapalat" w:hAnsi="GHEA Grapalat" w:cs="Calibri"/>
                <w:sz w:val="18"/>
                <w:szCs w:val="18"/>
              </w:rPr>
              <w:t>91.</w:t>
            </w:r>
            <w:r w:rsidRPr="001F63BA">
              <w:rPr>
                <w:rFonts w:ascii="GHEA Grapalat" w:hAnsi="GHEA Grapalat" w:cs="Calibri"/>
                <w:sz w:val="18"/>
                <w:szCs w:val="18"/>
                <w:lang w:val="en-US"/>
              </w:rPr>
              <w:t>8</w:t>
            </w:r>
          </w:p>
        </w:tc>
        <w:tc>
          <w:tcPr>
            <w:tcW w:w="1281" w:type="dxa"/>
            <w:noWrap/>
            <w:vAlign w:val="bottom"/>
          </w:tcPr>
          <w:p w:rsidR="001C411D" w:rsidRPr="001F63BA" w:rsidRDefault="001C411D" w:rsidP="00990EF8">
            <w:pPr>
              <w:jc w:val="right"/>
              <w:rPr>
                <w:rFonts w:ascii="GHEA Grapalat" w:hAnsi="GHEA Grapalat" w:cs="Calibri"/>
                <w:sz w:val="18"/>
                <w:szCs w:val="18"/>
                <w:lang w:val="en-US"/>
              </w:rPr>
            </w:pPr>
            <w:r w:rsidRPr="001F63BA">
              <w:rPr>
                <w:rFonts w:ascii="GHEA Grapalat" w:hAnsi="GHEA Grapalat" w:cs="Calibri"/>
                <w:sz w:val="18"/>
                <w:szCs w:val="18"/>
              </w:rPr>
              <w:t>210.</w:t>
            </w:r>
            <w:r w:rsidRPr="001F63BA">
              <w:rPr>
                <w:rFonts w:ascii="GHEA Grapalat" w:hAnsi="GHEA Grapalat" w:cs="Calibri"/>
                <w:sz w:val="18"/>
                <w:szCs w:val="18"/>
                <w:lang w:val="en-US"/>
              </w:rPr>
              <w:t>2</w:t>
            </w:r>
          </w:p>
        </w:tc>
      </w:tr>
    </w:tbl>
    <w:p w:rsidR="001C411D" w:rsidRPr="001F63BA" w:rsidRDefault="001C411D" w:rsidP="0000157A">
      <w:pPr>
        <w:spacing w:line="360" w:lineRule="auto"/>
        <w:ind w:firstLine="567"/>
        <w:jc w:val="both"/>
        <w:rPr>
          <w:rFonts w:ascii="GHEA Grapalat" w:hAnsi="GHEA Grapalat" w:cs="GHEA Grapalat"/>
          <w:sz w:val="22"/>
          <w:szCs w:val="22"/>
        </w:rPr>
      </w:pPr>
    </w:p>
    <w:p w:rsidR="001C411D" w:rsidRPr="001F63BA" w:rsidRDefault="001C411D" w:rsidP="0000157A">
      <w:pPr>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Ոչ ֆինանսական ակտիվների օտարումից հաշվետու ժամանակահատվածում ստացվել են 8.7</w:t>
      </w:r>
      <w:r w:rsidRPr="001F63BA">
        <w:rPr>
          <w:rFonts w:ascii="Courier New" w:hAnsi="Courier New" w:cs="Courier New"/>
          <w:sz w:val="22"/>
          <w:szCs w:val="22"/>
          <w:lang w:val="en-US"/>
        </w:rPr>
        <w:t> </w:t>
      </w:r>
      <w:r w:rsidRPr="001F63BA">
        <w:rPr>
          <w:rFonts w:ascii="GHEA Grapalat" w:hAnsi="GHEA Grapalat" w:cs="GHEA Grapalat"/>
          <w:sz w:val="22"/>
          <w:szCs w:val="22"/>
        </w:rPr>
        <w:t>մլրդ դրամ մուտքեր՝ տարեկան ծրագրով նախատեսված 10.1</w:t>
      </w:r>
      <w:r w:rsidRPr="001F63BA">
        <w:rPr>
          <w:rFonts w:ascii="Courier New" w:hAnsi="Courier New" w:cs="Courier New"/>
          <w:sz w:val="22"/>
          <w:szCs w:val="22"/>
        </w:rPr>
        <w:t> </w:t>
      </w:r>
      <w:r w:rsidRPr="001F63BA">
        <w:rPr>
          <w:rFonts w:ascii="GHEA Grapalat" w:hAnsi="GHEA Grapalat" w:cs="GHEA Grapalat"/>
          <w:sz w:val="22"/>
          <w:szCs w:val="22"/>
        </w:rPr>
        <w:t>մլրդ դրամի և 2021 թվականին ստացված 2.1</w:t>
      </w:r>
      <w:r w:rsidRPr="001F63BA">
        <w:rPr>
          <w:rFonts w:ascii="Courier New" w:hAnsi="Courier New" w:cs="Courier New"/>
          <w:sz w:val="22"/>
          <w:szCs w:val="22"/>
        </w:rPr>
        <w:t> </w:t>
      </w:r>
      <w:r w:rsidRPr="001F63BA">
        <w:rPr>
          <w:rFonts w:ascii="GHEA Grapalat" w:hAnsi="GHEA Grapalat" w:cs="GHEA Grapalat"/>
          <w:sz w:val="22"/>
          <w:szCs w:val="22"/>
        </w:rPr>
        <w:t>մլրդ դրամի դիմաց:</w:t>
      </w:r>
    </w:p>
    <w:p w:rsidR="001C411D" w:rsidRPr="001F63BA" w:rsidRDefault="001C411D" w:rsidP="0000157A">
      <w:pPr>
        <w:spacing w:line="360" w:lineRule="auto"/>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134"/>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 ոչ ֆինանսական ակտիվների հետ գործառնությունները (մլրդ դրամ)</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361"/>
        <w:gridCol w:w="1134"/>
        <w:gridCol w:w="1134"/>
        <w:gridCol w:w="1134"/>
        <w:gridCol w:w="1276"/>
        <w:gridCol w:w="1281"/>
      </w:tblGrid>
      <w:tr w:rsidR="001C411D" w:rsidRPr="001F63BA" w:rsidTr="00437B15">
        <w:trPr>
          <w:trHeight w:val="1559"/>
        </w:trPr>
        <w:tc>
          <w:tcPr>
            <w:tcW w:w="4361" w:type="dxa"/>
            <w:noWrap/>
            <w:vAlign w:val="bottom"/>
          </w:tcPr>
          <w:p w:rsidR="001C411D" w:rsidRPr="001F63BA" w:rsidRDefault="001C411D" w:rsidP="00822650">
            <w:pPr>
              <w:rPr>
                <w:rFonts w:ascii="GHEA Grapalat" w:hAnsi="GHEA Grapalat" w:cs="Calibri"/>
                <w:sz w:val="18"/>
                <w:szCs w:val="18"/>
              </w:rPr>
            </w:pPr>
            <w:r w:rsidRPr="001F63BA">
              <w:rPr>
                <w:rFonts w:ascii="Courier New" w:hAnsi="Courier New" w:cs="Courier New"/>
                <w:sz w:val="18"/>
                <w:szCs w:val="18"/>
              </w:rPr>
              <w:t> </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134"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276"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Կատարո-ղական</w:t>
            </w:r>
            <w:r w:rsidRPr="001F63BA">
              <w:rPr>
                <w:rFonts w:ascii="GHEA Grapalat" w:hAnsi="GHEA Grapalat" w:cs="Calibri"/>
                <w:b/>
                <w:bCs/>
                <w:sz w:val="18"/>
                <w:szCs w:val="18"/>
                <w:lang w:val="en-US"/>
              </w:rPr>
              <w:t>ը</w:t>
            </w:r>
            <w:r w:rsidRPr="001F63BA">
              <w:rPr>
                <w:rFonts w:ascii="GHEA Grapalat" w:hAnsi="GHEA Grapalat" w:cs="Calibri"/>
                <w:b/>
                <w:bCs/>
                <w:sz w:val="18"/>
                <w:szCs w:val="18"/>
              </w:rPr>
              <w:t xml:space="preserve"> ճշտված պլանի նկատմամբ (%)</w:t>
            </w:r>
          </w:p>
        </w:tc>
        <w:tc>
          <w:tcPr>
            <w:tcW w:w="1281" w:type="dxa"/>
            <w:shd w:val="clear" w:color="auto" w:fill="FFFFFF"/>
          </w:tcPr>
          <w:p w:rsidR="001C411D" w:rsidRPr="001F63BA" w:rsidRDefault="001C411D" w:rsidP="00822650">
            <w:pPr>
              <w:jc w:val="center"/>
              <w:rPr>
                <w:rFonts w:ascii="GHEA Grapalat" w:hAnsi="GHEA Grapalat" w:cs="Calibri"/>
                <w:b/>
                <w:bCs/>
                <w:sz w:val="18"/>
                <w:szCs w:val="18"/>
              </w:rPr>
            </w:pPr>
            <w:r w:rsidRPr="001F63BA">
              <w:rPr>
                <w:rFonts w:ascii="GHEA Grapalat" w:hAnsi="GHEA Grapalat" w:cs="Calibri"/>
                <w:b/>
                <w:bCs/>
                <w:sz w:val="18"/>
                <w:szCs w:val="18"/>
              </w:rPr>
              <w:t>2022թ 2021թ. նկատմամբ (%)</w:t>
            </w:r>
          </w:p>
        </w:tc>
      </w:tr>
      <w:tr w:rsidR="001C411D" w:rsidRPr="001F63BA" w:rsidTr="00822650">
        <w:trPr>
          <w:trHeight w:val="471"/>
        </w:trPr>
        <w:tc>
          <w:tcPr>
            <w:tcW w:w="4361" w:type="dxa"/>
            <w:noWrap/>
            <w:vAlign w:val="bottom"/>
          </w:tcPr>
          <w:p w:rsidR="001C411D" w:rsidRPr="001F63BA" w:rsidRDefault="001C411D" w:rsidP="00822650">
            <w:pPr>
              <w:rPr>
                <w:rFonts w:ascii="GHEA Grapalat" w:hAnsi="GHEA Grapalat" w:cs="Calibri"/>
                <w:b/>
                <w:bCs/>
                <w:sz w:val="18"/>
                <w:szCs w:val="18"/>
              </w:rPr>
            </w:pPr>
            <w:r w:rsidRPr="001F63BA">
              <w:rPr>
                <w:rFonts w:ascii="GHEA Grapalat" w:hAnsi="GHEA Grapalat" w:cs="Calibri"/>
                <w:b/>
                <w:bCs/>
                <w:sz w:val="18"/>
                <w:szCs w:val="18"/>
              </w:rPr>
              <w:t>Ոչ ֆինանսական ակտիվների հետ գործառնություններ</w:t>
            </w:r>
          </w:p>
        </w:tc>
        <w:tc>
          <w:tcPr>
            <w:tcW w:w="1134" w:type="dxa"/>
            <w:noWrap/>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216.3</w:t>
            </w:r>
          </w:p>
        </w:tc>
        <w:tc>
          <w:tcPr>
            <w:tcW w:w="1134" w:type="dxa"/>
            <w:noWrap/>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400.0</w:t>
            </w:r>
          </w:p>
        </w:tc>
        <w:tc>
          <w:tcPr>
            <w:tcW w:w="1134" w:type="dxa"/>
            <w:noWrap/>
            <w:vAlign w:val="bottom"/>
          </w:tcPr>
          <w:p w:rsidR="001C411D" w:rsidRPr="001F63BA" w:rsidRDefault="001C411D" w:rsidP="00822650">
            <w:pPr>
              <w:jc w:val="right"/>
              <w:rPr>
                <w:rFonts w:ascii="GHEA Grapalat" w:hAnsi="GHEA Grapalat" w:cs="Calibri"/>
                <w:b/>
                <w:sz w:val="18"/>
                <w:szCs w:val="18"/>
              </w:rPr>
            </w:pPr>
            <w:r w:rsidRPr="001F63BA">
              <w:rPr>
                <w:rFonts w:ascii="GHEA Grapalat" w:hAnsi="GHEA Grapalat" w:cs="Calibri"/>
                <w:b/>
                <w:sz w:val="18"/>
                <w:szCs w:val="18"/>
              </w:rPr>
              <w:t>380.4</w:t>
            </w:r>
          </w:p>
        </w:tc>
        <w:tc>
          <w:tcPr>
            <w:tcW w:w="1276" w:type="dxa"/>
            <w:vAlign w:val="bottom"/>
          </w:tcPr>
          <w:p w:rsidR="001C411D" w:rsidRPr="001F63BA" w:rsidRDefault="001C411D" w:rsidP="00822650">
            <w:pPr>
              <w:jc w:val="right"/>
              <w:rPr>
                <w:rFonts w:ascii="GHEA Grapalat" w:hAnsi="GHEA Grapalat" w:cs="Calibri"/>
                <w:b/>
                <w:bCs/>
                <w:sz w:val="18"/>
                <w:szCs w:val="18"/>
              </w:rPr>
            </w:pPr>
            <w:r w:rsidRPr="001F63BA">
              <w:rPr>
                <w:rFonts w:ascii="GHEA Grapalat" w:hAnsi="GHEA Grapalat" w:cs="Calibri"/>
                <w:b/>
                <w:bCs/>
                <w:sz w:val="18"/>
                <w:szCs w:val="18"/>
              </w:rPr>
              <w:t>95.1</w:t>
            </w:r>
          </w:p>
        </w:tc>
        <w:tc>
          <w:tcPr>
            <w:tcW w:w="1281" w:type="dxa"/>
            <w:noWrap/>
            <w:vAlign w:val="bottom"/>
          </w:tcPr>
          <w:p w:rsidR="001C411D" w:rsidRPr="001F63BA" w:rsidRDefault="001C411D" w:rsidP="00822650">
            <w:pPr>
              <w:jc w:val="right"/>
              <w:rPr>
                <w:rFonts w:ascii="GHEA Grapalat" w:hAnsi="GHEA Grapalat" w:cs="Calibri"/>
                <w:b/>
                <w:bCs/>
                <w:sz w:val="18"/>
                <w:szCs w:val="18"/>
              </w:rPr>
            </w:pPr>
            <w:r w:rsidRPr="001F63BA">
              <w:rPr>
                <w:rFonts w:ascii="GHEA Grapalat" w:hAnsi="GHEA Grapalat" w:cs="Calibri"/>
                <w:b/>
                <w:bCs/>
                <w:sz w:val="18"/>
                <w:szCs w:val="18"/>
              </w:rPr>
              <w:t>175.8</w:t>
            </w:r>
          </w:p>
        </w:tc>
      </w:tr>
      <w:tr w:rsidR="001C411D" w:rsidRPr="001F63BA" w:rsidTr="00822650">
        <w:trPr>
          <w:trHeight w:val="351"/>
        </w:trPr>
        <w:tc>
          <w:tcPr>
            <w:tcW w:w="4361" w:type="dxa"/>
            <w:vAlign w:val="bottom"/>
          </w:tcPr>
          <w:p w:rsidR="001C411D" w:rsidRPr="001F63BA" w:rsidRDefault="001C411D" w:rsidP="00822650">
            <w:pPr>
              <w:rPr>
                <w:rFonts w:ascii="GHEA Grapalat" w:hAnsi="GHEA Grapalat" w:cs="Calibri"/>
                <w:sz w:val="18"/>
                <w:szCs w:val="18"/>
              </w:rPr>
            </w:pPr>
            <w:r w:rsidRPr="001F63BA">
              <w:rPr>
                <w:rFonts w:ascii="GHEA Grapalat" w:hAnsi="GHEA Grapalat" w:cs="Calibri"/>
                <w:sz w:val="18"/>
                <w:szCs w:val="18"/>
              </w:rPr>
              <w:t>Ոչ ֆինանսական ակտիվների գծով ծախսեր (կապիտալ ծախսեր), այդ թվում՝</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218.4</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410.1</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389.1</w:t>
            </w:r>
          </w:p>
        </w:tc>
        <w:tc>
          <w:tcPr>
            <w:tcW w:w="1276" w:type="dxa"/>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94.9</w:t>
            </w:r>
          </w:p>
        </w:tc>
        <w:tc>
          <w:tcPr>
            <w:tcW w:w="1281"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178.2</w:t>
            </w:r>
          </w:p>
        </w:tc>
      </w:tr>
      <w:tr w:rsidR="001C411D" w:rsidRPr="001F63BA" w:rsidTr="00822650">
        <w:trPr>
          <w:trHeight w:val="232"/>
        </w:trPr>
        <w:tc>
          <w:tcPr>
            <w:tcW w:w="4361" w:type="dxa"/>
            <w:vAlign w:val="bottom"/>
          </w:tcPr>
          <w:p w:rsidR="001C411D" w:rsidRPr="001F63BA" w:rsidRDefault="001C411D" w:rsidP="00BB1B4B">
            <w:pPr>
              <w:pStyle w:val="ListParagraph"/>
              <w:numPr>
                <w:ilvl w:val="0"/>
                <w:numId w:val="27"/>
              </w:numPr>
              <w:spacing w:after="0"/>
              <w:ind w:left="426" w:hanging="156"/>
              <w:rPr>
                <w:rFonts w:ascii="GHEA Grapalat" w:hAnsi="GHEA Grapalat"/>
                <w:sz w:val="18"/>
                <w:szCs w:val="18"/>
              </w:rPr>
            </w:pPr>
            <w:r w:rsidRPr="001F63BA">
              <w:rPr>
                <w:rFonts w:ascii="GHEA Grapalat" w:hAnsi="GHEA Grapalat"/>
                <w:sz w:val="18"/>
                <w:szCs w:val="18"/>
              </w:rPr>
              <w:t>շենքեր և շինություններ</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177.6</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357.3</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341.9</w:t>
            </w:r>
          </w:p>
        </w:tc>
        <w:tc>
          <w:tcPr>
            <w:tcW w:w="1276" w:type="dxa"/>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95.7</w:t>
            </w:r>
          </w:p>
        </w:tc>
        <w:tc>
          <w:tcPr>
            <w:tcW w:w="1281"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192.6</w:t>
            </w:r>
          </w:p>
        </w:tc>
      </w:tr>
      <w:tr w:rsidR="001C411D" w:rsidRPr="001F63BA" w:rsidTr="00822650">
        <w:trPr>
          <w:trHeight w:val="464"/>
        </w:trPr>
        <w:tc>
          <w:tcPr>
            <w:tcW w:w="4361" w:type="dxa"/>
            <w:vAlign w:val="bottom"/>
          </w:tcPr>
          <w:p w:rsidR="001C411D" w:rsidRPr="001F63BA" w:rsidRDefault="001C411D" w:rsidP="00BB1B4B">
            <w:pPr>
              <w:pStyle w:val="ListParagraph"/>
              <w:numPr>
                <w:ilvl w:val="0"/>
                <w:numId w:val="27"/>
              </w:numPr>
              <w:spacing w:after="0"/>
              <w:ind w:left="426" w:hanging="156"/>
              <w:rPr>
                <w:rFonts w:ascii="GHEA Grapalat" w:hAnsi="GHEA Grapalat"/>
                <w:sz w:val="18"/>
                <w:szCs w:val="18"/>
              </w:rPr>
            </w:pPr>
            <w:r w:rsidRPr="001F63BA">
              <w:rPr>
                <w:rFonts w:ascii="GHEA Grapalat" w:hAnsi="GHEA Grapalat"/>
                <w:sz w:val="18"/>
                <w:szCs w:val="18"/>
              </w:rPr>
              <w:t>մեքենաների և սարքավորումների ձեռք բերում, պահպանում և հիմնանորոգում</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37.6</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44.9</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41.3</w:t>
            </w:r>
          </w:p>
        </w:tc>
        <w:tc>
          <w:tcPr>
            <w:tcW w:w="1276" w:type="dxa"/>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92.2</w:t>
            </w:r>
          </w:p>
        </w:tc>
        <w:tc>
          <w:tcPr>
            <w:tcW w:w="1281"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109.9</w:t>
            </w:r>
          </w:p>
        </w:tc>
      </w:tr>
      <w:tr w:rsidR="001C411D" w:rsidRPr="001F63BA" w:rsidTr="00822650">
        <w:trPr>
          <w:trHeight w:val="260"/>
        </w:trPr>
        <w:tc>
          <w:tcPr>
            <w:tcW w:w="4361" w:type="dxa"/>
            <w:vAlign w:val="bottom"/>
          </w:tcPr>
          <w:p w:rsidR="001C411D" w:rsidRPr="001F63BA" w:rsidRDefault="001C411D" w:rsidP="00BB1B4B">
            <w:pPr>
              <w:pStyle w:val="ListParagraph"/>
              <w:numPr>
                <w:ilvl w:val="0"/>
                <w:numId w:val="27"/>
              </w:numPr>
              <w:spacing w:after="0"/>
              <w:ind w:left="426" w:hanging="156"/>
              <w:rPr>
                <w:rFonts w:ascii="GHEA Grapalat" w:hAnsi="GHEA Grapalat"/>
                <w:sz w:val="18"/>
                <w:szCs w:val="18"/>
              </w:rPr>
            </w:pPr>
            <w:r w:rsidRPr="001F63BA">
              <w:rPr>
                <w:rFonts w:ascii="GHEA Grapalat" w:hAnsi="GHEA Grapalat"/>
                <w:sz w:val="18"/>
                <w:szCs w:val="18"/>
              </w:rPr>
              <w:t>այլ հիմնական միջոցներ</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3.0</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7.9</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5.8</w:t>
            </w:r>
          </w:p>
        </w:tc>
        <w:tc>
          <w:tcPr>
            <w:tcW w:w="1276" w:type="dxa"/>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74.0</w:t>
            </w:r>
          </w:p>
        </w:tc>
        <w:tc>
          <w:tcPr>
            <w:tcW w:w="1281"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192.5</w:t>
            </w:r>
          </w:p>
        </w:tc>
      </w:tr>
      <w:tr w:rsidR="001C411D" w:rsidRPr="001F63BA" w:rsidTr="00822650">
        <w:trPr>
          <w:trHeight w:val="207"/>
        </w:trPr>
        <w:tc>
          <w:tcPr>
            <w:tcW w:w="4361" w:type="dxa"/>
            <w:vAlign w:val="bottom"/>
          </w:tcPr>
          <w:p w:rsidR="001C411D" w:rsidRPr="001F63BA" w:rsidRDefault="001C411D" w:rsidP="00822650">
            <w:pPr>
              <w:rPr>
                <w:rFonts w:ascii="GHEA Grapalat" w:hAnsi="GHEA Grapalat" w:cs="Calibri"/>
                <w:sz w:val="18"/>
                <w:szCs w:val="18"/>
              </w:rPr>
            </w:pPr>
            <w:r w:rsidRPr="001F63BA">
              <w:rPr>
                <w:rFonts w:ascii="GHEA Grapalat" w:hAnsi="GHEA Grapalat" w:cs="Calibri"/>
                <w:sz w:val="18"/>
                <w:szCs w:val="18"/>
              </w:rPr>
              <w:t>Ոչ ֆինանսական ակտիվների օտարումից մուտքեր</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(2.1)</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(10.1)</w:t>
            </w:r>
          </w:p>
        </w:tc>
        <w:tc>
          <w:tcPr>
            <w:tcW w:w="1134"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(8.7)</w:t>
            </w:r>
          </w:p>
        </w:tc>
        <w:tc>
          <w:tcPr>
            <w:tcW w:w="1276" w:type="dxa"/>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86.7</w:t>
            </w:r>
          </w:p>
        </w:tc>
        <w:tc>
          <w:tcPr>
            <w:tcW w:w="1281" w:type="dxa"/>
            <w:noWrap/>
            <w:vAlign w:val="bottom"/>
          </w:tcPr>
          <w:p w:rsidR="001C411D" w:rsidRPr="001F63BA" w:rsidRDefault="001C411D" w:rsidP="00822650">
            <w:pPr>
              <w:jc w:val="right"/>
              <w:rPr>
                <w:rFonts w:ascii="GHEA Grapalat" w:hAnsi="GHEA Grapalat" w:cs="Calibri"/>
                <w:sz w:val="18"/>
                <w:szCs w:val="18"/>
              </w:rPr>
            </w:pPr>
            <w:r w:rsidRPr="001F63BA">
              <w:rPr>
                <w:rFonts w:ascii="GHEA Grapalat" w:hAnsi="GHEA Grapalat" w:cs="Calibri"/>
                <w:sz w:val="18"/>
                <w:szCs w:val="18"/>
              </w:rPr>
              <w:t>422.6</w:t>
            </w:r>
          </w:p>
        </w:tc>
      </w:tr>
    </w:tbl>
    <w:p w:rsidR="001C411D" w:rsidRPr="001F63BA" w:rsidRDefault="001C411D" w:rsidP="006C1654">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825B2A">
      <w:pPr>
        <w:pStyle w:val="Heading2"/>
        <w:rPr>
          <w:bCs/>
        </w:rPr>
      </w:pPr>
      <w:bookmarkStart w:id="232" w:name="_Toc69232235"/>
      <w:bookmarkStart w:id="233" w:name="_Toc132204241"/>
      <w:bookmarkEnd w:id="200"/>
      <w:r w:rsidRPr="001F63BA">
        <w:rPr>
          <w:bCs/>
        </w:rPr>
        <w:lastRenderedPageBreak/>
        <w:t>Ծրագրային դասակարգում</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32"/>
      <w:r w:rsidRPr="001F63BA">
        <w:rPr>
          <w:rStyle w:val="FootnoteReference"/>
          <w:bCs/>
        </w:rPr>
        <w:footnoteReference w:id="39"/>
      </w:r>
      <w:bookmarkEnd w:id="233"/>
    </w:p>
    <w:p w:rsidR="001C411D" w:rsidRPr="001F63BA" w:rsidRDefault="001C411D" w:rsidP="003A6BE7">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ՀՀ 20</w:t>
      </w:r>
      <w:r w:rsidRPr="001F63BA">
        <w:rPr>
          <w:rFonts w:ascii="GHEA Grapalat" w:hAnsi="GHEA Grapalat" w:cs="GHEA Grapalat"/>
          <w:sz w:val="22"/>
          <w:szCs w:val="22"/>
          <w:lang w:val="de-AT"/>
        </w:rPr>
        <w:t>22</w:t>
      </w:r>
      <w:r w:rsidRPr="001F63BA">
        <w:rPr>
          <w:rFonts w:ascii="GHEA Grapalat" w:hAnsi="GHEA Grapalat" w:cs="GHEA Grapalat"/>
          <w:sz w:val="22"/>
          <w:szCs w:val="22"/>
        </w:rPr>
        <w:t xml:space="preserve"> թվականի</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պետական բյուջեի</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մասին</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օրենքով</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rPr>
        <w:t>նախատեսվել էր</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թվով</w:t>
      </w:r>
      <w:r w:rsidRPr="001F63BA">
        <w:rPr>
          <w:rFonts w:ascii="GHEA Grapalat" w:hAnsi="GHEA Grapalat" w:cs="GHEA Grapalat"/>
          <w:sz w:val="22"/>
          <w:szCs w:val="22"/>
        </w:rPr>
        <w:t xml:space="preserve"> </w:t>
      </w:r>
      <w:r w:rsidRPr="001F63BA">
        <w:rPr>
          <w:rFonts w:ascii="GHEA Grapalat" w:hAnsi="GHEA Grapalat" w:cs="GHEA Grapalat"/>
          <w:sz w:val="22"/>
          <w:szCs w:val="22"/>
          <w:lang w:val="de-AT"/>
        </w:rPr>
        <w:t>174</w:t>
      </w:r>
      <w:r w:rsidRPr="001F63BA">
        <w:rPr>
          <w:rFonts w:ascii="GHEA Grapalat" w:hAnsi="GHEA Grapalat" w:cs="GHEA Grapalat"/>
          <w:sz w:val="22"/>
          <w:szCs w:val="22"/>
        </w:rPr>
        <w:t xml:space="preserve"> ծրագրերի իրականացում 46 պետական մարմինների և </w:t>
      </w:r>
      <w:r w:rsidRPr="001F63BA">
        <w:rPr>
          <w:rFonts w:ascii="GHEA Grapalat" w:hAnsi="GHEA Grapalat" w:cs="GHEA Grapalat"/>
          <w:sz w:val="22"/>
          <w:szCs w:val="22"/>
          <w:lang w:val="en-US"/>
        </w:rPr>
        <w:t>Կ</w:t>
      </w:r>
      <w:r w:rsidRPr="001F63BA">
        <w:rPr>
          <w:rFonts w:ascii="GHEA Grapalat" w:hAnsi="GHEA Grapalat" w:cs="GHEA Grapalat"/>
          <w:sz w:val="22"/>
          <w:szCs w:val="22"/>
        </w:rPr>
        <w:t xml:space="preserve">առավարության պատասխանատվության ներքո: </w:t>
      </w:r>
      <w:r w:rsidRPr="001F63BA">
        <w:rPr>
          <w:rFonts w:ascii="GHEA Grapalat" w:hAnsi="GHEA Grapalat" w:cs="GHEA Grapalat"/>
          <w:sz w:val="22"/>
          <w:szCs w:val="22"/>
          <w:lang w:val="en-US"/>
        </w:rPr>
        <w:t>Կառավարության</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կատարած</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ճշտումների</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արդյունքում</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նախատեսված</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ծրագրերի</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թիվը</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կազմել</w:t>
      </w:r>
      <w:r w:rsidRPr="001F63BA">
        <w:rPr>
          <w:rFonts w:ascii="GHEA Grapalat" w:hAnsi="GHEA Grapalat" w:cs="GHEA Grapalat"/>
          <w:sz w:val="22"/>
          <w:szCs w:val="22"/>
          <w:lang w:val="de-AT"/>
        </w:rPr>
        <w:t xml:space="preserve"> </w:t>
      </w:r>
      <w:r w:rsidRPr="001F63BA">
        <w:rPr>
          <w:rFonts w:ascii="GHEA Grapalat" w:hAnsi="GHEA Grapalat" w:cs="GHEA Grapalat"/>
          <w:sz w:val="22"/>
          <w:szCs w:val="22"/>
          <w:lang w:val="en-US"/>
        </w:rPr>
        <w:t>է</w:t>
      </w:r>
      <w:r w:rsidRPr="001F63BA">
        <w:rPr>
          <w:rFonts w:ascii="GHEA Grapalat" w:hAnsi="GHEA Grapalat" w:cs="GHEA Grapalat"/>
          <w:sz w:val="22"/>
          <w:szCs w:val="22"/>
          <w:lang w:val="de-AT"/>
        </w:rPr>
        <w:t xml:space="preserve"> 175,</w:t>
      </w:r>
      <w:r w:rsidRPr="001F63BA">
        <w:rPr>
          <w:rFonts w:ascii="GHEA Grapalat" w:hAnsi="GHEA Grapalat" w:cs="GHEA Grapalat"/>
          <w:sz w:val="22"/>
          <w:szCs w:val="22"/>
        </w:rPr>
        <w:t xml:space="preserve"> որից փաստացի միջոցներ են օգտագործվել 1</w:t>
      </w:r>
      <w:r w:rsidRPr="001F63BA">
        <w:rPr>
          <w:rFonts w:ascii="GHEA Grapalat" w:hAnsi="GHEA Grapalat" w:cs="GHEA Grapalat"/>
          <w:sz w:val="22"/>
          <w:szCs w:val="22"/>
          <w:lang w:val="de-AT"/>
        </w:rPr>
        <w:t>71</w:t>
      </w:r>
      <w:r w:rsidRPr="001F63BA">
        <w:rPr>
          <w:rFonts w:ascii="GHEA Grapalat" w:hAnsi="GHEA Grapalat" w:cs="GHEA Grapalat"/>
          <w:sz w:val="22"/>
          <w:szCs w:val="22"/>
        </w:rPr>
        <w:t xml:space="preserve">-ի գծով, իսկ </w:t>
      </w:r>
      <w:r w:rsidRPr="001F63BA">
        <w:rPr>
          <w:rFonts w:ascii="GHEA Grapalat" w:hAnsi="GHEA Grapalat" w:cs="GHEA Grapalat"/>
          <w:sz w:val="22"/>
          <w:szCs w:val="22"/>
          <w:lang w:val="en-US"/>
        </w:rPr>
        <w:t>Կ</w:t>
      </w:r>
      <w:r w:rsidRPr="001F63BA">
        <w:rPr>
          <w:rFonts w:ascii="GHEA Grapalat" w:hAnsi="GHEA Grapalat" w:cs="GHEA Grapalat"/>
          <w:sz w:val="22"/>
          <w:szCs w:val="22"/>
        </w:rPr>
        <w:t xml:space="preserve">առավարության պատասխանատվությամբ 3 ծրագրերի շրջանակներում նախատեսված միջոցներն ըստ անհրաժեշտության վերաբաշխվել են համապատասխան ծրագրերին և միջոցառումներին: Ծրագրերի շրջանակներում նախատեսված </w:t>
      </w:r>
      <w:r w:rsidRPr="001F63BA">
        <w:rPr>
          <w:rFonts w:ascii="GHEA Grapalat" w:hAnsi="GHEA Grapalat" w:cs="GHEA Grapalat"/>
          <w:sz w:val="22"/>
          <w:szCs w:val="22"/>
          <w:lang w:val="de-AT"/>
        </w:rPr>
        <w:t>977</w:t>
      </w:r>
      <w:r w:rsidRPr="001F63BA">
        <w:rPr>
          <w:rFonts w:ascii="GHEA Grapalat" w:hAnsi="GHEA Grapalat" w:cs="GHEA Grapalat"/>
          <w:sz w:val="22"/>
          <w:szCs w:val="22"/>
        </w:rPr>
        <w:t xml:space="preserve"> միջոցառումներից ամբողջությամբ կամ մասնակիորեն կատարվել են </w:t>
      </w:r>
      <w:r w:rsidRPr="001F63BA">
        <w:rPr>
          <w:rFonts w:ascii="GHEA Grapalat" w:hAnsi="GHEA Grapalat" w:cs="GHEA Grapalat"/>
          <w:sz w:val="22"/>
          <w:szCs w:val="22"/>
          <w:lang w:val="de-AT"/>
        </w:rPr>
        <w:t>944-</w:t>
      </w:r>
      <w:r w:rsidRPr="001F63BA">
        <w:rPr>
          <w:rFonts w:ascii="GHEA Grapalat" w:hAnsi="GHEA Grapalat" w:cs="GHEA Grapalat"/>
          <w:sz w:val="22"/>
          <w:szCs w:val="22"/>
        </w:rPr>
        <w:t xml:space="preserve">ը կամ </w:t>
      </w:r>
      <w:r w:rsidRPr="001F63BA">
        <w:rPr>
          <w:rFonts w:ascii="GHEA Grapalat" w:hAnsi="GHEA Grapalat" w:cs="GHEA Grapalat"/>
          <w:sz w:val="22"/>
          <w:szCs w:val="22"/>
          <w:lang w:val="de-AT"/>
        </w:rPr>
        <w:t>96.6</w:t>
      </w:r>
      <w:r w:rsidRPr="001F63BA">
        <w:rPr>
          <w:rFonts w:ascii="GHEA Grapalat" w:hAnsi="GHEA Grapalat" w:cs="GHEA Grapalat"/>
          <w:sz w:val="22"/>
          <w:szCs w:val="22"/>
        </w:rPr>
        <w:t>%-ը:</w:t>
      </w:r>
    </w:p>
    <w:p w:rsidR="001C411D" w:rsidRPr="001F63BA" w:rsidRDefault="001C411D" w:rsidP="003A6BE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ՀՀ պետական բյուջեի ծախսերը կազմել են 2,</w:t>
      </w:r>
      <w:r w:rsidRPr="001F63BA">
        <w:rPr>
          <w:rFonts w:ascii="GHEA Grapalat" w:hAnsi="GHEA Grapalat" w:cs="GHEA Grapalat"/>
          <w:sz w:val="22"/>
          <w:szCs w:val="22"/>
          <w:lang w:val="en-US"/>
        </w:rPr>
        <w:t>242.6</w:t>
      </w:r>
      <w:r w:rsidRPr="001F63BA">
        <w:rPr>
          <w:rFonts w:ascii="GHEA Grapalat" w:hAnsi="GHEA Grapalat" w:cs="GHEA Grapalat"/>
          <w:sz w:val="22"/>
          <w:szCs w:val="22"/>
        </w:rPr>
        <w:t xml:space="preserve"> մլրդ դրամ կամ </w:t>
      </w:r>
      <w:r w:rsidRPr="001F63BA">
        <w:rPr>
          <w:rFonts w:ascii="GHEA Grapalat" w:hAnsi="GHEA Grapalat" w:cs="GHEA Grapalat"/>
          <w:sz w:val="22"/>
          <w:szCs w:val="22"/>
          <w:lang w:val="en-US"/>
        </w:rPr>
        <w:t>սկզբնական ծրագր</w:t>
      </w:r>
      <w:r w:rsidR="00166616" w:rsidRPr="001F63BA">
        <w:rPr>
          <w:rFonts w:ascii="GHEA Grapalat" w:hAnsi="GHEA Grapalat" w:cs="GHEA Grapalat"/>
          <w:sz w:val="22"/>
          <w:szCs w:val="22"/>
          <w:lang w:val="en-US"/>
        </w:rPr>
        <w:t>ով հաստատված ծախսերի 102.7%-ը: Կառավարությ</w:t>
      </w:r>
      <w:r w:rsidRPr="001F63BA">
        <w:rPr>
          <w:rFonts w:ascii="GHEA Grapalat" w:hAnsi="GHEA Grapalat" w:cs="GHEA Grapalat"/>
          <w:sz w:val="22"/>
          <w:szCs w:val="22"/>
          <w:lang w:val="en-US"/>
        </w:rPr>
        <w:t xml:space="preserve">ան լիազորությունների շրջանակներում կատարված փոփոխությունների արդյունքում ճշտված ծրագրային ցուցանիշի նկատմամբ ծախսերի կատարողականը կազմել է </w:t>
      </w:r>
      <w:r w:rsidRPr="001F63BA">
        <w:rPr>
          <w:rFonts w:ascii="GHEA Grapalat" w:hAnsi="GHEA Grapalat" w:cs="GHEA Grapalat"/>
          <w:sz w:val="22"/>
          <w:szCs w:val="22"/>
        </w:rPr>
        <w:t>98%:</w:t>
      </w:r>
      <w:r w:rsidRPr="001F63BA">
        <w:rPr>
          <w:rFonts w:ascii="GHEA Grapalat" w:hAnsi="GHEA Grapalat" w:cs="GHEA Grapalat"/>
          <w:sz w:val="22"/>
          <w:szCs w:val="22"/>
          <w:lang w:val="en-US"/>
        </w:rPr>
        <w:t xml:space="preserve"> Ծրագրային ցուցանիշի ավելացում հիմնականում կատարվել է ՀՀ պաշտպանության նախարարության, ինչպես նաև </w:t>
      </w:r>
      <w:r w:rsidRPr="001F63BA">
        <w:rPr>
          <w:rFonts w:ascii="GHEA Grapalat" w:hAnsi="GHEA Grapalat" w:cs="GHEA Grapalat"/>
          <w:sz w:val="22"/>
          <w:szCs w:val="22"/>
        </w:rPr>
        <w:t>ՀՀ աշխատանքի և սոցիալական հարցերի</w:t>
      </w:r>
      <w:r w:rsidRPr="001F63BA">
        <w:rPr>
          <w:rFonts w:ascii="GHEA Grapalat" w:hAnsi="GHEA Grapalat" w:cs="GHEA Grapalat"/>
          <w:sz w:val="22"/>
          <w:szCs w:val="22"/>
          <w:lang w:val="en-US"/>
        </w:rPr>
        <w:t xml:space="preserve"> ու ՀՀ առողջապահության նախարարությունների ծախսերում, իսկ նվազեցումների հիմնական մասը կատարվել է </w:t>
      </w:r>
      <w:r w:rsidRPr="001F63BA">
        <w:rPr>
          <w:rFonts w:ascii="GHEA Grapalat" w:hAnsi="GHEA Grapalat" w:cs="GHEA Grapalat"/>
          <w:sz w:val="22"/>
          <w:szCs w:val="22"/>
        </w:rPr>
        <w:t>ՀՀ տարածքային կառավարման և ենթակառուցվածքների</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ՀՀ կրթության, գիտության, մշակույթի և սպորտի</w:t>
      </w:r>
      <w:r w:rsidRPr="001F63BA">
        <w:rPr>
          <w:rFonts w:ascii="GHEA Grapalat" w:hAnsi="GHEA Grapalat" w:cs="GHEA Grapalat"/>
          <w:sz w:val="22"/>
          <w:szCs w:val="22"/>
          <w:lang w:val="en-US"/>
        </w:rPr>
        <w:t xml:space="preserve"> և </w:t>
      </w:r>
      <w:r w:rsidRPr="001F63BA">
        <w:rPr>
          <w:rFonts w:ascii="GHEA Grapalat" w:hAnsi="GHEA Grapalat" w:cs="GHEA Grapalat"/>
          <w:sz w:val="22"/>
          <w:szCs w:val="22"/>
        </w:rPr>
        <w:t>ՀՀ ֆինանսների նախարարությ</w:t>
      </w:r>
      <w:r w:rsidRPr="001F63BA">
        <w:rPr>
          <w:rFonts w:ascii="GHEA Grapalat" w:hAnsi="GHEA Grapalat" w:cs="GHEA Grapalat"/>
          <w:sz w:val="22"/>
          <w:szCs w:val="22"/>
          <w:lang w:val="en-US"/>
        </w:rPr>
        <w:t>ունների</w:t>
      </w:r>
      <w:r w:rsidRPr="001F63BA">
        <w:rPr>
          <w:rFonts w:ascii="GHEA Grapalat" w:hAnsi="GHEA Grapalat" w:cs="GHEA Grapalat"/>
          <w:sz w:val="22"/>
          <w:szCs w:val="22"/>
        </w:rPr>
        <w:t xml:space="preserve"> ծախսե</w:t>
      </w:r>
      <w:r w:rsidRPr="001F63BA">
        <w:rPr>
          <w:rFonts w:ascii="GHEA Grapalat" w:hAnsi="GHEA Grapalat" w:cs="GHEA Grapalat"/>
          <w:sz w:val="22"/>
          <w:szCs w:val="22"/>
          <w:lang w:val="en-US"/>
        </w:rPr>
        <w:t xml:space="preserve">րում: </w:t>
      </w:r>
    </w:p>
    <w:p w:rsidR="001C411D" w:rsidRPr="001F63BA" w:rsidRDefault="001C411D" w:rsidP="0047732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 xml:space="preserve">Պաշտպանության նախարարությանը լրացուցիչ հատկացված միջոցները հիմնականում ուղղվել են ՀՀ պաշտպանության ապահովման ծրագրի շրջանակներում ՊՆ շենքային պայմանների բարելավմանը: </w:t>
      </w:r>
    </w:p>
    <w:p w:rsidR="001C411D" w:rsidRPr="001F63BA" w:rsidRDefault="001C411D" w:rsidP="0047732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ՀՀ աշխատանքի և սոցիալական հարցերի</w:t>
      </w:r>
      <w:r w:rsidRPr="001F63BA">
        <w:rPr>
          <w:rFonts w:ascii="GHEA Grapalat" w:hAnsi="GHEA Grapalat" w:cs="GHEA Grapalat"/>
          <w:sz w:val="22"/>
          <w:szCs w:val="22"/>
          <w:lang w:val="en-US"/>
        </w:rPr>
        <w:t xml:space="preserve"> նախարարությանը հատկացված լրացուցիչ միջոցները հիմնականում ուղղվել են կուտակային կենսաթոշակային հատկացումներին` պայմանավորված վերջիններիս չափի և կուտակային կենսաթոշակային համակարգի մասնակիցների թվի աճով, աշխատանքային կենսաթոշակներին՝ պայմանավորված կենսաթոշակների բարձրացմամբ, ինչպես նաև մինչև 2 տարեկան երեխայի խնամքի նպաստին՝ պայմանավորված նպաստառուների թվի աճով: </w:t>
      </w:r>
    </w:p>
    <w:p w:rsidR="001C411D" w:rsidRPr="001F63BA" w:rsidRDefault="001C411D" w:rsidP="0047732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lastRenderedPageBreak/>
        <w:t>ՀՀ առողջապահության նախարարությանը հատկացված լրացուցիչ միջոցները հիմնականում ուղղվել են Հայաստանի Հանրապետությունում կորոնավիրուսային վարակի (COVID-19) կանխարգելման, վերահսկման, բուժման և այլ համալիր միջոցառումների իրականացմանն ու սոցիալապես անապահով և հատուկ խմբերում ընդգրկվածներին բժշկական օգնության ծառայություններին՝ պայմանավորված դեպքերի աճով:</w:t>
      </w:r>
    </w:p>
    <w:p w:rsidR="001C411D" w:rsidRPr="001F63BA" w:rsidRDefault="001C411D" w:rsidP="0047732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ՀՀ տարածքային կառավարման և ենթակառուցվածքների</w:t>
      </w:r>
      <w:r w:rsidRPr="001F63BA">
        <w:rPr>
          <w:rFonts w:ascii="GHEA Grapalat" w:hAnsi="GHEA Grapalat" w:cs="GHEA Grapalat"/>
          <w:sz w:val="22"/>
          <w:szCs w:val="22"/>
          <w:lang w:val="en-US"/>
        </w:rPr>
        <w:t xml:space="preserve"> նախարարությանը հատկացված միջոցների նվազեցումը հիմնականում պայմանավորված է Ճանապարհային ցանցի բարելավման, Ոռոգման համակարգի առողջացման, Քաղաքային զարգացման և Ջրամատակարարման ու ջրահեռացման բարելավման ծրագրերի շրջանակներում նախատեսված արտաքին աջակցությամբ իրականացվող ծրագրերի կատարողականով: </w:t>
      </w:r>
    </w:p>
    <w:p w:rsidR="001C411D" w:rsidRPr="001F63BA" w:rsidRDefault="001C411D" w:rsidP="0047732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ՀՀ կրթության, գիտության, մշակույթի և սպորտի</w:t>
      </w:r>
      <w:r w:rsidRPr="001F63BA">
        <w:rPr>
          <w:rFonts w:ascii="GHEA Grapalat" w:hAnsi="GHEA Grapalat" w:cs="GHEA Grapalat"/>
          <w:sz w:val="22"/>
          <w:szCs w:val="22"/>
          <w:lang w:val="en-US"/>
        </w:rPr>
        <w:t xml:space="preserve"> նախարարությանը հատկացված միջոցների նվազեցումը հիմնականում պայմանավորված է մի շարք ծրագրերի համար նախատեսված ԵՄ դրամաշնորհի համաձայնագիրը չկնքվելու հանգամանքով, 2022 թվականի օգոստոս-հոկտեմբեր ամիսներին ցեմենտի դեֆիցիտով, որը խոչընդոտել է կրթական հաստատությունների շինարարական աշխատանքները, 2022 թվականի սեպտեմբերին հայ-ադրբեջանական սահմանին տեղի ունեցած ռազմական գործողություններով, որոնց պայմաններում մի շարք օբյեկտներում (ՀՀ Գեղարքունիքի, Սյունիքի և Վայոց Ձորի մարզերի սահմանամերձ բնակավայրերում տեղակայված հաստատություններում) անհնար է եղել շինարարական աշխատանքների իրականացումը, ինչպես նաև հանրակրթական դպրոցների և ԲՈՒՀ-երի 2022</w:t>
      </w:r>
      <w:r w:rsidRPr="001F63BA">
        <w:rPr>
          <w:rFonts w:ascii="GHEA Grapalat" w:hAnsi="GHEA Grapalat" w:cs="GHEA Grapalat"/>
          <w:sz w:val="22"/>
          <w:szCs w:val="22"/>
          <w:lang w:val="en-US"/>
        </w:rPr>
        <w:noBreakHyphen/>
        <w:t>2023թթ. ուսումնական տարվա ընդունելության ցածր ցուցանիշներով:</w:t>
      </w:r>
    </w:p>
    <w:p w:rsidR="001C411D" w:rsidRPr="001F63BA" w:rsidRDefault="001C411D" w:rsidP="0047732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ՀՀ </w:t>
      </w:r>
      <w:r w:rsidRPr="001F63BA">
        <w:rPr>
          <w:rFonts w:ascii="GHEA Grapalat" w:hAnsi="GHEA Grapalat" w:cs="GHEA Grapalat"/>
          <w:sz w:val="22"/>
          <w:szCs w:val="22"/>
          <w:lang w:val="en-US"/>
        </w:rPr>
        <w:t xml:space="preserve">ՖՆ ծախսերի կրճատումը կատարվել է հիմնականում </w:t>
      </w:r>
      <w:r w:rsidR="00166616" w:rsidRPr="001F63BA">
        <w:rPr>
          <w:rFonts w:ascii="GHEA Grapalat" w:hAnsi="GHEA Grapalat" w:cs="GHEA Grapalat"/>
          <w:sz w:val="22"/>
          <w:szCs w:val="22"/>
          <w:lang w:val="en-US"/>
        </w:rPr>
        <w:t>Կառավարությ</w:t>
      </w:r>
      <w:r w:rsidRPr="001F63BA">
        <w:rPr>
          <w:rFonts w:ascii="GHEA Grapalat" w:hAnsi="GHEA Grapalat" w:cs="GHEA Grapalat"/>
          <w:sz w:val="22"/>
          <w:szCs w:val="22"/>
          <w:lang w:val="en-US"/>
        </w:rPr>
        <w:t>ան պարտքի սպասարկման ծախսերի գծով՝ պայմանավորված դրամի արժևորմամբ, որոշ վարկային ծրագրերի շրջանակներում մասհանումների թերակատարմամբ, ինչպես նաև գանձապետական պարտատոմսերի տեղաբաշխման գործիքակազմի ճշգրտմամբ (ծրագրվածի համեմատ կարճաժամկետ պարտատոմսերի ավելի շատ թողարկում) և տոկոսադրույքների բարձրացման պայմաններում հետգնումների կատարման արդյունքում ավելի ցածր տոկոսագումարների վճարմամբ:</w:t>
      </w:r>
    </w:p>
    <w:p w:rsidR="001C411D" w:rsidRPr="001F63BA" w:rsidRDefault="001C411D" w:rsidP="003A6BE7">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lang w:val="en-US"/>
        </w:rPr>
        <w:t>Ճշտված ծրագրի նկատմամբ փաստացի ծախսերի</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շ</w:t>
      </w:r>
      <w:r w:rsidRPr="001F63BA">
        <w:rPr>
          <w:rFonts w:ascii="GHEA Grapalat" w:hAnsi="GHEA Grapalat" w:cs="GHEA Grapalat"/>
          <w:sz w:val="22"/>
          <w:szCs w:val="22"/>
        </w:rPr>
        <w:t>եղումը կազմել է 45</w:t>
      </w:r>
      <w:r w:rsidRPr="001F63BA">
        <w:rPr>
          <w:rFonts w:ascii="GHEA Grapalat" w:hAnsi="GHEA Grapalat" w:cs="GHEA Grapalat"/>
          <w:sz w:val="22"/>
          <w:szCs w:val="22"/>
          <w:lang w:val="en-US"/>
        </w:rPr>
        <w:t>.3</w:t>
      </w:r>
      <w:r w:rsidRPr="001F63BA">
        <w:rPr>
          <w:rFonts w:ascii="GHEA Grapalat" w:hAnsi="GHEA Grapalat" w:cs="GHEA Grapalat"/>
          <w:sz w:val="22"/>
          <w:szCs w:val="22"/>
        </w:rPr>
        <w:t xml:space="preserve"> մլրդ դրամ, որը հիմնականում արձանագրվել է ՀՀ տարածքային կառավարման և ենթակառուցվածքների (1</w:t>
      </w:r>
      <w:r w:rsidRPr="001F63BA">
        <w:rPr>
          <w:rFonts w:ascii="GHEA Grapalat" w:hAnsi="GHEA Grapalat" w:cs="GHEA Grapalat"/>
          <w:sz w:val="22"/>
          <w:szCs w:val="22"/>
          <w:lang w:val="en-US"/>
        </w:rPr>
        <w:t>1.9</w:t>
      </w:r>
      <w:r w:rsidRPr="001F63BA">
        <w:rPr>
          <w:rFonts w:ascii="GHEA Grapalat" w:hAnsi="GHEA Grapalat" w:cs="GHEA Grapalat"/>
          <w:sz w:val="22"/>
          <w:szCs w:val="22"/>
        </w:rPr>
        <w:t xml:space="preserve"> մլրդ դրամ), ՀՀ աշխատանքի և սոցիալական հարցերի (</w:t>
      </w:r>
      <w:r w:rsidRPr="001F63BA">
        <w:rPr>
          <w:rFonts w:ascii="GHEA Grapalat" w:hAnsi="GHEA Grapalat" w:cs="GHEA Grapalat"/>
          <w:sz w:val="22"/>
          <w:szCs w:val="22"/>
          <w:lang w:val="en-US"/>
        </w:rPr>
        <w:t>6.8</w:t>
      </w:r>
      <w:r w:rsidRPr="001F63BA">
        <w:rPr>
          <w:rFonts w:ascii="GHEA Grapalat" w:hAnsi="GHEA Grapalat" w:cs="GHEA Grapalat"/>
          <w:sz w:val="22"/>
          <w:szCs w:val="22"/>
        </w:rPr>
        <w:t xml:space="preserve"> մլրդ դրամ), ՀՀ կրթության, գիտության, մշակույթի և սպորտի (</w:t>
      </w:r>
      <w:r w:rsidRPr="001F63BA">
        <w:rPr>
          <w:rFonts w:ascii="GHEA Grapalat" w:hAnsi="GHEA Grapalat" w:cs="GHEA Grapalat"/>
          <w:sz w:val="22"/>
          <w:szCs w:val="22"/>
          <w:lang w:val="en-US"/>
        </w:rPr>
        <w:t>5.5</w:t>
      </w:r>
      <w:r w:rsidRPr="001F63BA">
        <w:rPr>
          <w:rFonts w:ascii="GHEA Grapalat" w:hAnsi="GHEA Grapalat" w:cs="GHEA Grapalat"/>
          <w:sz w:val="22"/>
          <w:szCs w:val="22"/>
        </w:rPr>
        <w:t xml:space="preserve"> մլրդ դրամ), ՀՀ էկոնոմիկայի (2.</w:t>
      </w:r>
      <w:r w:rsidRPr="001F63BA">
        <w:rPr>
          <w:rFonts w:ascii="GHEA Grapalat" w:hAnsi="GHEA Grapalat" w:cs="GHEA Grapalat"/>
          <w:sz w:val="22"/>
          <w:szCs w:val="22"/>
          <w:lang w:val="en-US"/>
        </w:rPr>
        <w:t>6</w:t>
      </w:r>
      <w:r w:rsidRPr="001F63BA">
        <w:rPr>
          <w:rFonts w:ascii="GHEA Grapalat" w:hAnsi="GHEA Grapalat" w:cs="GHEA Grapalat"/>
          <w:sz w:val="22"/>
          <w:szCs w:val="22"/>
        </w:rPr>
        <w:t xml:space="preserve"> մլրդ դրամ), </w:t>
      </w:r>
      <w:r w:rsidRPr="001F63BA">
        <w:rPr>
          <w:rFonts w:ascii="GHEA Grapalat" w:hAnsi="GHEA Grapalat" w:cs="GHEA Grapalat"/>
          <w:sz w:val="22"/>
          <w:szCs w:val="22"/>
          <w:lang w:val="en-US"/>
        </w:rPr>
        <w:t xml:space="preserve">ՀՀ առողջապահության (1.8 մլրդ դրամ), </w:t>
      </w:r>
      <w:r w:rsidRPr="001F63BA">
        <w:rPr>
          <w:rFonts w:ascii="GHEA Grapalat" w:hAnsi="GHEA Grapalat" w:cs="GHEA Grapalat"/>
          <w:sz w:val="22"/>
          <w:szCs w:val="22"/>
        </w:rPr>
        <w:t>ՀՀ արդարադատության (</w:t>
      </w:r>
      <w:r w:rsidRPr="001F63BA">
        <w:rPr>
          <w:rFonts w:ascii="GHEA Grapalat" w:hAnsi="GHEA Grapalat" w:cs="GHEA Grapalat"/>
          <w:sz w:val="22"/>
          <w:szCs w:val="22"/>
          <w:lang w:val="en-US"/>
        </w:rPr>
        <w:t>1.4</w:t>
      </w:r>
      <w:r w:rsidRPr="001F63BA">
        <w:rPr>
          <w:rFonts w:ascii="GHEA Grapalat" w:hAnsi="GHEA Grapalat" w:cs="GHEA Grapalat"/>
          <w:sz w:val="22"/>
          <w:szCs w:val="22"/>
        </w:rPr>
        <w:t xml:space="preserve"> մլրդ դրամ) </w:t>
      </w:r>
      <w:r w:rsidRPr="001F63BA">
        <w:rPr>
          <w:rFonts w:ascii="GHEA Grapalat" w:hAnsi="GHEA Grapalat" w:cs="GHEA Grapalat"/>
          <w:sz w:val="22"/>
          <w:szCs w:val="22"/>
          <w:lang w:val="en-US"/>
        </w:rPr>
        <w:t xml:space="preserve">և ՀՀ բարձր տեխնոլոգիական արդյունաբերության </w:t>
      </w:r>
      <w:r w:rsidRPr="001F63BA">
        <w:rPr>
          <w:rFonts w:ascii="GHEA Grapalat" w:hAnsi="GHEA Grapalat" w:cs="GHEA Grapalat"/>
          <w:sz w:val="22"/>
          <w:szCs w:val="22"/>
        </w:rPr>
        <w:t>(</w:t>
      </w:r>
      <w:r w:rsidRPr="001F63BA">
        <w:rPr>
          <w:rFonts w:ascii="GHEA Grapalat" w:hAnsi="GHEA Grapalat" w:cs="GHEA Grapalat"/>
          <w:sz w:val="22"/>
          <w:szCs w:val="22"/>
          <w:lang w:val="en-US"/>
        </w:rPr>
        <w:t>1.4</w:t>
      </w:r>
      <w:r w:rsidRPr="001F63BA">
        <w:rPr>
          <w:rFonts w:ascii="GHEA Grapalat" w:hAnsi="GHEA Grapalat" w:cs="GHEA Grapalat"/>
          <w:sz w:val="22"/>
          <w:szCs w:val="22"/>
        </w:rPr>
        <w:t xml:space="preserve"> մլրդ դրամ) նախարարությունների,</w:t>
      </w:r>
      <w:r w:rsidRPr="001F63BA">
        <w:rPr>
          <w:rFonts w:ascii="GHEA Grapalat" w:hAnsi="GHEA Grapalat" w:cs="GHEA Grapalat"/>
          <w:sz w:val="22"/>
          <w:szCs w:val="22"/>
          <w:lang w:val="en-US"/>
        </w:rPr>
        <w:t xml:space="preserve"> ինչպես նաև</w:t>
      </w:r>
      <w:r w:rsidRPr="001F63BA">
        <w:rPr>
          <w:rFonts w:ascii="GHEA Grapalat" w:hAnsi="GHEA Grapalat" w:cs="GHEA Grapalat"/>
          <w:sz w:val="22"/>
          <w:szCs w:val="22"/>
        </w:rPr>
        <w:t xml:space="preserve"> ՀՀ </w:t>
      </w:r>
      <w:r w:rsidRPr="001F63BA">
        <w:rPr>
          <w:rFonts w:ascii="GHEA Grapalat" w:hAnsi="GHEA Grapalat" w:cs="GHEA Grapalat"/>
          <w:sz w:val="22"/>
          <w:szCs w:val="22"/>
          <w:lang w:val="en-US"/>
        </w:rPr>
        <w:t xml:space="preserve">պետական </w:t>
      </w:r>
      <w:r w:rsidRPr="001F63BA">
        <w:rPr>
          <w:rFonts w:ascii="GHEA Grapalat" w:hAnsi="GHEA Grapalat" w:cs="GHEA Grapalat"/>
          <w:sz w:val="22"/>
          <w:szCs w:val="22"/>
          <w:lang w:val="en-US"/>
        </w:rPr>
        <w:lastRenderedPageBreak/>
        <w:t>եկամուտների կոմիտեի</w:t>
      </w:r>
      <w:r w:rsidRPr="001F63BA">
        <w:rPr>
          <w:rFonts w:ascii="GHEA Grapalat" w:hAnsi="GHEA Grapalat" w:cs="GHEA Grapalat"/>
          <w:sz w:val="22"/>
          <w:szCs w:val="22"/>
        </w:rPr>
        <w:t xml:space="preserve"> (2.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մլրդ դրամ) և ՀՀ Ազգային անվտանգության ծառայության (</w:t>
      </w:r>
      <w:r w:rsidRPr="001F63BA">
        <w:rPr>
          <w:rFonts w:ascii="GHEA Grapalat" w:hAnsi="GHEA Grapalat" w:cs="GHEA Grapalat"/>
          <w:sz w:val="22"/>
          <w:szCs w:val="22"/>
          <w:lang w:val="en-US"/>
        </w:rPr>
        <w:t>2.1</w:t>
      </w:r>
      <w:r w:rsidRPr="001F63BA">
        <w:rPr>
          <w:rFonts w:ascii="GHEA Grapalat" w:hAnsi="GHEA Grapalat" w:cs="GHEA Grapalat"/>
          <w:sz w:val="22"/>
          <w:szCs w:val="22"/>
        </w:rPr>
        <w:t xml:space="preserve"> մլրդ դրամ) պատասխանատվությամբ իրականացվող ծրագրերում:</w:t>
      </w:r>
    </w:p>
    <w:p w:rsidR="001C411D" w:rsidRPr="001F63BA" w:rsidRDefault="001C411D" w:rsidP="003A6BE7">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Պետական բյուջեի փաստացի ծախսերում ամենամեծ տեսակարար կշիռները՝ </w:t>
      </w:r>
      <w:r w:rsidRPr="001F63BA">
        <w:rPr>
          <w:rFonts w:ascii="GHEA Grapalat" w:hAnsi="GHEA Grapalat" w:cs="GHEA Grapalat"/>
          <w:sz w:val="22"/>
          <w:szCs w:val="22"/>
          <w:lang w:val="en-US"/>
        </w:rPr>
        <w:t>27.4</w:t>
      </w:r>
      <w:r w:rsidRPr="001F63BA">
        <w:rPr>
          <w:rFonts w:ascii="GHEA Grapalat" w:hAnsi="GHEA Grapalat" w:cs="GHEA Grapalat"/>
          <w:sz w:val="22"/>
          <w:szCs w:val="22"/>
        </w:rPr>
        <w:t xml:space="preserve">% և </w:t>
      </w:r>
      <w:r w:rsidRPr="001F63BA">
        <w:rPr>
          <w:rFonts w:ascii="GHEA Grapalat" w:hAnsi="GHEA Grapalat" w:cs="GHEA Grapalat"/>
          <w:sz w:val="22"/>
          <w:szCs w:val="22"/>
          <w:lang w:val="en-US"/>
        </w:rPr>
        <w:t>21.4</w:t>
      </w:r>
      <w:r w:rsidRPr="001F63BA">
        <w:rPr>
          <w:rFonts w:ascii="GHEA Grapalat" w:hAnsi="GHEA Grapalat" w:cs="GHEA Grapalat"/>
          <w:sz w:val="22"/>
          <w:szCs w:val="22"/>
        </w:rPr>
        <w:t xml:space="preserve">%, ունեցել են համապատասխանաբար ՀՀ աշխատանքի և սոցիալական հարցերի նախարարության </w:t>
      </w:r>
      <w:r w:rsidRPr="001F63BA">
        <w:rPr>
          <w:rFonts w:ascii="GHEA Grapalat" w:hAnsi="GHEA Grapalat" w:cs="GHEA Grapalat"/>
          <w:sz w:val="22"/>
          <w:szCs w:val="22"/>
          <w:lang w:val="en-US"/>
        </w:rPr>
        <w:t>ու</w:t>
      </w:r>
      <w:r w:rsidRPr="001F63BA">
        <w:rPr>
          <w:rFonts w:ascii="GHEA Grapalat" w:hAnsi="GHEA Grapalat" w:cs="GHEA Grapalat"/>
          <w:sz w:val="22"/>
          <w:szCs w:val="22"/>
        </w:rPr>
        <w:t xml:space="preserve"> ՀՀ պաշտպանության նախարարության պատասխանատվությամբ իրականացվող ծրագրերը:</w:t>
      </w:r>
    </w:p>
    <w:p w:rsidR="001C411D" w:rsidRPr="001F63BA" w:rsidRDefault="001C411D" w:rsidP="003A6BE7">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թվականի համեմատ ՀՀ պետական բյուջեի ծախսերի աճը հիմնականում պայմանավորված է </w:t>
      </w:r>
      <w:r w:rsidRPr="001F63BA">
        <w:rPr>
          <w:rFonts w:ascii="GHEA Grapalat" w:hAnsi="GHEA Grapalat" w:cs="GHEA Grapalat"/>
          <w:sz w:val="22"/>
          <w:szCs w:val="22"/>
          <w:lang w:val="en-US"/>
        </w:rPr>
        <w:t xml:space="preserve">ՀՀ պաշտպանության, ՀՀ կրթության, գիտության, մշակույթի և սպորտի, </w:t>
      </w:r>
      <w:r w:rsidRPr="001F63BA">
        <w:rPr>
          <w:rFonts w:ascii="GHEA Grapalat" w:hAnsi="GHEA Grapalat" w:cs="GHEA Grapalat"/>
          <w:sz w:val="22"/>
          <w:szCs w:val="22"/>
        </w:rPr>
        <w:t>ՀՀ տարածքային կառավարման և ենթակառուցվածքների</w:t>
      </w:r>
      <w:r w:rsidRPr="001F63BA">
        <w:rPr>
          <w:rFonts w:ascii="GHEA Grapalat" w:hAnsi="GHEA Grapalat" w:cs="GHEA Grapalat"/>
          <w:sz w:val="22"/>
          <w:szCs w:val="22"/>
          <w:lang w:val="en-US"/>
        </w:rPr>
        <w:t xml:space="preserve"> և </w:t>
      </w:r>
      <w:r w:rsidRPr="001F63BA">
        <w:rPr>
          <w:rFonts w:ascii="GHEA Grapalat" w:hAnsi="GHEA Grapalat" w:cs="GHEA Grapalat"/>
          <w:sz w:val="22"/>
          <w:szCs w:val="22"/>
        </w:rPr>
        <w:t>ՀՀ ֆինանսների նախարարությ</w:t>
      </w:r>
      <w:r w:rsidRPr="001F63BA">
        <w:rPr>
          <w:rFonts w:ascii="GHEA Grapalat" w:hAnsi="GHEA Grapalat" w:cs="GHEA Grapalat"/>
          <w:sz w:val="22"/>
          <w:szCs w:val="22"/>
          <w:lang w:val="en-US"/>
        </w:rPr>
        <w:t>ունների</w:t>
      </w:r>
      <w:r w:rsidRPr="001F63BA">
        <w:rPr>
          <w:rFonts w:ascii="GHEA Grapalat" w:hAnsi="GHEA Grapalat" w:cs="GHEA Grapalat"/>
          <w:sz w:val="22"/>
          <w:szCs w:val="22"/>
        </w:rPr>
        <w:t xml:space="preserve"> ծախսերի աճով:</w:t>
      </w:r>
    </w:p>
    <w:p w:rsidR="001C411D" w:rsidRPr="001F63BA" w:rsidRDefault="001C411D" w:rsidP="003A6BE7">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 ծախսերն ըստ պատասխանատու մարմինների (մլրդ դրամ)</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6"/>
        <w:gridCol w:w="1179"/>
        <w:gridCol w:w="900"/>
        <w:gridCol w:w="1115"/>
        <w:gridCol w:w="1156"/>
        <w:gridCol w:w="1203"/>
        <w:gridCol w:w="807"/>
        <w:gridCol w:w="948"/>
      </w:tblGrid>
      <w:tr w:rsidR="001C411D" w:rsidRPr="001F63BA" w:rsidTr="002F2CD0">
        <w:trPr>
          <w:trHeight w:val="300"/>
          <w:jc w:val="center"/>
        </w:trPr>
        <w:tc>
          <w:tcPr>
            <w:tcW w:w="3116" w:type="dxa"/>
            <w:noWrap/>
            <w:vAlign w:val="bottom"/>
          </w:tcPr>
          <w:p w:rsidR="001C411D" w:rsidRPr="001F63BA" w:rsidRDefault="001C411D" w:rsidP="00CB54A9">
            <w:pPr>
              <w:rPr>
                <w:rFonts w:ascii="GHEA Grapalat" w:hAnsi="GHEA Grapalat" w:cs="Calibri"/>
                <w:sz w:val="18"/>
                <w:szCs w:val="18"/>
              </w:rPr>
            </w:pPr>
          </w:p>
        </w:tc>
        <w:tc>
          <w:tcPr>
            <w:tcW w:w="1182"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1</w:t>
            </w:r>
            <w:r w:rsidRPr="001F63BA">
              <w:rPr>
                <w:rFonts w:ascii="GHEA Grapalat" w:hAnsi="GHEA Grapalat" w:cs="Calibri"/>
                <w:b/>
                <w:sz w:val="18"/>
                <w:szCs w:val="18"/>
              </w:rPr>
              <w:t>թ. փաստացի</w:t>
            </w:r>
          </w:p>
        </w:tc>
        <w:tc>
          <w:tcPr>
            <w:tcW w:w="900" w:type="dxa"/>
          </w:tcPr>
          <w:p w:rsidR="001C411D" w:rsidRPr="001F63BA" w:rsidRDefault="001C411D" w:rsidP="00A00DC2">
            <w:pPr>
              <w:rPr>
                <w:rFonts w:ascii="GHEA Grapalat" w:hAnsi="GHEA Grapalat" w:cs="Calibri"/>
                <w:b/>
                <w:sz w:val="18"/>
                <w:szCs w:val="18"/>
                <w:lang w:val="en-US"/>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ծրագիր</w:t>
            </w:r>
          </w:p>
        </w:tc>
        <w:tc>
          <w:tcPr>
            <w:tcW w:w="1137"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ծրագիր</w:t>
            </w:r>
          </w:p>
        </w:tc>
        <w:tc>
          <w:tcPr>
            <w:tcW w:w="1156" w:type="dxa"/>
            <w:noWrap/>
          </w:tcPr>
          <w:p w:rsidR="001C411D" w:rsidRPr="001F63BA" w:rsidRDefault="001C411D" w:rsidP="00A00DC2">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փաստացի</w:t>
            </w:r>
          </w:p>
        </w:tc>
        <w:tc>
          <w:tcPr>
            <w:tcW w:w="1136" w:type="dxa"/>
          </w:tcPr>
          <w:p w:rsidR="001C411D" w:rsidRPr="001F63BA" w:rsidRDefault="001C411D" w:rsidP="00CB54A9">
            <w:pPr>
              <w:jc w:val="center"/>
              <w:rPr>
                <w:rFonts w:ascii="GHEA Grapalat" w:hAnsi="GHEA Grapalat" w:cs="Calibri"/>
                <w:b/>
                <w:sz w:val="18"/>
                <w:szCs w:val="18"/>
                <w:lang w:val="en-US"/>
              </w:rPr>
            </w:pPr>
            <w:r w:rsidRPr="001F63BA">
              <w:rPr>
                <w:rFonts w:ascii="GHEA Grapalat" w:hAnsi="GHEA Grapalat" w:cs="Calibri"/>
                <w:b/>
                <w:sz w:val="18"/>
                <w:szCs w:val="18"/>
              </w:rPr>
              <w:t>Կատարո-ղական</w:t>
            </w:r>
            <w:r w:rsidRPr="001F63BA">
              <w:rPr>
                <w:rFonts w:ascii="GHEA Grapalat" w:hAnsi="GHEA Grapalat" w:cs="Calibri"/>
                <w:b/>
                <w:sz w:val="18"/>
                <w:szCs w:val="18"/>
                <w:lang w:val="en-US"/>
              </w:rPr>
              <w:t xml:space="preserve"> ճշտված ծրագրի նկատմամբ</w:t>
            </w:r>
          </w:p>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w:t>
            </w:r>
          </w:p>
        </w:tc>
        <w:tc>
          <w:tcPr>
            <w:tcW w:w="822" w:type="dxa"/>
          </w:tcPr>
          <w:p w:rsidR="001C411D" w:rsidRPr="001F63BA" w:rsidRDefault="001C411D" w:rsidP="00CB54A9">
            <w:pPr>
              <w:jc w:val="center"/>
              <w:rPr>
                <w:rFonts w:ascii="GHEA Grapalat" w:hAnsi="GHEA Grapalat" w:cs="Calibri"/>
                <w:b/>
                <w:sz w:val="18"/>
                <w:szCs w:val="18"/>
                <w:lang w:val="en-US"/>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 xml:space="preserve"> / 202</w:t>
            </w:r>
            <w:r w:rsidRPr="001F63BA">
              <w:rPr>
                <w:rFonts w:ascii="GHEA Grapalat" w:hAnsi="GHEA Grapalat" w:cs="Calibri"/>
                <w:b/>
                <w:sz w:val="18"/>
                <w:szCs w:val="18"/>
                <w:lang w:val="en-US"/>
              </w:rPr>
              <w:t>1</w:t>
            </w:r>
          </w:p>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w:t>
            </w:r>
          </w:p>
        </w:tc>
        <w:tc>
          <w:tcPr>
            <w:tcW w:w="975" w:type="dxa"/>
          </w:tcPr>
          <w:p w:rsidR="001C411D" w:rsidRPr="001F63BA" w:rsidRDefault="001C411D" w:rsidP="00CB54A9">
            <w:pPr>
              <w:jc w:val="center"/>
              <w:rPr>
                <w:rFonts w:ascii="GHEA Grapalat" w:hAnsi="GHEA Grapalat" w:cs="Calibri"/>
                <w:b/>
                <w:sz w:val="18"/>
                <w:szCs w:val="18"/>
                <w:lang w:val="en-US"/>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 xml:space="preserve"> – 202</w:t>
            </w:r>
            <w:r w:rsidRPr="001F63BA">
              <w:rPr>
                <w:rFonts w:ascii="GHEA Grapalat" w:hAnsi="GHEA Grapalat" w:cs="Calibri"/>
                <w:b/>
                <w:sz w:val="18"/>
                <w:szCs w:val="18"/>
                <w:lang w:val="en-US"/>
              </w:rPr>
              <w:t>1</w:t>
            </w:r>
          </w:p>
          <w:p w:rsidR="001C411D" w:rsidRPr="001F63BA" w:rsidRDefault="001C411D" w:rsidP="00CB54A9">
            <w:pPr>
              <w:rPr>
                <w:rFonts w:ascii="GHEA Grapalat" w:hAnsi="GHEA Grapalat" w:cs="Calibri"/>
                <w:b/>
                <w:sz w:val="18"/>
                <w:szCs w:val="18"/>
              </w:rPr>
            </w:pPr>
          </w:p>
        </w:tc>
      </w:tr>
      <w:tr w:rsidR="001C411D" w:rsidRPr="001F63BA" w:rsidTr="005439C9">
        <w:trPr>
          <w:trHeight w:val="331"/>
          <w:jc w:val="center"/>
        </w:trPr>
        <w:tc>
          <w:tcPr>
            <w:tcW w:w="3116" w:type="dxa"/>
            <w:vAlign w:val="bottom"/>
          </w:tcPr>
          <w:p w:rsidR="001C411D" w:rsidRPr="001F63BA" w:rsidRDefault="001C411D" w:rsidP="002F2CD0">
            <w:pPr>
              <w:rPr>
                <w:rFonts w:ascii="GHEA Grapalat" w:hAnsi="GHEA Grapalat" w:cs="Calibri"/>
                <w:b/>
                <w:sz w:val="18"/>
                <w:szCs w:val="18"/>
              </w:rPr>
            </w:pPr>
            <w:r w:rsidRPr="001F63BA">
              <w:rPr>
                <w:rFonts w:ascii="GHEA Grapalat" w:hAnsi="GHEA Grapalat" w:cs="Calibri"/>
                <w:b/>
                <w:sz w:val="18"/>
                <w:szCs w:val="18"/>
              </w:rPr>
              <w:t>ԸՆԴԱՄԵՆԸ ԾԱԽՍԵՐ</w:t>
            </w:r>
          </w:p>
        </w:tc>
        <w:tc>
          <w:tcPr>
            <w:tcW w:w="1182" w:type="dxa"/>
            <w:vAlign w:val="bottom"/>
          </w:tcPr>
          <w:p w:rsidR="001C411D" w:rsidRPr="001F63BA" w:rsidRDefault="001C411D" w:rsidP="002F2CD0">
            <w:pPr>
              <w:jc w:val="right"/>
              <w:rPr>
                <w:rFonts w:ascii="GHEA Grapalat" w:hAnsi="GHEA Grapalat" w:cs="Calibri"/>
                <w:b/>
                <w:sz w:val="18"/>
                <w:szCs w:val="18"/>
              </w:rPr>
            </w:pPr>
            <w:r w:rsidRPr="001F63BA">
              <w:rPr>
                <w:rFonts w:ascii="GHEA Grapalat" w:hAnsi="GHEA Grapalat" w:cs="Calibri"/>
                <w:b/>
                <w:bCs/>
                <w:sz w:val="18"/>
                <w:szCs w:val="18"/>
                <w:lang w:val="en-US"/>
              </w:rPr>
              <w:t>2</w:t>
            </w:r>
            <w:r w:rsidRPr="001F63BA">
              <w:rPr>
                <w:rFonts w:ascii="GHEA Grapalat" w:hAnsi="GHEA Grapalat" w:cs="Calibri"/>
                <w:b/>
                <w:bCs/>
                <w:sz w:val="18"/>
                <w:szCs w:val="18"/>
              </w:rPr>
              <w:t>,</w:t>
            </w:r>
            <w:r w:rsidRPr="001F63BA">
              <w:rPr>
                <w:rFonts w:ascii="GHEA Grapalat" w:hAnsi="GHEA Grapalat" w:cs="Calibri"/>
                <w:b/>
                <w:bCs/>
                <w:sz w:val="18"/>
                <w:szCs w:val="18"/>
                <w:lang w:val="en-US"/>
              </w:rPr>
              <w:t>004.3</w:t>
            </w:r>
          </w:p>
        </w:tc>
        <w:tc>
          <w:tcPr>
            <w:tcW w:w="900" w:type="dxa"/>
            <w:vAlign w:val="bottom"/>
          </w:tcPr>
          <w:p w:rsidR="001C411D" w:rsidRPr="001F63BA" w:rsidRDefault="001C411D" w:rsidP="002F2CD0">
            <w:pPr>
              <w:jc w:val="right"/>
              <w:rPr>
                <w:rFonts w:ascii="GHEA Grapalat" w:hAnsi="GHEA Grapalat" w:cs="Calibri"/>
                <w:b/>
                <w:bCs/>
                <w:sz w:val="18"/>
                <w:szCs w:val="18"/>
                <w:lang w:val="en-US"/>
              </w:rPr>
            </w:pPr>
            <w:r w:rsidRPr="001F63BA">
              <w:rPr>
                <w:rFonts w:ascii="GHEA Grapalat" w:hAnsi="GHEA Grapalat" w:cs="Calibri"/>
                <w:b/>
                <w:bCs/>
                <w:sz w:val="18"/>
                <w:szCs w:val="18"/>
                <w:lang w:val="en-US"/>
              </w:rPr>
              <w:t xml:space="preserve"> 2,184.0</w:t>
            </w:r>
          </w:p>
        </w:tc>
        <w:tc>
          <w:tcPr>
            <w:tcW w:w="1137" w:type="dxa"/>
            <w:vAlign w:val="bottom"/>
          </w:tcPr>
          <w:p w:rsidR="001C411D" w:rsidRPr="001F63BA" w:rsidRDefault="001C411D" w:rsidP="005439C9">
            <w:pPr>
              <w:jc w:val="right"/>
              <w:rPr>
                <w:rFonts w:ascii="GHEA Grapalat" w:hAnsi="GHEA Grapalat" w:cs="Calibri"/>
                <w:b/>
                <w:bCs/>
                <w:sz w:val="18"/>
                <w:szCs w:val="18"/>
                <w:lang w:val="en-US"/>
              </w:rPr>
            </w:pPr>
            <w:r w:rsidRPr="001F63BA">
              <w:rPr>
                <w:rFonts w:ascii="GHEA Grapalat" w:hAnsi="GHEA Grapalat" w:cs="Calibri"/>
                <w:b/>
                <w:bCs/>
                <w:sz w:val="18"/>
                <w:szCs w:val="18"/>
                <w:lang w:val="en-US"/>
              </w:rPr>
              <w:t>2,288.0</w:t>
            </w:r>
          </w:p>
        </w:tc>
        <w:tc>
          <w:tcPr>
            <w:tcW w:w="1156" w:type="dxa"/>
            <w:vAlign w:val="bottom"/>
          </w:tcPr>
          <w:p w:rsidR="001C411D" w:rsidRPr="001F63BA" w:rsidRDefault="001C411D" w:rsidP="005439C9">
            <w:pPr>
              <w:jc w:val="right"/>
              <w:rPr>
                <w:rFonts w:ascii="GHEA Grapalat" w:hAnsi="GHEA Grapalat" w:cs="Calibri"/>
                <w:b/>
                <w:bCs/>
                <w:sz w:val="18"/>
                <w:szCs w:val="18"/>
                <w:lang w:val="en-US"/>
              </w:rPr>
            </w:pPr>
            <w:r w:rsidRPr="001F63BA">
              <w:rPr>
                <w:rFonts w:ascii="GHEA Grapalat" w:hAnsi="GHEA Grapalat" w:cs="Calibri"/>
                <w:b/>
                <w:bCs/>
                <w:sz w:val="18"/>
                <w:szCs w:val="18"/>
                <w:lang w:val="en-US"/>
              </w:rPr>
              <w:t>2,242.6</w:t>
            </w:r>
          </w:p>
        </w:tc>
        <w:tc>
          <w:tcPr>
            <w:tcW w:w="1136" w:type="dxa"/>
            <w:vAlign w:val="bottom"/>
          </w:tcPr>
          <w:p w:rsidR="001C411D" w:rsidRPr="001F63BA" w:rsidRDefault="001C411D" w:rsidP="005439C9">
            <w:pPr>
              <w:jc w:val="right"/>
              <w:rPr>
                <w:rFonts w:ascii="GHEA Grapalat" w:hAnsi="GHEA Grapalat" w:cs="Calibri"/>
                <w:b/>
                <w:bCs/>
                <w:sz w:val="18"/>
                <w:szCs w:val="18"/>
                <w:lang w:val="en-US"/>
              </w:rPr>
            </w:pPr>
            <w:r w:rsidRPr="001F63BA">
              <w:rPr>
                <w:rFonts w:ascii="GHEA Grapalat" w:hAnsi="GHEA Grapalat" w:cs="Calibri"/>
                <w:b/>
                <w:bCs/>
                <w:sz w:val="18"/>
                <w:szCs w:val="18"/>
                <w:lang w:val="en-US"/>
              </w:rPr>
              <w:t>98.0</w:t>
            </w:r>
          </w:p>
        </w:tc>
        <w:tc>
          <w:tcPr>
            <w:tcW w:w="822" w:type="dxa"/>
            <w:vAlign w:val="bottom"/>
          </w:tcPr>
          <w:p w:rsidR="001C411D" w:rsidRPr="001F63BA" w:rsidRDefault="001C411D" w:rsidP="005439C9">
            <w:pPr>
              <w:jc w:val="right"/>
              <w:rPr>
                <w:rFonts w:ascii="GHEA Grapalat" w:hAnsi="GHEA Grapalat" w:cs="Calibri"/>
                <w:b/>
                <w:bCs/>
                <w:sz w:val="18"/>
                <w:szCs w:val="18"/>
                <w:lang w:val="en-US"/>
              </w:rPr>
            </w:pPr>
            <w:r w:rsidRPr="001F63BA">
              <w:rPr>
                <w:rFonts w:ascii="GHEA Grapalat" w:hAnsi="GHEA Grapalat" w:cs="Calibri"/>
                <w:b/>
                <w:bCs/>
                <w:sz w:val="18"/>
                <w:szCs w:val="18"/>
                <w:lang w:val="en-US"/>
              </w:rPr>
              <w:t>111.9</w:t>
            </w:r>
          </w:p>
        </w:tc>
        <w:tc>
          <w:tcPr>
            <w:tcW w:w="975" w:type="dxa"/>
            <w:vAlign w:val="bottom"/>
          </w:tcPr>
          <w:p w:rsidR="001C411D" w:rsidRPr="001F63BA" w:rsidRDefault="001C411D" w:rsidP="005439C9">
            <w:pPr>
              <w:jc w:val="right"/>
              <w:rPr>
                <w:rFonts w:ascii="GHEA Grapalat" w:hAnsi="GHEA Grapalat" w:cs="Calibri"/>
                <w:b/>
                <w:bCs/>
                <w:sz w:val="18"/>
                <w:szCs w:val="18"/>
                <w:lang w:val="en-US"/>
              </w:rPr>
            </w:pPr>
            <w:r w:rsidRPr="001F63BA">
              <w:rPr>
                <w:rFonts w:ascii="GHEA Grapalat" w:hAnsi="GHEA Grapalat" w:cs="Calibri"/>
                <w:b/>
                <w:bCs/>
                <w:sz w:val="18"/>
                <w:szCs w:val="18"/>
                <w:lang w:val="en-US"/>
              </w:rPr>
              <w:t>238.3</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rPr>
            </w:pPr>
            <w:r w:rsidRPr="001F63BA">
              <w:rPr>
                <w:rFonts w:ascii="GHEA Grapalat" w:hAnsi="GHEA Grapalat" w:cs="Calibri"/>
                <w:sz w:val="18"/>
                <w:szCs w:val="18"/>
              </w:rPr>
              <w:t>ՀՀ ՏԿԵՆ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201.4</w:t>
            </w:r>
          </w:p>
        </w:tc>
        <w:tc>
          <w:tcPr>
            <w:tcW w:w="900"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274.2</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235.3</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223.3</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94.9</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110.9</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21.9</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rPr>
            </w:pPr>
            <w:r w:rsidRPr="001F63BA">
              <w:rPr>
                <w:rFonts w:ascii="GHEA Grapalat" w:hAnsi="GHEA Grapalat" w:cs="Calibri"/>
                <w:sz w:val="18"/>
                <w:szCs w:val="18"/>
              </w:rPr>
              <w:t>ՀՀ առողջապահության նախարարություն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157.9</w:t>
            </w:r>
          </w:p>
        </w:tc>
        <w:tc>
          <w:tcPr>
            <w:tcW w:w="900"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119.7</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142.4</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140.6</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98.7</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89.1</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(17.3)</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rPr>
            </w:pPr>
            <w:r w:rsidRPr="001F63BA">
              <w:rPr>
                <w:rFonts w:ascii="GHEA Grapalat" w:hAnsi="GHEA Grapalat" w:cs="Calibri"/>
                <w:sz w:val="18"/>
                <w:szCs w:val="18"/>
              </w:rPr>
              <w:t>ՀՀ էկոնոմիկայի նախարարություն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43.4</w:t>
            </w:r>
          </w:p>
        </w:tc>
        <w:tc>
          <w:tcPr>
            <w:tcW w:w="900"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42.2</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55.7</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53.1</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95.3</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122.4</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9.7</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rPr>
            </w:pPr>
            <w:r w:rsidRPr="001F63BA">
              <w:rPr>
                <w:rFonts w:ascii="GHEA Grapalat" w:hAnsi="GHEA Grapalat" w:cs="Calibri"/>
                <w:sz w:val="18"/>
                <w:szCs w:val="18"/>
              </w:rPr>
              <w:t>ՀՀ ԿԳՄՍՆ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174.8</w:t>
            </w:r>
          </w:p>
        </w:tc>
        <w:tc>
          <w:tcPr>
            <w:tcW w:w="900"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226.8</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208.1</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202.6</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97.3</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115.9</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27.8</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rPr>
            </w:pPr>
            <w:r w:rsidRPr="001F63BA">
              <w:rPr>
                <w:rFonts w:ascii="GHEA Grapalat" w:hAnsi="GHEA Grapalat" w:cs="Calibri"/>
                <w:sz w:val="18"/>
                <w:szCs w:val="18"/>
              </w:rPr>
              <w:t>ՀՀ պաշտպանության նախարարություն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336.8</w:t>
            </w:r>
          </w:p>
        </w:tc>
        <w:tc>
          <w:tcPr>
            <w:tcW w:w="900"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 xml:space="preserve"> 345.5</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480.3</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479.6</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99.9</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142.4</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142.9</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rPr>
            </w:pPr>
            <w:r w:rsidRPr="001F63BA">
              <w:rPr>
                <w:rFonts w:ascii="GHEA Grapalat" w:hAnsi="GHEA Grapalat" w:cs="Calibri"/>
                <w:sz w:val="18"/>
                <w:szCs w:val="18"/>
              </w:rPr>
              <w:t>ՀՀ աշխատանքի և սոցիալական հարցերի նախարարություն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619.8</w:t>
            </w:r>
          </w:p>
        </w:tc>
        <w:tc>
          <w:tcPr>
            <w:tcW w:w="900"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579.8</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620.4</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 xml:space="preserve"> 613.6</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98.9</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99.0</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(6.2)</w:t>
            </w:r>
          </w:p>
        </w:tc>
      </w:tr>
      <w:tr w:rsidR="001C411D" w:rsidRPr="001F63BA" w:rsidTr="005439C9">
        <w:trPr>
          <w:trHeight w:val="267"/>
          <w:jc w:val="center"/>
        </w:trPr>
        <w:tc>
          <w:tcPr>
            <w:tcW w:w="3116" w:type="dxa"/>
            <w:vAlign w:val="bottom"/>
          </w:tcPr>
          <w:p w:rsidR="001C411D" w:rsidRPr="001F63BA" w:rsidRDefault="001C411D" w:rsidP="002F2CD0">
            <w:pPr>
              <w:rPr>
                <w:rFonts w:ascii="GHEA Grapalat" w:hAnsi="GHEA Grapalat" w:cs="Calibri"/>
                <w:sz w:val="18"/>
                <w:szCs w:val="18"/>
              </w:rPr>
            </w:pPr>
            <w:r w:rsidRPr="001F63BA">
              <w:rPr>
                <w:rFonts w:ascii="GHEA Grapalat" w:hAnsi="GHEA Grapalat" w:cs="Calibri"/>
                <w:sz w:val="18"/>
                <w:szCs w:val="18"/>
              </w:rPr>
              <w:t>ՀՀ ֆինանսների նախարարություն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184.6</w:t>
            </w:r>
          </w:p>
        </w:tc>
        <w:tc>
          <w:tcPr>
            <w:tcW w:w="900"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217.9</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202.1</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201.6</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99.7</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109.2</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17.0</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lang w:val="en-US"/>
              </w:rPr>
            </w:pPr>
            <w:r w:rsidRPr="001F63BA">
              <w:rPr>
                <w:rFonts w:ascii="GHEA Grapalat" w:hAnsi="GHEA Grapalat" w:cs="Calibri"/>
                <w:sz w:val="18"/>
                <w:szCs w:val="18"/>
              </w:rPr>
              <w:t>ՀՀ ազգային անվտանգության ծառայություն</w:t>
            </w:r>
          </w:p>
        </w:tc>
        <w:tc>
          <w:tcPr>
            <w:tcW w:w="1182" w:type="dxa"/>
            <w:vAlign w:val="bottom"/>
          </w:tcPr>
          <w:p w:rsidR="001C411D" w:rsidRPr="001F63BA" w:rsidRDefault="001C411D" w:rsidP="00571513">
            <w:pPr>
              <w:jc w:val="right"/>
              <w:rPr>
                <w:rFonts w:ascii="GHEA Grapalat" w:hAnsi="GHEA Grapalat" w:cs="Calibri"/>
                <w:sz w:val="18"/>
                <w:szCs w:val="18"/>
                <w:lang w:val="en-US"/>
              </w:rPr>
            </w:pPr>
            <w:r w:rsidRPr="001F63BA">
              <w:rPr>
                <w:rFonts w:ascii="GHEA Grapalat" w:hAnsi="GHEA Grapalat" w:cs="Calibri"/>
                <w:sz w:val="18"/>
                <w:szCs w:val="18"/>
                <w:lang w:val="en-US"/>
              </w:rPr>
              <w:t>37.5</w:t>
            </w:r>
          </w:p>
        </w:tc>
        <w:tc>
          <w:tcPr>
            <w:tcW w:w="900"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42.7</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52.3</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50.3</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96.1</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134.0</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12.8</w:t>
            </w:r>
          </w:p>
        </w:tc>
      </w:tr>
      <w:tr w:rsidR="001C411D" w:rsidRPr="001F63BA" w:rsidTr="005439C9">
        <w:trPr>
          <w:trHeight w:val="300"/>
          <w:jc w:val="center"/>
        </w:trPr>
        <w:tc>
          <w:tcPr>
            <w:tcW w:w="3116" w:type="dxa"/>
            <w:vAlign w:val="bottom"/>
          </w:tcPr>
          <w:p w:rsidR="001C411D" w:rsidRPr="001F63BA" w:rsidRDefault="001C411D" w:rsidP="00571513">
            <w:pPr>
              <w:rPr>
                <w:rFonts w:ascii="GHEA Grapalat" w:hAnsi="GHEA Grapalat" w:cs="Calibri"/>
                <w:sz w:val="18"/>
                <w:szCs w:val="18"/>
                <w:lang w:val="en-US"/>
              </w:rPr>
            </w:pPr>
            <w:r w:rsidRPr="001F63BA">
              <w:rPr>
                <w:rFonts w:ascii="GHEA Grapalat" w:hAnsi="GHEA Grapalat" w:cs="Calibri"/>
                <w:sz w:val="18"/>
                <w:szCs w:val="18"/>
              </w:rPr>
              <w:t xml:space="preserve">ՀՀ </w:t>
            </w:r>
            <w:r w:rsidRPr="001F63BA">
              <w:rPr>
                <w:rFonts w:ascii="GHEA Grapalat" w:hAnsi="GHEA Grapalat" w:cs="Calibri"/>
                <w:sz w:val="18"/>
                <w:szCs w:val="18"/>
                <w:lang w:val="en-US"/>
              </w:rPr>
              <w:t>ոստիկանություն</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65.5</w:t>
            </w:r>
          </w:p>
        </w:tc>
        <w:tc>
          <w:tcPr>
            <w:tcW w:w="900"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66.6</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80.9</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80.0</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98.9</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122.2</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14.5</w:t>
            </w:r>
          </w:p>
        </w:tc>
      </w:tr>
      <w:tr w:rsidR="001C411D" w:rsidRPr="001F63BA" w:rsidTr="005439C9">
        <w:trPr>
          <w:trHeight w:val="300"/>
          <w:jc w:val="center"/>
        </w:trPr>
        <w:tc>
          <w:tcPr>
            <w:tcW w:w="3116" w:type="dxa"/>
            <w:vAlign w:val="bottom"/>
          </w:tcPr>
          <w:p w:rsidR="001C411D" w:rsidRPr="001F63BA" w:rsidRDefault="001C411D" w:rsidP="002F2CD0">
            <w:pPr>
              <w:rPr>
                <w:rFonts w:ascii="GHEA Grapalat" w:hAnsi="GHEA Grapalat" w:cs="Calibri"/>
                <w:sz w:val="18"/>
                <w:szCs w:val="18"/>
                <w:lang w:val="en-US"/>
              </w:rPr>
            </w:pPr>
            <w:r w:rsidRPr="001F63BA">
              <w:rPr>
                <w:rFonts w:ascii="GHEA Grapalat" w:hAnsi="GHEA Grapalat" w:cs="Calibri"/>
                <w:sz w:val="18"/>
                <w:szCs w:val="18"/>
              </w:rPr>
              <w:t>Այլ պետական մարմիններ</w:t>
            </w:r>
          </w:p>
        </w:tc>
        <w:tc>
          <w:tcPr>
            <w:tcW w:w="1182" w:type="dxa"/>
            <w:vAlign w:val="bottom"/>
          </w:tcPr>
          <w:p w:rsidR="001C411D" w:rsidRPr="001F63BA" w:rsidRDefault="001C411D" w:rsidP="002F2CD0">
            <w:pPr>
              <w:jc w:val="right"/>
              <w:rPr>
                <w:rFonts w:ascii="GHEA Grapalat" w:hAnsi="GHEA Grapalat" w:cs="Calibri"/>
                <w:sz w:val="18"/>
                <w:szCs w:val="18"/>
                <w:lang w:val="en-US"/>
              </w:rPr>
            </w:pPr>
            <w:r w:rsidRPr="001F63BA">
              <w:rPr>
                <w:rFonts w:ascii="GHEA Grapalat" w:hAnsi="GHEA Grapalat" w:cs="Calibri"/>
                <w:sz w:val="18"/>
                <w:szCs w:val="18"/>
                <w:lang w:val="en-US"/>
              </w:rPr>
              <w:t>182.7</w:t>
            </w:r>
          </w:p>
        </w:tc>
        <w:tc>
          <w:tcPr>
            <w:tcW w:w="900" w:type="dxa"/>
            <w:vAlign w:val="bottom"/>
          </w:tcPr>
          <w:p w:rsidR="001C411D" w:rsidRPr="001F63BA" w:rsidRDefault="001C411D" w:rsidP="00571513">
            <w:pPr>
              <w:jc w:val="right"/>
              <w:rPr>
                <w:rFonts w:ascii="GHEA Grapalat" w:hAnsi="GHEA Grapalat" w:cs="Calibri"/>
                <w:sz w:val="18"/>
                <w:szCs w:val="18"/>
                <w:lang w:val="en-US"/>
              </w:rPr>
            </w:pPr>
            <w:r w:rsidRPr="001F63BA">
              <w:rPr>
                <w:rFonts w:ascii="GHEA Grapalat" w:hAnsi="GHEA Grapalat" w:cs="Calibri"/>
                <w:sz w:val="18"/>
                <w:szCs w:val="18"/>
                <w:lang w:val="en-US"/>
              </w:rPr>
              <w:t>268.7</w:t>
            </w:r>
          </w:p>
        </w:tc>
        <w:tc>
          <w:tcPr>
            <w:tcW w:w="1137"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210.4</w:t>
            </w:r>
          </w:p>
        </w:tc>
        <w:tc>
          <w:tcPr>
            <w:tcW w:w="115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 xml:space="preserve"> 197.9</w:t>
            </w:r>
          </w:p>
        </w:tc>
        <w:tc>
          <w:tcPr>
            <w:tcW w:w="1136"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94.0</w:t>
            </w:r>
          </w:p>
        </w:tc>
        <w:tc>
          <w:tcPr>
            <w:tcW w:w="822"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108.3</w:t>
            </w:r>
          </w:p>
        </w:tc>
        <w:tc>
          <w:tcPr>
            <w:tcW w:w="975" w:type="dxa"/>
            <w:vAlign w:val="bottom"/>
          </w:tcPr>
          <w:p w:rsidR="001C411D" w:rsidRPr="001F63BA" w:rsidRDefault="001C411D" w:rsidP="005439C9">
            <w:pPr>
              <w:jc w:val="right"/>
              <w:rPr>
                <w:rFonts w:ascii="GHEA Grapalat" w:hAnsi="GHEA Grapalat" w:cs="Calibri"/>
                <w:sz w:val="18"/>
                <w:szCs w:val="18"/>
                <w:lang w:val="en-US"/>
              </w:rPr>
            </w:pPr>
            <w:r w:rsidRPr="001F63BA">
              <w:rPr>
                <w:rFonts w:ascii="GHEA Grapalat" w:hAnsi="GHEA Grapalat" w:cs="Calibri"/>
                <w:sz w:val="18"/>
                <w:szCs w:val="18"/>
                <w:lang w:val="en-US"/>
              </w:rPr>
              <w:t>15.2</w:t>
            </w:r>
          </w:p>
        </w:tc>
      </w:tr>
    </w:tbl>
    <w:p w:rsidR="001C411D" w:rsidRPr="001F63BA" w:rsidRDefault="001C411D" w:rsidP="00370F26">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6B43D2">
      <w:pPr>
        <w:spacing w:line="360" w:lineRule="auto"/>
        <w:ind w:firstLine="561"/>
        <w:jc w:val="both"/>
        <w:rPr>
          <w:rFonts w:ascii="GHEA Grapalat" w:hAnsi="GHEA Grapalat" w:cs="Sylfaen"/>
          <w:sz w:val="22"/>
          <w:szCs w:val="22"/>
        </w:rPr>
      </w:pPr>
      <w:r w:rsidRPr="001F63BA">
        <w:rPr>
          <w:rFonts w:ascii="GHEA Grapalat" w:hAnsi="GHEA Grapalat" w:cs="Sylfaen"/>
          <w:i/>
          <w:sz w:val="22"/>
          <w:szCs w:val="22"/>
          <w:u w:val="single"/>
        </w:rPr>
        <w:t>ՀՀ Նախագահի աշխատակազմի</w:t>
      </w:r>
      <w:r w:rsidRPr="001F63BA">
        <w:rPr>
          <w:rFonts w:ascii="GHEA Grapalat" w:hAnsi="GHEA Grapalat" w:cs="Sylfaen"/>
          <w:sz w:val="22"/>
          <w:szCs w:val="22"/>
        </w:rPr>
        <w:t xml:space="preserve"> </w:t>
      </w:r>
      <w:r w:rsidRPr="001F63BA">
        <w:rPr>
          <w:rFonts w:ascii="GHEA Grapalat" w:hAnsi="GHEA Grapalat" w:cs="GHEA Grapalat"/>
          <w:sz w:val="22"/>
          <w:szCs w:val="22"/>
        </w:rPr>
        <w:t xml:space="preserve">պատասխանատվությամբ </w:t>
      </w:r>
      <w:r w:rsidRPr="001F63BA">
        <w:rPr>
          <w:rFonts w:ascii="GHEA Grapalat" w:hAnsi="GHEA Grapalat" w:cs="GHEA Grapalat"/>
          <w:i/>
          <w:sz w:val="22"/>
          <w:szCs w:val="22"/>
        </w:rPr>
        <w:t>Հանրապետության նախագահի լիազորությունների իրականացման ապահովման</w:t>
      </w:r>
      <w:r w:rsidRPr="001F63BA">
        <w:rPr>
          <w:rFonts w:ascii="GHEA Grapalat" w:hAnsi="GHEA Grapalat" w:cs="GHEA Grapalat"/>
          <w:sz w:val="22"/>
          <w:szCs w:val="22"/>
        </w:rPr>
        <w:t xml:space="preserve"> ծախսերը 2022 թվականին կատարվել են 92.7%</w:t>
      </w:r>
      <w:r w:rsidRPr="001F63BA">
        <w:rPr>
          <w:rFonts w:ascii="GHEA Grapalat" w:hAnsi="GHEA Grapalat" w:cs="GHEA Grapalat"/>
          <w:sz w:val="22"/>
          <w:szCs w:val="22"/>
        </w:rPr>
        <w:noBreakHyphen/>
        <w:t xml:space="preserve">ով՝ կազմելով </w:t>
      </w:r>
      <w:r w:rsidRPr="001F63BA">
        <w:rPr>
          <w:rFonts w:ascii="GHEA Grapalat" w:hAnsi="GHEA Grapalat" w:cs="GHEA Grapalat"/>
          <w:sz w:val="22"/>
          <w:szCs w:val="22"/>
          <w:lang w:val="en-US"/>
        </w:rPr>
        <w:t xml:space="preserve">ավելի քան </w:t>
      </w:r>
      <w:r w:rsidRPr="001F63BA">
        <w:rPr>
          <w:rFonts w:ascii="GHEA Grapalat" w:hAnsi="GHEA Grapalat" w:cs="GHEA Grapalat"/>
          <w:sz w:val="22"/>
          <w:szCs w:val="22"/>
        </w:rPr>
        <w:t xml:space="preserve">1.2 մլրդ դրամ: ՀՀ </w:t>
      </w:r>
      <w:r w:rsidRPr="001F63BA">
        <w:rPr>
          <w:rFonts w:ascii="GHEA Grapalat" w:hAnsi="GHEA Grapalat" w:cs="GHEA Grapalat"/>
          <w:sz w:val="22"/>
          <w:szCs w:val="22"/>
          <w:lang w:val="en-US"/>
        </w:rPr>
        <w:t>ն</w:t>
      </w:r>
      <w:r w:rsidRPr="001F63BA">
        <w:rPr>
          <w:rFonts w:ascii="GHEA Grapalat" w:hAnsi="GHEA Grapalat" w:cs="GHEA Grapalat"/>
          <w:sz w:val="22"/>
          <w:szCs w:val="22"/>
        </w:rPr>
        <w:t>ախագահի աշխատակազմին հատկացված միջոցների գերակշիռ մասն ուղղվել է Հանրապետության նախագահի գործունեության և ներկայացուցչականության ապահովման միջոցառմանը, որի շրջանակներում օգտագործվել է 1.2</w:t>
      </w:r>
      <w:r w:rsidRPr="001F63BA">
        <w:rPr>
          <w:rFonts w:ascii="Courier New" w:hAnsi="Courier New" w:cs="Courier New"/>
          <w:sz w:val="22"/>
          <w:szCs w:val="22"/>
        </w:rPr>
        <w:t> </w:t>
      </w:r>
      <w:r w:rsidRPr="001F63BA">
        <w:rPr>
          <w:rFonts w:ascii="GHEA Grapalat" w:hAnsi="GHEA Grapalat" w:cs="GHEA Grapalat"/>
          <w:sz w:val="22"/>
          <w:szCs w:val="22"/>
        </w:rPr>
        <w:t>մլրդ դրամ՝ ապահովելով 92.6% կատարողական</w:t>
      </w:r>
      <w:r w:rsidRPr="001F63BA">
        <w:rPr>
          <w:rFonts w:ascii="GHEA Grapalat" w:hAnsi="GHEA Grapalat" w:cs="GHEA Grapalat"/>
          <w:sz w:val="22"/>
          <w:szCs w:val="22"/>
          <w:lang w:val="en-US"/>
        </w:rPr>
        <w:t>: Շեղում</w:t>
      </w:r>
      <w:r w:rsidRPr="001F63BA">
        <w:rPr>
          <w:rFonts w:ascii="GHEA Grapalat" w:hAnsi="GHEA Grapalat" w:cs="GHEA Grapalat"/>
          <w:sz w:val="22"/>
          <w:szCs w:val="22"/>
        </w:rPr>
        <w:t xml:space="preserve">ը պայմանավորված է որոշ ծախսային հոդվածների, հիմնականում՝ այլ ծախսերի և արտասահմանյան գործուղումների գծով առկա </w:t>
      </w:r>
      <w:r w:rsidRPr="001F63BA">
        <w:rPr>
          <w:rFonts w:ascii="GHEA Grapalat" w:hAnsi="GHEA Grapalat" w:cs="GHEA Grapalat"/>
          <w:sz w:val="22"/>
          <w:szCs w:val="22"/>
        </w:rPr>
        <w:lastRenderedPageBreak/>
        <w:t xml:space="preserve">տնտեսումներով: Նախորդ տարվա համեմատ ՀՀ </w:t>
      </w:r>
      <w:r w:rsidRPr="001F63BA">
        <w:rPr>
          <w:rFonts w:ascii="GHEA Grapalat" w:hAnsi="GHEA Grapalat" w:cs="GHEA Grapalat"/>
          <w:sz w:val="22"/>
          <w:szCs w:val="22"/>
          <w:lang w:val="en-US"/>
        </w:rPr>
        <w:t>ն</w:t>
      </w:r>
      <w:r w:rsidRPr="001F63BA">
        <w:rPr>
          <w:rFonts w:ascii="GHEA Grapalat" w:hAnsi="GHEA Grapalat" w:cs="GHEA Grapalat"/>
          <w:sz w:val="22"/>
          <w:szCs w:val="22"/>
        </w:rPr>
        <w:t>ախագահի աշխատակազմի ծախսերը նվազել են 16.6%-ով կամ 244.5 մլն դրամով, որը հիմնականում արձանագրվել է Հանրապետության նախագահի գործունեության և ներկայացուցչականության ապահովման ծախսերում: Վերջիններս նվազել են 17.1%-ով (248.4 մլն դրամով)՝ հիմնականում պայմանավորված արտասահմանյան գործուղումների, այլ ծախսերի և աշխատավարձի գծով ծախսերի նվազմամբ:</w:t>
      </w:r>
    </w:p>
    <w:p w:rsidR="001C411D" w:rsidRPr="001F63BA" w:rsidRDefault="001C411D" w:rsidP="008E438A">
      <w:pPr>
        <w:spacing w:line="360" w:lineRule="auto"/>
        <w:ind w:firstLine="561"/>
        <w:jc w:val="both"/>
        <w:rPr>
          <w:rFonts w:ascii="GHEA Grapalat" w:hAnsi="GHEA Grapalat" w:cs="Sylfaen"/>
          <w:sz w:val="22"/>
          <w:szCs w:val="22"/>
        </w:rPr>
      </w:pPr>
    </w:p>
    <w:p w:rsidR="001C411D" w:rsidRPr="001F63BA" w:rsidRDefault="001C411D" w:rsidP="008E438A">
      <w:pPr>
        <w:spacing w:line="360" w:lineRule="auto"/>
        <w:ind w:firstLine="561"/>
        <w:jc w:val="both"/>
        <w:rPr>
          <w:rFonts w:ascii="GHEA Grapalat" w:hAnsi="GHEA Grapalat" w:cs="Sylfaen"/>
          <w:sz w:val="22"/>
          <w:szCs w:val="22"/>
          <w:lang w:val="en-US"/>
        </w:rPr>
      </w:pPr>
      <w:r w:rsidRPr="001F63BA">
        <w:rPr>
          <w:rFonts w:ascii="GHEA Grapalat" w:hAnsi="GHEA Grapalat" w:cs="Sylfaen"/>
          <w:i/>
          <w:sz w:val="22"/>
          <w:szCs w:val="22"/>
          <w:u w:val="single"/>
        </w:rPr>
        <w:t>ՀՀ Ազգային ժողովի</w:t>
      </w:r>
      <w:r w:rsidRPr="001F63BA">
        <w:rPr>
          <w:rFonts w:ascii="GHEA Grapalat" w:hAnsi="GHEA Grapalat" w:cs="Sylfaen"/>
          <w:sz w:val="22"/>
          <w:szCs w:val="22"/>
        </w:rPr>
        <w:t xml:space="preserve"> </w:t>
      </w:r>
      <w:r w:rsidRPr="001F63BA">
        <w:rPr>
          <w:rFonts w:ascii="GHEA Grapalat" w:hAnsi="GHEA Grapalat" w:cs="GHEA Grapalat"/>
          <w:sz w:val="22"/>
          <w:szCs w:val="22"/>
        </w:rPr>
        <w:t>ծախսերը 2022 թվականին կատարվել են 97%-ով՝ կազմելով ավելի քան 6.0 մլրդ դրամ: Մասնավորապես՝ 96.9% կամ շուրջ 5.3 մլրդ դրամ է կազմել ՀՀ Ազգային ժողովի գործունեության ապահովման, օրենսդրական, վերլուծական և ներկայացուցչական ծառայությունների գծով ծախսերի կատարողականը՝ պայմանավորված հիմնականում աշխատանքի վարձատրությանն ուղղված և ծառայողական գործուղումների գծով ծախսեր</w:t>
      </w:r>
      <w:r w:rsidRPr="001F63BA">
        <w:rPr>
          <w:rFonts w:ascii="GHEA Grapalat" w:hAnsi="GHEA Grapalat" w:cs="GHEA Grapalat"/>
          <w:sz w:val="22"/>
          <w:szCs w:val="22"/>
          <w:lang w:val="en-US"/>
        </w:rPr>
        <w:t>ի տնտեսմամբ</w:t>
      </w:r>
      <w:r w:rsidRPr="001F63BA">
        <w:rPr>
          <w:rFonts w:ascii="GHEA Grapalat" w:hAnsi="GHEA Grapalat" w:cs="GHEA Grapalat"/>
          <w:sz w:val="22"/>
          <w:szCs w:val="22"/>
        </w:rPr>
        <w:t>: 2021 թվականի համեմատ ՀՀ Ազգային ժողովի ծախսերն աճել են 11.7%-ով կամ 629.3 մլն դրամով՝ հիմնականում պայմանավորված կուսակցություններին և կուսակցությունների դաշինքներին աջակցության ծախսերով</w:t>
      </w:r>
      <w:r w:rsidRPr="001F63BA">
        <w:rPr>
          <w:rFonts w:ascii="GHEA Grapalat" w:hAnsi="GHEA Grapalat" w:cs="GHEA Grapalat"/>
          <w:sz w:val="22"/>
          <w:szCs w:val="22"/>
          <w:lang w:val="en-US"/>
        </w:rPr>
        <w:t>, որոնք կազմել են</w:t>
      </w:r>
      <w:r w:rsidRPr="001F63BA">
        <w:rPr>
          <w:rFonts w:ascii="GHEA Grapalat" w:hAnsi="GHEA Grapalat" w:cs="GHEA Grapalat"/>
          <w:sz w:val="22"/>
          <w:szCs w:val="22"/>
        </w:rPr>
        <w:t xml:space="preserve"> 510.6 մլն դրամ (միջոցառումը նախկինում իրականացվել է ՀՀ վարչապետի աշխատակազմի կողմից),</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«Պետական պաշտոններ և պետական ծառայության պաշտոններ զբաղեցնող անձանց վարձատրության մասին» ՀՀ օրենքի համաձայն պատգամավորի փոխհատուցման վճարի ավելացմամբ, որը 2021 թվականի սեպտեմբեր ամսից սահմանվել է 250 հազար դրամ՝ նախկինում գործող 50 հազարի փոխարեն, </w:t>
      </w:r>
      <w:r w:rsidRPr="001F63BA">
        <w:rPr>
          <w:rFonts w:ascii="GHEA Grapalat" w:hAnsi="GHEA Grapalat" w:cs="GHEA Grapalat"/>
          <w:sz w:val="22"/>
          <w:szCs w:val="22"/>
          <w:lang w:val="en-US"/>
        </w:rPr>
        <w:t>ինչպես նաև</w:t>
      </w:r>
      <w:r w:rsidRPr="001F63BA">
        <w:rPr>
          <w:rFonts w:ascii="GHEA Grapalat" w:hAnsi="GHEA Grapalat" w:cs="GHEA Grapalat"/>
          <w:sz w:val="22"/>
          <w:szCs w:val="22"/>
        </w:rPr>
        <w:t xml:space="preserve"> արտասահմանյան գործուղումների գծով ծախսերի</w:t>
      </w:r>
      <w:r w:rsidRPr="001F63BA">
        <w:rPr>
          <w:rFonts w:ascii="GHEA Grapalat" w:hAnsi="GHEA Grapalat" w:cs="GHEA Grapalat"/>
          <w:sz w:val="22"/>
          <w:szCs w:val="22"/>
          <w:lang w:val="en-US"/>
        </w:rPr>
        <w:t xml:space="preserve"> 61.8%</w:t>
      </w:r>
      <w:r w:rsidRPr="001F63BA">
        <w:rPr>
          <w:rFonts w:ascii="GHEA Grapalat" w:hAnsi="GHEA Grapalat" w:cs="GHEA Grapalat"/>
          <w:sz w:val="22"/>
          <w:szCs w:val="22"/>
        </w:rPr>
        <w:t xml:space="preserve"> աճով։</w:t>
      </w:r>
    </w:p>
    <w:p w:rsidR="001C411D" w:rsidRPr="001F63BA" w:rsidRDefault="001C411D" w:rsidP="008E438A">
      <w:pPr>
        <w:spacing w:line="360" w:lineRule="auto"/>
        <w:ind w:firstLine="561"/>
        <w:jc w:val="both"/>
        <w:rPr>
          <w:rFonts w:ascii="GHEA Grapalat" w:hAnsi="GHEA Grapalat" w:cs="Sylfaen"/>
          <w:sz w:val="22"/>
          <w:szCs w:val="22"/>
        </w:rPr>
      </w:pP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i/>
          <w:sz w:val="22"/>
          <w:szCs w:val="22"/>
          <w:u w:val="single"/>
        </w:rPr>
        <w:t>ՀՀ Վարչապետի աշխատակազմի</w:t>
      </w:r>
      <w:r w:rsidRPr="001F63BA">
        <w:rPr>
          <w:rFonts w:ascii="GHEA Grapalat" w:hAnsi="GHEA Grapalat" w:cs="Sylfaen"/>
          <w:sz w:val="22"/>
          <w:szCs w:val="22"/>
        </w:rPr>
        <w:t xml:space="preserve"> </w:t>
      </w:r>
      <w:r w:rsidRPr="001F63BA">
        <w:rPr>
          <w:rFonts w:ascii="GHEA Grapalat" w:hAnsi="GHEA Grapalat" w:cs="Times Armenian"/>
          <w:sz w:val="22"/>
          <w:szCs w:val="22"/>
        </w:rPr>
        <w:t>պատասխանատվությամբ 202</w:t>
      </w:r>
      <w:r w:rsidRPr="001F63BA">
        <w:rPr>
          <w:rFonts w:ascii="GHEA Grapalat" w:hAnsi="GHEA Grapalat" w:cs="Times Armenian"/>
          <w:sz w:val="22"/>
          <w:szCs w:val="22"/>
          <w:lang w:val="en-US"/>
        </w:rPr>
        <w:t>2</w:t>
      </w:r>
      <w:r w:rsidRPr="001F63BA">
        <w:rPr>
          <w:rFonts w:ascii="GHEA Grapalat" w:hAnsi="GHEA Grapalat" w:cs="GHEA Grapalat"/>
          <w:sz w:val="22"/>
          <w:szCs w:val="22"/>
        </w:rPr>
        <w:t xml:space="preserve"> թվականի </w:t>
      </w:r>
      <w:r w:rsidRPr="001F63BA">
        <w:rPr>
          <w:rFonts w:ascii="GHEA Grapalat" w:hAnsi="GHEA Grapalat" w:cs="Sylfaen"/>
          <w:sz w:val="22"/>
          <w:szCs w:val="22"/>
        </w:rPr>
        <w:t>ընթացք</w:t>
      </w:r>
      <w:r w:rsidRPr="001F63BA">
        <w:rPr>
          <w:rFonts w:ascii="GHEA Grapalat" w:hAnsi="GHEA Grapalat" w:cs="GHEA Grapalat"/>
          <w:sz w:val="22"/>
          <w:szCs w:val="22"/>
        </w:rPr>
        <w:t>ում կատարվել է պետական բյուջեի 10 ծրագիր: Ծախսերը կազմել են շուրջ 2</w:t>
      </w:r>
      <w:r w:rsidRPr="001F63BA">
        <w:rPr>
          <w:rFonts w:ascii="GHEA Grapalat" w:hAnsi="GHEA Grapalat" w:cs="GHEA Grapalat"/>
          <w:sz w:val="22"/>
          <w:szCs w:val="22"/>
          <w:lang w:val="en-US"/>
        </w:rPr>
        <w:t>0</w:t>
      </w:r>
      <w:r w:rsidRPr="001F63BA">
        <w:rPr>
          <w:rFonts w:ascii="GHEA Grapalat" w:hAnsi="GHEA Grapalat" w:cs="GHEA Grapalat"/>
          <w:sz w:val="22"/>
          <w:szCs w:val="22"/>
        </w:rPr>
        <w:t>.</w:t>
      </w:r>
      <w:r w:rsidRPr="001F63BA">
        <w:rPr>
          <w:rFonts w:ascii="GHEA Grapalat" w:hAnsi="GHEA Grapalat" w:cs="GHEA Grapalat"/>
          <w:sz w:val="22"/>
          <w:szCs w:val="22"/>
          <w:lang w:val="en-US"/>
        </w:rPr>
        <w:t>8</w:t>
      </w:r>
      <w:r w:rsidRPr="001F63BA">
        <w:rPr>
          <w:rFonts w:ascii="GHEA Grapalat" w:hAnsi="GHEA Grapalat" w:cs="GHEA Grapalat"/>
          <w:sz w:val="22"/>
          <w:szCs w:val="22"/>
        </w:rPr>
        <w:t xml:space="preserve"> մլրդ դրամ կամ </w:t>
      </w:r>
      <w:r w:rsidRPr="001F63BA">
        <w:rPr>
          <w:rFonts w:ascii="GHEA Grapalat" w:hAnsi="GHEA Grapalat" w:cs="GHEA Grapalat"/>
          <w:sz w:val="22"/>
          <w:szCs w:val="22"/>
          <w:lang w:val="en-US"/>
        </w:rPr>
        <w:t>նախատեսվածի</w:t>
      </w:r>
      <w:r w:rsidRPr="001F63BA">
        <w:rPr>
          <w:rFonts w:ascii="GHEA Grapalat" w:hAnsi="GHEA Grapalat" w:cs="GHEA Grapalat"/>
          <w:sz w:val="22"/>
          <w:szCs w:val="22"/>
        </w:rPr>
        <w:t xml:space="preserve"> 9</w:t>
      </w:r>
      <w:r w:rsidRPr="001F63BA">
        <w:rPr>
          <w:rFonts w:ascii="GHEA Grapalat" w:hAnsi="GHEA Grapalat" w:cs="GHEA Grapalat"/>
          <w:sz w:val="22"/>
          <w:szCs w:val="22"/>
          <w:lang w:val="en-US"/>
        </w:rPr>
        <w:t>5</w:t>
      </w:r>
      <w:r w:rsidRPr="001F63BA">
        <w:rPr>
          <w:rFonts w:ascii="GHEA Grapalat" w:hAnsi="GHEA Grapalat" w:cs="GHEA Grapalat"/>
          <w:sz w:val="22"/>
          <w:szCs w:val="22"/>
        </w:rPr>
        <w:t>.</w:t>
      </w:r>
      <w:r w:rsidRPr="001F63BA">
        <w:rPr>
          <w:rFonts w:ascii="GHEA Grapalat" w:hAnsi="GHEA Grapalat" w:cs="GHEA Grapalat"/>
          <w:sz w:val="22"/>
          <w:szCs w:val="22"/>
          <w:lang w:val="en-US"/>
        </w:rPr>
        <w:t>7</w:t>
      </w:r>
      <w:r w:rsidRPr="001F63BA">
        <w:rPr>
          <w:rFonts w:ascii="GHEA Grapalat" w:hAnsi="GHEA Grapalat" w:cs="GHEA Grapalat"/>
          <w:sz w:val="22"/>
          <w:szCs w:val="22"/>
        </w:rPr>
        <w:t>%</w:t>
      </w:r>
      <w:r w:rsidRPr="001F63BA">
        <w:rPr>
          <w:rFonts w:ascii="GHEA Grapalat" w:hAnsi="GHEA Grapalat" w:cs="GHEA Grapalat"/>
          <w:sz w:val="22"/>
          <w:szCs w:val="22"/>
        </w:rPr>
        <w:noBreakHyphen/>
        <w:t>ը: Ծրագրված ցուցանիշից շեղումը հիմնականում պայմանավորված</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է ՀՀ Վարչապետի լիազորությունների իրականացման ապահովման, Պետական հատվածի արդիականացման</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ու Տեսչական վերահսկողության ծրագրերի կատարողականով: Նախորդ տարվա համեմատ ՀՀ վարչապետի աշխատակազմի պատասխանատվությամբ իրականացվող ծրագրերի գծով ծախսեր</w:t>
      </w:r>
      <w:r w:rsidRPr="001F63BA">
        <w:rPr>
          <w:rFonts w:ascii="GHEA Grapalat" w:hAnsi="GHEA Grapalat" w:cs="GHEA Grapalat"/>
          <w:sz w:val="22"/>
          <w:szCs w:val="22"/>
          <w:lang w:val="en-US"/>
        </w:rPr>
        <w:t xml:space="preserve">ը </w:t>
      </w:r>
      <w:r w:rsidRPr="001F63BA">
        <w:rPr>
          <w:rFonts w:ascii="GHEA Grapalat" w:hAnsi="GHEA Grapalat" w:cs="GHEA Grapalat"/>
          <w:sz w:val="22"/>
          <w:szCs w:val="22"/>
        </w:rPr>
        <w:t>ն</w:t>
      </w:r>
      <w:r w:rsidRPr="001F63BA">
        <w:rPr>
          <w:rFonts w:ascii="GHEA Grapalat" w:hAnsi="GHEA Grapalat" w:cs="GHEA Grapalat"/>
          <w:sz w:val="22"/>
          <w:szCs w:val="22"/>
          <w:lang w:val="en-US"/>
        </w:rPr>
        <w:t>վ</w:t>
      </w:r>
      <w:r w:rsidRPr="001F63BA">
        <w:rPr>
          <w:rFonts w:ascii="GHEA Grapalat" w:hAnsi="GHEA Grapalat" w:cs="GHEA Grapalat"/>
          <w:sz w:val="22"/>
          <w:szCs w:val="22"/>
        </w:rPr>
        <w:t>ա</w:t>
      </w:r>
      <w:r w:rsidRPr="001F63BA">
        <w:rPr>
          <w:rFonts w:ascii="GHEA Grapalat" w:hAnsi="GHEA Grapalat" w:cs="GHEA Grapalat"/>
          <w:sz w:val="22"/>
          <w:szCs w:val="22"/>
          <w:lang w:val="en-US"/>
        </w:rPr>
        <w:t>զ</w:t>
      </w:r>
      <w:r w:rsidRPr="001F63BA">
        <w:rPr>
          <w:rFonts w:ascii="GHEA Grapalat" w:hAnsi="GHEA Grapalat" w:cs="GHEA Grapalat"/>
          <w:sz w:val="22"/>
          <w:szCs w:val="22"/>
        </w:rPr>
        <w:t>ել են 12.9%</w:t>
      </w:r>
      <w:r w:rsidRPr="001F63BA">
        <w:rPr>
          <w:rFonts w:ascii="GHEA Grapalat" w:hAnsi="GHEA Grapalat" w:cs="GHEA Grapalat"/>
          <w:sz w:val="22"/>
          <w:szCs w:val="22"/>
        </w:rPr>
        <w:noBreakHyphen/>
        <w:t xml:space="preserve">ով կամ 3.1 մլրդ դրամով, որը հիմնականում պայմանավորված է ՀՀ Վարչապետի լիազորությունների իրականացման ապահովման ծրագրի շրջանակներում կատարված ծախսերի նվազմամբ: 2022 թվականից Համաշխարհային բանկի աջակցությամբ իրականացվող առևտրի և ենթակառուցվածքների զարգացման վարկային ծրագիրը ՀՀ Վարչապետի լիազորությունների իրականացման ապահովման ծրագրից փոխանցվել է ՀՀ բարձր տեխնոլոգիական արդյունաբերության նախարարության պատասխանատվությամբ իրականացվող Բարձր </w:t>
      </w:r>
      <w:r w:rsidRPr="001F63BA">
        <w:rPr>
          <w:rFonts w:ascii="GHEA Grapalat" w:hAnsi="GHEA Grapalat" w:cs="GHEA Grapalat"/>
          <w:sz w:val="22"/>
          <w:szCs w:val="22"/>
        </w:rPr>
        <w:lastRenderedPageBreak/>
        <w:t xml:space="preserve">տեխնոլոգիական </w:t>
      </w:r>
      <w:r w:rsidRPr="001F63BA">
        <w:rPr>
          <w:rFonts w:ascii="GHEA Grapalat" w:hAnsi="GHEA Grapalat" w:cs="Sylfaen"/>
          <w:sz w:val="22"/>
          <w:szCs w:val="22"/>
        </w:rPr>
        <w:t>արդյունաբերության էկոհամակարգի, թվայնացման և շուկայի զարգացման ծրագրին:</w:t>
      </w:r>
      <w:r w:rsidRPr="001F63BA">
        <w:rPr>
          <w:rFonts w:ascii="GHEA Grapalat" w:hAnsi="GHEA Grapalat" w:cs="Sylfaen"/>
          <w:sz w:val="22"/>
          <w:szCs w:val="22"/>
          <w:lang w:val="en-US"/>
        </w:rPr>
        <w:t xml:space="preserve"> Բացի այդ,</w:t>
      </w:r>
      <w:r w:rsidRPr="001F63BA">
        <w:t xml:space="preserve"> </w:t>
      </w:r>
      <w:r w:rsidRPr="001F63BA">
        <w:rPr>
          <w:rFonts w:ascii="GHEA Grapalat" w:hAnsi="GHEA Grapalat" w:cs="Sylfaen"/>
          <w:sz w:val="22"/>
          <w:szCs w:val="22"/>
        </w:rPr>
        <w:t xml:space="preserve">կուսակցություններին և կուսակցությունների դաշինքներին </w:t>
      </w:r>
      <w:r w:rsidRPr="001F63BA">
        <w:rPr>
          <w:rFonts w:ascii="GHEA Grapalat" w:hAnsi="GHEA Grapalat" w:cs="Sylfaen"/>
          <w:sz w:val="22"/>
          <w:szCs w:val="22"/>
          <w:lang w:val="en-US"/>
        </w:rPr>
        <w:t>աջակցության միջոցառումը ՀՀ վարչապետի աշխատակազմից փոխանցվել է ՀՀ Ազգային ժողովին՝ ՀՀ Ազգային ժողովի լիազորությունների իրականացման ապահովման ծրագրին, իսկ «ՀՀ վետերանների միավորում» հասարակական կազմակերպությանը ա</w:t>
      </w:r>
      <w:r w:rsidRPr="001F63BA">
        <w:rPr>
          <w:rFonts w:ascii="GHEA Grapalat" w:hAnsi="GHEA Grapalat" w:cs="Sylfaen"/>
          <w:sz w:val="22"/>
          <w:szCs w:val="22"/>
        </w:rPr>
        <w:t>ջակցությ</w:t>
      </w:r>
      <w:r w:rsidRPr="001F63BA">
        <w:rPr>
          <w:rFonts w:ascii="GHEA Grapalat" w:hAnsi="GHEA Grapalat" w:cs="Sylfaen"/>
          <w:sz w:val="22"/>
          <w:szCs w:val="22"/>
          <w:lang w:val="en-US"/>
        </w:rPr>
        <w:t>ա</w:t>
      </w:r>
      <w:r w:rsidRPr="001F63BA">
        <w:rPr>
          <w:rFonts w:ascii="GHEA Grapalat" w:hAnsi="GHEA Grapalat" w:cs="Sylfaen"/>
          <w:sz w:val="22"/>
          <w:szCs w:val="22"/>
        </w:rPr>
        <w:t xml:space="preserve">ն </w:t>
      </w:r>
      <w:r w:rsidRPr="001F63BA">
        <w:rPr>
          <w:rFonts w:ascii="GHEA Grapalat" w:hAnsi="GHEA Grapalat" w:cs="Sylfaen"/>
          <w:sz w:val="22"/>
          <w:szCs w:val="22"/>
          <w:lang w:val="en-US"/>
        </w:rPr>
        <w:t xml:space="preserve">միջոցառումը՝ ՀՀ աշխատանքի և սոցիալական հարցերի նախարարության </w:t>
      </w:r>
      <w:r w:rsidRPr="001F63BA">
        <w:rPr>
          <w:rFonts w:ascii="GHEA Grapalat" w:hAnsi="GHEA Grapalat" w:cs="GHEA Grapalat"/>
          <w:sz w:val="22"/>
          <w:szCs w:val="22"/>
        </w:rPr>
        <w:t>պատասխանատվությամբ իրականացվող</w:t>
      </w:r>
      <w:r w:rsidRPr="001F63BA">
        <w:rPr>
          <w:rFonts w:ascii="GHEA Grapalat" w:hAnsi="GHEA Grapalat" w:cs="Sylfaen"/>
          <w:sz w:val="22"/>
          <w:szCs w:val="22"/>
          <w:lang w:val="en-US"/>
        </w:rPr>
        <w:t xml:space="preserve"> «Սոցիալական ապահովության» ծրագրին:</w:t>
      </w:r>
      <w:r w:rsidRPr="001F63BA">
        <w:rPr>
          <w:rFonts w:ascii="GHEA Grapalat" w:hAnsi="GHEA Grapalat" w:cs="Sylfaen"/>
          <w:sz w:val="22"/>
          <w:szCs w:val="22"/>
        </w:rPr>
        <w:t xml:space="preserve"> Ուստի 2021 թվականի համադրելի ցուցանիշի համեմատ ՀՀ Վարչապետի աշխատակազմի պատասխանատվությամբ իրականացվող ծախսեր</w:t>
      </w:r>
      <w:r w:rsidRPr="001F63BA">
        <w:rPr>
          <w:rFonts w:ascii="GHEA Grapalat" w:hAnsi="GHEA Grapalat" w:cs="Sylfaen"/>
          <w:sz w:val="22"/>
          <w:szCs w:val="22"/>
          <w:lang w:val="en-US"/>
        </w:rPr>
        <w:t>ի գծով արձանագրվել է</w:t>
      </w:r>
      <w:r w:rsidRPr="001F63BA">
        <w:rPr>
          <w:rFonts w:ascii="GHEA Grapalat" w:hAnsi="GHEA Grapalat" w:cs="Sylfaen"/>
          <w:sz w:val="22"/>
          <w:szCs w:val="22"/>
        </w:rPr>
        <w:t xml:space="preserve"> </w:t>
      </w:r>
      <w:r w:rsidRPr="001F63BA">
        <w:rPr>
          <w:rFonts w:ascii="GHEA Grapalat" w:hAnsi="GHEA Grapalat" w:cs="Sylfaen"/>
          <w:sz w:val="22"/>
          <w:szCs w:val="22"/>
          <w:lang w:val="en-US"/>
        </w:rPr>
        <w:t>4.4</w:t>
      </w:r>
      <w:r w:rsidRPr="001F63BA">
        <w:rPr>
          <w:rFonts w:ascii="GHEA Grapalat" w:hAnsi="GHEA Grapalat" w:cs="Sylfaen"/>
          <w:sz w:val="22"/>
          <w:szCs w:val="22"/>
        </w:rPr>
        <w:t xml:space="preserve">% կամ </w:t>
      </w:r>
      <w:r w:rsidRPr="001F63BA">
        <w:rPr>
          <w:rFonts w:ascii="GHEA Grapalat" w:hAnsi="GHEA Grapalat" w:cs="Sylfaen"/>
          <w:sz w:val="22"/>
          <w:szCs w:val="22"/>
          <w:lang w:val="en-US"/>
        </w:rPr>
        <w:t xml:space="preserve">875.9 </w:t>
      </w:r>
      <w:r w:rsidRPr="001F63BA">
        <w:rPr>
          <w:rFonts w:ascii="GHEA Grapalat" w:hAnsi="GHEA Grapalat" w:cs="Sylfaen"/>
          <w:sz w:val="22"/>
          <w:szCs w:val="22"/>
        </w:rPr>
        <w:t>մլն դրամ</w:t>
      </w:r>
      <w:r w:rsidRPr="001F63BA">
        <w:rPr>
          <w:rFonts w:ascii="GHEA Grapalat" w:hAnsi="GHEA Grapalat" w:cs="Sylfaen"/>
          <w:sz w:val="22"/>
          <w:szCs w:val="22"/>
          <w:lang w:val="en-US"/>
        </w:rPr>
        <w:t xml:space="preserve"> աճ</w:t>
      </w:r>
      <w:r w:rsidRPr="001F63BA">
        <w:rPr>
          <w:rFonts w:ascii="GHEA Grapalat" w:hAnsi="GHEA Grapalat" w:cs="Sylfaen"/>
          <w:sz w:val="22"/>
          <w:szCs w:val="22"/>
        </w:rPr>
        <w:t xml:space="preserve">, որը հիմնականում ձևավորվել է 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 ՀՀ Վարչապետի լիազորությունների իրականացման ապահովման, Տեսչական վերահսկողության </w:t>
      </w:r>
      <w:r w:rsidRPr="001F63BA">
        <w:rPr>
          <w:rFonts w:ascii="GHEA Grapalat" w:hAnsi="GHEA Grapalat" w:cs="Sylfaen"/>
          <w:sz w:val="22"/>
          <w:szCs w:val="22"/>
          <w:lang w:val="en-US"/>
        </w:rPr>
        <w:t xml:space="preserve">ու ՀՀ զարգացման գործընթացներում Սփյուռքի ներուժի ներգրավման </w:t>
      </w:r>
      <w:r w:rsidRPr="001F63BA">
        <w:rPr>
          <w:rFonts w:ascii="GHEA Grapalat" w:hAnsi="GHEA Grapalat" w:cs="Sylfaen"/>
          <w:sz w:val="22"/>
          <w:szCs w:val="22"/>
        </w:rPr>
        <w:t>ծրագրերի շրջանակներում կատարված ծախսերի աճի և Պետական հատվածի արդիականացման ծրագրի շրջանակներում կատարված ծախսերի նվազման արդյունքում:</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202</w:t>
      </w:r>
      <w:r w:rsidRPr="001F63BA">
        <w:rPr>
          <w:rFonts w:ascii="GHEA Grapalat" w:hAnsi="GHEA Grapalat"/>
          <w:i/>
          <w:sz w:val="18"/>
          <w:szCs w:val="18"/>
          <w:lang w:val="en-US"/>
        </w:rPr>
        <w:t>2</w:t>
      </w:r>
      <w:r w:rsidRPr="001F63BA">
        <w:rPr>
          <w:rFonts w:ascii="GHEA Grapalat" w:hAnsi="GHEA Grapalat"/>
          <w:i/>
          <w:sz w:val="18"/>
          <w:szCs w:val="18"/>
          <w:lang w:val="hy-AM"/>
        </w:rPr>
        <w:t>թ. ՀՀ վարչապետի աշխատակազմի կողմից իրականացված ծրագրերը (մլն դրամ)</w:t>
      </w: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272"/>
        <w:gridCol w:w="996"/>
        <w:gridCol w:w="1087"/>
        <w:gridCol w:w="1203"/>
        <w:gridCol w:w="1203"/>
        <w:gridCol w:w="1048"/>
      </w:tblGrid>
      <w:tr w:rsidR="001C411D" w:rsidRPr="001F63BA" w:rsidTr="00D62932">
        <w:trPr>
          <w:trHeight w:val="300"/>
          <w:jc w:val="center"/>
        </w:trPr>
        <w:tc>
          <w:tcPr>
            <w:tcW w:w="3544" w:type="dxa"/>
            <w:noWrap/>
            <w:vAlign w:val="bottom"/>
          </w:tcPr>
          <w:p w:rsidR="001C411D" w:rsidRPr="001F63BA" w:rsidRDefault="001C411D" w:rsidP="00D62932">
            <w:pPr>
              <w:rPr>
                <w:sz w:val="20"/>
                <w:szCs w:val="20"/>
              </w:rPr>
            </w:pPr>
          </w:p>
        </w:tc>
        <w:tc>
          <w:tcPr>
            <w:tcW w:w="1272" w:type="dxa"/>
          </w:tcPr>
          <w:p w:rsidR="001C411D" w:rsidRPr="001F63BA" w:rsidRDefault="001C411D" w:rsidP="00D62932">
            <w:pPr>
              <w:jc w:val="center"/>
              <w:rPr>
                <w:rFonts w:ascii="GHEA Grapalat" w:hAnsi="GHEA Grapalat" w:cs="Calibri"/>
                <w:b/>
                <w:sz w:val="18"/>
                <w:szCs w:val="18"/>
                <w:lang w:val="en-US"/>
              </w:rPr>
            </w:pPr>
            <w:r w:rsidRPr="001F63BA">
              <w:rPr>
                <w:rFonts w:ascii="GHEA Grapalat" w:hAnsi="GHEA Grapalat" w:cs="Calibri"/>
                <w:b/>
                <w:sz w:val="18"/>
                <w:szCs w:val="18"/>
              </w:rPr>
              <w:t>202</w:t>
            </w:r>
            <w:r w:rsidRPr="001F63BA">
              <w:rPr>
                <w:rFonts w:ascii="GHEA Grapalat" w:hAnsi="GHEA Grapalat" w:cs="Calibri"/>
                <w:b/>
                <w:sz w:val="18"/>
                <w:szCs w:val="18"/>
                <w:lang w:val="en-US"/>
              </w:rPr>
              <w:t>1</w:t>
            </w:r>
            <w:r w:rsidRPr="001F63BA">
              <w:rPr>
                <w:rFonts w:ascii="GHEA Grapalat" w:hAnsi="GHEA Grapalat" w:cs="Calibri"/>
                <w:b/>
                <w:sz w:val="18"/>
                <w:szCs w:val="18"/>
              </w:rPr>
              <w:t>թ. փաստ</w:t>
            </w:r>
          </w:p>
          <w:p w:rsidR="001C411D" w:rsidRPr="001F63BA" w:rsidRDefault="001C411D" w:rsidP="00D62932">
            <w:pPr>
              <w:jc w:val="center"/>
              <w:rPr>
                <w:rFonts w:ascii="GHEA Grapalat" w:hAnsi="GHEA Grapalat" w:cs="Calibri"/>
                <w:b/>
                <w:sz w:val="18"/>
                <w:szCs w:val="18"/>
                <w:lang w:val="en-US"/>
              </w:rPr>
            </w:pPr>
            <w:r w:rsidRPr="001F63BA">
              <w:rPr>
                <w:rFonts w:ascii="GHEA Grapalat" w:hAnsi="GHEA Grapalat" w:cs="Calibri"/>
                <w:b/>
                <w:sz w:val="18"/>
                <w:szCs w:val="18"/>
              </w:rPr>
              <w:t>(2022թ. հետ համադրելի)</w:t>
            </w:r>
          </w:p>
        </w:tc>
        <w:tc>
          <w:tcPr>
            <w:tcW w:w="996" w:type="dxa"/>
          </w:tcPr>
          <w:p w:rsidR="001C411D" w:rsidRPr="001F63BA" w:rsidRDefault="001C411D" w:rsidP="00D62932">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1087" w:type="dxa"/>
            <w:noWrap/>
          </w:tcPr>
          <w:p w:rsidR="001C411D" w:rsidRPr="001F63BA" w:rsidRDefault="001C411D" w:rsidP="00D62932">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03" w:type="dxa"/>
          </w:tcPr>
          <w:p w:rsidR="001C411D" w:rsidRPr="001F63BA" w:rsidRDefault="001C411D" w:rsidP="00D62932">
            <w:pPr>
              <w:jc w:val="center"/>
              <w:rPr>
                <w:rFonts w:ascii="GHEA Grapalat" w:hAnsi="GHEA Grapalat" w:cs="Calibri"/>
                <w:b/>
                <w:sz w:val="18"/>
                <w:szCs w:val="18"/>
              </w:rPr>
            </w:pPr>
            <w:r w:rsidRPr="001F63BA">
              <w:rPr>
                <w:rFonts w:ascii="GHEA Grapalat" w:hAnsi="GHEA Grapalat" w:cs="Calibri"/>
                <w:b/>
                <w:sz w:val="18"/>
                <w:szCs w:val="18"/>
              </w:rPr>
              <w:t xml:space="preserve">Կատարո-ղականը ճշտված պլանի նկատմամբ (%) </w:t>
            </w:r>
          </w:p>
        </w:tc>
        <w:tc>
          <w:tcPr>
            <w:tcW w:w="1203" w:type="dxa"/>
          </w:tcPr>
          <w:p w:rsidR="001C411D" w:rsidRPr="001F63BA" w:rsidRDefault="001C411D" w:rsidP="00D62932">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թ-ի նկատմամբ</w:t>
            </w:r>
            <w:r w:rsidRPr="001F63BA">
              <w:rPr>
                <w:rFonts w:ascii="GHEA Grapalat" w:hAnsi="GHEA Grapalat" w:cs="Calibri"/>
                <w:b/>
                <w:bCs/>
                <w:sz w:val="18"/>
                <w:szCs w:val="18"/>
                <w:lang w:val="en-US"/>
              </w:rPr>
              <w:t xml:space="preserve"> (%)</w:t>
            </w:r>
          </w:p>
        </w:tc>
        <w:tc>
          <w:tcPr>
            <w:tcW w:w="1048" w:type="dxa"/>
          </w:tcPr>
          <w:p w:rsidR="001C411D" w:rsidRPr="001F63BA" w:rsidRDefault="001C411D" w:rsidP="00D62932">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և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տարբե-րությունը</w:t>
            </w:r>
          </w:p>
        </w:tc>
      </w:tr>
      <w:tr w:rsidR="001C411D" w:rsidRPr="001F63BA" w:rsidTr="00D62932">
        <w:trPr>
          <w:trHeight w:val="331"/>
          <w:jc w:val="center"/>
        </w:trPr>
        <w:tc>
          <w:tcPr>
            <w:tcW w:w="3544" w:type="dxa"/>
            <w:vAlign w:val="bottom"/>
          </w:tcPr>
          <w:p w:rsidR="001C411D" w:rsidRPr="001F63BA" w:rsidRDefault="001C411D" w:rsidP="00D62932">
            <w:pPr>
              <w:rPr>
                <w:rFonts w:ascii="GHEA Grapalat" w:hAnsi="GHEA Grapalat"/>
                <w:b/>
                <w:sz w:val="18"/>
                <w:szCs w:val="18"/>
              </w:rPr>
            </w:pPr>
            <w:r w:rsidRPr="001F63BA">
              <w:rPr>
                <w:rFonts w:ascii="GHEA Grapalat" w:hAnsi="GHEA Grapalat"/>
                <w:b/>
                <w:sz w:val="18"/>
                <w:szCs w:val="18"/>
                <w:lang w:val="en-US"/>
              </w:rPr>
              <w:t>ԸՆԴԱՄԵՆԸ</w:t>
            </w:r>
          </w:p>
        </w:tc>
        <w:tc>
          <w:tcPr>
            <w:tcW w:w="1272" w:type="dxa"/>
            <w:vAlign w:val="bottom"/>
          </w:tcPr>
          <w:p w:rsidR="001C411D" w:rsidRPr="001F63BA" w:rsidRDefault="001C411D" w:rsidP="00D62932">
            <w:pPr>
              <w:jc w:val="right"/>
              <w:rPr>
                <w:rFonts w:ascii="GHEA Grapalat" w:hAnsi="GHEA Grapalat"/>
                <w:b/>
                <w:sz w:val="18"/>
                <w:szCs w:val="18"/>
              </w:rPr>
            </w:pPr>
            <w:r w:rsidRPr="001F63BA">
              <w:rPr>
                <w:rFonts w:ascii="GHEA Grapalat" w:hAnsi="GHEA Grapalat"/>
                <w:b/>
                <w:sz w:val="18"/>
                <w:szCs w:val="18"/>
                <w:lang w:val="en-US"/>
              </w:rPr>
              <w:t>19,918.7</w:t>
            </w:r>
          </w:p>
        </w:tc>
        <w:tc>
          <w:tcPr>
            <w:tcW w:w="996" w:type="dxa"/>
            <w:vAlign w:val="bottom"/>
          </w:tcPr>
          <w:p w:rsidR="001C411D" w:rsidRPr="001F63BA" w:rsidRDefault="001C411D" w:rsidP="00D62932">
            <w:pPr>
              <w:jc w:val="right"/>
              <w:rPr>
                <w:rFonts w:ascii="GHEA Grapalat" w:hAnsi="GHEA Grapalat"/>
                <w:b/>
                <w:sz w:val="18"/>
                <w:szCs w:val="18"/>
              </w:rPr>
            </w:pPr>
            <w:r w:rsidRPr="001F63BA">
              <w:rPr>
                <w:rFonts w:ascii="GHEA Grapalat" w:hAnsi="GHEA Grapalat"/>
                <w:b/>
                <w:sz w:val="18"/>
                <w:szCs w:val="18"/>
              </w:rPr>
              <w:t>21,739.3</w:t>
            </w:r>
          </w:p>
        </w:tc>
        <w:tc>
          <w:tcPr>
            <w:tcW w:w="1087" w:type="dxa"/>
            <w:vAlign w:val="bottom"/>
          </w:tcPr>
          <w:p w:rsidR="001C411D" w:rsidRPr="001F63BA" w:rsidRDefault="001C411D" w:rsidP="00D62932">
            <w:pPr>
              <w:jc w:val="right"/>
              <w:rPr>
                <w:rFonts w:ascii="GHEA Grapalat" w:hAnsi="GHEA Grapalat"/>
                <w:b/>
                <w:sz w:val="18"/>
                <w:szCs w:val="18"/>
              </w:rPr>
            </w:pPr>
            <w:r w:rsidRPr="001F63BA">
              <w:rPr>
                <w:rFonts w:ascii="GHEA Grapalat" w:hAnsi="GHEA Grapalat"/>
                <w:b/>
                <w:sz w:val="18"/>
                <w:szCs w:val="18"/>
              </w:rPr>
              <w:t>20,794.6</w:t>
            </w:r>
          </w:p>
        </w:tc>
        <w:tc>
          <w:tcPr>
            <w:tcW w:w="1203" w:type="dxa"/>
            <w:vAlign w:val="bottom"/>
          </w:tcPr>
          <w:p w:rsidR="001C411D" w:rsidRPr="001F63BA" w:rsidRDefault="001C411D" w:rsidP="00D62932">
            <w:pPr>
              <w:jc w:val="right"/>
              <w:rPr>
                <w:rFonts w:ascii="GHEA Grapalat" w:hAnsi="GHEA Grapalat"/>
                <w:b/>
                <w:sz w:val="18"/>
                <w:szCs w:val="18"/>
              </w:rPr>
            </w:pPr>
            <w:r w:rsidRPr="001F63BA">
              <w:rPr>
                <w:rFonts w:ascii="GHEA Grapalat" w:hAnsi="GHEA Grapalat"/>
                <w:b/>
                <w:sz w:val="18"/>
                <w:szCs w:val="18"/>
              </w:rPr>
              <w:t>95.7</w:t>
            </w:r>
          </w:p>
        </w:tc>
        <w:tc>
          <w:tcPr>
            <w:tcW w:w="1203" w:type="dxa"/>
            <w:vAlign w:val="bottom"/>
          </w:tcPr>
          <w:p w:rsidR="001C411D" w:rsidRPr="001F63BA" w:rsidRDefault="001C411D" w:rsidP="00501DDD">
            <w:pPr>
              <w:jc w:val="right"/>
              <w:rPr>
                <w:rFonts w:ascii="GHEA Grapalat" w:hAnsi="GHEA Grapalat"/>
                <w:b/>
                <w:sz w:val="18"/>
                <w:szCs w:val="18"/>
                <w:lang w:val="en-US"/>
              </w:rPr>
            </w:pPr>
            <w:r w:rsidRPr="001F63BA">
              <w:rPr>
                <w:rFonts w:ascii="GHEA Grapalat" w:hAnsi="GHEA Grapalat"/>
                <w:b/>
                <w:sz w:val="18"/>
                <w:szCs w:val="18"/>
              </w:rPr>
              <w:t>10</w:t>
            </w:r>
            <w:r w:rsidRPr="001F63BA">
              <w:rPr>
                <w:rFonts w:ascii="GHEA Grapalat" w:hAnsi="GHEA Grapalat"/>
                <w:b/>
                <w:sz w:val="18"/>
                <w:szCs w:val="18"/>
                <w:lang w:val="en-US"/>
              </w:rPr>
              <w:t>4.4</w:t>
            </w:r>
          </w:p>
        </w:tc>
        <w:tc>
          <w:tcPr>
            <w:tcW w:w="1048" w:type="dxa"/>
            <w:vAlign w:val="bottom"/>
          </w:tcPr>
          <w:p w:rsidR="001C411D" w:rsidRPr="001F63BA" w:rsidRDefault="001C411D" w:rsidP="00D62932">
            <w:pPr>
              <w:jc w:val="right"/>
              <w:rPr>
                <w:rFonts w:ascii="GHEA Grapalat" w:hAnsi="GHEA Grapalat"/>
                <w:b/>
                <w:sz w:val="18"/>
                <w:szCs w:val="18"/>
                <w:lang w:val="en-US"/>
              </w:rPr>
            </w:pPr>
            <w:r w:rsidRPr="001F63BA">
              <w:rPr>
                <w:rFonts w:ascii="GHEA Grapalat" w:hAnsi="GHEA Grapalat"/>
                <w:b/>
                <w:sz w:val="18"/>
                <w:szCs w:val="18"/>
                <w:lang w:val="en-US"/>
              </w:rPr>
              <w:t>875.9</w:t>
            </w:r>
          </w:p>
        </w:tc>
      </w:tr>
      <w:tr w:rsidR="001C411D" w:rsidRPr="001F63BA" w:rsidTr="00D62932">
        <w:trPr>
          <w:trHeight w:val="331"/>
          <w:jc w:val="center"/>
        </w:trPr>
        <w:tc>
          <w:tcPr>
            <w:tcW w:w="3544" w:type="dxa"/>
            <w:vAlign w:val="bottom"/>
          </w:tcPr>
          <w:p w:rsidR="001C411D" w:rsidRPr="001F63BA" w:rsidRDefault="001C411D" w:rsidP="00D62932">
            <w:pPr>
              <w:rPr>
                <w:rFonts w:ascii="GHEA Grapalat" w:hAnsi="GHEA Grapalat"/>
                <w:sz w:val="18"/>
                <w:szCs w:val="18"/>
              </w:rPr>
            </w:pPr>
            <w:r w:rsidRPr="001F63BA">
              <w:rPr>
                <w:rFonts w:ascii="GHEA Grapalat" w:hAnsi="GHEA Grapalat"/>
                <w:sz w:val="18"/>
                <w:szCs w:val="18"/>
              </w:rPr>
              <w:t>Պետական հատվածի արդիականացման ծրագիր</w:t>
            </w:r>
          </w:p>
        </w:tc>
        <w:tc>
          <w:tcPr>
            <w:tcW w:w="1272"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3,396.6</w:t>
            </w:r>
          </w:p>
        </w:tc>
        <w:tc>
          <w:tcPr>
            <w:tcW w:w="996"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3,030.3</w:t>
            </w:r>
          </w:p>
        </w:tc>
        <w:tc>
          <w:tcPr>
            <w:tcW w:w="1087"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2,744.8</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90.6</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80.8</w:t>
            </w:r>
          </w:p>
        </w:tc>
        <w:tc>
          <w:tcPr>
            <w:tcW w:w="1048"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(651.8)</w:t>
            </w:r>
          </w:p>
        </w:tc>
      </w:tr>
      <w:tr w:rsidR="001C411D" w:rsidRPr="001F63BA" w:rsidTr="00D62932">
        <w:trPr>
          <w:trHeight w:val="300"/>
          <w:jc w:val="center"/>
        </w:trPr>
        <w:tc>
          <w:tcPr>
            <w:tcW w:w="3544" w:type="dxa"/>
            <w:vAlign w:val="bottom"/>
          </w:tcPr>
          <w:p w:rsidR="001C411D" w:rsidRPr="001F63BA" w:rsidRDefault="001C411D" w:rsidP="00D62932">
            <w:pPr>
              <w:rPr>
                <w:rFonts w:ascii="GHEA Grapalat" w:hAnsi="GHEA Grapalat"/>
                <w:sz w:val="18"/>
                <w:szCs w:val="18"/>
              </w:rPr>
            </w:pPr>
            <w:r w:rsidRPr="001F63BA">
              <w:rPr>
                <w:rFonts w:ascii="GHEA Grapalat" w:hAnsi="GHEA Grapalat"/>
                <w:sz w:val="18"/>
                <w:szCs w:val="18"/>
              </w:rPr>
              <w:t>Հանրային իրազեկում</w:t>
            </w:r>
          </w:p>
        </w:tc>
        <w:tc>
          <w:tcPr>
            <w:tcW w:w="1272"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1,019.5</w:t>
            </w:r>
          </w:p>
        </w:tc>
        <w:tc>
          <w:tcPr>
            <w:tcW w:w="996"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1,048.8</w:t>
            </w:r>
          </w:p>
        </w:tc>
        <w:tc>
          <w:tcPr>
            <w:tcW w:w="1087"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1,048.8</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100.0</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102.9</w:t>
            </w:r>
          </w:p>
        </w:tc>
        <w:tc>
          <w:tcPr>
            <w:tcW w:w="1048"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29.3</w:t>
            </w:r>
          </w:p>
        </w:tc>
      </w:tr>
      <w:tr w:rsidR="001C411D" w:rsidRPr="001F63BA" w:rsidTr="00D62932">
        <w:trPr>
          <w:trHeight w:val="300"/>
          <w:jc w:val="center"/>
        </w:trPr>
        <w:tc>
          <w:tcPr>
            <w:tcW w:w="3544" w:type="dxa"/>
            <w:vAlign w:val="bottom"/>
          </w:tcPr>
          <w:p w:rsidR="001C411D" w:rsidRPr="001F63BA" w:rsidRDefault="001C411D" w:rsidP="00D62932">
            <w:pPr>
              <w:rPr>
                <w:rFonts w:ascii="GHEA Grapalat" w:hAnsi="GHEA Grapalat"/>
                <w:sz w:val="18"/>
                <w:szCs w:val="18"/>
              </w:rPr>
            </w:pPr>
            <w:r w:rsidRPr="001F63BA">
              <w:rPr>
                <w:rFonts w:ascii="GHEA Grapalat" w:hAnsi="GHEA Grapalat"/>
                <w:sz w:val="18"/>
                <w:szCs w:val="18"/>
              </w:rPr>
              <w:t>ՀՀ Վարչապետի լիազորությունների իրականացման ապահովում</w:t>
            </w:r>
          </w:p>
        </w:tc>
        <w:tc>
          <w:tcPr>
            <w:tcW w:w="1272"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7,857.9</w:t>
            </w:r>
          </w:p>
        </w:tc>
        <w:tc>
          <w:tcPr>
            <w:tcW w:w="996"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8,547.9</w:t>
            </w:r>
          </w:p>
        </w:tc>
        <w:tc>
          <w:tcPr>
            <w:tcW w:w="1087"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8,250.4</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96.5</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105.0</w:t>
            </w:r>
          </w:p>
        </w:tc>
        <w:tc>
          <w:tcPr>
            <w:tcW w:w="1048"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392.5</w:t>
            </w:r>
          </w:p>
        </w:tc>
      </w:tr>
      <w:tr w:rsidR="001C411D" w:rsidRPr="001F63BA" w:rsidTr="00D62932">
        <w:trPr>
          <w:trHeight w:val="300"/>
          <w:jc w:val="center"/>
        </w:trPr>
        <w:tc>
          <w:tcPr>
            <w:tcW w:w="3544" w:type="dxa"/>
            <w:vAlign w:val="bottom"/>
          </w:tcPr>
          <w:p w:rsidR="001C411D" w:rsidRPr="001F63BA" w:rsidRDefault="001C411D" w:rsidP="00D62932">
            <w:pPr>
              <w:rPr>
                <w:rFonts w:ascii="GHEA Grapalat" w:hAnsi="GHEA Grapalat"/>
                <w:sz w:val="18"/>
                <w:szCs w:val="18"/>
              </w:rPr>
            </w:pPr>
            <w:r w:rsidRPr="001F63BA">
              <w:rPr>
                <w:rFonts w:ascii="GHEA Grapalat" w:hAnsi="GHEA Grapalat"/>
                <w:sz w:val="18"/>
                <w:szCs w:val="18"/>
              </w:rPr>
              <w:t>Տեսչական վերահսկողության ծրագիր</w:t>
            </w:r>
          </w:p>
        </w:tc>
        <w:tc>
          <w:tcPr>
            <w:tcW w:w="1272"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5,149.0</w:t>
            </w:r>
          </w:p>
        </w:tc>
        <w:tc>
          <w:tcPr>
            <w:tcW w:w="996"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5,715.8</w:t>
            </w:r>
          </w:p>
        </w:tc>
        <w:tc>
          <w:tcPr>
            <w:tcW w:w="1087"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5,471.5</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95.7</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106.3</w:t>
            </w:r>
          </w:p>
        </w:tc>
        <w:tc>
          <w:tcPr>
            <w:tcW w:w="1048"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322.5</w:t>
            </w:r>
          </w:p>
        </w:tc>
      </w:tr>
      <w:tr w:rsidR="001C411D" w:rsidRPr="001F63BA" w:rsidTr="00D62932">
        <w:trPr>
          <w:trHeight w:val="300"/>
          <w:jc w:val="center"/>
        </w:trPr>
        <w:tc>
          <w:tcPr>
            <w:tcW w:w="3544" w:type="dxa"/>
            <w:vAlign w:val="bottom"/>
          </w:tcPr>
          <w:p w:rsidR="001C411D" w:rsidRPr="001F63BA" w:rsidRDefault="001C411D" w:rsidP="00D62932">
            <w:pPr>
              <w:rPr>
                <w:rFonts w:ascii="GHEA Grapalat" w:hAnsi="GHEA Grapalat"/>
                <w:sz w:val="18"/>
                <w:szCs w:val="18"/>
              </w:rPr>
            </w:pPr>
            <w:r w:rsidRPr="001F63BA">
              <w:rPr>
                <w:rFonts w:ascii="GHEA Grapalat" w:hAnsi="GHEA Grapalat"/>
                <w:sz w:val="18"/>
                <w:szCs w:val="18"/>
              </w:rPr>
              <w:t>Միջազգային դատարաններում, միջազգային արբիտրաժներում և այլ միջազգային ատյաններում ՀՀ շահերի ներկայացում և պաշտպանություն, դրանց կողմից ընդունված վճիռների և որոշումների կատարման ապահովում</w:t>
            </w:r>
          </w:p>
        </w:tc>
        <w:tc>
          <w:tcPr>
            <w:tcW w:w="1272"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1,970.5</w:t>
            </w:r>
          </w:p>
        </w:tc>
        <w:tc>
          <w:tcPr>
            <w:tcW w:w="996"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2,392.0</w:t>
            </w:r>
          </w:p>
        </w:tc>
        <w:tc>
          <w:tcPr>
            <w:tcW w:w="1087"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2,387.8</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99.8</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121.2</w:t>
            </w:r>
          </w:p>
        </w:tc>
        <w:tc>
          <w:tcPr>
            <w:tcW w:w="1048"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417.3</w:t>
            </w:r>
          </w:p>
        </w:tc>
      </w:tr>
      <w:tr w:rsidR="001C411D" w:rsidRPr="001F63BA" w:rsidTr="00D62932">
        <w:trPr>
          <w:trHeight w:val="300"/>
          <w:jc w:val="center"/>
        </w:trPr>
        <w:tc>
          <w:tcPr>
            <w:tcW w:w="3544" w:type="dxa"/>
            <w:vAlign w:val="bottom"/>
          </w:tcPr>
          <w:p w:rsidR="001C411D" w:rsidRPr="001F63BA" w:rsidRDefault="001C411D" w:rsidP="00D62932">
            <w:pPr>
              <w:rPr>
                <w:rFonts w:ascii="GHEA Grapalat" w:hAnsi="GHEA Grapalat"/>
                <w:sz w:val="18"/>
                <w:szCs w:val="18"/>
                <w:lang w:val="en-US"/>
              </w:rPr>
            </w:pPr>
            <w:r w:rsidRPr="001F63BA">
              <w:rPr>
                <w:rFonts w:ascii="GHEA Grapalat" w:hAnsi="GHEA Grapalat"/>
                <w:sz w:val="18"/>
                <w:szCs w:val="18"/>
              </w:rPr>
              <w:t>Այլ ծրագրեր</w:t>
            </w:r>
          </w:p>
        </w:tc>
        <w:tc>
          <w:tcPr>
            <w:tcW w:w="1272" w:type="dxa"/>
            <w:vAlign w:val="bottom"/>
          </w:tcPr>
          <w:p w:rsidR="001C411D" w:rsidRPr="001F63BA" w:rsidRDefault="001C411D" w:rsidP="00D62932">
            <w:pPr>
              <w:jc w:val="right"/>
              <w:rPr>
                <w:rFonts w:ascii="GHEA Grapalat" w:hAnsi="GHEA Grapalat"/>
                <w:sz w:val="18"/>
                <w:szCs w:val="18"/>
                <w:lang w:val="en-US"/>
              </w:rPr>
            </w:pPr>
            <w:r w:rsidRPr="001F63BA">
              <w:rPr>
                <w:rFonts w:ascii="GHEA Grapalat" w:hAnsi="GHEA Grapalat"/>
                <w:sz w:val="18"/>
                <w:szCs w:val="18"/>
                <w:lang w:val="en-US"/>
              </w:rPr>
              <w:t>525.2</w:t>
            </w:r>
          </w:p>
        </w:tc>
        <w:tc>
          <w:tcPr>
            <w:tcW w:w="996"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1,004.6</w:t>
            </w:r>
          </w:p>
        </w:tc>
        <w:tc>
          <w:tcPr>
            <w:tcW w:w="1087"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891.3</w:t>
            </w:r>
          </w:p>
        </w:tc>
        <w:tc>
          <w:tcPr>
            <w:tcW w:w="1203" w:type="dxa"/>
            <w:vAlign w:val="bottom"/>
          </w:tcPr>
          <w:p w:rsidR="001C411D" w:rsidRPr="001F63BA" w:rsidRDefault="001C411D" w:rsidP="00D62932">
            <w:pPr>
              <w:jc w:val="right"/>
              <w:rPr>
                <w:rFonts w:ascii="GHEA Grapalat" w:hAnsi="GHEA Grapalat"/>
                <w:sz w:val="18"/>
                <w:szCs w:val="18"/>
              </w:rPr>
            </w:pPr>
            <w:r w:rsidRPr="001F63BA">
              <w:rPr>
                <w:rFonts w:ascii="GHEA Grapalat" w:hAnsi="GHEA Grapalat"/>
                <w:sz w:val="18"/>
                <w:szCs w:val="18"/>
              </w:rPr>
              <w:t>88.7</w:t>
            </w:r>
          </w:p>
        </w:tc>
        <w:tc>
          <w:tcPr>
            <w:tcW w:w="1203" w:type="dxa"/>
            <w:vAlign w:val="bottom"/>
          </w:tcPr>
          <w:p w:rsidR="001C411D" w:rsidRPr="001F63BA" w:rsidRDefault="001C411D" w:rsidP="00501DDD">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69.7</w:t>
            </w:r>
          </w:p>
        </w:tc>
        <w:tc>
          <w:tcPr>
            <w:tcW w:w="1048" w:type="dxa"/>
            <w:vAlign w:val="bottom"/>
          </w:tcPr>
          <w:p w:rsidR="001C411D" w:rsidRPr="001F63BA" w:rsidRDefault="001C411D" w:rsidP="00D62932">
            <w:pPr>
              <w:jc w:val="right"/>
              <w:rPr>
                <w:rFonts w:ascii="GHEA Grapalat" w:hAnsi="GHEA Grapalat"/>
                <w:sz w:val="18"/>
                <w:szCs w:val="18"/>
                <w:lang w:val="en-US"/>
              </w:rPr>
            </w:pPr>
            <w:r w:rsidRPr="001F63BA">
              <w:rPr>
                <w:rFonts w:ascii="GHEA Grapalat" w:hAnsi="GHEA Grapalat"/>
                <w:sz w:val="18"/>
                <w:szCs w:val="18"/>
                <w:lang w:val="en-US"/>
              </w:rPr>
              <w:t>366.1</w:t>
            </w:r>
          </w:p>
        </w:tc>
      </w:tr>
    </w:tbl>
    <w:p w:rsidR="001C411D" w:rsidRPr="001F63BA" w:rsidRDefault="001C411D" w:rsidP="008E69AF">
      <w:pPr>
        <w:autoSpaceDE w:val="0"/>
        <w:autoSpaceDN w:val="0"/>
        <w:adjustRightInd w:val="0"/>
        <w:spacing w:line="360" w:lineRule="auto"/>
        <w:ind w:firstLine="567"/>
        <w:jc w:val="both"/>
        <w:rPr>
          <w:rFonts w:ascii="GHEA Grapalat" w:hAnsi="GHEA Grapalat"/>
          <w:sz w:val="20"/>
          <w:szCs w:val="20"/>
        </w:rPr>
      </w:pPr>
    </w:p>
    <w:p w:rsidR="001C411D" w:rsidRPr="001F63BA" w:rsidRDefault="001C411D" w:rsidP="008E69AF">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 xml:space="preserve">թվականի ընթացքում </w:t>
      </w:r>
      <w:r w:rsidRPr="001F63BA">
        <w:rPr>
          <w:rFonts w:ascii="GHEA Grapalat" w:hAnsi="GHEA Grapalat" w:cs="GHEA Grapalat"/>
          <w:i/>
          <w:sz w:val="22"/>
          <w:szCs w:val="22"/>
        </w:rPr>
        <w:t>Պետական հատվածի արդիականացման</w:t>
      </w:r>
      <w:r w:rsidRPr="001F63BA">
        <w:rPr>
          <w:rFonts w:ascii="GHEA Grapalat" w:hAnsi="GHEA Grapalat"/>
          <w:i/>
          <w:sz w:val="22"/>
          <w:szCs w:val="22"/>
        </w:rPr>
        <w:t xml:space="preserve"> ծրագրի</w:t>
      </w:r>
      <w:r w:rsidRPr="001F63BA">
        <w:rPr>
          <w:rFonts w:ascii="GHEA Grapalat" w:hAnsi="GHEA Grapalat"/>
          <w:sz w:val="22"/>
          <w:szCs w:val="22"/>
        </w:rPr>
        <w:t xml:space="preserve"> շրջանակներում օգտագործվել է </w:t>
      </w:r>
      <w:r w:rsidRPr="001F63BA">
        <w:rPr>
          <w:rFonts w:ascii="GHEA Grapalat" w:hAnsi="GHEA Grapalat"/>
          <w:sz w:val="22"/>
          <w:szCs w:val="22"/>
          <w:lang w:val="en-US"/>
        </w:rPr>
        <w:t>ավելի քան</w:t>
      </w:r>
      <w:r w:rsidRPr="001F63BA">
        <w:rPr>
          <w:rFonts w:ascii="GHEA Grapalat" w:hAnsi="GHEA Grapalat"/>
          <w:sz w:val="22"/>
          <w:szCs w:val="22"/>
        </w:rPr>
        <w:t xml:space="preserve"> 2</w:t>
      </w:r>
      <w:r w:rsidRPr="001F63BA">
        <w:rPr>
          <w:rFonts w:ascii="GHEA Grapalat" w:hAnsi="GHEA Grapalat"/>
          <w:sz w:val="22"/>
          <w:szCs w:val="22"/>
          <w:lang w:val="en-US"/>
        </w:rPr>
        <w:t>.7</w:t>
      </w:r>
      <w:r w:rsidRPr="001F63BA">
        <w:rPr>
          <w:rFonts w:ascii="GHEA Grapalat" w:hAnsi="GHEA Grapalat"/>
          <w:sz w:val="22"/>
          <w:szCs w:val="22"/>
        </w:rPr>
        <w:t xml:space="preserve"> մլրդ դրամ կամ նախատեսված միջոցների 9</w:t>
      </w:r>
      <w:r w:rsidRPr="001F63BA">
        <w:rPr>
          <w:rFonts w:ascii="GHEA Grapalat" w:hAnsi="GHEA Grapalat"/>
          <w:sz w:val="22"/>
          <w:szCs w:val="22"/>
          <w:lang w:val="en-US"/>
        </w:rPr>
        <w:t>0.6</w:t>
      </w:r>
      <w:r w:rsidRPr="001F63BA">
        <w:rPr>
          <w:rFonts w:ascii="GHEA Grapalat" w:hAnsi="GHEA Grapalat"/>
          <w:sz w:val="22"/>
          <w:szCs w:val="22"/>
        </w:rPr>
        <w:t xml:space="preserve">%-ը: </w:t>
      </w:r>
      <w:r w:rsidRPr="001F63BA">
        <w:rPr>
          <w:rFonts w:ascii="GHEA Grapalat" w:hAnsi="GHEA Grapalat" w:cs="Sylfaen"/>
          <w:sz w:val="22"/>
          <w:szCs w:val="22"/>
        </w:rPr>
        <w:t xml:space="preserve">Շեղումը </w:t>
      </w:r>
      <w:r w:rsidRPr="001F63BA">
        <w:rPr>
          <w:rFonts w:ascii="GHEA Grapalat" w:hAnsi="GHEA Grapalat" w:cs="Sylfaen"/>
          <w:sz w:val="22"/>
          <w:szCs w:val="22"/>
        </w:rPr>
        <w:lastRenderedPageBreak/>
        <w:t xml:space="preserve">պայմանավորված է արտարժույթի </w:t>
      </w:r>
      <w:r w:rsidRPr="001F63BA">
        <w:rPr>
          <w:rFonts w:ascii="GHEA Grapalat" w:hAnsi="GHEA Grapalat"/>
          <w:sz w:val="22"/>
          <w:szCs w:val="22"/>
        </w:rPr>
        <w:t>կանխատեսված և փաստացի փոխարժեքների տարբերությամբ: Միջոցներն օգտագործվել են Համաշխարհային բանկի աջակցությամբ իրականացվող Պետական հատվածի արդիականացման երրորդ ծրագրի շրջանակներում: Ծրագրի շրջանակներում էլեկտրոնային կառավարման համակարգերի և սարքավորումների ձեռքբերման</w:t>
      </w:r>
      <w:r w:rsidRPr="001F63BA">
        <w:rPr>
          <w:rFonts w:ascii="GHEA Grapalat" w:hAnsi="GHEA Grapalat"/>
          <w:sz w:val="22"/>
          <w:szCs w:val="22"/>
          <w:lang w:val="en-US"/>
        </w:rPr>
        <w:t xml:space="preserve"> մ</w:t>
      </w:r>
      <w:r w:rsidRPr="001F63BA">
        <w:rPr>
          <w:rFonts w:ascii="GHEA Grapalat" w:hAnsi="GHEA Grapalat"/>
          <w:sz w:val="22"/>
          <w:szCs w:val="22"/>
        </w:rPr>
        <w:t>իջոցառման շրջանակներում նախատեսված աշխատանքներ</w:t>
      </w:r>
      <w:r w:rsidRPr="001F63BA">
        <w:rPr>
          <w:rFonts w:ascii="GHEA Grapalat" w:hAnsi="GHEA Grapalat"/>
          <w:sz w:val="22"/>
          <w:szCs w:val="22"/>
          <w:lang w:val="en-US"/>
        </w:rPr>
        <w:t>ն</w:t>
      </w:r>
      <w:r w:rsidRPr="001F63BA">
        <w:rPr>
          <w:rFonts w:ascii="GHEA Grapalat" w:hAnsi="GHEA Grapalat"/>
          <w:sz w:val="22"/>
          <w:szCs w:val="22"/>
        </w:rPr>
        <w:t xml:space="preserve"> իրականացվել են ամբողջությամբ: Մասնավորապես՝ մշակվել են միասնական ծանուցումների համար (e-notification) էլեկտրոնային հարթակ, կոռուպցիայի կանխարգելման հանձնաժողովի համար էլեկտրոնային համակարգ, քրեական գործերի մինչդատական վարույթի էլեկտրոնային համակարգ, սմարթֆոնների համար թվային ստորագրությունների և նույնականացման (ID) համակարգ, որոշում կայացնողների համար վիճակագրական տվյալների վահանակ (dashboard), էլեկտրոնային հյուպատոսության համակարգի համար տեսամոդուլ, փաստաթղթերի ստուգման համար (e-verify) և անձնական էլեկտրոնային կաբինետ (e-cabinet) էլեկտրոնային hարթակ, պետական և համայնքային ծառայությունների (ծառայությունների, լիցենզիաների և թույլտվությունների) միասնական էլեկտրոնային համակարգի ծրագրային և կառուցվածքի, ինտեգրման և փոխգործելիության պահանջները, ՀՀ ոստիկանության օպերատիվ կառավարման էլեկտրոնային համակարգը, և ձեռք են բերվել GPS-ները, ձեռք են բերվել նաև կառավարական կորպորատիվ ցանցի համար ցանցային բաժանարարները (Data-Centre switches), մրցակցության պաշտպանության հանձնաժողովի համար սերվեր (Blade server) և այլ սարքավորումներ: Նշված միջոցառման շրջանակներում օգտագործվել է 2.4 մլրդ դրամ կամ նախատեսված միջոցների 91.1%-ը:</w:t>
      </w:r>
    </w:p>
    <w:p w:rsidR="001C411D" w:rsidRPr="001F63BA" w:rsidRDefault="001C411D" w:rsidP="008E69AF">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Ծրագրի շրջանակներում ՀՀ հանրային հատվածի ֆինանսական կառավարման բարեփոխումների մշակման և իրականացման խորհրդատվական ծառայությունների ձեռքբերման</w:t>
      </w:r>
      <w:r w:rsidRPr="001F63BA">
        <w:rPr>
          <w:rFonts w:ascii="GHEA Grapalat" w:hAnsi="GHEA Grapalat"/>
          <w:sz w:val="22"/>
          <w:szCs w:val="22"/>
          <w:lang w:val="en-US"/>
        </w:rPr>
        <w:t xml:space="preserve"> մ</w:t>
      </w:r>
      <w:r w:rsidRPr="001F63BA">
        <w:rPr>
          <w:rFonts w:ascii="GHEA Grapalat" w:hAnsi="GHEA Grapalat"/>
          <w:sz w:val="22"/>
          <w:szCs w:val="22"/>
        </w:rPr>
        <w:t xml:space="preserve">իջոցառման շրջանակներում կատարվել են ծրագրի մոնիթորինգի և հաշվետվությունների մշակման, գնումների փաստաթղթերի կազմման և գնումների գործընթացի վերահսկման ու ծրագրի ֆինանսական աուդիտի ծառայությունների հետ կապված </w:t>
      </w:r>
      <w:r w:rsidRPr="001F63BA">
        <w:rPr>
          <w:rFonts w:ascii="GHEA Grapalat" w:hAnsi="GHEA Grapalat"/>
          <w:sz w:val="22"/>
          <w:szCs w:val="22"/>
          <w:lang w:val="en-US"/>
        </w:rPr>
        <w:t>աշխատանքն</w:t>
      </w:r>
      <w:r w:rsidRPr="001F63BA">
        <w:rPr>
          <w:rFonts w:ascii="GHEA Grapalat" w:hAnsi="GHEA Grapalat"/>
          <w:sz w:val="22"/>
          <w:szCs w:val="22"/>
        </w:rPr>
        <w:t xml:space="preserve">եր, մշակվել </w:t>
      </w:r>
      <w:r w:rsidRPr="001F63BA">
        <w:rPr>
          <w:rFonts w:ascii="GHEA Grapalat" w:hAnsi="GHEA Grapalat"/>
          <w:sz w:val="22"/>
          <w:szCs w:val="22"/>
          <w:lang w:val="en-US"/>
        </w:rPr>
        <w:t>են</w:t>
      </w:r>
      <w:r w:rsidRPr="001F63BA">
        <w:rPr>
          <w:rFonts w:ascii="GHEA Grapalat" w:hAnsi="GHEA Grapalat"/>
          <w:sz w:val="22"/>
          <w:szCs w:val="22"/>
        </w:rPr>
        <w:t xml:space="preserve"> պետական և տեղական ինքնակառավարման մարմինների կողմից մատուցվող ծառայությունների կատալոգը, ինչպես նաև հարկադիր կատարումն ապահովող ծառայության ծրագրային ապահովումը։</w:t>
      </w:r>
      <w:r w:rsidRPr="001F63BA">
        <w:rPr>
          <w:rFonts w:ascii="GHEA Grapalat" w:hAnsi="GHEA Grapalat"/>
          <w:sz w:val="22"/>
          <w:szCs w:val="22"/>
          <w:lang w:val="en-US"/>
        </w:rPr>
        <w:t xml:space="preserve"> Նշված մ</w:t>
      </w:r>
      <w:r w:rsidRPr="001F63BA">
        <w:rPr>
          <w:rFonts w:ascii="GHEA Grapalat" w:hAnsi="GHEA Grapalat"/>
          <w:sz w:val="22"/>
          <w:szCs w:val="22"/>
        </w:rPr>
        <w:t xml:space="preserve">իջոցառման շրջանակներում օգտագործվել է 340.6 մլն դրամ կամ նախատեսված միջոցների </w:t>
      </w:r>
      <w:r w:rsidRPr="001F63BA">
        <w:rPr>
          <w:rFonts w:ascii="GHEA Grapalat" w:hAnsi="GHEA Grapalat"/>
          <w:sz w:val="22"/>
          <w:szCs w:val="22"/>
          <w:lang w:val="en-US"/>
        </w:rPr>
        <w:t>87</w:t>
      </w:r>
      <w:r w:rsidRPr="001F63BA">
        <w:rPr>
          <w:rFonts w:ascii="GHEA Grapalat" w:hAnsi="GHEA Grapalat"/>
          <w:sz w:val="22"/>
          <w:szCs w:val="22"/>
        </w:rPr>
        <w:t>.1%-ը:</w:t>
      </w:r>
    </w:p>
    <w:p w:rsidR="001C411D" w:rsidRPr="001F63BA" w:rsidRDefault="001C411D" w:rsidP="008E69AF">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Sylfaen"/>
          <w:sz w:val="22"/>
          <w:szCs w:val="22"/>
        </w:rPr>
        <w:t xml:space="preserve">Նախորդ տարվա համեմատ </w:t>
      </w:r>
      <w:r w:rsidRPr="001F63BA">
        <w:rPr>
          <w:rFonts w:ascii="GHEA Grapalat" w:hAnsi="GHEA Grapalat"/>
          <w:sz w:val="22"/>
          <w:szCs w:val="22"/>
        </w:rPr>
        <w:t>Պետական հատվածի արդիականացման</w:t>
      </w:r>
      <w:r w:rsidRPr="001F63BA">
        <w:rPr>
          <w:rFonts w:ascii="GHEA Grapalat" w:hAnsi="GHEA Grapalat" w:cs="Sylfaen"/>
          <w:sz w:val="22"/>
          <w:szCs w:val="22"/>
        </w:rPr>
        <w:t xml:space="preserve"> ծրագրի գծով ծախսերը նվազել են </w:t>
      </w:r>
      <w:r w:rsidRPr="001F63BA">
        <w:rPr>
          <w:rFonts w:ascii="GHEA Grapalat" w:hAnsi="GHEA Grapalat" w:cs="Sylfaen"/>
          <w:sz w:val="22"/>
          <w:szCs w:val="22"/>
          <w:lang w:val="en-US"/>
        </w:rPr>
        <w:t>19.2</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651.8</w:t>
      </w:r>
      <w:r w:rsidRPr="001F63BA">
        <w:rPr>
          <w:rFonts w:ascii="GHEA Grapalat" w:hAnsi="GHEA Grapalat" w:cs="Sylfaen"/>
          <w:sz w:val="22"/>
          <w:szCs w:val="22"/>
        </w:rPr>
        <w:t xml:space="preserve"> մլն դրամով:</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sz w:val="22"/>
          <w:szCs w:val="22"/>
        </w:rPr>
        <w:t>2022</w:t>
      </w:r>
      <w:r w:rsidRPr="001F63BA">
        <w:rPr>
          <w:rFonts w:ascii="GHEA Grapalat" w:hAnsi="GHEA Grapalat"/>
          <w:sz w:val="22"/>
          <w:szCs w:val="22"/>
          <w:lang w:val="en-US"/>
        </w:rPr>
        <w:t xml:space="preserve"> </w:t>
      </w:r>
      <w:r w:rsidRPr="001F63BA">
        <w:rPr>
          <w:rFonts w:ascii="GHEA Grapalat" w:hAnsi="GHEA Grapalat"/>
          <w:sz w:val="22"/>
          <w:szCs w:val="22"/>
        </w:rPr>
        <w:t xml:space="preserve">թվականի ընթացքում </w:t>
      </w:r>
      <w:r w:rsidRPr="001F63BA">
        <w:rPr>
          <w:rFonts w:ascii="GHEA Grapalat" w:hAnsi="GHEA Grapalat" w:cs="Sylfaen"/>
          <w:i/>
          <w:sz w:val="22"/>
          <w:szCs w:val="22"/>
        </w:rPr>
        <w:t>Հանրային իրազեկման ծրագրի</w:t>
      </w:r>
      <w:r w:rsidRPr="001F63BA">
        <w:rPr>
          <w:rFonts w:ascii="GHEA Grapalat" w:hAnsi="GHEA Grapalat" w:cs="Sylfaen"/>
          <w:sz w:val="22"/>
          <w:szCs w:val="22"/>
        </w:rPr>
        <w:t xml:space="preserve"> ծախսերը կազմել են </w:t>
      </w:r>
      <w:r w:rsidRPr="001F63BA">
        <w:rPr>
          <w:rFonts w:ascii="GHEA Grapalat" w:hAnsi="GHEA Grapalat" w:cs="Sylfaen"/>
          <w:sz w:val="22"/>
          <w:szCs w:val="22"/>
          <w:lang w:val="en-US"/>
        </w:rPr>
        <w:t xml:space="preserve">ավելի քան </w:t>
      </w:r>
      <w:r w:rsidRPr="001F63BA">
        <w:rPr>
          <w:rFonts w:ascii="GHEA Grapalat" w:hAnsi="GHEA Grapalat" w:cs="Sylfaen"/>
          <w:sz w:val="22"/>
          <w:szCs w:val="22"/>
        </w:rPr>
        <w:t>1</w:t>
      </w:r>
      <w:r w:rsidRPr="001F63BA">
        <w:rPr>
          <w:rFonts w:ascii="Courier New" w:hAnsi="Courier New" w:cs="Courier New"/>
          <w:sz w:val="22"/>
          <w:szCs w:val="22"/>
          <w:lang w:val="en-US"/>
        </w:rPr>
        <w:t> </w:t>
      </w:r>
      <w:r w:rsidRPr="001F63BA">
        <w:rPr>
          <w:rFonts w:ascii="GHEA Grapalat" w:hAnsi="GHEA Grapalat" w:cs="Sylfaen"/>
          <w:sz w:val="22"/>
          <w:szCs w:val="22"/>
        </w:rPr>
        <w:t xml:space="preserve">մլրդ դրամ </w:t>
      </w:r>
      <w:r w:rsidRPr="001F63BA">
        <w:rPr>
          <w:rFonts w:ascii="GHEA Grapalat" w:hAnsi="GHEA Grapalat" w:cs="Sylfaen"/>
          <w:sz w:val="22"/>
          <w:szCs w:val="22"/>
          <w:lang w:val="en-US"/>
        </w:rPr>
        <w:t xml:space="preserve">և ապահովել 100% կատարողական, իսկ նախորդ տարվա համեմատ աճել են 2.9%-ով </w:t>
      </w:r>
      <w:r w:rsidRPr="001F63BA">
        <w:rPr>
          <w:rFonts w:ascii="GHEA Grapalat" w:hAnsi="GHEA Grapalat" w:cs="Sylfaen"/>
          <w:sz w:val="22"/>
          <w:szCs w:val="22"/>
          <w:lang w:val="en-US"/>
        </w:rPr>
        <w:lastRenderedPageBreak/>
        <w:t xml:space="preserve">կամ 29.3 մլն դրամով, որը հիմնականում պայմանավորված է ԱՊՀ երկրներում հեռուստառադիոծրագրերի հեռարձակման համար «Միր» միջպետական հեռուստառադիոընկե-րության ՀՀ մասնաբաժնի վճարման և միջազգային լրատվամիջոցներում պետական լրատվական գործակալության ցիտման ինդեքսի և ՀՀ-ի վերաբերյալ օբյեկտիվ տեղեկատվության տարածմանն աջակցության ծախսերի աճով: </w:t>
      </w:r>
      <w:r w:rsidRPr="001F63BA">
        <w:rPr>
          <w:rFonts w:ascii="GHEA Grapalat" w:hAnsi="GHEA Grapalat" w:cs="Sylfaen"/>
          <w:sz w:val="22"/>
          <w:szCs w:val="22"/>
        </w:rPr>
        <w:t xml:space="preserve">Ծրագրի շրջանակներում իրականացվել են </w:t>
      </w:r>
      <w:r w:rsidRPr="001F63BA">
        <w:rPr>
          <w:rFonts w:ascii="GHEA Grapalat" w:hAnsi="GHEA Grapalat" w:cs="Sylfaen"/>
          <w:sz w:val="22"/>
          <w:szCs w:val="22"/>
          <w:lang w:val="en-US"/>
        </w:rPr>
        <w:t>7</w:t>
      </w:r>
      <w:r w:rsidRPr="001F63BA">
        <w:rPr>
          <w:rFonts w:ascii="GHEA Grapalat" w:hAnsi="GHEA Grapalat" w:cs="Sylfaen"/>
          <w:sz w:val="22"/>
          <w:szCs w:val="22"/>
        </w:rPr>
        <w:t xml:space="preserve"> միջոցառումներ</w:t>
      </w:r>
      <w:r w:rsidRPr="001F63BA">
        <w:rPr>
          <w:rFonts w:ascii="GHEA Grapalat" w:hAnsi="GHEA Grapalat" w:cs="Sylfaen"/>
          <w:sz w:val="22"/>
          <w:szCs w:val="22"/>
          <w:lang w:val="en-US"/>
        </w:rPr>
        <w:t xml:space="preserve">: </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Կառավարության գործունեության լուսաբանման, թեմատիկ վերլուծությունների և ԶԼՄ-ների ամենօրյա մշտադիտարկումների նպատակով հանրային իրազեկման միջոցառ</w:t>
      </w:r>
      <w:r w:rsidRPr="001F63BA">
        <w:rPr>
          <w:rFonts w:ascii="GHEA Grapalat" w:hAnsi="GHEA Grapalat" w:cs="Sylfaen"/>
          <w:sz w:val="22"/>
          <w:szCs w:val="22"/>
          <w:lang w:val="en-US"/>
        </w:rPr>
        <w:t>ման շրջանակներում</w:t>
      </w:r>
      <w:r w:rsidRPr="001F63BA">
        <w:rPr>
          <w:rFonts w:ascii="GHEA Grapalat" w:hAnsi="GHEA Grapalat" w:cs="Sylfaen"/>
          <w:sz w:val="22"/>
          <w:szCs w:val="22"/>
        </w:rPr>
        <w:t xml:space="preserve"> «Հանրային կապերի և տեղեկատվության կենտրոն» ՊՈԱԿ-ի կողմից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իրականացվել են հետևյալ աշխատանքները.</w:t>
      </w:r>
    </w:p>
    <w:p w:rsidR="001C411D" w:rsidRPr="001F63BA" w:rsidRDefault="001C411D" w:rsidP="00BB1B4B">
      <w:pPr>
        <w:numPr>
          <w:ilvl w:val="0"/>
          <w:numId w:val="23"/>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Սոցիալական հարթակներում Կառավարության պաշտոնական էջերի կառավարում, տեսանյութերի պատրաստում և տեղադրում, ուղիղ եթեր հեռարձակումների իրականացում, </w:t>
      </w:r>
    </w:p>
    <w:p w:rsidR="001C411D" w:rsidRPr="001F63BA" w:rsidRDefault="001C411D" w:rsidP="00BB1B4B">
      <w:pPr>
        <w:numPr>
          <w:ilvl w:val="0"/>
          <w:numId w:val="23"/>
        </w:numPr>
        <w:tabs>
          <w:tab w:val="left" w:pos="851"/>
        </w:tabs>
        <w:autoSpaceDE w:val="0"/>
        <w:autoSpaceDN w:val="0"/>
        <w:adjustRightInd w:val="0"/>
        <w:spacing w:line="360" w:lineRule="auto"/>
        <w:ind w:left="0" w:firstLine="567"/>
        <w:jc w:val="both"/>
        <w:rPr>
          <w:rFonts w:ascii="GHEA Grapalat" w:hAnsi="GHEA Grapalat"/>
          <w:sz w:val="22"/>
          <w:szCs w:val="22"/>
        </w:rPr>
      </w:pPr>
      <w:r w:rsidRPr="001F63BA">
        <w:rPr>
          <w:rFonts w:ascii="GHEA Grapalat" w:hAnsi="GHEA Grapalat"/>
          <w:sz w:val="22"/>
          <w:szCs w:val="22"/>
        </w:rPr>
        <w:t>Ներքաղաքական թեմաներով անհատական թեմատիկ տեղեկանքների, ուսումնասիրությունների և վերլուծական հոդվածների պատրաստում,</w:t>
      </w:r>
    </w:p>
    <w:p w:rsidR="001C411D" w:rsidRPr="001F63BA" w:rsidRDefault="001C411D" w:rsidP="00BB1B4B">
      <w:pPr>
        <w:numPr>
          <w:ilvl w:val="0"/>
          <w:numId w:val="23"/>
        </w:numPr>
        <w:tabs>
          <w:tab w:val="left" w:pos="851"/>
        </w:tabs>
        <w:autoSpaceDE w:val="0"/>
        <w:autoSpaceDN w:val="0"/>
        <w:adjustRightInd w:val="0"/>
        <w:spacing w:line="360" w:lineRule="auto"/>
        <w:ind w:left="0" w:firstLine="567"/>
        <w:jc w:val="both"/>
        <w:rPr>
          <w:rFonts w:ascii="GHEA Grapalat" w:hAnsi="GHEA Grapalat"/>
          <w:sz w:val="22"/>
          <w:szCs w:val="22"/>
        </w:rPr>
      </w:pPr>
      <w:r w:rsidRPr="001F63BA">
        <w:rPr>
          <w:rFonts w:ascii="GHEA Grapalat" w:hAnsi="GHEA Grapalat"/>
          <w:sz w:val="22"/>
          <w:szCs w:val="22"/>
        </w:rPr>
        <w:t>ՀՀ արտաքին քաղաքականության կարևոր գործընթացների և միջազգային թեմաների վերաբերյալ քաղաքական ամփոփագրերի և վերլուծությունների պատրաստում,</w:t>
      </w:r>
    </w:p>
    <w:p w:rsidR="001C411D" w:rsidRPr="001F63BA" w:rsidRDefault="001C411D" w:rsidP="00BB1B4B">
      <w:pPr>
        <w:numPr>
          <w:ilvl w:val="0"/>
          <w:numId w:val="23"/>
        </w:numPr>
        <w:tabs>
          <w:tab w:val="left" w:pos="851"/>
        </w:tabs>
        <w:autoSpaceDE w:val="0"/>
        <w:autoSpaceDN w:val="0"/>
        <w:adjustRightInd w:val="0"/>
        <w:spacing w:line="360" w:lineRule="auto"/>
        <w:ind w:left="0" w:firstLine="567"/>
        <w:jc w:val="both"/>
        <w:rPr>
          <w:rFonts w:ascii="GHEA Grapalat" w:hAnsi="GHEA Grapalat"/>
          <w:sz w:val="22"/>
          <w:szCs w:val="22"/>
        </w:rPr>
      </w:pPr>
      <w:r w:rsidRPr="001F63BA">
        <w:rPr>
          <w:rFonts w:ascii="GHEA Grapalat" w:hAnsi="GHEA Grapalat"/>
          <w:sz w:val="22"/>
          <w:szCs w:val="22"/>
        </w:rPr>
        <w:t>Տարածաշրջանային ընթացիկ զարգացումների վերաբերյալ թեմատիկ տեղեկանքների պատրաստում,</w:t>
      </w:r>
    </w:p>
    <w:p w:rsidR="001C411D" w:rsidRPr="001F63BA" w:rsidRDefault="001C411D" w:rsidP="00BB1B4B">
      <w:pPr>
        <w:numPr>
          <w:ilvl w:val="0"/>
          <w:numId w:val="23"/>
        </w:numPr>
        <w:tabs>
          <w:tab w:val="left" w:pos="851"/>
        </w:tabs>
        <w:autoSpaceDE w:val="0"/>
        <w:autoSpaceDN w:val="0"/>
        <w:adjustRightInd w:val="0"/>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Հայերեն, ռուսերեն և թուրքերեն լեզուներով </w:t>
      </w:r>
      <w:r w:rsidRPr="001F63BA">
        <w:rPr>
          <w:rFonts w:ascii="GHEA Grapalat" w:hAnsi="GHEA Grapalat"/>
          <w:sz w:val="22"/>
          <w:szCs w:val="22"/>
          <w:lang w:val="en-US"/>
        </w:rPr>
        <w:t>լրատվական կայքերի վարում, տարածաշրջանային հիմնախնդիրների առնչությամբ հրապարակային գործունեության ծավալում</w:t>
      </w:r>
      <w:r w:rsidRPr="001F63BA">
        <w:rPr>
          <w:rFonts w:ascii="GHEA Grapalat" w:hAnsi="GHEA Grapalat"/>
          <w:sz w:val="22"/>
          <w:szCs w:val="22"/>
        </w:rPr>
        <w:t>,</w:t>
      </w:r>
    </w:p>
    <w:p w:rsidR="001C411D" w:rsidRPr="001F63BA" w:rsidRDefault="001C411D" w:rsidP="00BB1B4B">
      <w:pPr>
        <w:numPr>
          <w:ilvl w:val="0"/>
          <w:numId w:val="23"/>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lang w:val="en-US"/>
        </w:rPr>
        <w:t xml:space="preserve">Օրբելի վերլուծական ծառայության հետազոտությունների հոդվածի պատրաստում, </w:t>
      </w:r>
    </w:p>
    <w:p w:rsidR="001C411D" w:rsidRPr="001F63BA" w:rsidRDefault="001C411D" w:rsidP="00BB1B4B">
      <w:pPr>
        <w:numPr>
          <w:ilvl w:val="0"/>
          <w:numId w:val="23"/>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 xml:space="preserve">Լեռնային Ղարաբաղի հիմնախնդրի, </w:t>
      </w:r>
      <w:r w:rsidRPr="001F63BA">
        <w:rPr>
          <w:rFonts w:ascii="GHEA Grapalat" w:hAnsi="GHEA Grapalat"/>
          <w:sz w:val="22"/>
          <w:szCs w:val="22"/>
          <w:lang w:val="en-US"/>
        </w:rPr>
        <w:t>Ա</w:t>
      </w:r>
      <w:r w:rsidRPr="001F63BA">
        <w:rPr>
          <w:rFonts w:ascii="GHEA Grapalat" w:hAnsi="GHEA Grapalat"/>
          <w:sz w:val="22"/>
          <w:szCs w:val="22"/>
        </w:rPr>
        <w:t>դրբեջան</w:t>
      </w:r>
      <w:r w:rsidRPr="001F63BA">
        <w:rPr>
          <w:rFonts w:ascii="GHEA Grapalat" w:hAnsi="GHEA Grapalat"/>
          <w:sz w:val="22"/>
          <w:szCs w:val="22"/>
          <w:lang w:val="en-US"/>
        </w:rPr>
        <w:t>ի հակահայկական քարոզչության վերաբերյալ կատարված վերլուծությունների ներկայացում, թեմատիկ տեղեկանքների, հարցազրույցների, հոդվածների և ասուլիսների պատրաստում:</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Կառավարության գործունեության լուսաբանման, թեմատիկ վերլուծությունների և ԶԼՄ-ների ամենօրյա մշտադիտարկումների նպատակով հանրային իրազեկման ծախսերը կազմել են 478.9 մլն դրամ: Նախորդ տարվա համեմատ նշված միջոցառման ծախսերը նվազել են 15.1%-ով կամ 85.4 մլն դրամով, որը պայմանավորված է կառուցվածքային փոփոխությունների հետևանքով հաստիքների կրճատման արդյունքում աշխատանքի վարձատրության ծախսերի նվազմամբ:</w:t>
      </w:r>
    </w:p>
    <w:p w:rsidR="001C411D" w:rsidRPr="001F63BA" w:rsidRDefault="001C411D" w:rsidP="008E69AF">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Sylfaen"/>
          <w:sz w:val="22"/>
          <w:szCs w:val="22"/>
        </w:rPr>
        <w:t>«Միր» միջպետական հեռուստառադիոընկերության՝ ՀՀ մասնաբաժնի վճարման</w:t>
      </w:r>
      <w:r w:rsidRPr="001F63BA">
        <w:rPr>
          <w:rFonts w:ascii="GHEA Grapalat" w:hAnsi="GHEA Grapalat" w:cs="Sylfaen"/>
          <w:sz w:val="22"/>
          <w:szCs w:val="22"/>
          <w:lang w:val="en-US"/>
        </w:rPr>
        <w:t xml:space="preserve"> նպատակով </w:t>
      </w:r>
      <w:r w:rsidRPr="001F63BA">
        <w:rPr>
          <w:rFonts w:ascii="GHEA Grapalat" w:hAnsi="GHEA Grapalat" w:cs="GHEA Grapalat"/>
          <w:sz w:val="22"/>
          <w:szCs w:val="22"/>
        </w:rPr>
        <w:t>օգտագործվել է 233.6 մլն դրամ</w:t>
      </w:r>
      <w:r w:rsidRPr="001F63BA">
        <w:rPr>
          <w:rFonts w:ascii="GHEA Grapalat" w:hAnsi="GHEA Grapalat" w:cs="Sylfaen"/>
          <w:sz w:val="22"/>
          <w:szCs w:val="22"/>
        </w:rPr>
        <w:t xml:space="preserve">: «Միր» միջպետական հեռուստառադիոընկերությունը </w:t>
      </w:r>
      <w:r w:rsidRPr="001F63BA">
        <w:rPr>
          <w:rFonts w:ascii="GHEA Grapalat" w:hAnsi="GHEA Grapalat" w:cs="GHEA Grapalat"/>
          <w:sz w:val="22"/>
          <w:szCs w:val="22"/>
        </w:rPr>
        <w:t xml:space="preserve">հայկական բաժնեմասով միակ օտարալեզու հեռուստառադիոընկերությունն է, որը հեռարձակվում է նաև Հայաստանի Հանրապետության տարածքից դուրս և փոխադարձ հնարավորություն է տալիս ինչպես </w:t>
      </w:r>
      <w:r w:rsidRPr="001F63BA">
        <w:rPr>
          <w:rFonts w:ascii="GHEA Grapalat" w:hAnsi="GHEA Grapalat" w:cs="GHEA Grapalat"/>
          <w:sz w:val="22"/>
          <w:szCs w:val="22"/>
        </w:rPr>
        <w:lastRenderedPageBreak/>
        <w:t>ԱՊՀ և մի շարք այլ երկրների բնակչությանը ծանոթանալ հայկական մշակույթին և մշակութային արժեքներին, այնպես էլ Հայաստանի բնակչությանը՝ ծանոթանալ ԱՊՀ մյուս պետությունների մշակույթին և մշակութային արժեքներին: 2021 թվականի համեմատ նշված ծախսերն աճել են 22.2%</w:t>
      </w:r>
      <w:r w:rsidRPr="001F63BA">
        <w:rPr>
          <w:rFonts w:ascii="GHEA Grapalat" w:hAnsi="GHEA Grapalat" w:cs="GHEA Grapalat"/>
          <w:sz w:val="22"/>
          <w:szCs w:val="22"/>
          <w:lang w:val="en-US"/>
        </w:rPr>
        <w:noBreakHyphen/>
      </w:r>
      <w:r w:rsidRPr="001F63BA">
        <w:rPr>
          <w:rFonts w:ascii="GHEA Grapalat" w:hAnsi="GHEA Grapalat" w:cs="GHEA Grapalat"/>
          <w:sz w:val="22"/>
          <w:szCs w:val="22"/>
        </w:rPr>
        <w:t>ով կամ 42.5 մլն դրամով։</w:t>
      </w:r>
    </w:p>
    <w:p w:rsidR="001C411D" w:rsidRPr="001F63BA" w:rsidRDefault="001C411D" w:rsidP="008E69AF">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Միջազգային լրատվամիջոցներում պետական լրատվական գործակալության ցիտման ինդեքսի և ՀՀ-ի վերաբերյալ օբյեկտիվ</w:t>
      </w:r>
      <w:r w:rsidRPr="001F63BA">
        <w:rPr>
          <w:rFonts w:ascii="GHEA Grapalat" w:hAnsi="GHEA Grapalat" w:cs="GHEA Grapalat"/>
          <w:sz w:val="22"/>
          <w:szCs w:val="22"/>
          <w:lang w:val="en-US"/>
        </w:rPr>
        <w:t xml:space="preserve"> տեղեկատվության տարածմանն աջակցության </w:t>
      </w:r>
      <w:r w:rsidRPr="001F63BA">
        <w:rPr>
          <w:rFonts w:ascii="GHEA Grapalat" w:hAnsi="GHEA Grapalat" w:cs="GHEA Grapalat"/>
          <w:sz w:val="22"/>
          <w:szCs w:val="22"/>
        </w:rPr>
        <w:t>միջոցառման շրջանակներում իրականացվել է</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պատմության, մշակույթի, ազգագրության վերաբերյալ տեղեկատվության կազմում և տարածում՝ ի նպաստ պետությանը՝ բարձրացնելով Հայաստանի մասին իրազեկությունն ու տարբեր երկրների լրահոսում տարածելով ՀՀ-ին առնչվող տեղեկությունները, երկրի պաշտոնական դիրքորոշումները: Նշված միջոցառման շրջանակներում օգտագործվել է 127 մլն դրամ:</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Նախորդ տարվա համեմատ միջոցառման ծախսերն աճել են 27%</w:t>
      </w:r>
      <w:r w:rsidRPr="001F63BA">
        <w:rPr>
          <w:rFonts w:ascii="GHEA Grapalat" w:hAnsi="GHEA Grapalat" w:cs="GHEA Grapalat"/>
          <w:sz w:val="22"/>
          <w:szCs w:val="22"/>
        </w:rPr>
        <w:noBreakHyphen/>
        <w:t>ով կամ 27</w:t>
      </w:r>
      <w:r w:rsidRPr="001F63BA">
        <w:rPr>
          <w:rFonts w:ascii="GHEA Grapalat" w:hAnsi="GHEA Grapalat" w:cs="GHEA Grapalat"/>
          <w:sz w:val="22"/>
          <w:szCs w:val="22"/>
          <w:lang w:val="en-US"/>
        </w:rPr>
        <w:t xml:space="preserve"> մլն դրամով</w:t>
      </w:r>
      <w:r w:rsidRPr="001F63BA">
        <w:rPr>
          <w:rFonts w:ascii="GHEA Grapalat" w:hAnsi="GHEA Grapalat" w:cs="GHEA Grapalat"/>
          <w:sz w:val="22"/>
          <w:szCs w:val="22"/>
        </w:rPr>
        <w:t>, որը պայմանավորված է աշխատանքների ծավալի ավելացմամբ:</w:t>
      </w:r>
    </w:p>
    <w:p w:rsidR="001C411D" w:rsidRPr="001F63BA" w:rsidRDefault="001C411D" w:rsidP="008E69AF">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Sylfaen"/>
          <w:sz w:val="22"/>
          <w:szCs w:val="22"/>
        </w:rPr>
        <w:t xml:space="preserve">Հաշվետու տարում </w:t>
      </w:r>
      <w:r w:rsidRPr="001F63BA">
        <w:rPr>
          <w:rFonts w:ascii="GHEA Grapalat" w:hAnsi="GHEA Grapalat" w:cs="Sylfaen"/>
          <w:i/>
          <w:sz w:val="22"/>
          <w:szCs w:val="22"/>
        </w:rPr>
        <w:t>ՀՀ Վարչապետի լիազորությունների իրականացման ապահովման ծրագրի</w:t>
      </w:r>
      <w:r w:rsidRPr="001F63BA">
        <w:rPr>
          <w:rFonts w:ascii="GHEA Grapalat" w:hAnsi="GHEA Grapalat" w:cs="Sylfaen"/>
          <w:sz w:val="22"/>
          <w:szCs w:val="22"/>
        </w:rPr>
        <w:t xml:space="preserve"> շրջանակներում օգտագործվել է շուրջ </w:t>
      </w:r>
      <w:r w:rsidRPr="001F63BA">
        <w:rPr>
          <w:rFonts w:ascii="GHEA Grapalat" w:hAnsi="GHEA Grapalat" w:cs="Sylfaen"/>
          <w:sz w:val="22"/>
          <w:szCs w:val="22"/>
          <w:lang w:val="en-US"/>
        </w:rPr>
        <w:t>8.3</w:t>
      </w:r>
      <w:r w:rsidRPr="001F63BA">
        <w:rPr>
          <w:rFonts w:ascii="GHEA Grapalat" w:hAnsi="GHEA Grapalat" w:cs="Sylfaen"/>
          <w:sz w:val="20"/>
          <w:szCs w:val="20"/>
        </w:rPr>
        <w:t xml:space="preserve"> </w:t>
      </w:r>
      <w:r w:rsidRPr="001F63BA">
        <w:rPr>
          <w:rFonts w:ascii="GHEA Grapalat" w:hAnsi="GHEA Grapalat" w:cs="Sylfaen"/>
          <w:sz w:val="22"/>
          <w:szCs w:val="22"/>
        </w:rPr>
        <w:t xml:space="preserve">մլրդ դրամ՝ ապահովելով </w:t>
      </w:r>
      <w:r w:rsidRPr="001F63BA">
        <w:rPr>
          <w:rFonts w:ascii="GHEA Grapalat" w:hAnsi="GHEA Grapalat" w:cs="Sylfaen"/>
          <w:sz w:val="22"/>
          <w:szCs w:val="22"/>
          <w:lang w:val="en-US"/>
        </w:rPr>
        <w:t>96</w:t>
      </w:r>
      <w:r w:rsidRPr="001F63BA">
        <w:rPr>
          <w:rFonts w:ascii="GHEA Grapalat" w:hAnsi="GHEA Grapalat" w:cs="Sylfaen"/>
          <w:sz w:val="22"/>
          <w:szCs w:val="22"/>
        </w:rPr>
        <w:t xml:space="preserve">.5% կատարողական: Շեղումը հիմնականում պայմանավորված է </w:t>
      </w:r>
      <w:r w:rsidRPr="001F63BA">
        <w:rPr>
          <w:rFonts w:ascii="GHEA Grapalat" w:hAnsi="GHEA Grapalat" w:cs="Sylfaen"/>
          <w:sz w:val="22"/>
          <w:szCs w:val="22"/>
          <w:lang w:val="en-US"/>
        </w:rPr>
        <w:t>տվյալ</w:t>
      </w:r>
      <w:r w:rsidRPr="001F63BA">
        <w:rPr>
          <w:rFonts w:ascii="GHEA Grapalat" w:hAnsi="GHEA Grapalat" w:cs="Sylfaen"/>
          <w:sz w:val="22"/>
          <w:szCs w:val="22"/>
        </w:rPr>
        <w:t xml:space="preserve"> ծրագրում ընդգրկված</w:t>
      </w:r>
      <w:r w:rsidRPr="001F63BA">
        <w:rPr>
          <w:rFonts w:ascii="GHEA Grapalat" w:hAnsi="GHEA Grapalat" w:cs="Sylfaen"/>
          <w:sz w:val="22"/>
          <w:szCs w:val="22"/>
          <w:lang w:val="en-US"/>
        </w:rPr>
        <w:t>՝</w:t>
      </w:r>
      <w:r w:rsidRPr="001F63BA">
        <w:rPr>
          <w:rFonts w:ascii="GHEA Grapalat" w:hAnsi="GHEA Grapalat" w:cs="Sylfaen"/>
          <w:sz w:val="22"/>
          <w:szCs w:val="22"/>
        </w:rPr>
        <w:t xml:space="preserve"> ծառայությունների, ծրագրերի համակարգման միջոցառման կատարողականով:</w:t>
      </w:r>
      <w:r w:rsidRPr="001F63BA">
        <w:rPr>
          <w:rFonts w:ascii="GHEA Grapalat" w:hAnsi="GHEA Grapalat" w:cs="Sylfaen"/>
          <w:sz w:val="22"/>
          <w:szCs w:val="22"/>
          <w:lang w:val="en-US"/>
        </w:rPr>
        <w:t xml:space="preserve"> </w:t>
      </w:r>
      <w:r w:rsidRPr="001F63BA">
        <w:rPr>
          <w:rFonts w:ascii="GHEA Grapalat" w:hAnsi="GHEA Grapalat"/>
          <w:sz w:val="22"/>
          <w:szCs w:val="22"/>
        </w:rPr>
        <w:t xml:space="preserve">Հիմնականում նշված միջոցառման ծախսերի աճով է պայմանավորված նախորդ տարվա համադրելի ցուցանիշի համեմատ ՀՀ </w:t>
      </w:r>
      <w:r w:rsidRPr="001F63BA">
        <w:rPr>
          <w:rFonts w:ascii="GHEA Grapalat" w:hAnsi="GHEA Grapalat"/>
          <w:sz w:val="22"/>
          <w:szCs w:val="22"/>
          <w:lang w:val="en-US"/>
        </w:rPr>
        <w:t>վ</w:t>
      </w:r>
      <w:r w:rsidRPr="001F63BA">
        <w:rPr>
          <w:rFonts w:ascii="GHEA Grapalat" w:hAnsi="GHEA Grapalat"/>
          <w:sz w:val="22"/>
          <w:szCs w:val="22"/>
        </w:rPr>
        <w:t xml:space="preserve">արչապետի լիազորությունների իրականացման ապահովման ծրագրի ծախսերի 5% (392.5 մլն դրամ) աճը: </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sz w:val="22"/>
          <w:szCs w:val="22"/>
        </w:rPr>
        <w:t>Հաշվետու տարում ծառայությունների և ծրագրերի համակարգման միջոցառման շրջանակներում իրականացվել են ՀՀ կառավարության, վարչապետի և փոխվարչապետ</w:t>
      </w:r>
      <w:r w:rsidRPr="001F63BA">
        <w:rPr>
          <w:rFonts w:ascii="GHEA Grapalat" w:hAnsi="GHEA Grapalat"/>
          <w:sz w:val="22"/>
          <w:szCs w:val="22"/>
          <w:lang w:val="en-US"/>
        </w:rPr>
        <w:t>ն</w:t>
      </w:r>
      <w:r w:rsidRPr="001F63BA">
        <w:rPr>
          <w:rFonts w:ascii="GHEA Grapalat" w:hAnsi="GHEA Grapalat"/>
          <w:sz w:val="22"/>
          <w:szCs w:val="22"/>
        </w:rPr>
        <w:t xml:space="preserve">երի գործունեության աջակցության, ՀՀ կառավարության և վարչապետի որոշումների ու հանձնարարականների կատարման վերահսկողության ապահովման, թվով 10 ծրագրերի և 52 միջոցառումների կատարման, աշխատակազմին վերապահված լիազորությունների շրջանակներում իրավական ակտերի մշակման աշխատանքներ։ </w:t>
      </w:r>
      <w:r w:rsidRPr="001F63BA">
        <w:rPr>
          <w:rFonts w:ascii="GHEA Grapalat" w:hAnsi="GHEA Grapalat" w:cs="Sylfaen"/>
          <w:sz w:val="22"/>
          <w:szCs w:val="22"/>
        </w:rPr>
        <w:t>Նշված միջոցառման ծախսերը կազմել են 4.</w:t>
      </w:r>
      <w:r w:rsidRPr="001F63BA">
        <w:rPr>
          <w:rFonts w:ascii="GHEA Grapalat" w:hAnsi="GHEA Grapalat" w:cs="Sylfaen"/>
          <w:sz w:val="22"/>
          <w:szCs w:val="22"/>
          <w:lang w:val="en-US"/>
        </w:rPr>
        <w:t xml:space="preserve">6 </w:t>
      </w:r>
      <w:r w:rsidRPr="001F63BA">
        <w:rPr>
          <w:rFonts w:ascii="GHEA Grapalat" w:hAnsi="GHEA Grapalat" w:cs="Sylfaen"/>
          <w:sz w:val="22"/>
          <w:szCs w:val="22"/>
        </w:rPr>
        <w:t>մլրդ</w:t>
      </w:r>
      <w:r w:rsidRPr="001F63BA">
        <w:rPr>
          <w:rFonts w:ascii="Courier New" w:hAnsi="Courier New" w:cs="Courier New"/>
          <w:sz w:val="22"/>
          <w:szCs w:val="22"/>
          <w:lang w:val="en-US"/>
        </w:rPr>
        <w:t xml:space="preserve"> </w:t>
      </w:r>
      <w:r w:rsidRPr="001F63BA">
        <w:rPr>
          <w:rFonts w:ascii="GHEA Grapalat" w:hAnsi="GHEA Grapalat" w:cs="Sylfaen"/>
          <w:sz w:val="22"/>
          <w:szCs w:val="22"/>
        </w:rPr>
        <w:t xml:space="preserve">դրամ կամ ծրագրված </w:t>
      </w:r>
      <w:r w:rsidRPr="001F63BA">
        <w:rPr>
          <w:rFonts w:ascii="GHEA Grapalat" w:hAnsi="GHEA Grapalat" w:cs="Sylfaen"/>
          <w:sz w:val="22"/>
          <w:szCs w:val="22"/>
          <w:lang w:val="en-US"/>
        </w:rPr>
        <w:t>ցուցանիշի</w:t>
      </w:r>
      <w:r w:rsidRPr="001F63BA">
        <w:rPr>
          <w:rFonts w:ascii="GHEA Grapalat" w:hAnsi="GHEA Grapalat" w:cs="Sylfaen"/>
          <w:sz w:val="22"/>
          <w:szCs w:val="22"/>
        </w:rPr>
        <w:t xml:space="preserve"> 94.</w:t>
      </w:r>
      <w:r w:rsidRPr="001F63BA">
        <w:rPr>
          <w:rFonts w:ascii="GHEA Grapalat" w:hAnsi="GHEA Grapalat" w:cs="Sylfaen"/>
          <w:sz w:val="22"/>
          <w:szCs w:val="22"/>
          <w:lang w:val="en-US"/>
        </w:rPr>
        <w:t>2</w:t>
      </w:r>
      <w:r w:rsidRPr="001F63BA">
        <w:rPr>
          <w:rFonts w:ascii="GHEA Grapalat" w:hAnsi="GHEA Grapalat" w:cs="Sylfaen"/>
          <w:sz w:val="22"/>
          <w:szCs w:val="22"/>
        </w:rPr>
        <w:t>%-ը:</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Շեղումը պայմանավորված է գնումների ընթացակարգով նախատեսված մրցույթների ոչ լրիվ իրականացմամբ, մրցույթների արդյունքում ապրանքների և ծառայությունների՝ նախատեսվածից ցածր գներով ձեռքբերմամբ, ինչպես նաև հաստիքների </w:t>
      </w:r>
      <w:r w:rsidRPr="001F63BA">
        <w:rPr>
          <w:rFonts w:ascii="GHEA Grapalat" w:hAnsi="GHEA Grapalat" w:cs="Sylfaen"/>
          <w:sz w:val="22"/>
          <w:szCs w:val="22"/>
          <w:lang w:val="en-US"/>
        </w:rPr>
        <w:t>ոչ լրիվ համալրմամբ</w:t>
      </w:r>
      <w:r w:rsidRPr="001F63BA">
        <w:rPr>
          <w:rFonts w:ascii="GHEA Grapalat" w:hAnsi="GHEA Grapalat" w:cs="Sylfaen"/>
          <w:sz w:val="22"/>
          <w:szCs w:val="22"/>
        </w:rPr>
        <w:t>: Նախորդ տարվա համեմատ նշված ծախսերն աճել են 5%-ով կամ 218.7 մլն դրամով, որը հիմնականում պայմանավորված է արարողակարգային միջոցառումների և պատվիրակությունների ընդունելությունների</w:t>
      </w:r>
      <w:r w:rsidRPr="001F63BA">
        <w:rPr>
          <w:rFonts w:ascii="GHEA Grapalat" w:hAnsi="GHEA Grapalat" w:cs="Sylfaen"/>
          <w:sz w:val="22"/>
          <w:szCs w:val="22"/>
          <w:lang w:val="en-US"/>
        </w:rPr>
        <w:t xml:space="preserve"> գծով </w:t>
      </w:r>
      <w:r w:rsidRPr="001F63BA">
        <w:rPr>
          <w:rFonts w:ascii="GHEA Grapalat" w:hAnsi="GHEA Grapalat" w:cs="Sylfaen"/>
          <w:sz w:val="22"/>
          <w:szCs w:val="22"/>
        </w:rPr>
        <w:t>ծախսերի աճով, ինչպես նաև Կառավարական տուն 1 հասցեում իրականացված</w:t>
      </w:r>
      <w:r w:rsidRPr="001F63BA">
        <w:rPr>
          <w:rFonts w:ascii="GHEA Grapalat" w:hAnsi="GHEA Grapalat" w:cs="Sylfaen"/>
          <w:sz w:val="22"/>
          <w:szCs w:val="22"/>
          <w:lang w:val="en-US"/>
        </w:rPr>
        <w:t xml:space="preserve"> ընթացիկ</w:t>
      </w:r>
      <w:r w:rsidRPr="001F63BA">
        <w:rPr>
          <w:rFonts w:ascii="GHEA Grapalat" w:hAnsi="GHEA Grapalat" w:cs="Sylfaen"/>
          <w:sz w:val="22"/>
          <w:szCs w:val="22"/>
        </w:rPr>
        <w:t xml:space="preserve"> նորոգման աշխատանքներ</w:t>
      </w:r>
      <w:r w:rsidRPr="001F63BA">
        <w:rPr>
          <w:rFonts w:ascii="GHEA Grapalat" w:hAnsi="GHEA Grapalat" w:cs="Sylfaen"/>
          <w:sz w:val="22"/>
          <w:szCs w:val="22"/>
          <w:lang w:val="en-US"/>
        </w:rPr>
        <w:t>ով</w:t>
      </w:r>
      <w:r w:rsidRPr="001F63BA">
        <w:rPr>
          <w:rFonts w:ascii="GHEA Grapalat" w:hAnsi="GHEA Grapalat" w:cs="Sylfaen"/>
          <w:sz w:val="22"/>
          <w:szCs w:val="22"/>
        </w:rPr>
        <w:t>:</w:t>
      </w:r>
    </w:p>
    <w:p w:rsidR="001C411D" w:rsidRPr="001F63BA" w:rsidRDefault="001C411D" w:rsidP="008E69AF">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Sylfaen"/>
          <w:sz w:val="22"/>
          <w:szCs w:val="22"/>
        </w:rPr>
        <w:lastRenderedPageBreak/>
        <w:t>ՀՀ վարչապետի լիազորությունների իրականացման ապահովման ծրագրի</w:t>
      </w:r>
      <w:r w:rsidRPr="001F63BA">
        <w:rPr>
          <w:rFonts w:ascii="GHEA Grapalat" w:hAnsi="GHEA Grapalat" w:cs="Sylfaen"/>
          <w:sz w:val="22"/>
          <w:szCs w:val="22"/>
          <w:lang w:val="en-US"/>
        </w:rPr>
        <w:t xml:space="preserve"> շրջանակներում իրականացված 13</w:t>
      </w:r>
      <w:r w:rsidRPr="001F63BA">
        <w:rPr>
          <w:rFonts w:ascii="GHEA Grapalat" w:hAnsi="GHEA Grapalat" w:cs="Sylfaen"/>
          <w:sz w:val="22"/>
          <w:szCs w:val="22"/>
        </w:rPr>
        <w:t xml:space="preserve"> միջոցառումներից</w:t>
      </w:r>
      <w:r w:rsidRPr="001F63BA">
        <w:rPr>
          <w:rFonts w:ascii="GHEA Grapalat" w:hAnsi="GHEA Grapalat" w:cs="Sylfaen"/>
          <w:sz w:val="22"/>
          <w:szCs w:val="22"/>
          <w:lang w:val="en-US"/>
        </w:rPr>
        <w:t xml:space="preserve"> 7-</w:t>
      </w:r>
      <w:r w:rsidRPr="001F63BA">
        <w:rPr>
          <w:rFonts w:ascii="GHEA Grapalat" w:hAnsi="GHEA Grapalat" w:cs="Sylfaen"/>
          <w:sz w:val="22"/>
          <w:szCs w:val="22"/>
        </w:rPr>
        <w:t>ի գծով արձանագրվել է 100</w:t>
      </w:r>
      <w:r w:rsidRPr="001F63BA">
        <w:rPr>
          <w:rFonts w:ascii="GHEA Grapalat" w:hAnsi="GHEA Grapalat" w:cs="GHEA Grapalat"/>
          <w:sz w:val="22"/>
          <w:szCs w:val="22"/>
        </w:rPr>
        <w:t>% կատարողական:</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lang w:val="en-US"/>
        </w:rPr>
        <w:t>Հայաստանի Հանրապետությունում և արտերկրում ներդրումային և ՊՄԳ ծրագրերի իրականացմանը պետական աջակցության միջոցառման շրջանակներում օգտագործվել է 1.8 մլրդ դրամ: Հաշվետու տարում կատարված աշխատանքների վերաբերյալ «Հայաստանի պետական հետաքրքրությունների ֆոնդ» ՓԲԸ-ի կողմից ներկայացված հաշվետվությունը գտնվում է քննարկման փուլում: Նախորդ տարվա համեմատ միջոցառման ծախսերն աճել են 2.1 անգամ կամ շուրջ 933 մլն դրամով, որը պայմանավորված է նախատեսված աշխատանքների և մատուցված ծառայությունների ծավալի աճով:</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sz w:val="22"/>
          <w:szCs w:val="22"/>
        </w:rPr>
        <w:t>2022 թվականի</w:t>
      </w:r>
      <w:r w:rsidRPr="001F63BA">
        <w:rPr>
          <w:rFonts w:ascii="GHEA Grapalat" w:hAnsi="GHEA Grapalat"/>
          <w:sz w:val="22"/>
          <w:szCs w:val="22"/>
          <w:lang w:val="en-US"/>
        </w:rPr>
        <w:t>ն</w:t>
      </w:r>
      <w:r w:rsidRPr="001F63BA">
        <w:rPr>
          <w:rFonts w:ascii="GHEA Grapalat" w:hAnsi="GHEA Grapalat"/>
          <w:sz w:val="22"/>
          <w:szCs w:val="22"/>
        </w:rPr>
        <w:t xml:space="preserve"> </w:t>
      </w:r>
      <w:r w:rsidRPr="001F63BA">
        <w:rPr>
          <w:rFonts w:ascii="GHEA Grapalat" w:hAnsi="GHEA Grapalat" w:cs="Sylfaen"/>
          <w:i/>
          <w:sz w:val="22"/>
          <w:szCs w:val="22"/>
        </w:rPr>
        <w:t>Տեսչական վերահսկողության</w:t>
      </w:r>
      <w:r w:rsidRPr="001F63BA">
        <w:rPr>
          <w:rFonts w:ascii="GHEA Grapalat" w:hAnsi="GHEA Grapalat" w:cs="Sylfaen"/>
          <w:sz w:val="22"/>
          <w:szCs w:val="22"/>
        </w:rPr>
        <w:t xml:space="preserve"> ծրագրի ծախսերը կազմել </w:t>
      </w:r>
      <w:r w:rsidRPr="001F63BA">
        <w:rPr>
          <w:rFonts w:ascii="GHEA Grapalat" w:hAnsi="GHEA Grapalat" w:cs="Sylfaen"/>
          <w:sz w:val="22"/>
          <w:szCs w:val="22"/>
          <w:lang w:val="en-US"/>
        </w:rPr>
        <w:t xml:space="preserve">շուրջ </w:t>
      </w:r>
      <w:r w:rsidRPr="001F63BA">
        <w:rPr>
          <w:rFonts w:ascii="GHEA Grapalat" w:hAnsi="GHEA Grapalat" w:cs="Sylfaen"/>
          <w:sz w:val="22"/>
          <w:szCs w:val="22"/>
        </w:rPr>
        <w:t>5.</w:t>
      </w:r>
      <w:r w:rsidRPr="001F63BA">
        <w:rPr>
          <w:rFonts w:ascii="GHEA Grapalat" w:hAnsi="GHEA Grapalat" w:cs="Sylfaen"/>
          <w:sz w:val="22"/>
          <w:szCs w:val="22"/>
          <w:lang w:val="en-US"/>
        </w:rPr>
        <w:t>5</w:t>
      </w:r>
      <w:r w:rsidRPr="001F63BA">
        <w:rPr>
          <w:rFonts w:ascii="GHEA Grapalat" w:hAnsi="GHEA Grapalat" w:cs="Sylfaen"/>
          <w:sz w:val="22"/>
          <w:szCs w:val="22"/>
        </w:rPr>
        <w:t xml:space="preserve"> մլրդ դրամ կամ ծրագրային ցուցանիշի 9</w:t>
      </w:r>
      <w:r w:rsidRPr="001F63BA">
        <w:rPr>
          <w:rFonts w:ascii="GHEA Grapalat" w:hAnsi="GHEA Grapalat" w:cs="Sylfaen"/>
          <w:sz w:val="22"/>
          <w:szCs w:val="22"/>
          <w:lang w:val="en-US"/>
        </w:rPr>
        <w:t>5</w:t>
      </w:r>
      <w:r w:rsidRPr="001F63BA">
        <w:rPr>
          <w:rFonts w:ascii="GHEA Grapalat" w:hAnsi="GHEA Grapalat" w:cs="Sylfaen"/>
          <w:sz w:val="22"/>
          <w:szCs w:val="22"/>
        </w:rPr>
        <w:t>.7%-ը: Շեղումը հիմնականում պայմանավորված է</w:t>
      </w:r>
      <w:r w:rsidRPr="001F63BA">
        <w:rPr>
          <w:rFonts w:ascii="GHEA Grapalat" w:hAnsi="GHEA Grapalat" w:cs="Sylfaen"/>
          <w:sz w:val="22"/>
          <w:szCs w:val="22"/>
          <w:lang w:val="en-US"/>
        </w:rPr>
        <w:t xml:space="preserve"> </w:t>
      </w:r>
      <w:r w:rsidRPr="001F63BA">
        <w:rPr>
          <w:rFonts w:ascii="GHEA Grapalat" w:hAnsi="GHEA Grapalat" w:cs="Sylfaen"/>
          <w:sz w:val="22"/>
          <w:szCs w:val="22"/>
        </w:rPr>
        <w:t>քաղաքաշինության և ճարտարապետության, բնապահպանության</w:t>
      </w:r>
      <w:r w:rsidRPr="001F63BA">
        <w:rPr>
          <w:rFonts w:ascii="GHEA Grapalat" w:hAnsi="GHEA Grapalat" w:cs="Sylfaen"/>
          <w:sz w:val="22"/>
          <w:szCs w:val="22"/>
          <w:lang w:val="en-US"/>
        </w:rPr>
        <w:t xml:space="preserve">, շուկայի </w:t>
      </w:r>
      <w:r w:rsidRPr="001F63BA">
        <w:rPr>
          <w:rFonts w:ascii="GHEA Grapalat" w:hAnsi="GHEA Grapalat" w:cs="Sylfaen"/>
          <w:sz w:val="22"/>
          <w:szCs w:val="22"/>
        </w:rPr>
        <w:t xml:space="preserve">ու առողջապահության </w:t>
      </w:r>
      <w:r w:rsidRPr="001F63BA">
        <w:rPr>
          <w:rFonts w:ascii="GHEA Grapalat" w:hAnsi="GHEA Grapalat" w:cs="Sylfaen"/>
          <w:sz w:val="22"/>
          <w:szCs w:val="22"/>
          <w:lang w:val="en-US"/>
        </w:rPr>
        <w:t>ոլորտների</w:t>
      </w:r>
      <w:r w:rsidRPr="001F63BA">
        <w:rPr>
          <w:rFonts w:ascii="GHEA Grapalat" w:hAnsi="GHEA Grapalat" w:cs="Sylfaen"/>
          <w:sz w:val="22"/>
          <w:szCs w:val="22"/>
        </w:rPr>
        <w:t xml:space="preserve"> վերահսկողության գծով ծախսերի կատարողականով:</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Նախորդ տարվա համեմատ Տեսչական վերահսկողության ծրագրի ծախսերն աճել են </w:t>
      </w:r>
      <w:r w:rsidRPr="001F63BA">
        <w:rPr>
          <w:rFonts w:ascii="GHEA Grapalat" w:hAnsi="GHEA Grapalat" w:cs="Sylfaen"/>
          <w:sz w:val="22"/>
          <w:szCs w:val="22"/>
          <w:lang w:val="en-US"/>
        </w:rPr>
        <w:t>6.3</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 xml:space="preserve">322.5 </w:t>
      </w:r>
      <w:r w:rsidRPr="001F63BA">
        <w:rPr>
          <w:rFonts w:ascii="GHEA Grapalat" w:hAnsi="GHEA Grapalat" w:cs="Sylfaen"/>
          <w:sz w:val="22"/>
          <w:szCs w:val="22"/>
        </w:rPr>
        <w:t>մլն դրամով, որը հիմնականում պայմանավորված է</w:t>
      </w:r>
      <w:r w:rsidRPr="001F63BA">
        <w:rPr>
          <w:rFonts w:ascii="GHEA Grapalat" w:hAnsi="GHEA Grapalat" w:cs="Sylfaen"/>
          <w:sz w:val="22"/>
          <w:szCs w:val="22"/>
          <w:lang w:val="en-US"/>
        </w:rPr>
        <w:t xml:space="preserve"> </w:t>
      </w:r>
      <w:r w:rsidRPr="001F63BA">
        <w:rPr>
          <w:rFonts w:ascii="GHEA Grapalat" w:hAnsi="GHEA Grapalat" w:cs="Sylfaen"/>
          <w:sz w:val="22"/>
          <w:szCs w:val="22"/>
        </w:rPr>
        <w:t>սննդամթերքի անվտանգության, քաղաքաշինության և ճարտարապետության ու առողջապահության բնագավառներում վերահսկողության ծառայությունների գծով ծախսերի աճով:</w:t>
      </w:r>
      <w:r w:rsidRPr="001F63BA">
        <w:rPr>
          <w:rFonts w:ascii="GHEA Grapalat" w:hAnsi="GHEA Grapalat" w:cs="Sylfaen"/>
          <w:sz w:val="22"/>
          <w:szCs w:val="22"/>
          <w:lang w:val="en-US"/>
        </w:rPr>
        <w:t xml:space="preserve"> </w:t>
      </w:r>
      <w:r w:rsidRPr="001F63BA">
        <w:rPr>
          <w:rFonts w:ascii="GHEA Grapalat" w:hAnsi="GHEA Grapalat" w:cs="Sylfaen"/>
          <w:sz w:val="22"/>
          <w:szCs w:val="22"/>
        </w:rPr>
        <w:t>Տեսչական վերահսկողության ծրագրին հատկացված միջոցներն ուղղվել են տարբեր բնագավառներում տեսչական մարմինների պահպանմանը և կարողությունների զարգացմանն ու տեխնիկական հագեցվածության ապահովմանը:</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Սննդամթերքի անվտանգության բնագավառում վերահսկողության իրականացման ծառայությունների միջոցառման շրջանակներում ՀՀ սննդամթերքի անվտանգության տեսչական մարմին</w:t>
      </w:r>
      <w:r w:rsidRPr="001F63BA">
        <w:rPr>
          <w:rFonts w:ascii="GHEA Grapalat" w:hAnsi="GHEA Grapalat" w:cs="Sylfaen"/>
          <w:sz w:val="22"/>
          <w:szCs w:val="22"/>
          <w:lang w:val="en-US"/>
        </w:rPr>
        <w:t xml:space="preserve">ը </w:t>
      </w:r>
      <w:r w:rsidRPr="001F63BA">
        <w:rPr>
          <w:rFonts w:ascii="GHEA Grapalat" w:hAnsi="GHEA Grapalat" w:cs="Sylfaen"/>
          <w:sz w:val="22"/>
          <w:szCs w:val="22"/>
        </w:rPr>
        <w:t>վերահսկողություն</w:t>
      </w:r>
      <w:r w:rsidRPr="001F63BA">
        <w:rPr>
          <w:rFonts w:ascii="GHEA Grapalat" w:hAnsi="GHEA Grapalat" w:cs="Sylfaen"/>
          <w:sz w:val="22"/>
          <w:szCs w:val="22"/>
          <w:lang w:val="en-US"/>
        </w:rPr>
        <w:t xml:space="preserve"> է</w:t>
      </w:r>
      <w:r w:rsidRPr="001F63BA">
        <w:rPr>
          <w:rFonts w:ascii="GHEA Grapalat" w:hAnsi="GHEA Grapalat" w:cs="Sylfaen"/>
          <w:sz w:val="22"/>
          <w:szCs w:val="22"/>
        </w:rPr>
        <w:t xml:space="preserve"> իրականացրել սննդամթերքի, անասնաբուժության և բուսասանիտարիայի ոլորտներում, </w:t>
      </w:r>
      <w:r w:rsidRPr="001F63BA">
        <w:rPr>
          <w:rFonts w:ascii="GHEA Grapalat" w:hAnsi="GHEA Grapalat" w:cs="Sylfaen"/>
          <w:sz w:val="22"/>
          <w:szCs w:val="22"/>
          <w:lang w:val="en-US"/>
        </w:rPr>
        <w:t xml:space="preserve">կատարել է </w:t>
      </w:r>
      <w:r w:rsidRPr="001F63BA">
        <w:rPr>
          <w:rFonts w:ascii="GHEA Grapalat" w:hAnsi="GHEA Grapalat" w:cs="Sylfaen"/>
          <w:sz w:val="22"/>
          <w:szCs w:val="22"/>
        </w:rPr>
        <w:t>պետությանը և հանրությանը սպառնացող վտանգների հայտնաբերման, ներթափանցման և տարածման կանխարգելման աշխատանքներ: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տնտեսվարող սուբյեկտների մոտ իրականացվել են թվով 77</w:t>
      </w:r>
      <w:r w:rsidRPr="001F63BA">
        <w:rPr>
          <w:rFonts w:ascii="GHEA Grapalat" w:hAnsi="GHEA Grapalat" w:cs="Sylfaen"/>
          <w:sz w:val="22"/>
          <w:szCs w:val="22"/>
          <w:lang w:val="en-US"/>
        </w:rPr>
        <w:t>3</w:t>
      </w:r>
      <w:r w:rsidRPr="001F63BA">
        <w:rPr>
          <w:rFonts w:ascii="GHEA Grapalat" w:hAnsi="GHEA Grapalat" w:cs="Sylfaen"/>
          <w:sz w:val="22"/>
          <w:szCs w:val="22"/>
        </w:rPr>
        <w:t xml:space="preserve"> ստուգումներ՝ նախորդ տարվա </w:t>
      </w:r>
      <w:r w:rsidRPr="001F63BA">
        <w:rPr>
          <w:rFonts w:ascii="GHEA Grapalat" w:hAnsi="GHEA Grapalat" w:cs="Sylfaen"/>
          <w:sz w:val="22"/>
          <w:szCs w:val="22"/>
          <w:lang w:val="en-US"/>
        </w:rPr>
        <w:t>727</w:t>
      </w:r>
      <w:r w:rsidRPr="001F63BA">
        <w:rPr>
          <w:rFonts w:ascii="GHEA Grapalat" w:hAnsi="GHEA Grapalat" w:cs="Sylfaen"/>
          <w:sz w:val="22"/>
          <w:szCs w:val="22"/>
        </w:rPr>
        <w:t>-ի դիմաց: Նշված միջոցառման ծախսերը կազմել են 1.5 մլրդ դրամ՝ ապահովելով 99.5% կատարողական</w:t>
      </w:r>
      <w:r w:rsidRPr="001F63BA">
        <w:rPr>
          <w:rFonts w:ascii="GHEA Grapalat" w:hAnsi="GHEA Grapalat" w:cs="Sylfaen"/>
          <w:sz w:val="22"/>
          <w:szCs w:val="22"/>
          <w:lang w:val="en-US"/>
        </w:rPr>
        <w:t>:</w:t>
      </w:r>
      <w:r w:rsidRPr="001F63BA">
        <w:rPr>
          <w:rFonts w:ascii="GHEA Grapalat" w:hAnsi="GHEA Grapalat" w:cs="Sylfaen"/>
          <w:sz w:val="22"/>
          <w:szCs w:val="22"/>
        </w:rPr>
        <w:t xml:space="preserve"> Նախորդ տարվա համեմատ նշված ծախսերն աճել են 16.1%</w:t>
      </w:r>
      <w:r w:rsidRPr="001F63BA">
        <w:rPr>
          <w:rFonts w:ascii="GHEA Grapalat" w:hAnsi="GHEA Grapalat" w:cs="Sylfaen"/>
          <w:sz w:val="22"/>
          <w:szCs w:val="22"/>
          <w:lang w:val="en-US"/>
        </w:rPr>
        <w:noBreakHyphen/>
      </w:r>
      <w:r w:rsidRPr="001F63BA">
        <w:rPr>
          <w:rFonts w:ascii="GHEA Grapalat" w:hAnsi="GHEA Grapalat" w:cs="Sylfaen"/>
          <w:sz w:val="22"/>
          <w:szCs w:val="22"/>
        </w:rPr>
        <w:t>ով կամ 207.6 մլն դրամով, որը հիմնականում պայմանավորված է աշխատանքի վարձատրության ծախսերի,</w:t>
      </w:r>
      <w:r w:rsidRPr="001F63BA">
        <w:rPr>
          <w:rFonts w:ascii="GHEA Grapalat" w:hAnsi="GHEA Grapalat" w:cs="Sylfaen"/>
          <w:sz w:val="22"/>
          <w:szCs w:val="22"/>
          <w:lang w:val="en-US"/>
        </w:rPr>
        <w:t xml:space="preserve"> </w:t>
      </w:r>
      <w:r w:rsidRPr="001F63BA">
        <w:rPr>
          <w:rFonts w:ascii="GHEA Grapalat" w:hAnsi="GHEA Grapalat" w:cs="Sylfaen"/>
          <w:sz w:val="22"/>
          <w:szCs w:val="22"/>
        </w:rPr>
        <w:t>էլեկտրաէներգիայի, գործուղման, համակարգչային ծառայությունների և ընթացիկ նորոգման ծախսերի ա</w:t>
      </w:r>
      <w:r w:rsidRPr="001F63BA">
        <w:rPr>
          <w:rFonts w:ascii="GHEA Grapalat" w:hAnsi="GHEA Grapalat" w:cs="Sylfaen"/>
          <w:sz w:val="22"/>
          <w:szCs w:val="22"/>
          <w:lang w:val="en-US"/>
        </w:rPr>
        <w:t>ճով</w:t>
      </w:r>
      <w:r w:rsidRPr="001F63BA">
        <w:rPr>
          <w:rFonts w:ascii="GHEA Grapalat" w:hAnsi="GHEA Grapalat" w:cs="Sylfaen"/>
          <w:sz w:val="22"/>
          <w:szCs w:val="22"/>
        </w:rPr>
        <w:t>։</w:t>
      </w:r>
    </w:p>
    <w:p w:rsidR="001C411D" w:rsidRPr="001F63BA" w:rsidRDefault="001C411D" w:rsidP="008E69AF">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Sylfaen"/>
          <w:sz w:val="22"/>
          <w:szCs w:val="22"/>
        </w:rPr>
        <w:t xml:space="preserve">Առողջապահության ոլորտում վերահսկողության ծառայությունների միջոցառման շրջանակներում ՀՀ առողջապահական և աշխատանքի տեսչական մարմինն իրականացրել է </w:t>
      </w:r>
      <w:r w:rsidRPr="001F63BA">
        <w:rPr>
          <w:rFonts w:ascii="GHEA Grapalat" w:hAnsi="GHEA Grapalat" w:cs="Sylfaen"/>
          <w:sz w:val="22"/>
          <w:szCs w:val="22"/>
        </w:rPr>
        <w:lastRenderedPageBreak/>
        <w:t>վերահսկողություն առողջապահության՝ աշխատողների առողջության և անվտանգության ապահովման բնագավառում։ 2022 թվականին իրականացված ստուգումների քանակ</w:t>
      </w:r>
      <w:r w:rsidRPr="001F63BA">
        <w:rPr>
          <w:rFonts w:ascii="GHEA Grapalat" w:hAnsi="GHEA Grapalat" w:cs="Sylfaen"/>
          <w:sz w:val="22"/>
          <w:szCs w:val="22"/>
          <w:lang w:val="en-US"/>
        </w:rPr>
        <w:t>ն</w:t>
      </w:r>
      <w:r w:rsidRPr="001F63BA">
        <w:rPr>
          <w:rFonts w:ascii="GHEA Grapalat" w:hAnsi="GHEA Grapalat" w:cs="Sylfaen"/>
          <w:sz w:val="22"/>
          <w:szCs w:val="22"/>
        </w:rPr>
        <w:t xml:space="preserve"> ընդհանուր առմամբ կազմել է 899, որը 2021 թվականի համեմատ աճել է </w:t>
      </w:r>
      <w:r w:rsidRPr="001F63BA">
        <w:rPr>
          <w:rFonts w:ascii="GHEA Grapalat" w:hAnsi="GHEA Grapalat" w:cs="Sylfaen"/>
          <w:sz w:val="22"/>
          <w:szCs w:val="22"/>
          <w:lang w:val="en-US"/>
        </w:rPr>
        <w:t xml:space="preserve">շուրջ </w:t>
      </w:r>
      <w:r w:rsidRPr="001F63BA">
        <w:rPr>
          <w:rFonts w:ascii="GHEA Grapalat" w:hAnsi="GHEA Grapalat" w:cs="Sylfaen"/>
          <w:sz w:val="22"/>
          <w:szCs w:val="22"/>
        </w:rPr>
        <w:t>3 անգամ (2021 թվականին իրականացվել է</w:t>
      </w:r>
      <w:r w:rsidRPr="001F63BA">
        <w:rPr>
          <w:rFonts w:ascii="GHEA Grapalat" w:hAnsi="GHEA Grapalat" w:cs="Sylfaen"/>
          <w:sz w:val="22"/>
          <w:szCs w:val="22"/>
          <w:lang w:val="en-US"/>
        </w:rPr>
        <w:t>ր</w:t>
      </w:r>
      <w:r w:rsidRPr="001F63BA">
        <w:rPr>
          <w:rFonts w:ascii="GHEA Grapalat" w:hAnsi="GHEA Grapalat" w:cs="Sylfaen"/>
          <w:sz w:val="22"/>
          <w:szCs w:val="22"/>
        </w:rPr>
        <w:t xml:space="preserve"> 303 ստուգում)։ Նշված միջոցառման ծախսերը կազմել են 1.</w:t>
      </w:r>
      <w:r w:rsidRPr="001F63BA">
        <w:rPr>
          <w:rFonts w:ascii="GHEA Grapalat" w:hAnsi="GHEA Grapalat" w:cs="Sylfaen"/>
          <w:sz w:val="22"/>
          <w:szCs w:val="22"/>
          <w:lang w:val="en-US"/>
        </w:rPr>
        <w:t>3</w:t>
      </w:r>
      <w:r w:rsidRPr="001F63BA">
        <w:rPr>
          <w:rFonts w:ascii="GHEA Grapalat" w:hAnsi="GHEA Grapalat" w:cs="Sylfaen"/>
          <w:sz w:val="22"/>
          <w:szCs w:val="22"/>
        </w:rPr>
        <w:t xml:space="preserve"> մլրդ դրամ կամ նախատեսված ցուցանիշի 97.</w:t>
      </w:r>
      <w:r w:rsidRPr="001F63BA">
        <w:rPr>
          <w:rFonts w:ascii="GHEA Grapalat" w:hAnsi="GHEA Grapalat" w:cs="Sylfaen"/>
          <w:sz w:val="22"/>
          <w:szCs w:val="22"/>
          <w:lang w:val="en-US"/>
        </w:rPr>
        <w:t>6</w:t>
      </w:r>
      <w:r w:rsidRPr="001F63BA">
        <w:rPr>
          <w:rFonts w:ascii="GHEA Grapalat" w:hAnsi="GHEA Grapalat" w:cs="Sylfaen"/>
          <w:sz w:val="22"/>
          <w:szCs w:val="22"/>
        </w:rPr>
        <w:t>%-ը: Շեղումը պայմանավորված է թափուր հաստիքների առկայության հետևանքով աշխատանքի վարձատրության համար նախատեսված միջոցների տնտեսմամբ, ինչպես նաև գնման ընթացակարգով նախատեսված մասնակցության հայտերի բացակայության պատճառով որոշ մրցույթների չկայացմամբ:</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Նախորդ տարվա համեմատ </w:t>
      </w:r>
      <w:r w:rsidRPr="001F63BA">
        <w:rPr>
          <w:rFonts w:ascii="GHEA Grapalat" w:hAnsi="GHEA Grapalat" w:cs="Sylfaen"/>
          <w:sz w:val="22"/>
          <w:szCs w:val="22"/>
          <w:lang w:val="en-US"/>
        </w:rPr>
        <w:t>ա</w:t>
      </w:r>
      <w:r w:rsidRPr="001F63BA">
        <w:rPr>
          <w:rFonts w:ascii="GHEA Grapalat" w:hAnsi="GHEA Grapalat" w:cs="Sylfaen"/>
          <w:sz w:val="22"/>
          <w:szCs w:val="22"/>
        </w:rPr>
        <w:t xml:space="preserve">ռողջապահության ոլորտում վերահսկողության ծառայությունների </w:t>
      </w:r>
      <w:r w:rsidRPr="001F63BA">
        <w:rPr>
          <w:rFonts w:ascii="GHEA Grapalat" w:hAnsi="GHEA Grapalat" w:cs="Sylfaen"/>
          <w:sz w:val="22"/>
          <w:szCs w:val="22"/>
          <w:lang w:val="en-US"/>
        </w:rPr>
        <w:t xml:space="preserve">գծով </w:t>
      </w:r>
      <w:r w:rsidRPr="001F63BA">
        <w:rPr>
          <w:rFonts w:ascii="GHEA Grapalat" w:hAnsi="GHEA Grapalat" w:cs="Sylfaen"/>
          <w:sz w:val="22"/>
          <w:szCs w:val="22"/>
        </w:rPr>
        <w:t>ծախսերն աճել են 8.7%-ով կամ 105.7 մլն դրամով, որը</w:t>
      </w:r>
      <w:r w:rsidRPr="001F63BA">
        <w:rPr>
          <w:rFonts w:ascii="GHEA Grapalat" w:hAnsi="GHEA Grapalat" w:cs="GHEA Grapalat"/>
          <w:sz w:val="22"/>
          <w:szCs w:val="22"/>
        </w:rPr>
        <w:t xml:space="preserve"> պայմանավորված է հաստիքների համալրման արդյունքում աշխատանքի վարձատրության ծախսերի աճով։</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Քաղաքաշինության և ճարտարապետության բնագավառում վերահսկողության ծառայությունների միջոցառման շրջանակներում ՀՀ քաղաքաշինության, տեխնիկական և հրդեհային անվտանգության տեսչական մարմինն իրականացրել է քաղաքաշինության, տեխնիկական և հրդեհային անվտանգության, տրանսպորտի, էներգետիկայի, պետական և տեղական նշանակության գեոդեզիական և քարտեզագրական աշխատանքների և հողօգտագործման բնագավառներում վերահսկողության աշխատանքներ։ 2022 թվականին տնտեսվարող սուբյեկտների մոտ իրականացված ստուգումների քանակը կազմել է 1070՝ նախորդ տարվա 918-ի դիմաց: Նշված միջոցառման ծախսերը կազմել են ավելի քան 1 մլրդ դրամ՝ ապահովելով 91.8% կատարողական: Շեղումը պայմանավորված է թափուր հաստիքների առկայության </w:t>
      </w:r>
      <w:r w:rsidRPr="001F63BA">
        <w:rPr>
          <w:rFonts w:ascii="GHEA Grapalat" w:hAnsi="GHEA Grapalat" w:cs="Sylfaen"/>
          <w:sz w:val="22"/>
          <w:szCs w:val="22"/>
          <w:lang w:val="en-US"/>
        </w:rPr>
        <w:t>արդյունքում</w:t>
      </w:r>
      <w:r w:rsidRPr="001F63BA">
        <w:rPr>
          <w:rFonts w:ascii="GHEA Grapalat" w:hAnsi="GHEA Grapalat" w:cs="Sylfaen"/>
          <w:sz w:val="22"/>
          <w:szCs w:val="22"/>
        </w:rPr>
        <w:t xml:space="preserve"> աշխատանքի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վարձատրության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համար</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նախատեսված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միջոցների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տնտեսմամբ</w:t>
      </w:r>
      <w:r w:rsidRPr="001F63BA">
        <w:rPr>
          <w:rFonts w:ascii="GHEA Grapalat" w:hAnsi="GHEA Grapalat" w:cs="GHEA Grapalat"/>
          <w:sz w:val="22"/>
          <w:szCs w:val="22"/>
          <w:lang w:val="af-ZA"/>
        </w:rPr>
        <w:t xml:space="preserve">, </w:t>
      </w:r>
      <w:r w:rsidRPr="001F63BA">
        <w:rPr>
          <w:rFonts w:ascii="GHEA Grapalat" w:hAnsi="GHEA Grapalat" w:cs="Sylfaen"/>
          <w:sz w:val="22"/>
          <w:szCs w:val="22"/>
        </w:rPr>
        <w:t>ինչպես նաև գնման</w:t>
      </w:r>
      <w:r w:rsidRPr="001F63BA">
        <w:rPr>
          <w:rFonts w:ascii="GHEA Grapalat" w:hAnsi="GHEA Grapalat" w:cs="Sylfaen"/>
          <w:sz w:val="22"/>
          <w:szCs w:val="22"/>
          <w:lang w:val="af-ZA"/>
        </w:rPr>
        <w:t xml:space="preserve"> </w:t>
      </w:r>
      <w:r w:rsidRPr="001F63BA">
        <w:rPr>
          <w:rFonts w:ascii="GHEA Grapalat" w:hAnsi="GHEA Grapalat" w:cs="Sylfaen"/>
          <w:sz w:val="22"/>
          <w:szCs w:val="22"/>
        </w:rPr>
        <w:t>գործընթացի</w:t>
      </w:r>
      <w:r w:rsidRPr="001F63BA">
        <w:rPr>
          <w:rFonts w:ascii="GHEA Grapalat" w:hAnsi="GHEA Grapalat" w:cs="Sylfaen"/>
          <w:sz w:val="22"/>
          <w:szCs w:val="22"/>
          <w:lang w:val="af-ZA"/>
        </w:rPr>
        <w:t xml:space="preserve"> </w:t>
      </w:r>
      <w:r w:rsidRPr="001F63BA">
        <w:rPr>
          <w:rFonts w:ascii="GHEA Grapalat" w:hAnsi="GHEA Grapalat" w:cs="Sylfaen"/>
          <w:sz w:val="22"/>
          <w:szCs w:val="22"/>
        </w:rPr>
        <w:t>արդյունքում</w:t>
      </w:r>
      <w:r w:rsidRPr="001F63BA">
        <w:rPr>
          <w:rFonts w:ascii="GHEA Grapalat" w:hAnsi="GHEA Grapalat" w:cs="Sylfaen"/>
          <w:sz w:val="22"/>
          <w:szCs w:val="22"/>
          <w:lang w:val="af-ZA"/>
        </w:rPr>
        <w:t xml:space="preserve"> </w:t>
      </w:r>
      <w:r w:rsidRPr="001F63BA">
        <w:rPr>
          <w:rFonts w:ascii="GHEA Grapalat" w:hAnsi="GHEA Grapalat" w:cs="Sylfaen"/>
          <w:sz w:val="22"/>
          <w:szCs w:val="22"/>
        </w:rPr>
        <w:t>ապրանքների</w:t>
      </w:r>
      <w:r w:rsidRPr="001F63BA">
        <w:rPr>
          <w:rFonts w:ascii="GHEA Grapalat" w:hAnsi="GHEA Grapalat" w:cs="Sylfaen"/>
          <w:sz w:val="22"/>
          <w:szCs w:val="22"/>
          <w:lang w:val="af-ZA"/>
        </w:rPr>
        <w:t xml:space="preserve"> </w:t>
      </w:r>
      <w:r w:rsidRPr="001F63BA">
        <w:rPr>
          <w:rFonts w:ascii="GHEA Grapalat" w:hAnsi="GHEA Grapalat" w:cs="Sylfaen"/>
          <w:sz w:val="22"/>
          <w:szCs w:val="22"/>
        </w:rPr>
        <w:t>և</w:t>
      </w:r>
      <w:r w:rsidRPr="001F63BA">
        <w:rPr>
          <w:rFonts w:ascii="GHEA Grapalat" w:hAnsi="GHEA Grapalat" w:cs="Sylfaen"/>
          <w:sz w:val="22"/>
          <w:szCs w:val="22"/>
          <w:lang w:val="af-ZA"/>
        </w:rPr>
        <w:t xml:space="preserve"> </w:t>
      </w:r>
      <w:r w:rsidRPr="001F63BA">
        <w:rPr>
          <w:rFonts w:ascii="GHEA Grapalat" w:hAnsi="GHEA Grapalat" w:cs="Sylfaen"/>
          <w:sz w:val="22"/>
          <w:szCs w:val="22"/>
        </w:rPr>
        <w:t>ծառայությունների՝</w:t>
      </w:r>
      <w:r w:rsidRPr="001F63BA">
        <w:rPr>
          <w:rFonts w:ascii="GHEA Grapalat" w:hAnsi="GHEA Grapalat" w:cs="Sylfaen"/>
          <w:sz w:val="22"/>
          <w:szCs w:val="22"/>
          <w:lang w:val="af-ZA"/>
        </w:rPr>
        <w:t xml:space="preserve"> </w:t>
      </w:r>
      <w:r w:rsidRPr="001F63BA">
        <w:rPr>
          <w:rFonts w:ascii="GHEA Grapalat" w:hAnsi="GHEA Grapalat" w:cs="Sylfaen"/>
          <w:sz w:val="22"/>
          <w:szCs w:val="22"/>
        </w:rPr>
        <w:t>նախատեսվածից</w:t>
      </w:r>
      <w:r w:rsidRPr="001F63BA">
        <w:rPr>
          <w:rFonts w:ascii="GHEA Grapalat" w:hAnsi="GHEA Grapalat" w:cs="Sylfaen"/>
          <w:sz w:val="22"/>
          <w:szCs w:val="22"/>
          <w:lang w:val="af-ZA"/>
        </w:rPr>
        <w:t xml:space="preserve"> </w:t>
      </w:r>
      <w:r w:rsidRPr="001F63BA">
        <w:rPr>
          <w:rFonts w:ascii="GHEA Grapalat" w:hAnsi="GHEA Grapalat" w:cs="Sylfaen"/>
          <w:sz w:val="22"/>
          <w:szCs w:val="22"/>
        </w:rPr>
        <w:t>ցածր</w:t>
      </w:r>
      <w:r w:rsidRPr="001F63BA">
        <w:rPr>
          <w:rFonts w:ascii="GHEA Grapalat" w:hAnsi="GHEA Grapalat" w:cs="Sylfaen"/>
          <w:sz w:val="22"/>
          <w:szCs w:val="22"/>
          <w:lang w:val="af-ZA"/>
        </w:rPr>
        <w:t xml:space="preserve"> </w:t>
      </w:r>
      <w:r w:rsidRPr="001F63BA">
        <w:rPr>
          <w:rFonts w:ascii="GHEA Grapalat" w:hAnsi="GHEA Grapalat" w:cs="Sylfaen"/>
          <w:sz w:val="22"/>
          <w:szCs w:val="22"/>
        </w:rPr>
        <w:t>գներով</w:t>
      </w:r>
      <w:r w:rsidRPr="001F63BA">
        <w:rPr>
          <w:rFonts w:ascii="GHEA Grapalat" w:hAnsi="GHEA Grapalat" w:cs="Sylfaen"/>
          <w:sz w:val="22"/>
          <w:szCs w:val="22"/>
          <w:lang w:val="af-ZA"/>
        </w:rPr>
        <w:t xml:space="preserve"> </w:t>
      </w:r>
      <w:r w:rsidRPr="001F63BA">
        <w:rPr>
          <w:rFonts w:ascii="GHEA Grapalat" w:hAnsi="GHEA Grapalat" w:cs="Sylfaen"/>
          <w:sz w:val="22"/>
          <w:szCs w:val="22"/>
        </w:rPr>
        <w:t>ձեռքբերման</w:t>
      </w:r>
      <w:r w:rsidRPr="001F63BA">
        <w:rPr>
          <w:rFonts w:ascii="GHEA Grapalat" w:hAnsi="GHEA Grapalat" w:cs="Sylfaen"/>
          <w:sz w:val="22"/>
          <w:szCs w:val="22"/>
          <w:lang w:val="af-ZA"/>
        </w:rPr>
        <w:t xml:space="preserve"> </w:t>
      </w:r>
      <w:r w:rsidRPr="001F63BA">
        <w:rPr>
          <w:rFonts w:ascii="GHEA Grapalat" w:hAnsi="GHEA Grapalat" w:cs="Sylfaen"/>
          <w:sz w:val="22"/>
          <w:szCs w:val="22"/>
        </w:rPr>
        <w:t xml:space="preserve">հանգամանքով: Նախորդ տարվա համեմատ նշված միջոցառման ծախսերն աճել են </w:t>
      </w:r>
      <w:r w:rsidRPr="001F63BA">
        <w:rPr>
          <w:rFonts w:ascii="GHEA Grapalat" w:hAnsi="GHEA Grapalat" w:cs="Sylfaen"/>
          <w:sz w:val="22"/>
          <w:szCs w:val="22"/>
          <w:lang w:val="en-US"/>
        </w:rPr>
        <w:t>14.3</w:t>
      </w:r>
      <w:r w:rsidRPr="001F63BA">
        <w:rPr>
          <w:rFonts w:ascii="GHEA Grapalat" w:hAnsi="GHEA Grapalat" w:cs="Sylfaen"/>
          <w:sz w:val="22"/>
          <w:szCs w:val="22"/>
        </w:rPr>
        <w:t>%-ով կամ 1</w:t>
      </w:r>
      <w:r w:rsidRPr="001F63BA">
        <w:rPr>
          <w:rFonts w:ascii="GHEA Grapalat" w:hAnsi="GHEA Grapalat" w:cs="Sylfaen"/>
          <w:sz w:val="22"/>
          <w:szCs w:val="22"/>
          <w:lang w:val="en-US"/>
        </w:rPr>
        <w:t>29.4</w:t>
      </w:r>
      <w:r w:rsidRPr="001F63BA">
        <w:rPr>
          <w:rFonts w:ascii="GHEA Grapalat" w:hAnsi="GHEA Grapalat" w:cs="Sylfaen"/>
          <w:sz w:val="22"/>
          <w:szCs w:val="22"/>
        </w:rPr>
        <w:t xml:space="preserve"> մլն դրամով, որը</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հիմնականում </w:t>
      </w:r>
      <w:r w:rsidRPr="001F63BA">
        <w:rPr>
          <w:rFonts w:ascii="GHEA Grapalat" w:hAnsi="GHEA Grapalat" w:cs="GHEA Grapalat"/>
          <w:sz w:val="22"/>
          <w:szCs w:val="22"/>
        </w:rPr>
        <w:t>պայմանավորված է հաստիքների համալրման արդյունքում աշխատանքի վարձատրության</w:t>
      </w:r>
      <w:r w:rsidRPr="001F63BA">
        <w:rPr>
          <w:rFonts w:ascii="GHEA Grapalat" w:hAnsi="GHEA Grapalat" w:cs="GHEA Grapalat"/>
          <w:sz w:val="22"/>
          <w:szCs w:val="22"/>
          <w:lang w:val="en-US"/>
        </w:rPr>
        <w:t>,</w:t>
      </w:r>
      <w:r w:rsidRPr="001F63BA">
        <w:rPr>
          <w:rFonts w:ascii="GHEA Grapalat" w:hAnsi="GHEA Grapalat" w:cs="Sylfaen"/>
          <w:sz w:val="22"/>
          <w:szCs w:val="22"/>
        </w:rPr>
        <w:t xml:space="preserve"> էլեկտրաէներգիայի, գործուղման</w:t>
      </w:r>
      <w:r w:rsidRPr="001F63BA">
        <w:rPr>
          <w:rFonts w:ascii="GHEA Grapalat" w:hAnsi="GHEA Grapalat" w:cs="Sylfaen"/>
          <w:sz w:val="22"/>
          <w:szCs w:val="22"/>
          <w:lang w:val="en-US"/>
        </w:rPr>
        <w:t xml:space="preserve"> </w:t>
      </w:r>
      <w:r w:rsidRPr="001F63BA">
        <w:rPr>
          <w:rFonts w:ascii="GHEA Grapalat" w:hAnsi="GHEA Grapalat" w:cs="Sylfaen"/>
          <w:sz w:val="22"/>
          <w:szCs w:val="22"/>
        </w:rPr>
        <w:t>և ընթացիկ նորոգման ծախսերի</w:t>
      </w:r>
      <w:r w:rsidRPr="001F63BA">
        <w:rPr>
          <w:rFonts w:ascii="GHEA Grapalat" w:hAnsi="GHEA Grapalat" w:cs="Sylfaen"/>
          <w:sz w:val="22"/>
          <w:szCs w:val="22"/>
          <w:lang w:val="en-US"/>
        </w:rPr>
        <w:t xml:space="preserve"> </w:t>
      </w:r>
      <w:r w:rsidRPr="001F63BA">
        <w:rPr>
          <w:rFonts w:ascii="GHEA Grapalat" w:hAnsi="GHEA Grapalat" w:cs="GHEA Grapalat"/>
          <w:sz w:val="22"/>
          <w:szCs w:val="22"/>
        </w:rPr>
        <w:t>աճով։</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Բնապահպանության ոլորտում վերահսկողության ծառայությունների միջոցառման շրջանակներում ՀՀ բնապահպանության տեսչական մարմինն իրականացրել է շրջակա միջավայրի վրա վնասակար ներգործությունների և բնական ռեսուրսների գերշահագործման վերահսկողության աշխատանքներ։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իրականացվել են </w:t>
      </w:r>
      <w:r w:rsidRPr="001F63BA">
        <w:rPr>
          <w:rFonts w:ascii="GHEA Grapalat" w:hAnsi="GHEA Grapalat" w:cs="Sylfaen"/>
          <w:sz w:val="22"/>
          <w:szCs w:val="22"/>
          <w:lang w:val="en-US"/>
        </w:rPr>
        <w:t>267</w:t>
      </w:r>
      <w:r w:rsidRPr="001F63BA">
        <w:rPr>
          <w:rFonts w:ascii="GHEA Grapalat" w:hAnsi="GHEA Grapalat" w:cs="Sylfaen"/>
          <w:sz w:val="22"/>
          <w:szCs w:val="22"/>
        </w:rPr>
        <w:t xml:space="preserve"> ստուգումներ` նախորդ տարվա 213-ի դիմաց: Նշված միջոցառման ծախսերը կազմել են 8</w:t>
      </w:r>
      <w:r w:rsidRPr="001F63BA">
        <w:rPr>
          <w:rFonts w:ascii="GHEA Grapalat" w:hAnsi="GHEA Grapalat" w:cs="Sylfaen"/>
          <w:sz w:val="22"/>
          <w:szCs w:val="22"/>
          <w:lang w:val="en-US"/>
        </w:rPr>
        <w:t>7</w:t>
      </w:r>
      <w:r w:rsidRPr="001F63BA">
        <w:rPr>
          <w:rFonts w:ascii="GHEA Grapalat" w:hAnsi="GHEA Grapalat" w:cs="Sylfaen"/>
          <w:sz w:val="22"/>
          <w:szCs w:val="22"/>
        </w:rPr>
        <w:t>5</w:t>
      </w:r>
      <w:r w:rsidRPr="001F63BA">
        <w:rPr>
          <w:rFonts w:ascii="GHEA Grapalat" w:hAnsi="GHEA Grapalat" w:cs="Sylfaen"/>
          <w:sz w:val="22"/>
          <w:szCs w:val="22"/>
          <w:lang w:val="en-US"/>
        </w:rPr>
        <w:t>.</w:t>
      </w:r>
      <w:r w:rsidRPr="001F63BA">
        <w:rPr>
          <w:rFonts w:ascii="GHEA Grapalat" w:hAnsi="GHEA Grapalat" w:cs="Sylfaen"/>
          <w:sz w:val="22"/>
          <w:szCs w:val="22"/>
        </w:rPr>
        <w:t xml:space="preserve">1 մլն դրամ կամ </w:t>
      </w:r>
      <w:r w:rsidRPr="001F63BA">
        <w:rPr>
          <w:rFonts w:ascii="GHEA Grapalat" w:hAnsi="GHEA Grapalat" w:cs="Sylfaen"/>
          <w:sz w:val="22"/>
          <w:szCs w:val="22"/>
          <w:lang w:val="en-US"/>
        </w:rPr>
        <w:t>ծրագրված ցուցանիշի</w:t>
      </w:r>
      <w:r w:rsidRPr="001F63BA">
        <w:rPr>
          <w:rFonts w:ascii="GHEA Grapalat" w:hAnsi="GHEA Grapalat" w:cs="Sylfaen"/>
          <w:sz w:val="22"/>
          <w:szCs w:val="22"/>
        </w:rPr>
        <w:t xml:space="preserve"> 9</w:t>
      </w:r>
      <w:r w:rsidRPr="001F63BA">
        <w:rPr>
          <w:rFonts w:ascii="GHEA Grapalat" w:hAnsi="GHEA Grapalat" w:cs="Sylfaen"/>
          <w:sz w:val="22"/>
          <w:szCs w:val="22"/>
          <w:lang w:val="en-US"/>
        </w:rPr>
        <w:t>5</w:t>
      </w:r>
      <w:r w:rsidRPr="001F63BA">
        <w:rPr>
          <w:rFonts w:ascii="GHEA Grapalat" w:hAnsi="GHEA Grapalat" w:cs="Sylfaen"/>
          <w:sz w:val="22"/>
          <w:szCs w:val="22"/>
        </w:rPr>
        <w:t>.5%</w:t>
      </w:r>
      <w:r w:rsidRPr="001F63BA">
        <w:rPr>
          <w:rFonts w:ascii="GHEA Grapalat" w:hAnsi="GHEA Grapalat" w:cs="Sylfaen"/>
          <w:sz w:val="22"/>
          <w:szCs w:val="22"/>
          <w:lang w:val="en-US"/>
        </w:rPr>
        <w:noBreakHyphen/>
      </w:r>
      <w:r w:rsidRPr="001F63BA">
        <w:rPr>
          <w:rFonts w:ascii="GHEA Grapalat" w:hAnsi="GHEA Grapalat" w:cs="Sylfaen"/>
          <w:sz w:val="22"/>
          <w:szCs w:val="22"/>
        </w:rPr>
        <w:t>ը: Շեղումը</w:t>
      </w:r>
      <w:r w:rsidRPr="001F63BA">
        <w:rPr>
          <w:rFonts w:ascii="GHEA Grapalat" w:hAnsi="GHEA Grapalat" w:cs="Sylfaen"/>
          <w:sz w:val="22"/>
          <w:szCs w:val="22"/>
          <w:lang w:val="en-US"/>
        </w:rPr>
        <w:t xml:space="preserve"> հիմնականում</w:t>
      </w:r>
      <w:r w:rsidRPr="001F63BA">
        <w:rPr>
          <w:rFonts w:ascii="GHEA Grapalat" w:hAnsi="GHEA Grapalat" w:cs="Sylfaen"/>
          <w:sz w:val="22"/>
          <w:szCs w:val="22"/>
        </w:rPr>
        <w:t xml:space="preserve"> պայմանավորված է թափուր հաստիքների </w:t>
      </w:r>
      <w:r w:rsidRPr="001F63BA">
        <w:rPr>
          <w:rFonts w:ascii="GHEA Grapalat" w:hAnsi="GHEA Grapalat" w:cs="GHEA Grapalat"/>
          <w:sz w:val="22"/>
          <w:szCs w:val="22"/>
        </w:rPr>
        <w:t>առկայության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lang w:val="en-US"/>
        </w:rPr>
        <w:t>արդյունքում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lastRenderedPageBreak/>
        <w:t>աշխատանքի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վարձատրության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համար</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նախատեսված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միջոցների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տնտեսմամբ</w:t>
      </w:r>
      <w:r w:rsidRPr="001F63BA">
        <w:rPr>
          <w:rFonts w:ascii="GHEA Grapalat" w:hAnsi="GHEA Grapalat" w:cs="GHEA Grapalat"/>
          <w:sz w:val="22"/>
          <w:szCs w:val="22"/>
          <w:lang w:val="af-ZA"/>
        </w:rPr>
        <w:t>:</w:t>
      </w:r>
      <w:r w:rsidRPr="001F63BA">
        <w:rPr>
          <w:rFonts w:ascii="GHEA Grapalat" w:hAnsi="GHEA Grapalat" w:cs="Sylfaen"/>
          <w:sz w:val="22"/>
          <w:szCs w:val="22"/>
          <w:lang w:val="en-US"/>
        </w:rPr>
        <w:t xml:space="preserve"> </w:t>
      </w:r>
      <w:r w:rsidRPr="001F63BA">
        <w:rPr>
          <w:rFonts w:ascii="GHEA Grapalat" w:hAnsi="GHEA Grapalat" w:cs="Sylfaen"/>
          <w:sz w:val="22"/>
          <w:szCs w:val="22"/>
        </w:rPr>
        <w:t>Նախորդ տարվա համեմատ նշված միջոցառման ծախսերն աճել են</w:t>
      </w:r>
      <w:r w:rsidRPr="001F63BA">
        <w:rPr>
          <w:rFonts w:ascii="GHEA Grapalat" w:hAnsi="GHEA Grapalat" w:cs="Sylfaen"/>
          <w:sz w:val="22"/>
          <w:szCs w:val="22"/>
          <w:lang w:val="en-US"/>
        </w:rPr>
        <w:t xml:space="preserve"> </w:t>
      </w:r>
      <w:r w:rsidRPr="001F63BA">
        <w:rPr>
          <w:rFonts w:ascii="GHEA Grapalat" w:hAnsi="GHEA Grapalat" w:cs="Sylfaen"/>
          <w:sz w:val="22"/>
          <w:szCs w:val="22"/>
        </w:rPr>
        <w:t>2</w:t>
      </w:r>
      <w:r w:rsidRPr="001F63BA">
        <w:rPr>
          <w:rFonts w:ascii="GHEA Grapalat" w:hAnsi="GHEA Grapalat" w:cs="Sylfaen"/>
          <w:sz w:val="22"/>
          <w:szCs w:val="22"/>
          <w:lang w:val="en-US"/>
        </w:rPr>
        <w:t>.8</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24.1</w:t>
      </w:r>
      <w:r w:rsidRPr="001F63BA">
        <w:rPr>
          <w:rFonts w:ascii="GHEA Grapalat" w:hAnsi="GHEA Grapalat" w:cs="Sylfaen"/>
          <w:sz w:val="22"/>
          <w:szCs w:val="22"/>
        </w:rPr>
        <w:t xml:space="preserve"> մլն դրամով, որը պայմանավորված է վերահսկման նպատակով աշխատանքային գործունեության ծավալների և ստուգողական գործողությունների</w:t>
      </w:r>
      <w:r w:rsidRPr="001F63BA">
        <w:rPr>
          <w:rFonts w:ascii="GHEA Grapalat" w:hAnsi="GHEA Grapalat" w:cs="Sylfaen"/>
          <w:sz w:val="22"/>
          <w:szCs w:val="22"/>
          <w:lang w:val="en-US"/>
        </w:rPr>
        <w:t xml:space="preserve"> (</w:t>
      </w:r>
      <w:r w:rsidRPr="001F63BA">
        <w:rPr>
          <w:rFonts w:ascii="GHEA Grapalat" w:hAnsi="GHEA Grapalat" w:cs="Sylfaen"/>
          <w:sz w:val="22"/>
          <w:szCs w:val="22"/>
        </w:rPr>
        <w:t>ներքին գործուղումների և մի շարք այլ ծախսերի</w:t>
      </w:r>
      <w:r w:rsidRPr="001F63BA">
        <w:rPr>
          <w:rFonts w:ascii="GHEA Grapalat" w:hAnsi="GHEA Grapalat" w:cs="Sylfaen"/>
          <w:sz w:val="22"/>
          <w:szCs w:val="22"/>
          <w:lang w:val="en-US"/>
        </w:rPr>
        <w:t>)</w:t>
      </w:r>
      <w:r w:rsidRPr="001F63BA">
        <w:rPr>
          <w:rFonts w:ascii="GHEA Grapalat" w:hAnsi="GHEA Grapalat" w:cs="Sylfaen"/>
          <w:sz w:val="22"/>
          <w:szCs w:val="22"/>
        </w:rPr>
        <w:t xml:space="preserve"> ավելացմամբ:</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Շուկայի վերահսկողության ծառայությունների միջոցառման շրջանակներում ՀՀ շուկայի տեսչական մարմինն իրականացրել է ոչ պարենային արտադրանքի անվտանգության, չափումների միասնականության ապահովման, համապատասխանության գնահատման, նյութական պահուստի ոլորտներում պետական վերահսկողության աշխատանքներ՝ աշխատանքային ռեսուրսները նպատակաուղղելով դեպի առավել ռիսկային ոլորտներ ու տնտեսավարող սուբյեկտներ և ապահովելով խախտումների կանխարգելումը, անվտանգ ոչ պարենային արտադրանքների առկայությունը, ինչպես նաև ստուգաչափված չափման միջոցների շահագործումը շուկայում: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տնտեսավարող սուբյեկտների մոտ իրականացվել են 5</w:t>
      </w:r>
      <w:r w:rsidRPr="001F63BA">
        <w:rPr>
          <w:rFonts w:ascii="GHEA Grapalat" w:hAnsi="GHEA Grapalat" w:cs="Sylfaen"/>
          <w:sz w:val="22"/>
          <w:szCs w:val="22"/>
          <w:lang w:val="en-US"/>
        </w:rPr>
        <w:t>68</w:t>
      </w:r>
      <w:r w:rsidRPr="001F63BA">
        <w:rPr>
          <w:rFonts w:ascii="GHEA Grapalat" w:hAnsi="GHEA Grapalat" w:cs="Sylfaen"/>
          <w:sz w:val="22"/>
          <w:szCs w:val="22"/>
        </w:rPr>
        <w:t xml:space="preserve"> ստուգումներ` նախորդ տարվա </w:t>
      </w:r>
      <w:r w:rsidRPr="001F63BA">
        <w:rPr>
          <w:rFonts w:ascii="GHEA Grapalat" w:hAnsi="GHEA Grapalat" w:cs="Sylfaen"/>
          <w:sz w:val="22"/>
          <w:szCs w:val="22"/>
          <w:lang w:val="en-US"/>
        </w:rPr>
        <w:t>512</w:t>
      </w:r>
      <w:r w:rsidRPr="001F63BA">
        <w:rPr>
          <w:rFonts w:ascii="GHEA Grapalat" w:hAnsi="GHEA Grapalat" w:cs="Sylfaen"/>
          <w:sz w:val="22"/>
          <w:szCs w:val="22"/>
        </w:rPr>
        <w:t>-ի դիմաց:</w:t>
      </w:r>
      <w:r w:rsidRPr="001F63BA">
        <w:rPr>
          <w:rFonts w:ascii="GHEA Grapalat" w:hAnsi="GHEA Grapalat" w:cs="Sylfaen"/>
          <w:sz w:val="22"/>
          <w:szCs w:val="22"/>
          <w:lang w:val="en-US"/>
        </w:rPr>
        <w:t xml:space="preserve"> </w:t>
      </w:r>
      <w:r w:rsidRPr="001F63BA">
        <w:rPr>
          <w:rFonts w:ascii="GHEA Grapalat" w:hAnsi="GHEA Grapalat" w:cs="Sylfaen"/>
          <w:sz w:val="22"/>
          <w:szCs w:val="22"/>
        </w:rPr>
        <w:t>Նշված միջոցառման ծախսերը կազմել են 2</w:t>
      </w:r>
      <w:r w:rsidRPr="001F63BA">
        <w:rPr>
          <w:rFonts w:ascii="GHEA Grapalat" w:hAnsi="GHEA Grapalat" w:cs="Sylfaen"/>
          <w:sz w:val="22"/>
          <w:szCs w:val="22"/>
          <w:lang w:val="en-US"/>
        </w:rPr>
        <w:t>77.8</w:t>
      </w:r>
      <w:r w:rsidRPr="001F63BA">
        <w:rPr>
          <w:rFonts w:ascii="GHEA Grapalat" w:hAnsi="GHEA Grapalat" w:cs="Sylfaen"/>
          <w:sz w:val="22"/>
          <w:szCs w:val="22"/>
        </w:rPr>
        <w:t xml:space="preserve"> մլն դրամ կամ նախատեսվածի </w:t>
      </w:r>
      <w:r w:rsidRPr="001F63BA">
        <w:rPr>
          <w:rFonts w:ascii="GHEA Grapalat" w:hAnsi="GHEA Grapalat" w:cs="Sylfaen"/>
          <w:sz w:val="22"/>
          <w:szCs w:val="22"/>
          <w:lang w:val="en-US"/>
        </w:rPr>
        <w:t>87</w:t>
      </w:r>
      <w:r w:rsidRPr="001F63BA">
        <w:rPr>
          <w:rFonts w:ascii="GHEA Grapalat" w:hAnsi="GHEA Grapalat" w:cs="Sylfaen"/>
          <w:sz w:val="22"/>
          <w:szCs w:val="22"/>
        </w:rPr>
        <w:t>%-ը: Շեղումը</w:t>
      </w:r>
      <w:r w:rsidRPr="001F63BA">
        <w:rPr>
          <w:rFonts w:ascii="GHEA Grapalat" w:hAnsi="GHEA Grapalat" w:cs="Sylfaen"/>
          <w:sz w:val="22"/>
          <w:szCs w:val="22"/>
          <w:lang w:val="en-US"/>
        </w:rPr>
        <w:t xml:space="preserve"> հիմնականում</w:t>
      </w:r>
      <w:r w:rsidRPr="001F63BA">
        <w:rPr>
          <w:rFonts w:ascii="GHEA Grapalat" w:hAnsi="GHEA Grapalat" w:cs="Sylfaen"/>
          <w:sz w:val="22"/>
          <w:szCs w:val="22"/>
        </w:rPr>
        <w:t xml:space="preserve"> պայմանավորված է թափուր հաստիքների առկայության հետևանքով աշխատանքի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վարձատրության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համար</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նախատեսված միջոցների տնտեսմամբ,</w:t>
      </w:r>
      <w:r w:rsidRPr="001F63BA">
        <w:rPr>
          <w:rFonts w:ascii="GHEA Grapalat" w:hAnsi="GHEA Grapalat" w:cs="GHEA Grapalat"/>
          <w:sz w:val="22"/>
          <w:szCs w:val="22"/>
          <w:lang w:val="en-US"/>
        </w:rPr>
        <w:t xml:space="preserve"> ինչպես նաև </w:t>
      </w:r>
      <w:r w:rsidRPr="001F63BA">
        <w:rPr>
          <w:rFonts w:ascii="GHEA Grapalat" w:hAnsi="GHEA Grapalat" w:cs="GHEA Grapalat"/>
          <w:sz w:val="22"/>
          <w:szCs w:val="22"/>
        </w:rPr>
        <w:t>շենքերի պահպանման և վերանորոգման մրցույթում հաղթած կապալառուի կողմից պայմանագրային պարտավորությունները թերի կատարելու հետևանքով մասնակի վճարմամբ:</w:t>
      </w:r>
      <w:r w:rsidRPr="001F63BA">
        <w:rPr>
          <w:rFonts w:ascii="GHEA Grapalat" w:hAnsi="GHEA Grapalat" w:cs="GHEA Grapalat"/>
          <w:sz w:val="22"/>
          <w:szCs w:val="22"/>
          <w:lang w:val="en-US"/>
        </w:rPr>
        <w:t xml:space="preserve"> </w:t>
      </w:r>
      <w:r w:rsidRPr="001F63BA">
        <w:rPr>
          <w:rFonts w:ascii="GHEA Grapalat" w:hAnsi="GHEA Grapalat" w:cs="Sylfaen"/>
          <w:sz w:val="22"/>
          <w:szCs w:val="22"/>
        </w:rPr>
        <w:t>Նախորդ տարվա համեմատ նշված միջոցառման ծախսերն աճել են 17.3%-ով կամ 40.9 մլն դրամով, որը հիմնականում պայմանավորված է հաստիքների համալրման հետևանքով աշխատանքի վարձատրության, էլեկտրաէներգիայի, գործուղման և ընթացիկ նորոգման ծախսերի աճով։</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Կրթության ոլորտում վերահսկողության ծառայությունների միջոցառման շրջանակներում ՀՀ կրթության տեսչական մարմինն իրականացրել է նախադպրոցական կրթության, հանրակրթության, նախնական մասնագիտական (արհեստագործական) և միջին մասնագիտական կրթության ոլորտներում պետական վերահսկողության աշխատանքներ: </w:t>
      </w: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իրականացված ստուգումների քանակ</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ընդհանուր առմամբ կազմել է </w:t>
      </w:r>
      <w:r w:rsidRPr="001F63BA">
        <w:rPr>
          <w:rFonts w:ascii="GHEA Grapalat" w:hAnsi="GHEA Grapalat" w:cs="GHEA Grapalat"/>
          <w:sz w:val="22"/>
          <w:szCs w:val="22"/>
          <w:lang w:val="en-US"/>
        </w:rPr>
        <w:t>130</w:t>
      </w:r>
      <w:r w:rsidRPr="001F63BA">
        <w:rPr>
          <w:rFonts w:ascii="GHEA Grapalat" w:hAnsi="GHEA Grapalat" w:cs="GHEA Grapalat"/>
          <w:sz w:val="22"/>
          <w:szCs w:val="22"/>
        </w:rPr>
        <w:t>, որը 202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թվականի համեմատ աճել է </w:t>
      </w:r>
      <w:r w:rsidRPr="001F63BA">
        <w:rPr>
          <w:rFonts w:ascii="GHEA Grapalat" w:hAnsi="GHEA Grapalat" w:cs="GHEA Grapalat"/>
          <w:sz w:val="22"/>
          <w:szCs w:val="22"/>
          <w:lang w:val="en-US"/>
        </w:rPr>
        <w:t>8.3%-ով</w:t>
      </w:r>
      <w:r w:rsidRPr="001F63BA">
        <w:rPr>
          <w:rFonts w:ascii="GHEA Grapalat" w:hAnsi="GHEA Grapalat" w:cs="GHEA Grapalat"/>
          <w:sz w:val="22"/>
          <w:szCs w:val="22"/>
        </w:rPr>
        <w:t xml:space="preserve"> (202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թվականին իրականացվել է</w:t>
      </w:r>
      <w:r w:rsidRPr="001F63BA">
        <w:rPr>
          <w:rFonts w:ascii="GHEA Grapalat" w:hAnsi="GHEA Grapalat" w:cs="GHEA Grapalat"/>
          <w:sz w:val="22"/>
          <w:szCs w:val="22"/>
          <w:lang w:val="en-US"/>
        </w:rPr>
        <w:t>ր</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120</w:t>
      </w:r>
      <w:r w:rsidRPr="001F63BA">
        <w:rPr>
          <w:rFonts w:ascii="GHEA Grapalat" w:hAnsi="GHEA Grapalat" w:cs="GHEA Grapalat"/>
          <w:sz w:val="22"/>
          <w:szCs w:val="22"/>
        </w:rPr>
        <w:t xml:space="preserve"> ստուգում)։</w:t>
      </w:r>
      <w:r w:rsidRPr="001F63BA">
        <w:rPr>
          <w:rFonts w:ascii="GHEA Grapalat" w:hAnsi="GHEA Grapalat" w:cs="GHEA Grapalat"/>
          <w:sz w:val="22"/>
          <w:szCs w:val="22"/>
          <w:lang w:val="en-US"/>
        </w:rPr>
        <w:t xml:space="preserve"> </w:t>
      </w:r>
      <w:r w:rsidRPr="001F63BA">
        <w:rPr>
          <w:rFonts w:ascii="GHEA Grapalat" w:hAnsi="GHEA Grapalat" w:cs="Sylfaen"/>
          <w:sz w:val="22"/>
          <w:szCs w:val="22"/>
        </w:rPr>
        <w:t xml:space="preserve">Նշված միջոցառման ծախսերը կազմել են 260.8 մլն դրամ կամ նախատեսվածի 97.4%-ը: Շեղումը հիմնականում պայմանավորված է թափուր հաստիքների առկայության </w:t>
      </w:r>
      <w:r w:rsidRPr="001F63BA">
        <w:rPr>
          <w:rFonts w:ascii="GHEA Grapalat" w:hAnsi="GHEA Grapalat" w:cs="Sylfaen"/>
          <w:sz w:val="22"/>
          <w:szCs w:val="22"/>
          <w:lang w:val="en-US"/>
        </w:rPr>
        <w:t>արդյունքում</w:t>
      </w:r>
      <w:r w:rsidRPr="001F63BA">
        <w:rPr>
          <w:rFonts w:ascii="GHEA Grapalat" w:hAnsi="GHEA Grapalat" w:cs="Sylfaen"/>
          <w:sz w:val="22"/>
          <w:szCs w:val="22"/>
        </w:rPr>
        <w:t xml:space="preserve"> աշխատանքի վարձատրության համար նախատեսված միջոցների տնտեսմամբ</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Նախորդ տարվա համեմատ նշված միջոցառման ծախսերն աճել են </w:t>
      </w:r>
      <w:r w:rsidRPr="001F63BA">
        <w:rPr>
          <w:rFonts w:ascii="GHEA Grapalat" w:hAnsi="GHEA Grapalat" w:cs="Sylfaen"/>
          <w:sz w:val="22"/>
          <w:szCs w:val="22"/>
          <w:lang w:val="en-US"/>
        </w:rPr>
        <w:t>2.3</w:t>
      </w:r>
      <w:r w:rsidRPr="001F63BA">
        <w:rPr>
          <w:rFonts w:ascii="GHEA Grapalat" w:hAnsi="GHEA Grapalat" w:cs="Sylfaen"/>
          <w:sz w:val="22"/>
          <w:szCs w:val="22"/>
        </w:rPr>
        <w:t>%</w:t>
      </w:r>
      <w:r w:rsidRPr="001F63BA">
        <w:rPr>
          <w:rFonts w:ascii="GHEA Grapalat" w:hAnsi="GHEA Grapalat" w:cs="Sylfaen"/>
          <w:sz w:val="22"/>
          <w:szCs w:val="22"/>
          <w:lang w:val="en-US"/>
        </w:rPr>
        <w:noBreakHyphen/>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 xml:space="preserve">շուրջ 5.9 </w:t>
      </w:r>
      <w:r w:rsidRPr="001F63BA">
        <w:rPr>
          <w:rFonts w:ascii="GHEA Grapalat" w:hAnsi="GHEA Grapalat" w:cs="Sylfaen"/>
          <w:sz w:val="22"/>
          <w:szCs w:val="22"/>
        </w:rPr>
        <w:t>մլն դրամով, որը հիմնականում պայմանավորված է էլ</w:t>
      </w:r>
      <w:r w:rsidRPr="001F63BA">
        <w:rPr>
          <w:rFonts w:ascii="GHEA Grapalat" w:hAnsi="GHEA Grapalat" w:cs="Sylfaen"/>
          <w:sz w:val="22"/>
          <w:szCs w:val="22"/>
          <w:lang w:val="en-US"/>
        </w:rPr>
        <w:t>եկտրա</w:t>
      </w:r>
      <w:r w:rsidRPr="001F63BA">
        <w:rPr>
          <w:rFonts w:ascii="GHEA Grapalat" w:hAnsi="GHEA Grapalat" w:cs="Sylfaen"/>
          <w:sz w:val="22"/>
          <w:szCs w:val="22"/>
        </w:rPr>
        <w:t>էներգիայի, գործուղման և այլ ծախսերի աճով։</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i/>
          <w:sz w:val="22"/>
          <w:szCs w:val="22"/>
        </w:rPr>
        <w:lastRenderedPageBreak/>
        <w:t>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w:t>
      </w:r>
      <w:r w:rsidRPr="001F63BA">
        <w:rPr>
          <w:rFonts w:ascii="GHEA Grapalat" w:hAnsi="GHEA Grapalat"/>
          <w:sz w:val="22"/>
          <w:szCs w:val="22"/>
        </w:rPr>
        <w:t xml:space="preserve"> ծրագրի ծախսերը</w:t>
      </w:r>
      <w:r w:rsidRPr="001F63BA">
        <w:rPr>
          <w:rFonts w:ascii="GHEA Grapalat" w:hAnsi="GHEA Grapalat" w:cs="Sylfaen"/>
          <w:sz w:val="22"/>
          <w:szCs w:val="22"/>
        </w:rPr>
        <w:t xml:space="preserve"> </w:t>
      </w:r>
      <w:r w:rsidRPr="001F63BA">
        <w:rPr>
          <w:rFonts w:ascii="GHEA Grapalat" w:hAnsi="GHEA Grapalat" w:cs="Sylfaen"/>
          <w:sz w:val="22"/>
          <w:szCs w:val="22"/>
          <w:lang w:val="en-US"/>
        </w:rPr>
        <w:t>2022 թվականին</w:t>
      </w:r>
      <w:r w:rsidRPr="001F63BA">
        <w:rPr>
          <w:rFonts w:ascii="GHEA Grapalat" w:hAnsi="GHEA Grapalat" w:cs="Sylfaen"/>
          <w:sz w:val="22"/>
          <w:szCs w:val="22"/>
        </w:rPr>
        <w:t xml:space="preserve"> կազմել են շուրջ 2</w:t>
      </w:r>
      <w:r w:rsidRPr="001F63BA">
        <w:rPr>
          <w:rFonts w:ascii="GHEA Grapalat" w:hAnsi="GHEA Grapalat" w:cs="Sylfaen"/>
          <w:sz w:val="22"/>
          <w:szCs w:val="22"/>
          <w:lang w:val="en-US"/>
        </w:rPr>
        <w:t>.4</w:t>
      </w:r>
      <w:r w:rsidRPr="001F63BA">
        <w:rPr>
          <w:rFonts w:ascii="Courier New" w:hAnsi="Courier New" w:cs="Courier New"/>
          <w:sz w:val="22"/>
          <w:szCs w:val="22"/>
          <w:lang w:val="en-US"/>
        </w:rPr>
        <w:t> </w:t>
      </w:r>
      <w:r w:rsidRPr="001F63BA">
        <w:rPr>
          <w:rFonts w:ascii="GHEA Grapalat" w:hAnsi="GHEA Grapalat" w:cs="Sylfaen"/>
          <w:sz w:val="22"/>
          <w:szCs w:val="22"/>
        </w:rPr>
        <w:t>մլրդ դրամ կամ ծրագրային ցուցանիշի 9</w:t>
      </w:r>
      <w:r w:rsidRPr="001F63BA">
        <w:rPr>
          <w:rFonts w:ascii="GHEA Grapalat" w:hAnsi="GHEA Grapalat" w:cs="Sylfaen"/>
          <w:sz w:val="22"/>
          <w:szCs w:val="22"/>
          <w:lang w:val="en-US"/>
        </w:rPr>
        <w:t>9</w:t>
      </w:r>
      <w:r w:rsidRPr="001F63BA">
        <w:rPr>
          <w:rFonts w:ascii="GHEA Grapalat" w:hAnsi="GHEA Grapalat" w:cs="Sylfaen"/>
          <w:sz w:val="22"/>
          <w:szCs w:val="22"/>
        </w:rPr>
        <w:t>.</w:t>
      </w:r>
      <w:r w:rsidRPr="001F63BA">
        <w:rPr>
          <w:rFonts w:ascii="GHEA Grapalat" w:hAnsi="GHEA Grapalat" w:cs="Sylfaen"/>
          <w:sz w:val="22"/>
          <w:szCs w:val="22"/>
          <w:lang w:val="en-US"/>
        </w:rPr>
        <w:t>8</w:t>
      </w:r>
      <w:r w:rsidRPr="001F63BA">
        <w:rPr>
          <w:rFonts w:ascii="GHEA Grapalat" w:hAnsi="GHEA Grapalat" w:cs="Sylfaen"/>
          <w:sz w:val="22"/>
          <w:szCs w:val="22"/>
        </w:rPr>
        <w:t>%-ը: Նախորդ տարվա համեմատ 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 ծրագրի գծով ծախսերն</w:t>
      </w:r>
      <w:r w:rsidRPr="001F63BA">
        <w:rPr>
          <w:rFonts w:ascii="GHEA Grapalat" w:hAnsi="GHEA Grapalat" w:cs="Sylfaen"/>
          <w:sz w:val="22"/>
          <w:szCs w:val="22"/>
          <w:lang w:val="en-US"/>
        </w:rPr>
        <w:t xml:space="preserve"> </w:t>
      </w:r>
      <w:r w:rsidRPr="001F63BA">
        <w:rPr>
          <w:rFonts w:ascii="GHEA Grapalat" w:hAnsi="GHEA Grapalat" w:cs="Sylfaen"/>
          <w:sz w:val="22"/>
          <w:szCs w:val="22"/>
        </w:rPr>
        <w:t>ա</w:t>
      </w:r>
      <w:r w:rsidRPr="001F63BA">
        <w:rPr>
          <w:rFonts w:ascii="GHEA Grapalat" w:hAnsi="GHEA Grapalat" w:cs="Sylfaen"/>
          <w:sz w:val="22"/>
          <w:szCs w:val="22"/>
          <w:lang w:val="en-US"/>
        </w:rPr>
        <w:t>ճ</w:t>
      </w:r>
      <w:r w:rsidRPr="001F63BA">
        <w:rPr>
          <w:rFonts w:ascii="GHEA Grapalat" w:hAnsi="GHEA Grapalat" w:cs="Sylfaen"/>
          <w:sz w:val="22"/>
          <w:szCs w:val="22"/>
        </w:rPr>
        <w:t xml:space="preserve">ել են </w:t>
      </w:r>
      <w:r w:rsidRPr="001F63BA">
        <w:rPr>
          <w:rFonts w:ascii="GHEA Grapalat" w:hAnsi="GHEA Grapalat" w:cs="Sylfaen"/>
          <w:sz w:val="22"/>
          <w:szCs w:val="22"/>
          <w:lang w:val="en-US"/>
        </w:rPr>
        <w:t>21.2</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417.3</w:t>
      </w:r>
      <w:r w:rsidRPr="001F63BA">
        <w:rPr>
          <w:rFonts w:ascii="GHEA Grapalat" w:hAnsi="GHEA Grapalat" w:cs="Sylfaen"/>
          <w:sz w:val="22"/>
          <w:szCs w:val="22"/>
        </w:rPr>
        <w:t xml:space="preserve"> մլն դրամով</w:t>
      </w:r>
      <w:r w:rsidRPr="001F63BA">
        <w:rPr>
          <w:rFonts w:ascii="GHEA Grapalat" w:hAnsi="GHEA Grapalat" w:cs="Sylfaen"/>
          <w:sz w:val="22"/>
          <w:szCs w:val="22"/>
          <w:lang w:val="en-US"/>
        </w:rPr>
        <w:t xml:space="preserve">, որը պայմանավորված </w:t>
      </w:r>
      <w:r w:rsidRPr="001F63BA">
        <w:rPr>
          <w:rFonts w:ascii="GHEA Grapalat" w:hAnsi="GHEA Grapalat" w:cs="Sylfaen"/>
          <w:sz w:val="22"/>
          <w:szCs w:val="22"/>
        </w:rPr>
        <w:t xml:space="preserve">է Հայաստանի Հանրապետության շահերի ներկայացմանն ու պաշտպանությանն ուղղված փաստաբանական, իրավաբանական ծառայությունների գծով ծախսերի աճով: </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Հաշվետու տարում Հայաստանի Հանրապետության շահերի ներկայացմանն ու պաշտպանությանն ուղղված փաստաբանական, իրավաբանական ծառայությունների շրջանակներում իրականացվել են Միջազգային դատարաններում, միջազգային արբիտրաժներում և այլ միջազգային ատյաններում ՀՀ վերաբերյալ գործընթացներում մասնակցության, դրանց կողմից ընդունված ՀՀ վերաբերյալ վճիռների և որոշումների կատարման ապա</w:t>
      </w:r>
      <w:r w:rsidRPr="001F63BA">
        <w:rPr>
          <w:rFonts w:ascii="GHEA Grapalat" w:hAnsi="GHEA Grapalat" w:cs="Sylfaen"/>
          <w:sz w:val="22"/>
          <w:szCs w:val="22"/>
        </w:rPr>
        <w:softHyphen/>
        <w:t>հովման աշխատանքները։</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Միջոցառման ծախսերը կազմել են շուրջ </w:t>
      </w:r>
      <w:r w:rsidRPr="001F63BA">
        <w:rPr>
          <w:rFonts w:ascii="GHEA Grapalat" w:hAnsi="GHEA Grapalat" w:cs="Sylfaen"/>
          <w:sz w:val="22"/>
          <w:szCs w:val="22"/>
          <w:lang w:val="en-US"/>
        </w:rPr>
        <w:t>2.3</w:t>
      </w:r>
      <w:r w:rsidRPr="001F63BA">
        <w:rPr>
          <w:rFonts w:ascii="GHEA Grapalat" w:hAnsi="GHEA Grapalat" w:cs="Sylfaen"/>
          <w:sz w:val="22"/>
          <w:szCs w:val="22"/>
        </w:rPr>
        <w:t xml:space="preserve"> մլրդ դրամ կամ նախատեսված միջոցների 9</w:t>
      </w:r>
      <w:r w:rsidRPr="001F63BA">
        <w:rPr>
          <w:rFonts w:ascii="GHEA Grapalat" w:hAnsi="GHEA Grapalat" w:cs="Sylfaen"/>
          <w:sz w:val="22"/>
          <w:szCs w:val="22"/>
          <w:lang w:val="en-US"/>
        </w:rPr>
        <w:t>9.8</w:t>
      </w:r>
      <w:r w:rsidRPr="001F63BA">
        <w:rPr>
          <w:rFonts w:ascii="GHEA Grapalat" w:hAnsi="GHEA Grapalat" w:cs="Sylfaen"/>
          <w:sz w:val="22"/>
          <w:szCs w:val="22"/>
        </w:rPr>
        <w:t>%-ը: Նախորդ տարվա համեմատ նշված միջոցառման ծախսերն աճել են 46</w:t>
      </w:r>
      <w:r w:rsidRPr="001F63BA">
        <w:rPr>
          <w:rFonts w:ascii="GHEA Grapalat" w:hAnsi="GHEA Grapalat" w:cs="Sylfaen"/>
          <w:sz w:val="22"/>
          <w:szCs w:val="22"/>
          <w:lang w:val="en-US"/>
        </w:rPr>
        <w:t>.9</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728</w:t>
      </w:r>
      <w:r w:rsidRPr="001F63BA">
        <w:rPr>
          <w:rFonts w:ascii="GHEA Grapalat" w:hAnsi="GHEA Grapalat" w:cs="Sylfaen"/>
          <w:sz w:val="22"/>
          <w:szCs w:val="22"/>
        </w:rPr>
        <w:t>.2 մլն դրամով, որը պայմանավորված է ընդունված վճիռների և որոշումների քանակի աճով։</w:t>
      </w:r>
    </w:p>
    <w:p w:rsidR="001C411D" w:rsidRPr="001F63BA" w:rsidRDefault="001C411D" w:rsidP="008E69AF">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Մարդու իրավունքների Եվրոպական դատարանի վճիռների և որոշումների հիման վրա արդարացի ֆինանսական հատուցումների տրամադրման համար օգտագործվել է </w:t>
      </w:r>
      <w:r w:rsidRPr="001F63BA">
        <w:rPr>
          <w:rFonts w:ascii="GHEA Grapalat" w:hAnsi="GHEA Grapalat" w:cs="Sylfaen"/>
          <w:sz w:val="22"/>
          <w:szCs w:val="22"/>
          <w:lang w:val="en-US"/>
        </w:rPr>
        <w:t xml:space="preserve">ավելի քան </w:t>
      </w:r>
      <w:r w:rsidRPr="001F63BA">
        <w:rPr>
          <w:rFonts w:ascii="GHEA Grapalat" w:hAnsi="GHEA Grapalat" w:cs="Sylfaen"/>
          <w:sz w:val="22"/>
          <w:szCs w:val="22"/>
        </w:rPr>
        <w:t>1</w:t>
      </w:r>
      <w:r w:rsidRPr="001F63BA">
        <w:rPr>
          <w:rFonts w:ascii="GHEA Grapalat" w:hAnsi="GHEA Grapalat" w:cs="Sylfaen"/>
          <w:sz w:val="22"/>
          <w:szCs w:val="22"/>
          <w:lang w:val="en-US"/>
        </w:rPr>
        <w:t>07</w:t>
      </w:r>
      <w:r w:rsidRPr="001F63BA">
        <w:rPr>
          <w:rFonts w:ascii="GHEA Grapalat" w:hAnsi="GHEA Grapalat" w:cs="Sylfaen"/>
          <w:sz w:val="22"/>
          <w:szCs w:val="22"/>
        </w:rPr>
        <w:t>.</w:t>
      </w:r>
      <w:r w:rsidRPr="001F63BA">
        <w:rPr>
          <w:rFonts w:ascii="GHEA Grapalat" w:hAnsi="GHEA Grapalat" w:cs="Sylfaen"/>
          <w:sz w:val="22"/>
          <w:szCs w:val="22"/>
          <w:lang w:val="en-US"/>
        </w:rPr>
        <w:t>7</w:t>
      </w:r>
      <w:r w:rsidRPr="001F63BA">
        <w:rPr>
          <w:rFonts w:ascii="Courier New" w:hAnsi="Courier New" w:cs="Courier New"/>
          <w:sz w:val="22"/>
          <w:szCs w:val="22"/>
          <w:lang w:val="en-US"/>
        </w:rPr>
        <w:t> </w:t>
      </w:r>
      <w:r w:rsidRPr="001F63BA">
        <w:rPr>
          <w:rFonts w:ascii="GHEA Grapalat" w:hAnsi="GHEA Grapalat" w:cs="Sylfaen"/>
          <w:sz w:val="22"/>
          <w:szCs w:val="22"/>
        </w:rPr>
        <w:t>մլն դրամ՝ ապահովելով 100% կատարողական: Նախորդ տարվա համեմատ նշված միջոցառման ծախսերը նվազել են 4</w:t>
      </w:r>
      <w:r w:rsidRPr="001F63BA">
        <w:rPr>
          <w:rFonts w:ascii="GHEA Grapalat" w:hAnsi="GHEA Grapalat" w:cs="Sylfaen"/>
          <w:sz w:val="22"/>
          <w:szCs w:val="22"/>
          <w:lang w:val="en-US"/>
        </w:rPr>
        <w:t>3</w:t>
      </w:r>
      <w:r w:rsidRPr="001F63BA">
        <w:rPr>
          <w:rFonts w:ascii="GHEA Grapalat" w:hAnsi="GHEA Grapalat" w:cs="Sylfaen"/>
          <w:sz w:val="22"/>
          <w:szCs w:val="22"/>
        </w:rPr>
        <w:t>.</w:t>
      </w:r>
      <w:r w:rsidRPr="001F63BA">
        <w:rPr>
          <w:rFonts w:ascii="GHEA Grapalat" w:hAnsi="GHEA Grapalat" w:cs="Sylfaen"/>
          <w:sz w:val="22"/>
          <w:szCs w:val="22"/>
          <w:lang w:val="en-US"/>
        </w:rPr>
        <w:t>1</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81.7</w:t>
      </w:r>
      <w:r w:rsidRPr="001F63BA">
        <w:rPr>
          <w:rFonts w:ascii="GHEA Grapalat" w:hAnsi="GHEA Grapalat" w:cs="Sylfaen"/>
          <w:sz w:val="22"/>
          <w:szCs w:val="22"/>
        </w:rPr>
        <w:t xml:space="preserve"> մլն դրամով, որը պայմանավորված է Եվրոպական դատարանի կողմից կայացված որոշումների հիման վրա փոխհատուցում ստացող շահառուների քանակի և փոխհատուցման ենթակա գումար</w:t>
      </w:r>
      <w:r w:rsidRPr="001F63BA">
        <w:rPr>
          <w:rFonts w:ascii="GHEA Grapalat" w:hAnsi="GHEA Grapalat" w:cs="Sylfaen"/>
          <w:sz w:val="22"/>
          <w:szCs w:val="22"/>
          <w:lang w:val="en-US"/>
        </w:rPr>
        <w:t>ների</w:t>
      </w:r>
      <w:r w:rsidRPr="001F63BA">
        <w:rPr>
          <w:rFonts w:ascii="GHEA Grapalat" w:hAnsi="GHEA Grapalat" w:cs="Sylfaen"/>
          <w:sz w:val="22"/>
          <w:szCs w:val="22"/>
        </w:rPr>
        <w:t xml:space="preserve"> չափ</w:t>
      </w:r>
      <w:r w:rsidRPr="001F63BA">
        <w:rPr>
          <w:rFonts w:ascii="GHEA Grapalat" w:hAnsi="GHEA Grapalat" w:cs="Sylfaen"/>
          <w:sz w:val="22"/>
          <w:szCs w:val="22"/>
          <w:lang w:val="en-US"/>
        </w:rPr>
        <w:t>եր</w:t>
      </w:r>
      <w:r w:rsidRPr="001F63BA">
        <w:rPr>
          <w:rFonts w:ascii="GHEA Grapalat" w:hAnsi="GHEA Grapalat" w:cs="Sylfaen"/>
          <w:sz w:val="22"/>
          <w:szCs w:val="22"/>
        </w:rPr>
        <w:t>ի նվազմամբ:</w:t>
      </w:r>
    </w:p>
    <w:p w:rsidR="001C411D" w:rsidRPr="001F63BA" w:rsidRDefault="001C411D" w:rsidP="008E438A">
      <w:pPr>
        <w:spacing w:line="360" w:lineRule="auto"/>
        <w:ind w:firstLine="561"/>
        <w:jc w:val="both"/>
        <w:rPr>
          <w:rFonts w:ascii="GHEA Grapalat" w:hAnsi="GHEA Grapalat"/>
          <w:sz w:val="22"/>
          <w:szCs w:val="22"/>
        </w:rPr>
      </w:pPr>
    </w:p>
    <w:p w:rsidR="001C411D" w:rsidRPr="001F63BA" w:rsidRDefault="001C411D" w:rsidP="007C7CC1">
      <w:pPr>
        <w:spacing w:line="360" w:lineRule="auto"/>
        <w:ind w:firstLine="561"/>
        <w:jc w:val="both"/>
        <w:rPr>
          <w:rFonts w:ascii="GHEA Grapalat" w:hAnsi="GHEA Grapalat" w:cs="Times Armenian"/>
          <w:sz w:val="22"/>
          <w:szCs w:val="22"/>
        </w:rPr>
      </w:pPr>
      <w:r w:rsidRPr="001F63BA">
        <w:rPr>
          <w:rFonts w:ascii="GHEA Grapalat" w:hAnsi="GHEA Grapalat" w:cs="Sylfaen"/>
          <w:i/>
          <w:sz w:val="22"/>
          <w:szCs w:val="22"/>
          <w:u w:val="single"/>
        </w:rPr>
        <w:t>ՀՀ սահմանադրական դատարանի</w:t>
      </w:r>
      <w:r w:rsidRPr="001F63BA">
        <w:rPr>
          <w:rFonts w:ascii="GHEA Grapalat" w:hAnsi="GHEA Grapalat" w:cs="Sylfaen"/>
          <w:sz w:val="22"/>
          <w:szCs w:val="22"/>
        </w:rPr>
        <w:t xml:space="preserve"> </w:t>
      </w:r>
      <w:r w:rsidRPr="001F63BA">
        <w:rPr>
          <w:rFonts w:ascii="GHEA Grapalat" w:hAnsi="GHEA Grapalat" w:cs="GHEA Grapalat"/>
          <w:i/>
          <w:sz w:val="22"/>
          <w:szCs w:val="22"/>
        </w:rPr>
        <w:t>գործունեության ապահովմանը</w:t>
      </w:r>
      <w:r w:rsidRPr="001F63BA">
        <w:rPr>
          <w:rFonts w:ascii="GHEA Grapalat" w:hAnsi="GHEA Grapalat" w:cs="GHEA Grapalat"/>
          <w:sz w:val="22"/>
          <w:szCs w:val="22"/>
        </w:rPr>
        <w:t xml:space="preserve"> 2022 թվականին տրամադրվել է 733.5 մլն դրամ՝ ապահովելով 98.7% կատարողական: Միջոցները հիմնականում ուղղվել են ՀՀ սահմանադրական դատարանի գործունեության և սահմանադրական արդարադատության ապահովման միջոցառմանը, որի ծախսերը կազմել են 719.8 մլն դրամ կամ ծրագրված ցուցանիշի 98.7%-ը` պայմանավորված տնտեսումներով: 2021 թվականի համեմատ ՀՀ սահմանադրական դատարանի ծախսերն աճել են 8.1%-ով կամ 54.8 մլն դրամով, որը մեծ մասամբ </w:t>
      </w:r>
      <w:r w:rsidRPr="001F63BA">
        <w:rPr>
          <w:rFonts w:ascii="GHEA Grapalat" w:hAnsi="GHEA Grapalat" w:cs="GHEA Grapalat"/>
          <w:sz w:val="22"/>
          <w:szCs w:val="22"/>
          <w:lang w:val="en-US"/>
        </w:rPr>
        <w:t>արձանագրվել</w:t>
      </w:r>
      <w:r w:rsidRPr="001F63BA">
        <w:rPr>
          <w:rFonts w:ascii="GHEA Grapalat" w:hAnsi="GHEA Grapalat" w:cs="GHEA Grapalat"/>
          <w:sz w:val="22"/>
          <w:szCs w:val="22"/>
        </w:rPr>
        <w:t xml:space="preserve"> է աշխատանքի վարձատրության ծախսեր</w:t>
      </w:r>
      <w:r w:rsidRPr="001F63BA">
        <w:rPr>
          <w:rFonts w:ascii="GHEA Grapalat" w:hAnsi="GHEA Grapalat" w:cs="GHEA Grapalat"/>
          <w:sz w:val="22"/>
          <w:szCs w:val="22"/>
          <w:lang w:val="en-US"/>
        </w:rPr>
        <w:t>ում</w:t>
      </w:r>
      <w:r w:rsidRPr="001F63BA">
        <w:rPr>
          <w:rFonts w:ascii="GHEA Grapalat" w:hAnsi="GHEA Grapalat" w:cs="GHEA Grapalat"/>
          <w:sz w:val="22"/>
          <w:szCs w:val="22"/>
        </w:rPr>
        <w:t>՝ հիմնականում պայմանավորված</w:t>
      </w:r>
      <w:r w:rsidRPr="001F63BA">
        <w:rPr>
          <w:rFonts w:ascii="GHEA Grapalat" w:hAnsi="GHEA Grapalat" w:cs="GHEA Grapalat"/>
          <w:sz w:val="22"/>
          <w:szCs w:val="22"/>
          <w:lang w:val="en-US"/>
        </w:rPr>
        <w:t xml:space="preserve"> ՍԴ </w:t>
      </w:r>
      <w:r w:rsidRPr="001F63BA">
        <w:rPr>
          <w:rFonts w:ascii="GHEA Grapalat" w:hAnsi="GHEA Grapalat" w:cs="GHEA Grapalat"/>
          <w:sz w:val="22"/>
          <w:szCs w:val="22"/>
          <w:lang w:val="en-US"/>
        </w:rPr>
        <w:lastRenderedPageBreak/>
        <w:t>դատավորների հավելավճարների ավելացմամբ,</w:t>
      </w:r>
      <w:r w:rsidRPr="001F63BA">
        <w:rPr>
          <w:rFonts w:ascii="GHEA Grapalat" w:hAnsi="GHEA Grapalat" w:cs="GHEA Grapalat"/>
          <w:sz w:val="22"/>
          <w:szCs w:val="22"/>
        </w:rPr>
        <w:t xml:space="preserve"> աշխատակազմի աշխատակիցների կազմի փոփոխությամբ:</w:t>
      </w:r>
    </w:p>
    <w:p w:rsidR="001C411D" w:rsidRPr="001F63BA" w:rsidRDefault="001C411D" w:rsidP="008E438A">
      <w:pPr>
        <w:spacing w:line="360" w:lineRule="auto"/>
        <w:ind w:firstLine="561"/>
        <w:jc w:val="both"/>
        <w:rPr>
          <w:rFonts w:ascii="GHEA Grapalat" w:hAnsi="GHEA Grapalat" w:cs="Times Armenian"/>
          <w:sz w:val="22"/>
          <w:szCs w:val="22"/>
        </w:rPr>
      </w:pPr>
    </w:p>
    <w:p w:rsidR="001C411D" w:rsidRPr="001F63BA" w:rsidRDefault="001C411D" w:rsidP="00E65F50">
      <w:pPr>
        <w:spacing w:line="360" w:lineRule="auto"/>
        <w:ind w:firstLine="561"/>
        <w:jc w:val="both"/>
        <w:rPr>
          <w:rFonts w:ascii="GHEA Grapalat" w:hAnsi="GHEA Grapalat" w:cs="GHEA Grapalat"/>
          <w:sz w:val="22"/>
          <w:szCs w:val="22"/>
        </w:rPr>
      </w:pPr>
      <w:r w:rsidRPr="001F63BA">
        <w:rPr>
          <w:rFonts w:ascii="GHEA Grapalat" w:hAnsi="GHEA Grapalat" w:cs="GHEA Grapalat"/>
          <w:i/>
          <w:sz w:val="22"/>
          <w:szCs w:val="22"/>
          <w:u w:val="single"/>
        </w:rPr>
        <w:t>Բարձրագույն դատական խորհրդին</w:t>
      </w:r>
      <w:r w:rsidRPr="001F63BA">
        <w:rPr>
          <w:rFonts w:ascii="GHEA Grapalat" w:hAnsi="GHEA Grapalat" w:cs="GHEA Grapalat"/>
          <w:sz w:val="22"/>
          <w:szCs w:val="22"/>
        </w:rPr>
        <w:t xml:space="preserve"> 2022 թվականին ՀՀ պետական բյուջեից տրամադրվել է 14.5 մլրդ դրամ՝ ապահովելով տարեկան ծրագրի 96.3% կատարողական: Միջոցներն ուղղվել են Դատական իշխանության գործունեության ապահովման և իրականացման ծրագրին</w:t>
      </w:r>
      <w:r w:rsidRPr="001F63BA">
        <w:rPr>
          <w:rFonts w:ascii="GHEA Grapalat" w:hAnsi="GHEA Grapalat" w:cs="GHEA Grapalat"/>
          <w:sz w:val="22"/>
          <w:szCs w:val="22"/>
          <w:lang w:val="en-US"/>
        </w:rPr>
        <w:t xml:space="preserve">, որի շրջանակներում իրականացվել են 22 միջոցառումներ, որոնց գծով </w:t>
      </w:r>
      <w:r w:rsidRPr="001F63BA">
        <w:rPr>
          <w:rFonts w:ascii="GHEA Grapalat" w:hAnsi="GHEA Grapalat" w:cs="GHEA Grapalat"/>
          <w:sz w:val="22"/>
          <w:szCs w:val="22"/>
        </w:rPr>
        <w:t>շեղումները հիմնականում պայմանավորված են թափուր հաստիքների առկայությամբ, ինչպես նաև շարունակական ծախսերի խնայողությամբ: 202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թվականի համեմատ Բարձրագույն դատական խորհրդի ծախսերն աճել են 17%-ով կամ 2.1 մլրդ դրամով՝ հիմնականում պայմանավորված ԲԴԽ ծառայողների ստաժի բնականոն աճով և ծառայությունների</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գծով ծախսերի աճով, 2022 թվականի ընթացքում դատավորների հաստիքների ավելացմամբ, ինչպես նաև ԲԴԽ տեխնիկական հագեցվածության բարելավման ծախսերի 3.2 անգամ աճով:</w:t>
      </w:r>
    </w:p>
    <w:p w:rsidR="001C411D" w:rsidRPr="001F63BA" w:rsidRDefault="001C411D" w:rsidP="008E438A">
      <w:pPr>
        <w:spacing w:line="360" w:lineRule="auto"/>
        <w:ind w:firstLine="561"/>
        <w:jc w:val="both"/>
        <w:rPr>
          <w:rFonts w:ascii="GHEA Grapalat" w:hAnsi="GHEA Grapalat" w:cs="GHEA Grapalat"/>
          <w:sz w:val="22"/>
          <w:szCs w:val="22"/>
        </w:rPr>
      </w:pPr>
    </w:p>
    <w:p w:rsidR="001C411D" w:rsidRPr="001F63BA" w:rsidRDefault="001C411D" w:rsidP="007C7CC1">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Sylfaen"/>
          <w:i/>
          <w:sz w:val="22"/>
          <w:szCs w:val="22"/>
          <w:u w:val="single"/>
        </w:rPr>
        <w:t>ՀՀ դատախազությանը</w:t>
      </w:r>
      <w:r w:rsidRPr="001F63BA">
        <w:rPr>
          <w:rFonts w:ascii="GHEA Grapalat" w:hAnsi="GHEA Grapalat" w:cs="Sylfaen"/>
          <w:sz w:val="22"/>
          <w:szCs w:val="22"/>
        </w:rPr>
        <w:t xml:space="preserve"> </w:t>
      </w:r>
      <w:r w:rsidRPr="001F63BA">
        <w:rPr>
          <w:rFonts w:ascii="GHEA Grapalat" w:hAnsi="GHEA Grapalat" w:cs="GHEA Grapalat"/>
          <w:sz w:val="22"/>
          <w:szCs w:val="22"/>
        </w:rPr>
        <w:t>2022 թվականին տրամադրվել է 7.3 մլրդ դրամ՝ ապահովելով ծրագրված ցուցանիշի 99.5%-ը: Հատկացումների հաշվին իրականացվել են 3 ծրագրեր</w:t>
      </w:r>
      <w:r w:rsidRPr="001F63BA">
        <w:rPr>
          <w:rFonts w:ascii="GHEA Grapalat" w:hAnsi="GHEA Grapalat" w:cs="GHEA Grapalat"/>
          <w:i/>
          <w:sz w:val="22"/>
          <w:szCs w:val="22"/>
        </w:rPr>
        <w:t>:</w:t>
      </w:r>
      <w:r w:rsidRPr="001F63BA">
        <w:rPr>
          <w:rFonts w:ascii="GHEA Grapalat" w:hAnsi="GHEA Grapalat" w:cs="GHEA Grapalat"/>
          <w:sz w:val="22"/>
          <w:szCs w:val="22"/>
        </w:rPr>
        <w:t xml:space="preserve"> Միջոցների գերակշիռ մասը՝ 6.5 մլրդ դրամը, տրամադրվել է Դատական ղեկավարման և դատախազական հսկողության ծրագրին, որը կատարվել է 99.4%-ով: Նախորդ տարվա համեմատ ՀՀ դատախազության ծախսերն աճել են 18.4%</w:t>
      </w:r>
      <w:r w:rsidRPr="001F63BA">
        <w:rPr>
          <w:rFonts w:ascii="GHEA Grapalat" w:hAnsi="GHEA Grapalat" w:cs="GHEA Grapalat"/>
          <w:sz w:val="22"/>
          <w:szCs w:val="22"/>
        </w:rPr>
        <w:noBreakHyphen/>
        <w:t xml:space="preserve">ով կամ 1.1 մլրդ դրամով՝ հիմնականում պայմանավորված </w:t>
      </w:r>
      <w:r w:rsidRPr="001F63BA">
        <w:rPr>
          <w:rFonts w:ascii="GHEA Grapalat" w:hAnsi="GHEA Grapalat" w:cs="GHEA Grapalat"/>
          <w:sz w:val="22"/>
          <w:szCs w:val="22"/>
          <w:lang w:val="en-US"/>
        </w:rPr>
        <w:t>ք</w:t>
      </w:r>
      <w:r w:rsidRPr="001F63BA">
        <w:rPr>
          <w:rFonts w:ascii="GHEA Grapalat" w:hAnsi="GHEA Grapalat" w:cs="GHEA Grapalat"/>
          <w:sz w:val="22"/>
          <w:szCs w:val="22"/>
        </w:rPr>
        <w:t xml:space="preserve">րեական հետապնդման, դատավարական ղեկավարման և դատախազական հսկողության ծառայությունների տրամադրման ծախսերի 13.1% (740.1 մլն դրամ) և </w:t>
      </w:r>
      <w:r w:rsidRPr="001F63BA">
        <w:rPr>
          <w:rFonts w:ascii="GHEA Grapalat" w:hAnsi="GHEA Grapalat" w:cs="GHEA Grapalat"/>
          <w:sz w:val="22"/>
          <w:szCs w:val="22"/>
          <w:lang w:val="en-US"/>
        </w:rPr>
        <w:t>փ</w:t>
      </w:r>
      <w:r w:rsidRPr="001F63BA">
        <w:rPr>
          <w:rFonts w:ascii="GHEA Grapalat" w:hAnsi="GHEA Grapalat" w:cs="GHEA Grapalat"/>
          <w:sz w:val="22"/>
          <w:szCs w:val="22"/>
        </w:rPr>
        <w:t>որձաքննության ծառայությունների տրամադրման ծախսերի՝ 98% (364.1 մլն դրամ) աճով</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Նշված առաջին միջոցառման գծով ծախսերի աճը</w:t>
      </w:r>
      <w:r w:rsidRPr="001F63BA">
        <w:rPr>
          <w:rFonts w:ascii="GHEA Grapalat" w:hAnsi="GHEA Grapalat" w:cs="GHEA Grapalat"/>
          <w:sz w:val="22"/>
          <w:szCs w:val="22"/>
        </w:rPr>
        <w:t xml:space="preserve"> պայմանավորված է դատաիրավական համակարգի բարեփոխումների, հանցավորության դեմ պայքարի աշխատանքների ուժեղացման ու արդյունավետության բարձրացման անհրաժեշտությամբ, որ</w:t>
      </w:r>
      <w:r w:rsidRPr="001F63BA">
        <w:rPr>
          <w:rFonts w:ascii="GHEA Grapalat" w:hAnsi="GHEA Grapalat" w:cs="GHEA Grapalat"/>
          <w:sz w:val="22"/>
          <w:szCs w:val="22"/>
          <w:lang w:val="en-US"/>
        </w:rPr>
        <w:t>ի հետ կապված, մասնավորապես, ավելացել է դատախազության հաստիքների թիվը: Փորձաքննության ծառայությունների գծով ծախսերի աճը պայմանավորված է կատարված փորձաքննությունների թվի և դրանց արժեքի աճով: 2022 թվականին իրականացվել է 14404 փորձաքննություն՝ 2021 թվականի 10105-ի դիմաց:</w:t>
      </w:r>
    </w:p>
    <w:p w:rsidR="001C411D" w:rsidRPr="001F63BA" w:rsidRDefault="001C411D" w:rsidP="00370F26">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lang w:val="en-US"/>
        </w:rPr>
      </w:pPr>
      <w:bookmarkStart w:id="234" w:name="_Toc417292113"/>
      <w:bookmarkStart w:id="235" w:name="_Toc448908392"/>
      <w:bookmarkStart w:id="236" w:name="_Toc448912569"/>
      <w:bookmarkStart w:id="237" w:name="_Toc448913298"/>
      <w:r w:rsidRPr="001F63BA">
        <w:rPr>
          <w:rFonts w:ascii="GHEA Grapalat" w:hAnsi="GHEA Grapalat" w:cs="GHEA Grapalat"/>
          <w:i/>
          <w:sz w:val="22"/>
          <w:szCs w:val="22"/>
          <w:u w:val="single"/>
        </w:rPr>
        <w:t>ՀՀ տարածքային կառավարման և ենթակառուցվածքների նախարարության</w:t>
      </w:r>
      <w:r w:rsidRPr="001F63BA">
        <w:rPr>
          <w:rFonts w:ascii="GHEA Grapalat" w:hAnsi="GHEA Grapalat" w:cs="GHEA Grapalat"/>
          <w:sz w:val="22"/>
          <w:szCs w:val="22"/>
        </w:rPr>
        <w:t xml:space="preserve"> պատասխանա</w:t>
      </w:r>
      <w:r w:rsidRPr="001F63BA">
        <w:rPr>
          <w:rFonts w:ascii="GHEA Grapalat" w:hAnsi="GHEA Grapalat" w:cs="GHEA Grapalat"/>
          <w:sz w:val="22"/>
          <w:szCs w:val="22"/>
          <w:lang w:val="en-US"/>
        </w:rPr>
        <w:t>-</w:t>
      </w:r>
      <w:r w:rsidRPr="001F63BA">
        <w:rPr>
          <w:rFonts w:ascii="GHEA Grapalat" w:hAnsi="GHEA Grapalat" w:cs="GHEA Grapalat"/>
          <w:sz w:val="22"/>
          <w:szCs w:val="22"/>
        </w:rPr>
        <w:t>տվությամբ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ընթացքում կատարվել է պետական բյուջեի 2</w:t>
      </w:r>
      <w:r w:rsidRPr="001F63BA">
        <w:rPr>
          <w:rFonts w:ascii="GHEA Grapalat" w:hAnsi="GHEA Grapalat" w:cs="GHEA Grapalat"/>
          <w:sz w:val="22"/>
          <w:szCs w:val="22"/>
          <w:lang w:val="en-US"/>
        </w:rPr>
        <w:t>4</w:t>
      </w:r>
      <w:r w:rsidRPr="001F63BA">
        <w:rPr>
          <w:rFonts w:ascii="GHEA Grapalat" w:hAnsi="GHEA Grapalat" w:cs="GHEA Grapalat"/>
          <w:sz w:val="22"/>
          <w:szCs w:val="22"/>
        </w:rPr>
        <w:t xml:space="preserve"> ծրագիր, որոնց գծով ծախսերը կազմել են </w:t>
      </w:r>
      <w:r w:rsidRPr="001F63BA">
        <w:rPr>
          <w:rFonts w:ascii="GHEA Grapalat" w:hAnsi="GHEA Grapalat" w:cs="GHEA Grapalat"/>
          <w:sz w:val="22"/>
          <w:szCs w:val="22"/>
          <w:lang w:val="en-US"/>
        </w:rPr>
        <w:t>223.3</w:t>
      </w:r>
      <w:r w:rsidRPr="001F63BA">
        <w:rPr>
          <w:rFonts w:ascii="GHEA Grapalat" w:hAnsi="GHEA Grapalat" w:cs="GHEA Grapalat"/>
          <w:sz w:val="22"/>
          <w:szCs w:val="22"/>
        </w:rPr>
        <w:t xml:space="preserve"> մլրդ դրամ կամ ծրագրված ցուցանիշի </w:t>
      </w:r>
      <w:r w:rsidRPr="001F63BA">
        <w:rPr>
          <w:rFonts w:ascii="GHEA Grapalat" w:hAnsi="GHEA Grapalat" w:cs="GHEA Grapalat"/>
          <w:sz w:val="22"/>
          <w:szCs w:val="22"/>
          <w:lang w:val="en-US"/>
        </w:rPr>
        <w:t>94.9</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ը: Ծրագրից շեղումը </w:t>
      </w:r>
      <w:bookmarkStart w:id="238" w:name="_Hlk128493516"/>
      <w:r w:rsidRPr="001F63BA">
        <w:rPr>
          <w:rFonts w:ascii="GHEA Grapalat" w:hAnsi="GHEA Grapalat" w:cs="GHEA Grapalat"/>
          <w:sz w:val="22"/>
          <w:szCs w:val="22"/>
        </w:rPr>
        <w:lastRenderedPageBreak/>
        <w:t>հիմնականում</w:t>
      </w:r>
      <w:bookmarkEnd w:id="238"/>
      <w:r w:rsidRPr="001F63BA">
        <w:rPr>
          <w:rFonts w:ascii="GHEA Grapalat" w:hAnsi="GHEA Grapalat" w:cs="GHEA Grapalat"/>
          <w:sz w:val="22"/>
          <w:szCs w:val="22"/>
        </w:rPr>
        <w:t xml:space="preserve"> պայմանավորված է </w:t>
      </w:r>
      <w:bookmarkStart w:id="239" w:name="_Hlk128493587"/>
      <w:r w:rsidRPr="001F63BA">
        <w:rPr>
          <w:rFonts w:ascii="GHEA Grapalat" w:hAnsi="GHEA Grapalat" w:cs="GHEA Grapalat"/>
          <w:sz w:val="22"/>
          <w:szCs w:val="22"/>
        </w:rPr>
        <w:t>Ճանապարհային ցանցի բարելավման</w:t>
      </w:r>
      <w:bookmarkEnd w:id="239"/>
      <w:r w:rsidRPr="001F63BA">
        <w:rPr>
          <w:rFonts w:ascii="GHEA Grapalat" w:hAnsi="GHEA Grapalat" w:cs="GHEA Grapalat"/>
          <w:sz w:val="22"/>
          <w:szCs w:val="22"/>
        </w:rPr>
        <w:t xml:space="preserve">, Քաղաքային զարգացման </w:t>
      </w:r>
      <w:r w:rsidRPr="001F63BA">
        <w:rPr>
          <w:rFonts w:ascii="GHEA Grapalat" w:hAnsi="GHEA Grapalat" w:cs="GHEA Grapalat"/>
          <w:sz w:val="22"/>
          <w:szCs w:val="22"/>
          <w:lang w:val="en-US"/>
        </w:rPr>
        <w:t>և</w:t>
      </w:r>
      <w:r w:rsidRPr="001F63BA">
        <w:rPr>
          <w:rFonts w:ascii="GHEA Grapalat" w:hAnsi="GHEA Grapalat" w:cs="GHEA Grapalat"/>
          <w:sz w:val="22"/>
          <w:szCs w:val="22"/>
        </w:rPr>
        <w:t xml:space="preserve"> Ոռոգման համակարգի առողջացման ծրագրերի կատարողականով</w:t>
      </w:r>
      <w:r w:rsidRPr="001F63BA">
        <w:rPr>
          <w:rFonts w:ascii="GHEA Grapalat" w:hAnsi="GHEA Grapalat" w:cs="GHEA Grapalat"/>
          <w:sz w:val="22"/>
          <w:szCs w:val="22"/>
          <w:lang w:val="en-US"/>
        </w:rPr>
        <w:t>, իսկ</w:t>
      </w:r>
      <w:r w:rsidRPr="001F63BA">
        <w:rPr>
          <w:rFonts w:ascii="GHEA Grapalat" w:hAnsi="GHEA Grapalat" w:cs="GHEA Grapalat"/>
          <w:sz w:val="22"/>
          <w:szCs w:val="22"/>
        </w:rPr>
        <w:t xml:space="preserve"> նախորդ տարվա համեմատ ծախսերի աճը հիմնականում</w:t>
      </w:r>
      <w:r w:rsidRPr="001F63BA">
        <w:rPr>
          <w:rFonts w:ascii="GHEA Grapalat" w:hAnsi="GHEA Grapalat" w:cs="GHEA Grapalat"/>
          <w:sz w:val="22"/>
          <w:szCs w:val="22"/>
          <w:lang w:val="en-US"/>
        </w:rPr>
        <w:t xml:space="preserve"> պայմանավորված է </w:t>
      </w:r>
      <w:r w:rsidRPr="001F63BA">
        <w:rPr>
          <w:rFonts w:ascii="GHEA Grapalat" w:hAnsi="GHEA Grapalat" w:cs="GHEA Grapalat"/>
          <w:sz w:val="22"/>
          <w:szCs w:val="22"/>
        </w:rPr>
        <w:t>Ճանապարհային ցանցի բարելավման</w:t>
      </w:r>
      <w:r w:rsidRPr="001F63BA">
        <w:rPr>
          <w:rFonts w:ascii="GHEA Grapalat" w:hAnsi="GHEA Grapalat" w:cs="GHEA Grapalat"/>
          <w:sz w:val="22"/>
          <w:szCs w:val="22"/>
          <w:lang w:val="en-US"/>
        </w:rPr>
        <w:t xml:space="preserve"> ծրագրի շրջանակներում կատարված ծախսերի աճով: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BB1B4B">
      <w:pPr>
        <w:keepNext/>
        <w:numPr>
          <w:ilvl w:val="0"/>
          <w:numId w:val="34"/>
        </w:numPr>
        <w:tabs>
          <w:tab w:val="left" w:pos="-90"/>
          <w:tab w:val="left" w:pos="990"/>
        </w:tabs>
        <w:spacing w:before="120" w:after="120"/>
        <w:ind w:left="-90" w:firstLine="0"/>
        <w:rPr>
          <w:rFonts w:ascii="GHEA Grapalat" w:hAnsi="GHEA Grapalat"/>
          <w:b/>
          <w:bCs/>
          <w:i/>
          <w:noProof w:val="0"/>
          <w:sz w:val="18"/>
          <w:szCs w:val="18"/>
        </w:rPr>
      </w:pPr>
      <w:r w:rsidRPr="001F63BA">
        <w:rPr>
          <w:rFonts w:ascii="GHEA Grapalat" w:hAnsi="GHEA Grapalat"/>
          <w:b/>
          <w:bCs/>
          <w:i/>
          <w:noProof w:val="0"/>
          <w:sz w:val="18"/>
          <w:szCs w:val="18"/>
        </w:rPr>
        <w:t>202</w:t>
      </w:r>
      <w:r w:rsidRPr="001F63BA">
        <w:rPr>
          <w:rFonts w:ascii="GHEA Grapalat" w:hAnsi="GHEA Grapalat"/>
          <w:b/>
          <w:bCs/>
          <w:i/>
          <w:noProof w:val="0"/>
          <w:sz w:val="18"/>
          <w:szCs w:val="18"/>
          <w:lang w:val="en-US"/>
        </w:rPr>
        <w:t>2</w:t>
      </w:r>
      <w:r w:rsidRPr="001F63BA">
        <w:rPr>
          <w:rFonts w:ascii="GHEA Grapalat" w:hAnsi="GHEA Grapalat"/>
          <w:b/>
          <w:bCs/>
          <w:i/>
          <w:noProof w:val="0"/>
          <w:sz w:val="18"/>
          <w:szCs w:val="18"/>
        </w:rPr>
        <w:t>թ. ՀՀ տարածքային կառավարման և ենթակառուցվածքների նախարարության կողմից իրականացված ծրագրերը (մլն դրամ)</w:t>
      </w:r>
    </w:p>
    <w:p w:rsidR="001C411D" w:rsidRPr="001F63BA" w:rsidRDefault="001C411D" w:rsidP="008E438A">
      <w:pPr>
        <w:autoSpaceDE w:val="0"/>
        <w:autoSpaceDN w:val="0"/>
        <w:adjustRightInd w:val="0"/>
        <w:ind w:firstLine="567"/>
        <w:jc w:val="both"/>
        <w:rPr>
          <w:rFonts w:ascii="GHEA Grapalat" w:hAnsi="GHEA Grapalat" w:cs="GHEA Grapalat"/>
          <w:b/>
          <w:bCs/>
          <w:iCs/>
          <w:sz w:val="18"/>
          <w:szCs w:val="18"/>
        </w:rPr>
      </w:pPr>
    </w:p>
    <w:tbl>
      <w:tblPr>
        <w:tblW w:w="10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7"/>
        <w:gridCol w:w="1038"/>
        <w:gridCol w:w="1066"/>
        <w:gridCol w:w="1070"/>
        <w:gridCol w:w="1203"/>
        <w:gridCol w:w="1203"/>
        <w:gridCol w:w="1250"/>
      </w:tblGrid>
      <w:tr w:rsidR="001C411D" w:rsidRPr="001F63BA" w:rsidTr="00620BCF">
        <w:trPr>
          <w:trHeight w:val="300"/>
          <w:jc w:val="center"/>
        </w:trPr>
        <w:tc>
          <w:tcPr>
            <w:tcW w:w="3437" w:type="dxa"/>
            <w:noWrap/>
            <w:vAlign w:val="bottom"/>
          </w:tcPr>
          <w:p w:rsidR="001C411D" w:rsidRPr="001F63BA" w:rsidRDefault="001C411D" w:rsidP="00CB54A9">
            <w:pPr>
              <w:rPr>
                <w:rFonts w:ascii="GHEA Grapalat" w:hAnsi="GHEA Grapalat" w:cs="Calibri"/>
                <w:sz w:val="18"/>
                <w:szCs w:val="18"/>
              </w:rPr>
            </w:pPr>
          </w:p>
        </w:tc>
        <w:tc>
          <w:tcPr>
            <w:tcW w:w="1038"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1</w:t>
            </w:r>
            <w:r w:rsidRPr="001F63BA">
              <w:rPr>
                <w:rFonts w:ascii="GHEA Grapalat" w:hAnsi="GHEA Grapalat" w:cs="Calibri"/>
                <w:b/>
                <w:sz w:val="18"/>
                <w:szCs w:val="18"/>
              </w:rPr>
              <w:t>թ. փաստ</w:t>
            </w:r>
          </w:p>
        </w:tc>
        <w:tc>
          <w:tcPr>
            <w:tcW w:w="1066"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1070" w:type="dxa"/>
            <w:noWrap/>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03"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 xml:space="preserve">Կատարո-ղականը ճշտված պլանի նկատմամբ (%) </w:t>
            </w:r>
          </w:p>
        </w:tc>
        <w:tc>
          <w:tcPr>
            <w:tcW w:w="1203" w:type="dxa"/>
          </w:tcPr>
          <w:p w:rsidR="001C411D" w:rsidRPr="001F63BA" w:rsidRDefault="001C411D" w:rsidP="00164B6C">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-ի</w:t>
            </w:r>
            <w:r w:rsidRPr="001F63BA">
              <w:rPr>
                <w:rFonts w:ascii="GHEA Grapalat" w:hAnsi="GHEA Grapalat" w:cs="Calibri"/>
                <w:b/>
                <w:bCs/>
                <w:sz w:val="18"/>
                <w:szCs w:val="18"/>
              </w:rPr>
              <w:t xml:space="preserve"> նկատմամբ</w:t>
            </w:r>
            <w:r w:rsidRPr="001F63BA">
              <w:rPr>
                <w:rFonts w:ascii="GHEA Grapalat" w:hAnsi="GHEA Grapalat" w:cs="Calibri"/>
                <w:b/>
                <w:bCs/>
                <w:sz w:val="18"/>
                <w:szCs w:val="18"/>
                <w:lang w:val="en-US"/>
              </w:rPr>
              <w:t xml:space="preserve"> (%)</w:t>
            </w:r>
          </w:p>
        </w:tc>
        <w:tc>
          <w:tcPr>
            <w:tcW w:w="1250" w:type="dxa"/>
          </w:tcPr>
          <w:p w:rsidR="001C411D" w:rsidRPr="001F63BA" w:rsidRDefault="001C411D" w:rsidP="00CB54A9">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և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տարբե-րությունը</w:t>
            </w:r>
          </w:p>
        </w:tc>
      </w:tr>
      <w:tr w:rsidR="001C411D" w:rsidRPr="001F63BA" w:rsidTr="00620BCF">
        <w:trPr>
          <w:trHeight w:val="331"/>
          <w:jc w:val="center"/>
        </w:trPr>
        <w:tc>
          <w:tcPr>
            <w:tcW w:w="3437" w:type="dxa"/>
            <w:vAlign w:val="bottom"/>
          </w:tcPr>
          <w:p w:rsidR="001C411D" w:rsidRPr="001F63BA" w:rsidRDefault="001C411D" w:rsidP="009C7AFD">
            <w:pPr>
              <w:rPr>
                <w:rFonts w:ascii="GHEA Grapalat" w:hAnsi="GHEA Grapalat" w:cs="Calibri"/>
                <w:b/>
                <w:sz w:val="18"/>
                <w:szCs w:val="18"/>
              </w:rPr>
            </w:pPr>
            <w:r w:rsidRPr="001F63BA">
              <w:rPr>
                <w:rFonts w:ascii="GHEA Grapalat" w:hAnsi="GHEA Grapalat" w:cs="Calibri"/>
                <w:b/>
                <w:sz w:val="18"/>
                <w:szCs w:val="18"/>
              </w:rPr>
              <w:t>ԸՆԴԱՄԵՆԸ</w:t>
            </w:r>
          </w:p>
        </w:tc>
        <w:tc>
          <w:tcPr>
            <w:tcW w:w="1038" w:type="dxa"/>
            <w:vAlign w:val="bottom"/>
          </w:tcPr>
          <w:p w:rsidR="001C411D" w:rsidRPr="001F63BA" w:rsidRDefault="001C411D" w:rsidP="009C7AFD">
            <w:pPr>
              <w:jc w:val="right"/>
              <w:rPr>
                <w:rFonts w:ascii="GHEA Grapalat" w:hAnsi="GHEA Grapalat" w:cs="Calibri"/>
                <w:b/>
                <w:sz w:val="18"/>
                <w:szCs w:val="18"/>
              </w:rPr>
            </w:pPr>
            <w:r w:rsidRPr="001F63BA">
              <w:rPr>
                <w:rFonts w:ascii="GHEA Grapalat" w:hAnsi="GHEA Grapalat" w:cs="Calibri"/>
                <w:b/>
                <w:sz w:val="18"/>
                <w:szCs w:val="18"/>
              </w:rPr>
              <w:t>20</w:t>
            </w:r>
            <w:r w:rsidRPr="001F63BA">
              <w:rPr>
                <w:rFonts w:ascii="GHEA Grapalat" w:hAnsi="GHEA Grapalat" w:cs="Calibri"/>
                <w:b/>
                <w:sz w:val="18"/>
                <w:szCs w:val="18"/>
                <w:lang w:val="en-US"/>
              </w:rPr>
              <w:t>1,373.0</w:t>
            </w:r>
          </w:p>
        </w:tc>
        <w:tc>
          <w:tcPr>
            <w:tcW w:w="1066" w:type="dxa"/>
            <w:vAlign w:val="bottom"/>
          </w:tcPr>
          <w:p w:rsidR="001C411D" w:rsidRPr="001F63BA" w:rsidRDefault="001C411D" w:rsidP="009C7AFD">
            <w:pPr>
              <w:jc w:val="right"/>
              <w:rPr>
                <w:rFonts w:ascii="GHEA Grapalat" w:hAnsi="GHEA Grapalat" w:cs="Calibri"/>
                <w:b/>
                <w:sz w:val="18"/>
                <w:szCs w:val="18"/>
                <w:lang w:val="en-US"/>
              </w:rPr>
            </w:pPr>
            <w:r w:rsidRPr="001F63BA">
              <w:rPr>
                <w:rFonts w:ascii="GHEA Grapalat" w:hAnsi="GHEA Grapalat" w:cs="Calibri"/>
                <w:b/>
                <w:sz w:val="18"/>
                <w:szCs w:val="18"/>
                <w:lang w:val="en-US"/>
              </w:rPr>
              <w:t>235,253.9</w:t>
            </w:r>
          </w:p>
        </w:tc>
        <w:tc>
          <w:tcPr>
            <w:tcW w:w="1070" w:type="dxa"/>
            <w:vAlign w:val="bottom"/>
          </w:tcPr>
          <w:p w:rsidR="001C411D" w:rsidRPr="001F63BA" w:rsidRDefault="001C411D" w:rsidP="009C7AFD">
            <w:pPr>
              <w:jc w:val="right"/>
              <w:rPr>
                <w:rFonts w:ascii="GHEA Grapalat" w:hAnsi="GHEA Grapalat" w:cs="Calibri"/>
                <w:b/>
                <w:sz w:val="18"/>
                <w:szCs w:val="18"/>
                <w:lang w:val="en-US"/>
              </w:rPr>
            </w:pPr>
            <w:r w:rsidRPr="001F63BA">
              <w:rPr>
                <w:rFonts w:ascii="GHEA Grapalat" w:hAnsi="GHEA Grapalat" w:cs="Calibri"/>
                <w:b/>
                <w:sz w:val="18"/>
                <w:szCs w:val="18"/>
                <w:lang w:val="en-US"/>
              </w:rPr>
              <w:t>223,304.2</w:t>
            </w:r>
          </w:p>
        </w:tc>
        <w:tc>
          <w:tcPr>
            <w:tcW w:w="1203" w:type="dxa"/>
            <w:vAlign w:val="bottom"/>
          </w:tcPr>
          <w:p w:rsidR="001C411D" w:rsidRPr="001F63BA" w:rsidRDefault="001C411D" w:rsidP="009C7AFD">
            <w:pPr>
              <w:jc w:val="right"/>
              <w:rPr>
                <w:rFonts w:ascii="GHEA Grapalat" w:hAnsi="GHEA Grapalat" w:cs="Calibri"/>
                <w:b/>
                <w:sz w:val="18"/>
                <w:szCs w:val="18"/>
                <w:lang w:val="en-US"/>
              </w:rPr>
            </w:pPr>
            <w:r w:rsidRPr="001F63BA">
              <w:rPr>
                <w:rFonts w:ascii="GHEA Grapalat" w:hAnsi="GHEA Grapalat" w:cs="Calibri"/>
                <w:b/>
                <w:sz w:val="18"/>
                <w:szCs w:val="18"/>
                <w:lang w:val="en-US"/>
              </w:rPr>
              <w:t>94.9</w:t>
            </w:r>
          </w:p>
        </w:tc>
        <w:tc>
          <w:tcPr>
            <w:tcW w:w="1203" w:type="dxa"/>
            <w:vAlign w:val="bottom"/>
          </w:tcPr>
          <w:p w:rsidR="001C411D" w:rsidRPr="001F63BA" w:rsidRDefault="001C411D" w:rsidP="009C7AFD">
            <w:pPr>
              <w:jc w:val="right"/>
              <w:rPr>
                <w:rFonts w:ascii="GHEA Grapalat" w:hAnsi="GHEA Grapalat" w:cs="Calibri"/>
                <w:b/>
                <w:sz w:val="18"/>
                <w:szCs w:val="18"/>
                <w:lang w:val="en-US"/>
              </w:rPr>
            </w:pPr>
            <w:r w:rsidRPr="001F63BA">
              <w:rPr>
                <w:rFonts w:ascii="GHEA Grapalat" w:hAnsi="GHEA Grapalat" w:cs="Calibri"/>
                <w:b/>
                <w:sz w:val="18"/>
                <w:szCs w:val="18"/>
              </w:rPr>
              <w:t>11</w:t>
            </w:r>
            <w:r w:rsidRPr="001F63BA">
              <w:rPr>
                <w:rFonts w:ascii="GHEA Grapalat" w:hAnsi="GHEA Grapalat" w:cs="Calibri"/>
                <w:b/>
                <w:sz w:val="18"/>
                <w:szCs w:val="18"/>
                <w:lang w:val="en-US"/>
              </w:rPr>
              <w:t>0.9</w:t>
            </w:r>
          </w:p>
        </w:tc>
        <w:tc>
          <w:tcPr>
            <w:tcW w:w="1250" w:type="dxa"/>
            <w:vAlign w:val="bottom"/>
          </w:tcPr>
          <w:p w:rsidR="001C411D" w:rsidRPr="001F63BA" w:rsidRDefault="001C411D" w:rsidP="009C7AFD">
            <w:pPr>
              <w:jc w:val="right"/>
              <w:rPr>
                <w:rFonts w:ascii="GHEA Grapalat" w:hAnsi="GHEA Grapalat" w:cs="Calibri"/>
                <w:b/>
                <w:sz w:val="18"/>
                <w:szCs w:val="18"/>
                <w:lang w:val="en-US"/>
              </w:rPr>
            </w:pPr>
            <w:r w:rsidRPr="001F63BA">
              <w:rPr>
                <w:rFonts w:ascii="GHEA Grapalat" w:hAnsi="GHEA Grapalat" w:cs="Calibri"/>
                <w:b/>
                <w:sz w:val="18"/>
                <w:szCs w:val="18"/>
              </w:rPr>
              <w:t>2</w:t>
            </w:r>
            <w:r w:rsidRPr="001F63BA">
              <w:rPr>
                <w:rFonts w:ascii="GHEA Grapalat" w:hAnsi="GHEA Grapalat" w:cs="Calibri"/>
                <w:b/>
                <w:sz w:val="18"/>
                <w:szCs w:val="18"/>
                <w:lang w:val="en-US"/>
              </w:rPr>
              <w:t>1</w:t>
            </w:r>
            <w:r w:rsidRPr="001F63BA">
              <w:rPr>
                <w:rFonts w:ascii="GHEA Grapalat" w:hAnsi="GHEA Grapalat" w:cs="Calibri"/>
                <w:b/>
                <w:sz w:val="18"/>
                <w:szCs w:val="18"/>
              </w:rPr>
              <w:t>,</w:t>
            </w:r>
            <w:r w:rsidRPr="001F63BA">
              <w:rPr>
                <w:rFonts w:ascii="GHEA Grapalat" w:hAnsi="GHEA Grapalat" w:cs="Calibri"/>
                <w:b/>
                <w:sz w:val="18"/>
                <w:szCs w:val="18"/>
                <w:lang w:val="en-US"/>
              </w:rPr>
              <w:t>931.2</w:t>
            </w:r>
          </w:p>
        </w:tc>
      </w:tr>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r w:rsidRPr="001F63BA">
              <w:rPr>
                <w:rFonts w:ascii="GHEA Grapalat" w:hAnsi="GHEA Grapalat" w:cs="Calibri"/>
                <w:sz w:val="18"/>
                <w:szCs w:val="18"/>
              </w:rPr>
              <w:t>Ոռոգման համակարգի առողջացում</w:t>
            </w:r>
          </w:p>
        </w:tc>
        <w:tc>
          <w:tcPr>
            <w:tcW w:w="1038"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rPr>
              <w:t>19,823.3</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22,294.5</w:t>
            </w:r>
          </w:p>
        </w:tc>
        <w:tc>
          <w:tcPr>
            <w:tcW w:w="107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21,049.3</w:t>
            </w:r>
          </w:p>
        </w:tc>
        <w:tc>
          <w:tcPr>
            <w:tcW w:w="1203"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lang w:val="en-US"/>
              </w:rPr>
              <w:t>94</w:t>
            </w:r>
            <w:r w:rsidRPr="001F63BA">
              <w:rPr>
                <w:rFonts w:ascii="GHEA Grapalat" w:hAnsi="GHEA Grapalat" w:cs="Calibri"/>
                <w:sz w:val="18"/>
                <w:szCs w:val="18"/>
              </w:rPr>
              <w:t>.4</w:t>
            </w:r>
          </w:p>
        </w:tc>
        <w:tc>
          <w:tcPr>
            <w:tcW w:w="1203"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lang w:val="en-US"/>
              </w:rPr>
              <w:t>106.2</w:t>
            </w:r>
          </w:p>
        </w:tc>
        <w:tc>
          <w:tcPr>
            <w:tcW w:w="125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226.0</w:t>
            </w:r>
          </w:p>
        </w:tc>
      </w:tr>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r w:rsidRPr="001F63BA">
              <w:rPr>
                <w:rFonts w:ascii="GHEA Grapalat" w:hAnsi="GHEA Grapalat" w:cs="Calibri"/>
                <w:sz w:val="18"/>
                <w:szCs w:val="18"/>
              </w:rPr>
              <w:t>Ճանապարհային ցանցի բարելավում</w:t>
            </w:r>
          </w:p>
        </w:tc>
        <w:tc>
          <w:tcPr>
            <w:tcW w:w="1038"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rPr>
              <w:t>60,475.3</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90,403.3</w:t>
            </w:r>
          </w:p>
        </w:tc>
        <w:tc>
          <w:tcPr>
            <w:tcW w:w="107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83,122.7</w:t>
            </w:r>
          </w:p>
        </w:tc>
        <w:tc>
          <w:tcPr>
            <w:tcW w:w="1203"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rPr>
              <w:t>91.</w:t>
            </w:r>
            <w:r w:rsidRPr="001F63BA">
              <w:rPr>
                <w:rFonts w:ascii="GHEA Grapalat" w:hAnsi="GHEA Grapalat" w:cs="Calibri"/>
                <w:sz w:val="18"/>
                <w:szCs w:val="18"/>
                <w:lang w:val="en-US"/>
              </w:rPr>
              <w:t>9</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137.4</w:t>
            </w:r>
          </w:p>
        </w:tc>
        <w:tc>
          <w:tcPr>
            <w:tcW w:w="125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22,647.5</w:t>
            </w:r>
          </w:p>
        </w:tc>
      </w:tr>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r w:rsidRPr="001F63BA">
              <w:rPr>
                <w:rFonts w:ascii="GHEA Grapalat" w:hAnsi="GHEA Grapalat" w:cs="Calibri"/>
                <w:sz w:val="18"/>
                <w:szCs w:val="18"/>
              </w:rPr>
              <w:t>Ջրամատակարարման և ջրահեռացման բարելավում</w:t>
            </w:r>
          </w:p>
        </w:tc>
        <w:tc>
          <w:tcPr>
            <w:tcW w:w="1038"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rPr>
              <w:t xml:space="preserve">6,648.3 </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6,692.4</w:t>
            </w:r>
          </w:p>
        </w:tc>
        <w:tc>
          <w:tcPr>
            <w:tcW w:w="1070"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lang w:val="en-US"/>
              </w:rPr>
              <w:t>5,833.8</w:t>
            </w:r>
            <w:r w:rsidRPr="001F63BA">
              <w:rPr>
                <w:rFonts w:ascii="GHEA Grapalat" w:hAnsi="GHEA Grapalat" w:cs="Calibri"/>
                <w:sz w:val="18"/>
                <w:szCs w:val="18"/>
              </w:rPr>
              <w:t xml:space="preserve"> </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87.2</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87.7</w:t>
            </w:r>
          </w:p>
        </w:tc>
        <w:tc>
          <w:tcPr>
            <w:tcW w:w="125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(814.5)</w:t>
            </w:r>
          </w:p>
        </w:tc>
      </w:tr>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r w:rsidRPr="001F63BA">
              <w:rPr>
                <w:rFonts w:ascii="GHEA Grapalat" w:hAnsi="GHEA Grapalat" w:cs="Calibri"/>
                <w:sz w:val="18"/>
                <w:szCs w:val="18"/>
              </w:rPr>
              <w:t>Պետական գույքի կառավարում</w:t>
            </w:r>
          </w:p>
        </w:tc>
        <w:tc>
          <w:tcPr>
            <w:tcW w:w="1038"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(812.4)</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(8,683.4)</w:t>
            </w:r>
          </w:p>
        </w:tc>
        <w:tc>
          <w:tcPr>
            <w:tcW w:w="107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(7,356.7)</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84.7</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905.6</w:t>
            </w:r>
          </w:p>
        </w:tc>
        <w:tc>
          <w:tcPr>
            <w:tcW w:w="125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(6,544.3)</w:t>
            </w:r>
          </w:p>
        </w:tc>
      </w:tr>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bookmarkStart w:id="240" w:name="_Hlk96598161"/>
            <w:r w:rsidRPr="001F63BA">
              <w:rPr>
                <w:rFonts w:ascii="GHEA Grapalat" w:hAnsi="GHEA Grapalat" w:cs="Calibri"/>
                <w:sz w:val="18"/>
                <w:szCs w:val="18"/>
              </w:rPr>
              <w:t>Քաղաքային զարգացում</w:t>
            </w:r>
          </w:p>
        </w:tc>
        <w:tc>
          <w:tcPr>
            <w:tcW w:w="1038"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rPr>
              <w:t>19,748.9</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16,362.0</w:t>
            </w:r>
          </w:p>
        </w:tc>
        <w:tc>
          <w:tcPr>
            <w:tcW w:w="107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14,785.7</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90.4</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74.9</w:t>
            </w:r>
          </w:p>
        </w:tc>
        <w:tc>
          <w:tcPr>
            <w:tcW w:w="1250"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lang w:val="en-US"/>
              </w:rPr>
              <w:t>(4,963.3)</w:t>
            </w:r>
          </w:p>
        </w:tc>
      </w:tr>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r w:rsidRPr="001F63BA">
              <w:rPr>
                <w:rFonts w:ascii="GHEA Grapalat" w:hAnsi="GHEA Grapalat" w:cs="Calibri"/>
                <w:sz w:val="18"/>
                <w:szCs w:val="18"/>
              </w:rPr>
              <w:t>Դպրոցների սեյսմիկ անվտանգության մակարդակի բարձրացման ծրագիր</w:t>
            </w:r>
          </w:p>
        </w:tc>
        <w:tc>
          <w:tcPr>
            <w:tcW w:w="1038"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rPr>
              <w:t>5,646.5</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8,908.3</w:t>
            </w:r>
          </w:p>
        </w:tc>
        <w:tc>
          <w:tcPr>
            <w:tcW w:w="107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8,165.5</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91.7</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144.6</w:t>
            </w:r>
          </w:p>
        </w:tc>
        <w:tc>
          <w:tcPr>
            <w:tcW w:w="125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2,519.0</w:t>
            </w:r>
          </w:p>
        </w:tc>
      </w:tr>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r w:rsidRPr="001F63BA">
              <w:rPr>
                <w:rFonts w:ascii="GHEA Grapalat" w:hAnsi="GHEA Grapalat" w:cs="Calibri"/>
                <w:sz w:val="18"/>
                <w:szCs w:val="18"/>
              </w:rPr>
              <w:t>Տարածքային զարգացում</w:t>
            </w:r>
          </w:p>
        </w:tc>
        <w:tc>
          <w:tcPr>
            <w:tcW w:w="1038"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rPr>
              <w:t xml:space="preserve">81,224.5 </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87,219.0</w:t>
            </w:r>
          </w:p>
        </w:tc>
        <w:tc>
          <w:tcPr>
            <w:tcW w:w="1070"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lang w:val="en-US"/>
              </w:rPr>
              <w:t>86,456.2</w:t>
            </w:r>
            <w:r w:rsidRPr="001F63BA">
              <w:rPr>
                <w:rFonts w:ascii="GHEA Grapalat" w:hAnsi="GHEA Grapalat" w:cs="Calibri"/>
                <w:sz w:val="18"/>
                <w:szCs w:val="18"/>
              </w:rPr>
              <w:t xml:space="preserve"> </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99.1</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106.4</w:t>
            </w:r>
          </w:p>
        </w:tc>
        <w:tc>
          <w:tcPr>
            <w:tcW w:w="125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rPr>
              <w:t>5,</w:t>
            </w:r>
            <w:r w:rsidRPr="001F63BA">
              <w:rPr>
                <w:rFonts w:ascii="GHEA Grapalat" w:hAnsi="GHEA Grapalat" w:cs="Calibri"/>
                <w:sz w:val="18"/>
                <w:szCs w:val="18"/>
                <w:lang w:val="en-US"/>
              </w:rPr>
              <w:t>231.7</w:t>
            </w:r>
          </w:p>
        </w:tc>
      </w:tr>
      <w:bookmarkEnd w:id="240"/>
      <w:tr w:rsidR="001C411D" w:rsidRPr="001F63BA" w:rsidTr="00620BCF">
        <w:trPr>
          <w:trHeight w:val="300"/>
          <w:jc w:val="center"/>
        </w:trPr>
        <w:tc>
          <w:tcPr>
            <w:tcW w:w="3437" w:type="dxa"/>
            <w:vAlign w:val="bottom"/>
          </w:tcPr>
          <w:p w:rsidR="001C411D" w:rsidRPr="001F63BA" w:rsidRDefault="001C411D" w:rsidP="009C7AFD">
            <w:pPr>
              <w:rPr>
                <w:rFonts w:ascii="GHEA Grapalat" w:hAnsi="GHEA Grapalat" w:cs="Calibri"/>
                <w:sz w:val="18"/>
                <w:szCs w:val="18"/>
              </w:rPr>
            </w:pPr>
            <w:r w:rsidRPr="001F63BA">
              <w:rPr>
                <w:rFonts w:ascii="GHEA Grapalat" w:hAnsi="GHEA Grapalat" w:cs="Calibri"/>
                <w:sz w:val="18"/>
                <w:szCs w:val="18"/>
              </w:rPr>
              <w:t>Այլ ծրագրեր</w:t>
            </w:r>
          </w:p>
        </w:tc>
        <w:tc>
          <w:tcPr>
            <w:tcW w:w="1038"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8,618.6</w:t>
            </w:r>
          </w:p>
        </w:tc>
        <w:tc>
          <w:tcPr>
            <w:tcW w:w="1066"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12,057.8</w:t>
            </w:r>
          </w:p>
        </w:tc>
        <w:tc>
          <w:tcPr>
            <w:tcW w:w="1070" w:type="dxa"/>
            <w:vAlign w:val="bottom"/>
          </w:tcPr>
          <w:p w:rsidR="001C411D" w:rsidRPr="001F63BA" w:rsidRDefault="001C411D" w:rsidP="009C7AFD">
            <w:pPr>
              <w:jc w:val="right"/>
              <w:rPr>
                <w:rFonts w:ascii="GHEA Grapalat" w:hAnsi="GHEA Grapalat" w:cs="Calibri"/>
                <w:sz w:val="18"/>
                <w:szCs w:val="18"/>
              </w:rPr>
            </w:pPr>
            <w:r w:rsidRPr="001F63BA">
              <w:rPr>
                <w:rFonts w:ascii="GHEA Grapalat" w:hAnsi="GHEA Grapalat" w:cs="Calibri"/>
                <w:sz w:val="18"/>
                <w:szCs w:val="18"/>
                <w:lang w:val="en-US"/>
              </w:rPr>
              <w:t>11,247.7</w:t>
            </w:r>
            <w:r w:rsidRPr="001F63BA">
              <w:rPr>
                <w:rFonts w:ascii="GHEA Grapalat" w:hAnsi="GHEA Grapalat" w:cs="Calibri"/>
                <w:sz w:val="18"/>
                <w:szCs w:val="18"/>
              </w:rPr>
              <w:t xml:space="preserve"> </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93.3</w:t>
            </w:r>
          </w:p>
        </w:tc>
        <w:tc>
          <w:tcPr>
            <w:tcW w:w="1203"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130.5</w:t>
            </w:r>
          </w:p>
        </w:tc>
        <w:tc>
          <w:tcPr>
            <w:tcW w:w="1250" w:type="dxa"/>
            <w:vAlign w:val="bottom"/>
          </w:tcPr>
          <w:p w:rsidR="001C411D" w:rsidRPr="001F63BA" w:rsidRDefault="001C411D" w:rsidP="009C7AFD">
            <w:pPr>
              <w:jc w:val="right"/>
              <w:rPr>
                <w:rFonts w:ascii="GHEA Grapalat" w:hAnsi="GHEA Grapalat" w:cs="Calibri"/>
                <w:sz w:val="18"/>
                <w:szCs w:val="18"/>
                <w:lang w:val="en-US"/>
              </w:rPr>
            </w:pPr>
            <w:r w:rsidRPr="001F63BA">
              <w:rPr>
                <w:rFonts w:ascii="GHEA Grapalat" w:hAnsi="GHEA Grapalat" w:cs="Calibri"/>
                <w:sz w:val="18"/>
                <w:szCs w:val="18"/>
                <w:lang w:val="en-US"/>
              </w:rPr>
              <w:t>2,629.1</w:t>
            </w:r>
          </w:p>
        </w:tc>
      </w:tr>
    </w:tbl>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sz w:val="22"/>
          <w:szCs w:val="22"/>
        </w:rPr>
        <w:t>202</w:t>
      </w:r>
      <w:r w:rsidRPr="001F63BA">
        <w:rPr>
          <w:rFonts w:ascii="GHEA Grapalat" w:hAnsi="GHEA Grapalat"/>
          <w:sz w:val="22"/>
          <w:szCs w:val="22"/>
          <w:lang w:val="en-US"/>
        </w:rPr>
        <w:t>2</w:t>
      </w:r>
      <w:r w:rsidRPr="001F63BA">
        <w:rPr>
          <w:rFonts w:ascii="GHEA Grapalat" w:hAnsi="GHEA Grapalat"/>
          <w:sz w:val="22"/>
          <w:szCs w:val="22"/>
        </w:rPr>
        <w:t xml:space="preserve"> թվականին </w:t>
      </w:r>
      <w:r w:rsidRPr="001F63BA">
        <w:rPr>
          <w:rFonts w:ascii="GHEA Grapalat" w:hAnsi="GHEA Grapalat"/>
          <w:i/>
          <w:sz w:val="22"/>
          <w:szCs w:val="22"/>
        </w:rPr>
        <w:t>Ոռոգման համակարգի առողջացման</w:t>
      </w:r>
      <w:r w:rsidRPr="001F63BA">
        <w:rPr>
          <w:rFonts w:ascii="GHEA Grapalat" w:hAnsi="GHEA Grapalat"/>
          <w:sz w:val="22"/>
          <w:szCs w:val="22"/>
        </w:rPr>
        <w:t xml:space="preserve"> </w:t>
      </w:r>
      <w:r w:rsidRPr="001F63BA">
        <w:rPr>
          <w:rFonts w:ascii="GHEA Grapalat" w:hAnsi="GHEA Grapalat" w:cs="GHEA Grapalat"/>
          <w:sz w:val="22"/>
          <w:szCs w:val="22"/>
        </w:rPr>
        <w:t xml:space="preserve">ծրագրի շրջանակներում օգտագործվել է նախատեսված միջոցների </w:t>
      </w:r>
      <w:r w:rsidRPr="001F63BA">
        <w:rPr>
          <w:rFonts w:ascii="GHEA Grapalat" w:hAnsi="GHEA Grapalat" w:cs="GHEA Grapalat"/>
          <w:sz w:val="22"/>
          <w:szCs w:val="22"/>
          <w:lang w:val="en-US"/>
        </w:rPr>
        <w:t>94.4</w:t>
      </w:r>
      <w:r w:rsidRPr="001F63BA">
        <w:rPr>
          <w:rFonts w:ascii="GHEA Grapalat" w:hAnsi="GHEA Grapalat" w:cs="GHEA Grapalat"/>
          <w:sz w:val="22"/>
          <w:szCs w:val="22"/>
        </w:rPr>
        <w:t xml:space="preserve">%-ը՝ ավելի քան </w:t>
      </w:r>
      <w:r w:rsidRPr="001F63BA">
        <w:rPr>
          <w:rFonts w:ascii="GHEA Grapalat" w:hAnsi="GHEA Grapalat" w:cs="GHEA Grapalat"/>
          <w:sz w:val="22"/>
          <w:szCs w:val="22"/>
          <w:lang w:val="en-US"/>
        </w:rPr>
        <w:t>21</w:t>
      </w:r>
      <w:r w:rsidRPr="001F63BA">
        <w:rPr>
          <w:rFonts w:ascii="GHEA Grapalat" w:hAnsi="GHEA Grapalat" w:cs="GHEA Grapalat"/>
          <w:sz w:val="22"/>
          <w:szCs w:val="22"/>
        </w:rPr>
        <w:t xml:space="preserve"> մլրդ դրամ: Ծրագրի կատարողականը հիմնականում պայմանավորված է տվյալ բնագավառում արտաքին աջակցությամբ իրականացվող վարկային և դրամաշնորհային ծրագրերի կատարողականով: </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Մասնավորապես՝ </w:t>
      </w:r>
      <w:r w:rsidRPr="001F63BA">
        <w:rPr>
          <w:rFonts w:ascii="GHEA Grapalat" w:hAnsi="GHEA Grapalat" w:cs="GHEA Grapalat"/>
          <w:bCs/>
          <w:sz w:val="22"/>
          <w:szCs w:val="22"/>
        </w:rPr>
        <w:t>ավարտվել են</w:t>
      </w:r>
      <w:r w:rsidRPr="001F63BA">
        <w:rPr>
          <w:rFonts w:ascii="GHEA Grapalat" w:hAnsi="GHEA Grapalat" w:cs="GHEA Grapalat"/>
          <w:sz w:val="22"/>
          <w:szCs w:val="22"/>
        </w:rPr>
        <w:t xml:space="preserve"> Ֆրանսիայի Հանրապետության կառավարության աջակցությամբ իրականացվող Վեդու ջրամբարի կառուցման վարկային ծրագրի շրջանակներում Վեդի և Խոսրով գետերի վրա ջրընդունիչ հանգույցների ու ջրի փոխադրման համակարգի և </w:t>
      </w:r>
      <w:r w:rsidRPr="001F63BA">
        <w:rPr>
          <w:rFonts w:ascii="GHEA Grapalat" w:hAnsi="GHEA Grapalat" w:cs="GHEA Grapalat"/>
          <w:bCs/>
          <w:sz w:val="22"/>
          <w:szCs w:val="22"/>
        </w:rPr>
        <w:t>Վեդի ջրամբարի ոռոգման ջրանցքից սկսվող և ընդհանուր շուրջ 36.2 կմ երկարությամբ ոռոգման համակարգի և 10</w:t>
      </w:r>
      <w:r w:rsidRPr="001F63BA">
        <w:rPr>
          <w:rFonts w:ascii="GHEA Grapalat" w:hAnsi="GHEA Grapalat" w:cs="GHEA Grapalat"/>
          <w:bCs/>
          <w:sz w:val="22"/>
          <w:szCs w:val="22"/>
          <w:lang w:val="en-US"/>
        </w:rPr>
        <w:t>.</w:t>
      </w:r>
      <w:r w:rsidRPr="001F63BA">
        <w:rPr>
          <w:rFonts w:ascii="GHEA Grapalat" w:hAnsi="GHEA Grapalat" w:cs="GHEA Grapalat"/>
          <w:bCs/>
          <w:sz w:val="22"/>
          <w:szCs w:val="22"/>
        </w:rPr>
        <w:t>5 կմ երկարությամբ ջրի փոխադրման համակարգի կառուցման աշխատանքներ</w:t>
      </w:r>
      <w:r w:rsidRPr="001F63BA">
        <w:rPr>
          <w:rFonts w:ascii="GHEA Grapalat" w:hAnsi="GHEA Grapalat" w:cs="GHEA Grapalat"/>
          <w:bCs/>
          <w:sz w:val="22"/>
          <w:szCs w:val="22"/>
          <w:lang w:val="en-US"/>
        </w:rPr>
        <w:t>ը</w:t>
      </w:r>
      <w:r w:rsidRPr="001F63BA">
        <w:rPr>
          <w:rFonts w:ascii="GHEA Grapalat" w:hAnsi="GHEA Grapalat" w:cs="GHEA Grapalat"/>
          <w:bCs/>
          <w:sz w:val="22"/>
          <w:szCs w:val="22"/>
        </w:rPr>
        <w:t>։ 202</w:t>
      </w:r>
      <w:r w:rsidRPr="001F63BA">
        <w:rPr>
          <w:rFonts w:ascii="GHEA Grapalat" w:hAnsi="GHEA Grapalat" w:cs="GHEA Grapalat"/>
          <w:bCs/>
          <w:sz w:val="22"/>
          <w:szCs w:val="22"/>
          <w:lang w:val="en-US"/>
        </w:rPr>
        <w:t>2</w:t>
      </w:r>
      <w:r w:rsidRPr="001F63BA">
        <w:rPr>
          <w:rFonts w:ascii="GHEA Grapalat" w:hAnsi="GHEA Grapalat" w:cs="GHEA Grapalat"/>
          <w:bCs/>
          <w:sz w:val="22"/>
          <w:szCs w:val="22"/>
        </w:rPr>
        <w:t xml:space="preserve"> թվականին շարունակվել են Վեդու երկու պատվարների կառուցման աշխատանքները</w:t>
      </w:r>
      <w:r w:rsidRPr="001F63BA">
        <w:rPr>
          <w:rFonts w:ascii="GHEA Grapalat" w:hAnsi="GHEA Grapalat" w:cs="GHEA Grapalat"/>
          <w:bCs/>
          <w:sz w:val="22"/>
          <w:szCs w:val="22"/>
          <w:lang w:val="en-US"/>
        </w:rPr>
        <w:t>,</w:t>
      </w:r>
      <w:r w:rsidRPr="001F63BA">
        <w:rPr>
          <w:rFonts w:ascii="GHEA Grapalat" w:hAnsi="GHEA Grapalat" w:cs="GHEA Grapalat"/>
          <w:bCs/>
          <w:sz w:val="22"/>
          <w:szCs w:val="22"/>
        </w:rPr>
        <w:t xml:space="preserve"> և մեկնարկել են Վեդի ջրամբարի և Վեդի գետի իշխման տակ գտնվող փորձնական տարածքներում (շուրջ 1200 հա) ոռոգման ներտնտեսային ցանցի նախագծային փաստաթղթերի լրամշակման և նոր նախագծանախահաշվային փաստաթղթերի մշակման գործընթացները, իսկ ներտնտեսային ցանցի </w:t>
      </w:r>
      <w:r w:rsidRPr="001F63BA">
        <w:rPr>
          <w:rFonts w:ascii="GHEA Grapalat" w:hAnsi="GHEA Grapalat" w:cs="GHEA Grapalat"/>
          <w:bCs/>
          <w:sz w:val="22"/>
          <w:szCs w:val="22"/>
        </w:rPr>
        <w:lastRenderedPageBreak/>
        <w:t xml:space="preserve">վերակառուցման աշխատանքները կմեկնարկեն 2023 թվականին։ </w:t>
      </w:r>
      <w:r w:rsidRPr="001F63BA">
        <w:rPr>
          <w:rFonts w:ascii="GHEA Grapalat" w:hAnsi="GHEA Grapalat" w:cs="GHEA Grapalat"/>
          <w:sz w:val="22"/>
          <w:szCs w:val="22"/>
        </w:rPr>
        <w:t xml:space="preserve">Վարկային ծրագրի շրջանակներում կառուցվել է </w:t>
      </w:r>
      <w:r w:rsidRPr="001F63BA">
        <w:rPr>
          <w:rFonts w:ascii="GHEA Grapalat" w:hAnsi="GHEA Grapalat" w:cs="GHEA Grapalat"/>
          <w:sz w:val="22"/>
          <w:szCs w:val="22"/>
          <w:lang w:val="en-US"/>
        </w:rPr>
        <w:t>16</w:t>
      </w:r>
      <w:r w:rsidRPr="001F63BA">
        <w:rPr>
          <w:rFonts w:ascii="GHEA Grapalat" w:hAnsi="GHEA Grapalat" w:cs="GHEA Grapalat"/>
          <w:sz w:val="22"/>
          <w:szCs w:val="22"/>
        </w:rPr>
        <w:t xml:space="preserve"> մետր երկարությամբ պատվար: Ֆրանսիայի Հանրապետության կառավարության աջակցությամբ իրականացվող՝ Վեդու ջրամբարի կառուցման վարկային ծրագրի շրջանակներում օգտագործվել է հատկացված միջոցների </w:t>
      </w:r>
      <w:r w:rsidRPr="001F63BA">
        <w:rPr>
          <w:rFonts w:ascii="GHEA Grapalat" w:hAnsi="GHEA Grapalat" w:cs="GHEA Grapalat"/>
          <w:sz w:val="22"/>
          <w:szCs w:val="22"/>
          <w:lang w:val="en-US"/>
        </w:rPr>
        <w:t>84.9</w:t>
      </w:r>
      <w:r w:rsidRPr="001F63BA">
        <w:rPr>
          <w:rFonts w:ascii="GHEA Grapalat" w:hAnsi="GHEA Grapalat" w:cs="GHEA Grapalat"/>
          <w:sz w:val="22"/>
          <w:szCs w:val="22"/>
        </w:rPr>
        <w:t xml:space="preserve">%-ը՝ </w:t>
      </w:r>
      <w:r w:rsidRPr="001F63BA">
        <w:rPr>
          <w:rFonts w:ascii="GHEA Grapalat" w:hAnsi="GHEA Grapalat" w:cs="GHEA Grapalat"/>
          <w:sz w:val="22"/>
          <w:szCs w:val="22"/>
          <w:lang w:val="en-US"/>
        </w:rPr>
        <w:t>3.7</w:t>
      </w:r>
      <w:r w:rsidRPr="001F63BA">
        <w:rPr>
          <w:rFonts w:ascii="GHEA Grapalat" w:hAnsi="GHEA Grapalat" w:cs="GHEA Grapalat"/>
          <w:sz w:val="22"/>
          <w:szCs w:val="22"/>
        </w:rPr>
        <w:t xml:space="preserve"> մլրդ դրամ: Շեղումը պայմանավորված է </w:t>
      </w:r>
      <w:bookmarkStart w:id="241" w:name="_Hlk128496216"/>
      <w:r w:rsidRPr="001F63BA">
        <w:rPr>
          <w:rFonts w:ascii="GHEA Grapalat" w:hAnsi="GHEA Grapalat" w:cs="GHEA Grapalat"/>
          <w:sz w:val="22"/>
          <w:szCs w:val="22"/>
        </w:rPr>
        <w:t>արտարժույթի կանխատեսված ու փաստացի փոխարժեքների տարբերությամբ</w:t>
      </w:r>
      <w:bookmarkEnd w:id="241"/>
      <w:r w:rsidRPr="001F63BA">
        <w:rPr>
          <w:rFonts w:ascii="GHEA Grapalat" w:hAnsi="GHEA Grapalat" w:cs="GHEA Grapalat"/>
          <w:sz w:val="22"/>
          <w:szCs w:val="22"/>
        </w:rPr>
        <w:t xml:space="preserve">, իսկ ծրագրի խորհրդատվության և կառավարման ծախսերի մասով՝ </w:t>
      </w:r>
      <w:r w:rsidRPr="001F63BA">
        <w:rPr>
          <w:rFonts w:ascii="GHEA Grapalat" w:hAnsi="GHEA Grapalat" w:cs="GHEA Grapalat"/>
          <w:sz w:val="22"/>
          <w:szCs w:val="22"/>
          <w:lang w:val="en-US"/>
        </w:rPr>
        <w:t xml:space="preserve">նաև </w:t>
      </w:r>
      <w:r w:rsidRPr="001F63BA">
        <w:rPr>
          <w:rFonts w:ascii="GHEA Grapalat" w:hAnsi="GHEA Grapalat" w:cs="GHEA Grapalat"/>
          <w:sz w:val="22"/>
          <w:szCs w:val="22"/>
        </w:rPr>
        <w:t xml:space="preserve">խնայողություններով: Ֆրանսիայի Հանրապետության կառավարության աջակցությամբ իրականացվող՝ Վեդու ջրամբարի կառուցման դրամաշնորհային ծրագրի շրջանակներում </w:t>
      </w:r>
      <w:r w:rsidRPr="001F63BA">
        <w:rPr>
          <w:rFonts w:ascii="GHEA Grapalat" w:hAnsi="GHEA Grapalat" w:cs="GHEA Grapalat"/>
          <w:bCs/>
          <w:sz w:val="22"/>
          <w:szCs w:val="22"/>
        </w:rPr>
        <w:t xml:space="preserve">օգտագործվել է հատկացված միջոցների </w:t>
      </w:r>
      <w:r w:rsidRPr="001F63BA">
        <w:rPr>
          <w:rFonts w:ascii="GHEA Grapalat" w:hAnsi="GHEA Grapalat" w:cs="GHEA Grapalat"/>
          <w:bCs/>
          <w:sz w:val="22"/>
          <w:szCs w:val="22"/>
          <w:lang w:val="en-US"/>
        </w:rPr>
        <w:t>89</w:t>
      </w:r>
      <w:r w:rsidRPr="001F63BA">
        <w:rPr>
          <w:rFonts w:ascii="GHEA Grapalat" w:hAnsi="GHEA Grapalat" w:cs="GHEA Grapalat"/>
          <w:bCs/>
          <w:sz w:val="22"/>
          <w:szCs w:val="22"/>
        </w:rPr>
        <w:t xml:space="preserve">%-ը՝ </w:t>
      </w:r>
      <w:r w:rsidRPr="001F63BA">
        <w:rPr>
          <w:rFonts w:ascii="GHEA Grapalat" w:hAnsi="GHEA Grapalat" w:cs="GHEA Grapalat"/>
          <w:bCs/>
          <w:sz w:val="22"/>
          <w:szCs w:val="22"/>
          <w:lang w:val="en-US"/>
        </w:rPr>
        <w:t>118.8</w:t>
      </w:r>
      <w:r w:rsidRPr="001F63BA">
        <w:rPr>
          <w:rFonts w:ascii="GHEA Grapalat" w:hAnsi="GHEA Grapalat" w:cs="GHEA Grapalat"/>
          <w:bCs/>
          <w:sz w:val="22"/>
          <w:szCs w:val="22"/>
        </w:rPr>
        <w:t xml:space="preserve"> մլն դրամ, որը </w:t>
      </w:r>
      <w:r w:rsidRPr="001F63BA">
        <w:rPr>
          <w:rFonts w:ascii="GHEA Grapalat" w:hAnsi="GHEA Grapalat" w:cs="GHEA Grapalat"/>
          <w:sz w:val="22"/>
          <w:szCs w:val="22"/>
        </w:rPr>
        <w:t xml:space="preserve">նույնպես պայմանավորված է արտարժույթի կանխատեսված ու փաստացի փոխարժեքների տարբերությամբ: Ծրագրի շրջանակներում կատարվել </w:t>
      </w:r>
      <w:r w:rsidRPr="001F63BA">
        <w:rPr>
          <w:rFonts w:ascii="GHEA Grapalat" w:hAnsi="GHEA Grapalat" w:cs="GHEA Grapalat"/>
          <w:sz w:val="22"/>
          <w:szCs w:val="22"/>
          <w:lang w:val="en-US"/>
        </w:rPr>
        <w:t>են</w:t>
      </w:r>
      <w:r w:rsidRPr="001F63BA">
        <w:rPr>
          <w:rFonts w:ascii="GHEA Grapalat" w:hAnsi="GHEA Grapalat" w:cs="GHEA Grapalat"/>
          <w:sz w:val="22"/>
          <w:szCs w:val="22"/>
        </w:rPr>
        <w:t xml:space="preserve"> Վեդու ջրամբարի կառուցման տեխնիկատնտեսական հիմնավորման ուսումնասիրություններ</w:t>
      </w:r>
      <w:r w:rsidRPr="001F63BA">
        <w:rPr>
          <w:rFonts w:ascii="GHEA Grapalat" w:hAnsi="GHEA Grapalat" w:cs="GHEA Grapalat"/>
          <w:sz w:val="22"/>
          <w:szCs w:val="22"/>
          <w:lang w:val="en-US"/>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Եվրասիական զարգացման բանկի աջակցությամբ իրականացվող ոռոգման համակարգերի զարգացման ծրագրի նպատակն է՝ փոխարինել մեխանիկական ոռոգումը ինքնահոսով, վերականգնել մայր և երկրորդ կարգի ջրանցքների, ներտնտեսային ցանցի առավել քայքայված և վթարային հատվածները։ Ծրագրի շրջանակներում </w:t>
      </w:r>
      <w:r w:rsidRPr="001F63BA">
        <w:rPr>
          <w:rFonts w:ascii="GHEA Grapalat" w:hAnsi="GHEA Grapalat" w:cs="GHEA Grapalat"/>
          <w:sz w:val="22"/>
          <w:szCs w:val="22"/>
          <w:lang w:val="af-ZA"/>
        </w:rPr>
        <w:t>20</w:t>
      </w:r>
      <w:r w:rsidRPr="001F63BA">
        <w:rPr>
          <w:rFonts w:ascii="GHEA Grapalat" w:hAnsi="GHEA Grapalat" w:cs="GHEA Grapalat"/>
          <w:sz w:val="22"/>
          <w:szCs w:val="22"/>
        </w:rPr>
        <w:t>2</w:t>
      </w:r>
      <w:r w:rsidRPr="001F63BA">
        <w:rPr>
          <w:rFonts w:ascii="GHEA Grapalat" w:hAnsi="GHEA Grapalat" w:cs="GHEA Grapalat"/>
          <w:sz w:val="22"/>
          <w:szCs w:val="22"/>
          <w:lang w:val="af-ZA"/>
        </w:rPr>
        <w:t xml:space="preserve">2 թվականին շարունակվել </w:t>
      </w:r>
      <w:r w:rsidRPr="001F63BA">
        <w:rPr>
          <w:rFonts w:ascii="GHEA Grapalat" w:hAnsi="GHEA Grapalat" w:cs="GHEA Grapalat"/>
          <w:sz w:val="22"/>
          <w:szCs w:val="22"/>
        </w:rPr>
        <w:t>և մեծ</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մասամբ ավարտվել</w:t>
      </w:r>
      <w:r w:rsidRPr="001F63BA">
        <w:rPr>
          <w:rFonts w:ascii="GHEA Grapalat" w:hAnsi="GHEA Grapalat" w:cs="GHEA Grapalat"/>
          <w:sz w:val="22"/>
          <w:szCs w:val="22"/>
          <w:lang w:val="af-ZA"/>
        </w:rPr>
        <w:t xml:space="preserve"> են երկրորդ կարգի ջրանցքների և</w:t>
      </w:r>
      <w:r w:rsidRPr="001F63BA">
        <w:rPr>
          <w:rFonts w:ascii="GHEA Grapalat" w:hAnsi="GHEA Grapalat" w:cs="GHEA Grapalat"/>
          <w:sz w:val="22"/>
          <w:szCs w:val="22"/>
        </w:rPr>
        <w:t xml:space="preserve"> ներտնտեսային ոռոգման ցանցերի </w:t>
      </w:r>
      <w:r w:rsidRPr="001F63BA">
        <w:rPr>
          <w:rFonts w:ascii="GHEA Grapalat" w:hAnsi="GHEA Grapalat" w:cs="GHEA Grapalat"/>
          <w:sz w:val="22"/>
          <w:szCs w:val="22"/>
          <w:lang w:val="af-ZA"/>
        </w:rPr>
        <w:t>վերականգնման շինարարական աշխատանքները</w:t>
      </w:r>
      <w:r w:rsidRPr="001F63BA">
        <w:rPr>
          <w:rFonts w:ascii="GHEA Grapalat" w:hAnsi="GHEA Grapalat" w:cs="GHEA Grapalat"/>
          <w:sz w:val="22"/>
          <w:szCs w:val="22"/>
        </w:rPr>
        <w:t xml:space="preserve">. հիմնանորոգվել են </w:t>
      </w:r>
      <w:r w:rsidRPr="001F63BA">
        <w:rPr>
          <w:rFonts w:ascii="GHEA Grapalat" w:hAnsi="GHEA Grapalat" w:cs="GHEA Grapalat"/>
          <w:sz w:val="22"/>
          <w:szCs w:val="22"/>
          <w:lang w:val="en-US"/>
        </w:rPr>
        <w:t>նախատեսված 73.4</w:t>
      </w:r>
      <w:r w:rsidRPr="001F63BA">
        <w:rPr>
          <w:rFonts w:ascii="GHEA Grapalat" w:hAnsi="GHEA Grapalat" w:cs="GHEA Grapalat"/>
          <w:sz w:val="22"/>
          <w:szCs w:val="22"/>
        </w:rPr>
        <w:t xml:space="preserve"> կմ երկարությամբ ոռոգման ցանցեր</w:t>
      </w:r>
      <w:r w:rsidRPr="001F63BA">
        <w:rPr>
          <w:rFonts w:ascii="GHEA Grapalat" w:hAnsi="GHEA Grapalat" w:cs="GHEA Grapalat"/>
          <w:sz w:val="22"/>
          <w:szCs w:val="22"/>
          <w:lang w:val="en-US"/>
        </w:rPr>
        <w:t>ը</w:t>
      </w:r>
      <w:r w:rsidRPr="001F63BA">
        <w:rPr>
          <w:rFonts w:ascii="GHEA Grapalat" w:hAnsi="GHEA Grapalat" w:cs="GHEA Grapalat"/>
          <w:sz w:val="22"/>
          <w:szCs w:val="22"/>
        </w:rPr>
        <w:t>: Ծրագրի շրջանակներում առկա խնայողությունների հաշվին լրացուցիչ շինարարական աշխատանքների կատարման համար անցկացվել են կապալառուների ընտրության մրցութային գործընթացները</w:t>
      </w:r>
      <w:r w:rsidRPr="001F63BA">
        <w:rPr>
          <w:rFonts w:ascii="GHEA Grapalat" w:hAnsi="GHEA Grapalat" w:cs="GHEA Grapalat"/>
          <w:sz w:val="22"/>
          <w:szCs w:val="22"/>
          <w:lang w:val="af-ZA"/>
        </w:rPr>
        <w:t>,</w:t>
      </w:r>
      <w:r w:rsidRPr="001F63BA">
        <w:rPr>
          <w:rFonts w:ascii="GHEA Grapalat" w:hAnsi="GHEA Grapalat" w:cs="GHEA Grapalat"/>
          <w:sz w:val="22"/>
          <w:szCs w:val="22"/>
        </w:rPr>
        <w:t xml:space="preserve"> և կնքված չորս պայմանագրերից երկուսի շրջանակներում 2022 թվականի նոյեմբեր-դեկտեմբեր ամիսներին մեկնարկել են նախատեսված շինարարական աշխատանքները</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Ծրագրի </w:t>
      </w:r>
      <w:r w:rsidRPr="001F63BA">
        <w:rPr>
          <w:rFonts w:ascii="GHEA Grapalat" w:hAnsi="GHEA Grapalat" w:cs="GHEA Grapalat"/>
          <w:sz w:val="22"/>
          <w:szCs w:val="22"/>
        </w:rPr>
        <w:t>շրջանակներում օգտագործվել է</w:t>
      </w:r>
      <w:r w:rsidRPr="001F63BA">
        <w:rPr>
          <w:rFonts w:ascii="GHEA Grapalat" w:hAnsi="GHEA Grapalat" w:cs="GHEA Grapalat"/>
          <w:sz w:val="22"/>
          <w:szCs w:val="22"/>
          <w:lang w:val="en-US"/>
        </w:rPr>
        <w:t xml:space="preserve"> նախատեսված միջոցների 91.5%-ը՝</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3.7</w:t>
      </w:r>
      <w:r w:rsidRPr="001F63BA">
        <w:rPr>
          <w:rFonts w:ascii="Courier New" w:hAnsi="Courier New" w:cs="Courier New"/>
          <w:sz w:val="22"/>
          <w:szCs w:val="22"/>
          <w:lang w:val="en-US"/>
        </w:rPr>
        <w:t> </w:t>
      </w:r>
      <w:r w:rsidRPr="001F63BA">
        <w:rPr>
          <w:rFonts w:ascii="GHEA Grapalat" w:hAnsi="GHEA Grapalat" w:cs="GHEA Grapalat"/>
          <w:sz w:val="22"/>
          <w:szCs w:val="22"/>
        </w:rPr>
        <w:t>մլրդ դրամ՝ հիմնականում պայմանավորված արտարժույթի կանխատեսված ու փաստացի փոխարժեքների տարբերությամբ։</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bCs/>
          <w:sz w:val="22"/>
          <w:szCs w:val="22"/>
        </w:rPr>
      </w:pPr>
      <w:r w:rsidRPr="001F63BA">
        <w:rPr>
          <w:rFonts w:ascii="GHEA Grapalat" w:hAnsi="GHEA Grapalat" w:cs="GHEA Grapalat"/>
          <w:bCs/>
          <w:sz w:val="22"/>
          <w:szCs w:val="22"/>
        </w:rPr>
        <w:t>Ոռոգում-ջրառ իրականացնող ՓԲԸ-ին նախատեսված աջակցության հիմնական նպատակն է կազմակերպության վնասների փոխհատուցման արդյունքում նրա տեխնիկական և ֆինանսական գործունակության ու ֆինանսական կայունացման ապահովումը, որի համար նախատեսված 1.</w:t>
      </w:r>
      <w:r w:rsidRPr="001F63BA">
        <w:rPr>
          <w:rFonts w:ascii="GHEA Grapalat" w:hAnsi="GHEA Grapalat" w:cs="GHEA Grapalat"/>
          <w:bCs/>
          <w:sz w:val="22"/>
          <w:szCs w:val="22"/>
          <w:lang w:val="en-US"/>
        </w:rPr>
        <w:t>1</w:t>
      </w:r>
      <w:r w:rsidRPr="001F63BA">
        <w:rPr>
          <w:rFonts w:ascii="GHEA Grapalat" w:hAnsi="GHEA Grapalat" w:cs="GHEA Grapalat"/>
          <w:bCs/>
          <w:sz w:val="22"/>
          <w:szCs w:val="22"/>
        </w:rPr>
        <w:t xml:space="preserve"> մլրդ դրամն օգտագործվել է ամբողջ ծավալով։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Ոռոգման ծառայություններ մատուցող ընկերություններին ֆինանսական աջակցության նպատակով նախատեսված </w:t>
      </w:r>
      <w:r w:rsidRPr="001F63BA">
        <w:rPr>
          <w:rFonts w:ascii="GHEA Grapalat" w:hAnsi="GHEA Grapalat" w:cs="GHEA Grapalat"/>
          <w:sz w:val="22"/>
          <w:szCs w:val="22"/>
          <w:lang w:val="en-US"/>
        </w:rPr>
        <w:t>9.4</w:t>
      </w:r>
      <w:r w:rsidRPr="001F63BA">
        <w:rPr>
          <w:rFonts w:ascii="GHEA Grapalat" w:hAnsi="GHEA Grapalat" w:cs="GHEA Grapalat"/>
          <w:sz w:val="22"/>
          <w:szCs w:val="22"/>
        </w:rPr>
        <w:t xml:space="preserve"> մլրդ դրամը նույնպես ամբողջությամբ օգտագործվել է: Միջոցներն ուղղվել են 15 ջրօգտագործողների ընկերություններին</w:t>
      </w:r>
      <w:r w:rsidRPr="001F63BA">
        <w:rPr>
          <w:rFonts w:ascii="GHEA Grapalat" w:hAnsi="GHEA Grapalat" w:cs="GHEA Grapalat"/>
          <w:sz w:val="22"/>
          <w:szCs w:val="22"/>
          <w:lang w:val="en-US"/>
        </w:rPr>
        <w:t xml:space="preserve"> (ՋՕԸ)</w:t>
      </w:r>
      <w:r w:rsidRPr="001F63BA">
        <w:rPr>
          <w:rFonts w:ascii="GHEA Grapalat" w:hAnsi="GHEA Grapalat" w:cs="GHEA Grapalat"/>
          <w:sz w:val="22"/>
          <w:szCs w:val="22"/>
        </w:rPr>
        <w:t xml:space="preserve">: Ոռոգման համակարգին պետական ֆինանսական աջակցության շրջանակների հստակեցումը և տրամադրման մեխանիզմների բարեփոխումն էլ ավելի է կարևորվում աղքատության հաղթահարման միջոցառումների </w:t>
      </w:r>
      <w:r w:rsidRPr="001F63BA">
        <w:rPr>
          <w:rFonts w:ascii="GHEA Grapalat" w:hAnsi="GHEA Grapalat" w:cs="GHEA Grapalat"/>
          <w:sz w:val="22"/>
          <w:szCs w:val="22"/>
        </w:rPr>
        <w:lastRenderedPageBreak/>
        <w:t xml:space="preserve">համատեքստում` հաշվի առնելով այն հանգամանքը, որ ոռոգման ջրի կանոնավոր հասանելիությունը զգալիորեն նվազեցնում է աղքատության ռիսկը գյուղական բնակավայրերում։ </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թվականի համեմատ Ոռոգման համակարգի առողջացման ծրագրի ծախսերն աճել են </w:t>
      </w:r>
      <w:r w:rsidRPr="001F63BA">
        <w:rPr>
          <w:rFonts w:ascii="GHEA Grapalat" w:hAnsi="GHEA Grapalat" w:cs="GHEA Grapalat"/>
          <w:sz w:val="22"/>
          <w:szCs w:val="22"/>
          <w:lang w:val="en-US"/>
        </w:rPr>
        <w:t>6.2</w:t>
      </w:r>
      <w:r w:rsidRPr="001F63BA">
        <w:rPr>
          <w:rFonts w:ascii="GHEA Grapalat" w:hAnsi="GHEA Grapalat" w:cs="GHEA Grapalat"/>
          <w:sz w:val="22"/>
          <w:szCs w:val="22"/>
        </w:rPr>
        <w:t>%-ով կամ 1.</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մլրդ </w:t>
      </w:r>
      <w:r w:rsidRPr="001F63BA">
        <w:rPr>
          <w:rFonts w:ascii="GHEA Grapalat" w:hAnsi="GHEA Grapalat" w:cs="Sylfaen"/>
          <w:sz w:val="22"/>
          <w:szCs w:val="22"/>
        </w:rPr>
        <w:t>դրամով</w:t>
      </w:r>
      <w:r w:rsidRPr="001F63BA">
        <w:rPr>
          <w:rFonts w:ascii="GHEA Grapalat" w:hAnsi="GHEA Grapalat" w:cs="GHEA Grapalat"/>
          <w:sz w:val="22"/>
          <w:szCs w:val="22"/>
        </w:rPr>
        <w:t>՝ հիմնականում պայմանավորված Ոռոգման ծառայություններ մատուցող ընկերություններին ֆինանսական աջակցության տրամադր</w:t>
      </w:r>
      <w:r w:rsidRPr="001F63BA">
        <w:rPr>
          <w:rFonts w:ascii="GHEA Grapalat" w:hAnsi="GHEA Grapalat" w:cs="GHEA Grapalat"/>
          <w:sz w:val="22"/>
          <w:szCs w:val="22"/>
          <w:lang w:val="en-US"/>
        </w:rPr>
        <w:t>ման</w:t>
      </w:r>
      <w:r w:rsidRPr="001F63BA">
        <w:rPr>
          <w:rFonts w:ascii="GHEA Grapalat" w:hAnsi="GHEA Grapalat" w:cs="GHEA Grapalat"/>
          <w:sz w:val="22"/>
          <w:szCs w:val="22"/>
        </w:rPr>
        <w:t xml:space="preserve"> գծով հատկացումների աճով: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Հաշվետու ժամանակահատվածում </w:t>
      </w:r>
      <w:r w:rsidRPr="001F63BA">
        <w:rPr>
          <w:rFonts w:ascii="GHEA Grapalat" w:hAnsi="GHEA Grapalat" w:cs="GHEA Grapalat"/>
          <w:i/>
          <w:sz w:val="22"/>
          <w:szCs w:val="22"/>
        </w:rPr>
        <w:t>Ճանապարհային ցանցի բարելավման</w:t>
      </w:r>
      <w:r w:rsidRPr="001F63BA">
        <w:rPr>
          <w:rFonts w:ascii="GHEA Grapalat" w:hAnsi="GHEA Grapalat" w:cs="GHEA Grapalat"/>
          <w:sz w:val="22"/>
          <w:szCs w:val="22"/>
        </w:rPr>
        <w:t xml:space="preserve"> ծրագրին ուղղվել է </w:t>
      </w:r>
      <w:r w:rsidRPr="001F63BA">
        <w:rPr>
          <w:rFonts w:ascii="GHEA Grapalat" w:hAnsi="GHEA Grapalat" w:cs="GHEA Grapalat"/>
          <w:sz w:val="22"/>
          <w:szCs w:val="22"/>
          <w:lang w:val="en-US"/>
        </w:rPr>
        <w:t>83.1</w:t>
      </w:r>
      <w:r w:rsidRPr="001F63BA">
        <w:rPr>
          <w:rFonts w:ascii="Courier New" w:hAnsi="Courier New" w:cs="Courier New"/>
          <w:sz w:val="22"/>
          <w:szCs w:val="22"/>
        </w:rPr>
        <w:t> </w:t>
      </w:r>
      <w:r w:rsidRPr="001F63BA">
        <w:rPr>
          <w:rFonts w:ascii="GHEA Grapalat" w:hAnsi="GHEA Grapalat" w:cs="GHEA Grapalat"/>
          <w:sz w:val="22"/>
          <w:szCs w:val="22"/>
        </w:rPr>
        <w:t>մլրդ դրամ՝ կազմելով ծրագրված ցուցանիշի 91.</w:t>
      </w:r>
      <w:r w:rsidRPr="001F63BA">
        <w:rPr>
          <w:rFonts w:ascii="GHEA Grapalat" w:hAnsi="GHEA Grapalat" w:cs="GHEA Grapalat"/>
          <w:sz w:val="22"/>
          <w:szCs w:val="22"/>
          <w:lang w:val="en-US"/>
        </w:rPr>
        <w:t>9</w:t>
      </w:r>
      <w:r w:rsidRPr="001F63BA">
        <w:rPr>
          <w:rFonts w:ascii="GHEA Grapalat" w:hAnsi="GHEA Grapalat" w:cs="GHEA Grapalat"/>
          <w:sz w:val="22"/>
          <w:szCs w:val="22"/>
        </w:rPr>
        <w:t>%-ը: Շեղումը հիմնականում պայմանավորված է պետական նշանակության ավտոճանապարհների հիմնանորոգ</w:t>
      </w:r>
      <w:bookmarkStart w:id="242" w:name="_Hlk70418829"/>
      <w:r w:rsidRPr="001F63BA">
        <w:rPr>
          <w:rFonts w:ascii="GHEA Grapalat" w:hAnsi="GHEA Grapalat" w:cs="GHEA Grapalat"/>
          <w:sz w:val="22"/>
          <w:szCs w:val="22"/>
        </w:rPr>
        <w:t xml:space="preserve">ման և արտաքին աջակցությամբ իրականացվող Հյուսիս-հարավ միջանցքի զարգացման ծրագրի կատարողականով: </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Պետական նշանակության ավտոճանապարհների հիմնանորոգման միջոցառման շրջանակներում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իրականացվել են առաջնահերթ վերականգնման կարիք ունեցող </w:t>
      </w:r>
      <w:r w:rsidRPr="001F63BA">
        <w:rPr>
          <w:rFonts w:ascii="GHEA Grapalat" w:hAnsi="GHEA Grapalat" w:cs="GHEA Grapalat"/>
          <w:sz w:val="22"/>
          <w:szCs w:val="22"/>
          <w:lang w:val="en-US"/>
        </w:rPr>
        <w:t>301.5</w:t>
      </w:r>
      <w:r w:rsidRPr="001F63BA">
        <w:rPr>
          <w:rFonts w:ascii="GHEA Grapalat" w:hAnsi="GHEA Grapalat" w:cs="GHEA Grapalat"/>
          <w:sz w:val="22"/>
          <w:szCs w:val="22"/>
        </w:rPr>
        <w:t xml:space="preserve"> կմ ընդհանուր երկարությամբ (այդ թվում՝ 2021 թվականին սկսված և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w:t>
      </w:r>
      <w:r w:rsidRPr="001F63BA">
        <w:rPr>
          <w:rFonts w:ascii="GHEA Grapalat" w:hAnsi="GHEA Grapalat" w:cs="GHEA Grapalat"/>
          <w:sz w:val="22"/>
          <w:szCs w:val="22"/>
        </w:rPr>
        <w:t xml:space="preserve"> տեղափոխված 54.4 կմ, ՀՀ Սյունիքի մարզի այլընտրանքային 49.9 կմ) ընդհանուր երկարությամբ պետական նշանակության ավտոճանապարհների հիմնանորոգման, վերակառուցման և կառուցման աշխատանքներ, որից 79 կմ՝ միջպետական, 132.2 կմ՝ հանրապետական, 90.3 կմ՝ տեղական նշանակության:</w:t>
      </w:r>
      <w:r w:rsidRPr="001F63BA">
        <w:rPr>
          <w:rFonts w:ascii="GHEA Grapalat" w:hAnsi="GHEA Grapalat" w:cs="GHEA Grapalat"/>
          <w:sz w:val="22"/>
          <w:szCs w:val="22"/>
          <w:lang w:val="en-US"/>
        </w:rPr>
        <w:t xml:space="preserve"> Հ</w:t>
      </w:r>
      <w:r w:rsidRPr="001F63BA">
        <w:rPr>
          <w:rFonts w:ascii="GHEA Grapalat" w:hAnsi="GHEA Grapalat" w:cs="GHEA Grapalat"/>
          <w:sz w:val="22"/>
          <w:szCs w:val="22"/>
        </w:rPr>
        <w:t>ետպատերազմյան իրավիճակով պայմանավորված՝ բնակչության անվտանգությունն ու կենսական կարիքներն ապահովելու նպատակով,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ՀՀ Սյունիքի մարզում իրականացվել են </w:t>
      </w:r>
      <w:r w:rsidRPr="001F63BA">
        <w:rPr>
          <w:rFonts w:ascii="GHEA Grapalat" w:hAnsi="GHEA Grapalat" w:cs="GHEA Grapalat"/>
          <w:sz w:val="22"/>
          <w:szCs w:val="22"/>
          <w:lang w:val="en-US"/>
        </w:rPr>
        <w:t xml:space="preserve">49.9 կմ երկարությամբ </w:t>
      </w:r>
      <w:r w:rsidRPr="001F63BA">
        <w:rPr>
          <w:rFonts w:ascii="GHEA Grapalat" w:hAnsi="GHEA Grapalat" w:cs="GHEA Grapalat"/>
          <w:sz w:val="22"/>
          <w:szCs w:val="22"/>
        </w:rPr>
        <w:t>այլընտրանքային ճանապարհների կառուցման և վերակառուցման համար անհրաժեշտ աշխատանքներ։</w:t>
      </w:r>
      <w:r w:rsidRPr="001F63BA">
        <w:rPr>
          <w:rFonts w:ascii="GHEA Grapalat" w:hAnsi="GHEA Grapalat" w:cs="GHEA Grapalat"/>
          <w:sz w:val="22"/>
          <w:szCs w:val="22"/>
          <w:lang w:val="en-US"/>
        </w:rPr>
        <w:t xml:space="preserve"> Ընդհանուր առմամբ մ</w:t>
      </w:r>
      <w:r w:rsidRPr="001F63BA">
        <w:rPr>
          <w:rFonts w:ascii="GHEA Grapalat" w:hAnsi="GHEA Grapalat" w:cs="GHEA Grapalat"/>
          <w:sz w:val="22"/>
          <w:szCs w:val="22"/>
        </w:rPr>
        <w:t xml:space="preserve">իջոցառման շրջանակներում օգտագործվել է նախատեսված միջոցների </w:t>
      </w:r>
      <w:r w:rsidRPr="001F63BA">
        <w:rPr>
          <w:rFonts w:ascii="GHEA Grapalat" w:hAnsi="GHEA Grapalat" w:cs="GHEA Grapalat"/>
          <w:sz w:val="22"/>
          <w:szCs w:val="22"/>
          <w:lang w:val="en-US"/>
        </w:rPr>
        <w:t>93.1</w:t>
      </w:r>
      <w:r w:rsidRPr="001F63BA">
        <w:rPr>
          <w:rFonts w:ascii="GHEA Grapalat" w:hAnsi="GHEA Grapalat" w:cs="GHEA Grapalat"/>
          <w:sz w:val="22"/>
          <w:szCs w:val="22"/>
        </w:rPr>
        <w:t xml:space="preserve">%-ը՝ </w:t>
      </w:r>
      <w:r w:rsidRPr="001F63BA">
        <w:rPr>
          <w:rFonts w:ascii="GHEA Grapalat" w:hAnsi="GHEA Grapalat" w:cs="GHEA Grapalat"/>
          <w:sz w:val="22"/>
          <w:szCs w:val="22"/>
          <w:lang w:val="en-US"/>
        </w:rPr>
        <w:t>47.8</w:t>
      </w:r>
      <w:r w:rsidRPr="001F63BA">
        <w:rPr>
          <w:rFonts w:ascii="GHEA Grapalat" w:hAnsi="GHEA Grapalat" w:cs="GHEA Grapalat"/>
          <w:sz w:val="22"/>
          <w:szCs w:val="22"/>
        </w:rPr>
        <w:t xml:space="preserve"> մլրդ դրամ: Տարբերությունը պայմանավորված է նրանով, որ որոշ ճանապարհահատվածների շինարարական աշխատանքները մեկնարկելուց հետո բնակավայրերի մոտակայքով անցնող ճանապարհահատվածներում բնակիչների միջև առաջացած տարաձայնությունների պատճառով տեղանքին համապատասխան նախագծային նոր լուծումներ տալու և աշխատանքները նախագծային նոր լուծումներով իրականացնելու անհրաժեշտությ</w:t>
      </w:r>
      <w:r w:rsidRPr="001F63BA">
        <w:rPr>
          <w:rFonts w:ascii="GHEA Grapalat" w:hAnsi="GHEA Grapalat" w:cs="GHEA Grapalat"/>
          <w:sz w:val="22"/>
          <w:szCs w:val="22"/>
          <w:lang w:val="en-US"/>
        </w:rPr>
        <w:t>ու</w:t>
      </w:r>
      <w:r w:rsidRPr="001F63BA">
        <w:rPr>
          <w:rFonts w:ascii="GHEA Grapalat" w:hAnsi="GHEA Grapalat" w:cs="GHEA Grapalat"/>
          <w:sz w:val="22"/>
          <w:szCs w:val="22"/>
        </w:rPr>
        <w:t>ն</w:t>
      </w:r>
      <w:r w:rsidRPr="001F63BA">
        <w:rPr>
          <w:rFonts w:ascii="GHEA Grapalat" w:hAnsi="GHEA Grapalat" w:cs="GHEA Grapalat"/>
          <w:sz w:val="22"/>
          <w:szCs w:val="22"/>
          <w:lang w:val="en-US"/>
        </w:rPr>
        <w:t xml:space="preserve"> է առաջացել:</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Ա</w:t>
      </w:r>
      <w:r w:rsidRPr="001F63BA">
        <w:rPr>
          <w:rFonts w:ascii="GHEA Grapalat" w:hAnsi="GHEA Grapalat" w:cs="GHEA Grapalat"/>
          <w:sz w:val="22"/>
          <w:szCs w:val="22"/>
        </w:rPr>
        <w:t>րդյունքում որոշ ճանապարհահատվածների շինարարական աշխատանքների ընթացքը դանդաղել է</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և նախատեսված աշխատանքները սահմանված ժամկետում չեն ավարտվել: Աշխատանքների կատարման ժամկետների ձգձգման հետևանքով չեն վճարվել նաև այդ աշխատանքների նկատմամբ տեխնիկական և հեղինակային հսկողության ծառայությունների մատուցման համար նախատեսված գումարները, ինչպես նաև կատարված աշխատանքները շահագործման չընդունվելու հետևանքով չ</w:t>
      </w:r>
      <w:r w:rsidRPr="001F63BA">
        <w:rPr>
          <w:rFonts w:ascii="GHEA Grapalat" w:hAnsi="GHEA Grapalat" w:cs="GHEA Grapalat"/>
          <w:sz w:val="22"/>
          <w:szCs w:val="22"/>
          <w:lang w:val="en-US"/>
        </w:rPr>
        <w:t>ի</w:t>
      </w:r>
      <w:r w:rsidRPr="001F63BA">
        <w:rPr>
          <w:rFonts w:ascii="GHEA Grapalat" w:hAnsi="GHEA Grapalat" w:cs="GHEA Grapalat"/>
          <w:sz w:val="22"/>
          <w:szCs w:val="22"/>
        </w:rPr>
        <w:t xml:space="preserve"> վճարվել որոշ օբյեկտների պայմանագրային գումարի 5 տոկոսը: Չ</w:t>
      </w:r>
      <w:r w:rsidRPr="001F63BA">
        <w:rPr>
          <w:rFonts w:ascii="GHEA Grapalat" w:hAnsi="GHEA Grapalat" w:cs="GHEA Grapalat"/>
          <w:sz w:val="22"/>
          <w:szCs w:val="22"/>
          <w:lang w:val="en-US"/>
        </w:rPr>
        <w:t>ի</w:t>
      </w:r>
      <w:r w:rsidRPr="001F63BA">
        <w:rPr>
          <w:rFonts w:ascii="GHEA Grapalat" w:hAnsi="GHEA Grapalat" w:cs="GHEA Grapalat"/>
          <w:sz w:val="22"/>
          <w:szCs w:val="22"/>
        </w:rPr>
        <w:t xml:space="preserve"> վճարվել նաև որոշ ճանապարհահատվածների հիմնանորոգման համար պատվիրված </w:t>
      </w:r>
      <w:r w:rsidRPr="001F63BA">
        <w:rPr>
          <w:rFonts w:ascii="GHEA Grapalat" w:hAnsi="GHEA Grapalat" w:cs="GHEA Grapalat"/>
          <w:sz w:val="22"/>
          <w:szCs w:val="22"/>
        </w:rPr>
        <w:lastRenderedPageBreak/>
        <w:t>նախագծանախահաշվային փաստաթղթերի ձեռքբերման ծառայությունների</w:t>
      </w:r>
      <w:r w:rsidRPr="001F63BA">
        <w:rPr>
          <w:rFonts w:ascii="GHEA Grapalat" w:hAnsi="GHEA Grapalat" w:cs="GHEA Grapalat"/>
          <w:sz w:val="22"/>
          <w:szCs w:val="22"/>
          <w:lang w:val="en-US"/>
        </w:rPr>
        <w:t xml:space="preserve"> համար նախատեսված միջոցների</w:t>
      </w:r>
      <w:r w:rsidRPr="001F63BA">
        <w:rPr>
          <w:rFonts w:ascii="GHEA Grapalat" w:hAnsi="GHEA Grapalat" w:cs="GHEA Grapalat"/>
          <w:sz w:val="22"/>
          <w:szCs w:val="22"/>
        </w:rPr>
        <w:t xml:space="preserve"> 30 տոկոսը:</w:t>
      </w:r>
    </w:p>
    <w:bookmarkEnd w:id="242"/>
    <w:p w:rsidR="001C411D" w:rsidRPr="001F63BA" w:rsidRDefault="001C411D" w:rsidP="00897DB8">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 xml:space="preserve">Հյուսիս-հարավ միջանցքի զարգացման ծրագրի՝ ԱԶԲ աջակցության Տրանշ 2-ի շրջանակներում 2022 թվականին ավարտվել են </w:t>
      </w:r>
      <w:r w:rsidRPr="001F63BA">
        <w:rPr>
          <w:rFonts w:ascii="GHEA Grapalat" w:hAnsi="GHEA Grapalat"/>
          <w:sz w:val="22"/>
          <w:szCs w:val="22"/>
        </w:rPr>
        <w:t>Ագարակի հնագիտական վայրը շրջ</w:t>
      </w:r>
      <w:r w:rsidRPr="001F63BA">
        <w:rPr>
          <w:rFonts w:ascii="GHEA Grapalat" w:hAnsi="GHEA Grapalat"/>
          <w:sz w:val="22"/>
          <w:szCs w:val="22"/>
          <w:lang w:val="en-US"/>
        </w:rPr>
        <w:t>ա</w:t>
      </w:r>
      <w:r w:rsidRPr="001F63BA">
        <w:rPr>
          <w:rFonts w:ascii="GHEA Grapalat" w:hAnsi="GHEA Grapalat"/>
          <w:sz w:val="22"/>
          <w:szCs w:val="22"/>
        </w:rPr>
        <w:t>նցող</w:t>
      </w:r>
      <w:r w:rsidRPr="001F63BA">
        <w:rPr>
          <w:rFonts w:ascii="GHEA Grapalat" w:hAnsi="GHEA Grapalat" w:cs="GHEA Grapalat"/>
          <w:sz w:val="22"/>
          <w:szCs w:val="22"/>
          <w:lang w:val="en-US"/>
        </w:rPr>
        <w:t xml:space="preserve"> 8 կմ հատվածի նախագծի լրամշակման և նոր մրցութային փաստաթղթերի մշակման աշխատանքները: Լրամշակված նախագիծն անցել է հատուկ համալիր փորձաքննությունը, անցկացվել է կապալառուների ընտրության միջազգային բաց մրցույթ: 2022 թվականի հոկտեմբերին ընտրված կապալառուի հետ կնքվել է շինարարական աշխատանքների պայմանագիր, որը հաստատվել է ԱԶԲ-ի կողմից։ Ընթացքի մեջ են գտնվել հողերի օտարման գործընթացը և աշխատանքների մեկնարկի նախապատրաստական աշխատանքները։ 2022 թվականի հունվարին ավարտվել են նաև 2021 թվականից սկսված՝ 34 կմ հատվածի նախագծի և նոր մրցութային փաստաթղթերի մշակման աշխատանքները։ Կապալառուների ընտրության միջազգային բաց մրցութային գործընթացը կավարտվի 2023 թվականին: Տրանշ 3-ի շրջանակներում իրականացվել են Թալին-Լանջիկ 18.7 կմ երկարությամբ ճանապարհահատվածի կառուցման աշխատանքները, որոնք 2022 թվականի դեկտեմբերի դրությամբ հանձնվել են շահագործման, մնացել են որոշակի աշխատանքներ՝ կապված ճանապարհահատվածի կահավորման հետ: Ծրագրի համակարգման և կառավարման միջոցառման շրջանակներում իրականացվել են Թալին-Լանջիկ ճանապարհահատվածի կառուցման շինարարական աշխատանքների տեխնիկական հսկողության, Հողերի օտարման և տարաբնակեցման ծրագրի (ՀՕՏԾ) խորհրդատվական ծառայություններ, արտաքին մոնիտորինգի ծառայություններ, հաղորդակցուղիների տեղափոխման տեխնիկական, հեղինակային հսկողության ծառայություններ և պահպանման ծախսեր:</w:t>
      </w:r>
    </w:p>
    <w:p w:rsidR="001C411D" w:rsidRPr="001F63BA" w:rsidRDefault="001C411D" w:rsidP="002D4C2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Հյուսիս-հարավ միջանցքի զարգացման ծրագրի՝ ԵՆԲ աջակցության Տրանշ 3-ի շրջանակներում 2022 թվականին իրականացման ընթացքում է գտնվել Լանջիկ-Գյումրի շուրջ 27.5 կմ ճանապարհահատվածի կառուցումը:</w:t>
      </w:r>
    </w:p>
    <w:p w:rsidR="001C411D" w:rsidRPr="001F63BA" w:rsidRDefault="001C411D" w:rsidP="00B40EA9">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 xml:space="preserve">Հյուսիս-հարավ միջանցքի զարգացման ծրագրի՝ Եվրասիական զարգացման բանկի աջակցության շրջանակներում հաշվետու տարում կապալառուի ընտրության մրցութային փաթեթը ստացել է Կառավարման խորհրդի և ԵԶԲ հավանությունը, մեկնարկել է հայտերի գնահատման գործընթացը։ Ընթացքի մեջ է շինարարական աշխատանքների տեխնիկական հսկողության ծառայությունների ձեռքբերման մրցույթը։ Շարունակվում են հողերի օտարման և տարաբնակեցման ծրագրի իրականացման աշխատանքները: ՀՀ կառավարության 06.10.2022թ. թիվ 1543-Ա որոշմամբ հավանություն է տրվել «Հայաստանի Հանրապետության և Եվրասիական զարգացման բանկի միջև 2015 թվականի ապրիլի 14-ին ստորագրված «Հյուսիս-հարավ» ավտոճանապարհային միջանցքի </w:t>
      </w:r>
      <w:r w:rsidRPr="001F63BA">
        <w:rPr>
          <w:rFonts w:ascii="GHEA Grapalat" w:hAnsi="GHEA Grapalat" w:cs="GHEA Grapalat"/>
          <w:sz w:val="22"/>
          <w:szCs w:val="22"/>
          <w:lang w:val="en-US"/>
        </w:rPr>
        <w:lastRenderedPageBreak/>
        <w:t>շինարարության (4-րդ հերթ) նախագծի ֆինանսավորման համար Կայունացման և զարգացման եվրասիական հիմնադրամի միջոցներից ներդրումային վարկի տրամադրման մասին» համաձայնագրի թիվ 4 լրացուցիչ համաձայնագրի ստորագրման առաջարկությանը, որը հաշվետու տարում գտնվել է վավերացման գործընթացում։ 2022 թվականին ԵԶԲ-ի կողմից վարկային միջոցների հասանելիության ժամկետը երկարացվել է մինչև 2026 թվականի դեկտեմբերի 30-ը։</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Հյուսիս-հարավ միջանցքի զարգացման ծրագրի՝ տարբեր դոնորների աջակցությամբ իրականացվող միջոցառումների շրջանակներում օգտագործվել է </w:t>
      </w:r>
      <w:r w:rsidRPr="001F63BA">
        <w:rPr>
          <w:rFonts w:ascii="GHEA Grapalat" w:hAnsi="GHEA Grapalat" w:cs="GHEA Grapalat"/>
          <w:sz w:val="22"/>
          <w:szCs w:val="22"/>
          <w:lang w:val="en-US"/>
        </w:rPr>
        <w:t>11.5</w:t>
      </w:r>
      <w:r w:rsidRPr="001F63BA">
        <w:rPr>
          <w:rFonts w:ascii="GHEA Grapalat" w:hAnsi="GHEA Grapalat" w:cs="GHEA Grapalat"/>
          <w:sz w:val="22"/>
          <w:szCs w:val="22"/>
        </w:rPr>
        <w:t xml:space="preserve"> մլրդ դրամ կամ նախատեսված միջոցների </w:t>
      </w:r>
      <w:r w:rsidRPr="001F63BA">
        <w:rPr>
          <w:rFonts w:ascii="GHEA Grapalat" w:hAnsi="GHEA Grapalat" w:cs="GHEA Grapalat"/>
          <w:sz w:val="22"/>
          <w:szCs w:val="22"/>
          <w:lang w:val="en-US"/>
        </w:rPr>
        <w:t>84.7</w:t>
      </w:r>
      <w:r w:rsidRPr="001F63BA">
        <w:rPr>
          <w:rFonts w:ascii="GHEA Grapalat" w:hAnsi="GHEA Grapalat" w:cs="GHEA Grapalat"/>
          <w:sz w:val="22"/>
          <w:szCs w:val="22"/>
        </w:rPr>
        <w:t xml:space="preserve">%-ը: Շեղումը հիմնականում </w:t>
      </w:r>
      <w:r w:rsidRPr="001F63BA">
        <w:rPr>
          <w:rFonts w:ascii="GHEA Grapalat" w:hAnsi="GHEA Grapalat" w:cs="GHEA Grapalat"/>
          <w:sz w:val="22"/>
          <w:szCs w:val="22"/>
          <w:lang w:val="en-US"/>
        </w:rPr>
        <w:t xml:space="preserve">պայմանավորված է </w:t>
      </w:r>
      <w:bookmarkStart w:id="243" w:name="_Hlk128561412"/>
      <w:r w:rsidRPr="001F63BA">
        <w:rPr>
          <w:rFonts w:ascii="GHEA Grapalat" w:hAnsi="GHEA Grapalat" w:cs="GHEA Grapalat"/>
          <w:sz w:val="22"/>
          <w:szCs w:val="22"/>
          <w:lang w:val="en-US"/>
        </w:rPr>
        <w:t xml:space="preserve">արտարժույթի </w:t>
      </w:r>
      <w:r w:rsidRPr="001F63BA">
        <w:rPr>
          <w:rFonts w:ascii="GHEA Grapalat" w:hAnsi="GHEA Grapalat" w:cs="GHEA Grapalat"/>
          <w:bCs/>
          <w:iCs/>
          <w:sz w:val="22"/>
          <w:szCs w:val="22"/>
          <w:lang w:val="fr-FR"/>
        </w:rPr>
        <w:t>կանխատեսված ու փաստացի փոխարժեքների տարբերությամբ</w:t>
      </w:r>
      <w:bookmarkEnd w:id="243"/>
      <w:r w:rsidRPr="001F63BA">
        <w:rPr>
          <w:rFonts w:ascii="GHEA Grapalat" w:hAnsi="GHEA Grapalat" w:cs="GHEA Grapalat"/>
          <w:sz w:val="22"/>
          <w:szCs w:val="22"/>
        </w:rPr>
        <w:t>:</w:t>
      </w:r>
    </w:p>
    <w:p w:rsidR="001C411D" w:rsidRPr="001F63BA" w:rsidRDefault="001C411D" w:rsidP="000E64A6">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Միջպետական և հանրապետական նշանակության ավտոճանապարհների պահպանման և անվտանգ երթևեկության ծառայությունների շրջանակներում 2022 թվականին իրականացվել են ճանապարհների միջին նորոգման աշխատանքներ (նորոգվող ճանապարհահատվածների ընդհանուր երկարությունը՝ 164.14 կմ), ընդհանուր օգտագործման ավտոմոբիլային ճանապարհների և տրանսպորտային օբյեկտների ընթացիկ ամառային (2331</w:t>
      </w:r>
      <w:r w:rsidRPr="001F63BA">
        <w:rPr>
          <w:rFonts w:ascii="GHEA Grapalat" w:hAnsi="GHEA Grapalat" w:cs="GHEA Grapalat"/>
          <w:sz w:val="22"/>
          <w:szCs w:val="22"/>
          <w:lang w:val="en-US"/>
        </w:rPr>
        <w:t>.</w:t>
      </w:r>
      <w:r w:rsidRPr="001F63BA">
        <w:rPr>
          <w:rFonts w:ascii="GHEA Grapalat" w:hAnsi="GHEA Grapalat" w:cs="GHEA Grapalat"/>
          <w:sz w:val="22"/>
          <w:szCs w:val="22"/>
        </w:rPr>
        <w:t>6 կմ) և ընթացիկ ձմեռային (3288 կմ), մետաղական արգելափակոցների պահպանման և վերականգնման (790 կմ), ընդհանուր օգտագործման ավտոմոբիլային ճանապարհների վրա գտնվող և առանձին պահպանման հանձնվող տրանսպորտային օբյեկտների ընթացիկ պահպանման (8 հատ), այդ թվում՝ թունելների (3 հատ), կամուրջների (5 հատ) պահպանման աշխատանքներ: Միջոցառման ծախսերը կատարվել են 97.2%</w:t>
      </w:r>
      <w:r w:rsidRPr="001F63BA">
        <w:rPr>
          <w:rFonts w:ascii="GHEA Grapalat" w:hAnsi="GHEA Grapalat" w:cs="GHEA Grapalat"/>
          <w:sz w:val="22"/>
          <w:szCs w:val="22"/>
        </w:rPr>
        <w:noBreakHyphen/>
        <w:t>ով՝ կազմելով 13.4 մլրդ դրամ: Շեղումը պայմանավորված է նրանով, որ մի քանի օբյեկտների շինարարական աշխատանքները, եղանակային պայմաններից ելնելով, տեղափոխվել են 2023 թվական, ծրագրի մեջ ներառվել են նոր ճանապարհներ, որոնց համար</w:t>
      </w:r>
      <w:r w:rsidRPr="001F63BA">
        <w:rPr>
          <w:rFonts w:ascii="GHEA Grapalat" w:hAnsi="GHEA Grapalat" w:cs="GHEA Grapalat"/>
          <w:sz w:val="22"/>
          <w:szCs w:val="22"/>
          <w:lang w:val="en-US"/>
        </w:rPr>
        <w:t xml:space="preserve"> պայմանագրերով</w:t>
      </w:r>
      <w:r w:rsidRPr="001F63BA">
        <w:rPr>
          <w:rFonts w:ascii="GHEA Grapalat" w:hAnsi="GHEA Grapalat" w:cs="GHEA Grapalat"/>
          <w:sz w:val="22"/>
          <w:szCs w:val="22"/>
        </w:rPr>
        <w:t xml:space="preserve"> նախատեսված պահպանման գումարներից կատարվել են նվազեցումներ, պահումներ են կատարվել նաև կապալառուների թերի աշխատանքների դիմաց:</w:t>
      </w:r>
    </w:p>
    <w:p w:rsidR="001C411D" w:rsidRPr="001F63BA" w:rsidRDefault="001C411D" w:rsidP="00C7337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Հայաստան-Վրաստան սահմանային տարածաշրջանային ճանապարհի (Մ6 Վանաձոր-Բագրատաշեն) բարելավման ծրագրի՝ </w:t>
      </w:r>
      <w:r w:rsidRPr="001F63BA">
        <w:rPr>
          <w:rFonts w:ascii="GHEA Grapalat" w:hAnsi="GHEA Grapalat" w:cs="GHEA Grapalat"/>
          <w:sz w:val="22"/>
          <w:szCs w:val="22"/>
          <w:lang w:val="en-US"/>
        </w:rPr>
        <w:t>ԱԶԲ</w:t>
      </w:r>
      <w:r w:rsidRPr="001F63BA">
        <w:rPr>
          <w:rFonts w:ascii="GHEA Grapalat" w:hAnsi="GHEA Grapalat" w:cs="GHEA Grapalat"/>
          <w:sz w:val="22"/>
          <w:szCs w:val="22"/>
        </w:rPr>
        <w:t xml:space="preserve"> աջակցության շրջանակներում նախատեսված է հիմնանորոգել Մ6 Վանաձոր-Ալավերդի-Վրաստանի սահման միջպետական նշանակության ճանապարհի կմ38+450-կմ90+191 (Թումանյան-Բագրատաշենի սահմանային անցակետ) հատվածը։ Ճանապարհահատվածի երկարությունը 51.74 կմ է, սակայն ծրագրի շրջանակներում հիմնանորոգվում է 51.13 կմ (610մ երկարությամբ տեղամասում ՀՀ պետական բյուջեի միջոցներով կառուցվելու է Օձունի տրանսպորտային հանգույցը)։ Շինարարական աշխատանքներն ավարտվել են 2022 թվականի տարեվերջին, սակայն քարաթափումներից պաշտպանության և երթևեկության ավտանգության ապահովման լրացուցիչ միջոցառումների անհրաժեշտությամբ պայմանավորված՝ որոշ </w:t>
      </w:r>
      <w:r w:rsidRPr="001F63BA">
        <w:rPr>
          <w:rFonts w:ascii="GHEA Grapalat" w:hAnsi="GHEA Grapalat" w:cs="GHEA Grapalat"/>
          <w:sz w:val="22"/>
          <w:szCs w:val="22"/>
        </w:rPr>
        <w:lastRenderedPageBreak/>
        <w:t xml:space="preserve">աշխատանքներ </w:t>
      </w:r>
      <w:r w:rsidRPr="001F63BA">
        <w:rPr>
          <w:rFonts w:ascii="GHEA Grapalat" w:hAnsi="GHEA Grapalat" w:cs="GHEA Grapalat"/>
          <w:sz w:val="22"/>
          <w:szCs w:val="22"/>
          <w:lang w:val="en-US"/>
        </w:rPr>
        <w:t>տեղափոխվել են</w:t>
      </w:r>
      <w:r w:rsidRPr="001F63BA">
        <w:rPr>
          <w:rFonts w:ascii="GHEA Grapalat" w:hAnsi="GHEA Grapalat" w:cs="GHEA Grapalat"/>
          <w:sz w:val="22"/>
          <w:szCs w:val="22"/>
        </w:rPr>
        <w:t xml:space="preserve"> 2023 թվական։ 2022 թվականի ընթացքում կատարվել է 11000 խմ հողային աշխատանք, կառուցվել են ջրահեռացման 134գմ ե/բ խողովակներ և 2025գմ բետոնե վաքեր, 1166 գմ խամքարաբետոնե հենապատեր և 164գմ եզրապատեր, հիմնանորոգվել է 4 կամուրջ (այդ թվում՝ Ալավերդի քաղաքի զույգ կամուրջները), տեղադրվել է 9.8 կմ ասֆալտաբետոնի վերին շերտ, կառուցվել է 40 գմ մայթ, տեղադրվել են 9660 գմ մետաղական արգելափակոցներ և 582 ճանապարհային նշաններ, կատարվել է շուրջ 16000 քմ գծանշում։ Ծրագրի համակարգման և կառավարման միջոցառման շրջանակներում 2022 թվականին մատուցվել են Մ6 Վանաձոր-Ալավերդի-Վրաստանի սահման միջպետական նշանակության ճանապարհի կմ38+450-կմ90+191 (Թումանյան-Բագրատաշենի սահմանային անցակետ) 51.74 կմ երկարությամբ հատվածի հիմնանորոգման շինարարական աշխատանքների տեխնիկական հսկողության, հաղորդակցուղիների տեղափոխման աշխատանքների հեղինակային հսկողության, նախագծային փոփոխությունների և արդիականացման, ՀՕՏԾ-ի իրագործման և ծրագրի ֆինանսական աուդիտի խորհրդատվական ծառայություններ։</w:t>
      </w:r>
    </w:p>
    <w:p w:rsidR="001C411D" w:rsidRPr="001F63BA" w:rsidRDefault="001C411D" w:rsidP="003677BB">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Հայաստան-Վրաստան սահմանային տարածաշրջանային ճանապարհի (Մ6 Վանաձոր-Բագրատաշեն) բարելավման ծրագրի՝ </w:t>
      </w:r>
      <w:r w:rsidRPr="001F63BA">
        <w:rPr>
          <w:rFonts w:ascii="GHEA Grapalat" w:hAnsi="GHEA Grapalat" w:cs="GHEA Grapalat"/>
          <w:sz w:val="22"/>
          <w:szCs w:val="22"/>
          <w:lang w:val="en-US"/>
        </w:rPr>
        <w:t>ԵՆԲ</w:t>
      </w:r>
      <w:r w:rsidRPr="001F63BA">
        <w:rPr>
          <w:rFonts w:ascii="GHEA Grapalat" w:hAnsi="GHEA Grapalat" w:cs="GHEA Grapalat"/>
          <w:sz w:val="22"/>
          <w:szCs w:val="22"/>
        </w:rPr>
        <w:t xml:space="preserve"> աջակցության </w:t>
      </w:r>
      <w:r w:rsidRPr="001F63BA">
        <w:rPr>
          <w:rFonts w:ascii="GHEA Grapalat" w:hAnsi="GHEA Grapalat" w:cs="GHEA Grapalat"/>
          <w:sz w:val="22"/>
          <w:szCs w:val="22"/>
          <w:lang w:val="en-US"/>
        </w:rPr>
        <w:t xml:space="preserve">(դրամաշնորհի) </w:t>
      </w:r>
      <w:r w:rsidRPr="001F63BA">
        <w:rPr>
          <w:rFonts w:ascii="GHEA Grapalat" w:hAnsi="GHEA Grapalat" w:cs="GHEA Grapalat"/>
          <w:sz w:val="22"/>
          <w:szCs w:val="22"/>
        </w:rPr>
        <w:t>շրջանակներում 2022 թվականի ընթացքում ավարտվել Մ-2 և Մ-4 միջպետական ճանապարհների վրա նախանշված 10 վտանգավոր կետերի անվտանգության հետ կապված աշխատանքները</w:t>
      </w:r>
      <w:r w:rsidRPr="001F63BA">
        <w:rPr>
          <w:rFonts w:ascii="GHEA Grapalat" w:hAnsi="GHEA Grapalat" w:cs="GHEA Grapalat"/>
          <w:sz w:val="22"/>
          <w:szCs w:val="22"/>
          <w:lang w:val="en-US"/>
        </w:rPr>
        <w:t xml:space="preserve">, որոնք հանձնվել են </w:t>
      </w:r>
      <w:r w:rsidRPr="001F63BA">
        <w:rPr>
          <w:rFonts w:ascii="GHEA Grapalat" w:hAnsi="GHEA Grapalat" w:cs="GHEA Grapalat"/>
          <w:sz w:val="22"/>
          <w:szCs w:val="22"/>
        </w:rPr>
        <w:t xml:space="preserve">շահագործման։ </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sz w:val="22"/>
          <w:szCs w:val="22"/>
        </w:rPr>
        <w:t>Ծրագրի՝</w:t>
      </w:r>
      <w:r w:rsidRPr="001F63BA">
        <w:rPr>
          <w:rFonts w:ascii="GHEA Grapalat" w:hAnsi="GHEA Grapalat" w:cs="GHEA Grapalat"/>
          <w:iCs/>
          <w:sz w:val="22"/>
          <w:szCs w:val="22"/>
        </w:rPr>
        <w:t xml:space="preserve"> </w:t>
      </w:r>
      <w:r w:rsidRPr="001F63BA">
        <w:rPr>
          <w:rFonts w:ascii="GHEA Grapalat" w:hAnsi="GHEA Grapalat" w:cs="GHEA Grapalat"/>
          <w:sz w:val="22"/>
          <w:szCs w:val="22"/>
        </w:rPr>
        <w:t xml:space="preserve">տարբեր դոնորների աջակցությամբ իրականացվող միջոցառումների շրջանակներում օգտագործվել է </w:t>
      </w:r>
      <w:r w:rsidRPr="001F63BA">
        <w:rPr>
          <w:rFonts w:ascii="GHEA Grapalat" w:hAnsi="GHEA Grapalat" w:cs="GHEA Grapalat"/>
          <w:sz w:val="22"/>
          <w:szCs w:val="22"/>
          <w:lang w:val="en-US"/>
        </w:rPr>
        <w:t>5</w:t>
      </w:r>
      <w:r w:rsidRPr="001F63BA">
        <w:rPr>
          <w:rFonts w:ascii="GHEA Grapalat" w:hAnsi="GHEA Grapalat" w:cs="GHEA Grapalat"/>
          <w:sz w:val="22"/>
          <w:szCs w:val="22"/>
        </w:rPr>
        <w:t xml:space="preserve">.6 մլրդ դրամ կամ նախատեսված միջոցների </w:t>
      </w:r>
      <w:r w:rsidRPr="001F63BA">
        <w:rPr>
          <w:rFonts w:ascii="GHEA Grapalat" w:hAnsi="GHEA Grapalat" w:cs="GHEA Grapalat"/>
          <w:sz w:val="22"/>
          <w:szCs w:val="22"/>
          <w:lang w:val="en-US"/>
        </w:rPr>
        <w:t>92.3</w:t>
      </w:r>
      <w:r w:rsidRPr="001F63BA">
        <w:rPr>
          <w:rFonts w:ascii="GHEA Grapalat" w:hAnsi="GHEA Grapalat" w:cs="GHEA Grapalat"/>
          <w:sz w:val="22"/>
          <w:szCs w:val="22"/>
        </w:rPr>
        <w:t>%-ը:</w:t>
      </w:r>
      <w:r w:rsidRPr="001F63BA">
        <w:rPr>
          <w:rFonts w:ascii="GHEA Grapalat" w:hAnsi="GHEA Grapalat"/>
          <w:lang w:eastAsia="ru-RU"/>
        </w:rPr>
        <w:t xml:space="preserve"> </w:t>
      </w:r>
      <w:r w:rsidRPr="001F63BA">
        <w:rPr>
          <w:rFonts w:ascii="GHEA Grapalat" w:hAnsi="GHEA Grapalat" w:cs="GHEA Grapalat"/>
          <w:sz w:val="22"/>
          <w:szCs w:val="22"/>
          <w:lang w:val="en-US"/>
        </w:rPr>
        <w:t>Շեղումը</w:t>
      </w:r>
      <w:r w:rsidRPr="001F63BA">
        <w:rPr>
          <w:rFonts w:ascii="GHEA Grapalat" w:hAnsi="GHEA Grapalat" w:cs="GHEA Grapalat"/>
          <w:sz w:val="22"/>
          <w:szCs w:val="22"/>
        </w:rPr>
        <w:t xml:space="preserve"> հիմնականում </w:t>
      </w:r>
      <w:r w:rsidRPr="001F63BA">
        <w:rPr>
          <w:rFonts w:ascii="GHEA Grapalat" w:hAnsi="GHEA Grapalat" w:cs="GHEA Grapalat"/>
          <w:sz w:val="22"/>
          <w:szCs w:val="22"/>
          <w:lang w:val="en-US"/>
        </w:rPr>
        <w:t xml:space="preserve">պայմանավորված է արտարժույթի </w:t>
      </w:r>
      <w:r w:rsidRPr="001F63BA">
        <w:rPr>
          <w:rFonts w:ascii="GHEA Grapalat" w:hAnsi="GHEA Grapalat" w:cs="GHEA Grapalat"/>
          <w:bCs/>
          <w:iCs/>
          <w:sz w:val="22"/>
          <w:szCs w:val="22"/>
          <w:lang w:val="fr-FR"/>
        </w:rPr>
        <w:t>կանխատեսված ու փաստացի փոխարժեքների տարբերությամբ</w:t>
      </w:r>
      <w:r w:rsidRPr="001F63BA">
        <w:rPr>
          <w:rFonts w:ascii="GHEA Grapalat" w:hAnsi="GHEA Grapalat" w:cs="GHEA Grapalat"/>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Համաշխարհային բանկի աջակցությամբ իրականացվող Կենսական նշանակության ճանապարհային ցանցի բարելավման ծրագրի շրջանակներում 202</w:t>
      </w:r>
      <w:r w:rsidRPr="001F63BA">
        <w:rPr>
          <w:rFonts w:ascii="GHEA Grapalat" w:hAnsi="GHEA Grapalat" w:cs="GHEA Grapalat"/>
          <w:iCs/>
          <w:sz w:val="22"/>
          <w:szCs w:val="22"/>
          <w:lang w:val="en-US"/>
        </w:rPr>
        <w:t>2</w:t>
      </w:r>
      <w:r w:rsidRPr="001F63BA">
        <w:rPr>
          <w:rFonts w:ascii="GHEA Grapalat" w:hAnsi="GHEA Grapalat" w:cs="GHEA Grapalat"/>
          <w:iCs/>
          <w:sz w:val="22"/>
          <w:szCs w:val="22"/>
        </w:rPr>
        <w:t xml:space="preserve"> թվականին շարունակվել և ավարտվել </w:t>
      </w:r>
      <w:r w:rsidRPr="001F63BA">
        <w:rPr>
          <w:rFonts w:ascii="GHEA Grapalat" w:hAnsi="GHEA Grapalat" w:cs="GHEA Grapalat"/>
          <w:iCs/>
          <w:sz w:val="22"/>
          <w:szCs w:val="22"/>
          <w:lang w:val="en-US"/>
        </w:rPr>
        <w:t xml:space="preserve">են </w:t>
      </w:r>
      <w:r w:rsidRPr="001F63BA">
        <w:rPr>
          <w:rFonts w:ascii="GHEA Grapalat" w:hAnsi="GHEA Grapalat" w:cs="GHEA Grapalat"/>
          <w:iCs/>
          <w:sz w:val="22"/>
          <w:szCs w:val="22"/>
        </w:rPr>
        <w:t>ՀՀ Արագածոտնի, Արարատի, Արմավիրի, Գեղարքունիքի, Լոռու, Շիրակի և Սյունիքի մարզերում 2020</w:t>
      </w:r>
      <w:r w:rsidRPr="001F63BA">
        <w:rPr>
          <w:rFonts w:ascii="GHEA Grapalat" w:hAnsi="GHEA Grapalat" w:cs="GHEA Grapalat"/>
          <w:iCs/>
          <w:sz w:val="22"/>
          <w:szCs w:val="22"/>
          <w:lang w:val="en-US"/>
        </w:rPr>
        <w:t xml:space="preserve"> </w:t>
      </w:r>
      <w:r w:rsidRPr="001F63BA">
        <w:rPr>
          <w:rFonts w:ascii="GHEA Grapalat" w:hAnsi="GHEA Grapalat" w:cs="GHEA Grapalat"/>
          <w:iCs/>
          <w:sz w:val="22"/>
          <w:szCs w:val="22"/>
        </w:rPr>
        <w:t>թ</w:t>
      </w:r>
      <w:r w:rsidRPr="001F63BA">
        <w:rPr>
          <w:rFonts w:ascii="GHEA Grapalat" w:hAnsi="GHEA Grapalat" w:cs="GHEA Grapalat"/>
          <w:iCs/>
          <w:sz w:val="22"/>
          <w:szCs w:val="22"/>
          <w:lang w:val="en-US"/>
        </w:rPr>
        <w:t>վականին</w:t>
      </w:r>
      <w:r w:rsidRPr="001F63BA">
        <w:rPr>
          <w:rFonts w:ascii="GHEA Grapalat" w:hAnsi="GHEA Grapalat" w:cs="GHEA Grapalat"/>
          <w:iCs/>
          <w:sz w:val="22"/>
          <w:szCs w:val="22"/>
        </w:rPr>
        <w:t xml:space="preserve"> մեկնարկած շուրջ 67.8 կմ ընդհանուր երկարությամբ թվով 12 ճանապարհների շինարարական աշխատանքները, կնքվել են սև կետերի բարելավման աշխատանքների ևս 4 պայմանագրեր:</w:t>
      </w:r>
      <w:r w:rsidRPr="001F63BA">
        <w:rPr>
          <w:rFonts w:ascii="GHEA Grapalat" w:hAnsi="GHEA Grapalat" w:cs="GHEA Grapalat"/>
          <w:iCs/>
          <w:sz w:val="22"/>
          <w:szCs w:val="22"/>
          <w:lang w:val="en-US"/>
        </w:rPr>
        <w:t xml:space="preserve"> Ա</w:t>
      </w:r>
      <w:r w:rsidRPr="001F63BA">
        <w:rPr>
          <w:rFonts w:ascii="GHEA Grapalat" w:hAnsi="GHEA Grapalat" w:cs="GHEA Grapalat"/>
          <w:iCs/>
          <w:sz w:val="22"/>
          <w:szCs w:val="22"/>
        </w:rPr>
        <w:t xml:space="preserve">վարտվել </w:t>
      </w:r>
      <w:r w:rsidRPr="001F63BA">
        <w:rPr>
          <w:rFonts w:ascii="GHEA Grapalat" w:hAnsi="GHEA Grapalat" w:cs="GHEA Grapalat"/>
          <w:iCs/>
          <w:sz w:val="22"/>
          <w:szCs w:val="22"/>
          <w:lang w:val="en-US"/>
        </w:rPr>
        <w:t xml:space="preserve">են </w:t>
      </w:r>
      <w:r w:rsidRPr="001F63BA">
        <w:rPr>
          <w:rFonts w:ascii="GHEA Grapalat" w:hAnsi="GHEA Grapalat" w:cs="GHEA Grapalat"/>
          <w:iCs/>
          <w:sz w:val="22"/>
          <w:szCs w:val="22"/>
        </w:rPr>
        <w:t>նաև ծրագրի շրջանակներում հիմնանորոգված Մ-2–Նորավան</w:t>
      </w:r>
      <w:r w:rsidRPr="001F63BA">
        <w:rPr>
          <w:rFonts w:ascii="GHEA Grapalat" w:hAnsi="GHEA Grapalat" w:cs="GHEA Grapalat"/>
          <w:iCs/>
          <w:sz w:val="22"/>
          <w:szCs w:val="22"/>
          <w:lang w:val="en-US"/>
        </w:rPr>
        <w:t xml:space="preserve"> </w:t>
      </w:r>
      <w:r w:rsidRPr="001F63BA">
        <w:rPr>
          <w:rFonts w:ascii="GHEA Grapalat" w:hAnsi="GHEA Grapalat" w:cs="GHEA Grapalat"/>
          <w:iCs/>
          <w:sz w:val="22"/>
          <w:szCs w:val="22"/>
        </w:rPr>
        <w:t>4</w:t>
      </w:r>
      <w:r w:rsidRPr="001F63BA">
        <w:rPr>
          <w:rFonts w:ascii="GHEA Grapalat" w:hAnsi="GHEA Grapalat" w:cs="GHEA Grapalat"/>
          <w:iCs/>
          <w:sz w:val="22"/>
          <w:szCs w:val="22"/>
          <w:lang w:val="en-US"/>
        </w:rPr>
        <w:t>.</w:t>
      </w:r>
      <w:r w:rsidRPr="001F63BA">
        <w:rPr>
          <w:rFonts w:ascii="GHEA Grapalat" w:hAnsi="GHEA Grapalat" w:cs="GHEA Grapalat"/>
          <w:iCs/>
          <w:sz w:val="22"/>
          <w:szCs w:val="22"/>
        </w:rPr>
        <w:t>34 կմ ճանապարհահատվածի երթևեկելի մասի պատվածքի ամրացման աշխատանքները</w:t>
      </w:r>
      <w:r w:rsidRPr="001F63BA">
        <w:rPr>
          <w:rFonts w:ascii="GHEA Grapalat" w:hAnsi="GHEA Grapalat" w:cs="GHEA Grapalat"/>
          <w:iCs/>
          <w:sz w:val="22"/>
          <w:szCs w:val="22"/>
          <w:lang w:val="en-US"/>
        </w:rPr>
        <w:t xml:space="preserve">, որը հանձնվել է </w:t>
      </w:r>
      <w:r w:rsidRPr="001F63BA">
        <w:rPr>
          <w:rFonts w:ascii="GHEA Grapalat" w:hAnsi="GHEA Grapalat" w:cs="GHEA Grapalat"/>
          <w:iCs/>
          <w:sz w:val="22"/>
          <w:szCs w:val="22"/>
        </w:rPr>
        <w:t xml:space="preserve">շահագործման։ ՀՀ միջպետական և հանրապետական ավտոճանապարհների ճանապարհների վթարավտանգ տեղամասերի բարելավման աշխատանքներն իրականացնելու նպատակով կնքվել </w:t>
      </w:r>
      <w:r w:rsidRPr="001F63BA">
        <w:rPr>
          <w:rFonts w:ascii="GHEA Grapalat" w:hAnsi="GHEA Grapalat" w:cs="GHEA Grapalat"/>
          <w:iCs/>
          <w:sz w:val="22"/>
          <w:szCs w:val="22"/>
          <w:lang w:val="en-US"/>
        </w:rPr>
        <w:t>է</w:t>
      </w:r>
      <w:r w:rsidRPr="001F63BA">
        <w:rPr>
          <w:rFonts w:ascii="GHEA Grapalat" w:hAnsi="GHEA Grapalat" w:cs="GHEA Grapalat"/>
          <w:iCs/>
          <w:sz w:val="22"/>
          <w:szCs w:val="22"/>
        </w:rPr>
        <w:t xml:space="preserve"> 3 պայմանագ</w:t>
      </w:r>
      <w:r w:rsidRPr="001F63BA">
        <w:rPr>
          <w:rFonts w:ascii="GHEA Grapalat" w:hAnsi="GHEA Grapalat" w:cs="GHEA Grapalat"/>
          <w:iCs/>
          <w:sz w:val="22"/>
          <w:szCs w:val="22"/>
          <w:lang w:val="en-US"/>
        </w:rPr>
        <w:t>ի</w:t>
      </w:r>
      <w:r w:rsidRPr="001F63BA">
        <w:rPr>
          <w:rFonts w:ascii="GHEA Grapalat" w:hAnsi="GHEA Grapalat" w:cs="GHEA Grapalat"/>
          <w:iCs/>
          <w:sz w:val="22"/>
          <w:szCs w:val="22"/>
        </w:rPr>
        <w:t xml:space="preserve">ր։ Վթարավտանգ տեղամասերի բարելավման աշխատանքները մեկնարկել են 2022 թվականի հոկտեմբեր-նոյեմբեր </w:t>
      </w:r>
      <w:r w:rsidRPr="001F63BA">
        <w:rPr>
          <w:rFonts w:ascii="GHEA Grapalat" w:hAnsi="GHEA Grapalat" w:cs="GHEA Grapalat"/>
          <w:iCs/>
          <w:sz w:val="22"/>
          <w:szCs w:val="22"/>
        </w:rPr>
        <w:lastRenderedPageBreak/>
        <w:t xml:space="preserve">ամիսներին, որոնք ավարտվել են դեկտեմբեր ամսին։ </w:t>
      </w:r>
      <w:r w:rsidRPr="001F63BA">
        <w:rPr>
          <w:rFonts w:ascii="GHEA Grapalat" w:hAnsi="GHEA Grapalat" w:cs="GHEA Grapalat"/>
          <w:iCs/>
          <w:sz w:val="22"/>
          <w:szCs w:val="22"/>
          <w:lang w:val="en-US"/>
        </w:rPr>
        <w:t>Մ</w:t>
      </w:r>
      <w:r w:rsidRPr="001F63BA">
        <w:rPr>
          <w:rFonts w:ascii="GHEA Grapalat" w:hAnsi="GHEA Grapalat" w:cs="GHEA Grapalat"/>
          <w:iCs/>
          <w:sz w:val="22"/>
          <w:szCs w:val="22"/>
        </w:rPr>
        <w:t>իջոցառման շրջանակներում իրականացվել են նաև 3</w:t>
      </w:r>
      <w:r w:rsidRPr="001F63BA">
        <w:rPr>
          <w:rFonts w:ascii="GHEA Grapalat" w:hAnsi="GHEA Grapalat" w:cs="GHEA Grapalat"/>
          <w:iCs/>
          <w:sz w:val="22"/>
          <w:szCs w:val="22"/>
          <w:lang w:val="en-US"/>
        </w:rPr>
        <w:t>.</w:t>
      </w:r>
      <w:r w:rsidRPr="001F63BA">
        <w:rPr>
          <w:rFonts w:ascii="GHEA Grapalat" w:hAnsi="GHEA Grapalat" w:cs="GHEA Grapalat"/>
          <w:iCs/>
          <w:sz w:val="22"/>
          <w:szCs w:val="22"/>
        </w:rPr>
        <w:t>92 կմ ընդհանուր երկարությամբ ճանապարհահատվածների երթևեկելի մասերի նորոգման աշխատանքներ։</w:t>
      </w:r>
      <w:bookmarkStart w:id="244" w:name="_Hlk128574757"/>
      <w:r w:rsidRPr="001F63BA">
        <w:rPr>
          <w:rFonts w:ascii="GHEA Grapalat" w:hAnsi="GHEA Grapalat" w:cs="GHEA Grapalat"/>
          <w:iCs/>
          <w:sz w:val="22"/>
          <w:szCs w:val="22"/>
          <w:lang w:val="en-US"/>
        </w:rPr>
        <w:t xml:space="preserve"> </w:t>
      </w:r>
      <w:r w:rsidRPr="001F63BA">
        <w:rPr>
          <w:rFonts w:ascii="GHEA Grapalat" w:hAnsi="GHEA Grapalat" w:cs="GHEA Grapalat"/>
          <w:sz w:val="22"/>
          <w:szCs w:val="22"/>
        </w:rPr>
        <w:t>2022 թվականին</w:t>
      </w:r>
      <w:r w:rsidRPr="001F63BA">
        <w:rPr>
          <w:rFonts w:ascii="GHEA Grapalat" w:hAnsi="GHEA Grapalat" w:cs="GHEA Grapalat"/>
          <w:iCs/>
          <w:sz w:val="22"/>
          <w:szCs w:val="22"/>
          <w:lang w:val="en-US"/>
        </w:rPr>
        <w:t xml:space="preserve"> ծ</w:t>
      </w:r>
      <w:r w:rsidRPr="001F63BA">
        <w:rPr>
          <w:rFonts w:ascii="GHEA Grapalat" w:hAnsi="GHEA Grapalat" w:cs="GHEA Grapalat"/>
          <w:iCs/>
          <w:sz w:val="22"/>
          <w:szCs w:val="22"/>
        </w:rPr>
        <w:t xml:space="preserve">րագրի շրջանակներում օգտագործվել է </w:t>
      </w:r>
      <w:r w:rsidRPr="001F63BA">
        <w:rPr>
          <w:rFonts w:ascii="GHEA Grapalat" w:hAnsi="GHEA Grapalat" w:cs="GHEA Grapalat"/>
          <w:iCs/>
          <w:sz w:val="22"/>
          <w:szCs w:val="22"/>
          <w:lang w:val="en-US"/>
        </w:rPr>
        <w:t>1.7</w:t>
      </w:r>
      <w:r w:rsidRPr="001F63BA">
        <w:rPr>
          <w:rFonts w:ascii="GHEA Grapalat" w:hAnsi="GHEA Grapalat" w:cs="GHEA Grapalat"/>
          <w:iCs/>
          <w:sz w:val="22"/>
          <w:szCs w:val="22"/>
        </w:rPr>
        <w:t xml:space="preserve"> մլրդ դրամ կամ նախատեսված միջոցների </w:t>
      </w:r>
      <w:r w:rsidRPr="001F63BA">
        <w:rPr>
          <w:rFonts w:ascii="GHEA Grapalat" w:hAnsi="GHEA Grapalat" w:cs="GHEA Grapalat"/>
          <w:iCs/>
          <w:sz w:val="22"/>
          <w:szCs w:val="22"/>
          <w:lang w:val="en-US"/>
        </w:rPr>
        <w:t>73.8</w:t>
      </w:r>
      <w:r w:rsidRPr="001F63BA">
        <w:rPr>
          <w:rFonts w:ascii="GHEA Grapalat" w:hAnsi="GHEA Grapalat" w:cs="GHEA Grapalat"/>
          <w:iCs/>
          <w:sz w:val="22"/>
          <w:szCs w:val="22"/>
        </w:rPr>
        <w:t>%-ը</w:t>
      </w:r>
      <w:r w:rsidRPr="001F63BA">
        <w:rPr>
          <w:rFonts w:ascii="GHEA Grapalat" w:hAnsi="GHEA Grapalat" w:cs="GHEA Grapalat"/>
          <w:iCs/>
          <w:sz w:val="22"/>
          <w:szCs w:val="22"/>
          <w:lang w:val="en-US"/>
        </w:rPr>
        <w:t>: 2022 թվականին ծրագիրն ավարտվել է, իսկ շեղումը</w:t>
      </w:r>
      <w:r w:rsidRPr="001F63BA">
        <w:rPr>
          <w:rFonts w:ascii="GHEA Grapalat" w:hAnsi="GHEA Grapalat" w:cs="GHEA Grapalat"/>
          <w:iCs/>
          <w:sz w:val="22"/>
          <w:szCs w:val="22"/>
        </w:rPr>
        <w:t xml:space="preserve"> հիմնականում պայմանավորված</w:t>
      </w:r>
      <w:r w:rsidRPr="001F63BA">
        <w:rPr>
          <w:rFonts w:ascii="GHEA Grapalat" w:hAnsi="GHEA Grapalat" w:cs="GHEA Grapalat"/>
          <w:iCs/>
          <w:sz w:val="22"/>
          <w:szCs w:val="22"/>
          <w:lang w:val="en-US"/>
        </w:rPr>
        <w:t xml:space="preserve"> է</w:t>
      </w:r>
      <w:r w:rsidRPr="001F63BA">
        <w:rPr>
          <w:rFonts w:ascii="GHEA Grapalat" w:hAnsi="GHEA Grapalat" w:cs="GHEA Grapalat"/>
          <w:iCs/>
          <w:sz w:val="22"/>
          <w:szCs w:val="22"/>
        </w:rPr>
        <w:t xml:space="preserve"> </w:t>
      </w:r>
      <w:bookmarkEnd w:id="244"/>
      <w:r w:rsidRPr="001F63BA">
        <w:rPr>
          <w:rFonts w:ascii="GHEA Grapalat" w:hAnsi="GHEA Grapalat" w:cs="GHEA Grapalat"/>
          <w:bCs/>
          <w:iCs/>
          <w:sz w:val="22"/>
          <w:szCs w:val="22"/>
          <w:lang w:val="fr-FR"/>
        </w:rPr>
        <w:t>արտարժույթի կանխատեսված ու փաստացի փոխարժեքների տարբերությամբ, ինչպես նաև</w:t>
      </w:r>
      <w:r w:rsidRPr="001F63BA">
        <w:rPr>
          <w:rFonts w:ascii="GHEA Grapalat" w:hAnsi="GHEA Grapalat" w:cs="GHEA Grapalat"/>
          <w:iCs/>
          <w:sz w:val="22"/>
          <w:szCs w:val="22"/>
        </w:rPr>
        <w:t xml:space="preserve"> խորհրդատուի կողմից մատուցված ծառայությունների</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հաշվետվություններ</w:t>
      </w:r>
      <w:r w:rsidRPr="001F63BA">
        <w:rPr>
          <w:rFonts w:ascii="GHEA Grapalat" w:hAnsi="GHEA Grapalat" w:cs="GHEA Grapalat"/>
          <w:iCs/>
          <w:sz w:val="22"/>
          <w:szCs w:val="22"/>
          <w:lang w:val="en-US"/>
        </w:rPr>
        <w:t>ի</w:t>
      </w:r>
      <w:r w:rsidRPr="001F63BA">
        <w:rPr>
          <w:rFonts w:ascii="GHEA Grapalat" w:hAnsi="GHEA Grapalat" w:cs="GHEA Grapalat"/>
          <w:iCs/>
          <w:sz w:val="22"/>
          <w:szCs w:val="22"/>
        </w:rPr>
        <w:t xml:space="preserve"> ստուգման փուլում </w:t>
      </w:r>
      <w:r w:rsidRPr="001F63BA">
        <w:rPr>
          <w:rFonts w:ascii="GHEA Grapalat" w:hAnsi="GHEA Grapalat" w:cs="GHEA Grapalat"/>
          <w:iCs/>
          <w:sz w:val="22"/>
          <w:szCs w:val="22"/>
          <w:lang w:val="en-US"/>
        </w:rPr>
        <w:t>գտնվելու հանգամանքով</w:t>
      </w:r>
      <w:r w:rsidRPr="001F63BA">
        <w:rPr>
          <w:rFonts w:ascii="GHEA Grapalat" w:hAnsi="GHEA Grapalat" w:cs="GHEA Grapalat"/>
          <w:iCs/>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թվականի համեմատ Ճանապարհային ցանցի բարելավման ծրագրի </w:t>
      </w:r>
      <w:r w:rsidRPr="001F63BA">
        <w:rPr>
          <w:rFonts w:ascii="GHEA Grapalat" w:hAnsi="GHEA Grapalat" w:cs="Sylfaen"/>
          <w:sz w:val="22"/>
          <w:szCs w:val="22"/>
        </w:rPr>
        <w:t>շրջանակներում</w:t>
      </w:r>
      <w:r w:rsidRPr="001F63BA">
        <w:rPr>
          <w:rFonts w:ascii="GHEA Grapalat" w:hAnsi="GHEA Grapalat" w:cs="GHEA Grapalat"/>
          <w:sz w:val="22"/>
          <w:szCs w:val="22"/>
        </w:rPr>
        <w:t xml:space="preserve"> կատարված ծախսերն աճել են </w:t>
      </w:r>
      <w:r w:rsidRPr="001F63BA">
        <w:rPr>
          <w:rFonts w:ascii="GHEA Grapalat" w:hAnsi="GHEA Grapalat" w:cs="GHEA Grapalat"/>
          <w:sz w:val="22"/>
          <w:szCs w:val="22"/>
          <w:lang w:val="en-US"/>
        </w:rPr>
        <w:t>37.4</w:t>
      </w:r>
      <w:r w:rsidRPr="001F63BA">
        <w:rPr>
          <w:rFonts w:ascii="GHEA Grapalat" w:hAnsi="GHEA Grapalat" w:cs="GHEA Grapalat"/>
          <w:sz w:val="22"/>
          <w:szCs w:val="22"/>
        </w:rPr>
        <w:t xml:space="preserve">%-ով կամ </w:t>
      </w:r>
      <w:r w:rsidRPr="001F63BA">
        <w:rPr>
          <w:rFonts w:ascii="GHEA Grapalat" w:hAnsi="GHEA Grapalat" w:cs="GHEA Grapalat"/>
          <w:sz w:val="22"/>
          <w:szCs w:val="22"/>
          <w:lang w:val="en-US"/>
        </w:rPr>
        <w:t>22.6</w:t>
      </w:r>
      <w:r w:rsidRPr="001F63BA">
        <w:rPr>
          <w:rFonts w:ascii="GHEA Grapalat" w:hAnsi="GHEA Grapalat" w:cs="GHEA Grapalat"/>
          <w:sz w:val="22"/>
          <w:szCs w:val="22"/>
        </w:rPr>
        <w:t xml:space="preserve"> մլրդ դրամով՝ հիմնականում պայմանավորված </w:t>
      </w:r>
      <w:r w:rsidRPr="001F63BA">
        <w:rPr>
          <w:rFonts w:ascii="GHEA Grapalat" w:hAnsi="GHEA Grapalat" w:cs="GHEA Grapalat"/>
          <w:sz w:val="22"/>
          <w:szCs w:val="22"/>
          <w:lang w:val="en-US"/>
        </w:rPr>
        <w:t>պ</w:t>
      </w:r>
      <w:r w:rsidRPr="001F63BA">
        <w:rPr>
          <w:rFonts w:ascii="GHEA Grapalat" w:hAnsi="GHEA Grapalat" w:cs="GHEA Grapalat"/>
          <w:sz w:val="22"/>
          <w:szCs w:val="22"/>
        </w:rPr>
        <w:t>ետական նշանակության ավտոճանապարհների հիմնանորոգ</w:t>
      </w:r>
      <w:r w:rsidRPr="001F63BA">
        <w:rPr>
          <w:rFonts w:ascii="GHEA Grapalat" w:hAnsi="GHEA Grapalat" w:cs="GHEA Grapalat"/>
          <w:sz w:val="22"/>
          <w:szCs w:val="22"/>
          <w:lang w:val="en-US"/>
        </w:rPr>
        <w:t>ման</w:t>
      </w:r>
      <w:r w:rsidRPr="001F63BA">
        <w:rPr>
          <w:rFonts w:ascii="GHEA Grapalat" w:hAnsi="GHEA Grapalat" w:cs="GHEA Grapalat"/>
          <w:sz w:val="22"/>
          <w:szCs w:val="22"/>
        </w:rPr>
        <w:t xml:space="preserve"> ծախսերի աճով։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ընթացքում </w:t>
      </w:r>
      <w:r w:rsidRPr="001F63BA">
        <w:rPr>
          <w:rFonts w:ascii="GHEA Grapalat" w:hAnsi="GHEA Grapalat" w:cs="GHEA Grapalat"/>
          <w:i/>
          <w:sz w:val="22"/>
          <w:szCs w:val="22"/>
        </w:rPr>
        <w:t>Ջրամատակարարման և ջրահեռացման բարելավման</w:t>
      </w:r>
      <w:r w:rsidRPr="001F63BA">
        <w:rPr>
          <w:rFonts w:ascii="GHEA Grapalat" w:hAnsi="GHEA Grapalat" w:cs="GHEA Grapalat"/>
          <w:sz w:val="22"/>
          <w:szCs w:val="22"/>
        </w:rPr>
        <w:t xml:space="preserve"> ծրագրի շրջանակներում օգտագործվել է նախատեսված միջոցների </w:t>
      </w:r>
      <w:r w:rsidRPr="001F63BA">
        <w:rPr>
          <w:rFonts w:ascii="GHEA Grapalat" w:hAnsi="GHEA Grapalat" w:cs="GHEA Grapalat"/>
          <w:sz w:val="22"/>
          <w:szCs w:val="22"/>
          <w:lang w:val="en-US"/>
        </w:rPr>
        <w:t>87.2</w:t>
      </w:r>
      <w:r w:rsidRPr="001F63BA">
        <w:rPr>
          <w:rFonts w:ascii="GHEA Grapalat" w:hAnsi="GHEA Grapalat" w:cs="GHEA Grapalat"/>
          <w:sz w:val="22"/>
          <w:szCs w:val="22"/>
        </w:rPr>
        <w:t xml:space="preserve">%-ը՝ ավելի քան </w:t>
      </w:r>
      <w:r w:rsidRPr="001F63BA">
        <w:rPr>
          <w:rFonts w:ascii="GHEA Grapalat" w:hAnsi="GHEA Grapalat" w:cs="GHEA Grapalat"/>
          <w:sz w:val="22"/>
          <w:szCs w:val="22"/>
          <w:lang w:val="en-US"/>
        </w:rPr>
        <w:t>5.8</w:t>
      </w:r>
      <w:r w:rsidRPr="001F63BA">
        <w:rPr>
          <w:rFonts w:ascii="GHEA Grapalat" w:hAnsi="GHEA Grapalat" w:cs="GHEA Grapalat"/>
          <w:sz w:val="22"/>
          <w:szCs w:val="22"/>
        </w:rPr>
        <w:t xml:space="preserve"> մլրդ դրամ: </w:t>
      </w:r>
      <w:r w:rsidRPr="001F63BA">
        <w:rPr>
          <w:rFonts w:ascii="GHEA Grapalat" w:hAnsi="GHEA Grapalat" w:cs="GHEA Grapalat"/>
          <w:sz w:val="22"/>
          <w:szCs w:val="22"/>
          <w:lang w:val="en-US"/>
        </w:rPr>
        <w:t xml:space="preserve">Շեղումը հիմնականում պայմանավորված է Գերմանիայի զարգացման վարկերի բանկի և Եվրոպական ներդրումային բանկի աջակցությամբ իրականացվող ջրամատակարարման և ջրահեռացման ենթակառուցվածքների վերականգնման ծրագրի ծախսերի կատարողականով: </w:t>
      </w:r>
      <w:r w:rsidRPr="001F63BA">
        <w:rPr>
          <w:rFonts w:ascii="GHEA Grapalat" w:hAnsi="GHEA Grapalat" w:cs="GHEA Grapalat"/>
          <w:sz w:val="22"/>
          <w:szCs w:val="22"/>
        </w:rPr>
        <w:t xml:space="preserve">Ջրամատակարարման և ջրահեռացման բարելավման ծրագրի ծախսերի հիմնական մասն իրականացվել է արտաքին աջակցությամբ: Մասնավորապես՝ </w:t>
      </w:r>
      <w:r w:rsidRPr="001F63BA">
        <w:rPr>
          <w:rFonts w:ascii="GHEA Grapalat" w:hAnsi="GHEA Grapalat" w:cs="GHEA Grapalat"/>
          <w:sz w:val="22"/>
          <w:szCs w:val="22"/>
          <w:lang w:val="en-US"/>
        </w:rPr>
        <w:t>ԵՆԲ</w:t>
      </w:r>
      <w:r w:rsidRPr="001F63BA">
        <w:rPr>
          <w:rFonts w:ascii="GHEA Grapalat" w:hAnsi="GHEA Grapalat" w:cs="GHEA Grapalat"/>
          <w:sz w:val="22"/>
          <w:szCs w:val="22"/>
        </w:rPr>
        <w:t xml:space="preserve"> աջակցությամբ ջրամատակարարման և ջրահեռացման ենթակառուցվածքների վերականգնման երրորդ փուլի շրջանակներում օգտագործվել է 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մլրդ դրամ՝ կազմելով ծրագրված ցուցանիշի 8</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.5%-ը: </w:t>
      </w:r>
      <w:r w:rsidRPr="001F63BA">
        <w:rPr>
          <w:rFonts w:ascii="GHEA Grapalat" w:hAnsi="GHEA Grapalat" w:cs="GHEA Grapalat"/>
          <w:bCs/>
          <w:iCs/>
          <w:sz w:val="22"/>
          <w:szCs w:val="22"/>
          <w:lang w:val="fr-FR"/>
        </w:rPr>
        <w:t xml:space="preserve">Ծրագրի շրջանակներում իրականացվում է </w:t>
      </w:r>
      <w:r w:rsidRPr="001F63BA">
        <w:rPr>
          <w:rFonts w:ascii="GHEA Grapalat" w:hAnsi="GHEA Grapalat" w:cs="GHEA Grapalat"/>
          <w:bCs/>
          <w:iCs/>
          <w:sz w:val="22"/>
          <w:szCs w:val="22"/>
        </w:rPr>
        <w:t xml:space="preserve">ՀՀ Շիրակի, Լոռու, Արմավիրի, Գեղարքունիքի, Վայոց Ձորի և Սյունիքի մարզերի՝ ընդհանուր թվով 11 քաղաքների և </w:t>
      </w:r>
      <w:r w:rsidRPr="001F63BA">
        <w:rPr>
          <w:rFonts w:ascii="GHEA Grapalat" w:hAnsi="GHEA Grapalat" w:cs="GHEA Grapalat"/>
          <w:bCs/>
          <w:iCs/>
          <w:sz w:val="22"/>
          <w:szCs w:val="22"/>
          <w:lang w:val="en-US"/>
        </w:rPr>
        <w:t>41</w:t>
      </w:r>
      <w:r w:rsidRPr="001F63BA">
        <w:rPr>
          <w:rFonts w:ascii="GHEA Grapalat" w:hAnsi="GHEA Grapalat" w:cs="GHEA Grapalat"/>
          <w:bCs/>
          <w:iCs/>
          <w:sz w:val="22"/>
          <w:szCs w:val="22"/>
        </w:rPr>
        <w:t xml:space="preserve"> գյուղերի ջրամատակարարման և ջրահեռացման համակարգ</w:t>
      </w:r>
      <w:r w:rsidRPr="001F63BA">
        <w:rPr>
          <w:rFonts w:ascii="GHEA Grapalat" w:hAnsi="GHEA Grapalat" w:cs="GHEA Grapalat"/>
          <w:bCs/>
          <w:iCs/>
          <w:sz w:val="22"/>
          <w:szCs w:val="22"/>
          <w:lang w:val="en-US"/>
        </w:rPr>
        <w:t>եր</w:t>
      </w:r>
      <w:r w:rsidRPr="001F63BA">
        <w:rPr>
          <w:rFonts w:ascii="GHEA Grapalat" w:hAnsi="GHEA Grapalat" w:cs="GHEA Grapalat"/>
          <w:bCs/>
          <w:iCs/>
          <w:sz w:val="22"/>
          <w:szCs w:val="22"/>
        </w:rPr>
        <w:t>ի վերակառուցում։</w:t>
      </w:r>
      <w:bookmarkStart w:id="245" w:name="_Hlk97311305"/>
      <w:r w:rsidRPr="001F63BA">
        <w:rPr>
          <w:rFonts w:ascii="GHEA Grapalat" w:hAnsi="GHEA Grapalat" w:cs="GHEA Grapalat"/>
          <w:bCs/>
          <w:iCs/>
          <w:sz w:val="22"/>
          <w:szCs w:val="22"/>
        </w:rPr>
        <w:t xml:space="preserve"> Նախատեսվում է նաև կոյուղու մաքրման կայանների կառուցում Արմավիր, Մեծամոր և Սևան քաղաքներում։</w:t>
      </w:r>
      <w:r w:rsidRPr="001F63BA">
        <w:rPr>
          <w:rFonts w:ascii="GHEA Grapalat" w:hAnsi="GHEA Grapalat" w:cs="GHEA Grapalat"/>
          <w:bCs/>
          <w:iCs/>
          <w:sz w:val="22"/>
          <w:szCs w:val="22"/>
          <w:lang w:val="en-US"/>
        </w:rPr>
        <w:t xml:space="preserve"> </w:t>
      </w:r>
      <w:r w:rsidRPr="001F63BA">
        <w:rPr>
          <w:rFonts w:ascii="GHEA Grapalat" w:hAnsi="GHEA Grapalat" w:cs="GHEA Grapalat"/>
          <w:bCs/>
          <w:iCs/>
          <w:sz w:val="22"/>
          <w:szCs w:val="22"/>
        </w:rPr>
        <w:t>202</w:t>
      </w:r>
      <w:r w:rsidRPr="001F63BA">
        <w:rPr>
          <w:rFonts w:ascii="GHEA Grapalat" w:hAnsi="GHEA Grapalat" w:cs="GHEA Grapalat"/>
          <w:bCs/>
          <w:iCs/>
          <w:sz w:val="22"/>
          <w:szCs w:val="22"/>
          <w:lang w:val="en-US"/>
        </w:rPr>
        <w:t>2</w:t>
      </w:r>
      <w:r w:rsidRPr="001F63BA">
        <w:rPr>
          <w:rFonts w:ascii="GHEA Grapalat" w:hAnsi="GHEA Grapalat" w:cs="GHEA Grapalat"/>
          <w:bCs/>
          <w:iCs/>
          <w:sz w:val="22"/>
          <w:szCs w:val="22"/>
        </w:rPr>
        <w:t xml:space="preserve"> թվականին </w:t>
      </w:r>
      <w:r w:rsidRPr="001F63BA">
        <w:rPr>
          <w:rFonts w:ascii="GHEA Grapalat" w:hAnsi="GHEA Grapalat" w:cs="GHEA Grapalat"/>
          <w:bCs/>
          <w:iCs/>
          <w:sz w:val="22"/>
          <w:szCs w:val="22"/>
          <w:lang w:val="en-US"/>
        </w:rPr>
        <w:t xml:space="preserve">շարունակվել են </w:t>
      </w:r>
      <w:r w:rsidRPr="001F63BA">
        <w:rPr>
          <w:rFonts w:ascii="GHEA Grapalat" w:hAnsi="GHEA Grapalat" w:cs="GHEA Grapalat"/>
          <w:bCs/>
          <w:iCs/>
          <w:sz w:val="22"/>
          <w:szCs w:val="22"/>
        </w:rPr>
        <w:t xml:space="preserve">կնքվել Շիրակի, Գեղարքունիքի, Վայոց ձորի և Սյունիքի մարզերի՝ ծրագրով նախատեսված համայնքներում ջրամատակարարման և ջրահեռացման համակարգերի հիմնանորոգման աշխատանքների կատարման պայմանագրերը, որոնց մասով շինարարական աշխատանքները մեկնարկել են։ </w:t>
      </w:r>
      <w:r w:rsidRPr="001F63BA">
        <w:rPr>
          <w:rFonts w:ascii="GHEA Grapalat" w:hAnsi="GHEA Grapalat" w:cs="GHEA Grapalat"/>
          <w:sz w:val="22"/>
          <w:szCs w:val="22"/>
        </w:rPr>
        <w:t>Ծրագիրն իրականացվում է</w:t>
      </w:r>
      <w:r w:rsidRPr="001F63BA">
        <w:rPr>
          <w:rFonts w:ascii="GHEA Grapalat" w:hAnsi="GHEA Grapalat" w:cs="GHEA Grapalat"/>
          <w:bCs/>
          <w:iCs/>
          <w:sz w:val="22"/>
          <w:szCs w:val="22"/>
        </w:rPr>
        <w:t xml:space="preserve"> </w:t>
      </w:r>
      <w:r w:rsidRPr="001F63BA">
        <w:rPr>
          <w:rFonts w:ascii="GHEA Grapalat" w:hAnsi="GHEA Grapalat" w:cs="GHEA Grapalat"/>
          <w:sz w:val="22"/>
          <w:szCs w:val="22"/>
        </w:rPr>
        <w:t xml:space="preserve">Գերմանիայի զարգացման վարկերի բանկի աջակցությամբ իրականացվող ջրամատակարարման և ջրահեռացման ենթակառուցվածքների վերականգնման ծրագրի երրորդ փուլի </w:t>
      </w:r>
      <w:r w:rsidRPr="001F63BA">
        <w:rPr>
          <w:rFonts w:ascii="GHEA Grapalat" w:hAnsi="GHEA Grapalat" w:cs="GHEA Grapalat"/>
          <w:bCs/>
          <w:iCs/>
          <w:sz w:val="22"/>
          <w:szCs w:val="22"/>
        </w:rPr>
        <w:t xml:space="preserve">միջոցառման հետ համատեղ, որի շրջանակներում </w:t>
      </w:r>
      <w:r w:rsidRPr="001F63BA">
        <w:rPr>
          <w:rFonts w:ascii="GHEA Grapalat" w:hAnsi="GHEA Grapalat" w:cs="GHEA Grapalat"/>
          <w:bCs/>
          <w:iCs/>
          <w:sz w:val="22"/>
          <w:szCs w:val="22"/>
          <w:lang w:val="en-US"/>
        </w:rPr>
        <w:t>օգտագործվել է շուրջ 1.5</w:t>
      </w:r>
      <w:r w:rsidRPr="001F63BA">
        <w:rPr>
          <w:rFonts w:ascii="GHEA Grapalat" w:hAnsi="GHEA Grapalat" w:cs="GHEA Grapalat"/>
          <w:sz w:val="22"/>
          <w:szCs w:val="22"/>
        </w:rPr>
        <w:t xml:space="preserve"> մլրդ դրամ</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կազմելով ծրագրված ցուցանիշի 82.9%-ը</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Ծրագրված ցուցանիշներից շեղումները երկու միջոցառման գծով էլ </w:t>
      </w:r>
      <w:r w:rsidRPr="001F63BA">
        <w:rPr>
          <w:rFonts w:ascii="GHEA Grapalat" w:hAnsi="GHEA Grapalat" w:cs="GHEA Grapalat"/>
          <w:sz w:val="22"/>
          <w:szCs w:val="22"/>
        </w:rPr>
        <w:t xml:space="preserve">պայմանավորված </w:t>
      </w:r>
      <w:r w:rsidRPr="001F63BA">
        <w:rPr>
          <w:rFonts w:ascii="GHEA Grapalat" w:hAnsi="GHEA Grapalat" w:cs="GHEA Grapalat"/>
          <w:sz w:val="22"/>
          <w:szCs w:val="22"/>
          <w:lang w:val="en-US"/>
        </w:rPr>
        <w:t>են</w:t>
      </w:r>
      <w:r w:rsidRPr="001F63BA">
        <w:rPr>
          <w:rFonts w:ascii="GHEA Grapalat" w:hAnsi="GHEA Grapalat" w:cs="GHEA Grapalat"/>
          <w:sz w:val="22"/>
          <w:szCs w:val="22"/>
        </w:rPr>
        <w:t xml:space="preserve"> </w:t>
      </w:r>
      <w:bookmarkStart w:id="246" w:name="_Hlk128581838"/>
      <w:r w:rsidRPr="001F63BA">
        <w:rPr>
          <w:rFonts w:ascii="GHEA Grapalat" w:hAnsi="GHEA Grapalat" w:cs="GHEA Grapalat"/>
          <w:sz w:val="22"/>
          <w:szCs w:val="22"/>
          <w:lang w:val="en-US"/>
        </w:rPr>
        <w:t xml:space="preserve">արտարժույթի </w:t>
      </w:r>
      <w:r w:rsidRPr="001F63BA">
        <w:rPr>
          <w:rFonts w:ascii="GHEA Grapalat" w:hAnsi="GHEA Grapalat" w:cs="GHEA Grapalat"/>
          <w:bCs/>
          <w:iCs/>
          <w:sz w:val="22"/>
          <w:szCs w:val="22"/>
          <w:lang w:val="fr-FR"/>
        </w:rPr>
        <w:t>կանխատեսված ու փաստացի փոխարժեքների տարբերությամբ</w:t>
      </w:r>
      <w:bookmarkEnd w:id="246"/>
      <w:r w:rsidRPr="001F63BA">
        <w:rPr>
          <w:rFonts w:ascii="GHEA Grapalat" w:hAnsi="GHEA Grapalat" w:cs="GHEA Grapalat"/>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lastRenderedPageBreak/>
        <w:t>Ջրամատակարարման և ջրահեռացման համակարգի հիմնանորոգ</w:t>
      </w:r>
      <w:r w:rsidRPr="001F63BA">
        <w:rPr>
          <w:rFonts w:ascii="GHEA Grapalat" w:hAnsi="GHEA Grapalat" w:cs="GHEA Grapalat"/>
          <w:sz w:val="22"/>
          <w:szCs w:val="22"/>
          <w:lang w:val="en-US"/>
        </w:rPr>
        <w:t>ման շրջանակներում</w:t>
      </w:r>
      <w:r w:rsidRPr="001F63BA">
        <w:rPr>
          <w:rFonts w:ascii="GHEA Grapalat" w:hAnsi="GHEA Grapalat" w:cs="Sylfaen"/>
          <w:noProof w:val="0"/>
          <w:lang w:val="en-US" w:eastAsia="ru-RU"/>
        </w:rPr>
        <w:t xml:space="preserve"> </w:t>
      </w:r>
      <w:r w:rsidRPr="001F63BA">
        <w:rPr>
          <w:rFonts w:ascii="GHEA Grapalat" w:hAnsi="GHEA Grapalat" w:cs="GHEA Grapalat"/>
          <w:sz w:val="22"/>
          <w:szCs w:val="22"/>
          <w:lang w:val="en-US"/>
        </w:rPr>
        <w:t>ավարտվել</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է</w:t>
      </w:r>
      <w:r w:rsidRPr="001F63BA">
        <w:rPr>
          <w:rFonts w:ascii="GHEA Grapalat" w:hAnsi="GHEA Grapalat" w:cs="GHEA Grapalat"/>
          <w:sz w:val="22"/>
          <w:szCs w:val="22"/>
          <w:lang w:val="fr-FR"/>
        </w:rPr>
        <w:t xml:space="preserve"> 2020 </w:t>
      </w:r>
      <w:r w:rsidRPr="001F63BA">
        <w:rPr>
          <w:rFonts w:ascii="GHEA Grapalat" w:hAnsi="GHEA Grapalat" w:cs="GHEA Grapalat"/>
          <w:sz w:val="22"/>
          <w:szCs w:val="22"/>
          <w:lang w:val="en-US"/>
        </w:rPr>
        <w:t>թվականին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սկսված</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Հ</w:t>
      </w:r>
      <w:r w:rsidRPr="001F63BA">
        <w:rPr>
          <w:rFonts w:ascii="GHEA Grapalat" w:hAnsi="GHEA Grapalat" w:cs="GHEA Grapalat"/>
          <w:sz w:val="22"/>
          <w:szCs w:val="22"/>
          <w:lang w:val="fr-FR"/>
        </w:rPr>
        <w:t xml:space="preserve">8, </w:t>
      </w:r>
      <w:r w:rsidRPr="001F63BA">
        <w:rPr>
          <w:rFonts w:ascii="GHEA Grapalat" w:hAnsi="GHEA Grapalat" w:cs="GHEA Grapalat"/>
          <w:sz w:val="22"/>
          <w:szCs w:val="22"/>
          <w:lang w:val="en-US"/>
        </w:rPr>
        <w:t>Երևան</w:t>
      </w:r>
      <w:r w:rsidRPr="001F63BA">
        <w:rPr>
          <w:rFonts w:ascii="GHEA Grapalat" w:hAnsi="GHEA Grapalat" w:cs="GHEA Grapalat"/>
          <w:sz w:val="22"/>
          <w:szCs w:val="22"/>
          <w:lang w:val="fr-FR"/>
        </w:rPr>
        <w:t>-</w:t>
      </w:r>
      <w:r w:rsidRPr="001F63BA">
        <w:rPr>
          <w:rFonts w:ascii="GHEA Grapalat" w:hAnsi="GHEA Grapalat" w:cs="GHEA Grapalat"/>
          <w:sz w:val="22"/>
          <w:szCs w:val="22"/>
          <w:lang w:val="en-US"/>
        </w:rPr>
        <w:t>Արտաշատ</w:t>
      </w:r>
      <w:r w:rsidRPr="001F63BA">
        <w:rPr>
          <w:rFonts w:ascii="GHEA Grapalat" w:hAnsi="GHEA Grapalat" w:cs="GHEA Grapalat"/>
          <w:sz w:val="22"/>
          <w:szCs w:val="22"/>
          <w:lang w:val="fr-FR"/>
        </w:rPr>
        <w:t>-</w:t>
      </w:r>
      <w:r w:rsidRPr="001F63BA">
        <w:rPr>
          <w:rFonts w:ascii="GHEA Grapalat" w:hAnsi="GHEA Grapalat" w:cs="GHEA Grapalat"/>
          <w:sz w:val="22"/>
          <w:szCs w:val="22"/>
          <w:lang w:val="en-US"/>
        </w:rPr>
        <w:t>Այգեվան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կմ</w:t>
      </w:r>
      <w:r w:rsidRPr="001F63BA">
        <w:rPr>
          <w:rFonts w:ascii="GHEA Grapalat" w:hAnsi="GHEA Grapalat" w:cs="GHEA Grapalat"/>
          <w:sz w:val="22"/>
          <w:szCs w:val="22"/>
          <w:lang w:val="fr-FR"/>
        </w:rPr>
        <w:t>33+500</w:t>
      </w:r>
      <w:r w:rsidR="001D51E4"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կմ</w:t>
      </w:r>
      <w:r w:rsidRPr="001F63BA">
        <w:rPr>
          <w:rFonts w:ascii="GHEA Grapalat" w:hAnsi="GHEA Grapalat" w:cs="GHEA Grapalat"/>
          <w:sz w:val="22"/>
          <w:szCs w:val="22"/>
          <w:lang w:val="fr-FR"/>
        </w:rPr>
        <w:t>42+600 (</w:t>
      </w:r>
      <w:r w:rsidRPr="001F63BA">
        <w:rPr>
          <w:rFonts w:ascii="GHEA Grapalat" w:hAnsi="GHEA Grapalat" w:cs="GHEA Grapalat"/>
          <w:sz w:val="22"/>
          <w:szCs w:val="22"/>
          <w:lang w:val="en-US"/>
        </w:rPr>
        <w:t>Արարատ</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բնակավայր</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հատվածներում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պետության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կարիքների</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համար</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ջրամատակարարման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համակարգերի</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վերակառուցման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աշխատանքների</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իրականացումը։</w:t>
      </w:r>
      <w:r w:rsidRPr="001F63BA">
        <w:rPr>
          <w:rFonts w:ascii="GHEA Grapalat" w:hAnsi="GHEA Grapalat"/>
          <w:noProof w:val="0"/>
          <w:shd w:val="clear" w:color="auto" w:fill="FFFFFF"/>
          <w:lang w:val="en-US" w:eastAsia="ru-RU"/>
        </w:rPr>
        <w:t xml:space="preserve"> </w:t>
      </w:r>
      <w:r w:rsidRPr="001F63BA">
        <w:rPr>
          <w:rFonts w:ascii="GHEA Grapalat" w:hAnsi="GHEA Grapalat" w:cs="GHEA Grapalat"/>
          <w:sz w:val="22"/>
          <w:szCs w:val="22"/>
          <w:lang w:val="en-US"/>
        </w:rPr>
        <w:t>Մասամբ</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իրականացվել</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է</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ՀՀ</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երեք</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մարզերի</w:t>
      </w:r>
      <w:r w:rsidRPr="001F63BA">
        <w:rPr>
          <w:rFonts w:ascii="GHEA Grapalat" w:hAnsi="GHEA Grapalat" w:cs="GHEA Grapalat"/>
          <w:sz w:val="22"/>
          <w:szCs w:val="22"/>
          <w:lang w:val="fr-FR"/>
        </w:rPr>
        <w:t xml:space="preserve"> 21 </w:t>
      </w:r>
      <w:r w:rsidRPr="001F63BA">
        <w:rPr>
          <w:rFonts w:ascii="GHEA Grapalat" w:hAnsi="GHEA Grapalat" w:cs="GHEA Grapalat"/>
          <w:sz w:val="22"/>
          <w:szCs w:val="22"/>
          <w:lang w:val="en-US"/>
        </w:rPr>
        <w:t>բնակավայրերի</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ջրամատակարարման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և</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ջրահեռացման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համակարգերի</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վերակառուցում</w:t>
      </w:r>
      <w:r w:rsidRPr="001F63BA">
        <w:rPr>
          <w:rFonts w:ascii="GHEA Grapalat" w:hAnsi="GHEA Grapalat" w:cs="GHEA Grapalat"/>
          <w:sz w:val="22"/>
          <w:szCs w:val="22"/>
          <w:lang w:val="fr-FR"/>
        </w:rPr>
        <w:t xml:space="preserve">: </w:t>
      </w:r>
      <w:r w:rsidRPr="001F63BA">
        <w:rPr>
          <w:rFonts w:ascii="GHEA Grapalat" w:hAnsi="GHEA Grapalat" w:cs="GHEA Grapalat"/>
          <w:iCs/>
          <w:sz w:val="22"/>
          <w:szCs w:val="22"/>
          <w:lang w:val="en-US"/>
        </w:rPr>
        <w:t>Միջոցառման</w:t>
      </w:r>
      <w:r w:rsidRPr="001F63BA">
        <w:rPr>
          <w:rFonts w:ascii="GHEA Grapalat" w:hAnsi="GHEA Grapalat" w:cs="GHEA Grapalat"/>
          <w:iCs/>
          <w:sz w:val="22"/>
          <w:szCs w:val="22"/>
        </w:rPr>
        <w:t xml:space="preserve"> շրջանակներում օգտագործվել է շուրջ </w:t>
      </w:r>
      <w:r w:rsidRPr="001F63BA">
        <w:rPr>
          <w:rFonts w:ascii="GHEA Grapalat" w:hAnsi="GHEA Grapalat" w:cs="GHEA Grapalat"/>
          <w:iCs/>
          <w:sz w:val="22"/>
          <w:szCs w:val="22"/>
          <w:lang w:val="en-US"/>
        </w:rPr>
        <w:t>1.7</w:t>
      </w:r>
      <w:r w:rsidRPr="001F63BA">
        <w:rPr>
          <w:rFonts w:ascii="GHEA Grapalat" w:hAnsi="GHEA Grapalat" w:cs="GHEA Grapalat"/>
          <w:iCs/>
          <w:sz w:val="22"/>
          <w:szCs w:val="22"/>
        </w:rPr>
        <w:t xml:space="preserve"> մլրդ դրամ կամ նախատեսված միջոցների </w:t>
      </w:r>
      <w:r w:rsidRPr="001F63BA">
        <w:rPr>
          <w:rFonts w:ascii="GHEA Grapalat" w:hAnsi="GHEA Grapalat" w:cs="GHEA Grapalat"/>
          <w:iCs/>
          <w:sz w:val="22"/>
          <w:szCs w:val="22"/>
          <w:lang w:val="en-US"/>
        </w:rPr>
        <w:t>99.7</w:t>
      </w:r>
      <w:r w:rsidRPr="001F63BA">
        <w:rPr>
          <w:rFonts w:ascii="GHEA Grapalat" w:hAnsi="GHEA Grapalat" w:cs="GHEA Grapalat"/>
          <w:iCs/>
          <w:sz w:val="22"/>
          <w:szCs w:val="22"/>
        </w:rPr>
        <w:t>%-ը</w:t>
      </w:r>
      <w:r w:rsidRPr="001F63BA">
        <w:rPr>
          <w:rFonts w:ascii="GHEA Grapalat" w:hAnsi="GHEA Grapalat" w:cs="GHEA Grapalat"/>
          <w:iCs/>
          <w:sz w:val="22"/>
          <w:szCs w:val="22"/>
          <w:lang w:val="en-US"/>
        </w:rPr>
        <w:t>:</w:t>
      </w:r>
    </w:p>
    <w:bookmarkEnd w:id="245"/>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Նախորդ տարվա համեմատ Ջրամատակարարման և ջրահեռացման բարելավման ծրագրի ծախսեր</w:t>
      </w:r>
      <w:r w:rsidRPr="001F63BA">
        <w:rPr>
          <w:rFonts w:ascii="GHEA Grapalat" w:hAnsi="GHEA Grapalat" w:cs="GHEA Grapalat"/>
          <w:sz w:val="22"/>
          <w:szCs w:val="22"/>
          <w:lang w:val="en-US"/>
        </w:rPr>
        <w:t>ը նվազել</w:t>
      </w:r>
      <w:r w:rsidRPr="001F63BA">
        <w:rPr>
          <w:rFonts w:ascii="GHEA Grapalat" w:hAnsi="GHEA Grapalat" w:cs="GHEA Grapalat"/>
          <w:sz w:val="22"/>
          <w:szCs w:val="22"/>
        </w:rPr>
        <w:t xml:space="preserve"> են </w:t>
      </w:r>
      <w:r w:rsidRPr="001F63BA">
        <w:rPr>
          <w:rFonts w:ascii="GHEA Grapalat" w:hAnsi="GHEA Grapalat" w:cs="GHEA Grapalat"/>
          <w:sz w:val="22"/>
          <w:szCs w:val="22"/>
          <w:lang w:val="en-US"/>
        </w:rPr>
        <w:t>12.3%-ով</w:t>
      </w:r>
      <w:r w:rsidRPr="001F63BA">
        <w:rPr>
          <w:rFonts w:ascii="GHEA Grapalat" w:hAnsi="GHEA Grapalat" w:cs="GHEA Grapalat"/>
          <w:sz w:val="22"/>
          <w:szCs w:val="22"/>
        </w:rPr>
        <w:t xml:space="preserve"> կամ </w:t>
      </w:r>
      <w:r w:rsidRPr="001F63BA">
        <w:rPr>
          <w:rFonts w:ascii="GHEA Grapalat" w:hAnsi="GHEA Grapalat" w:cs="GHEA Grapalat"/>
          <w:sz w:val="22"/>
          <w:szCs w:val="22"/>
          <w:lang w:val="en-US"/>
        </w:rPr>
        <w:t>814.5 մլն</w:t>
      </w:r>
      <w:r w:rsidRPr="001F63BA">
        <w:rPr>
          <w:rFonts w:ascii="GHEA Grapalat" w:hAnsi="GHEA Grapalat" w:cs="GHEA Grapalat"/>
          <w:sz w:val="22"/>
          <w:szCs w:val="22"/>
        </w:rPr>
        <w:t xml:space="preserve"> դրամով՝ պայմանավորված </w:t>
      </w:r>
      <w:r w:rsidRPr="001F63BA">
        <w:rPr>
          <w:rFonts w:ascii="GHEA Grapalat" w:hAnsi="GHEA Grapalat" w:cs="GHEA Grapalat"/>
          <w:sz w:val="22"/>
          <w:szCs w:val="22"/>
          <w:lang w:val="en-US"/>
        </w:rPr>
        <w:t>արտաքին աջակցությամբ իրականացվող ծրագրերի շրջանակներում կատարված ծախսերի նվազմամբ</w:t>
      </w:r>
      <w:r w:rsidRPr="001F63BA">
        <w:rPr>
          <w:rFonts w:ascii="GHEA Grapalat" w:hAnsi="GHEA Grapalat" w:cs="GHEA Grapalat"/>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
          <w:iCs/>
          <w:sz w:val="22"/>
          <w:szCs w:val="22"/>
        </w:rPr>
        <w:t>Պետական գույքի կառավարման ծրագրի</w:t>
      </w:r>
      <w:r w:rsidRPr="001F63BA">
        <w:rPr>
          <w:rFonts w:ascii="GHEA Grapalat" w:hAnsi="GHEA Grapalat" w:cs="GHEA Grapalat"/>
          <w:iCs/>
          <w:sz w:val="22"/>
          <w:szCs w:val="22"/>
        </w:rPr>
        <w:t xml:space="preserve"> գծով փաստացի ցուցանիշը կազմել է -</w:t>
      </w:r>
      <w:r w:rsidRPr="001F63BA">
        <w:rPr>
          <w:rFonts w:ascii="GHEA Grapalat" w:hAnsi="GHEA Grapalat" w:cs="GHEA Grapalat"/>
          <w:iCs/>
          <w:sz w:val="22"/>
          <w:szCs w:val="22"/>
          <w:lang w:val="en-US"/>
        </w:rPr>
        <w:t>7</w:t>
      </w:r>
      <w:r w:rsidRPr="001F63BA">
        <w:rPr>
          <w:rFonts w:ascii="GHEA Grapalat" w:hAnsi="GHEA Grapalat" w:cs="GHEA Grapalat"/>
          <w:iCs/>
          <w:sz w:val="22"/>
          <w:szCs w:val="22"/>
        </w:rPr>
        <w:t>.4 մլ</w:t>
      </w:r>
      <w:r w:rsidRPr="001F63BA">
        <w:rPr>
          <w:rFonts w:ascii="GHEA Grapalat" w:hAnsi="GHEA Grapalat" w:cs="GHEA Grapalat"/>
          <w:iCs/>
          <w:sz w:val="22"/>
          <w:szCs w:val="22"/>
          <w:lang w:val="en-US"/>
        </w:rPr>
        <w:t>րդ</w:t>
      </w:r>
      <w:r w:rsidRPr="001F63BA">
        <w:rPr>
          <w:rFonts w:ascii="GHEA Grapalat" w:hAnsi="GHEA Grapalat" w:cs="GHEA Grapalat"/>
          <w:iCs/>
          <w:sz w:val="22"/>
          <w:szCs w:val="22"/>
        </w:rPr>
        <w:t xml:space="preserve"> դրամ կամ ծրագրված ցուցանիշի -</w:t>
      </w:r>
      <w:r w:rsidRPr="001F63BA">
        <w:rPr>
          <w:rFonts w:ascii="GHEA Grapalat" w:hAnsi="GHEA Grapalat" w:cs="GHEA Grapalat"/>
          <w:iCs/>
          <w:sz w:val="22"/>
          <w:szCs w:val="22"/>
          <w:lang w:val="en-US"/>
        </w:rPr>
        <w:t>84.7</w:t>
      </w:r>
      <w:r w:rsidRPr="001F63BA">
        <w:rPr>
          <w:rFonts w:ascii="GHEA Grapalat" w:hAnsi="GHEA Grapalat" w:cs="GHEA Grapalat"/>
          <w:iCs/>
          <w:sz w:val="22"/>
          <w:szCs w:val="22"/>
        </w:rPr>
        <w:t xml:space="preserve">%-ը՝ պայմանավորված ոչ ֆինանսական ակտիվների օտարումից ծրագրվածից </w:t>
      </w:r>
      <w:r w:rsidRPr="001F63BA">
        <w:rPr>
          <w:rFonts w:ascii="GHEA Grapalat" w:hAnsi="GHEA Grapalat" w:cs="GHEA Grapalat"/>
          <w:iCs/>
          <w:sz w:val="22"/>
          <w:szCs w:val="22"/>
          <w:lang w:val="en-US"/>
        </w:rPr>
        <w:t>պակաս</w:t>
      </w:r>
      <w:r w:rsidRPr="001F63BA">
        <w:rPr>
          <w:rFonts w:ascii="GHEA Grapalat" w:hAnsi="GHEA Grapalat" w:cs="GHEA Grapalat"/>
          <w:iCs/>
          <w:sz w:val="22"/>
          <w:szCs w:val="22"/>
        </w:rPr>
        <w:t xml:space="preserve"> մուտքերով: 202</w:t>
      </w:r>
      <w:r w:rsidRPr="001F63BA">
        <w:rPr>
          <w:rFonts w:ascii="GHEA Grapalat" w:hAnsi="GHEA Grapalat" w:cs="GHEA Grapalat"/>
          <w:iCs/>
          <w:sz w:val="22"/>
          <w:szCs w:val="22"/>
          <w:lang w:val="en-US"/>
        </w:rPr>
        <w:t>2</w:t>
      </w:r>
      <w:r w:rsidRPr="001F63BA">
        <w:rPr>
          <w:rFonts w:ascii="GHEA Grapalat" w:hAnsi="GHEA Grapalat" w:cs="GHEA Grapalat"/>
          <w:iCs/>
          <w:sz w:val="22"/>
          <w:szCs w:val="22"/>
        </w:rPr>
        <w:t xml:space="preserve"> թվականի ընթացքում Պետական գույքի կառավարման ծրագրի շրջանակներում կատարվել են </w:t>
      </w:r>
      <w:r w:rsidRPr="001F63BA">
        <w:rPr>
          <w:rFonts w:ascii="GHEA Grapalat" w:hAnsi="GHEA Grapalat" w:cs="GHEA Grapalat"/>
          <w:iCs/>
          <w:sz w:val="22"/>
          <w:szCs w:val="22"/>
          <w:lang w:val="en-US"/>
        </w:rPr>
        <w:t xml:space="preserve">շուրջ </w:t>
      </w:r>
      <w:r w:rsidRPr="001F63BA">
        <w:rPr>
          <w:rFonts w:ascii="GHEA Grapalat" w:hAnsi="GHEA Grapalat" w:cs="GHEA Grapalat"/>
          <w:iCs/>
          <w:sz w:val="22"/>
          <w:szCs w:val="22"/>
        </w:rPr>
        <w:t>1.</w:t>
      </w:r>
      <w:r w:rsidRPr="001F63BA">
        <w:rPr>
          <w:rFonts w:ascii="GHEA Grapalat" w:hAnsi="GHEA Grapalat" w:cs="GHEA Grapalat"/>
          <w:iCs/>
          <w:sz w:val="22"/>
          <w:szCs w:val="22"/>
          <w:lang w:val="en-US"/>
        </w:rPr>
        <w:t>4</w:t>
      </w:r>
      <w:r w:rsidRPr="001F63BA">
        <w:rPr>
          <w:rFonts w:ascii="GHEA Grapalat" w:hAnsi="GHEA Grapalat" w:cs="GHEA Grapalat"/>
          <w:iCs/>
          <w:sz w:val="22"/>
          <w:szCs w:val="22"/>
        </w:rPr>
        <w:t xml:space="preserve"> մլրդ դրամ ծախսեր՝ կազմելով ծրագրված ցուցանիշի 9</w:t>
      </w:r>
      <w:r w:rsidRPr="001F63BA">
        <w:rPr>
          <w:rFonts w:ascii="GHEA Grapalat" w:hAnsi="GHEA Grapalat" w:cs="GHEA Grapalat"/>
          <w:iCs/>
          <w:sz w:val="22"/>
          <w:szCs w:val="22"/>
          <w:lang w:val="en-US"/>
        </w:rPr>
        <w:t>9</w:t>
      </w:r>
      <w:r w:rsidRPr="001F63BA">
        <w:rPr>
          <w:rFonts w:ascii="GHEA Grapalat" w:hAnsi="GHEA Grapalat" w:cs="GHEA Grapalat"/>
          <w:iCs/>
          <w:sz w:val="22"/>
          <w:szCs w:val="22"/>
        </w:rPr>
        <w:t>.5%</w:t>
      </w:r>
      <w:r w:rsidRPr="001F63BA">
        <w:rPr>
          <w:rFonts w:ascii="GHEA Grapalat" w:hAnsi="GHEA Grapalat" w:cs="GHEA Grapalat"/>
          <w:iCs/>
          <w:sz w:val="22"/>
          <w:szCs w:val="22"/>
        </w:rPr>
        <w:noBreakHyphen/>
        <w:t xml:space="preserve">ը, որը պայմանավորված է խնայողություններով: Ոչ ֆինանսական ակտիվների օտարումից ստացվել է </w:t>
      </w:r>
      <w:r w:rsidRPr="001F63BA">
        <w:rPr>
          <w:rFonts w:ascii="GHEA Grapalat" w:hAnsi="GHEA Grapalat" w:cs="GHEA Grapalat"/>
          <w:iCs/>
          <w:sz w:val="22"/>
          <w:szCs w:val="22"/>
          <w:lang w:val="en-US"/>
        </w:rPr>
        <w:t>8.7</w:t>
      </w:r>
      <w:r w:rsidRPr="001F63BA">
        <w:rPr>
          <w:rFonts w:ascii="GHEA Grapalat" w:hAnsi="GHEA Grapalat" w:cs="GHEA Grapalat"/>
          <w:iCs/>
          <w:sz w:val="22"/>
          <w:szCs w:val="22"/>
        </w:rPr>
        <w:t xml:space="preserve"> մլրդ դրամ՝ </w:t>
      </w:r>
      <w:r w:rsidRPr="001F63BA">
        <w:rPr>
          <w:rFonts w:ascii="GHEA Grapalat" w:hAnsi="GHEA Grapalat" w:cs="GHEA Grapalat"/>
          <w:iCs/>
          <w:sz w:val="22"/>
          <w:szCs w:val="22"/>
          <w:lang w:val="en-US"/>
        </w:rPr>
        <w:t>նախատեսված 10.1 մլրդ դրամի դիմաց</w:t>
      </w:r>
      <w:r w:rsidRPr="001F63BA">
        <w:rPr>
          <w:rFonts w:ascii="GHEA Grapalat" w:hAnsi="GHEA Grapalat" w:cs="GHEA Grapalat"/>
          <w:iCs/>
          <w:sz w:val="22"/>
          <w:szCs w:val="22"/>
        </w:rPr>
        <w:t xml:space="preserve">: Տարբերության պատճառը </w:t>
      </w:r>
      <w:r w:rsidRPr="001F63BA">
        <w:rPr>
          <w:rFonts w:ascii="GHEA Grapalat" w:hAnsi="GHEA Grapalat" w:cs="GHEA Grapalat"/>
          <w:iCs/>
          <w:sz w:val="22"/>
          <w:szCs w:val="22"/>
          <w:lang w:val="en-US"/>
        </w:rPr>
        <w:t xml:space="preserve">հիմնականում </w:t>
      </w:r>
      <w:r w:rsidRPr="001F63BA">
        <w:rPr>
          <w:rFonts w:ascii="GHEA Grapalat" w:hAnsi="GHEA Grapalat" w:cs="GHEA Grapalat"/>
          <w:iCs/>
          <w:sz w:val="22"/>
          <w:szCs w:val="22"/>
        </w:rPr>
        <w:t xml:space="preserve">պայմանավորված է </w:t>
      </w:r>
      <w:r w:rsidRPr="001F63BA">
        <w:rPr>
          <w:rFonts w:ascii="GHEA Grapalat" w:hAnsi="GHEA Grapalat" w:cs="GHEA Grapalat"/>
          <w:iCs/>
          <w:sz w:val="22"/>
          <w:szCs w:val="22"/>
          <w:lang w:val="en-US"/>
        </w:rPr>
        <w:t xml:space="preserve">նրանով, որ </w:t>
      </w:r>
      <w:r w:rsidRPr="001F63BA">
        <w:rPr>
          <w:rFonts w:ascii="GHEA Grapalat" w:hAnsi="GHEA Grapalat" w:cs="GHEA Grapalat"/>
          <w:iCs/>
          <w:sz w:val="22"/>
          <w:szCs w:val="22"/>
        </w:rPr>
        <w:t>ՀՀ վարչապետի և ՀՀ փոխվարչապետի հանձնարարական</w:t>
      </w:r>
      <w:r w:rsidRPr="001F63BA">
        <w:rPr>
          <w:rFonts w:ascii="GHEA Grapalat" w:hAnsi="GHEA Grapalat" w:cs="GHEA Grapalat"/>
          <w:iCs/>
          <w:sz w:val="22"/>
          <w:szCs w:val="22"/>
          <w:lang w:val="en-US"/>
        </w:rPr>
        <w:t>ն</w:t>
      </w:r>
      <w:r w:rsidRPr="001F63BA">
        <w:rPr>
          <w:rFonts w:ascii="GHEA Grapalat" w:hAnsi="GHEA Grapalat" w:cs="GHEA Grapalat"/>
          <w:iCs/>
          <w:sz w:val="22"/>
          <w:szCs w:val="22"/>
        </w:rPr>
        <w:t>երով</w:t>
      </w:r>
      <w:r w:rsidRPr="001F63BA">
        <w:rPr>
          <w:rFonts w:ascii="GHEA Grapalat" w:hAnsi="GHEA Grapalat" w:cs="GHEA Grapalat"/>
          <w:iCs/>
          <w:sz w:val="22"/>
          <w:szCs w:val="22"/>
          <w:lang w:val="en-US"/>
        </w:rPr>
        <w:t xml:space="preserve"> ոչ ֆինանսական ակտիվների օտարման ենթակա ցանկից հանվել է 2 անշարժ գույք, </w:t>
      </w:r>
      <w:r w:rsidRPr="001F63BA">
        <w:rPr>
          <w:rFonts w:ascii="GHEA Grapalat" w:hAnsi="GHEA Grapalat" w:cs="GHEA Grapalat"/>
          <w:iCs/>
          <w:sz w:val="22"/>
          <w:szCs w:val="22"/>
        </w:rPr>
        <w:t>որից մեկ</w:t>
      </w:r>
      <w:r w:rsidRPr="001F63BA">
        <w:rPr>
          <w:rFonts w:ascii="GHEA Grapalat" w:hAnsi="GHEA Grapalat" w:cs="GHEA Grapalat"/>
          <w:iCs/>
          <w:sz w:val="22"/>
          <w:szCs w:val="22"/>
          <w:lang w:val="en-US"/>
        </w:rPr>
        <w:t>ը`</w:t>
      </w:r>
      <w:r w:rsidRPr="001F63BA">
        <w:rPr>
          <w:rFonts w:ascii="GHEA Grapalat" w:hAnsi="GHEA Grapalat" w:cs="GHEA Grapalat"/>
          <w:iCs/>
          <w:sz w:val="22"/>
          <w:szCs w:val="22"/>
        </w:rPr>
        <w:t xml:space="preserve"> այլ ծրագիր իրականացնելու, մյուս</w:t>
      </w:r>
      <w:r w:rsidRPr="001F63BA">
        <w:rPr>
          <w:rFonts w:ascii="GHEA Grapalat" w:hAnsi="GHEA Grapalat" w:cs="GHEA Grapalat"/>
          <w:iCs/>
          <w:sz w:val="22"/>
          <w:szCs w:val="22"/>
          <w:lang w:val="en-US"/>
        </w:rPr>
        <w:t>ը`</w:t>
      </w:r>
      <w:r w:rsidRPr="001F63BA">
        <w:rPr>
          <w:rFonts w:ascii="GHEA Grapalat" w:hAnsi="GHEA Grapalat" w:cs="GHEA Grapalat"/>
          <w:iCs/>
          <w:sz w:val="22"/>
          <w:szCs w:val="22"/>
        </w:rPr>
        <w:t xml:space="preserve"> փոխանակման ծրագիր իրականացնելու </w:t>
      </w:r>
      <w:r w:rsidRPr="001F63BA">
        <w:rPr>
          <w:rFonts w:ascii="GHEA Grapalat" w:hAnsi="GHEA Grapalat" w:cs="GHEA Grapalat"/>
          <w:iCs/>
          <w:sz w:val="22"/>
          <w:szCs w:val="22"/>
          <w:lang w:val="en-US"/>
        </w:rPr>
        <w:t xml:space="preserve">նպատակով: </w:t>
      </w:r>
      <w:r w:rsidRPr="001F63BA">
        <w:rPr>
          <w:rFonts w:ascii="GHEA Grapalat" w:hAnsi="GHEA Grapalat" w:cs="GHEA Grapalat"/>
          <w:iCs/>
          <w:sz w:val="22"/>
          <w:szCs w:val="22"/>
        </w:rPr>
        <w:t>Նախորդ տարվա ցուցանիշի համեմատ Պետական գույքի կառավարման ծրագրի ծախսերն</w:t>
      </w:r>
      <w:r w:rsidRPr="001F63BA">
        <w:rPr>
          <w:rFonts w:ascii="GHEA Grapalat" w:hAnsi="GHEA Grapalat" w:cs="GHEA Grapalat"/>
          <w:iCs/>
          <w:sz w:val="22"/>
          <w:szCs w:val="22"/>
          <w:lang w:val="en-US"/>
        </w:rPr>
        <w:t xml:space="preserve"> աճ</w:t>
      </w:r>
      <w:r w:rsidRPr="001F63BA">
        <w:rPr>
          <w:rFonts w:ascii="GHEA Grapalat" w:hAnsi="GHEA Grapalat" w:cs="GHEA Grapalat"/>
          <w:iCs/>
          <w:sz w:val="22"/>
          <w:szCs w:val="22"/>
        </w:rPr>
        <w:t xml:space="preserve">ել են </w:t>
      </w:r>
      <w:r w:rsidRPr="001F63BA">
        <w:rPr>
          <w:rFonts w:ascii="GHEA Grapalat" w:hAnsi="GHEA Grapalat" w:cs="GHEA Grapalat"/>
          <w:iCs/>
          <w:sz w:val="22"/>
          <w:szCs w:val="22"/>
          <w:lang w:val="en-US"/>
        </w:rPr>
        <w:t>9.3%-ով</w:t>
      </w:r>
      <w:r w:rsidRPr="001F63BA">
        <w:rPr>
          <w:rFonts w:ascii="GHEA Grapalat" w:hAnsi="GHEA Grapalat" w:cs="GHEA Grapalat"/>
          <w:iCs/>
          <w:sz w:val="22"/>
          <w:szCs w:val="22"/>
        </w:rPr>
        <w:t xml:space="preserve">՝ </w:t>
      </w:r>
      <w:r w:rsidRPr="001F63BA">
        <w:rPr>
          <w:rFonts w:ascii="GHEA Grapalat" w:hAnsi="GHEA Grapalat" w:cs="GHEA Grapalat"/>
          <w:iCs/>
          <w:sz w:val="22"/>
          <w:szCs w:val="22"/>
          <w:lang w:val="en-US"/>
        </w:rPr>
        <w:t xml:space="preserve">հիմնականում </w:t>
      </w:r>
      <w:r w:rsidRPr="001F63BA">
        <w:rPr>
          <w:rFonts w:ascii="GHEA Grapalat" w:hAnsi="GHEA Grapalat" w:cs="GHEA Grapalat"/>
          <w:iCs/>
          <w:sz w:val="22"/>
          <w:szCs w:val="22"/>
        </w:rPr>
        <w:t>պայմանավորված պետական մասնակցությամբ առևտրային կազմակերպությունների կանոնադրական կապիտալում պետական մասնակցության նվազեցման ճանապարհով ակտիվների կազմից գույք առանձնացնելիս գույքն ստացող պետական կառավարչական հիմնարկի կողմից մատակարարին վճարման ենթակա շահութահարկի կամ շրջանառության հարկի գծով պարտավորությունների կատարման ծախսերի ա</w:t>
      </w:r>
      <w:r w:rsidRPr="001F63BA">
        <w:rPr>
          <w:rFonts w:ascii="GHEA Grapalat" w:hAnsi="GHEA Grapalat" w:cs="GHEA Grapalat"/>
          <w:iCs/>
          <w:sz w:val="22"/>
          <w:szCs w:val="22"/>
          <w:lang w:val="en-US"/>
        </w:rPr>
        <w:t>ճով</w:t>
      </w:r>
      <w:r w:rsidRPr="001F63BA">
        <w:rPr>
          <w:rFonts w:ascii="GHEA Grapalat" w:hAnsi="GHEA Grapalat" w:cs="GHEA Grapalat"/>
          <w:iCs/>
          <w:sz w:val="22"/>
          <w:szCs w:val="22"/>
        </w:rPr>
        <w:t>: Ոչ ֆինանսական ակտիվների օտարումից մուտքերն աճել են 4.2 անգամ՝ պայմանավորված օտարման գործարքների քանակի ավելացմամբ:</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i/>
          <w:sz w:val="22"/>
          <w:szCs w:val="22"/>
        </w:rPr>
        <w:t xml:space="preserve">Քաղաքային զարգացման </w:t>
      </w:r>
      <w:r w:rsidRPr="001F63BA">
        <w:rPr>
          <w:rFonts w:ascii="GHEA Grapalat" w:hAnsi="GHEA Grapalat" w:cs="GHEA Grapalat"/>
          <w:sz w:val="22"/>
          <w:szCs w:val="22"/>
        </w:rPr>
        <w:t>ծրագրի շրջանակներում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ընթացքում օգտագործվել է </w:t>
      </w:r>
      <w:r w:rsidRPr="001F63BA">
        <w:rPr>
          <w:rFonts w:ascii="GHEA Grapalat" w:hAnsi="GHEA Grapalat" w:cs="GHEA Grapalat"/>
          <w:sz w:val="22"/>
          <w:szCs w:val="22"/>
          <w:lang w:val="en-US"/>
        </w:rPr>
        <w:t>14.8</w:t>
      </w:r>
      <w:r w:rsidRPr="001F63BA">
        <w:rPr>
          <w:rFonts w:ascii="GHEA Grapalat" w:hAnsi="GHEA Grapalat" w:cs="GHEA Grapalat"/>
          <w:sz w:val="22"/>
          <w:szCs w:val="22"/>
        </w:rPr>
        <w:t xml:space="preserve"> մլրդ դրամ կամ նախատեսված միջոցների 9</w:t>
      </w:r>
      <w:r w:rsidRPr="001F63BA">
        <w:rPr>
          <w:rFonts w:ascii="GHEA Grapalat" w:hAnsi="GHEA Grapalat" w:cs="GHEA Grapalat"/>
          <w:sz w:val="22"/>
          <w:szCs w:val="22"/>
          <w:lang w:val="en-US"/>
        </w:rPr>
        <w:t>0.4</w:t>
      </w:r>
      <w:r w:rsidRPr="001F63BA">
        <w:rPr>
          <w:rFonts w:ascii="GHEA Grapalat" w:hAnsi="GHEA Grapalat" w:cs="GHEA Grapalat"/>
          <w:sz w:val="22"/>
          <w:szCs w:val="22"/>
        </w:rPr>
        <w:t xml:space="preserve">%-ը: Ծրագրի կատարողականը պայմանավորված է հիմնականում </w:t>
      </w:r>
      <w:r w:rsidRPr="001F63BA">
        <w:rPr>
          <w:rFonts w:ascii="GHEA Grapalat" w:hAnsi="GHEA Grapalat" w:cs="GHEA Grapalat"/>
          <w:sz w:val="22"/>
          <w:szCs w:val="22"/>
          <w:lang w:val="en-US"/>
        </w:rPr>
        <w:t>արտաքին աղբյուրներից ֆինանսավորվող</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վարկային և դրամաշնորհային</w:t>
      </w:r>
      <w:r w:rsidRPr="001F63BA">
        <w:rPr>
          <w:rFonts w:ascii="GHEA Grapalat" w:hAnsi="GHEA Grapalat" w:cs="GHEA Grapalat"/>
          <w:sz w:val="22"/>
          <w:szCs w:val="22"/>
        </w:rPr>
        <w:t xml:space="preserve"> ծրագր</w:t>
      </w:r>
      <w:r w:rsidRPr="001F63BA">
        <w:rPr>
          <w:rFonts w:ascii="GHEA Grapalat" w:hAnsi="GHEA Grapalat" w:cs="GHEA Grapalat"/>
          <w:sz w:val="22"/>
          <w:szCs w:val="22"/>
          <w:lang w:val="en-US"/>
        </w:rPr>
        <w:t>եր</w:t>
      </w:r>
      <w:r w:rsidRPr="001F63BA">
        <w:rPr>
          <w:rFonts w:ascii="GHEA Grapalat" w:hAnsi="GHEA Grapalat" w:cs="GHEA Grapalat"/>
          <w:sz w:val="22"/>
          <w:szCs w:val="22"/>
        </w:rPr>
        <w:t>ի կատարողական</w:t>
      </w:r>
      <w:r w:rsidRPr="001F63BA">
        <w:rPr>
          <w:rFonts w:ascii="GHEA Grapalat" w:hAnsi="GHEA Grapalat" w:cs="GHEA Grapalat"/>
          <w:sz w:val="22"/>
          <w:szCs w:val="22"/>
          <w:lang w:val="en-US"/>
        </w:rPr>
        <w:t>ով</w:t>
      </w:r>
      <w:r w:rsidRPr="001F63BA">
        <w:rPr>
          <w:rFonts w:ascii="GHEA Grapalat" w:hAnsi="GHEA Grapalat" w:cs="GHEA Grapalat"/>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lastRenderedPageBreak/>
        <w:t>Ասիական զարգացման բանկի աջակցությամբ իրականացվող քաղաքային ենթակառուցվածքների և քաղաքի կայուն զարգացման ներդրումային ծրագրի շրջանակներում իրականացվել են Բաբաջանյան-Աշտարակ և Արգավանդ-Շիրակ ճանապա</w:t>
      </w:r>
      <w:r w:rsidRPr="001F63BA">
        <w:rPr>
          <w:rFonts w:ascii="GHEA Grapalat" w:hAnsi="GHEA Grapalat" w:cs="GHEA Grapalat"/>
          <w:sz w:val="22"/>
          <w:szCs w:val="22"/>
          <w:lang w:val="en-US"/>
        </w:rPr>
        <w:t>ր</w:t>
      </w:r>
      <w:r w:rsidRPr="001F63BA">
        <w:rPr>
          <w:rFonts w:ascii="GHEA Grapalat" w:hAnsi="GHEA Grapalat" w:cs="GHEA Grapalat"/>
          <w:sz w:val="22"/>
          <w:szCs w:val="22"/>
        </w:rPr>
        <w:t>հահատվածների հանգույցների կառուցման շինարարական աշխատանքները</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Ծրագրի շրջանակներում ծախսերը կազմել են </w:t>
      </w:r>
      <w:r w:rsidRPr="001F63BA">
        <w:rPr>
          <w:rFonts w:ascii="GHEA Grapalat" w:hAnsi="GHEA Grapalat" w:cs="GHEA Grapalat"/>
          <w:sz w:val="22"/>
          <w:szCs w:val="22"/>
          <w:lang w:val="en-US"/>
        </w:rPr>
        <w:t>շուրջ 3.9</w:t>
      </w:r>
      <w:r w:rsidRPr="001F63BA">
        <w:rPr>
          <w:rFonts w:ascii="GHEA Grapalat" w:hAnsi="GHEA Grapalat" w:cs="GHEA Grapalat"/>
          <w:sz w:val="22"/>
          <w:szCs w:val="22"/>
        </w:rPr>
        <w:t xml:space="preserve"> մլրդ դրամ կամ նախատեսվածի </w:t>
      </w:r>
      <w:r w:rsidRPr="001F63BA">
        <w:rPr>
          <w:rFonts w:ascii="GHEA Grapalat" w:hAnsi="GHEA Grapalat" w:cs="GHEA Grapalat"/>
          <w:sz w:val="22"/>
          <w:szCs w:val="22"/>
          <w:lang w:val="en-US"/>
        </w:rPr>
        <w:t>87.1</w:t>
      </w:r>
      <w:r w:rsidRPr="001F63BA">
        <w:rPr>
          <w:rFonts w:ascii="GHEA Grapalat" w:hAnsi="GHEA Grapalat" w:cs="GHEA Grapalat"/>
          <w:sz w:val="22"/>
          <w:szCs w:val="22"/>
        </w:rPr>
        <w:t>%-ը, որը հիմնականում պայմանավորված է բնակիչների հետ առկա դատական վեճեր</w:t>
      </w:r>
      <w:r w:rsidRPr="001F63BA">
        <w:rPr>
          <w:rFonts w:ascii="GHEA Grapalat" w:hAnsi="GHEA Grapalat" w:cs="GHEA Grapalat"/>
          <w:sz w:val="22"/>
          <w:szCs w:val="22"/>
          <w:lang w:val="en-US"/>
        </w:rPr>
        <w:t xml:space="preserve">ով և </w:t>
      </w:r>
      <w:bookmarkStart w:id="247" w:name="_Hlk128583740"/>
      <w:r w:rsidRPr="001F63BA">
        <w:rPr>
          <w:rFonts w:ascii="GHEA Grapalat" w:hAnsi="GHEA Grapalat" w:cs="GHEA Grapalat"/>
          <w:sz w:val="22"/>
          <w:szCs w:val="22"/>
          <w:lang w:val="en-US"/>
        </w:rPr>
        <w:t xml:space="preserve">արտարժույթի </w:t>
      </w:r>
      <w:r w:rsidRPr="001F63BA">
        <w:rPr>
          <w:rFonts w:ascii="GHEA Grapalat" w:hAnsi="GHEA Grapalat" w:cs="GHEA Grapalat"/>
          <w:bCs/>
          <w:iCs/>
          <w:sz w:val="22"/>
          <w:szCs w:val="22"/>
          <w:lang w:val="fr-FR"/>
        </w:rPr>
        <w:t>կանխատեսված ու փաստացի փոխարժեքների տարբերությամբ</w:t>
      </w:r>
      <w:bookmarkEnd w:id="247"/>
      <w:r w:rsidRPr="001F63BA">
        <w:rPr>
          <w:rFonts w:ascii="GHEA Grapalat" w:hAnsi="GHEA Grapalat" w:cs="GHEA Grapalat"/>
          <w:bCs/>
          <w:iCs/>
          <w:sz w:val="22"/>
          <w:szCs w:val="22"/>
          <w:lang w:val="fr-FR"/>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w:t>
      </w:r>
      <w:r w:rsidRPr="001F63BA">
        <w:rPr>
          <w:rFonts w:ascii="GHEA Grapalat" w:hAnsi="GHEA Grapalat" w:cs="GHEA Grapalat"/>
          <w:sz w:val="22"/>
          <w:szCs w:val="22"/>
        </w:rPr>
        <w:t>Երևան քաղաքի փողոցների ճանապարհաշինարարական աշխատանքներ</w:t>
      </w:r>
      <w:r w:rsidRPr="001F63BA">
        <w:rPr>
          <w:rFonts w:ascii="GHEA Grapalat" w:hAnsi="GHEA Grapalat" w:cs="GHEA Grapalat"/>
          <w:sz w:val="22"/>
          <w:szCs w:val="22"/>
          <w:lang w:val="en-US"/>
        </w:rPr>
        <w:t xml:space="preserve">» միջոցառման շրջանակներում </w:t>
      </w:r>
      <w:r w:rsidRPr="001F63BA">
        <w:rPr>
          <w:rFonts w:ascii="GHEA Grapalat" w:hAnsi="GHEA Grapalat" w:cs="GHEA Grapalat"/>
          <w:sz w:val="22"/>
          <w:szCs w:val="22"/>
        </w:rPr>
        <w:t>Երևան քաղաքում իրականացվել է 609 փողոցների վերանորոգում, ասֆալտապատում</w:t>
      </w:r>
      <w:r w:rsidRPr="001F63BA">
        <w:rPr>
          <w:rFonts w:ascii="GHEA Grapalat" w:hAnsi="GHEA Grapalat" w:cs="GHEA Grapalat"/>
          <w:sz w:val="22"/>
          <w:szCs w:val="22"/>
          <w:lang w:val="en-US"/>
        </w:rPr>
        <w:t>՝ նախատեսված 550-ի փոխարեն,</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25 փողոցների</w:t>
      </w:r>
      <w:r w:rsidRPr="001F63BA">
        <w:rPr>
          <w:rFonts w:ascii="GHEA Grapalat" w:hAnsi="GHEA Grapalat" w:cs="GHEA Grapalat"/>
          <w:sz w:val="22"/>
          <w:szCs w:val="22"/>
        </w:rPr>
        <w:t xml:space="preserve"> ճաքալցում</w:t>
      </w:r>
      <w:r w:rsidRPr="001F63BA">
        <w:rPr>
          <w:rFonts w:ascii="GHEA Grapalat" w:hAnsi="GHEA Grapalat" w:cs="GHEA Grapalat"/>
          <w:sz w:val="22"/>
          <w:szCs w:val="22"/>
          <w:lang w:val="en-US"/>
        </w:rPr>
        <w:t>՝ նախատեսված 120-ի փոխարեն,</w:t>
      </w:r>
      <w:r w:rsidRPr="001F63BA">
        <w:rPr>
          <w:rFonts w:ascii="GHEA Grapalat" w:hAnsi="GHEA Grapalat" w:cs="GHEA Grapalat"/>
          <w:sz w:val="22"/>
          <w:szCs w:val="22"/>
        </w:rPr>
        <w:t xml:space="preserve"> և </w:t>
      </w:r>
      <w:r w:rsidRPr="001F63BA">
        <w:rPr>
          <w:rFonts w:ascii="GHEA Grapalat" w:hAnsi="GHEA Grapalat" w:cs="GHEA Grapalat"/>
          <w:sz w:val="22"/>
          <w:szCs w:val="22"/>
          <w:lang w:val="en-US"/>
        </w:rPr>
        <w:t>907</w:t>
      </w:r>
      <w:r w:rsidRPr="001F63BA">
        <w:rPr>
          <w:rFonts w:ascii="GHEA Grapalat" w:hAnsi="GHEA Grapalat" w:cs="GHEA Grapalat"/>
          <w:sz w:val="22"/>
          <w:szCs w:val="22"/>
        </w:rPr>
        <w:t xml:space="preserve"> բակային տարածքների </w:t>
      </w:r>
      <w:r w:rsidRPr="001F63BA">
        <w:rPr>
          <w:rFonts w:ascii="GHEA Grapalat" w:hAnsi="GHEA Grapalat" w:cs="GHEA Grapalat"/>
          <w:sz w:val="22"/>
          <w:szCs w:val="22"/>
          <w:lang w:val="en-US"/>
        </w:rPr>
        <w:t>ու</w:t>
      </w:r>
      <w:r w:rsidRPr="001F63BA">
        <w:rPr>
          <w:rFonts w:ascii="GHEA Grapalat" w:hAnsi="GHEA Grapalat" w:cs="GHEA Grapalat"/>
          <w:sz w:val="22"/>
          <w:szCs w:val="22"/>
        </w:rPr>
        <w:t xml:space="preserve"> մայթերի վերանորոգում</w:t>
      </w:r>
      <w:r w:rsidRPr="001F63BA">
        <w:rPr>
          <w:rFonts w:ascii="GHEA Grapalat" w:hAnsi="GHEA Grapalat" w:cs="GHEA Grapalat"/>
          <w:sz w:val="22"/>
          <w:szCs w:val="22"/>
          <w:lang w:val="en-US"/>
        </w:rPr>
        <w:t>՝ նախատեսված 180-ի փոխարեն</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Տվյալ միջոցառման համար պետական բյուջեից ծախսվել է 3.1 մլրդ դրամ կամ ծրագրի 94.9%-ը:</w:t>
      </w:r>
      <w:r w:rsidRPr="001F63BA">
        <w:t xml:space="preserve"> </w:t>
      </w:r>
      <w:r w:rsidRPr="001F63BA">
        <w:rPr>
          <w:rFonts w:ascii="GHEA Grapalat" w:hAnsi="GHEA Grapalat" w:cs="GHEA Grapalat"/>
          <w:sz w:val="22"/>
          <w:szCs w:val="22"/>
          <w:lang w:val="en-US"/>
        </w:rPr>
        <w:t>Վճարումներն իրականացվել են փաստացի ներկայացված կատարողական ակտերի հիման վրա:</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ՎԶԵԲ-ի աջակցությամբ իրականացվող Գյումրու քաղաքային ճանապարհների </w:t>
      </w:r>
      <w:r w:rsidRPr="001F63BA">
        <w:rPr>
          <w:rFonts w:ascii="GHEA Grapalat" w:hAnsi="GHEA Grapalat" w:cs="GHEA Grapalat"/>
          <w:sz w:val="22"/>
          <w:szCs w:val="22"/>
          <w:lang w:val="en-US"/>
        </w:rPr>
        <w:t xml:space="preserve">վարկային և դրամաշնորհային </w:t>
      </w:r>
      <w:r w:rsidRPr="001F63BA">
        <w:rPr>
          <w:rFonts w:ascii="GHEA Grapalat" w:hAnsi="GHEA Grapalat" w:cs="GHEA Grapalat"/>
          <w:sz w:val="22"/>
          <w:szCs w:val="22"/>
        </w:rPr>
        <w:t>ծրագր</w:t>
      </w:r>
      <w:r w:rsidRPr="001F63BA">
        <w:rPr>
          <w:rFonts w:ascii="GHEA Grapalat" w:hAnsi="GHEA Grapalat" w:cs="GHEA Grapalat"/>
          <w:sz w:val="22"/>
          <w:szCs w:val="22"/>
          <w:lang w:val="en-US"/>
        </w:rPr>
        <w:t>երի</w:t>
      </w:r>
      <w:r w:rsidRPr="001F63BA">
        <w:rPr>
          <w:rFonts w:ascii="GHEA Grapalat" w:hAnsi="GHEA Grapalat" w:cs="GHEA Grapalat"/>
          <w:sz w:val="22"/>
          <w:szCs w:val="22"/>
        </w:rPr>
        <w:t xml:space="preserve"> շրջանակներում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հիմնանորոգվել է շուրջ 2</w:t>
      </w:r>
      <w:r w:rsidRPr="001F63BA">
        <w:rPr>
          <w:rFonts w:ascii="MS Mincho" w:eastAsia="MS Mincho" w:hAnsi="MS Mincho" w:cs="MS Mincho" w:hint="eastAsia"/>
          <w:sz w:val="22"/>
          <w:szCs w:val="22"/>
        </w:rPr>
        <w:t>․</w:t>
      </w:r>
      <w:r w:rsidRPr="001F63BA">
        <w:rPr>
          <w:rFonts w:ascii="GHEA Grapalat" w:hAnsi="GHEA Grapalat" w:cs="GHEA Grapalat"/>
          <w:sz w:val="22"/>
          <w:szCs w:val="22"/>
        </w:rPr>
        <w:t>5 կմ ճանապար</w:t>
      </w:r>
      <w:r w:rsidRPr="001F63BA">
        <w:rPr>
          <w:rFonts w:ascii="GHEA Grapalat" w:hAnsi="GHEA Grapalat" w:cs="GHEA Grapalat"/>
          <w:sz w:val="22"/>
          <w:szCs w:val="22"/>
          <w:lang w:val="en-US"/>
        </w:rPr>
        <w:t>հ</w:t>
      </w:r>
      <w:r w:rsidRPr="001F63BA">
        <w:rPr>
          <w:rFonts w:ascii="GHEA Grapalat" w:hAnsi="GHEA Grapalat" w:cs="GHEA Grapalat"/>
          <w:sz w:val="22"/>
          <w:szCs w:val="22"/>
        </w:rPr>
        <w:t>ահատված:</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Բարեկարգվել, կահավորվել և արդիականցվել է 8 քաղաքային ճանապարհ՝ իրենց հարակից մայթերով,</w:t>
      </w:r>
      <w:r w:rsidRPr="001F63BA">
        <w:rPr>
          <w:rFonts w:ascii="GHEA Grapalat" w:hAnsi="GHEA Grapalat" w:cs="GHEA Grapalat"/>
          <w:sz w:val="22"/>
          <w:szCs w:val="22"/>
          <w:lang w:val="af-ZA"/>
        </w:rPr>
        <w:t xml:space="preserve"> փողոցների անձրևաջրերի հեռացման համակարգի հիմնանորոգ</w:t>
      </w:r>
      <w:r w:rsidRPr="001F63BA">
        <w:rPr>
          <w:rFonts w:ascii="GHEA Grapalat" w:hAnsi="GHEA Grapalat" w:cs="GHEA Grapalat"/>
          <w:sz w:val="22"/>
          <w:szCs w:val="22"/>
        </w:rPr>
        <w:t xml:space="preserve">մամբ և կատարվել թերությունների վերացման աշխատանքներ 1 փողոցում: Ծրագրի շրջանակներում օգտագործվել է շուրջ </w:t>
      </w:r>
      <w:r w:rsidRPr="001F63BA">
        <w:rPr>
          <w:rFonts w:ascii="GHEA Grapalat" w:hAnsi="GHEA Grapalat" w:cs="GHEA Grapalat"/>
          <w:sz w:val="22"/>
          <w:szCs w:val="22"/>
          <w:lang w:val="en-US"/>
        </w:rPr>
        <w:t>1.2</w:t>
      </w:r>
      <w:r w:rsidRPr="001F63BA">
        <w:rPr>
          <w:rFonts w:ascii="GHEA Grapalat" w:hAnsi="GHEA Grapalat" w:cs="GHEA Grapalat"/>
          <w:sz w:val="22"/>
          <w:szCs w:val="22"/>
        </w:rPr>
        <w:t xml:space="preserve"> մլրդ դրամ կամ նախատեսված միջոցների </w:t>
      </w:r>
      <w:r w:rsidRPr="001F63BA">
        <w:rPr>
          <w:rFonts w:ascii="GHEA Grapalat" w:hAnsi="GHEA Grapalat" w:cs="GHEA Grapalat"/>
          <w:sz w:val="22"/>
          <w:szCs w:val="22"/>
          <w:lang w:val="en-US"/>
        </w:rPr>
        <w:t>77.7</w:t>
      </w:r>
      <w:r w:rsidRPr="001F63BA">
        <w:rPr>
          <w:rFonts w:ascii="GHEA Grapalat" w:hAnsi="GHEA Grapalat" w:cs="GHEA Grapalat"/>
          <w:sz w:val="22"/>
          <w:szCs w:val="22"/>
        </w:rPr>
        <w:t xml:space="preserve">%-ը: Շեղումը հիմնականում պայմանավորված է </w:t>
      </w:r>
      <w:r w:rsidRPr="001F63BA">
        <w:rPr>
          <w:rFonts w:ascii="GHEA Grapalat" w:hAnsi="GHEA Grapalat" w:cs="GHEA Grapalat"/>
          <w:sz w:val="22"/>
          <w:szCs w:val="22"/>
          <w:lang w:val="en-US"/>
        </w:rPr>
        <w:t>խորհրդատուի և</w:t>
      </w:r>
      <w:r w:rsidRPr="001F63BA">
        <w:rPr>
          <w:rFonts w:ascii="GHEA Grapalat" w:hAnsi="GHEA Grapalat" w:cs="GHEA Grapalat"/>
          <w:sz w:val="22"/>
          <w:szCs w:val="22"/>
        </w:rPr>
        <w:t xml:space="preserve"> կապալառուների կողմից կատարված աշխատանքների վերաբերյալ կատարողականների, շահագործման ընդունման ակտերի ներկայաց</w:t>
      </w:r>
      <w:r w:rsidRPr="001F63BA">
        <w:rPr>
          <w:rFonts w:ascii="GHEA Grapalat" w:hAnsi="GHEA Grapalat" w:cs="GHEA Grapalat"/>
          <w:sz w:val="22"/>
          <w:szCs w:val="22"/>
          <w:lang w:val="en-US"/>
        </w:rPr>
        <w:t>ման</w:t>
      </w:r>
      <w:r w:rsidRPr="001F63BA">
        <w:rPr>
          <w:rFonts w:ascii="GHEA Grapalat" w:hAnsi="GHEA Grapalat" w:cs="GHEA Grapalat"/>
          <w:sz w:val="22"/>
          <w:szCs w:val="22"/>
        </w:rPr>
        <w:t xml:space="preserve"> ձգձգ</w:t>
      </w:r>
      <w:r w:rsidRPr="001F63BA">
        <w:rPr>
          <w:rFonts w:ascii="GHEA Grapalat" w:hAnsi="GHEA Grapalat" w:cs="GHEA Grapalat"/>
          <w:sz w:val="22"/>
          <w:szCs w:val="22"/>
          <w:lang w:val="en-US"/>
        </w:rPr>
        <w:t>մամբ</w:t>
      </w:r>
      <w:r w:rsidRPr="001F63BA">
        <w:rPr>
          <w:rFonts w:ascii="GHEA Grapalat" w:hAnsi="GHEA Grapalat" w:cs="GHEA Grapalat"/>
          <w:sz w:val="22"/>
          <w:szCs w:val="22"/>
        </w:rPr>
        <w:t>՝ կա</w:t>
      </w:r>
      <w:r w:rsidRPr="001F63BA">
        <w:rPr>
          <w:rFonts w:ascii="GHEA Grapalat" w:hAnsi="GHEA Grapalat" w:cs="GHEA Grapalat"/>
          <w:sz w:val="22"/>
          <w:szCs w:val="22"/>
          <w:lang w:val="en-US"/>
        </w:rPr>
        <w:t>պ</w:t>
      </w:r>
      <w:r w:rsidRPr="001F63BA">
        <w:rPr>
          <w:rFonts w:ascii="GHEA Grapalat" w:hAnsi="GHEA Grapalat" w:cs="GHEA Grapalat"/>
          <w:sz w:val="22"/>
          <w:szCs w:val="22"/>
        </w:rPr>
        <w:t>ված փաստաթղթերում առկա թերությունների հետ</w:t>
      </w:r>
      <w:r w:rsidRPr="001F63BA">
        <w:rPr>
          <w:rFonts w:ascii="GHEA Grapalat" w:hAnsi="GHEA Grapalat" w:cs="GHEA Grapalat"/>
          <w:sz w:val="22"/>
          <w:szCs w:val="22"/>
          <w:lang w:val="en-US"/>
        </w:rPr>
        <w:t>, ինչպես նաև</w:t>
      </w:r>
      <w:r w:rsidRPr="001F63BA">
        <w:rPr>
          <w:rFonts w:ascii="GHEA Grapalat" w:hAnsi="GHEA Grapalat" w:cs="GHEA Grapalat"/>
          <w:sz w:val="22"/>
          <w:szCs w:val="22"/>
        </w:rPr>
        <w:t xml:space="preserve"> արտարժույթի</w:t>
      </w:r>
      <w:r w:rsidRPr="001F63BA">
        <w:rPr>
          <w:rFonts w:ascii="GHEA Grapalat" w:hAnsi="GHEA Grapalat" w:cs="GHEA Grapalat"/>
          <w:sz w:val="22"/>
          <w:szCs w:val="22"/>
          <w:lang w:val="en-US"/>
        </w:rPr>
        <w:t xml:space="preserve"> </w:t>
      </w:r>
      <w:r w:rsidRPr="001F63BA">
        <w:rPr>
          <w:rFonts w:ascii="GHEA Grapalat" w:hAnsi="GHEA Grapalat" w:cs="GHEA Grapalat"/>
          <w:bCs/>
          <w:iCs/>
          <w:sz w:val="22"/>
          <w:szCs w:val="22"/>
          <w:lang w:val="fr-FR"/>
        </w:rPr>
        <w:t>կանխատեսված ու փաստացի փոխարժեքների տարբերությամբ</w:t>
      </w:r>
      <w:r w:rsidRPr="001F63BA">
        <w:rPr>
          <w:rFonts w:ascii="GHEA Grapalat" w:hAnsi="GHEA Grapalat" w:cs="GHEA Grapalat"/>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Նախորդ տարվա համեմատ Քաղաքային զարգացման ծրագրի շրջանակներում կատարված ծախսեր</w:t>
      </w:r>
      <w:r w:rsidRPr="001F63BA">
        <w:rPr>
          <w:rFonts w:ascii="GHEA Grapalat" w:hAnsi="GHEA Grapalat" w:cs="Sylfaen"/>
          <w:sz w:val="22"/>
          <w:szCs w:val="22"/>
          <w:lang w:val="en-US"/>
        </w:rPr>
        <w:t>ը</w:t>
      </w:r>
      <w:r w:rsidRPr="001F63BA">
        <w:rPr>
          <w:rFonts w:ascii="GHEA Grapalat" w:hAnsi="GHEA Grapalat" w:cs="Sylfaen"/>
          <w:sz w:val="22"/>
          <w:szCs w:val="22"/>
        </w:rPr>
        <w:t xml:space="preserve"> </w:t>
      </w:r>
      <w:r w:rsidRPr="001F63BA">
        <w:rPr>
          <w:rFonts w:ascii="GHEA Grapalat" w:hAnsi="GHEA Grapalat" w:cs="Sylfaen"/>
          <w:sz w:val="22"/>
          <w:szCs w:val="22"/>
          <w:lang w:val="en-US"/>
        </w:rPr>
        <w:t>նվազել</w:t>
      </w:r>
      <w:r w:rsidRPr="001F63BA">
        <w:rPr>
          <w:rFonts w:ascii="GHEA Grapalat" w:hAnsi="GHEA Grapalat" w:cs="Sylfaen"/>
          <w:sz w:val="22"/>
          <w:szCs w:val="22"/>
        </w:rPr>
        <w:t xml:space="preserve"> են </w:t>
      </w:r>
      <w:r w:rsidRPr="001F63BA">
        <w:rPr>
          <w:rFonts w:ascii="GHEA Grapalat" w:hAnsi="GHEA Grapalat" w:cs="Sylfaen"/>
          <w:sz w:val="22"/>
          <w:szCs w:val="22"/>
          <w:lang w:val="en-US"/>
        </w:rPr>
        <w:t>25.1</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շուրջ 5</w:t>
      </w:r>
      <w:r w:rsidRPr="001F63BA">
        <w:rPr>
          <w:rFonts w:ascii="GHEA Grapalat" w:hAnsi="GHEA Grapalat" w:cs="Sylfaen"/>
          <w:sz w:val="22"/>
          <w:szCs w:val="22"/>
        </w:rPr>
        <w:t xml:space="preserve"> մլրդ դրամով՝ հիմնականում պայմանավորված Ասիական զարգացման բանկի աջակցությամբ իրականացվող քաղաքային ենթակառուցվածքների և քաղաքի կայուն զարգացման ներդրումային ծրագրի շրջանակներում կատարված ծախսերի </w:t>
      </w:r>
      <w:r w:rsidRPr="001F63BA">
        <w:rPr>
          <w:rFonts w:ascii="GHEA Grapalat" w:hAnsi="GHEA Grapalat" w:cs="Sylfaen"/>
          <w:sz w:val="22"/>
          <w:szCs w:val="22"/>
          <w:lang w:val="en-US"/>
        </w:rPr>
        <w:t>նվազմամբ</w:t>
      </w:r>
      <w:r w:rsidRPr="001F63BA">
        <w:rPr>
          <w:rFonts w:ascii="GHEA Grapalat" w:hAnsi="GHEA Grapalat" w:cs="Sylfaen"/>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i/>
          <w:sz w:val="22"/>
          <w:szCs w:val="22"/>
        </w:rPr>
        <w:t>Դպրոցների սեյսմիկ անվտանգության մակարդակի բարձրացման ծրագիր</w:t>
      </w:r>
      <w:r w:rsidRPr="001F63BA">
        <w:rPr>
          <w:rFonts w:ascii="GHEA Grapalat" w:hAnsi="GHEA Grapalat" w:cs="Sylfaen"/>
          <w:i/>
          <w:sz w:val="22"/>
          <w:szCs w:val="22"/>
          <w:lang w:val="en-US"/>
        </w:rPr>
        <w:t>ն</w:t>
      </w:r>
      <w:r w:rsidRPr="001F63BA">
        <w:rPr>
          <w:rFonts w:ascii="GHEA Grapalat" w:hAnsi="GHEA Grapalat" w:cs="Sylfaen"/>
          <w:sz w:val="22"/>
          <w:szCs w:val="22"/>
        </w:rPr>
        <w:t xml:space="preserve"> իրականացվել է ԱԶԲ-ի աջակցությամբ: Ծրագիրն օժանդակում է Աղետների ռիսկի նվազեցման ազգային ծրագրի իրականացմանը՝ բարելավելով դպրոցների սեյսմիկ անվտանգությունը, որպեսզի նվազեցվեն դպրոցներում հնարավոր զոհերը և վնասները երկրաշարժերի ժամանակ։ Ծրագրի շրջանակներում </w:t>
      </w:r>
      <w:r w:rsidRPr="001F63BA">
        <w:rPr>
          <w:rFonts w:ascii="GHEA Grapalat" w:hAnsi="GHEA Grapalat" w:cs="Sylfaen"/>
          <w:sz w:val="22"/>
          <w:szCs w:val="22"/>
        </w:rPr>
        <w:lastRenderedPageBreak/>
        <w:t xml:space="preserve">շինարարական աշխատանքներ են </w:t>
      </w:r>
      <w:r w:rsidRPr="001F63BA">
        <w:rPr>
          <w:rFonts w:ascii="GHEA Grapalat" w:hAnsi="GHEA Grapalat" w:cs="Sylfaen"/>
          <w:sz w:val="22"/>
          <w:szCs w:val="22"/>
          <w:lang w:val="en-US"/>
        </w:rPr>
        <w:t xml:space="preserve">սկսվել Արարատի, Արմավիրի և Կոտայքի մարզերի 3 դպրոցներում և շարունակվել են աշխատանքներն </w:t>
      </w:r>
      <w:r w:rsidRPr="001F63BA">
        <w:rPr>
          <w:rFonts w:ascii="GHEA Grapalat" w:hAnsi="GHEA Grapalat" w:cs="Sylfaen"/>
          <w:sz w:val="22"/>
          <w:szCs w:val="22"/>
        </w:rPr>
        <w:t>անավարտ 20 դպրոցներում:</w:t>
      </w:r>
      <w:r w:rsidRPr="001F63BA">
        <w:rPr>
          <w:rFonts w:ascii="GHEA Grapalat" w:hAnsi="GHEA Grapalat" w:cs="Sylfaen"/>
          <w:sz w:val="22"/>
          <w:szCs w:val="22"/>
          <w:lang w:val="en-US"/>
        </w:rPr>
        <w:t xml:space="preserve"> Ծրագրի շրջանակներում օգտագործվել է 8.2 մլրդ դրամ կամ նախատեսված միջոցների 91.7%-ը: </w:t>
      </w:r>
      <w:r w:rsidRPr="001F63BA">
        <w:rPr>
          <w:rFonts w:ascii="GHEA Grapalat" w:hAnsi="GHEA Grapalat" w:cs="Sylfaen"/>
          <w:sz w:val="22"/>
          <w:szCs w:val="22"/>
        </w:rPr>
        <w:t xml:space="preserve">Շեղումը պայմանավորված է </w:t>
      </w:r>
      <w:r w:rsidRPr="001F63BA">
        <w:rPr>
          <w:rFonts w:ascii="GHEA Grapalat" w:hAnsi="GHEA Grapalat" w:cs="Sylfaen"/>
          <w:sz w:val="22"/>
          <w:szCs w:val="22"/>
          <w:lang w:val="en-US"/>
        </w:rPr>
        <w:t xml:space="preserve">արտարժույթի կանխատեսված և </w:t>
      </w:r>
      <w:r w:rsidRPr="001F63BA">
        <w:rPr>
          <w:rFonts w:ascii="GHEA Grapalat" w:hAnsi="GHEA Grapalat" w:cs="Sylfaen"/>
          <w:bCs/>
          <w:iCs/>
          <w:sz w:val="22"/>
          <w:szCs w:val="22"/>
          <w:lang w:val="fr-FR"/>
        </w:rPr>
        <w:t>փաստացի փոխարժեքների տարբերությամբ, ինչպես նաև մրցույթների արդյունքում առաջացած տնտեսումներով</w:t>
      </w:r>
      <w:r w:rsidRPr="001F63BA">
        <w:rPr>
          <w:rFonts w:ascii="GHEA Grapalat" w:hAnsi="GHEA Grapalat" w:cs="Sylfaen"/>
          <w:sz w:val="22"/>
          <w:szCs w:val="22"/>
        </w:rPr>
        <w:t>։ 202</w:t>
      </w:r>
      <w:r w:rsidRPr="001F63BA">
        <w:rPr>
          <w:rFonts w:ascii="GHEA Grapalat" w:hAnsi="GHEA Grapalat" w:cs="Sylfaen"/>
          <w:sz w:val="22"/>
          <w:szCs w:val="22"/>
          <w:lang w:val="en-US"/>
        </w:rPr>
        <w:t>1</w:t>
      </w:r>
      <w:r w:rsidRPr="001F63BA">
        <w:rPr>
          <w:rFonts w:ascii="GHEA Grapalat" w:hAnsi="GHEA Grapalat" w:cs="Sylfaen"/>
          <w:sz w:val="22"/>
          <w:szCs w:val="22"/>
        </w:rPr>
        <w:t xml:space="preserve"> թվականի համեմատ </w:t>
      </w:r>
      <w:r w:rsidRPr="001F63BA">
        <w:rPr>
          <w:rFonts w:ascii="GHEA Grapalat" w:hAnsi="GHEA Grapalat" w:cs="Sylfaen"/>
          <w:iCs/>
          <w:sz w:val="22"/>
          <w:szCs w:val="22"/>
        </w:rPr>
        <w:t xml:space="preserve">Դպրոցների սեյսմիկ անվտանգության մակարդակի բարձրացման ծրագրի շրջանակներում կատարված ծախսերն աճել են </w:t>
      </w:r>
      <w:r w:rsidRPr="001F63BA">
        <w:rPr>
          <w:rFonts w:ascii="GHEA Grapalat" w:hAnsi="GHEA Grapalat" w:cs="Sylfaen"/>
          <w:iCs/>
          <w:sz w:val="22"/>
          <w:szCs w:val="22"/>
          <w:lang w:val="en-US"/>
        </w:rPr>
        <w:t>44.6</w:t>
      </w:r>
      <w:r w:rsidRPr="001F63BA">
        <w:rPr>
          <w:rFonts w:ascii="GHEA Grapalat" w:hAnsi="GHEA Grapalat" w:cs="Sylfaen"/>
          <w:iCs/>
          <w:sz w:val="22"/>
          <w:szCs w:val="22"/>
        </w:rPr>
        <w:t xml:space="preserve">%-ով կամ </w:t>
      </w:r>
      <w:r w:rsidRPr="001F63BA">
        <w:rPr>
          <w:rFonts w:ascii="GHEA Grapalat" w:hAnsi="GHEA Grapalat" w:cs="Sylfaen"/>
          <w:iCs/>
          <w:sz w:val="22"/>
          <w:szCs w:val="22"/>
          <w:lang w:val="en-US"/>
        </w:rPr>
        <w:t>2.5 մլրդ</w:t>
      </w:r>
      <w:r w:rsidRPr="001F63BA">
        <w:rPr>
          <w:rFonts w:ascii="GHEA Grapalat" w:hAnsi="GHEA Grapalat" w:cs="Sylfaen"/>
          <w:iCs/>
          <w:sz w:val="22"/>
          <w:szCs w:val="22"/>
        </w:rPr>
        <w:t xml:space="preserve"> դրամով: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rPr>
        <w:t>Տարածքային զարգացման ծրագրի</w:t>
      </w:r>
      <w:r w:rsidRPr="001F63BA">
        <w:rPr>
          <w:rFonts w:ascii="GHEA Grapalat" w:hAnsi="GHEA Grapalat" w:cs="GHEA Grapalat"/>
          <w:sz w:val="22"/>
          <w:szCs w:val="22"/>
        </w:rPr>
        <w:t xml:space="preserve"> շրջանակներում օգտագործվել է նախատեսված միջոցների 9</w:t>
      </w:r>
      <w:r w:rsidRPr="001F63BA">
        <w:rPr>
          <w:rFonts w:ascii="GHEA Grapalat" w:hAnsi="GHEA Grapalat" w:cs="GHEA Grapalat"/>
          <w:sz w:val="22"/>
          <w:szCs w:val="22"/>
          <w:lang w:val="en-US"/>
        </w:rPr>
        <w:t>9.1</w:t>
      </w:r>
      <w:r w:rsidRPr="001F63BA">
        <w:rPr>
          <w:rFonts w:ascii="GHEA Grapalat" w:hAnsi="GHEA Grapalat" w:cs="GHEA Grapalat"/>
          <w:sz w:val="22"/>
          <w:szCs w:val="22"/>
        </w:rPr>
        <w:t xml:space="preserve">%-ը՝ </w:t>
      </w:r>
      <w:r w:rsidRPr="001F63BA">
        <w:rPr>
          <w:rFonts w:ascii="GHEA Grapalat" w:hAnsi="GHEA Grapalat" w:cs="GHEA Grapalat"/>
          <w:sz w:val="22"/>
          <w:szCs w:val="22"/>
          <w:lang w:val="en-US"/>
        </w:rPr>
        <w:t>86.5</w:t>
      </w:r>
      <w:r w:rsidRPr="001F63BA">
        <w:rPr>
          <w:rFonts w:ascii="GHEA Grapalat" w:hAnsi="GHEA Grapalat" w:cs="GHEA Grapalat"/>
          <w:sz w:val="22"/>
          <w:szCs w:val="22"/>
        </w:rPr>
        <w:t xml:space="preserve"> մլրդ դրամ: Շեղումը հիմնականում պայմանավորված է ենթակառուցվածքների զարգացման նպատակով ՀՀ մարզերին սուբվենցիաների տրամադրման ծախսերի կատարողականով: Սուբվենցիոն ծրագրերն ուղղված են համայնքներում կապիտալ ներդրումներին, մասնավորապես՝ համայնքներում փողոցների, այգիների, պուրակների, խաղահրապարակների բարեկարգմանը, համայնքային </w:t>
      </w:r>
      <w:r w:rsidRPr="001F63BA">
        <w:rPr>
          <w:rFonts w:ascii="GHEA Grapalat" w:hAnsi="GHEA Grapalat" w:cs="GHEA Grapalat"/>
          <w:sz w:val="22"/>
          <w:szCs w:val="22"/>
          <w:lang w:val="en-US"/>
        </w:rPr>
        <w:t xml:space="preserve">վարչական </w:t>
      </w:r>
      <w:r w:rsidRPr="001F63BA">
        <w:rPr>
          <w:rFonts w:ascii="GHEA Grapalat" w:hAnsi="GHEA Grapalat" w:cs="GHEA Grapalat"/>
          <w:sz w:val="22"/>
          <w:szCs w:val="22"/>
        </w:rPr>
        <w:t xml:space="preserve">շենքերի, մշակութային տների, մանկապարտեզների, հանդիսությունների սրահների կառուցմանն ու նորոգմանը, խմելու, կոյուղու, ոռոգման համակարգերի կառուցմանն ու նորոգմանը, գիշերային լուսավորության անցկացմանը, բնակավայրերի գազաֆիկացմանը, բազմաբնակարան շենքերի ընդհանուր բաժնային սեփականության գույքի վերանորոգմանը, գյուղատնտեսական և կոմունալ ծառայությունների համար մեքենասարքավորումների, ինչպես նաև գույքի ձեռքբերմանը։ Նշված միջոցառման շրջանակներում օգտագործվել է նախատեսված միջոցների </w:t>
      </w:r>
      <w:r w:rsidRPr="001F63BA">
        <w:rPr>
          <w:rFonts w:ascii="GHEA Grapalat" w:hAnsi="GHEA Grapalat" w:cs="GHEA Grapalat"/>
          <w:sz w:val="22"/>
          <w:szCs w:val="22"/>
          <w:lang w:val="en-US"/>
        </w:rPr>
        <w:t>96.2</w:t>
      </w:r>
      <w:r w:rsidRPr="001F63BA">
        <w:rPr>
          <w:rFonts w:ascii="GHEA Grapalat" w:hAnsi="GHEA Grapalat" w:cs="GHEA Grapalat"/>
          <w:sz w:val="22"/>
          <w:szCs w:val="22"/>
        </w:rPr>
        <w:t xml:space="preserve">%-ը կամ </w:t>
      </w:r>
      <w:r w:rsidRPr="001F63BA">
        <w:rPr>
          <w:rFonts w:ascii="GHEA Grapalat" w:hAnsi="GHEA Grapalat" w:cs="GHEA Grapalat"/>
          <w:sz w:val="22"/>
          <w:szCs w:val="22"/>
          <w:lang w:val="en-US"/>
        </w:rPr>
        <w:t>18.4</w:t>
      </w:r>
      <w:r w:rsidRPr="001F63BA">
        <w:rPr>
          <w:rFonts w:ascii="GHEA Grapalat" w:hAnsi="GHEA Grapalat" w:cs="GHEA Grapalat"/>
          <w:sz w:val="22"/>
          <w:szCs w:val="22"/>
        </w:rPr>
        <w:t xml:space="preserve"> մլրդ դրամ` պայմանավորված նրանով, որ որոշ սուբվենցիոն ծրագրեր թերի են կատարվել, և համայնքների կողմից համապատասխան ավարտական փաստաթղթեր չեն ներկայացվել, ինչպես նաև եղանակային անբարենպաստ պայմաններով, որոնց արդյունքում չավարտված սուբվենցիոն ծրագրերի ժամկետները երկարաձգվել են: </w:t>
      </w:r>
      <w:r w:rsidRPr="001F63BA">
        <w:rPr>
          <w:rFonts w:ascii="GHEA Grapalat" w:hAnsi="GHEA Grapalat" w:cs="GHEA Grapalat"/>
          <w:sz w:val="22"/>
          <w:szCs w:val="22"/>
          <w:lang w:val="en-US"/>
        </w:rPr>
        <w:t>2022 թվականին ն</w:t>
      </w:r>
      <w:r w:rsidRPr="001F63BA">
        <w:rPr>
          <w:rFonts w:ascii="GHEA Grapalat" w:hAnsi="GHEA Grapalat" w:cs="GHEA Grapalat"/>
          <w:sz w:val="22"/>
          <w:szCs w:val="22"/>
        </w:rPr>
        <w:t xml:space="preserve">ախատեսված </w:t>
      </w:r>
      <w:r w:rsidRPr="001F63BA">
        <w:rPr>
          <w:rFonts w:ascii="GHEA Grapalat" w:hAnsi="GHEA Grapalat" w:cs="GHEA Grapalat"/>
          <w:sz w:val="22"/>
          <w:szCs w:val="22"/>
          <w:lang w:val="en-US"/>
        </w:rPr>
        <w:t>385</w:t>
      </w:r>
      <w:r w:rsidRPr="001F63BA">
        <w:rPr>
          <w:rFonts w:ascii="GHEA Grapalat" w:hAnsi="GHEA Grapalat" w:cs="GHEA Grapalat"/>
          <w:sz w:val="22"/>
          <w:szCs w:val="22"/>
        </w:rPr>
        <w:t xml:space="preserve"> համայնքից </w:t>
      </w:r>
      <w:r w:rsidRPr="001F63BA">
        <w:rPr>
          <w:rFonts w:ascii="GHEA Grapalat" w:hAnsi="GHEA Grapalat" w:cs="GHEA Grapalat"/>
          <w:sz w:val="22"/>
          <w:szCs w:val="22"/>
          <w:lang w:val="en-US"/>
        </w:rPr>
        <w:t>սուբվենցիաներ են տրամադրվել</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340 համայնքի</w:t>
      </w:r>
      <w:r w:rsidRPr="001F63BA">
        <w:rPr>
          <w:rFonts w:ascii="GHEA Grapalat" w:hAnsi="GHEA Grapalat" w:cs="GHEA Grapalat"/>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Տարածքային զարգացման ծրագրին հատկացված միջոցների հիմնական մասը՝ 64.</w:t>
      </w:r>
      <w:r w:rsidRPr="001F63BA">
        <w:rPr>
          <w:rFonts w:ascii="GHEA Grapalat" w:hAnsi="GHEA Grapalat" w:cs="GHEA Grapalat"/>
          <w:sz w:val="22"/>
          <w:szCs w:val="22"/>
          <w:lang w:val="en-US"/>
        </w:rPr>
        <w:t>3</w:t>
      </w:r>
      <w:r w:rsidRPr="001F63BA">
        <w:rPr>
          <w:rFonts w:ascii="GHEA Grapalat" w:hAnsi="GHEA Grapalat" w:cs="GHEA Grapalat"/>
          <w:sz w:val="22"/>
          <w:szCs w:val="22"/>
        </w:rPr>
        <w:t xml:space="preserve"> մլրդ դրամը կազմել է</w:t>
      </w:r>
      <w:r w:rsidRPr="001F63BA">
        <w:rPr>
          <w:rFonts w:ascii="GHEA Grapalat" w:hAnsi="GHEA Grapalat"/>
        </w:rPr>
        <w:t xml:space="preserve"> </w:t>
      </w:r>
      <w:r w:rsidRPr="001F63BA">
        <w:rPr>
          <w:rFonts w:ascii="GHEA Grapalat" w:hAnsi="GHEA Grapalat" w:cs="GHEA Grapalat"/>
          <w:sz w:val="22"/>
          <w:szCs w:val="22"/>
        </w:rPr>
        <w:t>տեղական ինքնակառավարման մարմիններին</w:t>
      </w:r>
      <w:r w:rsidRPr="001F63BA">
        <w:rPr>
          <w:rFonts w:ascii="GHEA Grapalat" w:hAnsi="GHEA Grapalat"/>
        </w:rPr>
        <w:t xml:space="preserve"> </w:t>
      </w:r>
      <w:r w:rsidRPr="001F63BA">
        <w:rPr>
          <w:rFonts w:ascii="GHEA Grapalat" w:hAnsi="GHEA Grapalat" w:cs="GHEA Grapalat"/>
          <w:sz w:val="22"/>
          <w:szCs w:val="22"/>
        </w:rPr>
        <w:t>ֆինանսական աջակցությունը՝ պետական բյուջեից համայնքների բյուջեներին ֆինանսական համահարթեցման սկզբունքով տրվող դոտացիաները և օրենքների կիրարկման արդյունքում համայնքների բյուջեների կորուստների փոխհատուցման ծախսերը, որոնք նախատեսված ծավալով տրամադրվել են հանրապետության 502 համայնքներին:</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Նախորդ տարվա համեմատ Տարածքային զարգացման ծրագրի շրջանակներում կատարված ծախսերն աճել են </w:t>
      </w:r>
      <w:r w:rsidRPr="001F63BA">
        <w:rPr>
          <w:rFonts w:ascii="GHEA Grapalat" w:hAnsi="GHEA Grapalat" w:cs="GHEA Grapalat"/>
          <w:sz w:val="22"/>
          <w:szCs w:val="22"/>
          <w:lang w:val="en-US"/>
        </w:rPr>
        <w:t>6.4</w:t>
      </w:r>
      <w:r w:rsidRPr="001F63BA">
        <w:rPr>
          <w:rFonts w:ascii="GHEA Grapalat" w:hAnsi="GHEA Grapalat" w:cs="GHEA Grapalat"/>
          <w:sz w:val="22"/>
          <w:szCs w:val="22"/>
        </w:rPr>
        <w:t>%-ով կամ 5.</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մլրդ դրամով: Աճը </w:t>
      </w:r>
      <w:r w:rsidRPr="001F63BA">
        <w:rPr>
          <w:rFonts w:ascii="GHEA Grapalat" w:hAnsi="GHEA Grapalat" w:cs="GHEA Grapalat"/>
          <w:sz w:val="22"/>
          <w:szCs w:val="22"/>
          <w:lang w:val="en-US"/>
        </w:rPr>
        <w:t xml:space="preserve">հիմնականում </w:t>
      </w:r>
      <w:r w:rsidRPr="001F63BA">
        <w:rPr>
          <w:rFonts w:ascii="GHEA Grapalat" w:hAnsi="GHEA Grapalat" w:cs="GHEA Grapalat"/>
          <w:sz w:val="22"/>
          <w:szCs w:val="22"/>
        </w:rPr>
        <w:t xml:space="preserve">պայմանավորված է ենթակառուցվածքների զարգացման նպատակով ՀՀ մարզերին </w:t>
      </w:r>
      <w:r w:rsidRPr="001F63BA">
        <w:rPr>
          <w:rFonts w:ascii="GHEA Grapalat" w:hAnsi="GHEA Grapalat" w:cs="GHEA Grapalat"/>
          <w:sz w:val="22"/>
          <w:szCs w:val="22"/>
          <w:lang w:val="en-US"/>
        </w:rPr>
        <w:t xml:space="preserve">տրամադրված </w:t>
      </w:r>
      <w:r w:rsidRPr="001F63BA">
        <w:rPr>
          <w:rFonts w:ascii="GHEA Grapalat" w:hAnsi="GHEA Grapalat" w:cs="GHEA Grapalat"/>
          <w:sz w:val="22"/>
          <w:szCs w:val="22"/>
        </w:rPr>
        <w:t xml:space="preserve">սուբվենցիաների </w:t>
      </w:r>
      <w:r w:rsidRPr="001F63BA">
        <w:rPr>
          <w:rFonts w:ascii="GHEA Grapalat" w:hAnsi="GHEA Grapalat" w:cs="GHEA Grapalat"/>
          <w:sz w:val="22"/>
          <w:szCs w:val="22"/>
          <w:lang w:val="en-US"/>
        </w:rPr>
        <w:lastRenderedPageBreak/>
        <w:t>49.7</w:t>
      </w:r>
      <w:r w:rsidRPr="001F63BA">
        <w:rPr>
          <w:rFonts w:ascii="GHEA Grapalat" w:hAnsi="GHEA Grapalat" w:cs="GHEA Grapalat"/>
          <w:sz w:val="22"/>
          <w:szCs w:val="22"/>
        </w:rPr>
        <w:t>% (</w:t>
      </w:r>
      <w:r w:rsidRPr="001F63BA">
        <w:rPr>
          <w:rFonts w:ascii="GHEA Grapalat" w:hAnsi="GHEA Grapalat" w:cs="GHEA Grapalat"/>
          <w:sz w:val="22"/>
          <w:szCs w:val="22"/>
          <w:lang w:val="en-US"/>
        </w:rPr>
        <w:t>6.1</w:t>
      </w:r>
      <w:r w:rsidRPr="001F63BA">
        <w:rPr>
          <w:rFonts w:ascii="GHEA Grapalat" w:hAnsi="GHEA Grapalat" w:cs="GHEA Grapalat"/>
          <w:sz w:val="22"/>
          <w:szCs w:val="22"/>
        </w:rPr>
        <w:t xml:space="preserve"> մլրդ դրամ) աճով</w:t>
      </w:r>
      <w:r w:rsidRPr="001F63BA">
        <w:rPr>
          <w:rFonts w:ascii="GHEA Grapalat" w:hAnsi="GHEA Grapalat" w:cs="GHEA Grapalat"/>
          <w:sz w:val="22"/>
          <w:szCs w:val="22"/>
          <w:lang w:val="en-US"/>
        </w:rPr>
        <w:t xml:space="preserve">՝ պայմանավորված </w:t>
      </w:r>
      <w:r w:rsidRPr="001F63BA">
        <w:rPr>
          <w:rFonts w:ascii="GHEA Grapalat" w:hAnsi="GHEA Grapalat" w:cs="GHEA Grapalat"/>
          <w:sz w:val="22"/>
          <w:szCs w:val="22"/>
        </w:rPr>
        <w:t>ՀՀ վարչապետի որոշմամբ ստեղծված սուբվենցիաներ ստանալու համար ծրագրային հայտերի գնահատման միջգերատեսչական հանձնաժողովի կողմից հավանության արժանացած</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ՀՀ համայնքների կողմից ներկայացված սուբվենցիոն հայտերի քանակով։</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ՀՀ ՏԿԵՆ պատասխանատվությամբ իրականացվող այլ ծրագրերից է</w:t>
      </w:r>
      <w:r w:rsidRPr="001F63BA">
        <w:rPr>
          <w:rFonts w:ascii="GHEA Grapalat" w:hAnsi="GHEA Grapalat" w:cs="Sylfaen"/>
          <w:sz w:val="22"/>
          <w:szCs w:val="22"/>
          <w:lang w:val="en-US"/>
        </w:rPr>
        <w:t xml:space="preserve"> </w:t>
      </w:r>
      <w:r w:rsidRPr="001F63BA">
        <w:rPr>
          <w:rFonts w:ascii="GHEA Grapalat" w:hAnsi="GHEA Grapalat" w:cs="Sylfaen"/>
          <w:i/>
          <w:iCs/>
          <w:sz w:val="22"/>
          <w:szCs w:val="22"/>
        </w:rPr>
        <w:t>Սոցիալական ներդրումների և տեղական զարգացման ծրագ</w:t>
      </w:r>
      <w:r w:rsidRPr="001F63BA">
        <w:rPr>
          <w:rFonts w:ascii="GHEA Grapalat" w:hAnsi="GHEA Grapalat" w:cs="Sylfaen"/>
          <w:i/>
          <w:iCs/>
          <w:sz w:val="22"/>
          <w:szCs w:val="22"/>
          <w:lang w:val="en-US"/>
        </w:rPr>
        <w:t>ի</w:t>
      </w:r>
      <w:r w:rsidRPr="001F63BA">
        <w:rPr>
          <w:rFonts w:ascii="GHEA Grapalat" w:hAnsi="GHEA Grapalat" w:cs="Sylfaen"/>
          <w:i/>
          <w:iCs/>
          <w:sz w:val="22"/>
          <w:szCs w:val="22"/>
        </w:rPr>
        <w:t>ր</w:t>
      </w:r>
      <w:r w:rsidRPr="001F63BA">
        <w:rPr>
          <w:rFonts w:ascii="GHEA Grapalat" w:hAnsi="GHEA Grapalat" w:cs="Sylfaen"/>
          <w:i/>
          <w:iCs/>
          <w:sz w:val="22"/>
          <w:szCs w:val="22"/>
          <w:lang w:val="en-US"/>
        </w:rPr>
        <w:t>ը,</w:t>
      </w:r>
      <w:r w:rsidRPr="001F63BA">
        <w:rPr>
          <w:rFonts w:ascii="GHEA Grapalat" w:hAnsi="GHEA Grapalat" w:cs="Sylfaen"/>
          <w:sz w:val="22"/>
          <w:szCs w:val="22"/>
          <w:lang w:val="en-US"/>
        </w:rPr>
        <w:t xml:space="preserve"> որն իրականացվում է արտաքին աջակցությամբ: </w:t>
      </w:r>
      <w:r w:rsidRPr="001F63BA">
        <w:rPr>
          <w:rFonts w:ascii="GHEA Grapalat" w:hAnsi="GHEA Grapalat" w:cs="Sylfaen"/>
          <w:sz w:val="22"/>
          <w:szCs w:val="22"/>
        </w:rPr>
        <w:t xml:space="preserve">ՀՀ պետական բյուջեից տվյալ ծրագրին հատկացվել էր </w:t>
      </w:r>
      <w:r w:rsidRPr="001F63BA">
        <w:rPr>
          <w:rFonts w:ascii="GHEA Grapalat" w:hAnsi="GHEA Grapalat" w:cs="Sylfaen"/>
          <w:sz w:val="22"/>
          <w:szCs w:val="22"/>
          <w:lang w:val="en-US"/>
        </w:rPr>
        <w:t>3.4</w:t>
      </w:r>
      <w:r w:rsidRPr="001F63BA">
        <w:rPr>
          <w:rFonts w:ascii="GHEA Grapalat" w:hAnsi="GHEA Grapalat" w:cs="Sylfaen"/>
          <w:sz w:val="22"/>
          <w:szCs w:val="22"/>
        </w:rPr>
        <w:t xml:space="preserve"> մլրդ դրամ, որի դիմաց կատարված ծախսերը կազմել են շուրջ </w:t>
      </w:r>
      <w:r w:rsidRPr="001F63BA">
        <w:rPr>
          <w:rFonts w:ascii="GHEA Grapalat" w:hAnsi="GHEA Grapalat" w:cs="Sylfaen"/>
          <w:sz w:val="22"/>
          <w:szCs w:val="22"/>
          <w:lang w:val="en-US"/>
        </w:rPr>
        <w:t>3.2</w:t>
      </w:r>
      <w:r w:rsidRPr="001F63BA">
        <w:rPr>
          <w:rFonts w:ascii="GHEA Grapalat" w:hAnsi="GHEA Grapalat" w:cs="Sylfaen"/>
          <w:sz w:val="22"/>
          <w:szCs w:val="22"/>
        </w:rPr>
        <w:t xml:space="preserve"> մլրդ դրամ՝ ապահովելով </w:t>
      </w:r>
      <w:r w:rsidRPr="001F63BA">
        <w:rPr>
          <w:rFonts w:ascii="GHEA Grapalat" w:hAnsi="GHEA Grapalat" w:cs="Sylfaen"/>
          <w:sz w:val="22"/>
          <w:szCs w:val="22"/>
          <w:lang w:val="en-US"/>
        </w:rPr>
        <w:t>92.4</w:t>
      </w:r>
      <w:r w:rsidRPr="001F63BA">
        <w:rPr>
          <w:rFonts w:ascii="GHEA Grapalat" w:hAnsi="GHEA Grapalat" w:cs="Sylfaen"/>
          <w:sz w:val="22"/>
          <w:szCs w:val="22"/>
        </w:rPr>
        <w:t xml:space="preserve">% կատարողական: Շեղումը հիմնականում պայմանավորված է </w:t>
      </w:r>
      <w:r w:rsidRPr="001F63BA">
        <w:rPr>
          <w:rFonts w:ascii="GHEA Grapalat" w:hAnsi="GHEA Grapalat" w:cs="Sylfaen"/>
          <w:sz w:val="22"/>
          <w:szCs w:val="22"/>
          <w:lang w:val="en-US"/>
        </w:rPr>
        <w:t>ա</w:t>
      </w:r>
      <w:r w:rsidRPr="001F63BA">
        <w:rPr>
          <w:rFonts w:ascii="GHEA Grapalat" w:hAnsi="GHEA Grapalat" w:cs="Sylfaen"/>
          <w:sz w:val="22"/>
          <w:szCs w:val="22"/>
        </w:rPr>
        <w:t>րտարժույթի կանխատեսված և փաստացի փոխարժեքների տարբերությ</w:t>
      </w:r>
      <w:r w:rsidRPr="001F63BA">
        <w:rPr>
          <w:rFonts w:ascii="GHEA Grapalat" w:hAnsi="GHEA Grapalat" w:cs="Sylfaen"/>
          <w:sz w:val="22"/>
          <w:szCs w:val="22"/>
          <w:lang w:val="en-US"/>
        </w:rPr>
        <w:t>ամբ</w:t>
      </w:r>
      <w:r w:rsidRPr="001F63BA">
        <w:rPr>
          <w:rFonts w:ascii="GHEA Grapalat" w:hAnsi="GHEA Grapalat" w:cs="Sylfaen"/>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Սոցիալական ներդրումների և տեղական զարգացման ծրագրում ընդգրկված՝</w:t>
      </w:r>
      <w:r w:rsidRPr="001F63BA">
        <w:rPr>
          <w:rFonts w:ascii="GHEA Grapalat" w:hAnsi="GHEA Grapalat" w:cs="Sylfaen"/>
          <w:i/>
          <w:iCs/>
          <w:sz w:val="22"/>
          <w:szCs w:val="22"/>
          <w:lang w:val="en-US"/>
        </w:rPr>
        <w:t xml:space="preserve"> </w:t>
      </w:r>
      <w:r w:rsidRPr="001F63BA">
        <w:rPr>
          <w:rFonts w:ascii="GHEA Grapalat" w:hAnsi="GHEA Grapalat" w:cs="Sylfaen"/>
          <w:sz w:val="22"/>
          <w:szCs w:val="22"/>
        </w:rPr>
        <w:t>Համաշխարհային բանկի աջակցությամբ իրականացվող Տարածքային զարգացման հիմնադրամի ծրագրի նպատակը համայնքային և միջհամայնքային ենթակառուցվածքների որակի և հասանել</w:t>
      </w:r>
      <w:r w:rsidRPr="001F63BA">
        <w:rPr>
          <w:rFonts w:ascii="GHEA Grapalat" w:hAnsi="GHEA Grapalat" w:cs="Sylfaen"/>
          <w:sz w:val="22"/>
          <w:szCs w:val="22"/>
          <w:lang w:val="en-US"/>
        </w:rPr>
        <w:t>ի</w:t>
      </w:r>
      <w:r w:rsidRPr="001F63BA">
        <w:rPr>
          <w:rFonts w:ascii="GHEA Grapalat" w:hAnsi="GHEA Grapalat" w:cs="Sylfaen"/>
          <w:sz w:val="22"/>
          <w:szCs w:val="22"/>
        </w:rPr>
        <w:t>ության բարելավումն է, ինչպես նաև դպրոցների, մանկապարտեզների և համայնքային կենտրոնների ապահովումը կահույքով: Ծրագրի շրջանակներում 2022 թվականին ավարտվել են շինարարական աշխատանքները երկու ծրագրում՝ Շիրակի և Սյունիքի մարզերում: Բացի այդ, Շիրակի և Լոռու մարզերի 2 մանկապարտեզներին հանձնվել է կահույքի և սարքավորումների 694 միավոր, ՀՀ տարբեր մարզերի համայնքներում տեղադրվել են 130 արևային ֆոտովոլտային կայաններ՝ 1,391.5 ԿՎՏ ընդհանուր հզորությամբ, համայնքներին հանձնվել է 5 միկրոավտոբուս, 8 բազմաֆունկցիոնալ էքսկավատոր, 3 ամբարձիչ, 3 ինքնաթափ մեքենա, 2 ամենագնաց կիսաբեռնատար սպասարկման մեքենա, 1 անիվավոր տրակտոր, 2 ավտոգրեյդեր, 3 քաղաքային կոմունալ մեքենա, 2 աղբատար մեքենա և 350 պլաստմասե աղբաման։</w:t>
      </w:r>
      <w:r w:rsidRPr="001F63BA">
        <w:rPr>
          <w:rFonts w:ascii="GHEA Grapalat" w:hAnsi="GHEA Grapalat" w:cs="Sylfaen"/>
          <w:sz w:val="22"/>
          <w:szCs w:val="22"/>
          <w:lang w:val="en-US"/>
        </w:rPr>
        <w:t xml:space="preserve"> Ծրագրի շրջանակներում օգտագործվել է շուրջ 1.9 մլրդ դրամ կամ նախատեսված միջոցների 90.9%-ը:</w:t>
      </w:r>
    </w:p>
    <w:p w:rsidR="001C411D" w:rsidRPr="001F63BA" w:rsidRDefault="001C411D" w:rsidP="0077791B">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ԱՄՆ Մ</w:t>
      </w:r>
      <w:r w:rsidRPr="001F63BA">
        <w:rPr>
          <w:rFonts w:ascii="GHEA Grapalat" w:hAnsi="GHEA Grapalat" w:cs="Sylfaen"/>
          <w:sz w:val="22"/>
          <w:szCs w:val="22"/>
          <w:lang w:val="en-US"/>
        </w:rPr>
        <w:t>ԶԳ</w:t>
      </w:r>
      <w:r w:rsidRPr="001F63BA">
        <w:rPr>
          <w:rFonts w:ascii="GHEA Grapalat" w:hAnsi="GHEA Grapalat" w:cs="Sylfaen"/>
          <w:sz w:val="22"/>
          <w:szCs w:val="22"/>
        </w:rPr>
        <w:t xml:space="preserve"> աջակցությամբ իրականացվող Տեղական ինքնակառավարման բարեփոխումների դրամաշնորհային ծրագրի շրջանակներում 14 խոշորացված համայնքային փնջերում, ըստ գերակայության սկզբունքի, իրականացվում են ներդրումներ համայնքային զարգացման սոցիալական, տնտեսական, սանիտարական և շրջակա միջավայրի պահպանության ենթակառուցվածքներում։ Ծրագրի շրջանակներում 2022 թվականին տարբեր համայնքների համար գնվել է 3 միկրոավտոբուս, 1 թափքավոր բեռնատար մեքենա, 3 բազմաֆունկցիոնալ մինիամբար</w:t>
      </w:r>
      <w:r w:rsidRPr="001F63BA">
        <w:rPr>
          <w:rFonts w:ascii="GHEA Grapalat" w:hAnsi="GHEA Grapalat" w:cs="Sylfaen"/>
          <w:sz w:val="22"/>
          <w:szCs w:val="22"/>
          <w:lang w:val="en-US"/>
        </w:rPr>
        <w:t>ձ</w:t>
      </w:r>
      <w:r w:rsidRPr="001F63BA">
        <w:rPr>
          <w:rFonts w:ascii="GHEA Grapalat" w:hAnsi="GHEA Grapalat" w:cs="Sylfaen"/>
          <w:sz w:val="22"/>
          <w:szCs w:val="22"/>
        </w:rPr>
        <w:t>իչ, 3 ամենագնաց կիսաբեռնատար մեքենա, 6 անիվավոր տրակտոր, 2 էքսկավատոր-բեռնիչ, 1 ասֆալտահատ ֆռեզ, 1 կոմունալ բազմ</w:t>
      </w:r>
      <w:r w:rsidRPr="001F63BA">
        <w:rPr>
          <w:rFonts w:ascii="GHEA Grapalat" w:hAnsi="GHEA Grapalat" w:cs="Sylfaen"/>
          <w:sz w:val="22"/>
          <w:szCs w:val="22"/>
          <w:lang w:val="en-US"/>
        </w:rPr>
        <w:t>ա</w:t>
      </w:r>
      <w:r w:rsidRPr="001F63BA">
        <w:rPr>
          <w:rFonts w:ascii="GHEA Grapalat" w:hAnsi="GHEA Grapalat" w:cs="Sylfaen"/>
          <w:sz w:val="22"/>
          <w:szCs w:val="22"/>
        </w:rPr>
        <w:t xml:space="preserve">ֆունկցիոնալ մեքենա, 6 աղբատար մեքենա, 120 աղբի </w:t>
      </w:r>
      <w:r w:rsidRPr="001F63BA">
        <w:rPr>
          <w:rFonts w:ascii="GHEA Grapalat" w:hAnsi="GHEA Grapalat" w:cs="Sylfaen"/>
          <w:sz w:val="22"/>
          <w:szCs w:val="22"/>
        </w:rPr>
        <w:lastRenderedPageBreak/>
        <w:t>մետաղյա կոնտեյներ, 9 միավոր գյուղատնտեսական տեխնիկա</w:t>
      </w:r>
      <w:r w:rsidRPr="001F63BA">
        <w:rPr>
          <w:rFonts w:ascii="GHEA Grapalat" w:hAnsi="GHEA Grapalat" w:cs="Sylfaen"/>
          <w:sz w:val="22"/>
          <w:szCs w:val="22"/>
          <w:lang w:val="en-US"/>
        </w:rPr>
        <w:t>,</w:t>
      </w:r>
      <w:r w:rsidRPr="001F63BA">
        <w:rPr>
          <w:rFonts w:ascii="GHEA Grapalat" w:hAnsi="GHEA Grapalat" w:cs="Sylfaen"/>
          <w:sz w:val="22"/>
          <w:szCs w:val="22"/>
        </w:rPr>
        <w:t xml:space="preserve"> </w:t>
      </w:r>
      <w:r w:rsidRPr="001F63BA">
        <w:rPr>
          <w:rFonts w:ascii="GHEA Grapalat" w:hAnsi="GHEA Grapalat" w:cs="Sylfaen"/>
          <w:sz w:val="22"/>
          <w:szCs w:val="22"/>
          <w:lang w:val="en-US"/>
        </w:rPr>
        <w:t>տ</w:t>
      </w:r>
      <w:r w:rsidRPr="001F63BA">
        <w:rPr>
          <w:rFonts w:ascii="GHEA Grapalat" w:hAnsi="GHEA Grapalat" w:cs="Sylfaen"/>
          <w:sz w:val="22"/>
          <w:szCs w:val="22"/>
        </w:rPr>
        <w:t>եղադրվել է 49 արևային ֆոտովոլտային կայան։</w:t>
      </w:r>
      <w:r w:rsidRPr="001F63BA">
        <w:rPr>
          <w:rFonts w:ascii="GHEA Grapalat" w:hAnsi="GHEA Grapalat" w:cs="Sylfaen"/>
          <w:sz w:val="22"/>
          <w:szCs w:val="22"/>
          <w:lang w:val="en-US"/>
        </w:rPr>
        <w:t xml:space="preserve"> Ծրագրի ծախսերը կատարվել են 99.9%-ով՝ կազմելով 709.2 մլն դրամ:</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w:t>
      </w:r>
      <w:r w:rsidRPr="001F63BA">
        <w:rPr>
          <w:rFonts w:ascii="GHEA Grapalat" w:hAnsi="GHEA Grapalat" w:cs="Sylfaen"/>
          <w:sz w:val="22"/>
          <w:szCs w:val="22"/>
          <w:lang w:val="en-US"/>
        </w:rPr>
        <w:t>1</w:t>
      </w:r>
      <w:r w:rsidRPr="001F63BA">
        <w:rPr>
          <w:rFonts w:ascii="GHEA Grapalat" w:hAnsi="GHEA Grapalat" w:cs="Sylfaen"/>
          <w:sz w:val="22"/>
          <w:szCs w:val="22"/>
        </w:rPr>
        <w:t xml:space="preserve"> թվականի համեմատ Սոցիալական ներդրումների և տեղական զարգացման ծրագրի ծախսերն աճել են </w:t>
      </w:r>
      <w:r w:rsidRPr="001F63BA">
        <w:rPr>
          <w:rFonts w:ascii="GHEA Grapalat" w:hAnsi="GHEA Grapalat" w:cs="Sylfaen"/>
          <w:sz w:val="22"/>
          <w:szCs w:val="22"/>
          <w:lang w:val="en-US"/>
        </w:rPr>
        <w:t>33.1%-ով</w:t>
      </w:r>
      <w:r w:rsidRPr="001F63BA">
        <w:rPr>
          <w:rFonts w:ascii="GHEA Grapalat" w:hAnsi="GHEA Grapalat" w:cs="Sylfaen"/>
          <w:sz w:val="22"/>
          <w:szCs w:val="22"/>
        </w:rPr>
        <w:t xml:space="preserve"> կամ </w:t>
      </w:r>
      <w:r w:rsidRPr="001F63BA">
        <w:rPr>
          <w:rFonts w:ascii="GHEA Grapalat" w:hAnsi="GHEA Grapalat" w:cs="Sylfaen"/>
          <w:sz w:val="22"/>
          <w:szCs w:val="22"/>
          <w:lang w:val="en-US"/>
        </w:rPr>
        <w:t>784.1</w:t>
      </w:r>
      <w:r w:rsidRPr="001F63BA">
        <w:rPr>
          <w:rFonts w:ascii="GHEA Grapalat" w:hAnsi="GHEA Grapalat" w:cs="Sylfaen"/>
          <w:sz w:val="22"/>
          <w:szCs w:val="22"/>
        </w:rPr>
        <w:t xml:space="preserve"> մլն դրամով:</w:t>
      </w:r>
    </w:p>
    <w:p w:rsidR="001C411D" w:rsidRPr="001F63BA" w:rsidRDefault="001C411D" w:rsidP="008E438A">
      <w:pPr>
        <w:autoSpaceDE w:val="0"/>
        <w:autoSpaceDN w:val="0"/>
        <w:adjustRightInd w:val="0"/>
        <w:spacing w:line="360" w:lineRule="auto"/>
        <w:ind w:firstLine="567"/>
        <w:jc w:val="both"/>
        <w:rPr>
          <w:rFonts w:ascii="GHEA Grapalat" w:hAnsi="GHEA Grapalat" w:cs="Sylfaen"/>
          <w:iCs/>
          <w:sz w:val="22"/>
          <w:szCs w:val="22"/>
          <w:lang w:val="af-ZA"/>
        </w:rPr>
      </w:pPr>
      <w:r w:rsidRPr="001F63BA">
        <w:rPr>
          <w:rFonts w:ascii="GHEA Grapalat" w:hAnsi="GHEA Grapalat" w:cs="Sylfaen"/>
          <w:i/>
          <w:sz w:val="22"/>
          <w:szCs w:val="22"/>
        </w:rPr>
        <w:t>Որոտան-Արփա-Սևան թունելի ջրային համակարգի կառավարման</w:t>
      </w:r>
      <w:r w:rsidRPr="001F63BA">
        <w:rPr>
          <w:rFonts w:ascii="GHEA Grapalat" w:hAnsi="GHEA Grapalat" w:cs="Sylfaen"/>
          <w:iCs/>
          <w:sz w:val="22"/>
          <w:szCs w:val="22"/>
        </w:rPr>
        <w:t xml:space="preserve"> ծրագրին 202</w:t>
      </w:r>
      <w:r w:rsidRPr="001F63BA">
        <w:rPr>
          <w:rFonts w:ascii="GHEA Grapalat" w:hAnsi="GHEA Grapalat" w:cs="Sylfaen"/>
          <w:iCs/>
          <w:sz w:val="22"/>
          <w:szCs w:val="22"/>
          <w:lang w:val="en-US"/>
        </w:rPr>
        <w:t>2</w:t>
      </w:r>
      <w:r w:rsidRPr="001F63BA">
        <w:rPr>
          <w:rFonts w:ascii="GHEA Grapalat" w:hAnsi="GHEA Grapalat" w:cs="Sylfaen"/>
          <w:iCs/>
          <w:sz w:val="22"/>
          <w:szCs w:val="22"/>
        </w:rPr>
        <w:t xml:space="preserve"> թվականի պետական բյուջեից տրամադրվել է </w:t>
      </w:r>
      <w:r w:rsidRPr="001F63BA">
        <w:rPr>
          <w:rFonts w:ascii="GHEA Grapalat" w:hAnsi="GHEA Grapalat" w:cs="Sylfaen"/>
          <w:iCs/>
          <w:sz w:val="22"/>
          <w:szCs w:val="22"/>
          <w:lang w:val="en-US"/>
        </w:rPr>
        <w:t>1.4</w:t>
      </w:r>
      <w:r w:rsidRPr="001F63BA">
        <w:rPr>
          <w:rFonts w:ascii="GHEA Grapalat" w:hAnsi="GHEA Grapalat" w:cs="Sylfaen"/>
          <w:iCs/>
          <w:sz w:val="22"/>
          <w:szCs w:val="22"/>
        </w:rPr>
        <w:t xml:space="preserve"> մլ</w:t>
      </w:r>
      <w:r w:rsidRPr="001F63BA">
        <w:rPr>
          <w:rFonts w:ascii="GHEA Grapalat" w:hAnsi="GHEA Grapalat" w:cs="Sylfaen"/>
          <w:iCs/>
          <w:sz w:val="22"/>
          <w:szCs w:val="22"/>
          <w:lang w:val="en-US"/>
        </w:rPr>
        <w:t>րդ</w:t>
      </w:r>
      <w:r w:rsidRPr="001F63BA">
        <w:rPr>
          <w:rFonts w:ascii="GHEA Grapalat" w:hAnsi="GHEA Grapalat" w:cs="Sylfaen"/>
          <w:iCs/>
          <w:sz w:val="22"/>
          <w:szCs w:val="22"/>
        </w:rPr>
        <w:t xml:space="preserve"> դրամ, որը կազմել է նախատեսված միջոցների </w:t>
      </w:r>
      <w:r w:rsidRPr="001F63BA">
        <w:rPr>
          <w:rFonts w:ascii="GHEA Grapalat" w:hAnsi="GHEA Grapalat" w:cs="Sylfaen"/>
          <w:iCs/>
          <w:sz w:val="22"/>
          <w:szCs w:val="22"/>
          <w:lang w:val="en-US"/>
        </w:rPr>
        <w:t>99</w:t>
      </w:r>
      <w:r w:rsidRPr="001F63BA">
        <w:rPr>
          <w:rFonts w:ascii="GHEA Grapalat" w:hAnsi="GHEA Grapalat" w:cs="Sylfaen"/>
          <w:iCs/>
          <w:sz w:val="22"/>
          <w:szCs w:val="22"/>
        </w:rPr>
        <w:t>.8%</w:t>
      </w:r>
      <w:r w:rsidRPr="001F63BA">
        <w:rPr>
          <w:rFonts w:ascii="GHEA Grapalat" w:hAnsi="GHEA Grapalat" w:cs="Sylfaen"/>
          <w:iCs/>
          <w:sz w:val="22"/>
          <w:szCs w:val="22"/>
        </w:rPr>
        <w:noBreakHyphen/>
        <w:t xml:space="preserve">ը: Նշված գումարի </w:t>
      </w:r>
      <w:r w:rsidRPr="001F63BA">
        <w:rPr>
          <w:rFonts w:ascii="GHEA Grapalat" w:hAnsi="GHEA Grapalat" w:cs="Sylfaen"/>
          <w:iCs/>
          <w:sz w:val="22"/>
          <w:szCs w:val="22"/>
          <w:lang w:val="en-US"/>
        </w:rPr>
        <w:t>հիմնական մասը՝ ավելի քան 1 մլրդ</w:t>
      </w:r>
      <w:r w:rsidRPr="001F63BA">
        <w:rPr>
          <w:rFonts w:ascii="GHEA Grapalat" w:hAnsi="GHEA Grapalat" w:cs="Sylfaen"/>
          <w:iCs/>
          <w:sz w:val="22"/>
          <w:szCs w:val="22"/>
        </w:rPr>
        <w:t xml:space="preserve"> դրամն ուղղվել է Արփա-Սևան ջրային համակարգի տեխնիկական վիճակի բարելավմ</w:t>
      </w:r>
      <w:r w:rsidRPr="001F63BA">
        <w:rPr>
          <w:rFonts w:ascii="GHEA Grapalat" w:hAnsi="GHEA Grapalat" w:cs="Sylfaen"/>
          <w:iCs/>
          <w:sz w:val="22"/>
          <w:szCs w:val="22"/>
          <w:lang w:val="en-US"/>
        </w:rPr>
        <w:t>ան</w:t>
      </w:r>
      <w:r w:rsidRPr="001F63BA">
        <w:rPr>
          <w:rFonts w:ascii="GHEA Grapalat" w:hAnsi="GHEA Grapalat" w:cs="Sylfaen"/>
          <w:iCs/>
          <w:sz w:val="22"/>
          <w:szCs w:val="22"/>
        </w:rPr>
        <w:t xml:space="preserve"> միջոցառմանը, որն ամբողջությամբ կատարվել է:</w:t>
      </w:r>
      <w:r w:rsidRPr="001F63BA">
        <w:rPr>
          <w:rFonts w:ascii="GHEA Grapalat" w:hAnsi="GHEA Grapalat" w:cs="Sylfaen"/>
          <w:iCs/>
          <w:sz w:val="22"/>
          <w:szCs w:val="22"/>
          <w:lang w:val="en-US"/>
        </w:rPr>
        <w:t xml:space="preserve"> Միջոցառման շրջանակներում </w:t>
      </w:r>
      <w:r w:rsidRPr="001F63BA">
        <w:rPr>
          <w:rFonts w:ascii="GHEA Grapalat" w:hAnsi="GHEA Grapalat" w:cs="Sylfaen"/>
          <w:iCs/>
          <w:sz w:val="22"/>
          <w:szCs w:val="22"/>
          <w:lang w:val="fr-FR"/>
        </w:rPr>
        <w:t>2022 թվականին իրականացվել է Արփա-Սևան թունելի 114 գծմ երեսարկների վերակառուցում։</w:t>
      </w:r>
      <w:r w:rsidRPr="001F63BA">
        <w:rPr>
          <w:rFonts w:ascii="GHEA Grapalat" w:hAnsi="GHEA Grapalat" w:cs="Sylfaen"/>
          <w:iCs/>
          <w:sz w:val="22"/>
          <w:szCs w:val="22"/>
        </w:rPr>
        <w:t xml:space="preserve"> </w:t>
      </w:r>
      <w:r w:rsidRPr="001F63BA">
        <w:rPr>
          <w:rFonts w:ascii="GHEA Grapalat" w:hAnsi="GHEA Grapalat" w:cs="Sylfaen"/>
          <w:iCs/>
          <w:sz w:val="22"/>
          <w:szCs w:val="22"/>
          <w:lang w:val="ru-RU"/>
        </w:rPr>
        <w:t>Նախատեսված</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է</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թունելով</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տեղափոխել</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տարեկան</w:t>
      </w:r>
      <w:r w:rsidRPr="001F63BA">
        <w:rPr>
          <w:rFonts w:ascii="GHEA Grapalat" w:hAnsi="GHEA Grapalat" w:cs="Sylfaen"/>
          <w:iCs/>
          <w:sz w:val="22"/>
          <w:szCs w:val="22"/>
          <w:lang w:val="af-ZA"/>
        </w:rPr>
        <w:t xml:space="preserve"> 300 </w:t>
      </w:r>
      <w:r w:rsidRPr="001F63BA">
        <w:rPr>
          <w:rFonts w:ascii="GHEA Grapalat" w:hAnsi="GHEA Grapalat" w:cs="Sylfaen"/>
          <w:iCs/>
          <w:sz w:val="22"/>
          <w:szCs w:val="22"/>
          <w:lang w:val="ru-RU"/>
        </w:rPr>
        <w:t>մլն</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մ</w:t>
      </w:r>
      <w:r w:rsidRPr="001F63BA">
        <w:rPr>
          <w:rFonts w:ascii="GHEA Grapalat" w:hAnsi="GHEA Grapalat" w:cs="Sylfaen"/>
          <w:iCs/>
          <w:sz w:val="22"/>
          <w:szCs w:val="22"/>
          <w:vertAlign w:val="superscript"/>
          <w:lang w:val="en-US"/>
        </w:rPr>
        <w:t>3</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ջուր</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սակայն</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Արփա</w:t>
      </w:r>
      <w:r w:rsidRPr="001F63BA">
        <w:rPr>
          <w:rFonts w:ascii="GHEA Grapalat" w:hAnsi="GHEA Grapalat" w:cs="Sylfaen"/>
          <w:iCs/>
          <w:sz w:val="22"/>
          <w:szCs w:val="22"/>
          <w:lang w:val="af-ZA"/>
        </w:rPr>
        <w:t>-</w:t>
      </w:r>
      <w:r w:rsidRPr="001F63BA">
        <w:rPr>
          <w:rFonts w:ascii="GHEA Grapalat" w:hAnsi="GHEA Grapalat" w:cs="Sylfaen"/>
          <w:iCs/>
          <w:sz w:val="22"/>
          <w:szCs w:val="22"/>
          <w:lang w:val="ru-RU"/>
        </w:rPr>
        <w:t>Սևան</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թունելի</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տեխնիկական</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վիճակով</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պայմանավորված</w:t>
      </w:r>
      <w:r w:rsidRPr="001F63BA">
        <w:rPr>
          <w:rFonts w:ascii="GHEA Grapalat" w:hAnsi="GHEA Grapalat" w:cs="Sylfaen"/>
          <w:iCs/>
          <w:sz w:val="22"/>
          <w:szCs w:val="22"/>
          <w:lang w:val="en-US"/>
        </w:rPr>
        <w:t>՝</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Սևանա</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լիճ</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է</w:t>
      </w:r>
      <w:r w:rsidRPr="001F63BA">
        <w:rPr>
          <w:rFonts w:ascii="GHEA Grapalat" w:hAnsi="GHEA Grapalat" w:cs="Sylfaen"/>
          <w:iCs/>
          <w:sz w:val="22"/>
          <w:szCs w:val="22"/>
          <w:lang w:val="en-US"/>
        </w:rPr>
        <w:t>ր</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տեղափոխվում</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en-US"/>
        </w:rPr>
        <w:t>տարեկան</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առավելագույնը</w:t>
      </w:r>
      <w:r w:rsidRPr="001F63BA">
        <w:rPr>
          <w:rFonts w:ascii="GHEA Grapalat" w:hAnsi="GHEA Grapalat" w:cs="Sylfaen"/>
          <w:iCs/>
          <w:sz w:val="22"/>
          <w:szCs w:val="22"/>
          <w:lang w:val="af-ZA"/>
        </w:rPr>
        <w:t xml:space="preserve"> 160 </w:t>
      </w:r>
      <w:r w:rsidRPr="001F63BA">
        <w:rPr>
          <w:rFonts w:ascii="GHEA Grapalat" w:hAnsi="GHEA Grapalat" w:cs="Sylfaen"/>
          <w:iCs/>
          <w:sz w:val="22"/>
          <w:szCs w:val="22"/>
          <w:lang w:val="ru-RU"/>
        </w:rPr>
        <w:t>մլն</w:t>
      </w:r>
      <w:r w:rsidRPr="001F63BA">
        <w:rPr>
          <w:rFonts w:ascii="GHEA Grapalat" w:hAnsi="GHEA Grapalat" w:cs="Sylfaen"/>
          <w:iCs/>
          <w:sz w:val="22"/>
          <w:szCs w:val="22"/>
          <w:lang w:val="en-US"/>
        </w:rPr>
        <w:t xml:space="preserve"> </w:t>
      </w:r>
      <w:r w:rsidRPr="001F63BA">
        <w:rPr>
          <w:rFonts w:ascii="GHEA Grapalat" w:hAnsi="GHEA Grapalat" w:cs="Sylfaen"/>
          <w:iCs/>
          <w:sz w:val="22"/>
          <w:szCs w:val="22"/>
          <w:lang w:val="ru-RU"/>
        </w:rPr>
        <w:t>մ</w:t>
      </w:r>
      <w:r w:rsidRPr="001F63BA">
        <w:rPr>
          <w:rFonts w:ascii="GHEA Grapalat" w:hAnsi="GHEA Grapalat" w:cs="Sylfaen"/>
          <w:iCs/>
          <w:sz w:val="22"/>
          <w:szCs w:val="22"/>
          <w:vertAlign w:val="superscript"/>
          <w:lang w:val="en-US"/>
        </w:rPr>
        <w:t>3</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ջուր։</w:t>
      </w:r>
      <w:r w:rsidRPr="001F63BA">
        <w:rPr>
          <w:rFonts w:ascii="GHEA Grapalat" w:hAnsi="GHEA Grapalat" w:cs="Sylfaen"/>
          <w:iCs/>
          <w:sz w:val="22"/>
          <w:szCs w:val="22"/>
          <w:lang w:val="af-ZA"/>
        </w:rPr>
        <w:t xml:space="preserve"> 2017-2019թթ. իրականացված հիմնանորոգման աշխատանքների արդյունքում 2020 թվականին </w:t>
      </w:r>
      <w:r w:rsidRPr="001F63BA">
        <w:rPr>
          <w:rFonts w:ascii="GHEA Grapalat" w:hAnsi="GHEA Grapalat" w:cs="Sylfaen"/>
          <w:iCs/>
          <w:sz w:val="22"/>
          <w:szCs w:val="22"/>
          <w:lang w:val="ru-RU"/>
        </w:rPr>
        <w:t>Սևանա</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լիճ</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է</w:t>
      </w:r>
      <w:r w:rsidRPr="001F63BA">
        <w:rPr>
          <w:rFonts w:ascii="GHEA Grapalat" w:hAnsi="GHEA Grapalat" w:cs="Sylfaen"/>
          <w:iCs/>
          <w:sz w:val="22"/>
          <w:szCs w:val="22"/>
          <w:lang w:val="af-ZA"/>
        </w:rPr>
        <w:t xml:space="preserve"> </w:t>
      </w:r>
      <w:r w:rsidRPr="001F63BA">
        <w:rPr>
          <w:rFonts w:ascii="GHEA Grapalat" w:hAnsi="GHEA Grapalat" w:cs="Sylfaen"/>
          <w:iCs/>
          <w:sz w:val="22"/>
          <w:szCs w:val="22"/>
          <w:lang w:val="ru-RU"/>
        </w:rPr>
        <w:t>տեղափոխվ</w:t>
      </w:r>
      <w:r w:rsidRPr="001F63BA">
        <w:rPr>
          <w:rFonts w:ascii="GHEA Grapalat" w:hAnsi="GHEA Grapalat" w:cs="Sylfaen"/>
          <w:iCs/>
          <w:sz w:val="22"/>
          <w:szCs w:val="22"/>
          <w:lang w:val="en-US"/>
        </w:rPr>
        <w:t>ել</w:t>
      </w:r>
      <w:r w:rsidRPr="001F63BA">
        <w:rPr>
          <w:rFonts w:ascii="GHEA Grapalat" w:hAnsi="GHEA Grapalat" w:cs="Sylfaen"/>
          <w:iCs/>
          <w:sz w:val="22"/>
          <w:szCs w:val="22"/>
          <w:lang w:val="af-ZA"/>
        </w:rPr>
        <w:t xml:space="preserve"> 210</w:t>
      </w:r>
      <w:r w:rsidRPr="001F63BA">
        <w:rPr>
          <w:rFonts w:ascii="Courier New" w:hAnsi="Courier New" w:cs="Courier New"/>
          <w:iCs/>
          <w:sz w:val="22"/>
          <w:szCs w:val="22"/>
          <w:lang w:val="af-ZA"/>
        </w:rPr>
        <w:t> </w:t>
      </w:r>
      <w:r w:rsidRPr="001F63BA">
        <w:rPr>
          <w:rFonts w:ascii="GHEA Grapalat" w:hAnsi="GHEA Grapalat" w:cs="Sylfaen"/>
          <w:iCs/>
          <w:sz w:val="22"/>
          <w:szCs w:val="22"/>
          <w:lang w:val="en-US"/>
        </w:rPr>
        <w:t>մլն</w:t>
      </w:r>
      <w:r w:rsidRPr="001F63BA">
        <w:rPr>
          <w:rFonts w:ascii="Courier New" w:hAnsi="Courier New" w:cs="Courier New"/>
          <w:iCs/>
          <w:sz w:val="22"/>
          <w:szCs w:val="22"/>
          <w:lang w:val="en-US"/>
        </w:rPr>
        <w:t> </w:t>
      </w:r>
      <w:r w:rsidRPr="001F63BA">
        <w:rPr>
          <w:rFonts w:ascii="GHEA Grapalat" w:hAnsi="GHEA Grapalat" w:cs="Sylfaen"/>
          <w:iCs/>
          <w:sz w:val="22"/>
          <w:szCs w:val="22"/>
          <w:lang w:val="en-US"/>
        </w:rPr>
        <w:t>մ</w:t>
      </w:r>
      <w:r w:rsidRPr="001F63BA">
        <w:rPr>
          <w:rFonts w:ascii="GHEA Grapalat" w:hAnsi="GHEA Grapalat" w:cs="Sylfaen"/>
          <w:iCs/>
          <w:sz w:val="22"/>
          <w:szCs w:val="22"/>
          <w:vertAlign w:val="superscript"/>
          <w:lang w:val="af-ZA"/>
        </w:rPr>
        <w:t xml:space="preserve">3 </w:t>
      </w:r>
      <w:r w:rsidRPr="001F63BA">
        <w:rPr>
          <w:rFonts w:ascii="GHEA Grapalat" w:hAnsi="GHEA Grapalat" w:cs="Sylfaen"/>
          <w:iCs/>
          <w:sz w:val="22"/>
          <w:szCs w:val="22"/>
          <w:lang w:val="af-ZA"/>
        </w:rPr>
        <w:t>ջուր:</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iCs/>
          <w:sz w:val="22"/>
          <w:szCs w:val="22"/>
        </w:rPr>
        <w:t>Նախորդ տարվա համեմատ Որոտան-Արփա-Սևան թունելի ջրային համակարգի կառավարման ծրագրի ծախսեր</w:t>
      </w:r>
      <w:r w:rsidRPr="001F63BA">
        <w:rPr>
          <w:rFonts w:ascii="GHEA Grapalat" w:hAnsi="GHEA Grapalat" w:cs="Sylfaen"/>
          <w:iCs/>
          <w:sz w:val="22"/>
          <w:szCs w:val="22"/>
          <w:lang w:val="en-US"/>
        </w:rPr>
        <w:t>ն</w:t>
      </w:r>
      <w:r w:rsidRPr="001F63BA">
        <w:rPr>
          <w:rFonts w:ascii="GHEA Grapalat" w:hAnsi="GHEA Grapalat" w:cs="Sylfaen"/>
          <w:iCs/>
          <w:sz w:val="22"/>
          <w:szCs w:val="22"/>
        </w:rPr>
        <w:t xml:space="preserve"> </w:t>
      </w:r>
      <w:r w:rsidRPr="001F63BA">
        <w:rPr>
          <w:rFonts w:ascii="GHEA Grapalat" w:hAnsi="GHEA Grapalat" w:cs="Sylfaen"/>
          <w:iCs/>
          <w:sz w:val="22"/>
          <w:szCs w:val="22"/>
          <w:lang w:val="en-US"/>
        </w:rPr>
        <w:t>աճ</w:t>
      </w:r>
      <w:r w:rsidRPr="001F63BA">
        <w:rPr>
          <w:rFonts w:ascii="GHEA Grapalat" w:hAnsi="GHEA Grapalat" w:cs="Sylfaen"/>
          <w:iCs/>
          <w:sz w:val="22"/>
          <w:szCs w:val="22"/>
        </w:rPr>
        <w:t xml:space="preserve">ել են </w:t>
      </w:r>
      <w:r w:rsidRPr="001F63BA">
        <w:rPr>
          <w:rFonts w:ascii="GHEA Grapalat" w:hAnsi="GHEA Grapalat" w:cs="Sylfaen"/>
          <w:iCs/>
          <w:sz w:val="22"/>
          <w:szCs w:val="22"/>
          <w:lang w:val="en-US"/>
        </w:rPr>
        <w:t>շուրջ 1.2</w:t>
      </w:r>
      <w:r w:rsidRPr="001F63BA">
        <w:rPr>
          <w:rFonts w:ascii="GHEA Grapalat" w:hAnsi="GHEA Grapalat" w:cs="Sylfaen"/>
          <w:iCs/>
          <w:sz w:val="22"/>
          <w:szCs w:val="22"/>
        </w:rPr>
        <w:t xml:space="preserve"> մլ</w:t>
      </w:r>
      <w:r w:rsidRPr="001F63BA">
        <w:rPr>
          <w:rFonts w:ascii="GHEA Grapalat" w:hAnsi="GHEA Grapalat" w:cs="Sylfaen"/>
          <w:iCs/>
          <w:sz w:val="22"/>
          <w:szCs w:val="22"/>
          <w:lang w:val="en-US"/>
        </w:rPr>
        <w:t>րդ</w:t>
      </w:r>
      <w:r w:rsidRPr="001F63BA">
        <w:rPr>
          <w:rFonts w:ascii="GHEA Grapalat" w:hAnsi="GHEA Grapalat" w:cs="Sylfaen"/>
          <w:iCs/>
          <w:sz w:val="22"/>
          <w:szCs w:val="22"/>
        </w:rPr>
        <w:t xml:space="preserve"> դրամով՝ </w:t>
      </w:r>
      <w:r w:rsidRPr="001F63BA">
        <w:rPr>
          <w:rFonts w:ascii="GHEA Grapalat" w:hAnsi="GHEA Grapalat" w:cs="Sylfaen"/>
          <w:iCs/>
          <w:sz w:val="22"/>
          <w:szCs w:val="22"/>
          <w:lang w:val="en-US"/>
        </w:rPr>
        <w:t xml:space="preserve">հիմնականում </w:t>
      </w:r>
      <w:r w:rsidRPr="001F63BA">
        <w:rPr>
          <w:rFonts w:ascii="GHEA Grapalat" w:hAnsi="GHEA Grapalat" w:cs="Sylfaen"/>
          <w:iCs/>
          <w:sz w:val="22"/>
          <w:szCs w:val="22"/>
        </w:rPr>
        <w:t>պայմանավորված Արփա-Սևան ջրային համակարգի տեխնիկական վիճակի բարելավման համար միջոցների հատկացմամբ, որը 2021 թվականին նախատեսված չ</w:t>
      </w:r>
      <w:r w:rsidRPr="001F63BA">
        <w:rPr>
          <w:rFonts w:ascii="GHEA Grapalat" w:hAnsi="GHEA Grapalat" w:cs="Sylfaen"/>
          <w:iCs/>
          <w:sz w:val="22"/>
          <w:szCs w:val="22"/>
          <w:lang w:val="en-US"/>
        </w:rPr>
        <w:t>էր</w:t>
      </w:r>
      <w:r w:rsidRPr="001F63BA">
        <w:rPr>
          <w:rFonts w:ascii="GHEA Grapalat" w:hAnsi="GHEA Grapalat" w:cs="Sylfaen"/>
          <w:iCs/>
          <w:sz w:val="22"/>
          <w:szCs w:val="22"/>
        </w:rPr>
        <w:t>։</w:t>
      </w:r>
    </w:p>
    <w:p w:rsidR="001C411D" w:rsidRPr="001F63BA" w:rsidRDefault="001C411D" w:rsidP="006B5E17">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Հաշվետու </w:t>
      </w:r>
      <w:r w:rsidRPr="001F63BA">
        <w:rPr>
          <w:rFonts w:ascii="GHEA Grapalat" w:hAnsi="GHEA Grapalat" w:cs="Sylfaen"/>
          <w:sz w:val="22"/>
          <w:szCs w:val="22"/>
          <w:lang w:val="en-US"/>
        </w:rPr>
        <w:t>տար</w:t>
      </w:r>
      <w:r w:rsidRPr="001F63BA">
        <w:rPr>
          <w:rFonts w:ascii="GHEA Grapalat" w:hAnsi="GHEA Grapalat" w:cs="Sylfaen"/>
          <w:sz w:val="22"/>
          <w:szCs w:val="22"/>
        </w:rPr>
        <w:t xml:space="preserve">ում </w:t>
      </w:r>
      <w:r w:rsidRPr="001F63BA">
        <w:rPr>
          <w:rFonts w:ascii="GHEA Grapalat" w:hAnsi="GHEA Grapalat" w:cs="Sylfaen"/>
          <w:i/>
          <w:sz w:val="22"/>
          <w:szCs w:val="22"/>
        </w:rPr>
        <w:t>Կոշտ թափոնների կառավարման ծրագրի</w:t>
      </w:r>
      <w:r w:rsidRPr="001F63BA">
        <w:rPr>
          <w:rFonts w:ascii="GHEA Grapalat" w:hAnsi="GHEA Grapalat" w:cs="Sylfaen"/>
          <w:sz w:val="22"/>
          <w:szCs w:val="22"/>
        </w:rPr>
        <w:t xml:space="preserve"> շրջանակներում օգտագործվել է </w:t>
      </w:r>
      <w:r w:rsidRPr="001F63BA">
        <w:rPr>
          <w:rFonts w:ascii="GHEA Grapalat" w:hAnsi="GHEA Grapalat" w:cs="Sylfaen"/>
          <w:sz w:val="22"/>
          <w:szCs w:val="22"/>
          <w:lang w:val="en-US"/>
        </w:rPr>
        <w:t>404.1</w:t>
      </w:r>
      <w:r w:rsidRPr="001F63BA">
        <w:rPr>
          <w:rFonts w:ascii="GHEA Grapalat" w:hAnsi="GHEA Grapalat" w:cs="Sylfaen"/>
          <w:sz w:val="22"/>
          <w:szCs w:val="22"/>
        </w:rPr>
        <w:t xml:space="preserve"> մլն դրամ կամ </w:t>
      </w:r>
      <w:r w:rsidRPr="001F63BA">
        <w:rPr>
          <w:rFonts w:ascii="GHEA Grapalat" w:hAnsi="GHEA Grapalat" w:cs="Sylfaen"/>
          <w:sz w:val="22"/>
          <w:szCs w:val="22"/>
          <w:lang w:val="en-US"/>
        </w:rPr>
        <w:t>նախատեսված միջոցների</w:t>
      </w:r>
      <w:r w:rsidRPr="001F63BA">
        <w:rPr>
          <w:rFonts w:ascii="GHEA Grapalat" w:hAnsi="GHEA Grapalat" w:cs="Sylfaen"/>
          <w:sz w:val="22"/>
          <w:szCs w:val="22"/>
        </w:rPr>
        <w:t xml:space="preserve"> </w:t>
      </w:r>
      <w:r w:rsidRPr="001F63BA">
        <w:rPr>
          <w:rFonts w:ascii="GHEA Grapalat" w:hAnsi="GHEA Grapalat" w:cs="Sylfaen"/>
          <w:sz w:val="22"/>
          <w:szCs w:val="22"/>
          <w:lang w:val="en-US"/>
        </w:rPr>
        <w:t>53</w:t>
      </w:r>
      <w:r w:rsidRPr="001F63BA">
        <w:rPr>
          <w:rFonts w:ascii="GHEA Grapalat" w:hAnsi="GHEA Grapalat" w:cs="Sylfaen"/>
          <w:sz w:val="22"/>
          <w:szCs w:val="22"/>
        </w:rPr>
        <w:t>%-ը: Շեղումը</w:t>
      </w:r>
      <w:r w:rsidRPr="001F63BA">
        <w:rPr>
          <w:rFonts w:ascii="GHEA Grapalat" w:hAnsi="GHEA Grapalat" w:cs="Sylfaen"/>
          <w:sz w:val="22"/>
          <w:szCs w:val="22"/>
          <w:lang w:val="en-US"/>
        </w:rPr>
        <w:t>, ինչպես նաև նախորդ տարվա համեմատ ծախսերի 29.8%</w:t>
      </w:r>
      <w:r w:rsidRPr="001F63BA">
        <w:rPr>
          <w:rFonts w:ascii="GHEA Grapalat" w:hAnsi="GHEA Grapalat" w:cs="Sylfaen"/>
          <w:sz w:val="22"/>
          <w:szCs w:val="22"/>
        </w:rPr>
        <w:t xml:space="preserve"> </w:t>
      </w:r>
      <w:r w:rsidRPr="001F63BA">
        <w:rPr>
          <w:rFonts w:ascii="GHEA Grapalat" w:hAnsi="GHEA Grapalat" w:cs="Sylfaen"/>
          <w:sz w:val="22"/>
          <w:szCs w:val="22"/>
          <w:lang w:val="en-US"/>
        </w:rPr>
        <w:t>(171.2</w:t>
      </w:r>
      <w:r w:rsidRPr="001F63BA">
        <w:rPr>
          <w:rFonts w:ascii="GHEA Grapalat" w:hAnsi="GHEA Grapalat" w:cs="Sylfaen"/>
          <w:sz w:val="22"/>
          <w:szCs w:val="22"/>
        </w:rPr>
        <w:t xml:space="preserve"> մլն դրամ</w:t>
      </w:r>
      <w:r w:rsidRPr="001F63BA">
        <w:rPr>
          <w:rFonts w:ascii="GHEA Grapalat" w:hAnsi="GHEA Grapalat" w:cs="Sylfaen"/>
          <w:sz w:val="22"/>
          <w:szCs w:val="22"/>
          <w:lang w:val="en-US"/>
        </w:rPr>
        <w:t>) նվազումը</w:t>
      </w:r>
      <w:r w:rsidRPr="001F63BA">
        <w:rPr>
          <w:rFonts w:ascii="GHEA Grapalat" w:hAnsi="GHEA Grapalat" w:cs="Sylfaen"/>
          <w:sz w:val="22"/>
          <w:szCs w:val="22"/>
        </w:rPr>
        <w:t xml:space="preserve"> հիմնականում պայմանավորված </w:t>
      </w:r>
      <w:r w:rsidRPr="001F63BA">
        <w:rPr>
          <w:rFonts w:ascii="GHEA Grapalat" w:hAnsi="GHEA Grapalat" w:cs="Sylfaen"/>
          <w:sz w:val="22"/>
          <w:szCs w:val="22"/>
          <w:lang w:val="en-US"/>
        </w:rPr>
        <w:t>են</w:t>
      </w:r>
      <w:r w:rsidRPr="001F63BA">
        <w:rPr>
          <w:rFonts w:ascii="GHEA Grapalat" w:hAnsi="GHEA Grapalat" w:cs="Sylfaen"/>
          <w:sz w:val="22"/>
          <w:szCs w:val="22"/>
        </w:rPr>
        <w:t xml:space="preserve"> Վերակառուցման և զարգացման եվրոպական բանկի աջակցությամբ իրականացվող «Կոտայքի և Գեղարքունիքի մարզի կոշտ թափոնների կառավարման» դրամաշնորհային ծրագ</w:t>
      </w:r>
      <w:r w:rsidRPr="001F63BA">
        <w:rPr>
          <w:rFonts w:ascii="GHEA Grapalat" w:hAnsi="GHEA Grapalat" w:cs="Sylfaen"/>
          <w:sz w:val="22"/>
          <w:szCs w:val="22"/>
          <w:lang w:val="en-US"/>
        </w:rPr>
        <w:t>րի կատարողականով: Ծ</w:t>
      </w:r>
      <w:r w:rsidRPr="001F63BA">
        <w:rPr>
          <w:rFonts w:ascii="GHEA Grapalat" w:hAnsi="GHEA Grapalat" w:cs="Sylfaen"/>
          <w:sz w:val="22"/>
          <w:szCs w:val="22"/>
        </w:rPr>
        <w:t>րագրի շրջանակներում իրականացվել են Հրազդան համայնքում կառուցվող նոր սանիտարական աղբավայրի և Մարտունի ու Աբովյան համայնքի Ակունք բնակավայրերում աղբի փոխաբեռնման կայանների կառուցապատման աշխատանքները։ Հրազդան</w:t>
      </w:r>
      <w:r w:rsidRPr="001F63BA">
        <w:rPr>
          <w:rFonts w:ascii="GHEA Grapalat" w:hAnsi="GHEA Grapalat" w:cs="Sylfaen"/>
          <w:sz w:val="22"/>
          <w:szCs w:val="22"/>
          <w:lang w:val="en-US"/>
        </w:rPr>
        <w:t>ի</w:t>
      </w:r>
      <w:r w:rsidRPr="001F63BA">
        <w:rPr>
          <w:rFonts w:ascii="GHEA Grapalat" w:hAnsi="GHEA Grapalat" w:cs="Sylfaen"/>
          <w:sz w:val="22"/>
          <w:szCs w:val="22"/>
        </w:rPr>
        <w:t xml:space="preserve"> </w:t>
      </w:r>
      <w:r w:rsidRPr="001F63BA">
        <w:rPr>
          <w:rFonts w:ascii="GHEA Grapalat" w:hAnsi="GHEA Grapalat" w:cs="Sylfaen"/>
          <w:sz w:val="22"/>
          <w:szCs w:val="22"/>
          <w:lang w:val="en-US"/>
        </w:rPr>
        <w:t>ա</w:t>
      </w:r>
      <w:r w:rsidRPr="001F63BA">
        <w:rPr>
          <w:rFonts w:ascii="GHEA Grapalat" w:hAnsi="GHEA Grapalat" w:cs="Sylfaen"/>
          <w:sz w:val="22"/>
          <w:szCs w:val="22"/>
        </w:rPr>
        <w:t xml:space="preserve">ղբավայրի տարածքում կառուցվել են ադմինիստրատիվ շենքը, աղբահանության մեքենաների կայանատեղին և սպասարկման ենթակառուցվածքը, ջրի ռեզերվուարները, վտանգավոր թափոնների պահեստը, կեղտաջրերի հավաքման համակարգը, իրականացվել է աղբավայրի տարածքի ամբողջական ցանկապատում և մուտքի դարպասների տեղադրում, ասֆալատապատվել են դեպի աղբավայր և աղբավայրի տարածքում առկա ճանապարհները, ինչպես նաև կառուցվել է նոր ճանապարհային հանգույց, տեղակայվել կշեռք։ Ակունք և Մարտունի բնակավայրերում կառուցվել են փոխաբեռնման </w:t>
      </w:r>
      <w:r w:rsidRPr="001F63BA">
        <w:rPr>
          <w:rFonts w:ascii="GHEA Grapalat" w:hAnsi="GHEA Grapalat" w:cs="Sylfaen"/>
          <w:sz w:val="22"/>
          <w:szCs w:val="22"/>
        </w:rPr>
        <w:lastRenderedPageBreak/>
        <w:t>կայանների ադմինիստրատիվ շենքերը, աղբի վերաբեռնման երկաստիճան հանգույցները, ասֆալատապատվել ճանապարհները, պարս</w:t>
      </w:r>
      <w:r w:rsidRPr="001F63BA">
        <w:rPr>
          <w:rFonts w:ascii="GHEA Grapalat" w:hAnsi="GHEA Grapalat" w:cs="Sylfaen"/>
          <w:sz w:val="22"/>
          <w:szCs w:val="22"/>
          <w:lang w:val="en-US"/>
        </w:rPr>
        <w:t>պ</w:t>
      </w:r>
      <w:r w:rsidRPr="001F63BA">
        <w:rPr>
          <w:rFonts w:ascii="GHEA Grapalat" w:hAnsi="GHEA Grapalat" w:cs="Sylfaen"/>
          <w:sz w:val="22"/>
          <w:szCs w:val="22"/>
        </w:rPr>
        <w:t xml:space="preserve">ապատվել տարածքները, տեղադրվել կշեռքներ։ Սանիտարական աղբավայրի և փոխաբեռնման կայանների շինարարական աշխատանքների ավարտը նախատեսվում է 2023 թվականի առաջին կիսամյակում։ Դրամաշնորհային ծրագրի շրջանակներում օգտագործվել է 359.7 մլն դրամ կամ նախատեսված միջոցների </w:t>
      </w:r>
      <w:r w:rsidRPr="001F63BA">
        <w:rPr>
          <w:rFonts w:ascii="GHEA Grapalat" w:hAnsi="GHEA Grapalat" w:cs="Sylfaen"/>
          <w:sz w:val="22"/>
          <w:szCs w:val="22"/>
          <w:lang w:val="en-US"/>
        </w:rPr>
        <w:t>50.6</w:t>
      </w:r>
      <w:r w:rsidRPr="001F63BA">
        <w:rPr>
          <w:rFonts w:ascii="GHEA Grapalat" w:hAnsi="GHEA Grapalat" w:cs="Sylfaen"/>
          <w:sz w:val="22"/>
          <w:szCs w:val="22"/>
        </w:rPr>
        <w:t>%-ը</w:t>
      </w:r>
      <w:r w:rsidRPr="001F63BA">
        <w:rPr>
          <w:rFonts w:ascii="GHEA Grapalat" w:hAnsi="GHEA Grapalat" w:cs="Sylfaen"/>
          <w:sz w:val="22"/>
          <w:szCs w:val="22"/>
          <w:lang w:val="en-US"/>
        </w:rPr>
        <w:t>՝ պայմանավորված այն հանգամանքով, որ կ</w:t>
      </w:r>
      <w:r w:rsidRPr="001F63BA">
        <w:rPr>
          <w:rFonts w:ascii="GHEA Grapalat" w:hAnsi="GHEA Grapalat" w:cs="Sylfaen"/>
          <w:sz w:val="22"/>
          <w:szCs w:val="22"/>
        </w:rPr>
        <w:t>ապալառուի կողմից տարեվերջին ներկայացված</w:t>
      </w:r>
      <w:r w:rsidRPr="001F63BA">
        <w:rPr>
          <w:rFonts w:ascii="GHEA Grapalat" w:hAnsi="GHEA Grapalat" w:cs="Sylfaen"/>
          <w:sz w:val="22"/>
          <w:szCs w:val="22"/>
          <w:lang w:val="en-US"/>
        </w:rPr>
        <w:t>՝</w:t>
      </w:r>
      <w:r w:rsidRPr="001F63BA">
        <w:rPr>
          <w:rFonts w:ascii="GHEA Grapalat" w:hAnsi="GHEA Grapalat" w:cs="Sylfaen"/>
          <w:sz w:val="22"/>
          <w:szCs w:val="22"/>
        </w:rPr>
        <w:t xml:space="preserve"> կատարված աշխատանքների վերաբերյալ կատարողական ակտերը ՎԶԵԲ-ի կողմից հաստատվել են դեկտեմբերի 29-ին, ինչի պատճառով էլ վճարումը </w:t>
      </w:r>
      <w:r w:rsidRPr="001F63BA">
        <w:rPr>
          <w:rFonts w:ascii="GHEA Grapalat" w:hAnsi="GHEA Grapalat" w:cs="Sylfaen"/>
          <w:sz w:val="22"/>
          <w:szCs w:val="22"/>
          <w:lang w:val="en-US"/>
        </w:rPr>
        <w:t>տեղափոխվել է</w:t>
      </w:r>
      <w:r w:rsidRPr="001F63BA">
        <w:rPr>
          <w:rFonts w:ascii="GHEA Grapalat" w:hAnsi="GHEA Grapalat" w:cs="Sylfaen"/>
          <w:sz w:val="22"/>
          <w:szCs w:val="22"/>
        </w:rPr>
        <w:t xml:space="preserve"> 2023 թվական։ </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թվականին </w:t>
      </w:r>
      <w:r w:rsidRPr="001F63BA">
        <w:rPr>
          <w:rFonts w:ascii="GHEA Grapalat" w:hAnsi="GHEA Grapalat" w:cs="Sylfaen"/>
          <w:i/>
          <w:iCs/>
          <w:sz w:val="22"/>
          <w:szCs w:val="22"/>
        </w:rPr>
        <w:t xml:space="preserve">Փախստականների ինտեգրմանն աջակցության </w:t>
      </w:r>
      <w:r w:rsidRPr="001F63BA">
        <w:rPr>
          <w:rFonts w:ascii="GHEA Grapalat" w:hAnsi="GHEA Grapalat" w:cs="Sylfaen"/>
          <w:iCs/>
          <w:sz w:val="22"/>
          <w:szCs w:val="22"/>
        </w:rPr>
        <w:t>ծրագրի</w:t>
      </w:r>
      <w:r w:rsidRPr="001F63BA">
        <w:rPr>
          <w:rFonts w:ascii="GHEA Grapalat" w:hAnsi="GHEA Grapalat" w:cs="Sylfaen"/>
          <w:iCs/>
          <w:sz w:val="22"/>
          <w:szCs w:val="22"/>
          <w:lang w:val="en-US"/>
        </w:rPr>
        <w:t xml:space="preserve"> շրջանակներում օգտագործվել է 949.7</w:t>
      </w:r>
      <w:r w:rsidRPr="001F63BA">
        <w:rPr>
          <w:rFonts w:ascii="GHEA Grapalat" w:hAnsi="GHEA Grapalat" w:cs="Sylfaen"/>
          <w:sz w:val="22"/>
          <w:szCs w:val="22"/>
        </w:rPr>
        <w:t xml:space="preserve"> մլն դրամ</w:t>
      </w:r>
      <w:r w:rsidRPr="001F63BA">
        <w:rPr>
          <w:rFonts w:ascii="GHEA Grapalat" w:hAnsi="GHEA Grapalat" w:cs="Sylfaen"/>
          <w:sz w:val="22"/>
          <w:szCs w:val="22"/>
          <w:lang w:val="en-US"/>
        </w:rPr>
        <w:t>՝ կազմելով ծրագրված ցուցանիշի</w:t>
      </w:r>
      <w:r w:rsidRPr="001F63BA">
        <w:rPr>
          <w:rFonts w:ascii="GHEA Grapalat" w:hAnsi="GHEA Grapalat" w:cs="Sylfaen"/>
          <w:sz w:val="22"/>
          <w:szCs w:val="22"/>
        </w:rPr>
        <w:t xml:space="preserve"> 99.</w:t>
      </w:r>
      <w:r w:rsidRPr="001F63BA">
        <w:rPr>
          <w:rFonts w:ascii="GHEA Grapalat" w:hAnsi="GHEA Grapalat" w:cs="Sylfaen"/>
          <w:sz w:val="22"/>
          <w:szCs w:val="22"/>
          <w:lang w:val="en-US"/>
        </w:rPr>
        <w:t>7</w:t>
      </w:r>
      <w:r w:rsidRPr="001F63BA">
        <w:rPr>
          <w:rFonts w:ascii="GHEA Grapalat" w:hAnsi="GHEA Grapalat" w:cs="Sylfaen"/>
          <w:sz w:val="22"/>
          <w:szCs w:val="22"/>
        </w:rPr>
        <w:t>%-</w:t>
      </w:r>
      <w:r w:rsidRPr="001F63BA">
        <w:rPr>
          <w:rFonts w:ascii="GHEA Grapalat" w:hAnsi="GHEA Grapalat" w:cs="Sylfaen"/>
          <w:sz w:val="22"/>
          <w:szCs w:val="22"/>
          <w:lang w:val="en-US"/>
        </w:rPr>
        <w:t>ը</w:t>
      </w:r>
      <w:r w:rsidRPr="001F63BA">
        <w:rPr>
          <w:rFonts w:ascii="GHEA Grapalat" w:hAnsi="GHEA Grapalat" w:cs="Sylfaen"/>
          <w:sz w:val="22"/>
          <w:szCs w:val="22"/>
        </w:rPr>
        <w:t xml:space="preserve">: Ծրագրի շրջանակներում հատկացված միջոցների հիմնական մասը՝ շուրջ </w:t>
      </w:r>
      <w:r w:rsidRPr="001F63BA">
        <w:rPr>
          <w:rFonts w:ascii="GHEA Grapalat" w:hAnsi="GHEA Grapalat" w:cs="Sylfaen"/>
          <w:sz w:val="22"/>
          <w:szCs w:val="22"/>
          <w:lang w:val="en-US"/>
        </w:rPr>
        <w:t>825</w:t>
      </w:r>
      <w:r w:rsidRPr="001F63BA">
        <w:rPr>
          <w:rFonts w:ascii="GHEA Grapalat" w:hAnsi="GHEA Grapalat" w:cs="Sylfaen"/>
          <w:sz w:val="22"/>
          <w:szCs w:val="22"/>
        </w:rPr>
        <w:t xml:space="preserve"> մլն դրամ (100%), տրամադրվել է 1988-1992 թվականներին Ադրբեջանից բռնագաղթած և Հայաստանի Հանրապետությունում ապաստանած փախստական ընտանիքների բնակարանային ապահովմանը: Այս միջոցառմանն ուղղված ծախսերի </w:t>
      </w:r>
      <w:r w:rsidRPr="001F63BA">
        <w:rPr>
          <w:rFonts w:ascii="GHEA Grapalat" w:hAnsi="GHEA Grapalat" w:cs="Sylfaen"/>
          <w:sz w:val="22"/>
          <w:szCs w:val="22"/>
          <w:lang w:val="en-US"/>
        </w:rPr>
        <w:t>աճով</w:t>
      </w:r>
      <w:r w:rsidRPr="001F63BA">
        <w:rPr>
          <w:rFonts w:ascii="GHEA Grapalat" w:hAnsi="GHEA Grapalat" w:cs="Sylfaen"/>
          <w:sz w:val="22"/>
          <w:szCs w:val="22"/>
        </w:rPr>
        <w:t xml:space="preserve"> է հիմնականում պայմանավորված Փախստականների ինտեգրմանն աջակցության ծրագրի ծախսերի </w:t>
      </w:r>
      <w:r w:rsidRPr="001F63BA">
        <w:rPr>
          <w:rFonts w:ascii="GHEA Grapalat" w:hAnsi="GHEA Grapalat" w:cs="Sylfaen"/>
          <w:sz w:val="22"/>
          <w:szCs w:val="22"/>
          <w:lang w:val="en-US"/>
        </w:rPr>
        <w:t>76.1</w:t>
      </w:r>
      <w:r w:rsidRPr="001F63BA">
        <w:rPr>
          <w:rFonts w:ascii="GHEA Grapalat" w:hAnsi="GHEA Grapalat" w:cs="Sylfaen"/>
          <w:sz w:val="22"/>
          <w:szCs w:val="22"/>
        </w:rPr>
        <w:t>% (</w:t>
      </w:r>
      <w:r w:rsidRPr="001F63BA">
        <w:rPr>
          <w:rFonts w:ascii="GHEA Grapalat" w:hAnsi="GHEA Grapalat" w:cs="Sylfaen"/>
          <w:sz w:val="22"/>
          <w:szCs w:val="22"/>
          <w:lang w:val="en-US"/>
        </w:rPr>
        <w:t>410.4 մլն</w:t>
      </w:r>
      <w:r w:rsidRPr="001F63BA">
        <w:rPr>
          <w:rFonts w:ascii="GHEA Grapalat" w:hAnsi="GHEA Grapalat" w:cs="Sylfaen"/>
          <w:sz w:val="22"/>
          <w:szCs w:val="22"/>
        </w:rPr>
        <w:t xml:space="preserve"> դրամ) </w:t>
      </w:r>
      <w:r w:rsidRPr="001F63BA">
        <w:rPr>
          <w:rFonts w:ascii="GHEA Grapalat" w:hAnsi="GHEA Grapalat" w:cs="Sylfaen"/>
          <w:sz w:val="22"/>
          <w:szCs w:val="22"/>
          <w:lang w:val="en-US"/>
        </w:rPr>
        <w:t>աճ</w:t>
      </w:r>
      <w:r w:rsidRPr="001F63BA">
        <w:rPr>
          <w:rFonts w:ascii="GHEA Grapalat" w:hAnsi="GHEA Grapalat" w:cs="Sylfaen"/>
          <w:sz w:val="22"/>
          <w:szCs w:val="22"/>
        </w:rPr>
        <w:t>ը:</w:t>
      </w:r>
    </w:p>
    <w:p w:rsidR="001C411D" w:rsidRPr="001F63BA" w:rsidRDefault="001C411D" w:rsidP="008E438A">
      <w:pPr>
        <w:spacing w:line="360" w:lineRule="auto"/>
        <w:ind w:firstLine="561"/>
        <w:jc w:val="both"/>
        <w:rPr>
          <w:rFonts w:ascii="GHEA Grapalat" w:hAnsi="GHEA Grapalat" w:cs="GHEA Grapalat"/>
          <w:iCs/>
          <w:sz w:val="22"/>
          <w:szCs w:val="22"/>
          <w:lang w:val="fr-FR"/>
        </w:rPr>
      </w:pPr>
      <w:r w:rsidRPr="001F63BA">
        <w:rPr>
          <w:rFonts w:ascii="GHEA Grapalat" w:hAnsi="GHEA Grapalat" w:cs="GHEA Grapalat"/>
          <w:i/>
          <w:iCs/>
          <w:sz w:val="22"/>
          <w:szCs w:val="22"/>
        </w:rPr>
        <w:t>Երկաթուղային ցանցի զարգացման ծրագրի</w:t>
      </w:r>
      <w:r w:rsidRPr="001F63BA">
        <w:rPr>
          <w:rFonts w:ascii="GHEA Grapalat" w:hAnsi="GHEA Grapalat" w:cs="GHEA Grapalat"/>
          <w:iCs/>
          <w:sz w:val="22"/>
          <w:szCs w:val="22"/>
        </w:rPr>
        <w:t xml:space="preserve"> շրջանակներում 202</w:t>
      </w:r>
      <w:r w:rsidRPr="001F63BA">
        <w:rPr>
          <w:rFonts w:ascii="GHEA Grapalat" w:hAnsi="GHEA Grapalat" w:cs="GHEA Grapalat"/>
          <w:iCs/>
          <w:sz w:val="22"/>
          <w:szCs w:val="22"/>
          <w:lang w:val="en-US"/>
        </w:rPr>
        <w:t>2</w:t>
      </w:r>
      <w:r w:rsidRPr="001F63BA">
        <w:rPr>
          <w:rFonts w:ascii="GHEA Grapalat" w:hAnsi="GHEA Grapalat" w:cs="GHEA Grapalat"/>
          <w:iCs/>
          <w:sz w:val="22"/>
          <w:szCs w:val="22"/>
        </w:rPr>
        <w:t xml:space="preserve"> թվականին նախատեսված </w:t>
      </w:r>
      <w:r w:rsidRPr="001F63BA">
        <w:rPr>
          <w:rFonts w:ascii="GHEA Grapalat" w:hAnsi="GHEA Grapalat" w:cs="GHEA Grapalat"/>
          <w:iCs/>
          <w:sz w:val="22"/>
          <w:szCs w:val="22"/>
          <w:lang w:val="en-US"/>
        </w:rPr>
        <w:t>միջոցներն</w:t>
      </w:r>
      <w:r w:rsidRPr="001F63BA">
        <w:rPr>
          <w:rFonts w:ascii="GHEA Grapalat" w:hAnsi="GHEA Grapalat" w:cs="GHEA Grapalat"/>
          <w:iCs/>
          <w:sz w:val="22"/>
          <w:szCs w:val="22"/>
        </w:rPr>
        <w:t xml:space="preserve"> օգտագործվել </w:t>
      </w:r>
      <w:r w:rsidRPr="001F63BA">
        <w:rPr>
          <w:rFonts w:ascii="GHEA Grapalat" w:hAnsi="GHEA Grapalat" w:cs="GHEA Grapalat"/>
          <w:iCs/>
          <w:sz w:val="22"/>
          <w:szCs w:val="22"/>
          <w:lang w:val="en-US"/>
        </w:rPr>
        <w:t>են 87.5%-ով՝ կազմելով 381.4 մլն դրամ</w:t>
      </w:r>
      <w:r w:rsidRPr="001F63BA">
        <w:rPr>
          <w:rFonts w:ascii="GHEA Grapalat" w:hAnsi="GHEA Grapalat" w:cs="GHEA Grapalat"/>
          <w:iCs/>
          <w:sz w:val="22"/>
          <w:szCs w:val="22"/>
        </w:rPr>
        <w:t>: Միջոցներ</w:t>
      </w:r>
      <w:r w:rsidRPr="001F63BA">
        <w:rPr>
          <w:rFonts w:ascii="GHEA Grapalat" w:hAnsi="GHEA Grapalat" w:cs="GHEA Grapalat"/>
          <w:iCs/>
          <w:sz w:val="22"/>
          <w:szCs w:val="22"/>
          <w:lang w:val="en-US"/>
        </w:rPr>
        <w:t>ի հիմնական մասը՝ 368.5 մլն դրամն</w:t>
      </w:r>
      <w:r w:rsidRPr="001F63BA">
        <w:rPr>
          <w:rFonts w:ascii="GHEA Grapalat" w:hAnsi="GHEA Grapalat" w:cs="GHEA Grapalat"/>
          <w:iCs/>
          <w:sz w:val="22"/>
          <w:szCs w:val="22"/>
        </w:rPr>
        <w:t xml:space="preserve"> ուղղվել </w:t>
      </w:r>
      <w:r w:rsidRPr="001F63BA">
        <w:rPr>
          <w:rFonts w:ascii="GHEA Grapalat" w:hAnsi="GHEA Grapalat" w:cs="GHEA Grapalat"/>
          <w:iCs/>
          <w:sz w:val="22"/>
          <w:szCs w:val="22"/>
          <w:lang w:val="en-US"/>
        </w:rPr>
        <w:t>է</w:t>
      </w:r>
      <w:r w:rsidRPr="001F63BA">
        <w:rPr>
          <w:rFonts w:ascii="GHEA Grapalat" w:hAnsi="GHEA Grapalat" w:cs="GHEA Grapalat"/>
          <w:iCs/>
          <w:sz w:val="22"/>
          <w:szCs w:val="22"/>
        </w:rPr>
        <w:t xml:space="preserve"> ուղևորափոխադրումներից ստացված վնասի դիմաց «Հարավկովկասյան երկաթուղի» ՓԲԸ-ին սուբսիդիայի տրամադրմանը</w:t>
      </w:r>
      <w:r w:rsidRPr="001F63BA">
        <w:rPr>
          <w:rFonts w:ascii="GHEA Grapalat" w:hAnsi="GHEA Grapalat" w:cs="GHEA Grapalat"/>
          <w:iCs/>
          <w:sz w:val="22"/>
          <w:szCs w:val="22"/>
          <w:lang w:val="en-US"/>
        </w:rPr>
        <w:t>՝ ապահովելով 87.1% կատարողական</w:t>
      </w:r>
      <w:r w:rsidRPr="001F63BA">
        <w:rPr>
          <w:rFonts w:ascii="GHEA Grapalat" w:hAnsi="GHEA Grapalat" w:cs="GHEA Grapalat"/>
          <w:iCs/>
          <w:sz w:val="22"/>
          <w:szCs w:val="22"/>
        </w:rPr>
        <w:t>:</w:t>
      </w:r>
      <w:r w:rsidRPr="001F63BA">
        <w:rPr>
          <w:rFonts w:ascii="GHEA Grapalat" w:hAnsi="GHEA Grapalat" w:cs="GHEA Grapalat"/>
          <w:iCs/>
          <w:sz w:val="22"/>
          <w:szCs w:val="22"/>
          <w:lang w:val="pt-BR"/>
        </w:rPr>
        <w:t xml:space="preserve"> Ք</w:t>
      </w:r>
      <w:r w:rsidRPr="001F63BA">
        <w:rPr>
          <w:rFonts w:ascii="GHEA Grapalat" w:hAnsi="GHEA Grapalat" w:cs="GHEA Grapalat"/>
          <w:iCs/>
          <w:sz w:val="22"/>
          <w:szCs w:val="22"/>
        </w:rPr>
        <w:t>անի</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որ</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սուբսիդիան</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վճարվում</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է</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ընկերության</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կողմից</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ՀՀ</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պետական</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բյուջե</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վճարվող</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կոնցեսիոն</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վճարին</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համարժեք</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չափով</w:t>
      </w:r>
      <w:r w:rsidRPr="001F63BA">
        <w:rPr>
          <w:rFonts w:ascii="GHEA Grapalat" w:hAnsi="GHEA Grapalat" w:cs="GHEA Grapalat"/>
          <w:iCs/>
          <w:sz w:val="22"/>
          <w:szCs w:val="22"/>
          <w:lang w:val="pt-BR"/>
        </w:rPr>
        <w:t xml:space="preserve"> և </w:t>
      </w:r>
      <w:r w:rsidRPr="001F63BA">
        <w:rPr>
          <w:rFonts w:ascii="GHEA Grapalat" w:hAnsi="GHEA Grapalat" w:cs="GHEA Grapalat"/>
          <w:iCs/>
          <w:sz w:val="22"/>
          <w:szCs w:val="22"/>
        </w:rPr>
        <w:t>պայմանագրի</w:t>
      </w:r>
      <w:r w:rsidRPr="001F63BA">
        <w:rPr>
          <w:rFonts w:ascii="GHEA Grapalat" w:hAnsi="GHEA Grapalat" w:cs="GHEA Grapalat"/>
          <w:iCs/>
          <w:sz w:val="22"/>
          <w:szCs w:val="22"/>
          <w:lang w:val="en-US"/>
        </w:rPr>
        <w:t xml:space="preserve"> համաձայն</w:t>
      </w:r>
      <w:r w:rsidRPr="001F63BA">
        <w:rPr>
          <w:rFonts w:ascii="GHEA Grapalat" w:hAnsi="GHEA Grapalat" w:cs="GHEA Grapalat"/>
          <w:iCs/>
          <w:sz w:val="22"/>
          <w:szCs w:val="22"/>
          <w:lang w:val="pt-BR"/>
        </w:rPr>
        <w:t xml:space="preserve"> </w:t>
      </w:r>
      <w:r w:rsidRPr="001F63BA">
        <w:rPr>
          <w:rFonts w:ascii="GHEA Grapalat" w:hAnsi="GHEA Grapalat" w:cs="GHEA Grapalat"/>
          <w:iCs/>
          <w:sz w:val="22"/>
          <w:szCs w:val="22"/>
        </w:rPr>
        <w:t xml:space="preserve">չի կարող ավել </w:t>
      </w:r>
      <w:r w:rsidRPr="001F63BA">
        <w:rPr>
          <w:rFonts w:ascii="GHEA Grapalat" w:hAnsi="GHEA Grapalat" w:cs="GHEA Grapalat"/>
          <w:iCs/>
          <w:sz w:val="22"/>
          <w:szCs w:val="22"/>
          <w:lang w:val="en-US"/>
        </w:rPr>
        <w:t xml:space="preserve">կամ հավասար </w:t>
      </w:r>
      <w:r w:rsidRPr="001F63BA">
        <w:rPr>
          <w:rFonts w:ascii="GHEA Grapalat" w:hAnsi="GHEA Grapalat" w:cs="GHEA Grapalat"/>
          <w:iCs/>
          <w:sz w:val="22"/>
          <w:szCs w:val="22"/>
        </w:rPr>
        <w:t>լինել կոնցեսիոն վճարի գումարի</w:t>
      </w:r>
      <w:r w:rsidRPr="001F63BA">
        <w:rPr>
          <w:rFonts w:ascii="GHEA Grapalat" w:hAnsi="GHEA Grapalat" w:cs="GHEA Grapalat"/>
          <w:iCs/>
          <w:sz w:val="22"/>
          <w:szCs w:val="22"/>
          <w:lang w:val="en-US"/>
        </w:rPr>
        <w:t>ն</w:t>
      </w:r>
      <w:r w:rsidRPr="001F63BA">
        <w:rPr>
          <w:rFonts w:ascii="GHEA Grapalat" w:hAnsi="GHEA Grapalat" w:cs="GHEA Grapalat"/>
          <w:iCs/>
          <w:sz w:val="22"/>
          <w:szCs w:val="22"/>
        </w:rPr>
        <w:t>:</w:t>
      </w:r>
      <w:r w:rsidRPr="001F63BA">
        <w:rPr>
          <w:rFonts w:ascii="GHEA Grapalat" w:hAnsi="GHEA Grapalat" w:cs="GHEA Grapalat"/>
          <w:iCs/>
          <w:sz w:val="22"/>
          <w:szCs w:val="22"/>
          <w:lang w:val="en-US"/>
        </w:rPr>
        <w:t xml:space="preserve"> </w:t>
      </w:r>
      <w:r w:rsidRPr="001F63BA">
        <w:rPr>
          <w:rFonts w:ascii="GHEA Grapalat" w:hAnsi="GHEA Grapalat" w:cs="GHEA Grapalat"/>
          <w:iCs/>
          <w:sz w:val="22"/>
          <w:szCs w:val="22"/>
          <w:lang w:val="fr-FR"/>
        </w:rPr>
        <w:t>2022 թվականի ընթացքում իրականացվել է 8 կմ երկաթուղային գծի հիմնանորգում, 37117 կոճերի փոխարինում։ Նորոգվել է 8 միավոր գծային տեխնիկա։ Կապիտալ վերանորոգվել է 3 միավոր շոգեքարշ։</w:t>
      </w:r>
      <w:r w:rsidRPr="001F63BA">
        <w:rPr>
          <w:rFonts w:ascii="GHEA Grapalat" w:hAnsi="GHEA Grapalat" w:cs="GHEA Grapalat"/>
          <w:iCs/>
          <w:sz w:val="22"/>
          <w:szCs w:val="22"/>
        </w:rPr>
        <w:t xml:space="preserve"> </w:t>
      </w:r>
      <w:r w:rsidRPr="001F63BA">
        <w:rPr>
          <w:rFonts w:ascii="GHEA Grapalat" w:hAnsi="GHEA Grapalat" w:cs="GHEA Grapalat"/>
          <w:iCs/>
          <w:sz w:val="22"/>
          <w:szCs w:val="22"/>
          <w:lang w:val="fr-FR"/>
        </w:rPr>
        <w:t>Արդիականացվել են 11 լոկոմոտիվներ։ Վերանորոգվել է 2 կմ հպակային ցանց և փոխարինվել է 3.4 կմ կոնտակտային հաղորդալար։ Կատարված ներդրումներ</w:t>
      </w:r>
      <w:r w:rsidRPr="001F63BA">
        <w:rPr>
          <w:rFonts w:ascii="GHEA Grapalat" w:hAnsi="GHEA Grapalat" w:cs="GHEA Grapalat"/>
          <w:iCs/>
          <w:sz w:val="22"/>
          <w:szCs w:val="22"/>
        </w:rPr>
        <w:t>ի</w:t>
      </w:r>
      <w:r w:rsidRPr="001F63BA">
        <w:rPr>
          <w:rFonts w:ascii="GHEA Grapalat" w:hAnsi="GHEA Grapalat" w:cs="GHEA Grapalat"/>
          <w:iCs/>
          <w:sz w:val="22"/>
          <w:szCs w:val="22"/>
          <w:lang w:val="fr-FR"/>
        </w:rPr>
        <w:t xml:space="preserve"> և ենթակառուցվածքներում իրականացված </w:t>
      </w:r>
      <w:r w:rsidRPr="001F63BA">
        <w:rPr>
          <w:rFonts w:ascii="GHEA Grapalat" w:hAnsi="GHEA Grapalat" w:cs="GHEA Grapalat"/>
          <w:iCs/>
          <w:sz w:val="22"/>
          <w:szCs w:val="22"/>
        </w:rPr>
        <w:t>ա</w:t>
      </w:r>
      <w:r w:rsidRPr="001F63BA">
        <w:rPr>
          <w:rFonts w:ascii="GHEA Grapalat" w:hAnsi="GHEA Grapalat" w:cs="GHEA Grapalat"/>
          <w:iCs/>
          <w:sz w:val="22"/>
          <w:szCs w:val="22"/>
          <w:lang w:val="fr-FR"/>
        </w:rPr>
        <w:t>շխատանքների հետևանքով 2022 թվականի</w:t>
      </w:r>
      <w:r w:rsidRPr="001F63BA">
        <w:rPr>
          <w:rFonts w:ascii="GHEA Grapalat" w:hAnsi="GHEA Grapalat" w:cs="GHEA Grapalat"/>
          <w:iCs/>
          <w:sz w:val="22"/>
          <w:szCs w:val="22"/>
        </w:rPr>
        <w:t>ն</w:t>
      </w:r>
      <w:r w:rsidRPr="001F63BA">
        <w:rPr>
          <w:rFonts w:ascii="GHEA Grapalat" w:hAnsi="GHEA Grapalat" w:cs="GHEA Grapalat"/>
          <w:iCs/>
          <w:sz w:val="22"/>
          <w:szCs w:val="22"/>
          <w:lang w:val="fr-FR"/>
        </w:rPr>
        <w:t xml:space="preserve"> երկաթուղային </w:t>
      </w:r>
      <w:r w:rsidRPr="001F63BA">
        <w:rPr>
          <w:rFonts w:ascii="GHEA Grapalat" w:hAnsi="GHEA Grapalat" w:cs="GHEA Grapalat"/>
          <w:iCs/>
          <w:sz w:val="22"/>
          <w:szCs w:val="22"/>
        </w:rPr>
        <w:t xml:space="preserve">տրանսպորտով </w:t>
      </w:r>
      <w:r w:rsidRPr="001F63BA">
        <w:rPr>
          <w:rFonts w:ascii="GHEA Grapalat" w:hAnsi="GHEA Grapalat" w:cs="GHEA Grapalat"/>
          <w:iCs/>
          <w:sz w:val="22"/>
          <w:szCs w:val="22"/>
          <w:lang w:val="fr-FR"/>
        </w:rPr>
        <w:t>տեղափոխված բեռների քանակը կազմել է 3.51 մլն տոննա, որը նախորդ տարվա համեմատ աճել է 12.3%-ով։ Բեռնաշրջնառությունը 2022 թվականին կազմել է 907.128 մլն տ/կմ, որի աճը նախորդ տարվա համեմատ կազմել է 11.8%</w:t>
      </w:r>
      <w:r w:rsidRPr="001F63BA">
        <w:rPr>
          <w:rFonts w:ascii="Calibri" w:hAnsi="Calibri" w:cs="Calibri"/>
          <w:iCs/>
          <w:sz w:val="22"/>
          <w:szCs w:val="22"/>
          <w:lang w:val="fr-FR"/>
        </w:rPr>
        <w:t> </w:t>
      </w:r>
      <w:r w:rsidRPr="001F63BA">
        <w:rPr>
          <w:rFonts w:ascii="GHEA Grapalat" w:hAnsi="GHEA Grapalat" w:cs="GHEA Grapalat"/>
          <w:iCs/>
          <w:sz w:val="22"/>
          <w:szCs w:val="22"/>
          <w:lang w:val="fr-FR"/>
        </w:rPr>
        <w:t>: Հաշվետու ժամանակահատվածում փոխադրվել է 500.9 հազար ուղևոր, որը նախորդ տարվա ցուցանիշը գերազանցել է շուրջ 15.2%-ով, ընդ որում, ուղևորաշրջանառությունն ավելացել է շուրջ 43.4%-ով:</w:t>
      </w:r>
    </w:p>
    <w:p w:rsidR="001C411D" w:rsidRPr="001F63BA" w:rsidRDefault="001C411D" w:rsidP="008E438A">
      <w:pPr>
        <w:spacing w:line="360" w:lineRule="auto"/>
        <w:ind w:firstLine="561"/>
        <w:jc w:val="both"/>
        <w:rPr>
          <w:rFonts w:ascii="GHEA Grapalat" w:hAnsi="GHEA Grapalat" w:cs="GHEA Grapalat"/>
          <w:iCs/>
          <w:sz w:val="22"/>
          <w:szCs w:val="22"/>
          <w:lang w:val="en-US"/>
        </w:rPr>
      </w:pPr>
      <w:r w:rsidRPr="001F63BA">
        <w:rPr>
          <w:rFonts w:ascii="GHEA Grapalat" w:hAnsi="GHEA Grapalat" w:cs="GHEA Grapalat"/>
          <w:iCs/>
          <w:sz w:val="22"/>
          <w:szCs w:val="22"/>
          <w:lang w:val="fr-FR"/>
        </w:rPr>
        <w:lastRenderedPageBreak/>
        <w:t xml:space="preserve">Նախորդ տարվա համեմատ </w:t>
      </w:r>
      <w:r w:rsidRPr="001F63BA">
        <w:rPr>
          <w:rFonts w:ascii="GHEA Grapalat" w:hAnsi="GHEA Grapalat" w:cs="GHEA Grapalat"/>
          <w:iCs/>
          <w:sz w:val="22"/>
          <w:szCs w:val="22"/>
        </w:rPr>
        <w:t>Երկաթուղային ցանցի զարգացման ծրագրի</w:t>
      </w:r>
      <w:r w:rsidRPr="001F63BA">
        <w:rPr>
          <w:rFonts w:ascii="GHEA Grapalat" w:hAnsi="GHEA Grapalat" w:cs="GHEA Grapalat"/>
          <w:iCs/>
          <w:sz w:val="22"/>
          <w:szCs w:val="22"/>
          <w:lang w:val="en-US"/>
        </w:rPr>
        <w:t xml:space="preserve"> ծախսերը նվազել են 3.2%-ով:</w:t>
      </w:r>
    </w:p>
    <w:p w:rsidR="001C411D" w:rsidRPr="001F63BA" w:rsidRDefault="001C411D" w:rsidP="004A3A57">
      <w:pPr>
        <w:spacing w:line="360" w:lineRule="auto"/>
        <w:ind w:firstLine="561"/>
        <w:jc w:val="both"/>
        <w:rPr>
          <w:rFonts w:ascii="GHEA Grapalat" w:hAnsi="GHEA Grapalat" w:cs="GHEA Grapalat"/>
          <w:sz w:val="22"/>
          <w:szCs w:val="22"/>
          <w:lang w:val="en-US"/>
        </w:rPr>
      </w:pP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lang w:val="en-US"/>
        </w:rPr>
      </w:pPr>
      <w:r w:rsidRPr="001F63BA">
        <w:rPr>
          <w:rFonts w:ascii="GHEA Grapalat" w:hAnsi="GHEA Grapalat"/>
          <w:i/>
          <w:sz w:val="22"/>
          <w:szCs w:val="22"/>
          <w:u w:val="single"/>
        </w:rPr>
        <w:t>ՀՀ առողջապահության նախարարության</w:t>
      </w:r>
      <w:r w:rsidRPr="001F63BA">
        <w:rPr>
          <w:rFonts w:ascii="GHEA Grapalat" w:hAnsi="GHEA Grapalat"/>
          <w:sz w:val="22"/>
          <w:szCs w:val="22"/>
        </w:rPr>
        <w:t xml:space="preserve"> </w:t>
      </w:r>
      <w:r w:rsidRPr="001F63BA">
        <w:rPr>
          <w:rFonts w:ascii="GHEA Grapalat" w:hAnsi="GHEA Grapalat" w:cs="GHEA Grapalat"/>
          <w:iCs/>
          <w:sz w:val="22"/>
          <w:szCs w:val="22"/>
        </w:rPr>
        <w:t>պատասխանատվությամբ 2022 թվականի ընթացքում կատարվել են 12 ծրագրեր, որոնց տրամադրվել է 140.6 մլրդ դրամ՝ ապահովելով ծրագրված ցուցանիշի 98.7%-ը, ընդ որում</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գրեթե բոլոր ծրագրերում արձանագրվել են շեղումներ: 2021 թվականի համեմատ առողջապահության նախարարության ծախսերը նվազել են 10.9%</w:t>
      </w:r>
      <w:r w:rsidRPr="001F63BA">
        <w:rPr>
          <w:rFonts w:ascii="GHEA Grapalat" w:hAnsi="GHEA Grapalat" w:cs="GHEA Grapalat"/>
          <w:iCs/>
          <w:sz w:val="22"/>
          <w:szCs w:val="22"/>
        </w:rPr>
        <w:noBreakHyphen/>
        <w:t>ով կամ 17.3 մլրդ դրամով՝ հիմնականում պայմանավորված Հանրային առողջության պահպանման ծրագրի շրջանակներում կատարված ծախսերի նվազմամբ: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2022թ. ՀՀ առողջապահության նախարարության կողմից իրականացված ծրագրերը (մլն դրամ)</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1043"/>
        <w:gridCol w:w="1051"/>
        <w:gridCol w:w="1066"/>
        <w:gridCol w:w="1203"/>
        <w:gridCol w:w="1203"/>
        <w:gridCol w:w="1080"/>
      </w:tblGrid>
      <w:tr w:rsidR="001C411D" w:rsidRPr="001F63BA" w:rsidTr="00453DB4">
        <w:trPr>
          <w:trHeight w:val="1429"/>
          <w:jc w:val="center"/>
        </w:trPr>
        <w:tc>
          <w:tcPr>
            <w:tcW w:w="3526" w:type="dxa"/>
            <w:noWrap/>
            <w:vAlign w:val="bottom"/>
          </w:tcPr>
          <w:p w:rsidR="001C411D" w:rsidRPr="001F63BA" w:rsidRDefault="001C411D" w:rsidP="00453DB4">
            <w:pPr>
              <w:rPr>
                <w:rFonts w:ascii="GHEA Grapalat" w:hAnsi="GHEA Grapalat"/>
                <w:sz w:val="18"/>
                <w:szCs w:val="18"/>
              </w:rPr>
            </w:pPr>
          </w:p>
        </w:tc>
        <w:tc>
          <w:tcPr>
            <w:tcW w:w="1019" w:type="dxa"/>
          </w:tcPr>
          <w:p w:rsidR="001C411D" w:rsidRPr="001F63BA" w:rsidRDefault="001C411D" w:rsidP="00453DB4">
            <w:pPr>
              <w:jc w:val="center"/>
              <w:rPr>
                <w:rFonts w:ascii="GHEA Grapalat" w:hAnsi="GHEA Grapalat" w:cs="Calibri"/>
                <w:b/>
                <w:sz w:val="18"/>
                <w:szCs w:val="18"/>
              </w:rPr>
            </w:pPr>
            <w:r w:rsidRPr="001F63BA">
              <w:rPr>
                <w:rFonts w:ascii="GHEA Grapalat" w:hAnsi="GHEA Grapalat" w:cs="Calibri"/>
                <w:b/>
                <w:sz w:val="18"/>
                <w:szCs w:val="18"/>
              </w:rPr>
              <w:t>2021թ. փաստ</w:t>
            </w:r>
          </w:p>
        </w:tc>
        <w:tc>
          <w:tcPr>
            <w:tcW w:w="1033" w:type="dxa"/>
          </w:tcPr>
          <w:p w:rsidR="001C411D" w:rsidRPr="001F63BA" w:rsidRDefault="001C411D" w:rsidP="00453DB4">
            <w:pPr>
              <w:jc w:val="center"/>
              <w:rPr>
                <w:rFonts w:ascii="GHEA Grapalat" w:hAnsi="GHEA Grapalat" w:cs="Calibri"/>
                <w:b/>
                <w:sz w:val="18"/>
                <w:szCs w:val="18"/>
              </w:rPr>
            </w:pPr>
            <w:r w:rsidRPr="001F63BA">
              <w:rPr>
                <w:rFonts w:ascii="GHEA Grapalat" w:hAnsi="GHEA Grapalat" w:cs="Calibri"/>
                <w:b/>
                <w:sz w:val="18"/>
                <w:szCs w:val="18"/>
              </w:rPr>
              <w:t>2022թ. ճշտված պլան</w:t>
            </w:r>
          </w:p>
        </w:tc>
        <w:tc>
          <w:tcPr>
            <w:tcW w:w="1066" w:type="dxa"/>
            <w:noWrap/>
          </w:tcPr>
          <w:p w:rsidR="001C411D" w:rsidRPr="001F63BA" w:rsidRDefault="001C411D" w:rsidP="00453DB4">
            <w:pPr>
              <w:jc w:val="center"/>
              <w:rPr>
                <w:rFonts w:ascii="GHEA Grapalat" w:hAnsi="GHEA Grapalat" w:cs="Calibri"/>
                <w:b/>
                <w:sz w:val="18"/>
                <w:szCs w:val="18"/>
              </w:rPr>
            </w:pPr>
            <w:r w:rsidRPr="001F63BA">
              <w:rPr>
                <w:rFonts w:ascii="GHEA Grapalat" w:hAnsi="GHEA Grapalat" w:cs="Calibri"/>
                <w:b/>
                <w:sz w:val="18"/>
                <w:szCs w:val="18"/>
              </w:rPr>
              <w:t>2022թ. փաստ</w:t>
            </w:r>
          </w:p>
        </w:tc>
        <w:tc>
          <w:tcPr>
            <w:tcW w:w="1203" w:type="dxa"/>
          </w:tcPr>
          <w:p w:rsidR="001C411D" w:rsidRPr="001F63BA" w:rsidRDefault="001C411D" w:rsidP="00453DB4">
            <w:pPr>
              <w:jc w:val="center"/>
              <w:rPr>
                <w:rFonts w:ascii="GHEA Grapalat" w:hAnsi="GHEA Grapalat" w:cs="Calibri"/>
                <w:b/>
                <w:sz w:val="18"/>
                <w:szCs w:val="18"/>
              </w:rPr>
            </w:pPr>
            <w:r w:rsidRPr="001F63BA">
              <w:rPr>
                <w:rFonts w:ascii="GHEA Grapalat" w:hAnsi="GHEA Grapalat" w:cs="Calibri"/>
                <w:b/>
                <w:bCs/>
                <w:sz w:val="18"/>
                <w:szCs w:val="18"/>
              </w:rPr>
              <w:t>Կատարո-ղականը ճշտված պլանի նկատմամբ</w:t>
            </w:r>
          </w:p>
          <w:p w:rsidR="001C411D" w:rsidRPr="001F63BA" w:rsidRDefault="001C411D" w:rsidP="00453DB4">
            <w:pPr>
              <w:jc w:val="center"/>
              <w:rPr>
                <w:rFonts w:ascii="GHEA Grapalat" w:hAnsi="GHEA Grapalat" w:cs="Calibri"/>
                <w:b/>
                <w:sz w:val="18"/>
                <w:szCs w:val="18"/>
              </w:rPr>
            </w:pPr>
            <w:r w:rsidRPr="001F63BA">
              <w:rPr>
                <w:rFonts w:ascii="GHEA Grapalat" w:hAnsi="GHEA Grapalat"/>
                <w:b/>
                <w:sz w:val="18"/>
                <w:szCs w:val="18"/>
              </w:rPr>
              <w:t>(%)</w:t>
            </w:r>
          </w:p>
        </w:tc>
        <w:tc>
          <w:tcPr>
            <w:tcW w:w="1203" w:type="dxa"/>
          </w:tcPr>
          <w:p w:rsidR="001C411D" w:rsidRPr="001F63BA" w:rsidRDefault="001C411D" w:rsidP="00453DB4">
            <w:pPr>
              <w:jc w:val="center"/>
              <w:rPr>
                <w:rFonts w:ascii="GHEA Grapalat" w:hAnsi="GHEA Grapalat" w:cs="Calibri"/>
                <w:b/>
                <w:sz w:val="18"/>
                <w:szCs w:val="18"/>
              </w:rPr>
            </w:pPr>
            <w:r w:rsidRPr="001F63BA">
              <w:rPr>
                <w:rFonts w:ascii="GHEA Grapalat" w:hAnsi="GHEA Grapalat" w:cs="Calibri"/>
                <w:b/>
                <w:bCs/>
                <w:sz w:val="18"/>
                <w:szCs w:val="18"/>
              </w:rPr>
              <w:t>2022թ. 2021թ. նկատմամբ</w:t>
            </w:r>
          </w:p>
          <w:p w:rsidR="001C411D" w:rsidRPr="001F63BA" w:rsidRDefault="001C411D" w:rsidP="00453DB4">
            <w:pPr>
              <w:jc w:val="center"/>
              <w:rPr>
                <w:rFonts w:ascii="GHEA Grapalat" w:hAnsi="GHEA Grapalat" w:cs="Calibri"/>
                <w:b/>
                <w:sz w:val="18"/>
                <w:szCs w:val="18"/>
              </w:rPr>
            </w:pPr>
            <w:r w:rsidRPr="001F63BA">
              <w:rPr>
                <w:rFonts w:ascii="GHEA Grapalat" w:hAnsi="GHEA Grapalat"/>
                <w:b/>
                <w:sz w:val="18"/>
                <w:szCs w:val="18"/>
              </w:rPr>
              <w:t>(%)</w:t>
            </w:r>
          </w:p>
        </w:tc>
        <w:tc>
          <w:tcPr>
            <w:tcW w:w="1122" w:type="dxa"/>
          </w:tcPr>
          <w:p w:rsidR="001C411D" w:rsidRPr="001F63BA" w:rsidRDefault="001C411D" w:rsidP="00453DB4">
            <w:pPr>
              <w:jc w:val="center"/>
              <w:rPr>
                <w:rFonts w:ascii="GHEA Grapalat" w:hAnsi="GHEA Grapalat" w:cs="Calibri"/>
                <w:b/>
                <w:sz w:val="18"/>
                <w:szCs w:val="18"/>
              </w:rPr>
            </w:pPr>
            <w:r w:rsidRPr="001F63BA">
              <w:rPr>
                <w:rFonts w:ascii="GHEA Grapalat" w:hAnsi="GHEA Grapalat" w:cs="Calibri"/>
                <w:b/>
                <w:bCs/>
                <w:sz w:val="18"/>
                <w:szCs w:val="18"/>
              </w:rPr>
              <w:t>2022թ. և 2021թ. տարբե-րությունը</w:t>
            </w:r>
          </w:p>
        </w:tc>
      </w:tr>
      <w:tr w:rsidR="001C411D" w:rsidRPr="001F63BA" w:rsidTr="00DA15F5">
        <w:trPr>
          <w:trHeight w:val="398"/>
          <w:jc w:val="center"/>
        </w:trPr>
        <w:tc>
          <w:tcPr>
            <w:tcW w:w="3526" w:type="dxa"/>
            <w:vAlign w:val="bottom"/>
          </w:tcPr>
          <w:p w:rsidR="001C411D" w:rsidRPr="001F63BA" w:rsidRDefault="001C411D" w:rsidP="00DA15F5">
            <w:pPr>
              <w:rPr>
                <w:rFonts w:ascii="GHEA Grapalat" w:hAnsi="GHEA Grapalat" w:cs="Calibri"/>
                <w:b/>
                <w:sz w:val="18"/>
                <w:szCs w:val="18"/>
              </w:rPr>
            </w:pPr>
            <w:r w:rsidRPr="001F63BA">
              <w:rPr>
                <w:rFonts w:ascii="GHEA Grapalat" w:hAnsi="GHEA Grapalat" w:cs="Calibri"/>
                <w:b/>
                <w:sz w:val="18"/>
                <w:szCs w:val="18"/>
              </w:rPr>
              <w:t>ԸՆԴԱՄԵՆԸ</w:t>
            </w:r>
          </w:p>
        </w:tc>
        <w:tc>
          <w:tcPr>
            <w:tcW w:w="1019" w:type="dxa"/>
            <w:vAlign w:val="bottom"/>
          </w:tcPr>
          <w:p w:rsidR="001C411D" w:rsidRPr="001F63BA" w:rsidRDefault="001C411D" w:rsidP="00DA15F5">
            <w:pPr>
              <w:jc w:val="right"/>
              <w:rPr>
                <w:rFonts w:ascii="GHEA Grapalat" w:hAnsi="GHEA Grapalat"/>
                <w:b/>
                <w:bCs/>
                <w:sz w:val="18"/>
                <w:szCs w:val="18"/>
              </w:rPr>
            </w:pPr>
            <w:r w:rsidRPr="001F63BA">
              <w:rPr>
                <w:rFonts w:ascii="GHEA Grapalat" w:hAnsi="GHEA Grapalat"/>
                <w:b/>
                <w:bCs/>
                <w:sz w:val="18"/>
                <w:szCs w:val="18"/>
              </w:rPr>
              <w:t>157,909.7</w:t>
            </w:r>
          </w:p>
        </w:tc>
        <w:tc>
          <w:tcPr>
            <w:tcW w:w="1033" w:type="dxa"/>
            <w:vAlign w:val="bottom"/>
          </w:tcPr>
          <w:p w:rsidR="001C411D" w:rsidRPr="001F63BA" w:rsidRDefault="001C411D" w:rsidP="00DA15F5">
            <w:pPr>
              <w:jc w:val="right"/>
              <w:rPr>
                <w:rFonts w:ascii="GHEA Grapalat" w:hAnsi="GHEA Grapalat"/>
                <w:b/>
                <w:bCs/>
                <w:sz w:val="18"/>
                <w:szCs w:val="18"/>
              </w:rPr>
            </w:pPr>
            <w:r w:rsidRPr="001F63BA">
              <w:rPr>
                <w:rFonts w:ascii="GHEA Grapalat" w:hAnsi="GHEA Grapalat"/>
                <w:b/>
                <w:bCs/>
                <w:sz w:val="18"/>
                <w:szCs w:val="18"/>
              </w:rPr>
              <w:t>142,440.4</w:t>
            </w:r>
          </w:p>
        </w:tc>
        <w:tc>
          <w:tcPr>
            <w:tcW w:w="1066" w:type="dxa"/>
            <w:vAlign w:val="bottom"/>
          </w:tcPr>
          <w:p w:rsidR="001C411D" w:rsidRPr="001F63BA" w:rsidRDefault="001C411D" w:rsidP="00DA15F5">
            <w:pPr>
              <w:jc w:val="right"/>
              <w:rPr>
                <w:rFonts w:ascii="GHEA Grapalat" w:hAnsi="GHEA Grapalat"/>
                <w:b/>
                <w:bCs/>
                <w:sz w:val="18"/>
                <w:szCs w:val="18"/>
              </w:rPr>
            </w:pPr>
            <w:r w:rsidRPr="001F63BA">
              <w:rPr>
                <w:rFonts w:ascii="GHEA Grapalat" w:hAnsi="GHEA Grapalat"/>
                <w:b/>
                <w:bCs/>
                <w:sz w:val="18"/>
                <w:szCs w:val="18"/>
              </w:rPr>
              <w:t>140,622.3</w:t>
            </w:r>
          </w:p>
        </w:tc>
        <w:tc>
          <w:tcPr>
            <w:tcW w:w="1203" w:type="dxa"/>
            <w:vAlign w:val="bottom"/>
          </w:tcPr>
          <w:p w:rsidR="001C411D" w:rsidRPr="001F63BA" w:rsidRDefault="001C411D" w:rsidP="00DA15F5">
            <w:pPr>
              <w:jc w:val="right"/>
              <w:rPr>
                <w:rFonts w:ascii="GHEA Grapalat" w:hAnsi="GHEA Grapalat"/>
                <w:b/>
                <w:bCs/>
                <w:sz w:val="18"/>
                <w:szCs w:val="18"/>
              </w:rPr>
            </w:pPr>
            <w:r w:rsidRPr="001F63BA">
              <w:rPr>
                <w:rFonts w:ascii="GHEA Grapalat" w:hAnsi="GHEA Grapalat"/>
                <w:b/>
                <w:bCs/>
                <w:sz w:val="18"/>
                <w:szCs w:val="18"/>
              </w:rPr>
              <w:t>98.7</w:t>
            </w:r>
          </w:p>
        </w:tc>
        <w:tc>
          <w:tcPr>
            <w:tcW w:w="1203" w:type="dxa"/>
            <w:vAlign w:val="bottom"/>
          </w:tcPr>
          <w:p w:rsidR="001C411D" w:rsidRPr="001F63BA" w:rsidRDefault="001C411D" w:rsidP="00DA15F5">
            <w:pPr>
              <w:jc w:val="right"/>
              <w:rPr>
                <w:rFonts w:ascii="GHEA Grapalat" w:hAnsi="GHEA Grapalat"/>
                <w:b/>
                <w:bCs/>
                <w:sz w:val="18"/>
                <w:szCs w:val="18"/>
              </w:rPr>
            </w:pPr>
            <w:r w:rsidRPr="001F63BA">
              <w:rPr>
                <w:rFonts w:ascii="GHEA Grapalat" w:hAnsi="GHEA Grapalat"/>
                <w:b/>
                <w:bCs/>
                <w:sz w:val="18"/>
                <w:szCs w:val="18"/>
              </w:rPr>
              <w:t>89.1</w:t>
            </w:r>
          </w:p>
        </w:tc>
        <w:tc>
          <w:tcPr>
            <w:tcW w:w="1122" w:type="dxa"/>
            <w:vAlign w:val="bottom"/>
          </w:tcPr>
          <w:p w:rsidR="001C411D" w:rsidRPr="001F63BA" w:rsidRDefault="001C411D" w:rsidP="00DA15F5">
            <w:pPr>
              <w:jc w:val="right"/>
              <w:rPr>
                <w:rFonts w:ascii="GHEA Grapalat" w:hAnsi="GHEA Grapalat"/>
                <w:b/>
                <w:bCs/>
                <w:sz w:val="18"/>
                <w:szCs w:val="18"/>
              </w:rPr>
            </w:pPr>
            <w:r w:rsidRPr="001F63BA">
              <w:rPr>
                <w:rFonts w:ascii="GHEA Grapalat" w:hAnsi="GHEA Grapalat"/>
                <w:b/>
                <w:bCs/>
                <w:sz w:val="18"/>
                <w:szCs w:val="18"/>
              </w:rPr>
              <w:t>(17,287.4)</w:t>
            </w:r>
          </w:p>
        </w:tc>
      </w:tr>
      <w:tr w:rsidR="001C411D" w:rsidRPr="001F63BA" w:rsidTr="00DA15F5">
        <w:trPr>
          <w:trHeight w:val="331"/>
          <w:jc w:val="center"/>
        </w:trPr>
        <w:tc>
          <w:tcPr>
            <w:tcW w:w="3526" w:type="dxa"/>
            <w:vAlign w:val="bottom"/>
          </w:tcPr>
          <w:p w:rsidR="001C411D" w:rsidRPr="001F63BA" w:rsidRDefault="001C411D" w:rsidP="00DA15F5">
            <w:pPr>
              <w:rPr>
                <w:rFonts w:ascii="GHEA Grapalat" w:hAnsi="GHEA Grapalat"/>
                <w:sz w:val="18"/>
                <w:szCs w:val="18"/>
              </w:rPr>
            </w:pPr>
            <w:r w:rsidRPr="001F63BA">
              <w:rPr>
                <w:rFonts w:ascii="GHEA Grapalat" w:hAnsi="GHEA Grapalat"/>
                <w:sz w:val="18"/>
                <w:szCs w:val="18"/>
              </w:rPr>
              <w:t>Հանրային առողջության պահպանում</w:t>
            </w:r>
          </w:p>
        </w:tc>
        <w:tc>
          <w:tcPr>
            <w:tcW w:w="1019"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40,997.1</w:t>
            </w:r>
          </w:p>
        </w:tc>
        <w:tc>
          <w:tcPr>
            <w:tcW w:w="103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17,145.3</w:t>
            </w:r>
          </w:p>
        </w:tc>
        <w:tc>
          <w:tcPr>
            <w:tcW w:w="1066"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16,778.9</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97.9</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40.9</w:t>
            </w:r>
          </w:p>
        </w:tc>
        <w:tc>
          <w:tcPr>
            <w:tcW w:w="1122"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(24,218.2)</w:t>
            </w:r>
          </w:p>
        </w:tc>
      </w:tr>
      <w:tr w:rsidR="001C411D" w:rsidRPr="001F63BA" w:rsidTr="00DA15F5">
        <w:trPr>
          <w:trHeight w:val="300"/>
          <w:jc w:val="center"/>
        </w:trPr>
        <w:tc>
          <w:tcPr>
            <w:tcW w:w="3526" w:type="dxa"/>
            <w:vAlign w:val="bottom"/>
          </w:tcPr>
          <w:p w:rsidR="001C411D" w:rsidRPr="001F63BA" w:rsidRDefault="001C411D" w:rsidP="00DA15F5">
            <w:pPr>
              <w:rPr>
                <w:rFonts w:ascii="GHEA Grapalat" w:hAnsi="GHEA Grapalat"/>
                <w:sz w:val="18"/>
                <w:szCs w:val="18"/>
              </w:rPr>
            </w:pPr>
            <w:r w:rsidRPr="001F63BA">
              <w:rPr>
                <w:rFonts w:ascii="GHEA Grapalat" w:hAnsi="GHEA Grapalat"/>
                <w:sz w:val="18"/>
                <w:szCs w:val="18"/>
              </w:rPr>
              <w:t>Առողջության առաջնային պահպանում</w:t>
            </w:r>
          </w:p>
        </w:tc>
        <w:tc>
          <w:tcPr>
            <w:tcW w:w="1019"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28,444.1</w:t>
            </w:r>
          </w:p>
        </w:tc>
        <w:tc>
          <w:tcPr>
            <w:tcW w:w="103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28,308.7</w:t>
            </w:r>
          </w:p>
        </w:tc>
        <w:tc>
          <w:tcPr>
            <w:tcW w:w="1066"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28,292.6</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99.9</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99.5</w:t>
            </w:r>
          </w:p>
        </w:tc>
        <w:tc>
          <w:tcPr>
            <w:tcW w:w="1122"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(151.5)</w:t>
            </w:r>
          </w:p>
        </w:tc>
      </w:tr>
      <w:tr w:rsidR="001C411D" w:rsidRPr="001F63BA" w:rsidTr="00DA15F5">
        <w:trPr>
          <w:trHeight w:val="300"/>
          <w:jc w:val="center"/>
        </w:trPr>
        <w:tc>
          <w:tcPr>
            <w:tcW w:w="3526" w:type="dxa"/>
            <w:vAlign w:val="bottom"/>
          </w:tcPr>
          <w:p w:rsidR="001C411D" w:rsidRPr="001F63BA" w:rsidRDefault="001C411D" w:rsidP="00DA15F5">
            <w:pPr>
              <w:rPr>
                <w:rFonts w:ascii="GHEA Grapalat" w:hAnsi="GHEA Grapalat"/>
                <w:sz w:val="18"/>
                <w:szCs w:val="18"/>
              </w:rPr>
            </w:pPr>
            <w:r w:rsidRPr="001F63BA">
              <w:rPr>
                <w:rFonts w:ascii="GHEA Grapalat" w:hAnsi="GHEA Grapalat"/>
                <w:sz w:val="18"/>
                <w:szCs w:val="18"/>
              </w:rPr>
              <w:t>Մոր և մանկան առողջության պահպանում</w:t>
            </w:r>
          </w:p>
        </w:tc>
        <w:tc>
          <w:tcPr>
            <w:tcW w:w="1019"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19,245.7</w:t>
            </w:r>
          </w:p>
        </w:tc>
        <w:tc>
          <w:tcPr>
            <w:tcW w:w="103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19,796.6</w:t>
            </w:r>
          </w:p>
        </w:tc>
        <w:tc>
          <w:tcPr>
            <w:tcW w:w="1066"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19,756.2</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99.8</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102.7</w:t>
            </w:r>
          </w:p>
        </w:tc>
        <w:tc>
          <w:tcPr>
            <w:tcW w:w="1122"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510.5</w:t>
            </w:r>
          </w:p>
        </w:tc>
      </w:tr>
      <w:tr w:rsidR="001C411D" w:rsidRPr="001F63BA" w:rsidTr="00DA15F5">
        <w:trPr>
          <w:trHeight w:val="300"/>
          <w:jc w:val="center"/>
        </w:trPr>
        <w:tc>
          <w:tcPr>
            <w:tcW w:w="3526" w:type="dxa"/>
            <w:vAlign w:val="bottom"/>
          </w:tcPr>
          <w:p w:rsidR="001C411D" w:rsidRPr="001F63BA" w:rsidRDefault="001C411D" w:rsidP="00DA15F5">
            <w:pPr>
              <w:rPr>
                <w:rFonts w:ascii="GHEA Grapalat" w:hAnsi="GHEA Grapalat"/>
                <w:sz w:val="18"/>
                <w:szCs w:val="18"/>
              </w:rPr>
            </w:pPr>
            <w:r w:rsidRPr="001F63BA">
              <w:rPr>
                <w:rFonts w:ascii="GHEA Grapalat" w:hAnsi="GHEA Grapalat"/>
                <w:sz w:val="18"/>
                <w:szCs w:val="18"/>
              </w:rPr>
              <w:t>Ոչ վարակիչ հիվանդությունների բժշկական օգնության ապահովում</w:t>
            </w:r>
          </w:p>
        </w:tc>
        <w:tc>
          <w:tcPr>
            <w:tcW w:w="1019"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17,340.8</w:t>
            </w:r>
          </w:p>
        </w:tc>
        <w:tc>
          <w:tcPr>
            <w:tcW w:w="103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19,047.5</w:t>
            </w:r>
          </w:p>
        </w:tc>
        <w:tc>
          <w:tcPr>
            <w:tcW w:w="1066"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18,967.3</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99.6</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109.4</w:t>
            </w:r>
          </w:p>
        </w:tc>
        <w:tc>
          <w:tcPr>
            <w:tcW w:w="1122"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1,626.5</w:t>
            </w:r>
          </w:p>
        </w:tc>
      </w:tr>
      <w:tr w:rsidR="001C411D" w:rsidRPr="001F63BA" w:rsidTr="00DA15F5">
        <w:trPr>
          <w:trHeight w:val="300"/>
          <w:jc w:val="center"/>
        </w:trPr>
        <w:tc>
          <w:tcPr>
            <w:tcW w:w="3526" w:type="dxa"/>
            <w:vAlign w:val="bottom"/>
          </w:tcPr>
          <w:p w:rsidR="001C411D" w:rsidRPr="001F63BA" w:rsidRDefault="001C411D" w:rsidP="00DA15F5">
            <w:pPr>
              <w:rPr>
                <w:rFonts w:ascii="GHEA Grapalat" w:hAnsi="GHEA Grapalat"/>
                <w:sz w:val="18"/>
                <w:szCs w:val="18"/>
              </w:rPr>
            </w:pPr>
            <w:r w:rsidRPr="001F63BA">
              <w:rPr>
                <w:rFonts w:ascii="GHEA Grapalat" w:hAnsi="GHEA Grapalat"/>
                <w:sz w:val="18"/>
                <w:szCs w:val="18"/>
              </w:rPr>
              <w:t>Սոցիալապես անապահով և առանձին խմբերի անձանց բժշկական օգնություն</w:t>
            </w:r>
          </w:p>
        </w:tc>
        <w:tc>
          <w:tcPr>
            <w:tcW w:w="1019"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34,066.2</w:t>
            </w:r>
          </w:p>
        </w:tc>
        <w:tc>
          <w:tcPr>
            <w:tcW w:w="103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35,926.0</w:t>
            </w:r>
          </w:p>
        </w:tc>
        <w:tc>
          <w:tcPr>
            <w:tcW w:w="1066"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35,635.4</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99.2</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104.6</w:t>
            </w:r>
          </w:p>
        </w:tc>
        <w:tc>
          <w:tcPr>
            <w:tcW w:w="1122"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1,569.2</w:t>
            </w:r>
          </w:p>
        </w:tc>
      </w:tr>
      <w:tr w:rsidR="001C411D" w:rsidRPr="001F63BA" w:rsidTr="00DA15F5">
        <w:trPr>
          <w:trHeight w:val="300"/>
          <w:jc w:val="center"/>
        </w:trPr>
        <w:tc>
          <w:tcPr>
            <w:tcW w:w="3526" w:type="dxa"/>
            <w:vAlign w:val="bottom"/>
          </w:tcPr>
          <w:p w:rsidR="001C411D" w:rsidRPr="001F63BA" w:rsidRDefault="001C411D" w:rsidP="00DA15F5">
            <w:pPr>
              <w:rPr>
                <w:rFonts w:ascii="GHEA Grapalat" w:hAnsi="GHEA Grapalat" w:cs="Calibri"/>
                <w:sz w:val="18"/>
                <w:szCs w:val="18"/>
              </w:rPr>
            </w:pPr>
            <w:r w:rsidRPr="001F63BA">
              <w:rPr>
                <w:rFonts w:ascii="GHEA Grapalat" w:hAnsi="GHEA Grapalat" w:cs="Calibri"/>
                <w:sz w:val="18"/>
                <w:szCs w:val="18"/>
              </w:rPr>
              <w:t>Այլ ծրագրեր</w:t>
            </w:r>
          </w:p>
        </w:tc>
        <w:tc>
          <w:tcPr>
            <w:tcW w:w="1019"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17,815.7</w:t>
            </w:r>
          </w:p>
        </w:tc>
        <w:tc>
          <w:tcPr>
            <w:tcW w:w="103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22,216.3</w:t>
            </w:r>
          </w:p>
        </w:tc>
        <w:tc>
          <w:tcPr>
            <w:tcW w:w="1066"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21,191.9</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95.4</w:t>
            </w:r>
          </w:p>
        </w:tc>
        <w:tc>
          <w:tcPr>
            <w:tcW w:w="1203"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119.0</w:t>
            </w:r>
          </w:p>
        </w:tc>
        <w:tc>
          <w:tcPr>
            <w:tcW w:w="1122" w:type="dxa"/>
            <w:vAlign w:val="bottom"/>
          </w:tcPr>
          <w:p w:rsidR="001C411D" w:rsidRPr="001F63BA" w:rsidRDefault="001C411D" w:rsidP="00DA15F5">
            <w:pPr>
              <w:jc w:val="right"/>
              <w:rPr>
                <w:rFonts w:ascii="GHEA Grapalat" w:hAnsi="GHEA Grapalat"/>
                <w:sz w:val="18"/>
                <w:szCs w:val="18"/>
              </w:rPr>
            </w:pPr>
            <w:r w:rsidRPr="001F63BA">
              <w:rPr>
                <w:rFonts w:ascii="GHEA Grapalat" w:hAnsi="GHEA Grapalat"/>
                <w:sz w:val="18"/>
                <w:szCs w:val="18"/>
              </w:rPr>
              <w:t>3,376.2</w:t>
            </w:r>
          </w:p>
        </w:tc>
      </w:tr>
    </w:tbl>
    <w:p w:rsidR="001C411D" w:rsidRPr="001F63BA" w:rsidRDefault="001C411D" w:rsidP="00401A48">
      <w:pPr>
        <w:autoSpaceDE w:val="0"/>
        <w:autoSpaceDN w:val="0"/>
        <w:adjustRightInd w:val="0"/>
        <w:spacing w:line="360" w:lineRule="auto"/>
        <w:ind w:firstLine="567"/>
        <w:jc w:val="both"/>
        <w:rPr>
          <w:rFonts w:ascii="GHEA Grapalat" w:hAnsi="GHEA Grapalat" w:cs="Arial"/>
        </w:rPr>
      </w:pP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Հաշվետու տարում շուրջ 16.8 մլրդ դրամ տրամադրվել է </w:t>
      </w:r>
      <w:r w:rsidRPr="001F63BA">
        <w:rPr>
          <w:rFonts w:ascii="GHEA Grapalat" w:hAnsi="GHEA Grapalat" w:cs="GHEA Grapalat"/>
          <w:i/>
          <w:iCs/>
          <w:sz w:val="22"/>
          <w:szCs w:val="22"/>
        </w:rPr>
        <w:t>Հանրային առողջության պահպանման</w:t>
      </w:r>
      <w:r w:rsidRPr="001F63BA">
        <w:rPr>
          <w:rFonts w:ascii="GHEA Grapalat" w:hAnsi="GHEA Grapalat" w:cs="GHEA Grapalat"/>
          <w:iCs/>
          <w:sz w:val="22"/>
          <w:szCs w:val="22"/>
        </w:rPr>
        <w:t xml:space="preserve"> ծրագրին` կազմելով ծրագրային ցուցանիշի 97.9%</w:t>
      </w:r>
      <w:r w:rsidRPr="001F63BA">
        <w:rPr>
          <w:rFonts w:ascii="GHEA Grapalat" w:hAnsi="GHEA Grapalat" w:cs="GHEA Grapalat"/>
          <w:iCs/>
          <w:sz w:val="22"/>
          <w:szCs w:val="22"/>
        </w:rPr>
        <w:noBreakHyphen/>
        <w:t xml:space="preserve">ը: Շեղումը, ինչպես նաև նախորդ տարվա համեմատ ծախսերի 59.1% կամ 24.2 մլրդ դրամ նվազումը հիմնականում պայմանավորված </w:t>
      </w:r>
      <w:r w:rsidRPr="001F63BA">
        <w:rPr>
          <w:rFonts w:ascii="GHEA Grapalat" w:hAnsi="GHEA Grapalat" w:cs="GHEA Grapalat"/>
          <w:iCs/>
          <w:sz w:val="22"/>
          <w:szCs w:val="22"/>
          <w:lang w:val="en-US"/>
        </w:rPr>
        <w:t>են</w:t>
      </w:r>
      <w:r w:rsidRPr="001F63BA">
        <w:rPr>
          <w:rFonts w:ascii="GHEA Grapalat" w:hAnsi="GHEA Grapalat" w:cs="GHEA Grapalat"/>
          <w:iCs/>
          <w:sz w:val="22"/>
          <w:szCs w:val="22"/>
        </w:rPr>
        <w:t xml:space="preserve"> կորոնավիրուսի համավարակի հետ կապված ծախսեր</w:t>
      </w:r>
      <w:r w:rsidRPr="001F63BA">
        <w:rPr>
          <w:rFonts w:ascii="GHEA Grapalat" w:hAnsi="GHEA Grapalat" w:cs="GHEA Grapalat"/>
          <w:iCs/>
          <w:sz w:val="22"/>
          <w:szCs w:val="22"/>
          <w:lang w:val="en-US"/>
        </w:rPr>
        <w:t>ով</w:t>
      </w:r>
      <w:r w:rsidRPr="001F63BA">
        <w:rPr>
          <w:rFonts w:ascii="GHEA Grapalat" w:hAnsi="GHEA Grapalat" w:cs="GHEA Grapalat"/>
          <w:iCs/>
          <w:sz w:val="22"/>
          <w:szCs w:val="22"/>
        </w:rPr>
        <w:t>:</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«Հայաստանի Հանրապետությունում կորոնավիրուսային վարակի (COVID-19) կանխարգելման, վերահսկման, բուժման և այլ համալիր միջոցառումների իրականացում» միջոցառման շրջանակներում իրականացվել է ամենօրյա նմուշառման կազմակերպում, մեկուսացումից դուրս գալու և ինքնամեկուսացման օրերի վերաբերյալ ցուցակների կազմում և տրամադրում ՀՀ ԱՆ «Հիվանդությունների վերահսկման և կանխարգելման ազգային կենտրոն» ՊՈԱԿ</w:t>
      </w:r>
      <w:r w:rsidRPr="001F63BA">
        <w:rPr>
          <w:rFonts w:ascii="GHEA Grapalat" w:hAnsi="GHEA Grapalat" w:cs="GHEA Grapalat"/>
          <w:iCs/>
          <w:sz w:val="22"/>
          <w:szCs w:val="22"/>
        </w:rPr>
        <w:noBreakHyphen/>
        <w:t xml:space="preserve">ի մասնաճյուղերին: Միջոցառման ծախսերն ուղղվել են հիվանդների բուժմանը, բնակչության </w:t>
      </w:r>
      <w:r w:rsidRPr="001F63BA">
        <w:rPr>
          <w:rFonts w:ascii="GHEA Grapalat" w:hAnsi="GHEA Grapalat" w:cs="GHEA Grapalat"/>
          <w:iCs/>
          <w:sz w:val="22"/>
          <w:szCs w:val="22"/>
        </w:rPr>
        <w:lastRenderedPageBreak/>
        <w:t>սանիտարահամաճարակային անվտանգության և վարակիչ հիվանդությունների նկատմամբ բնակչության անընկալության ապահովմանը, ինչպես նաև պատվաստման գործընթացում ներգրավված բուժաշխատողներին հատկացվել է լրավճար: Հայաստանի Հանրապետությունում կորոնավիրուսային վարակի (COVID-19) կանխարգելման, վերահսկման, բուժման և այլ համալիր միջոցառումների իրականացման ծախսերը կազմել են ավելի քան 10.8 մլրդ դրամ կամ ծրագրված ցուցանիշի 98%-ը: Տարբերությունը պայմանավորված է նրանով, որ որոշ կազմակերպությունների կողմից դեկտեմբեր ամսվա ընթացքում մատուցված ծառայությունների դիմաց վճարման համար անհրաժեշտ փաստաթղթերը չեն ներկայացվել: Նախորդ տարվա համեմատ միջոցառման ծախսերը նվազել են 60.9%</w:t>
      </w:r>
      <w:r w:rsidRPr="001F63BA">
        <w:rPr>
          <w:rFonts w:ascii="GHEA Grapalat" w:hAnsi="GHEA Grapalat" w:cs="GHEA Grapalat"/>
          <w:iCs/>
          <w:sz w:val="22"/>
          <w:szCs w:val="22"/>
        </w:rPr>
        <w:noBreakHyphen/>
        <w:t xml:space="preserve">ով կամ 16.9 մլրդ դրամով՝ պայմանավորված կորոնավիրուսի դեպքերի նվազմամբ: </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lang w:val="en-US"/>
        </w:rPr>
      </w:pPr>
      <w:r w:rsidRPr="001F63BA">
        <w:rPr>
          <w:rFonts w:ascii="GHEA Grapalat" w:hAnsi="GHEA Grapalat" w:cs="GHEA Grapalat"/>
          <w:iCs/>
          <w:sz w:val="22"/>
          <w:szCs w:val="22"/>
        </w:rPr>
        <w:t>Իմունականխարգելման ազգային ծրագրի միջ</w:t>
      </w:r>
      <w:r w:rsidR="001D51E4" w:rsidRPr="001F63BA">
        <w:rPr>
          <w:rFonts w:ascii="GHEA Grapalat" w:hAnsi="GHEA Grapalat" w:cs="GHEA Grapalat"/>
          <w:iCs/>
          <w:sz w:val="22"/>
          <w:szCs w:val="22"/>
          <w:lang w:val="en-US"/>
        </w:rPr>
        <w:t>ոց</w:t>
      </w:r>
      <w:r w:rsidRPr="001F63BA">
        <w:rPr>
          <w:rFonts w:ascii="GHEA Grapalat" w:hAnsi="GHEA Grapalat" w:cs="GHEA Grapalat"/>
          <w:iCs/>
          <w:sz w:val="22"/>
          <w:szCs w:val="22"/>
        </w:rPr>
        <w:t>առման նպատակն է ազգա</w:t>
      </w:r>
      <w:r w:rsidRPr="001F63BA">
        <w:rPr>
          <w:rFonts w:ascii="GHEA Grapalat" w:hAnsi="GHEA Grapalat" w:cs="GHEA Grapalat"/>
          <w:iCs/>
          <w:sz w:val="22"/>
          <w:szCs w:val="22"/>
        </w:rPr>
        <w:softHyphen/>
        <w:t>յին օրացույ</w:t>
      </w:r>
      <w:r w:rsidRPr="001F63BA">
        <w:rPr>
          <w:rFonts w:ascii="GHEA Grapalat" w:hAnsi="GHEA Grapalat" w:cs="GHEA Grapalat"/>
          <w:iCs/>
          <w:sz w:val="22"/>
          <w:szCs w:val="22"/>
        </w:rPr>
        <w:softHyphen/>
        <w:t>ցում ընդգրկված պատվաստումների ժամանակին և որակով իրականացումը: Միջոցառման շրջանակներում հաշվետու տարում հանրապետությունում պատվաստումային ծառայությունների որակը և անվտանգությունը բարձրացնելու, բուժաշխատողների շրջանում իմունականխարգելման վերաբերյալ անհրաժեշտ նվազագույն գիտելիքներն ամրապնդելու նպատակով իրականացվել է իմունականխարգելման գործընթացի 754 աջակցողական մշտադիտարկում բժշկական օգնություն և սպասարկում իրականացնող կազմակերպություններում: Անցկացվել են առցանց դասընթացներ բուժաշխատողների համար կորոնավիրուսային հիվանդության (COVID-19) դեմ կատարվող պատվաստումների հակացուցումների և «Սինոֆարմ» պատվաստանյութի կիրառման ուղեցույցի վերաբերյալ, որոնց մասնակցել են համապատասխանաբար 3700 և 4000 բուժաշխատողներ: ՀՀ ԱՆ Առողջապահության ազգային ինստիտուտի, Հիվանդությունների վերահսկման և կանխարգելման ազգային կենտրոնի և Դեղերի փորձագիտական կենտրոնի մասնագետների կողմից անցկացվել են պատվաստումից հետո առաջացող հետպատվաստումային անբարեհաջող դեպքերի վերաբերյալ առցանց դասընթացներ: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ՄԱԿ-ի մանկական հիմնադրամի աջակցությամբ Երևան քաղաքում և ՀՀ մարզերում իրականացվել են «Կորոնավիրուսային հիվանդության (COVID-19) դեմ պատվաստումներ»-ի վերաբերյալ եռօրյա դասընթացներ</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որոնց մասնակցել են մոտ 4000 բուժաշխատողներ: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Կազմակերպվել են դասընթացներ աշխատանքային խմբերի, բժիշկների և բուժքույրերի համար՝ «Մարդու պապիլոմավիրուսային վարակի դեմ պատվաստումային գործընթացը բարելավելու», «Իմունականխարգելման գործընթացի կազմակերպումը և իրականացումը կորոնավիրուսային հիվանդության (COVID-19) համավարակի ընթացքում» և «Սեզոնային գրիպի դեմ պատվաստումներ» թեմաներով: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lastRenderedPageBreak/>
        <w:t>Պատվաստումների անվտանգության ապահովման նպատակով իրականացվել է բժշկական կազմակերպությունների իմունականխարգելման կաբինետների՝ անհետաձգելի օգնության միջոցներով հագեցվածության գնահատում, անաֆիլաքսիայի ախտորոշման և անհետաձգելի բուժօգնության ընթացակարգի վերաբերյալ տպագրական նյութերի բաշխում, առողջության առաջնային պահպանման բոլոր կազմակերպություններում պատվաստանյութերի պահուստի էլեկտրոնային կառավարման համակարգի մշակում և ներդրում: Իրականացվել է COVID-19-ի դեմ պատվաստումների մուտքագրում «Արմեդ» էլեկտրոնային համակարգ:</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Ապահովվել է բժշկական իմունակենսաբանական պատրաստուկների կենտրոնացված բաշխման գործընթացը, պատվաստանյութերի ու պատվաստման համար օժանդակ պարագաների անընդմեջ մատակարարումը: Պատվաստումների ազգային օրացույցում վերջնական ներդրվել են վեցավալենտ պատվաստումները՝ դիֆթերիայի, փայտացման, կապույտ հազի (ոչ բջջային), պոլիոմիելիտի, հեպատիտ Բ-ի, հեմոֆիլուս ինֆլուենզա Բ տիպի դեմ համակցված պատվաստումներով: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Պատվաստումների հասանելիության բարձրացման նպատակով իրականացվել են արտագնա/շարժական պատվաստումներ, ինչպես նաև սահմանափակ շարժունակությամբ անձանց կեցության վայրերում: Պատվաստումային կետերում իրականացվել է 39814 պատվաստում, իսկ արտագնա պատվաստումային խմբերի միջոցով</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40194 պատվաստում, այդ թվում</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նաև սահմանափակ շարժունակությամբ անձանց կեցության վայրերում՝ 2781 պատվաստում:</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Երևան քաղաքում գործել են 4, ՀՀ Շիրակի և ՀՀ Լոռի մարզերում՝ 2</w:t>
      </w:r>
      <w:r w:rsidRPr="001F63BA">
        <w:rPr>
          <w:rFonts w:ascii="GHEA Grapalat" w:hAnsi="GHEA Grapalat" w:cs="GHEA Grapalat"/>
          <w:iCs/>
          <w:sz w:val="22"/>
          <w:szCs w:val="22"/>
          <w:lang w:val="en-US"/>
        </w:rPr>
        <w:t xml:space="preserve"> </w:t>
      </w:r>
      <w:r w:rsidRPr="001F63BA">
        <w:rPr>
          <w:rFonts w:ascii="GHEA Grapalat" w:hAnsi="GHEA Grapalat" w:cs="GHEA Grapalat"/>
          <w:iCs/>
          <w:sz w:val="22"/>
          <w:szCs w:val="22"/>
        </w:rPr>
        <w:t>պատվաստումային շարժական կետ, ինչպես նաև շարժական խմբերի միջոցով իրականացվել են պատվաստումներ: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2022 թվականի զորակոչի ենթակա անձանց պատվաստումները ժամանակին և լիարժեք կազմակերպելու համար իրականացվել են նախապատրաստական աշխատանքներ, մասնավորապես՝ համագործակցություն հանրապետական և տարածքային զինկոմիսարիատի ներկայացուցիչների հետ, բժշկական կազմակերպություններում հաշվառված զորակոչի ենթակա անձանց պատվաստումային կարգավիճակի վերաբերյալ տեղեկատվության հավաքագրում՝ ըստ առանձին պատվաստումների, և հետպատվաստումային շրջանում առողջական վիճակի հսկողության 634 այց:</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Մարդու պապիլոմավիրուսային վարակի դեմ պատվաստումային գործընթացը բարելավելու նպատակով ստեղծվել են աշխատանքային խմբեր</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որի արդյունքում 2022 թվականի սեպտեմբեր-դեկտեմբերի </w:t>
      </w:r>
      <w:r w:rsidRPr="001F63BA">
        <w:rPr>
          <w:rFonts w:ascii="GHEA Grapalat" w:hAnsi="GHEA Grapalat" w:cs="GHEA Grapalat"/>
          <w:iCs/>
          <w:sz w:val="22"/>
          <w:szCs w:val="22"/>
          <w:lang w:val="en-US"/>
        </w:rPr>
        <w:t>ամիսներին</w:t>
      </w:r>
      <w:r w:rsidRPr="001F63BA">
        <w:rPr>
          <w:rFonts w:ascii="GHEA Grapalat" w:hAnsi="GHEA Grapalat" w:cs="GHEA Grapalat"/>
          <w:iCs/>
          <w:sz w:val="22"/>
          <w:szCs w:val="22"/>
        </w:rPr>
        <w:t xml:space="preserve"> թիրախային խմբում գրանցվել է կատարողականի ցուցանիշների բարելավում:</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lastRenderedPageBreak/>
        <w:t>Պատվաստանյութերի արդյունավետ կառավարման և անվտանգության ապահովման նպատակով բոլոր մակարդակներում գնահատվել է սառնարանային տնտեսության հագեցվածությունը</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և սառցային շղթայի բարելավման նպատակով ձեռք է բերվել 190 հատ սառնարան, 490 հատ սառցարան, 5 հատ գերցածր ջերմաստիճանի սառցարան, 1 հատ սառնարան-մեքենա, 3 սառնարան-սենյակ: Բժշկական օգնություն և սպասարկում իրականացնող կազմակերպություններին բաշխվել է 80 սառնարան և 285 սառցարան:</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Միջոցառման շրջանակներում 2022 թվականին իրականացվել է 864485 պատվաստում՝ նախատեսված 960000-ի և 2021 թվականի 801360-ի դիմաց:</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2022 թվականին Իմունականխարգելման ազգային ծրագրի ծախսերը կազմել են շուրջ 3.2 մլրդ դրամ` ապահովելով 96.1% կատարողական: Շեղումը պայմանավորված է</w:t>
      </w:r>
      <w:r w:rsidRPr="001F63BA">
        <w:rPr>
          <w:rFonts w:ascii="GHEA Grapalat" w:hAnsi="GHEA Grapalat" w:cs="GHEA Grapalat"/>
          <w:iCs/>
          <w:sz w:val="22"/>
          <w:szCs w:val="22"/>
          <w:lang w:val="en-US"/>
        </w:rPr>
        <w:t xml:space="preserve"> պատվաստանյութերի ձեռքբերման ընթացքում</w:t>
      </w:r>
      <w:r w:rsidRPr="001F63BA">
        <w:rPr>
          <w:rFonts w:ascii="GHEA Grapalat" w:hAnsi="GHEA Grapalat" w:cs="GHEA Grapalat"/>
          <w:iCs/>
          <w:sz w:val="22"/>
          <w:szCs w:val="22"/>
        </w:rPr>
        <w:t xml:space="preserve"> կանխատեսված և փաստացի փոխարժեքների տարբերությա</w:t>
      </w:r>
      <w:r w:rsidRPr="001F63BA">
        <w:rPr>
          <w:rFonts w:ascii="GHEA Grapalat" w:hAnsi="GHEA Grapalat" w:cs="GHEA Grapalat"/>
          <w:iCs/>
          <w:sz w:val="22"/>
          <w:szCs w:val="22"/>
          <w:lang w:val="en-US"/>
        </w:rPr>
        <w:t>ն</w:t>
      </w:r>
      <w:r w:rsidRPr="001F63BA">
        <w:rPr>
          <w:rFonts w:ascii="GHEA Grapalat" w:hAnsi="GHEA Grapalat" w:cs="GHEA Grapalat"/>
          <w:iCs/>
          <w:sz w:val="22"/>
          <w:szCs w:val="22"/>
        </w:rPr>
        <w:t xml:space="preserve">, ինչպես նաև մաքսատուրքից ազատվելու </w:t>
      </w:r>
      <w:r w:rsidRPr="001F63BA">
        <w:rPr>
          <w:rFonts w:ascii="GHEA Grapalat" w:hAnsi="GHEA Grapalat" w:cs="GHEA Grapalat"/>
          <w:iCs/>
          <w:sz w:val="22"/>
          <w:szCs w:val="22"/>
          <w:lang w:val="en-US"/>
        </w:rPr>
        <w:t>արդյունքում առաջացած</w:t>
      </w:r>
      <w:r w:rsidRPr="001F63BA">
        <w:rPr>
          <w:rFonts w:ascii="GHEA Grapalat" w:hAnsi="GHEA Grapalat" w:cs="GHEA Grapalat"/>
          <w:iCs/>
          <w:sz w:val="22"/>
          <w:szCs w:val="22"/>
        </w:rPr>
        <w:t xml:space="preserve"> խնայողությ</w:t>
      </w:r>
      <w:r w:rsidRPr="001F63BA">
        <w:rPr>
          <w:rFonts w:ascii="GHEA Grapalat" w:hAnsi="GHEA Grapalat" w:cs="GHEA Grapalat"/>
          <w:iCs/>
          <w:sz w:val="22"/>
          <w:szCs w:val="22"/>
          <w:lang w:val="en-US"/>
        </w:rPr>
        <w:t>ամբ</w:t>
      </w:r>
      <w:r w:rsidRPr="001F63BA">
        <w:rPr>
          <w:rFonts w:ascii="GHEA Grapalat" w:hAnsi="GHEA Grapalat" w:cs="GHEA Grapalat"/>
          <w:iCs/>
          <w:sz w:val="22"/>
          <w:szCs w:val="22"/>
        </w:rPr>
        <w:t>: Նախորդ տարվա համեմատ իմունականխարգելման ազգային ծրագրի միջառման ծախսերն աճել են 4.3%</w:t>
      </w:r>
      <w:r w:rsidRPr="001F63BA">
        <w:rPr>
          <w:rFonts w:ascii="GHEA Grapalat" w:hAnsi="GHEA Grapalat" w:cs="GHEA Grapalat"/>
          <w:iCs/>
          <w:sz w:val="22"/>
          <w:szCs w:val="22"/>
        </w:rPr>
        <w:noBreakHyphen/>
        <w:t>ով կամ 132.5 մլն դրամով, որը հիմնականում պայմանավորված է Արցախի Հանրապետության իմունականխարգելման ծրագրի կարիքներով, պատվաստումների ազգային օրացույցով նախատեսված պատվաստանյութերի և համապատասխան օժանդակ պարագաների ձեռքբերմամբ, ինչպես նաև վեցավալենտ պատվաստումների վերջնական ներդրմամբ: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lang w:val="en-US"/>
        </w:rPr>
        <w:t>Բ</w:t>
      </w:r>
      <w:r w:rsidRPr="001F63BA">
        <w:rPr>
          <w:rFonts w:ascii="GHEA Grapalat" w:hAnsi="GHEA Grapalat" w:cs="GHEA Grapalat"/>
          <w:iCs/>
          <w:sz w:val="22"/>
          <w:szCs w:val="22"/>
        </w:rPr>
        <w:t>նակչության սանիտարահամաճարակային անվտանգության ապահովման և հանրային առողջապահության ծառայությունների ձեռքբերման միջոցառման նպատակն էր իրականացնել համաճարակաբանական հետազո</w:t>
      </w:r>
      <w:r w:rsidRPr="001F63BA">
        <w:rPr>
          <w:rFonts w:ascii="GHEA Grapalat" w:hAnsi="GHEA Grapalat" w:cs="GHEA Grapalat"/>
          <w:iCs/>
          <w:sz w:val="22"/>
          <w:szCs w:val="22"/>
        </w:rPr>
        <w:softHyphen/>
        <w:t>տու</w:t>
      </w:r>
      <w:r w:rsidRPr="001F63BA">
        <w:rPr>
          <w:rFonts w:ascii="GHEA Grapalat" w:hAnsi="GHEA Grapalat" w:cs="GHEA Grapalat"/>
          <w:iCs/>
          <w:sz w:val="22"/>
          <w:szCs w:val="22"/>
        </w:rPr>
        <w:softHyphen/>
        <w:t>թյուն</w:t>
      </w:r>
      <w:r w:rsidRPr="001F63BA">
        <w:rPr>
          <w:rFonts w:ascii="GHEA Grapalat" w:hAnsi="GHEA Grapalat" w:cs="GHEA Grapalat"/>
          <w:iCs/>
          <w:sz w:val="22"/>
          <w:szCs w:val="22"/>
        </w:rPr>
        <w:softHyphen/>
        <w:t>ներ վարակների օջախներում, մանրէաբանական հետա</w:t>
      </w:r>
      <w:r w:rsidRPr="001F63BA">
        <w:rPr>
          <w:rFonts w:ascii="GHEA Grapalat" w:hAnsi="GHEA Grapalat" w:cs="GHEA Grapalat"/>
          <w:iCs/>
          <w:sz w:val="22"/>
          <w:szCs w:val="22"/>
        </w:rPr>
        <w:softHyphen/>
        <w:t>զո</w:t>
      </w:r>
      <w:r w:rsidRPr="001F63BA">
        <w:rPr>
          <w:rFonts w:ascii="GHEA Grapalat" w:hAnsi="GHEA Grapalat" w:cs="GHEA Grapalat"/>
          <w:iCs/>
          <w:sz w:val="22"/>
          <w:szCs w:val="22"/>
        </w:rPr>
        <w:softHyphen/>
        <w:t>տու</w:t>
      </w:r>
      <w:r w:rsidRPr="001F63BA">
        <w:rPr>
          <w:rFonts w:ascii="GHEA Grapalat" w:hAnsi="GHEA Grapalat" w:cs="GHEA Grapalat"/>
          <w:iCs/>
          <w:sz w:val="22"/>
          <w:szCs w:val="22"/>
        </w:rPr>
        <w:softHyphen/>
        <w:t>թյուն</w:t>
      </w:r>
      <w:r w:rsidRPr="001F63BA">
        <w:rPr>
          <w:rFonts w:ascii="GHEA Grapalat" w:hAnsi="GHEA Grapalat" w:cs="GHEA Grapalat"/>
          <w:iCs/>
          <w:sz w:val="22"/>
          <w:szCs w:val="22"/>
        </w:rPr>
        <w:softHyphen/>
        <w:t>նե</w:t>
      </w:r>
      <w:r w:rsidRPr="001F63BA">
        <w:rPr>
          <w:rFonts w:ascii="GHEA Grapalat" w:hAnsi="GHEA Grapalat" w:cs="GHEA Grapalat"/>
          <w:iCs/>
          <w:sz w:val="22"/>
          <w:szCs w:val="22"/>
        </w:rPr>
        <w:softHyphen/>
        <w:t>րի, վարակիչ և ոչ վարակիչ զանգվածային հիվանդությունների, թունավո</w:t>
      </w:r>
      <w:r w:rsidRPr="001F63BA">
        <w:rPr>
          <w:rFonts w:ascii="GHEA Grapalat" w:hAnsi="GHEA Grapalat" w:cs="GHEA Grapalat"/>
          <w:iCs/>
          <w:sz w:val="22"/>
          <w:szCs w:val="22"/>
        </w:rPr>
        <w:softHyphen/>
        <w:t>րում</w:t>
      </w:r>
      <w:r w:rsidRPr="001F63BA">
        <w:rPr>
          <w:rFonts w:ascii="GHEA Grapalat" w:hAnsi="GHEA Grapalat" w:cs="GHEA Grapalat"/>
          <w:iCs/>
          <w:sz w:val="22"/>
          <w:szCs w:val="22"/>
        </w:rPr>
        <w:softHyphen/>
        <w:t>նե</w:t>
      </w:r>
      <w:r w:rsidRPr="001F63BA">
        <w:rPr>
          <w:rFonts w:ascii="GHEA Grapalat" w:hAnsi="GHEA Grapalat" w:cs="GHEA Grapalat"/>
          <w:iCs/>
          <w:sz w:val="22"/>
          <w:szCs w:val="22"/>
        </w:rPr>
        <w:softHyphen/>
        <w:t>րի հաշ</w:t>
      </w:r>
      <w:r w:rsidRPr="001F63BA">
        <w:rPr>
          <w:rFonts w:ascii="GHEA Grapalat" w:hAnsi="GHEA Grapalat" w:cs="GHEA Grapalat"/>
          <w:iCs/>
          <w:sz w:val="22"/>
          <w:szCs w:val="22"/>
        </w:rPr>
        <w:softHyphen/>
        <w:t>վա</w:t>
      </w:r>
      <w:r w:rsidRPr="001F63BA">
        <w:rPr>
          <w:rFonts w:ascii="GHEA Grapalat" w:hAnsi="GHEA Grapalat" w:cs="GHEA Grapalat"/>
          <w:iCs/>
          <w:sz w:val="22"/>
          <w:szCs w:val="22"/>
        </w:rPr>
        <w:softHyphen/>
        <w:t>ռում, համաճարակների, բռնկումների, արտակարգ իրավիճակների ժամանակ հա</w:t>
      </w:r>
      <w:r w:rsidRPr="001F63BA">
        <w:rPr>
          <w:rFonts w:ascii="GHEA Grapalat" w:hAnsi="GHEA Grapalat" w:cs="GHEA Grapalat"/>
          <w:iCs/>
          <w:sz w:val="22"/>
          <w:szCs w:val="22"/>
        </w:rPr>
        <w:softHyphen/>
        <w:t>տուկ հա</w:t>
      </w:r>
      <w:r w:rsidRPr="001F63BA">
        <w:rPr>
          <w:rFonts w:ascii="GHEA Grapalat" w:hAnsi="GHEA Grapalat" w:cs="GHEA Grapalat"/>
          <w:iCs/>
          <w:sz w:val="22"/>
          <w:szCs w:val="22"/>
        </w:rPr>
        <w:softHyphen/>
        <w:t>կա</w:t>
      </w:r>
      <w:r w:rsidRPr="001F63BA">
        <w:rPr>
          <w:rFonts w:ascii="GHEA Grapalat" w:hAnsi="GHEA Grapalat" w:cs="GHEA Grapalat"/>
          <w:iCs/>
          <w:sz w:val="22"/>
          <w:szCs w:val="22"/>
        </w:rPr>
        <w:softHyphen/>
        <w:t>համաճարակային միջոցառումների, մալարիայի դեմ պայքարի և կանխարգելման միջոցառումների իրականացում, էպիզոոտոլոգիական հետազոտություն հանրապետու</w:t>
      </w:r>
      <w:r w:rsidRPr="001F63BA">
        <w:rPr>
          <w:rFonts w:ascii="GHEA Grapalat" w:hAnsi="GHEA Grapalat" w:cs="GHEA Grapalat"/>
          <w:iCs/>
          <w:sz w:val="22"/>
          <w:szCs w:val="22"/>
        </w:rPr>
        <w:softHyphen/>
        <w:t>թյան տարածքում ժանտախտի, տուլարեմիայի և այլ բնական օջախային վարակների էպի</w:t>
      </w:r>
      <w:r w:rsidRPr="001F63BA">
        <w:rPr>
          <w:rFonts w:ascii="GHEA Grapalat" w:hAnsi="GHEA Grapalat" w:cs="GHEA Grapalat"/>
          <w:iCs/>
          <w:sz w:val="22"/>
          <w:szCs w:val="22"/>
        </w:rPr>
        <w:softHyphen/>
        <w:t>զոո</w:t>
      </w:r>
      <w:r w:rsidRPr="001F63BA">
        <w:rPr>
          <w:rFonts w:ascii="GHEA Grapalat" w:hAnsi="GHEA Grapalat" w:cs="GHEA Grapalat"/>
          <w:iCs/>
          <w:sz w:val="22"/>
          <w:szCs w:val="22"/>
        </w:rPr>
        <w:softHyphen/>
        <w:t>տիա</w:t>
      </w:r>
      <w:r w:rsidRPr="001F63BA">
        <w:rPr>
          <w:rFonts w:ascii="GHEA Grapalat" w:hAnsi="GHEA Grapalat" w:cs="GHEA Grapalat"/>
          <w:iCs/>
          <w:sz w:val="22"/>
          <w:szCs w:val="22"/>
        </w:rPr>
        <w:softHyphen/>
        <w:t>ները հայտնաբերելու և մարդկանց մեջ հիվանդացությունը ժամանակին կանխելու նպատակով, ինչպես նաև ի հայտ եկած</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մարդուց մարդ փոխանցվող նոր հարուց</w:t>
      </w:r>
      <w:r w:rsidRPr="001F63BA">
        <w:rPr>
          <w:rFonts w:ascii="GHEA Grapalat" w:hAnsi="GHEA Grapalat" w:cs="GHEA Grapalat"/>
          <w:iCs/>
          <w:sz w:val="22"/>
          <w:szCs w:val="22"/>
          <w:lang w:val="en-US"/>
        </w:rPr>
        <w:t>ի</w:t>
      </w:r>
      <w:r w:rsidRPr="001F63BA">
        <w:rPr>
          <w:rFonts w:ascii="GHEA Grapalat" w:hAnsi="GHEA Grapalat" w:cs="GHEA Grapalat"/>
          <w:iCs/>
          <w:sz w:val="22"/>
          <w:szCs w:val="22"/>
        </w:rPr>
        <w:t>չի՝ նոր կորոնավիրուսի (COVID-19) դեմ պայքարի և կանխարգելման ուղղությամբ մասնագիտացված շարունակական դիտարկումներ վարակիչ հիվանդություններ փոխանցողների պոպուլյացիաների նկատմամբ ՀՀ ողջ տարածքում:</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Միջոցառման շրջանակներում 2022 թվականին հակահամաճարակային միջոցառումների իրականացման նպատակով կատարվել են 828131 հետազոտություններ` կանխատեսված 580142-ի և 2021 թվականի 1313956-ի փոխարեն, </w:t>
      </w:r>
      <w:r w:rsidRPr="001F63BA">
        <w:rPr>
          <w:rFonts w:ascii="GHEA Grapalat" w:hAnsi="GHEA Grapalat" w:cs="GHEA Grapalat"/>
          <w:iCs/>
          <w:sz w:val="22"/>
          <w:szCs w:val="22"/>
          <w:lang w:val="en-US"/>
        </w:rPr>
        <w:t xml:space="preserve">մատուցվել են </w:t>
      </w:r>
      <w:r w:rsidRPr="001F63BA">
        <w:rPr>
          <w:rFonts w:ascii="GHEA Grapalat" w:hAnsi="GHEA Grapalat" w:cs="GHEA Grapalat"/>
          <w:iCs/>
          <w:sz w:val="22"/>
          <w:szCs w:val="22"/>
        </w:rPr>
        <w:t xml:space="preserve">վարակիչ օջախների ախտահանման 2383 </w:t>
      </w:r>
      <w:r w:rsidRPr="001F63BA">
        <w:rPr>
          <w:rFonts w:ascii="GHEA Grapalat" w:hAnsi="GHEA Grapalat" w:cs="GHEA Grapalat"/>
          <w:iCs/>
          <w:sz w:val="22"/>
          <w:szCs w:val="22"/>
        </w:rPr>
        <w:lastRenderedPageBreak/>
        <w:t xml:space="preserve">ծառայություններ՝ կանխատեսված 5000-ի և 2021 թվականի 2307-ի փոխարեն: Հետազոտությունների փաստացի քանակի գերազանցումը կանխատեսվածի համեմատ պայմանավորված է մոծակների տարածագոտիների ընդլայնմամբ, արևադարձային հիվանդություններ փոխանցողների՝ ՀՀ տարածքում արձանագրմամբ և բերովի դեպքերի արձանագրման ռիսկի դեմ պայքարի շրջանակներում իրականացված հետազոտությունների քանակի աճով, իսկ վարակիչ օջախների ախտահանման ծառայությունների գծով փաստացի ցածր արդյունքային ցուցանիշը պայմանավորված է ախտահանման ենթակա օջախների փաստացի թվով: 2022 թվականին իրականացվել է ստացված պատվաստանյութերի 1940605 դեղաչափի արդյունավետ կառավարում` 2021 թվականի 4050490-ի փոխարեն, որը պայմանավորված է կորոնավիրուսային հիվանդության դեմ ներկրված պատվաստանյութերի քանակով: </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Բժշկական օգնություն և սպասարկում իրականացնող կազմակերպություններում իրականացվել է կորոնավիրուսային (COVID 19) հիվանդության ներհիվանդանոցային տարածման կանխարգելման նպատակով վարակի հսկողության կարողությունների համաճարակաբանական դիտարկում, ինչպես նաև կորոնավիրուսային հիվանդության դեպքերի տվյալների հաշվառում և գրանցում: Աշխատանքներ են իրականացվել ԱՐՄԵԴ համակարգի և Հիվանդությունների հսկողության էլեկտրոնային համալիր համակարգի ինտեգրման գործընթաց</w:t>
      </w:r>
      <w:r w:rsidRPr="001F63BA">
        <w:rPr>
          <w:rFonts w:ascii="GHEA Grapalat" w:hAnsi="GHEA Grapalat" w:cs="GHEA Grapalat"/>
          <w:iCs/>
          <w:sz w:val="22"/>
          <w:szCs w:val="22"/>
          <w:lang w:val="en-US"/>
        </w:rPr>
        <w:t>ն</w:t>
      </w:r>
      <w:r w:rsidRPr="001F63BA">
        <w:rPr>
          <w:rFonts w:ascii="GHEA Grapalat" w:hAnsi="GHEA Grapalat" w:cs="GHEA Grapalat"/>
          <w:iCs/>
          <w:sz w:val="22"/>
          <w:szCs w:val="22"/>
        </w:rPr>
        <w:t xml:space="preserve"> ապահովելու համար: Բժշկական օգնություն և սպասարկում իրականացնող 108 կազմակերպություններում իրականացվել է վարակի հսկողության ծրագրերի գնահատում Առողջապահության համաշխարհային կազմակերպության գործիքի (IPCAF) միջոցով՝ բժշկական միջամտություններով պայմանավորված վարակների կանխարգելման առկա բացերը վերհանելու, արդյունքները համեմատելու համար: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Իրականացվել է գրիպի, սուր շնչառական, օդակաթիլային վարակների</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բժշկական կազմակերպությունների կողմից ներկայացված տվյալների ամփոփում, վերլուծություն, տեղեկագրերի կազմում, նախադպրոցական և դպրոցական հաստատություններում ջերմային ռեժիմի խախտման վերաբերյալ ամփոփ տեղեկատվության կազմում:</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2022 թվականին ՀՀ Սյունիքի մարզի Կապան և Քաջարան, ՀՀ Վայոց Ձորի մարզի Ջերմուկ համայնքներում իրականացվել է մարդու առողջության վրա շրջակա միջավայրի գործոնների ազդեցության գնահատման ծրագիր: Խմելու ջրի որակի մոնիթորինգի շրջանակներում իրականացվել է ջրաղբյուրների և/կամ ջրառի ջրի նմուշի քիմիական ընդարձակ հետազոտություն՝ 36 ցուցանիշի նկատմամբ: Սևանա լճի ռեկրեացիոն գոտիների ջրի որակի մոնիթորինգի շրջանակներում հետազոտվել են լճի ջրի նմուշները, որոնք ենթարկվել են թունաբանական հետազոտության:</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2022 թվականի ընթացքում Հայաստանի Հանրապետությունում չեն արձանագրվել կարմրուկի, կարմրախտի, դիֆթերիայի, պոլիոմիելիտի և փայտացման տեղական </w:t>
      </w:r>
      <w:r w:rsidRPr="001F63BA">
        <w:rPr>
          <w:rFonts w:ascii="GHEA Grapalat" w:hAnsi="GHEA Grapalat" w:cs="GHEA Grapalat"/>
          <w:iCs/>
          <w:sz w:val="22"/>
          <w:szCs w:val="22"/>
          <w:lang w:val="en-US"/>
        </w:rPr>
        <w:t>ու</w:t>
      </w:r>
      <w:r w:rsidRPr="001F63BA">
        <w:rPr>
          <w:rFonts w:ascii="GHEA Grapalat" w:hAnsi="GHEA Grapalat" w:cs="GHEA Grapalat"/>
          <w:iCs/>
          <w:sz w:val="22"/>
          <w:szCs w:val="22"/>
        </w:rPr>
        <w:t xml:space="preserve"> բերովի դեպքեր: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lastRenderedPageBreak/>
        <w:t>2022 թվականին բնակչության սանիտարահամաճարակային անվտանգության ապահովման և հանրային առողջապահության ծառայությունների գծով ծախսերը կազմել են շուրջ 2.3 մլրդ դրամ կամ նախատեսվածի 99.5%-ը, որը 1.9%-ով կամ 43.4 մլն դրամով զի</w:t>
      </w:r>
      <w:r w:rsidRPr="001F63BA">
        <w:rPr>
          <w:rFonts w:ascii="GHEA Grapalat" w:hAnsi="GHEA Grapalat" w:cs="GHEA Grapalat"/>
          <w:iCs/>
          <w:sz w:val="22"/>
          <w:szCs w:val="22"/>
          <w:lang w:val="en-US"/>
        </w:rPr>
        <w:t>ջ</w:t>
      </w:r>
      <w:r w:rsidRPr="001F63BA">
        <w:rPr>
          <w:rFonts w:ascii="GHEA Grapalat" w:hAnsi="GHEA Grapalat" w:cs="GHEA Grapalat"/>
          <w:iCs/>
          <w:sz w:val="22"/>
          <w:szCs w:val="22"/>
        </w:rPr>
        <w:t>ել է նախորդ տարվա ցուցանիշը՝ պայմանավորված Հայաստանի Հանրապետությունում կորոնավիրուսային վարակի (COVID-19) կանխարգելման, վերահսկման, բուժման և այլ համալիր միջոցառումների նվազմամբ: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2022 թվականին </w:t>
      </w:r>
      <w:r w:rsidRPr="001F63BA">
        <w:rPr>
          <w:rFonts w:ascii="GHEA Grapalat" w:hAnsi="GHEA Grapalat" w:cs="GHEA Grapalat"/>
          <w:i/>
          <w:iCs/>
          <w:sz w:val="22"/>
          <w:szCs w:val="22"/>
        </w:rPr>
        <w:t>Առողջության առաջնային պահպանման</w:t>
      </w:r>
      <w:r w:rsidRPr="001F63BA">
        <w:rPr>
          <w:rFonts w:ascii="GHEA Grapalat" w:hAnsi="GHEA Grapalat" w:cs="GHEA Grapalat"/>
          <w:iCs/>
          <w:sz w:val="22"/>
          <w:szCs w:val="22"/>
        </w:rPr>
        <w:t xml:space="preserve"> ծրագրի շրջանակներում պետական բյուջեից օգտագործվել է շուրջ 28.3 մլրդ դրամ` կազմելով ծրագրված ցուցանիշի 99.9%-ը: Նախորդ տարվա համեմատ ծրագրի ծախսեր</w:t>
      </w:r>
      <w:r w:rsidRPr="001F63BA">
        <w:rPr>
          <w:rFonts w:ascii="GHEA Grapalat" w:hAnsi="GHEA Grapalat" w:cs="GHEA Grapalat"/>
          <w:iCs/>
          <w:sz w:val="22"/>
          <w:szCs w:val="22"/>
          <w:lang w:val="en-US"/>
        </w:rPr>
        <w:t>ն էական</w:t>
      </w:r>
      <w:r w:rsidRPr="001F63BA">
        <w:rPr>
          <w:rFonts w:ascii="GHEA Grapalat" w:hAnsi="GHEA Grapalat" w:cs="GHEA Grapalat"/>
          <w:iCs/>
          <w:sz w:val="22"/>
          <w:szCs w:val="22"/>
        </w:rPr>
        <w:t xml:space="preserve"> փոփոխ</w:t>
      </w:r>
      <w:r w:rsidRPr="001F63BA">
        <w:rPr>
          <w:rFonts w:ascii="GHEA Grapalat" w:hAnsi="GHEA Grapalat" w:cs="GHEA Grapalat"/>
          <w:iCs/>
          <w:sz w:val="22"/>
          <w:szCs w:val="22"/>
          <w:lang w:val="en-US"/>
        </w:rPr>
        <w:t>ություն չեն կր</w:t>
      </w:r>
      <w:r w:rsidRPr="001F63BA">
        <w:rPr>
          <w:rFonts w:ascii="GHEA Grapalat" w:hAnsi="GHEA Grapalat" w:cs="GHEA Grapalat"/>
          <w:iCs/>
          <w:sz w:val="22"/>
          <w:szCs w:val="22"/>
        </w:rPr>
        <w:t>ել:</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lang w:val="en-US"/>
        </w:rPr>
      </w:pPr>
      <w:r w:rsidRPr="001F63BA">
        <w:rPr>
          <w:rFonts w:ascii="GHEA Grapalat" w:hAnsi="GHEA Grapalat" w:cs="GHEA Grapalat"/>
          <w:iCs/>
          <w:sz w:val="22"/>
          <w:szCs w:val="22"/>
        </w:rPr>
        <w:t>Առողջության առաջնային պահպանման ծրագրի ամբուլատոր-պոլիկլինիկական բժշկական օգնության ծառայությունների միջոցառման շրջանակներում իրականացվել է տեղամասային թերապևտի, տեղամասային մանկաբույժի, ընտանեկան բժշկի, բուժակ-մանկաբարձական կետերի քույրերի, դպրոցների աշակերտներին սպասարկող քույրերի, հղիների, նախածննդյան և հետծննդյան հսկողություն իրականացնող մանկաբարձ-գինեկոլոգների, դիսպանսերային և նեղ մասնագետների կողմից բժշկական օգնություն և սպասարկում (ներառյալ՝ լաբորատոր-գործիքային ախտորոշիչ հետազոտությունները) հանրապետության ազգաբնակչությանը, Կառավարության համապատասխան որոշումներով հաստատված բնակչության խմբերին անվճար և արտոնյալ պայմաններով տրամադրվել է դեղորայք: Զորակոչային և նախազորակոչային տարիքի անձանց փորձաքննության և բժշկական օգնության ծառայությունների մասով ապահովվել է կենտրոնական բժշկական հանձնաժողովի 11 բժիշկ-փորձագետների, զինկոմիսարիատներին կից բժշկական հանձնաժողովներում ընդգրկված 217 բժիշկ-փորձագետների և բուժքույրերի աշխատավարձերի վճարում, ինչպես նաև նշված տարիքի անձանց փորձաքննության նպատակով հիվանդանոցային բուժհաստատություններ ուղեգրման ճանապարհածախսի փոխհատուցում: Հիվանդանոցային պայմաններում բնակչությանը մատուցվել են արտահիվանդանոցային բժշկական օգնության ծառայություններ: Միջոցառման շրջանակներում բնակչությանը մատուցվել են կոլոռեկտալ քաղցկեղի, արգանդի քաղցկեղի սքրինինգների, սպորտային բժշկության, պալիատիվ բուժօգնության ծառայություններ:</w:t>
      </w:r>
      <w:r w:rsidRPr="001F63BA">
        <w:rPr>
          <w:rFonts w:ascii="GHEA Grapalat" w:hAnsi="GHEA Grapalat" w:cs="GHEA Grapalat"/>
          <w:iCs/>
          <w:sz w:val="22"/>
          <w:szCs w:val="22"/>
          <w:lang w:val="en-US"/>
        </w:rPr>
        <w:t xml:space="preserve"> </w:t>
      </w:r>
      <w:r w:rsidRPr="001F63BA">
        <w:rPr>
          <w:rFonts w:ascii="GHEA Grapalat" w:hAnsi="GHEA Grapalat" w:cs="GHEA Grapalat"/>
          <w:iCs/>
          <w:sz w:val="22"/>
          <w:szCs w:val="22"/>
        </w:rPr>
        <w:t xml:space="preserve">Միջոցառման շրջանակներում </w:t>
      </w:r>
      <w:r w:rsidRPr="001F63BA">
        <w:rPr>
          <w:rFonts w:ascii="GHEA Grapalat" w:hAnsi="GHEA Grapalat" w:cs="GHEA Grapalat"/>
          <w:iCs/>
          <w:sz w:val="22"/>
          <w:szCs w:val="22"/>
          <w:lang w:val="en-US"/>
        </w:rPr>
        <w:t>մատուցվող ծառայությունների գծով փ</w:t>
      </w:r>
      <w:r w:rsidRPr="001F63BA">
        <w:rPr>
          <w:rFonts w:ascii="GHEA Grapalat" w:hAnsi="GHEA Grapalat" w:cs="GHEA Grapalat"/>
          <w:iCs/>
          <w:sz w:val="22"/>
          <w:szCs w:val="22"/>
        </w:rPr>
        <w:t>աստացի արդյունքային ցուցանիշների գերազանցումը կանխատեսվածների նկատմամբ պայմանավորված է էլեկտրոնային առողջապահության միասնական համակարգում փաստացի հավաքագրված բնակչության թվաքանակով և հղիների նախածննդյան հսկողության բարելավման շրջանակներում բարձր ռիսկի հղիների</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ըստ ցուցումների</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լրացուցիչ լաբորատոր հետազոտությունների իրականացմամբ: </w:t>
      </w:r>
      <w:r w:rsidRPr="001F63BA">
        <w:rPr>
          <w:rFonts w:ascii="GHEA Grapalat" w:hAnsi="GHEA Grapalat" w:cs="GHEA Grapalat"/>
          <w:iCs/>
          <w:sz w:val="22"/>
          <w:szCs w:val="22"/>
          <w:lang w:val="en-US"/>
        </w:rPr>
        <w:t>2022 թվականին ա</w:t>
      </w:r>
      <w:r w:rsidRPr="001F63BA">
        <w:rPr>
          <w:rFonts w:ascii="GHEA Grapalat" w:hAnsi="GHEA Grapalat" w:cs="GHEA Grapalat"/>
          <w:iCs/>
          <w:sz w:val="22"/>
          <w:szCs w:val="22"/>
        </w:rPr>
        <w:t xml:space="preserve">մբուլատոր-պոլիկլինիկական բժշկական օգնության </w:t>
      </w:r>
      <w:r w:rsidRPr="001F63BA">
        <w:rPr>
          <w:rFonts w:ascii="GHEA Grapalat" w:hAnsi="GHEA Grapalat" w:cs="GHEA Grapalat"/>
          <w:iCs/>
          <w:sz w:val="22"/>
          <w:szCs w:val="22"/>
        </w:rPr>
        <w:lastRenderedPageBreak/>
        <w:t>ծառայությունների գծով ծախսերը կազմել են 27.8 մլրդ դրամ կամ նախատեսվածի 99.9%-ը: Նախորդ տարվա համեմատ տվյալ ծախսերը գրեթե չեն փո</w:t>
      </w:r>
      <w:r w:rsidRPr="001F63BA">
        <w:rPr>
          <w:rFonts w:ascii="GHEA Grapalat" w:hAnsi="GHEA Grapalat" w:cs="GHEA Grapalat"/>
          <w:iCs/>
          <w:sz w:val="22"/>
          <w:szCs w:val="22"/>
          <w:lang w:val="en-US"/>
        </w:rPr>
        <w:t>փոխ</w:t>
      </w:r>
      <w:r w:rsidRPr="001F63BA">
        <w:rPr>
          <w:rFonts w:ascii="GHEA Grapalat" w:hAnsi="GHEA Grapalat" w:cs="GHEA Grapalat"/>
          <w:iCs/>
          <w:sz w:val="22"/>
          <w:szCs w:val="22"/>
        </w:rPr>
        <w:t>վել:</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Հաշվետու տարում </w:t>
      </w:r>
      <w:r w:rsidRPr="001F63BA">
        <w:rPr>
          <w:rFonts w:ascii="GHEA Grapalat" w:hAnsi="GHEA Grapalat" w:cs="GHEA Grapalat"/>
          <w:i/>
          <w:iCs/>
          <w:sz w:val="22"/>
          <w:szCs w:val="22"/>
        </w:rPr>
        <w:t>Մոր և մանկան առողջության պահպանման</w:t>
      </w:r>
      <w:r w:rsidRPr="001F63BA">
        <w:rPr>
          <w:rFonts w:ascii="GHEA Grapalat" w:hAnsi="GHEA Grapalat" w:cs="GHEA Grapalat"/>
          <w:iCs/>
          <w:sz w:val="22"/>
          <w:szCs w:val="22"/>
        </w:rPr>
        <w:t xml:space="preserve"> ծրագրի շրջանակներում օգտագործվել է շուրջ 19.8 մլրդ դրամ` ապահովելով 99.8% կատարողական: Նախորդ տարվա համեմատ ծրագրի ծախսերն աճել են 2.7%-ով կամ 510.5 մլն դրամով՝ հիմնականում պայմանավորված երեխաներին բժշկական օգնության ծառայությունների գծով ծախսերի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lang w:val="en-US"/>
        </w:rPr>
      </w:pPr>
      <w:r w:rsidRPr="001F63BA">
        <w:rPr>
          <w:rFonts w:ascii="GHEA Grapalat" w:hAnsi="GHEA Grapalat" w:cs="GHEA Grapalat"/>
          <w:iCs/>
          <w:sz w:val="22"/>
          <w:szCs w:val="22"/>
        </w:rPr>
        <w:t>Մանկաբարձական բժշկական օգնության ծառայությունների ձեռքբերման միջոցառման նպատակն է ծննդաբերության, նա</w:t>
      </w:r>
      <w:r w:rsidRPr="001F63BA">
        <w:rPr>
          <w:rFonts w:ascii="GHEA Grapalat" w:hAnsi="GHEA Grapalat" w:cs="GHEA Grapalat"/>
          <w:iCs/>
          <w:sz w:val="22"/>
          <w:szCs w:val="22"/>
        </w:rPr>
        <w:softHyphen/>
        <w:t>խածննդյան և հետծննդյան բարդու</w:t>
      </w:r>
      <w:r w:rsidRPr="001F63BA">
        <w:rPr>
          <w:rFonts w:ascii="GHEA Grapalat" w:hAnsi="GHEA Grapalat" w:cs="GHEA Grapalat"/>
          <w:iCs/>
          <w:sz w:val="22"/>
          <w:szCs w:val="22"/>
        </w:rPr>
        <w:softHyphen/>
        <w:t>թյուն</w:t>
      </w:r>
      <w:r w:rsidRPr="001F63BA">
        <w:rPr>
          <w:rFonts w:ascii="GHEA Grapalat" w:hAnsi="GHEA Grapalat" w:cs="GHEA Grapalat"/>
          <w:iCs/>
          <w:sz w:val="22"/>
          <w:szCs w:val="22"/>
        </w:rPr>
        <w:softHyphen/>
        <w:t>նե</w:t>
      </w:r>
      <w:r w:rsidRPr="001F63BA">
        <w:rPr>
          <w:rFonts w:ascii="GHEA Grapalat" w:hAnsi="GHEA Grapalat" w:cs="GHEA Grapalat"/>
          <w:iCs/>
          <w:sz w:val="22"/>
          <w:szCs w:val="22"/>
        </w:rPr>
        <w:softHyphen/>
        <w:t>րի դեպքերում բուժօգնության տրամադրումը: Միջոցառման շրջանակներում 2022 թվականին մանկաբարձական բժշկական օգնության ծառայություններից օգտվելու դեպքերի թիվը կազմել է 50373՝ կանխատեսված 51300-ի և 2021 թվականի 51631-ի դիմաց: 2022 թվականին ծնունդների թիվը կազմել է 35398՝ կանխատեսված 35500-ի և 2021 թվականի 36114-ի դիմաց</w:t>
      </w:r>
      <w:r w:rsidRPr="001F63BA">
        <w:rPr>
          <w:rFonts w:ascii="GHEA Grapalat" w:hAnsi="GHEA Grapalat" w:cs="GHEA Grapalat"/>
          <w:iCs/>
          <w:sz w:val="22"/>
          <w:szCs w:val="22"/>
          <w:lang w:val="en-US"/>
        </w:rPr>
        <w:t xml:space="preserve">: </w:t>
      </w:r>
      <w:r w:rsidRPr="001F63BA">
        <w:rPr>
          <w:rFonts w:ascii="GHEA Grapalat" w:hAnsi="GHEA Grapalat" w:cs="GHEA Grapalat"/>
          <w:iCs/>
          <w:sz w:val="22"/>
          <w:szCs w:val="22"/>
        </w:rPr>
        <w:t>Հաշվետու տարում մանկաբարձական բժշկական օգնության ծառայությունների ձեռքբերմանը հատկացվել է շուրջ 6.8</w:t>
      </w:r>
      <w:r w:rsidRPr="001F63BA">
        <w:rPr>
          <w:rFonts w:ascii="Courier New" w:hAnsi="Courier New" w:cs="Courier New"/>
          <w:iCs/>
          <w:sz w:val="22"/>
          <w:szCs w:val="22"/>
          <w:lang w:val="en-US"/>
        </w:rPr>
        <w:t> </w:t>
      </w:r>
      <w:r w:rsidRPr="001F63BA">
        <w:rPr>
          <w:rFonts w:ascii="GHEA Grapalat" w:hAnsi="GHEA Grapalat" w:cs="GHEA Grapalat"/>
          <w:iCs/>
          <w:sz w:val="22"/>
          <w:szCs w:val="22"/>
        </w:rPr>
        <w:t xml:space="preserve">մլրդ դրամ կամ նախատեսվածի 99.8%-ը: Նախորդ տարվա համեմատ նշված ծախսերը նվազել են 2.5%-ով </w:t>
      </w:r>
      <w:r w:rsidRPr="001F63BA">
        <w:rPr>
          <w:rFonts w:ascii="GHEA Grapalat" w:hAnsi="GHEA Grapalat" w:cs="GHEA Grapalat"/>
          <w:iCs/>
          <w:sz w:val="22"/>
          <w:szCs w:val="22"/>
          <w:lang w:val="en-US"/>
        </w:rPr>
        <w:t xml:space="preserve">կամ </w:t>
      </w:r>
      <w:r w:rsidRPr="001F63BA">
        <w:rPr>
          <w:rFonts w:ascii="GHEA Grapalat" w:hAnsi="GHEA Grapalat" w:cs="GHEA Grapalat"/>
          <w:iCs/>
          <w:sz w:val="22"/>
          <w:szCs w:val="22"/>
        </w:rPr>
        <w:t>170.5 մլն դրամով</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պայմանավորված ծնունդների թվի նվազմամբ: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Երեխաներին բժշկական օգնության ծառայությունների նպատակն է եղել մինչև 18 տարեկան երեխաների հիվանդանոցային բժշկական օգնության հիմնական և նորագույն թանկարժեք տեխնոլոգիաների կիրառմամբ ծառայությունների մատուցումը, հիվանդանոցային պայմաններում ախտորոշման ճշտումը: Պետության կողմից երաշխավորված անվճար բուժօգնության և սպասարկման շրջանակներում 2022 թվականին բուժօգնություն է ստացել 90122 հիվանդ` կանխատեսված 90594-ի և 2021 թվականի 89889-ի դիմաց: Փաստացի արդյունքային ցուցանիշների շեղումը կանխատեսվածի նկատմամբ հիմնականում պայմանավորված է հիվանդների ցածր դիմելիությամբ, իսկ նախորդ տարվա նկատմամբ գերազանցումը պայմանավորված է ցածր ծախսատարությամբ դեպքերի թվի աճով: 2022 թվականին ցերեկային ստացիոնար և կարճաժամկետ կամ փոքր ծավալի բուժօգնության դեպքերի թիվը կազմել է 9202` կանխատեսված 9054-ի դիմաց և 2021 թվականի 8079-ի դիմաց՝ պայմանավորված սուր շնչառական դեպքերի թվի աճով: Միջոցառման շրջանակներում մինչև 18 տարեկան երեխաներին տրամադրվել է հիվանդանոցային բուժօգնություն՝ անկախ երեխայի հիվանդության ախտորոշումից և սոցիալական կարգավիճակից: Հաշվետու տարվա ընթացքում երեխաներին բժշկական օգնության ծառայությունների ձեռքբերմանն ուղղվել է շուրջ 11.7 մլրդ դրամ կամ նախատեսվածի 99.8%-ը: Նախորդ տարվա համեմատ նշված ծախսերն աճել են 5.5%-ով կամ 604.7 մլն դրամով՝ հիմնականում պայմանավորված հիվանդների դիմելիության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lastRenderedPageBreak/>
        <w:t xml:space="preserve">Հաշվետու տարում </w:t>
      </w:r>
      <w:r w:rsidRPr="001F63BA">
        <w:rPr>
          <w:rFonts w:ascii="GHEA Grapalat" w:hAnsi="GHEA Grapalat" w:cs="GHEA Grapalat"/>
          <w:i/>
          <w:iCs/>
          <w:sz w:val="22"/>
          <w:szCs w:val="22"/>
        </w:rPr>
        <w:t>Ոչ վարակիչ հիվանդությունների բժշկական օգնության ապահովման</w:t>
      </w:r>
      <w:r w:rsidRPr="001F63BA">
        <w:rPr>
          <w:rFonts w:ascii="GHEA Grapalat" w:hAnsi="GHEA Grapalat" w:cs="GHEA Grapalat"/>
          <w:iCs/>
          <w:sz w:val="22"/>
          <w:szCs w:val="22"/>
        </w:rPr>
        <w:t xml:space="preserve"> ծրագրի շրջանակներում օգտագործվել է շուրջ 19 մլրդ դրամ` կազմելով նախատեսվածի 99.6%-ը: Ծրագրում ընդգրկված են հինգ միջոցառումներ: Ծրագրի </w:t>
      </w:r>
      <w:r w:rsidRPr="001F63BA">
        <w:rPr>
          <w:rFonts w:ascii="GHEA Grapalat" w:hAnsi="GHEA Grapalat" w:cs="GHEA Grapalat"/>
          <w:iCs/>
          <w:sz w:val="22"/>
          <w:szCs w:val="22"/>
          <w:lang w:val="en-US"/>
        </w:rPr>
        <w:t>նպատակն</w:t>
      </w:r>
      <w:r w:rsidRPr="001F63BA">
        <w:rPr>
          <w:rFonts w:ascii="GHEA Grapalat" w:hAnsi="GHEA Grapalat" w:cs="GHEA Grapalat"/>
          <w:iCs/>
          <w:sz w:val="22"/>
          <w:szCs w:val="22"/>
        </w:rPr>
        <w:t xml:space="preserve"> է սիրտ-անոթային և նյարդային համակարգերի, աչքի հիվանդությունների, նյարդային խանգարումների, չարորակ նորագոյացությունների, թունավորումների, վնասվածքների, պարբերական հիվանդությունների վաղ կանխարգելում</w:t>
      </w:r>
      <w:r w:rsidRPr="001F63BA">
        <w:rPr>
          <w:rFonts w:ascii="GHEA Grapalat" w:hAnsi="GHEA Grapalat" w:cs="GHEA Grapalat"/>
          <w:iCs/>
          <w:sz w:val="22"/>
          <w:szCs w:val="22"/>
          <w:lang w:val="en-US"/>
        </w:rPr>
        <w:t>ը</w:t>
      </w:r>
      <w:r w:rsidRPr="001F63BA">
        <w:rPr>
          <w:rFonts w:ascii="GHEA Grapalat" w:hAnsi="GHEA Grapalat" w:cs="GHEA Grapalat"/>
          <w:iCs/>
          <w:sz w:val="22"/>
          <w:szCs w:val="22"/>
        </w:rPr>
        <w:t xml:space="preserve"> և արդյունավետ բուժում</w:t>
      </w:r>
      <w:r w:rsidRPr="001F63BA">
        <w:rPr>
          <w:rFonts w:ascii="GHEA Grapalat" w:hAnsi="GHEA Grapalat" w:cs="GHEA Grapalat"/>
          <w:iCs/>
          <w:sz w:val="22"/>
          <w:szCs w:val="22"/>
          <w:lang w:val="en-US"/>
        </w:rPr>
        <w:t>ը</w:t>
      </w:r>
      <w:r w:rsidRPr="001F63BA">
        <w:rPr>
          <w:rFonts w:ascii="GHEA Grapalat" w:hAnsi="GHEA Grapalat" w:cs="GHEA Grapalat"/>
          <w:iCs/>
          <w:sz w:val="22"/>
          <w:szCs w:val="22"/>
        </w:rPr>
        <w:t>: Նախորդ տարվա համեմատ ոչ վարակիչ հիվանդությունների բժշկական օգնության ապահովման ծրագրի ծախսերն աճել են 9.4%</w:t>
      </w:r>
      <w:r w:rsidRPr="001F63BA">
        <w:rPr>
          <w:rFonts w:ascii="GHEA Grapalat" w:hAnsi="GHEA Grapalat" w:cs="GHEA Grapalat"/>
          <w:iCs/>
          <w:sz w:val="22"/>
          <w:szCs w:val="22"/>
        </w:rPr>
        <w:noBreakHyphen/>
        <w:t>ով կամ 1.6</w:t>
      </w:r>
      <w:r w:rsidRPr="001F63BA">
        <w:rPr>
          <w:rFonts w:ascii="Courier New" w:hAnsi="Courier New" w:cs="Courier New"/>
          <w:iCs/>
          <w:sz w:val="22"/>
          <w:szCs w:val="22"/>
          <w:lang w:val="en-US"/>
        </w:rPr>
        <w:t> </w:t>
      </w:r>
      <w:r w:rsidRPr="001F63BA">
        <w:rPr>
          <w:rFonts w:ascii="GHEA Grapalat" w:hAnsi="GHEA Grapalat" w:cs="GHEA Grapalat"/>
          <w:iCs/>
          <w:sz w:val="22"/>
          <w:szCs w:val="22"/>
        </w:rPr>
        <w:t>մլրդ դրամով՝ հիմնականում պայմանավորված ուռուցքաբանական և արյունաբանական հիվանդությունների բժշկական օգնության, հեմոդիալիզի և պերիտոնիալ դիալիզի անցկացման և անհետաձգելի բժշկական օգնության ծառայությունների ծախսերի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Հեմոդիալիզի և պերիտոնիալ դիալիզի անցկացման ծառայություններին հատկացված միջոցներով պետության կողմից երաշխավորված անվճար հիվանդանոցային բժշկական օգնության և սպասարկման շրջանակներում 2022 թվականին իրականացվել է 161732 սեանս` կանխատեսված 162500-ի և 2021 թվականի 151196-ի դիմաց: Փաստացի արդյունքային ցուցանիշների նվազում կանխատեսվածի և նախորդ տարվա նկատմամբ գերազանցումը պայմանավորված է շահառուների դիմելիությամբ: Հեմոդիալիզի և պերիտոնիալ դիալիզի անցկացման ծառայությունների ծախսերը կազմել են շուրջ 3.6 մլրդ դրամ` ապահովելով ծրագրի 99.5% կատարողական: Նախորդ տարվա համեմատ նշված ծախսերն աճել են 16.2%-ով կամ 495.8 մլն դրամով, պայմանավորված է հեմոդիալիզի սեանսի գնի և հիվանդների քանակի աճով: Միջոցառումն իրականացվում է չսահմանափակվող բյուջեի սկզբունքով: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Անհետաձգելի բժշկական օգնության միջոցառման շրջանակներում մատուցվել են անհետաձգելի բժշկական օգնության, ինչպես նաև գլխու</w:t>
      </w:r>
      <w:r w:rsidRPr="001F63BA">
        <w:rPr>
          <w:rFonts w:ascii="GHEA Grapalat" w:hAnsi="GHEA Grapalat" w:cs="GHEA Grapalat"/>
          <w:iCs/>
          <w:sz w:val="22"/>
          <w:szCs w:val="22"/>
        </w:rPr>
        <w:softHyphen/>
        <w:t>ղեղի սուր և ենթասուր իշեմիկ կաթվածների թրոմբոլիտիկ բուժման և մեխանիկական թրոմ</w:t>
      </w:r>
      <w:r w:rsidRPr="001F63BA">
        <w:rPr>
          <w:rFonts w:ascii="GHEA Grapalat" w:hAnsi="GHEA Grapalat" w:cs="GHEA Grapalat"/>
          <w:iCs/>
          <w:sz w:val="22"/>
          <w:szCs w:val="22"/>
        </w:rPr>
        <w:softHyphen/>
        <w:t>բէկտոմիա ծառայություններ: 2022 թվականին պետության կողմից երաշխավորված անվճար հիվանդանոցային բժշկական օգնության և սպասարկման շրջանակներում անհետաձգելի բուժօգնությ</w:t>
      </w:r>
      <w:r w:rsidRPr="001F63BA">
        <w:rPr>
          <w:rFonts w:ascii="GHEA Grapalat" w:hAnsi="GHEA Grapalat" w:cs="GHEA Grapalat"/>
          <w:iCs/>
          <w:sz w:val="22"/>
          <w:szCs w:val="22"/>
          <w:lang w:val="en-US"/>
        </w:rPr>
        <w:t>ան դեպքերի քանակը կազմել է</w:t>
      </w:r>
      <w:r w:rsidRPr="001F63BA">
        <w:rPr>
          <w:rFonts w:ascii="GHEA Grapalat" w:hAnsi="GHEA Grapalat" w:cs="GHEA Grapalat"/>
          <w:iCs/>
          <w:sz w:val="22"/>
          <w:szCs w:val="22"/>
        </w:rPr>
        <w:t xml:space="preserve"> 28025՝ կանխատեսված 28367-ի և 2021 թվականի 27414-ի դիմաց: Փաստացի արդյունքային ցուցանիշի շեղումը կանխատեսվածի նկատմամբ պայմանավորված է դիմելիությամբ, իսկ նախորդ տարվա նկատմամբ գերազանցումը՝ մատուցվող բուժօգնության՝ միջինից ցածր գին ունեցող ծառայությունների տեսակարար կշռի աճով:</w:t>
      </w:r>
      <w:r w:rsidRPr="001F63BA">
        <w:rPr>
          <w:rFonts w:ascii="GHEA Grapalat" w:hAnsi="GHEA Grapalat" w:cs="GHEA Grapalat"/>
          <w:iCs/>
          <w:sz w:val="22"/>
          <w:szCs w:val="22"/>
          <w:lang w:val="en-US"/>
        </w:rPr>
        <w:t xml:space="preserve"> Միջոցառումն իրականացվում է</w:t>
      </w:r>
      <w:r w:rsidRPr="001F63BA">
        <w:rPr>
          <w:rFonts w:ascii="GHEA Grapalat" w:hAnsi="GHEA Grapalat" w:cs="GHEA Grapalat"/>
          <w:iCs/>
          <w:sz w:val="22"/>
          <w:szCs w:val="22"/>
        </w:rPr>
        <w:t xml:space="preserve"> </w:t>
      </w:r>
      <w:r w:rsidRPr="001F63BA">
        <w:rPr>
          <w:rFonts w:ascii="GHEA Grapalat" w:hAnsi="GHEA Grapalat" w:cs="GHEA Grapalat"/>
          <w:iCs/>
          <w:sz w:val="22"/>
          <w:szCs w:val="22"/>
          <w:lang w:val="en-US"/>
        </w:rPr>
        <w:t>հ</w:t>
      </w:r>
      <w:r w:rsidRPr="001F63BA">
        <w:rPr>
          <w:rFonts w:ascii="GHEA Grapalat" w:hAnsi="GHEA Grapalat" w:cs="GHEA Grapalat"/>
          <w:iCs/>
          <w:sz w:val="22"/>
          <w:szCs w:val="22"/>
        </w:rPr>
        <w:t>ամաձայն ՀՀ ԱՆ կողմից սահմանված անհետաձգելի վիճակների և հիվանդությունների ցանկի</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գործում է համավճարի սկզբունքով փոխհատուցման մեխանիզմը: Անհետաձգելի բժշկական օգնության ծախսերը կազմել են ավելի քան 3.5 մլրդ դրամ կամ ծրագրված ցուցանիշի 99.6%-ը: Նախորդ տարվա համեմատ նշված </w:t>
      </w:r>
      <w:r w:rsidRPr="001F63BA">
        <w:rPr>
          <w:rFonts w:ascii="GHEA Grapalat" w:hAnsi="GHEA Grapalat" w:cs="GHEA Grapalat"/>
          <w:iCs/>
          <w:sz w:val="22"/>
          <w:szCs w:val="22"/>
        </w:rPr>
        <w:lastRenderedPageBreak/>
        <w:t>ծախսերն աճել են 12.6%-ով կամ 444.7 մլն դրամով՝ հիմնականում պայմանավորված հիվանդների թվի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Հոգեկան և նարկոլոգիական հիվանդների բժշկական օգնության ծառայությունների շրջանակներում իրականացվում է քրոնիկ հոգեկան հիվանդ</w:t>
      </w:r>
      <w:r w:rsidRPr="001F63BA">
        <w:rPr>
          <w:rFonts w:ascii="GHEA Grapalat" w:hAnsi="GHEA Grapalat" w:cs="GHEA Grapalat"/>
          <w:iCs/>
          <w:sz w:val="22"/>
          <w:szCs w:val="22"/>
        </w:rPr>
        <w:softHyphen/>
        <w:t>ների խնամք, հիվանդների փորձաքննություն, հարկադիր և սուր վիճակների բուժում և նարկո</w:t>
      </w:r>
      <w:r w:rsidRPr="001F63BA">
        <w:rPr>
          <w:rFonts w:ascii="GHEA Grapalat" w:hAnsi="GHEA Grapalat" w:cs="GHEA Grapalat"/>
          <w:iCs/>
          <w:sz w:val="22"/>
          <w:szCs w:val="22"/>
        </w:rPr>
        <w:softHyphen/>
        <w:t>լո</w:t>
      </w:r>
      <w:r w:rsidRPr="001F63BA">
        <w:rPr>
          <w:rFonts w:ascii="GHEA Grapalat" w:hAnsi="GHEA Grapalat" w:cs="GHEA Grapalat"/>
          <w:iCs/>
          <w:sz w:val="22"/>
          <w:szCs w:val="22"/>
        </w:rPr>
        <w:softHyphen/>
        <w:t>գիա</w:t>
      </w:r>
      <w:r w:rsidRPr="001F63BA">
        <w:rPr>
          <w:rFonts w:ascii="GHEA Grapalat" w:hAnsi="GHEA Grapalat" w:cs="GHEA Grapalat"/>
          <w:iCs/>
          <w:sz w:val="22"/>
          <w:szCs w:val="22"/>
        </w:rPr>
        <w:softHyphen/>
        <w:t>կան դիսպանսերներում թմրամոլությամբ, թունամոլությամբ, ալկոհոլամոլությամբ տառա</w:t>
      </w:r>
      <w:r w:rsidRPr="001F63BA">
        <w:rPr>
          <w:rFonts w:ascii="GHEA Grapalat" w:hAnsi="GHEA Grapalat" w:cs="GHEA Grapalat"/>
          <w:iCs/>
          <w:sz w:val="22"/>
          <w:szCs w:val="22"/>
        </w:rPr>
        <w:softHyphen/>
        <w:t>պող անձանց հիվանդանոցային բուժում: Միջոցառման շրջանակներում 2022 թվականին բուժօգնություն է ստացել 8253 հիվանդ` կանխատեսված 8300-ի և 2021 թվականի 7594-ի դիմաց: Հոգեկան և նարկոլոգիական հիվանդների բժշկական օգնության ծառայություններին հաշվետու տարում տրամադրվել է ավելի քան 2.9 մլրդ դրամ` կազմելով նախատեսվածի 99.3%</w:t>
      </w:r>
      <w:r w:rsidRPr="001F63BA">
        <w:rPr>
          <w:rFonts w:ascii="GHEA Grapalat" w:hAnsi="GHEA Grapalat" w:cs="GHEA Grapalat"/>
          <w:iCs/>
          <w:sz w:val="22"/>
          <w:szCs w:val="22"/>
        </w:rPr>
        <w:noBreakHyphen/>
        <w:t>ը: Նախորդ տարվա համեմատ նշված ծախսերը նվազել են 13.1%-ով կամ 438.5 մլն դրամով՝ պայմանավորված պահպանման ծախսերի նվազմամբ: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Ուռուցքաբանական և արյունաբանական հիվանդությունների բժշկական օգնության ծառայությունների շրջանակներում իրականացվել է չարորակ նորագոյացու</w:t>
      </w:r>
      <w:r w:rsidRPr="001F63BA">
        <w:rPr>
          <w:rFonts w:ascii="GHEA Grapalat" w:hAnsi="GHEA Grapalat" w:cs="GHEA Grapalat"/>
          <w:iCs/>
          <w:sz w:val="22"/>
          <w:szCs w:val="22"/>
        </w:rPr>
        <w:softHyphen/>
        <w:t>թյուն</w:t>
      </w:r>
      <w:r w:rsidRPr="001F63BA">
        <w:rPr>
          <w:rFonts w:ascii="GHEA Grapalat" w:hAnsi="GHEA Grapalat" w:cs="GHEA Grapalat"/>
          <w:iCs/>
          <w:sz w:val="22"/>
          <w:szCs w:val="22"/>
        </w:rPr>
        <w:softHyphen/>
        <w:t>ների համալիր, վիրահատական և ճառաqայթային բուժում, չարորակ հիվանդությունների ճառա</w:t>
      </w:r>
      <w:r w:rsidRPr="001F63BA">
        <w:rPr>
          <w:rFonts w:ascii="GHEA Grapalat" w:hAnsi="GHEA Grapalat" w:cs="GHEA Grapalat"/>
          <w:iCs/>
          <w:sz w:val="22"/>
          <w:szCs w:val="22"/>
        </w:rPr>
        <w:softHyphen/>
        <w:t>qայ</w:t>
      </w:r>
      <w:r w:rsidRPr="001F63BA">
        <w:rPr>
          <w:rFonts w:ascii="GHEA Grapalat" w:hAnsi="GHEA Grapalat" w:cs="GHEA Grapalat"/>
          <w:iCs/>
          <w:sz w:val="22"/>
          <w:szCs w:val="22"/>
        </w:rPr>
        <w:softHyphen/>
        <w:t>թային բուժում ցերեկային ստացիոնար պայմաններում, ինչպես նաև քիմիաթերապևտիկ և սիմպտոմատիկ բուժում: Պետության կողմից երաշխավորված անվճար հիվանդանոցային բժշկական օգնության և սպասարկման շրջանակներում 2022 թվականին բուժօգնություն է ստացել 37193 հիվանդ՝ կանխատեսված 37800-ի և 2021 թվականի 36409-ի դիմաց: Հաշվետու տարում վիրաբուժական միջամտությունների թիվը կազմել է 8386՝ կանխատեսված 8500-ի և 2021 թվականի 7457-ի դիմաց: Փաստացի արդյունքային ցուցանիշների կատարողականը պայմանավորված է դիմելիությամբ: Ուռուցքաբանական և արյունաբանական հիվանդությունների բժշկական օգնության ծառայությունների ծախսերը կատարվել են 99.6%-ով` կազմելով շուրջ 6.8 մլրդ դրամ: Նախորդ տարվա համեմատ</w:t>
      </w:r>
      <w:r w:rsidRPr="001F63BA">
        <w:rPr>
          <w:rFonts w:ascii="GHEA Grapalat" w:hAnsi="GHEA Grapalat" w:cs="GHEA Grapalat"/>
          <w:iCs/>
          <w:sz w:val="22"/>
          <w:szCs w:val="22"/>
          <w:lang w:val="en-US"/>
        </w:rPr>
        <w:t xml:space="preserve"> նշված</w:t>
      </w:r>
      <w:r w:rsidRPr="001F63BA">
        <w:rPr>
          <w:rFonts w:ascii="GHEA Grapalat" w:hAnsi="GHEA Grapalat" w:cs="GHEA Grapalat"/>
          <w:iCs/>
          <w:sz w:val="22"/>
          <w:szCs w:val="22"/>
        </w:rPr>
        <w:t xml:space="preserve"> ծախսերն աճել են 17%-ով կամ 981 մլն դրամով՝ հիմնականում պայմանավորված ուռուցքաբանական և արյունաբանական հիվանդությունների բժշկական օգնության գծով ծառայություններից օգտվելու դեպքերի թվի աճով, ինչպես նաև բուժօգնության՝ միջինից բարձր գին ունեցող ծառայությունների քանակի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Հաշվետու տարում 35.6 մլրդ դրամ է օգտագործվել </w:t>
      </w:r>
      <w:r w:rsidRPr="001F63BA">
        <w:rPr>
          <w:rFonts w:ascii="GHEA Grapalat" w:hAnsi="GHEA Grapalat" w:cs="GHEA Grapalat"/>
          <w:i/>
          <w:iCs/>
          <w:sz w:val="22"/>
          <w:szCs w:val="22"/>
        </w:rPr>
        <w:t>Սոցիալապես անապահով և առանձին խմբերի անձանց բժշկական օգնության</w:t>
      </w:r>
      <w:r w:rsidRPr="001F63BA">
        <w:rPr>
          <w:rFonts w:ascii="GHEA Grapalat" w:hAnsi="GHEA Grapalat" w:cs="GHEA Grapalat"/>
          <w:iCs/>
          <w:sz w:val="22"/>
          <w:szCs w:val="22"/>
        </w:rPr>
        <w:t xml:space="preserve"> ծրագրի շրջանակներում` կազմելով ծրագրված ցուցանիշի 99.2%-ը: Ծրագրում ընդգրկված են հինգ միջոցառումներ: Նախորդ տարվա համեմատ ծրագրի ծախսերն աճել են 4.6%-ով կամ շուրջ 1.6 մլրդ դրամով՝ հիմնականում պայմանավորված «Սոցիալապես անապահով և հատուկ խմբերում ընդգրկվածներին բժշկական օգնության ծառայություններ» միջոցառման շրջանակում կատարված ծախսերի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lastRenderedPageBreak/>
        <w:t>Սոցիալապես անապահով և հատուկ խմբերում ընդգրկվածներին տրամադրվող բժշկական օգնության ծառայությունների շրջանակներում պետության կողմից երաշխավորված անվճար հիվանդանոցային բժշկական օգնությ</w:t>
      </w:r>
      <w:r w:rsidRPr="001F63BA">
        <w:rPr>
          <w:rFonts w:ascii="GHEA Grapalat" w:hAnsi="GHEA Grapalat" w:cs="GHEA Grapalat"/>
          <w:iCs/>
          <w:sz w:val="22"/>
          <w:szCs w:val="22"/>
          <w:lang w:val="en-US"/>
        </w:rPr>
        <w:t>ան դեպքերի թիվը կազմել է</w:t>
      </w:r>
      <w:r w:rsidRPr="001F63BA">
        <w:rPr>
          <w:rFonts w:ascii="GHEA Grapalat" w:hAnsi="GHEA Grapalat" w:cs="GHEA Grapalat"/>
          <w:iCs/>
          <w:sz w:val="22"/>
          <w:szCs w:val="22"/>
        </w:rPr>
        <w:t xml:space="preserve"> 232447` կանխատեսված 235000</w:t>
      </w:r>
      <w:r w:rsidRPr="001F63BA">
        <w:rPr>
          <w:rFonts w:ascii="GHEA Grapalat" w:hAnsi="GHEA Grapalat" w:cs="GHEA Grapalat"/>
          <w:iCs/>
          <w:sz w:val="22"/>
          <w:szCs w:val="22"/>
          <w:lang w:val="en-US"/>
        </w:rPr>
        <w:noBreakHyphen/>
      </w:r>
      <w:r w:rsidRPr="001F63BA">
        <w:rPr>
          <w:rFonts w:ascii="GHEA Grapalat" w:hAnsi="GHEA Grapalat" w:cs="GHEA Grapalat"/>
          <w:iCs/>
          <w:sz w:val="22"/>
          <w:szCs w:val="22"/>
        </w:rPr>
        <w:t>ի և 2021 թվականի 259873-ի դիմաց: Կանխատեսված և նախորդ տարվա համեմատ դեպքերի ցածր ցուցանիշը պայմանավորված է մատուցվող բուժօգնության՝ միջինից բարձ գին ունեցող ծառայությունների քանակի աճով: 2022 թվականին շուրջ 25.1 մլրդ դրամ է տրամադրվել սոցիալապես անապահով և հատուկ խմբերում ընդգրկվածներին տրամադրվող բժշկական օգնության ծառայությունների ֆինանսավորմանը` ապահովելով 99% կատարողական: Նախորդ տարվա համեմատ միջոցառման ծախսերն աճել են 7.2%-ով կամ 1.7 մլրդ դրամով՝ հիմնականում պայմանավորված միջինից բարձ գին ունեցող ծառայությունների քանակի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Զինծառայողների, ինչպես նաև փրկարար ծառայողների և նրանց ընտանիքների անդամների համար բժշկական օգնության ծառայությունների գծով պետության կողմից երաշխավորված անվճար հիվանդանոցային բժշկական օգնության և սպասարկման շրջանակներում </w:t>
      </w:r>
      <w:r w:rsidRPr="001F63BA">
        <w:rPr>
          <w:rFonts w:ascii="GHEA Grapalat" w:hAnsi="GHEA Grapalat" w:cs="GHEA Grapalat"/>
          <w:iCs/>
          <w:sz w:val="22"/>
          <w:szCs w:val="22"/>
          <w:lang w:val="en-US"/>
        </w:rPr>
        <w:t xml:space="preserve">մատուցված </w:t>
      </w:r>
      <w:r w:rsidRPr="001F63BA">
        <w:rPr>
          <w:rFonts w:ascii="GHEA Grapalat" w:hAnsi="GHEA Grapalat" w:cs="GHEA Grapalat"/>
          <w:iCs/>
          <w:sz w:val="22"/>
          <w:szCs w:val="22"/>
        </w:rPr>
        <w:t>բուժօգնությ</w:t>
      </w:r>
      <w:r w:rsidRPr="001F63BA">
        <w:rPr>
          <w:rFonts w:ascii="GHEA Grapalat" w:hAnsi="GHEA Grapalat" w:cs="GHEA Grapalat"/>
          <w:iCs/>
          <w:sz w:val="22"/>
          <w:szCs w:val="22"/>
          <w:lang w:val="en-US"/>
        </w:rPr>
        <w:t>ան դեպքերի թիվը կազմել է</w:t>
      </w:r>
      <w:r w:rsidRPr="001F63BA">
        <w:rPr>
          <w:rFonts w:ascii="GHEA Grapalat" w:hAnsi="GHEA Grapalat" w:cs="GHEA Grapalat"/>
          <w:iCs/>
          <w:sz w:val="22"/>
          <w:szCs w:val="22"/>
        </w:rPr>
        <w:t xml:space="preserve"> 54283՝ կանխատեսված 54000-ի և 2021 թվականի 57361-ի դիմաց: Փաստացի արդյունքային ցուցանիշների գերազանցումը կանխատեսվածների նկատմամբ պայմանավորված է միջինից ցածր գին ունեցող ծառայությունների քանակի հարաբերական աճով, մասնավորապես՝ դժվարամատչելի հետազոտությունների քանակի ավելացմամբ: Միջոցառումն իրականացվում է չսահմանափակվող բյուջեի սկզբունքով: Զինծառայողների, ինչպես նաև փրկարար ծառայողների և նրանց ընտանիքների անդամների համար բժշկական օգնության ծառայությունների ծախսերը կազմել են շուրջ 6 մլրդ դրամ` ապահովելով 99.8% կատարողական: 2021 թվականի համեմատ միջոցառման ծախսերը նվազել են 9.4%-ով կամ 621.6 մլ</w:t>
      </w:r>
      <w:r w:rsidRPr="001F63BA">
        <w:rPr>
          <w:rFonts w:ascii="GHEA Grapalat" w:hAnsi="GHEA Grapalat" w:cs="GHEA Grapalat"/>
          <w:iCs/>
          <w:sz w:val="22"/>
          <w:szCs w:val="22"/>
          <w:lang w:val="en-US"/>
        </w:rPr>
        <w:t>ն</w:t>
      </w:r>
      <w:r w:rsidRPr="001F63BA">
        <w:rPr>
          <w:rFonts w:ascii="GHEA Grapalat" w:hAnsi="GHEA Grapalat" w:cs="GHEA Grapalat"/>
          <w:iCs/>
          <w:sz w:val="22"/>
          <w:szCs w:val="22"/>
        </w:rPr>
        <w:t xml:space="preserve"> դրամով՝ հիմնականում պայմանավորված շահառուների թվ</w:t>
      </w:r>
      <w:r w:rsidRPr="001F63BA">
        <w:rPr>
          <w:rFonts w:ascii="GHEA Grapalat" w:hAnsi="GHEA Grapalat" w:cs="GHEA Grapalat"/>
          <w:iCs/>
          <w:sz w:val="22"/>
          <w:szCs w:val="22"/>
          <w:lang w:val="en-US"/>
        </w:rPr>
        <w:t>ի նվազմամբ</w:t>
      </w:r>
      <w:r w:rsidRPr="001F63BA">
        <w:rPr>
          <w:rFonts w:ascii="GHEA Grapalat" w:hAnsi="GHEA Grapalat" w:cs="GHEA Grapalat"/>
          <w:iCs/>
          <w:sz w:val="22"/>
          <w:szCs w:val="22"/>
        </w:rPr>
        <w:t xml:space="preserve">, ինչպես նաև միջինից ցածր գին ունեցող ծառայությունների </w:t>
      </w:r>
      <w:r w:rsidRPr="001F63BA">
        <w:rPr>
          <w:rFonts w:ascii="GHEA Grapalat" w:hAnsi="GHEA Grapalat" w:cs="GHEA Grapalat"/>
          <w:iCs/>
          <w:sz w:val="22"/>
          <w:szCs w:val="22"/>
          <w:lang w:val="en-US"/>
        </w:rPr>
        <w:t xml:space="preserve">քանակի </w:t>
      </w:r>
      <w:r w:rsidRPr="001F63BA">
        <w:rPr>
          <w:rFonts w:ascii="GHEA Grapalat" w:hAnsi="GHEA Grapalat" w:cs="GHEA Grapalat"/>
          <w:iCs/>
          <w:sz w:val="22"/>
          <w:szCs w:val="22"/>
        </w:rPr>
        <w:t>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Պետական հիմնարկների և կազմակերպությունների աշխատողների բժշկական օգնության և սպասարկման գծով պետության կողմից երաշխավորված անվճար հիվանդանոցային բժշկական օգնության և սպասարկման շրջանակներում 2022 թվականին ապահովագրական ընկերությունների կողմից հատուցվել է 30919 դեպք` կանխատեսված 27700-ի և 2021 թվականի 28866-ի դիմաց: Միաժամանակ, իրականացվել են սոցիալական փաթեթի 76030 շահառուների կանխարգելիչ քննություններ՝ կանխատեսված 64400-ի և 2021 թվականի 74111-ի դիմաց: Կանխատեսվածի համեմատ փաստացի բարձր արդյունքային ցուցանիշները պայմանավորված </w:t>
      </w:r>
      <w:r w:rsidRPr="001F63BA">
        <w:rPr>
          <w:rFonts w:ascii="GHEA Grapalat" w:hAnsi="GHEA Grapalat" w:cs="GHEA Grapalat"/>
          <w:iCs/>
          <w:sz w:val="22"/>
          <w:szCs w:val="22"/>
          <w:lang w:val="en-US"/>
        </w:rPr>
        <w:t>են</w:t>
      </w:r>
      <w:r w:rsidRPr="001F63BA">
        <w:rPr>
          <w:rFonts w:ascii="GHEA Grapalat" w:hAnsi="GHEA Grapalat" w:cs="GHEA Grapalat"/>
          <w:iCs/>
          <w:sz w:val="22"/>
          <w:szCs w:val="22"/>
        </w:rPr>
        <w:t xml:space="preserve"> շահառուների փաստացի դիմելիությամբ: Պետական հիմնարկների և կազմակերպությունների աշխատողների բժշկական օգնության և սպասարկման ծառայությունների ծախսերը կազմել են շուրջ 3.9 մլրդ դրամ` </w:t>
      </w:r>
      <w:r w:rsidRPr="001F63BA">
        <w:rPr>
          <w:rFonts w:ascii="GHEA Grapalat" w:hAnsi="GHEA Grapalat" w:cs="GHEA Grapalat"/>
          <w:iCs/>
          <w:sz w:val="22"/>
          <w:szCs w:val="22"/>
        </w:rPr>
        <w:lastRenderedPageBreak/>
        <w:t>99.4%-ով ապահովելով ծրագրի կատարումը և 14.8%</w:t>
      </w:r>
      <w:r w:rsidRPr="001F63BA">
        <w:rPr>
          <w:rFonts w:ascii="GHEA Grapalat" w:hAnsi="GHEA Grapalat" w:cs="GHEA Grapalat"/>
          <w:iCs/>
          <w:sz w:val="22"/>
          <w:szCs w:val="22"/>
        </w:rPr>
        <w:noBreakHyphen/>
        <w:t>ով կամ 499.6 մլն դրամով գերազանցելով նախորդ տարվա ցուցանիշը:</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ՀՀ ԱՆ կողմից իրականացվող այլ ծրագրերից </w:t>
      </w:r>
      <w:r w:rsidRPr="001F63BA">
        <w:rPr>
          <w:rFonts w:ascii="GHEA Grapalat" w:hAnsi="GHEA Grapalat" w:cs="GHEA Grapalat"/>
          <w:i/>
          <w:iCs/>
          <w:sz w:val="22"/>
          <w:szCs w:val="22"/>
        </w:rPr>
        <w:t>Առողջապահության համակարգի արդիականացման և արդյունավետության բարձրացման</w:t>
      </w:r>
      <w:r w:rsidRPr="001F63BA">
        <w:rPr>
          <w:rFonts w:ascii="GHEA Grapalat" w:hAnsi="GHEA Grapalat" w:cs="GHEA Grapalat"/>
          <w:iCs/>
          <w:sz w:val="22"/>
          <w:szCs w:val="22"/>
        </w:rPr>
        <w:t xml:space="preserve"> ծրագրի ծախսերը 2022 թվականին կազմել են շուրջ 5.6 մլրդ դրամ կամ նախատեսվածի 86.8%-ը, ընդ որում գրեթե բոլոր միջոցառումներում արձանագրվել են շեղումներ։ Ծրագիրն ամբողջությամբ ֆինանսավորվել է արտաքին աջակցությամբ իրականացվող վարկային և դրամաշնորհային ծրագրերի շրջանակներում: Նախորդ տարվա համեմատ Առողջապահության համակարգի արդիականացման և արդյունավետության բարձրացման ծրագրի ծախսերն աճել են 79.8%-ով կամ 2.5 մլրդ դրամով, որը հիմնականում պայմանավորված է Գլոբալ հիմնադրամի աջակցությամբ իրականացվող միջոցառումների, մասնավորապես՝ «ՀՀ-ում տուբերկուլյոզի և ՄԻԱՎ/ՁԻԱՀ-ի ծրագրերի հզորացում» դրամաշնորհային ծրագրի շրջանակներում </w:t>
      </w:r>
      <w:r w:rsidRPr="001F63BA">
        <w:rPr>
          <w:rFonts w:ascii="GHEA Grapalat" w:hAnsi="GHEA Grapalat" w:cs="GHEA Grapalat"/>
          <w:iCs/>
          <w:sz w:val="22"/>
          <w:szCs w:val="22"/>
          <w:lang w:val="en-US"/>
        </w:rPr>
        <w:t xml:space="preserve">կատարված </w:t>
      </w:r>
      <w:r w:rsidRPr="001F63BA">
        <w:rPr>
          <w:rFonts w:ascii="GHEA Grapalat" w:hAnsi="GHEA Grapalat" w:cs="GHEA Grapalat"/>
          <w:iCs/>
          <w:sz w:val="22"/>
          <w:szCs w:val="22"/>
        </w:rPr>
        <w:t>ծախսերի աճով:</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Գլոբալ հիմնադրամի աջակցությամբ իրականացվող Հայաստանի Հանրապետությունում տուբերկուլյոզի և ՄԻԱՎ/ՁԻԱՀ-ի ծրագրերի հզորացման դրամաշնորհային ծրագրի նպատակն էր՝ ապահովել տուբերկուլյոզի բոլոր ձևերի որակյալ ախտորոշումը, բուժման մատչելիությունը, իրականացնել ՄԻԱՎ/ՁԻԱՀ-ի կանխարգելման միջոցառումներ, աջակցել հակառետրովիրուսային և օպորտունիստական հիվանդությունների բուժման տրամադրմանը, ապահովել ախտորոշիչ լաբորատոր հետազոտությունների կատարումը և ՄԻԱՎ/ՁԻԱՀ-ի մոնիտորինգը, հզորացնել գնահատման համակարգը:</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Ծրագրի՝ ծառայությունների ձեռքբերման բաղադրիչի շրջանակներում 2022 թվականի ընթացքում «Տուբերկուլյոզի դեմ պայքարի ազգային կենտրոն» ՊՈԱԿ-ի կողմից իրականացվել են հետևյալ միջոցառումները.</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իրականացվել են վարակի վերահսկման ուժեղացման միջոցառումներ,</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տուբերկուլյոզով հիվանդներին բուժման խրախուսման նպատակով տրամադրվել է սոցիալական աջակցություն` դրամային փոխանցումների տեսքով, </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ուղղակիորեն վերահսկվող բուժման ռազմավարության շրջանակներում, դեղորայքի ընդունումը բուժաշխատողի ներկայությամբ կազմակերպելու նպատակով հիվանդներին կամ բուժաշխատողներին տրամադրվել է տրանսպորտային ծախսերի փոխհատուցում,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իրականացվել են պերիֆերիկ լաբորատորիաներից խորխի տեղափոխման, տուբերկուլյոզային ծառայությունների մոնիտորինգի և գնահատման, հաշվետվական էլեկտրոնային համակարգի կիրարկման միջոցառումներ,</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lastRenderedPageBreak/>
        <w:t>բժշկական (տեղաշարժման) հակացուցումներ ունեցող հիվանդների համար կազմակերպվել է տնային բուժում,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տրամադրվել է աջակցություն Հայկական կարմիր խաչի ընկերությանը` խոցելի խմբերի շրջանում տուբերկուլյոզի ակտիվ հայտնաբերման աշխատանքների իրականացման նպատակով,</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տուբերկուլյոզի բուժման համար ներմուծվել են անհրաժեշտ քանակով հակատուբերկուլյոզային դեղորայք, բժշկական ծախսանյութեր և ժամանակակից ախտորոշիչ սարքավորումներ, գնվել են լաբորատոր և վարակի վերահսկման պարագաներ: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Ծրագրի՝ առողջապահական համակարգի կարողությունների զարգացման և տեխնիկական հագեցվածության ապահովման բաղադրիչի շրջանակներում ձեռք են բերվել 2 համակարգչային տոմոգրաֆ, 7 թվային ստացիոնար ռենտգենոգրաֆիկ համակարգեր, 1 էլեկտրասրտագրության (ԷՍԳ) սարք, 1 բժշկական սարքավորումներ լվացող մեքենա, 1 ստացիոնար թվային ուլտրաձայնային համակարգ և 1 ավտոմեքենա:</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Գլոբալ հիմնադրամի աջակցությամբ իրականացվող Հայաստանի Հանրապետությունում տուբերկուլյոզի և ՄԻԱՎ/ՁԻԱՀ-ի ծրագրերի հզորացման դրամաշնորհային ծրագրի շրջանակներում 2022 թվականին ընդհանուր առմամբ օգտագործվել է շուրջ 2.5 մլրդ դրամ կամ նախատեսված միջոցների 87.6%-ը: Մասնավորապես՝ 1.5 մլրդ դրամ է տրամադրվել (նախատեսվածի 87.1%-ը) ծրագրի ծառայությունների ձեռքբերման բաղադրիչի շրջանակներում և 1 մլրդ դրամ (նախատեսվածի 88.3%-ը)` ՀՀ պետական առողջապահական համակարգի կարողությունների զարգացման և տեխնիկական հագեցվածության ապահովման բաղադրիչի շրջանակներում: Ծրագրի կատարողականը հիմնականում պայմանավորված է արտարժույթի կանխատեսված և փաստացի փոխարժեքների տարբերությամբ, ինչպես նաև աշխատանքի վարձատրության, վերապատրաստումների և գիտաժողովների համար նախատեսված միջոցների տնտեսմամբ: </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Գլոբալ հիմնադրամի աջակցությամբ իրականացվող Հայաստանի Հանրապետությունում ՄԻԱՎ/ՁԻԱՀ-ի դեմ պայքարի ազգային ծրագրին աջակցություն դրամաշնորհային շարունակության ծրագրի նպատակն է տրամադրել տեխնիկական աջակցություն խորհրդատվության և հետազոտության կետերին ու լաբորատորիաներին` հակառետրովիրուսային և օպորտունիստական վարակների բուժման և կանխարգելման համար: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2022 թվականի ընթացքում ծրագրի շրջանակներում իրականացվել են հետևյալ միջոցառումները.</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ՄԻԱՎ վարակի հայտնաբերման և ախտորոշման համար նախատեսված թեստ-հավաքածուների ձեռքբերում,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lastRenderedPageBreak/>
        <w:t>ՄԻԱՎ վարակի հակառետրովիրուսային բուժման համար նախատեսված դեղամիջոցների ձեռքբերում,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ՄԻԱՎ վարակների բուժման համար նախատեսված դեղամիջոցների, ախտորոշիչ նյութերի և լաբորատոր ծախսանյութերի ձեռքբերում,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ՄԻԱՎ-ի վերաբերյալ խորհրդատվության և հետազոտության (ԽՀ) կետերին ու լաբորատորիաներին տեխնիկական աջակցության տրամադրում,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ՄԻԱՎ/ՁԻԱՀ-ի վերաբերյալ մոնիտորինգի և գնահատման ազգային միասնական համակարգի հզորացում,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ՀՀ ԱՆ կախվածությունների բուժման ազգային կենտրոնում, Լոռու մարզային հոգենյարդաբանական դիսպանսերում, Գյումրու հոգեկան առողջության կենտրոնում, Սյունիքի մարզային հոգենյարդաբանական դիսպանսերում, ինչպես նաև 9 քրեակատարողական հիմնարկներում մեթադոնային փոխարինող բուժման ծրագրի իրականացում,</w:t>
      </w:r>
    </w:p>
    <w:p w:rsidR="001C411D" w:rsidRPr="001F63BA" w:rsidRDefault="001C411D" w:rsidP="00BB1B4B">
      <w:pPr>
        <w:numPr>
          <w:ilvl w:val="0"/>
          <w:numId w:val="22"/>
        </w:numPr>
        <w:tabs>
          <w:tab w:val="left" w:pos="851"/>
        </w:tabs>
        <w:autoSpaceDE w:val="0"/>
        <w:autoSpaceDN w:val="0"/>
        <w:adjustRightInd w:val="0"/>
        <w:spacing w:line="360" w:lineRule="auto"/>
        <w:ind w:left="0" w:firstLine="567"/>
        <w:jc w:val="both"/>
        <w:rPr>
          <w:rFonts w:ascii="GHEA Grapalat" w:hAnsi="GHEA Grapalat" w:cs="GHEA Grapalat"/>
          <w:iCs/>
          <w:sz w:val="22"/>
          <w:szCs w:val="22"/>
        </w:rPr>
      </w:pPr>
      <w:r w:rsidRPr="001F63BA">
        <w:rPr>
          <w:rFonts w:ascii="GHEA Grapalat" w:hAnsi="GHEA Grapalat" w:cs="GHEA Grapalat"/>
          <w:iCs/>
          <w:sz w:val="22"/>
          <w:szCs w:val="22"/>
        </w:rPr>
        <w:t>ՀՀ քրեակատարողական հիմնարկներում գտնվողների շրջանում ՄԻԱՎ-ի հետազոտության իրականացում:</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Ծրագրի շրջանակներում 2022 թվականի ընթացքում հայտնաբերվել է ՄԻԱՎ-ի 480 դեպք՝ կանխատեսված 400-ի դիմաց: Հասարակական կազմակերպությունների ներգրավմամբ ՄԻԱՎ նկատմամբ խոցելի խմբերի շրջանում իրականացվել են 160000 հետազոտություններ՝ կանխատեսված 150000-ի դիմաց: Դեպքերի և հետազոտությունների փաստացի քանակի գերազանցումը կանխատեսվածի համեմատ պայմանավորված է 2022 թվականի ընթացքում միգրանտների մեծ ներհոսքով, որոնց շրջանում հայտնաբերվել են զգալի թվով ՄԻԱՎ վարակակիրներ:</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Գլոբալ հիմնադրամի աջակցությամբ իրականացվող Հայաստանի Հանրապետությունում ՄԻԱՎ/ՁԻԱՀ-ի դեմ պայքարի ազգային ծրագրին աջակցություն դրամաշնորհային շարունակության ծրագրի շրջանակներում օգտագործվել է 806.9 մլն դրամ՝ ապահովելով 90.5% կատարողական, որը պայմանավորված է ծրագրված և փաստացի փոխարժեքների տարբերությամբ: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 xml:space="preserve">Գլոբալ հիմնադրամի աջակցությամբ իրականացվող «Հայաստանի Հանրապետությունում տուբերկուլյոզի դեմ պայքարի ազգային ծրագրին աջակցություն» դրամաշնորհային ծրագրի շրջանակներում տրամադրվել է տեխնիկական աջակցություն տուբերկուլյոզի դեղորայքի կառավարման ոլորտում, հայտնաբերվել է նոր և կրկնակի տուբերկուլյոզի 400 դեպք՝ կանխատեսված 450-ի դիմաց, 60 անձի մոտ հայտնաբերվել են լաբորատոր հաստատում ունեցող ռիֆամպիցին-կայուն տուբերկուլյոզի և/կամ բազմադեղակայուն տուբերկուլյոզի դեպքեր՝ կանխատեսված 100-ի դիմաց: Միջոցառման շրջանակներում օգտագործվել է 462 մլն դրամ՝ ապահովելով 80.3% </w:t>
      </w:r>
      <w:r w:rsidRPr="001F63BA">
        <w:rPr>
          <w:rFonts w:ascii="GHEA Grapalat" w:hAnsi="GHEA Grapalat" w:cs="GHEA Grapalat"/>
          <w:iCs/>
          <w:sz w:val="22"/>
          <w:szCs w:val="22"/>
        </w:rPr>
        <w:lastRenderedPageBreak/>
        <w:t xml:space="preserve">կատարողական, որը հիմնականում պայմանավորված է դեպքերի ցածր ցուցանիշով, ինչպես նաև ծրագրված և փաստացի փոխարժեքների տարբերությամբ: </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Համաշխարհային բանկի աջակցությամբ իրականացվող Ոչ վարակիչ հիվանդությունների կանխարգելման և վերահսկման վարկային ծրագրի նպատակն է</w:t>
      </w:r>
      <w:r w:rsidRPr="001F63BA">
        <w:rPr>
          <w:rFonts w:ascii="GHEA Grapalat" w:hAnsi="GHEA Grapalat" w:cs="GHEA Grapalat"/>
          <w:iCs/>
          <w:sz w:val="22"/>
          <w:szCs w:val="22"/>
          <w:lang w:val="en-US"/>
        </w:rPr>
        <w:t>`</w:t>
      </w:r>
      <w:r w:rsidRPr="001F63BA">
        <w:rPr>
          <w:rFonts w:ascii="GHEA Grapalat" w:hAnsi="GHEA Grapalat" w:cs="GHEA Grapalat"/>
          <w:iCs/>
          <w:sz w:val="22"/>
          <w:szCs w:val="22"/>
        </w:rPr>
        <w:t xml:space="preserve"> բարելավել մոր և մանկան առողջության պահպանման ծառայությունները և առողջության առաջնային պահպանման (ԱԱՊ) օղակում ընտրված ոչ վարակիչ հիվանդությունների վաղ հայտնաբերումն ու վերահսկումը, ինչպես նաև ծրագրում ընդգրկված հիվանդանոցներում առողջապահական ծառայությունների որակը և արդյունավետությունը:</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Համաշխարհային բանկի աջակցությամբ իրականացվող Ոչ վարակիչ հիվանդությունների կանխարգելման և վերահսկման վարկային ծրագրի ծառայությունների ձեռքբերման շրջանակներում հաշվետու ժամանակահատվածում նախատեսվել և իրականացվել են արգանդի պարանոցի քաղցկեղի 4000 հետազոտություն, շաքարային դիաբե</w:t>
      </w:r>
      <w:r w:rsidRPr="001F63BA">
        <w:rPr>
          <w:rFonts w:ascii="GHEA Grapalat" w:hAnsi="GHEA Grapalat" w:cs="GHEA Grapalat"/>
          <w:iCs/>
          <w:sz w:val="22"/>
          <w:szCs w:val="22"/>
          <w:lang w:val="en-US"/>
        </w:rPr>
        <w:t>տ</w:t>
      </w:r>
      <w:r w:rsidRPr="001F63BA">
        <w:rPr>
          <w:rFonts w:ascii="GHEA Grapalat" w:hAnsi="GHEA Grapalat" w:cs="GHEA Grapalat"/>
          <w:iCs/>
          <w:sz w:val="22"/>
          <w:szCs w:val="22"/>
        </w:rPr>
        <w:t xml:space="preserve">ի 13000 հետազոտություն և հղիների արյան ու մեզի 2000 հետազոտություն: 2022 թվականի ընթացքում այցելություններ են իրականացվել ԱԱՊ հաստատություններ՝ 2021 թվականի դեկտեմբեր ամսվա սքրինինգների արդյունքների վերիֆիկացիայի/մշտադիտարկման նպատակով: Ծրագրի՝ շենքային պայմանների բարելավման բաղադրիչի շրջանակներում իրականացվել են ՀՀ Գեղարքունիքի մարզի «Մարտունու բժշկական կենտրոն» ՓԲԸ-ի հիվանդանոցային նոր շենքի շինարարական աշխատանքները: Համաշխարհային բանկի աջակցությամբ իրականացվող Ոչ վարակիչ հիվանդությունների կանխարգելման և վերահսկման վարկային ծրագիրն ավարտվել է, և նախատեսված աշխատանքները կատարվել են ամբողջությամբ: </w:t>
      </w:r>
      <w:r w:rsidRPr="001F63BA">
        <w:rPr>
          <w:rFonts w:ascii="GHEA Grapalat" w:hAnsi="GHEA Grapalat" w:cs="GHEA Grapalat"/>
          <w:iCs/>
          <w:sz w:val="22"/>
          <w:szCs w:val="22"/>
          <w:lang w:val="en-US"/>
        </w:rPr>
        <w:t>Ծ</w:t>
      </w:r>
      <w:r w:rsidRPr="001F63BA">
        <w:rPr>
          <w:rFonts w:ascii="GHEA Grapalat" w:hAnsi="GHEA Grapalat" w:cs="GHEA Grapalat"/>
          <w:iCs/>
          <w:sz w:val="22"/>
          <w:szCs w:val="22"/>
        </w:rPr>
        <w:t xml:space="preserve">րագրի շրջանակներում հաշվետու </w:t>
      </w:r>
      <w:r w:rsidRPr="001F63BA">
        <w:rPr>
          <w:rFonts w:ascii="GHEA Grapalat" w:hAnsi="GHEA Grapalat" w:cs="GHEA Grapalat"/>
          <w:iCs/>
          <w:sz w:val="22"/>
          <w:szCs w:val="22"/>
          <w:lang w:val="en-US"/>
        </w:rPr>
        <w:t>տար</w:t>
      </w:r>
      <w:r w:rsidRPr="001F63BA">
        <w:rPr>
          <w:rFonts w:ascii="GHEA Grapalat" w:hAnsi="GHEA Grapalat" w:cs="GHEA Grapalat"/>
          <w:iCs/>
          <w:sz w:val="22"/>
          <w:szCs w:val="22"/>
        </w:rPr>
        <w:t>ում ընդհանուր առմամբ օգտագործվել է ավելի քան 637.6 մլն դրամ կամ ծրագրված միջոցների 90.8%</w:t>
      </w:r>
      <w:r w:rsidRPr="001F63BA">
        <w:rPr>
          <w:rFonts w:ascii="GHEA Grapalat" w:hAnsi="GHEA Grapalat" w:cs="GHEA Grapalat"/>
          <w:iCs/>
          <w:sz w:val="22"/>
          <w:szCs w:val="22"/>
        </w:rPr>
        <w:noBreakHyphen/>
        <w:t>ը, որը հիմնականում պայմանավորված է արտարժույթի կանխատեսված և փաստացի փոխարժեքների տարբերությամբ, ինչպես նաև թափուր հաստիքների առկայության հետևանքով աշխատանքի վարձատրության համար նախատեսված միջոցների տնտեսմամբ: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Համաշխարհային բանկի աջակցությամբ իրականացվող Ոչ վարակիչ հիվանդությունների կանխարգելման և վերահսկման ծրագրի լրացուցիչ ֆինանսավորման՝ շենքային պայմանների բարելավման բաղադրիչի շրջանակներում իրականացվել են ՀՀ Վայոց ձորի մարզի «Եղեգնաձորի բժշկական կենտրոն» ՓԲԸ-ի</w:t>
      </w:r>
      <w:r w:rsidRPr="001F63BA">
        <w:rPr>
          <w:rFonts w:ascii="GHEA Grapalat" w:hAnsi="GHEA Grapalat" w:cs="GHEA Grapalat"/>
          <w:iCs/>
          <w:sz w:val="22"/>
          <w:szCs w:val="22"/>
          <w:lang w:val="en-US"/>
        </w:rPr>
        <w:t xml:space="preserve"> նոր շենքի</w:t>
      </w:r>
      <w:r w:rsidRPr="001F63BA">
        <w:rPr>
          <w:rFonts w:ascii="GHEA Grapalat" w:hAnsi="GHEA Grapalat" w:cs="GHEA Grapalat"/>
          <w:iCs/>
          <w:sz w:val="22"/>
          <w:szCs w:val="22"/>
        </w:rPr>
        <w:t xml:space="preserve"> և</w:t>
      </w:r>
      <w:r w:rsidRPr="001F63BA">
        <w:rPr>
          <w:rFonts w:ascii="GHEA Grapalat" w:hAnsi="GHEA Grapalat" w:cs="GHEA Grapalat"/>
          <w:iCs/>
          <w:sz w:val="22"/>
          <w:szCs w:val="22"/>
          <w:lang w:val="en-US"/>
        </w:rPr>
        <w:t xml:space="preserve"> շարունակվել են</w:t>
      </w:r>
      <w:r w:rsidRPr="001F63BA">
        <w:rPr>
          <w:rFonts w:ascii="GHEA Grapalat" w:hAnsi="GHEA Grapalat" w:cs="GHEA Grapalat"/>
          <w:iCs/>
          <w:sz w:val="22"/>
          <w:szCs w:val="22"/>
        </w:rPr>
        <w:t xml:space="preserve"> ՀՀ Գեղարքունիքի մարզի «Մարտունու բժշկական կենտրոն» ՓԲԸ-ի հիվանդանոցային </w:t>
      </w:r>
      <w:r w:rsidRPr="001F63BA">
        <w:rPr>
          <w:rFonts w:ascii="GHEA Grapalat" w:hAnsi="GHEA Grapalat" w:cs="GHEA Grapalat"/>
          <w:iCs/>
          <w:sz w:val="22"/>
          <w:szCs w:val="22"/>
          <w:lang w:val="en-US"/>
        </w:rPr>
        <w:t>շենքի</w:t>
      </w:r>
      <w:r w:rsidRPr="001F63BA">
        <w:rPr>
          <w:rFonts w:ascii="GHEA Grapalat" w:hAnsi="GHEA Grapalat" w:cs="GHEA Grapalat"/>
          <w:iCs/>
          <w:sz w:val="22"/>
          <w:szCs w:val="22"/>
        </w:rPr>
        <w:t xml:space="preserve"> կառուցման</w:t>
      </w:r>
      <w:r w:rsidRPr="001F63BA">
        <w:rPr>
          <w:rFonts w:ascii="GHEA Grapalat" w:hAnsi="GHEA Grapalat" w:cs="GHEA Grapalat"/>
          <w:iCs/>
          <w:sz w:val="22"/>
          <w:szCs w:val="22"/>
          <w:lang w:val="en-US"/>
        </w:rPr>
        <w:t xml:space="preserve"> աշխատանքները</w:t>
      </w:r>
      <w:r w:rsidRPr="001F63BA">
        <w:rPr>
          <w:rFonts w:ascii="GHEA Grapalat" w:hAnsi="GHEA Grapalat" w:cs="GHEA Grapalat"/>
          <w:iCs/>
          <w:sz w:val="22"/>
          <w:szCs w:val="22"/>
        </w:rPr>
        <w:t>, ինչպես նաև ՀՀ Գեղարքունիքի մարզի «Մարտունու բժշկական կենտրոն» ՓԲԸ-ի հիվանդանոցային շենքի արդիականացման համար բժշկական սարքավորումների և ապրանքների ձեռքբեր</w:t>
      </w:r>
      <w:r w:rsidRPr="001F63BA">
        <w:rPr>
          <w:rFonts w:ascii="GHEA Grapalat" w:hAnsi="GHEA Grapalat" w:cs="GHEA Grapalat"/>
          <w:iCs/>
          <w:sz w:val="22"/>
          <w:szCs w:val="22"/>
          <w:lang w:val="en-US"/>
        </w:rPr>
        <w:t>ում</w:t>
      </w:r>
      <w:r w:rsidRPr="001F63BA">
        <w:rPr>
          <w:rFonts w:ascii="GHEA Grapalat" w:hAnsi="GHEA Grapalat" w:cs="GHEA Grapalat"/>
          <w:iCs/>
          <w:sz w:val="22"/>
          <w:szCs w:val="22"/>
        </w:rPr>
        <w:t xml:space="preserve">: Ծառայությունների ձեռքբերման բաղադրիչի շրջանակներում ապահովվել է ՀՀ Վայոց ձորի մարզի </w:t>
      </w:r>
      <w:r w:rsidRPr="001F63BA">
        <w:rPr>
          <w:rFonts w:ascii="GHEA Grapalat" w:hAnsi="GHEA Grapalat" w:cs="GHEA Grapalat"/>
          <w:iCs/>
          <w:sz w:val="22"/>
          <w:szCs w:val="22"/>
        </w:rPr>
        <w:lastRenderedPageBreak/>
        <w:t>«Եղեգնաձորի բժշկական կենտրոն» ՓԲԸ-ի հիվանդանոցային նոր շենքի շինարարական աշխատանքների տեխնիկական հսկողությունը և ծրագրի իրականացումը: Համաշխարհային բանկի աջակցությամբ իրականացվող Ոչ վարակիչ հիվանդությունների կանխարգելման և վերահսկման ծրագրի լրացուցիչ ֆինանսավորման վարկային ծրագրի շրջանակներում հաշվետու ժամանակահատվածում ընդհանուր առմամբ օգտագործվել է 881.7 մլն դրամ կամ ծրագրված միջոցների 82%-ը: Ծրագրի կատարողականը հիմնականում պայմանավորված է կատարված շինարարական ու տեխնիկական հսկողության աշխատանքների ծավալներով և ներկայացված կատարողական ակտերով, պահպանման ծախսերի տնտեսմամբ, ինչպես նաև ծրագրված և փաստացի փոխարժեքների տարբերությամբ: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r w:rsidRPr="001F63BA">
        <w:rPr>
          <w:rFonts w:ascii="GHEA Grapalat" w:hAnsi="GHEA Grapalat" w:cs="GHEA Grapalat"/>
          <w:iCs/>
          <w:sz w:val="22"/>
          <w:szCs w:val="22"/>
        </w:rPr>
        <w:t>Շտապ բժշկական օգնության ծրագրի նպատակն է՝ շտապ և անհետաձգելի բժշկական օգնության և սպասարկման կազմակերպումը հիվանդանոցային բժշկական կազմակերպություն</w:t>
      </w:r>
      <w:r w:rsidRPr="001F63BA">
        <w:rPr>
          <w:rFonts w:ascii="GHEA Grapalat" w:hAnsi="GHEA Grapalat" w:cs="GHEA Grapalat"/>
          <w:iCs/>
          <w:sz w:val="22"/>
          <w:szCs w:val="22"/>
          <w:lang w:val="en-US"/>
        </w:rPr>
        <w:t>-</w:t>
      </w:r>
      <w:r w:rsidRPr="001F63BA">
        <w:rPr>
          <w:rFonts w:ascii="GHEA Grapalat" w:hAnsi="GHEA Grapalat" w:cs="GHEA Grapalat"/>
          <w:iCs/>
          <w:sz w:val="22"/>
          <w:szCs w:val="22"/>
        </w:rPr>
        <w:t>ներում՝ անկախ սոցիալական կարգավիճակից: Ծրագրի շրջանակներում հաշվետու տարվա ընթացքում սպասարկվել է 557.7 հազար կանչ` կանխատեսված 563.3 հազարի և 2021 թվականի 571.4 հազարի դիմաց, օդային ճանապարհով սանիտարական ավիացիայի 65 կանչ՝ կանխատեսված 60</w:t>
      </w:r>
      <w:r w:rsidRPr="001F63BA">
        <w:rPr>
          <w:rFonts w:ascii="GHEA Grapalat" w:hAnsi="GHEA Grapalat" w:cs="GHEA Grapalat"/>
          <w:iCs/>
          <w:sz w:val="22"/>
          <w:szCs w:val="22"/>
        </w:rPr>
        <w:noBreakHyphen/>
        <w:t>ի և 2021 թվականի 86-ի դիմաց, մարզից Երևան կամ այլ տարածաշրջանային հիվանդանոցներ տեղափոխ</w:t>
      </w:r>
      <w:r w:rsidRPr="001F63BA">
        <w:rPr>
          <w:rFonts w:ascii="GHEA Grapalat" w:hAnsi="GHEA Grapalat" w:cs="GHEA Grapalat"/>
          <w:iCs/>
          <w:sz w:val="22"/>
          <w:szCs w:val="22"/>
          <w:lang w:val="en-US"/>
        </w:rPr>
        <w:t>ման դեպքերի թիվը կազմել է</w:t>
      </w:r>
      <w:r w:rsidRPr="001F63BA">
        <w:rPr>
          <w:rFonts w:ascii="GHEA Grapalat" w:hAnsi="GHEA Grapalat" w:cs="GHEA Grapalat"/>
          <w:iCs/>
          <w:sz w:val="22"/>
          <w:szCs w:val="22"/>
        </w:rPr>
        <w:t xml:space="preserve"> 10731՝ կանխատեսված 11000-ի և 2021 թվականի 16777-ի դիմաց: Շտապ բժշկական օգնության ծրագրի շրջանակներում օգտագործվել է ավելի քան 4.6 մլրդ դրամ` ապահովելով 99.5% կատարողական: Նախորդ տարվա համեմատ շտապ բժշկական օգնության ծրագրի ծախսերը նվազել են 5.8%-ով կամ 285.7 մլն դրամով՝ պայմանավորված առանձին կազմակերպություններում կանչերի թվի կրճատմամբ:</w:t>
      </w:r>
    </w:p>
    <w:p w:rsidR="001C411D" w:rsidRPr="001F63BA" w:rsidRDefault="001C411D" w:rsidP="00401A48">
      <w:pPr>
        <w:autoSpaceDE w:val="0"/>
        <w:autoSpaceDN w:val="0"/>
        <w:adjustRightInd w:val="0"/>
        <w:spacing w:line="360" w:lineRule="auto"/>
        <w:ind w:firstLine="567"/>
        <w:jc w:val="both"/>
        <w:rPr>
          <w:rFonts w:ascii="GHEA Grapalat" w:hAnsi="GHEA Grapalat" w:cs="GHEA Grapalat"/>
          <w:iCs/>
          <w:sz w:val="22"/>
          <w:szCs w:val="22"/>
        </w:rPr>
      </w:pPr>
    </w:p>
    <w:p w:rsidR="001C411D" w:rsidRPr="001F63BA" w:rsidRDefault="001C411D" w:rsidP="008E438A">
      <w:pPr>
        <w:spacing w:line="360" w:lineRule="auto"/>
        <w:ind w:firstLine="567"/>
        <w:jc w:val="both"/>
        <w:rPr>
          <w:rFonts w:ascii="GHEA Grapalat" w:hAnsi="GHEA Grapalat" w:cs="Sylfaen"/>
          <w:sz w:val="22"/>
          <w:szCs w:val="22"/>
          <w:lang w:val="pt-BR"/>
        </w:rPr>
      </w:pPr>
      <w:r w:rsidRPr="001F63BA">
        <w:rPr>
          <w:rFonts w:ascii="GHEA Grapalat" w:hAnsi="GHEA Grapalat" w:cs="Times Armenian"/>
          <w:i/>
          <w:sz w:val="22"/>
          <w:szCs w:val="22"/>
          <w:u w:val="single"/>
        </w:rPr>
        <w:t>ՀՀ արդարադատության նախարարությանը</w:t>
      </w:r>
      <w:r w:rsidRPr="001F63BA">
        <w:rPr>
          <w:rFonts w:ascii="GHEA Grapalat" w:hAnsi="GHEA Grapalat" w:cs="Times Armenian"/>
          <w:sz w:val="22"/>
          <w:szCs w:val="22"/>
          <w:lang w:val="en-US"/>
        </w:rPr>
        <w:t xml:space="preserve"> </w:t>
      </w:r>
      <w:r w:rsidRPr="001F63BA">
        <w:rPr>
          <w:rFonts w:ascii="GHEA Grapalat" w:hAnsi="GHEA Grapalat" w:cs="Sylfaen"/>
          <w:sz w:val="22"/>
          <w:szCs w:val="22"/>
          <w:lang w:val="pt-BR"/>
        </w:rPr>
        <w:t>2022 թվականին ՀՀ պետական բյուջեից տրամադրվել է 23.2 մլրդ դրամ՝ կազմելով տարեկան ծրագրի 94.4%-ը: Նախարարության պատասխանատվությամբ հաշվետու ժամանակահատվածում իրականացվել է 8 ծրագիր: Շեղումը հիմնականում պայմանավորված է «Հակակոռուպցիոն քաղաքականության մշակում, ծրագրերի համակարգում և մոնիտորինգի իրականացում» և «Քրեակատարողական ծառայություններ» ծրագրերի կատարողականով: 2021 թվականի համեմատ ՀՀ արդարադատության նախարարության ծախսերն աճել են 18.1%-ով կամ շուրջ 3.6</w:t>
      </w:r>
      <w:r w:rsidRPr="001F63BA">
        <w:rPr>
          <w:rFonts w:ascii="Courier New" w:hAnsi="Courier New" w:cs="Courier New"/>
          <w:sz w:val="22"/>
          <w:szCs w:val="22"/>
          <w:lang w:val="pt-BR"/>
        </w:rPr>
        <w:t> </w:t>
      </w:r>
      <w:r w:rsidRPr="001F63BA">
        <w:rPr>
          <w:rFonts w:ascii="GHEA Grapalat" w:hAnsi="GHEA Grapalat" w:cs="Sylfaen"/>
          <w:sz w:val="22"/>
          <w:szCs w:val="22"/>
          <w:lang w:val="pt-BR"/>
        </w:rPr>
        <w:t>մլրդ դրամով՝ հիմնականում պայմանավորված վերոնշյալ երկու ծրագրերի, ինչպես նաև «Հարկադիր կատարման ծառայություններ» և «Դատական և հանրային պաշտպանություն» ծրագրերի գծով ծախսերի աճով:</w:t>
      </w:r>
    </w:p>
    <w:p w:rsidR="001C411D" w:rsidRPr="001F63BA" w:rsidRDefault="001C411D" w:rsidP="008E438A">
      <w:pPr>
        <w:spacing w:line="360" w:lineRule="auto"/>
        <w:ind w:firstLine="567"/>
        <w:jc w:val="both"/>
        <w:rPr>
          <w:rFonts w:ascii="GHEA Grapalat" w:hAnsi="GHEA Grapalat" w:cs="Sylfaen"/>
          <w:sz w:val="22"/>
          <w:szCs w:val="22"/>
          <w:lang w:val="pt-BR"/>
        </w:rPr>
      </w:pPr>
    </w:p>
    <w:p w:rsidR="001C411D" w:rsidRPr="001F63BA" w:rsidRDefault="001C411D" w:rsidP="00BB1B4B">
      <w:pPr>
        <w:keepNext/>
        <w:numPr>
          <w:ilvl w:val="0"/>
          <w:numId w:val="34"/>
        </w:numPr>
        <w:tabs>
          <w:tab w:val="left" w:pos="1080"/>
          <w:tab w:val="left" w:pos="1276"/>
        </w:tabs>
        <w:spacing w:before="120" w:after="120"/>
        <w:ind w:left="360"/>
        <w:rPr>
          <w:rFonts w:ascii="GHEA Grapalat" w:hAnsi="GHEA Grapalat"/>
          <w:b/>
          <w:bCs/>
          <w:i/>
          <w:noProof w:val="0"/>
          <w:sz w:val="18"/>
          <w:szCs w:val="18"/>
          <w:lang w:val="pt-BR"/>
        </w:rPr>
      </w:pPr>
      <w:r w:rsidRPr="001F63BA">
        <w:rPr>
          <w:rFonts w:ascii="GHEA Grapalat" w:hAnsi="GHEA Grapalat"/>
          <w:b/>
          <w:bCs/>
          <w:i/>
          <w:noProof w:val="0"/>
          <w:sz w:val="18"/>
          <w:szCs w:val="18"/>
          <w:lang w:val="pt-BR"/>
        </w:rPr>
        <w:lastRenderedPageBreak/>
        <w:t>2022</w:t>
      </w:r>
      <w:r w:rsidRPr="001F63BA">
        <w:rPr>
          <w:rFonts w:ascii="GHEA Grapalat" w:hAnsi="GHEA Grapalat"/>
          <w:b/>
          <w:bCs/>
          <w:i/>
          <w:noProof w:val="0"/>
          <w:sz w:val="18"/>
          <w:szCs w:val="18"/>
          <w:lang w:val="en-US"/>
        </w:rPr>
        <w:t>թ</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ՀՀ</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արդարադատության</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նախարարության</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կողմից</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իրականացված</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ծրագրերը</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մլն</w:t>
      </w:r>
      <w:r w:rsidRPr="001F63BA">
        <w:rPr>
          <w:rFonts w:ascii="GHEA Grapalat" w:hAnsi="GHEA Grapalat"/>
          <w:b/>
          <w:bCs/>
          <w:i/>
          <w:noProof w:val="0"/>
          <w:sz w:val="18"/>
          <w:szCs w:val="18"/>
          <w:lang w:val="pt-BR"/>
        </w:rPr>
        <w:t xml:space="preserve"> </w:t>
      </w:r>
      <w:r w:rsidRPr="001F63BA">
        <w:rPr>
          <w:rFonts w:ascii="GHEA Grapalat" w:hAnsi="GHEA Grapalat"/>
          <w:b/>
          <w:bCs/>
          <w:i/>
          <w:noProof w:val="0"/>
          <w:sz w:val="18"/>
          <w:szCs w:val="18"/>
          <w:lang w:val="en-US"/>
        </w:rPr>
        <w:t>դրամ</w:t>
      </w:r>
      <w:r w:rsidRPr="001F63BA">
        <w:rPr>
          <w:rFonts w:ascii="GHEA Grapalat" w:hAnsi="GHEA Grapalat"/>
          <w:b/>
          <w:bCs/>
          <w:i/>
          <w:noProof w:val="0"/>
          <w:sz w:val="18"/>
          <w:szCs w:val="18"/>
          <w:lang w:val="pt-BR"/>
        </w:rPr>
        <w:t>)</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992"/>
        <w:gridCol w:w="992"/>
        <w:gridCol w:w="936"/>
        <w:gridCol w:w="1203"/>
        <w:gridCol w:w="1203"/>
        <w:gridCol w:w="1048"/>
      </w:tblGrid>
      <w:tr w:rsidR="001C411D" w:rsidRPr="001F63BA" w:rsidTr="00E66B53">
        <w:trPr>
          <w:trHeight w:val="300"/>
          <w:jc w:val="center"/>
        </w:trPr>
        <w:tc>
          <w:tcPr>
            <w:tcW w:w="3823" w:type="dxa"/>
            <w:noWrap/>
            <w:vAlign w:val="bottom"/>
          </w:tcPr>
          <w:p w:rsidR="001C411D" w:rsidRPr="001F63BA" w:rsidRDefault="001C411D" w:rsidP="00CB54A9">
            <w:pPr>
              <w:rPr>
                <w:rFonts w:ascii="GHEA Grapalat" w:hAnsi="GHEA Grapalat" w:cs="Calibri"/>
                <w:b/>
                <w:sz w:val="18"/>
                <w:szCs w:val="18"/>
                <w:lang w:val="pt-BR"/>
              </w:rPr>
            </w:pPr>
          </w:p>
        </w:tc>
        <w:tc>
          <w:tcPr>
            <w:tcW w:w="992"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1</w:t>
            </w:r>
            <w:r w:rsidRPr="001F63BA">
              <w:rPr>
                <w:rFonts w:ascii="GHEA Grapalat" w:hAnsi="GHEA Grapalat" w:cs="Calibri"/>
                <w:b/>
                <w:sz w:val="18"/>
                <w:szCs w:val="18"/>
              </w:rPr>
              <w:t>թ. փաստ</w:t>
            </w:r>
          </w:p>
        </w:tc>
        <w:tc>
          <w:tcPr>
            <w:tcW w:w="992"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936" w:type="dxa"/>
            <w:noWrap/>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03" w:type="dxa"/>
          </w:tcPr>
          <w:p w:rsidR="001C411D" w:rsidRPr="001F63BA" w:rsidRDefault="001C411D" w:rsidP="00E66B53">
            <w:pPr>
              <w:jc w:val="center"/>
              <w:rPr>
                <w:rFonts w:ascii="GHEA Grapalat" w:hAnsi="GHEA Grapalat" w:cs="Calibri"/>
                <w:b/>
                <w:sz w:val="18"/>
                <w:szCs w:val="18"/>
              </w:rPr>
            </w:pPr>
            <w:r w:rsidRPr="001F63BA">
              <w:rPr>
                <w:rFonts w:ascii="GHEA Grapalat" w:hAnsi="GHEA Grapalat" w:cs="Calibri"/>
                <w:b/>
                <w:bCs/>
                <w:sz w:val="18"/>
                <w:szCs w:val="18"/>
              </w:rPr>
              <w:t>Կատարո</w:t>
            </w:r>
            <w:r w:rsidRPr="001F63BA">
              <w:rPr>
                <w:rFonts w:ascii="GHEA Grapalat" w:hAnsi="GHEA Grapalat" w:cs="Calibri"/>
                <w:b/>
                <w:bCs/>
                <w:sz w:val="18"/>
                <w:szCs w:val="18"/>
                <w:lang w:val="en-US"/>
              </w:rPr>
              <w:t>-</w:t>
            </w:r>
            <w:r w:rsidRPr="001F63BA">
              <w:rPr>
                <w:rFonts w:ascii="GHEA Grapalat" w:hAnsi="GHEA Grapalat" w:cs="Calibri"/>
                <w:b/>
                <w:bCs/>
                <w:sz w:val="18"/>
                <w:szCs w:val="18"/>
              </w:rPr>
              <w:t xml:space="preserve">ղականը ճշտված պլանի նկատմամբ </w:t>
            </w:r>
            <w:r w:rsidRPr="001F63BA">
              <w:rPr>
                <w:rFonts w:ascii="GHEA Grapalat" w:hAnsi="GHEA Grapalat"/>
                <w:b/>
                <w:sz w:val="18"/>
                <w:szCs w:val="18"/>
              </w:rPr>
              <w:t>(</w:t>
            </w:r>
            <w:r w:rsidRPr="001F63BA">
              <w:rPr>
                <w:rFonts w:ascii="GHEA Grapalat" w:hAnsi="GHEA Grapalat" w:cs="Calibri"/>
                <w:b/>
                <w:sz w:val="18"/>
                <w:szCs w:val="18"/>
              </w:rPr>
              <w:t>%</w:t>
            </w:r>
            <w:r w:rsidRPr="001F63BA">
              <w:rPr>
                <w:rFonts w:ascii="GHEA Grapalat" w:hAnsi="GHEA Grapalat"/>
                <w:b/>
                <w:sz w:val="18"/>
                <w:szCs w:val="18"/>
              </w:rPr>
              <w:t>)</w:t>
            </w:r>
          </w:p>
        </w:tc>
        <w:tc>
          <w:tcPr>
            <w:tcW w:w="1203" w:type="dxa"/>
          </w:tcPr>
          <w:p w:rsidR="001C411D" w:rsidRPr="001F63BA" w:rsidRDefault="001C411D" w:rsidP="00E66B53">
            <w:pPr>
              <w:jc w:val="center"/>
              <w:rPr>
                <w:rFonts w:ascii="GHEA Grapalat" w:hAnsi="GHEA Grapalat" w:cs="Calibri"/>
                <w:b/>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նկատմամբ</w:t>
            </w:r>
            <w:r w:rsidRPr="001F63BA">
              <w:rPr>
                <w:rFonts w:ascii="GHEA Grapalat" w:hAnsi="GHEA Grapalat" w:cs="Calibri"/>
                <w:b/>
                <w:sz w:val="18"/>
                <w:szCs w:val="18"/>
                <w:lang w:val="en-US"/>
              </w:rPr>
              <w:t xml:space="preserve"> </w:t>
            </w:r>
            <w:r w:rsidRPr="001F63BA">
              <w:rPr>
                <w:rFonts w:ascii="GHEA Grapalat" w:hAnsi="GHEA Grapalat"/>
                <w:b/>
                <w:sz w:val="18"/>
                <w:szCs w:val="18"/>
              </w:rPr>
              <w:t>(</w:t>
            </w:r>
            <w:r w:rsidRPr="001F63BA">
              <w:rPr>
                <w:rFonts w:ascii="GHEA Grapalat" w:hAnsi="GHEA Grapalat" w:cs="Calibri"/>
                <w:b/>
                <w:sz w:val="18"/>
                <w:szCs w:val="18"/>
              </w:rPr>
              <w:t>%</w:t>
            </w:r>
            <w:r w:rsidRPr="001F63BA">
              <w:rPr>
                <w:rFonts w:ascii="GHEA Grapalat" w:hAnsi="GHEA Grapalat"/>
                <w:b/>
                <w:sz w:val="18"/>
                <w:szCs w:val="18"/>
              </w:rPr>
              <w:t>)</w:t>
            </w:r>
          </w:p>
        </w:tc>
        <w:tc>
          <w:tcPr>
            <w:tcW w:w="1048"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և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տարբե-րությունը</w:t>
            </w:r>
          </w:p>
        </w:tc>
      </w:tr>
      <w:tr w:rsidR="001C411D" w:rsidRPr="001F63BA" w:rsidTr="00E66B53">
        <w:trPr>
          <w:trHeight w:val="331"/>
          <w:jc w:val="center"/>
        </w:trPr>
        <w:tc>
          <w:tcPr>
            <w:tcW w:w="3823" w:type="dxa"/>
            <w:vAlign w:val="bottom"/>
          </w:tcPr>
          <w:p w:rsidR="001C411D" w:rsidRPr="001F63BA" w:rsidRDefault="001C411D" w:rsidP="00E66B53">
            <w:pPr>
              <w:rPr>
                <w:rFonts w:ascii="GHEA Grapalat" w:hAnsi="GHEA Grapalat" w:cs="Calibri"/>
                <w:b/>
                <w:sz w:val="18"/>
                <w:szCs w:val="18"/>
              </w:rPr>
            </w:pPr>
            <w:r w:rsidRPr="001F63BA">
              <w:rPr>
                <w:rFonts w:ascii="GHEA Grapalat" w:hAnsi="GHEA Grapalat" w:cs="Calibri"/>
                <w:b/>
                <w:sz w:val="18"/>
                <w:szCs w:val="18"/>
              </w:rPr>
              <w:t>ԸՆԴԱՄԵՆԸ</w:t>
            </w:r>
          </w:p>
        </w:tc>
        <w:tc>
          <w:tcPr>
            <w:tcW w:w="992" w:type="dxa"/>
            <w:vAlign w:val="bottom"/>
          </w:tcPr>
          <w:p w:rsidR="001C411D" w:rsidRPr="001F63BA" w:rsidRDefault="001C411D" w:rsidP="00E66B53">
            <w:pPr>
              <w:jc w:val="right"/>
              <w:rPr>
                <w:rFonts w:ascii="GHEA Grapalat" w:hAnsi="GHEA Grapalat" w:cs="Calibri"/>
                <w:b/>
                <w:sz w:val="18"/>
                <w:szCs w:val="18"/>
                <w:lang w:val="en-US"/>
              </w:rPr>
            </w:pPr>
            <w:r w:rsidRPr="001F63BA">
              <w:rPr>
                <w:rFonts w:ascii="GHEA Grapalat" w:hAnsi="GHEA Grapalat" w:cs="Calibri"/>
                <w:b/>
                <w:sz w:val="18"/>
                <w:szCs w:val="18"/>
                <w:lang w:val="en-US"/>
              </w:rPr>
              <w:t>19,640.8</w:t>
            </w:r>
          </w:p>
        </w:tc>
        <w:tc>
          <w:tcPr>
            <w:tcW w:w="992" w:type="dxa"/>
            <w:vAlign w:val="bottom"/>
          </w:tcPr>
          <w:p w:rsidR="001C411D" w:rsidRPr="001F63BA" w:rsidRDefault="001C411D" w:rsidP="00E66B53">
            <w:pPr>
              <w:jc w:val="right"/>
              <w:rPr>
                <w:rFonts w:ascii="GHEA Grapalat" w:hAnsi="GHEA Grapalat" w:cs="Calibri"/>
                <w:b/>
                <w:sz w:val="18"/>
                <w:szCs w:val="18"/>
                <w:lang w:val="en-US"/>
              </w:rPr>
            </w:pPr>
            <w:r w:rsidRPr="001F63BA">
              <w:rPr>
                <w:rFonts w:ascii="GHEA Grapalat" w:hAnsi="GHEA Grapalat" w:cs="Calibri"/>
                <w:b/>
                <w:sz w:val="18"/>
                <w:szCs w:val="18"/>
                <w:lang w:val="en-US"/>
              </w:rPr>
              <w:t>24,566.1</w:t>
            </w:r>
          </w:p>
        </w:tc>
        <w:tc>
          <w:tcPr>
            <w:tcW w:w="936" w:type="dxa"/>
            <w:vAlign w:val="bottom"/>
          </w:tcPr>
          <w:p w:rsidR="001C411D" w:rsidRPr="001F63BA" w:rsidRDefault="001C411D" w:rsidP="00E66B53">
            <w:pPr>
              <w:jc w:val="right"/>
              <w:rPr>
                <w:rFonts w:ascii="GHEA Grapalat" w:hAnsi="GHEA Grapalat" w:cs="Calibri"/>
                <w:b/>
                <w:sz w:val="18"/>
                <w:szCs w:val="18"/>
                <w:lang w:val="en-US"/>
              </w:rPr>
            </w:pPr>
            <w:r w:rsidRPr="001F63BA">
              <w:rPr>
                <w:rFonts w:ascii="GHEA Grapalat" w:hAnsi="GHEA Grapalat" w:cs="Calibri"/>
                <w:b/>
                <w:sz w:val="18"/>
                <w:szCs w:val="18"/>
                <w:lang w:val="en-US"/>
              </w:rPr>
              <w:t>23,191.0</w:t>
            </w:r>
          </w:p>
        </w:tc>
        <w:tc>
          <w:tcPr>
            <w:tcW w:w="1203" w:type="dxa"/>
            <w:vAlign w:val="bottom"/>
          </w:tcPr>
          <w:p w:rsidR="001C411D" w:rsidRPr="001F63BA" w:rsidRDefault="001C411D" w:rsidP="00E66B53">
            <w:pPr>
              <w:jc w:val="right"/>
              <w:rPr>
                <w:rFonts w:ascii="GHEA Grapalat" w:hAnsi="GHEA Grapalat" w:cs="Calibri"/>
                <w:b/>
                <w:sz w:val="18"/>
                <w:szCs w:val="18"/>
                <w:lang w:val="en-US"/>
              </w:rPr>
            </w:pPr>
            <w:r w:rsidRPr="001F63BA">
              <w:rPr>
                <w:rFonts w:ascii="GHEA Grapalat" w:hAnsi="GHEA Grapalat" w:cs="Calibri"/>
                <w:b/>
                <w:sz w:val="18"/>
                <w:szCs w:val="18"/>
                <w:lang w:val="en-US"/>
              </w:rPr>
              <w:t>94.4</w:t>
            </w:r>
          </w:p>
        </w:tc>
        <w:tc>
          <w:tcPr>
            <w:tcW w:w="1203" w:type="dxa"/>
            <w:vAlign w:val="bottom"/>
          </w:tcPr>
          <w:p w:rsidR="001C411D" w:rsidRPr="001F63BA" w:rsidRDefault="001C411D" w:rsidP="00E66B53">
            <w:pPr>
              <w:jc w:val="right"/>
              <w:rPr>
                <w:rFonts w:ascii="GHEA Grapalat" w:hAnsi="GHEA Grapalat" w:cs="Calibri"/>
                <w:b/>
                <w:sz w:val="18"/>
                <w:szCs w:val="18"/>
                <w:lang w:val="en-US"/>
              </w:rPr>
            </w:pPr>
            <w:r w:rsidRPr="001F63BA">
              <w:rPr>
                <w:rFonts w:ascii="GHEA Grapalat" w:hAnsi="GHEA Grapalat" w:cs="Calibri"/>
                <w:b/>
                <w:sz w:val="18"/>
                <w:szCs w:val="18"/>
                <w:lang w:val="en-US"/>
              </w:rPr>
              <w:t>118.1</w:t>
            </w:r>
          </w:p>
        </w:tc>
        <w:tc>
          <w:tcPr>
            <w:tcW w:w="1048" w:type="dxa"/>
            <w:vAlign w:val="bottom"/>
          </w:tcPr>
          <w:p w:rsidR="001C411D" w:rsidRPr="001F63BA" w:rsidRDefault="001C411D" w:rsidP="00E66B53">
            <w:pPr>
              <w:jc w:val="right"/>
              <w:rPr>
                <w:rFonts w:ascii="GHEA Grapalat" w:hAnsi="GHEA Grapalat" w:cs="Calibri"/>
                <w:b/>
                <w:sz w:val="18"/>
                <w:szCs w:val="18"/>
                <w:lang w:val="en-US"/>
              </w:rPr>
            </w:pPr>
            <w:r w:rsidRPr="001F63BA">
              <w:rPr>
                <w:rFonts w:ascii="GHEA Grapalat" w:hAnsi="GHEA Grapalat" w:cs="Calibri"/>
                <w:b/>
                <w:sz w:val="18"/>
                <w:szCs w:val="18"/>
                <w:lang w:val="en-US"/>
              </w:rPr>
              <w:t>3,550.2</w:t>
            </w:r>
          </w:p>
        </w:tc>
      </w:tr>
      <w:tr w:rsidR="001C411D" w:rsidRPr="001F63BA" w:rsidTr="00E66B53">
        <w:trPr>
          <w:trHeight w:val="300"/>
          <w:jc w:val="center"/>
        </w:trPr>
        <w:tc>
          <w:tcPr>
            <w:tcW w:w="3823" w:type="dxa"/>
            <w:vAlign w:val="bottom"/>
          </w:tcPr>
          <w:p w:rsidR="001C411D" w:rsidRPr="001F63BA" w:rsidRDefault="001C411D" w:rsidP="00E66B53">
            <w:pPr>
              <w:rPr>
                <w:rFonts w:ascii="GHEA Grapalat" w:hAnsi="GHEA Grapalat" w:cs="Calibri"/>
                <w:sz w:val="18"/>
                <w:szCs w:val="18"/>
              </w:rPr>
            </w:pPr>
            <w:r w:rsidRPr="001F63BA">
              <w:rPr>
                <w:rFonts w:ascii="GHEA Grapalat" w:hAnsi="GHEA Grapalat" w:cs="Calibri"/>
                <w:sz w:val="18"/>
                <w:szCs w:val="18"/>
              </w:rPr>
              <w:t>Քրեակատարողական ծառայություններ</w:t>
            </w:r>
          </w:p>
        </w:tc>
        <w:tc>
          <w:tcPr>
            <w:tcW w:w="992"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12,231.6</w:t>
            </w:r>
          </w:p>
        </w:tc>
        <w:tc>
          <w:tcPr>
            <w:tcW w:w="992"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14,476.2</w:t>
            </w:r>
          </w:p>
        </w:tc>
        <w:tc>
          <w:tcPr>
            <w:tcW w:w="936"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14,011.7</w:t>
            </w:r>
          </w:p>
        </w:tc>
        <w:tc>
          <w:tcPr>
            <w:tcW w:w="1203"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96.8</w:t>
            </w:r>
          </w:p>
        </w:tc>
        <w:tc>
          <w:tcPr>
            <w:tcW w:w="1203"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114.6</w:t>
            </w:r>
          </w:p>
        </w:tc>
        <w:tc>
          <w:tcPr>
            <w:tcW w:w="1048"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1,780.2</w:t>
            </w:r>
          </w:p>
        </w:tc>
      </w:tr>
      <w:tr w:rsidR="001C411D" w:rsidRPr="001F63BA" w:rsidTr="00E66B53">
        <w:trPr>
          <w:trHeight w:val="300"/>
          <w:jc w:val="center"/>
        </w:trPr>
        <w:tc>
          <w:tcPr>
            <w:tcW w:w="3823" w:type="dxa"/>
            <w:vAlign w:val="bottom"/>
          </w:tcPr>
          <w:p w:rsidR="001C411D" w:rsidRPr="001F63BA" w:rsidRDefault="001C411D" w:rsidP="00E66B53">
            <w:pPr>
              <w:rPr>
                <w:rFonts w:ascii="GHEA Grapalat" w:hAnsi="GHEA Grapalat" w:cs="Calibri"/>
                <w:sz w:val="18"/>
                <w:szCs w:val="18"/>
              </w:rPr>
            </w:pPr>
            <w:r w:rsidRPr="001F63BA">
              <w:rPr>
                <w:rFonts w:ascii="GHEA Grapalat" w:hAnsi="GHEA Grapalat" w:cs="Calibri"/>
                <w:sz w:val="18"/>
                <w:szCs w:val="18"/>
              </w:rPr>
              <w:t>Հարկադիր կատարման ծառայություններ</w:t>
            </w:r>
          </w:p>
        </w:tc>
        <w:tc>
          <w:tcPr>
            <w:tcW w:w="992" w:type="dxa"/>
            <w:vAlign w:val="bottom"/>
          </w:tcPr>
          <w:p w:rsidR="001C411D" w:rsidRPr="001F63BA" w:rsidRDefault="001C411D" w:rsidP="00E66B53">
            <w:pPr>
              <w:jc w:val="right"/>
              <w:rPr>
                <w:rFonts w:ascii="GHEA Grapalat" w:hAnsi="GHEA Grapalat" w:cs="Calibri"/>
                <w:sz w:val="18"/>
                <w:szCs w:val="18"/>
              </w:rPr>
            </w:pPr>
            <w:r w:rsidRPr="001F63BA">
              <w:rPr>
                <w:rFonts w:ascii="GHEA Grapalat" w:hAnsi="GHEA Grapalat" w:cs="Calibri"/>
                <w:sz w:val="18"/>
                <w:szCs w:val="18"/>
              </w:rPr>
              <w:t>2,713.3</w:t>
            </w:r>
          </w:p>
        </w:tc>
        <w:tc>
          <w:tcPr>
            <w:tcW w:w="992"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3,542.9</w:t>
            </w:r>
          </w:p>
        </w:tc>
        <w:tc>
          <w:tcPr>
            <w:tcW w:w="936" w:type="dxa"/>
            <w:vAlign w:val="bottom"/>
          </w:tcPr>
          <w:p w:rsidR="001C411D" w:rsidRPr="001F63BA" w:rsidRDefault="001C411D" w:rsidP="00E66B53">
            <w:pPr>
              <w:jc w:val="right"/>
              <w:rPr>
                <w:rFonts w:ascii="GHEA Grapalat" w:hAnsi="GHEA Grapalat" w:cs="Calibri"/>
                <w:sz w:val="18"/>
                <w:szCs w:val="18"/>
              </w:rPr>
            </w:pPr>
            <w:r w:rsidRPr="001F63BA">
              <w:rPr>
                <w:rFonts w:ascii="GHEA Grapalat" w:hAnsi="GHEA Grapalat" w:cs="Calibri"/>
                <w:sz w:val="18"/>
                <w:szCs w:val="18"/>
                <w:lang w:val="en-US"/>
              </w:rPr>
              <w:t>3,505.4</w:t>
            </w:r>
            <w:r w:rsidRPr="001F63BA">
              <w:rPr>
                <w:rFonts w:ascii="GHEA Grapalat" w:hAnsi="GHEA Grapalat" w:cs="Calibri"/>
                <w:sz w:val="18"/>
                <w:szCs w:val="18"/>
              </w:rPr>
              <w:t xml:space="preserve"> </w:t>
            </w:r>
          </w:p>
        </w:tc>
        <w:tc>
          <w:tcPr>
            <w:tcW w:w="1203"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98.9</w:t>
            </w:r>
          </w:p>
        </w:tc>
        <w:tc>
          <w:tcPr>
            <w:tcW w:w="1203"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129.2</w:t>
            </w:r>
          </w:p>
        </w:tc>
        <w:tc>
          <w:tcPr>
            <w:tcW w:w="1048"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792.1</w:t>
            </w:r>
          </w:p>
        </w:tc>
      </w:tr>
      <w:tr w:rsidR="001C411D" w:rsidRPr="001F63BA" w:rsidTr="00E66B53">
        <w:trPr>
          <w:trHeight w:val="300"/>
          <w:jc w:val="center"/>
        </w:trPr>
        <w:tc>
          <w:tcPr>
            <w:tcW w:w="3823" w:type="dxa"/>
            <w:vAlign w:val="bottom"/>
          </w:tcPr>
          <w:p w:rsidR="001C411D" w:rsidRPr="001F63BA" w:rsidRDefault="001C411D" w:rsidP="00E66B53">
            <w:pPr>
              <w:rPr>
                <w:rFonts w:ascii="GHEA Grapalat" w:hAnsi="GHEA Grapalat" w:cs="Calibri"/>
                <w:sz w:val="18"/>
                <w:szCs w:val="18"/>
              </w:rPr>
            </w:pPr>
            <w:r w:rsidRPr="001F63BA">
              <w:rPr>
                <w:rFonts w:ascii="GHEA Grapalat" w:hAnsi="GHEA Grapalat" w:cs="Calibri"/>
                <w:sz w:val="18"/>
                <w:szCs w:val="18"/>
              </w:rPr>
              <w:t>Հակակոռուպցիոն քաղաքականության մշակում,</w:t>
            </w:r>
            <w:r w:rsidRPr="001F63BA">
              <w:rPr>
                <w:rFonts w:ascii="GHEA Grapalat" w:hAnsi="GHEA Grapalat" w:cs="Calibri"/>
                <w:sz w:val="18"/>
                <w:szCs w:val="18"/>
                <w:lang w:val="en-US"/>
              </w:rPr>
              <w:t xml:space="preserve"> </w:t>
            </w:r>
            <w:r w:rsidRPr="001F63BA">
              <w:rPr>
                <w:rFonts w:ascii="GHEA Grapalat" w:hAnsi="GHEA Grapalat" w:cs="Calibri"/>
                <w:sz w:val="18"/>
                <w:szCs w:val="18"/>
              </w:rPr>
              <w:t>ծրագրերի համակարգում և մոնիթորինգի իրականացում</w:t>
            </w:r>
          </w:p>
        </w:tc>
        <w:tc>
          <w:tcPr>
            <w:tcW w:w="992" w:type="dxa"/>
            <w:vAlign w:val="bottom"/>
          </w:tcPr>
          <w:p w:rsidR="001C411D" w:rsidRPr="001F63BA" w:rsidRDefault="001C411D" w:rsidP="00E66B53">
            <w:pPr>
              <w:jc w:val="right"/>
              <w:rPr>
                <w:rFonts w:ascii="GHEA Grapalat" w:hAnsi="GHEA Grapalat" w:cs="Calibri"/>
                <w:sz w:val="18"/>
                <w:szCs w:val="18"/>
              </w:rPr>
            </w:pPr>
            <w:r w:rsidRPr="001F63BA">
              <w:rPr>
                <w:rFonts w:ascii="GHEA Grapalat" w:hAnsi="GHEA Grapalat" w:cs="Calibri"/>
                <w:sz w:val="18"/>
                <w:szCs w:val="18"/>
              </w:rPr>
              <w:t>253.7</w:t>
            </w:r>
          </w:p>
        </w:tc>
        <w:tc>
          <w:tcPr>
            <w:tcW w:w="992"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1,522.0</w:t>
            </w:r>
          </w:p>
        </w:tc>
        <w:tc>
          <w:tcPr>
            <w:tcW w:w="936" w:type="dxa"/>
            <w:vAlign w:val="bottom"/>
          </w:tcPr>
          <w:p w:rsidR="001C411D" w:rsidRPr="001F63BA" w:rsidRDefault="001C411D" w:rsidP="00E66B53">
            <w:pPr>
              <w:jc w:val="right"/>
              <w:rPr>
                <w:rFonts w:ascii="GHEA Grapalat" w:hAnsi="GHEA Grapalat" w:cs="Calibri"/>
                <w:sz w:val="18"/>
                <w:szCs w:val="18"/>
              </w:rPr>
            </w:pPr>
            <w:r w:rsidRPr="001F63BA">
              <w:rPr>
                <w:rFonts w:ascii="GHEA Grapalat" w:hAnsi="GHEA Grapalat" w:cs="Calibri"/>
                <w:sz w:val="18"/>
                <w:szCs w:val="18"/>
                <w:lang w:val="en-US"/>
              </w:rPr>
              <w:t>821.8</w:t>
            </w:r>
            <w:r w:rsidRPr="001F63BA">
              <w:rPr>
                <w:rFonts w:ascii="GHEA Grapalat" w:hAnsi="GHEA Grapalat" w:cs="Calibri"/>
                <w:sz w:val="18"/>
                <w:szCs w:val="18"/>
              </w:rPr>
              <w:t xml:space="preserve"> </w:t>
            </w:r>
          </w:p>
        </w:tc>
        <w:tc>
          <w:tcPr>
            <w:tcW w:w="1203"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54.0</w:t>
            </w:r>
          </w:p>
        </w:tc>
        <w:tc>
          <w:tcPr>
            <w:tcW w:w="1203"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323.9</w:t>
            </w:r>
          </w:p>
        </w:tc>
        <w:tc>
          <w:tcPr>
            <w:tcW w:w="1048"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568.0</w:t>
            </w:r>
          </w:p>
        </w:tc>
      </w:tr>
      <w:tr w:rsidR="001C411D" w:rsidRPr="001F63BA" w:rsidTr="00E66B53">
        <w:trPr>
          <w:trHeight w:val="300"/>
          <w:jc w:val="center"/>
        </w:trPr>
        <w:tc>
          <w:tcPr>
            <w:tcW w:w="3823" w:type="dxa"/>
            <w:vAlign w:val="bottom"/>
          </w:tcPr>
          <w:p w:rsidR="001C411D" w:rsidRPr="001F63BA" w:rsidRDefault="001C411D" w:rsidP="00E66B53">
            <w:pPr>
              <w:rPr>
                <w:rFonts w:ascii="GHEA Grapalat" w:hAnsi="GHEA Grapalat" w:cs="Calibri"/>
                <w:sz w:val="18"/>
                <w:szCs w:val="18"/>
              </w:rPr>
            </w:pPr>
            <w:r w:rsidRPr="001F63BA">
              <w:rPr>
                <w:rFonts w:ascii="GHEA Grapalat" w:hAnsi="GHEA Grapalat" w:cs="Calibri"/>
                <w:sz w:val="18"/>
                <w:szCs w:val="18"/>
              </w:rPr>
              <w:t>Այլ ծրագրեր</w:t>
            </w:r>
          </w:p>
        </w:tc>
        <w:tc>
          <w:tcPr>
            <w:tcW w:w="992"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4,231.8</w:t>
            </w:r>
          </w:p>
        </w:tc>
        <w:tc>
          <w:tcPr>
            <w:tcW w:w="992"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5,025.0</w:t>
            </w:r>
          </w:p>
        </w:tc>
        <w:tc>
          <w:tcPr>
            <w:tcW w:w="936"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4,852.1</w:t>
            </w:r>
          </w:p>
        </w:tc>
        <w:tc>
          <w:tcPr>
            <w:tcW w:w="1203" w:type="dxa"/>
            <w:vAlign w:val="bottom"/>
          </w:tcPr>
          <w:p w:rsidR="001C411D" w:rsidRPr="001F63BA" w:rsidRDefault="001C411D" w:rsidP="00884CCA">
            <w:pPr>
              <w:jc w:val="right"/>
              <w:rPr>
                <w:rFonts w:ascii="GHEA Grapalat" w:hAnsi="GHEA Grapalat" w:cs="Calibri"/>
                <w:sz w:val="18"/>
                <w:szCs w:val="18"/>
                <w:lang w:val="en-US"/>
              </w:rPr>
            </w:pPr>
            <w:r w:rsidRPr="001F63BA">
              <w:rPr>
                <w:rFonts w:ascii="GHEA Grapalat" w:hAnsi="GHEA Grapalat" w:cs="Calibri"/>
                <w:sz w:val="18"/>
                <w:szCs w:val="18"/>
                <w:lang w:val="en-US"/>
              </w:rPr>
              <w:t>96.6</w:t>
            </w:r>
          </w:p>
        </w:tc>
        <w:tc>
          <w:tcPr>
            <w:tcW w:w="1203" w:type="dxa"/>
            <w:vAlign w:val="bottom"/>
          </w:tcPr>
          <w:p w:rsidR="001C411D" w:rsidRPr="001F63BA" w:rsidRDefault="001C411D" w:rsidP="00884CCA">
            <w:pPr>
              <w:jc w:val="right"/>
              <w:rPr>
                <w:rFonts w:ascii="GHEA Grapalat" w:hAnsi="GHEA Grapalat" w:cs="Calibri"/>
                <w:sz w:val="18"/>
                <w:szCs w:val="18"/>
                <w:lang w:val="en-US"/>
              </w:rPr>
            </w:pPr>
            <w:r w:rsidRPr="001F63BA">
              <w:rPr>
                <w:rFonts w:ascii="GHEA Grapalat" w:hAnsi="GHEA Grapalat" w:cs="Calibri"/>
                <w:sz w:val="18"/>
                <w:szCs w:val="18"/>
                <w:lang w:val="en-US"/>
              </w:rPr>
              <w:t>114.7</w:t>
            </w:r>
          </w:p>
        </w:tc>
        <w:tc>
          <w:tcPr>
            <w:tcW w:w="1048" w:type="dxa"/>
            <w:vAlign w:val="bottom"/>
          </w:tcPr>
          <w:p w:rsidR="001C411D" w:rsidRPr="001F63BA" w:rsidRDefault="001C411D" w:rsidP="00E66B53">
            <w:pPr>
              <w:jc w:val="right"/>
              <w:rPr>
                <w:rFonts w:ascii="GHEA Grapalat" w:hAnsi="GHEA Grapalat" w:cs="Calibri"/>
                <w:sz w:val="18"/>
                <w:szCs w:val="18"/>
                <w:lang w:val="en-US"/>
              </w:rPr>
            </w:pPr>
            <w:r w:rsidRPr="001F63BA">
              <w:rPr>
                <w:rFonts w:ascii="GHEA Grapalat" w:hAnsi="GHEA Grapalat" w:cs="Calibri"/>
                <w:sz w:val="18"/>
                <w:szCs w:val="18"/>
                <w:lang w:val="en-US"/>
              </w:rPr>
              <w:t>620.3</w:t>
            </w:r>
          </w:p>
        </w:tc>
      </w:tr>
    </w:tbl>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rPr>
      </w:pP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Sylfaen"/>
          <w:i/>
          <w:sz w:val="22"/>
          <w:szCs w:val="22"/>
        </w:rPr>
        <w:t>Քրեակատարողական ծառայությունների</w:t>
      </w:r>
      <w:r w:rsidRPr="001F63BA">
        <w:rPr>
          <w:rFonts w:ascii="GHEA Grapalat" w:hAnsi="GHEA Grapalat" w:cs="Sylfaen"/>
          <w:sz w:val="22"/>
          <w:szCs w:val="22"/>
        </w:rPr>
        <w:t xml:space="preserve"> ծրագրին հաշվետու տարում տրամադրվել է </w:t>
      </w:r>
      <w:r w:rsidRPr="001F63BA">
        <w:rPr>
          <w:rFonts w:ascii="GHEA Grapalat" w:hAnsi="GHEA Grapalat" w:cs="Sylfaen"/>
          <w:sz w:val="22"/>
          <w:szCs w:val="22"/>
          <w:lang w:val="en-US"/>
        </w:rPr>
        <w:t>14</w:t>
      </w:r>
      <w:r w:rsidRPr="001F63BA">
        <w:rPr>
          <w:rFonts w:ascii="GHEA Grapalat" w:hAnsi="GHEA Grapalat" w:cs="Sylfaen"/>
          <w:sz w:val="22"/>
          <w:szCs w:val="22"/>
        </w:rPr>
        <w:t xml:space="preserve"> </w:t>
      </w:r>
      <w:r w:rsidRPr="001F63BA">
        <w:rPr>
          <w:rFonts w:ascii="GHEA Grapalat" w:hAnsi="GHEA Grapalat" w:cs="Times Armenian"/>
          <w:sz w:val="22"/>
          <w:szCs w:val="22"/>
        </w:rPr>
        <w:t xml:space="preserve">մլրդ դրամ կամ նախատեսված միջոցների </w:t>
      </w:r>
      <w:r w:rsidRPr="001F63BA">
        <w:rPr>
          <w:rFonts w:ascii="GHEA Grapalat" w:hAnsi="GHEA Grapalat" w:cs="Times Armenian"/>
          <w:sz w:val="22"/>
          <w:szCs w:val="22"/>
          <w:lang w:val="en-US"/>
        </w:rPr>
        <w:t>96.8</w:t>
      </w:r>
      <w:r w:rsidRPr="001F63BA">
        <w:rPr>
          <w:rFonts w:ascii="GHEA Grapalat" w:hAnsi="GHEA Grapalat" w:cs="Times Armenian"/>
          <w:sz w:val="22"/>
          <w:szCs w:val="22"/>
        </w:rPr>
        <w:t>%-ը: Շեղումը հիմնականում արձանագրվել է ՀՀ արդարադատության նախարարության պրոբացիայի ծառայությ</w:t>
      </w:r>
      <w:r w:rsidRPr="001F63BA">
        <w:rPr>
          <w:rFonts w:ascii="GHEA Grapalat" w:hAnsi="GHEA Grapalat" w:cs="Times Armenian"/>
          <w:sz w:val="22"/>
          <w:szCs w:val="22"/>
          <w:lang w:val="en-US"/>
        </w:rPr>
        <w:t>ան</w:t>
      </w:r>
      <w:r w:rsidRPr="001F63BA">
        <w:rPr>
          <w:rFonts w:ascii="GHEA Grapalat" w:hAnsi="GHEA Grapalat" w:cs="Times Armenian"/>
          <w:sz w:val="22"/>
          <w:szCs w:val="22"/>
        </w:rPr>
        <w:t xml:space="preserve"> կարողությունների զարգացման և տեխնիկական հագեցվածության ապահովման </w:t>
      </w:r>
      <w:r w:rsidRPr="001F63BA">
        <w:rPr>
          <w:rFonts w:ascii="GHEA Grapalat" w:hAnsi="GHEA Grapalat" w:cs="Times Armenian"/>
          <w:sz w:val="22"/>
          <w:szCs w:val="22"/>
          <w:lang w:val="en-US"/>
        </w:rPr>
        <w:t>և ք</w:t>
      </w:r>
      <w:r w:rsidRPr="001F63BA">
        <w:rPr>
          <w:rFonts w:ascii="GHEA Grapalat" w:hAnsi="GHEA Grapalat" w:cs="Times Armenian"/>
          <w:sz w:val="22"/>
          <w:szCs w:val="22"/>
        </w:rPr>
        <w:t>րեակատարողական հիմնարկների օպտիմալաց</w:t>
      </w:r>
      <w:r w:rsidRPr="001F63BA">
        <w:rPr>
          <w:rFonts w:ascii="GHEA Grapalat" w:hAnsi="GHEA Grapalat" w:cs="Times Armenian"/>
          <w:sz w:val="22"/>
          <w:szCs w:val="22"/>
          <w:lang w:val="en-US"/>
        </w:rPr>
        <w:t>ման</w:t>
      </w:r>
      <w:r w:rsidRPr="001F63BA">
        <w:rPr>
          <w:rFonts w:ascii="GHEA Grapalat" w:hAnsi="GHEA Grapalat" w:cs="Times Armenian"/>
          <w:sz w:val="22"/>
          <w:szCs w:val="22"/>
        </w:rPr>
        <w:t>, շենքային պայմանների բավարարման</w:t>
      </w:r>
      <w:r w:rsidRPr="001F63BA">
        <w:rPr>
          <w:rFonts w:ascii="GHEA Grapalat" w:hAnsi="GHEA Grapalat" w:cs="Times Armenian"/>
          <w:sz w:val="22"/>
          <w:szCs w:val="22"/>
          <w:lang w:val="en-US"/>
        </w:rPr>
        <w:t xml:space="preserve"> </w:t>
      </w:r>
      <w:r w:rsidRPr="001F63BA">
        <w:rPr>
          <w:rFonts w:ascii="GHEA Grapalat" w:hAnsi="GHEA Grapalat" w:cs="Times Armenian"/>
          <w:sz w:val="22"/>
          <w:szCs w:val="22"/>
        </w:rPr>
        <w:t xml:space="preserve">ծախսերում: Նախորդ տարվա համեմատ </w:t>
      </w:r>
      <w:r w:rsidRPr="001F63BA">
        <w:rPr>
          <w:rFonts w:ascii="GHEA Grapalat" w:hAnsi="GHEA Grapalat" w:cs="Times Armenian"/>
          <w:sz w:val="22"/>
          <w:szCs w:val="22"/>
          <w:lang w:val="en-US"/>
        </w:rPr>
        <w:t>«</w:t>
      </w:r>
      <w:r w:rsidRPr="001F63BA">
        <w:rPr>
          <w:rFonts w:ascii="GHEA Grapalat" w:hAnsi="GHEA Grapalat" w:cs="Times Armenian"/>
          <w:sz w:val="22"/>
          <w:szCs w:val="22"/>
        </w:rPr>
        <w:t>Քրեակատարողական ծառայություններ</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ծրագրի ծախսերն աճել են </w:t>
      </w:r>
      <w:r w:rsidRPr="001F63BA">
        <w:rPr>
          <w:rFonts w:ascii="GHEA Grapalat" w:hAnsi="GHEA Grapalat" w:cs="Times Armenian"/>
          <w:sz w:val="22"/>
          <w:szCs w:val="22"/>
          <w:lang w:val="en-US"/>
        </w:rPr>
        <w:t>14.6</w:t>
      </w:r>
      <w:r w:rsidRPr="001F63BA">
        <w:rPr>
          <w:rFonts w:ascii="GHEA Grapalat" w:hAnsi="GHEA Grapalat" w:cs="Times Armenian"/>
          <w:sz w:val="22"/>
          <w:szCs w:val="22"/>
        </w:rPr>
        <w:t>%-ով (</w:t>
      </w:r>
      <w:r w:rsidRPr="001F63BA">
        <w:rPr>
          <w:rFonts w:ascii="GHEA Grapalat" w:hAnsi="GHEA Grapalat" w:cs="Times Armenian"/>
          <w:sz w:val="22"/>
          <w:szCs w:val="22"/>
          <w:lang w:val="en-US"/>
        </w:rPr>
        <w:t>1.8 մլրդ</w:t>
      </w:r>
      <w:r w:rsidRPr="001F63BA">
        <w:rPr>
          <w:rFonts w:ascii="GHEA Grapalat" w:hAnsi="GHEA Grapalat" w:cs="Times Armenian"/>
          <w:sz w:val="22"/>
          <w:szCs w:val="22"/>
        </w:rPr>
        <w:t xml:space="preserve"> դրամով)՝ հիմնականում պայմանավորված </w:t>
      </w:r>
      <w:r w:rsidRPr="001F63BA">
        <w:rPr>
          <w:rFonts w:ascii="GHEA Grapalat" w:hAnsi="GHEA Grapalat" w:cs="Times Armenian"/>
          <w:sz w:val="22"/>
          <w:szCs w:val="22"/>
          <w:lang w:val="en-US"/>
        </w:rPr>
        <w:t>ք</w:t>
      </w:r>
      <w:r w:rsidRPr="001F63BA">
        <w:rPr>
          <w:rFonts w:ascii="GHEA Grapalat" w:hAnsi="GHEA Grapalat" w:cs="Times Armenian"/>
          <w:sz w:val="22"/>
          <w:szCs w:val="22"/>
        </w:rPr>
        <w:t>րեակատարողական հիմնարկների օպտիմալաց</w:t>
      </w:r>
      <w:r w:rsidRPr="001F63BA">
        <w:rPr>
          <w:rFonts w:ascii="GHEA Grapalat" w:hAnsi="GHEA Grapalat" w:cs="Times Armenian"/>
          <w:sz w:val="22"/>
          <w:szCs w:val="22"/>
          <w:lang w:val="en-US"/>
        </w:rPr>
        <w:t>ման,</w:t>
      </w:r>
      <w:r w:rsidRPr="001F63BA">
        <w:rPr>
          <w:rFonts w:ascii="GHEA Grapalat" w:hAnsi="GHEA Grapalat" w:cs="Times Armenian"/>
          <w:sz w:val="22"/>
          <w:szCs w:val="22"/>
        </w:rPr>
        <w:t xml:space="preserve"> շենքային պայմանների բավարար</w:t>
      </w:r>
      <w:r w:rsidRPr="001F63BA">
        <w:rPr>
          <w:rFonts w:ascii="GHEA Grapalat" w:hAnsi="GHEA Grapalat" w:cs="Times Armenian"/>
          <w:sz w:val="22"/>
          <w:szCs w:val="22"/>
          <w:lang w:val="en-US"/>
        </w:rPr>
        <w:t>ման ծախսերով, որի գծով 2021 թվականին միջոցներ չէին հատկացվել</w:t>
      </w:r>
      <w:r w:rsidRPr="001F63BA">
        <w:rPr>
          <w:rFonts w:ascii="GHEA Grapalat" w:hAnsi="GHEA Grapalat" w:cs="Times Armenian"/>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lang w:val="en-US"/>
        </w:rPr>
        <w:t>Ծրագրի շրջանակներում հ</w:t>
      </w:r>
      <w:r w:rsidRPr="001F63BA">
        <w:rPr>
          <w:rFonts w:ascii="GHEA Grapalat" w:hAnsi="GHEA Grapalat" w:cs="Times Armenian"/>
          <w:sz w:val="22"/>
          <w:szCs w:val="22"/>
        </w:rPr>
        <w:t xml:space="preserve">ատկացումների գերակշիռ մասն ուղղվել է «Քրեակատարողական ծառայություններ» միջոցառմանը, որի շրջանակներում կանխատեսված </w:t>
      </w:r>
      <w:r w:rsidRPr="001F63BA">
        <w:rPr>
          <w:rFonts w:ascii="GHEA Grapalat" w:hAnsi="GHEA Grapalat" w:cs="Times Armenian"/>
          <w:sz w:val="22"/>
          <w:szCs w:val="22"/>
          <w:lang w:val="en-US"/>
        </w:rPr>
        <w:t>30</w:t>
      </w:r>
      <w:r w:rsidRPr="001F63BA">
        <w:rPr>
          <w:rFonts w:ascii="GHEA Grapalat" w:hAnsi="GHEA Grapalat" w:cs="Times Armenian"/>
          <w:sz w:val="22"/>
          <w:szCs w:val="22"/>
        </w:rPr>
        <w:t>00-ի դիմաց իրականացվել է 2</w:t>
      </w:r>
      <w:r w:rsidRPr="001F63BA">
        <w:rPr>
          <w:rFonts w:ascii="GHEA Grapalat" w:hAnsi="GHEA Grapalat" w:cs="Times Armenian"/>
          <w:sz w:val="22"/>
          <w:szCs w:val="22"/>
          <w:lang w:val="en-US"/>
        </w:rPr>
        <w:t>331</w:t>
      </w:r>
      <w:r w:rsidRPr="001F63BA">
        <w:rPr>
          <w:rFonts w:ascii="GHEA Grapalat" w:hAnsi="GHEA Grapalat" w:cs="Times Armenian"/>
          <w:sz w:val="22"/>
          <w:szCs w:val="22"/>
        </w:rPr>
        <w:t xml:space="preserve"> դատապարտյալների և կալանքի տակ գտնվող անձանց վերահսկողություն, կալանավայրերում դատապարտյալների կացության ապահովում, դատապարտյալների սոցիալ-հոգեբանական վերականգնում և ուսուցում:</w:t>
      </w:r>
      <w:r w:rsidRPr="001F63BA">
        <w:rPr>
          <w:rFonts w:ascii="GHEA Grapalat" w:hAnsi="GHEA Grapalat" w:cs="Times Armenian"/>
          <w:sz w:val="22"/>
          <w:szCs w:val="22"/>
          <w:lang w:val="en-US"/>
        </w:rPr>
        <w:t xml:space="preserve"> </w:t>
      </w:r>
      <w:r w:rsidRPr="001F63BA">
        <w:rPr>
          <w:rFonts w:ascii="GHEA Grapalat" w:hAnsi="GHEA Grapalat" w:cs="Times Armenian"/>
          <w:sz w:val="22"/>
          <w:szCs w:val="22"/>
        </w:rPr>
        <w:t>Միջոցառման ծախսերը կատարվել են 99.</w:t>
      </w:r>
      <w:r w:rsidRPr="001F63BA">
        <w:rPr>
          <w:rFonts w:ascii="GHEA Grapalat" w:hAnsi="GHEA Grapalat" w:cs="Times Armenian"/>
          <w:sz w:val="22"/>
          <w:szCs w:val="22"/>
          <w:lang w:val="en-US"/>
        </w:rPr>
        <w:t>8</w:t>
      </w:r>
      <w:r w:rsidRPr="001F63BA">
        <w:rPr>
          <w:rFonts w:ascii="GHEA Grapalat" w:hAnsi="GHEA Grapalat" w:cs="Times Armenian"/>
          <w:sz w:val="22"/>
          <w:szCs w:val="22"/>
        </w:rPr>
        <w:t>%-ով՝ կազմելով 10.</w:t>
      </w:r>
      <w:r w:rsidRPr="001F63BA">
        <w:rPr>
          <w:rFonts w:ascii="GHEA Grapalat" w:hAnsi="GHEA Grapalat" w:cs="Times Armenian"/>
          <w:sz w:val="22"/>
          <w:szCs w:val="22"/>
          <w:lang w:val="en-US"/>
        </w:rPr>
        <w:t>8</w:t>
      </w:r>
      <w:r w:rsidRPr="001F63BA">
        <w:rPr>
          <w:rFonts w:ascii="GHEA Grapalat" w:hAnsi="GHEA Grapalat" w:cs="Times Armenian"/>
          <w:sz w:val="22"/>
          <w:szCs w:val="22"/>
        </w:rPr>
        <w:t xml:space="preserve"> մլրդ դրամ:</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rPr>
        <w:t>ՀՀ արդարադատության նախարարության պրոբացիայի ծառայությ</w:t>
      </w:r>
      <w:r w:rsidRPr="001F63BA">
        <w:rPr>
          <w:rFonts w:ascii="GHEA Grapalat" w:hAnsi="GHEA Grapalat" w:cs="Times Armenian"/>
          <w:sz w:val="22"/>
          <w:szCs w:val="22"/>
          <w:lang w:val="en-US"/>
        </w:rPr>
        <w:t>ան</w:t>
      </w:r>
      <w:r w:rsidRPr="001F63BA">
        <w:rPr>
          <w:rFonts w:ascii="GHEA Grapalat" w:hAnsi="GHEA Grapalat" w:cs="Times Armenian"/>
          <w:sz w:val="22"/>
          <w:szCs w:val="22"/>
        </w:rPr>
        <w:t xml:space="preserve"> կարողությունների զարգացման և տեխնիկական հագեցվածության ապահովման միջոցառման շրջանակներում </w:t>
      </w:r>
      <w:r w:rsidRPr="001F63BA">
        <w:rPr>
          <w:rFonts w:ascii="GHEA Grapalat" w:hAnsi="GHEA Grapalat" w:cs="Times Armenian"/>
          <w:sz w:val="22"/>
          <w:szCs w:val="22"/>
          <w:lang w:val="en-US"/>
        </w:rPr>
        <w:t>պ</w:t>
      </w:r>
      <w:r w:rsidRPr="001F63BA">
        <w:rPr>
          <w:rFonts w:ascii="GHEA Grapalat" w:hAnsi="GHEA Grapalat" w:cs="Times Armenian"/>
          <w:sz w:val="22"/>
          <w:szCs w:val="22"/>
        </w:rPr>
        <w:t>րոբացիայի շահառուների նկատմամբ էլեկտրոնային միջոցներով հսկողություն կիրառելու նպատակով 2022 թվականի ապրիլի 4-ին կնքվել է</w:t>
      </w:r>
      <w:r w:rsidRPr="001F63BA">
        <w:rPr>
          <w:rFonts w:ascii="GHEA Grapalat" w:hAnsi="GHEA Grapalat" w:cs="Times Armenian"/>
          <w:sz w:val="22"/>
          <w:szCs w:val="22"/>
          <w:lang w:val="en-US"/>
        </w:rPr>
        <w:t>ր</w:t>
      </w:r>
      <w:r w:rsidRPr="001F63BA">
        <w:rPr>
          <w:rFonts w:ascii="GHEA Grapalat" w:hAnsi="GHEA Grapalat" w:cs="Times Armenian"/>
          <w:sz w:val="22"/>
          <w:szCs w:val="22"/>
        </w:rPr>
        <w:t xml:space="preserve"> պայմանագիր «ENIGMA information protection Systems» ՍՊԸ հետ։ Էլեկտրոնային հսկողության սարքերը պետք է մատակարարվեին Լեհաստանից</w:t>
      </w:r>
      <w:r w:rsidRPr="001F63BA">
        <w:rPr>
          <w:rFonts w:ascii="GHEA Grapalat" w:hAnsi="GHEA Grapalat" w:cs="Times Armenian"/>
          <w:sz w:val="22"/>
          <w:szCs w:val="22"/>
          <w:lang w:val="en-US"/>
        </w:rPr>
        <w:t>, սակայն, ե</w:t>
      </w:r>
      <w:r w:rsidRPr="001F63BA">
        <w:rPr>
          <w:rFonts w:ascii="GHEA Grapalat" w:hAnsi="GHEA Grapalat" w:cs="Times Armenian"/>
          <w:sz w:val="22"/>
          <w:szCs w:val="22"/>
        </w:rPr>
        <w:t>ղանակային, տրանսպորտային և մի շարք այլ պա</w:t>
      </w:r>
      <w:r w:rsidRPr="001F63BA">
        <w:rPr>
          <w:rFonts w:ascii="GHEA Grapalat" w:hAnsi="GHEA Grapalat" w:cs="Times Armenian"/>
          <w:sz w:val="22"/>
          <w:szCs w:val="22"/>
          <w:lang w:val="en-US"/>
        </w:rPr>
        <w:t>տճառներ</w:t>
      </w:r>
      <w:r w:rsidRPr="001F63BA">
        <w:rPr>
          <w:rFonts w:ascii="GHEA Grapalat" w:hAnsi="GHEA Grapalat" w:cs="Times Armenian"/>
          <w:sz w:val="22"/>
          <w:szCs w:val="22"/>
        </w:rPr>
        <w:t>ով պայմանավորված</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չ</w:t>
      </w:r>
      <w:r w:rsidRPr="001F63BA">
        <w:rPr>
          <w:rFonts w:ascii="GHEA Grapalat" w:hAnsi="GHEA Grapalat" w:cs="Times Armenian"/>
          <w:sz w:val="22"/>
          <w:szCs w:val="22"/>
          <w:lang w:val="en-US"/>
        </w:rPr>
        <w:t>են</w:t>
      </w:r>
      <w:r w:rsidRPr="001F63BA">
        <w:rPr>
          <w:rFonts w:ascii="GHEA Grapalat" w:hAnsi="GHEA Grapalat" w:cs="Times Armenian"/>
          <w:sz w:val="22"/>
          <w:szCs w:val="22"/>
        </w:rPr>
        <w:t xml:space="preserve"> մատակարա</w:t>
      </w:r>
      <w:r w:rsidRPr="001F63BA">
        <w:rPr>
          <w:rFonts w:ascii="GHEA Grapalat" w:hAnsi="GHEA Grapalat" w:cs="Times Armenian"/>
          <w:sz w:val="22"/>
          <w:szCs w:val="22"/>
          <w:lang w:val="en-US"/>
        </w:rPr>
        <w:t>ր</w:t>
      </w:r>
      <w:r w:rsidRPr="001F63BA">
        <w:rPr>
          <w:rFonts w:ascii="GHEA Grapalat" w:hAnsi="GHEA Grapalat" w:cs="Times Armenian"/>
          <w:sz w:val="22"/>
          <w:szCs w:val="22"/>
        </w:rPr>
        <w:t>վել։</w:t>
      </w:r>
      <w:r w:rsidRPr="001F63BA">
        <w:rPr>
          <w:rFonts w:ascii="GHEA Grapalat" w:hAnsi="GHEA Grapalat" w:cs="Times Armenian"/>
          <w:sz w:val="22"/>
          <w:szCs w:val="22"/>
          <w:lang w:val="en-US"/>
        </w:rPr>
        <w:t xml:space="preserve"> 2022 թվականին ձեռք են բերվել նախատեսված 46 այլ սարքավորումները: Միջոցառման շրջանակներում օգտագործվել է 5.1 մլն դրամ՝ նախատեսված 225.2 մլն դրամի դիմաց:</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rPr>
        <w:lastRenderedPageBreak/>
        <w:t xml:space="preserve">«ՀՀ արդարադատության նախարարության քրեակատարողական հիմնարկների օպտիմալացում, շենքային պայմանների բարելավում» միջոցառման </w:t>
      </w:r>
      <w:r w:rsidRPr="001F63BA">
        <w:rPr>
          <w:rFonts w:ascii="GHEA Grapalat" w:hAnsi="GHEA Grapalat" w:cs="Times Armenian"/>
          <w:sz w:val="22"/>
          <w:szCs w:val="22"/>
          <w:lang w:val="en-US"/>
        </w:rPr>
        <w:t>շրջանակներում</w:t>
      </w:r>
      <w:r w:rsidRPr="001F63BA">
        <w:rPr>
          <w:rFonts w:ascii="GHEA Grapalat" w:hAnsi="GHEA Grapalat" w:cs="Times Armenian"/>
          <w:sz w:val="22"/>
          <w:szCs w:val="22"/>
        </w:rPr>
        <w:t xml:space="preserve"> </w:t>
      </w:r>
      <w:r w:rsidRPr="001F63BA">
        <w:rPr>
          <w:rFonts w:ascii="GHEA Grapalat" w:hAnsi="GHEA Grapalat" w:cs="GHEA Grapalat"/>
          <w:sz w:val="22"/>
          <w:szCs w:val="22"/>
          <w:lang w:val="en-US"/>
        </w:rPr>
        <w:t xml:space="preserve">օգտագործվել է նախատեսված միջոցների 86.9%-ը՝ 1.1 մլրդ դրամ: </w:t>
      </w:r>
      <w:r w:rsidRPr="001F63BA">
        <w:rPr>
          <w:rFonts w:ascii="GHEA Grapalat" w:hAnsi="GHEA Grapalat" w:cs="Times Armenian"/>
          <w:sz w:val="22"/>
          <w:szCs w:val="22"/>
          <w:lang w:val="en-US"/>
        </w:rPr>
        <w:t>Շեղումը</w:t>
      </w:r>
      <w:r w:rsidRPr="001F63BA">
        <w:rPr>
          <w:rFonts w:ascii="GHEA Grapalat" w:hAnsi="GHEA Grapalat" w:cs="Times Armenian"/>
          <w:sz w:val="22"/>
          <w:szCs w:val="22"/>
        </w:rPr>
        <w:t xml:space="preserve"> պայմանավորված է այն հանգամանքով, որ կատարվել է</w:t>
      </w:r>
      <w:r w:rsidRPr="001F63BA">
        <w:rPr>
          <w:rFonts w:ascii="GHEA Grapalat" w:hAnsi="GHEA Grapalat" w:cs="Times Armenian"/>
          <w:sz w:val="22"/>
          <w:szCs w:val="22"/>
          <w:lang w:val="en-US"/>
        </w:rPr>
        <w:t xml:space="preserve"> նորոգվող օբյեկտների ցանկի</w:t>
      </w:r>
      <w:r w:rsidRPr="001F63BA">
        <w:rPr>
          <w:rFonts w:ascii="GHEA Grapalat" w:hAnsi="GHEA Grapalat" w:cs="Times Armenian"/>
          <w:sz w:val="22"/>
          <w:szCs w:val="22"/>
        </w:rPr>
        <w:t xml:space="preserve"> </w:t>
      </w:r>
      <w:r w:rsidRPr="001F63BA">
        <w:rPr>
          <w:rFonts w:ascii="GHEA Grapalat" w:hAnsi="GHEA Grapalat" w:cs="Times Armenian"/>
          <w:sz w:val="22"/>
          <w:szCs w:val="22"/>
          <w:lang w:val="en-US"/>
        </w:rPr>
        <w:t>փոփոխություն</w:t>
      </w:r>
      <w:r w:rsidRPr="001F63BA">
        <w:rPr>
          <w:rFonts w:ascii="GHEA Grapalat" w:hAnsi="GHEA Grapalat" w:cs="Times Armenian"/>
          <w:sz w:val="22"/>
          <w:szCs w:val="22"/>
        </w:rPr>
        <w:t>, որով պայմանավորված</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գործող պայմանագրի ավարտման ժամկետը երկարացվել է 30 օրով: Աշխատանքներ</w:t>
      </w:r>
      <w:r w:rsidRPr="001F63BA">
        <w:rPr>
          <w:rFonts w:ascii="GHEA Grapalat" w:hAnsi="GHEA Grapalat" w:cs="Times Armenian"/>
          <w:sz w:val="22"/>
          <w:szCs w:val="22"/>
          <w:lang w:val="en-US"/>
        </w:rPr>
        <w:t>ն</w:t>
      </w:r>
      <w:r w:rsidRPr="001F63BA">
        <w:rPr>
          <w:rFonts w:ascii="GHEA Grapalat" w:hAnsi="GHEA Grapalat" w:cs="Times Armenian"/>
          <w:sz w:val="22"/>
          <w:szCs w:val="22"/>
        </w:rPr>
        <w:t xml:space="preserve"> ավարտվել են 2023 թվականի հունվարին:</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Times Armenian"/>
          <w:i/>
          <w:sz w:val="22"/>
          <w:szCs w:val="22"/>
        </w:rPr>
        <w:t>Հարկադիր կատարման ծառայությունների</w:t>
      </w:r>
      <w:r w:rsidRPr="001F63BA">
        <w:rPr>
          <w:rFonts w:ascii="GHEA Grapalat" w:hAnsi="GHEA Grapalat" w:cs="Times Armenian"/>
          <w:sz w:val="22"/>
          <w:szCs w:val="22"/>
        </w:rPr>
        <w:t xml:space="preserve"> ծրագրի շրջանակներում հաշվետու տարում </w:t>
      </w:r>
      <w:r w:rsidRPr="001F63BA">
        <w:rPr>
          <w:rFonts w:ascii="GHEA Grapalat" w:hAnsi="GHEA Grapalat" w:cs="Sylfaen"/>
          <w:sz w:val="22"/>
          <w:szCs w:val="22"/>
        </w:rPr>
        <w:t xml:space="preserve">օգտագործվել է </w:t>
      </w:r>
      <w:r w:rsidRPr="001F63BA">
        <w:rPr>
          <w:rFonts w:ascii="GHEA Grapalat" w:hAnsi="GHEA Grapalat" w:cs="Sylfaen"/>
          <w:sz w:val="22"/>
          <w:szCs w:val="22"/>
          <w:lang w:val="en-US"/>
        </w:rPr>
        <w:t>3.5</w:t>
      </w:r>
      <w:r w:rsidRPr="001F63BA">
        <w:rPr>
          <w:rFonts w:ascii="GHEA Grapalat" w:hAnsi="GHEA Grapalat" w:cs="Sylfaen"/>
          <w:sz w:val="22"/>
          <w:szCs w:val="22"/>
        </w:rPr>
        <w:t xml:space="preserve"> մլրդ դրամ՝</w:t>
      </w:r>
      <w:r w:rsidRPr="001F63BA">
        <w:rPr>
          <w:rFonts w:ascii="GHEA Grapalat" w:hAnsi="GHEA Grapalat" w:cs="Times Armenian"/>
          <w:sz w:val="22"/>
          <w:szCs w:val="22"/>
        </w:rPr>
        <w:t xml:space="preserve"> </w:t>
      </w:r>
      <w:r w:rsidRPr="001F63BA">
        <w:rPr>
          <w:rFonts w:ascii="GHEA Grapalat" w:hAnsi="GHEA Grapalat" w:cs="Sylfaen"/>
          <w:sz w:val="22"/>
          <w:szCs w:val="22"/>
        </w:rPr>
        <w:t>ապահովելով</w:t>
      </w:r>
      <w:r w:rsidRPr="001F63BA">
        <w:rPr>
          <w:rFonts w:ascii="GHEA Grapalat" w:hAnsi="GHEA Grapalat" w:cs="Times Armenian"/>
          <w:sz w:val="22"/>
          <w:szCs w:val="22"/>
        </w:rPr>
        <w:t xml:space="preserve"> </w:t>
      </w:r>
      <w:r w:rsidRPr="001F63BA">
        <w:rPr>
          <w:rFonts w:ascii="GHEA Grapalat" w:hAnsi="GHEA Grapalat" w:cs="Sylfaen"/>
          <w:sz w:val="22"/>
          <w:szCs w:val="22"/>
          <w:lang w:val="en-US"/>
        </w:rPr>
        <w:t>98.9</w:t>
      </w:r>
      <w:r w:rsidRPr="001F63BA">
        <w:rPr>
          <w:rFonts w:ascii="GHEA Grapalat" w:hAnsi="GHEA Grapalat" w:cs="Times Armenian"/>
          <w:sz w:val="22"/>
          <w:szCs w:val="22"/>
        </w:rPr>
        <w:t xml:space="preserve">% կատարողական: Շեղումը </w:t>
      </w:r>
      <w:r w:rsidRPr="001F63BA">
        <w:rPr>
          <w:rFonts w:ascii="GHEA Grapalat" w:hAnsi="GHEA Grapalat" w:cs="GHEA Grapalat"/>
          <w:sz w:val="22"/>
          <w:szCs w:val="22"/>
        </w:rPr>
        <w:t>պայմանավորված է</w:t>
      </w:r>
      <w:r w:rsidRPr="001F63BA">
        <w:rPr>
          <w:rFonts w:ascii="GHEA Grapalat" w:hAnsi="GHEA Grapalat" w:cs="Times Armenian"/>
          <w:sz w:val="22"/>
          <w:szCs w:val="22"/>
        </w:rPr>
        <w:t xml:space="preserve"> թափուր հաստիքներով և</w:t>
      </w:r>
      <w:r w:rsidRPr="001F63BA">
        <w:rPr>
          <w:rFonts w:ascii="GHEA Grapalat" w:hAnsi="GHEA Grapalat"/>
        </w:rPr>
        <w:t xml:space="preserve"> </w:t>
      </w:r>
      <w:r w:rsidRPr="001F63BA">
        <w:rPr>
          <w:rFonts w:ascii="GHEA Grapalat" w:hAnsi="GHEA Grapalat" w:cs="Times Armenian"/>
          <w:sz w:val="22"/>
          <w:szCs w:val="22"/>
        </w:rPr>
        <w:t xml:space="preserve">ապրանքների ու ծառայությունների՝ նախատեսվածից ցածր գներով ձեռքբերմամբ: </w:t>
      </w:r>
      <w:r w:rsidRPr="001F63BA">
        <w:rPr>
          <w:rFonts w:ascii="GHEA Grapalat" w:hAnsi="GHEA Grapalat" w:cs="Sylfaen"/>
          <w:sz w:val="22"/>
          <w:szCs w:val="22"/>
        </w:rPr>
        <w:t xml:space="preserve">Նշված ծախսերը </w:t>
      </w:r>
      <w:r w:rsidRPr="001F63BA">
        <w:rPr>
          <w:rFonts w:ascii="GHEA Grapalat" w:hAnsi="GHEA Grapalat" w:cs="Sylfaen"/>
          <w:sz w:val="22"/>
          <w:szCs w:val="22"/>
          <w:lang w:val="en-US"/>
        </w:rPr>
        <w:t>29.2</w:t>
      </w:r>
      <w:r w:rsidRPr="001F63BA">
        <w:rPr>
          <w:rFonts w:ascii="GHEA Grapalat" w:hAnsi="GHEA Grapalat" w:cs="Times Armenian"/>
          <w:sz w:val="22"/>
          <w:szCs w:val="22"/>
        </w:rPr>
        <w:t>%-ով (</w:t>
      </w:r>
      <w:r w:rsidRPr="001F63BA">
        <w:rPr>
          <w:rFonts w:ascii="GHEA Grapalat" w:hAnsi="GHEA Grapalat" w:cs="Times Armenian"/>
          <w:sz w:val="22"/>
          <w:szCs w:val="22"/>
          <w:lang w:val="en-US"/>
        </w:rPr>
        <w:t>792.1</w:t>
      </w:r>
      <w:r w:rsidRPr="001F63BA">
        <w:rPr>
          <w:rFonts w:ascii="GHEA Grapalat" w:hAnsi="GHEA Grapalat" w:cs="Times Armenian"/>
          <w:sz w:val="22"/>
          <w:szCs w:val="22"/>
        </w:rPr>
        <w:t xml:space="preserve"> մլն դրամով) գերազանցել են նախորդ տարվա</w:t>
      </w:r>
      <w:r w:rsidRPr="001F63BA">
        <w:rPr>
          <w:rFonts w:ascii="GHEA Grapalat" w:hAnsi="GHEA Grapalat" w:cs="Sylfaen"/>
          <w:sz w:val="22"/>
          <w:szCs w:val="22"/>
        </w:rPr>
        <w:t xml:space="preserve"> ցուցանիշը՝ պայմանավորված </w:t>
      </w:r>
      <w:r w:rsidRPr="001F63BA">
        <w:rPr>
          <w:rFonts w:ascii="GHEA Grapalat" w:hAnsi="GHEA Grapalat" w:cs="Sylfaen"/>
          <w:sz w:val="22"/>
          <w:szCs w:val="22"/>
          <w:lang w:val="en-US"/>
        </w:rPr>
        <w:t>Հ</w:t>
      </w:r>
      <w:r w:rsidRPr="001F63BA">
        <w:rPr>
          <w:rFonts w:ascii="GHEA Grapalat" w:hAnsi="GHEA Grapalat" w:cs="Sylfaen"/>
          <w:sz w:val="22"/>
          <w:szCs w:val="22"/>
        </w:rPr>
        <w:t xml:space="preserve">արկադիր կատարման </w:t>
      </w:r>
      <w:r w:rsidRPr="001F63BA">
        <w:rPr>
          <w:rFonts w:ascii="GHEA Grapalat" w:hAnsi="GHEA Grapalat" w:cs="Sylfaen"/>
          <w:sz w:val="22"/>
          <w:szCs w:val="22"/>
          <w:lang w:val="en-US"/>
        </w:rPr>
        <w:t>ծառայությանը բարձր կատարողականի համար դրամական խրախուսման նպատակով լրացուցիչ միջոցների հատկացմամբ և Հարկադիր կատարման ծառայության</w:t>
      </w:r>
      <w:r w:rsidRPr="001F63BA">
        <w:rPr>
          <w:rFonts w:ascii="GHEA Grapalat" w:hAnsi="GHEA Grapalat" w:cs="Times Armenian"/>
          <w:sz w:val="22"/>
          <w:szCs w:val="22"/>
        </w:rPr>
        <w:t xml:space="preserve"> տեխնիկական հագեցվածության </w:t>
      </w:r>
      <w:r w:rsidRPr="001F63BA">
        <w:rPr>
          <w:rFonts w:ascii="GHEA Grapalat" w:hAnsi="GHEA Grapalat" w:cs="Times Armenian"/>
          <w:sz w:val="22"/>
          <w:szCs w:val="22"/>
          <w:lang w:val="en-US"/>
        </w:rPr>
        <w:t>նպատակով</w:t>
      </w:r>
      <w:r w:rsidRPr="001F63BA">
        <w:rPr>
          <w:rFonts w:ascii="GHEA Grapalat" w:hAnsi="GHEA Grapalat" w:cs="Times Armenian"/>
          <w:sz w:val="22"/>
          <w:szCs w:val="22"/>
        </w:rPr>
        <w:t xml:space="preserve"> վարչական սարքավորումներ</w:t>
      </w:r>
      <w:r w:rsidRPr="001F63BA">
        <w:rPr>
          <w:rFonts w:ascii="GHEA Grapalat" w:hAnsi="GHEA Grapalat" w:cs="Times Armenian"/>
          <w:sz w:val="22"/>
          <w:szCs w:val="22"/>
          <w:lang w:val="en-US"/>
        </w:rPr>
        <w:t>ի ձեռք բերմամբ,</w:t>
      </w:r>
      <w:r w:rsidRPr="001F63BA">
        <w:rPr>
          <w:rFonts w:ascii="GHEA Grapalat" w:hAnsi="GHEA Grapalat" w:cs="Times Armenian"/>
          <w:sz w:val="22"/>
          <w:szCs w:val="22"/>
        </w:rPr>
        <w:t xml:space="preserve"> </w:t>
      </w:r>
      <w:r w:rsidRPr="001F63BA">
        <w:rPr>
          <w:rFonts w:ascii="GHEA Grapalat" w:hAnsi="GHEA Grapalat" w:cs="Times Armenian"/>
          <w:sz w:val="22"/>
          <w:szCs w:val="22"/>
          <w:lang w:val="en-US"/>
        </w:rPr>
        <w:t>որի համար օգտագործվել է 440.2 մլն դրամ:</w:t>
      </w:r>
      <w:r w:rsidRPr="001F63BA">
        <w:rPr>
          <w:rFonts w:ascii="GHEA Grapalat" w:hAnsi="GHEA Grapalat" w:cs="Sylfaen"/>
          <w:sz w:val="22"/>
          <w:szCs w:val="22"/>
        </w:rPr>
        <w:t xml:space="preserve"> </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i/>
          <w:sz w:val="22"/>
          <w:szCs w:val="22"/>
        </w:rPr>
        <w:t xml:space="preserve">Հակակոռուպցիոն քաղաքականության մշակման, ծրագրերի համակարգման և մոնիտորինգի իրականացման ծրագրին </w:t>
      </w:r>
      <w:r w:rsidRPr="001F63BA">
        <w:rPr>
          <w:rFonts w:ascii="GHEA Grapalat" w:hAnsi="GHEA Grapalat" w:cs="Times Armenian"/>
          <w:sz w:val="22"/>
          <w:szCs w:val="22"/>
        </w:rPr>
        <w:t xml:space="preserve">հաշվետու ժամանակահատվածում պետական բյուջեից տրամադրվել է </w:t>
      </w:r>
      <w:r w:rsidRPr="001F63BA">
        <w:rPr>
          <w:rFonts w:ascii="GHEA Grapalat" w:hAnsi="GHEA Grapalat" w:cs="Times Armenian"/>
          <w:sz w:val="22"/>
          <w:szCs w:val="22"/>
          <w:lang w:val="en-US"/>
        </w:rPr>
        <w:t xml:space="preserve">821.8 </w:t>
      </w:r>
      <w:r w:rsidRPr="001F63BA">
        <w:rPr>
          <w:rFonts w:ascii="GHEA Grapalat" w:hAnsi="GHEA Grapalat" w:cs="Times Armenian"/>
          <w:sz w:val="22"/>
          <w:szCs w:val="22"/>
        </w:rPr>
        <w:t>մլն դրամ</w:t>
      </w:r>
      <w:r w:rsidRPr="001F63BA">
        <w:rPr>
          <w:rFonts w:ascii="GHEA Grapalat" w:hAnsi="GHEA Grapalat" w:cs="Times Armenian"/>
          <w:sz w:val="22"/>
          <w:szCs w:val="22"/>
          <w:lang w:val="en-US"/>
        </w:rPr>
        <w:t xml:space="preserve">՝ կազմելով </w:t>
      </w:r>
      <w:r w:rsidRPr="001F63BA">
        <w:rPr>
          <w:rFonts w:ascii="GHEA Grapalat" w:hAnsi="GHEA Grapalat" w:cs="Sylfaen"/>
          <w:sz w:val="22"/>
          <w:szCs w:val="22"/>
        </w:rPr>
        <w:t xml:space="preserve">ծրագրված ցուցանիշի </w:t>
      </w:r>
      <w:r w:rsidRPr="001F63BA">
        <w:rPr>
          <w:rFonts w:ascii="GHEA Grapalat" w:hAnsi="GHEA Grapalat" w:cs="Sylfaen"/>
          <w:sz w:val="22"/>
          <w:szCs w:val="22"/>
          <w:lang w:val="en-US"/>
        </w:rPr>
        <w:t>54</w:t>
      </w:r>
      <w:r w:rsidRPr="001F63BA">
        <w:rPr>
          <w:rFonts w:ascii="GHEA Grapalat" w:hAnsi="GHEA Grapalat" w:cs="Times Armenian"/>
          <w:sz w:val="22"/>
          <w:szCs w:val="22"/>
        </w:rPr>
        <w:t>%-ը</w:t>
      </w:r>
      <w:r w:rsidRPr="001F63BA">
        <w:rPr>
          <w:rFonts w:ascii="GHEA Grapalat" w:hAnsi="GHEA Grapalat" w:cs="Times Armenian"/>
          <w:sz w:val="22"/>
          <w:szCs w:val="22"/>
          <w:lang w:val="en-US"/>
        </w:rPr>
        <w:t>: Ցածր կատարողականը հիմնականում պայմանավորված է «Հակակոռուպցիոն դատարանի շենքային պայմանների ապահովում» և «Էլեկտրոնային ռեսուրսների ստեղծման կամ արդիականացման նախագծերի ապահովում» միջոցառումների կատարողականներով: 2021 թվականի համեմատ ծրագրի ծախսերն աճել են 3.2 անգամ հիմնականում պայմանավորված Հակակոռուպցիոն կոմիտեի տեխնիկական հագեցվածության ապահովման և էլեկտրոնային ռեսուրսների ստեղծման կամ արդիականացման նախագծերի ապահովման նպատակով միջոցների հատկացմամբ:</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lang w:val="en-US"/>
        </w:rPr>
        <w:t>Հակակոռուպցիոն դատարանի շենքային պայմանների ապահովման միջոցառման շրջանակներում նախատեսվում էր Երևանի Աջափնյակ համայնքի Արա Սարգսյան 5/1 հասցեում</w:t>
      </w:r>
      <w:r w:rsidRPr="001F63BA">
        <w:rPr>
          <w:rFonts w:ascii="GHEA Grapalat" w:hAnsi="GHEA Grapalat" w:cs="Times Armenian"/>
          <w:sz w:val="22"/>
          <w:szCs w:val="22"/>
        </w:rPr>
        <w:t xml:space="preserve"> տեղակայված շենքի վերակառուցման </w:t>
      </w:r>
      <w:r w:rsidRPr="001F63BA">
        <w:rPr>
          <w:rFonts w:ascii="GHEA Grapalat" w:hAnsi="GHEA Grapalat" w:cs="Times Armenian"/>
          <w:sz w:val="22"/>
          <w:szCs w:val="22"/>
          <w:lang w:val="en-US"/>
        </w:rPr>
        <w:t xml:space="preserve">և Թբիլիսյան խճուղի 3/9 հասցեում տեղակայված շենքի կապիտալ վերանորոգման </w:t>
      </w:r>
      <w:r w:rsidRPr="001F63BA">
        <w:rPr>
          <w:rFonts w:ascii="GHEA Grapalat" w:hAnsi="GHEA Grapalat" w:cs="Times Armenian"/>
          <w:sz w:val="22"/>
          <w:szCs w:val="22"/>
        </w:rPr>
        <w:t>աշխատանքներ</w:t>
      </w:r>
      <w:r w:rsidRPr="001F63BA">
        <w:rPr>
          <w:rFonts w:ascii="GHEA Grapalat" w:hAnsi="GHEA Grapalat" w:cs="Times Armenian"/>
          <w:sz w:val="22"/>
          <w:szCs w:val="22"/>
          <w:lang w:val="en-US"/>
        </w:rPr>
        <w:t>ի իրականացում: Շ</w:t>
      </w:r>
      <w:r w:rsidRPr="001F63BA">
        <w:rPr>
          <w:rFonts w:ascii="GHEA Grapalat" w:hAnsi="GHEA Grapalat" w:cs="Times Armenian"/>
          <w:sz w:val="22"/>
          <w:szCs w:val="22"/>
        </w:rPr>
        <w:t xml:space="preserve">ինարարական աշխատանքների կատարման ընթացքում </w:t>
      </w:r>
      <w:r w:rsidRPr="001F63BA">
        <w:rPr>
          <w:rFonts w:ascii="GHEA Grapalat" w:hAnsi="GHEA Grapalat" w:cs="Times Armenian"/>
          <w:sz w:val="22"/>
          <w:szCs w:val="22"/>
          <w:lang w:val="en-US"/>
        </w:rPr>
        <w:t xml:space="preserve">առաջացել է </w:t>
      </w:r>
      <w:r w:rsidRPr="001F63BA">
        <w:rPr>
          <w:rFonts w:ascii="GHEA Grapalat" w:hAnsi="GHEA Grapalat" w:cs="Times Armenian"/>
          <w:sz w:val="22"/>
          <w:szCs w:val="22"/>
        </w:rPr>
        <w:t>նախագծման առաջադրանքի փոփոխութ</w:t>
      </w:r>
      <w:r w:rsidRPr="001F63BA">
        <w:rPr>
          <w:rFonts w:ascii="GHEA Grapalat" w:hAnsi="GHEA Grapalat" w:cs="Times Armenian"/>
          <w:sz w:val="22"/>
          <w:szCs w:val="22"/>
          <w:lang w:val="en-US"/>
        </w:rPr>
        <w:t>յուն</w:t>
      </w:r>
      <w:r w:rsidRPr="001F63BA">
        <w:rPr>
          <w:rFonts w:ascii="GHEA Grapalat" w:hAnsi="GHEA Grapalat" w:cs="Times Armenian"/>
          <w:sz w:val="22"/>
          <w:szCs w:val="22"/>
        </w:rPr>
        <w:t xml:space="preserve"> </w:t>
      </w:r>
      <w:r w:rsidRPr="001F63BA">
        <w:rPr>
          <w:rFonts w:ascii="GHEA Grapalat" w:hAnsi="GHEA Grapalat" w:cs="Times Armenian"/>
          <w:sz w:val="22"/>
          <w:szCs w:val="22"/>
          <w:lang w:val="en-US"/>
        </w:rPr>
        <w:t>(</w:t>
      </w:r>
      <w:r w:rsidRPr="001F63BA">
        <w:rPr>
          <w:rFonts w:ascii="GHEA Grapalat" w:hAnsi="GHEA Grapalat" w:cs="Times Armenian"/>
          <w:sz w:val="22"/>
          <w:szCs w:val="22"/>
        </w:rPr>
        <w:t>ԲԴԽ առաջարկությամբ նախատեսված Հակակոռուպցիոն առաջին ատյանի դատարանի փոխարեն նշված շենքում տեղակայվելու է Հակակոռուպցիոն վերաքննիչ դատարանը</w:t>
      </w:r>
      <w:r w:rsidRPr="001F63BA">
        <w:rPr>
          <w:rFonts w:ascii="GHEA Grapalat" w:hAnsi="GHEA Grapalat" w:cs="Times Armenian"/>
          <w:sz w:val="22"/>
          <w:szCs w:val="22"/>
          <w:lang w:val="en-US"/>
        </w:rPr>
        <w:t>)</w:t>
      </w:r>
      <w:r w:rsidRPr="001F63BA">
        <w:rPr>
          <w:rFonts w:ascii="GHEA Grapalat" w:hAnsi="GHEA Grapalat" w:cs="Times Armenian"/>
          <w:sz w:val="22"/>
          <w:szCs w:val="22"/>
        </w:rPr>
        <w:t>, ինչի արդյունքում նախագծանախահաշվային փաստաթղթերն ամբողջությամբ լրամշա</w:t>
      </w:r>
      <w:r w:rsidRPr="001F63BA">
        <w:rPr>
          <w:rFonts w:ascii="GHEA Grapalat" w:hAnsi="GHEA Grapalat" w:cs="Times Armenian"/>
          <w:sz w:val="22"/>
          <w:szCs w:val="22"/>
          <w:lang w:val="en-US"/>
        </w:rPr>
        <w:t>կ</w:t>
      </w:r>
      <w:r w:rsidRPr="001F63BA">
        <w:rPr>
          <w:rFonts w:ascii="GHEA Grapalat" w:hAnsi="GHEA Grapalat" w:cs="Times Armenian"/>
          <w:sz w:val="22"/>
          <w:szCs w:val="22"/>
        </w:rPr>
        <w:t>վել են, ինչն էլ իր հերթին հանգեցրել է պայմանագրով նախատեսված աշխատանք</w:t>
      </w:r>
      <w:r w:rsidRPr="001F63BA">
        <w:rPr>
          <w:rFonts w:ascii="GHEA Grapalat" w:hAnsi="GHEA Grapalat" w:cs="Times Armenian"/>
          <w:sz w:val="22"/>
          <w:szCs w:val="22"/>
          <w:lang w:val="en-US"/>
        </w:rPr>
        <w:t>ն</w:t>
      </w:r>
      <w:r w:rsidRPr="001F63BA">
        <w:rPr>
          <w:rFonts w:ascii="GHEA Grapalat" w:hAnsi="GHEA Grapalat" w:cs="Times Armenian"/>
          <w:sz w:val="22"/>
          <w:szCs w:val="22"/>
        </w:rPr>
        <w:t xml:space="preserve">երի ծավալների փոփոխության և </w:t>
      </w:r>
      <w:r w:rsidRPr="001F63BA">
        <w:rPr>
          <w:rFonts w:ascii="GHEA Grapalat" w:hAnsi="GHEA Grapalat" w:cs="Times Armenian"/>
          <w:sz w:val="22"/>
          <w:szCs w:val="22"/>
        </w:rPr>
        <w:lastRenderedPageBreak/>
        <w:t xml:space="preserve">պայմանագրի կատարման ժամկետների վերանայման: </w:t>
      </w:r>
      <w:r w:rsidRPr="001F63BA">
        <w:rPr>
          <w:rFonts w:ascii="GHEA Grapalat" w:hAnsi="GHEA Grapalat" w:cs="Times Armenian"/>
          <w:sz w:val="22"/>
          <w:szCs w:val="22"/>
          <w:lang w:val="en-US"/>
        </w:rPr>
        <w:t>Այս միջոցառման շրջանակներում հաշվետու ժամանակահատվածում օգտագործվել է շուրջ 254 մլն դրամ կամ նախատեսված միջոցների 49.6%</w:t>
      </w:r>
      <w:r w:rsidRPr="001F63BA">
        <w:rPr>
          <w:rFonts w:ascii="GHEA Grapalat" w:hAnsi="GHEA Grapalat" w:cs="Times Armenian"/>
          <w:sz w:val="22"/>
          <w:szCs w:val="22"/>
          <w:lang w:val="en-US"/>
        </w:rPr>
        <w:noBreakHyphen/>
        <w:t xml:space="preserve">ը: </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lang w:val="en-US"/>
        </w:rPr>
        <w:t xml:space="preserve">«Էլեկտրոնային ռեսուրսների ստեղծման կամ արդիականացման նախագծերի ապահովում» միջոցառման շրջանակներում ՀՀ դատական և իրավական բարեփոխումների 2022-2026 թվականների ռազմավարությունից բխող գործողությունների ծրագրով նախատեսված՝ «Էլեկտրոնային դատարան» դատական գործերի էլեկտրոնային կառավարման միասնական համակարգի՝ քաղաքացիական գործերով էլեկտրոնային մոդուլի մշակման, ներդրման և գործարկման նպատակով հաշվետու տարվա հունիսի 13-ին ՀՀ արդարադատության նախարարության և «Մեյսիս Ինֆորմեյշն Սիսթեմս ՍՊԸ»-ի միջև կնքվել է պայմանագիր, որը, սակայն, ամբողջ ծավալով չի կատարվել։ Տվյալ միջոցառման շրջանակներում հաշվետու ժամանակահատվածում օգտագործվել է 177.8 մլն դրամ կամ նախատեսված միջոցների 34.1%-ը, որն ուղղվել է 2021 թվականին կնքված էլեկտրոնային սնանկության համակարգի ձեռքբերման համար կնքված պայմանագրով ձեռքբերված </w:t>
      </w:r>
      <w:r w:rsidRPr="001F63BA">
        <w:rPr>
          <w:rFonts w:ascii="GHEA Grapalat" w:hAnsi="GHEA Grapalat" w:cs="Sylfaen"/>
          <w:sz w:val="22"/>
          <w:szCs w:val="22"/>
          <w:lang w:val="en-US"/>
        </w:rPr>
        <w:t xml:space="preserve">և 2022 թվականին վճարման ենթակա </w:t>
      </w:r>
      <w:r w:rsidRPr="001F63BA">
        <w:rPr>
          <w:rFonts w:ascii="GHEA Grapalat" w:hAnsi="GHEA Grapalat" w:cs="Sylfaen"/>
          <w:sz w:val="22"/>
          <w:szCs w:val="22"/>
        </w:rPr>
        <w:t>պարտավորությունների մարմանը</w:t>
      </w:r>
      <w:r w:rsidRPr="001F63BA">
        <w:rPr>
          <w:rFonts w:ascii="GHEA Grapalat" w:hAnsi="GHEA Grapalat" w:cs="Times Armenian"/>
          <w:sz w:val="22"/>
          <w:szCs w:val="22"/>
          <w:lang w:val="en-US"/>
        </w:rPr>
        <w:t>։</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rPr>
        <w:t xml:space="preserve">Հակակոռուպցիոն կոմիտեի տեխնիկական հագեցվածության ապահովման համար </w:t>
      </w:r>
      <w:r w:rsidRPr="001F63BA">
        <w:rPr>
          <w:rFonts w:ascii="GHEA Grapalat" w:hAnsi="GHEA Grapalat" w:cs="Times Armenian"/>
          <w:sz w:val="22"/>
          <w:szCs w:val="22"/>
          <w:lang w:val="en-US"/>
        </w:rPr>
        <w:t xml:space="preserve">օգտագործվել է նախատեսված միջոցների 75.7%-ը կամ 310 մլն դրամ: Ծրագրից շեղումն </w:t>
      </w:r>
      <w:r w:rsidRPr="001F63BA">
        <w:rPr>
          <w:rFonts w:ascii="GHEA Grapalat" w:hAnsi="GHEA Grapalat" w:cs="Times Armenian"/>
          <w:sz w:val="22"/>
          <w:szCs w:val="22"/>
        </w:rPr>
        <w:t xml:space="preserve">առաջացել է գնումների արդյունքում առաջացած տնտեսումների, ինչպես նաև հայտարարված մրցույթների չկայանալու հետևանքով։ </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rPr>
        <w:t xml:space="preserve">ՀՀ արդարադատության նախարարության կողմից իրականացված այլ ծրագրերին տրամադրված </w:t>
      </w:r>
      <w:r w:rsidRPr="001F63BA">
        <w:rPr>
          <w:rFonts w:ascii="GHEA Grapalat" w:hAnsi="GHEA Grapalat" w:cs="Times Armenian"/>
          <w:sz w:val="22"/>
          <w:szCs w:val="22"/>
          <w:lang w:val="en-US"/>
        </w:rPr>
        <w:t>4</w:t>
      </w:r>
      <w:r w:rsidRPr="001F63BA">
        <w:rPr>
          <w:rFonts w:ascii="GHEA Grapalat" w:hAnsi="GHEA Grapalat" w:cs="Times Armenian"/>
          <w:sz w:val="22"/>
          <w:szCs w:val="22"/>
        </w:rPr>
        <w:t>.</w:t>
      </w:r>
      <w:r w:rsidRPr="001F63BA">
        <w:rPr>
          <w:rFonts w:ascii="GHEA Grapalat" w:hAnsi="GHEA Grapalat" w:cs="Times Armenian"/>
          <w:sz w:val="22"/>
          <w:szCs w:val="22"/>
          <w:lang w:val="en-US"/>
        </w:rPr>
        <w:t>9</w:t>
      </w:r>
      <w:r w:rsidRPr="001F63BA">
        <w:rPr>
          <w:rFonts w:ascii="GHEA Grapalat" w:hAnsi="GHEA Grapalat" w:cs="Times Armenian"/>
          <w:sz w:val="22"/>
          <w:szCs w:val="22"/>
        </w:rPr>
        <w:t xml:space="preserve"> մլրդ դրամից 1.</w:t>
      </w:r>
      <w:r w:rsidRPr="001F63BA">
        <w:rPr>
          <w:rFonts w:ascii="GHEA Grapalat" w:hAnsi="GHEA Grapalat" w:cs="Times Armenian"/>
          <w:sz w:val="22"/>
          <w:szCs w:val="22"/>
          <w:lang w:val="en-US"/>
        </w:rPr>
        <w:t>6</w:t>
      </w:r>
      <w:r w:rsidRPr="001F63BA">
        <w:rPr>
          <w:rFonts w:ascii="GHEA Grapalat" w:hAnsi="GHEA Grapalat" w:cs="Times Armenian"/>
          <w:sz w:val="22"/>
          <w:szCs w:val="22"/>
        </w:rPr>
        <w:t xml:space="preserve"> մլրդ դրամն ուղղվել է </w:t>
      </w:r>
      <w:r w:rsidRPr="001F63BA">
        <w:rPr>
          <w:rFonts w:ascii="GHEA Grapalat" w:hAnsi="GHEA Grapalat" w:cs="Times Armenian"/>
          <w:i/>
          <w:sz w:val="22"/>
          <w:szCs w:val="22"/>
        </w:rPr>
        <w:t>Դատական և հանրային պաշտպանության</w:t>
      </w:r>
      <w:r w:rsidRPr="001F63BA">
        <w:rPr>
          <w:rFonts w:ascii="GHEA Grapalat" w:hAnsi="GHEA Grapalat" w:cs="Times Armenian"/>
          <w:sz w:val="22"/>
          <w:szCs w:val="22"/>
        </w:rPr>
        <w:t xml:space="preserve"> ծրագրին, որ</w:t>
      </w:r>
      <w:r w:rsidRPr="001F63BA">
        <w:rPr>
          <w:rFonts w:ascii="GHEA Grapalat" w:hAnsi="GHEA Grapalat" w:cs="Times Armenian"/>
          <w:sz w:val="22"/>
          <w:szCs w:val="22"/>
          <w:lang w:val="en-US"/>
        </w:rPr>
        <w:t xml:space="preserve">ը </w:t>
      </w:r>
      <w:r w:rsidRPr="001F63BA">
        <w:rPr>
          <w:rFonts w:ascii="GHEA Grapalat" w:hAnsi="GHEA Grapalat" w:cs="Times Armenian"/>
          <w:sz w:val="22"/>
          <w:szCs w:val="22"/>
        </w:rPr>
        <w:t>կատարվել է</w:t>
      </w:r>
      <w:r w:rsidRPr="001F63BA">
        <w:rPr>
          <w:rFonts w:ascii="GHEA Grapalat" w:hAnsi="GHEA Grapalat" w:cs="Times Armenian"/>
          <w:sz w:val="22"/>
          <w:szCs w:val="22"/>
          <w:lang w:val="en-US"/>
        </w:rPr>
        <w:t xml:space="preserve"> 96.9%-ով</w:t>
      </w:r>
      <w:r w:rsidRPr="001F63BA">
        <w:rPr>
          <w:rFonts w:ascii="GHEA Grapalat" w:hAnsi="GHEA Grapalat" w:cs="Times Armenian"/>
          <w:sz w:val="22"/>
          <w:szCs w:val="22"/>
        </w:rPr>
        <w:t xml:space="preserve">: </w:t>
      </w:r>
      <w:r w:rsidRPr="001F63BA">
        <w:rPr>
          <w:rFonts w:ascii="GHEA Grapalat" w:hAnsi="GHEA Grapalat" w:cs="Times Armenian"/>
          <w:sz w:val="22"/>
          <w:szCs w:val="22"/>
          <w:lang w:val="en-US"/>
        </w:rPr>
        <w:t>Շեղումը հիմնականում արձանագրվել է Փորձագիտական կենտրոնի նյութատեխնիկական հագեցվածության ապահովման ծախսերում: Գումարը հատկացվել է կնքված պայմանագրերին համապատասխան սարքավորումների մատակարարման նպատակով։ Նախորդ</w:t>
      </w:r>
      <w:r w:rsidRPr="001F63BA">
        <w:rPr>
          <w:rFonts w:ascii="GHEA Grapalat" w:hAnsi="GHEA Grapalat" w:cs="Times Armenian"/>
          <w:sz w:val="22"/>
          <w:szCs w:val="22"/>
        </w:rPr>
        <w:t xml:space="preserve"> տարվա համեմատ Դատական և հանրային պաշտպանության</w:t>
      </w:r>
      <w:r w:rsidRPr="001F63BA">
        <w:rPr>
          <w:rFonts w:ascii="GHEA Grapalat" w:hAnsi="GHEA Grapalat" w:cs="Times Armenian"/>
          <w:sz w:val="22"/>
          <w:szCs w:val="22"/>
          <w:lang w:val="en-US"/>
        </w:rPr>
        <w:t xml:space="preserve"> ծրագրի</w:t>
      </w:r>
      <w:r w:rsidRPr="001F63BA">
        <w:rPr>
          <w:rFonts w:ascii="GHEA Grapalat" w:hAnsi="GHEA Grapalat" w:cs="Times Armenian"/>
          <w:sz w:val="22"/>
          <w:szCs w:val="22"/>
        </w:rPr>
        <w:t xml:space="preserve"> ծախսերն աճել են </w:t>
      </w:r>
      <w:r w:rsidRPr="001F63BA">
        <w:rPr>
          <w:rFonts w:ascii="GHEA Grapalat" w:hAnsi="GHEA Grapalat" w:cs="Times Armenian"/>
          <w:sz w:val="22"/>
          <w:szCs w:val="22"/>
          <w:lang w:val="en-US"/>
        </w:rPr>
        <w:t>50.6</w:t>
      </w:r>
      <w:r w:rsidRPr="001F63BA">
        <w:rPr>
          <w:rFonts w:ascii="GHEA Grapalat" w:hAnsi="GHEA Grapalat" w:cs="Times Armenian"/>
          <w:sz w:val="22"/>
          <w:szCs w:val="22"/>
        </w:rPr>
        <w:t xml:space="preserve">%-ով կամ </w:t>
      </w:r>
      <w:r w:rsidRPr="001F63BA">
        <w:rPr>
          <w:rFonts w:ascii="GHEA Grapalat" w:hAnsi="GHEA Grapalat" w:cs="Times Armenian"/>
          <w:sz w:val="22"/>
          <w:szCs w:val="22"/>
          <w:lang w:val="en-US"/>
        </w:rPr>
        <w:t>536</w:t>
      </w:r>
      <w:r w:rsidRPr="001F63BA">
        <w:rPr>
          <w:rFonts w:ascii="GHEA Grapalat" w:hAnsi="GHEA Grapalat" w:cs="Times Armenian"/>
          <w:sz w:val="22"/>
          <w:szCs w:val="22"/>
        </w:rPr>
        <w:t xml:space="preserve"> մլն դրամով՝ հիմնականում պայմանավորված Փորձաքննությունների ծառայությունների տրամադր</w:t>
      </w:r>
      <w:r w:rsidRPr="001F63BA">
        <w:rPr>
          <w:rFonts w:ascii="GHEA Grapalat" w:hAnsi="GHEA Grapalat" w:cs="Times Armenian"/>
          <w:sz w:val="22"/>
          <w:szCs w:val="22"/>
          <w:lang w:val="en-US"/>
        </w:rPr>
        <w:t>ման ծախսերի աճով, որոնք կազմել են</w:t>
      </w:r>
      <w:r w:rsidRPr="001F63BA">
        <w:rPr>
          <w:rFonts w:ascii="GHEA Grapalat" w:hAnsi="GHEA Grapalat" w:cs="Times Armenian"/>
          <w:sz w:val="22"/>
          <w:szCs w:val="22"/>
        </w:rPr>
        <w:t xml:space="preserve"> </w:t>
      </w:r>
      <w:r w:rsidRPr="001F63BA">
        <w:rPr>
          <w:rFonts w:ascii="GHEA Grapalat" w:hAnsi="GHEA Grapalat" w:cs="Times Armenian"/>
          <w:sz w:val="22"/>
          <w:szCs w:val="22"/>
          <w:lang w:val="en-US"/>
        </w:rPr>
        <w:t>716.1</w:t>
      </w:r>
      <w:r w:rsidRPr="001F63BA">
        <w:rPr>
          <w:rFonts w:ascii="GHEA Grapalat" w:hAnsi="GHEA Grapalat" w:cs="Times Armenian"/>
          <w:sz w:val="22"/>
          <w:szCs w:val="22"/>
        </w:rPr>
        <w:t xml:space="preserve"> մլն</w:t>
      </w:r>
      <w:r w:rsidRPr="001F63BA">
        <w:rPr>
          <w:rFonts w:ascii="GHEA Grapalat" w:hAnsi="GHEA Grapalat" w:cs="Times Armenian"/>
          <w:sz w:val="22"/>
          <w:szCs w:val="22"/>
          <w:lang w:val="en-US"/>
        </w:rPr>
        <w:t xml:space="preserve">՝ 2.7 անգամ գերազանցելով 2021 թվականի ցուցանիշը: Միջոցառման շրջանակներում կատարվել է </w:t>
      </w:r>
      <w:bookmarkStart w:id="248" w:name="_Hlk128063677"/>
      <w:r w:rsidRPr="001F63BA">
        <w:rPr>
          <w:rFonts w:ascii="GHEA Grapalat" w:hAnsi="GHEA Grapalat" w:cs="Times Armenian"/>
          <w:sz w:val="22"/>
          <w:szCs w:val="22"/>
          <w:lang w:val="en-US"/>
        </w:rPr>
        <w:t>10611 փորձաքննությ</w:t>
      </w:r>
      <w:bookmarkEnd w:id="248"/>
      <w:r w:rsidRPr="001F63BA">
        <w:rPr>
          <w:rFonts w:ascii="GHEA Grapalat" w:hAnsi="GHEA Grapalat" w:cs="Times Armenian"/>
          <w:sz w:val="22"/>
          <w:szCs w:val="22"/>
          <w:lang w:val="en-US"/>
        </w:rPr>
        <w:t>ուն՝ նախորդ տարվա 6337-ի դիմաց</w:t>
      </w:r>
      <w:r w:rsidRPr="001F63BA">
        <w:rPr>
          <w:rFonts w:ascii="GHEA Grapalat" w:hAnsi="GHEA Grapalat" w:cs="Times Armenian"/>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Times Armenian"/>
          <w:sz w:val="22"/>
          <w:szCs w:val="22"/>
        </w:rPr>
      </w:pP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i/>
          <w:sz w:val="22"/>
          <w:szCs w:val="22"/>
          <w:u w:val="single"/>
        </w:rPr>
        <w:t>ՀՀ Էկոնոմիկայի նախարարության</w:t>
      </w:r>
      <w:r w:rsidRPr="001F63BA">
        <w:rPr>
          <w:rFonts w:ascii="GHEA Grapalat" w:hAnsi="GHEA Grapalat" w:cs="GHEA Grapalat"/>
          <w:sz w:val="22"/>
          <w:szCs w:val="22"/>
        </w:rPr>
        <w:t xml:space="preserve"> </w:t>
      </w:r>
      <w:r w:rsidRPr="001F63BA">
        <w:rPr>
          <w:rFonts w:ascii="GHEA Grapalat" w:hAnsi="GHEA Grapalat" w:cs="Times Armenian"/>
          <w:sz w:val="22"/>
          <w:szCs w:val="22"/>
        </w:rPr>
        <w:t>պատասխանատվությամբ 202</w:t>
      </w:r>
      <w:r w:rsidRPr="001F63BA">
        <w:rPr>
          <w:rFonts w:ascii="GHEA Grapalat" w:hAnsi="GHEA Grapalat" w:cs="Times Armenian"/>
          <w:sz w:val="22"/>
          <w:szCs w:val="22"/>
          <w:lang w:val="en-US"/>
        </w:rPr>
        <w:t>2</w:t>
      </w:r>
      <w:r w:rsidRPr="001F63BA">
        <w:rPr>
          <w:rFonts w:ascii="GHEA Grapalat" w:hAnsi="GHEA Grapalat" w:cs="GHEA Grapalat"/>
          <w:sz w:val="22"/>
          <w:szCs w:val="22"/>
        </w:rPr>
        <w:t xml:space="preserve"> թվականի </w:t>
      </w:r>
      <w:r w:rsidRPr="001F63BA">
        <w:rPr>
          <w:rFonts w:ascii="GHEA Grapalat" w:hAnsi="GHEA Grapalat" w:cs="Sylfaen"/>
          <w:sz w:val="22"/>
          <w:szCs w:val="22"/>
        </w:rPr>
        <w:t>ընթացք</w:t>
      </w:r>
      <w:r w:rsidRPr="001F63BA">
        <w:rPr>
          <w:rFonts w:ascii="GHEA Grapalat" w:hAnsi="GHEA Grapalat" w:cs="GHEA Grapalat"/>
          <w:sz w:val="22"/>
          <w:szCs w:val="22"/>
        </w:rPr>
        <w:t>ում կատարվել է պետական բյուջեի 1</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ծրագիր: Ծախսերը կազմել են </w:t>
      </w:r>
      <w:r w:rsidRPr="001F63BA">
        <w:rPr>
          <w:rFonts w:ascii="GHEA Grapalat" w:hAnsi="GHEA Grapalat" w:cs="GHEA Grapalat"/>
          <w:sz w:val="22"/>
          <w:szCs w:val="22"/>
          <w:lang w:val="en-US"/>
        </w:rPr>
        <w:t>53.1</w:t>
      </w:r>
      <w:r w:rsidRPr="001F63BA">
        <w:rPr>
          <w:rFonts w:ascii="GHEA Grapalat" w:hAnsi="GHEA Grapalat" w:cs="GHEA Grapalat"/>
          <w:sz w:val="22"/>
          <w:szCs w:val="22"/>
        </w:rPr>
        <w:t xml:space="preserve"> մլրդ դրամ կամ նախատեսվածի 9</w:t>
      </w:r>
      <w:r w:rsidRPr="001F63BA">
        <w:rPr>
          <w:rFonts w:ascii="GHEA Grapalat" w:hAnsi="GHEA Grapalat" w:cs="GHEA Grapalat"/>
          <w:sz w:val="22"/>
          <w:szCs w:val="22"/>
          <w:lang w:val="en-US"/>
        </w:rPr>
        <w:t>5.3</w:t>
      </w:r>
      <w:r w:rsidRPr="001F63BA">
        <w:rPr>
          <w:rFonts w:ascii="GHEA Grapalat" w:hAnsi="GHEA Grapalat" w:cs="GHEA Grapalat"/>
          <w:sz w:val="22"/>
          <w:szCs w:val="22"/>
        </w:rPr>
        <w:t>%</w:t>
      </w:r>
      <w:r w:rsidRPr="001F63BA">
        <w:rPr>
          <w:rFonts w:ascii="GHEA Grapalat" w:hAnsi="GHEA Grapalat" w:cs="GHEA Grapalat"/>
          <w:sz w:val="22"/>
          <w:szCs w:val="22"/>
        </w:rPr>
        <w:noBreakHyphen/>
        <w:t>ը: Ծրագրված ցուցանիշից շեղումը հիմնականում պայմանավորված է Զբոսաշրջության զարգացման, Բուսաբուծության խթանմ</w:t>
      </w:r>
      <w:r w:rsidRPr="001F63BA">
        <w:rPr>
          <w:rFonts w:ascii="GHEA Grapalat" w:hAnsi="GHEA Grapalat" w:cs="GHEA Grapalat"/>
          <w:sz w:val="22"/>
          <w:szCs w:val="22"/>
          <w:lang w:val="en-US"/>
        </w:rPr>
        <w:t>ան</w:t>
      </w:r>
      <w:r w:rsidRPr="001F63BA">
        <w:rPr>
          <w:rFonts w:ascii="GHEA Grapalat" w:hAnsi="GHEA Grapalat" w:cs="GHEA Grapalat"/>
          <w:sz w:val="22"/>
          <w:szCs w:val="22"/>
        </w:rPr>
        <w:t xml:space="preserve"> և բույսերի պաշտպանությ</w:t>
      </w:r>
      <w:r w:rsidRPr="001F63BA">
        <w:rPr>
          <w:rFonts w:ascii="GHEA Grapalat" w:hAnsi="GHEA Grapalat" w:cs="GHEA Grapalat"/>
          <w:sz w:val="22"/>
          <w:szCs w:val="22"/>
          <w:lang w:val="en-US"/>
        </w:rPr>
        <w:t>ա</w:t>
      </w:r>
      <w:r w:rsidRPr="001F63BA">
        <w:rPr>
          <w:rFonts w:ascii="GHEA Grapalat" w:hAnsi="GHEA Grapalat" w:cs="GHEA Grapalat"/>
          <w:sz w:val="22"/>
          <w:szCs w:val="22"/>
        </w:rPr>
        <w:t>ն</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ինչպես նաև </w:t>
      </w:r>
      <w:r w:rsidRPr="001F63BA">
        <w:rPr>
          <w:rFonts w:ascii="GHEA Grapalat" w:hAnsi="GHEA Grapalat" w:cs="GHEA Grapalat"/>
          <w:sz w:val="22"/>
          <w:szCs w:val="22"/>
          <w:lang w:val="en-US"/>
        </w:rPr>
        <w:lastRenderedPageBreak/>
        <w:t xml:space="preserve">Ենթակառուցվածքների և գյուղական ֆինանսավորման աջակցության </w:t>
      </w:r>
      <w:r w:rsidRPr="001F63BA">
        <w:rPr>
          <w:rFonts w:ascii="GHEA Grapalat" w:hAnsi="GHEA Grapalat" w:cs="GHEA Grapalat"/>
          <w:sz w:val="22"/>
          <w:szCs w:val="22"/>
        </w:rPr>
        <w:t>ծրագրերի կատարողականով:</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Նախորդ տարվա համեմատ ՀՀ Էկոնոմիկայի նախարարության պատասխանատվությամբ իրականացվող ծրագրերի գծով ծախսեր</w:t>
      </w:r>
      <w:r w:rsidRPr="001F63BA">
        <w:rPr>
          <w:rFonts w:ascii="GHEA Grapalat" w:hAnsi="GHEA Grapalat" w:cs="GHEA Grapalat"/>
          <w:sz w:val="22"/>
          <w:szCs w:val="22"/>
          <w:lang w:val="en-US"/>
        </w:rPr>
        <w:t>ն աճել են</w:t>
      </w:r>
      <w:r w:rsidRPr="001F63BA">
        <w:rPr>
          <w:rFonts w:ascii="GHEA Grapalat" w:hAnsi="GHEA Grapalat" w:cs="GHEA Grapalat"/>
          <w:sz w:val="22"/>
          <w:szCs w:val="22"/>
        </w:rPr>
        <w:t xml:space="preserve"> 2</w:t>
      </w:r>
      <w:r w:rsidRPr="001F63BA">
        <w:rPr>
          <w:rFonts w:ascii="GHEA Grapalat" w:hAnsi="GHEA Grapalat" w:cs="GHEA Grapalat"/>
          <w:sz w:val="22"/>
          <w:szCs w:val="22"/>
          <w:lang w:val="en-US"/>
        </w:rPr>
        <w:t>2.4</w:t>
      </w:r>
      <w:r w:rsidRPr="001F63BA">
        <w:rPr>
          <w:rFonts w:ascii="GHEA Grapalat" w:hAnsi="GHEA Grapalat" w:cs="GHEA Grapalat"/>
          <w:sz w:val="22"/>
          <w:szCs w:val="22"/>
        </w:rPr>
        <w:t>%</w:t>
      </w:r>
      <w:r w:rsidRPr="001F63BA">
        <w:rPr>
          <w:rFonts w:ascii="GHEA Grapalat" w:hAnsi="GHEA Grapalat" w:cs="GHEA Grapalat"/>
          <w:sz w:val="22"/>
          <w:szCs w:val="22"/>
        </w:rPr>
        <w:noBreakHyphen/>
        <w:t>ով կամ 9.</w:t>
      </w:r>
      <w:r w:rsidRPr="001F63BA">
        <w:rPr>
          <w:rFonts w:ascii="GHEA Grapalat" w:hAnsi="GHEA Grapalat" w:cs="GHEA Grapalat"/>
          <w:sz w:val="22"/>
          <w:szCs w:val="22"/>
          <w:lang w:val="en-US"/>
        </w:rPr>
        <w:t>7</w:t>
      </w:r>
      <w:r w:rsidRPr="001F63BA">
        <w:rPr>
          <w:rFonts w:ascii="GHEA Grapalat" w:hAnsi="GHEA Grapalat" w:cs="GHEA Grapalat"/>
          <w:sz w:val="22"/>
          <w:szCs w:val="22"/>
        </w:rPr>
        <w:t xml:space="preserve"> մլրդ դրամով</w:t>
      </w:r>
      <w:r w:rsidRPr="001F63BA">
        <w:rPr>
          <w:rFonts w:ascii="GHEA Grapalat" w:hAnsi="GHEA Grapalat" w:cs="GHEA Grapalat"/>
          <w:sz w:val="22"/>
          <w:szCs w:val="22"/>
          <w:lang w:val="en-US"/>
        </w:rPr>
        <w:t>, ինչ</w:t>
      </w:r>
      <w:r w:rsidRPr="001F63BA">
        <w:rPr>
          <w:rFonts w:ascii="GHEA Grapalat" w:hAnsi="GHEA Grapalat" w:cs="GHEA Grapalat"/>
          <w:sz w:val="22"/>
          <w:szCs w:val="22"/>
        </w:rPr>
        <w:t>ը հիմնականում պայմանավորված է Գյուղատնտեսության արդիականացման</w:t>
      </w:r>
      <w:r w:rsidRPr="001F63BA">
        <w:rPr>
          <w:rFonts w:ascii="GHEA Grapalat" w:hAnsi="GHEA Grapalat" w:cs="GHEA Grapalat"/>
          <w:sz w:val="22"/>
          <w:szCs w:val="22"/>
          <w:lang w:val="en-US"/>
        </w:rPr>
        <w:t xml:space="preserve"> ու </w:t>
      </w:r>
      <w:r w:rsidRPr="001F63BA">
        <w:rPr>
          <w:rFonts w:ascii="GHEA Grapalat" w:hAnsi="GHEA Grapalat" w:cs="GHEA Grapalat"/>
          <w:sz w:val="22"/>
          <w:szCs w:val="22"/>
        </w:rPr>
        <w:t>Գյուղատնտեսության խթանման ծրագրերի շրջանակներում կատարված ծախսերի աճով:</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BB1B4B">
      <w:pPr>
        <w:keepNext/>
        <w:numPr>
          <w:ilvl w:val="0"/>
          <w:numId w:val="34"/>
        </w:numPr>
        <w:tabs>
          <w:tab w:val="left" w:pos="1080"/>
          <w:tab w:val="left" w:pos="1276"/>
        </w:tabs>
        <w:spacing w:before="120" w:after="120"/>
        <w:ind w:left="360"/>
        <w:rPr>
          <w:rFonts w:ascii="GHEA Grapalat" w:hAnsi="GHEA Grapalat"/>
          <w:b/>
          <w:bCs/>
          <w:i/>
          <w:noProof w:val="0"/>
          <w:sz w:val="18"/>
          <w:szCs w:val="18"/>
          <w:lang w:val="pt-BR"/>
        </w:rPr>
      </w:pPr>
      <w:r w:rsidRPr="001F63BA">
        <w:rPr>
          <w:rFonts w:ascii="GHEA Grapalat" w:hAnsi="GHEA Grapalat"/>
          <w:b/>
          <w:bCs/>
          <w:i/>
          <w:noProof w:val="0"/>
          <w:sz w:val="18"/>
          <w:szCs w:val="18"/>
          <w:lang w:val="pt-BR"/>
        </w:rPr>
        <w:t>2022թ. ՀՀ էկոնոմիկայի նախարարության կողմից իրականացված ծրագրերը (մլն դրամ)</w:t>
      </w: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992"/>
        <w:gridCol w:w="992"/>
        <w:gridCol w:w="993"/>
        <w:gridCol w:w="1212"/>
        <w:gridCol w:w="1203"/>
        <w:gridCol w:w="1098"/>
      </w:tblGrid>
      <w:tr w:rsidR="001C411D" w:rsidRPr="001F63BA" w:rsidTr="003B2D6D">
        <w:trPr>
          <w:trHeight w:val="300"/>
          <w:jc w:val="center"/>
        </w:trPr>
        <w:tc>
          <w:tcPr>
            <w:tcW w:w="3686" w:type="dxa"/>
            <w:noWrap/>
            <w:vAlign w:val="bottom"/>
          </w:tcPr>
          <w:p w:rsidR="001C411D" w:rsidRPr="001F63BA" w:rsidRDefault="001C411D" w:rsidP="00B40859">
            <w:pPr>
              <w:ind w:left="-228"/>
              <w:rPr>
                <w:noProof w:val="0"/>
                <w:sz w:val="20"/>
                <w:szCs w:val="20"/>
                <w:lang w:val="en-US"/>
              </w:rPr>
            </w:pPr>
          </w:p>
        </w:tc>
        <w:tc>
          <w:tcPr>
            <w:tcW w:w="992"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2021թ. փաստ</w:t>
            </w:r>
          </w:p>
        </w:tc>
        <w:tc>
          <w:tcPr>
            <w:tcW w:w="992"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993" w:type="dxa"/>
            <w:noWrap/>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12" w:type="dxa"/>
          </w:tcPr>
          <w:p w:rsidR="001C411D" w:rsidRPr="001F63BA" w:rsidRDefault="001C411D" w:rsidP="007A08E5">
            <w:pPr>
              <w:jc w:val="center"/>
              <w:rPr>
                <w:rFonts w:ascii="GHEA Grapalat" w:hAnsi="GHEA Grapalat" w:cs="Calibri"/>
                <w:b/>
                <w:sz w:val="18"/>
                <w:szCs w:val="18"/>
              </w:rPr>
            </w:pPr>
            <w:r w:rsidRPr="001F63BA">
              <w:rPr>
                <w:rFonts w:ascii="GHEA Grapalat" w:hAnsi="GHEA Grapalat" w:cs="Calibri"/>
                <w:b/>
                <w:bCs/>
                <w:sz w:val="18"/>
                <w:szCs w:val="18"/>
              </w:rPr>
              <w:t>Կատարո</w:t>
            </w:r>
            <w:r w:rsidRPr="001F63BA">
              <w:rPr>
                <w:rFonts w:ascii="GHEA Grapalat" w:hAnsi="GHEA Grapalat" w:cs="Calibri"/>
                <w:b/>
                <w:bCs/>
                <w:sz w:val="18"/>
                <w:szCs w:val="18"/>
                <w:lang w:val="en-US"/>
              </w:rPr>
              <w:t>-</w:t>
            </w:r>
            <w:r w:rsidRPr="001F63BA">
              <w:rPr>
                <w:rFonts w:ascii="GHEA Grapalat" w:hAnsi="GHEA Grapalat" w:cs="Calibri"/>
                <w:b/>
                <w:bCs/>
                <w:sz w:val="18"/>
                <w:szCs w:val="18"/>
              </w:rPr>
              <w:t xml:space="preserve">ղականը ճշտված պլանի նկատմամբ </w:t>
            </w:r>
            <w:r w:rsidRPr="001F63BA">
              <w:rPr>
                <w:rFonts w:ascii="GHEA Grapalat" w:hAnsi="GHEA Grapalat"/>
                <w:b/>
                <w:sz w:val="18"/>
                <w:szCs w:val="18"/>
              </w:rPr>
              <w:t>(</w:t>
            </w:r>
            <w:r w:rsidRPr="001F63BA">
              <w:rPr>
                <w:rFonts w:ascii="GHEA Grapalat" w:hAnsi="GHEA Grapalat" w:cs="Calibri"/>
                <w:b/>
                <w:sz w:val="18"/>
                <w:szCs w:val="18"/>
              </w:rPr>
              <w:t>%</w:t>
            </w:r>
            <w:r w:rsidRPr="001F63BA">
              <w:rPr>
                <w:rFonts w:ascii="GHEA Grapalat" w:hAnsi="GHEA Grapalat"/>
                <w:b/>
                <w:sz w:val="18"/>
                <w:szCs w:val="18"/>
              </w:rPr>
              <w:t>)</w:t>
            </w:r>
          </w:p>
        </w:tc>
        <w:tc>
          <w:tcPr>
            <w:tcW w:w="1203" w:type="dxa"/>
          </w:tcPr>
          <w:p w:rsidR="001C411D" w:rsidRPr="001F63BA" w:rsidRDefault="001C411D" w:rsidP="007A08E5">
            <w:pPr>
              <w:jc w:val="center"/>
              <w:rPr>
                <w:rFonts w:ascii="GHEA Grapalat" w:hAnsi="GHEA Grapalat" w:cs="Calibri"/>
                <w:b/>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թ-ի նկատմամբ</w:t>
            </w:r>
            <w:r w:rsidRPr="001F63BA">
              <w:rPr>
                <w:rFonts w:ascii="GHEA Grapalat" w:hAnsi="GHEA Grapalat" w:cs="Calibri"/>
                <w:b/>
                <w:sz w:val="18"/>
                <w:szCs w:val="18"/>
                <w:lang w:val="en-US"/>
              </w:rPr>
              <w:t xml:space="preserve"> </w:t>
            </w:r>
            <w:r w:rsidRPr="001F63BA">
              <w:rPr>
                <w:rFonts w:ascii="GHEA Grapalat" w:hAnsi="GHEA Grapalat"/>
                <w:b/>
                <w:sz w:val="18"/>
                <w:szCs w:val="18"/>
              </w:rPr>
              <w:t>(</w:t>
            </w:r>
            <w:r w:rsidRPr="001F63BA">
              <w:rPr>
                <w:rFonts w:ascii="GHEA Grapalat" w:hAnsi="GHEA Grapalat" w:cs="Calibri"/>
                <w:b/>
                <w:sz w:val="18"/>
                <w:szCs w:val="18"/>
              </w:rPr>
              <w:t>%</w:t>
            </w:r>
            <w:r w:rsidRPr="001F63BA">
              <w:rPr>
                <w:rFonts w:ascii="GHEA Grapalat" w:hAnsi="GHEA Grapalat"/>
                <w:b/>
                <w:sz w:val="18"/>
                <w:szCs w:val="18"/>
              </w:rPr>
              <w:t>)</w:t>
            </w:r>
          </w:p>
        </w:tc>
        <w:tc>
          <w:tcPr>
            <w:tcW w:w="1098"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bCs/>
                <w:sz w:val="18"/>
                <w:szCs w:val="18"/>
              </w:rPr>
              <w:t>2022թ. և 2021թ. տարբե-րությունը</w:t>
            </w:r>
          </w:p>
        </w:tc>
      </w:tr>
      <w:tr w:rsidR="001C411D" w:rsidRPr="001F63BA" w:rsidTr="003B2D6D">
        <w:trPr>
          <w:trHeight w:val="331"/>
          <w:jc w:val="center"/>
        </w:trPr>
        <w:tc>
          <w:tcPr>
            <w:tcW w:w="3686" w:type="dxa"/>
            <w:vAlign w:val="bottom"/>
          </w:tcPr>
          <w:p w:rsidR="001C411D" w:rsidRPr="001F63BA" w:rsidRDefault="001C411D" w:rsidP="003B2D6D">
            <w:pPr>
              <w:rPr>
                <w:rFonts w:ascii="GHEA Grapalat" w:hAnsi="GHEA Grapalat" w:cs="Calibri"/>
                <w:b/>
                <w:sz w:val="20"/>
                <w:szCs w:val="20"/>
              </w:rPr>
            </w:pPr>
            <w:r w:rsidRPr="001F63BA">
              <w:rPr>
                <w:rFonts w:ascii="GHEA Grapalat" w:hAnsi="GHEA Grapalat" w:cs="Calibri"/>
                <w:b/>
                <w:sz w:val="20"/>
                <w:szCs w:val="20"/>
              </w:rPr>
              <w:t>ԸՆԴԱՄԵՆԸ</w:t>
            </w:r>
          </w:p>
        </w:tc>
        <w:tc>
          <w:tcPr>
            <w:tcW w:w="992"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43,390.5</w:t>
            </w:r>
          </w:p>
        </w:tc>
        <w:tc>
          <w:tcPr>
            <w:tcW w:w="992"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55,713.4</w:t>
            </w:r>
          </w:p>
        </w:tc>
        <w:tc>
          <w:tcPr>
            <w:tcW w:w="99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53,116.1</w:t>
            </w:r>
          </w:p>
        </w:tc>
        <w:tc>
          <w:tcPr>
            <w:tcW w:w="1212"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95.3</w:t>
            </w:r>
          </w:p>
        </w:tc>
        <w:tc>
          <w:tcPr>
            <w:tcW w:w="120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122.4</w:t>
            </w:r>
          </w:p>
        </w:tc>
        <w:tc>
          <w:tcPr>
            <w:tcW w:w="1098"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9,725.6</w:t>
            </w:r>
          </w:p>
        </w:tc>
      </w:tr>
      <w:tr w:rsidR="001C411D" w:rsidRPr="001F63BA" w:rsidTr="003B2D6D">
        <w:trPr>
          <w:trHeight w:val="331"/>
          <w:jc w:val="center"/>
        </w:trPr>
        <w:tc>
          <w:tcPr>
            <w:tcW w:w="3686" w:type="dxa"/>
            <w:vAlign w:val="bottom"/>
          </w:tcPr>
          <w:p w:rsidR="001C411D" w:rsidRPr="001F63BA" w:rsidRDefault="001C411D" w:rsidP="003B2D6D">
            <w:pPr>
              <w:rPr>
                <w:rFonts w:ascii="GHEA Grapalat" w:hAnsi="GHEA Grapalat"/>
                <w:sz w:val="20"/>
                <w:szCs w:val="20"/>
              </w:rPr>
            </w:pPr>
            <w:r w:rsidRPr="001F63BA">
              <w:rPr>
                <w:rFonts w:ascii="GHEA Grapalat" w:hAnsi="GHEA Grapalat"/>
                <w:sz w:val="20"/>
                <w:szCs w:val="20"/>
              </w:rPr>
              <w:t>Գյուղատնտեսության խթանման ծրագիր</w:t>
            </w:r>
          </w:p>
        </w:tc>
        <w:tc>
          <w:tcPr>
            <w:tcW w:w="99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13,549.5</w:t>
            </w:r>
          </w:p>
        </w:tc>
        <w:tc>
          <w:tcPr>
            <w:tcW w:w="99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20,209.3</w:t>
            </w:r>
          </w:p>
        </w:tc>
        <w:tc>
          <w:tcPr>
            <w:tcW w:w="99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20,177.0</w:t>
            </w:r>
          </w:p>
        </w:tc>
        <w:tc>
          <w:tcPr>
            <w:tcW w:w="121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99.8</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148.9</w:t>
            </w:r>
          </w:p>
        </w:tc>
        <w:tc>
          <w:tcPr>
            <w:tcW w:w="1098"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6,627.6</w:t>
            </w:r>
          </w:p>
        </w:tc>
      </w:tr>
      <w:tr w:rsidR="001C411D" w:rsidRPr="001F63BA" w:rsidTr="003B2D6D">
        <w:trPr>
          <w:trHeight w:val="300"/>
          <w:jc w:val="center"/>
        </w:trPr>
        <w:tc>
          <w:tcPr>
            <w:tcW w:w="3686" w:type="dxa"/>
            <w:vAlign w:val="bottom"/>
          </w:tcPr>
          <w:p w:rsidR="001C411D" w:rsidRPr="001F63BA" w:rsidRDefault="001C411D" w:rsidP="004D6A63">
            <w:pPr>
              <w:rPr>
                <w:rFonts w:ascii="GHEA Grapalat" w:hAnsi="GHEA Grapalat"/>
                <w:sz w:val="20"/>
                <w:szCs w:val="20"/>
              </w:rPr>
            </w:pPr>
            <w:r w:rsidRPr="001F63BA">
              <w:rPr>
                <w:rFonts w:ascii="GHEA Grapalat" w:hAnsi="GHEA Grapalat"/>
                <w:sz w:val="20"/>
                <w:szCs w:val="20"/>
              </w:rPr>
              <w:t>Գյուղական ենթակառուցվածքների վերականգնում և զարգացում</w:t>
            </w:r>
          </w:p>
        </w:tc>
        <w:tc>
          <w:tcPr>
            <w:tcW w:w="99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2,441.6</w:t>
            </w:r>
          </w:p>
        </w:tc>
        <w:tc>
          <w:tcPr>
            <w:tcW w:w="99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lang w:val="en-US"/>
              </w:rPr>
              <w:t>1,741.1</w:t>
            </w:r>
          </w:p>
        </w:tc>
        <w:tc>
          <w:tcPr>
            <w:tcW w:w="993"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1,547.7</w:t>
            </w:r>
          </w:p>
        </w:tc>
        <w:tc>
          <w:tcPr>
            <w:tcW w:w="121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88.9</w:t>
            </w:r>
          </w:p>
        </w:tc>
        <w:tc>
          <w:tcPr>
            <w:tcW w:w="1203"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63.4</w:t>
            </w:r>
          </w:p>
        </w:tc>
        <w:tc>
          <w:tcPr>
            <w:tcW w:w="1098"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(893.9)</w:t>
            </w:r>
          </w:p>
        </w:tc>
      </w:tr>
      <w:tr w:rsidR="001C411D" w:rsidRPr="001F63BA" w:rsidTr="003B2D6D">
        <w:trPr>
          <w:trHeight w:val="300"/>
          <w:jc w:val="center"/>
        </w:trPr>
        <w:tc>
          <w:tcPr>
            <w:tcW w:w="3686" w:type="dxa"/>
            <w:vAlign w:val="bottom"/>
          </w:tcPr>
          <w:p w:rsidR="001C411D" w:rsidRPr="001F63BA" w:rsidRDefault="001C411D" w:rsidP="003B2D6D">
            <w:pPr>
              <w:rPr>
                <w:rFonts w:ascii="GHEA Grapalat" w:hAnsi="GHEA Grapalat"/>
                <w:sz w:val="20"/>
                <w:szCs w:val="20"/>
              </w:rPr>
            </w:pPr>
            <w:r w:rsidRPr="001F63BA">
              <w:rPr>
                <w:rFonts w:ascii="GHEA Grapalat" w:hAnsi="GHEA Grapalat"/>
                <w:sz w:val="20"/>
                <w:szCs w:val="20"/>
              </w:rPr>
              <w:t>Գյուղատնտեսության արդիականացման ծրագիր</w:t>
            </w:r>
          </w:p>
        </w:tc>
        <w:tc>
          <w:tcPr>
            <w:tcW w:w="99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4,266.6</w:t>
            </w:r>
          </w:p>
        </w:tc>
        <w:tc>
          <w:tcPr>
            <w:tcW w:w="99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12,350.9</w:t>
            </w:r>
          </w:p>
        </w:tc>
        <w:tc>
          <w:tcPr>
            <w:tcW w:w="99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12,181.1</w:t>
            </w:r>
          </w:p>
        </w:tc>
        <w:tc>
          <w:tcPr>
            <w:tcW w:w="121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98.6</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285.5</w:t>
            </w:r>
          </w:p>
        </w:tc>
        <w:tc>
          <w:tcPr>
            <w:tcW w:w="1098"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7,914.5</w:t>
            </w:r>
          </w:p>
        </w:tc>
      </w:tr>
      <w:tr w:rsidR="001C411D" w:rsidRPr="001F63BA" w:rsidTr="003B2D6D">
        <w:trPr>
          <w:trHeight w:val="300"/>
          <w:jc w:val="center"/>
        </w:trPr>
        <w:tc>
          <w:tcPr>
            <w:tcW w:w="3686" w:type="dxa"/>
            <w:vAlign w:val="bottom"/>
          </w:tcPr>
          <w:p w:rsidR="001C411D" w:rsidRPr="001F63BA" w:rsidRDefault="001C411D" w:rsidP="003B2D6D">
            <w:pPr>
              <w:rPr>
                <w:rFonts w:ascii="GHEA Grapalat" w:hAnsi="GHEA Grapalat"/>
                <w:sz w:val="20"/>
                <w:szCs w:val="20"/>
              </w:rPr>
            </w:pPr>
            <w:r w:rsidRPr="001F63BA">
              <w:rPr>
                <w:rFonts w:ascii="GHEA Grapalat" w:hAnsi="GHEA Grapalat"/>
                <w:sz w:val="20"/>
                <w:szCs w:val="20"/>
              </w:rPr>
              <w:t>Զբոսաշրջության զարգացման ծրագիր</w:t>
            </w:r>
          </w:p>
        </w:tc>
        <w:tc>
          <w:tcPr>
            <w:tcW w:w="99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3,214.5</w:t>
            </w:r>
          </w:p>
        </w:tc>
        <w:tc>
          <w:tcPr>
            <w:tcW w:w="99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3,181.6</w:t>
            </w:r>
          </w:p>
        </w:tc>
        <w:tc>
          <w:tcPr>
            <w:tcW w:w="993"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2,441.0</w:t>
            </w:r>
          </w:p>
        </w:tc>
        <w:tc>
          <w:tcPr>
            <w:tcW w:w="121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76.7</w:t>
            </w:r>
          </w:p>
        </w:tc>
        <w:tc>
          <w:tcPr>
            <w:tcW w:w="1203"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75.9</w:t>
            </w:r>
          </w:p>
        </w:tc>
        <w:tc>
          <w:tcPr>
            <w:tcW w:w="1098"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(773.5)</w:t>
            </w:r>
          </w:p>
        </w:tc>
      </w:tr>
      <w:tr w:rsidR="001C411D" w:rsidRPr="001F63BA" w:rsidTr="003B2D6D">
        <w:trPr>
          <w:trHeight w:val="1196"/>
          <w:jc w:val="center"/>
        </w:trPr>
        <w:tc>
          <w:tcPr>
            <w:tcW w:w="3686" w:type="dxa"/>
            <w:vAlign w:val="bottom"/>
          </w:tcPr>
          <w:p w:rsidR="001C411D" w:rsidRPr="001F63BA" w:rsidRDefault="001C411D" w:rsidP="003B2D6D">
            <w:pPr>
              <w:rPr>
                <w:rFonts w:ascii="GHEA Grapalat" w:hAnsi="GHEA Grapalat"/>
                <w:sz w:val="20"/>
                <w:szCs w:val="20"/>
              </w:rPr>
            </w:pPr>
            <w:r w:rsidRPr="001F63BA">
              <w:rPr>
                <w:rFonts w:ascii="GHEA Grapalat" w:hAnsi="GHEA Grapalat"/>
                <w:sz w:val="20"/>
                <w:szCs w:val="20"/>
              </w:rPr>
              <w:t>Ճգնաժամերի հակազդման և արտակարգ իրավիճակների հետևանքների նվազեցման և վերացման ծրագիր</w:t>
            </w:r>
          </w:p>
        </w:tc>
        <w:tc>
          <w:tcPr>
            <w:tcW w:w="99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12,575.4</w:t>
            </w:r>
          </w:p>
        </w:tc>
        <w:tc>
          <w:tcPr>
            <w:tcW w:w="99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10,766.3</w:t>
            </w:r>
          </w:p>
        </w:tc>
        <w:tc>
          <w:tcPr>
            <w:tcW w:w="99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10,650.4</w:t>
            </w:r>
          </w:p>
        </w:tc>
        <w:tc>
          <w:tcPr>
            <w:tcW w:w="121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98.9</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84.7</w:t>
            </w:r>
          </w:p>
        </w:tc>
        <w:tc>
          <w:tcPr>
            <w:tcW w:w="1098"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(1,925.0)</w:t>
            </w:r>
          </w:p>
        </w:tc>
      </w:tr>
      <w:tr w:rsidR="001C411D" w:rsidRPr="001F63BA" w:rsidTr="003B2D6D">
        <w:trPr>
          <w:trHeight w:val="386"/>
          <w:jc w:val="center"/>
        </w:trPr>
        <w:tc>
          <w:tcPr>
            <w:tcW w:w="3686" w:type="dxa"/>
            <w:vAlign w:val="bottom"/>
          </w:tcPr>
          <w:p w:rsidR="001C411D" w:rsidRPr="001F63BA" w:rsidRDefault="001C411D" w:rsidP="003B2D6D">
            <w:pPr>
              <w:rPr>
                <w:rFonts w:ascii="GHEA Grapalat" w:hAnsi="GHEA Grapalat"/>
                <w:sz w:val="20"/>
                <w:szCs w:val="20"/>
                <w:lang w:val="en-US"/>
              </w:rPr>
            </w:pPr>
            <w:r w:rsidRPr="001F63BA">
              <w:rPr>
                <w:rFonts w:ascii="GHEA Grapalat" w:hAnsi="GHEA Grapalat"/>
                <w:sz w:val="20"/>
                <w:szCs w:val="20"/>
              </w:rPr>
              <w:t>Այլ ծրագրեր</w:t>
            </w:r>
          </w:p>
        </w:tc>
        <w:tc>
          <w:tcPr>
            <w:tcW w:w="992" w:type="dxa"/>
            <w:vAlign w:val="bottom"/>
          </w:tcPr>
          <w:p w:rsidR="001C411D" w:rsidRPr="001F63BA" w:rsidRDefault="001C411D" w:rsidP="00F66064">
            <w:pPr>
              <w:jc w:val="right"/>
              <w:rPr>
                <w:rFonts w:ascii="GHEA Grapalat" w:hAnsi="GHEA Grapalat"/>
                <w:sz w:val="18"/>
                <w:szCs w:val="18"/>
                <w:lang w:val="en-US"/>
              </w:rPr>
            </w:pPr>
            <w:r w:rsidRPr="001F63BA">
              <w:rPr>
                <w:rFonts w:ascii="GHEA Grapalat" w:hAnsi="GHEA Grapalat"/>
                <w:sz w:val="18"/>
                <w:szCs w:val="18"/>
                <w:lang w:val="en-US"/>
              </w:rPr>
              <w:t>7</w:t>
            </w:r>
            <w:r w:rsidRPr="001F63BA">
              <w:rPr>
                <w:rFonts w:ascii="GHEA Grapalat" w:hAnsi="GHEA Grapalat"/>
                <w:sz w:val="18"/>
                <w:szCs w:val="18"/>
              </w:rPr>
              <w:t>,</w:t>
            </w:r>
            <w:r w:rsidRPr="001F63BA">
              <w:rPr>
                <w:rFonts w:ascii="GHEA Grapalat" w:hAnsi="GHEA Grapalat"/>
                <w:sz w:val="18"/>
                <w:szCs w:val="18"/>
                <w:lang w:val="en-US"/>
              </w:rPr>
              <w:t>343.0</w:t>
            </w:r>
          </w:p>
        </w:tc>
        <w:tc>
          <w:tcPr>
            <w:tcW w:w="99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7,464.3</w:t>
            </w:r>
          </w:p>
        </w:tc>
        <w:tc>
          <w:tcPr>
            <w:tcW w:w="993"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6,119.0</w:t>
            </w:r>
          </w:p>
        </w:tc>
        <w:tc>
          <w:tcPr>
            <w:tcW w:w="1212" w:type="dxa"/>
            <w:vAlign w:val="bottom"/>
          </w:tcPr>
          <w:p w:rsidR="001C411D" w:rsidRPr="001F63BA" w:rsidRDefault="001C411D" w:rsidP="00F66064">
            <w:pPr>
              <w:jc w:val="right"/>
              <w:rPr>
                <w:rFonts w:ascii="GHEA Grapalat" w:hAnsi="GHEA Grapalat"/>
                <w:sz w:val="18"/>
                <w:szCs w:val="18"/>
                <w:lang w:val="en-US"/>
              </w:rPr>
            </w:pPr>
            <w:r w:rsidRPr="001F63BA">
              <w:rPr>
                <w:rFonts w:ascii="GHEA Grapalat" w:hAnsi="GHEA Grapalat"/>
                <w:sz w:val="18"/>
                <w:szCs w:val="18"/>
              </w:rPr>
              <w:t>8</w:t>
            </w:r>
            <w:r w:rsidRPr="001F63BA">
              <w:rPr>
                <w:rFonts w:ascii="GHEA Grapalat" w:hAnsi="GHEA Grapalat"/>
                <w:sz w:val="18"/>
                <w:szCs w:val="18"/>
                <w:lang w:val="en-US"/>
              </w:rPr>
              <w:t>2.0</w:t>
            </w:r>
          </w:p>
        </w:tc>
        <w:tc>
          <w:tcPr>
            <w:tcW w:w="1203"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83.3</w:t>
            </w:r>
          </w:p>
        </w:tc>
        <w:tc>
          <w:tcPr>
            <w:tcW w:w="1098" w:type="dxa"/>
            <w:vAlign w:val="bottom"/>
          </w:tcPr>
          <w:p w:rsidR="001C411D" w:rsidRPr="001F63BA" w:rsidRDefault="001C411D" w:rsidP="00F66064">
            <w:pPr>
              <w:jc w:val="right"/>
              <w:rPr>
                <w:rFonts w:ascii="GHEA Grapalat" w:hAnsi="GHEA Grapalat"/>
                <w:sz w:val="18"/>
                <w:szCs w:val="18"/>
              </w:rPr>
            </w:pPr>
            <w:r w:rsidRPr="001F63BA">
              <w:rPr>
                <w:rFonts w:ascii="GHEA Grapalat" w:hAnsi="GHEA Grapalat"/>
                <w:sz w:val="18"/>
                <w:szCs w:val="18"/>
              </w:rPr>
              <w:t>(</w:t>
            </w:r>
            <w:r w:rsidRPr="001F63BA">
              <w:rPr>
                <w:rFonts w:ascii="GHEA Grapalat" w:hAnsi="GHEA Grapalat"/>
                <w:sz w:val="18"/>
                <w:szCs w:val="18"/>
                <w:lang w:val="en-US"/>
              </w:rPr>
              <w:t>1</w:t>
            </w:r>
            <w:r w:rsidRPr="001F63BA">
              <w:rPr>
                <w:rFonts w:ascii="GHEA Grapalat" w:hAnsi="GHEA Grapalat"/>
                <w:sz w:val="18"/>
                <w:szCs w:val="18"/>
              </w:rPr>
              <w:t>,</w:t>
            </w:r>
            <w:r w:rsidRPr="001F63BA">
              <w:rPr>
                <w:rFonts w:ascii="GHEA Grapalat" w:hAnsi="GHEA Grapalat"/>
                <w:sz w:val="18"/>
                <w:szCs w:val="18"/>
                <w:lang w:val="en-US"/>
              </w:rPr>
              <w:t>224.0</w:t>
            </w:r>
            <w:r w:rsidRPr="001F63BA">
              <w:rPr>
                <w:rFonts w:ascii="GHEA Grapalat" w:hAnsi="GHEA Grapalat"/>
                <w:sz w:val="18"/>
                <w:szCs w:val="18"/>
              </w:rPr>
              <w:t>)</w:t>
            </w:r>
          </w:p>
        </w:tc>
      </w:tr>
    </w:tbl>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F704F2">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GHEA Grapalat"/>
          <w:sz w:val="22"/>
          <w:szCs w:val="22"/>
        </w:rPr>
        <w:t xml:space="preserve">Հաշվետու տարում </w:t>
      </w:r>
      <w:r w:rsidRPr="001F63BA">
        <w:rPr>
          <w:rFonts w:ascii="GHEA Grapalat" w:hAnsi="GHEA Grapalat" w:cs="GHEA Grapalat"/>
          <w:i/>
          <w:sz w:val="22"/>
          <w:szCs w:val="22"/>
        </w:rPr>
        <w:t>Գյուղատնտեսության խթանման</w:t>
      </w:r>
      <w:r w:rsidRPr="001F63BA">
        <w:rPr>
          <w:rFonts w:ascii="GHEA Grapalat" w:hAnsi="GHEA Grapalat" w:cs="GHEA Grapalat"/>
          <w:sz w:val="22"/>
          <w:szCs w:val="22"/>
        </w:rPr>
        <w:t xml:space="preserve"> </w:t>
      </w:r>
      <w:r w:rsidRPr="001F63BA">
        <w:rPr>
          <w:rFonts w:ascii="GHEA Grapalat" w:hAnsi="GHEA Grapalat"/>
          <w:sz w:val="22"/>
          <w:szCs w:val="22"/>
        </w:rPr>
        <w:t xml:space="preserve">ծրագրի շրջանակներում օգտագործվել է </w:t>
      </w:r>
      <w:r w:rsidRPr="001F63BA">
        <w:rPr>
          <w:rFonts w:ascii="GHEA Grapalat" w:hAnsi="GHEA Grapalat"/>
          <w:sz w:val="22"/>
          <w:szCs w:val="22"/>
          <w:lang w:val="en-US"/>
        </w:rPr>
        <w:t xml:space="preserve">20.2 </w:t>
      </w:r>
      <w:r w:rsidRPr="001F63BA">
        <w:rPr>
          <w:rFonts w:ascii="GHEA Grapalat" w:hAnsi="GHEA Grapalat"/>
          <w:sz w:val="22"/>
          <w:szCs w:val="22"/>
        </w:rPr>
        <w:t xml:space="preserve">մլրդ դրամ կամ </w:t>
      </w:r>
      <w:r w:rsidRPr="001F63BA">
        <w:rPr>
          <w:rFonts w:ascii="GHEA Grapalat" w:hAnsi="GHEA Grapalat"/>
          <w:sz w:val="22"/>
          <w:szCs w:val="22"/>
          <w:lang w:val="en-US"/>
        </w:rPr>
        <w:t>նախատեսվածի</w:t>
      </w:r>
      <w:r w:rsidRPr="001F63BA">
        <w:rPr>
          <w:rFonts w:ascii="GHEA Grapalat" w:hAnsi="GHEA Grapalat"/>
          <w:sz w:val="22"/>
          <w:szCs w:val="22"/>
        </w:rPr>
        <w:t xml:space="preserve"> 99.</w:t>
      </w:r>
      <w:r w:rsidRPr="001F63BA">
        <w:rPr>
          <w:rFonts w:ascii="GHEA Grapalat" w:hAnsi="GHEA Grapalat"/>
          <w:sz w:val="22"/>
          <w:szCs w:val="22"/>
          <w:lang w:val="en-US"/>
        </w:rPr>
        <w:t>8</w:t>
      </w:r>
      <w:r w:rsidRPr="001F63BA">
        <w:rPr>
          <w:rFonts w:ascii="GHEA Grapalat" w:hAnsi="GHEA Grapalat"/>
          <w:sz w:val="22"/>
          <w:szCs w:val="22"/>
        </w:rPr>
        <w:t>%-ը: Նախորդ տարվա համեմատ Գյուղատնտեսության խթանման ծրագրի ծախսերն աճել</w:t>
      </w:r>
      <w:r w:rsidRPr="001F63BA">
        <w:rPr>
          <w:rFonts w:ascii="Courier New" w:hAnsi="Courier New" w:cs="Courier New"/>
          <w:sz w:val="22"/>
          <w:szCs w:val="22"/>
        </w:rPr>
        <w:t> </w:t>
      </w:r>
      <w:r w:rsidRPr="001F63BA">
        <w:rPr>
          <w:rFonts w:ascii="GHEA Grapalat" w:hAnsi="GHEA Grapalat" w:cs="GHEA Grapalat"/>
          <w:sz w:val="22"/>
          <w:szCs w:val="22"/>
        </w:rPr>
        <w:t>են</w:t>
      </w:r>
      <w:r w:rsidRPr="001F63BA">
        <w:rPr>
          <w:rFonts w:ascii="GHEA Grapalat" w:hAnsi="GHEA Grapalat"/>
          <w:sz w:val="22"/>
          <w:szCs w:val="22"/>
        </w:rPr>
        <w:t xml:space="preserve"> 48.9%-</w:t>
      </w:r>
      <w:r w:rsidRPr="001F63BA">
        <w:rPr>
          <w:rFonts w:ascii="GHEA Grapalat" w:hAnsi="GHEA Grapalat" w:cs="GHEA Grapalat"/>
          <w:sz w:val="22"/>
          <w:szCs w:val="22"/>
        </w:rPr>
        <w:t>ով</w:t>
      </w:r>
      <w:r w:rsidRPr="001F63BA">
        <w:rPr>
          <w:rFonts w:ascii="GHEA Grapalat" w:hAnsi="GHEA Grapalat"/>
          <w:sz w:val="22"/>
          <w:szCs w:val="22"/>
        </w:rPr>
        <w:t xml:space="preserve"> </w:t>
      </w:r>
      <w:r w:rsidRPr="001F63BA">
        <w:rPr>
          <w:rFonts w:ascii="GHEA Grapalat" w:hAnsi="GHEA Grapalat" w:cs="GHEA Grapalat"/>
          <w:sz w:val="22"/>
          <w:szCs w:val="22"/>
        </w:rPr>
        <w:t>կամ</w:t>
      </w:r>
      <w:r w:rsidRPr="001F63BA">
        <w:rPr>
          <w:rFonts w:ascii="GHEA Grapalat" w:hAnsi="GHEA Grapalat"/>
          <w:sz w:val="22"/>
          <w:szCs w:val="22"/>
        </w:rPr>
        <w:t xml:space="preserve"> 6.6 </w:t>
      </w:r>
      <w:r w:rsidRPr="001F63BA">
        <w:rPr>
          <w:rFonts w:ascii="GHEA Grapalat" w:hAnsi="GHEA Grapalat" w:cs="GHEA Grapalat"/>
          <w:sz w:val="22"/>
          <w:szCs w:val="22"/>
        </w:rPr>
        <w:t>մլրդ</w:t>
      </w:r>
      <w:r w:rsidRPr="001F63BA">
        <w:rPr>
          <w:rFonts w:ascii="GHEA Grapalat" w:hAnsi="GHEA Grapalat"/>
          <w:sz w:val="22"/>
          <w:szCs w:val="22"/>
        </w:rPr>
        <w:t xml:space="preserve"> դրամով, որը հիմնականում պայմանավորված է ՀՀ-ում հողօգտագործողներին մատչելի գներով ազոտական, ֆոսֆորական և կալիումական պարարտանյութերի ձեռքբերմանն աջակցության համար միջոցների հատկացմամբ, ինչպես նաև գյուղատնտեսական վարկերի և գյուղատնտեսական հումքի մթերումների (գնումների) նպատակով տրամադրվող վարկերի տոկոսադրույքների սուբսիդավորման ծախսերի աճով:</w:t>
      </w:r>
    </w:p>
    <w:p w:rsidR="001C411D" w:rsidRPr="001F63BA" w:rsidRDefault="001C411D" w:rsidP="00F704F2">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Գյուղատնտեսական վարկերի տոկոսադրույքների սուբսիդավորման միջոցառման նպատակն է գյուղական համայնքներում գյուղատնտեսության համար առաջ</w:t>
      </w:r>
      <w:r w:rsidRPr="001F63BA">
        <w:rPr>
          <w:rFonts w:ascii="GHEA Grapalat" w:hAnsi="GHEA Grapalat"/>
          <w:sz w:val="22"/>
          <w:szCs w:val="22"/>
        </w:rPr>
        <w:softHyphen/>
        <w:t xml:space="preserve">նահերթ համարվող ոլորտներում զբաղված ֆիզիկական և իրավաբանական անձանց տրամադրվող վարկերի տոկոսադրույքների մասնակի սուբսիդավորման միջոցով վարկավորման մատչելիության մակարդակի բարձրացումը: </w:t>
      </w:r>
      <w:r w:rsidRPr="001F63BA">
        <w:rPr>
          <w:rFonts w:ascii="GHEA Grapalat" w:hAnsi="GHEA Grapalat"/>
          <w:sz w:val="22"/>
          <w:szCs w:val="22"/>
        </w:rPr>
        <w:lastRenderedPageBreak/>
        <w:t>2022 թվականին միջոցառման շահառուների թիվը նախատեսված 66704-ի փոխարեն կազմել է 71542, որից 59704-ը նախորդ տարիներից սուբսիդավորվող տնտեսավարող սուբյեկտներն են: Ցուցանիշի գերազանցումը պայմանավորված է ծրագրի նկատմամբ բարձր պահանջարկով: Միջոցառման ծախսերը կազմել են շուրջ 11.7 մլրդ դրամ՝ ապահովելով</w:t>
      </w:r>
      <w:r w:rsidRPr="001F63BA">
        <w:rPr>
          <w:rFonts w:ascii="GHEA Grapalat" w:hAnsi="GHEA Grapalat"/>
          <w:sz w:val="22"/>
          <w:szCs w:val="22"/>
          <w:lang w:val="en-US"/>
        </w:rPr>
        <w:t xml:space="preserve"> գրեթե</w:t>
      </w:r>
      <w:r w:rsidRPr="001F63BA">
        <w:rPr>
          <w:rFonts w:ascii="GHEA Grapalat" w:hAnsi="GHEA Grapalat"/>
          <w:sz w:val="22"/>
          <w:szCs w:val="22"/>
        </w:rPr>
        <w:t xml:space="preserve"> 100% կատարողական: Նշենք, որ 2021 թվականին միջոցառման շահառուների թիվը կազմել է</w:t>
      </w:r>
      <w:r w:rsidRPr="001F63BA">
        <w:rPr>
          <w:rFonts w:ascii="GHEA Grapalat" w:hAnsi="GHEA Grapalat"/>
          <w:sz w:val="22"/>
          <w:szCs w:val="22"/>
          <w:lang w:val="en-US"/>
        </w:rPr>
        <w:t>ր</w:t>
      </w:r>
      <w:r w:rsidRPr="001F63BA">
        <w:rPr>
          <w:rFonts w:ascii="GHEA Grapalat" w:hAnsi="GHEA Grapalat"/>
          <w:sz w:val="22"/>
          <w:szCs w:val="22"/>
        </w:rPr>
        <w:t xml:space="preserve"> 81131, որից 51644-ը նախորդ տարիներից սուբսիդավորվող տնտեսավարող սուբյեկտներն </w:t>
      </w:r>
      <w:r w:rsidRPr="001F63BA">
        <w:rPr>
          <w:rFonts w:ascii="GHEA Grapalat" w:hAnsi="GHEA Grapalat"/>
          <w:sz w:val="22"/>
          <w:szCs w:val="22"/>
          <w:lang w:val="en-US"/>
        </w:rPr>
        <w:t>էի</w:t>
      </w:r>
      <w:r w:rsidRPr="001F63BA">
        <w:rPr>
          <w:rFonts w:ascii="GHEA Grapalat" w:hAnsi="GHEA Grapalat"/>
          <w:sz w:val="22"/>
          <w:szCs w:val="22"/>
        </w:rPr>
        <w:t>ն: Նախորդ տարվա համեմատ նշված միջոցառման ծախսերն աճել են 19.5%-ով կամ 1.9 մլրդ դրամով, ինչը հիմնականում պայմանավորված է նրանով, որ 2022 թվականին շարունակվել է 2020 և 2021 թվականների ընթացքում կորոնավիրուսի տնտեսական հետևանքների չեզոքացման նպատակով տրամադրված 0</w:t>
      </w:r>
      <w:r w:rsidRPr="001F63BA">
        <w:rPr>
          <w:rFonts w:ascii="GHEA Grapalat" w:hAnsi="GHEA Grapalat"/>
          <w:sz w:val="22"/>
          <w:szCs w:val="22"/>
        </w:rPr>
        <w:noBreakHyphen/>
        <w:t>ական տոկոսադրույքով վարկերի տոկոսավճարների սուբսիդավորումը, և սուբսիդավորվել են նաև ընթացիկ տարում տրամադրված վարկերի տոկոսավճարները:</w:t>
      </w:r>
    </w:p>
    <w:p w:rsidR="001C411D" w:rsidRPr="001F63BA" w:rsidRDefault="001C411D" w:rsidP="00F704F2">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Գյուղատնտեսական հումքի մթերումների (գնումների) նպատակով ագրովերամշակման ոլորտին տրամադրվող վարկերի տոկոսադրույքների սուբսիդավորման միջոցառման նպատակը գյուղատնտեսական մթերքներ վերամշակող արդյունաբերության ոլորտում զբաղված իրավաբանական անձանց</w:t>
      </w:r>
      <w:r w:rsidRPr="001F63BA">
        <w:rPr>
          <w:rFonts w:ascii="GHEA Grapalat" w:hAnsi="GHEA Grapalat"/>
          <w:sz w:val="22"/>
          <w:szCs w:val="22"/>
          <w:lang w:val="en-US"/>
        </w:rPr>
        <w:t>՝</w:t>
      </w:r>
      <w:r w:rsidRPr="001F63BA">
        <w:rPr>
          <w:rFonts w:ascii="GHEA Grapalat" w:hAnsi="GHEA Grapalat"/>
          <w:sz w:val="22"/>
          <w:szCs w:val="22"/>
        </w:rPr>
        <w:t xml:space="preserve"> պտուղբանջարեղենի և խաղողի մթերումների նպատակով տրամադրվող վարկերի տոկոսադրույքի մասնակի սուբսիդավորման միջոցով վարկավորման մատչելիության բարձրացումն է: 2022 թվականի ընթացքում միջոցառման շահառուների թիվը նախատեսված 174-ի փոխարեն կազմել է 259, որից 124-ը նախորդ տարիներից սուբսիդավորվող տնտեսավարող սուբյեկտներն են: Ցուցանիշի գերազանցումը պայմանավորված է պտուղ-բանջարեղենի և կաթի մթերումների իրականացման նպատակով ներգրավվող վարկերի նկատմամբ բարձր պահանջարկով: 2021 թվականի</w:t>
      </w:r>
      <w:r w:rsidRPr="001F63BA">
        <w:rPr>
          <w:rFonts w:ascii="GHEA Grapalat" w:hAnsi="GHEA Grapalat"/>
          <w:sz w:val="22"/>
          <w:szCs w:val="22"/>
          <w:lang w:val="en-US"/>
        </w:rPr>
        <w:t>ն</w:t>
      </w:r>
      <w:r w:rsidRPr="001F63BA">
        <w:rPr>
          <w:rFonts w:ascii="GHEA Grapalat" w:hAnsi="GHEA Grapalat"/>
          <w:sz w:val="22"/>
          <w:szCs w:val="22"/>
        </w:rPr>
        <w:t xml:space="preserve"> միջոցառման շահառուների թիվը կազմել է</w:t>
      </w:r>
      <w:r w:rsidRPr="001F63BA">
        <w:rPr>
          <w:rFonts w:ascii="GHEA Grapalat" w:hAnsi="GHEA Grapalat"/>
          <w:sz w:val="22"/>
          <w:szCs w:val="22"/>
          <w:lang w:val="en-US"/>
        </w:rPr>
        <w:t>ր</w:t>
      </w:r>
      <w:r w:rsidRPr="001F63BA">
        <w:rPr>
          <w:rFonts w:ascii="GHEA Grapalat" w:hAnsi="GHEA Grapalat"/>
          <w:sz w:val="22"/>
          <w:szCs w:val="22"/>
        </w:rPr>
        <w:t xml:space="preserve"> 204, որից 91-ը նախորդ տարիներից սուբսիդավորվող տնտեսավարող սուբյեկտներն </w:t>
      </w:r>
      <w:r w:rsidRPr="001F63BA">
        <w:rPr>
          <w:rFonts w:ascii="GHEA Grapalat" w:hAnsi="GHEA Grapalat"/>
          <w:sz w:val="22"/>
          <w:szCs w:val="22"/>
          <w:lang w:val="en-US"/>
        </w:rPr>
        <w:t>էի</w:t>
      </w:r>
      <w:r w:rsidRPr="001F63BA">
        <w:rPr>
          <w:rFonts w:ascii="GHEA Grapalat" w:hAnsi="GHEA Grapalat"/>
          <w:sz w:val="22"/>
          <w:szCs w:val="22"/>
        </w:rPr>
        <w:t>ն:</w:t>
      </w:r>
      <w:r w:rsidRPr="001F63BA">
        <w:rPr>
          <w:rFonts w:ascii="GHEA Grapalat" w:hAnsi="GHEA Grapalat"/>
          <w:sz w:val="22"/>
          <w:szCs w:val="22"/>
          <w:lang w:val="en-US"/>
        </w:rPr>
        <w:t xml:space="preserve"> </w:t>
      </w:r>
      <w:r w:rsidRPr="001F63BA">
        <w:rPr>
          <w:rFonts w:ascii="GHEA Grapalat" w:hAnsi="GHEA Grapalat"/>
          <w:sz w:val="22"/>
          <w:szCs w:val="22"/>
        </w:rPr>
        <w:t>Միջոցառման շրջանակներում</w:t>
      </w:r>
      <w:r w:rsidRPr="001F63BA">
        <w:rPr>
          <w:rFonts w:ascii="GHEA Grapalat" w:hAnsi="GHEA Grapalat"/>
          <w:sz w:val="22"/>
          <w:szCs w:val="22"/>
          <w:lang w:val="en-US"/>
        </w:rPr>
        <w:t xml:space="preserve"> 2022 թվականին</w:t>
      </w:r>
      <w:r w:rsidRPr="001F63BA">
        <w:rPr>
          <w:rFonts w:ascii="GHEA Grapalat" w:hAnsi="GHEA Grapalat"/>
          <w:sz w:val="22"/>
          <w:szCs w:val="22"/>
        </w:rPr>
        <w:t xml:space="preserve"> օգտագործվել է 3.7 մլրդ դրամ՝ ապահովելով </w:t>
      </w:r>
      <w:r w:rsidRPr="001F63BA">
        <w:rPr>
          <w:rFonts w:ascii="GHEA Grapalat" w:hAnsi="GHEA Grapalat"/>
          <w:sz w:val="22"/>
          <w:szCs w:val="22"/>
          <w:lang w:val="en-US"/>
        </w:rPr>
        <w:t xml:space="preserve">գրեթե </w:t>
      </w:r>
      <w:r w:rsidRPr="001F63BA">
        <w:rPr>
          <w:rFonts w:ascii="GHEA Grapalat" w:hAnsi="GHEA Grapalat"/>
          <w:sz w:val="22"/>
          <w:szCs w:val="22"/>
        </w:rPr>
        <w:t>100% կատարողական: Նախորդ տարվա համեմատ նշված միջոցառման ծախսերն աճել են 39.3%-ով կամ շուրջ 1.1 մլրդ դրամով՝ պայմանավորված նրանով, որ 2022 թվականին շարունակվել է 2020 և 2021 թվականների ընթացքում կորոնավիրուսի տնտեսական հետևանքների չեզոքացման նպատակով տրամադրված 0</w:t>
      </w:r>
      <w:r w:rsidRPr="001F63BA">
        <w:rPr>
          <w:rFonts w:ascii="GHEA Grapalat" w:hAnsi="GHEA Grapalat"/>
          <w:sz w:val="22"/>
          <w:szCs w:val="22"/>
        </w:rPr>
        <w:noBreakHyphen/>
        <w:t>ական տոկոսադրույքով վարկերի տոկոսավճարների սուբսիդավորումը, և սուբսիդավորվել են նաև ընթացիկ տարում տրամադրված վարկերի տոկոսավճարները, ինչպես նաև վարկառուների թվի աճով:</w:t>
      </w:r>
    </w:p>
    <w:p w:rsidR="001C411D" w:rsidRPr="001F63BA" w:rsidRDefault="001C411D" w:rsidP="00F704F2">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sz w:val="22"/>
          <w:szCs w:val="22"/>
        </w:rPr>
        <w:t>Հաշվետու տարում ՀՀ-ում հողօգտագործողներին մատչելի գներով ազոտական, ֆոսֆորական և կալիումական պարարտանյութերի ձեռքբերմանն աջակցության միջոցառման շրջանակում պետական աջակցություն է տրամադրվել ՀՀ հողօգտագործողներին մատչելի գներով 20501.45 տոննա ազոտական պարարտանյութ ձեռք բերելու նպատակով</w:t>
      </w:r>
      <w:r w:rsidRPr="001F63BA">
        <w:rPr>
          <w:rFonts w:ascii="GHEA Grapalat" w:hAnsi="GHEA Grapalat"/>
          <w:sz w:val="22"/>
          <w:szCs w:val="22"/>
          <w:lang w:val="en-US"/>
        </w:rPr>
        <w:t xml:space="preserve">, որը կատարվել է նախատեսված </w:t>
      </w:r>
      <w:r w:rsidRPr="001F63BA">
        <w:rPr>
          <w:rFonts w:ascii="GHEA Grapalat" w:hAnsi="GHEA Grapalat"/>
          <w:sz w:val="22"/>
          <w:szCs w:val="22"/>
          <w:lang w:val="en-US"/>
        </w:rPr>
        <w:lastRenderedPageBreak/>
        <w:t>ծավալով</w:t>
      </w:r>
      <w:r w:rsidRPr="001F63BA">
        <w:rPr>
          <w:rFonts w:ascii="GHEA Grapalat" w:hAnsi="GHEA Grapalat"/>
          <w:sz w:val="22"/>
          <w:szCs w:val="22"/>
        </w:rPr>
        <w:t>: Նշված միջոցառման ծախսերը կազմել են շուրջ 3.7 մլրդ դրամ՝ ապահովելով 100% կատարողական: Միջոցառումը մեկնարկել է 2022 թվականին:</w:t>
      </w:r>
    </w:p>
    <w:p w:rsidR="001C411D" w:rsidRPr="001F63BA" w:rsidRDefault="001C411D" w:rsidP="00484877">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w:t>
      </w:r>
      <w:r w:rsidRPr="001F63BA">
        <w:rPr>
          <w:rFonts w:ascii="GHEA Grapalat" w:hAnsi="GHEA Grapalat" w:cs="GHEA Grapalat"/>
          <w:i/>
          <w:sz w:val="22"/>
          <w:szCs w:val="22"/>
        </w:rPr>
        <w:t>Գյուղական ենթակառուցվածքների վերականգնման և զարգացման</w:t>
      </w:r>
      <w:r w:rsidRPr="001F63BA">
        <w:rPr>
          <w:rFonts w:ascii="GHEA Grapalat" w:hAnsi="GHEA Grapalat" w:cs="GHEA Grapalat"/>
          <w:sz w:val="22"/>
          <w:szCs w:val="22"/>
        </w:rPr>
        <w:t xml:space="preserve"> ծրագրի շրջանակներում</w:t>
      </w:r>
      <w:r w:rsidRPr="001F63BA">
        <w:rPr>
          <w:rFonts w:ascii="GHEA Grapalat" w:hAnsi="GHEA Grapalat" w:cs="Sylfaen"/>
          <w:sz w:val="22"/>
          <w:szCs w:val="22"/>
        </w:rPr>
        <w:t xml:space="preserve"> օգտագործվել է ավելի քան </w:t>
      </w:r>
      <w:r w:rsidRPr="001F63BA">
        <w:rPr>
          <w:rFonts w:ascii="GHEA Grapalat" w:hAnsi="GHEA Grapalat" w:cs="Sylfaen"/>
          <w:sz w:val="22"/>
          <w:szCs w:val="22"/>
          <w:lang w:val="en-US"/>
        </w:rPr>
        <w:t>1.5</w:t>
      </w:r>
      <w:r w:rsidRPr="001F63BA">
        <w:rPr>
          <w:rFonts w:ascii="GHEA Grapalat" w:hAnsi="GHEA Grapalat" w:cs="Sylfaen"/>
          <w:sz w:val="22"/>
          <w:szCs w:val="22"/>
        </w:rPr>
        <w:t xml:space="preserve"> մլրդ դրամ կամ ծրագրված ցուցանիշի 8</w:t>
      </w:r>
      <w:r w:rsidRPr="001F63BA">
        <w:rPr>
          <w:rFonts w:ascii="GHEA Grapalat" w:hAnsi="GHEA Grapalat" w:cs="Sylfaen"/>
          <w:sz w:val="22"/>
          <w:szCs w:val="22"/>
          <w:lang w:val="en-US"/>
        </w:rPr>
        <w:t>8</w:t>
      </w:r>
      <w:r w:rsidRPr="001F63BA">
        <w:rPr>
          <w:rFonts w:ascii="GHEA Grapalat" w:hAnsi="GHEA Grapalat" w:cs="Sylfaen"/>
          <w:sz w:val="22"/>
          <w:szCs w:val="22"/>
        </w:rPr>
        <w:t>.9%</w:t>
      </w:r>
      <w:r w:rsidRPr="001F63BA">
        <w:rPr>
          <w:rFonts w:ascii="GHEA Grapalat" w:hAnsi="GHEA Grapalat" w:cs="Sylfaen"/>
          <w:sz w:val="22"/>
          <w:szCs w:val="22"/>
        </w:rPr>
        <w:noBreakHyphen/>
        <w:t>ը: Ծրագիրն ամբողջությամբ ֆինանսավորվել է արտաքին աջակցությամբ: Նախորդ տարվա համեմատ նշված ծրագրի ծախսեր</w:t>
      </w:r>
      <w:r w:rsidRPr="001F63BA">
        <w:rPr>
          <w:rFonts w:ascii="GHEA Grapalat" w:hAnsi="GHEA Grapalat" w:cs="Sylfaen"/>
          <w:sz w:val="22"/>
          <w:szCs w:val="22"/>
          <w:lang w:val="en-US"/>
        </w:rPr>
        <w:t xml:space="preserve">ը </w:t>
      </w:r>
      <w:r w:rsidRPr="001F63BA">
        <w:rPr>
          <w:rFonts w:ascii="GHEA Grapalat" w:hAnsi="GHEA Grapalat" w:cs="Sylfaen"/>
          <w:sz w:val="22"/>
          <w:szCs w:val="22"/>
        </w:rPr>
        <w:t>ն</w:t>
      </w:r>
      <w:r w:rsidRPr="001F63BA">
        <w:rPr>
          <w:rFonts w:ascii="GHEA Grapalat" w:hAnsi="GHEA Grapalat" w:cs="Sylfaen"/>
          <w:sz w:val="22"/>
          <w:szCs w:val="22"/>
          <w:lang w:val="en-US"/>
        </w:rPr>
        <w:t>վ</w:t>
      </w:r>
      <w:r w:rsidRPr="001F63BA">
        <w:rPr>
          <w:rFonts w:ascii="GHEA Grapalat" w:hAnsi="GHEA Grapalat"/>
          <w:sz w:val="22"/>
          <w:szCs w:val="22"/>
        </w:rPr>
        <w:t>ա</w:t>
      </w:r>
      <w:r w:rsidRPr="001F63BA">
        <w:rPr>
          <w:rFonts w:ascii="GHEA Grapalat" w:hAnsi="GHEA Grapalat"/>
          <w:sz w:val="22"/>
          <w:szCs w:val="22"/>
          <w:lang w:val="en-US"/>
        </w:rPr>
        <w:t>զ</w:t>
      </w:r>
      <w:r w:rsidRPr="001F63BA">
        <w:rPr>
          <w:rFonts w:ascii="GHEA Grapalat" w:hAnsi="GHEA Grapalat"/>
          <w:sz w:val="22"/>
          <w:szCs w:val="22"/>
        </w:rPr>
        <w:t xml:space="preserve">ել են </w:t>
      </w:r>
      <w:r w:rsidRPr="001F63BA">
        <w:rPr>
          <w:rFonts w:ascii="GHEA Grapalat" w:hAnsi="GHEA Grapalat"/>
          <w:sz w:val="22"/>
          <w:szCs w:val="22"/>
          <w:lang w:val="en-US"/>
        </w:rPr>
        <w:t>36.6</w:t>
      </w:r>
      <w:r w:rsidRPr="001F63BA">
        <w:rPr>
          <w:rFonts w:ascii="GHEA Grapalat" w:hAnsi="GHEA Grapalat"/>
          <w:sz w:val="22"/>
          <w:szCs w:val="22"/>
        </w:rPr>
        <w:t>%</w:t>
      </w:r>
      <w:r w:rsidRPr="001F63BA">
        <w:rPr>
          <w:rFonts w:ascii="GHEA Grapalat" w:hAnsi="GHEA Grapalat"/>
          <w:sz w:val="22"/>
          <w:szCs w:val="22"/>
        </w:rPr>
        <w:noBreakHyphen/>
        <w:t xml:space="preserve">ով կամ </w:t>
      </w:r>
      <w:r w:rsidRPr="001F63BA">
        <w:rPr>
          <w:rFonts w:ascii="GHEA Grapalat" w:hAnsi="GHEA Grapalat"/>
          <w:sz w:val="22"/>
          <w:szCs w:val="22"/>
          <w:lang w:val="en-US"/>
        </w:rPr>
        <w:t xml:space="preserve">893.9 </w:t>
      </w:r>
      <w:r w:rsidRPr="001F63BA">
        <w:rPr>
          <w:rFonts w:ascii="GHEA Grapalat" w:hAnsi="GHEA Grapalat"/>
          <w:sz w:val="22"/>
          <w:szCs w:val="22"/>
        </w:rPr>
        <w:t>մլ</w:t>
      </w:r>
      <w:r w:rsidRPr="001F63BA">
        <w:rPr>
          <w:rFonts w:ascii="GHEA Grapalat" w:hAnsi="GHEA Grapalat"/>
          <w:sz w:val="22"/>
          <w:szCs w:val="22"/>
          <w:lang w:val="en-US"/>
        </w:rPr>
        <w:t>ն</w:t>
      </w:r>
      <w:r w:rsidRPr="001F63BA">
        <w:rPr>
          <w:rFonts w:ascii="GHEA Grapalat" w:hAnsi="GHEA Grapalat"/>
          <w:sz w:val="22"/>
          <w:szCs w:val="22"/>
        </w:rPr>
        <w:t xml:space="preserve"> դրամով՝ հիմնականում պայմանավորված Համաշխարհային բանկի աջակցությամբ իրականացվող Համայնքների գյուղատնտեսական ռեսուրսների կառավարման և մրցունակության երկրորդ ծրագրի շրջանակներում </w:t>
      </w:r>
      <w:r w:rsidRPr="001F63BA">
        <w:rPr>
          <w:rFonts w:ascii="GHEA Grapalat" w:hAnsi="GHEA Grapalat"/>
          <w:sz w:val="22"/>
          <w:szCs w:val="22"/>
          <w:lang w:val="en-US"/>
        </w:rPr>
        <w:t>կատարված</w:t>
      </w:r>
      <w:r w:rsidRPr="001F63BA">
        <w:rPr>
          <w:rFonts w:ascii="GHEA Grapalat" w:hAnsi="GHEA Grapalat"/>
          <w:sz w:val="22"/>
          <w:szCs w:val="22"/>
        </w:rPr>
        <w:t xml:space="preserve"> ծախսերի նվազմամբ:</w:t>
      </w:r>
    </w:p>
    <w:p w:rsidR="001C411D" w:rsidRPr="001F63BA" w:rsidRDefault="001C411D" w:rsidP="0048487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sz w:val="22"/>
          <w:szCs w:val="22"/>
        </w:rPr>
        <w:t xml:space="preserve">Համաշխարհային բանկի աջակցությամբ իրականացվող Համայնքների գյուղատնտեսական ռեսուրսների կառավարման և մրցունակության երկրորդ ծրագրի </w:t>
      </w:r>
      <w:r w:rsidRPr="001F63BA">
        <w:rPr>
          <w:rFonts w:ascii="GHEA Grapalat" w:hAnsi="GHEA Grapalat" w:cs="GHEA Grapalat"/>
          <w:sz w:val="22"/>
          <w:szCs w:val="22"/>
        </w:rPr>
        <w:t xml:space="preserve">վարկային </w:t>
      </w:r>
      <w:r w:rsidRPr="001F63BA">
        <w:rPr>
          <w:rFonts w:ascii="GHEA Grapalat" w:hAnsi="GHEA Grapalat" w:cs="GHEA Grapalat"/>
          <w:sz w:val="22"/>
          <w:szCs w:val="22"/>
          <w:lang w:val="en-US"/>
        </w:rPr>
        <w:t>ծ</w:t>
      </w:r>
      <w:r w:rsidRPr="001F63BA">
        <w:rPr>
          <w:rFonts w:ascii="GHEA Grapalat" w:hAnsi="GHEA Grapalat" w:cs="GHEA Grapalat"/>
          <w:sz w:val="22"/>
          <w:szCs w:val="22"/>
        </w:rPr>
        <w:t>րագրի իրականացման ժամկետն էր մինչև 2020 թվականի մայիսի 31-ը, որը, համաձայնագրում կատարված փոփոխությունների համաձայն, երկարաձգվել է</w:t>
      </w:r>
      <w:r w:rsidRPr="001F63BA">
        <w:rPr>
          <w:rFonts w:ascii="GHEA Grapalat" w:hAnsi="GHEA Grapalat" w:cs="GHEA Grapalat"/>
          <w:sz w:val="22"/>
          <w:szCs w:val="22"/>
          <w:lang w:val="en-US"/>
        </w:rPr>
        <w:t>ր</w:t>
      </w:r>
      <w:r w:rsidRPr="001F63BA">
        <w:rPr>
          <w:rFonts w:ascii="GHEA Grapalat" w:hAnsi="GHEA Grapalat" w:cs="GHEA Grapalat"/>
          <w:sz w:val="22"/>
          <w:szCs w:val="22"/>
        </w:rPr>
        <w:t xml:space="preserve"> մինչև 2022 թվականի ապրիլի 30-ը: </w:t>
      </w:r>
      <w:r w:rsidRPr="001F63BA">
        <w:rPr>
          <w:rFonts w:ascii="GHEA Grapalat" w:hAnsi="GHEA Grapalat" w:cs="GHEA Grapalat"/>
          <w:sz w:val="22"/>
          <w:szCs w:val="22"/>
          <w:lang w:val="en-US"/>
        </w:rPr>
        <w:t>Ծրագրի</w:t>
      </w:r>
      <w:r w:rsidRPr="001F63BA">
        <w:rPr>
          <w:rFonts w:ascii="GHEA Grapalat" w:hAnsi="GHEA Grapalat" w:cs="GHEA Grapalat"/>
          <w:sz w:val="22"/>
          <w:szCs w:val="22"/>
        </w:rPr>
        <w:t xml:space="preserve"> նպատակներն </w:t>
      </w:r>
      <w:r w:rsidRPr="001F63BA">
        <w:rPr>
          <w:rFonts w:ascii="GHEA Grapalat" w:hAnsi="GHEA Grapalat" w:cs="GHEA Grapalat"/>
          <w:sz w:val="22"/>
          <w:szCs w:val="22"/>
          <w:lang w:val="en-US"/>
        </w:rPr>
        <w:t>էի</w:t>
      </w:r>
      <w:r w:rsidRPr="001F63BA">
        <w:rPr>
          <w:rFonts w:ascii="GHEA Grapalat" w:hAnsi="GHEA Grapalat" w:cs="GHEA Grapalat"/>
          <w:sz w:val="22"/>
          <w:szCs w:val="22"/>
        </w:rPr>
        <w:t>ն՝ արոտավայրերի և անասնապահության համակարգերի արտադրողականության և կայունության հետագա բարելավումը թիրախային համայնքներում, գյուղատնտեսական տեխնիկայի գնումը, պետական կառույցների կարողությունների հզորացումը, անասնաբուժական սպասարկման կենտրոնների հիմնումը:</w:t>
      </w:r>
    </w:p>
    <w:p w:rsidR="001C411D" w:rsidRPr="001F63BA" w:rsidRDefault="001C411D" w:rsidP="0048487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2022 թվականին</w:t>
      </w:r>
      <w:r w:rsidRPr="001F63BA">
        <w:rPr>
          <w:rFonts w:ascii="GHEA Grapalat" w:hAnsi="GHEA Grapalat"/>
          <w:sz w:val="22"/>
          <w:szCs w:val="22"/>
        </w:rPr>
        <w:t xml:space="preserve"> Համաշխարհային բանկի աջակցությամբ իրականացվող Համայնքների գյուղատնտեսական ռեսուրսների կառավարման և մրցունակության երկրորդ ծրագրի</w:t>
      </w:r>
      <w:r w:rsidRPr="001F63BA">
        <w:rPr>
          <w:rFonts w:ascii="GHEA Grapalat" w:hAnsi="GHEA Grapalat"/>
          <w:sz w:val="22"/>
          <w:szCs w:val="22"/>
          <w:lang w:val="en-US"/>
        </w:rPr>
        <w:t xml:space="preserve"> </w:t>
      </w:r>
      <w:r w:rsidRPr="001F63BA">
        <w:rPr>
          <w:rFonts w:ascii="GHEA Grapalat" w:hAnsi="GHEA Grapalat"/>
          <w:sz w:val="22"/>
          <w:szCs w:val="22"/>
        </w:rPr>
        <w:t>շրջանակներում</w:t>
      </w:r>
      <w:r w:rsidRPr="001F63BA">
        <w:rPr>
          <w:rFonts w:ascii="GHEA Grapalat" w:hAnsi="GHEA Grapalat" w:cs="GHEA Grapalat"/>
          <w:sz w:val="22"/>
          <w:szCs w:val="22"/>
        </w:rPr>
        <w:t xml:space="preserve"> գյուղական ենթակառուցվածքների վերականգնման և/կամ զարգացման նպատակով տրանսֆերտների տրամադրման միջոցառման շրջանակներում ՀՀ 8 մարզերի 109 բնակավայրերում կառուցվել են 2 կմ ջրագծեր, 6 հատ խմոցներ, 12 հատ փարախներ, 2 հատ անասնաբուժական սպասարկման կենտրոն, 13 հատ հովվի տնակներ, 19 հատ կենդանիների հավաքատեղի, ջրարբիացվող արոտավայրերը կազմել են 3000 հա, ձեռք է բերվել 56 միավոր գյուղատնտեսական տեխնիկա: Միջոցառման շրջանակներում</w:t>
      </w:r>
      <w:r w:rsidRPr="001F63BA">
        <w:rPr>
          <w:rFonts w:ascii="GHEA Grapalat" w:hAnsi="GHEA Grapalat"/>
          <w:sz w:val="22"/>
          <w:szCs w:val="22"/>
        </w:rPr>
        <w:t xml:space="preserve"> ամբողջությամբ ապահովվել են կանխատեսված արդյունքային ցուցանիշները, բացառությամբ 1 ցուցանիշի՝ նախատեսված 20-ի </w:t>
      </w:r>
      <w:r w:rsidRPr="001F63BA">
        <w:rPr>
          <w:rFonts w:ascii="GHEA Grapalat" w:hAnsi="GHEA Grapalat"/>
          <w:sz w:val="22"/>
          <w:szCs w:val="22"/>
          <w:lang w:val="en-US"/>
        </w:rPr>
        <w:t>փոխարեն</w:t>
      </w:r>
      <w:r w:rsidRPr="001F63BA">
        <w:rPr>
          <w:rFonts w:ascii="GHEA Grapalat" w:hAnsi="GHEA Grapalat"/>
          <w:sz w:val="22"/>
          <w:szCs w:val="22"/>
        </w:rPr>
        <w:t xml:space="preserve"> կառուցվել է կենդանիների</w:t>
      </w:r>
      <w:r w:rsidRPr="001F63BA">
        <w:rPr>
          <w:rFonts w:ascii="GHEA Grapalat" w:hAnsi="GHEA Grapalat"/>
          <w:sz w:val="22"/>
          <w:szCs w:val="22"/>
          <w:lang w:val="en-US"/>
        </w:rPr>
        <w:t xml:space="preserve"> 19</w:t>
      </w:r>
      <w:r w:rsidRPr="001F63BA">
        <w:rPr>
          <w:rFonts w:ascii="GHEA Grapalat" w:hAnsi="GHEA Grapalat"/>
          <w:sz w:val="22"/>
          <w:szCs w:val="22"/>
        </w:rPr>
        <w:t xml:space="preserve"> հավաքատեղի: Շեղումը պայմանավորված է նրանով, որ 1 համայնք հրաժարվել է կենդանիների հավաքատեղիների </w:t>
      </w:r>
      <w:r w:rsidRPr="001F63BA">
        <w:rPr>
          <w:rFonts w:ascii="GHEA Grapalat" w:hAnsi="GHEA Grapalat" w:cs="GHEA Grapalat"/>
          <w:sz w:val="22"/>
          <w:szCs w:val="22"/>
          <w:lang w:val="en-US"/>
        </w:rPr>
        <w:t>կառուցման աշխատանքներից: Միջոցառման շրջանակներում օգտագործվել է շուրջ 942.1 մլն դրամ կամ ծրագրված ցուցանիշի 89.6%-ը, որը հիմնականում պայմանավորված է արտարժույթի կանխատեսված և փաստացի փոխարժեքների տարբերությամբ, ինչպես նաև որոշ մրցույթների արդյունքում նախատեսվածից ցածր արժեքով պայմանագրերի կնքմամբ և վերոհիշյալ մեկ համայնքում աշխատանքների չկատարմամբ:</w:t>
      </w:r>
    </w:p>
    <w:p w:rsidR="001C411D" w:rsidRPr="001F63BA" w:rsidRDefault="001C411D" w:rsidP="00484877">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lang w:val="en-US"/>
        </w:rPr>
        <w:lastRenderedPageBreak/>
        <w:t>Ծրագրի համակարգման և ղեկավարման միջոցառման նպատակն էր ընտրված սննդամթերքի արժեշղթաներում բարձրացնել տեղական արտադրողների և վերամշակողների կարողությունները` ներքին պահանջարկը բավարարելու</w:t>
      </w:r>
      <w:r w:rsidRPr="001F63BA">
        <w:rPr>
          <w:rFonts w:ascii="GHEA Grapalat" w:hAnsi="GHEA Grapalat" w:cs="GHEA Grapalat"/>
          <w:sz w:val="22"/>
          <w:szCs w:val="22"/>
        </w:rPr>
        <w:t xml:space="preserve"> և միջազգային շուկաներ մուտք գործելու համար: Ծրագրում ընդգրկվել է 109 համայնք, </w:t>
      </w:r>
      <w:r w:rsidRPr="001F63BA">
        <w:rPr>
          <w:rFonts w:ascii="GHEA Grapalat" w:hAnsi="GHEA Grapalat" w:cs="GHEA Grapalat"/>
          <w:sz w:val="22"/>
          <w:szCs w:val="22"/>
          <w:lang w:val="en-US"/>
        </w:rPr>
        <w:t>համաֆինանսավորվել</w:t>
      </w:r>
      <w:r w:rsidRPr="001F63BA">
        <w:rPr>
          <w:rFonts w:ascii="GHEA Grapalat" w:hAnsi="GHEA Grapalat" w:cs="GHEA Grapalat"/>
          <w:sz w:val="22"/>
          <w:szCs w:val="22"/>
        </w:rPr>
        <w:t xml:space="preserve"> են 16 </w:t>
      </w:r>
      <w:r w:rsidRPr="001F63BA">
        <w:rPr>
          <w:rFonts w:ascii="GHEA Grapalat" w:hAnsi="GHEA Grapalat" w:cs="GHEA Grapalat"/>
          <w:sz w:val="22"/>
          <w:szCs w:val="22"/>
          <w:lang w:val="en-US"/>
        </w:rPr>
        <w:t>բիզնես ծրագրեր, արտադրված ապրանքների իրացումն աճել է 1 մլրդ դրամով</w:t>
      </w:r>
      <w:r w:rsidRPr="001F63BA">
        <w:rPr>
          <w:rFonts w:ascii="GHEA Grapalat" w:hAnsi="GHEA Grapalat" w:cs="GHEA Grapalat"/>
          <w:sz w:val="22"/>
          <w:szCs w:val="22"/>
        </w:rPr>
        <w:t>։ Միջոցառման ծախսերը կատարվել են 83.7%-ով՝ կազմելով 259.3 մլն դրամ: Շեղումը պայմանավորված է կապի ծառայությունների, գույքի վարձակալության կառավարչական և մասնագիտական ծառայությունների, տրանսպորտային նյութերի ձեռքբերման ծախսերի տնտես</w:t>
      </w:r>
      <w:r w:rsidRPr="001F63BA">
        <w:rPr>
          <w:rFonts w:ascii="GHEA Grapalat" w:hAnsi="GHEA Grapalat" w:cs="GHEA Grapalat"/>
          <w:sz w:val="22"/>
          <w:szCs w:val="22"/>
          <w:lang w:val="en-US"/>
        </w:rPr>
        <w:t>մամբ</w:t>
      </w:r>
      <w:r w:rsidRPr="001F63BA">
        <w:rPr>
          <w:rFonts w:ascii="GHEA Grapalat" w:hAnsi="GHEA Grapalat" w:cs="GHEA Grapalat"/>
          <w:sz w:val="22"/>
          <w:szCs w:val="22"/>
        </w:rPr>
        <w:t>, ինչպես նաև արտարժույթի կանխատեսված և փաստացի փոխարժեքների տարբերությամբ։</w:t>
      </w:r>
    </w:p>
    <w:p w:rsidR="001C411D" w:rsidRPr="001F63BA" w:rsidRDefault="001C411D" w:rsidP="00484877">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Վերակառուցման և զարգացման միջազգային բանկի աջակցությամբ իրականացվող Գյուղատնտեսության ոլորտում քաղաքականության մոնիտորինգի և գնահատման կարողությունների զարգացման դրամաշնորհային ծրագրի նպատակն է՝ ուժեղացնել մոնիտորինգի և գնահատման ունակություններն ու համակարգը՝ հնարավորություն տալու համար վարել գյուղատնտեսության ոլորտում ապացուցահենք քաղաքականության մշակում և վերլուծություն: Դրամաշնորհային </w:t>
      </w:r>
      <w:r w:rsidRPr="001F63BA">
        <w:rPr>
          <w:rFonts w:ascii="GHEA Grapalat" w:hAnsi="GHEA Grapalat" w:cs="GHEA Grapalat"/>
          <w:sz w:val="22"/>
          <w:szCs w:val="22"/>
          <w:lang w:val="en-US"/>
        </w:rPr>
        <w:t>ծ</w:t>
      </w:r>
      <w:r w:rsidRPr="001F63BA">
        <w:rPr>
          <w:rFonts w:ascii="GHEA Grapalat" w:hAnsi="GHEA Grapalat" w:cs="GHEA Grapalat"/>
          <w:sz w:val="22"/>
          <w:szCs w:val="22"/>
        </w:rPr>
        <w:t xml:space="preserve">րագիրն ավարտվել է </w:t>
      </w:r>
      <w:r w:rsidRPr="001F63BA">
        <w:rPr>
          <w:rFonts w:ascii="GHEA Grapalat" w:hAnsi="GHEA Grapalat" w:cs="GHEA Grapalat"/>
          <w:sz w:val="22"/>
          <w:szCs w:val="22"/>
          <w:lang w:val="en-US"/>
        </w:rPr>
        <w:t xml:space="preserve">2022 </w:t>
      </w:r>
      <w:r w:rsidRPr="001F63BA">
        <w:rPr>
          <w:rFonts w:ascii="GHEA Grapalat" w:hAnsi="GHEA Grapalat" w:cs="GHEA Grapalat"/>
          <w:sz w:val="22"/>
          <w:szCs w:val="22"/>
        </w:rPr>
        <w:t>թվականի</w:t>
      </w:r>
      <w:r w:rsidRPr="001F63BA">
        <w:rPr>
          <w:rFonts w:ascii="GHEA Grapalat" w:hAnsi="GHEA Grapalat" w:cs="GHEA Grapalat"/>
          <w:sz w:val="22"/>
          <w:szCs w:val="22"/>
          <w:lang w:val="en-US"/>
        </w:rPr>
        <w:t xml:space="preserve"> մայիսի 31-ին</w:t>
      </w:r>
      <w:r w:rsidRPr="001F63BA">
        <w:rPr>
          <w:rFonts w:ascii="GHEA Grapalat" w:hAnsi="GHEA Grapalat" w:cs="GHEA Grapalat"/>
          <w:sz w:val="22"/>
          <w:szCs w:val="22"/>
        </w:rPr>
        <w:t>։ Ծրագրի ուղղություններն են՝</w:t>
      </w:r>
    </w:p>
    <w:p w:rsidR="001C411D" w:rsidRPr="001F63BA" w:rsidRDefault="001C411D" w:rsidP="00BB1B4B">
      <w:pPr>
        <w:pStyle w:val="ListParagraph"/>
        <w:numPr>
          <w:ilvl w:val="0"/>
          <w:numId w:val="24"/>
        </w:numPr>
        <w:tabs>
          <w:tab w:val="left" w:pos="851"/>
        </w:tabs>
        <w:spacing w:after="0" w:line="360" w:lineRule="auto"/>
        <w:ind w:left="0" w:firstLine="567"/>
        <w:jc w:val="both"/>
        <w:rPr>
          <w:rFonts w:ascii="GHEA Grapalat" w:hAnsi="GHEA Grapalat" w:cs="Sylfaen"/>
          <w:lang w:val="hy-AM"/>
        </w:rPr>
      </w:pPr>
      <w:r w:rsidRPr="001F63BA">
        <w:rPr>
          <w:rFonts w:ascii="GHEA Grapalat" w:hAnsi="GHEA Grapalat" w:cs="Sylfaen"/>
          <w:lang w:val="hy-AM"/>
        </w:rPr>
        <w:t>բարելավել</w:t>
      </w:r>
      <w:r w:rsidRPr="001F63BA">
        <w:rPr>
          <w:rFonts w:ascii="GHEA Grapalat" w:hAnsi="GHEA Grapalat"/>
          <w:lang w:val="hy-AM"/>
        </w:rPr>
        <w:t xml:space="preserve"> </w:t>
      </w:r>
      <w:r w:rsidRPr="001F63BA">
        <w:rPr>
          <w:rFonts w:ascii="GHEA Grapalat" w:hAnsi="GHEA Grapalat" w:cs="Sylfaen"/>
          <w:lang w:val="hy-AM"/>
        </w:rPr>
        <w:t>ապացույցների</w:t>
      </w:r>
      <w:r w:rsidRPr="001F63BA">
        <w:rPr>
          <w:rFonts w:ascii="GHEA Grapalat" w:hAnsi="GHEA Grapalat"/>
          <w:lang w:val="hy-AM"/>
        </w:rPr>
        <w:t xml:space="preserve"> </w:t>
      </w:r>
      <w:r w:rsidRPr="001F63BA">
        <w:rPr>
          <w:rFonts w:ascii="GHEA Grapalat" w:hAnsi="GHEA Grapalat" w:cs="Sylfaen"/>
          <w:lang w:val="hy-AM"/>
        </w:rPr>
        <w:t>վրա</w:t>
      </w:r>
      <w:r w:rsidRPr="001F63BA">
        <w:rPr>
          <w:rFonts w:ascii="GHEA Grapalat" w:hAnsi="GHEA Grapalat"/>
          <w:lang w:val="hy-AM"/>
        </w:rPr>
        <w:t xml:space="preserve"> </w:t>
      </w:r>
      <w:r w:rsidRPr="001F63BA">
        <w:rPr>
          <w:rFonts w:ascii="GHEA Grapalat" w:hAnsi="GHEA Grapalat" w:cs="Sylfaen"/>
          <w:lang w:val="hy-AM"/>
        </w:rPr>
        <w:t>հիմնված</w:t>
      </w:r>
      <w:r w:rsidRPr="001F63BA">
        <w:rPr>
          <w:rFonts w:ascii="GHEA Grapalat" w:hAnsi="GHEA Grapalat"/>
          <w:lang w:val="hy-AM"/>
        </w:rPr>
        <w:t xml:space="preserve"> </w:t>
      </w:r>
      <w:r w:rsidRPr="001F63BA">
        <w:rPr>
          <w:rFonts w:ascii="GHEA Grapalat" w:hAnsi="GHEA Grapalat" w:cs="Sylfaen"/>
          <w:lang w:val="hy-AM"/>
        </w:rPr>
        <w:t>գյուղատնտեսական</w:t>
      </w:r>
      <w:r w:rsidRPr="001F63BA">
        <w:rPr>
          <w:rFonts w:ascii="GHEA Grapalat" w:hAnsi="GHEA Grapalat"/>
          <w:lang w:val="hy-AM"/>
        </w:rPr>
        <w:t xml:space="preserve"> </w:t>
      </w:r>
      <w:r w:rsidRPr="001F63BA">
        <w:rPr>
          <w:rFonts w:ascii="GHEA Grapalat" w:hAnsi="GHEA Grapalat" w:cs="Sylfaen"/>
          <w:lang w:val="hy-AM"/>
        </w:rPr>
        <w:t>քաղաքականության</w:t>
      </w:r>
      <w:r w:rsidRPr="001F63BA">
        <w:rPr>
          <w:rFonts w:ascii="GHEA Grapalat" w:hAnsi="GHEA Grapalat"/>
          <w:lang w:val="hy-AM"/>
        </w:rPr>
        <w:t xml:space="preserve"> </w:t>
      </w:r>
      <w:r w:rsidRPr="001F63BA">
        <w:rPr>
          <w:rFonts w:ascii="GHEA Grapalat" w:hAnsi="GHEA Grapalat" w:cs="Sylfaen"/>
          <w:lang w:val="hy-AM"/>
        </w:rPr>
        <w:t>վերլուծությունը և ձևակերպումը</w:t>
      </w:r>
      <w:r w:rsidRPr="001F63BA">
        <w:rPr>
          <w:rFonts w:ascii="GHEA Grapalat" w:hAnsi="GHEA Grapalat" w:cs="Sylfaen"/>
          <w:lang w:val="en-US"/>
        </w:rPr>
        <w:t>,</w:t>
      </w:r>
    </w:p>
    <w:p w:rsidR="001C411D" w:rsidRPr="001F63BA" w:rsidRDefault="001C411D" w:rsidP="00BB1B4B">
      <w:pPr>
        <w:pStyle w:val="ListParagraph"/>
        <w:numPr>
          <w:ilvl w:val="0"/>
          <w:numId w:val="24"/>
        </w:numPr>
        <w:tabs>
          <w:tab w:val="left" w:pos="851"/>
        </w:tabs>
        <w:spacing w:after="0" w:line="360" w:lineRule="auto"/>
        <w:ind w:left="0" w:firstLine="567"/>
        <w:jc w:val="both"/>
        <w:rPr>
          <w:rFonts w:ascii="GHEA Grapalat" w:hAnsi="GHEA Grapalat"/>
          <w:lang w:val="hy-AM"/>
        </w:rPr>
      </w:pPr>
      <w:r w:rsidRPr="001F63BA">
        <w:rPr>
          <w:rFonts w:ascii="GHEA Grapalat" w:hAnsi="GHEA Grapalat"/>
          <w:lang w:val="hy-AM"/>
        </w:rPr>
        <w:t>ուժեղացնել ՀՀ էկոնոմիկայի նախարարության գյուղատնտեսության հատվածի մոնիթորինգի, գնահատման հզորությունների կարողությունները,</w:t>
      </w:r>
    </w:p>
    <w:p w:rsidR="001C411D" w:rsidRPr="001F63BA" w:rsidRDefault="001C411D" w:rsidP="00BB1B4B">
      <w:pPr>
        <w:pStyle w:val="ListParagraph"/>
        <w:numPr>
          <w:ilvl w:val="0"/>
          <w:numId w:val="24"/>
        </w:numPr>
        <w:tabs>
          <w:tab w:val="left" w:pos="851"/>
        </w:tabs>
        <w:spacing w:after="0" w:line="360" w:lineRule="auto"/>
        <w:ind w:left="0" w:firstLine="567"/>
        <w:jc w:val="both"/>
        <w:rPr>
          <w:rFonts w:ascii="GHEA Grapalat" w:hAnsi="GHEA Grapalat"/>
          <w:lang w:val="hy-AM"/>
        </w:rPr>
      </w:pPr>
      <w:r w:rsidRPr="001F63BA">
        <w:rPr>
          <w:rFonts w:ascii="GHEA Grapalat" w:hAnsi="GHEA Grapalat"/>
          <w:lang w:val="hy-AM"/>
        </w:rPr>
        <w:t>խթանել պետական համակարգերում ապացույցների վրա հիմնված որոշումների կայաց</w:t>
      </w:r>
      <w:r w:rsidRPr="001F63BA">
        <w:rPr>
          <w:rFonts w:ascii="GHEA Grapalat" w:hAnsi="GHEA Grapalat"/>
          <w:lang w:val="en-US"/>
        </w:rPr>
        <w:t>ու</w:t>
      </w:r>
      <w:r w:rsidRPr="001F63BA">
        <w:rPr>
          <w:rFonts w:ascii="GHEA Grapalat" w:hAnsi="GHEA Grapalat"/>
          <w:lang w:val="hy-AM"/>
        </w:rPr>
        <w:t>մը։</w:t>
      </w:r>
    </w:p>
    <w:p w:rsidR="001C411D" w:rsidRPr="001F63BA" w:rsidRDefault="001C411D" w:rsidP="00185BE0">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Միջոցառմամբ նախատեսված աշխատանքներն ամբողջությամբ կատարվել և ընդունվել են:</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Միջոցառման շրջանակներում ստեղծված և վերապատրաստված</w:t>
      </w:r>
      <w:r w:rsidRPr="001F63BA">
        <w:rPr>
          <w:rFonts w:ascii="GHEA Grapalat" w:hAnsi="GHEA Grapalat" w:cs="GHEA Grapalat"/>
          <w:sz w:val="22"/>
          <w:szCs w:val="22"/>
          <w:lang w:val="en-US"/>
        </w:rPr>
        <w:t xml:space="preserve"> անձնակազմի կողմից կանոնավոր կերպով օգտագործվել են քաղաքականության 2 գործիքներ, իրականացվել է նախարարության գործընթացներում ներառված փաստերի վրա հիմնված քաղաքականության մշակման 1 ընթացակարգ, վերապատրաստվել է ՀՀ էկոնոմիկայի նախարարության 104 աշխատակից՝ նախատեսված 36-ի դիմաց: Ցուցանիշի գերազանցումը պայմանավորված է նրանով, որ փաստացի մրցույթների արդյունքում հնարավոր է դարձել նույն գումարի շրջանակներում իրականացնել նախատեսվածից շատ վերապատրաստումներ: Միջոցառման շրջանակներում օգտագործվել է 267.3</w:t>
      </w:r>
      <w:r w:rsidRPr="001F63BA">
        <w:rPr>
          <w:rFonts w:ascii="Courier New" w:hAnsi="Courier New" w:cs="Courier New"/>
          <w:sz w:val="22"/>
          <w:szCs w:val="22"/>
          <w:lang w:val="en-US"/>
        </w:rPr>
        <w:t> </w:t>
      </w:r>
      <w:r w:rsidRPr="001F63BA">
        <w:rPr>
          <w:rFonts w:ascii="GHEA Grapalat" w:hAnsi="GHEA Grapalat" w:cs="GHEA Grapalat"/>
          <w:sz w:val="22"/>
          <w:szCs w:val="22"/>
          <w:lang w:val="en-US"/>
        </w:rPr>
        <w:t xml:space="preserve">մլն դրամ կամ նախատեսված միջոցների 92%-ը, որը պայմանավորված է արտարժույթի կանխատեսված և փաստացի փոխարժեքների տարբերությամբ: </w:t>
      </w:r>
    </w:p>
    <w:p w:rsidR="001C411D" w:rsidRPr="001F63BA" w:rsidRDefault="001C411D" w:rsidP="00484877">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 xml:space="preserve">Ծրագրի՝ աշխարհագրական թվայնացված համակարգի ներդրման միջոցառումը ՀՀ էկոնոմիկայի նախարարության աշխատակազմին տվել է գնահատումներ իրականացնելու </w:t>
      </w:r>
      <w:r w:rsidRPr="001F63BA">
        <w:rPr>
          <w:rFonts w:ascii="GHEA Grapalat" w:hAnsi="GHEA Grapalat" w:cs="GHEA Grapalat"/>
          <w:sz w:val="22"/>
          <w:szCs w:val="22"/>
          <w:lang w:val="en-US"/>
        </w:rPr>
        <w:lastRenderedPageBreak/>
        <w:t>արժեքավոր փորձ: Գնահատումները ներառում էին գոյություն ունեցող քաղաքականության ազդեցության վերլուծություն, ինչպիսիք են սոցիալ-տնտեսական և շրջակա միջավայրի վրա ազդեցությունները: Միջոցառման ծախսերը կազմել են 53.4 մլն դրամ՝ ապահովելով 95.1% կատարողական: Շեղումը պայմանավորված է արտարժույթի կանխատեսված և փաստացի փոխարժեքների տարբերությամբ։</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sz w:val="22"/>
          <w:szCs w:val="22"/>
        </w:rPr>
        <w:t>2022 թվականի ընթացքում</w:t>
      </w:r>
      <w:r w:rsidRPr="001F63BA">
        <w:rPr>
          <w:rFonts w:ascii="GHEA Grapalat" w:hAnsi="GHEA Grapalat" w:cs="GHEA Grapalat"/>
          <w:i/>
          <w:sz w:val="22"/>
          <w:szCs w:val="22"/>
        </w:rPr>
        <w:t xml:space="preserve"> Գյուղատնտեսության արդիականացման</w:t>
      </w:r>
      <w:r w:rsidRPr="001F63BA">
        <w:rPr>
          <w:rFonts w:ascii="GHEA Grapalat" w:hAnsi="GHEA Grapalat" w:cs="GHEA Grapalat"/>
          <w:sz w:val="22"/>
          <w:szCs w:val="22"/>
        </w:rPr>
        <w:t xml:space="preserve"> ծրագրի շրջանակներում օգտագործվել է շուրջ 12.2</w:t>
      </w:r>
      <w:r w:rsidRPr="001F63BA">
        <w:rPr>
          <w:rFonts w:ascii="Courier New" w:hAnsi="Courier New" w:cs="Courier New"/>
          <w:sz w:val="22"/>
          <w:szCs w:val="22"/>
        </w:rPr>
        <w:t> </w:t>
      </w:r>
      <w:r w:rsidRPr="001F63BA">
        <w:rPr>
          <w:rFonts w:ascii="GHEA Grapalat" w:hAnsi="GHEA Grapalat" w:cs="GHEA Grapalat"/>
          <w:sz w:val="22"/>
          <w:szCs w:val="22"/>
        </w:rPr>
        <w:t xml:space="preserve">մլրդ դրամ՝ ապահովելով 98.6% կատարողական: Նախորդ տարվա համեմատ նշված ծրագրի ծախսերն աճել են </w:t>
      </w:r>
      <w:r w:rsidRPr="001F63BA">
        <w:rPr>
          <w:rFonts w:ascii="GHEA Grapalat" w:hAnsi="GHEA Grapalat" w:cs="GHEA Grapalat"/>
          <w:sz w:val="22"/>
          <w:szCs w:val="22"/>
          <w:lang w:val="en-US"/>
        </w:rPr>
        <w:t>185.5%-ով</w:t>
      </w:r>
      <w:r w:rsidRPr="001F63BA">
        <w:rPr>
          <w:rFonts w:ascii="GHEA Grapalat" w:hAnsi="GHEA Grapalat" w:cs="GHEA Grapalat"/>
          <w:sz w:val="22"/>
          <w:szCs w:val="22"/>
        </w:rPr>
        <w:t xml:space="preserve"> (7.9 մլրդ դրամով), որը հիմնականում պայմանավորված է Հայաստանի Հանրապետությունում ինտենսիվ այգեգործության զարգացման նպատակով սուբսիդավորման համար միջոցների հատկացմամբ, ինչպես նաև Հայաստանի Հանրապետության ագրոպարենային ոլորտի սարքավորումների լիզինգի աջակցության</w:t>
      </w:r>
      <w:r w:rsidRPr="001F63BA">
        <w:rPr>
          <w:rFonts w:ascii="GHEA Grapalat" w:hAnsi="GHEA Grapalat" w:cs="GHEA Grapalat"/>
          <w:sz w:val="22"/>
          <w:szCs w:val="22"/>
          <w:lang w:val="en-US"/>
        </w:rPr>
        <w:t xml:space="preserve"> և</w:t>
      </w:r>
      <w:r w:rsidRPr="001F63BA">
        <w:rPr>
          <w:rFonts w:ascii="GHEA Grapalat" w:hAnsi="GHEA Grapalat" w:cs="GHEA Grapalat"/>
          <w:sz w:val="22"/>
          <w:szCs w:val="22"/>
        </w:rPr>
        <w:t xml:space="preserve"> Հայաստանի Հանրապետությունում խաղողի, ժամանակակից տեխնոլոգիաներով մշակվող ինտենսիվ պտղատու այգիների և հատապտղանոցների հիմնման համար վարկային տոկոսադրույքների սուբսիդավորման ծախսերի աճով:</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Ծրագրի շրջանակներում իրականացվել են </w:t>
      </w:r>
      <w:r w:rsidRPr="001F63BA">
        <w:rPr>
          <w:rFonts w:ascii="GHEA Grapalat" w:hAnsi="GHEA Grapalat" w:cs="Sylfaen"/>
          <w:sz w:val="22"/>
          <w:szCs w:val="22"/>
          <w:lang w:val="en-US"/>
        </w:rPr>
        <w:t>տասներեք</w:t>
      </w:r>
      <w:r w:rsidRPr="001F63BA">
        <w:rPr>
          <w:rFonts w:ascii="GHEA Grapalat" w:hAnsi="GHEA Grapalat" w:cs="Sylfaen"/>
          <w:sz w:val="22"/>
          <w:szCs w:val="22"/>
        </w:rPr>
        <w:t xml:space="preserve"> միջոցառումներ, որոնցից յոթի գծով արձանագրվել է 100% կատարողական:</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Հաշվետու տարում Հայաստանի Հանրապետությունում ինտենսիվ այգեգործության զարգացման նպատակով սուբսիդավորման միջոցառման շրջանակներում փաստացի հիմնվել են 2096.3 հա նոր ինտենսիվ պտղատու այգիներ՝ նախատեսված 1432.56 հա-ի դիմաց, տեղակայվել են 50.2 հա կարկտապաշտպան ցանցային համակարգեր՝ նախատեսված 37.2 հա-ի դիմաց, </w:t>
      </w:r>
      <w:r w:rsidRPr="001F63BA">
        <w:rPr>
          <w:rFonts w:ascii="GHEA Grapalat" w:hAnsi="GHEA Grapalat" w:cs="Sylfaen"/>
          <w:sz w:val="22"/>
          <w:szCs w:val="22"/>
          <w:lang w:val="en-US"/>
        </w:rPr>
        <w:t xml:space="preserve">նախատեսված չափով՝ </w:t>
      </w:r>
      <w:r w:rsidRPr="001F63BA">
        <w:rPr>
          <w:rFonts w:ascii="GHEA Grapalat" w:hAnsi="GHEA Grapalat" w:cs="Sylfaen"/>
          <w:sz w:val="22"/>
          <w:szCs w:val="22"/>
        </w:rPr>
        <w:t>3.18 հա տարածքի վրա մշակվել են բարձրարժեք մշակաբույսերի ցանքատարածություններ, ներդրվել են 423.37 հա ոռոգման արդիական համակարգեր</w:t>
      </w:r>
      <w:r w:rsidRPr="001F63BA">
        <w:rPr>
          <w:rFonts w:ascii="GHEA Grapalat" w:hAnsi="GHEA Grapalat" w:cs="Sylfaen"/>
          <w:sz w:val="22"/>
          <w:szCs w:val="22"/>
          <w:lang w:val="en-US"/>
        </w:rPr>
        <w:t>՝</w:t>
      </w:r>
      <w:r w:rsidRPr="001F63BA">
        <w:rPr>
          <w:rFonts w:ascii="GHEA Grapalat" w:hAnsi="GHEA Grapalat" w:cs="Sylfaen"/>
          <w:sz w:val="22"/>
          <w:szCs w:val="22"/>
        </w:rPr>
        <w:t xml:space="preserve"> նախատեսված 350.69 հա-ի դիմաց: Ծրագրված ցուցանիշների գերազանցումը պայմանավորված է ծրագրի նկատմամբ մեծ հետաքրքրությամբ: Միջոցառմանն ուղղվել է 4.1 մլրդ դրամ՝ ապահովելով 100% կատարողական: Միջոցառումը մեկնարկել է 2022 թվականին:</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Հայաստանի Հանրապետության ագրոպարենային ոլորտի սարքավորումների լիզինգի պետական աջակցության ծրագրի շրջանակներում հաշվետու տարում նախատեսված 281-ի դիմաց սուբսիդավորումից օգտվել է 615 շահառու, որից 430-ը նախորդ տարիներից սուբսիդավորվող տնտեսավարող սուբյեկտներն են: Ծրագրված ցուցանիշի գերազանցումը պայմանավորված է կորոնավիրուսի պայմաններում մինչև 2021 թվականի դեկտեմբերի 31-ը զրոյական տոկոսադրույքով վարկավորման արդյունքում ծրագրի նկատմամբ մեծ պահանջարկով: Նշենք, որ նախորդ տարի ծրագրից օգտվել էր </w:t>
      </w:r>
      <w:r w:rsidRPr="001F63BA">
        <w:rPr>
          <w:rFonts w:ascii="GHEA Grapalat" w:hAnsi="GHEA Grapalat" w:cs="Sylfaen"/>
          <w:sz w:val="22"/>
          <w:szCs w:val="22"/>
          <w:lang w:val="en-US"/>
        </w:rPr>
        <w:t>430</w:t>
      </w:r>
      <w:r w:rsidRPr="001F63BA">
        <w:rPr>
          <w:rFonts w:ascii="GHEA Grapalat" w:hAnsi="GHEA Grapalat" w:cs="Sylfaen"/>
          <w:sz w:val="22"/>
          <w:szCs w:val="22"/>
        </w:rPr>
        <w:t xml:space="preserve"> շահառու: </w:t>
      </w:r>
      <w:r w:rsidRPr="001F63BA">
        <w:rPr>
          <w:rFonts w:ascii="GHEA Grapalat" w:hAnsi="GHEA Grapalat" w:cs="Sylfaen"/>
          <w:sz w:val="22"/>
          <w:szCs w:val="22"/>
          <w:lang w:val="en-US"/>
        </w:rPr>
        <w:t>2022 թվականին մ</w:t>
      </w:r>
      <w:r w:rsidRPr="001F63BA">
        <w:rPr>
          <w:rFonts w:ascii="GHEA Grapalat" w:hAnsi="GHEA Grapalat" w:cs="Sylfaen"/>
          <w:sz w:val="22"/>
          <w:szCs w:val="22"/>
        </w:rPr>
        <w:t xml:space="preserve">իջոցառման շրջանակներում ձեռք է բերվել 710 </w:t>
      </w:r>
      <w:r w:rsidRPr="001F63BA">
        <w:rPr>
          <w:rFonts w:ascii="GHEA Grapalat" w:hAnsi="GHEA Grapalat" w:cs="Sylfaen"/>
          <w:sz w:val="22"/>
          <w:szCs w:val="22"/>
        </w:rPr>
        <w:lastRenderedPageBreak/>
        <w:t xml:space="preserve">միավոր սարքավորում՝ նախորդ տարվա 776-ի դիմաց: Միջոցառման </w:t>
      </w:r>
      <w:r w:rsidRPr="001F63BA">
        <w:rPr>
          <w:rFonts w:ascii="GHEA Grapalat" w:hAnsi="GHEA Grapalat" w:cs="Sylfaen"/>
          <w:sz w:val="22"/>
          <w:szCs w:val="22"/>
          <w:lang w:val="en-US"/>
        </w:rPr>
        <w:t>ծախսերը կազմել են</w:t>
      </w:r>
      <w:r w:rsidRPr="001F63BA">
        <w:rPr>
          <w:rFonts w:ascii="GHEA Grapalat" w:hAnsi="GHEA Grapalat" w:cs="Sylfaen"/>
          <w:sz w:val="22"/>
          <w:szCs w:val="22"/>
        </w:rPr>
        <w:t xml:space="preserve"> շուրջ 2.9 մլրդ դրամ՝ ապահովելով 100% կատարողական: Նախորդ տարվա համեմատ նշված ծախսերն աճել են 3 անգամ կամ 1.9 մլրդ դրամով, որը պայմանավորված է շահառուների թվի, ինչպես նաև սարքավ</w:t>
      </w:r>
      <w:r w:rsidRPr="001F63BA">
        <w:rPr>
          <w:rFonts w:ascii="GHEA Grapalat" w:hAnsi="GHEA Grapalat" w:cs="Sylfaen"/>
          <w:sz w:val="22"/>
          <w:szCs w:val="22"/>
          <w:lang w:val="en-US"/>
        </w:rPr>
        <w:t>որ</w:t>
      </w:r>
      <w:r w:rsidRPr="001F63BA">
        <w:rPr>
          <w:rFonts w:ascii="GHEA Grapalat" w:hAnsi="GHEA Grapalat" w:cs="Sylfaen"/>
          <w:sz w:val="22"/>
          <w:szCs w:val="22"/>
        </w:rPr>
        <w:t>ո</w:t>
      </w:r>
      <w:r w:rsidRPr="001F63BA">
        <w:rPr>
          <w:rFonts w:ascii="GHEA Grapalat" w:hAnsi="GHEA Grapalat" w:cs="Sylfaen"/>
          <w:sz w:val="22"/>
          <w:szCs w:val="22"/>
          <w:lang w:val="en-US"/>
        </w:rPr>
        <w:t>ւ</w:t>
      </w:r>
      <w:r w:rsidRPr="001F63BA">
        <w:rPr>
          <w:rFonts w:ascii="GHEA Grapalat" w:hAnsi="GHEA Grapalat" w:cs="Sylfaen"/>
          <w:sz w:val="22"/>
          <w:szCs w:val="22"/>
        </w:rPr>
        <w:t xml:space="preserve">մների գների աճով։ </w:t>
      </w:r>
    </w:p>
    <w:p w:rsidR="001C411D" w:rsidRPr="001F63BA" w:rsidRDefault="001C411D" w:rsidP="004D3EA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Հայաստանի Հանրապետությունում խաղողի, ժամանակակից տեխնոլոգիաներով մշակվող ինտենսիվ</w:t>
      </w:r>
      <w:r w:rsidRPr="001F63BA">
        <w:rPr>
          <w:rFonts w:ascii="GHEA Grapalat" w:hAnsi="GHEA Grapalat" w:cs="GHEA Grapalat"/>
          <w:sz w:val="22"/>
          <w:szCs w:val="22"/>
        </w:rPr>
        <w:t xml:space="preserve"> պտղատու այգիների և հատապտղանոցների հիմնման համար վարկային տոկոսադրույքների սուբսիդավորման միջոցառման նպատակն է՝ այգետնկումների խթանմամբ հանրապետությունում զարգացնել պտղաբուծությունը և խաղողագործությունը, ավելացնել խաղողի, պտղի և հատապտղի արտադրության, պտուղների և հատապտուղների ներմուծման փոխարինման ու արտահանման ծավալները: Միջոցառման շրջանակներում </w:t>
      </w:r>
      <w:r w:rsidRPr="001F63BA">
        <w:rPr>
          <w:rFonts w:ascii="GHEA Grapalat" w:hAnsi="GHEA Grapalat" w:cs="GHEA Grapalat"/>
          <w:sz w:val="22"/>
          <w:szCs w:val="22"/>
          <w:lang w:val="en-US"/>
        </w:rPr>
        <w:t>կան</w:t>
      </w:r>
      <w:r w:rsidRPr="001F63BA">
        <w:rPr>
          <w:rFonts w:ascii="GHEA Grapalat" w:hAnsi="GHEA Grapalat" w:cs="GHEA Grapalat"/>
          <w:sz w:val="22"/>
          <w:szCs w:val="22"/>
        </w:rPr>
        <w:t xml:space="preserve">խատեսված 1469.5 հա-ի դիմաց փաստացի կատարվել է նախորդ տարիներին հիմնված 1446.1 հա ինտենսիվ պտղատու այգիների համար վարկերի տոկոսադրույքների սուբսիդավորում: Ծրագրված ցուցանիշից շեղումը պայմանավորված է ծրագրում ընդգրկված այգիների՝ </w:t>
      </w:r>
      <w:r w:rsidRPr="001F63BA">
        <w:rPr>
          <w:rFonts w:ascii="GHEA Grapalat" w:hAnsi="GHEA Grapalat" w:cs="Sylfaen"/>
          <w:sz w:val="22"/>
          <w:szCs w:val="22"/>
        </w:rPr>
        <w:t>կանխատեսվածից քիչ հիմն</w:t>
      </w:r>
      <w:r w:rsidRPr="001F63BA">
        <w:rPr>
          <w:rFonts w:ascii="GHEA Grapalat" w:hAnsi="GHEA Grapalat" w:cs="Sylfaen"/>
          <w:sz w:val="22"/>
          <w:szCs w:val="22"/>
          <w:lang w:val="en-US"/>
        </w:rPr>
        <w:t>վ</w:t>
      </w:r>
      <w:r w:rsidRPr="001F63BA">
        <w:rPr>
          <w:rFonts w:ascii="GHEA Grapalat" w:hAnsi="GHEA Grapalat" w:cs="Sylfaen"/>
          <w:sz w:val="22"/>
          <w:szCs w:val="22"/>
        </w:rPr>
        <w:t>ելու հանգամանքով: Միջոցառման ծախսերը կազմել են 2.2 մլրդ դրամ՝ ապահովելով 100% կատարողական: Նախորդ տարվա համեմատ նշված միջոցառման ծախսերն աճել են 2.1 անգամ կամ շուրջ 1.2 մլրդ դրամով, որը հիմնականում պայմանավորված է նրանով, որ 2022 թվականին շարունակվել է 2020 և 2021 թվականների ընթացքում կորոնավիրուսի տնտեսական հետևանքների չեզոքացման նպատակով տրամադրված 0</w:t>
      </w:r>
      <w:r w:rsidRPr="001F63BA">
        <w:rPr>
          <w:rFonts w:ascii="GHEA Grapalat" w:hAnsi="GHEA Grapalat" w:cs="Sylfaen"/>
          <w:sz w:val="22"/>
          <w:szCs w:val="22"/>
        </w:rPr>
        <w:noBreakHyphen/>
        <w:t>ական տոկոսադրույքով վարկերի տոկոսավճարների սուբսիդավորումը, և սուբսիդավորվել են նաև ընթացիկ տարում տրամադրված վարկերի տոկոսավճարները:</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Հայաստանի Հանրապետությունում խաղողի, ժամանակակից տեխնոլոգիաներով մշակվող ինտենսիվ պտղատու այգիների և հատապտղանոցների հիմնման համար պետական աջակցության միջոցառման շրջանակներում տնտեսավարողին տրամադրվում է ծախսերի մասնակի փոխհատուցում այգու հիմնման համար կատարված ծախսերի 50%-ի չափով: 2022 թվականին իրականացվել են 197.8 հա նոր ինտենսիվ պտղատու այգիների հիմնման աշխատանքներ՝ կանխատեսված 213.9 հա-ի</w:t>
      </w:r>
      <w:r w:rsidRPr="001F63BA">
        <w:rPr>
          <w:rFonts w:ascii="GHEA Grapalat" w:hAnsi="GHEA Grapalat" w:cs="Sylfaen"/>
          <w:sz w:val="22"/>
          <w:szCs w:val="22"/>
          <w:lang w:val="en-US"/>
        </w:rPr>
        <w:t xml:space="preserve"> և նախորդ տարվա </w:t>
      </w:r>
      <w:r w:rsidRPr="001F63BA">
        <w:rPr>
          <w:rFonts w:ascii="GHEA Grapalat" w:hAnsi="GHEA Grapalat" w:cs="Sylfaen"/>
          <w:sz w:val="22"/>
          <w:szCs w:val="22"/>
        </w:rPr>
        <w:t>134.52 հա</w:t>
      </w:r>
      <w:r w:rsidRPr="001F63BA">
        <w:rPr>
          <w:rFonts w:ascii="GHEA Grapalat" w:hAnsi="GHEA Grapalat" w:cs="Sylfaen"/>
          <w:sz w:val="22"/>
          <w:szCs w:val="22"/>
          <w:lang w:val="en-US"/>
        </w:rPr>
        <w:t>-ի</w:t>
      </w:r>
      <w:r w:rsidRPr="001F63BA">
        <w:rPr>
          <w:rFonts w:ascii="GHEA Grapalat" w:hAnsi="GHEA Grapalat" w:cs="Sylfaen"/>
          <w:sz w:val="22"/>
          <w:szCs w:val="22"/>
        </w:rPr>
        <w:t xml:space="preserve"> դիմաց: Ծրագրված ցուցանիշից շեղումը պայմանավորված է նրանով, որ ծրագրի շրջանակներում շահառուներին աջակցություն է տրվում՝ հիմք ընդունելով մոնիտորինգի դրական եզրակացությունը: ՀՀ էկոնոմիկայի նախարարության վերակազմավորման արդյունքում մոնիտորինգի իրականացման գործառույթը վերապահվել է «Գյուղատնտեսական ծառայությունների կենտրոն» ՊՈԱԿ-ին, </w:t>
      </w:r>
      <w:r w:rsidRPr="001F63BA">
        <w:rPr>
          <w:rFonts w:ascii="GHEA Grapalat" w:hAnsi="GHEA Grapalat" w:cs="Sylfaen"/>
          <w:sz w:val="22"/>
          <w:szCs w:val="22"/>
          <w:lang w:val="en-US"/>
        </w:rPr>
        <w:t>և</w:t>
      </w:r>
      <w:r w:rsidRPr="001F63BA">
        <w:rPr>
          <w:rFonts w:ascii="GHEA Grapalat" w:hAnsi="GHEA Grapalat" w:cs="Sylfaen"/>
          <w:sz w:val="22"/>
          <w:szCs w:val="22"/>
        </w:rPr>
        <w:t xml:space="preserve"> որոշ շահառուների ծրագրերի մոնիտորինգի արդյունքները նախատեսված ժամկետից ուշ են ներկայացվել: Միջոցառման ծախսերը կատարվել են 96.3%-ով՝ կազմելով շուրջ 1.1 մլրդ դրամ: Նախորդ տարվա համեմատ նշված </w:t>
      </w:r>
      <w:r w:rsidRPr="001F63BA">
        <w:rPr>
          <w:rFonts w:ascii="GHEA Grapalat" w:hAnsi="GHEA Grapalat" w:cs="Sylfaen"/>
          <w:sz w:val="22"/>
          <w:szCs w:val="22"/>
        </w:rPr>
        <w:lastRenderedPageBreak/>
        <w:t>միջոցառման ծախսերն աճել են 19.1%-ով կամ 171.5 մլն դրամով, որը հիմնականում պայմանավորված է կատարված աշխատանքների ծավալով:</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Հայաստանի Հանրապետության գյուղատնտեսական տեխնիկայի լիզինգի աջակցության ծրագրի շրջանակներում տոկոսադրույքների սուբսիդավորում ստացող շահառուների թիվը </w:t>
      </w:r>
      <w:r w:rsidRPr="001F63BA">
        <w:rPr>
          <w:rFonts w:ascii="GHEA Grapalat" w:hAnsi="GHEA Grapalat" w:cs="Sylfaen"/>
          <w:sz w:val="22"/>
          <w:szCs w:val="22"/>
          <w:lang w:val="en-US"/>
        </w:rPr>
        <w:t>կան</w:t>
      </w:r>
      <w:r w:rsidRPr="001F63BA">
        <w:rPr>
          <w:rFonts w:ascii="GHEA Grapalat" w:hAnsi="GHEA Grapalat" w:cs="Sylfaen"/>
          <w:sz w:val="22"/>
          <w:szCs w:val="22"/>
        </w:rPr>
        <w:t>խատեսված 1438-ի փոխարեն կազմել է 1514, որից 1108-ը նախորդ տարիներից սուբսիդավորվող տնտեսավարող սուբյեկտներն են: Նշենք, որ նախորդ տարի ծրագրից օգտվել էր 118</w:t>
      </w:r>
      <w:r w:rsidRPr="001F63BA">
        <w:rPr>
          <w:rFonts w:ascii="GHEA Grapalat" w:hAnsi="GHEA Grapalat" w:cs="Sylfaen"/>
          <w:sz w:val="22"/>
          <w:szCs w:val="22"/>
          <w:lang w:val="en-US"/>
        </w:rPr>
        <w:t>6</w:t>
      </w:r>
      <w:r w:rsidRPr="001F63BA">
        <w:rPr>
          <w:rFonts w:ascii="GHEA Grapalat" w:hAnsi="GHEA Grapalat" w:cs="Sylfaen"/>
          <w:sz w:val="22"/>
          <w:szCs w:val="22"/>
        </w:rPr>
        <w:t xml:space="preserve"> շահառու: </w:t>
      </w:r>
      <w:r w:rsidRPr="001F63BA">
        <w:rPr>
          <w:rFonts w:ascii="GHEA Grapalat" w:hAnsi="GHEA Grapalat"/>
          <w:sz w:val="22"/>
          <w:szCs w:val="22"/>
          <w:lang w:val="en-US"/>
        </w:rPr>
        <w:t>Շահառուների թվի աճ</w:t>
      </w:r>
      <w:r w:rsidRPr="001F63BA">
        <w:rPr>
          <w:rFonts w:ascii="GHEA Grapalat" w:hAnsi="GHEA Grapalat"/>
          <w:sz w:val="22"/>
          <w:szCs w:val="22"/>
        </w:rPr>
        <w:t>ը</w:t>
      </w:r>
      <w:r w:rsidRPr="001F63BA">
        <w:rPr>
          <w:rFonts w:ascii="GHEA Grapalat" w:hAnsi="GHEA Grapalat" w:cs="Sylfaen"/>
          <w:sz w:val="22"/>
          <w:szCs w:val="22"/>
        </w:rPr>
        <w:t xml:space="preserve"> պայմանավորված է տնտեսավարողների իրազեկվածության մակարդակ</w:t>
      </w:r>
      <w:r w:rsidRPr="001F63BA">
        <w:rPr>
          <w:rFonts w:ascii="GHEA Grapalat" w:hAnsi="GHEA Grapalat" w:cs="Sylfaen"/>
          <w:sz w:val="22"/>
          <w:szCs w:val="22"/>
          <w:lang w:val="en-US"/>
        </w:rPr>
        <w:t>ի</w:t>
      </w:r>
      <w:r w:rsidRPr="001F63BA">
        <w:rPr>
          <w:rFonts w:ascii="GHEA Grapalat" w:hAnsi="GHEA Grapalat" w:cs="Sylfaen"/>
          <w:sz w:val="22"/>
          <w:szCs w:val="22"/>
        </w:rPr>
        <w:t>, ինչպես նաև լիզինգի սահմանաչափի բարձրացման հետևանքով ծրագրի նկատմամբ բարձր պահանջարկով: Միջոցառման շրջանակներում ձեռք է բերվել 573 միավոր գյուղատնտեսական տեխնիկա՝ նախորդ տարվա 583-ի դիմաց: Միջոցառման շրջանակներում օգտագործվել է 707.8 մլն դրամ՝ ապահովելով 100% կատարողական: Նախորդ տարվա համեմատ նշված միջոցառման ծախսերն աճել են 42.2%-ով կամ 209.9 մլն դրամով՝ պայմանավորված շահառուների թվի աճով, ինչպես նաև սարքավոր</w:t>
      </w:r>
      <w:r w:rsidRPr="001F63BA">
        <w:rPr>
          <w:rFonts w:ascii="GHEA Grapalat" w:hAnsi="GHEA Grapalat" w:cs="Sylfaen"/>
          <w:sz w:val="22"/>
          <w:szCs w:val="22"/>
          <w:lang w:val="en-US"/>
        </w:rPr>
        <w:t>ու</w:t>
      </w:r>
      <w:r w:rsidRPr="001F63BA">
        <w:rPr>
          <w:rFonts w:ascii="GHEA Grapalat" w:hAnsi="GHEA Grapalat" w:cs="Sylfaen"/>
          <w:sz w:val="22"/>
          <w:szCs w:val="22"/>
        </w:rPr>
        <w:t xml:space="preserve">մների գների աճով։ </w:t>
      </w:r>
    </w:p>
    <w:p w:rsidR="001C411D" w:rsidRPr="001F63BA" w:rsidRDefault="001C411D" w:rsidP="00673D3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GHEA Grapalat"/>
          <w:i/>
          <w:sz w:val="22"/>
          <w:szCs w:val="22"/>
        </w:rPr>
        <w:t>Զբոսաշրջության զարգացման</w:t>
      </w:r>
      <w:r w:rsidRPr="001F63BA">
        <w:rPr>
          <w:rFonts w:ascii="GHEA Grapalat" w:hAnsi="GHEA Grapalat" w:cs="GHEA Grapalat"/>
          <w:sz w:val="22"/>
          <w:szCs w:val="22"/>
        </w:rPr>
        <w:t xml:space="preserve"> ծրագրին </w:t>
      </w:r>
      <w:r w:rsidRPr="001F63BA">
        <w:rPr>
          <w:rFonts w:ascii="GHEA Grapalat" w:hAnsi="GHEA Grapalat" w:cs="GHEA Grapalat"/>
          <w:sz w:val="22"/>
          <w:szCs w:val="22"/>
          <w:lang w:val="en-US"/>
        </w:rPr>
        <w:t>2022 թվականին տրամադրվ</w:t>
      </w:r>
      <w:r w:rsidRPr="001F63BA">
        <w:rPr>
          <w:rFonts w:ascii="GHEA Grapalat" w:hAnsi="GHEA Grapalat" w:cs="GHEA Grapalat"/>
          <w:sz w:val="22"/>
          <w:szCs w:val="22"/>
        </w:rPr>
        <w:t>ել</w:t>
      </w:r>
      <w:r w:rsidRPr="001F63BA">
        <w:rPr>
          <w:rFonts w:ascii="GHEA Grapalat" w:hAnsi="GHEA Grapalat" w:cs="Sylfaen"/>
          <w:sz w:val="22"/>
          <w:szCs w:val="22"/>
        </w:rPr>
        <w:t xml:space="preserve"> է ավելի քան 2.4 </w:t>
      </w:r>
      <w:r w:rsidRPr="001F63BA">
        <w:rPr>
          <w:rFonts w:ascii="GHEA Grapalat" w:hAnsi="GHEA Grapalat" w:cs="GHEA Grapalat"/>
          <w:sz w:val="22"/>
          <w:szCs w:val="22"/>
        </w:rPr>
        <w:t xml:space="preserve">մլրդ դրամ </w:t>
      </w:r>
      <w:r w:rsidRPr="001F63BA">
        <w:rPr>
          <w:rFonts w:ascii="GHEA Grapalat" w:hAnsi="GHEA Grapalat" w:cs="Sylfaen"/>
          <w:sz w:val="22"/>
          <w:szCs w:val="22"/>
        </w:rPr>
        <w:t xml:space="preserve">կամ նախատեսված միջոցների </w:t>
      </w:r>
      <w:r w:rsidRPr="001F63BA">
        <w:rPr>
          <w:rFonts w:ascii="GHEA Grapalat" w:hAnsi="GHEA Grapalat" w:cs="Sylfaen"/>
          <w:sz w:val="22"/>
          <w:szCs w:val="22"/>
          <w:lang w:val="en-US"/>
        </w:rPr>
        <w:t>76.7</w:t>
      </w:r>
      <w:r w:rsidRPr="001F63BA">
        <w:rPr>
          <w:rFonts w:ascii="GHEA Grapalat" w:hAnsi="GHEA Grapalat" w:cs="Sylfaen"/>
          <w:sz w:val="22"/>
          <w:szCs w:val="22"/>
        </w:rPr>
        <w:t>%</w:t>
      </w:r>
      <w:r w:rsidRPr="001F63BA">
        <w:rPr>
          <w:rFonts w:ascii="GHEA Grapalat" w:hAnsi="GHEA Grapalat" w:cs="Sylfaen"/>
          <w:sz w:val="22"/>
          <w:szCs w:val="22"/>
        </w:rPr>
        <w:noBreakHyphen/>
        <w:t>ը: Ծրագրված ցուցանիշից շեղումը հիմնականում պայմանավորված է</w:t>
      </w:r>
      <w:r w:rsidRPr="001F63BA">
        <w:rPr>
          <w:rFonts w:ascii="GHEA Grapalat" w:hAnsi="GHEA Grapalat" w:cs="GHEA Grapalat"/>
          <w:sz w:val="22"/>
          <w:szCs w:val="22"/>
        </w:rPr>
        <w:t xml:space="preserve"> Համաշխարհային բանկի</w:t>
      </w:r>
      <w:r w:rsidRPr="001F63BA">
        <w:rPr>
          <w:rFonts w:ascii="GHEA Grapalat" w:hAnsi="GHEA Grapalat"/>
          <w:sz w:val="22"/>
          <w:szCs w:val="22"/>
        </w:rPr>
        <w:t xml:space="preserve"> աջակցությամբ իրականացվող Տեղական տնտեսության և ենթակառուցվածքների զարգացման</w:t>
      </w:r>
      <w:r w:rsidRPr="001F63BA">
        <w:rPr>
          <w:rFonts w:ascii="GHEA Grapalat" w:hAnsi="GHEA Grapalat"/>
          <w:sz w:val="22"/>
          <w:szCs w:val="22"/>
          <w:lang w:val="en-US"/>
        </w:rPr>
        <w:t xml:space="preserve"> վարկային</w:t>
      </w:r>
      <w:r w:rsidRPr="001F63BA">
        <w:rPr>
          <w:rFonts w:ascii="GHEA Grapalat" w:hAnsi="GHEA Grapalat"/>
          <w:sz w:val="22"/>
          <w:szCs w:val="22"/>
        </w:rPr>
        <w:t xml:space="preserve"> ծրագրի</w:t>
      </w:r>
      <w:r w:rsidRPr="001F63BA">
        <w:rPr>
          <w:rFonts w:ascii="GHEA Grapalat" w:hAnsi="GHEA Grapalat"/>
          <w:sz w:val="22"/>
          <w:szCs w:val="22"/>
          <w:lang w:val="en-US"/>
        </w:rPr>
        <w:t xml:space="preserve"> և Գերմանիայի միջազգային համագործակցության ընկերության աջակցությամբ իրականացվող «Նորարարական տուրիզմի և տեխնոլոգիաների զարգացում Հայաստանի համար» դրամաշնորհային ծրագրի</w:t>
      </w:r>
      <w:r w:rsidRPr="001F63BA">
        <w:rPr>
          <w:rFonts w:ascii="GHEA Grapalat" w:hAnsi="GHEA Grapalat"/>
          <w:sz w:val="22"/>
          <w:szCs w:val="22"/>
        </w:rPr>
        <w:t xml:space="preserve"> կատարողականով: </w:t>
      </w:r>
      <w:r w:rsidRPr="001F63BA">
        <w:rPr>
          <w:rFonts w:ascii="GHEA Grapalat" w:hAnsi="GHEA Grapalat"/>
          <w:sz w:val="22"/>
          <w:szCs w:val="22"/>
          <w:lang w:val="en-US"/>
        </w:rPr>
        <w:t>Ն</w:t>
      </w:r>
      <w:r w:rsidRPr="001F63BA">
        <w:rPr>
          <w:rFonts w:ascii="GHEA Grapalat" w:hAnsi="GHEA Grapalat"/>
          <w:sz w:val="22"/>
          <w:szCs w:val="22"/>
        </w:rPr>
        <w:t>ախորդ տարվա համեմատ Զբոսաշրջության զարգացման ծրագրի ծախսեր</w:t>
      </w:r>
      <w:r w:rsidRPr="001F63BA">
        <w:rPr>
          <w:rFonts w:ascii="GHEA Grapalat" w:hAnsi="GHEA Grapalat"/>
          <w:sz w:val="22"/>
          <w:szCs w:val="22"/>
          <w:lang w:val="en-US"/>
        </w:rPr>
        <w:t>ը նվազել են</w:t>
      </w:r>
      <w:r w:rsidRPr="001F63BA">
        <w:rPr>
          <w:rFonts w:ascii="GHEA Grapalat" w:hAnsi="GHEA Grapalat"/>
          <w:sz w:val="22"/>
          <w:szCs w:val="22"/>
        </w:rPr>
        <w:t xml:space="preserve"> </w:t>
      </w:r>
      <w:r w:rsidRPr="001F63BA">
        <w:rPr>
          <w:rFonts w:ascii="GHEA Grapalat" w:hAnsi="GHEA Grapalat"/>
          <w:sz w:val="22"/>
          <w:szCs w:val="22"/>
          <w:lang w:val="en-US"/>
        </w:rPr>
        <w:t>2</w:t>
      </w:r>
      <w:r w:rsidRPr="001F63BA">
        <w:rPr>
          <w:rFonts w:ascii="GHEA Grapalat" w:hAnsi="GHEA Grapalat"/>
          <w:sz w:val="22"/>
          <w:szCs w:val="22"/>
        </w:rPr>
        <w:t>4</w:t>
      </w:r>
      <w:r w:rsidRPr="001F63BA">
        <w:rPr>
          <w:rFonts w:ascii="GHEA Grapalat" w:hAnsi="GHEA Grapalat"/>
          <w:sz w:val="22"/>
          <w:szCs w:val="22"/>
          <w:lang w:val="en-US"/>
        </w:rPr>
        <w:t>.</w:t>
      </w:r>
      <w:r w:rsidRPr="001F63BA">
        <w:rPr>
          <w:rFonts w:ascii="GHEA Grapalat" w:hAnsi="GHEA Grapalat"/>
          <w:sz w:val="22"/>
          <w:szCs w:val="22"/>
        </w:rPr>
        <w:t>1%</w:t>
      </w:r>
      <w:r w:rsidRPr="001F63BA">
        <w:rPr>
          <w:rFonts w:ascii="GHEA Grapalat" w:hAnsi="GHEA Grapalat"/>
          <w:sz w:val="22"/>
          <w:szCs w:val="22"/>
          <w:lang w:val="en-US"/>
        </w:rPr>
        <w:t>-ով</w:t>
      </w:r>
      <w:r w:rsidRPr="001F63BA">
        <w:rPr>
          <w:rFonts w:ascii="GHEA Grapalat" w:hAnsi="GHEA Grapalat"/>
          <w:sz w:val="22"/>
          <w:szCs w:val="22"/>
        </w:rPr>
        <w:t xml:space="preserve"> (</w:t>
      </w:r>
      <w:r w:rsidRPr="001F63BA">
        <w:rPr>
          <w:rFonts w:ascii="GHEA Grapalat" w:hAnsi="GHEA Grapalat"/>
          <w:sz w:val="22"/>
          <w:szCs w:val="22"/>
          <w:lang w:val="en-US"/>
        </w:rPr>
        <w:t>773.5</w:t>
      </w:r>
      <w:r w:rsidRPr="001F63BA">
        <w:rPr>
          <w:rFonts w:ascii="GHEA Grapalat" w:hAnsi="GHEA Grapalat"/>
          <w:sz w:val="22"/>
          <w:szCs w:val="22"/>
        </w:rPr>
        <w:t xml:space="preserve"> մլն դրամ</w:t>
      </w:r>
      <w:r w:rsidRPr="001F63BA">
        <w:rPr>
          <w:rFonts w:ascii="GHEA Grapalat" w:hAnsi="GHEA Grapalat"/>
          <w:sz w:val="22"/>
          <w:szCs w:val="22"/>
          <w:lang w:val="en-US"/>
        </w:rPr>
        <w:t>ով</w:t>
      </w:r>
      <w:r w:rsidRPr="001F63BA">
        <w:rPr>
          <w:rFonts w:ascii="GHEA Grapalat" w:hAnsi="GHEA Grapalat"/>
          <w:sz w:val="22"/>
          <w:szCs w:val="22"/>
        </w:rPr>
        <w:t>)</w:t>
      </w:r>
      <w:r w:rsidRPr="001F63BA">
        <w:rPr>
          <w:rFonts w:ascii="GHEA Grapalat" w:hAnsi="GHEA Grapalat"/>
          <w:sz w:val="22"/>
          <w:szCs w:val="22"/>
          <w:lang w:val="en-US"/>
        </w:rPr>
        <w:t xml:space="preserve">՝ հիմնականում պայմանավորված </w:t>
      </w:r>
      <w:r w:rsidRPr="001F63BA">
        <w:rPr>
          <w:rFonts w:ascii="GHEA Grapalat" w:hAnsi="GHEA Grapalat" w:cs="GHEA Grapalat"/>
          <w:sz w:val="22"/>
          <w:szCs w:val="22"/>
        </w:rPr>
        <w:t>Հ</w:t>
      </w:r>
      <w:r w:rsidRPr="001F63BA">
        <w:rPr>
          <w:rFonts w:ascii="GHEA Grapalat" w:hAnsi="GHEA Grapalat" w:cs="GHEA Grapalat"/>
          <w:sz w:val="22"/>
          <w:szCs w:val="22"/>
          <w:lang w:val="en-US"/>
        </w:rPr>
        <w:t>Բ</w:t>
      </w:r>
      <w:r w:rsidRPr="001F63BA">
        <w:rPr>
          <w:rFonts w:ascii="GHEA Grapalat" w:hAnsi="GHEA Grapalat"/>
          <w:sz w:val="22"/>
          <w:szCs w:val="22"/>
        </w:rPr>
        <w:t xml:space="preserve"> աջակցությամբ իրականացվող Տեղական տնտեսության և ենթակառուցվածքների զարգացման</w:t>
      </w:r>
      <w:r w:rsidRPr="001F63BA">
        <w:rPr>
          <w:rFonts w:ascii="GHEA Grapalat" w:hAnsi="GHEA Grapalat"/>
          <w:sz w:val="22"/>
          <w:szCs w:val="22"/>
          <w:lang w:val="en-US"/>
        </w:rPr>
        <w:t xml:space="preserve"> </w:t>
      </w:r>
      <w:r w:rsidRPr="001F63BA">
        <w:rPr>
          <w:rFonts w:ascii="GHEA Grapalat" w:hAnsi="GHEA Grapalat"/>
          <w:sz w:val="22"/>
          <w:szCs w:val="22"/>
        </w:rPr>
        <w:t>ծրագրի</w:t>
      </w:r>
      <w:r w:rsidRPr="001F63BA">
        <w:rPr>
          <w:rFonts w:ascii="GHEA Grapalat" w:hAnsi="GHEA Grapalat"/>
          <w:sz w:val="22"/>
          <w:szCs w:val="22"/>
          <w:lang w:val="en-US"/>
        </w:rPr>
        <w:t xml:space="preserve"> շրջանակներում կատարված ծախսերի նվազմամբ</w:t>
      </w:r>
      <w:r w:rsidRPr="001F63BA">
        <w:rPr>
          <w:rFonts w:ascii="GHEA Grapalat" w:hAnsi="GHEA Grapalat"/>
          <w:sz w:val="22"/>
          <w:szCs w:val="22"/>
        </w:rPr>
        <w:t xml:space="preserve">: </w:t>
      </w:r>
    </w:p>
    <w:p w:rsidR="001C411D" w:rsidRPr="001F63BA" w:rsidRDefault="001C411D" w:rsidP="00673D32">
      <w:pPr>
        <w:autoSpaceDE w:val="0"/>
        <w:autoSpaceDN w:val="0"/>
        <w:adjustRightInd w:val="0"/>
        <w:spacing w:line="360" w:lineRule="auto"/>
        <w:ind w:firstLine="567"/>
        <w:jc w:val="both"/>
        <w:rPr>
          <w:rFonts w:ascii="GHEA Grapalat" w:hAnsi="GHEA Grapalat"/>
          <w:sz w:val="22"/>
          <w:szCs w:val="22"/>
          <w:lang w:val="af-ZA"/>
        </w:rPr>
      </w:pPr>
      <w:r w:rsidRPr="001F63BA">
        <w:rPr>
          <w:rFonts w:ascii="GHEA Grapalat" w:hAnsi="GHEA Grapalat"/>
          <w:sz w:val="22"/>
          <w:szCs w:val="22"/>
        </w:rPr>
        <w:t>Համաշխարհային բանկի աջակցությամբ իրականացվող տեղական տնտեսության և ենթակառուցվածքների զարգացման ծրագրի</w:t>
      </w:r>
      <w:r w:rsidRPr="001F63BA">
        <w:rPr>
          <w:rFonts w:ascii="GHEA Grapalat" w:hAnsi="GHEA Grapalat"/>
          <w:sz w:val="22"/>
          <w:szCs w:val="22"/>
          <w:lang w:val="af-ZA"/>
        </w:rPr>
        <w:t xml:space="preserve"> </w:t>
      </w:r>
      <w:r w:rsidRPr="001F63BA">
        <w:rPr>
          <w:rFonts w:ascii="GHEA Grapalat" w:hAnsi="GHEA Grapalat" w:cs="Sylfaen"/>
          <w:sz w:val="22"/>
          <w:szCs w:val="22"/>
        </w:rPr>
        <w:t>նպատակներն են</w:t>
      </w:r>
      <w:r w:rsidRPr="001F63BA">
        <w:rPr>
          <w:rFonts w:ascii="GHEA Grapalat" w:hAnsi="GHEA Grapalat"/>
          <w:sz w:val="22"/>
          <w:szCs w:val="22"/>
          <w:lang w:val="af-ZA"/>
        </w:rPr>
        <w:t>.</w:t>
      </w:r>
    </w:p>
    <w:p w:rsidR="001C411D" w:rsidRPr="001F63BA" w:rsidRDefault="001C411D" w:rsidP="00BB1B4B">
      <w:pPr>
        <w:numPr>
          <w:ilvl w:val="0"/>
          <w:numId w:val="23"/>
        </w:numPr>
        <w:tabs>
          <w:tab w:val="left" w:pos="851"/>
        </w:tabs>
        <w:spacing w:line="360" w:lineRule="auto"/>
        <w:ind w:left="0" w:firstLine="567"/>
        <w:jc w:val="both"/>
        <w:rPr>
          <w:rFonts w:ascii="GHEA Grapalat" w:hAnsi="GHEA Grapalat"/>
          <w:sz w:val="22"/>
          <w:szCs w:val="22"/>
          <w:lang w:val="af-ZA"/>
        </w:rPr>
      </w:pPr>
      <w:r w:rsidRPr="001F63BA">
        <w:rPr>
          <w:rFonts w:ascii="GHEA Grapalat" w:hAnsi="GHEA Grapalat"/>
          <w:sz w:val="22"/>
          <w:szCs w:val="22"/>
          <w:lang w:val="en-US"/>
        </w:rPr>
        <w:t>ն</w:t>
      </w:r>
      <w:r w:rsidRPr="001F63BA">
        <w:rPr>
          <w:rFonts w:ascii="GHEA Grapalat" w:hAnsi="GHEA Grapalat"/>
          <w:sz w:val="22"/>
          <w:szCs w:val="22"/>
        </w:rPr>
        <w:t>պաստել ընտրված մարզերի տեղական տնտեսություններում զբոսաշրջության աճին</w:t>
      </w:r>
      <w:r w:rsidRPr="001F63BA">
        <w:rPr>
          <w:rFonts w:ascii="GHEA Grapalat" w:hAnsi="GHEA Grapalat"/>
          <w:sz w:val="22"/>
          <w:szCs w:val="22"/>
          <w:lang w:val="af-ZA"/>
        </w:rPr>
        <w:t>,</w:t>
      </w:r>
    </w:p>
    <w:p w:rsidR="001C411D" w:rsidRPr="001F63BA" w:rsidRDefault="001C411D" w:rsidP="00BB1B4B">
      <w:pPr>
        <w:numPr>
          <w:ilvl w:val="0"/>
          <w:numId w:val="23"/>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ստեղծել և հիմնել զբոսաշրջային շրջաններ, որոնք կմիացնեն ընտրված մարզերի բազմաթիվ վայրեր:</w:t>
      </w:r>
    </w:p>
    <w:p w:rsidR="001C411D" w:rsidRPr="001F63BA" w:rsidRDefault="001C411D" w:rsidP="00673D32">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Այս գործողությունները միասին կօգնեն ավելի մեծ թվով այցելուներ գրավել դեպի մարզեր, որն իր հերթին կխթանի աշխատատեղերի ստեղ</w:t>
      </w:r>
      <w:r w:rsidRPr="001F63BA">
        <w:rPr>
          <w:rFonts w:ascii="GHEA Grapalat" w:hAnsi="GHEA Grapalat"/>
          <w:sz w:val="22"/>
          <w:szCs w:val="22"/>
        </w:rPr>
        <w:softHyphen/>
        <w:t>ծումը և տեղական տնտեսական աճը:</w:t>
      </w:r>
    </w:p>
    <w:p w:rsidR="001C411D" w:rsidRPr="001F63BA" w:rsidRDefault="001C411D" w:rsidP="00673D32">
      <w:pPr>
        <w:autoSpaceDE w:val="0"/>
        <w:autoSpaceDN w:val="0"/>
        <w:adjustRightInd w:val="0"/>
        <w:spacing w:line="360" w:lineRule="auto"/>
        <w:ind w:firstLine="567"/>
        <w:jc w:val="both"/>
        <w:rPr>
          <w:rFonts w:ascii="GHEA Grapalat" w:hAnsi="GHEA Grapalat"/>
          <w:sz w:val="22"/>
          <w:szCs w:val="22"/>
          <w:lang w:val="af-ZA"/>
        </w:rPr>
      </w:pPr>
      <w:r w:rsidRPr="001F63BA">
        <w:rPr>
          <w:rFonts w:ascii="GHEA Grapalat" w:hAnsi="GHEA Grapalat"/>
          <w:sz w:val="22"/>
          <w:szCs w:val="22"/>
        </w:rPr>
        <w:t>Ծրագիր</w:t>
      </w:r>
      <w:r w:rsidRPr="001F63BA">
        <w:rPr>
          <w:rFonts w:ascii="GHEA Grapalat" w:hAnsi="GHEA Grapalat"/>
          <w:sz w:val="22"/>
          <w:szCs w:val="22"/>
          <w:lang w:val="af-ZA"/>
        </w:rPr>
        <w:t xml:space="preserve">ն իրականացվում է երկու </w:t>
      </w:r>
      <w:r w:rsidRPr="001F63BA">
        <w:rPr>
          <w:rFonts w:ascii="GHEA Grapalat" w:hAnsi="GHEA Grapalat" w:cs="Sylfaen"/>
          <w:sz w:val="22"/>
          <w:szCs w:val="22"/>
        </w:rPr>
        <w:t>բաղադրիչներով</w:t>
      </w:r>
      <w:r w:rsidRPr="001F63BA">
        <w:rPr>
          <w:rFonts w:ascii="GHEA Grapalat" w:hAnsi="GHEA Grapalat"/>
          <w:sz w:val="22"/>
          <w:szCs w:val="22"/>
          <w:lang w:val="af-ZA"/>
        </w:rPr>
        <w:t>.</w:t>
      </w:r>
    </w:p>
    <w:p w:rsidR="001C411D" w:rsidRPr="001F63BA" w:rsidRDefault="001C411D" w:rsidP="00BB1B4B">
      <w:pPr>
        <w:numPr>
          <w:ilvl w:val="0"/>
          <w:numId w:val="23"/>
        </w:numPr>
        <w:tabs>
          <w:tab w:val="left" w:pos="851"/>
        </w:tabs>
        <w:spacing w:line="360" w:lineRule="auto"/>
        <w:ind w:left="0" w:firstLine="567"/>
        <w:jc w:val="both"/>
        <w:rPr>
          <w:rFonts w:ascii="GHEA Grapalat" w:hAnsi="GHEA Grapalat"/>
          <w:sz w:val="22"/>
          <w:szCs w:val="22"/>
          <w:lang w:val="af-ZA"/>
        </w:rPr>
      </w:pPr>
      <w:r w:rsidRPr="001F63BA">
        <w:rPr>
          <w:rFonts w:ascii="GHEA Grapalat" w:hAnsi="GHEA Grapalat"/>
          <w:sz w:val="22"/>
          <w:szCs w:val="22"/>
        </w:rPr>
        <w:t xml:space="preserve">պատմամշակութային ժառանգության և զբոսաշրջային օղակի զարգացում, </w:t>
      </w:r>
    </w:p>
    <w:p w:rsidR="001C411D" w:rsidRPr="001F63BA" w:rsidRDefault="001C411D" w:rsidP="00BB1B4B">
      <w:pPr>
        <w:numPr>
          <w:ilvl w:val="0"/>
          <w:numId w:val="23"/>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lastRenderedPageBreak/>
        <w:t>ինստիտուցիոնալ զարգացում:</w:t>
      </w:r>
    </w:p>
    <w:p w:rsidR="001C411D" w:rsidRPr="001F63BA" w:rsidRDefault="001C411D" w:rsidP="00673D32">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sz w:val="22"/>
          <w:szCs w:val="22"/>
        </w:rPr>
        <w:t>Ծրագրի շրջանակներում</w:t>
      </w:r>
      <w:r w:rsidRPr="001F63BA">
        <w:rPr>
          <w:rFonts w:ascii="GHEA Grapalat" w:hAnsi="GHEA Grapalat"/>
          <w:sz w:val="22"/>
          <w:szCs w:val="22"/>
          <w:lang w:val="en-US"/>
        </w:rPr>
        <w:t xml:space="preserve"> 2022 թվականին</w:t>
      </w:r>
      <w:r w:rsidRPr="001F63BA">
        <w:rPr>
          <w:rFonts w:ascii="GHEA Grapalat" w:hAnsi="GHEA Grapalat"/>
          <w:sz w:val="22"/>
          <w:szCs w:val="22"/>
        </w:rPr>
        <w:t xml:space="preserve"> ավարտվել են Գորիսի համայնքային ժառանգության կենտրոնի՝ Վարարակն գետի աջ ափի վերականգնման, Գորիս քաղաքի կենտրոնական մասի պատմամշակութային միջավայրի վերականգնման, Հայաստանի պատմական մայրաքաղաք «Դվինի» հուշարձանների մասնակի վերականգնման և բարեկարգման, Երևան-Լանջազատ-Գառնի տանող ճանապարհի վերականգնման, «Քարերի սիմֆոնիա» բնական հուշարձանից դեպի «Խոսրովի անտառ պետական արգելոց» տանող ճանապարհի վերականգնման և ավտոկայանատեղիների կառուցման աշխատանքները: 2022 թվականին ընթացքում են գտնվել Գյումրու Բարեկամության զբոսայգու վերակառուցման նախապատրաստական, Գյումրու Մաշտոցի փողոցի բարեկարգման, Ջերմուկի Շահումյանի և հարակից փողոցների վերանորոգման, վերականգնման և «Քարայծ» տանող ճեմուղու կառուցման, Ջերմուկի Մաշտոցի փողոցի վերանորոգման և լուսավորման, «Զորաց քարեր» հուշարձանի բարեկարգման, Գորիսի կենտրոնական մասի պատմամշակութային միջավայրի վերականգնման և Գառնու տաճարի շրջակայքի բարեկարգման աշխատանքները: Համաշխարհային բանկի աջակցությամբ</w:t>
      </w:r>
      <w:r w:rsidRPr="001F63BA">
        <w:rPr>
          <w:rFonts w:ascii="GHEA Grapalat" w:hAnsi="GHEA Grapalat"/>
          <w:sz w:val="22"/>
          <w:szCs w:val="22"/>
          <w:lang w:val="af-ZA"/>
        </w:rPr>
        <w:t xml:space="preserve"> իրականացվող տեղական տնտեսության և ենթակառուցվածքների զարգացման ծրագրի շրջանակներում օգտագործվել է 2 մլրդ դրամ կամ ծրագրային ցուցանիշի 80.3%-ը: Շեղումը ծրագրի կառավարման մասով պայմանավորված է թափուր հաստիքների առկայության</w:t>
      </w:r>
      <w:r w:rsidRPr="001F63BA">
        <w:rPr>
          <w:rFonts w:ascii="GHEA Grapalat" w:hAnsi="GHEA Grapalat"/>
          <w:sz w:val="22"/>
          <w:szCs w:val="22"/>
        </w:rPr>
        <w:t xml:space="preserve"> հետևանքով աշխատավարձի, ինչպես նաև գրասենյակային նյութերի և գործուղումների համար նախատեսված միջոցների տնտեսմամբ: Ծրագրի շրջանակներում ՀՀ տարբեր մարզերում զբոսաշրջության հետ կապված ենթակառ</w:t>
      </w:r>
      <w:r w:rsidRPr="001F63BA">
        <w:rPr>
          <w:rFonts w:ascii="GHEA Grapalat" w:hAnsi="GHEA Grapalat" w:cs="GHEA Grapalat"/>
          <w:sz w:val="22"/>
          <w:szCs w:val="22"/>
        </w:rPr>
        <w:t xml:space="preserve">ուցվածքների բարելավման գծով ծախսերի </w:t>
      </w:r>
      <w:r w:rsidRPr="001F63BA">
        <w:rPr>
          <w:rFonts w:ascii="GHEA Grapalat" w:hAnsi="GHEA Grapalat" w:cs="GHEA Grapalat"/>
          <w:sz w:val="22"/>
          <w:szCs w:val="22"/>
          <w:lang w:val="en-US"/>
        </w:rPr>
        <w:t>կատարողականը (80.3%)</w:t>
      </w:r>
      <w:r w:rsidRPr="001F63BA">
        <w:rPr>
          <w:rFonts w:ascii="GHEA Grapalat" w:hAnsi="GHEA Grapalat" w:cs="GHEA Grapalat"/>
          <w:sz w:val="22"/>
          <w:szCs w:val="22"/>
        </w:rPr>
        <w:t xml:space="preserve"> պայմանավորված է</w:t>
      </w:r>
      <w:r w:rsidRPr="001F63BA">
        <w:rPr>
          <w:rFonts w:ascii="GHEA Grapalat" w:hAnsi="GHEA Grapalat" w:cs="GHEA Grapalat"/>
          <w:sz w:val="22"/>
          <w:szCs w:val="22"/>
          <w:lang w:val="en-US"/>
        </w:rPr>
        <w:t xml:space="preserve"> </w:t>
      </w:r>
      <w:r w:rsidRPr="001F63BA">
        <w:rPr>
          <w:rFonts w:ascii="GHEA Grapalat" w:hAnsi="GHEA Grapalat"/>
          <w:sz w:val="22"/>
          <w:szCs w:val="22"/>
        </w:rPr>
        <w:t>այլ ծրագրերով զուգահեռաբար իրականացվող աշխատանքների, մրցութային փուլում առաջադրանքի փոփոխության, նախագծանախահաշվային փաստաթղթերի ուշացման, կոմունիկացիաների երկարատև հաստատումների և շահագրգիռ կողմերի հետ երկարատև համաձայնեցումների հետևանքով թվով 6 ենթածրագրերի շրջանակներում շինարարական աշխատանքների ուշ մեկնարկով:</w:t>
      </w:r>
    </w:p>
    <w:p w:rsidR="001C411D" w:rsidRPr="001F63BA" w:rsidRDefault="001C411D" w:rsidP="00673D32">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Զբոսաշրջության զարգացմանն աջակցության միջոցառման շրջանակներում աշխատանքներն իրականացվել են</w:t>
      </w:r>
      <w:r w:rsidRPr="001F63BA">
        <w:rPr>
          <w:rFonts w:ascii="GHEA Grapalat" w:hAnsi="GHEA Grapalat"/>
          <w:sz w:val="22"/>
          <w:szCs w:val="22"/>
          <w:lang w:val="en-US"/>
        </w:rPr>
        <w:t xml:space="preserve"> գրեթե</w:t>
      </w:r>
      <w:r w:rsidRPr="001F63BA">
        <w:rPr>
          <w:rFonts w:ascii="GHEA Grapalat" w:hAnsi="GHEA Grapalat"/>
          <w:sz w:val="22"/>
          <w:szCs w:val="22"/>
        </w:rPr>
        <w:t xml:space="preserve"> ողջ ծավալով: Մասնավորապես՝ ապահովվել</w:t>
      </w:r>
      <w:r w:rsidRPr="001F63BA">
        <w:rPr>
          <w:rFonts w:ascii="GHEA Grapalat" w:hAnsi="GHEA Grapalat"/>
          <w:sz w:val="22"/>
          <w:szCs w:val="22"/>
          <w:lang w:val="en-US"/>
        </w:rPr>
        <w:t xml:space="preserve"> է մասնակցությունը 3 միջազգային ցուցահանդեսի, պատվիրվել է հեղինակավոր պարբերականներում Հայաստանի մասին գովազդատեղեկատվական 3 հոդված, աջակցություն է ցուցաբերվել ՀՀ մարզերում 4 փառատոների կազմակերպմանը, իրականացվել են 10000 հատ գովազդատեղեկատվական նյութերի ստեղծման, թարգմանության, տպագրության, միջազգային համագործակցության շրջանակներում 1 միջոցառման կազմակերպման աշխատանքներ, աջակցություն է ցուցաբերվել 4 զբոսաշրջային տեղեկատվական կենտրոնների գործունեությանը, կազմակերպվել է զբոսաշրջության ոլորտում մարդկային </w:t>
      </w:r>
      <w:r w:rsidRPr="001F63BA">
        <w:rPr>
          <w:rFonts w:ascii="GHEA Grapalat" w:hAnsi="GHEA Grapalat"/>
          <w:sz w:val="22"/>
          <w:szCs w:val="22"/>
          <w:lang w:val="en-US"/>
        </w:rPr>
        <w:lastRenderedPageBreak/>
        <w:t xml:space="preserve">ռեսուրսների զարգացմանն ուղղված 3 դասընթաց: Զբոսաշրջության զարգացմանն աջակցության միջոցառման շրջանակներում օգտագործվել է շուրջ 169.2 մլն դրամ կամ նախատեսված միջոցների 94%-ը: Շեղումը պայմանավորված է նրանով, որ զբոսաշրջային տեղեկատվական կենտրոնների գործունեությանն աջակցության շրջանակներում կազմակերպությունների ընտրության մրցույթներին մասնակցելու համար դիմել է 4 կազմակերպություն՝ կանխատեսված 5-ի փոխարեն: </w:t>
      </w:r>
      <w:r w:rsidRPr="001F63BA">
        <w:rPr>
          <w:rFonts w:ascii="GHEA Grapalat" w:hAnsi="GHEA Grapalat"/>
          <w:sz w:val="22"/>
          <w:szCs w:val="22"/>
        </w:rPr>
        <w:t xml:space="preserve">Նախորդ տարվա համեմատ նշված միջոցառման ծախսերն աճել են 43.3%-ով կամ 51.1 մլն դրամով, ինչը հիմնականում պայմանավորված է նրանով, որ </w:t>
      </w:r>
      <w:r w:rsidRPr="001F63BA">
        <w:rPr>
          <w:rFonts w:ascii="GHEA Grapalat" w:hAnsi="GHEA Grapalat"/>
          <w:sz w:val="22"/>
          <w:szCs w:val="22"/>
          <w:lang w:val="en-US"/>
        </w:rPr>
        <w:t xml:space="preserve">2021 թվականին </w:t>
      </w:r>
      <w:r w:rsidRPr="001F63BA">
        <w:rPr>
          <w:rFonts w:ascii="GHEA Grapalat" w:hAnsi="GHEA Grapalat"/>
          <w:sz w:val="22"/>
          <w:szCs w:val="22"/>
        </w:rPr>
        <w:t>Հայաստանի մասնակցությունը 3 միջազգային ցուցահանդեսներին մասամբ իրականացվել է</w:t>
      </w:r>
      <w:r w:rsidRPr="001F63BA">
        <w:rPr>
          <w:rFonts w:ascii="GHEA Grapalat" w:hAnsi="GHEA Grapalat"/>
          <w:sz w:val="22"/>
          <w:szCs w:val="22"/>
          <w:lang w:val="en-US"/>
        </w:rPr>
        <w:t>ր</w:t>
      </w:r>
      <w:r w:rsidRPr="001F63BA">
        <w:rPr>
          <w:rFonts w:ascii="GHEA Grapalat" w:hAnsi="GHEA Grapalat"/>
          <w:sz w:val="22"/>
          <w:szCs w:val="22"/>
        </w:rPr>
        <w:t xml:space="preserve"> հովանավորների աջակցությամբ: </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GHEA Grapalat"/>
          <w:sz w:val="22"/>
          <w:szCs w:val="22"/>
        </w:rPr>
        <w:t xml:space="preserve">2022 թվականի ընթացքում կորոնավիրուսի համավարակի կանխարգելման նպատակով </w:t>
      </w:r>
      <w:r w:rsidRPr="001F63BA">
        <w:rPr>
          <w:rFonts w:ascii="GHEA Grapalat" w:hAnsi="GHEA Grapalat" w:cs="GHEA Grapalat"/>
          <w:i/>
          <w:sz w:val="22"/>
          <w:szCs w:val="22"/>
        </w:rPr>
        <w:t>Ճգնաժամերի հակազդման և արտակարգ իրավիճակների հետևանքների նվազեցման և վերացման</w:t>
      </w:r>
      <w:r w:rsidRPr="001F63BA">
        <w:rPr>
          <w:rFonts w:ascii="GHEA Grapalat" w:hAnsi="GHEA Grapalat" w:cs="GHEA Grapalat"/>
          <w:sz w:val="22"/>
          <w:szCs w:val="22"/>
        </w:rPr>
        <w:t xml:space="preserve"> ծրագրի շրջանակներում օգտագործվել է շուրջ 10.7 մլրդ դրամ՝ ապահովելով 98.9</w:t>
      </w:r>
      <w:r w:rsidRPr="001F63BA">
        <w:rPr>
          <w:rFonts w:ascii="GHEA Grapalat" w:hAnsi="GHEA Grapalat" w:cs="Sylfaen"/>
          <w:sz w:val="22"/>
          <w:szCs w:val="22"/>
        </w:rPr>
        <w:t>% կատարողական</w:t>
      </w:r>
      <w:r w:rsidRPr="001F63BA">
        <w:rPr>
          <w:rFonts w:ascii="GHEA Grapalat" w:hAnsi="GHEA Grapalat" w:cs="Sylfaen"/>
          <w:sz w:val="22"/>
          <w:szCs w:val="22"/>
          <w:lang w:val="af-ZA"/>
        </w:rPr>
        <w:t xml:space="preserve">: </w:t>
      </w:r>
      <w:r w:rsidRPr="001F63BA">
        <w:rPr>
          <w:rFonts w:ascii="GHEA Grapalat" w:hAnsi="GHEA Grapalat" w:cs="Sylfaen"/>
          <w:sz w:val="22"/>
          <w:szCs w:val="22"/>
        </w:rPr>
        <w:t>Շեղումը հիմնականում</w:t>
      </w:r>
      <w:r w:rsidRPr="001F63BA">
        <w:rPr>
          <w:rFonts w:ascii="GHEA Grapalat" w:hAnsi="GHEA Grapalat" w:cs="Sylfaen"/>
          <w:sz w:val="22"/>
          <w:szCs w:val="22"/>
          <w:lang w:val="af-ZA"/>
        </w:rPr>
        <w:t xml:space="preserve"> </w:t>
      </w:r>
      <w:r w:rsidRPr="001F63BA">
        <w:rPr>
          <w:rFonts w:ascii="GHEA Grapalat" w:hAnsi="GHEA Grapalat" w:cs="Sylfaen"/>
          <w:sz w:val="22"/>
          <w:szCs w:val="22"/>
        </w:rPr>
        <w:t>պայմանավորված է կորոնավիրուսի (COVID-19) տնտեսական հետևանքների չեզոքացման 24-րդ միջոցառման շրջանակներում իրականացվող աջակցության տրամադրման միջոցառման կատարողականով:</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Նախորդ տարվա համեմատ նշված ծրագրի ծախսերը նվազել են 15.3%-ով կամ 1.9 մլրդ դրամով, որը հիմնականում պայմանավորված է 2021 թվականի</w:t>
      </w:r>
      <w:r w:rsidRPr="001F63BA">
        <w:rPr>
          <w:rFonts w:ascii="GHEA Grapalat" w:hAnsi="GHEA Grapalat" w:cs="Sylfaen"/>
          <w:sz w:val="22"/>
          <w:szCs w:val="22"/>
          <w:lang w:val="en-US"/>
        </w:rPr>
        <w:t>ն</w:t>
      </w:r>
      <w:r w:rsidRPr="001F63BA">
        <w:rPr>
          <w:rFonts w:ascii="GHEA Grapalat" w:hAnsi="GHEA Grapalat" w:cs="Sylfaen"/>
          <w:sz w:val="22"/>
          <w:szCs w:val="22"/>
        </w:rPr>
        <w:t xml:space="preserve"> Կորոնավիրուսի (COVID-19) տնտեսական</w:t>
      </w:r>
      <w:r w:rsidRPr="001F63BA">
        <w:rPr>
          <w:rFonts w:ascii="GHEA Grapalat" w:hAnsi="GHEA Grapalat" w:cs="GHEA Grapalat"/>
          <w:sz w:val="22"/>
          <w:szCs w:val="22"/>
        </w:rPr>
        <w:t xml:space="preserve"> հետևանքների չեզոքացման </w:t>
      </w:r>
      <w:r w:rsidRPr="001F63BA">
        <w:rPr>
          <w:rFonts w:ascii="GHEA Grapalat" w:hAnsi="GHEA Grapalat" w:cs="GHEA Grapalat"/>
          <w:sz w:val="22"/>
          <w:szCs w:val="22"/>
          <w:lang w:val="en-US"/>
        </w:rPr>
        <w:t>նպատակով ավելի մեծ միջոցների հատկացմամբ</w:t>
      </w:r>
      <w:r w:rsidRPr="001F63BA">
        <w:rPr>
          <w:rFonts w:ascii="GHEA Grapalat" w:hAnsi="GHEA Grapalat" w:cs="GHEA Grapalat"/>
          <w:sz w:val="22"/>
          <w:szCs w:val="22"/>
        </w:rPr>
        <w:t xml:space="preserve">: </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GHEA Grapalat"/>
          <w:sz w:val="22"/>
          <w:szCs w:val="22"/>
        </w:rPr>
        <w:t xml:space="preserve">2022 թվականի ընթացքում </w:t>
      </w:r>
      <w:r w:rsidRPr="001F63BA">
        <w:rPr>
          <w:rFonts w:ascii="GHEA Grapalat" w:hAnsi="GHEA Grapalat" w:cs="Sylfaen"/>
          <w:sz w:val="22"/>
          <w:szCs w:val="22"/>
        </w:rPr>
        <w:t>ն</w:t>
      </w:r>
      <w:r w:rsidRPr="001F63BA">
        <w:rPr>
          <w:rFonts w:ascii="GHEA Grapalat" w:hAnsi="GHEA Grapalat" w:cs="GHEA Grapalat"/>
          <w:sz w:val="22"/>
          <w:szCs w:val="22"/>
        </w:rPr>
        <w:t xml:space="preserve">ախորդ տարիների հարկային պարտավորությունների վճարման նպատակով հատկացվել է շուրջ 5.6 մլրդ դրամ, որը 2021 թվականին չէր նախատեսվել: Միջոցառման շրջանակներում պետական տուրքի գծով պարտավորությունների փոխհատուցման համար ֆինանսական աջակցություն է ստացել </w:t>
      </w:r>
      <w:r w:rsidRPr="001F63BA">
        <w:rPr>
          <w:rFonts w:ascii="GHEA Grapalat" w:hAnsi="GHEA Grapalat" w:cs="Sylfaen"/>
          <w:sz w:val="22"/>
          <w:szCs w:val="22"/>
        </w:rPr>
        <w:t>1 ընկերություն:</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Հաշվետու տարում արտադրական հնարավորությունների արդիականացման և նոր տեխնոլոգիաների ներմուծման խթանման նպատակով մատչելի պայմաններով վարկերի տրամադրման միջոցով տնտեսության արդիականացման միջոցառմանը պետական աջակցության միջոցառման շրջանակներում </w:t>
      </w:r>
      <w:r w:rsidRPr="001F63BA">
        <w:rPr>
          <w:rFonts w:ascii="GHEA Grapalat" w:hAnsi="GHEA Grapalat" w:cs="Sylfaen"/>
          <w:sz w:val="22"/>
          <w:szCs w:val="22"/>
          <w:lang w:val="en-US"/>
        </w:rPr>
        <w:t>օժանդակ</w:t>
      </w:r>
      <w:r w:rsidRPr="001F63BA">
        <w:rPr>
          <w:rFonts w:ascii="GHEA Grapalat" w:hAnsi="GHEA Grapalat" w:cs="Sylfaen"/>
          <w:sz w:val="22"/>
          <w:szCs w:val="22"/>
        </w:rPr>
        <w:t>ություն է տրամադրվում տնտեսավարողներին՝ ֆինանսական կազմակերպություններից ստացվող նպատակային վարկերի/լիզինգի տոկոսադրույքի սուբսիդավորման ձևով: Հաշվետու</w:t>
      </w:r>
      <w:r w:rsidRPr="001F63BA">
        <w:rPr>
          <w:rFonts w:ascii="GHEA Grapalat" w:hAnsi="GHEA Grapalat" w:cs="GHEA Grapalat"/>
          <w:sz w:val="22"/>
          <w:szCs w:val="22"/>
        </w:rPr>
        <w:t xml:space="preserve"> տարում աջակցություն է ստացել </w:t>
      </w:r>
      <w:r w:rsidRPr="001F63BA">
        <w:rPr>
          <w:rFonts w:ascii="GHEA Grapalat" w:hAnsi="GHEA Grapalat" w:cs="GHEA Grapalat"/>
          <w:sz w:val="22"/>
          <w:szCs w:val="22"/>
          <w:lang w:val="en-US"/>
        </w:rPr>
        <w:t>1201</w:t>
      </w:r>
      <w:r w:rsidRPr="001F63BA">
        <w:rPr>
          <w:rFonts w:ascii="GHEA Grapalat" w:hAnsi="GHEA Grapalat" w:cs="GHEA Grapalat"/>
          <w:sz w:val="22"/>
          <w:szCs w:val="22"/>
        </w:rPr>
        <w:t xml:space="preserve"> տնտեսավարող՝ նախատեսված </w:t>
      </w:r>
      <w:r w:rsidRPr="001F63BA">
        <w:rPr>
          <w:rFonts w:ascii="GHEA Grapalat" w:hAnsi="GHEA Grapalat" w:cs="GHEA Grapalat"/>
          <w:sz w:val="22"/>
          <w:szCs w:val="22"/>
          <w:lang w:val="en-US"/>
        </w:rPr>
        <w:t>1052</w:t>
      </w:r>
      <w:r w:rsidRPr="001F63BA">
        <w:rPr>
          <w:rFonts w:ascii="GHEA Grapalat" w:hAnsi="GHEA Grapalat" w:cs="GHEA Grapalat"/>
          <w:sz w:val="22"/>
          <w:szCs w:val="22"/>
        </w:rPr>
        <w:t>-ի և նախորդ տարվա 1052</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ի դիմաց: Ցուցանիշի գերազանցումը պայմանավորված է հանրային իրազեկման արդյունքում ծրագրի նկատմամբ բարձր պահանջարկով: Նշված միջոցառման </w:t>
      </w:r>
      <w:r w:rsidRPr="001F63BA">
        <w:rPr>
          <w:rFonts w:ascii="GHEA Grapalat" w:hAnsi="GHEA Grapalat" w:cs="GHEA Grapalat"/>
          <w:sz w:val="22"/>
          <w:szCs w:val="22"/>
          <w:lang w:val="en-US"/>
        </w:rPr>
        <w:t>շրջանակներում</w:t>
      </w:r>
      <w:r w:rsidRPr="001F63BA">
        <w:rPr>
          <w:rFonts w:ascii="GHEA Grapalat" w:hAnsi="GHEA Grapalat" w:cs="GHEA Grapalat"/>
          <w:sz w:val="22"/>
          <w:szCs w:val="22"/>
        </w:rPr>
        <w:t xml:space="preserve"> օգտագործվել է 4.3 մլրդ դրամ՝ ապահովելով 99.5% կատարողական: Նախորդ տարվա համեմատ միջոցառման ծախսերը նվազել են 34.2%</w:t>
      </w:r>
      <w:r w:rsidRPr="001F63BA">
        <w:rPr>
          <w:rFonts w:ascii="GHEA Grapalat" w:hAnsi="GHEA Grapalat" w:cs="GHEA Grapalat"/>
          <w:sz w:val="22"/>
          <w:szCs w:val="22"/>
          <w:lang w:val="en-US"/>
        </w:rPr>
        <w:t>-ով</w:t>
      </w:r>
      <w:r w:rsidRPr="001F63BA">
        <w:rPr>
          <w:rFonts w:ascii="GHEA Grapalat" w:hAnsi="GHEA Grapalat" w:cs="GHEA Grapalat"/>
          <w:sz w:val="22"/>
          <w:szCs w:val="22"/>
        </w:rPr>
        <w:t xml:space="preserve"> կամ </w:t>
      </w:r>
      <w:r w:rsidRPr="001F63BA">
        <w:rPr>
          <w:rFonts w:ascii="GHEA Grapalat" w:hAnsi="GHEA Grapalat" w:cs="Sylfaen"/>
          <w:sz w:val="22"/>
          <w:szCs w:val="22"/>
        </w:rPr>
        <w:t xml:space="preserve">2.2 մլրդ դրամով, որը պայմանավորված է նրանով, որ 2022 թվականից միջոցառումը ենթարկվել է </w:t>
      </w:r>
      <w:r w:rsidRPr="001F63BA">
        <w:rPr>
          <w:rFonts w:ascii="GHEA Grapalat" w:hAnsi="GHEA Grapalat" w:cs="Sylfaen"/>
          <w:sz w:val="22"/>
          <w:szCs w:val="22"/>
        </w:rPr>
        <w:lastRenderedPageBreak/>
        <w:t>էական փոփոխությունների՝ կորոնավիրուսի տնտեսական հետևանքների չեզոքացմանն ուղղված միջոցառումից վերածվելով տնտեսության արդիականացմանն ուղղված միջոցառման, որի հետևանքով փոփոխվել են միջոցառման պայմանները, նպատակը, ուղղությունները և շահառուների շրջանակը:</w:t>
      </w:r>
    </w:p>
    <w:p w:rsidR="001C411D" w:rsidRPr="001F63BA" w:rsidRDefault="001C411D" w:rsidP="00F704F2">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GHEA Grapalat"/>
          <w:sz w:val="22"/>
          <w:szCs w:val="22"/>
        </w:rPr>
        <w:t xml:space="preserve">Կորոնավիրուսի (COVID-19) տնտեսական հետևանքների չեզոքացման 24-րդ միջոցառման շրջանակներում տրամադրվող աջակցությունը նախատեսվել է կոնյակի սպիրտ և շշալցված կոնյակ իրացնող (հարյուր հազար լիտրից ավելի) տնտեսավարող սուբյեկտներին պետական տուրքի գծով </w:t>
      </w:r>
      <w:r w:rsidRPr="001F63BA">
        <w:rPr>
          <w:rFonts w:ascii="GHEA Grapalat" w:hAnsi="GHEA Grapalat" w:cs="Sylfaen"/>
          <w:sz w:val="22"/>
          <w:szCs w:val="22"/>
        </w:rPr>
        <w:t>կատարված վճարների փոխհատուցման նպատակով: Միջոցառման շրջանակներում աջակցություն է տրամադրվել մեծածավալ իրացում ունեցող 8 տնտեսավարողների՝ նրանց կողմից իրացված 5745.5</w:t>
      </w:r>
      <w:r w:rsidRPr="001F63BA">
        <w:rPr>
          <w:rFonts w:ascii="Courier New" w:hAnsi="Courier New" w:cs="Courier New"/>
          <w:sz w:val="22"/>
          <w:szCs w:val="22"/>
          <w:lang w:val="en-US"/>
        </w:rPr>
        <w:t> </w:t>
      </w:r>
      <w:r w:rsidRPr="001F63BA">
        <w:rPr>
          <w:rFonts w:ascii="GHEA Grapalat" w:hAnsi="GHEA Grapalat" w:cs="Sylfaen"/>
          <w:sz w:val="22"/>
          <w:szCs w:val="22"/>
        </w:rPr>
        <w:t>հազար լիտր կոնյակի սպիրտի համար՝ նախատեսված 6694 հազար լիտրի փոխարեն: Ծախսերը կազմել են շուրջ 57</w:t>
      </w:r>
      <w:r w:rsidRPr="001F63BA">
        <w:rPr>
          <w:rFonts w:ascii="GHEA Grapalat" w:hAnsi="GHEA Grapalat" w:cs="Sylfaen"/>
          <w:sz w:val="22"/>
          <w:szCs w:val="22"/>
          <w:lang w:val="en-US"/>
        </w:rPr>
        <w:t>4</w:t>
      </w:r>
      <w:r w:rsidRPr="001F63BA">
        <w:rPr>
          <w:rFonts w:ascii="GHEA Grapalat" w:hAnsi="GHEA Grapalat" w:cs="Sylfaen"/>
          <w:sz w:val="22"/>
          <w:szCs w:val="22"/>
        </w:rPr>
        <w:t>.6 մլն դրամ կամ ծրագրային ցուցանիշի 85.8%-ը: Կանխատեսվածից ցածր ցուցանիշ</w:t>
      </w:r>
      <w:r w:rsidRPr="001F63BA">
        <w:rPr>
          <w:rFonts w:ascii="GHEA Grapalat" w:hAnsi="GHEA Grapalat" w:cs="Sylfaen"/>
          <w:sz w:val="22"/>
          <w:szCs w:val="22"/>
          <w:lang w:val="en-US"/>
        </w:rPr>
        <w:t>ներ</w:t>
      </w:r>
      <w:r w:rsidRPr="001F63BA">
        <w:rPr>
          <w:rFonts w:ascii="GHEA Grapalat" w:hAnsi="GHEA Grapalat" w:cs="Sylfaen"/>
          <w:sz w:val="22"/>
          <w:szCs w:val="22"/>
        </w:rPr>
        <w:t xml:space="preserve">ը պայմանավորված </w:t>
      </w:r>
      <w:r w:rsidRPr="001F63BA">
        <w:rPr>
          <w:rFonts w:ascii="GHEA Grapalat" w:hAnsi="GHEA Grapalat" w:cs="Sylfaen"/>
          <w:sz w:val="22"/>
          <w:szCs w:val="22"/>
          <w:lang w:val="en-US"/>
        </w:rPr>
        <w:t xml:space="preserve">են </w:t>
      </w:r>
      <w:r w:rsidRPr="001F63BA">
        <w:rPr>
          <w:rFonts w:ascii="GHEA Grapalat" w:hAnsi="GHEA Grapalat" w:cs="Sylfaen"/>
          <w:sz w:val="22"/>
          <w:szCs w:val="22"/>
        </w:rPr>
        <w:t>Վերին Լարսի անցակետի տևական ժամանակով փակ լինելու հանգամանքով, որի հետևանքով իրացվել է նախատեսվածից քիչ քանակությամբ կոնյակի սպիրտ:</w:t>
      </w:r>
      <w:r w:rsidRPr="001F63BA">
        <w:rPr>
          <w:rFonts w:ascii="GHEA Grapalat" w:hAnsi="GHEA Grapalat" w:cs="Sylfaen"/>
          <w:sz w:val="22"/>
          <w:szCs w:val="22"/>
          <w:lang w:val="en-US"/>
        </w:rPr>
        <w:t xml:space="preserve"> Վերոնշյալ հանգամանքով էլ պայմանավորված է նախորդ տարվա համեմատ նշված ծախսերի 37.5</w:t>
      </w:r>
      <w:r w:rsidRPr="001F63BA">
        <w:rPr>
          <w:rFonts w:ascii="GHEA Grapalat" w:hAnsi="GHEA Grapalat" w:cs="Sylfaen"/>
          <w:sz w:val="22"/>
          <w:szCs w:val="22"/>
        </w:rPr>
        <w:t>%</w:t>
      </w:r>
      <w:r w:rsidRPr="001F63BA">
        <w:rPr>
          <w:rFonts w:ascii="GHEA Grapalat" w:hAnsi="GHEA Grapalat" w:cs="Sylfaen"/>
          <w:sz w:val="22"/>
          <w:szCs w:val="22"/>
          <w:lang w:val="en-US"/>
        </w:rPr>
        <w:t xml:space="preserve"> կամ 345.1 մլն դրամ նվազումը:</w:t>
      </w:r>
    </w:p>
    <w:p w:rsidR="001C411D" w:rsidRPr="001F63BA" w:rsidRDefault="001C411D" w:rsidP="00AB4C03">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Sylfaen"/>
          <w:sz w:val="22"/>
          <w:szCs w:val="22"/>
        </w:rPr>
        <w:t>ՀՀ էկոնոմիկայի ն</w:t>
      </w:r>
      <w:r w:rsidRPr="001F63BA">
        <w:rPr>
          <w:rFonts w:ascii="GHEA Grapalat" w:hAnsi="GHEA Grapalat" w:cs="GHEA Grapalat"/>
          <w:sz w:val="22"/>
          <w:szCs w:val="22"/>
        </w:rPr>
        <w:t>ախարարության կողմից իրականացված այլ ծրագրեր</w:t>
      </w:r>
      <w:r w:rsidRPr="001F63BA">
        <w:rPr>
          <w:rFonts w:ascii="GHEA Grapalat" w:hAnsi="GHEA Grapalat" w:cs="GHEA Grapalat"/>
          <w:sz w:val="22"/>
          <w:szCs w:val="22"/>
          <w:lang w:val="en-US"/>
        </w:rPr>
        <w:t>ից</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հ</w:t>
      </w:r>
      <w:r w:rsidRPr="001F63BA">
        <w:rPr>
          <w:rFonts w:ascii="GHEA Grapalat" w:hAnsi="GHEA Grapalat"/>
          <w:sz w:val="22"/>
          <w:szCs w:val="22"/>
        </w:rPr>
        <w:t>աշվետու տարում</w:t>
      </w:r>
      <w:r w:rsidRPr="001F63BA">
        <w:rPr>
          <w:rFonts w:ascii="GHEA Grapalat" w:hAnsi="GHEA Grapalat" w:cs="GHEA Grapalat"/>
          <w:sz w:val="22"/>
          <w:szCs w:val="22"/>
        </w:rPr>
        <w:t xml:space="preserve"> </w:t>
      </w:r>
      <w:r w:rsidRPr="001F63BA">
        <w:rPr>
          <w:rFonts w:ascii="GHEA Grapalat" w:hAnsi="GHEA Grapalat" w:cs="GHEA Grapalat"/>
          <w:i/>
          <w:sz w:val="22"/>
          <w:szCs w:val="22"/>
        </w:rPr>
        <w:t>Էկոնոմիկայի ոլորտում պետական քաղաքականության մշակման, ծրագրերի համակարգման և մոնիտորինգի</w:t>
      </w:r>
      <w:r w:rsidRPr="001F63BA">
        <w:rPr>
          <w:rFonts w:ascii="GHEA Grapalat" w:hAnsi="GHEA Grapalat" w:cs="GHEA Grapalat"/>
          <w:sz w:val="22"/>
          <w:szCs w:val="22"/>
        </w:rPr>
        <w:t xml:space="preserve"> ծրագրին ուղղվել</w:t>
      </w:r>
      <w:r w:rsidRPr="001F63BA">
        <w:rPr>
          <w:rFonts w:ascii="GHEA Grapalat" w:hAnsi="GHEA Grapalat" w:cs="Sylfaen"/>
          <w:sz w:val="22"/>
          <w:szCs w:val="22"/>
        </w:rPr>
        <w:t xml:space="preserve"> է </w:t>
      </w:r>
      <w:r w:rsidRPr="001F63BA">
        <w:rPr>
          <w:rFonts w:ascii="GHEA Grapalat" w:hAnsi="GHEA Grapalat" w:cs="Sylfaen"/>
          <w:sz w:val="22"/>
          <w:szCs w:val="22"/>
          <w:lang w:val="en-US"/>
        </w:rPr>
        <w:t xml:space="preserve">շուրջ </w:t>
      </w:r>
      <w:r w:rsidRPr="001F63BA">
        <w:rPr>
          <w:rFonts w:ascii="GHEA Grapalat" w:hAnsi="GHEA Grapalat" w:cs="Sylfaen"/>
          <w:sz w:val="22"/>
          <w:szCs w:val="22"/>
        </w:rPr>
        <w:t>2.</w:t>
      </w:r>
      <w:r w:rsidRPr="001F63BA">
        <w:rPr>
          <w:rFonts w:ascii="GHEA Grapalat" w:hAnsi="GHEA Grapalat" w:cs="Sylfaen"/>
          <w:sz w:val="22"/>
          <w:szCs w:val="22"/>
          <w:lang w:val="en-US"/>
        </w:rPr>
        <w:t>4</w:t>
      </w:r>
      <w:r w:rsidRPr="001F63BA">
        <w:rPr>
          <w:rFonts w:ascii="GHEA Grapalat" w:hAnsi="GHEA Grapalat" w:cs="Sylfaen"/>
          <w:sz w:val="22"/>
          <w:szCs w:val="22"/>
        </w:rPr>
        <w:t xml:space="preserve"> մլրդ դրամ՝ </w:t>
      </w:r>
      <w:r w:rsidRPr="001F63BA">
        <w:rPr>
          <w:rFonts w:ascii="GHEA Grapalat" w:hAnsi="GHEA Grapalat" w:cs="GHEA Grapalat"/>
          <w:sz w:val="22"/>
          <w:szCs w:val="22"/>
        </w:rPr>
        <w:t xml:space="preserve">կազմելով ծրագրված ցուցանիշի </w:t>
      </w:r>
      <w:r w:rsidRPr="001F63BA">
        <w:rPr>
          <w:rFonts w:ascii="GHEA Grapalat" w:hAnsi="GHEA Grapalat" w:cs="Sylfaen"/>
          <w:sz w:val="22"/>
          <w:szCs w:val="22"/>
        </w:rPr>
        <w:t>9</w:t>
      </w:r>
      <w:r w:rsidRPr="001F63BA">
        <w:rPr>
          <w:rFonts w:ascii="GHEA Grapalat" w:hAnsi="GHEA Grapalat" w:cs="Sylfaen"/>
          <w:sz w:val="22"/>
          <w:szCs w:val="22"/>
          <w:lang w:val="en-US"/>
        </w:rPr>
        <w:t>3.9</w:t>
      </w:r>
      <w:r w:rsidRPr="001F63BA">
        <w:rPr>
          <w:rFonts w:ascii="GHEA Grapalat" w:hAnsi="GHEA Grapalat" w:cs="Sylfaen"/>
          <w:sz w:val="22"/>
          <w:szCs w:val="22"/>
        </w:rPr>
        <w:t>%</w:t>
      </w:r>
      <w:r w:rsidRPr="001F63BA">
        <w:rPr>
          <w:rFonts w:ascii="GHEA Grapalat" w:hAnsi="GHEA Grapalat" w:cs="GHEA Grapalat"/>
          <w:sz w:val="22"/>
          <w:szCs w:val="22"/>
        </w:rPr>
        <w:t>-ը: Շեղումը հիմնականում պայմանավորված է էկոնոմիկայի ոլորտում պետական քաղաքականության մշակման, ծրագրերի համակարգման և մոնիտորինգի միջոցառման կատարողականով</w:t>
      </w:r>
      <w:r w:rsidRPr="001F63BA">
        <w:rPr>
          <w:rFonts w:ascii="GHEA Grapalat" w:hAnsi="GHEA Grapalat" w:cs="GHEA Grapalat"/>
          <w:sz w:val="22"/>
          <w:szCs w:val="22"/>
          <w:lang w:val="en-US"/>
        </w:rPr>
        <w:t>, որը կազմել է 95.5% կամ</w:t>
      </w:r>
      <w:r w:rsidRPr="001F63BA">
        <w:rPr>
          <w:rFonts w:ascii="GHEA Grapalat" w:hAnsi="GHEA Grapalat" w:cs="GHEA Grapalat"/>
          <w:sz w:val="22"/>
          <w:szCs w:val="22"/>
        </w:rPr>
        <w:t xml:space="preserve"> 2.1 մլրդ դրամ: Շեղումը հիմնականում պայմանավորված է ապրանքների և ծառայությունների ձեռքբերման համար նախատեսված միջոցների, ինչպես նաև կառուցվածքային փոփոխությունների արդյունքում թափուր հաստիքների առկայության հետևանքով աշխատանքի վարձատրության ծախսերի տնտեսումներով: Նախորդ տարվա համեմատ նշված միջոցառման ծախսերն աճել են 2.4%-ով (48.6 մլն դրամով), որը հիմնականում պայմանավորված է ընդհանուր բնույթի այլ ծառայությունների և ներկայացուցչական ծախսերի աճով։</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Նախորդ տարվա համեմատ նշված ծրագրի ծախսերն աճել են 5.8%-ով կամ 131.2 մլն դրամով, որը հիմնականում պայմանավորված է ՀՀ էկոնոմիկայի նախարարության տեխնիկական</w:t>
      </w:r>
      <w:r w:rsidRPr="001F63BA">
        <w:rPr>
          <w:rFonts w:ascii="GHEA Grapalat" w:hAnsi="GHEA Grapalat" w:cs="GHEA Grapalat"/>
          <w:sz w:val="22"/>
          <w:szCs w:val="22"/>
          <w:lang w:val="en-US"/>
        </w:rPr>
        <w:t xml:space="preserve"> հագեցվածության բարելավման և ՀՀ էկոնոմիկայի նախարարության կողմից իրականացվող պետական աջակցության ծրագրերի հանրային իրազեկման ապահովման </w:t>
      </w:r>
      <w:r w:rsidRPr="001F63BA">
        <w:rPr>
          <w:rFonts w:ascii="GHEA Grapalat" w:hAnsi="GHEA Grapalat" w:cs="GHEA Grapalat"/>
          <w:sz w:val="22"/>
          <w:szCs w:val="22"/>
        </w:rPr>
        <w:t xml:space="preserve">համար </w:t>
      </w:r>
      <w:r w:rsidRPr="001F63BA">
        <w:rPr>
          <w:rFonts w:ascii="GHEA Grapalat" w:hAnsi="GHEA Grapalat" w:cs="GHEA Grapalat"/>
          <w:sz w:val="22"/>
          <w:szCs w:val="22"/>
          <w:lang w:val="en-US"/>
        </w:rPr>
        <w:t xml:space="preserve">հաշվետու տարում </w:t>
      </w:r>
      <w:r w:rsidRPr="001F63BA">
        <w:rPr>
          <w:rFonts w:ascii="GHEA Grapalat" w:hAnsi="GHEA Grapalat" w:cs="GHEA Grapalat"/>
          <w:sz w:val="22"/>
          <w:szCs w:val="22"/>
        </w:rPr>
        <w:t>միջոցների հատկացմամբ</w:t>
      </w:r>
      <w:r w:rsidRPr="001F63BA">
        <w:rPr>
          <w:rFonts w:ascii="GHEA Grapalat" w:hAnsi="GHEA Grapalat" w:cs="GHEA Grapalat"/>
          <w:sz w:val="22"/>
          <w:szCs w:val="22"/>
          <w:lang w:val="en-US"/>
        </w:rPr>
        <w:t xml:space="preserve"> և</w:t>
      </w:r>
      <w:r w:rsidRPr="001F63BA">
        <w:rPr>
          <w:rFonts w:ascii="GHEA Grapalat" w:hAnsi="GHEA Grapalat" w:cs="GHEA Grapalat"/>
          <w:sz w:val="22"/>
          <w:szCs w:val="22"/>
        </w:rPr>
        <w:t xml:space="preserve"> էկոնոմիկայի ոլորտում պետական քաղաքականության մշակման, ծրագրերի համակարգման և մոնիտորինգի </w:t>
      </w:r>
      <w:r w:rsidRPr="001F63BA">
        <w:rPr>
          <w:rFonts w:ascii="GHEA Grapalat" w:hAnsi="GHEA Grapalat"/>
          <w:sz w:val="22"/>
          <w:szCs w:val="22"/>
        </w:rPr>
        <w:t>միջոցառմ</w:t>
      </w:r>
      <w:r w:rsidRPr="001F63BA">
        <w:rPr>
          <w:rFonts w:ascii="GHEA Grapalat" w:hAnsi="GHEA Grapalat"/>
          <w:sz w:val="22"/>
          <w:szCs w:val="22"/>
          <w:lang w:val="en-US"/>
        </w:rPr>
        <w:t>ան</w:t>
      </w:r>
      <w:r w:rsidRPr="001F63BA">
        <w:rPr>
          <w:rFonts w:ascii="GHEA Grapalat" w:hAnsi="GHEA Grapalat" w:cs="GHEA Grapalat"/>
          <w:sz w:val="22"/>
          <w:szCs w:val="22"/>
        </w:rPr>
        <w:t xml:space="preserve"> ծախսերի աճով:</w:t>
      </w:r>
    </w:p>
    <w:p w:rsidR="001C411D" w:rsidRPr="001F63BA" w:rsidRDefault="001C411D" w:rsidP="001E0A91">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lastRenderedPageBreak/>
        <w:t>2022 թվականին</w:t>
      </w:r>
      <w:r w:rsidRPr="001F63BA">
        <w:rPr>
          <w:rFonts w:ascii="GHEA Grapalat" w:hAnsi="GHEA Grapalat" w:cs="GHEA Grapalat"/>
          <w:sz w:val="22"/>
          <w:szCs w:val="22"/>
        </w:rPr>
        <w:t xml:space="preserve"> </w:t>
      </w:r>
      <w:r w:rsidRPr="001F63BA">
        <w:rPr>
          <w:rFonts w:ascii="GHEA Grapalat" w:hAnsi="GHEA Grapalat" w:cs="GHEA Grapalat"/>
          <w:i/>
          <w:sz w:val="22"/>
          <w:szCs w:val="22"/>
        </w:rPr>
        <w:t>Անասնաբուժական ծառայությունների</w:t>
      </w:r>
      <w:r w:rsidRPr="001F63BA">
        <w:rPr>
          <w:rFonts w:ascii="GHEA Grapalat" w:hAnsi="GHEA Grapalat" w:cs="GHEA Grapalat"/>
          <w:sz w:val="22"/>
          <w:szCs w:val="22"/>
        </w:rPr>
        <w:t xml:space="preserve"> ծրագրի շրջանակներում օգտագործվել է </w:t>
      </w:r>
      <w:r w:rsidRPr="001F63BA">
        <w:rPr>
          <w:rFonts w:ascii="GHEA Grapalat" w:hAnsi="GHEA Grapalat" w:cs="GHEA Grapalat"/>
          <w:sz w:val="22"/>
          <w:szCs w:val="22"/>
          <w:lang w:val="en-US"/>
        </w:rPr>
        <w:t>2.1</w:t>
      </w:r>
      <w:r w:rsidRPr="001F63BA">
        <w:rPr>
          <w:rFonts w:ascii="GHEA Grapalat" w:hAnsi="GHEA Grapalat" w:cs="GHEA Grapalat"/>
          <w:sz w:val="22"/>
          <w:szCs w:val="22"/>
        </w:rPr>
        <w:t xml:space="preserve"> մլրդ դրամ կամ նախատեսված միջոցների 9</w:t>
      </w:r>
      <w:r w:rsidRPr="001F63BA">
        <w:rPr>
          <w:rFonts w:ascii="GHEA Grapalat" w:hAnsi="GHEA Grapalat" w:cs="GHEA Grapalat"/>
          <w:sz w:val="22"/>
          <w:szCs w:val="22"/>
          <w:lang w:val="en-US"/>
        </w:rPr>
        <w:t>5</w:t>
      </w:r>
      <w:r w:rsidRPr="001F63BA">
        <w:rPr>
          <w:rFonts w:ascii="GHEA Grapalat" w:hAnsi="GHEA Grapalat" w:cs="GHEA Grapalat"/>
          <w:sz w:val="22"/>
          <w:szCs w:val="22"/>
        </w:rPr>
        <w:t xml:space="preserve">%-ը: Շեղումը հիմնականում պայմանավորված է </w:t>
      </w:r>
      <w:r w:rsidRPr="001F63BA">
        <w:rPr>
          <w:rFonts w:ascii="GHEA Grapalat" w:hAnsi="GHEA Grapalat" w:cs="GHEA Grapalat"/>
          <w:sz w:val="22"/>
          <w:szCs w:val="22"/>
          <w:lang w:val="en-US"/>
        </w:rPr>
        <w:t xml:space="preserve">Հայաստանի </w:t>
      </w:r>
      <w:r w:rsidRPr="001F63BA">
        <w:rPr>
          <w:rFonts w:ascii="GHEA Grapalat" w:hAnsi="GHEA Grapalat" w:cs="GHEA Grapalat"/>
          <w:sz w:val="22"/>
          <w:szCs w:val="22"/>
        </w:rPr>
        <w:t xml:space="preserve">Հանրապետությունում խոշոր եղջերավոր կենդանիների համարակալման և հաշվառման </w:t>
      </w:r>
      <w:r w:rsidRPr="001F63BA">
        <w:rPr>
          <w:rFonts w:ascii="GHEA Grapalat" w:hAnsi="GHEA Grapalat" w:cs="GHEA Grapalat"/>
          <w:sz w:val="22"/>
          <w:szCs w:val="22"/>
          <w:lang w:val="en-US"/>
        </w:rPr>
        <w:t>ծախսերի</w:t>
      </w:r>
      <w:r w:rsidRPr="001F63BA">
        <w:rPr>
          <w:rFonts w:ascii="GHEA Grapalat" w:hAnsi="GHEA Grapalat" w:cs="GHEA Grapalat"/>
          <w:sz w:val="22"/>
          <w:szCs w:val="22"/>
        </w:rPr>
        <w:t xml:space="preserve"> կատարողականով: </w:t>
      </w:r>
      <w:r w:rsidRPr="001F63BA">
        <w:rPr>
          <w:rFonts w:ascii="GHEA Grapalat" w:hAnsi="GHEA Grapalat" w:cs="GHEA Grapalat"/>
          <w:sz w:val="22"/>
          <w:szCs w:val="22"/>
          <w:lang w:val="en-US"/>
        </w:rPr>
        <w:t>Հիմնականում վ</w:t>
      </w:r>
      <w:r w:rsidRPr="001F63BA">
        <w:rPr>
          <w:rFonts w:ascii="GHEA Grapalat" w:hAnsi="GHEA Grapalat" w:cs="GHEA Grapalat"/>
          <w:sz w:val="22"/>
          <w:szCs w:val="22"/>
        </w:rPr>
        <w:t xml:space="preserve">երջինիս </w:t>
      </w:r>
      <w:r w:rsidRPr="001F63BA">
        <w:rPr>
          <w:rFonts w:ascii="GHEA Grapalat" w:hAnsi="GHEA Grapalat" w:cs="GHEA Grapalat"/>
          <w:sz w:val="22"/>
          <w:szCs w:val="22"/>
          <w:lang w:val="en-US"/>
        </w:rPr>
        <w:t xml:space="preserve">կատարված հատկացումների արդյունքում </w:t>
      </w:r>
      <w:r w:rsidRPr="001F63BA">
        <w:rPr>
          <w:rFonts w:ascii="GHEA Grapalat" w:hAnsi="GHEA Grapalat" w:cs="GHEA Grapalat"/>
          <w:sz w:val="22"/>
          <w:szCs w:val="22"/>
        </w:rPr>
        <w:t>նախորդ տարվա համեմատ Անասնաբուժական ծառայությունների ծրագրի ծախսեր</w:t>
      </w:r>
      <w:r w:rsidRPr="001F63BA">
        <w:rPr>
          <w:rFonts w:ascii="GHEA Grapalat" w:hAnsi="GHEA Grapalat" w:cs="GHEA Grapalat"/>
          <w:sz w:val="22"/>
          <w:szCs w:val="22"/>
          <w:lang w:val="en-US"/>
        </w:rPr>
        <w:t>ն աճել են</w:t>
      </w:r>
      <w:r w:rsidRPr="001F63BA">
        <w:rPr>
          <w:rFonts w:ascii="GHEA Grapalat" w:hAnsi="GHEA Grapalat" w:cs="GHEA Grapalat"/>
          <w:sz w:val="22"/>
          <w:szCs w:val="22"/>
        </w:rPr>
        <w:t xml:space="preserve"> 1</w:t>
      </w:r>
      <w:r w:rsidRPr="001F63BA">
        <w:rPr>
          <w:rFonts w:ascii="GHEA Grapalat" w:hAnsi="GHEA Grapalat" w:cs="GHEA Grapalat"/>
          <w:sz w:val="22"/>
          <w:szCs w:val="22"/>
          <w:lang w:val="en-US"/>
        </w:rPr>
        <w:t>6.9</w:t>
      </w:r>
      <w:r w:rsidRPr="001F63BA">
        <w:rPr>
          <w:rFonts w:ascii="GHEA Grapalat" w:hAnsi="GHEA Grapalat" w:cs="GHEA Grapalat"/>
          <w:sz w:val="22"/>
          <w:szCs w:val="22"/>
        </w:rPr>
        <w:t>%</w:t>
      </w:r>
      <w:r w:rsidRPr="001F63BA">
        <w:rPr>
          <w:rFonts w:ascii="GHEA Grapalat" w:hAnsi="GHEA Grapalat" w:cs="GHEA Grapalat"/>
          <w:sz w:val="22"/>
          <w:szCs w:val="22"/>
          <w:lang w:val="en-US"/>
        </w:rPr>
        <w:t>-ով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307.1 </w:t>
      </w:r>
      <w:r w:rsidRPr="001F63BA">
        <w:rPr>
          <w:rFonts w:ascii="GHEA Grapalat" w:hAnsi="GHEA Grapalat" w:cs="GHEA Grapalat"/>
          <w:sz w:val="22"/>
          <w:szCs w:val="22"/>
        </w:rPr>
        <w:t>մլն դրամ</w:t>
      </w:r>
      <w:r w:rsidRPr="001F63BA">
        <w:rPr>
          <w:rFonts w:ascii="GHEA Grapalat" w:hAnsi="GHEA Grapalat" w:cs="GHEA Grapalat"/>
          <w:sz w:val="22"/>
          <w:szCs w:val="22"/>
          <w:lang w:val="en-US"/>
        </w:rPr>
        <w:t>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Հայաստանի Հանրապետությունում խոշոր եղջերավոր կենդանիների համարակալման և հաշվառման միջոցառման շրջանակներում կատարվել են 163137 խոշոր եղջերավոր կենդանիների համարակալումներ՝ նախատեսված 360000-ի դիմաց: Միջոցառման ծախսերը</w:t>
      </w:r>
      <w:r w:rsidRPr="001F63BA">
        <w:rPr>
          <w:rFonts w:ascii="GHEA Grapalat" w:hAnsi="GHEA Grapalat" w:cs="GHEA Grapalat"/>
          <w:sz w:val="22"/>
          <w:szCs w:val="22"/>
        </w:rPr>
        <w:t xml:space="preserve"> կազմել են </w:t>
      </w:r>
      <w:r w:rsidRPr="001F63BA">
        <w:rPr>
          <w:rFonts w:ascii="GHEA Grapalat" w:hAnsi="GHEA Grapalat" w:cs="GHEA Grapalat"/>
          <w:sz w:val="22"/>
          <w:szCs w:val="22"/>
          <w:lang w:val="en-US"/>
        </w:rPr>
        <w:t>294.4</w:t>
      </w:r>
      <w:r w:rsidRPr="001F63BA">
        <w:rPr>
          <w:rFonts w:ascii="GHEA Grapalat" w:hAnsi="GHEA Grapalat" w:cs="GHEA Grapalat"/>
          <w:sz w:val="22"/>
          <w:szCs w:val="22"/>
        </w:rPr>
        <w:t xml:space="preserve"> մլն դրամ` ապահովելով </w:t>
      </w:r>
      <w:r w:rsidRPr="001F63BA">
        <w:rPr>
          <w:rFonts w:ascii="GHEA Grapalat" w:hAnsi="GHEA Grapalat" w:cs="GHEA Grapalat"/>
          <w:sz w:val="22"/>
          <w:szCs w:val="22"/>
          <w:lang w:val="en-US"/>
        </w:rPr>
        <w:t>81.4</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կատարողական: Շեղումը պայմանավորված է գնման երկարատև գործընթացով, որի արդյունքում ականջապիտակների ձեռքբերումն ու մատակարարումն իրականացվել են ուշացմամբ: Միջոցառումը մեկնարկել է 2022 թվականին:</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sz w:val="22"/>
          <w:szCs w:val="22"/>
        </w:rPr>
        <w:t>Հաշվետու տարում գյուղատնտեսական կենդանիների պատվաստման միջոցառման շրջանակներում իրականացվել են 916496 ախտորոշման և 4376409 կանխարգելիչ (պատվաստումներ) միջոցառումներ՝ նախատեսված համապատասխանաբար 917409-ի և 4386233</w:t>
      </w:r>
      <w:r w:rsidRPr="001F63BA">
        <w:rPr>
          <w:rFonts w:ascii="GHEA Grapalat" w:hAnsi="GHEA Grapalat"/>
          <w:sz w:val="22"/>
          <w:szCs w:val="22"/>
        </w:rPr>
        <w:noBreakHyphen/>
        <w:t xml:space="preserve">ի </w:t>
      </w:r>
      <w:r w:rsidRPr="001F63BA">
        <w:rPr>
          <w:rFonts w:ascii="GHEA Grapalat" w:hAnsi="GHEA Grapalat"/>
          <w:sz w:val="22"/>
          <w:szCs w:val="22"/>
          <w:lang w:val="en-US"/>
        </w:rPr>
        <w:t xml:space="preserve">ու </w:t>
      </w:r>
      <w:r w:rsidRPr="001F63BA">
        <w:rPr>
          <w:rFonts w:ascii="GHEA Grapalat" w:hAnsi="GHEA Grapalat" w:cs="GHEA Grapalat"/>
          <w:sz w:val="22"/>
          <w:szCs w:val="22"/>
        </w:rPr>
        <w:t>նախորդ տարվա</w:t>
      </w:r>
      <w:r w:rsidRPr="001F63BA">
        <w:rPr>
          <w:rFonts w:ascii="GHEA Grapalat" w:hAnsi="GHEA Grapalat" w:cs="GHEA Grapalat"/>
          <w:sz w:val="22"/>
          <w:szCs w:val="22"/>
          <w:lang w:val="en-US"/>
        </w:rPr>
        <w:t xml:space="preserve"> 88</w:t>
      </w:r>
      <w:r w:rsidRPr="001F63BA">
        <w:rPr>
          <w:rFonts w:ascii="GHEA Grapalat" w:hAnsi="GHEA Grapalat"/>
          <w:sz w:val="22"/>
          <w:szCs w:val="22"/>
        </w:rPr>
        <w:t>9</w:t>
      </w:r>
      <w:r w:rsidRPr="001F63BA">
        <w:rPr>
          <w:rFonts w:ascii="GHEA Grapalat" w:hAnsi="GHEA Grapalat"/>
          <w:sz w:val="22"/>
          <w:szCs w:val="22"/>
          <w:lang w:val="en-US"/>
        </w:rPr>
        <w:t>5</w:t>
      </w:r>
      <w:r w:rsidRPr="001F63BA">
        <w:rPr>
          <w:rFonts w:ascii="GHEA Grapalat" w:hAnsi="GHEA Grapalat"/>
          <w:sz w:val="22"/>
          <w:szCs w:val="22"/>
        </w:rPr>
        <w:t>4</w:t>
      </w:r>
      <w:r w:rsidRPr="001F63BA">
        <w:rPr>
          <w:rFonts w:ascii="GHEA Grapalat" w:hAnsi="GHEA Grapalat"/>
          <w:sz w:val="22"/>
          <w:szCs w:val="22"/>
          <w:lang w:val="en-US"/>
        </w:rPr>
        <w:t>8</w:t>
      </w:r>
      <w:r w:rsidRPr="001F63BA">
        <w:rPr>
          <w:rFonts w:ascii="GHEA Grapalat" w:hAnsi="GHEA Grapalat"/>
          <w:sz w:val="22"/>
          <w:szCs w:val="22"/>
        </w:rPr>
        <w:t>-ի և 42</w:t>
      </w:r>
      <w:r w:rsidRPr="001F63BA">
        <w:rPr>
          <w:rFonts w:ascii="GHEA Grapalat" w:hAnsi="GHEA Grapalat"/>
          <w:sz w:val="22"/>
          <w:szCs w:val="22"/>
          <w:lang w:val="en-US"/>
        </w:rPr>
        <w:t>429</w:t>
      </w:r>
      <w:r w:rsidRPr="001F63BA">
        <w:rPr>
          <w:rFonts w:ascii="GHEA Grapalat" w:hAnsi="GHEA Grapalat"/>
          <w:sz w:val="22"/>
          <w:szCs w:val="22"/>
        </w:rPr>
        <w:t>3</w:t>
      </w:r>
      <w:r w:rsidRPr="001F63BA">
        <w:rPr>
          <w:rFonts w:ascii="GHEA Grapalat" w:hAnsi="GHEA Grapalat"/>
          <w:sz w:val="22"/>
          <w:szCs w:val="22"/>
          <w:lang w:val="en-US"/>
        </w:rPr>
        <w:t>0</w:t>
      </w:r>
      <w:r w:rsidRPr="001F63BA">
        <w:rPr>
          <w:rFonts w:ascii="GHEA Grapalat" w:hAnsi="GHEA Grapalat"/>
          <w:sz w:val="22"/>
          <w:szCs w:val="22"/>
        </w:rPr>
        <w:noBreakHyphen/>
        <w:t>ի</w:t>
      </w:r>
      <w:r w:rsidRPr="001F63BA">
        <w:rPr>
          <w:rFonts w:ascii="GHEA Grapalat" w:hAnsi="GHEA Grapalat" w:cs="GHEA Grapalat"/>
          <w:sz w:val="22"/>
          <w:szCs w:val="22"/>
        </w:rPr>
        <w:t xml:space="preserve"> </w:t>
      </w:r>
      <w:r w:rsidRPr="001F63BA">
        <w:rPr>
          <w:rFonts w:ascii="GHEA Grapalat" w:hAnsi="GHEA Grapalat"/>
          <w:sz w:val="22"/>
          <w:szCs w:val="22"/>
        </w:rPr>
        <w:t>դիմաց: Նշենք, որ ախտորոշման</w:t>
      </w:r>
      <w:r w:rsidRPr="001F63BA">
        <w:rPr>
          <w:rFonts w:ascii="GHEA Grapalat" w:hAnsi="GHEA Grapalat" w:cs="GHEA Grapalat"/>
          <w:sz w:val="22"/>
          <w:szCs w:val="22"/>
        </w:rPr>
        <w:t xml:space="preserve"> միջոցառումների ցուցանիշի գծով արձանագրված թերակատարումը պայմանավորված է բրուցելոզ հիվանդության նկատմամբ զգայունակ գլխաքանակի նվազմամբ, իսկ կանխարգելիչ պատվաստումների ցուցանիշի գծով արձանագրված թերակատարումը՝ հիվանդությունների նկատմամբ զգայունակ գլխաքանակի նվազմամբ: Միջոցառման շրջանակներում օգտագործվել է 1.5 մլրդ դրամ՝ ապահովելով 99.6% կատարողական: Նախորդ տարվա համեմատ նշված ծախսերն աճել են 3.8%-ով կամ 55.2 մլն դրամով, որը պայմանավորված է կատարված </w:t>
      </w:r>
      <w:r w:rsidRPr="001F63BA">
        <w:rPr>
          <w:rFonts w:ascii="GHEA Grapalat" w:hAnsi="GHEA Grapalat" w:cs="GHEA Grapalat"/>
          <w:sz w:val="22"/>
          <w:szCs w:val="22"/>
          <w:lang w:val="en-US"/>
        </w:rPr>
        <w:t>պատվաստումների քանակի</w:t>
      </w:r>
      <w:r w:rsidRPr="001F63BA">
        <w:rPr>
          <w:rFonts w:ascii="GHEA Grapalat" w:hAnsi="GHEA Grapalat" w:cs="GHEA Grapalat"/>
          <w:sz w:val="22"/>
          <w:szCs w:val="22"/>
        </w:rPr>
        <w:t xml:space="preserve"> աճով:</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2022 թվականին Գյուղատնտեսական կենդանիների հիվանդությունների լաբորատոր ախտորոշման և կենդանական ծագում ունեցող հումքի և նյութի լաբորատոր փորձաքննության միջոցառումների շրջանակներում գյուղատնտեսական կենդանիների հիվանդությունների, ինչպես նաև կենդանական ծագման հումքի և նյութի ախտորոշման նպատակով իրականացվել է 934500 լաբորատոր փորձաքննություն՝ կանխատեսված 1051923-ի և նախորդ տարվա 895191-ի դիմաց: Միջոցառման ծախսերը կազմել են 3</w:t>
      </w:r>
      <w:r w:rsidRPr="001F63BA">
        <w:rPr>
          <w:rFonts w:ascii="GHEA Grapalat" w:hAnsi="GHEA Grapalat" w:cs="GHEA Grapalat"/>
          <w:sz w:val="22"/>
          <w:szCs w:val="22"/>
          <w:lang w:val="en-US"/>
        </w:rPr>
        <w:t>01.1</w:t>
      </w:r>
      <w:r w:rsidRPr="001F63BA">
        <w:rPr>
          <w:rFonts w:ascii="GHEA Grapalat" w:hAnsi="GHEA Grapalat" w:cs="GHEA Grapalat"/>
          <w:sz w:val="22"/>
          <w:szCs w:val="22"/>
        </w:rPr>
        <w:t xml:space="preserve"> մլն դրամ` ապահովելով </w:t>
      </w:r>
      <w:r w:rsidRPr="001F63BA">
        <w:rPr>
          <w:rFonts w:ascii="GHEA Grapalat" w:hAnsi="GHEA Grapalat" w:cs="GHEA Grapalat"/>
          <w:sz w:val="22"/>
          <w:szCs w:val="22"/>
          <w:lang w:val="en-US"/>
        </w:rPr>
        <w:t>88</w:t>
      </w:r>
      <w:r w:rsidRPr="001F63BA">
        <w:rPr>
          <w:rFonts w:ascii="GHEA Grapalat" w:hAnsi="GHEA Grapalat" w:cs="GHEA Grapalat"/>
          <w:sz w:val="22"/>
          <w:szCs w:val="22"/>
        </w:rPr>
        <w:t>.8% կատարողական: Շեղումը պայմանավորված է հետազոտության ներկայացված նմուշների քանակով: Նախորդ տարվա համեմատ նշված միջոցառման ծախսերը նվազել են 14.8%-ով կամ 52.3 մլն դրամով</w:t>
      </w:r>
      <w:r w:rsidRPr="001F63BA">
        <w:rPr>
          <w:rFonts w:ascii="GHEA Grapalat" w:hAnsi="GHEA Grapalat" w:cs="GHEA Grapalat"/>
          <w:sz w:val="22"/>
          <w:szCs w:val="22"/>
          <w:lang w:val="en-US"/>
        </w:rPr>
        <w:t xml:space="preserve">՝ պայմանավորված </w:t>
      </w:r>
      <w:r w:rsidRPr="001F63BA">
        <w:rPr>
          <w:rFonts w:ascii="GHEA Grapalat" w:hAnsi="GHEA Grapalat" w:cs="GHEA Grapalat"/>
          <w:sz w:val="22"/>
          <w:szCs w:val="22"/>
        </w:rPr>
        <w:t xml:space="preserve">2021 թվականին </w:t>
      </w:r>
      <w:r w:rsidRPr="001F63BA">
        <w:rPr>
          <w:rFonts w:ascii="GHEA Grapalat" w:hAnsi="GHEA Grapalat" w:cs="GHEA Grapalat"/>
          <w:sz w:val="22"/>
          <w:szCs w:val="22"/>
          <w:lang w:val="en-US"/>
        </w:rPr>
        <w:t>ն</w:t>
      </w:r>
      <w:r w:rsidRPr="001F63BA">
        <w:rPr>
          <w:rFonts w:ascii="GHEA Grapalat" w:hAnsi="GHEA Grapalat" w:cs="GHEA Grapalat"/>
          <w:sz w:val="22"/>
          <w:szCs w:val="22"/>
        </w:rPr>
        <w:t>ախորդ տարիների հարկային պարտավորությունների մարման</w:t>
      </w:r>
      <w:r w:rsidRPr="001F63BA">
        <w:rPr>
          <w:rFonts w:ascii="GHEA Grapalat" w:hAnsi="GHEA Grapalat" w:cs="GHEA Grapalat"/>
          <w:sz w:val="22"/>
          <w:szCs w:val="22"/>
          <w:lang w:val="en-US"/>
        </w:rPr>
        <w:t xml:space="preserve"> նպատակով </w:t>
      </w:r>
      <w:r w:rsidRPr="001F63BA">
        <w:rPr>
          <w:rFonts w:ascii="GHEA Grapalat" w:hAnsi="GHEA Grapalat" w:cs="GHEA Grapalat"/>
          <w:sz w:val="22"/>
          <w:szCs w:val="22"/>
        </w:rPr>
        <w:t>64.9</w:t>
      </w:r>
      <w:r w:rsidRPr="001F63BA">
        <w:rPr>
          <w:rFonts w:ascii="GHEA Grapalat" w:hAnsi="GHEA Grapalat" w:cs="GHEA Grapalat"/>
          <w:sz w:val="22"/>
          <w:szCs w:val="22"/>
          <w:lang w:val="en-US"/>
        </w:rPr>
        <w:t xml:space="preserve"> մլն դրամի հատկացմամբ</w:t>
      </w:r>
      <w:r w:rsidRPr="001F63BA">
        <w:rPr>
          <w:rFonts w:ascii="GHEA Grapalat" w:hAnsi="GHEA Grapalat" w:cs="GHEA Grapalat"/>
          <w:sz w:val="22"/>
          <w:szCs w:val="22"/>
        </w:rPr>
        <w:t>։</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lastRenderedPageBreak/>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w:t>
      </w:r>
      <w:r w:rsidRPr="001F63BA">
        <w:rPr>
          <w:rFonts w:ascii="GHEA Grapalat" w:hAnsi="GHEA Grapalat" w:cs="GHEA Grapalat"/>
          <w:i/>
          <w:sz w:val="22"/>
          <w:szCs w:val="22"/>
        </w:rPr>
        <w:t>Ենթակառուցվածքների և գյուղական ֆինանսավորման աջակցության</w:t>
      </w:r>
      <w:r w:rsidRPr="001F63BA">
        <w:rPr>
          <w:rFonts w:ascii="GHEA Grapalat" w:hAnsi="GHEA Grapalat" w:cs="GHEA Grapalat"/>
          <w:sz w:val="22"/>
          <w:szCs w:val="22"/>
        </w:rPr>
        <w:t xml:space="preserve"> ծրագրի շրջանակներում օգտագործվել է նախատեսված միջոցների 7</w:t>
      </w:r>
      <w:r w:rsidRPr="001F63BA">
        <w:rPr>
          <w:rFonts w:ascii="GHEA Grapalat" w:hAnsi="GHEA Grapalat" w:cs="GHEA Grapalat"/>
          <w:sz w:val="22"/>
          <w:szCs w:val="22"/>
          <w:lang w:val="en-US"/>
        </w:rPr>
        <w:t>0</w:t>
      </w:r>
      <w:r w:rsidRPr="001F63BA">
        <w:rPr>
          <w:rFonts w:ascii="GHEA Grapalat" w:hAnsi="GHEA Grapalat" w:cs="GHEA Grapalat"/>
          <w:sz w:val="22"/>
          <w:szCs w:val="22"/>
        </w:rPr>
        <w:t>.</w:t>
      </w:r>
      <w:r w:rsidRPr="001F63BA">
        <w:rPr>
          <w:rFonts w:ascii="GHEA Grapalat" w:hAnsi="GHEA Grapalat" w:cs="GHEA Grapalat"/>
          <w:sz w:val="22"/>
          <w:szCs w:val="22"/>
          <w:lang w:val="en-US"/>
        </w:rPr>
        <w:t>8</w:t>
      </w:r>
      <w:r w:rsidRPr="001F63BA">
        <w:rPr>
          <w:rFonts w:ascii="GHEA Grapalat" w:hAnsi="GHEA Grapalat" w:cs="GHEA Grapalat"/>
          <w:sz w:val="22"/>
          <w:szCs w:val="22"/>
        </w:rPr>
        <w:t>%-ը կամ</w:t>
      </w:r>
      <w:r w:rsidRPr="001F63BA">
        <w:rPr>
          <w:rFonts w:ascii="GHEA Grapalat" w:hAnsi="GHEA Grapalat" w:cs="GHEA Grapalat"/>
          <w:sz w:val="22"/>
          <w:szCs w:val="22"/>
          <w:lang w:val="en-US"/>
        </w:rPr>
        <w:t xml:space="preserve"> շուրջ 909</w:t>
      </w:r>
      <w:r w:rsidRPr="001F63BA">
        <w:rPr>
          <w:rFonts w:ascii="GHEA Grapalat" w:hAnsi="GHEA Grapalat" w:cs="GHEA Grapalat"/>
          <w:sz w:val="22"/>
          <w:szCs w:val="22"/>
        </w:rPr>
        <w:t>.5</w:t>
      </w:r>
      <w:r w:rsidRPr="001F63BA">
        <w:rPr>
          <w:rFonts w:ascii="Courier New" w:hAnsi="Courier New" w:cs="Courier New"/>
          <w:sz w:val="22"/>
          <w:szCs w:val="22"/>
        </w:rPr>
        <w:t> </w:t>
      </w:r>
      <w:r w:rsidRPr="001F63BA">
        <w:rPr>
          <w:rFonts w:ascii="GHEA Grapalat" w:hAnsi="GHEA Grapalat" w:cs="GHEA Grapalat"/>
          <w:sz w:val="22"/>
          <w:szCs w:val="22"/>
        </w:rPr>
        <w:t>մլն դրամ: Ծրագիրն իրականացվել է արտաքին աջակցությամբ: Շեղումը հիմնականում պայմանավորված է Գլոբալ էկոլոգիական հիմնադրամի աջակցությամբ իրականացվող «Հայաստանում արտադրողականության աճին ուղղված հողերի կայուն կառավարում» դրամաշնորհային ծրագրի կատարողականով:</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Նախորդ տարվա համեմատ Ենթակառուցվածքների և գյուղական ֆինանսավորման աջակցության ծրագրի ծախսերն աճել են </w:t>
      </w:r>
      <w:r w:rsidRPr="001F63BA">
        <w:rPr>
          <w:rFonts w:ascii="GHEA Grapalat" w:hAnsi="GHEA Grapalat" w:cs="GHEA Grapalat"/>
          <w:sz w:val="22"/>
          <w:szCs w:val="22"/>
          <w:lang w:val="en-US"/>
        </w:rPr>
        <w:t>2.5</w:t>
      </w:r>
      <w:r w:rsidRPr="001F63BA">
        <w:rPr>
          <w:rFonts w:ascii="GHEA Grapalat" w:hAnsi="GHEA Grapalat" w:cs="GHEA Grapalat"/>
          <w:sz w:val="22"/>
          <w:szCs w:val="22"/>
        </w:rPr>
        <w:t>%-ով կամ 21.9 մլն դրամով:</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Գլոբալ էկոլոգիական հիմնադրամի աջակցությամբ իրականացվող Հայաստանում արտադրողականության աճին ուղղված հողերի կայուն կառավարման դրամաշնորհային ծրագրի </w:t>
      </w:r>
      <w:r w:rsidRPr="001F63BA">
        <w:rPr>
          <w:rFonts w:ascii="GHEA Grapalat" w:hAnsi="GHEA Grapalat" w:cs="GHEA Grapalat"/>
          <w:sz w:val="22"/>
          <w:szCs w:val="22"/>
          <w:lang w:val="en-US"/>
        </w:rPr>
        <w:t xml:space="preserve">նպատակներն են </w:t>
      </w:r>
      <w:r w:rsidRPr="001F63BA">
        <w:rPr>
          <w:rFonts w:ascii="GHEA Grapalat" w:hAnsi="GHEA Grapalat" w:cs="GHEA Grapalat"/>
          <w:sz w:val="22"/>
          <w:szCs w:val="22"/>
        </w:rPr>
        <w:t>համայնքային սեփականության ներքո գտնվող դեգրադացված հողեր</w:t>
      </w:r>
      <w:r w:rsidRPr="001F63BA">
        <w:rPr>
          <w:rFonts w:ascii="GHEA Grapalat" w:hAnsi="GHEA Grapalat" w:cs="GHEA Grapalat"/>
          <w:sz w:val="22"/>
          <w:szCs w:val="22"/>
          <w:lang w:val="en-US"/>
        </w:rPr>
        <w:t>ի վերականգնումը</w:t>
      </w:r>
      <w:r w:rsidRPr="001F63BA">
        <w:rPr>
          <w:rFonts w:ascii="GHEA Grapalat" w:hAnsi="GHEA Grapalat" w:cs="GHEA Grapalat"/>
          <w:sz w:val="22"/>
          <w:szCs w:val="22"/>
        </w:rPr>
        <w:t>, հողերի կայուն կառավարման և արդյունավետ շահագործման համակարգ</w:t>
      </w:r>
      <w:r w:rsidRPr="001F63BA">
        <w:rPr>
          <w:rFonts w:ascii="GHEA Grapalat" w:hAnsi="GHEA Grapalat" w:cs="GHEA Grapalat"/>
          <w:sz w:val="22"/>
          <w:szCs w:val="22"/>
          <w:lang w:val="en-US"/>
        </w:rPr>
        <w:t>ի ներդրումը</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Ծրագրի այս բաղադրիչը կզարգացնի անհատ ֆերմերների, ֆերմերային ասոցիացիաների, կոոպերատիվների, ջրօգտագործողների ընկերությունների, քաղծառայողների և մյուս տեղական շահառուների՝ կայուն գյուղատնտեսական համակարգերի և տեխնոլոգիաների որդեգրման, էկոլոգիական վերականգնողական պլանների նախապատրաստման և իրականացման, ինչպես նաև կայուն արժեշղթաների զարգացման կարողությունները՝ հաշվի առնելով հողի և ջրի պահպանության, կլիմայական ռիսկերի նվազեցման հիմնահարցերը: Ծրագրի շրջանակներում ապրանքային տեսքով ֆինանսական փաթեթներ են տրամադրվել 200 փոքր գյուղացիական տնտեսավարողների՝ նախատեսված 80-ի փոխարեն, որը պայմանավորված է տրամադրված ֆինանսական փաթեթների ցածր արժեքով: Միջոցառման շրջանակներում օգտագործվել </w:t>
      </w:r>
      <w:r w:rsidRPr="001F63BA">
        <w:rPr>
          <w:rFonts w:ascii="GHEA Grapalat" w:hAnsi="GHEA Grapalat" w:cs="GHEA Grapalat"/>
          <w:sz w:val="22"/>
          <w:szCs w:val="22"/>
          <w:lang w:val="en-US"/>
        </w:rPr>
        <w:t>է</w:t>
      </w:r>
      <w:r w:rsidRPr="001F63BA">
        <w:rPr>
          <w:rFonts w:ascii="GHEA Grapalat" w:hAnsi="GHEA Grapalat" w:cs="GHEA Grapalat"/>
          <w:sz w:val="22"/>
          <w:szCs w:val="22"/>
        </w:rPr>
        <w:t xml:space="preserve"> 361.7 մլն դրամ՝ ապահովելով 94.9% կատարողական: Շեղումը հիմնականում պայմանավորված է նրանով, որ ապրանքային տեսքով ֆինանսական փաթեթները տրամադրվել են նախատեսված միջին արժեքի նվազագույն չափով, ինչպես նաև արտարժույթի կանխատեսված և փաստացի փոխարժեքների տարբերությամբ:</w:t>
      </w:r>
    </w:p>
    <w:p w:rsidR="001C411D" w:rsidRPr="001F63BA" w:rsidRDefault="001C411D" w:rsidP="00F704F2">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Տվյալ դրամաշնորհային ծրագրի շրջանակներում կայուն գյուղատնտեսական համակարգերում և տեխնոլոգիաներում ներդրումների, համայնքային հողերի էրոզիայի կանխարգելման և հողերի աստիճանական վատթարացման դեմ պայքարի նպատակով 4 շահառու համայնքներում կատարվել են 200 հա դեգրադացված հողերի վերականգնման աշխատանքներ</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նախատեսված 350 հա-ի </w:t>
      </w:r>
      <w:r w:rsidRPr="001F63BA">
        <w:rPr>
          <w:rFonts w:ascii="GHEA Grapalat" w:hAnsi="GHEA Grapalat" w:cs="GHEA Grapalat"/>
          <w:sz w:val="22"/>
          <w:szCs w:val="22"/>
          <w:lang w:val="en-US"/>
        </w:rPr>
        <w:t>փոխարեն</w:t>
      </w:r>
      <w:r w:rsidRPr="001F63BA">
        <w:rPr>
          <w:rFonts w:ascii="GHEA Grapalat" w:hAnsi="GHEA Grapalat" w:cs="GHEA Grapalat"/>
          <w:sz w:val="22"/>
          <w:szCs w:val="22"/>
        </w:rPr>
        <w:t>: Միջոցառման շրջանակներում</w:t>
      </w:r>
      <w:r w:rsidRPr="001F63BA">
        <w:rPr>
          <w:rFonts w:ascii="GHEA Grapalat" w:hAnsi="GHEA Grapalat" w:cs="Sylfaen"/>
          <w:sz w:val="22"/>
          <w:szCs w:val="22"/>
        </w:rPr>
        <w:t xml:space="preserve"> </w:t>
      </w:r>
      <w:r w:rsidRPr="001F63BA">
        <w:rPr>
          <w:rFonts w:ascii="GHEA Grapalat" w:hAnsi="GHEA Grapalat" w:cs="GHEA Grapalat"/>
          <w:sz w:val="22"/>
          <w:szCs w:val="22"/>
        </w:rPr>
        <w:t xml:space="preserve">օգտագործվել է նախատեսված միջոցների 58.8%-ը կամ շուրջ 329.1 մլն դրամ: Ցածր կատարողականը պայմանավորված է նրանով, որ ՀՀ կառավարության 1864-Ն որոշմամբ դեկտեմբեր ամսին հատկացվել են լրացուցիչ միջոցներ՝ 300 մլն դրամի չափով, </w:t>
      </w:r>
      <w:r w:rsidRPr="001F63BA">
        <w:rPr>
          <w:rFonts w:ascii="GHEA Grapalat" w:hAnsi="GHEA Grapalat" w:cs="GHEA Grapalat"/>
          <w:sz w:val="22"/>
          <w:szCs w:val="22"/>
          <w:lang w:val="en-US"/>
        </w:rPr>
        <w:t xml:space="preserve">որը </w:t>
      </w:r>
      <w:r w:rsidRPr="001F63BA">
        <w:rPr>
          <w:rFonts w:ascii="GHEA Grapalat" w:hAnsi="GHEA Grapalat" w:cs="GHEA Grapalat"/>
          <w:sz w:val="22"/>
          <w:szCs w:val="22"/>
        </w:rPr>
        <w:t xml:space="preserve">ժամանակի սղության </w:t>
      </w:r>
      <w:r w:rsidRPr="001F63BA">
        <w:rPr>
          <w:rFonts w:ascii="GHEA Grapalat" w:hAnsi="GHEA Grapalat" w:cs="GHEA Grapalat"/>
          <w:sz w:val="22"/>
          <w:szCs w:val="22"/>
          <w:lang w:val="en-US"/>
        </w:rPr>
        <w:t>պատճառ</w:t>
      </w:r>
      <w:r w:rsidRPr="001F63BA">
        <w:rPr>
          <w:rFonts w:ascii="GHEA Grapalat" w:hAnsi="GHEA Grapalat" w:cs="GHEA Grapalat"/>
          <w:sz w:val="22"/>
          <w:szCs w:val="22"/>
        </w:rPr>
        <w:t xml:space="preserve">ով </w:t>
      </w:r>
      <w:r w:rsidRPr="001F63BA">
        <w:rPr>
          <w:rFonts w:ascii="GHEA Grapalat" w:hAnsi="GHEA Grapalat" w:cs="GHEA Grapalat"/>
          <w:sz w:val="22"/>
          <w:szCs w:val="22"/>
          <w:lang w:val="en-US"/>
        </w:rPr>
        <w:t>ամբողջությամբ չի օգտագործվել</w:t>
      </w:r>
      <w:r w:rsidRPr="001F63BA">
        <w:rPr>
          <w:rFonts w:ascii="GHEA Grapalat" w:hAnsi="GHEA Grapalat" w:cs="GHEA Grapalat"/>
          <w:sz w:val="22"/>
          <w:szCs w:val="22"/>
        </w:rPr>
        <w:t>։</w:t>
      </w:r>
    </w:p>
    <w:p w:rsidR="001C411D" w:rsidRPr="001F63BA" w:rsidRDefault="001C411D" w:rsidP="008E438A">
      <w:pPr>
        <w:spacing w:line="360" w:lineRule="auto"/>
        <w:ind w:firstLine="561"/>
        <w:jc w:val="both"/>
        <w:rPr>
          <w:rFonts w:ascii="GHEA Grapalat" w:hAnsi="GHEA Grapalat"/>
          <w:sz w:val="22"/>
          <w:szCs w:val="22"/>
          <w:lang w:val="af-ZA"/>
        </w:rPr>
      </w:pPr>
    </w:p>
    <w:p w:rsidR="001C411D" w:rsidRPr="001F63BA" w:rsidRDefault="001C411D" w:rsidP="000A3BF5">
      <w:pPr>
        <w:autoSpaceDE w:val="0"/>
        <w:autoSpaceDN w:val="0"/>
        <w:adjustRightInd w:val="0"/>
        <w:spacing w:line="360" w:lineRule="auto"/>
        <w:ind w:firstLine="567"/>
        <w:jc w:val="both"/>
        <w:rPr>
          <w:rFonts w:ascii="GHEA Grapalat" w:hAnsi="GHEA Grapalat" w:cs="GHEA Grapalat"/>
          <w:sz w:val="22"/>
          <w:szCs w:val="22"/>
          <w:lang w:val="af-ZA"/>
        </w:rPr>
      </w:pPr>
      <w:r w:rsidRPr="001F63BA">
        <w:rPr>
          <w:rFonts w:ascii="GHEA Grapalat" w:hAnsi="GHEA Grapalat" w:cs="GHEA Grapalat"/>
          <w:i/>
          <w:sz w:val="22"/>
          <w:szCs w:val="22"/>
          <w:u w:val="single"/>
        </w:rPr>
        <w:t>ՀՀ արտաքին գործերի նախարարության</w:t>
      </w:r>
      <w:r w:rsidRPr="001F63BA">
        <w:rPr>
          <w:rFonts w:ascii="GHEA Grapalat" w:hAnsi="GHEA Grapalat" w:cs="GHEA Grapalat"/>
          <w:sz w:val="22"/>
          <w:szCs w:val="22"/>
        </w:rPr>
        <w:t xml:space="preserve"> պատասխանատվությամբ</w:t>
      </w:r>
      <w:r w:rsidRPr="001F63BA">
        <w:rPr>
          <w:rFonts w:ascii="GHEA Grapalat" w:hAnsi="GHEA Grapalat" w:cs="GHEA Grapalat"/>
          <w:sz w:val="22"/>
          <w:szCs w:val="22"/>
          <w:lang w:val="af-ZA"/>
        </w:rPr>
        <w:t xml:space="preserve"> 2022 </w:t>
      </w:r>
      <w:r w:rsidRPr="001F63BA">
        <w:rPr>
          <w:rFonts w:ascii="GHEA Grapalat" w:hAnsi="GHEA Grapalat" w:cs="GHEA Grapalat"/>
          <w:sz w:val="22"/>
          <w:szCs w:val="22"/>
        </w:rPr>
        <w:t>թվականի</w:t>
      </w:r>
      <w:r w:rsidRPr="001F63BA">
        <w:rPr>
          <w:rFonts w:ascii="GHEA Grapalat" w:hAnsi="GHEA Grapalat" w:cs="GHEA Grapalat"/>
          <w:sz w:val="22"/>
          <w:szCs w:val="22"/>
          <w:lang w:val="af-ZA"/>
        </w:rPr>
        <w:t xml:space="preserve"> </w:t>
      </w:r>
      <w:bookmarkStart w:id="249" w:name="_Hlk109210759"/>
      <w:r w:rsidRPr="001F63BA">
        <w:rPr>
          <w:rFonts w:ascii="GHEA Grapalat" w:hAnsi="GHEA Grapalat" w:cs="GHEA Grapalat"/>
          <w:sz w:val="22"/>
          <w:szCs w:val="22"/>
        </w:rPr>
        <w:t>ընթացքում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կատարվել</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է</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պետական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բյուջեի</w:t>
      </w:r>
      <w:r w:rsidRPr="001F63BA">
        <w:rPr>
          <w:rFonts w:ascii="GHEA Grapalat" w:hAnsi="GHEA Grapalat" w:cs="GHEA Grapalat"/>
          <w:sz w:val="22"/>
          <w:szCs w:val="22"/>
          <w:lang w:val="af-ZA"/>
        </w:rPr>
        <w:t xml:space="preserve"> 6 </w:t>
      </w:r>
      <w:r w:rsidRPr="001F63BA">
        <w:rPr>
          <w:rFonts w:ascii="GHEA Grapalat" w:hAnsi="GHEA Grapalat" w:cs="GHEA Grapalat"/>
          <w:sz w:val="22"/>
          <w:szCs w:val="22"/>
        </w:rPr>
        <w:t>ծրագիր</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որոնց</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գծով</w:t>
      </w:r>
      <w:r w:rsidRPr="001F63BA">
        <w:rPr>
          <w:rFonts w:ascii="GHEA Grapalat" w:hAnsi="GHEA Grapalat" w:cs="GHEA Grapalat"/>
          <w:sz w:val="22"/>
          <w:szCs w:val="22"/>
          <w:lang w:val="af-ZA"/>
        </w:rPr>
        <w:t xml:space="preserve"> </w:t>
      </w:r>
      <w:bookmarkEnd w:id="249"/>
      <w:r w:rsidRPr="001F63BA">
        <w:rPr>
          <w:rFonts w:ascii="GHEA Grapalat" w:hAnsi="GHEA Grapalat" w:cs="GHEA Grapalat"/>
          <w:sz w:val="22"/>
          <w:szCs w:val="22"/>
        </w:rPr>
        <w:t>ծախսերը</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կազմել</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են</w:t>
      </w:r>
      <w:r w:rsidRPr="001F63BA">
        <w:rPr>
          <w:rFonts w:ascii="GHEA Grapalat" w:hAnsi="GHEA Grapalat" w:cs="GHEA Grapalat"/>
          <w:sz w:val="22"/>
          <w:szCs w:val="22"/>
          <w:lang w:val="af-ZA"/>
        </w:rPr>
        <w:t xml:space="preserve"> 17.7</w:t>
      </w:r>
      <w:r w:rsidRPr="001F63BA">
        <w:rPr>
          <w:rFonts w:ascii="Courier New" w:hAnsi="Courier New" w:cs="Courier New"/>
          <w:sz w:val="22"/>
          <w:szCs w:val="22"/>
          <w:lang w:val="af-ZA"/>
        </w:rPr>
        <w:t> </w:t>
      </w:r>
      <w:r w:rsidRPr="001F63BA">
        <w:rPr>
          <w:rFonts w:ascii="GHEA Grapalat" w:hAnsi="GHEA Grapalat" w:cs="GHEA Grapalat"/>
          <w:sz w:val="22"/>
          <w:szCs w:val="22"/>
        </w:rPr>
        <w:t>մլրդ</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դրամ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ծրագրված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ցուցանիշի</w:t>
      </w:r>
      <w:r w:rsidRPr="001F63BA">
        <w:rPr>
          <w:rFonts w:ascii="GHEA Grapalat" w:hAnsi="GHEA Grapalat" w:cs="GHEA Grapalat"/>
          <w:sz w:val="22"/>
          <w:szCs w:val="22"/>
          <w:lang w:val="af-ZA"/>
        </w:rPr>
        <w:t xml:space="preserve"> 96.1%</w:t>
      </w:r>
      <w:r w:rsidRPr="001F63BA">
        <w:rPr>
          <w:rFonts w:ascii="GHEA Grapalat" w:hAnsi="GHEA Grapalat" w:cs="GHEA Grapalat"/>
          <w:sz w:val="22"/>
          <w:szCs w:val="22"/>
          <w:lang w:val="af-ZA"/>
        </w:rPr>
        <w:noBreakHyphen/>
      </w:r>
      <w:r w:rsidRPr="001F63BA">
        <w:rPr>
          <w:rFonts w:ascii="GHEA Grapalat" w:hAnsi="GHEA Grapalat" w:cs="GHEA Grapalat"/>
          <w:sz w:val="22"/>
          <w:szCs w:val="22"/>
        </w:rPr>
        <w:t>ը</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Ծրագրված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ցուցանիշից</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շեղումը</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հիմնականում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պայմանավորված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է</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Օտարերկրյա</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պետություններում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ՀՀ</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դիվանագիտական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ծառայության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մարմինների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գործունեության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կազմակերպման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ու</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իրականացման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ծրագրի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կատարողականով</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Նախորդ</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տարվա համեմատ</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նախարարության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պատասխանատվությամբ</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կատարված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ծրագրերի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գծով</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ծախսերն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աճել</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են</w:t>
      </w:r>
      <w:r w:rsidRPr="001F63BA">
        <w:rPr>
          <w:rFonts w:ascii="GHEA Grapalat" w:hAnsi="GHEA Grapalat" w:cs="GHEA Grapalat"/>
          <w:sz w:val="22"/>
          <w:szCs w:val="22"/>
          <w:lang w:val="af-ZA"/>
        </w:rPr>
        <w:t xml:space="preserve"> 3.8%</w:t>
      </w:r>
      <w:r w:rsidRPr="001F63BA">
        <w:rPr>
          <w:rFonts w:ascii="GHEA Grapalat" w:hAnsi="GHEA Grapalat" w:cs="GHEA Grapalat"/>
          <w:sz w:val="22"/>
          <w:szCs w:val="22"/>
          <w:lang w:val="af-ZA"/>
        </w:rPr>
        <w:noBreakHyphen/>
      </w:r>
      <w:r w:rsidRPr="001F63BA">
        <w:rPr>
          <w:rFonts w:ascii="GHEA Grapalat" w:hAnsi="GHEA Grapalat" w:cs="GHEA Grapalat"/>
          <w:sz w:val="22"/>
          <w:szCs w:val="22"/>
        </w:rPr>
        <w:t>ով</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կամ</w:t>
      </w:r>
      <w:r w:rsidRPr="001F63BA">
        <w:rPr>
          <w:rFonts w:ascii="GHEA Grapalat" w:hAnsi="GHEA Grapalat" w:cs="GHEA Grapalat"/>
          <w:sz w:val="22"/>
          <w:szCs w:val="22"/>
          <w:lang w:val="af-ZA"/>
        </w:rPr>
        <w:t xml:space="preserve"> 652.6 մլն </w:t>
      </w:r>
      <w:r w:rsidRPr="001F63BA">
        <w:rPr>
          <w:rFonts w:ascii="GHEA Grapalat" w:hAnsi="GHEA Grapalat" w:cs="GHEA Grapalat"/>
          <w:sz w:val="22"/>
          <w:szCs w:val="22"/>
        </w:rPr>
        <w:t>դրամով՝</w:t>
      </w:r>
      <w:r w:rsidRPr="001F63BA">
        <w:rPr>
          <w:rFonts w:ascii="GHEA Grapalat" w:hAnsi="GHEA Grapalat" w:cs="GHEA Grapalat"/>
          <w:sz w:val="22"/>
          <w:szCs w:val="22"/>
          <w:lang w:val="af-ZA"/>
        </w:rPr>
        <w:t xml:space="preserve"> հիմնականում </w:t>
      </w:r>
      <w:r w:rsidRPr="001F63BA">
        <w:rPr>
          <w:rFonts w:ascii="GHEA Grapalat" w:hAnsi="GHEA Grapalat" w:cs="GHEA Grapalat"/>
          <w:sz w:val="22"/>
          <w:szCs w:val="22"/>
        </w:rPr>
        <w:t>պայմանավորված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Արտաքին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գործերի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ոլորտում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Կառավարության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քաղաքականության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մշակման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և</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իրականացման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ծրագրի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շրջանակներում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կատարված</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ծախսերի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աճով</w:t>
      </w:r>
      <w:r w:rsidRPr="001F63BA">
        <w:rPr>
          <w:rFonts w:ascii="GHEA Grapalat" w:hAnsi="GHEA Grapalat" w:cs="GHEA Grapalat"/>
          <w:sz w:val="22"/>
          <w:szCs w:val="22"/>
          <w:lang w:val="af-ZA"/>
        </w:rPr>
        <w:t>:</w:t>
      </w:r>
    </w:p>
    <w:p w:rsidR="001C411D" w:rsidRPr="001F63BA" w:rsidRDefault="001C411D" w:rsidP="000A3BF5">
      <w:pPr>
        <w:autoSpaceDE w:val="0"/>
        <w:autoSpaceDN w:val="0"/>
        <w:adjustRightInd w:val="0"/>
        <w:spacing w:line="360" w:lineRule="auto"/>
        <w:ind w:firstLine="567"/>
        <w:jc w:val="both"/>
        <w:rPr>
          <w:rFonts w:ascii="GHEA Grapalat" w:hAnsi="GHEA Grapalat" w:cs="GHEA Grapalat"/>
          <w:sz w:val="22"/>
          <w:szCs w:val="22"/>
          <w:lang w:val="af-ZA"/>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af-ZA"/>
        </w:rPr>
      </w:pPr>
      <w:r w:rsidRPr="001F63BA">
        <w:rPr>
          <w:rFonts w:ascii="GHEA Grapalat" w:hAnsi="GHEA Grapalat"/>
          <w:i/>
          <w:sz w:val="18"/>
          <w:szCs w:val="18"/>
          <w:lang w:val="en-US"/>
        </w:rPr>
        <w:t>ՀՀ</w:t>
      </w:r>
      <w:r w:rsidRPr="001F63BA">
        <w:rPr>
          <w:rFonts w:ascii="GHEA Grapalat" w:hAnsi="GHEA Grapalat"/>
          <w:i/>
          <w:sz w:val="18"/>
          <w:szCs w:val="18"/>
          <w:lang w:val="af-ZA"/>
        </w:rPr>
        <w:t xml:space="preserve"> </w:t>
      </w:r>
      <w:r w:rsidRPr="001F63BA">
        <w:rPr>
          <w:rFonts w:ascii="GHEA Grapalat" w:hAnsi="GHEA Grapalat"/>
          <w:i/>
          <w:sz w:val="18"/>
          <w:szCs w:val="18"/>
          <w:lang w:val="en-US"/>
        </w:rPr>
        <w:t>արտաքին</w:t>
      </w:r>
      <w:r w:rsidRPr="001F63BA">
        <w:rPr>
          <w:rFonts w:ascii="GHEA Grapalat" w:hAnsi="GHEA Grapalat"/>
          <w:i/>
          <w:sz w:val="18"/>
          <w:szCs w:val="18"/>
          <w:lang w:val="af-ZA"/>
        </w:rPr>
        <w:t xml:space="preserve"> </w:t>
      </w:r>
      <w:r w:rsidRPr="001F63BA">
        <w:rPr>
          <w:rFonts w:ascii="GHEA Grapalat" w:hAnsi="GHEA Grapalat"/>
          <w:i/>
          <w:sz w:val="18"/>
          <w:szCs w:val="18"/>
          <w:lang w:val="en-US"/>
        </w:rPr>
        <w:t>գործերի</w:t>
      </w:r>
      <w:r w:rsidRPr="001F63BA">
        <w:rPr>
          <w:rFonts w:ascii="GHEA Grapalat" w:hAnsi="GHEA Grapalat"/>
          <w:i/>
          <w:sz w:val="18"/>
          <w:szCs w:val="18"/>
          <w:lang w:val="af-ZA"/>
        </w:rPr>
        <w:t xml:space="preserve"> </w:t>
      </w:r>
      <w:r w:rsidRPr="001F63BA">
        <w:rPr>
          <w:rFonts w:ascii="GHEA Grapalat" w:hAnsi="GHEA Grapalat"/>
          <w:i/>
          <w:sz w:val="18"/>
          <w:szCs w:val="18"/>
          <w:lang w:val="en-US"/>
        </w:rPr>
        <w:t>նախարարության</w:t>
      </w:r>
      <w:r w:rsidRPr="001F63BA">
        <w:rPr>
          <w:rFonts w:ascii="GHEA Grapalat" w:hAnsi="GHEA Grapalat"/>
          <w:i/>
          <w:sz w:val="18"/>
          <w:szCs w:val="18"/>
          <w:lang w:val="af-ZA"/>
        </w:rPr>
        <w:t xml:space="preserve"> </w:t>
      </w:r>
      <w:r w:rsidRPr="001F63BA">
        <w:rPr>
          <w:rFonts w:ascii="GHEA Grapalat" w:hAnsi="GHEA Grapalat"/>
          <w:i/>
          <w:sz w:val="18"/>
          <w:szCs w:val="18"/>
          <w:lang w:val="en-US"/>
        </w:rPr>
        <w:t>կողմից</w:t>
      </w:r>
      <w:r w:rsidRPr="001F63BA">
        <w:rPr>
          <w:rFonts w:ascii="GHEA Grapalat" w:hAnsi="GHEA Grapalat"/>
          <w:i/>
          <w:sz w:val="18"/>
          <w:szCs w:val="18"/>
          <w:lang w:val="af-ZA"/>
        </w:rPr>
        <w:t xml:space="preserve"> </w:t>
      </w:r>
      <w:r w:rsidRPr="001F63BA">
        <w:rPr>
          <w:rFonts w:ascii="GHEA Grapalat" w:hAnsi="GHEA Grapalat"/>
          <w:i/>
          <w:sz w:val="18"/>
          <w:szCs w:val="18"/>
          <w:lang w:val="en-US"/>
        </w:rPr>
        <w:t>իրականացված</w:t>
      </w:r>
      <w:r w:rsidRPr="001F63BA">
        <w:rPr>
          <w:rFonts w:ascii="GHEA Grapalat" w:hAnsi="GHEA Grapalat"/>
          <w:i/>
          <w:sz w:val="18"/>
          <w:szCs w:val="18"/>
          <w:lang w:val="af-ZA"/>
        </w:rPr>
        <w:t xml:space="preserve"> </w:t>
      </w:r>
      <w:r w:rsidRPr="001F63BA">
        <w:rPr>
          <w:rFonts w:ascii="GHEA Grapalat" w:hAnsi="GHEA Grapalat"/>
          <w:i/>
          <w:sz w:val="18"/>
          <w:szCs w:val="18"/>
          <w:lang w:val="en-US"/>
        </w:rPr>
        <w:t>ծրագրերը</w:t>
      </w:r>
      <w:r w:rsidRPr="001F63BA">
        <w:rPr>
          <w:rFonts w:ascii="GHEA Grapalat" w:hAnsi="GHEA Grapalat"/>
          <w:i/>
          <w:sz w:val="18"/>
          <w:szCs w:val="18"/>
          <w:lang w:val="af-ZA"/>
        </w:rPr>
        <w:t xml:space="preserve"> (</w:t>
      </w:r>
      <w:r w:rsidRPr="001F63BA">
        <w:rPr>
          <w:rFonts w:ascii="GHEA Grapalat" w:hAnsi="GHEA Grapalat"/>
          <w:i/>
          <w:sz w:val="18"/>
          <w:szCs w:val="18"/>
          <w:lang w:val="en-US"/>
        </w:rPr>
        <w:t>մլն</w:t>
      </w:r>
      <w:r w:rsidRPr="001F63BA">
        <w:rPr>
          <w:rFonts w:ascii="GHEA Grapalat" w:hAnsi="GHEA Grapalat"/>
          <w:i/>
          <w:sz w:val="18"/>
          <w:szCs w:val="18"/>
          <w:lang w:val="af-ZA"/>
        </w:rPr>
        <w:t xml:space="preserve"> </w:t>
      </w:r>
      <w:r w:rsidRPr="001F63BA">
        <w:rPr>
          <w:rFonts w:ascii="GHEA Grapalat" w:hAnsi="GHEA Grapalat"/>
          <w:i/>
          <w:sz w:val="18"/>
          <w:szCs w:val="18"/>
          <w:lang w:val="en-US"/>
        </w:rPr>
        <w:t>դրամ</w:t>
      </w:r>
      <w:r w:rsidRPr="001F63BA">
        <w:rPr>
          <w:rFonts w:ascii="GHEA Grapalat" w:hAnsi="GHEA Grapalat"/>
          <w:i/>
          <w:sz w:val="18"/>
          <w:szCs w:val="18"/>
          <w:lang w:val="af-ZA"/>
        </w:rPr>
        <w:t>)</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5"/>
        <w:gridCol w:w="963"/>
        <w:gridCol w:w="979"/>
        <w:gridCol w:w="973"/>
        <w:gridCol w:w="1203"/>
        <w:gridCol w:w="1203"/>
        <w:gridCol w:w="1332"/>
      </w:tblGrid>
      <w:tr w:rsidR="001C411D" w:rsidRPr="001F63BA" w:rsidTr="004C014C">
        <w:trPr>
          <w:trHeight w:val="300"/>
          <w:jc w:val="center"/>
        </w:trPr>
        <w:tc>
          <w:tcPr>
            <w:tcW w:w="3585" w:type="dxa"/>
            <w:noWrap/>
            <w:vAlign w:val="bottom"/>
          </w:tcPr>
          <w:p w:rsidR="001C411D" w:rsidRPr="001F63BA" w:rsidRDefault="001C411D" w:rsidP="000A3BF5">
            <w:pPr>
              <w:rPr>
                <w:rFonts w:ascii="GHEA Grapalat" w:hAnsi="GHEA Grapalat" w:cs="Calibri"/>
                <w:sz w:val="18"/>
                <w:szCs w:val="18"/>
                <w:lang w:val="af-ZA"/>
              </w:rPr>
            </w:pPr>
          </w:p>
        </w:tc>
        <w:tc>
          <w:tcPr>
            <w:tcW w:w="963" w:type="dxa"/>
          </w:tcPr>
          <w:p w:rsidR="001C411D" w:rsidRPr="001F63BA" w:rsidRDefault="001C411D" w:rsidP="000A3BF5">
            <w:pPr>
              <w:jc w:val="center"/>
              <w:rPr>
                <w:rFonts w:ascii="GHEA Grapalat" w:hAnsi="GHEA Grapalat" w:cs="Calibri"/>
                <w:b/>
                <w:bCs/>
                <w:sz w:val="18"/>
                <w:szCs w:val="18"/>
              </w:rPr>
            </w:pPr>
            <w:r w:rsidRPr="001F63BA">
              <w:rPr>
                <w:rFonts w:ascii="GHEA Grapalat" w:hAnsi="GHEA Grapalat" w:cs="Calibri"/>
                <w:b/>
                <w:bCs/>
                <w:sz w:val="18"/>
                <w:szCs w:val="18"/>
                <w:lang w:val="pt-BR"/>
              </w:rPr>
              <w:t>2021</w:t>
            </w:r>
            <w:r w:rsidRPr="001F63BA">
              <w:rPr>
                <w:rFonts w:ascii="GHEA Grapalat" w:hAnsi="GHEA Grapalat" w:cs="Calibri"/>
                <w:b/>
                <w:bCs/>
                <w:sz w:val="18"/>
                <w:szCs w:val="18"/>
              </w:rPr>
              <w:t>թ</w:t>
            </w:r>
            <w:r w:rsidRPr="001F63BA">
              <w:rPr>
                <w:rFonts w:ascii="GHEA Grapalat" w:hAnsi="GHEA Grapalat" w:cs="Calibri"/>
                <w:b/>
                <w:bCs/>
                <w:sz w:val="18"/>
                <w:szCs w:val="18"/>
                <w:lang w:val="pt-BR"/>
              </w:rPr>
              <w:t xml:space="preserve">. </w:t>
            </w:r>
            <w:r w:rsidRPr="001F63BA">
              <w:rPr>
                <w:rFonts w:ascii="GHEA Grapalat" w:hAnsi="GHEA Grapalat" w:cs="Calibri"/>
                <w:b/>
                <w:bCs/>
                <w:sz w:val="18"/>
                <w:szCs w:val="18"/>
              </w:rPr>
              <w:t>փաստ</w:t>
            </w:r>
          </w:p>
        </w:tc>
        <w:tc>
          <w:tcPr>
            <w:tcW w:w="979" w:type="dxa"/>
          </w:tcPr>
          <w:p w:rsidR="001C411D" w:rsidRPr="001F63BA" w:rsidRDefault="001C411D" w:rsidP="000A3BF5">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973" w:type="dxa"/>
            <w:noWrap/>
          </w:tcPr>
          <w:p w:rsidR="001C411D" w:rsidRPr="001F63BA" w:rsidRDefault="001C411D" w:rsidP="000A3BF5">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203" w:type="dxa"/>
          </w:tcPr>
          <w:p w:rsidR="001C411D" w:rsidRPr="001F63BA" w:rsidRDefault="001C411D" w:rsidP="000A3BF5">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 (%)</w:t>
            </w:r>
          </w:p>
        </w:tc>
        <w:tc>
          <w:tcPr>
            <w:tcW w:w="1203" w:type="dxa"/>
          </w:tcPr>
          <w:p w:rsidR="001C411D" w:rsidRPr="001F63BA" w:rsidRDefault="001C411D" w:rsidP="000A3BF5">
            <w:pPr>
              <w:jc w:val="center"/>
              <w:rPr>
                <w:rFonts w:ascii="GHEA Grapalat" w:hAnsi="GHEA Grapalat" w:cs="Calibri"/>
                <w:b/>
                <w:bCs/>
                <w:sz w:val="18"/>
                <w:szCs w:val="18"/>
              </w:rPr>
            </w:pPr>
            <w:r w:rsidRPr="001F63BA">
              <w:rPr>
                <w:rFonts w:ascii="GHEA Grapalat" w:hAnsi="GHEA Grapalat" w:cs="Calibri"/>
                <w:b/>
                <w:bCs/>
                <w:sz w:val="18"/>
                <w:szCs w:val="18"/>
              </w:rPr>
              <w:t>2022թ. 2021թ-ի նկատմամբ (%)</w:t>
            </w:r>
          </w:p>
        </w:tc>
        <w:tc>
          <w:tcPr>
            <w:tcW w:w="1332" w:type="dxa"/>
          </w:tcPr>
          <w:p w:rsidR="001C411D" w:rsidRPr="001F63BA" w:rsidRDefault="001C411D" w:rsidP="000A3BF5">
            <w:pPr>
              <w:jc w:val="center"/>
              <w:rPr>
                <w:rFonts w:ascii="GHEA Grapalat" w:hAnsi="GHEA Grapalat" w:cs="Calibri"/>
                <w:b/>
                <w:sz w:val="18"/>
                <w:szCs w:val="18"/>
              </w:rPr>
            </w:pPr>
            <w:r w:rsidRPr="001F63BA">
              <w:rPr>
                <w:rFonts w:ascii="GHEA Grapalat" w:hAnsi="GHEA Grapalat" w:cs="Calibri"/>
                <w:b/>
                <w:sz w:val="18"/>
                <w:szCs w:val="18"/>
              </w:rPr>
              <w:t>2022թ. և 2021թ. տարբե-րությունը</w:t>
            </w:r>
          </w:p>
        </w:tc>
      </w:tr>
      <w:tr w:rsidR="001C411D" w:rsidRPr="001F63BA" w:rsidTr="004C014C">
        <w:trPr>
          <w:trHeight w:val="331"/>
          <w:jc w:val="center"/>
        </w:trPr>
        <w:tc>
          <w:tcPr>
            <w:tcW w:w="3585" w:type="dxa"/>
            <w:vAlign w:val="bottom"/>
          </w:tcPr>
          <w:p w:rsidR="001C411D" w:rsidRPr="001F63BA" w:rsidRDefault="001C411D" w:rsidP="000A3BF5">
            <w:pPr>
              <w:rPr>
                <w:rFonts w:ascii="GHEA Grapalat" w:hAnsi="GHEA Grapalat" w:cs="Calibri"/>
                <w:b/>
                <w:sz w:val="18"/>
                <w:szCs w:val="18"/>
              </w:rPr>
            </w:pPr>
            <w:r w:rsidRPr="001F63BA">
              <w:rPr>
                <w:rFonts w:ascii="GHEA Grapalat" w:hAnsi="GHEA Grapalat" w:cs="Calibri"/>
                <w:b/>
                <w:sz w:val="18"/>
                <w:szCs w:val="18"/>
              </w:rPr>
              <w:t>ԸՆԴԱՄԵՆԸ</w:t>
            </w:r>
          </w:p>
        </w:tc>
        <w:tc>
          <w:tcPr>
            <w:tcW w:w="963" w:type="dxa"/>
            <w:vAlign w:val="bottom"/>
          </w:tcPr>
          <w:p w:rsidR="001C411D" w:rsidRPr="001F63BA" w:rsidRDefault="001C411D" w:rsidP="000A3BF5">
            <w:pPr>
              <w:jc w:val="right"/>
              <w:rPr>
                <w:rFonts w:ascii="GHEA Grapalat" w:hAnsi="GHEA Grapalat" w:cs="Calibri"/>
                <w:b/>
                <w:sz w:val="18"/>
                <w:szCs w:val="18"/>
              </w:rPr>
            </w:pPr>
            <w:r w:rsidRPr="001F63BA">
              <w:rPr>
                <w:rFonts w:ascii="GHEA Grapalat" w:hAnsi="GHEA Grapalat" w:cs="Calibri"/>
                <w:b/>
                <w:sz w:val="18"/>
                <w:szCs w:val="18"/>
              </w:rPr>
              <w:t>17,090.2</w:t>
            </w:r>
          </w:p>
        </w:tc>
        <w:tc>
          <w:tcPr>
            <w:tcW w:w="979" w:type="dxa"/>
            <w:vAlign w:val="bottom"/>
          </w:tcPr>
          <w:p w:rsidR="001C411D" w:rsidRPr="001F63BA" w:rsidRDefault="001C411D" w:rsidP="000A3BF5">
            <w:pPr>
              <w:jc w:val="right"/>
              <w:rPr>
                <w:rFonts w:ascii="GHEA Grapalat" w:hAnsi="GHEA Grapalat" w:cs="Calibri"/>
                <w:b/>
                <w:sz w:val="18"/>
                <w:szCs w:val="18"/>
              </w:rPr>
            </w:pPr>
            <w:r w:rsidRPr="001F63BA">
              <w:rPr>
                <w:rFonts w:ascii="GHEA Grapalat" w:hAnsi="GHEA Grapalat" w:cs="Calibri"/>
                <w:b/>
                <w:sz w:val="18"/>
                <w:szCs w:val="18"/>
              </w:rPr>
              <w:t>18,468.9</w:t>
            </w:r>
          </w:p>
        </w:tc>
        <w:tc>
          <w:tcPr>
            <w:tcW w:w="973" w:type="dxa"/>
            <w:vAlign w:val="bottom"/>
          </w:tcPr>
          <w:p w:rsidR="001C411D" w:rsidRPr="001F63BA" w:rsidRDefault="001C411D" w:rsidP="000A3BF5">
            <w:pPr>
              <w:jc w:val="right"/>
              <w:rPr>
                <w:rFonts w:ascii="GHEA Grapalat" w:hAnsi="GHEA Grapalat" w:cs="Calibri"/>
                <w:b/>
                <w:sz w:val="18"/>
                <w:szCs w:val="18"/>
              </w:rPr>
            </w:pPr>
            <w:r w:rsidRPr="001F63BA">
              <w:rPr>
                <w:rFonts w:ascii="GHEA Grapalat" w:hAnsi="GHEA Grapalat" w:cs="Calibri"/>
                <w:b/>
                <w:sz w:val="18"/>
                <w:szCs w:val="18"/>
              </w:rPr>
              <w:t>17,742.8</w:t>
            </w:r>
          </w:p>
        </w:tc>
        <w:tc>
          <w:tcPr>
            <w:tcW w:w="1203" w:type="dxa"/>
            <w:vAlign w:val="bottom"/>
          </w:tcPr>
          <w:p w:rsidR="001C411D" w:rsidRPr="001F63BA" w:rsidRDefault="001C411D" w:rsidP="000A3BF5">
            <w:pPr>
              <w:jc w:val="right"/>
              <w:rPr>
                <w:rFonts w:ascii="GHEA Grapalat" w:hAnsi="GHEA Grapalat" w:cs="Calibri"/>
                <w:b/>
                <w:sz w:val="18"/>
                <w:szCs w:val="18"/>
              </w:rPr>
            </w:pPr>
            <w:r w:rsidRPr="001F63BA">
              <w:rPr>
                <w:rFonts w:ascii="GHEA Grapalat" w:hAnsi="GHEA Grapalat" w:cs="Calibri"/>
                <w:b/>
                <w:sz w:val="18"/>
                <w:szCs w:val="18"/>
              </w:rPr>
              <w:t>96.1</w:t>
            </w:r>
          </w:p>
        </w:tc>
        <w:tc>
          <w:tcPr>
            <w:tcW w:w="1203" w:type="dxa"/>
            <w:vAlign w:val="bottom"/>
          </w:tcPr>
          <w:p w:rsidR="001C411D" w:rsidRPr="001F63BA" w:rsidRDefault="001C411D" w:rsidP="000A3BF5">
            <w:pPr>
              <w:jc w:val="right"/>
              <w:rPr>
                <w:rFonts w:ascii="GHEA Grapalat" w:hAnsi="GHEA Grapalat" w:cs="Calibri"/>
                <w:b/>
                <w:sz w:val="18"/>
                <w:szCs w:val="18"/>
              </w:rPr>
            </w:pPr>
            <w:r w:rsidRPr="001F63BA">
              <w:rPr>
                <w:rFonts w:ascii="GHEA Grapalat" w:hAnsi="GHEA Grapalat" w:cs="Calibri"/>
                <w:b/>
                <w:sz w:val="18"/>
                <w:szCs w:val="18"/>
              </w:rPr>
              <w:t>103.8</w:t>
            </w:r>
          </w:p>
        </w:tc>
        <w:tc>
          <w:tcPr>
            <w:tcW w:w="1332" w:type="dxa"/>
            <w:vAlign w:val="bottom"/>
          </w:tcPr>
          <w:p w:rsidR="001C411D" w:rsidRPr="001F63BA" w:rsidRDefault="001C411D" w:rsidP="000A3BF5">
            <w:pPr>
              <w:jc w:val="right"/>
              <w:rPr>
                <w:rFonts w:ascii="GHEA Grapalat" w:hAnsi="GHEA Grapalat" w:cs="Calibri"/>
                <w:b/>
                <w:sz w:val="18"/>
                <w:szCs w:val="18"/>
              </w:rPr>
            </w:pPr>
            <w:r w:rsidRPr="001F63BA">
              <w:rPr>
                <w:rFonts w:ascii="GHEA Grapalat" w:hAnsi="GHEA Grapalat" w:cs="Calibri"/>
                <w:b/>
                <w:sz w:val="18"/>
                <w:szCs w:val="18"/>
              </w:rPr>
              <w:t>652.6</w:t>
            </w:r>
          </w:p>
        </w:tc>
      </w:tr>
      <w:tr w:rsidR="001C411D" w:rsidRPr="001F63BA" w:rsidTr="004C014C">
        <w:trPr>
          <w:trHeight w:val="300"/>
          <w:jc w:val="center"/>
        </w:trPr>
        <w:tc>
          <w:tcPr>
            <w:tcW w:w="3585" w:type="dxa"/>
            <w:vAlign w:val="bottom"/>
          </w:tcPr>
          <w:p w:rsidR="001C411D" w:rsidRPr="001F63BA" w:rsidRDefault="001C411D" w:rsidP="000A3BF5">
            <w:pPr>
              <w:rPr>
                <w:rFonts w:ascii="GHEA Grapalat" w:hAnsi="GHEA Grapalat" w:cs="Calibri"/>
                <w:sz w:val="18"/>
                <w:szCs w:val="18"/>
              </w:rPr>
            </w:pPr>
            <w:r w:rsidRPr="001F63BA">
              <w:rPr>
                <w:rFonts w:ascii="GHEA Grapalat" w:hAnsi="GHEA Grapalat" w:cs="Calibri"/>
                <w:sz w:val="18"/>
                <w:szCs w:val="18"/>
              </w:rPr>
              <w:t>Արտաքին գործերի ոլորտում Կառավարության քաղաքականության մշակում և իրականացում</w:t>
            </w:r>
          </w:p>
        </w:tc>
        <w:tc>
          <w:tcPr>
            <w:tcW w:w="96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1,822.7</w:t>
            </w:r>
          </w:p>
        </w:tc>
        <w:tc>
          <w:tcPr>
            <w:tcW w:w="979"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2,619.1</w:t>
            </w:r>
          </w:p>
        </w:tc>
        <w:tc>
          <w:tcPr>
            <w:tcW w:w="97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2,600.8</w:t>
            </w:r>
          </w:p>
        </w:tc>
        <w:tc>
          <w:tcPr>
            <w:tcW w:w="120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99.3</w:t>
            </w:r>
          </w:p>
        </w:tc>
        <w:tc>
          <w:tcPr>
            <w:tcW w:w="120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142.7</w:t>
            </w:r>
          </w:p>
        </w:tc>
        <w:tc>
          <w:tcPr>
            <w:tcW w:w="1332"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778.1</w:t>
            </w:r>
          </w:p>
        </w:tc>
      </w:tr>
      <w:tr w:rsidR="001C411D" w:rsidRPr="001F63BA" w:rsidTr="004C014C">
        <w:trPr>
          <w:trHeight w:val="300"/>
          <w:jc w:val="center"/>
        </w:trPr>
        <w:tc>
          <w:tcPr>
            <w:tcW w:w="3585" w:type="dxa"/>
            <w:vAlign w:val="bottom"/>
          </w:tcPr>
          <w:p w:rsidR="001C411D" w:rsidRPr="001F63BA" w:rsidRDefault="001C411D" w:rsidP="000A3BF5">
            <w:pPr>
              <w:rPr>
                <w:rFonts w:ascii="GHEA Grapalat" w:hAnsi="GHEA Grapalat" w:cs="Calibri"/>
                <w:sz w:val="18"/>
                <w:szCs w:val="18"/>
              </w:rPr>
            </w:pPr>
            <w:r w:rsidRPr="001F63BA">
              <w:rPr>
                <w:rFonts w:ascii="GHEA Grapalat" w:hAnsi="GHEA Grapalat" w:cs="Calibri"/>
                <w:sz w:val="18"/>
                <w:szCs w:val="18"/>
              </w:rPr>
              <w:t>Համագործակցություն միջազգային կազմակերպությունների հետ</w:t>
            </w:r>
          </w:p>
        </w:tc>
        <w:tc>
          <w:tcPr>
            <w:tcW w:w="96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2,197.1</w:t>
            </w:r>
          </w:p>
        </w:tc>
        <w:tc>
          <w:tcPr>
            <w:tcW w:w="979"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2,121.2</w:t>
            </w:r>
          </w:p>
        </w:tc>
        <w:tc>
          <w:tcPr>
            <w:tcW w:w="97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1,985.2</w:t>
            </w:r>
          </w:p>
        </w:tc>
        <w:tc>
          <w:tcPr>
            <w:tcW w:w="120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93.6</w:t>
            </w:r>
          </w:p>
        </w:tc>
        <w:tc>
          <w:tcPr>
            <w:tcW w:w="120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90.4</w:t>
            </w:r>
          </w:p>
        </w:tc>
        <w:tc>
          <w:tcPr>
            <w:tcW w:w="1332"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(211.9)</w:t>
            </w:r>
          </w:p>
        </w:tc>
      </w:tr>
      <w:tr w:rsidR="001C411D" w:rsidRPr="001F63BA" w:rsidTr="004C014C">
        <w:trPr>
          <w:trHeight w:val="300"/>
          <w:jc w:val="center"/>
        </w:trPr>
        <w:tc>
          <w:tcPr>
            <w:tcW w:w="3585" w:type="dxa"/>
            <w:vAlign w:val="bottom"/>
          </w:tcPr>
          <w:p w:rsidR="001C411D" w:rsidRPr="001F63BA" w:rsidRDefault="001C411D" w:rsidP="000A3BF5">
            <w:pPr>
              <w:rPr>
                <w:rFonts w:ascii="GHEA Grapalat" w:hAnsi="GHEA Grapalat" w:cs="Calibri"/>
                <w:sz w:val="18"/>
                <w:szCs w:val="18"/>
              </w:rPr>
            </w:pPr>
            <w:r w:rsidRPr="001F63BA">
              <w:rPr>
                <w:rFonts w:ascii="GHEA Grapalat" w:hAnsi="GHEA Grapalat" w:cs="Calibri"/>
                <w:sz w:val="18"/>
                <w:szCs w:val="18"/>
              </w:rPr>
              <w:t>Օտարերկրյա պետություններում ՀՀ դիվանագիտական ծառայության մարմինների գործունեության կազմակերպում և իրականացում</w:t>
            </w:r>
          </w:p>
        </w:tc>
        <w:tc>
          <w:tcPr>
            <w:tcW w:w="96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11,852.6</w:t>
            </w:r>
          </w:p>
        </w:tc>
        <w:tc>
          <w:tcPr>
            <w:tcW w:w="979"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12,625.6</w:t>
            </w:r>
          </w:p>
        </w:tc>
        <w:tc>
          <w:tcPr>
            <w:tcW w:w="97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12,065.7</w:t>
            </w:r>
          </w:p>
        </w:tc>
        <w:tc>
          <w:tcPr>
            <w:tcW w:w="120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95.6</w:t>
            </w:r>
          </w:p>
        </w:tc>
        <w:tc>
          <w:tcPr>
            <w:tcW w:w="1203"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101.8</w:t>
            </w:r>
          </w:p>
        </w:tc>
        <w:tc>
          <w:tcPr>
            <w:tcW w:w="1332" w:type="dxa"/>
            <w:vAlign w:val="bottom"/>
          </w:tcPr>
          <w:p w:rsidR="001C411D" w:rsidRPr="001F63BA" w:rsidRDefault="001C411D" w:rsidP="000A3BF5">
            <w:pPr>
              <w:jc w:val="right"/>
              <w:rPr>
                <w:rFonts w:ascii="GHEA Grapalat" w:hAnsi="GHEA Grapalat" w:cs="Calibri"/>
                <w:sz w:val="18"/>
                <w:szCs w:val="18"/>
              </w:rPr>
            </w:pPr>
            <w:r w:rsidRPr="001F63BA">
              <w:rPr>
                <w:rFonts w:ascii="GHEA Grapalat" w:hAnsi="GHEA Grapalat" w:cs="Calibri"/>
                <w:sz w:val="18"/>
                <w:szCs w:val="18"/>
              </w:rPr>
              <w:t>213.1</w:t>
            </w:r>
          </w:p>
        </w:tc>
      </w:tr>
      <w:tr w:rsidR="001C411D" w:rsidRPr="001F63BA" w:rsidTr="004C014C">
        <w:trPr>
          <w:trHeight w:val="300"/>
          <w:jc w:val="center"/>
        </w:trPr>
        <w:tc>
          <w:tcPr>
            <w:tcW w:w="3585" w:type="dxa"/>
            <w:vAlign w:val="bottom"/>
          </w:tcPr>
          <w:p w:rsidR="001C411D" w:rsidRPr="001F63BA" w:rsidRDefault="001C411D" w:rsidP="000A3BF5">
            <w:pPr>
              <w:rPr>
                <w:rFonts w:ascii="GHEA Grapalat" w:hAnsi="GHEA Grapalat" w:cs="Calibri"/>
                <w:sz w:val="18"/>
                <w:szCs w:val="18"/>
              </w:rPr>
            </w:pPr>
            <w:r w:rsidRPr="001F63BA">
              <w:rPr>
                <w:rFonts w:ascii="GHEA Grapalat" w:hAnsi="GHEA Grapalat" w:cs="Calibri"/>
                <w:sz w:val="18"/>
                <w:szCs w:val="18"/>
              </w:rPr>
              <w:t>Այլ ծրագրեր</w:t>
            </w:r>
          </w:p>
        </w:tc>
        <w:tc>
          <w:tcPr>
            <w:tcW w:w="963" w:type="dxa"/>
            <w:vAlign w:val="bottom"/>
          </w:tcPr>
          <w:p w:rsidR="001C411D" w:rsidRPr="001F63BA" w:rsidRDefault="001C411D" w:rsidP="00BF4AC5">
            <w:pPr>
              <w:jc w:val="right"/>
              <w:rPr>
                <w:rFonts w:ascii="GHEA Grapalat" w:hAnsi="GHEA Grapalat" w:cs="Calibri"/>
                <w:sz w:val="18"/>
                <w:szCs w:val="18"/>
                <w:lang w:val="en-US"/>
              </w:rPr>
            </w:pPr>
            <w:r w:rsidRPr="001F63BA">
              <w:rPr>
                <w:rFonts w:ascii="GHEA Grapalat" w:hAnsi="GHEA Grapalat" w:cs="Calibri"/>
                <w:sz w:val="18"/>
                <w:szCs w:val="18"/>
                <w:lang w:val="en-US"/>
              </w:rPr>
              <w:t>1,217</w:t>
            </w:r>
            <w:r w:rsidRPr="001F63BA">
              <w:rPr>
                <w:rFonts w:ascii="GHEA Grapalat" w:hAnsi="GHEA Grapalat" w:cs="Calibri"/>
                <w:sz w:val="18"/>
                <w:szCs w:val="18"/>
              </w:rPr>
              <w:t>.</w:t>
            </w:r>
            <w:r w:rsidRPr="001F63BA">
              <w:rPr>
                <w:rFonts w:ascii="GHEA Grapalat" w:hAnsi="GHEA Grapalat" w:cs="Calibri"/>
                <w:sz w:val="18"/>
                <w:szCs w:val="18"/>
                <w:lang w:val="en-US"/>
              </w:rPr>
              <w:t>9</w:t>
            </w:r>
          </w:p>
        </w:tc>
        <w:tc>
          <w:tcPr>
            <w:tcW w:w="979" w:type="dxa"/>
            <w:vAlign w:val="bottom"/>
          </w:tcPr>
          <w:p w:rsidR="001C411D" w:rsidRPr="001F63BA" w:rsidRDefault="001C411D" w:rsidP="00BF4AC5">
            <w:pPr>
              <w:jc w:val="right"/>
              <w:rPr>
                <w:rFonts w:ascii="GHEA Grapalat" w:hAnsi="GHEA Grapalat" w:cs="Calibri"/>
                <w:sz w:val="18"/>
                <w:szCs w:val="18"/>
                <w:lang w:val="en-US"/>
              </w:rPr>
            </w:pPr>
            <w:r w:rsidRPr="001F63BA">
              <w:rPr>
                <w:rFonts w:ascii="GHEA Grapalat" w:hAnsi="GHEA Grapalat" w:cs="Calibri"/>
                <w:sz w:val="18"/>
                <w:szCs w:val="18"/>
                <w:lang w:val="en-US"/>
              </w:rPr>
              <w:t>1,103</w:t>
            </w:r>
            <w:r w:rsidRPr="001F63BA">
              <w:rPr>
                <w:rFonts w:ascii="GHEA Grapalat" w:hAnsi="GHEA Grapalat" w:cs="Calibri"/>
                <w:sz w:val="18"/>
                <w:szCs w:val="18"/>
              </w:rPr>
              <w:t>.</w:t>
            </w:r>
            <w:r w:rsidRPr="001F63BA">
              <w:rPr>
                <w:rFonts w:ascii="GHEA Grapalat" w:hAnsi="GHEA Grapalat" w:cs="Calibri"/>
                <w:sz w:val="18"/>
                <w:szCs w:val="18"/>
                <w:lang w:val="en-US"/>
              </w:rPr>
              <w:t>0</w:t>
            </w:r>
          </w:p>
        </w:tc>
        <w:tc>
          <w:tcPr>
            <w:tcW w:w="973" w:type="dxa"/>
            <w:vAlign w:val="bottom"/>
          </w:tcPr>
          <w:p w:rsidR="001C411D" w:rsidRPr="001F63BA" w:rsidRDefault="001C411D" w:rsidP="00BF4AC5">
            <w:pPr>
              <w:jc w:val="right"/>
              <w:rPr>
                <w:rFonts w:ascii="GHEA Grapalat" w:hAnsi="GHEA Grapalat" w:cs="Calibri"/>
                <w:sz w:val="18"/>
                <w:szCs w:val="18"/>
              </w:rPr>
            </w:pPr>
            <w:r w:rsidRPr="001F63BA">
              <w:rPr>
                <w:rFonts w:ascii="GHEA Grapalat" w:hAnsi="GHEA Grapalat" w:cs="Calibri"/>
                <w:sz w:val="18"/>
                <w:szCs w:val="18"/>
                <w:lang w:val="en-US"/>
              </w:rPr>
              <w:t>1,</w:t>
            </w:r>
            <w:r w:rsidRPr="001F63BA">
              <w:rPr>
                <w:rFonts w:ascii="GHEA Grapalat" w:hAnsi="GHEA Grapalat" w:cs="Calibri"/>
                <w:sz w:val="18"/>
                <w:szCs w:val="18"/>
              </w:rPr>
              <w:t>0</w:t>
            </w:r>
            <w:r w:rsidRPr="001F63BA">
              <w:rPr>
                <w:rFonts w:ascii="GHEA Grapalat" w:hAnsi="GHEA Grapalat" w:cs="Calibri"/>
                <w:sz w:val="18"/>
                <w:szCs w:val="18"/>
                <w:lang w:val="en-US"/>
              </w:rPr>
              <w:t>91</w:t>
            </w:r>
            <w:r w:rsidRPr="001F63BA">
              <w:rPr>
                <w:rFonts w:ascii="GHEA Grapalat" w:hAnsi="GHEA Grapalat" w:cs="Calibri"/>
                <w:sz w:val="18"/>
                <w:szCs w:val="18"/>
              </w:rPr>
              <w:t>.</w:t>
            </w:r>
            <w:r w:rsidRPr="001F63BA">
              <w:rPr>
                <w:rFonts w:ascii="GHEA Grapalat" w:hAnsi="GHEA Grapalat" w:cs="Calibri"/>
                <w:sz w:val="18"/>
                <w:szCs w:val="18"/>
                <w:lang w:val="en-US"/>
              </w:rPr>
              <w:t>2</w:t>
            </w:r>
            <w:r w:rsidRPr="001F63BA">
              <w:rPr>
                <w:rFonts w:ascii="GHEA Grapalat" w:hAnsi="GHEA Grapalat" w:cs="Calibri"/>
                <w:sz w:val="18"/>
                <w:szCs w:val="18"/>
              </w:rPr>
              <w:t xml:space="preserve"> </w:t>
            </w:r>
          </w:p>
        </w:tc>
        <w:tc>
          <w:tcPr>
            <w:tcW w:w="1203" w:type="dxa"/>
            <w:vAlign w:val="bottom"/>
          </w:tcPr>
          <w:p w:rsidR="001C411D" w:rsidRPr="001F63BA" w:rsidRDefault="001C411D" w:rsidP="00BF4AC5">
            <w:pPr>
              <w:jc w:val="right"/>
              <w:rPr>
                <w:rFonts w:ascii="GHEA Grapalat" w:hAnsi="GHEA Grapalat" w:cs="Calibri"/>
                <w:sz w:val="18"/>
                <w:szCs w:val="18"/>
                <w:lang w:val="en-US"/>
              </w:rPr>
            </w:pPr>
            <w:r w:rsidRPr="001F63BA">
              <w:rPr>
                <w:rFonts w:ascii="GHEA Grapalat" w:hAnsi="GHEA Grapalat" w:cs="Calibri"/>
                <w:sz w:val="18"/>
                <w:szCs w:val="18"/>
                <w:lang w:val="en-US"/>
              </w:rPr>
              <w:t>98</w:t>
            </w:r>
            <w:r w:rsidRPr="001F63BA">
              <w:rPr>
                <w:rFonts w:ascii="GHEA Grapalat" w:hAnsi="GHEA Grapalat" w:cs="Calibri"/>
                <w:sz w:val="18"/>
                <w:szCs w:val="18"/>
              </w:rPr>
              <w:t>.</w:t>
            </w:r>
            <w:r w:rsidRPr="001F63BA">
              <w:rPr>
                <w:rFonts w:ascii="GHEA Grapalat" w:hAnsi="GHEA Grapalat" w:cs="Calibri"/>
                <w:sz w:val="18"/>
                <w:szCs w:val="18"/>
                <w:lang w:val="en-US"/>
              </w:rPr>
              <w:t>9</w:t>
            </w:r>
          </w:p>
        </w:tc>
        <w:tc>
          <w:tcPr>
            <w:tcW w:w="1203" w:type="dxa"/>
            <w:vAlign w:val="bottom"/>
          </w:tcPr>
          <w:p w:rsidR="001C411D" w:rsidRPr="001F63BA" w:rsidRDefault="001C411D" w:rsidP="00BF4AC5">
            <w:pPr>
              <w:jc w:val="right"/>
              <w:rPr>
                <w:rFonts w:ascii="GHEA Grapalat" w:hAnsi="GHEA Grapalat" w:cs="Calibri"/>
                <w:sz w:val="18"/>
                <w:szCs w:val="18"/>
                <w:lang w:val="en-US"/>
              </w:rPr>
            </w:pPr>
            <w:r w:rsidRPr="001F63BA">
              <w:rPr>
                <w:rFonts w:ascii="GHEA Grapalat" w:hAnsi="GHEA Grapalat" w:cs="Calibri"/>
                <w:sz w:val="18"/>
                <w:szCs w:val="18"/>
                <w:lang w:val="en-US"/>
              </w:rPr>
              <w:t>89</w:t>
            </w:r>
            <w:r w:rsidRPr="001F63BA">
              <w:rPr>
                <w:rFonts w:ascii="GHEA Grapalat" w:hAnsi="GHEA Grapalat" w:cs="Calibri"/>
                <w:sz w:val="18"/>
                <w:szCs w:val="18"/>
              </w:rPr>
              <w:t>.</w:t>
            </w:r>
            <w:r w:rsidRPr="001F63BA">
              <w:rPr>
                <w:rFonts w:ascii="GHEA Grapalat" w:hAnsi="GHEA Grapalat" w:cs="Calibri"/>
                <w:sz w:val="18"/>
                <w:szCs w:val="18"/>
                <w:lang w:val="en-US"/>
              </w:rPr>
              <w:t>6</w:t>
            </w:r>
          </w:p>
        </w:tc>
        <w:tc>
          <w:tcPr>
            <w:tcW w:w="1332" w:type="dxa"/>
            <w:vAlign w:val="bottom"/>
          </w:tcPr>
          <w:p w:rsidR="001C411D" w:rsidRPr="001F63BA" w:rsidRDefault="001C411D" w:rsidP="00BF4AC5">
            <w:pPr>
              <w:jc w:val="right"/>
              <w:rPr>
                <w:rFonts w:ascii="GHEA Grapalat" w:hAnsi="GHEA Grapalat" w:cs="Calibri"/>
                <w:sz w:val="18"/>
                <w:szCs w:val="18"/>
              </w:rPr>
            </w:pPr>
            <w:r w:rsidRPr="001F63BA">
              <w:rPr>
                <w:rFonts w:ascii="GHEA Grapalat" w:hAnsi="GHEA Grapalat" w:cs="Calibri"/>
                <w:sz w:val="18"/>
                <w:szCs w:val="18"/>
              </w:rPr>
              <w:t>(</w:t>
            </w:r>
            <w:r w:rsidRPr="001F63BA">
              <w:rPr>
                <w:rFonts w:ascii="GHEA Grapalat" w:hAnsi="GHEA Grapalat" w:cs="Calibri"/>
                <w:sz w:val="18"/>
                <w:szCs w:val="18"/>
                <w:lang w:val="en-US"/>
              </w:rPr>
              <w:t>126.7</w:t>
            </w:r>
            <w:r w:rsidRPr="001F63BA">
              <w:rPr>
                <w:rFonts w:ascii="GHEA Grapalat" w:hAnsi="GHEA Grapalat" w:cs="Calibri"/>
                <w:sz w:val="18"/>
                <w:szCs w:val="18"/>
              </w:rPr>
              <w:t>)</w:t>
            </w:r>
          </w:p>
        </w:tc>
      </w:tr>
    </w:tbl>
    <w:p w:rsidR="001C411D" w:rsidRPr="001F63BA" w:rsidRDefault="001C411D" w:rsidP="000A3BF5">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0A3BF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rPr>
        <w:t>Արտաքին</w:t>
      </w:r>
      <w:r w:rsidRPr="001F63BA">
        <w:rPr>
          <w:rFonts w:ascii="GHEA Grapalat" w:hAnsi="GHEA Grapalat" w:cs="GHEA Grapalat"/>
          <w:i/>
          <w:sz w:val="22"/>
          <w:szCs w:val="22"/>
          <w:lang w:val="fr-FR"/>
        </w:rPr>
        <w:t xml:space="preserve"> </w:t>
      </w:r>
      <w:r w:rsidRPr="001F63BA">
        <w:rPr>
          <w:rFonts w:ascii="GHEA Grapalat" w:hAnsi="GHEA Grapalat" w:cs="GHEA Grapalat"/>
          <w:i/>
          <w:sz w:val="22"/>
          <w:szCs w:val="22"/>
        </w:rPr>
        <w:t>գործերի</w:t>
      </w:r>
      <w:r w:rsidRPr="001F63BA">
        <w:rPr>
          <w:rFonts w:ascii="GHEA Grapalat" w:hAnsi="GHEA Grapalat" w:cs="GHEA Grapalat"/>
          <w:i/>
          <w:sz w:val="22"/>
          <w:szCs w:val="22"/>
          <w:lang w:val="fr-FR"/>
        </w:rPr>
        <w:t xml:space="preserve"> </w:t>
      </w:r>
      <w:r w:rsidRPr="001F63BA">
        <w:rPr>
          <w:rFonts w:ascii="GHEA Grapalat" w:hAnsi="GHEA Grapalat" w:cs="GHEA Grapalat"/>
          <w:i/>
          <w:sz w:val="22"/>
          <w:szCs w:val="22"/>
        </w:rPr>
        <w:t>ոլորտում</w:t>
      </w:r>
      <w:r w:rsidRPr="001F63BA">
        <w:rPr>
          <w:rFonts w:ascii="GHEA Grapalat" w:hAnsi="GHEA Grapalat" w:cs="GHEA Grapalat"/>
          <w:i/>
          <w:sz w:val="22"/>
          <w:szCs w:val="22"/>
          <w:lang w:val="fr-FR"/>
        </w:rPr>
        <w:t xml:space="preserve"> </w:t>
      </w:r>
      <w:r w:rsidRPr="001F63BA">
        <w:rPr>
          <w:rFonts w:ascii="GHEA Grapalat" w:hAnsi="GHEA Grapalat" w:cs="GHEA Grapalat"/>
          <w:i/>
          <w:sz w:val="22"/>
          <w:szCs w:val="22"/>
        </w:rPr>
        <w:t>Կառավարության</w:t>
      </w:r>
      <w:r w:rsidRPr="001F63BA">
        <w:rPr>
          <w:rFonts w:ascii="GHEA Grapalat" w:hAnsi="GHEA Grapalat" w:cs="GHEA Grapalat"/>
          <w:i/>
          <w:sz w:val="22"/>
          <w:szCs w:val="22"/>
          <w:lang w:val="fr-FR"/>
        </w:rPr>
        <w:t xml:space="preserve"> </w:t>
      </w:r>
      <w:r w:rsidRPr="001F63BA">
        <w:rPr>
          <w:rFonts w:ascii="GHEA Grapalat" w:hAnsi="GHEA Grapalat" w:cs="GHEA Grapalat"/>
          <w:i/>
          <w:sz w:val="22"/>
          <w:szCs w:val="22"/>
        </w:rPr>
        <w:t>քաղաքականության</w:t>
      </w:r>
      <w:r w:rsidRPr="001F63BA">
        <w:rPr>
          <w:rFonts w:ascii="GHEA Grapalat" w:hAnsi="GHEA Grapalat" w:cs="GHEA Grapalat"/>
          <w:i/>
          <w:sz w:val="22"/>
          <w:szCs w:val="22"/>
          <w:lang w:val="fr-FR"/>
        </w:rPr>
        <w:t xml:space="preserve"> </w:t>
      </w:r>
      <w:r w:rsidRPr="001F63BA">
        <w:rPr>
          <w:rFonts w:ascii="GHEA Grapalat" w:hAnsi="GHEA Grapalat" w:cs="GHEA Grapalat"/>
          <w:i/>
          <w:sz w:val="22"/>
          <w:szCs w:val="22"/>
        </w:rPr>
        <w:t>մշակման</w:t>
      </w:r>
      <w:r w:rsidRPr="001F63BA">
        <w:rPr>
          <w:rFonts w:ascii="GHEA Grapalat" w:hAnsi="GHEA Grapalat" w:cs="GHEA Grapalat"/>
          <w:i/>
          <w:sz w:val="22"/>
          <w:szCs w:val="22"/>
          <w:lang w:val="fr-FR"/>
        </w:rPr>
        <w:t xml:space="preserve"> </w:t>
      </w:r>
      <w:r w:rsidRPr="001F63BA">
        <w:rPr>
          <w:rFonts w:ascii="GHEA Grapalat" w:hAnsi="GHEA Grapalat" w:cs="GHEA Grapalat"/>
          <w:i/>
          <w:sz w:val="22"/>
          <w:szCs w:val="22"/>
        </w:rPr>
        <w:t>և</w:t>
      </w:r>
      <w:r w:rsidRPr="001F63BA">
        <w:rPr>
          <w:rFonts w:ascii="GHEA Grapalat" w:hAnsi="GHEA Grapalat" w:cs="GHEA Grapalat"/>
          <w:i/>
          <w:sz w:val="22"/>
          <w:szCs w:val="22"/>
          <w:lang w:val="fr-FR"/>
        </w:rPr>
        <w:t xml:space="preserve"> </w:t>
      </w:r>
      <w:r w:rsidRPr="001F63BA">
        <w:rPr>
          <w:rFonts w:ascii="GHEA Grapalat" w:hAnsi="GHEA Grapalat" w:cs="GHEA Grapalat"/>
          <w:i/>
          <w:sz w:val="22"/>
          <w:szCs w:val="22"/>
        </w:rPr>
        <w:t>իրականացման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ծախսերը</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հաշվետու</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lang w:val="en-US"/>
        </w:rPr>
        <w:t>տար</w:t>
      </w:r>
      <w:r w:rsidRPr="001F63BA">
        <w:rPr>
          <w:rFonts w:ascii="GHEA Grapalat" w:hAnsi="GHEA Grapalat" w:cs="GHEA Grapalat"/>
          <w:sz w:val="22"/>
          <w:szCs w:val="22"/>
        </w:rPr>
        <w:t>ում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կազմել</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են</w:t>
      </w:r>
      <w:r w:rsidRPr="001F63BA">
        <w:rPr>
          <w:rFonts w:ascii="GHEA Grapalat" w:hAnsi="GHEA Grapalat" w:cs="GHEA Grapalat"/>
          <w:sz w:val="22"/>
          <w:szCs w:val="22"/>
          <w:lang w:val="fr-FR"/>
        </w:rPr>
        <w:t xml:space="preserve"> 2.6 մլրդ </w:t>
      </w:r>
      <w:r w:rsidRPr="001F63BA">
        <w:rPr>
          <w:rFonts w:ascii="GHEA Grapalat" w:hAnsi="GHEA Grapalat" w:cs="GHEA Grapalat"/>
          <w:sz w:val="22"/>
          <w:szCs w:val="22"/>
        </w:rPr>
        <w:t>դրամ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կամ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նախատեսվածի</w:t>
      </w:r>
      <w:r w:rsidRPr="001F63BA">
        <w:rPr>
          <w:rFonts w:ascii="GHEA Grapalat" w:hAnsi="GHEA Grapalat" w:cs="GHEA Grapalat"/>
          <w:sz w:val="22"/>
          <w:szCs w:val="22"/>
          <w:lang w:val="fr-FR"/>
        </w:rPr>
        <w:t xml:space="preserve"> 99.3%</w:t>
      </w:r>
      <w:r w:rsidRPr="001F63BA">
        <w:rPr>
          <w:rFonts w:ascii="GHEA Grapalat" w:hAnsi="GHEA Grapalat" w:cs="GHEA Grapalat"/>
          <w:sz w:val="22"/>
          <w:szCs w:val="22"/>
          <w:lang w:val="fr-FR"/>
        </w:rPr>
        <w:noBreakHyphen/>
      </w:r>
      <w:r w:rsidRPr="001F63BA">
        <w:rPr>
          <w:rFonts w:ascii="GHEA Grapalat" w:hAnsi="GHEA Grapalat" w:cs="GHEA Grapalat"/>
          <w:sz w:val="22"/>
          <w:szCs w:val="22"/>
        </w:rPr>
        <w:t>ը</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Շեղումը</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հիմնականում</w:t>
      </w:r>
      <w:r w:rsidRPr="001F63BA">
        <w:rPr>
          <w:rFonts w:ascii="GHEA Grapalat" w:hAnsi="GHEA Grapalat" w:cs="GHEA Grapalat"/>
          <w:sz w:val="22"/>
          <w:szCs w:val="22"/>
          <w:lang w:val="fr-FR"/>
        </w:rPr>
        <w:t xml:space="preserve"> ««Ընդդեմ ցեղասպանության հանցագործության» չորրորդ գլոբալ ֆորում» </w:t>
      </w:r>
      <w:r w:rsidRPr="001F63BA">
        <w:rPr>
          <w:rFonts w:ascii="GHEA Grapalat" w:hAnsi="GHEA Grapalat" w:cs="GHEA Grapalat"/>
          <w:sz w:val="22"/>
          <w:szCs w:val="22"/>
        </w:rPr>
        <w:t>միջոցառման գծով</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է, որի շրջանակներում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օգտագործվել</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է</w:t>
      </w:r>
      <w:r w:rsidRPr="001F63BA">
        <w:rPr>
          <w:rFonts w:ascii="GHEA Grapalat" w:hAnsi="GHEA Grapalat" w:cs="GHEA Grapalat"/>
          <w:sz w:val="22"/>
          <w:szCs w:val="22"/>
          <w:lang w:val="fr-FR"/>
        </w:rPr>
        <w:t xml:space="preserve"> ավելի քան 87.3</w:t>
      </w:r>
      <w:r w:rsidRPr="001F63BA">
        <w:rPr>
          <w:rFonts w:ascii="Courier New" w:hAnsi="Courier New" w:cs="Courier New"/>
          <w:sz w:val="22"/>
          <w:szCs w:val="22"/>
          <w:lang w:val="fr-FR"/>
        </w:rPr>
        <w:t> </w:t>
      </w:r>
      <w:r w:rsidRPr="001F63BA">
        <w:rPr>
          <w:rFonts w:ascii="GHEA Grapalat" w:hAnsi="GHEA Grapalat" w:cs="GHEA Grapalat"/>
          <w:sz w:val="22"/>
          <w:szCs w:val="22"/>
          <w:lang w:val="fr-FR"/>
        </w:rPr>
        <w:t xml:space="preserve">մլն </w:t>
      </w:r>
      <w:r w:rsidRPr="001F63BA">
        <w:rPr>
          <w:rFonts w:ascii="GHEA Grapalat" w:hAnsi="GHEA Grapalat" w:cs="GHEA Grapalat"/>
          <w:sz w:val="22"/>
          <w:szCs w:val="22"/>
        </w:rPr>
        <w:t>դրամ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կամ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նախատեսված</w:t>
      </w:r>
      <w:r w:rsidRPr="001F63BA">
        <w:rPr>
          <w:rFonts w:ascii="GHEA Grapalat" w:hAnsi="GHEA Grapalat" w:cs="GHEA Grapalat"/>
          <w:sz w:val="22"/>
          <w:szCs w:val="22"/>
          <w:lang w:val="fr-FR"/>
        </w:rPr>
        <w:t xml:space="preserve"> միջոցների 88.1%-ը՝ պայմանավորված ֆորումին հրավիրված և ժամանած մասնակիցների թվի տարբերությամբ: «Կառավարության արտաքին քաղաքականության մշակում և իրագործման ապահովում» միջոցառման շրջանակներում օգտագործվել է շուրջ 2.4 մլրդ դրամ կամ նախատեսված միջոցների 99.8%-ը:</w:t>
      </w:r>
      <w:r w:rsidRPr="001F63BA">
        <w:rPr>
          <w:rFonts w:ascii="GHEA Grapalat" w:hAnsi="GHEA Grapalat" w:cs="GHEA Grapalat"/>
          <w:sz w:val="22"/>
          <w:szCs w:val="22"/>
        </w:rPr>
        <w:t xml:space="preserve"> Նախորդ տարվա համեմատ ծրագրի ծախսերում արձանագրվել է 42.7% (778.1 մլն դրամ) աճ, որը </w:t>
      </w:r>
      <w:r w:rsidRPr="001F63BA">
        <w:rPr>
          <w:rFonts w:ascii="GHEA Grapalat" w:hAnsi="GHEA Grapalat" w:cs="GHEA Grapalat"/>
          <w:sz w:val="22"/>
          <w:szCs w:val="22"/>
          <w:lang w:val="en-US"/>
        </w:rPr>
        <w:t xml:space="preserve">հիմնականում </w:t>
      </w:r>
      <w:r w:rsidRPr="001F63BA">
        <w:rPr>
          <w:rFonts w:ascii="GHEA Grapalat" w:hAnsi="GHEA Grapalat" w:cs="GHEA Grapalat"/>
          <w:sz w:val="22"/>
          <w:szCs w:val="22"/>
        </w:rPr>
        <w:t>պայմանավորված է</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lang w:val="fr-FR"/>
        </w:rPr>
        <w:t>«</w:t>
      </w:r>
      <w:r w:rsidRPr="001F63BA">
        <w:rPr>
          <w:rFonts w:ascii="GHEA Grapalat" w:hAnsi="GHEA Grapalat" w:cs="GHEA Grapalat"/>
          <w:sz w:val="22"/>
          <w:szCs w:val="22"/>
        </w:rPr>
        <w:t>Կառավարության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արտաքին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lastRenderedPageBreak/>
        <w:t>քաղաքականության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մշակում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և</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իրագործման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ապահովում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միջոցառման</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ծախսերի</w:t>
      </w:r>
      <w:r w:rsidRPr="001F63BA">
        <w:rPr>
          <w:rFonts w:ascii="GHEA Grapalat" w:hAnsi="GHEA Grapalat" w:cs="GHEA Grapalat"/>
          <w:sz w:val="22"/>
          <w:szCs w:val="22"/>
          <w:lang w:val="en-US"/>
        </w:rPr>
        <w:t xml:space="preserve"> 33.9% (602.2 մլն դրամ)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աճով</w:t>
      </w:r>
      <w:r w:rsidRPr="001F63BA">
        <w:rPr>
          <w:rFonts w:ascii="GHEA Grapalat" w:hAnsi="GHEA Grapalat" w:cs="GHEA Grapalat"/>
          <w:sz w:val="22"/>
          <w:szCs w:val="22"/>
          <w:lang w:val="en-US"/>
        </w:rPr>
        <w:t xml:space="preserve">, ինչպես </w:t>
      </w:r>
      <w:r w:rsidRPr="001F63BA">
        <w:rPr>
          <w:rFonts w:ascii="GHEA Grapalat" w:hAnsi="GHEA Grapalat" w:cs="GHEA Grapalat"/>
          <w:sz w:val="22"/>
          <w:szCs w:val="22"/>
        </w:rPr>
        <w:t>նաև նախարարության կողմից երկու նոր</w:t>
      </w:r>
      <w:r w:rsidRPr="001F63BA">
        <w:rPr>
          <w:rFonts w:ascii="GHEA Grapalat" w:hAnsi="GHEA Grapalat" w:cs="GHEA Grapalat"/>
          <w:sz w:val="22"/>
          <w:szCs w:val="22"/>
          <w:lang w:val="en-US"/>
        </w:rPr>
        <w:t xml:space="preserve">՝ «Ընդդեմ ցեղասպանության հանցագործության» չորրորդ գլոբալ ֆորումի ու Արտաքին գործերի նախարարության կարողությունների զարգացման և տեխնիկական հագեցվածության ապահովման </w:t>
      </w:r>
      <w:r w:rsidRPr="001F63BA">
        <w:rPr>
          <w:rFonts w:ascii="GHEA Grapalat" w:hAnsi="GHEA Grapalat" w:cs="GHEA Grapalat"/>
          <w:sz w:val="22"/>
          <w:szCs w:val="22"/>
        </w:rPr>
        <w:t>միջոցառումների իրականացմամբ, որոնց նախորդ տարի միջոցներ չէին հատկացվել:</w:t>
      </w:r>
    </w:p>
    <w:p w:rsidR="001C411D" w:rsidRPr="001F63BA" w:rsidRDefault="001C411D" w:rsidP="000A3BF5">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af-ZA"/>
        </w:rPr>
        <w:t xml:space="preserve">2022 թվականին շուրջ 2.0 </w:t>
      </w:r>
      <w:r w:rsidRPr="001F63BA">
        <w:rPr>
          <w:rFonts w:ascii="GHEA Grapalat" w:hAnsi="GHEA Grapalat" w:cs="GHEA Grapalat"/>
          <w:sz w:val="22"/>
          <w:szCs w:val="22"/>
        </w:rPr>
        <w:t>մլրդ</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դրամ է</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ուղղվել</w:t>
      </w:r>
      <w:r w:rsidRPr="001F63BA">
        <w:rPr>
          <w:rFonts w:ascii="GHEA Grapalat" w:hAnsi="GHEA Grapalat" w:cs="GHEA Grapalat"/>
          <w:sz w:val="22"/>
          <w:szCs w:val="22"/>
          <w:lang w:val="af-ZA"/>
        </w:rPr>
        <w:t xml:space="preserve"> </w:t>
      </w:r>
      <w:r w:rsidRPr="001F63BA">
        <w:rPr>
          <w:rFonts w:ascii="GHEA Grapalat" w:hAnsi="GHEA Grapalat" w:cs="GHEA Grapalat"/>
          <w:i/>
          <w:sz w:val="22"/>
          <w:szCs w:val="22"/>
        </w:rPr>
        <w:t>Միջազգային</w:t>
      </w:r>
      <w:r w:rsidRPr="001F63BA">
        <w:rPr>
          <w:rFonts w:ascii="GHEA Grapalat" w:hAnsi="GHEA Grapalat" w:cs="GHEA Grapalat"/>
          <w:i/>
          <w:sz w:val="22"/>
          <w:szCs w:val="22"/>
          <w:lang w:val="af-ZA"/>
        </w:rPr>
        <w:t xml:space="preserve"> </w:t>
      </w:r>
      <w:r w:rsidRPr="001F63BA">
        <w:rPr>
          <w:rFonts w:ascii="GHEA Grapalat" w:hAnsi="GHEA Grapalat" w:cs="GHEA Grapalat"/>
          <w:i/>
          <w:sz w:val="22"/>
          <w:szCs w:val="22"/>
        </w:rPr>
        <w:t>կազմակերպությունների</w:t>
      </w:r>
      <w:r w:rsidRPr="001F63BA">
        <w:rPr>
          <w:rFonts w:ascii="GHEA Grapalat" w:hAnsi="GHEA Grapalat" w:cs="GHEA Grapalat"/>
          <w:i/>
          <w:sz w:val="22"/>
          <w:szCs w:val="22"/>
          <w:lang w:val="af-ZA"/>
        </w:rPr>
        <w:t xml:space="preserve"> </w:t>
      </w:r>
      <w:r w:rsidRPr="001F63BA">
        <w:rPr>
          <w:rFonts w:ascii="GHEA Grapalat" w:hAnsi="GHEA Grapalat" w:cs="GHEA Grapalat"/>
          <w:i/>
          <w:sz w:val="22"/>
          <w:szCs w:val="22"/>
        </w:rPr>
        <w:t>հետ</w:t>
      </w:r>
      <w:r w:rsidRPr="001F63BA">
        <w:rPr>
          <w:rFonts w:ascii="GHEA Grapalat" w:hAnsi="GHEA Grapalat" w:cs="GHEA Grapalat"/>
          <w:i/>
          <w:sz w:val="22"/>
          <w:szCs w:val="22"/>
          <w:lang w:val="af-ZA"/>
        </w:rPr>
        <w:t xml:space="preserve"> </w:t>
      </w:r>
      <w:r w:rsidRPr="001F63BA">
        <w:rPr>
          <w:rFonts w:ascii="GHEA Grapalat" w:hAnsi="GHEA Grapalat" w:cs="GHEA Grapalat"/>
          <w:i/>
          <w:sz w:val="22"/>
          <w:szCs w:val="22"/>
        </w:rPr>
        <w:t>համագործակցության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ծրագրին</w:t>
      </w:r>
      <w:r w:rsidRPr="001F63BA">
        <w:rPr>
          <w:rFonts w:ascii="GHEA Grapalat" w:hAnsi="GHEA Grapalat" w:cs="GHEA Grapalat"/>
          <w:sz w:val="22"/>
          <w:szCs w:val="22"/>
          <w:lang w:val="af-ZA"/>
        </w:rPr>
        <w:t>` 93.6%-</w:t>
      </w:r>
      <w:r w:rsidRPr="001F63BA">
        <w:rPr>
          <w:rFonts w:ascii="GHEA Grapalat" w:hAnsi="GHEA Grapalat" w:cs="GHEA Grapalat"/>
          <w:sz w:val="22"/>
          <w:szCs w:val="22"/>
        </w:rPr>
        <w:t>ով</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ապահովելով</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ծրագրային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ցուցանիշը</w:t>
      </w:r>
      <w:r w:rsidRPr="001F63BA">
        <w:rPr>
          <w:rFonts w:ascii="GHEA Grapalat" w:hAnsi="GHEA Grapalat" w:cs="GHEA Grapalat"/>
          <w:sz w:val="22"/>
          <w:szCs w:val="22"/>
          <w:lang w:val="af-ZA"/>
        </w:rPr>
        <w:t>: Ծրագրի շրջանակներում օգտագործված միջոցները հիմնականում ուղղվել են միջազգային կազմակերպություններին ՀՀ անդամակցության վճարներին: Հայաստանն անդամակցում է 97 միջազգային կազմակերպությունների և ծրագրերի/կոնվենցիաների:</w:t>
      </w:r>
      <w:bookmarkStart w:id="250" w:name="OLE_LINK1"/>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Շեղումը</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հիմնականում</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lang w:val="fr-FR"/>
        </w:rPr>
        <w:t xml:space="preserve">«Միջազգային կազմակերպություններին ՀՀ անդամակցության վճարներ» </w:t>
      </w:r>
      <w:r w:rsidRPr="001F63BA">
        <w:rPr>
          <w:rFonts w:ascii="GHEA Grapalat" w:hAnsi="GHEA Grapalat" w:cs="GHEA Grapalat"/>
          <w:sz w:val="22"/>
          <w:szCs w:val="22"/>
        </w:rPr>
        <w:t>միջոցառման գծով</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է, որի շրջանակներում</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օգտագործվել</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է</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նախատեսված</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միջոցների</w:t>
      </w:r>
      <w:r w:rsidRPr="001F63BA">
        <w:rPr>
          <w:rFonts w:ascii="GHEA Grapalat" w:hAnsi="GHEA Grapalat" w:cs="GHEA Grapalat"/>
          <w:sz w:val="22"/>
          <w:szCs w:val="22"/>
          <w:lang w:val="fr-FR"/>
        </w:rPr>
        <w:t xml:space="preserve"> 93.6%-</w:t>
      </w:r>
      <w:r w:rsidRPr="001F63BA">
        <w:rPr>
          <w:rFonts w:ascii="GHEA Grapalat" w:hAnsi="GHEA Grapalat" w:cs="GHEA Grapalat"/>
          <w:sz w:val="22"/>
          <w:szCs w:val="22"/>
        </w:rPr>
        <w:t>ը՝</w:t>
      </w:r>
      <w:r w:rsidRPr="001F63BA">
        <w:rPr>
          <w:rFonts w:ascii="GHEA Grapalat" w:hAnsi="GHEA Grapalat" w:cs="GHEA Grapalat"/>
          <w:sz w:val="22"/>
          <w:szCs w:val="22"/>
          <w:lang w:val="fr-FR"/>
        </w:rPr>
        <w:t xml:space="preserve"> </w:t>
      </w:r>
      <w:r w:rsidRPr="001F63BA">
        <w:rPr>
          <w:rFonts w:ascii="GHEA Grapalat" w:hAnsi="GHEA Grapalat" w:cs="GHEA Grapalat"/>
          <w:sz w:val="22"/>
          <w:szCs w:val="22"/>
        </w:rPr>
        <w:t>պայմանավորված</w:t>
      </w:r>
      <w:r w:rsidRPr="001F63BA">
        <w:rPr>
          <w:rFonts w:ascii="GHEA Grapalat" w:hAnsi="GHEA Grapalat" w:cs="GHEA Grapalat"/>
          <w:sz w:val="22"/>
          <w:szCs w:val="22"/>
          <w:lang w:val="fr-FR"/>
        </w:rPr>
        <w:t xml:space="preserve"> </w:t>
      </w:r>
      <w:bookmarkEnd w:id="250"/>
      <w:r w:rsidRPr="001F63BA">
        <w:rPr>
          <w:rFonts w:ascii="GHEA Grapalat" w:hAnsi="GHEA Grapalat" w:cs="GHEA Grapalat"/>
          <w:sz w:val="22"/>
          <w:szCs w:val="22"/>
          <w:lang w:val="fr-FR"/>
        </w:rPr>
        <w:t xml:space="preserve">փաստացի հայտ ներկայացրած կազմակերպությունների քանակով, ինչպես նաև </w:t>
      </w:r>
      <w:r w:rsidRPr="001F63BA">
        <w:rPr>
          <w:rFonts w:ascii="GHEA Grapalat" w:hAnsi="GHEA Grapalat" w:cs="GHEA Grapalat"/>
          <w:sz w:val="22"/>
          <w:szCs w:val="22"/>
          <w:lang w:val="af-ZA"/>
        </w:rPr>
        <w:t>արտարժույթի կանխատեսված և փաստացի փոխարժեքների տարբերությամբ:</w:t>
      </w:r>
    </w:p>
    <w:p w:rsidR="001C411D" w:rsidRPr="001F63BA" w:rsidRDefault="001C411D" w:rsidP="00F45F7E">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GHEA Grapalat"/>
          <w:sz w:val="22"/>
          <w:szCs w:val="22"/>
          <w:lang w:val="af-ZA"/>
        </w:rPr>
        <w:t xml:space="preserve">2022 </w:t>
      </w:r>
      <w:r w:rsidRPr="001F63BA">
        <w:rPr>
          <w:rFonts w:ascii="GHEA Grapalat" w:hAnsi="GHEA Grapalat" w:cs="GHEA Grapalat"/>
          <w:sz w:val="22"/>
          <w:szCs w:val="22"/>
        </w:rPr>
        <w:t xml:space="preserve">թվականին </w:t>
      </w:r>
      <w:r w:rsidRPr="001F63BA">
        <w:rPr>
          <w:rFonts w:ascii="GHEA Grapalat" w:hAnsi="GHEA Grapalat" w:cs="GHEA Grapalat"/>
          <w:i/>
          <w:sz w:val="22"/>
          <w:szCs w:val="22"/>
        </w:rPr>
        <w:t>Օտարերկրյա պետություններում ՀՀ դիվանագիտական ծառայության մարմինների գործունեության կազմակերպման և իրականացման</w:t>
      </w:r>
      <w:r w:rsidRPr="001F63BA">
        <w:rPr>
          <w:rFonts w:ascii="GHEA Grapalat" w:hAnsi="GHEA Grapalat" w:cs="GHEA Grapalat"/>
          <w:sz w:val="22"/>
          <w:szCs w:val="22"/>
        </w:rPr>
        <w:t xml:space="preserve"> ծրագրի շրջանակներում ՀՀ արտաքին գործերի նախարարությունը դիվանագիտական ծառայության մարմինների (դեսպանություններ, գլխավոր հյուպատոսություններ, միջազգային կազմակերպություններում մշտական ներկայացուցչություններ) միջոցով ապահովել է երկկողմ և բազմակողմ արտաքին կապերի պահպանումը, մատուցել է հյուպատոսական ծառայություններ: Հայաստանի Հանրապետությունը դիվանագիտական հարաբերություններ է հաստատել աշխարհի 176 երկրների հետ, արտերկրում ՀՀ-ն ունի 43 ռեզիդենտ դեսպան, ովքեր հավատարմագրված են ընդհանուր առմամբ 79 երկրում։ Ծրագրի շրջանակներում ծախսերը կազմել են 12.1 մլրդ դրամ՝ 95.6%-ով ապահովելով ծրագրի կատարումը: Տարբերությունը պայմանավորված է </w:t>
      </w:r>
      <w:bookmarkStart w:id="251" w:name="OLE_LINK9"/>
      <w:bookmarkStart w:id="252" w:name="OLE_LINK10"/>
      <w:r w:rsidRPr="001F63BA">
        <w:rPr>
          <w:rFonts w:ascii="GHEA Grapalat" w:hAnsi="GHEA Grapalat" w:cs="Sylfaen"/>
          <w:sz w:val="22"/>
          <w:szCs w:val="22"/>
        </w:rPr>
        <w:t xml:space="preserve">արտարժույթի </w:t>
      </w:r>
      <w:bookmarkStart w:id="253" w:name="OLE_LINK7"/>
      <w:bookmarkStart w:id="254" w:name="OLE_LINK8"/>
      <w:bookmarkEnd w:id="251"/>
      <w:bookmarkEnd w:id="252"/>
      <w:r w:rsidRPr="001F63BA">
        <w:rPr>
          <w:rFonts w:ascii="GHEA Grapalat" w:hAnsi="GHEA Grapalat" w:cs="Sylfaen"/>
          <w:sz w:val="22"/>
          <w:szCs w:val="22"/>
        </w:rPr>
        <w:t>կանխատեսված և փաստացի փոխարժեքների տարբերությամբ</w:t>
      </w:r>
      <w:bookmarkEnd w:id="253"/>
      <w:bookmarkEnd w:id="254"/>
      <w:r w:rsidRPr="001F63BA">
        <w:rPr>
          <w:rFonts w:ascii="GHEA Grapalat" w:hAnsi="GHEA Grapalat" w:cs="Sylfaen"/>
          <w:sz w:val="22"/>
          <w:szCs w:val="22"/>
        </w:rPr>
        <w:t>, ինչպես նաև ապահովագրական և գործուղման ծախսերի տնտեսմամբ:</w:t>
      </w:r>
    </w:p>
    <w:p w:rsidR="001C411D" w:rsidRPr="001F63BA" w:rsidRDefault="001C411D" w:rsidP="000A3BF5">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i/>
          <w:sz w:val="22"/>
          <w:szCs w:val="22"/>
        </w:rPr>
        <w:t>Հայաստանի Հանրապետությունում և օտարերկրյա պետություններում արարողակարգային միջոցառումների իրականացման</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ծրագրի շրջանակներում</w:t>
      </w:r>
      <w:r w:rsidRPr="001F63BA">
        <w:rPr>
          <w:rFonts w:ascii="GHEA Grapalat" w:hAnsi="GHEA Grapalat" w:cs="GHEA Grapalat"/>
          <w:sz w:val="22"/>
          <w:szCs w:val="22"/>
        </w:rPr>
        <w:t xml:space="preserve"> օգտագործվել է 488.7 մլն դրամ՝ կազմելով ծրագրային ցուցանիշի 97.6%-ը: Շեղում</w:t>
      </w:r>
      <w:r w:rsidRPr="001F63BA">
        <w:rPr>
          <w:rFonts w:ascii="GHEA Grapalat" w:hAnsi="GHEA Grapalat" w:cs="GHEA Grapalat"/>
          <w:sz w:val="22"/>
          <w:szCs w:val="22"/>
          <w:lang w:val="en-US"/>
        </w:rPr>
        <w:t>ը</w:t>
      </w:r>
      <w:r w:rsidRPr="001F63BA">
        <w:rPr>
          <w:rFonts w:ascii="GHEA Grapalat" w:hAnsi="GHEA Grapalat" w:cs="GHEA Grapalat"/>
          <w:sz w:val="22"/>
          <w:szCs w:val="22"/>
        </w:rPr>
        <w:t xml:space="preserve"> հիմնականում առաջացել է Հայաստանի Հանրապետությունում և օտարերկրյա պետություններում արարողակարգային միջոցառումների իրականացման</w:t>
      </w:r>
      <w:r w:rsidRPr="001F63BA">
        <w:rPr>
          <w:rFonts w:ascii="GHEA Grapalat" w:hAnsi="GHEA Grapalat" w:cs="GHEA Grapalat"/>
          <w:sz w:val="22"/>
          <w:szCs w:val="22"/>
          <w:lang w:val="en-US"/>
        </w:rPr>
        <w:t xml:space="preserve"> ծախսերում, որոնք կազմել են </w:t>
      </w:r>
      <w:r w:rsidRPr="001F63BA">
        <w:rPr>
          <w:rFonts w:ascii="GHEA Grapalat" w:hAnsi="GHEA Grapalat" w:cs="GHEA Grapalat"/>
          <w:sz w:val="22"/>
          <w:szCs w:val="22"/>
        </w:rPr>
        <w:t>188.8 մլն դրամ</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94.1%-ով ապահովելով ծրագրային ցուցանիշը</w:t>
      </w:r>
      <w:r w:rsidRPr="001F63BA">
        <w:rPr>
          <w:rFonts w:ascii="GHEA Grapalat" w:hAnsi="GHEA Grapalat" w:cs="GHEA Grapalat"/>
          <w:sz w:val="22"/>
          <w:szCs w:val="22"/>
          <w:lang w:val="en-US"/>
        </w:rPr>
        <w:t xml:space="preserve">՝ պայմանավորված </w:t>
      </w:r>
      <w:r w:rsidRPr="001F63BA">
        <w:rPr>
          <w:rFonts w:ascii="GHEA Grapalat" w:hAnsi="GHEA Grapalat" w:cs="GHEA Grapalat"/>
          <w:sz w:val="22"/>
          <w:szCs w:val="22"/>
        </w:rPr>
        <w:t>թափուր հաստիքներ</w:t>
      </w:r>
      <w:r w:rsidRPr="001F63BA">
        <w:rPr>
          <w:rFonts w:ascii="GHEA Grapalat" w:hAnsi="GHEA Grapalat" w:cs="GHEA Grapalat"/>
          <w:sz w:val="22"/>
          <w:szCs w:val="22"/>
          <w:lang w:val="en-US"/>
        </w:rPr>
        <w:t>ի առկայության արդյունքում</w:t>
      </w:r>
      <w:r w:rsidRPr="001F63BA">
        <w:rPr>
          <w:rFonts w:ascii="GHEA Grapalat" w:hAnsi="GHEA Grapalat" w:cs="GHEA Grapalat"/>
          <w:sz w:val="22"/>
          <w:szCs w:val="22"/>
        </w:rPr>
        <w:t xml:space="preserve"> աշխատավարձերի և </w:t>
      </w:r>
      <w:r w:rsidRPr="001F63BA">
        <w:rPr>
          <w:rFonts w:ascii="GHEA Grapalat" w:hAnsi="GHEA Grapalat" w:cs="GHEA Grapalat"/>
          <w:sz w:val="22"/>
          <w:szCs w:val="22"/>
        </w:rPr>
        <w:lastRenderedPageBreak/>
        <w:t>հավելավճարների տնտեսմա</w:t>
      </w:r>
      <w:r w:rsidRPr="001F63BA">
        <w:rPr>
          <w:rFonts w:ascii="GHEA Grapalat" w:hAnsi="GHEA Grapalat" w:cs="GHEA Grapalat"/>
          <w:sz w:val="22"/>
          <w:szCs w:val="22"/>
          <w:lang w:val="en-US"/>
        </w:rPr>
        <w:t>մբ</w:t>
      </w:r>
      <w:r w:rsidRPr="001F63BA">
        <w:rPr>
          <w:rFonts w:ascii="GHEA Grapalat" w:hAnsi="GHEA Grapalat" w:cs="GHEA Grapalat"/>
          <w:sz w:val="22"/>
          <w:szCs w:val="22"/>
        </w:rPr>
        <w:t>, ինչպես նաև արտասահմանյան պաշտոնական գործուղումների մի մասի հետաձգմա</w:t>
      </w:r>
      <w:r w:rsidRPr="001F63BA">
        <w:rPr>
          <w:rFonts w:ascii="GHEA Grapalat" w:hAnsi="GHEA Grapalat" w:cs="GHEA Grapalat"/>
          <w:sz w:val="22"/>
          <w:szCs w:val="22"/>
          <w:lang w:val="en-US"/>
        </w:rPr>
        <w:t>մբ</w:t>
      </w:r>
      <w:r w:rsidRPr="001F63BA">
        <w:rPr>
          <w:rFonts w:ascii="GHEA Grapalat" w:hAnsi="GHEA Grapalat" w:cs="GHEA Grapalat"/>
          <w:sz w:val="22"/>
          <w:szCs w:val="22"/>
        </w:rPr>
        <w:t>։ Նախորդ տարվա համեմատ ծրագրի ծախսերն աճել են 55.4%-ով (174.2 մլն դրամով), որը հիմնականում պայմանավորված է արտասահմանյան պատվիրակությունների ընդունելությունների գծով ծախսերի 2 անգամ (147.9</w:t>
      </w:r>
      <w:r w:rsidRPr="001F63BA">
        <w:rPr>
          <w:rFonts w:ascii="Courier New" w:hAnsi="Courier New" w:cs="Courier New"/>
          <w:sz w:val="22"/>
          <w:szCs w:val="22"/>
          <w:lang w:val="en-US"/>
        </w:rPr>
        <w:t> </w:t>
      </w:r>
      <w:r w:rsidRPr="001F63BA">
        <w:rPr>
          <w:rFonts w:ascii="GHEA Grapalat" w:hAnsi="GHEA Grapalat" w:cs="GHEA Grapalat"/>
          <w:sz w:val="22"/>
          <w:szCs w:val="22"/>
        </w:rPr>
        <w:t>մլն դրամ) աճով, որոնք հաշվետու տարում կազմել են 298.2 մլն դրամ</w:t>
      </w:r>
      <w:r w:rsidRPr="001F63BA">
        <w:rPr>
          <w:rFonts w:ascii="GHEA Grapalat" w:hAnsi="GHEA Grapalat" w:cs="GHEA Grapalat"/>
          <w:sz w:val="22"/>
          <w:szCs w:val="22"/>
          <w:lang w:val="en-US"/>
        </w:rPr>
        <w:t xml:space="preserve"> և կատարվել են նախատեսված ծավալով</w:t>
      </w:r>
      <w:r w:rsidRPr="001F63BA">
        <w:rPr>
          <w:rFonts w:ascii="GHEA Grapalat" w:hAnsi="GHEA Grapalat" w:cs="GHEA Grapalat"/>
          <w:sz w:val="22"/>
          <w:szCs w:val="22"/>
        </w:rPr>
        <w:t>:</w:t>
      </w:r>
    </w:p>
    <w:p w:rsidR="001C411D" w:rsidRPr="001F63BA" w:rsidRDefault="001C411D" w:rsidP="000A3BF5">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Sylfaen"/>
          <w:sz w:val="22"/>
          <w:szCs w:val="22"/>
        </w:rPr>
        <w:t xml:space="preserve">2022 թվականին ՀՀ արտաքին գործերի նախարարության պատասխանատվությամբ իրականացվող այլ ծրագրերին տրամադրված </w:t>
      </w:r>
      <w:r w:rsidRPr="001F63BA">
        <w:rPr>
          <w:rFonts w:ascii="GHEA Grapalat" w:hAnsi="GHEA Grapalat" w:cs="Sylfaen"/>
          <w:sz w:val="22"/>
          <w:szCs w:val="22"/>
          <w:lang w:val="en-US"/>
        </w:rPr>
        <w:t>1,091.2</w:t>
      </w:r>
      <w:r w:rsidRPr="001F63BA">
        <w:rPr>
          <w:rFonts w:ascii="GHEA Grapalat" w:hAnsi="GHEA Grapalat" w:cs="Sylfaen"/>
          <w:sz w:val="22"/>
          <w:szCs w:val="22"/>
        </w:rPr>
        <w:t xml:space="preserve"> մլն դրամից 224.5 մլն դրամն ուղղվել է </w:t>
      </w:r>
      <w:r w:rsidRPr="001F63BA">
        <w:rPr>
          <w:rFonts w:ascii="GHEA Grapalat" w:hAnsi="GHEA Grapalat" w:cs="GHEA Grapalat"/>
          <w:i/>
          <w:sz w:val="22"/>
          <w:szCs w:val="22"/>
        </w:rPr>
        <w:t>Միջազգային հարաբերությունների և դիվանագիտության ոլորտում մասնագետների պատրաստման և վերապատրաստման</w:t>
      </w:r>
      <w:r w:rsidRPr="001F63BA">
        <w:rPr>
          <w:rFonts w:ascii="GHEA Grapalat" w:hAnsi="GHEA Grapalat" w:cs="GHEA Grapalat"/>
          <w:sz w:val="22"/>
          <w:szCs w:val="22"/>
        </w:rPr>
        <w:t xml:space="preserve"> ծրագրին, որն </w:t>
      </w:r>
      <w:r w:rsidRPr="001F63BA">
        <w:rPr>
          <w:rFonts w:ascii="GHEA Grapalat" w:hAnsi="GHEA Grapalat" w:cs="Sylfaen"/>
          <w:sz w:val="22"/>
          <w:szCs w:val="22"/>
        </w:rPr>
        <w:t xml:space="preserve">օգտագործվել է նախատեսված ծավալով: </w:t>
      </w:r>
      <w:r w:rsidRPr="001F63BA">
        <w:rPr>
          <w:rFonts w:ascii="GHEA Grapalat" w:hAnsi="GHEA Grapalat" w:cs="GHEA Grapalat"/>
          <w:sz w:val="22"/>
          <w:szCs w:val="22"/>
        </w:rPr>
        <w:t xml:space="preserve">Նախորդ տարվա համեմատ նշված ծախսերն աճել են </w:t>
      </w:r>
      <w:r w:rsidRPr="001F63BA">
        <w:rPr>
          <w:rFonts w:ascii="GHEA Grapalat" w:hAnsi="GHEA Grapalat" w:cs="GHEA Grapalat"/>
          <w:sz w:val="22"/>
          <w:szCs w:val="22"/>
          <w:lang w:val="en-US"/>
        </w:rPr>
        <w:t>10.9%-ով</w:t>
      </w:r>
      <w:r w:rsidRPr="001F63BA">
        <w:rPr>
          <w:rFonts w:ascii="GHEA Grapalat" w:hAnsi="GHEA Grapalat" w:cs="GHEA Grapalat"/>
          <w:sz w:val="22"/>
          <w:szCs w:val="22"/>
        </w:rPr>
        <w:t xml:space="preserve"> (22.0 մլն դրամով)՝ պայմանավորված </w:t>
      </w:r>
      <w:r w:rsidRPr="001F63BA">
        <w:rPr>
          <w:rFonts w:ascii="GHEA Grapalat" w:hAnsi="GHEA Grapalat" w:cs="GHEA Grapalat"/>
          <w:sz w:val="22"/>
          <w:szCs w:val="22"/>
          <w:lang w:val="en-US"/>
        </w:rPr>
        <w:t>2022 թվականին վերապատրաստման ծրագրերի և դրանց մասնակիցների թվի աճով: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Նշված ցուցանիշները կազմել են համապատասխանաբար 12 և 132՝ նախորդ տարվա 7 ծրագրի և 86 մասնակցի դիմաց:</w:t>
      </w:r>
    </w:p>
    <w:p w:rsidR="001C411D" w:rsidRPr="001F63BA" w:rsidRDefault="001C411D" w:rsidP="000A3BF5">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2022 թվականի ընթացքում ՀՀ արտաքին գործերի նախարարության արտաբյուջետային միջոցներից, որոնք գոյանում են ՀՀ ոչ ռեզիդենտ իրավաբանական կամ ֆիզիկական անձանց կողմից օտարերկրյա պետություններում գործող ՀՀ դիվանագիտական ծառայության մարմիններին կատարվող նվիրաբերություններից, 378.0 մլն դրամ հատկացվել է </w:t>
      </w:r>
      <w:r w:rsidRPr="001F63BA">
        <w:rPr>
          <w:rFonts w:ascii="GHEA Grapalat" w:hAnsi="GHEA Grapalat" w:cs="Sylfaen"/>
          <w:i/>
          <w:sz w:val="22"/>
          <w:szCs w:val="22"/>
        </w:rPr>
        <w:t>Օ</w:t>
      </w:r>
      <w:r w:rsidRPr="001F63BA">
        <w:rPr>
          <w:rFonts w:ascii="GHEA Grapalat" w:hAnsi="GHEA Grapalat" w:cs="Sylfaen"/>
          <w:i/>
          <w:iCs/>
          <w:sz w:val="22"/>
          <w:szCs w:val="22"/>
        </w:rPr>
        <w:t>տարերկրյա պետություններում ՀՀ դիվանագիտական ծառայության կազմակերպմանը և իրականացմանն աջակցության</w:t>
      </w:r>
      <w:r w:rsidRPr="001F63BA">
        <w:rPr>
          <w:rFonts w:ascii="GHEA Grapalat" w:hAnsi="GHEA Grapalat" w:cs="Sylfaen"/>
          <w:iCs/>
          <w:sz w:val="22"/>
          <w:szCs w:val="22"/>
        </w:rPr>
        <w:t xml:space="preserve"> ծրագրին</w:t>
      </w:r>
      <w:r w:rsidRPr="001F63BA">
        <w:rPr>
          <w:rFonts w:ascii="GHEA Grapalat" w:hAnsi="GHEA Grapalat" w:cs="Sylfaen"/>
          <w:sz w:val="22"/>
          <w:szCs w:val="22"/>
        </w:rPr>
        <w:t>, որն օգտագործվել է ողջ ծավալով: Նախորդ տարվա համեմատ տվյալ ծրագրի ծախսերը նվազել են 46.1%-ով կամ 322.8 մլն դրամով՝ պայմանավորված կատարված նվիրաբերությունների ծավալով: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C52507">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u w:val="single"/>
        </w:rPr>
        <w:t>ՀՀ շրջակա միջավայրի նախարարության</w:t>
      </w:r>
      <w:r w:rsidRPr="001F63BA">
        <w:rPr>
          <w:rFonts w:ascii="GHEA Grapalat" w:hAnsi="GHEA Grapalat" w:cs="GHEA Grapalat"/>
          <w:sz w:val="22"/>
          <w:szCs w:val="22"/>
        </w:rPr>
        <w:t xml:space="preserve"> պատասխանատվությամբ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ընթացքում կատարվել է պետական բյուջեի 6 ծրագիր, որոնց գծով ծախսերը կազմել են 7.</w:t>
      </w:r>
      <w:r w:rsidRPr="001F63BA">
        <w:rPr>
          <w:rFonts w:ascii="GHEA Grapalat" w:hAnsi="GHEA Grapalat" w:cs="GHEA Grapalat"/>
          <w:sz w:val="22"/>
          <w:szCs w:val="22"/>
          <w:lang w:val="en-US"/>
        </w:rPr>
        <w:t>3</w:t>
      </w:r>
      <w:r w:rsidRPr="001F63BA">
        <w:rPr>
          <w:rFonts w:ascii="GHEA Grapalat" w:hAnsi="GHEA Grapalat" w:cs="GHEA Grapalat"/>
          <w:sz w:val="22"/>
          <w:szCs w:val="22"/>
        </w:rPr>
        <w:t xml:space="preserve"> մլրդ դրամ կամ նախատեսվածի </w:t>
      </w:r>
      <w:r w:rsidRPr="001F63BA">
        <w:rPr>
          <w:rFonts w:ascii="GHEA Grapalat" w:hAnsi="GHEA Grapalat" w:cs="GHEA Grapalat"/>
          <w:sz w:val="22"/>
          <w:szCs w:val="22"/>
          <w:lang w:val="en-US"/>
        </w:rPr>
        <w:t>85.4</w:t>
      </w:r>
      <w:r w:rsidRPr="001F63BA">
        <w:rPr>
          <w:rFonts w:ascii="GHEA Grapalat" w:hAnsi="GHEA Grapalat" w:cs="GHEA Grapalat"/>
          <w:sz w:val="22"/>
          <w:szCs w:val="22"/>
        </w:rPr>
        <w:t>%</w:t>
      </w:r>
      <w:r w:rsidRPr="001F63BA">
        <w:rPr>
          <w:rFonts w:ascii="GHEA Grapalat" w:hAnsi="GHEA Grapalat" w:cs="GHEA Grapalat"/>
          <w:sz w:val="22"/>
          <w:szCs w:val="22"/>
        </w:rPr>
        <w:noBreakHyphen/>
        <w:t>ը: Շեղումը հիմնականում պայմանավորված է նախարարության ծախսերում մեծ տեսակարար կշիռ ունեցող՝ Բնական պաշարների և բնության հատուկ պահպանվող տարածքների կառավարման և պահպանման</w:t>
      </w:r>
      <w:r w:rsidRPr="001F63BA">
        <w:rPr>
          <w:rFonts w:ascii="GHEA Grapalat" w:hAnsi="GHEA Grapalat" w:cs="GHEA Grapalat"/>
          <w:sz w:val="22"/>
          <w:szCs w:val="22"/>
          <w:lang w:val="en-US"/>
        </w:rPr>
        <w:t>, ինչպես նաև Շրջակա միջավայրի վրա ազդեցության գնահատման և մոնիթորինգի</w:t>
      </w:r>
      <w:r w:rsidRPr="001F63BA">
        <w:rPr>
          <w:rFonts w:ascii="GHEA Grapalat" w:hAnsi="GHEA Grapalat" w:cs="GHEA Grapalat"/>
          <w:sz w:val="22"/>
          <w:szCs w:val="22"/>
        </w:rPr>
        <w:t xml:space="preserve"> ծրագր</w:t>
      </w:r>
      <w:r w:rsidRPr="001F63BA">
        <w:rPr>
          <w:rFonts w:ascii="GHEA Grapalat" w:hAnsi="GHEA Grapalat" w:cs="GHEA Grapalat"/>
          <w:sz w:val="22"/>
          <w:szCs w:val="22"/>
          <w:lang w:val="en-US"/>
        </w:rPr>
        <w:t>եր</w:t>
      </w:r>
      <w:r w:rsidRPr="001F63BA">
        <w:rPr>
          <w:rFonts w:ascii="GHEA Grapalat" w:hAnsi="GHEA Grapalat" w:cs="GHEA Grapalat"/>
          <w:sz w:val="22"/>
          <w:szCs w:val="22"/>
        </w:rPr>
        <w:t xml:space="preserve">ի կատարողականով: Նախորդ տարվա համեմատ արձանագրվել է նախարարության պատասխանատվությամբ իրականացվող ծրագրերի շրջանակներում կատարված ծախսերի </w:t>
      </w:r>
      <w:r w:rsidRPr="001F63BA">
        <w:rPr>
          <w:rFonts w:ascii="GHEA Grapalat" w:hAnsi="GHEA Grapalat" w:cs="GHEA Grapalat"/>
          <w:sz w:val="22"/>
          <w:szCs w:val="22"/>
          <w:lang w:val="en-US"/>
        </w:rPr>
        <w:t>0.9</w:t>
      </w:r>
      <w:r w:rsidRPr="001F63BA">
        <w:rPr>
          <w:rFonts w:ascii="GHEA Grapalat" w:hAnsi="GHEA Grapalat" w:cs="GHEA Grapalat"/>
          <w:sz w:val="22"/>
          <w:szCs w:val="22"/>
        </w:rPr>
        <w:t>% (</w:t>
      </w:r>
      <w:r w:rsidRPr="001F63BA">
        <w:rPr>
          <w:rFonts w:ascii="GHEA Grapalat" w:hAnsi="GHEA Grapalat" w:cs="GHEA Grapalat"/>
          <w:sz w:val="22"/>
          <w:szCs w:val="22"/>
          <w:lang w:val="en-US"/>
        </w:rPr>
        <w:t>67.6</w:t>
      </w:r>
      <w:r w:rsidRPr="001F63BA">
        <w:rPr>
          <w:rFonts w:ascii="GHEA Grapalat" w:hAnsi="GHEA Grapalat" w:cs="GHEA Grapalat"/>
          <w:sz w:val="22"/>
          <w:szCs w:val="22"/>
        </w:rPr>
        <w:t xml:space="preserve"> մլ</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դրամ) աճ:</w:t>
      </w:r>
    </w:p>
    <w:p w:rsidR="001C411D" w:rsidRPr="001F63BA" w:rsidRDefault="001C411D" w:rsidP="00C52507">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BB1B4B">
      <w:pPr>
        <w:keepNext/>
        <w:numPr>
          <w:ilvl w:val="0"/>
          <w:numId w:val="34"/>
        </w:numPr>
        <w:tabs>
          <w:tab w:val="left" w:pos="900"/>
          <w:tab w:val="left" w:pos="1276"/>
        </w:tabs>
        <w:spacing w:before="120" w:after="120"/>
        <w:ind w:left="0" w:firstLine="0"/>
        <w:rPr>
          <w:rFonts w:ascii="GHEA Grapalat" w:hAnsi="GHEA Grapalat"/>
          <w:b/>
          <w:bCs/>
          <w:i/>
          <w:noProof w:val="0"/>
          <w:sz w:val="18"/>
          <w:szCs w:val="18"/>
        </w:rPr>
      </w:pPr>
      <w:r w:rsidRPr="001F63BA">
        <w:rPr>
          <w:rFonts w:ascii="GHEA Grapalat" w:hAnsi="GHEA Grapalat"/>
          <w:b/>
          <w:bCs/>
          <w:i/>
          <w:noProof w:val="0"/>
          <w:sz w:val="18"/>
          <w:szCs w:val="18"/>
        </w:rPr>
        <w:t>202</w:t>
      </w:r>
      <w:r w:rsidRPr="001F63BA">
        <w:rPr>
          <w:rFonts w:ascii="GHEA Grapalat" w:hAnsi="GHEA Grapalat"/>
          <w:b/>
          <w:bCs/>
          <w:i/>
          <w:noProof w:val="0"/>
          <w:sz w:val="18"/>
          <w:szCs w:val="18"/>
          <w:lang w:val="en-US"/>
        </w:rPr>
        <w:t>2</w:t>
      </w:r>
      <w:r w:rsidRPr="001F63BA">
        <w:rPr>
          <w:rFonts w:ascii="GHEA Grapalat" w:hAnsi="GHEA Grapalat"/>
          <w:b/>
          <w:bCs/>
          <w:i/>
          <w:noProof w:val="0"/>
          <w:sz w:val="18"/>
          <w:szCs w:val="18"/>
        </w:rPr>
        <w:t>թ. ՀՀ շրջակա միջավայրի նախարարության կողմից իրականացված ծրագրերը (մլն դրամ)</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0"/>
        <w:gridCol w:w="1275"/>
        <w:gridCol w:w="993"/>
        <w:gridCol w:w="992"/>
        <w:gridCol w:w="1276"/>
        <w:gridCol w:w="1275"/>
        <w:gridCol w:w="1114"/>
      </w:tblGrid>
      <w:tr w:rsidR="001C411D" w:rsidRPr="001F63BA" w:rsidTr="00CB54A9">
        <w:trPr>
          <w:trHeight w:val="300"/>
          <w:jc w:val="center"/>
        </w:trPr>
        <w:tc>
          <w:tcPr>
            <w:tcW w:w="3240" w:type="dxa"/>
            <w:noWrap/>
            <w:vAlign w:val="bottom"/>
          </w:tcPr>
          <w:p w:rsidR="001C411D" w:rsidRPr="001F63BA" w:rsidRDefault="001C411D" w:rsidP="00CB54A9">
            <w:pPr>
              <w:rPr>
                <w:rFonts w:ascii="GHEA Grapalat" w:hAnsi="GHEA Grapalat" w:cs="Calibri"/>
                <w:sz w:val="18"/>
                <w:szCs w:val="18"/>
              </w:rPr>
            </w:pPr>
          </w:p>
        </w:tc>
        <w:tc>
          <w:tcPr>
            <w:tcW w:w="1275"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1</w:t>
            </w:r>
            <w:r w:rsidRPr="001F63BA">
              <w:rPr>
                <w:rFonts w:ascii="GHEA Grapalat" w:hAnsi="GHEA Grapalat" w:cs="Calibri"/>
                <w:b/>
                <w:sz w:val="18"/>
                <w:szCs w:val="18"/>
              </w:rPr>
              <w:t xml:space="preserve">թ. փաստ </w:t>
            </w:r>
          </w:p>
        </w:tc>
        <w:tc>
          <w:tcPr>
            <w:tcW w:w="993"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992" w:type="dxa"/>
            <w:noWrap/>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76"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 xml:space="preserve">Կատարո-ղականը ճշտված </w:t>
            </w:r>
            <w:r w:rsidRPr="001F63BA">
              <w:rPr>
                <w:rFonts w:ascii="GHEA Grapalat" w:hAnsi="GHEA Grapalat" w:cs="Calibri"/>
                <w:b/>
                <w:sz w:val="18"/>
                <w:szCs w:val="18"/>
              </w:rPr>
              <w:lastRenderedPageBreak/>
              <w:t>պլանի նկատմամբ</w:t>
            </w:r>
          </w:p>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t>(%)</w:t>
            </w:r>
          </w:p>
        </w:tc>
        <w:tc>
          <w:tcPr>
            <w:tcW w:w="1275"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lastRenderedPageBreak/>
              <w:t>202</w:t>
            </w:r>
            <w:r w:rsidRPr="001F63BA">
              <w:rPr>
                <w:rFonts w:ascii="GHEA Grapalat" w:hAnsi="GHEA Grapalat" w:cs="Calibri"/>
                <w:b/>
                <w:sz w:val="18"/>
                <w:szCs w:val="18"/>
                <w:lang w:val="en-US"/>
              </w:rPr>
              <w:t>2</w:t>
            </w:r>
            <w:r w:rsidRPr="001F63BA">
              <w:rPr>
                <w:rFonts w:ascii="GHEA Grapalat" w:hAnsi="GHEA Grapalat" w:cs="Calibri"/>
                <w:b/>
                <w:sz w:val="18"/>
                <w:szCs w:val="18"/>
              </w:rPr>
              <w:t>թ. 202</w:t>
            </w:r>
            <w:r w:rsidRPr="001F63BA">
              <w:rPr>
                <w:rFonts w:ascii="GHEA Grapalat" w:hAnsi="GHEA Grapalat" w:cs="Calibri"/>
                <w:b/>
                <w:sz w:val="18"/>
                <w:szCs w:val="18"/>
                <w:lang w:val="en-US"/>
              </w:rPr>
              <w:t>1</w:t>
            </w:r>
            <w:r w:rsidRPr="001F63BA">
              <w:rPr>
                <w:rFonts w:ascii="GHEA Grapalat" w:hAnsi="GHEA Grapalat" w:cs="Calibri"/>
                <w:b/>
                <w:sz w:val="18"/>
                <w:szCs w:val="18"/>
              </w:rPr>
              <w:t>թ-ի նկատմամբ</w:t>
            </w:r>
          </w:p>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lastRenderedPageBreak/>
              <w:t>(%)</w:t>
            </w:r>
          </w:p>
        </w:tc>
        <w:tc>
          <w:tcPr>
            <w:tcW w:w="1114" w:type="dxa"/>
          </w:tcPr>
          <w:p w:rsidR="001C411D" w:rsidRPr="001F63BA" w:rsidRDefault="001C411D" w:rsidP="00CB54A9">
            <w:pPr>
              <w:jc w:val="center"/>
              <w:rPr>
                <w:rFonts w:ascii="GHEA Grapalat" w:hAnsi="GHEA Grapalat" w:cs="Calibri"/>
                <w:b/>
                <w:sz w:val="18"/>
                <w:szCs w:val="18"/>
              </w:rPr>
            </w:pPr>
            <w:r w:rsidRPr="001F63BA">
              <w:rPr>
                <w:rFonts w:ascii="GHEA Grapalat" w:hAnsi="GHEA Grapalat" w:cs="Calibri"/>
                <w:b/>
                <w:sz w:val="18"/>
                <w:szCs w:val="18"/>
              </w:rPr>
              <w:lastRenderedPageBreak/>
              <w:t>202</w:t>
            </w:r>
            <w:r w:rsidRPr="001F63BA">
              <w:rPr>
                <w:rFonts w:ascii="GHEA Grapalat" w:hAnsi="GHEA Grapalat" w:cs="Calibri"/>
                <w:b/>
                <w:sz w:val="18"/>
                <w:szCs w:val="18"/>
                <w:lang w:val="en-US"/>
              </w:rPr>
              <w:t>2</w:t>
            </w:r>
            <w:r w:rsidRPr="001F63BA">
              <w:rPr>
                <w:rFonts w:ascii="GHEA Grapalat" w:hAnsi="GHEA Grapalat" w:cs="Calibri"/>
                <w:b/>
                <w:sz w:val="18"/>
                <w:szCs w:val="18"/>
              </w:rPr>
              <w:t>թ. և 202</w:t>
            </w:r>
            <w:r w:rsidRPr="001F63BA">
              <w:rPr>
                <w:rFonts w:ascii="GHEA Grapalat" w:hAnsi="GHEA Grapalat" w:cs="Calibri"/>
                <w:b/>
                <w:sz w:val="18"/>
                <w:szCs w:val="18"/>
                <w:lang w:val="en-US"/>
              </w:rPr>
              <w:t>1</w:t>
            </w:r>
            <w:r w:rsidRPr="001F63BA">
              <w:rPr>
                <w:rFonts w:ascii="GHEA Grapalat" w:hAnsi="GHEA Grapalat" w:cs="Calibri"/>
                <w:b/>
                <w:sz w:val="18"/>
                <w:szCs w:val="18"/>
              </w:rPr>
              <w:t xml:space="preserve">թ. </w:t>
            </w:r>
            <w:r w:rsidRPr="001F63BA">
              <w:rPr>
                <w:rFonts w:ascii="GHEA Grapalat" w:hAnsi="GHEA Grapalat" w:cs="Calibri"/>
                <w:b/>
                <w:sz w:val="18"/>
                <w:szCs w:val="18"/>
              </w:rPr>
              <w:lastRenderedPageBreak/>
              <w:t>տարբե-րությունը</w:t>
            </w:r>
          </w:p>
        </w:tc>
      </w:tr>
      <w:tr w:rsidR="001C411D" w:rsidRPr="001F63BA" w:rsidTr="00CB54A9">
        <w:trPr>
          <w:trHeight w:val="331"/>
          <w:jc w:val="center"/>
        </w:trPr>
        <w:tc>
          <w:tcPr>
            <w:tcW w:w="3240" w:type="dxa"/>
          </w:tcPr>
          <w:p w:rsidR="001C411D" w:rsidRPr="001F63BA" w:rsidRDefault="001C411D" w:rsidP="00CB54A9">
            <w:pPr>
              <w:rPr>
                <w:rFonts w:ascii="GHEA Grapalat" w:hAnsi="GHEA Grapalat" w:cs="Calibri"/>
                <w:b/>
                <w:sz w:val="18"/>
                <w:szCs w:val="18"/>
              </w:rPr>
            </w:pPr>
            <w:r w:rsidRPr="001F63BA">
              <w:rPr>
                <w:rFonts w:ascii="GHEA Grapalat" w:hAnsi="GHEA Grapalat" w:cs="Calibri"/>
                <w:b/>
                <w:sz w:val="18"/>
                <w:szCs w:val="18"/>
              </w:rPr>
              <w:lastRenderedPageBreak/>
              <w:t>ԸՆԴԱՄԵՆԸ</w:t>
            </w:r>
          </w:p>
        </w:tc>
        <w:tc>
          <w:tcPr>
            <w:tcW w:w="1275" w:type="dxa"/>
          </w:tcPr>
          <w:p w:rsidR="001C411D" w:rsidRPr="001F63BA" w:rsidRDefault="001C411D" w:rsidP="00CB54A9">
            <w:pPr>
              <w:jc w:val="right"/>
              <w:rPr>
                <w:rFonts w:ascii="GHEA Grapalat" w:hAnsi="GHEA Grapalat" w:cs="Calibri"/>
                <w:b/>
                <w:sz w:val="18"/>
                <w:szCs w:val="18"/>
                <w:lang w:val="en-US"/>
              </w:rPr>
            </w:pPr>
            <w:r w:rsidRPr="001F63BA">
              <w:rPr>
                <w:rFonts w:ascii="GHEA Grapalat" w:hAnsi="GHEA Grapalat" w:cs="Calibri"/>
                <w:b/>
                <w:sz w:val="18"/>
                <w:szCs w:val="18"/>
                <w:lang w:val="en-US"/>
              </w:rPr>
              <w:t>7,213.7</w:t>
            </w:r>
          </w:p>
        </w:tc>
        <w:tc>
          <w:tcPr>
            <w:tcW w:w="993" w:type="dxa"/>
          </w:tcPr>
          <w:p w:rsidR="001C411D" w:rsidRPr="001F63BA" w:rsidRDefault="001C411D" w:rsidP="00CB54A9">
            <w:pPr>
              <w:jc w:val="right"/>
              <w:rPr>
                <w:rFonts w:ascii="GHEA Grapalat" w:hAnsi="GHEA Grapalat" w:cs="Calibri"/>
                <w:b/>
                <w:sz w:val="18"/>
                <w:szCs w:val="18"/>
                <w:lang w:val="en-US"/>
              </w:rPr>
            </w:pPr>
            <w:r w:rsidRPr="001F63BA">
              <w:rPr>
                <w:rFonts w:ascii="GHEA Grapalat" w:hAnsi="GHEA Grapalat" w:cs="Calibri"/>
                <w:b/>
                <w:sz w:val="18"/>
                <w:szCs w:val="18"/>
                <w:lang w:val="en-US"/>
              </w:rPr>
              <w:t>8,528.8</w:t>
            </w:r>
          </w:p>
        </w:tc>
        <w:tc>
          <w:tcPr>
            <w:tcW w:w="992" w:type="dxa"/>
          </w:tcPr>
          <w:p w:rsidR="001C411D" w:rsidRPr="001F63BA" w:rsidRDefault="001C411D" w:rsidP="00CB54A9">
            <w:pPr>
              <w:jc w:val="right"/>
              <w:rPr>
                <w:rFonts w:ascii="GHEA Grapalat" w:hAnsi="GHEA Grapalat" w:cs="Calibri"/>
                <w:b/>
                <w:sz w:val="18"/>
                <w:szCs w:val="18"/>
                <w:lang w:val="en-US"/>
              </w:rPr>
            </w:pPr>
            <w:r w:rsidRPr="001F63BA">
              <w:rPr>
                <w:rFonts w:ascii="GHEA Grapalat" w:hAnsi="GHEA Grapalat" w:cs="Calibri"/>
                <w:b/>
                <w:sz w:val="18"/>
                <w:szCs w:val="18"/>
                <w:lang w:val="en-US"/>
              </w:rPr>
              <w:t>7,281.3</w:t>
            </w:r>
          </w:p>
        </w:tc>
        <w:tc>
          <w:tcPr>
            <w:tcW w:w="1276" w:type="dxa"/>
          </w:tcPr>
          <w:p w:rsidR="001C411D" w:rsidRPr="001F63BA" w:rsidRDefault="001C411D" w:rsidP="00CB54A9">
            <w:pPr>
              <w:jc w:val="right"/>
              <w:rPr>
                <w:rFonts w:ascii="GHEA Grapalat" w:hAnsi="GHEA Grapalat" w:cs="Calibri"/>
                <w:b/>
                <w:sz w:val="18"/>
                <w:szCs w:val="18"/>
                <w:lang w:val="en-US"/>
              </w:rPr>
            </w:pPr>
            <w:r w:rsidRPr="001F63BA">
              <w:rPr>
                <w:rFonts w:ascii="GHEA Grapalat" w:hAnsi="GHEA Grapalat" w:cs="Calibri"/>
                <w:b/>
                <w:sz w:val="18"/>
                <w:szCs w:val="18"/>
                <w:lang w:val="en-US"/>
              </w:rPr>
              <w:t>85.4</w:t>
            </w:r>
          </w:p>
        </w:tc>
        <w:tc>
          <w:tcPr>
            <w:tcW w:w="1275" w:type="dxa"/>
          </w:tcPr>
          <w:p w:rsidR="001C411D" w:rsidRPr="001F63BA" w:rsidRDefault="001C411D" w:rsidP="00CB54A9">
            <w:pPr>
              <w:jc w:val="right"/>
              <w:rPr>
                <w:rFonts w:ascii="GHEA Grapalat" w:hAnsi="GHEA Grapalat" w:cs="Calibri"/>
                <w:b/>
                <w:sz w:val="18"/>
                <w:szCs w:val="18"/>
                <w:lang w:val="en-US"/>
              </w:rPr>
            </w:pPr>
            <w:r w:rsidRPr="001F63BA">
              <w:rPr>
                <w:rFonts w:ascii="GHEA Grapalat" w:hAnsi="GHEA Grapalat" w:cs="Calibri"/>
                <w:b/>
                <w:sz w:val="18"/>
                <w:szCs w:val="18"/>
                <w:lang w:val="en-US"/>
              </w:rPr>
              <w:t>100.9</w:t>
            </w:r>
          </w:p>
        </w:tc>
        <w:tc>
          <w:tcPr>
            <w:tcW w:w="1114" w:type="dxa"/>
          </w:tcPr>
          <w:p w:rsidR="001C411D" w:rsidRPr="001F63BA" w:rsidRDefault="001C411D" w:rsidP="00CB54A9">
            <w:pPr>
              <w:jc w:val="right"/>
              <w:rPr>
                <w:rFonts w:ascii="GHEA Grapalat" w:hAnsi="GHEA Grapalat" w:cs="Calibri"/>
                <w:b/>
                <w:sz w:val="18"/>
                <w:szCs w:val="18"/>
                <w:lang w:val="en-US"/>
              </w:rPr>
            </w:pPr>
            <w:r w:rsidRPr="001F63BA">
              <w:rPr>
                <w:rFonts w:ascii="GHEA Grapalat" w:hAnsi="GHEA Grapalat" w:cs="Calibri"/>
                <w:b/>
                <w:sz w:val="18"/>
                <w:szCs w:val="18"/>
                <w:lang w:val="en-US"/>
              </w:rPr>
              <w:t>67.6</w:t>
            </w:r>
          </w:p>
        </w:tc>
      </w:tr>
      <w:tr w:rsidR="001C411D" w:rsidRPr="001F63BA" w:rsidTr="00CB54A9">
        <w:trPr>
          <w:trHeight w:val="300"/>
          <w:jc w:val="center"/>
        </w:trPr>
        <w:tc>
          <w:tcPr>
            <w:tcW w:w="3240" w:type="dxa"/>
          </w:tcPr>
          <w:p w:rsidR="001C411D" w:rsidRPr="001F63BA" w:rsidRDefault="001C411D" w:rsidP="00CB54A9">
            <w:pPr>
              <w:rPr>
                <w:rFonts w:ascii="GHEA Grapalat" w:hAnsi="GHEA Grapalat" w:cs="Calibri"/>
                <w:sz w:val="18"/>
                <w:szCs w:val="18"/>
              </w:rPr>
            </w:pPr>
            <w:r w:rsidRPr="001F63BA">
              <w:rPr>
                <w:rFonts w:ascii="GHEA Grapalat" w:hAnsi="GHEA Grapalat" w:cs="Calibri"/>
                <w:sz w:val="18"/>
                <w:szCs w:val="18"/>
              </w:rPr>
              <w:t>Շրջակա միջավայրի վրա ազդեցության գնահատում և մոնիթորինգ</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2,050.8</w:t>
            </w:r>
          </w:p>
        </w:tc>
        <w:tc>
          <w:tcPr>
            <w:tcW w:w="993"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2,124.4</w:t>
            </w:r>
          </w:p>
        </w:tc>
        <w:tc>
          <w:tcPr>
            <w:tcW w:w="992"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1,795.1</w:t>
            </w:r>
          </w:p>
        </w:tc>
        <w:tc>
          <w:tcPr>
            <w:tcW w:w="1276"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84.5</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87.5</w:t>
            </w:r>
          </w:p>
        </w:tc>
        <w:tc>
          <w:tcPr>
            <w:tcW w:w="1114"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(255.7)</w:t>
            </w:r>
          </w:p>
        </w:tc>
      </w:tr>
      <w:tr w:rsidR="001C411D" w:rsidRPr="001F63BA" w:rsidTr="00CB54A9">
        <w:trPr>
          <w:trHeight w:val="300"/>
          <w:jc w:val="center"/>
        </w:trPr>
        <w:tc>
          <w:tcPr>
            <w:tcW w:w="3240" w:type="dxa"/>
          </w:tcPr>
          <w:p w:rsidR="001C411D" w:rsidRPr="001F63BA" w:rsidRDefault="001C411D" w:rsidP="00CB54A9">
            <w:pPr>
              <w:rPr>
                <w:rFonts w:ascii="GHEA Grapalat" w:hAnsi="GHEA Grapalat" w:cs="Calibri"/>
                <w:sz w:val="18"/>
                <w:szCs w:val="18"/>
              </w:rPr>
            </w:pPr>
            <w:r w:rsidRPr="001F63BA">
              <w:rPr>
                <w:rFonts w:ascii="GHEA Grapalat" w:hAnsi="GHEA Grapalat" w:cs="Calibri"/>
                <w:sz w:val="18"/>
                <w:szCs w:val="18"/>
              </w:rPr>
              <w:t>Բնական պաշարների և բնության հատուկ պահպանվող տարածքների կառավարում և պահպանում</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1,498.2</w:t>
            </w:r>
          </w:p>
        </w:tc>
        <w:tc>
          <w:tcPr>
            <w:tcW w:w="993"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2,664.5</w:t>
            </w:r>
          </w:p>
        </w:tc>
        <w:tc>
          <w:tcPr>
            <w:tcW w:w="992" w:type="dxa"/>
          </w:tcPr>
          <w:p w:rsidR="001C411D" w:rsidRPr="001F63BA" w:rsidRDefault="001C411D" w:rsidP="00CB54A9">
            <w:pPr>
              <w:jc w:val="right"/>
              <w:rPr>
                <w:rFonts w:ascii="GHEA Grapalat" w:hAnsi="GHEA Grapalat" w:cs="Calibri"/>
                <w:sz w:val="18"/>
                <w:szCs w:val="18"/>
              </w:rPr>
            </w:pPr>
            <w:r w:rsidRPr="001F63BA">
              <w:rPr>
                <w:rFonts w:ascii="GHEA Grapalat" w:hAnsi="GHEA Grapalat" w:cs="Calibri"/>
                <w:sz w:val="18"/>
                <w:szCs w:val="18"/>
                <w:lang w:val="en-US"/>
              </w:rPr>
              <w:t>1,821.2</w:t>
            </w:r>
            <w:r w:rsidRPr="001F63BA">
              <w:rPr>
                <w:rFonts w:ascii="GHEA Grapalat" w:hAnsi="GHEA Grapalat" w:cs="Calibri"/>
                <w:sz w:val="18"/>
                <w:szCs w:val="18"/>
              </w:rPr>
              <w:t xml:space="preserve"> </w:t>
            </w:r>
          </w:p>
        </w:tc>
        <w:tc>
          <w:tcPr>
            <w:tcW w:w="1276"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68.4</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121.6</w:t>
            </w:r>
          </w:p>
        </w:tc>
        <w:tc>
          <w:tcPr>
            <w:tcW w:w="1114" w:type="dxa"/>
          </w:tcPr>
          <w:p w:rsidR="001C411D" w:rsidRPr="001F63BA" w:rsidRDefault="001C411D" w:rsidP="00CB54A9">
            <w:pPr>
              <w:jc w:val="right"/>
              <w:rPr>
                <w:rFonts w:ascii="GHEA Grapalat" w:hAnsi="GHEA Grapalat" w:cs="Calibri"/>
                <w:sz w:val="18"/>
                <w:szCs w:val="18"/>
              </w:rPr>
            </w:pPr>
            <w:r w:rsidRPr="001F63BA">
              <w:rPr>
                <w:rFonts w:ascii="GHEA Grapalat" w:hAnsi="GHEA Grapalat" w:cs="Calibri"/>
                <w:sz w:val="18"/>
                <w:szCs w:val="18"/>
                <w:lang w:val="en-US"/>
              </w:rPr>
              <w:t>323.0</w:t>
            </w:r>
          </w:p>
        </w:tc>
      </w:tr>
      <w:tr w:rsidR="001C411D" w:rsidRPr="001F63BA" w:rsidTr="00CB54A9">
        <w:trPr>
          <w:trHeight w:val="300"/>
          <w:jc w:val="center"/>
        </w:trPr>
        <w:tc>
          <w:tcPr>
            <w:tcW w:w="3240" w:type="dxa"/>
          </w:tcPr>
          <w:p w:rsidR="001C411D" w:rsidRPr="001F63BA" w:rsidRDefault="001C411D" w:rsidP="00CB54A9">
            <w:pPr>
              <w:rPr>
                <w:rFonts w:ascii="GHEA Grapalat" w:hAnsi="GHEA Grapalat" w:cs="Calibri"/>
                <w:sz w:val="18"/>
                <w:szCs w:val="18"/>
                <w:lang w:val="en-US"/>
              </w:rPr>
            </w:pPr>
            <w:r w:rsidRPr="001F63BA">
              <w:rPr>
                <w:rFonts w:ascii="GHEA Grapalat" w:hAnsi="GHEA Grapalat" w:cs="Calibri"/>
                <w:sz w:val="18"/>
                <w:szCs w:val="18"/>
                <w:lang w:val="en-US"/>
              </w:rPr>
              <w:t>Անտառների կառավարում</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1,818.8</w:t>
            </w:r>
          </w:p>
        </w:tc>
        <w:tc>
          <w:tcPr>
            <w:tcW w:w="993"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2,193.2</w:t>
            </w:r>
          </w:p>
        </w:tc>
        <w:tc>
          <w:tcPr>
            <w:tcW w:w="992"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2,139.7</w:t>
            </w:r>
          </w:p>
        </w:tc>
        <w:tc>
          <w:tcPr>
            <w:tcW w:w="1276"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97.6</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117.6</w:t>
            </w:r>
          </w:p>
        </w:tc>
        <w:tc>
          <w:tcPr>
            <w:tcW w:w="1114"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320.9</w:t>
            </w:r>
          </w:p>
        </w:tc>
      </w:tr>
      <w:tr w:rsidR="001C411D" w:rsidRPr="001F63BA" w:rsidTr="00CB54A9">
        <w:trPr>
          <w:trHeight w:val="300"/>
          <w:jc w:val="center"/>
        </w:trPr>
        <w:tc>
          <w:tcPr>
            <w:tcW w:w="3240" w:type="dxa"/>
          </w:tcPr>
          <w:p w:rsidR="001C411D" w:rsidRPr="001F63BA" w:rsidRDefault="001C411D" w:rsidP="00CB54A9">
            <w:pPr>
              <w:rPr>
                <w:rFonts w:ascii="GHEA Grapalat" w:hAnsi="GHEA Grapalat" w:cs="Calibri"/>
                <w:sz w:val="18"/>
                <w:szCs w:val="18"/>
              </w:rPr>
            </w:pPr>
            <w:bookmarkStart w:id="255" w:name="_Hlk95915466"/>
            <w:r w:rsidRPr="001F63BA">
              <w:rPr>
                <w:rFonts w:ascii="GHEA Grapalat" w:hAnsi="GHEA Grapalat" w:cs="Calibri"/>
                <w:sz w:val="18"/>
                <w:szCs w:val="18"/>
              </w:rPr>
              <w:t>Այլ ծրագրեր</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1,845.9</w:t>
            </w:r>
          </w:p>
        </w:tc>
        <w:tc>
          <w:tcPr>
            <w:tcW w:w="993"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1,546.6</w:t>
            </w:r>
          </w:p>
        </w:tc>
        <w:tc>
          <w:tcPr>
            <w:tcW w:w="992"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1,525.3</w:t>
            </w:r>
          </w:p>
        </w:tc>
        <w:tc>
          <w:tcPr>
            <w:tcW w:w="1276"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98.6</w:t>
            </w:r>
          </w:p>
        </w:tc>
        <w:tc>
          <w:tcPr>
            <w:tcW w:w="1275"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82.6</w:t>
            </w:r>
          </w:p>
        </w:tc>
        <w:tc>
          <w:tcPr>
            <w:tcW w:w="1114" w:type="dxa"/>
          </w:tcPr>
          <w:p w:rsidR="001C411D" w:rsidRPr="001F63BA" w:rsidRDefault="001C411D" w:rsidP="00CB54A9">
            <w:pPr>
              <w:jc w:val="right"/>
              <w:rPr>
                <w:rFonts w:ascii="GHEA Grapalat" w:hAnsi="GHEA Grapalat" w:cs="Calibri"/>
                <w:sz w:val="18"/>
                <w:szCs w:val="18"/>
                <w:lang w:val="en-US"/>
              </w:rPr>
            </w:pPr>
            <w:r w:rsidRPr="001F63BA">
              <w:rPr>
                <w:rFonts w:ascii="GHEA Grapalat" w:hAnsi="GHEA Grapalat" w:cs="Calibri"/>
                <w:sz w:val="18"/>
                <w:szCs w:val="18"/>
                <w:lang w:val="en-US"/>
              </w:rPr>
              <w:t>(320.6)</w:t>
            </w:r>
          </w:p>
        </w:tc>
      </w:tr>
      <w:bookmarkEnd w:id="255"/>
    </w:tbl>
    <w:p w:rsidR="001C411D" w:rsidRPr="001F63BA" w:rsidRDefault="001C411D" w:rsidP="00C52507">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lang w:val="af-ZA"/>
        </w:rPr>
      </w:pPr>
      <w:r w:rsidRPr="001F63BA">
        <w:rPr>
          <w:rFonts w:ascii="GHEA Grapalat" w:hAnsi="GHEA Grapalat" w:cs="Sylfaen"/>
          <w:sz w:val="22"/>
          <w:szCs w:val="22"/>
        </w:rPr>
        <w:t xml:space="preserve">Հաշվետու ժամանակահատվածում </w:t>
      </w:r>
      <w:r w:rsidRPr="001F63BA">
        <w:rPr>
          <w:rFonts w:ascii="GHEA Grapalat" w:hAnsi="GHEA Grapalat" w:cs="Sylfaen"/>
          <w:i/>
          <w:iCs/>
          <w:sz w:val="22"/>
          <w:szCs w:val="22"/>
        </w:rPr>
        <w:t>Շ</w:t>
      </w:r>
      <w:r w:rsidRPr="001F63BA">
        <w:rPr>
          <w:rFonts w:ascii="GHEA Grapalat" w:hAnsi="GHEA Grapalat" w:cs="Sylfaen"/>
          <w:i/>
          <w:sz w:val="22"/>
          <w:szCs w:val="22"/>
        </w:rPr>
        <w:t xml:space="preserve">րջակա միջավայրի վրա ազդեցության գնահատման և մոնիթորինգի </w:t>
      </w:r>
      <w:r w:rsidRPr="001F63BA">
        <w:rPr>
          <w:rFonts w:ascii="GHEA Grapalat" w:hAnsi="GHEA Grapalat" w:cs="Sylfaen"/>
          <w:sz w:val="22"/>
          <w:szCs w:val="22"/>
        </w:rPr>
        <w:t xml:space="preserve">ծրագրին </w:t>
      </w:r>
      <w:r w:rsidRPr="001F63BA">
        <w:rPr>
          <w:rFonts w:ascii="GHEA Grapalat" w:hAnsi="GHEA Grapalat" w:cs="Sylfaen"/>
          <w:sz w:val="22"/>
          <w:szCs w:val="22"/>
          <w:lang w:val="en-US"/>
        </w:rPr>
        <w:t>տրամադր</w:t>
      </w:r>
      <w:r w:rsidRPr="001F63BA">
        <w:rPr>
          <w:rFonts w:ascii="GHEA Grapalat" w:hAnsi="GHEA Grapalat" w:cs="Sylfaen"/>
          <w:sz w:val="22"/>
          <w:szCs w:val="22"/>
        </w:rPr>
        <w:t xml:space="preserve">վել է </w:t>
      </w:r>
      <w:r w:rsidRPr="001F63BA">
        <w:rPr>
          <w:rFonts w:ascii="GHEA Grapalat" w:hAnsi="GHEA Grapalat" w:cs="Sylfaen"/>
          <w:sz w:val="22"/>
          <w:szCs w:val="22"/>
          <w:lang w:val="en-US"/>
        </w:rPr>
        <w:t xml:space="preserve">1.8 </w:t>
      </w:r>
      <w:r w:rsidRPr="001F63BA">
        <w:rPr>
          <w:rFonts w:ascii="GHEA Grapalat" w:hAnsi="GHEA Grapalat" w:cs="Sylfaen"/>
          <w:sz w:val="22"/>
          <w:szCs w:val="22"/>
        </w:rPr>
        <w:t>մլրդ դրամ, որ</w:t>
      </w:r>
      <w:r w:rsidRPr="001F63BA">
        <w:rPr>
          <w:rFonts w:ascii="GHEA Grapalat" w:hAnsi="GHEA Grapalat" w:cs="Sylfaen"/>
          <w:sz w:val="22"/>
          <w:szCs w:val="22"/>
          <w:lang w:val="en-US"/>
        </w:rPr>
        <w:t>ը կազմ</w:t>
      </w:r>
      <w:r w:rsidRPr="001F63BA">
        <w:rPr>
          <w:rFonts w:ascii="GHEA Grapalat" w:hAnsi="GHEA Grapalat" w:cs="Sylfaen"/>
          <w:sz w:val="22"/>
          <w:szCs w:val="22"/>
        </w:rPr>
        <w:t>ել է</w:t>
      </w:r>
      <w:r w:rsidRPr="001F63BA">
        <w:rPr>
          <w:rFonts w:ascii="GHEA Grapalat" w:hAnsi="GHEA Grapalat" w:cs="Sylfaen"/>
          <w:sz w:val="22"/>
          <w:szCs w:val="22"/>
          <w:lang w:val="en-US"/>
        </w:rPr>
        <w:t xml:space="preserve"> ծրագրված ցուցանիշի</w:t>
      </w:r>
      <w:r w:rsidRPr="001F63BA">
        <w:rPr>
          <w:rFonts w:ascii="GHEA Grapalat" w:hAnsi="GHEA Grapalat" w:cs="Sylfaen"/>
          <w:sz w:val="22"/>
          <w:szCs w:val="22"/>
        </w:rPr>
        <w:t xml:space="preserve"> </w:t>
      </w:r>
      <w:r w:rsidRPr="001F63BA">
        <w:rPr>
          <w:rFonts w:ascii="GHEA Grapalat" w:hAnsi="GHEA Grapalat" w:cs="Sylfaen"/>
          <w:sz w:val="22"/>
          <w:szCs w:val="22"/>
          <w:lang w:val="en-US"/>
        </w:rPr>
        <w:t>84.5</w:t>
      </w:r>
      <w:r w:rsidRPr="001F63BA">
        <w:rPr>
          <w:rFonts w:ascii="GHEA Grapalat" w:hAnsi="GHEA Grapalat" w:cs="Sylfaen"/>
          <w:sz w:val="22"/>
          <w:szCs w:val="22"/>
        </w:rPr>
        <w:t>%</w:t>
      </w:r>
      <w:r w:rsidRPr="001F63BA">
        <w:rPr>
          <w:rFonts w:ascii="GHEA Grapalat" w:hAnsi="GHEA Grapalat" w:cs="Sylfaen"/>
          <w:sz w:val="22"/>
          <w:szCs w:val="22"/>
          <w:lang w:val="en-US"/>
        </w:rPr>
        <w:noBreakHyphen/>
        <w:t>ը</w:t>
      </w:r>
      <w:r w:rsidRPr="001F63BA">
        <w:rPr>
          <w:rFonts w:ascii="GHEA Grapalat" w:hAnsi="GHEA Grapalat" w:cs="Sylfaen"/>
          <w:sz w:val="22"/>
          <w:szCs w:val="22"/>
        </w:rPr>
        <w:t xml:space="preserve">: </w:t>
      </w:r>
      <w:r w:rsidRPr="001F63BA">
        <w:rPr>
          <w:rFonts w:ascii="GHEA Grapalat" w:hAnsi="GHEA Grapalat" w:cs="Sylfaen"/>
          <w:sz w:val="22"/>
          <w:szCs w:val="22"/>
          <w:lang w:val="en-US"/>
        </w:rPr>
        <w:t>Շեղումը հիմնականում պայմանավորված է «Շենքերի ոլորտում չափողականություն, հաշվետվողականություն և հավաստագրում (ՉՀՀ)» համակարգի ստեղծում և գիտելիքների կառավարում» միջոցառման կատարողականով, որը կազմել է 10.8% կամ 26.3 մլն դրամ: Միջոցառման շրջանակներում ձ</w:t>
      </w:r>
      <w:r w:rsidRPr="001F63BA">
        <w:rPr>
          <w:rFonts w:ascii="GHEA Grapalat" w:hAnsi="GHEA Grapalat" w:cs="Sylfaen"/>
          <w:sz w:val="22"/>
          <w:szCs w:val="22"/>
          <w:lang w:val="af-ZA"/>
        </w:rPr>
        <w:t xml:space="preserve">եռք բերվող ծառայությունների՝ մշակված տեխնիկական առաջադրանքների հետ կապված առաջացել են բարդություններ, ինչից ելնելով՝ միջազգային դոնոր գործընկերների կողմից հաշվետու տարվա ծրագրով նախատեսված և չօգտագործված ֆինանսական միջոցները տեղափոխվել են 2023 թվական։ Միջոցառման շրջանակներում 270 շահառուների համար կազմակերպվել են Էներգախնայողության գնահատման համակարգի կիրառման վերաբերյալ դասընթացներ, մշակվել է շենքերի էներգախնայողության գնահատման, հավաստագրման և էներգախնայողության համակարգի ներդրման արդյունավետության մշտադիտարկման իրականացման մեթոդաբանություն։ </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lang w:val="af-ZA"/>
        </w:rPr>
        <w:t>Նախորդ տարվա համեմատ ծրագրի</w:t>
      </w:r>
      <w:r w:rsidRPr="001F63BA">
        <w:rPr>
          <w:rFonts w:ascii="GHEA Grapalat" w:hAnsi="GHEA Grapalat" w:cs="Sylfaen"/>
          <w:sz w:val="22"/>
          <w:szCs w:val="22"/>
        </w:rPr>
        <w:t xml:space="preserve"> ծախսեր</w:t>
      </w:r>
      <w:r w:rsidRPr="001F63BA">
        <w:rPr>
          <w:rFonts w:ascii="GHEA Grapalat" w:hAnsi="GHEA Grapalat" w:cs="Sylfaen"/>
          <w:sz w:val="22"/>
          <w:szCs w:val="22"/>
          <w:lang w:val="en-US"/>
        </w:rPr>
        <w:t>ը</w:t>
      </w:r>
      <w:r w:rsidRPr="001F63BA">
        <w:rPr>
          <w:rFonts w:ascii="GHEA Grapalat" w:hAnsi="GHEA Grapalat" w:cs="Sylfaen"/>
          <w:sz w:val="22"/>
          <w:szCs w:val="22"/>
        </w:rPr>
        <w:t xml:space="preserve"> </w:t>
      </w:r>
      <w:r w:rsidRPr="001F63BA">
        <w:rPr>
          <w:rFonts w:ascii="GHEA Grapalat" w:hAnsi="GHEA Grapalat" w:cs="Sylfaen"/>
          <w:sz w:val="22"/>
          <w:szCs w:val="22"/>
          <w:lang w:val="en-US"/>
        </w:rPr>
        <w:t>նվազ</w:t>
      </w:r>
      <w:r w:rsidRPr="001F63BA">
        <w:rPr>
          <w:rFonts w:ascii="GHEA Grapalat" w:hAnsi="GHEA Grapalat" w:cs="Sylfaen"/>
          <w:sz w:val="22"/>
          <w:szCs w:val="22"/>
        </w:rPr>
        <w:t xml:space="preserve">ել են </w:t>
      </w:r>
      <w:r w:rsidRPr="001F63BA">
        <w:rPr>
          <w:rFonts w:ascii="GHEA Grapalat" w:hAnsi="GHEA Grapalat" w:cs="Sylfaen"/>
          <w:sz w:val="22"/>
          <w:szCs w:val="22"/>
          <w:lang w:val="en-US"/>
        </w:rPr>
        <w:t>12</w:t>
      </w:r>
      <w:r w:rsidRPr="001F63BA">
        <w:rPr>
          <w:rFonts w:ascii="GHEA Grapalat" w:hAnsi="GHEA Grapalat" w:cs="Sylfaen"/>
          <w:sz w:val="22"/>
          <w:szCs w:val="22"/>
        </w:rPr>
        <w:t xml:space="preserve">.5%-ով կամ </w:t>
      </w:r>
      <w:r w:rsidRPr="001F63BA">
        <w:rPr>
          <w:rFonts w:ascii="GHEA Grapalat" w:hAnsi="GHEA Grapalat" w:cs="Sylfaen"/>
          <w:sz w:val="22"/>
          <w:szCs w:val="22"/>
          <w:lang w:val="en-US"/>
        </w:rPr>
        <w:t>255.7</w:t>
      </w:r>
      <w:r w:rsidRPr="001F63BA">
        <w:rPr>
          <w:rFonts w:ascii="GHEA Grapalat" w:hAnsi="GHEA Grapalat" w:cs="Sylfaen"/>
          <w:sz w:val="22"/>
          <w:szCs w:val="22"/>
        </w:rPr>
        <w:t xml:space="preserve"> մլն դրամով՝ հիմնականում պայմանավորված «Հիդրոօդերևութաբանություն, շրջակա միջավայրի մոնիթորինգ և տեղեկատվության ապահովում» միջոցառման շրջանակներում կատարված ծախսերի </w:t>
      </w:r>
      <w:r w:rsidRPr="001F63BA">
        <w:rPr>
          <w:rFonts w:ascii="GHEA Grapalat" w:hAnsi="GHEA Grapalat" w:cs="Sylfaen"/>
          <w:sz w:val="22"/>
          <w:szCs w:val="22"/>
          <w:lang w:val="en-US"/>
        </w:rPr>
        <w:t>նվազմամբ</w:t>
      </w:r>
      <w:r w:rsidRPr="001F63BA">
        <w:rPr>
          <w:rFonts w:ascii="GHEA Grapalat" w:hAnsi="GHEA Grapalat" w:cs="Sylfaen"/>
          <w:sz w:val="22"/>
          <w:szCs w:val="22"/>
        </w:rPr>
        <w:t xml:space="preserve">, որն իր հերթին պայմանավորված է </w:t>
      </w:r>
      <w:r w:rsidRPr="001F63BA">
        <w:rPr>
          <w:rFonts w:ascii="GHEA Grapalat" w:hAnsi="GHEA Grapalat" w:cs="Sylfaen"/>
          <w:sz w:val="22"/>
          <w:szCs w:val="22"/>
          <w:lang w:val="en-US"/>
        </w:rPr>
        <w:t xml:space="preserve">2021 թվականին </w:t>
      </w:r>
      <w:r w:rsidRPr="001F63BA">
        <w:rPr>
          <w:rFonts w:ascii="GHEA Grapalat" w:hAnsi="GHEA Grapalat" w:cs="Sylfaen"/>
          <w:bCs/>
          <w:iCs/>
          <w:sz w:val="22"/>
          <w:szCs w:val="22"/>
        </w:rPr>
        <w:t>ՊՈԱԿ</w:t>
      </w:r>
      <w:r w:rsidRPr="001F63BA">
        <w:rPr>
          <w:rFonts w:ascii="GHEA Grapalat" w:hAnsi="GHEA Grapalat" w:cs="Sylfaen"/>
          <w:bCs/>
          <w:iCs/>
          <w:sz w:val="22"/>
          <w:szCs w:val="22"/>
          <w:lang w:val="af-ZA"/>
        </w:rPr>
        <w:t>-</w:t>
      </w:r>
      <w:r w:rsidRPr="001F63BA">
        <w:rPr>
          <w:rFonts w:ascii="GHEA Grapalat" w:hAnsi="GHEA Grapalat" w:cs="Sylfaen"/>
          <w:bCs/>
          <w:iCs/>
          <w:sz w:val="22"/>
          <w:szCs w:val="22"/>
        </w:rPr>
        <w:t>ին</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ՀՀ</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պետական</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բյուջեից</w:t>
      </w:r>
      <w:r w:rsidRPr="001F63BA">
        <w:rPr>
          <w:rFonts w:ascii="GHEA Grapalat" w:hAnsi="GHEA Grapalat" w:cs="Sylfaen"/>
          <w:bCs/>
          <w:iCs/>
          <w:sz w:val="22"/>
          <w:szCs w:val="22"/>
          <w:lang w:val="af-ZA"/>
        </w:rPr>
        <w:t xml:space="preserve"> տրամադր</w:t>
      </w:r>
      <w:r w:rsidRPr="001F63BA">
        <w:rPr>
          <w:rFonts w:ascii="GHEA Grapalat" w:hAnsi="GHEA Grapalat" w:cs="Sylfaen"/>
          <w:bCs/>
          <w:iCs/>
          <w:sz w:val="22"/>
          <w:szCs w:val="22"/>
        </w:rPr>
        <w:t>ված</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դրամաշնորհի</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նկատմամբ</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հաշվարկված</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ԱԱՀ</w:t>
      </w:r>
      <w:r w:rsidRPr="001F63BA">
        <w:rPr>
          <w:rFonts w:ascii="GHEA Grapalat" w:hAnsi="GHEA Grapalat" w:cs="Sylfaen"/>
          <w:bCs/>
          <w:iCs/>
          <w:sz w:val="22"/>
          <w:szCs w:val="22"/>
          <w:lang w:val="af-ZA"/>
        </w:rPr>
        <w:t>-</w:t>
      </w:r>
      <w:r w:rsidRPr="001F63BA">
        <w:rPr>
          <w:rFonts w:ascii="GHEA Grapalat" w:hAnsi="GHEA Grapalat" w:cs="Sylfaen"/>
          <w:bCs/>
          <w:iCs/>
          <w:sz w:val="22"/>
          <w:szCs w:val="22"/>
        </w:rPr>
        <w:t>ի</w:t>
      </w:r>
      <w:r w:rsidRPr="001F63BA">
        <w:rPr>
          <w:rFonts w:ascii="GHEA Grapalat" w:hAnsi="GHEA Grapalat" w:cs="Sylfaen"/>
          <w:bCs/>
          <w:iCs/>
          <w:sz w:val="22"/>
          <w:szCs w:val="22"/>
          <w:lang w:val="en-US"/>
        </w:rPr>
        <w:t xml:space="preserve"> գծով պարտավորությունների փոխհատուցման նպատակով միջոցների</w:t>
      </w:r>
      <w:r w:rsidRPr="001F63BA">
        <w:rPr>
          <w:rFonts w:ascii="GHEA Grapalat" w:hAnsi="GHEA Grapalat" w:cs="Sylfaen"/>
          <w:bCs/>
          <w:iCs/>
          <w:sz w:val="22"/>
          <w:szCs w:val="22"/>
          <w:lang w:val="af-ZA"/>
        </w:rPr>
        <w:t xml:space="preserve"> </w:t>
      </w:r>
      <w:r w:rsidRPr="001F63BA">
        <w:rPr>
          <w:rFonts w:ascii="GHEA Grapalat" w:hAnsi="GHEA Grapalat" w:cs="Sylfaen"/>
          <w:bCs/>
          <w:iCs/>
          <w:sz w:val="22"/>
          <w:szCs w:val="22"/>
        </w:rPr>
        <w:t>հատկացմամբ</w:t>
      </w:r>
      <w:r w:rsidRPr="001F63BA">
        <w:rPr>
          <w:rFonts w:ascii="GHEA Grapalat" w:hAnsi="GHEA Grapalat" w:cs="Sylfaen"/>
          <w:sz w:val="22"/>
          <w:szCs w:val="22"/>
        </w:rPr>
        <w:t>:</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iCs/>
          <w:sz w:val="22"/>
          <w:szCs w:val="22"/>
        </w:rPr>
        <w:t>Շ</w:t>
      </w:r>
      <w:r w:rsidRPr="001F63BA">
        <w:rPr>
          <w:rFonts w:ascii="GHEA Grapalat" w:hAnsi="GHEA Grapalat" w:cs="Sylfaen"/>
          <w:sz w:val="22"/>
          <w:szCs w:val="22"/>
        </w:rPr>
        <w:t>րջակա միջավայրի վրա ազդեցության գնահատման և մոնիթորինգի</w:t>
      </w:r>
      <w:r w:rsidRPr="001F63BA">
        <w:rPr>
          <w:rFonts w:ascii="GHEA Grapalat" w:hAnsi="GHEA Grapalat" w:cs="Sylfaen"/>
          <w:sz w:val="22"/>
          <w:szCs w:val="22"/>
          <w:lang w:val="en-US"/>
        </w:rPr>
        <w:t xml:space="preserve"> ծրագրին հատկացված միջոցների գերակշիռ </w:t>
      </w:r>
      <w:r w:rsidRPr="001F63BA">
        <w:rPr>
          <w:rFonts w:ascii="GHEA Grapalat" w:hAnsi="GHEA Grapalat" w:cs="Sylfaen"/>
          <w:sz w:val="22"/>
          <w:szCs w:val="22"/>
        </w:rPr>
        <w:t xml:space="preserve">մասն ուղղվել է «Հիդրոօդերևութաբանություն, շրջակա միջավայրի մոնիթորինգ և տեղեկատվության ապահովում» միջոցառմանը, որի շրջանակներում </w:t>
      </w:r>
      <w:r w:rsidRPr="001F63BA">
        <w:rPr>
          <w:rFonts w:ascii="GHEA Grapalat" w:hAnsi="GHEA Grapalat" w:cs="Sylfaen"/>
          <w:bCs/>
          <w:sz w:val="22"/>
          <w:szCs w:val="22"/>
        </w:rPr>
        <w:t>հանրապետության ջրային օբյեկտների (գետեր, ջրամբարներ) 141 դիտակետում</w:t>
      </w:r>
      <w:r w:rsidRPr="001F63BA">
        <w:rPr>
          <w:rFonts w:ascii="GHEA Grapalat" w:hAnsi="GHEA Grapalat" w:cs="Sylfaen"/>
          <w:sz w:val="22"/>
          <w:szCs w:val="22"/>
        </w:rPr>
        <w:t xml:space="preserve"> </w:t>
      </w:r>
      <w:r w:rsidRPr="001F63BA">
        <w:rPr>
          <w:rFonts w:ascii="GHEA Grapalat" w:hAnsi="GHEA Grapalat" w:cs="Sylfaen"/>
          <w:bCs/>
          <w:sz w:val="22"/>
          <w:szCs w:val="22"/>
        </w:rPr>
        <w:t xml:space="preserve">իրականացվել է </w:t>
      </w:r>
      <w:r w:rsidRPr="001F63BA">
        <w:rPr>
          <w:rFonts w:ascii="GHEA Grapalat" w:hAnsi="GHEA Grapalat" w:cs="Sylfaen"/>
          <w:sz w:val="22"/>
          <w:szCs w:val="22"/>
        </w:rPr>
        <w:t>ՀՀ մակերևութային ջրային օբյեկտների որակի մոնիտորինգ, որի արդյունքում որոշված ցուցանիշների քանակը կազմել է 43420</w:t>
      </w:r>
      <w:r w:rsidRPr="001F63BA">
        <w:rPr>
          <w:rFonts w:ascii="GHEA Grapalat" w:hAnsi="GHEA Grapalat" w:cs="Sylfaen"/>
          <w:sz w:val="22"/>
          <w:szCs w:val="22"/>
          <w:lang w:val="en-US"/>
        </w:rPr>
        <w:t xml:space="preserve">: </w:t>
      </w:r>
      <w:r w:rsidRPr="001F63BA">
        <w:rPr>
          <w:rFonts w:ascii="GHEA Grapalat" w:hAnsi="GHEA Grapalat" w:cs="Sylfaen"/>
          <w:sz w:val="22"/>
          <w:szCs w:val="22"/>
          <w:lang w:val="en-US"/>
        </w:rPr>
        <w:lastRenderedPageBreak/>
        <w:t>Իրականացվել է նաև</w:t>
      </w:r>
      <w:r w:rsidRPr="001F63BA">
        <w:rPr>
          <w:rFonts w:ascii="GHEA Grapalat" w:hAnsi="GHEA Grapalat" w:cs="Sylfaen"/>
          <w:sz w:val="22"/>
          <w:szCs w:val="22"/>
        </w:rPr>
        <w:t xml:space="preserve"> Արաքս գետի աղտոտվածության հայ-իրանական համատեղ մոնիտորինգ, որի արդյունքում որոշված ցուցանիշների քանակը կազմել է 2040: ՀՀ մթնոլորտային օդի որակի մոնիտորինգ</w:t>
      </w:r>
      <w:r w:rsidRPr="001F63BA">
        <w:rPr>
          <w:rFonts w:ascii="GHEA Grapalat" w:hAnsi="GHEA Grapalat" w:cs="Sylfaen"/>
          <w:sz w:val="22"/>
          <w:szCs w:val="22"/>
          <w:lang w:val="en-US"/>
        </w:rPr>
        <w:t>ի</w:t>
      </w:r>
      <w:r w:rsidRPr="001F63BA">
        <w:rPr>
          <w:rFonts w:ascii="GHEA Grapalat" w:hAnsi="GHEA Grapalat" w:cs="Sylfaen"/>
          <w:sz w:val="22"/>
          <w:szCs w:val="22"/>
        </w:rPr>
        <w:t xml:space="preserve"> </w:t>
      </w:r>
      <w:r w:rsidRPr="001F63BA">
        <w:rPr>
          <w:rFonts w:ascii="GHEA Grapalat" w:hAnsi="GHEA Grapalat" w:cs="Sylfaen"/>
          <w:bCs/>
          <w:sz w:val="22"/>
          <w:szCs w:val="22"/>
        </w:rPr>
        <w:t>շրջանակում որոշվել է 75300 ցուցանիշ</w:t>
      </w:r>
      <w:r w:rsidRPr="001F63BA">
        <w:rPr>
          <w:rFonts w:ascii="GHEA Grapalat" w:hAnsi="GHEA Grapalat" w:cs="Sylfaen"/>
          <w:sz w:val="22"/>
          <w:szCs w:val="22"/>
        </w:rPr>
        <w:t xml:space="preserve">: Իրականացվել է ստորերկրյա քաղցրահամ ջրերի հիդրոերկրաբանական մոնիտորինգ ՀՀ 6 ջրավազանային կառավարման տարածքում ընդգրկված </w:t>
      </w:r>
      <w:r w:rsidRPr="001F63BA">
        <w:rPr>
          <w:rFonts w:ascii="GHEA Grapalat" w:hAnsi="GHEA Grapalat" w:cs="Sylfaen"/>
          <w:sz w:val="22"/>
          <w:szCs w:val="22"/>
          <w:lang w:val="en-US"/>
        </w:rPr>
        <w:t>119</w:t>
      </w:r>
      <w:r w:rsidRPr="001F63BA">
        <w:rPr>
          <w:rFonts w:ascii="GHEA Grapalat" w:hAnsi="GHEA Grapalat" w:cs="Sylfaen"/>
          <w:sz w:val="22"/>
          <w:szCs w:val="22"/>
        </w:rPr>
        <w:t xml:space="preserve"> ստորերկրյա ջրաղբյուրներում՝ հորատանցքերում և բնաղբյուրներում: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ընթացքում ուսումնասիրվել են </w:t>
      </w:r>
      <w:r w:rsidRPr="001F63BA">
        <w:rPr>
          <w:rFonts w:ascii="GHEA Grapalat" w:hAnsi="GHEA Grapalat" w:cs="Sylfaen"/>
          <w:bCs/>
          <w:sz w:val="22"/>
          <w:szCs w:val="22"/>
        </w:rPr>
        <w:t xml:space="preserve">թափոնների գոյացման, վերամշակման ու օգտահանման </w:t>
      </w:r>
      <w:r w:rsidRPr="001F63BA">
        <w:rPr>
          <w:rFonts w:ascii="GHEA Grapalat" w:hAnsi="GHEA Grapalat" w:cs="Sylfaen"/>
          <w:sz w:val="22"/>
          <w:szCs w:val="22"/>
        </w:rPr>
        <w:t xml:space="preserve">31 օբյեկտներ: Հաշվետու </w:t>
      </w:r>
      <w:r w:rsidRPr="001F63BA">
        <w:rPr>
          <w:rFonts w:ascii="GHEA Grapalat" w:hAnsi="GHEA Grapalat" w:cs="Sylfaen"/>
          <w:sz w:val="22"/>
          <w:szCs w:val="22"/>
          <w:lang w:val="en-US"/>
        </w:rPr>
        <w:t>տարում</w:t>
      </w:r>
      <w:r w:rsidRPr="001F63BA">
        <w:rPr>
          <w:rFonts w:ascii="GHEA Grapalat" w:hAnsi="GHEA Grapalat" w:cs="Sylfaen"/>
          <w:sz w:val="22"/>
          <w:szCs w:val="22"/>
        </w:rPr>
        <w:t xml:space="preserve"> մթնոլորտում և գետնի մակերևույթին տեղի ունեցող ֆիզիկական երևույթների ուսումնասիրման նպատակով օդերևութաբանական դիտարկումները կատարվել են Հանրապետության տարածքի </w:t>
      </w:r>
      <w:r w:rsidRPr="001F63BA">
        <w:rPr>
          <w:rFonts w:ascii="GHEA Grapalat" w:hAnsi="GHEA Grapalat" w:cs="Sylfaen"/>
          <w:sz w:val="22"/>
          <w:szCs w:val="22"/>
          <w:lang w:val="en-US"/>
        </w:rPr>
        <w:t>43</w:t>
      </w:r>
      <w:r w:rsidRPr="001F63BA">
        <w:rPr>
          <w:rFonts w:ascii="GHEA Grapalat" w:hAnsi="GHEA Grapalat" w:cs="Sylfaen"/>
          <w:sz w:val="22"/>
          <w:szCs w:val="22"/>
        </w:rPr>
        <w:t xml:space="preserve"> օդերևութաբանական (այդ թվում` </w:t>
      </w:r>
      <w:r w:rsidRPr="001F63BA">
        <w:rPr>
          <w:rFonts w:ascii="GHEA Grapalat" w:hAnsi="GHEA Grapalat" w:cs="Sylfaen"/>
          <w:sz w:val="22"/>
          <w:szCs w:val="22"/>
          <w:lang w:val="en-US"/>
        </w:rPr>
        <w:t>4</w:t>
      </w:r>
      <w:r w:rsidRPr="001F63BA">
        <w:rPr>
          <w:rFonts w:ascii="GHEA Grapalat" w:hAnsi="GHEA Grapalat" w:cs="Sylfaen"/>
          <w:sz w:val="22"/>
          <w:szCs w:val="22"/>
        </w:rPr>
        <w:t xml:space="preserve"> բարձրլեռնային դժվարամատչելի և 3 մասնագիտացված) կայաններում` լրիվ ծրագրով, իսկ 2</w:t>
      </w:r>
      <w:r w:rsidRPr="001F63BA">
        <w:rPr>
          <w:rFonts w:ascii="GHEA Grapalat" w:hAnsi="GHEA Grapalat" w:cs="Sylfaen"/>
          <w:sz w:val="22"/>
          <w:szCs w:val="22"/>
          <w:lang w:val="en-US"/>
        </w:rPr>
        <w:t>4</w:t>
      </w:r>
      <w:r w:rsidRPr="001F63BA">
        <w:rPr>
          <w:rFonts w:ascii="GHEA Grapalat" w:hAnsi="GHEA Grapalat" w:cs="Sylfaen"/>
          <w:sz w:val="22"/>
          <w:szCs w:val="22"/>
        </w:rPr>
        <w:t xml:space="preserve"> հիդրոլոգիական կայաններում` կրճատ ծրագրով (միայն օդի ջերմաստիճանի, տեղումների, մթնոլորտային երևույթների և ձյան ծածկի բարձրության)</w:t>
      </w:r>
      <w:r w:rsidRPr="001F63BA">
        <w:rPr>
          <w:rFonts w:ascii="GHEA Grapalat" w:hAnsi="GHEA Grapalat" w:cs="Sylfaen"/>
          <w:sz w:val="22"/>
          <w:szCs w:val="22"/>
          <w:lang w:val="en-US"/>
        </w:rPr>
        <w:t xml:space="preserve">: </w:t>
      </w:r>
      <w:r w:rsidRPr="001F63BA">
        <w:rPr>
          <w:rFonts w:ascii="GHEA Grapalat" w:hAnsi="GHEA Grapalat" w:cs="Sylfaen"/>
          <w:bCs/>
          <w:sz w:val="22"/>
          <w:szCs w:val="22"/>
          <w:lang w:val="af-ZA"/>
        </w:rPr>
        <w:t>Դիտակումներն իրականացվել են օդերևութաբանական բոլոր տարրերի նկատմամբ:</w:t>
      </w:r>
      <w:r w:rsidRPr="001F63BA">
        <w:rPr>
          <w:rFonts w:ascii="GHEA Grapalat" w:hAnsi="GHEA Grapalat" w:cs="Sylfaen"/>
          <w:bCs/>
          <w:sz w:val="22"/>
          <w:szCs w:val="22"/>
        </w:rPr>
        <w:t xml:space="preserve"> </w:t>
      </w:r>
      <w:r w:rsidRPr="001F63BA">
        <w:rPr>
          <w:rFonts w:ascii="GHEA Grapalat" w:hAnsi="GHEA Grapalat" w:cs="Sylfaen"/>
          <w:bCs/>
          <w:iCs/>
          <w:sz w:val="22"/>
          <w:szCs w:val="22"/>
          <w:lang w:val="af-ZA"/>
        </w:rPr>
        <w:t>Ամեն օր կազմվել է առաջիկա 5 օր</w:t>
      </w:r>
      <w:r w:rsidRPr="001F63BA">
        <w:rPr>
          <w:rFonts w:ascii="GHEA Grapalat" w:hAnsi="GHEA Grapalat" w:cs="Sylfaen"/>
          <w:bCs/>
          <w:iCs/>
          <w:sz w:val="22"/>
          <w:szCs w:val="22"/>
        </w:rPr>
        <w:t>վա եղանակի կանխատեսում</w:t>
      </w:r>
      <w:r w:rsidRPr="001F63BA">
        <w:rPr>
          <w:rFonts w:ascii="GHEA Grapalat" w:hAnsi="GHEA Grapalat" w:cs="Sylfaen"/>
          <w:bCs/>
          <w:iCs/>
          <w:sz w:val="22"/>
          <w:szCs w:val="22"/>
          <w:lang w:val="af-ZA"/>
        </w:rPr>
        <w:t xml:space="preserve">, իսկ </w:t>
      </w:r>
      <w:r w:rsidRPr="001F63BA">
        <w:rPr>
          <w:rFonts w:ascii="GHEA Grapalat" w:hAnsi="GHEA Grapalat" w:cs="Sylfaen"/>
          <w:bCs/>
          <w:iCs/>
          <w:sz w:val="22"/>
          <w:szCs w:val="22"/>
        </w:rPr>
        <w:t xml:space="preserve">յուրաքանչյուր </w:t>
      </w:r>
      <w:r w:rsidRPr="001F63BA">
        <w:rPr>
          <w:rFonts w:ascii="GHEA Grapalat" w:hAnsi="GHEA Grapalat" w:cs="Sylfaen"/>
          <w:bCs/>
          <w:iCs/>
          <w:sz w:val="22"/>
          <w:szCs w:val="22"/>
          <w:lang w:val="af-ZA"/>
        </w:rPr>
        <w:t>ամսվա վերջին</w:t>
      </w:r>
      <w:r w:rsidRPr="001F63BA">
        <w:rPr>
          <w:rFonts w:ascii="GHEA Grapalat" w:hAnsi="GHEA Grapalat" w:cs="Sylfaen"/>
          <w:bCs/>
          <w:iCs/>
          <w:sz w:val="22"/>
          <w:szCs w:val="22"/>
        </w:rPr>
        <w:t>՝ հաջորդ</w:t>
      </w:r>
      <w:r w:rsidRPr="001F63BA">
        <w:rPr>
          <w:rFonts w:ascii="GHEA Grapalat" w:hAnsi="GHEA Grapalat" w:cs="Sylfaen"/>
          <w:bCs/>
          <w:iCs/>
          <w:sz w:val="22"/>
          <w:szCs w:val="22"/>
          <w:lang w:val="af-ZA"/>
        </w:rPr>
        <w:t xml:space="preserve"> ամսվա օդերևութաբանական պայմանների </w:t>
      </w:r>
      <w:r w:rsidRPr="001F63BA">
        <w:rPr>
          <w:rFonts w:ascii="GHEA Grapalat" w:hAnsi="GHEA Grapalat" w:cs="Sylfaen"/>
          <w:bCs/>
          <w:iCs/>
          <w:sz w:val="22"/>
          <w:szCs w:val="22"/>
        </w:rPr>
        <w:t xml:space="preserve">խորհրդատվական </w:t>
      </w:r>
      <w:r w:rsidRPr="001F63BA">
        <w:rPr>
          <w:rFonts w:ascii="GHEA Grapalat" w:hAnsi="GHEA Grapalat" w:cs="Sylfaen"/>
          <w:bCs/>
          <w:iCs/>
          <w:sz w:val="22"/>
          <w:szCs w:val="22"/>
          <w:lang w:val="af-ZA"/>
        </w:rPr>
        <w:t>կանխատեսումը։</w:t>
      </w:r>
      <w:r w:rsidRPr="001F63BA">
        <w:t xml:space="preserve"> </w:t>
      </w:r>
      <w:r w:rsidRPr="001F63BA">
        <w:rPr>
          <w:rFonts w:ascii="GHEA Grapalat" w:hAnsi="GHEA Grapalat" w:cs="Sylfaen"/>
          <w:sz w:val="22"/>
          <w:szCs w:val="22"/>
        </w:rPr>
        <w:t xml:space="preserve">Հիդրոօդերևութաբանության, շրջակա միջավայրի մոնիթորինգի և տեղեկատվության ապահովման միջոցառման ծախսերը կատարվել են </w:t>
      </w:r>
      <w:r w:rsidRPr="001F63BA">
        <w:rPr>
          <w:rFonts w:ascii="GHEA Grapalat" w:hAnsi="GHEA Grapalat" w:cs="Sylfaen"/>
          <w:sz w:val="22"/>
          <w:szCs w:val="22"/>
          <w:lang w:val="en-US"/>
        </w:rPr>
        <w:t>97.8</w:t>
      </w:r>
      <w:r w:rsidRPr="001F63BA">
        <w:rPr>
          <w:rFonts w:ascii="GHEA Grapalat" w:hAnsi="GHEA Grapalat" w:cs="Sylfaen"/>
          <w:sz w:val="22"/>
          <w:szCs w:val="22"/>
        </w:rPr>
        <w:t xml:space="preserve">%-ով՝ կազմելով շուրջ </w:t>
      </w:r>
      <w:r w:rsidRPr="001F63BA">
        <w:rPr>
          <w:rFonts w:ascii="GHEA Grapalat" w:hAnsi="GHEA Grapalat" w:cs="Sylfaen"/>
          <w:sz w:val="22"/>
          <w:szCs w:val="22"/>
          <w:lang w:val="en-US"/>
        </w:rPr>
        <w:t>1.7</w:t>
      </w:r>
      <w:r w:rsidRPr="001F63BA">
        <w:rPr>
          <w:rFonts w:ascii="GHEA Grapalat" w:hAnsi="GHEA Grapalat" w:cs="Sylfaen"/>
          <w:sz w:val="22"/>
          <w:szCs w:val="22"/>
        </w:rPr>
        <w:t xml:space="preserve"> մլրդ դրամ:</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i/>
          <w:sz w:val="22"/>
          <w:szCs w:val="22"/>
        </w:rPr>
        <w:t>Բնական պաշարների և բնության հատուկ պահպանվող տարածքների կառավարման և պահպանման</w:t>
      </w:r>
      <w:r w:rsidRPr="001F63BA">
        <w:rPr>
          <w:rFonts w:ascii="GHEA Grapalat" w:hAnsi="GHEA Grapalat" w:cs="Sylfaen"/>
          <w:sz w:val="22"/>
          <w:szCs w:val="22"/>
        </w:rPr>
        <w:t xml:space="preserve"> ծրագրի շրջանակներում </w:t>
      </w:r>
      <w:r w:rsidRPr="001F63BA">
        <w:rPr>
          <w:rFonts w:ascii="GHEA Grapalat" w:hAnsi="GHEA Grapalat" w:cs="Sylfaen"/>
          <w:sz w:val="22"/>
          <w:szCs w:val="22"/>
          <w:lang w:val="en-US"/>
        </w:rPr>
        <w:t>2022 թվականին</w:t>
      </w:r>
      <w:r w:rsidRPr="001F63BA">
        <w:rPr>
          <w:rFonts w:ascii="GHEA Grapalat" w:hAnsi="GHEA Grapalat" w:cs="Sylfaen"/>
          <w:sz w:val="22"/>
          <w:szCs w:val="22"/>
        </w:rPr>
        <w:t xml:space="preserve"> օգտագործվել է նախատեսված միջոցների </w:t>
      </w:r>
      <w:r w:rsidRPr="001F63BA">
        <w:rPr>
          <w:rFonts w:ascii="GHEA Grapalat" w:hAnsi="GHEA Grapalat" w:cs="Sylfaen"/>
          <w:sz w:val="22"/>
          <w:szCs w:val="22"/>
          <w:lang w:val="en-US"/>
        </w:rPr>
        <w:t>68.4</w:t>
      </w:r>
      <w:r w:rsidRPr="001F63BA">
        <w:rPr>
          <w:rFonts w:ascii="GHEA Grapalat" w:hAnsi="GHEA Grapalat" w:cs="Sylfaen"/>
          <w:sz w:val="22"/>
          <w:szCs w:val="22"/>
        </w:rPr>
        <w:t>%-ը՝ 1.</w:t>
      </w:r>
      <w:r w:rsidRPr="001F63BA">
        <w:rPr>
          <w:rFonts w:ascii="GHEA Grapalat" w:hAnsi="GHEA Grapalat" w:cs="Sylfaen"/>
          <w:sz w:val="22"/>
          <w:szCs w:val="22"/>
          <w:lang w:val="en-US"/>
        </w:rPr>
        <w:t>8</w:t>
      </w:r>
      <w:r w:rsidRPr="001F63BA">
        <w:rPr>
          <w:rFonts w:ascii="GHEA Grapalat" w:hAnsi="GHEA Grapalat" w:cs="Sylfaen"/>
          <w:sz w:val="22"/>
          <w:szCs w:val="22"/>
        </w:rPr>
        <w:t xml:space="preserve"> մլրդ դրամ: Շեղումը հիմնականում արձանագրվել է Գերմանիայի զարգացման վարկերի բանկի (KFW) աջակցությամբ ՀՀ Սյունիքի մարզի բնության հատուկ պահպանվող տարածքների պահպանության դրամաշնորհային ծրագրում, որի կատարողականը կազմել է </w:t>
      </w:r>
      <w:r w:rsidRPr="001F63BA">
        <w:rPr>
          <w:rFonts w:ascii="GHEA Grapalat" w:hAnsi="GHEA Grapalat" w:cs="Sylfaen"/>
          <w:sz w:val="22"/>
          <w:szCs w:val="22"/>
          <w:lang w:val="en-US"/>
        </w:rPr>
        <w:t>12.8</w:t>
      </w:r>
      <w:r w:rsidRPr="001F63BA">
        <w:rPr>
          <w:rFonts w:ascii="GHEA Grapalat" w:hAnsi="GHEA Grapalat" w:cs="Sylfaen"/>
          <w:sz w:val="22"/>
          <w:szCs w:val="22"/>
        </w:rPr>
        <w:t xml:space="preserve">% կամ </w:t>
      </w:r>
      <w:r w:rsidRPr="001F63BA">
        <w:rPr>
          <w:rFonts w:ascii="GHEA Grapalat" w:hAnsi="GHEA Grapalat" w:cs="Sylfaen"/>
          <w:sz w:val="22"/>
          <w:szCs w:val="22"/>
          <w:lang w:val="en-US"/>
        </w:rPr>
        <w:t>119.5</w:t>
      </w:r>
      <w:r w:rsidRPr="001F63BA">
        <w:rPr>
          <w:rFonts w:ascii="GHEA Grapalat" w:hAnsi="GHEA Grapalat" w:cs="Sylfaen"/>
          <w:sz w:val="22"/>
          <w:szCs w:val="22"/>
        </w:rPr>
        <w:t xml:space="preserve"> մլն դրամ: Ցածր կատարողականը պայմանավորված է Սյունիքի մարզում աշխատանքների անհնարինությամբ՝ կապված սահմանային լարված իրավիճակ</w:t>
      </w:r>
      <w:r w:rsidRPr="001F63BA">
        <w:rPr>
          <w:rFonts w:ascii="GHEA Grapalat" w:hAnsi="GHEA Grapalat" w:cs="Sylfaen"/>
          <w:sz w:val="22"/>
          <w:szCs w:val="22"/>
          <w:lang w:val="en-US"/>
        </w:rPr>
        <w:t>ի և ՊՏԱԾ (պահպանվող տարածքների աջակցման ծրագրերի)</w:t>
      </w:r>
      <w:r w:rsidRPr="001F63BA">
        <w:rPr>
          <w:rFonts w:ascii="GHEA Grapalat" w:hAnsi="GHEA Grapalat" w:cs="Sylfaen"/>
          <w:sz w:val="22"/>
          <w:szCs w:val="22"/>
        </w:rPr>
        <w:t xml:space="preserve"> թիրախային 5 </w:t>
      </w:r>
      <w:r w:rsidRPr="001F63BA">
        <w:rPr>
          <w:rFonts w:ascii="GHEA Grapalat" w:hAnsi="GHEA Grapalat" w:cs="Sylfaen"/>
          <w:sz w:val="22"/>
          <w:szCs w:val="22"/>
          <w:lang w:val="en-US"/>
        </w:rPr>
        <w:t>պահպանվող տարածքների</w:t>
      </w:r>
      <w:r w:rsidRPr="001F63BA">
        <w:rPr>
          <w:rFonts w:ascii="GHEA Grapalat" w:hAnsi="GHEA Grapalat" w:cs="Sylfaen"/>
          <w:sz w:val="22"/>
          <w:szCs w:val="22"/>
        </w:rPr>
        <w:t xml:space="preserve"> (Շիկահող, Սոսու </w:t>
      </w:r>
      <w:r w:rsidRPr="001F63BA">
        <w:rPr>
          <w:rFonts w:ascii="GHEA Grapalat" w:hAnsi="GHEA Grapalat" w:cs="Sylfaen"/>
          <w:sz w:val="22"/>
          <w:szCs w:val="22"/>
          <w:lang w:val="en-US"/>
        </w:rPr>
        <w:t>պ</w:t>
      </w:r>
      <w:r w:rsidRPr="001F63BA">
        <w:rPr>
          <w:rFonts w:ascii="GHEA Grapalat" w:hAnsi="GHEA Grapalat" w:cs="Sylfaen"/>
          <w:sz w:val="22"/>
          <w:szCs w:val="22"/>
        </w:rPr>
        <w:t xml:space="preserve">ուրակ, Խուստուփ, Սև Լիճ, Զանգեզուր </w:t>
      </w:r>
      <w:r w:rsidRPr="001F63BA">
        <w:rPr>
          <w:rFonts w:ascii="GHEA Grapalat" w:hAnsi="GHEA Grapalat" w:cs="Sylfaen"/>
          <w:sz w:val="22"/>
          <w:szCs w:val="22"/>
          <w:lang w:val="en-US"/>
        </w:rPr>
        <w:t>պահպանվող արգելավայրեր</w:t>
      </w:r>
      <w:r w:rsidRPr="001F63BA">
        <w:rPr>
          <w:rFonts w:ascii="GHEA Grapalat" w:hAnsi="GHEA Grapalat" w:cs="Sylfaen"/>
          <w:sz w:val="22"/>
          <w:szCs w:val="22"/>
        </w:rPr>
        <w:t>) ելակետային ուսումնասիրությունների և կառավարման պլանների մշակման, «Զանգեզուր Կենսոլորտային Համալիր» ՊՈԱԿ-ի վարչական շենքի վերակառուցման նախագծման և Արևիք մ</w:t>
      </w:r>
      <w:r w:rsidRPr="001F63BA">
        <w:rPr>
          <w:rFonts w:ascii="GHEA Grapalat" w:hAnsi="GHEA Grapalat" w:cs="Sylfaen"/>
          <w:sz w:val="22"/>
          <w:szCs w:val="22"/>
          <w:lang w:val="en-US"/>
        </w:rPr>
        <w:t>ասնաճյուղ</w:t>
      </w:r>
      <w:r w:rsidRPr="001F63BA">
        <w:rPr>
          <w:rFonts w:ascii="GHEA Grapalat" w:hAnsi="GHEA Grapalat" w:cs="Sylfaen"/>
          <w:sz w:val="22"/>
          <w:szCs w:val="22"/>
        </w:rPr>
        <w:t>ի վարչական շենքի կառուցման նախագծման մրցութային և հաստատումների</w:t>
      </w:r>
      <w:r w:rsidRPr="001F63BA">
        <w:rPr>
          <w:rFonts w:ascii="GHEA Grapalat" w:hAnsi="GHEA Grapalat" w:cs="Sylfaen"/>
          <w:sz w:val="22"/>
          <w:szCs w:val="22"/>
          <w:lang w:val="en-US"/>
        </w:rPr>
        <w:t xml:space="preserve"> երկարատև</w:t>
      </w:r>
      <w:r w:rsidRPr="001F63BA">
        <w:rPr>
          <w:rFonts w:ascii="GHEA Grapalat" w:hAnsi="GHEA Grapalat" w:cs="Sylfaen"/>
          <w:sz w:val="22"/>
          <w:szCs w:val="22"/>
        </w:rPr>
        <w:t xml:space="preserve"> գործընթացների հ</w:t>
      </w:r>
      <w:r w:rsidRPr="001F63BA">
        <w:rPr>
          <w:rFonts w:ascii="GHEA Grapalat" w:hAnsi="GHEA Grapalat" w:cs="Sylfaen"/>
          <w:sz w:val="22"/>
          <w:szCs w:val="22"/>
          <w:lang w:val="en-US"/>
        </w:rPr>
        <w:t>ետ</w:t>
      </w:r>
      <w:r w:rsidRPr="001F63BA">
        <w:rPr>
          <w:rFonts w:ascii="GHEA Grapalat" w:hAnsi="GHEA Grapalat" w:cs="Sylfaen"/>
          <w:sz w:val="22"/>
          <w:szCs w:val="22"/>
        </w:rPr>
        <w:t>: Արդյունքում չեն ապահովվել ծրագրի շրջանակներում նախատեսված արդյունքային ցուցանիշները: 2022 թվականին ծախսված ֆինանսական միջոցներն ուղղվել են 2021 թվականի</w:t>
      </w:r>
      <w:r w:rsidRPr="001F63BA">
        <w:rPr>
          <w:rFonts w:ascii="GHEA Grapalat" w:hAnsi="GHEA Grapalat" w:cs="Sylfaen"/>
          <w:sz w:val="22"/>
          <w:szCs w:val="22"/>
          <w:lang w:val="en-US"/>
        </w:rPr>
        <w:t xml:space="preserve">ն ծագած և 2022 թվականին վճարման ենթակա </w:t>
      </w:r>
      <w:r w:rsidRPr="001F63BA">
        <w:rPr>
          <w:rFonts w:ascii="GHEA Grapalat" w:hAnsi="GHEA Grapalat" w:cs="Sylfaen"/>
          <w:sz w:val="22"/>
          <w:szCs w:val="22"/>
        </w:rPr>
        <w:t>պարտավորությունների մարմանը։</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lastRenderedPageBreak/>
        <w:t>Բնական պաշարների և բնության հատուկ պահպանվող տարածքների կառավարման և պահպանման ծրագրի շրջանակներում ավելի քան 1</w:t>
      </w:r>
      <w:r w:rsidRPr="001F63BA">
        <w:rPr>
          <w:rFonts w:ascii="GHEA Grapalat" w:hAnsi="GHEA Grapalat" w:cs="Sylfaen"/>
          <w:sz w:val="22"/>
          <w:szCs w:val="22"/>
          <w:lang w:val="en-US"/>
        </w:rPr>
        <w:t>.1</w:t>
      </w:r>
      <w:r w:rsidRPr="001F63BA">
        <w:rPr>
          <w:rFonts w:ascii="GHEA Grapalat" w:hAnsi="GHEA Grapalat" w:cs="Sylfaen"/>
          <w:sz w:val="22"/>
          <w:szCs w:val="22"/>
        </w:rPr>
        <w:t xml:space="preserve"> մլրդ դրամ (ծրագրվածի </w:t>
      </w:r>
      <w:r w:rsidRPr="001F63BA">
        <w:rPr>
          <w:rFonts w:ascii="GHEA Grapalat" w:hAnsi="GHEA Grapalat" w:cs="Sylfaen"/>
          <w:sz w:val="22"/>
          <w:szCs w:val="22"/>
          <w:lang w:val="en-US"/>
        </w:rPr>
        <w:t>98.6</w:t>
      </w:r>
      <w:r w:rsidRPr="001F63BA">
        <w:rPr>
          <w:rFonts w:ascii="GHEA Grapalat" w:hAnsi="GHEA Grapalat" w:cs="Sylfaen"/>
          <w:sz w:val="22"/>
          <w:szCs w:val="22"/>
        </w:rPr>
        <w:t xml:space="preserve">%-ը) ուղղվել է բնության հատուկ պահպանվող տարածքների («Սևան», «Դիլիջան», «Արփի լիճ» ազգային պարկերի, «Խոսրովի անտառ» պետական արգելոցի, Արգելոցապարկային համալիր և Զանգեզուր կենսոլորտային համալիր ԲՀՊ տարածքների) պահպանությանը, դրանցում գիտական ուսումնասիրությունների և անտառատնտեսական աշխատանքների կատարմանը: Ծրագրից շեղումը հիմնականում պայմանավորված է տնտեսումներով: Նշված միջոցառումների շրջանակներում հիմնականում ապահովվել են նախատեսված արդյունքային չափորոշիչները, որոշ չափորոշիչների գծով արձանագրվել է ծրագրված ցուցանիշների գերազանցում: </w:t>
      </w:r>
      <w:r w:rsidRPr="001F63BA">
        <w:rPr>
          <w:rFonts w:ascii="GHEA Grapalat" w:hAnsi="GHEA Grapalat" w:cs="Sylfaen"/>
          <w:sz w:val="22"/>
          <w:szCs w:val="22"/>
          <w:lang w:val="en-US"/>
        </w:rPr>
        <w:t xml:space="preserve">Իսկ </w:t>
      </w:r>
      <w:r w:rsidRPr="001F63BA">
        <w:rPr>
          <w:rFonts w:ascii="GHEA Grapalat" w:hAnsi="GHEA Grapalat" w:cs="Sylfaen"/>
          <w:sz w:val="22"/>
          <w:szCs w:val="22"/>
        </w:rPr>
        <w:t>«Սևան» ազգային պարկի պահպանության, պարկում գիտական ուսումնասիրությունների, անտառատնտեսական աշխատանքների կատարման միջոցառման շրջանակներում նախատեսված՝ Սևանա լճի ջրածածկ անտառտնկարկների մաքրման աշխատանքները թերակատարվել են՝ նախատեսված 5</w:t>
      </w:r>
      <w:r w:rsidRPr="001F63BA">
        <w:rPr>
          <w:rFonts w:ascii="GHEA Grapalat" w:hAnsi="GHEA Grapalat" w:cs="Sylfaen"/>
          <w:sz w:val="22"/>
          <w:szCs w:val="22"/>
          <w:lang w:val="en-US"/>
        </w:rPr>
        <w:t>3.6</w:t>
      </w:r>
      <w:r w:rsidRPr="001F63BA">
        <w:rPr>
          <w:rFonts w:ascii="GHEA Grapalat" w:hAnsi="GHEA Grapalat" w:cs="Sylfaen"/>
          <w:sz w:val="22"/>
          <w:szCs w:val="22"/>
        </w:rPr>
        <w:t xml:space="preserve"> հա-ի փոխարեն մաքրվել է </w:t>
      </w:r>
      <w:r w:rsidRPr="001F63BA">
        <w:rPr>
          <w:rFonts w:ascii="GHEA Grapalat" w:hAnsi="GHEA Grapalat" w:cs="Sylfaen"/>
          <w:sz w:val="22"/>
          <w:szCs w:val="22"/>
          <w:lang w:val="en-US"/>
        </w:rPr>
        <w:t>22.7</w:t>
      </w:r>
      <w:r w:rsidRPr="001F63BA">
        <w:rPr>
          <w:rFonts w:ascii="GHEA Grapalat" w:hAnsi="GHEA Grapalat" w:cs="Sylfaen"/>
          <w:sz w:val="22"/>
          <w:szCs w:val="22"/>
        </w:rPr>
        <w:t xml:space="preserve"> հա տարածք, որը պայմանավորված է եղել մեքենա</w:t>
      </w:r>
      <w:r w:rsidRPr="001F63BA">
        <w:rPr>
          <w:rFonts w:ascii="GHEA Grapalat" w:hAnsi="GHEA Grapalat" w:cs="Sylfaen"/>
          <w:sz w:val="22"/>
          <w:szCs w:val="22"/>
          <w:lang w:val="en-US"/>
        </w:rPr>
        <w:t xml:space="preserve">ների ու </w:t>
      </w:r>
      <w:r w:rsidRPr="001F63BA">
        <w:rPr>
          <w:rFonts w:ascii="GHEA Grapalat" w:hAnsi="GHEA Grapalat" w:cs="Sylfaen"/>
          <w:sz w:val="22"/>
          <w:szCs w:val="22"/>
        </w:rPr>
        <w:t>մեխանիզմերի քանակով և տեղանքի բարդությամբ: Միջոցառման շրջանակներում 2022 թվականին իրականացվել է Սևան ազգային պարկ ՊՈԱԿ-ի տնօրինության տակ գտնվող 147343 հա ԲՀՊ տարածքներում գտնվող բնական էկոհամակարգերի լանդշաֆտային և կենսաբանական բազմազանության, բնության ժառանգության պահպանություն։ Իրականացվել է բնակչության էկոլոգիական կրթությանն ու դաստիարակությանն ուղղված 25 միջոցառում։ Պահպանվել են ազգային պարկի տարածքում գտնվող հանրային 3 լողափեր, և սպասարկվել է 90000 մարդ։ Տնկվել է շուրջ 3000 տնկի, որը զբաղեցնում է 2.57 հա տարածք։ Իրականացվել է Սևանա լճում արդյունագործական ձկնորսության նպատակով մուտքի և ելքի 23 կետերի սպասարկում</w:t>
      </w:r>
      <w:r w:rsidRPr="001F63BA">
        <w:rPr>
          <w:rFonts w:ascii="GHEA Grapalat" w:hAnsi="GHEA Grapalat" w:cs="Sylfaen"/>
          <w:sz w:val="22"/>
          <w:szCs w:val="22"/>
          <w:lang w:val="en-US"/>
        </w:rPr>
        <w:t>:</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Նախորդ տարվա համեմատ Բնական պաշարների և բնության հատուկ պահպանվող տարածքների կառավարման և պահպանման ծրագրի ծախսերն</w:t>
      </w:r>
      <w:r w:rsidRPr="001F63BA">
        <w:rPr>
          <w:rFonts w:ascii="GHEA Grapalat" w:hAnsi="GHEA Grapalat" w:cs="Sylfaen"/>
          <w:sz w:val="22"/>
          <w:szCs w:val="22"/>
          <w:lang w:val="en-US"/>
        </w:rPr>
        <w:t xml:space="preserve"> աճ</w:t>
      </w:r>
      <w:r w:rsidRPr="001F63BA">
        <w:rPr>
          <w:rFonts w:ascii="GHEA Grapalat" w:hAnsi="GHEA Grapalat" w:cs="Sylfaen"/>
          <w:sz w:val="22"/>
          <w:szCs w:val="22"/>
        </w:rPr>
        <w:t xml:space="preserve">ել են </w:t>
      </w:r>
      <w:r w:rsidRPr="001F63BA">
        <w:rPr>
          <w:rFonts w:ascii="GHEA Grapalat" w:hAnsi="GHEA Grapalat" w:cs="Sylfaen"/>
          <w:sz w:val="22"/>
          <w:szCs w:val="22"/>
          <w:lang w:val="en-US"/>
        </w:rPr>
        <w:t>21.6</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շուրջ 323</w:t>
      </w:r>
      <w:r w:rsidRPr="001F63BA">
        <w:rPr>
          <w:rFonts w:ascii="GHEA Grapalat" w:hAnsi="GHEA Grapalat" w:cs="Sylfaen"/>
          <w:sz w:val="22"/>
          <w:szCs w:val="22"/>
        </w:rPr>
        <w:t xml:space="preserve"> մլն դրամով՝ հիմնականում պայմանավորված </w:t>
      </w:r>
      <w:r w:rsidRPr="001F63BA">
        <w:rPr>
          <w:rFonts w:ascii="GHEA Grapalat" w:hAnsi="GHEA Grapalat" w:cs="Sylfaen"/>
          <w:sz w:val="22"/>
          <w:szCs w:val="22"/>
          <w:lang w:val="en-US"/>
        </w:rPr>
        <w:t xml:space="preserve">2022 թվականին </w:t>
      </w:r>
      <w:r w:rsidRPr="001F63BA">
        <w:rPr>
          <w:rFonts w:ascii="GHEA Grapalat" w:hAnsi="GHEA Grapalat" w:cs="Sylfaen"/>
          <w:sz w:val="22"/>
          <w:szCs w:val="22"/>
        </w:rPr>
        <w:t>Սևանի իշխանի պաշարների վերականգնման և ձկնաբուծության զարգացման հիմնադրամի առողջացման</w:t>
      </w:r>
      <w:r w:rsidRPr="001F63BA">
        <w:rPr>
          <w:rFonts w:ascii="GHEA Grapalat" w:hAnsi="GHEA Grapalat" w:cs="Sylfaen"/>
          <w:sz w:val="22"/>
          <w:szCs w:val="22"/>
          <w:lang w:val="en-US"/>
        </w:rPr>
        <w:t>ը</w:t>
      </w:r>
      <w:r w:rsidRPr="001F63BA">
        <w:rPr>
          <w:rFonts w:ascii="GHEA Grapalat" w:hAnsi="GHEA Grapalat" w:cs="Sylfaen"/>
          <w:sz w:val="22"/>
          <w:szCs w:val="22"/>
        </w:rPr>
        <w:t xml:space="preserve"> </w:t>
      </w:r>
      <w:r w:rsidRPr="001F63BA">
        <w:rPr>
          <w:rFonts w:ascii="GHEA Grapalat" w:hAnsi="GHEA Grapalat" w:cs="Sylfaen"/>
          <w:sz w:val="22"/>
          <w:szCs w:val="22"/>
          <w:lang w:val="en-US"/>
        </w:rPr>
        <w:t xml:space="preserve">և «Սևան» ազգային պարկ» ՊՈԱԿ-ին </w:t>
      </w:r>
      <w:r w:rsidRPr="001F63BA">
        <w:rPr>
          <w:rFonts w:ascii="GHEA Grapalat" w:hAnsi="GHEA Grapalat" w:cs="Sylfaen"/>
          <w:sz w:val="22"/>
          <w:szCs w:val="22"/>
        </w:rPr>
        <w:t>աջակցությ</w:t>
      </w:r>
      <w:r w:rsidRPr="001F63BA">
        <w:rPr>
          <w:rFonts w:ascii="GHEA Grapalat" w:hAnsi="GHEA Grapalat" w:cs="Sylfaen"/>
          <w:sz w:val="22"/>
          <w:szCs w:val="22"/>
          <w:lang w:val="en-US"/>
        </w:rPr>
        <w:t>ան տրամադրմամբ՝ համապատասխանաբար 300 մլն դրամի և 174.2</w:t>
      </w:r>
      <w:r w:rsidRPr="001F63BA">
        <w:rPr>
          <w:rFonts w:ascii="Courier New" w:hAnsi="Courier New" w:cs="Courier New"/>
          <w:sz w:val="22"/>
          <w:szCs w:val="22"/>
          <w:lang w:val="en-US"/>
        </w:rPr>
        <w:t> </w:t>
      </w:r>
      <w:r w:rsidRPr="001F63BA">
        <w:rPr>
          <w:rFonts w:ascii="GHEA Grapalat" w:hAnsi="GHEA Grapalat" w:cs="Sylfaen"/>
          <w:sz w:val="22"/>
          <w:szCs w:val="22"/>
          <w:lang w:val="en-US"/>
        </w:rPr>
        <w:t>մլն դրամի չափով</w:t>
      </w:r>
      <w:r w:rsidRPr="001F63BA">
        <w:rPr>
          <w:rFonts w:ascii="GHEA Grapalat" w:hAnsi="GHEA Grapalat" w:cs="Sylfaen"/>
          <w:sz w:val="22"/>
          <w:szCs w:val="22"/>
        </w:rPr>
        <w:t>:</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Հաշվետու ժամանակահատվածում </w:t>
      </w:r>
      <w:r w:rsidRPr="001F63BA">
        <w:rPr>
          <w:rFonts w:ascii="GHEA Grapalat" w:hAnsi="GHEA Grapalat" w:cs="Sylfaen"/>
          <w:sz w:val="22"/>
          <w:szCs w:val="22"/>
          <w:lang w:val="en-US"/>
        </w:rPr>
        <w:t>ավելի քան 2.1</w:t>
      </w:r>
      <w:r w:rsidRPr="001F63BA">
        <w:rPr>
          <w:rFonts w:ascii="GHEA Grapalat" w:hAnsi="GHEA Grapalat" w:cs="Sylfaen"/>
          <w:sz w:val="22"/>
          <w:szCs w:val="22"/>
        </w:rPr>
        <w:t xml:space="preserve"> մլրդ դրամ է օգտագործվել </w:t>
      </w:r>
      <w:r w:rsidRPr="001F63BA">
        <w:rPr>
          <w:rFonts w:ascii="GHEA Grapalat" w:hAnsi="GHEA Grapalat" w:cs="Sylfaen"/>
          <w:i/>
          <w:sz w:val="22"/>
          <w:szCs w:val="22"/>
        </w:rPr>
        <w:t>Անտառների կառավարման</w:t>
      </w:r>
      <w:r w:rsidRPr="001F63BA">
        <w:rPr>
          <w:rFonts w:ascii="GHEA Grapalat" w:hAnsi="GHEA Grapalat" w:cs="Sylfaen"/>
          <w:sz w:val="22"/>
          <w:szCs w:val="22"/>
        </w:rPr>
        <w:t xml:space="preserve"> ծրագրի շրջանակներում՝ ապահովելով ծրագրված ցուցանիշի </w:t>
      </w:r>
      <w:r w:rsidRPr="001F63BA">
        <w:rPr>
          <w:rFonts w:ascii="GHEA Grapalat" w:hAnsi="GHEA Grapalat" w:cs="Sylfaen"/>
          <w:sz w:val="22"/>
          <w:szCs w:val="22"/>
          <w:lang w:val="en-US"/>
        </w:rPr>
        <w:t>97.6</w:t>
      </w:r>
      <w:r w:rsidRPr="001F63BA">
        <w:rPr>
          <w:rFonts w:ascii="GHEA Grapalat" w:hAnsi="GHEA Grapalat" w:cs="Sylfaen"/>
          <w:sz w:val="22"/>
          <w:szCs w:val="22"/>
        </w:rPr>
        <w:t xml:space="preserve">%-ը: </w:t>
      </w:r>
      <w:bookmarkStart w:id="256" w:name="_Hlk77258709"/>
      <w:r w:rsidRPr="001F63BA">
        <w:rPr>
          <w:rFonts w:ascii="GHEA Grapalat" w:hAnsi="GHEA Grapalat" w:cs="Sylfaen"/>
          <w:sz w:val="22"/>
          <w:szCs w:val="22"/>
        </w:rPr>
        <w:t xml:space="preserve">Շեղումը </w:t>
      </w:r>
      <w:r w:rsidRPr="001F63BA">
        <w:rPr>
          <w:rFonts w:ascii="GHEA Grapalat" w:hAnsi="GHEA Grapalat" w:cs="Sylfaen"/>
          <w:sz w:val="22"/>
          <w:szCs w:val="22"/>
          <w:lang w:val="en-US"/>
        </w:rPr>
        <w:t>մասամբ</w:t>
      </w:r>
      <w:r w:rsidRPr="001F63BA">
        <w:rPr>
          <w:rFonts w:ascii="GHEA Grapalat" w:hAnsi="GHEA Grapalat" w:cs="Sylfaen"/>
          <w:sz w:val="22"/>
          <w:szCs w:val="22"/>
        </w:rPr>
        <w:t xml:space="preserve"> պայմանավորված է Անտառվերականգնման և անտառապատման աշխատանքների գծով ծախսերի կատարողականով, որը կազմել է 9</w:t>
      </w:r>
      <w:r w:rsidRPr="001F63BA">
        <w:rPr>
          <w:rFonts w:ascii="GHEA Grapalat" w:hAnsi="GHEA Grapalat" w:cs="Sylfaen"/>
          <w:sz w:val="22"/>
          <w:szCs w:val="22"/>
          <w:lang w:val="en-US"/>
        </w:rPr>
        <w:t>3</w:t>
      </w:r>
      <w:r w:rsidRPr="001F63BA">
        <w:rPr>
          <w:rFonts w:ascii="GHEA Grapalat" w:hAnsi="GHEA Grapalat" w:cs="Sylfaen"/>
          <w:sz w:val="22"/>
          <w:szCs w:val="22"/>
        </w:rPr>
        <w:t>.1% կամ 360.3 մլն դրամ</w:t>
      </w:r>
      <w:r w:rsidRPr="001F63BA">
        <w:rPr>
          <w:rFonts w:ascii="GHEA Grapalat" w:hAnsi="GHEA Grapalat" w:cs="Sylfaen"/>
          <w:sz w:val="22"/>
          <w:szCs w:val="22"/>
          <w:lang w:val="en-US"/>
        </w:rPr>
        <w:t>՝</w:t>
      </w:r>
      <w:r w:rsidRPr="001F63BA">
        <w:rPr>
          <w:rFonts w:ascii="GHEA Grapalat" w:hAnsi="GHEA Grapalat" w:cs="Sylfaen"/>
          <w:sz w:val="22"/>
          <w:szCs w:val="22"/>
        </w:rPr>
        <w:t xml:space="preserve"> պայմանավորված բնակլիմայական պայմաններով և աշխատուժի անհրաժեշտ քանակի չհամալրմամբ:</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lastRenderedPageBreak/>
        <w:t xml:space="preserve">Անտառների կառավարման ծրագրի կատարողականը պայմանավորված է նաև Անտառային ոլորտում քաղաքականության մշակման և աջակցության ծառայությունների ու ծրագրերի համակարգման ծախսերի կատարողականով, որը կազմել է </w:t>
      </w:r>
      <w:r w:rsidRPr="001F63BA">
        <w:rPr>
          <w:rFonts w:ascii="GHEA Grapalat" w:hAnsi="GHEA Grapalat" w:cs="Sylfaen"/>
          <w:sz w:val="22"/>
          <w:szCs w:val="22"/>
          <w:lang w:val="en-US"/>
        </w:rPr>
        <w:t>91</w:t>
      </w:r>
      <w:r w:rsidRPr="001F63BA">
        <w:rPr>
          <w:rFonts w:ascii="GHEA Grapalat" w:hAnsi="GHEA Grapalat" w:cs="Sylfaen"/>
          <w:sz w:val="22"/>
          <w:szCs w:val="22"/>
        </w:rPr>
        <w:t xml:space="preserve">% կամ </w:t>
      </w:r>
      <w:r w:rsidRPr="001F63BA">
        <w:rPr>
          <w:rFonts w:ascii="GHEA Grapalat" w:hAnsi="GHEA Grapalat" w:cs="Sylfaen"/>
          <w:sz w:val="22"/>
          <w:szCs w:val="22"/>
          <w:lang w:val="en-US"/>
        </w:rPr>
        <w:t>226.8</w:t>
      </w:r>
      <w:r w:rsidRPr="001F63BA">
        <w:rPr>
          <w:rFonts w:ascii="GHEA Grapalat" w:hAnsi="GHEA Grapalat" w:cs="Sylfaen"/>
          <w:sz w:val="22"/>
          <w:szCs w:val="22"/>
        </w:rPr>
        <w:t xml:space="preserve"> մլն դրամ, </w:t>
      </w:r>
      <w:r w:rsidRPr="001F63BA">
        <w:rPr>
          <w:rFonts w:ascii="GHEA Grapalat" w:hAnsi="GHEA Grapalat" w:cs="Sylfaen"/>
          <w:sz w:val="22"/>
          <w:szCs w:val="22"/>
          <w:lang w:val="en-US"/>
        </w:rPr>
        <w:t xml:space="preserve">և </w:t>
      </w:r>
      <w:r w:rsidRPr="001F63BA">
        <w:rPr>
          <w:rFonts w:ascii="GHEA Grapalat" w:hAnsi="GHEA Grapalat" w:cs="Sylfaen"/>
          <w:sz w:val="22"/>
          <w:szCs w:val="22"/>
        </w:rPr>
        <w:t xml:space="preserve">պայմանավորված է ՀՀ շրջակա միջավայրի նախարարության Անտառային կոմիտեի և </w:t>
      </w:r>
      <w:bookmarkStart w:id="257" w:name="_Hlk69981403"/>
      <w:r w:rsidRPr="001F63BA">
        <w:rPr>
          <w:rFonts w:ascii="GHEA Grapalat" w:hAnsi="GHEA Grapalat" w:cs="Sylfaen"/>
          <w:sz w:val="22"/>
          <w:szCs w:val="22"/>
        </w:rPr>
        <w:t xml:space="preserve">«Հայանտառ» </w:t>
      </w:r>
      <w:bookmarkEnd w:id="257"/>
      <w:r w:rsidRPr="001F63BA">
        <w:rPr>
          <w:rFonts w:ascii="GHEA Grapalat" w:hAnsi="GHEA Grapalat" w:cs="Sylfaen"/>
          <w:sz w:val="22"/>
          <w:szCs w:val="22"/>
        </w:rPr>
        <w:t>ՊՈԱԿ-ի կողմից տարածքի համատեղ օգտագործմամբ, ինչի արդյունքում որոշ ծախսերի գծով նախատեսված միջոցները տնտեսվել են:</w:t>
      </w:r>
      <w:bookmarkEnd w:id="256"/>
      <w:r w:rsidRPr="001F63BA">
        <w:rPr>
          <w:rFonts w:ascii="GHEA Grapalat" w:hAnsi="GHEA Grapalat" w:cs="Sylfaen"/>
          <w:sz w:val="22"/>
          <w:szCs w:val="22"/>
        </w:rPr>
        <w:t xml:space="preserve"> </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Անտառների կառավարման ծրագրի միջոցառումների շրջանակներում նախատեսված արդյունքային չափորոշիչները հիմնականում ապահովվել են: Ծրագրին հատկացված միջոցների հիմնական մասը՝ ավելի քան 1.3 մլրդ դրամ, տրամադրվել է անտառպահպանական ծառայություններին՝ ապահովելով 100% կատարողական: Միջոցառման շրջանակներում ապահովվել է 342.4 հազար հա անտառային տարածքների պահպանում</w:t>
      </w:r>
      <w:r w:rsidRPr="001F63BA">
        <w:rPr>
          <w:rFonts w:ascii="GHEA Grapalat" w:hAnsi="GHEA Grapalat" w:cs="Sylfaen"/>
          <w:sz w:val="22"/>
          <w:szCs w:val="22"/>
          <w:lang w:val="en-US"/>
        </w:rPr>
        <w:t>ը</w:t>
      </w:r>
      <w:r w:rsidRPr="001F63BA">
        <w:rPr>
          <w:rFonts w:ascii="GHEA Grapalat" w:hAnsi="GHEA Grapalat" w:cs="Sylfaen"/>
          <w:sz w:val="22"/>
          <w:szCs w:val="22"/>
        </w:rPr>
        <w:t xml:space="preserve">, Անտառային կոմիտեի </w:t>
      </w:r>
      <w:r w:rsidRPr="001F63BA">
        <w:rPr>
          <w:rFonts w:ascii="GHEA Grapalat" w:hAnsi="GHEA Grapalat" w:cs="Sylfaen"/>
          <w:bCs/>
          <w:sz w:val="22"/>
          <w:szCs w:val="22"/>
        </w:rPr>
        <w:t>«Հայանտառ» ՊՈԱԿ-ի Անտառտնտեսություն» մասնաճյուղերի կողմից ազգաբնակչությանը տրամադրվել է 80093.2 պահեստային խմ անվճար թափուկ վառելափայտ</w:t>
      </w:r>
      <w:r w:rsidRPr="001F63BA">
        <w:rPr>
          <w:rFonts w:ascii="GHEA Grapalat" w:hAnsi="GHEA Grapalat" w:cs="Sylfaen"/>
          <w:sz w:val="22"/>
          <w:szCs w:val="22"/>
          <w:lang w:val="en-US"/>
        </w:rPr>
        <w:t>, անտառտնտեսությունների մասնաճյուղերում վերապատրաստում է անցել 178 անձ:</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Նախորդ տարվա համեմատ Անտառների կառավարման ծրագրի ծախսերն</w:t>
      </w:r>
      <w:r w:rsidRPr="001F63BA">
        <w:rPr>
          <w:rFonts w:ascii="GHEA Grapalat" w:hAnsi="GHEA Grapalat" w:cs="Sylfaen"/>
          <w:sz w:val="22"/>
          <w:szCs w:val="22"/>
          <w:lang w:val="en-US"/>
        </w:rPr>
        <w:t xml:space="preserve"> աճ</w:t>
      </w:r>
      <w:r w:rsidRPr="001F63BA">
        <w:rPr>
          <w:rFonts w:ascii="GHEA Grapalat" w:hAnsi="GHEA Grapalat" w:cs="Sylfaen"/>
          <w:sz w:val="22"/>
          <w:szCs w:val="22"/>
        </w:rPr>
        <w:t>ել են 1</w:t>
      </w:r>
      <w:r w:rsidRPr="001F63BA">
        <w:rPr>
          <w:rFonts w:ascii="GHEA Grapalat" w:hAnsi="GHEA Grapalat" w:cs="Sylfaen"/>
          <w:sz w:val="22"/>
          <w:szCs w:val="22"/>
          <w:lang w:val="en-US"/>
        </w:rPr>
        <w:t>7</w:t>
      </w:r>
      <w:r w:rsidRPr="001F63BA">
        <w:rPr>
          <w:rFonts w:ascii="GHEA Grapalat" w:hAnsi="GHEA Grapalat" w:cs="Sylfaen"/>
          <w:sz w:val="22"/>
          <w:szCs w:val="22"/>
        </w:rPr>
        <w:t>.6%-ով կամ 3</w:t>
      </w:r>
      <w:r w:rsidRPr="001F63BA">
        <w:rPr>
          <w:rFonts w:ascii="GHEA Grapalat" w:hAnsi="GHEA Grapalat" w:cs="Sylfaen"/>
          <w:sz w:val="22"/>
          <w:szCs w:val="22"/>
          <w:lang w:val="en-US"/>
        </w:rPr>
        <w:t>2</w:t>
      </w:r>
      <w:r w:rsidRPr="001F63BA">
        <w:rPr>
          <w:rFonts w:ascii="GHEA Grapalat" w:hAnsi="GHEA Grapalat" w:cs="Sylfaen"/>
          <w:sz w:val="22"/>
          <w:szCs w:val="22"/>
        </w:rPr>
        <w:t>0.</w:t>
      </w:r>
      <w:r w:rsidRPr="001F63BA">
        <w:rPr>
          <w:rFonts w:ascii="GHEA Grapalat" w:hAnsi="GHEA Grapalat" w:cs="Sylfaen"/>
          <w:sz w:val="22"/>
          <w:szCs w:val="22"/>
          <w:lang w:val="en-US"/>
        </w:rPr>
        <w:t>9</w:t>
      </w:r>
      <w:r w:rsidRPr="001F63BA">
        <w:rPr>
          <w:rFonts w:ascii="GHEA Grapalat" w:hAnsi="GHEA Grapalat" w:cs="Sylfaen"/>
          <w:sz w:val="22"/>
          <w:szCs w:val="22"/>
        </w:rPr>
        <w:t xml:space="preserve"> մլն դրամով՝ հիմնականում պայմանավորված անտառվերականգնման և անտառապատման աշխատանքների </w:t>
      </w:r>
      <w:r w:rsidRPr="001F63BA">
        <w:rPr>
          <w:rFonts w:ascii="GHEA Grapalat" w:hAnsi="GHEA Grapalat" w:cs="Sylfaen"/>
          <w:sz w:val="22"/>
          <w:szCs w:val="22"/>
          <w:lang w:val="en-US"/>
        </w:rPr>
        <w:t xml:space="preserve">և անտառկառավարման պլանների կազմման </w:t>
      </w:r>
      <w:r w:rsidRPr="001F63BA">
        <w:rPr>
          <w:rFonts w:ascii="GHEA Grapalat" w:hAnsi="GHEA Grapalat" w:cs="Sylfaen"/>
          <w:sz w:val="22"/>
          <w:szCs w:val="22"/>
        </w:rPr>
        <w:t>միջոցառ</w:t>
      </w:r>
      <w:r w:rsidRPr="001F63BA">
        <w:rPr>
          <w:rFonts w:ascii="GHEA Grapalat" w:hAnsi="GHEA Grapalat" w:cs="Sylfaen"/>
          <w:sz w:val="22"/>
          <w:szCs w:val="22"/>
          <w:lang w:val="en-US"/>
        </w:rPr>
        <w:t>ու</w:t>
      </w:r>
      <w:r w:rsidRPr="001F63BA">
        <w:rPr>
          <w:rFonts w:ascii="GHEA Grapalat" w:hAnsi="GHEA Grapalat" w:cs="Sylfaen"/>
          <w:sz w:val="22"/>
          <w:szCs w:val="22"/>
        </w:rPr>
        <w:t>մ</w:t>
      </w:r>
      <w:r w:rsidRPr="001F63BA">
        <w:rPr>
          <w:rFonts w:ascii="GHEA Grapalat" w:hAnsi="GHEA Grapalat" w:cs="Sylfaen"/>
          <w:sz w:val="22"/>
          <w:szCs w:val="22"/>
          <w:lang w:val="en-US"/>
        </w:rPr>
        <w:t>ների</w:t>
      </w:r>
      <w:r w:rsidRPr="001F63BA">
        <w:rPr>
          <w:rFonts w:ascii="GHEA Grapalat" w:hAnsi="GHEA Grapalat" w:cs="Sylfaen"/>
          <w:sz w:val="22"/>
          <w:szCs w:val="22"/>
        </w:rPr>
        <w:t xml:space="preserve"> շրջանակներում </w:t>
      </w:r>
      <w:r w:rsidRPr="001F63BA">
        <w:rPr>
          <w:rFonts w:ascii="GHEA Grapalat" w:hAnsi="GHEA Grapalat" w:cs="Sylfaen"/>
          <w:sz w:val="22"/>
          <w:szCs w:val="22"/>
          <w:lang w:val="en-US"/>
        </w:rPr>
        <w:t>իրականացված</w:t>
      </w:r>
      <w:r w:rsidRPr="001F63BA">
        <w:rPr>
          <w:rFonts w:ascii="GHEA Grapalat" w:hAnsi="GHEA Grapalat" w:cs="Sylfaen"/>
          <w:sz w:val="22"/>
          <w:szCs w:val="22"/>
        </w:rPr>
        <w:t xml:space="preserve"> </w:t>
      </w:r>
      <w:r w:rsidRPr="001F63BA">
        <w:rPr>
          <w:rFonts w:ascii="GHEA Grapalat" w:hAnsi="GHEA Grapalat" w:cs="Sylfaen"/>
          <w:sz w:val="22"/>
          <w:szCs w:val="22"/>
          <w:lang w:val="en-US"/>
        </w:rPr>
        <w:t>աշխատանքների ծավալների աճով, ինչի արդյունքում ծախսերն աճել են համապատասխանաբար 54.7%-ով կամ 127.4 մլն դրամով և 3.7 անգամ կամ 127.1 մլն դրամով</w:t>
      </w:r>
      <w:r w:rsidRPr="001F63BA">
        <w:rPr>
          <w:rFonts w:ascii="GHEA Grapalat" w:hAnsi="GHEA Grapalat" w:cs="Sylfaen"/>
          <w:sz w:val="22"/>
          <w:szCs w:val="22"/>
        </w:rPr>
        <w:t>:</w:t>
      </w:r>
    </w:p>
    <w:p w:rsidR="001C411D" w:rsidRPr="001F63BA" w:rsidRDefault="001C411D" w:rsidP="00C52507">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2021 թվականին ՀՀ շրջակա միջավայրի նախարարության պատասխանատվությամբ իրականացվող այլ ծրագրերին տրամադրված 1.</w:t>
      </w:r>
      <w:r w:rsidRPr="001F63BA">
        <w:rPr>
          <w:rFonts w:ascii="GHEA Grapalat" w:hAnsi="GHEA Grapalat" w:cs="Sylfaen"/>
          <w:sz w:val="22"/>
          <w:szCs w:val="22"/>
          <w:lang w:val="en-US"/>
        </w:rPr>
        <w:t>5</w:t>
      </w:r>
      <w:r w:rsidRPr="001F63BA">
        <w:rPr>
          <w:rFonts w:ascii="GHEA Grapalat" w:hAnsi="GHEA Grapalat" w:cs="Sylfaen"/>
          <w:sz w:val="22"/>
          <w:szCs w:val="22"/>
        </w:rPr>
        <w:t xml:space="preserve"> մլրդ դրամից </w:t>
      </w:r>
      <w:r w:rsidRPr="001F63BA">
        <w:rPr>
          <w:rFonts w:ascii="GHEA Grapalat" w:hAnsi="GHEA Grapalat" w:cs="Sylfaen"/>
          <w:sz w:val="22"/>
          <w:szCs w:val="22"/>
          <w:lang w:val="en-US"/>
        </w:rPr>
        <w:t>344.9</w:t>
      </w:r>
      <w:r w:rsidRPr="001F63BA">
        <w:rPr>
          <w:rFonts w:ascii="GHEA Grapalat" w:hAnsi="GHEA Grapalat" w:cs="Sylfaen"/>
          <w:sz w:val="22"/>
          <w:szCs w:val="22"/>
        </w:rPr>
        <w:t xml:space="preserve"> մլն դրամ</w:t>
      </w:r>
      <w:r w:rsidRPr="001F63BA">
        <w:rPr>
          <w:rFonts w:ascii="GHEA Grapalat" w:hAnsi="GHEA Grapalat" w:cs="Sylfaen"/>
          <w:sz w:val="22"/>
          <w:szCs w:val="22"/>
          <w:lang w:val="en-US"/>
        </w:rPr>
        <w:t>ն ուղղվել է</w:t>
      </w:r>
      <w:r w:rsidRPr="001F63BA">
        <w:rPr>
          <w:rFonts w:ascii="GHEA Grapalat" w:hAnsi="GHEA Grapalat" w:cs="Sylfaen"/>
          <w:i/>
          <w:sz w:val="22"/>
          <w:szCs w:val="22"/>
        </w:rPr>
        <w:t xml:space="preserve"> Բնագիտական նմուշների պահպանության և ցուցադրության</w:t>
      </w:r>
      <w:r w:rsidRPr="001F63BA">
        <w:rPr>
          <w:rFonts w:ascii="GHEA Grapalat" w:hAnsi="GHEA Grapalat" w:cs="Sylfaen"/>
          <w:sz w:val="22"/>
          <w:szCs w:val="22"/>
        </w:rPr>
        <w:t xml:space="preserve"> ծրագրին՝ </w:t>
      </w:r>
      <w:r w:rsidRPr="001F63BA">
        <w:rPr>
          <w:rFonts w:ascii="GHEA Grapalat" w:hAnsi="GHEA Grapalat" w:cs="Sylfaen"/>
          <w:sz w:val="22"/>
          <w:szCs w:val="22"/>
          <w:lang w:val="en-US"/>
        </w:rPr>
        <w:t>ամբողջությամբ ապահովելով ծրագրային ցուցանիշը</w:t>
      </w:r>
      <w:r w:rsidRPr="001F63BA">
        <w:rPr>
          <w:rFonts w:ascii="GHEA Grapalat" w:hAnsi="GHEA Grapalat" w:cs="Sylfaen"/>
          <w:sz w:val="22"/>
          <w:szCs w:val="22"/>
        </w:rPr>
        <w:t xml:space="preserve">: Նշված գումարից </w:t>
      </w:r>
      <w:r w:rsidRPr="001F63BA">
        <w:rPr>
          <w:rFonts w:ascii="GHEA Grapalat" w:hAnsi="GHEA Grapalat" w:cs="Sylfaen"/>
          <w:sz w:val="22"/>
          <w:szCs w:val="22"/>
          <w:lang w:val="en-US"/>
        </w:rPr>
        <w:t>302.6</w:t>
      </w:r>
      <w:r w:rsidRPr="001F63BA">
        <w:rPr>
          <w:rFonts w:ascii="GHEA Grapalat" w:hAnsi="GHEA Grapalat" w:cs="Sylfaen"/>
          <w:sz w:val="22"/>
          <w:szCs w:val="22"/>
        </w:rPr>
        <w:t xml:space="preserve"> մլն դրամն ուղղվել է կենդանաբանական այգու ցուցադրություններին, </w:t>
      </w:r>
      <w:r w:rsidRPr="001F63BA">
        <w:rPr>
          <w:rFonts w:ascii="GHEA Grapalat" w:hAnsi="GHEA Grapalat" w:cs="Sylfaen"/>
          <w:sz w:val="22"/>
          <w:szCs w:val="22"/>
          <w:lang w:val="en-US"/>
        </w:rPr>
        <w:t>42.3</w:t>
      </w:r>
      <w:r w:rsidRPr="001F63BA">
        <w:rPr>
          <w:rFonts w:ascii="GHEA Grapalat" w:hAnsi="GHEA Grapalat" w:cs="Sylfaen"/>
          <w:sz w:val="22"/>
          <w:szCs w:val="22"/>
        </w:rPr>
        <w:t xml:space="preserve"> մլն դրամը՝ բնագիտական նմուշների պահպանությանը և ցուցադրությանը: Նախորդ տարվա համեմատ ծրագրի ծախսեր</w:t>
      </w:r>
      <w:r w:rsidRPr="001F63BA">
        <w:rPr>
          <w:rFonts w:ascii="GHEA Grapalat" w:hAnsi="GHEA Grapalat" w:cs="Sylfaen"/>
          <w:sz w:val="22"/>
          <w:szCs w:val="22"/>
          <w:lang w:val="en-US"/>
        </w:rPr>
        <w:t>ը</w:t>
      </w:r>
      <w:r w:rsidRPr="001F63BA">
        <w:rPr>
          <w:rFonts w:ascii="GHEA Grapalat" w:hAnsi="GHEA Grapalat" w:cs="Sylfaen"/>
          <w:sz w:val="22"/>
          <w:szCs w:val="22"/>
        </w:rPr>
        <w:t xml:space="preserve"> </w:t>
      </w:r>
      <w:r w:rsidRPr="001F63BA">
        <w:rPr>
          <w:rFonts w:ascii="GHEA Grapalat" w:hAnsi="GHEA Grapalat" w:cs="Sylfaen"/>
          <w:sz w:val="22"/>
          <w:szCs w:val="22"/>
          <w:lang w:val="en-US"/>
        </w:rPr>
        <w:t>նվազել</w:t>
      </w:r>
      <w:r w:rsidRPr="001F63BA">
        <w:rPr>
          <w:rFonts w:ascii="GHEA Grapalat" w:hAnsi="GHEA Grapalat" w:cs="Sylfaen"/>
          <w:sz w:val="22"/>
          <w:szCs w:val="22"/>
        </w:rPr>
        <w:t xml:space="preserve"> են </w:t>
      </w:r>
      <w:r w:rsidRPr="001F63BA">
        <w:rPr>
          <w:rFonts w:ascii="GHEA Grapalat" w:hAnsi="GHEA Grapalat" w:cs="Sylfaen"/>
          <w:sz w:val="22"/>
          <w:szCs w:val="22"/>
          <w:lang w:val="en-US"/>
        </w:rPr>
        <w:t>2.5</w:t>
      </w:r>
      <w:r w:rsidRPr="001F63BA">
        <w:rPr>
          <w:rFonts w:ascii="GHEA Grapalat" w:hAnsi="GHEA Grapalat" w:cs="Sylfaen"/>
          <w:sz w:val="22"/>
          <w:szCs w:val="22"/>
        </w:rPr>
        <w:t>%-ով (</w:t>
      </w:r>
      <w:r w:rsidRPr="001F63BA">
        <w:rPr>
          <w:rFonts w:ascii="GHEA Grapalat" w:hAnsi="GHEA Grapalat" w:cs="Sylfaen"/>
          <w:sz w:val="22"/>
          <w:szCs w:val="22"/>
          <w:lang w:val="en-US"/>
        </w:rPr>
        <w:t>8.7</w:t>
      </w:r>
      <w:r w:rsidRPr="001F63BA">
        <w:rPr>
          <w:rFonts w:ascii="GHEA Grapalat" w:hAnsi="GHEA Grapalat" w:cs="Sylfaen"/>
          <w:sz w:val="22"/>
          <w:szCs w:val="22"/>
        </w:rPr>
        <w:t xml:space="preserve"> մլն դրամով), որը հիմնականում պայմանավորված է 2021 թվականին պետական բյուջեից հատկացված դրամաշնորհի նկատմամբ հաշվարկված ԱԱՀ</w:t>
      </w:r>
      <w:r w:rsidRPr="001F63BA">
        <w:rPr>
          <w:rFonts w:ascii="GHEA Grapalat" w:hAnsi="GHEA Grapalat" w:cs="Sylfaen"/>
          <w:sz w:val="22"/>
          <w:szCs w:val="22"/>
          <w:lang w:val="en-US"/>
        </w:rPr>
        <w:t>-</w:t>
      </w:r>
      <w:r w:rsidRPr="001F63BA">
        <w:rPr>
          <w:rFonts w:ascii="GHEA Grapalat" w:hAnsi="GHEA Grapalat" w:cs="Sylfaen"/>
          <w:sz w:val="22"/>
          <w:szCs w:val="22"/>
        </w:rPr>
        <w:t>ի փոխհատուցմամբ:</w:t>
      </w:r>
      <w:r w:rsidRPr="001F63BA">
        <w:rPr>
          <w:rFonts w:ascii="GHEA Grapalat" w:hAnsi="GHEA Grapalat" w:cs="Sylfaen"/>
          <w:sz w:val="22"/>
          <w:szCs w:val="22"/>
          <w:lang w:val="en-US"/>
        </w:rPr>
        <w:t xml:space="preserve"> 2022 թվականին կենդանաբանական այգու այցելուների թիվը կազմել է 300643՝ կանխատեսված </w:t>
      </w:r>
      <w:r w:rsidRPr="001F63BA">
        <w:rPr>
          <w:rFonts w:ascii="GHEA Grapalat" w:hAnsi="GHEA Grapalat" w:cs="Sylfaen"/>
          <w:sz w:val="22"/>
          <w:szCs w:val="22"/>
        </w:rPr>
        <w:t>150000</w:t>
      </w:r>
      <w:r w:rsidRPr="001F63BA">
        <w:rPr>
          <w:rFonts w:ascii="GHEA Grapalat" w:hAnsi="GHEA Grapalat" w:cs="Sylfaen"/>
          <w:sz w:val="22"/>
          <w:szCs w:val="22"/>
        </w:rPr>
        <w:noBreakHyphen/>
        <w:t>ի դիմաց, իսկ Հայաստանի բնության պետական թանգարան</w:t>
      </w:r>
      <w:r w:rsidRPr="001F63BA">
        <w:rPr>
          <w:rFonts w:ascii="GHEA Grapalat" w:hAnsi="GHEA Grapalat" w:cs="Sylfaen"/>
          <w:sz w:val="22"/>
          <w:szCs w:val="22"/>
          <w:lang w:val="en-US"/>
        </w:rPr>
        <w:t>ի այցելուների թիվը՝ 22423՝ կանխատեսված 20700-ի դիմաց:</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Times Armenian"/>
          <w:i/>
          <w:sz w:val="22"/>
          <w:szCs w:val="22"/>
          <w:u w:val="single"/>
        </w:rPr>
        <w:lastRenderedPageBreak/>
        <w:t>ՀՀ</w:t>
      </w:r>
      <w:r w:rsidRPr="001F63BA">
        <w:rPr>
          <w:rFonts w:ascii="GHEA Grapalat" w:hAnsi="GHEA Grapalat" w:cs="Sylfaen"/>
          <w:i/>
          <w:sz w:val="22"/>
          <w:szCs w:val="22"/>
          <w:u w:val="single"/>
        </w:rPr>
        <w:t xml:space="preserve"> կրթության, գիտության, մշակույթի և սպորտի նախարարության</w:t>
      </w:r>
      <w:r w:rsidRPr="001F63BA">
        <w:rPr>
          <w:rFonts w:ascii="GHEA Grapalat" w:hAnsi="GHEA Grapalat" w:cs="Sylfaen"/>
          <w:sz w:val="22"/>
          <w:szCs w:val="22"/>
        </w:rPr>
        <w:t xml:space="preserve"> պատասխանատվության ներքո 2022 թվականի ընթացքում իրականացվել են 21 ծրագրեր, որոնց շրջանակներում օգտագործվել է 202.</w:t>
      </w:r>
      <w:r w:rsidRPr="001F63BA">
        <w:rPr>
          <w:rFonts w:ascii="GHEA Grapalat" w:hAnsi="GHEA Grapalat" w:cs="Sylfaen"/>
          <w:sz w:val="22"/>
          <w:szCs w:val="22"/>
          <w:lang w:val="en-US"/>
        </w:rPr>
        <w:t>6</w:t>
      </w:r>
      <w:r w:rsidRPr="001F63BA">
        <w:rPr>
          <w:rFonts w:ascii="GHEA Grapalat" w:hAnsi="GHEA Grapalat" w:cs="Sylfaen"/>
          <w:sz w:val="22"/>
          <w:szCs w:val="22"/>
        </w:rPr>
        <w:t xml:space="preserve"> մլրդ դրամ՝ ապահովելով ծրագրված ցուցանիշի 9</w:t>
      </w:r>
      <w:r w:rsidRPr="001F63BA">
        <w:rPr>
          <w:rFonts w:ascii="GHEA Grapalat" w:hAnsi="GHEA Grapalat" w:cs="Sylfaen"/>
          <w:sz w:val="22"/>
          <w:szCs w:val="22"/>
          <w:lang w:val="en-US"/>
        </w:rPr>
        <w:t>7</w:t>
      </w:r>
      <w:r w:rsidRPr="001F63BA">
        <w:rPr>
          <w:rFonts w:ascii="GHEA Grapalat" w:hAnsi="GHEA Grapalat" w:cs="Sylfaen"/>
          <w:sz w:val="22"/>
          <w:szCs w:val="22"/>
        </w:rPr>
        <w:t>.</w:t>
      </w:r>
      <w:r w:rsidRPr="001F63BA">
        <w:rPr>
          <w:rFonts w:ascii="GHEA Grapalat" w:hAnsi="GHEA Grapalat" w:cs="Sylfaen"/>
          <w:sz w:val="22"/>
          <w:szCs w:val="22"/>
          <w:lang w:val="en-US"/>
        </w:rPr>
        <w:t>3</w:t>
      </w:r>
      <w:r w:rsidRPr="001F63BA">
        <w:rPr>
          <w:rFonts w:ascii="GHEA Grapalat" w:hAnsi="GHEA Grapalat" w:cs="Sylfaen"/>
          <w:sz w:val="22"/>
          <w:szCs w:val="22"/>
        </w:rPr>
        <w:t xml:space="preserve">% կատարողական: Գրեթե բոլոր ծրագրերում արձանագրվել են շեղումներ: Առանձնապես խոշոր շեղումներ են արձանագրվել </w:t>
      </w:r>
      <w:r w:rsidRPr="001F63BA">
        <w:rPr>
          <w:rFonts w:ascii="GHEA Grapalat" w:hAnsi="GHEA Grapalat" w:cs="Sylfaen"/>
          <w:sz w:val="22"/>
          <w:szCs w:val="22"/>
          <w:lang w:val="en-US"/>
        </w:rPr>
        <w:t xml:space="preserve">Ապահով դպրոց </w:t>
      </w:r>
      <w:r w:rsidRPr="001F63BA">
        <w:rPr>
          <w:rFonts w:ascii="GHEA Grapalat" w:hAnsi="GHEA Grapalat" w:cs="Sylfaen"/>
          <w:sz w:val="22"/>
          <w:szCs w:val="22"/>
        </w:rPr>
        <w:t>(</w:t>
      </w:r>
      <w:r w:rsidRPr="001F63BA">
        <w:rPr>
          <w:rFonts w:ascii="GHEA Grapalat" w:hAnsi="GHEA Grapalat" w:cs="Sylfaen"/>
          <w:sz w:val="22"/>
          <w:szCs w:val="22"/>
          <w:lang w:val="en-US"/>
        </w:rPr>
        <w:t>1.1</w:t>
      </w:r>
      <w:r w:rsidRPr="001F63BA">
        <w:rPr>
          <w:rFonts w:ascii="GHEA Grapalat" w:hAnsi="GHEA Grapalat" w:cs="Sylfaen"/>
          <w:sz w:val="22"/>
          <w:szCs w:val="22"/>
        </w:rPr>
        <w:t xml:space="preserve"> մլ</w:t>
      </w:r>
      <w:r w:rsidRPr="001F63BA">
        <w:rPr>
          <w:rFonts w:ascii="GHEA Grapalat" w:hAnsi="GHEA Grapalat" w:cs="Sylfaen"/>
          <w:sz w:val="22"/>
          <w:szCs w:val="22"/>
          <w:lang w:val="en-US"/>
        </w:rPr>
        <w:t>րդ</w:t>
      </w:r>
      <w:r w:rsidRPr="001F63BA">
        <w:rPr>
          <w:rFonts w:ascii="GHEA Grapalat" w:hAnsi="GHEA Grapalat" w:cs="Sylfaen"/>
          <w:sz w:val="22"/>
          <w:szCs w:val="22"/>
        </w:rPr>
        <w:t xml:space="preserve"> դրամ)</w:t>
      </w:r>
      <w:r w:rsidRPr="001F63BA">
        <w:rPr>
          <w:rFonts w:ascii="GHEA Grapalat" w:hAnsi="GHEA Grapalat" w:cs="Sylfaen"/>
          <w:sz w:val="22"/>
          <w:szCs w:val="22"/>
          <w:lang w:val="en-US"/>
        </w:rPr>
        <w:t xml:space="preserve">, </w:t>
      </w:r>
      <w:r w:rsidRPr="001F63BA">
        <w:rPr>
          <w:rFonts w:ascii="GHEA Grapalat" w:hAnsi="GHEA Grapalat" w:cs="Sylfaen"/>
          <w:sz w:val="22"/>
          <w:szCs w:val="22"/>
        </w:rPr>
        <w:t>Հանրակրթությ</w:t>
      </w:r>
      <w:r w:rsidRPr="001F63BA">
        <w:rPr>
          <w:rFonts w:ascii="GHEA Grapalat" w:hAnsi="GHEA Grapalat" w:cs="Sylfaen"/>
          <w:sz w:val="22"/>
          <w:szCs w:val="22"/>
          <w:lang w:val="en-US"/>
        </w:rPr>
        <w:t>ա</w:t>
      </w:r>
      <w:r w:rsidRPr="001F63BA">
        <w:rPr>
          <w:rFonts w:ascii="GHEA Grapalat" w:hAnsi="GHEA Grapalat" w:cs="Sylfaen"/>
          <w:sz w:val="22"/>
          <w:szCs w:val="22"/>
        </w:rPr>
        <w:t>ն (</w:t>
      </w:r>
      <w:r w:rsidRPr="001F63BA">
        <w:rPr>
          <w:rFonts w:ascii="GHEA Grapalat" w:hAnsi="GHEA Grapalat" w:cs="Sylfaen"/>
          <w:sz w:val="22"/>
          <w:szCs w:val="22"/>
          <w:lang w:val="en-US"/>
        </w:rPr>
        <w:t>1</w:t>
      </w:r>
      <w:r w:rsidRPr="001F63BA">
        <w:rPr>
          <w:rFonts w:ascii="GHEA Grapalat" w:hAnsi="GHEA Grapalat" w:cs="Sylfaen"/>
          <w:sz w:val="22"/>
          <w:szCs w:val="22"/>
        </w:rPr>
        <w:t xml:space="preserve"> մլ</w:t>
      </w:r>
      <w:r w:rsidRPr="001F63BA">
        <w:rPr>
          <w:rFonts w:ascii="GHEA Grapalat" w:hAnsi="GHEA Grapalat" w:cs="Sylfaen"/>
          <w:sz w:val="22"/>
          <w:szCs w:val="22"/>
          <w:lang w:val="en-US"/>
        </w:rPr>
        <w:t>րդ</w:t>
      </w:r>
      <w:r w:rsidRPr="001F63BA">
        <w:rPr>
          <w:rFonts w:ascii="GHEA Grapalat" w:hAnsi="GHEA Grapalat" w:cs="Sylfaen"/>
          <w:sz w:val="22"/>
          <w:szCs w:val="22"/>
        </w:rPr>
        <w:t xml:space="preserve"> դրամ)</w:t>
      </w:r>
      <w:r w:rsidRPr="001F63BA">
        <w:rPr>
          <w:rFonts w:ascii="GHEA Grapalat" w:hAnsi="GHEA Grapalat" w:cs="Sylfaen"/>
          <w:sz w:val="22"/>
          <w:szCs w:val="22"/>
          <w:lang w:val="en-US"/>
        </w:rPr>
        <w:t xml:space="preserve"> և Կրթության որակի ապահովման (839.7 մլն դրամ)</w:t>
      </w:r>
      <w:r w:rsidRPr="001F63BA">
        <w:rPr>
          <w:rFonts w:ascii="GHEA Grapalat" w:hAnsi="GHEA Grapalat" w:cs="Sylfaen"/>
          <w:sz w:val="22"/>
          <w:szCs w:val="22"/>
        </w:rPr>
        <w:t xml:space="preserve"> ծրագրերում: Նախորդ տարվա համեմատ նախարարության ծախսերի աճը հիմնականում պայմանավորված է</w:t>
      </w:r>
      <w:r w:rsidRPr="001F63BA">
        <w:rPr>
          <w:rFonts w:ascii="GHEA Grapalat" w:hAnsi="GHEA Grapalat" w:cs="Sylfaen"/>
          <w:sz w:val="22"/>
          <w:szCs w:val="22"/>
          <w:lang w:val="en-US"/>
        </w:rPr>
        <w:t xml:space="preserve"> </w:t>
      </w:r>
      <w:r w:rsidRPr="001F63BA">
        <w:rPr>
          <w:rFonts w:ascii="GHEA Grapalat" w:hAnsi="GHEA Grapalat" w:cs="Sylfaen"/>
          <w:sz w:val="22"/>
          <w:szCs w:val="22"/>
        </w:rPr>
        <w:t>Գիտական և գիտատեխնիկական հետազոտությունների</w:t>
      </w:r>
      <w:r w:rsidRPr="001F63BA">
        <w:rPr>
          <w:rFonts w:ascii="GHEA Grapalat" w:hAnsi="GHEA Grapalat" w:cs="Sylfaen"/>
          <w:sz w:val="22"/>
          <w:szCs w:val="22"/>
          <w:lang w:val="en-US"/>
        </w:rPr>
        <w:t>, Ապահով դպրոց, Մեծ նվաճումների սպորտի ու</w:t>
      </w:r>
      <w:r w:rsidRPr="001F63BA">
        <w:rPr>
          <w:rFonts w:ascii="GHEA Grapalat" w:hAnsi="GHEA Grapalat" w:cs="Sylfaen"/>
          <w:sz w:val="22"/>
          <w:szCs w:val="22"/>
        </w:rPr>
        <w:t xml:space="preserve"> Հանրակրթության ծրագրերի գծով ծախսերի աճով: </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2022թ. ՀՀ կրթության, գիտության, մշակույթի և սպորտի նախարարության կողմից իրականացված ծրագրերը (մլն դրամ)</w:t>
      </w:r>
    </w:p>
    <w:tbl>
      <w:tblPr>
        <w:tblW w:w="10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0"/>
        <w:gridCol w:w="1326"/>
        <w:gridCol w:w="1084"/>
        <w:gridCol w:w="1309"/>
        <w:gridCol w:w="1281"/>
        <w:gridCol w:w="1281"/>
        <w:gridCol w:w="1143"/>
      </w:tblGrid>
      <w:tr w:rsidR="001C411D" w:rsidRPr="001F63BA" w:rsidTr="00447FFD">
        <w:trPr>
          <w:trHeight w:val="300"/>
          <w:jc w:val="center"/>
        </w:trPr>
        <w:tc>
          <w:tcPr>
            <w:tcW w:w="2750" w:type="dxa"/>
            <w:noWrap/>
            <w:vAlign w:val="bottom"/>
          </w:tcPr>
          <w:p w:rsidR="001C411D" w:rsidRPr="001F63BA" w:rsidRDefault="001C411D" w:rsidP="00865E10">
            <w:pPr>
              <w:rPr>
                <w:sz w:val="18"/>
                <w:szCs w:val="18"/>
              </w:rPr>
            </w:pPr>
          </w:p>
        </w:tc>
        <w:tc>
          <w:tcPr>
            <w:tcW w:w="1326" w:type="dxa"/>
          </w:tcPr>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sz w:val="18"/>
                <w:szCs w:val="18"/>
              </w:rPr>
              <w:t xml:space="preserve">2021թ. փաստ </w:t>
            </w:r>
          </w:p>
        </w:tc>
        <w:tc>
          <w:tcPr>
            <w:tcW w:w="1084" w:type="dxa"/>
          </w:tcPr>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sz w:val="18"/>
                <w:szCs w:val="18"/>
              </w:rPr>
              <w:t>2022թ. ճշտված պլան</w:t>
            </w:r>
          </w:p>
        </w:tc>
        <w:tc>
          <w:tcPr>
            <w:tcW w:w="1309" w:type="dxa"/>
            <w:noWrap/>
          </w:tcPr>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81" w:type="dxa"/>
          </w:tcPr>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bCs/>
                <w:sz w:val="18"/>
                <w:szCs w:val="18"/>
              </w:rPr>
              <w:t>Կատարո-ղականը ճշտված պլանի նկատմամբ</w:t>
            </w:r>
          </w:p>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sz w:val="18"/>
                <w:szCs w:val="18"/>
              </w:rPr>
              <w:t>(%)</w:t>
            </w:r>
          </w:p>
        </w:tc>
        <w:tc>
          <w:tcPr>
            <w:tcW w:w="1281" w:type="dxa"/>
          </w:tcPr>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bCs/>
                <w:sz w:val="18"/>
                <w:szCs w:val="18"/>
              </w:rPr>
              <w:t>2022թ. 2021թ. նկատմամբ</w:t>
            </w:r>
          </w:p>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sz w:val="18"/>
                <w:szCs w:val="18"/>
              </w:rPr>
              <w:t>(%)</w:t>
            </w:r>
          </w:p>
        </w:tc>
        <w:tc>
          <w:tcPr>
            <w:tcW w:w="1143" w:type="dxa"/>
          </w:tcPr>
          <w:p w:rsidR="001C411D" w:rsidRPr="001F63BA" w:rsidRDefault="001C411D" w:rsidP="00865E10">
            <w:pPr>
              <w:jc w:val="center"/>
              <w:rPr>
                <w:rFonts w:ascii="GHEA Grapalat" w:hAnsi="GHEA Grapalat" w:cs="Calibri"/>
                <w:b/>
                <w:sz w:val="18"/>
                <w:szCs w:val="18"/>
              </w:rPr>
            </w:pPr>
            <w:r w:rsidRPr="001F63BA">
              <w:rPr>
                <w:rFonts w:ascii="GHEA Grapalat" w:hAnsi="GHEA Grapalat" w:cs="Calibri"/>
                <w:b/>
                <w:bCs/>
                <w:sz w:val="18"/>
                <w:szCs w:val="18"/>
              </w:rPr>
              <w:t>2022թ. և 2021թ. տարբե-րությունը</w:t>
            </w:r>
          </w:p>
        </w:tc>
      </w:tr>
      <w:tr w:rsidR="001C411D" w:rsidRPr="001F63BA" w:rsidTr="00447FFD">
        <w:trPr>
          <w:trHeight w:val="331"/>
          <w:jc w:val="center"/>
        </w:trPr>
        <w:tc>
          <w:tcPr>
            <w:tcW w:w="2750" w:type="dxa"/>
            <w:vAlign w:val="bottom"/>
          </w:tcPr>
          <w:p w:rsidR="001C411D" w:rsidRPr="001F63BA" w:rsidRDefault="001C411D" w:rsidP="00447FFD">
            <w:pPr>
              <w:rPr>
                <w:rFonts w:ascii="GHEA Grapalat" w:hAnsi="GHEA Grapalat" w:cs="Calibri"/>
                <w:b/>
                <w:sz w:val="18"/>
                <w:szCs w:val="18"/>
              </w:rPr>
            </w:pPr>
            <w:r w:rsidRPr="001F63BA">
              <w:rPr>
                <w:rFonts w:ascii="GHEA Grapalat" w:hAnsi="GHEA Grapalat" w:cs="Calibri"/>
                <w:b/>
                <w:sz w:val="18"/>
                <w:szCs w:val="18"/>
              </w:rPr>
              <w:t>ԸՆԴԱՄԵՆԸ</w:t>
            </w:r>
          </w:p>
        </w:tc>
        <w:tc>
          <w:tcPr>
            <w:tcW w:w="1326" w:type="dxa"/>
            <w:vAlign w:val="bottom"/>
          </w:tcPr>
          <w:p w:rsidR="001C411D" w:rsidRPr="001F63BA" w:rsidRDefault="001C411D" w:rsidP="00447FFD">
            <w:pPr>
              <w:jc w:val="right"/>
              <w:rPr>
                <w:rFonts w:ascii="GHEA Grapalat" w:hAnsi="GHEA Grapalat" w:cs="Calibri"/>
                <w:b/>
                <w:sz w:val="18"/>
                <w:szCs w:val="18"/>
              </w:rPr>
            </w:pPr>
            <w:r w:rsidRPr="001F63BA">
              <w:rPr>
                <w:rFonts w:ascii="GHEA Grapalat" w:hAnsi="GHEA Grapalat" w:cs="Calibri"/>
                <w:b/>
                <w:sz w:val="18"/>
                <w:szCs w:val="18"/>
              </w:rPr>
              <w:t>174,809.5</w:t>
            </w:r>
          </w:p>
        </w:tc>
        <w:tc>
          <w:tcPr>
            <w:tcW w:w="1084" w:type="dxa"/>
            <w:vAlign w:val="bottom"/>
          </w:tcPr>
          <w:p w:rsidR="001C411D" w:rsidRPr="001F63BA" w:rsidRDefault="001C411D" w:rsidP="00447FFD">
            <w:pPr>
              <w:jc w:val="right"/>
              <w:rPr>
                <w:rFonts w:ascii="GHEA Grapalat" w:hAnsi="GHEA Grapalat"/>
                <w:b/>
                <w:bCs/>
                <w:noProof w:val="0"/>
                <w:sz w:val="18"/>
                <w:szCs w:val="18"/>
                <w:lang w:val="en-US"/>
              </w:rPr>
            </w:pPr>
            <w:r w:rsidRPr="001F63BA">
              <w:rPr>
                <w:rFonts w:ascii="GHEA Grapalat" w:hAnsi="GHEA Grapalat"/>
                <w:b/>
                <w:bCs/>
                <w:sz w:val="18"/>
                <w:szCs w:val="18"/>
              </w:rPr>
              <w:t>20</w:t>
            </w:r>
            <w:r w:rsidRPr="001F63BA">
              <w:rPr>
                <w:rFonts w:ascii="GHEA Grapalat" w:hAnsi="GHEA Grapalat"/>
                <w:b/>
                <w:bCs/>
                <w:sz w:val="18"/>
                <w:szCs w:val="18"/>
                <w:lang w:val="en-US"/>
              </w:rPr>
              <w:t>8</w:t>
            </w:r>
            <w:r w:rsidRPr="001F63BA">
              <w:rPr>
                <w:rFonts w:ascii="GHEA Grapalat" w:hAnsi="GHEA Grapalat"/>
                <w:b/>
                <w:bCs/>
                <w:sz w:val="18"/>
                <w:szCs w:val="18"/>
              </w:rPr>
              <w:t>,</w:t>
            </w:r>
            <w:r w:rsidRPr="001F63BA">
              <w:rPr>
                <w:rFonts w:ascii="GHEA Grapalat" w:hAnsi="GHEA Grapalat"/>
                <w:b/>
                <w:bCs/>
                <w:sz w:val="18"/>
                <w:szCs w:val="18"/>
                <w:lang w:val="en-US"/>
              </w:rPr>
              <w:t>1</w:t>
            </w:r>
            <w:r w:rsidRPr="001F63BA">
              <w:rPr>
                <w:rFonts w:ascii="GHEA Grapalat" w:hAnsi="GHEA Grapalat"/>
                <w:b/>
                <w:bCs/>
                <w:sz w:val="18"/>
                <w:szCs w:val="18"/>
              </w:rPr>
              <w:t>46.7</w:t>
            </w:r>
          </w:p>
        </w:tc>
        <w:tc>
          <w:tcPr>
            <w:tcW w:w="1309" w:type="dxa"/>
            <w:vAlign w:val="bottom"/>
          </w:tcPr>
          <w:p w:rsidR="001C411D" w:rsidRPr="001F63BA" w:rsidRDefault="001C411D" w:rsidP="00447FFD">
            <w:pPr>
              <w:jc w:val="right"/>
              <w:rPr>
                <w:rFonts w:ascii="GHEA Grapalat" w:hAnsi="GHEA Grapalat"/>
                <w:b/>
                <w:bCs/>
                <w:noProof w:val="0"/>
                <w:sz w:val="18"/>
                <w:szCs w:val="18"/>
                <w:lang w:val="en-US"/>
              </w:rPr>
            </w:pPr>
            <w:r w:rsidRPr="001F63BA">
              <w:rPr>
                <w:rFonts w:ascii="GHEA Grapalat" w:hAnsi="GHEA Grapalat"/>
                <w:b/>
                <w:bCs/>
                <w:sz w:val="18"/>
                <w:szCs w:val="18"/>
              </w:rPr>
              <w:t>202,606.2</w:t>
            </w:r>
          </w:p>
        </w:tc>
        <w:tc>
          <w:tcPr>
            <w:tcW w:w="1281" w:type="dxa"/>
            <w:vAlign w:val="bottom"/>
          </w:tcPr>
          <w:p w:rsidR="001C411D" w:rsidRPr="001F63BA" w:rsidRDefault="001C411D" w:rsidP="00447FFD">
            <w:pPr>
              <w:jc w:val="right"/>
              <w:rPr>
                <w:rFonts w:ascii="GHEA Grapalat" w:hAnsi="GHEA Grapalat"/>
                <w:b/>
                <w:bCs/>
                <w:sz w:val="18"/>
                <w:szCs w:val="18"/>
                <w:lang w:val="en-US"/>
              </w:rPr>
            </w:pPr>
            <w:r w:rsidRPr="001F63BA">
              <w:rPr>
                <w:rFonts w:ascii="GHEA Grapalat" w:hAnsi="GHEA Grapalat"/>
                <w:b/>
                <w:bCs/>
                <w:sz w:val="18"/>
                <w:szCs w:val="18"/>
              </w:rPr>
              <w:t>9</w:t>
            </w:r>
            <w:r w:rsidRPr="001F63BA">
              <w:rPr>
                <w:rFonts w:ascii="GHEA Grapalat" w:hAnsi="GHEA Grapalat"/>
                <w:b/>
                <w:bCs/>
                <w:sz w:val="18"/>
                <w:szCs w:val="18"/>
                <w:lang w:val="en-US"/>
              </w:rPr>
              <w:t>7</w:t>
            </w:r>
            <w:r w:rsidRPr="001F63BA">
              <w:rPr>
                <w:rFonts w:ascii="GHEA Grapalat" w:hAnsi="GHEA Grapalat"/>
                <w:b/>
                <w:bCs/>
                <w:sz w:val="18"/>
                <w:szCs w:val="18"/>
              </w:rPr>
              <w:t>.</w:t>
            </w:r>
            <w:r w:rsidRPr="001F63BA">
              <w:rPr>
                <w:rFonts w:ascii="GHEA Grapalat" w:hAnsi="GHEA Grapalat"/>
                <w:b/>
                <w:bCs/>
                <w:sz w:val="18"/>
                <w:szCs w:val="18"/>
                <w:lang w:val="en-US"/>
              </w:rPr>
              <w:t>3</w:t>
            </w:r>
          </w:p>
        </w:tc>
        <w:tc>
          <w:tcPr>
            <w:tcW w:w="1281" w:type="dxa"/>
            <w:vAlign w:val="bottom"/>
          </w:tcPr>
          <w:p w:rsidR="001C411D" w:rsidRPr="001F63BA" w:rsidRDefault="001C411D" w:rsidP="00447FFD">
            <w:pPr>
              <w:jc w:val="right"/>
              <w:rPr>
                <w:rFonts w:ascii="GHEA Grapalat" w:hAnsi="GHEA Grapalat"/>
                <w:b/>
                <w:bCs/>
                <w:sz w:val="18"/>
                <w:szCs w:val="18"/>
              </w:rPr>
            </w:pPr>
            <w:r w:rsidRPr="001F63BA">
              <w:rPr>
                <w:rFonts w:ascii="GHEA Grapalat" w:hAnsi="GHEA Grapalat"/>
                <w:b/>
                <w:bCs/>
                <w:sz w:val="18"/>
                <w:szCs w:val="18"/>
              </w:rPr>
              <w:t>115.9</w:t>
            </w:r>
          </w:p>
        </w:tc>
        <w:tc>
          <w:tcPr>
            <w:tcW w:w="1143" w:type="dxa"/>
            <w:vAlign w:val="bottom"/>
          </w:tcPr>
          <w:p w:rsidR="001C411D" w:rsidRPr="001F63BA" w:rsidRDefault="001C411D" w:rsidP="00447FFD">
            <w:pPr>
              <w:jc w:val="right"/>
              <w:rPr>
                <w:rFonts w:ascii="GHEA Grapalat" w:hAnsi="GHEA Grapalat"/>
                <w:b/>
                <w:bCs/>
                <w:noProof w:val="0"/>
                <w:sz w:val="18"/>
                <w:szCs w:val="18"/>
                <w:lang w:val="en-US"/>
              </w:rPr>
            </w:pPr>
            <w:r w:rsidRPr="001F63BA">
              <w:rPr>
                <w:rFonts w:ascii="GHEA Grapalat" w:hAnsi="GHEA Grapalat"/>
                <w:b/>
                <w:bCs/>
                <w:sz w:val="18"/>
                <w:szCs w:val="18"/>
              </w:rPr>
              <w:t>27,796.7</w:t>
            </w:r>
          </w:p>
        </w:tc>
      </w:tr>
      <w:tr w:rsidR="001C411D" w:rsidRPr="001F63BA" w:rsidTr="00447FFD">
        <w:trPr>
          <w:trHeight w:val="331"/>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Մեծ նվաճումների սպորտ</w:t>
            </w:r>
          </w:p>
        </w:tc>
        <w:tc>
          <w:tcPr>
            <w:tcW w:w="1326" w:type="dxa"/>
            <w:vAlign w:val="bottom"/>
          </w:tcPr>
          <w:p w:rsidR="001C411D" w:rsidRPr="001F63BA" w:rsidRDefault="001C411D" w:rsidP="00447FFD">
            <w:pPr>
              <w:jc w:val="right"/>
              <w:rPr>
                <w:rFonts w:ascii="GHEA Grapalat" w:hAnsi="GHEA Grapalat" w:cs="Calibri"/>
                <w:sz w:val="18"/>
                <w:szCs w:val="18"/>
              </w:rPr>
            </w:pPr>
            <w:r w:rsidRPr="001F63BA">
              <w:rPr>
                <w:rFonts w:ascii="GHEA Grapalat" w:hAnsi="GHEA Grapalat" w:cs="Calibri"/>
                <w:sz w:val="18"/>
                <w:szCs w:val="18"/>
              </w:rPr>
              <w:t xml:space="preserve">3,048.1 </w:t>
            </w:r>
          </w:p>
        </w:tc>
        <w:tc>
          <w:tcPr>
            <w:tcW w:w="1084"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8,307.6</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8,172.6</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98.4</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268.1</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5,124.4</w:t>
            </w:r>
          </w:p>
        </w:tc>
      </w:tr>
      <w:tr w:rsidR="001C411D" w:rsidRPr="001F63BA" w:rsidTr="00447FFD">
        <w:trPr>
          <w:trHeight w:val="300"/>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Նախնական (արհեստագործական) և միջին մասնագիտական կրթություն</w:t>
            </w:r>
          </w:p>
        </w:tc>
        <w:tc>
          <w:tcPr>
            <w:tcW w:w="1326" w:type="dxa"/>
            <w:vAlign w:val="bottom"/>
          </w:tcPr>
          <w:p w:rsidR="001C411D" w:rsidRPr="001F63BA" w:rsidRDefault="001C411D" w:rsidP="00447FFD">
            <w:pPr>
              <w:jc w:val="right"/>
              <w:rPr>
                <w:rFonts w:ascii="GHEA Grapalat" w:hAnsi="GHEA Grapalat" w:cs="Calibri"/>
                <w:sz w:val="18"/>
                <w:szCs w:val="18"/>
              </w:rPr>
            </w:pPr>
            <w:r w:rsidRPr="001F63BA">
              <w:rPr>
                <w:rFonts w:ascii="GHEA Grapalat" w:hAnsi="GHEA Grapalat" w:cs="Calibri"/>
                <w:sz w:val="18"/>
                <w:szCs w:val="18"/>
              </w:rPr>
              <w:t xml:space="preserve">10,414.6 </w:t>
            </w:r>
          </w:p>
        </w:tc>
        <w:tc>
          <w:tcPr>
            <w:tcW w:w="1084"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11,374.8</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10,814.2</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95.1</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103.8</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399.6</w:t>
            </w:r>
          </w:p>
        </w:tc>
      </w:tr>
      <w:tr w:rsidR="001C411D" w:rsidRPr="001F63BA" w:rsidTr="00447FFD">
        <w:trPr>
          <w:trHeight w:val="300"/>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Բարձրագույն և հետբուհական մասնագիտական կրթության ծրագիր</w:t>
            </w:r>
          </w:p>
        </w:tc>
        <w:tc>
          <w:tcPr>
            <w:tcW w:w="1326" w:type="dxa"/>
            <w:vAlign w:val="bottom"/>
          </w:tcPr>
          <w:p w:rsidR="001C411D" w:rsidRPr="001F63BA" w:rsidRDefault="001C411D" w:rsidP="00447FFD">
            <w:pPr>
              <w:jc w:val="right"/>
              <w:rPr>
                <w:rFonts w:ascii="GHEA Grapalat" w:hAnsi="GHEA Grapalat" w:cs="Calibri"/>
                <w:sz w:val="18"/>
                <w:szCs w:val="18"/>
              </w:rPr>
            </w:pPr>
            <w:r w:rsidRPr="001F63BA">
              <w:rPr>
                <w:rFonts w:ascii="GHEA Grapalat" w:hAnsi="GHEA Grapalat" w:cs="Calibri"/>
                <w:sz w:val="18"/>
                <w:szCs w:val="18"/>
              </w:rPr>
              <w:t xml:space="preserve">12,546.0 </w:t>
            </w:r>
          </w:p>
        </w:tc>
        <w:tc>
          <w:tcPr>
            <w:tcW w:w="1084"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12,548.7</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12,373.5</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98.6</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98.6</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(172.6)</w:t>
            </w:r>
          </w:p>
        </w:tc>
      </w:tr>
      <w:tr w:rsidR="001C411D" w:rsidRPr="001F63BA" w:rsidTr="00447FFD">
        <w:trPr>
          <w:trHeight w:val="300"/>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Հանրակրթության ծրագիր</w:t>
            </w:r>
          </w:p>
        </w:tc>
        <w:tc>
          <w:tcPr>
            <w:tcW w:w="1326" w:type="dxa"/>
            <w:vAlign w:val="bottom"/>
          </w:tcPr>
          <w:p w:rsidR="001C411D" w:rsidRPr="001F63BA" w:rsidRDefault="001C411D" w:rsidP="00447FFD">
            <w:pPr>
              <w:jc w:val="right"/>
              <w:rPr>
                <w:rFonts w:ascii="GHEA Grapalat" w:hAnsi="GHEA Grapalat" w:cs="Calibri"/>
                <w:sz w:val="18"/>
                <w:szCs w:val="18"/>
              </w:rPr>
            </w:pPr>
            <w:r w:rsidRPr="001F63BA">
              <w:rPr>
                <w:rFonts w:ascii="GHEA Grapalat" w:hAnsi="GHEA Grapalat" w:cs="Calibri"/>
                <w:sz w:val="18"/>
                <w:szCs w:val="18"/>
              </w:rPr>
              <w:t xml:space="preserve">99,421.5 </w:t>
            </w:r>
          </w:p>
        </w:tc>
        <w:tc>
          <w:tcPr>
            <w:tcW w:w="1084"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104,311.8</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103,305.7</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99.0</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103.9</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3,884.3</w:t>
            </w:r>
          </w:p>
        </w:tc>
      </w:tr>
      <w:tr w:rsidR="001C411D" w:rsidRPr="001F63BA" w:rsidTr="00447FFD">
        <w:trPr>
          <w:trHeight w:val="300"/>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Գիտական և գիտատեխնիկական հետազոտությունների ծրագիր</w:t>
            </w:r>
          </w:p>
        </w:tc>
        <w:tc>
          <w:tcPr>
            <w:tcW w:w="1326" w:type="dxa"/>
            <w:vAlign w:val="bottom"/>
          </w:tcPr>
          <w:p w:rsidR="001C411D" w:rsidRPr="001F63BA" w:rsidRDefault="001C411D" w:rsidP="00447FFD">
            <w:pPr>
              <w:jc w:val="right"/>
              <w:rPr>
                <w:rFonts w:ascii="GHEA Grapalat" w:hAnsi="GHEA Grapalat" w:cs="Calibri"/>
                <w:sz w:val="18"/>
                <w:szCs w:val="18"/>
              </w:rPr>
            </w:pPr>
            <w:r w:rsidRPr="001F63BA">
              <w:rPr>
                <w:rFonts w:ascii="GHEA Grapalat" w:hAnsi="GHEA Grapalat" w:cs="Calibri"/>
                <w:sz w:val="18"/>
                <w:szCs w:val="18"/>
              </w:rPr>
              <w:t xml:space="preserve">15,142.2 </w:t>
            </w:r>
          </w:p>
        </w:tc>
        <w:tc>
          <w:tcPr>
            <w:tcW w:w="1084"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2</w:t>
            </w:r>
            <w:r w:rsidRPr="001F63BA">
              <w:rPr>
                <w:rFonts w:ascii="GHEA Grapalat" w:hAnsi="GHEA Grapalat"/>
                <w:sz w:val="18"/>
                <w:szCs w:val="18"/>
                <w:lang w:val="en-US"/>
              </w:rPr>
              <w:t>2</w:t>
            </w:r>
            <w:r w:rsidRPr="001F63BA">
              <w:rPr>
                <w:rFonts w:ascii="GHEA Grapalat" w:hAnsi="GHEA Grapalat"/>
                <w:sz w:val="18"/>
                <w:szCs w:val="18"/>
              </w:rPr>
              <w:t>,</w:t>
            </w:r>
            <w:r w:rsidRPr="001F63BA">
              <w:rPr>
                <w:rFonts w:ascii="GHEA Grapalat" w:hAnsi="GHEA Grapalat"/>
                <w:sz w:val="18"/>
                <w:szCs w:val="18"/>
                <w:lang w:val="en-US"/>
              </w:rPr>
              <w:t>2</w:t>
            </w:r>
            <w:r w:rsidRPr="001F63BA">
              <w:rPr>
                <w:rFonts w:ascii="GHEA Grapalat" w:hAnsi="GHEA Grapalat"/>
                <w:sz w:val="18"/>
                <w:szCs w:val="18"/>
              </w:rPr>
              <w:t>75.4</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22,154.0</w:t>
            </w:r>
          </w:p>
        </w:tc>
        <w:tc>
          <w:tcPr>
            <w:tcW w:w="1281" w:type="dxa"/>
            <w:vAlign w:val="bottom"/>
          </w:tcPr>
          <w:p w:rsidR="001C411D" w:rsidRPr="001F63BA" w:rsidRDefault="001C411D" w:rsidP="00447FFD">
            <w:pPr>
              <w:jc w:val="right"/>
              <w:rPr>
                <w:rFonts w:ascii="GHEA Grapalat" w:hAnsi="GHEA Grapalat"/>
                <w:sz w:val="18"/>
                <w:szCs w:val="18"/>
                <w:lang w:val="en-US"/>
              </w:rPr>
            </w:pPr>
            <w:r w:rsidRPr="001F63BA">
              <w:rPr>
                <w:rFonts w:ascii="GHEA Grapalat" w:hAnsi="GHEA Grapalat"/>
                <w:sz w:val="18"/>
                <w:szCs w:val="18"/>
              </w:rPr>
              <w:t>9</w:t>
            </w:r>
            <w:r w:rsidRPr="001F63BA">
              <w:rPr>
                <w:rFonts w:ascii="GHEA Grapalat" w:hAnsi="GHEA Grapalat"/>
                <w:sz w:val="18"/>
                <w:szCs w:val="18"/>
                <w:lang w:val="en-US"/>
              </w:rPr>
              <w:t>9</w:t>
            </w:r>
            <w:r w:rsidRPr="001F63BA">
              <w:rPr>
                <w:rFonts w:ascii="GHEA Grapalat" w:hAnsi="GHEA Grapalat"/>
                <w:sz w:val="18"/>
                <w:szCs w:val="18"/>
              </w:rPr>
              <w:t>.</w:t>
            </w:r>
            <w:r w:rsidRPr="001F63BA">
              <w:rPr>
                <w:rFonts w:ascii="GHEA Grapalat" w:hAnsi="GHEA Grapalat"/>
                <w:sz w:val="18"/>
                <w:szCs w:val="18"/>
                <w:lang w:val="en-US"/>
              </w:rPr>
              <w:t>5</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146.3</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7,011.9</w:t>
            </w:r>
          </w:p>
        </w:tc>
      </w:tr>
      <w:tr w:rsidR="001C411D" w:rsidRPr="001F63BA" w:rsidTr="00447FFD">
        <w:trPr>
          <w:trHeight w:val="300"/>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Արվեստների ծրագիր</w:t>
            </w:r>
          </w:p>
        </w:tc>
        <w:tc>
          <w:tcPr>
            <w:tcW w:w="1326" w:type="dxa"/>
            <w:vAlign w:val="bottom"/>
          </w:tcPr>
          <w:p w:rsidR="001C411D" w:rsidRPr="001F63BA" w:rsidRDefault="001C411D" w:rsidP="00447FFD">
            <w:pPr>
              <w:jc w:val="right"/>
              <w:rPr>
                <w:rFonts w:ascii="GHEA Grapalat" w:hAnsi="GHEA Grapalat" w:cs="Calibri"/>
                <w:sz w:val="18"/>
                <w:szCs w:val="18"/>
              </w:rPr>
            </w:pPr>
            <w:r w:rsidRPr="001F63BA">
              <w:rPr>
                <w:rFonts w:ascii="GHEA Grapalat" w:hAnsi="GHEA Grapalat" w:cs="Calibri"/>
                <w:sz w:val="18"/>
                <w:szCs w:val="18"/>
              </w:rPr>
              <w:t>8,854.4</w:t>
            </w:r>
          </w:p>
        </w:tc>
        <w:tc>
          <w:tcPr>
            <w:tcW w:w="1084"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11,072.3</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10,691.6</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96.6</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120.7</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1,837.1</w:t>
            </w:r>
          </w:p>
        </w:tc>
      </w:tr>
      <w:tr w:rsidR="001C411D" w:rsidRPr="001F63BA" w:rsidTr="00447FFD">
        <w:trPr>
          <w:trHeight w:val="332"/>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Ապահով դպրոց</w:t>
            </w:r>
          </w:p>
        </w:tc>
        <w:tc>
          <w:tcPr>
            <w:tcW w:w="1326"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3,807.1</w:t>
            </w:r>
          </w:p>
        </w:tc>
        <w:tc>
          <w:tcPr>
            <w:tcW w:w="1084"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11,642.3</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10,511.5</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90.3</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276.1</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6,704.5</w:t>
            </w:r>
          </w:p>
        </w:tc>
      </w:tr>
      <w:tr w:rsidR="001C411D" w:rsidRPr="001F63BA" w:rsidTr="00447FFD">
        <w:trPr>
          <w:trHeight w:val="300"/>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Կրթության որակի ապահովում</w:t>
            </w:r>
          </w:p>
        </w:tc>
        <w:tc>
          <w:tcPr>
            <w:tcW w:w="1326" w:type="dxa"/>
            <w:vAlign w:val="bottom"/>
          </w:tcPr>
          <w:p w:rsidR="001C411D" w:rsidRPr="001F63BA" w:rsidRDefault="001C411D" w:rsidP="00447FFD">
            <w:pPr>
              <w:jc w:val="right"/>
              <w:rPr>
                <w:rFonts w:ascii="GHEA Grapalat" w:hAnsi="GHEA Grapalat" w:cs="Calibri"/>
                <w:sz w:val="18"/>
                <w:szCs w:val="18"/>
              </w:rPr>
            </w:pPr>
            <w:r w:rsidRPr="001F63BA">
              <w:rPr>
                <w:rFonts w:ascii="GHEA Grapalat" w:hAnsi="GHEA Grapalat" w:cs="Calibri"/>
                <w:sz w:val="18"/>
                <w:szCs w:val="18"/>
              </w:rPr>
              <w:t>4,084.2</w:t>
            </w:r>
          </w:p>
        </w:tc>
        <w:tc>
          <w:tcPr>
            <w:tcW w:w="1084"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4,835.2</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3,995.4</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82.6</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97.8</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(88.8)</w:t>
            </w:r>
          </w:p>
        </w:tc>
      </w:tr>
      <w:tr w:rsidR="001C411D" w:rsidRPr="001F63BA" w:rsidTr="00447FFD">
        <w:trPr>
          <w:trHeight w:val="300"/>
          <w:jc w:val="center"/>
        </w:trPr>
        <w:tc>
          <w:tcPr>
            <w:tcW w:w="2750" w:type="dxa"/>
            <w:vAlign w:val="bottom"/>
          </w:tcPr>
          <w:p w:rsidR="001C411D" w:rsidRPr="001F63BA" w:rsidRDefault="001C411D" w:rsidP="00447FFD">
            <w:pPr>
              <w:rPr>
                <w:rFonts w:ascii="GHEA Grapalat" w:hAnsi="GHEA Grapalat" w:cs="Calibri"/>
                <w:sz w:val="18"/>
                <w:szCs w:val="18"/>
              </w:rPr>
            </w:pPr>
            <w:r w:rsidRPr="001F63BA">
              <w:rPr>
                <w:rFonts w:ascii="GHEA Grapalat" w:hAnsi="GHEA Grapalat" w:cs="Calibri"/>
                <w:sz w:val="18"/>
                <w:szCs w:val="18"/>
              </w:rPr>
              <w:t>Այլ ծրագրեր</w:t>
            </w:r>
          </w:p>
        </w:tc>
        <w:tc>
          <w:tcPr>
            <w:tcW w:w="1326" w:type="dxa"/>
            <w:vAlign w:val="bottom"/>
          </w:tcPr>
          <w:p w:rsidR="001C411D" w:rsidRPr="001F63BA" w:rsidRDefault="001C411D" w:rsidP="00447FFD">
            <w:pPr>
              <w:jc w:val="right"/>
              <w:rPr>
                <w:rFonts w:ascii="GHEA Grapalat" w:hAnsi="GHEA Grapalat"/>
                <w:noProof w:val="0"/>
                <w:sz w:val="18"/>
                <w:szCs w:val="18"/>
                <w:lang w:val="en-US"/>
              </w:rPr>
            </w:pPr>
            <w:r w:rsidRPr="001F63BA">
              <w:rPr>
                <w:rFonts w:ascii="GHEA Grapalat" w:hAnsi="GHEA Grapalat"/>
                <w:sz w:val="18"/>
                <w:szCs w:val="18"/>
              </w:rPr>
              <w:t>17,491.4</w:t>
            </w:r>
          </w:p>
        </w:tc>
        <w:tc>
          <w:tcPr>
            <w:tcW w:w="1084"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21,778.5</w:t>
            </w:r>
          </w:p>
        </w:tc>
        <w:tc>
          <w:tcPr>
            <w:tcW w:w="1309"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20,587.6</w:t>
            </w:r>
          </w:p>
        </w:tc>
        <w:tc>
          <w:tcPr>
            <w:tcW w:w="1281"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94.5</w:t>
            </w:r>
          </w:p>
        </w:tc>
        <w:tc>
          <w:tcPr>
            <w:tcW w:w="1281" w:type="dxa"/>
            <w:vAlign w:val="bottom"/>
          </w:tcPr>
          <w:p w:rsidR="001C411D" w:rsidRPr="001F63BA" w:rsidRDefault="001C411D" w:rsidP="00447FFD">
            <w:pPr>
              <w:jc w:val="right"/>
              <w:rPr>
                <w:rFonts w:ascii="GHEA Grapalat" w:hAnsi="GHEA Grapalat"/>
                <w:sz w:val="18"/>
                <w:szCs w:val="18"/>
                <w:lang w:val="en-US"/>
              </w:rPr>
            </w:pPr>
            <w:r w:rsidRPr="001F63BA">
              <w:rPr>
                <w:rFonts w:ascii="GHEA Grapalat" w:hAnsi="GHEA Grapalat"/>
                <w:sz w:val="18"/>
                <w:szCs w:val="18"/>
              </w:rPr>
              <w:t>117.7</w:t>
            </w:r>
          </w:p>
        </w:tc>
        <w:tc>
          <w:tcPr>
            <w:tcW w:w="1143" w:type="dxa"/>
            <w:vAlign w:val="bottom"/>
          </w:tcPr>
          <w:p w:rsidR="001C411D" w:rsidRPr="001F63BA" w:rsidRDefault="001C411D" w:rsidP="00447FFD">
            <w:pPr>
              <w:jc w:val="right"/>
              <w:rPr>
                <w:rFonts w:ascii="GHEA Grapalat" w:hAnsi="GHEA Grapalat"/>
                <w:sz w:val="18"/>
                <w:szCs w:val="18"/>
              </w:rPr>
            </w:pPr>
            <w:r w:rsidRPr="001F63BA">
              <w:rPr>
                <w:rFonts w:ascii="GHEA Grapalat" w:hAnsi="GHEA Grapalat"/>
                <w:sz w:val="18"/>
                <w:szCs w:val="18"/>
              </w:rPr>
              <w:t>3,096.2</w:t>
            </w:r>
          </w:p>
        </w:tc>
      </w:tr>
    </w:tbl>
    <w:p w:rsidR="001C411D" w:rsidRPr="001F63BA" w:rsidRDefault="001C411D" w:rsidP="00865E10">
      <w:pPr>
        <w:autoSpaceDE w:val="0"/>
        <w:autoSpaceDN w:val="0"/>
        <w:adjustRightInd w:val="0"/>
        <w:spacing w:line="360" w:lineRule="auto"/>
        <w:ind w:firstLine="567"/>
        <w:jc w:val="both"/>
        <w:rPr>
          <w:rFonts w:ascii="GHEA Grapalat" w:hAnsi="GHEA Grapalat" w:cs="Arial"/>
        </w:rPr>
      </w:pP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Հաշվետու տարում </w:t>
      </w:r>
      <w:r w:rsidRPr="001F63BA">
        <w:rPr>
          <w:rFonts w:ascii="GHEA Grapalat" w:hAnsi="GHEA Grapalat" w:cs="Sylfaen"/>
          <w:i/>
          <w:sz w:val="22"/>
          <w:szCs w:val="22"/>
        </w:rPr>
        <w:t>Մեծ նվաճումների սպորտի ծրագրի</w:t>
      </w:r>
      <w:r w:rsidRPr="001F63BA">
        <w:rPr>
          <w:rFonts w:ascii="GHEA Grapalat" w:hAnsi="GHEA Grapalat" w:cs="Sylfaen"/>
          <w:sz w:val="22"/>
          <w:szCs w:val="22"/>
        </w:rPr>
        <w:t xml:space="preserve"> շրջանակներում կատարված ծախսերը կազմել են շուրջ 8.2 մլրդ դրամ, որոնք կատարվել են 98.4%-ով: Շեղումը հիմնականում պայմանավորված է «Մանկապատանեկան մարզադպրոցներին, մարզաձևերի ազգային ֆեդերացիաներին և այլ մարզական հասարակական կազմակերպություններին գույքով ապահովում» և «Միջազգային մարզական միջոցառումների հաղթողներին և մրցանակակիրներին դրամական </w:t>
      </w:r>
      <w:r w:rsidRPr="001F63BA">
        <w:rPr>
          <w:rFonts w:ascii="GHEA Grapalat" w:hAnsi="GHEA Grapalat" w:cs="Sylfaen"/>
          <w:sz w:val="22"/>
          <w:szCs w:val="22"/>
        </w:rPr>
        <w:lastRenderedPageBreak/>
        <w:t xml:space="preserve">մրցանակների հանձնում» միջոցառումների կատարողականներով: Նախորդ տարվա համեմատ ծախսերն աճել են 2.7 անգամ (5.1 մլրդ դրամով)՝ հիմնականում պայմանավորված </w:t>
      </w:r>
      <w:r w:rsidRPr="001F63BA">
        <w:rPr>
          <w:rFonts w:ascii="GHEA Grapalat" w:hAnsi="GHEA Grapalat" w:cs="Sylfaen"/>
          <w:sz w:val="22"/>
          <w:szCs w:val="22"/>
          <w:lang w:val="en-US"/>
        </w:rPr>
        <w:t>ութ</w:t>
      </w:r>
      <w:r w:rsidRPr="001F63BA">
        <w:rPr>
          <w:rFonts w:ascii="GHEA Grapalat" w:hAnsi="GHEA Grapalat" w:cs="Sylfaen"/>
          <w:sz w:val="22"/>
          <w:szCs w:val="22"/>
        </w:rPr>
        <w:t xml:space="preserve"> միջոցառումների</w:t>
      </w:r>
      <w:r w:rsidRPr="001F63BA">
        <w:rPr>
          <w:rFonts w:ascii="GHEA Grapalat" w:hAnsi="GHEA Grapalat" w:cs="Sylfaen"/>
          <w:sz w:val="22"/>
          <w:szCs w:val="22"/>
          <w:lang w:val="en-US"/>
        </w:rPr>
        <w:t xml:space="preserve"> 2.1</w:t>
      </w:r>
      <w:r w:rsidRPr="001F63BA">
        <w:rPr>
          <w:rFonts w:ascii="GHEA Grapalat" w:hAnsi="GHEA Grapalat" w:cs="Sylfaen"/>
          <w:sz w:val="22"/>
          <w:szCs w:val="22"/>
        </w:rPr>
        <w:t xml:space="preserve"> մլրդ դրամի </w:t>
      </w:r>
      <w:r w:rsidRPr="001F63BA">
        <w:rPr>
          <w:rFonts w:ascii="GHEA Grapalat" w:hAnsi="GHEA Grapalat" w:cs="Sylfaen"/>
          <w:sz w:val="22"/>
          <w:szCs w:val="22"/>
          <w:lang w:val="en-US"/>
        </w:rPr>
        <w:t>տրամադրմամբ</w:t>
      </w:r>
      <w:r w:rsidRPr="001F63BA">
        <w:rPr>
          <w:rFonts w:ascii="GHEA Grapalat" w:hAnsi="GHEA Grapalat" w:cs="Sylfaen"/>
          <w:sz w:val="22"/>
          <w:szCs w:val="22"/>
        </w:rPr>
        <w:t xml:space="preserve">, որոնց 2021 թվականին միջոցներ չէին </w:t>
      </w:r>
      <w:r w:rsidRPr="001F63BA">
        <w:rPr>
          <w:rFonts w:ascii="GHEA Grapalat" w:hAnsi="GHEA Grapalat" w:cs="Sylfaen"/>
          <w:sz w:val="22"/>
          <w:szCs w:val="22"/>
          <w:lang w:val="en-US"/>
        </w:rPr>
        <w:t>հատկաց</w:t>
      </w:r>
      <w:r w:rsidRPr="001F63BA">
        <w:rPr>
          <w:rFonts w:ascii="GHEA Grapalat" w:hAnsi="GHEA Grapalat" w:cs="Sylfaen"/>
          <w:sz w:val="22"/>
          <w:szCs w:val="22"/>
        </w:rPr>
        <w:t xml:space="preserve">վել, և «Հայաստանի ֆուտբոլի ֆեդերացիա» ՀԿ-ին օժանդակության </w:t>
      </w:r>
      <w:r w:rsidRPr="001F63BA">
        <w:rPr>
          <w:rFonts w:ascii="GHEA Grapalat" w:hAnsi="GHEA Grapalat" w:cs="Sylfaen"/>
          <w:sz w:val="22"/>
          <w:szCs w:val="22"/>
          <w:lang w:val="en-US"/>
        </w:rPr>
        <w:t>ավելացմամբ</w:t>
      </w:r>
      <w:r w:rsidRPr="001F63BA">
        <w:rPr>
          <w:rFonts w:ascii="GHEA Grapalat" w:hAnsi="GHEA Grapalat" w:cs="Sylfaen"/>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 «Հայաստանի ֆուտբոլի ֆեդերացիա» ՀԿ-ին </w:t>
      </w:r>
      <w:r w:rsidRPr="001F63BA">
        <w:rPr>
          <w:rFonts w:ascii="GHEA Grapalat" w:hAnsi="GHEA Grapalat"/>
          <w:sz w:val="22"/>
          <w:szCs w:val="22"/>
        </w:rPr>
        <w:t xml:space="preserve">չորս </w:t>
      </w:r>
      <w:r w:rsidRPr="001F63BA">
        <w:rPr>
          <w:rFonts w:ascii="GHEA Grapalat" w:hAnsi="GHEA Grapalat" w:cs="Sylfaen"/>
          <w:sz w:val="22"/>
          <w:szCs w:val="22"/>
        </w:rPr>
        <w:t>ֆուտբոլի դպրոցների կառուցման օժանդակության համար նախատեսված միջոցներն օգտագործվել են ամբողջությամբ՝ կազմելով 2.5 մլրդ դրամ՝ նախորդ տարվա 50 մլն դրամի դիմաց: 2022 թվականին աջակցություն է ցուցաբերվել Հայաստանի Հանրապետությունում ֆուտբոլի ենթակառուցվածքների զարգացման ծրագրի իրականացմանը: Նախատեսվում է 2023-2024 թվականներին Երևան քաղաքում, ՀՀ Արարատի, Գեղարքունիքի և Տավուշի մարզերում կառուցել միջազգային ստանդարտների</w:t>
      </w:r>
      <w:r w:rsidRPr="001F63BA">
        <w:rPr>
          <w:rFonts w:ascii="GHEA Grapalat" w:hAnsi="GHEA Grapalat" w:cs="Sylfaen"/>
          <w:sz w:val="22"/>
          <w:szCs w:val="22"/>
          <w:lang w:val="en-US"/>
        </w:rPr>
        <w:t>ն</w:t>
      </w:r>
      <w:r w:rsidRPr="001F63BA">
        <w:rPr>
          <w:rFonts w:ascii="GHEA Grapalat" w:hAnsi="GHEA Grapalat" w:cs="Sylfaen"/>
          <w:sz w:val="22"/>
          <w:szCs w:val="22"/>
        </w:rPr>
        <w:t xml:space="preserve"> համապատասխանող բնական կամ արհեստական խաղադաշտերով ֆուտբոլի մարզադպրոցներ՝ անհրաժեշտ ենթակառուցվածքներով: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ՀՀ առաջնություններին և միջազգային միջոցառումներին մասնակցության ապահովման համար մարզիկների նախապատրաստման և առաջնությունների անցկացման միջոցառման շրջանակներում 2022 թվականին Հայաստանում գործող թվով 33 ֆեդերացիաների կողմից կազմակերպվել են ՀՀ 99 առաջնություններ (նախատեսված 102-ի դիմաց), որոնց մասնակցել է 9420 մասնակից՝ 2021 թվականի 99 առաջնության և 9395 մասնակցի դիմաց: Կազմակերպվել է նաև 138 ուսումնամարզական հավաք (նախատեսված 147-ի դիմաց) 2596 մասնակցով՝ 2021 թվականի համապատասխանաբար 130-ի և 2375-ի դիմաց, 152 միջազգային միջոցառում (նախատեսված 213-ի դիմաց) 1718 մասնակցով՝ 2021 թվականի համապատասխան 143-ի և 1706-ի դիմաց: Նախատեսվածի համեմատ միջոցառումների փաստացի փոքր թիվը պայմանավորված է </w:t>
      </w:r>
      <w:r w:rsidRPr="001F63BA">
        <w:rPr>
          <w:rFonts w:ascii="GHEA Grapalat" w:hAnsi="GHEA Grapalat" w:cs="Sylfaen"/>
          <w:sz w:val="22"/>
          <w:szCs w:val="22"/>
          <w:lang w:val="en-US"/>
        </w:rPr>
        <w:t>ե</w:t>
      </w:r>
      <w:r w:rsidRPr="001F63BA">
        <w:rPr>
          <w:rFonts w:ascii="GHEA Grapalat" w:hAnsi="GHEA Grapalat" w:cs="Sylfaen"/>
          <w:sz w:val="22"/>
          <w:szCs w:val="22"/>
        </w:rPr>
        <w:t xml:space="preserve">վրոպական մի շարք երկրներում </w:t>
      </w:r>
      <w:r w:rsidRPr="001F63BA">
        <w:rPr>
          <w:rFonts w:ascii="GHEA Grapalat" w:hAnsi="GHEA Grapalat" w:cs="Sylfaen"/>
          <w:sz w:val="22"/>
          <w:szCs w:val="22"/>
          <w:lang w:val="en-US"/>
        </w:rPr>
        <w:t>կորոնավիրուսի</w:t>
      </w:r>
      <w:r w:rsidRPr="001F63BA">
        <w:rPr>
          <w:rFonts w:ascii="GHEA Grapalat" w:hAnsi="GHEA Grapalat" w:cs="Sylfaen"/>
          <w:sz w:val="22"/>
          <w:szCs w:val="22"/>
        </w:rPr>
        <w:t xml:space="preserve"> տարածման կանխարգելման նպատակով որոշ միջոցառումների չեղարկմամբ: Պետական աջակցության ծրագրում ընդգրկված ֆեդերացիաների մարզիկները 2022 թվականի ընթացքում մեծահասակների, երիտասարդների և պատանիների Եվրոպայի և աշխարհի առաջնություններում նվաճել են 307 մեդալ, այդ թվում՝ 104 ոսկե, 70 արծաթե և 133 բրոնզե: ՀՀ առաջնություններին և միջազգային միջոցառումներին մասնակցության ապահովման համար մարզիկների նախապատրաստման և առաջնությունների անցկացման ծախսեր</w:t>
      </w:r>
      <w:r w:rsidRPr="001F63BA">
        <w:rPr>
          <w:rFonts w:ascii="GHEA Grapalat" w:hAnsi="GHEA Grapalat" w:cs="Sylfaen"/>
          <w:sz w:val="22"/>
          <w:szCs w:val="22"/>
          <w:lang w:val="en-US"/>
        </w:rPr>
        <w:t xml:space="preserve">ը կազմել են 1.4 մլրդ դրամ՝ ապահովելով </w:t>
      </w:r>
      <w:r w:rsidRPr="001F63BA">
        <w:rPr>
          <w:rFonts w:ascii="GHEA Grapalat" w:hAnsi="GHEA Grapalat" w:cs="Sylfaen"/>
          <w:sz w:val="22"/>
          <w:szCs w:val="22"/>
        </w:rPr>
        <w:t>99.2% կատարողական, իսկ նախորդ տարվա համեմատ</w:t>
      </w:r>
      <w:r w:rsidRPr="001F63BA">
        <w:rPr>
          <w:rFonts w:ascii="GHEA Grapalat" w:hAnsi="GHEA Grapalat" w:cs="Sylfaen"/>
          <w:sz w:val="22"/>
          <w:szCs w:val="22"/>
          <w:lang w:val="en-US"/>
        </w:rPr>
        <w:t xml:space="preserve"> դրանք էական</w:t>
      </w:r>
      <w:r w:rsidRPr="001F63BA">
        <w:rPr>
          <w:rFonts w:ascii="GHEA Grapalat" w:hAnsi="GHEA Grapalat" w:cs="Sylfaen"/>
          <w:sz w:val="22"/>
          <w:szCs w:val="22"/>
        </w:rPr>
        <w:t xml:space="preserve"> փոփոխ</w:t>
      </w:r>
      <w:r w:rsidRPr="001F63BA">
        <w:rPr>
          <w:rFonts w:ascii="GHEA Grapalat" w:hAnsi="GHEA Grapalat" w:cs="Sylfaen"/>
          <w:sz w:val="22"/>
          <w:szCs w:val="22"/>
          <w:lang w:val="en-US"/>
        </w:rPr>
        <w:t>ություն չեն կրել</w:t>
      </w:r>
      <w:r w:rsidRPr="001F63BA">
        <w:rPr>
          <w:rFonts w:ascii="GHEA Grapalat" w:hAnsi="GHEA Grapalat" w:cs="Sylfaen"/>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2022 թվականի մայիսի 21-31-ը Երևանում՝ Կ. Դեմիրճյանի անվան մարզահամերգային համալիրում կայացած բռնցքամարտի Եվրոպայի առաջնությանը մասնակցել է 412 մարզիկ 39 երկրից՝ կանխատեսված համապատասխանաբար 280-ի և 34-ի դիմաց: Հայաստանի հավաքականը </w:t>
      </w:r>
      <w:r w:rsidRPr="001F63BA">
        <w:rPr>
          <w:rFonts w:ascii="GHEA Grapalat" w:hAnsi="GHEA Grapalat" w:cs="Sylfaen"/>
          <w:sz w:val="22"/>
          <w:szCs w:val="22"/>
        </w:rPr>
        <w:lastRenderedPageBreak/>
        <w:t xml:space="preserve">Եվրոպայի առաջնությունում հանդես է եկել 13 բռնցքամարտիկով։ Հայաստանի Հանրապետության մարզիկները նվաճել են 1 ոսկե, </w:t>
      </w:r>
      <w:r w:rsidRPr="001F63BA">
        <w:rPr>
          <w:rFonts w:ascii="GHEA Grapalat" w:hAnsi="GHEA Grapalat" w:cs="Sylfaen"/>
          <w:sz w:val="22"/>
          <w:szCs w:val="22"/>
          <w:lang w:val="en-US"/>
        </w:rPr>
        <w:t>2</w:t>
      </w:r>
      <w:r w:rsidRPr="001F63BA">
        <w:rPr>
          <w:rFonts w:ascii="GHEA Grapalat" w:hAnsi="GHEA Grapalat" w:cs="Sylfaen"/>
          <w:sz w:val="22"/>
          <w:szCs w:val="22"/>
        </w:rPr>
        <w:t xml:space="preserve"> արծաթե և </w:t>
      </w:r>
      <w:r w:rsidRPr="001F63BA">
        <w:rPr>
          <w:rFonts w:ascii="GHEA Grapalat" w:hAnsi="GHEA Grapalat" w:cs="Sylfaen"/>
          <w:sz w:val="22"/>
          <w:szCs w:val="22"/>
          <w:lang w:val="en-US"/>
        </w:rPr>
        <w:t>1</w:t>
      </w:r>
      <w:r w:rsidRPr="001F63BA">
        <w:rPr>
          <w:rFonts w:ascii="GHEA Grapalat" w:hAnsi="GHEA Grapalat" w:cs="Sylfaen"/>
          <w:sz w:val="22"/>
          <w:szCs w:val="22"/>
        </w:rPr>
        <w:t xml:space="preserve"> բրոնզե մեդալներ: Միջոցառման</w:t>
      </w:r>
      <w:r w:rsidRPr="001F63BA">
        <w:rPr>
          <w:rFonts w:ascii="GHEA Grapalat" w:hAnsi="GHEA Grapalat" w:cs="Sylfaen"/>
          <w:sz w:val="22"/>
          <w:szCs w:val="22"/>
          <w:lang w:val="en-US"/>
        </w:rPr>
        <w:t>ը</w:t>
      </w:r>
      <w:r w:rsidRPr="001F63BA">
        <w:rPr>
          <w:rFonts w:ascii="GHEA Grapalat" w:hAnsi="GHEA Grapalat" w:cs="Sylfaen"/>
          <w:sz w:val="22"/>
          <w:szCs w:val="22"/>
        </w:rPr>
        <w:t xml:space="preserve"> հատկացված 825.6</w:t>
      </w:r>
      <w:r w:rsidRPr="001F63BA">
        <w:rPr>
          <w:rFonts w:ascii="Courier New" w:hAnsi="Courier New" w:cs="Courier New"/>
          <w:sz w:val="22"/>
          <w:szCs w:val="22"/>
          <w:lang w:val="en-US"/>
        </w:rPr>
        <w:t> </w:t>
      </w:r>
      <w:r w:rsidRPr="001F63BA">
        <w:rPr>
          <w:rFonts w:ascii="GHEA Grapalat" w:hAnsi="GHEA Grapalat" w:cs="Sylfaen"/>
          <w:sz w:val="22"/>
          <w:szCs w:val="22"/>
        </w:rPr>
        <w:t>մլն դրամն ամբողջությամբ օգտագործվել է:</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2022 թվականի հոկտեմբերի 14-17-ը Երևանում՝ Կարեն Դեմիրճյանի անվան մարզահամերգային համալիրում կայացած սամբոյի դեռահասների, պատանիների և երիտասարդների աշխարհի առաջնությանը մասնակցել է 450 մարզիկ 23 երկրից՝ կանխատեսված համապատասխանաբար 650-ի և 40-ի դիմաց, խաղարկվել է 55 հավաքածու մեդալ: Հայաստանի սամբոյի հավաքականը հանդես է եկել 46 մարզիկով և նվաճել է 20 մեդալ, որից</w:t>
      </w:r>
      <w:r w:rsidRPr="001F63BA">
        <w:rPr>
          <w:rFonts w:ascii="GHEA Grapalat" w:hAnsi="GHEA Grapalat" w:cs="Sylfaen"/>
          <w:sz w:val="22"/>
          <w:szCs w:val="22"/>
          <w:lang w:val="en-US"/>
        </w:rPr>
        <w:t>՝</w:t>
      </w:r>
      <w:r w:rsidRPr="001F63BA">
        <w:rPr>
          <w:rFonts w:ascii="GHEA Grapalat" w:hAnsi="GHEA Grapalat" w:cs="Sylfaen"/>
          <w:sz w:val="22"/>
          <w:szCs w:val="22"/>
        </w:rPr>
        <w:t xml:space="preserve"> 1 ոսկե, 2 արծաթե և 17 բրոնզե մեդալ: </w:t>
      </w:r>
      <w:r w:rsidRPr="001F63BA">
        <w:rPr>
          <w:rFonts w:ascii="GHEA Grapalat" w:hAnsi="GHEA Grapalat" w:cs="Sylfaen"/>
          <w:sz w:val="22"/>
          <w:szCs w:val="22"/>
          <w:lang w:val="en-US"/>
        </w:rPr>
        <w:t xml:space="preserve">Միջոցառման </w:t>
      </w:r>
      <w:r w:rsidRPr="001F63BA">
        <w:rPr>
          <w:rFonts w:ascii="GHEA Grapalat" w:hAnsi="GHEA Grapalat" w:cs="Sylfaen"/>
          <w:sz w:val="22"/>
          <w:szCs w:val="22"/>
        </w:rPr>
        <w:t>ծախսեր</w:t>
      </w:r>
      <w:r w:rsidRPr="001F63BA">
        <w:rPr>
          <w:rFonts w:ascii="GHEA Grapalat" w:hAnsi="GHEA Grapalat" w:cs="Sylfaen"/>
          <w:sz w:val="22"/>
          <w:szCs w:val="22"/>
          <w:lang w:val="en-US"/>
        </w:rPr>
        <w:t>ը կազմել են 290.7 մլն դրամ՝ ապահովելով 98.6%</w:t>
      </w:r>
      <w:r w:rsidRPr="001F63BA">
        <w:rPr>
          <w:rFonts w:ascii="GHEA Grapalat" w:hAnsi="GHEA Grapalat" w:cs="Sylfaen"/>
          <w:sz w:val="22"/>
          <w:szCs w:val="22"/>
        </w:rPr>
        <w:t xml:space="preserve"> կատարողական: Շեղումը պայմանավորված է առաջնության կազմակերպման և անցկացման ապահովման ծախսերի տնտեսմամբ:</w:t>
      </w:r>
    </w:p>
    <w:p w:rsidR="001C411D" w:rsidRPr="001F63BA" w:rsidRDefault="001C411D" w:rsidP="00423E09">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2022 թվականի</w:t>
      </w:r>
      <w:r w:rsidRPr="001F63BA">
        <w:rPr>
          <w:rFonts w:ascii="GHEA Grapalat" w:hAnsi="GHEA Grapalat" w:cs="Sylfaen"/>
          <w:sz w:val="22"/>
          <w:szCs w:val="22"/>
          <w:lang w:val="en-US"/>
        </w:rPr>
        <w:t>ն</w:t>
      </w:r>
      <w:r w:rsidRPr="001F63BA">
        <w:rPr>
          <w:rFonts w:ascii="GHEA Grapalat" w:hAnsi="GHEA Grapalat" w:cs="Sylfaen"/>
          <w:sz w:val="22"/>
          <w:szCs w:val="22"/>
        </w:rPr>
        <w:t xml:space="preserve"> ՀՀ պետական բյուջե</w:t>
      </w:r>
      <w:r w:rsidRPr="001F63BA">
        <w:rPr>
          <w:rFonts w:ascii="GHEA Grapalat" w:hAnsi="GHEA Grapalat" w:cs="Sylfaen"/>
          <w:sz w:val="22"/>
          <w:szCs w:val="22"/>
          <w:lang w:val="en-US"/>
        </w:rPr>
        <w:t>ից</w:t>
      </w:r>
      <w:r w:rsidRPr="001F63BA">
        <w:rPr>
          <w:rFonts w:ascii="GHEA Grapalat" w:hAnsi="GHEA Grapalat" w:cs="Sylfaen"/>
          <w:sz w:val="22"/>
          <w:szCs w:val="22"/>
        </w:rPr>
        <w:t xml:space="preserve"> ավելի քան 10.8 մլրդ դրամ է տրամադրվել </w:t>
      </w:r>
      <w:r w:rsidRPr="001F63BA">
        <w:rPr>
          <w:rFonts w:ascii="GHEA Grapalat" w:hAnsi="GHEA Grapalat" w:cs="Sylfaen"/>
          <w:i/>
          <w:sz w:val="22"/>
          <w:szCs w:val="22"/>
        </w:rPr>
        <w:t>Նախնական (արհեստագործական) և միջին մասնագիտական կրթության ծրագրին</w:t>
      </w:r>
      <w:r w:rsidRPr="001F63BA">
        <w:rPr>
          <w:rFonts w:ascii="GHEA Grapalat" w:hAnsi="GHEA Grapalat" w:cs="Sylfaen"/>
          <w:sz w:val="22"/>
          <w:szCs w:val="22"/>
        </w:rPr>
        <w:t xml:space="preserve">՝ ապահովելով 95.1% կատարողական: </w:t>
      </w:r>
      <w:r w:rsidRPr="001F63BA">
        <w:rPr>
          <w:rFonts w:ascii="GHEA Grapalat" w:hAnsi="GHEA Grapalat" w:cs="Arial"/>
          <w:sz w:val="22"/>
          <w:szCs w:val="22"/>
        </w:rPr>
        <w:t>Շեղումը</w:t>
      </w:r>
      <w:r w:rsidRPr="001F63BA">
        <w:rPr>
          <w:rFonts w:ascii="GHEA Grapalat" w:hAnsi="GHEA Grapalat" w:cs="Arial"/>
          <w:sz w:val="22"/>
          <w:szCs w:val="22"/>
          <w:lang w:val="af-ZA"/>
        </w:rPr>
        <w:t xml:space="preserve"> </w:t>
      </w:r>
      <w:r w:rsidRPr="001F63BA">
        <w:rPr>
          <w:rFonts w:ascii="GHEA Grapalat" w:hAnsi="GHEA Grapalat" w:cs="Arial"/>
          <w:sz w:val="22"/>
          <w:szCs w:val="22"/>
        </w:rPr>
        <w:t>հիմնականում</w:t>
      </w:r>
      <w:r w:rsidRPr="001F63BA">
        <w:rPr>
          <w:rFonts w:ascii="GHEA Grapalat" w:hAnsi="GHEA Grapalat" w:cs="Arial"/>
          <w:sz w:val="22"/>
          <w:szCs w:val="22"/>
          <w:lang w:val="af-ZA"/>
        </w:rPr>
        <w:t xml:space="preserve"> </w:t>
      </w:r>
      <w:r w:rsidRPr="001F63BA">
        <w:rPr>
          <w:rFonts w:ascii="GHEA Grapalat" w:hAnsi="GHEA Grapalat" w:cs="Arial"/>
          <w:sz w:val="22"/>
          <w:szCs w:val="22"/>
        </w:rPr>
        <w:t>պայմանավորված</w:t>
      </w:r>
      <w:r w:rsidRPr="001F63BA">
        <w:rPr>
          <w:rFonts w:ascii="GHEA Grapalat" w:hAnsi="GHEA Grapalat" w:cs="Arial"/>
          <w:sz w:val="22"/>
          <w:szCs w:val="22"/>
          <w:lang w:val="af-ZA"/>
        </w:rPr>
        <w:t xml:space="preserve"> </w:t>
      </w:r>
      <w:r w:rsidRPr="001F63BA">
        <w:rPr>
          <w:rFonts w:ascii="GHEA Grapalat" w:hAnsi="GHEA Grapalat" w:cs="Arial"/>
          <w:sz w:val="22"/>
          <w:szCs w:val="22"/>
        </w:rPr>
        <w:t>է միջին</w:t>
      </w:r>
      <w:r w:rsidRPr="001F63BA">
        <w:rPr>
          <w:rFonts w:ascii="GHEA Grapalat" w:hAnsi="GHEA Grapalat" w:cs="Arial"/>
          <w:sz w:val="22"/>
          <w:szCs w:val="22"/>
          <w:lang w:val="af-ZA"/>
        </w:rPr>
        <w:t xml:space="preserve"> </w:t>
      </w:r>
      <w:r w:rsidRPr="001F63BA">
        <w:rPr>
          <w:rFonts w:ascii="GHEA Grapalat" w:hAnsi="GHEA Grapalat" w:cs="Arial"/>
          <w:sz w:val="22"/>
          <w:szCs w:val="22"/>
        </w:rPr>
        <w:t>մասնագիտական</w:t>
      </w:r>
      <w:r w:rsidRPr="001F63BA">
        <w:rPr>
          <w:rFonts w:ascii="GHEA Grapalat" w:hAnsi="GHEA Grapalat" w:cs="Arial"/>
          <w:sz w:val="22"/>
          <w:szCs w:val="22"/>
          <w:lang w:val="af-ZA"/>
        </w:rPr>
        <w:t xml:space="preserve"> </w:t>
      </w:r>
      <w:r w:rsidRPr="001F63BA">
        <w:rPr>
          <w:rFonts w:ascii="GHEA Grapalat" w:hAnsi="GHEA Grapalat" w:cs="Arial"/>
          <w:sz w:val="22"/>
          <w:szCs w:val="22"/>
        </w:rPr>
        <w:t>կրթության</w:t>
      </w:r>
      <w:r w:rsidRPr="001F63BA">
        <w:rPr>
          <w:rFonts w:ascii="GHEA Grapalat" w:hAnsi="GHEA Grapalat" w:cs="Arial"/>
          <w:sz w:val="22"/>
          <w:szCs w:val="22"/>
          <w:lang w:val="af-ZA"/>
        </w:rPr>
        <w:t xml:space="preserve"> </w:t>
      </w:r>
      <w:r w:rsidRPr="001F63BA">
        <w:rPr>
          <w:rFonts w:ascii="GHEA Grapalat" w:hAnsi="GHEA Grapalat" w:cs="Arial"/>
          <w:sz w:val="22"/>
          <w:szCs w:val="22"/>
        </w:rPr>
        <w:t>գծով</w:t>
      </w:r>
      <w:r w:rsidRPr="001F63BA">
        <w:rPr>
          <w:rFonts w:ascii="GHEA Grapalat" w:hAnsi="GHEA Grapalat" w:cs="Arial"/>
          <w:sz w:val="22"/>
          <w:szCs w:val="22"/>
          <w:lang w:val="af-ZA"/>
        </w:rPr>
        <w:t xml:space="preserve"> </w:t>
      </w:r>
      <w:r w:rsidRPr="001F63BA">
        <w:rPr>
          <w:rFonts w:ascii="GHEA Grapalat" w:hAnsi="GHEA Grapalat" w:cs="Arial"/>
          <w:sz w:val="22"/>
          <w:szCs w:val="22"/>
        </w:rPr>
        <w:t>ուսանողական</w:t>
      </w:r>
      <w:r w:rsidRPr="001F63BA">
        <w:rPr>
          <w:rFonts w:ascii="GHEA Grapalat" w:hAnsi="GHEA Grapalat" w:cs="Arial"/>
          <w:sz w:val="22"/>
          <w:szCs w:val="22"/>
          <w:lang w:val="af-ZA"/>
        </w:rPr>
        <w:t xml:space="preserve"> </w:t>
      </w:r>
      <w:r w:rsidRPr="001F63BA">
        <w:rPr>
          <w:rFonts w:ascii="GHEA Grapalat" w:hAnsi="GHEA Grapalat" w:cs="Arial"/>
          <w:sz w:val="22"/>
          <w:szCs w:val="22"/>
        </w:rPr>
        <w:t>նպաստների</w:t>
      </w:r>
      <w:r w:rsidRPr="001F63BA">
        <w:rPr>
          <w:rFonts w:ascii="GHEA Grapalat" w:hAnsi="GHEA Grapalat" w:cs="Arial"/>
          <w:sz w:val="22"/>
          <w:szCs w:val="22"/>
          <w:lang w:val="af-ZA"/>
        </w:rPr>
        <w:t xml:space="preserve"> </w:t>
      </w:r>
      <w:r w:rsidRPr="001F63BA">
        <w:rPr>
          <w:rFonts w:ascii="GHEA Grapalat" w:hAnsi="GHEA Grapalat" w:cs="Arial"/>
          <w:sz w:val="22"/>
          <w:szCs w:val="22"/>
        </w:rPr>
        <w:t>տրամադրման</w:t>
      </w:r>
      <w:r w:rsidRPr="001F63BA">
        <w:rPr>
          <w:rFonts w:ascii="GHEA Grapalat" w:hAnsi="GHEA Grapalat" w:cs="Arial"/>
          <w:sz w:val="22"/>
          <w:szCs w:val="22"/>
          <w:lang w:val="af-ZA"/>
        </w:rPr>
        <w:t xml:space="preserve"> </w:t>
      </w:r>
      <w:r w:rsidRPr="001F63BA">
        <w:rPr>
          <w:rFonts w:ascii="GHEA Grapalat" w:hAnsi="GHEA Grapalat" w:cs="Arial"/>
          <w:sz w:val="22"/>
          <w:szCs w:val="22"/>
        </w:rPr>
        <w:t>միջոցառման</w:t>
      </w:r>
      <w:r w:rsidRPr="001F63BA">
        <w:rPr>
          <w:rFonts w:ascii="GHEA Grapalat" w:hAnsi="GHEA Grapalat" w:cs="Arial"/>
          <w:sz w:val="22"/>
          <w:szCs w:val="22"/>
          <w:lang w:val="af-ZA"/>
        </w:rPr>
        <w:t xml:space="preserve"> </w:t>
      </w:r>
      <w:r w:rsidRPr="001F63BA">
        <w:rPr>
          <w:rFonts w:ascii="GHEA Grapalat" w:hAnsi="GHEA Grapalat" w:cs="Arial"/>
          <w:sz w:val="22"/>
          <w:szCs w:val="22"/>
        </w:rPr>
        <w:t>կատարողականով</w:t>
      </w:r>
      <w:r w:rsidRPr="001F63BA">
        <w:rPr>
          <w:rFonts w:ascii="GHEA Grapalat" w:hAnsi="GHEA Grapalat" w:cs="Arial"/>
          <w:sz w:val="22"/>
          <w:szCs w:val="22"/>
          <w:lang w:val="af-ZA"/>
        </w:rPr>
        <w:t xml:space="preserve">: </w:t>
      </w:r>
      <w:r w:rsidRPr="001F63BA">
        <w:rPr>
          <w:rFonts w:ascii="GHEA Grapalat" w:hAnsi="GHEA Grapalat" w:cs="Sylfaen"/>
          <w:sz w:val="22"/>
          <w:szCs w:val="22"/>
        </w:rPr>
        <w:t>Ծրագիրն ուղղված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պատրաստմանը, կրթության մատչելիության ապահովմանը: Նախորդ տարվա համեմատ ծրագրի ծախսերն աճել են 3.8%</w:t>
      </w:r>
      <w:r w:rsidRPr="001F63BA">
        <w:rPr>
          <w:rFonts w:ascii="GHEA Grapalat" w:hAnsi="GHEA Grapalat" w:cs="Sylfaen"/>
          <w:sz w:val="22"/>
          <w:szCs w:val="22"/>
        </w:rPr>
        <w:noBreakHyphen/>
        <w:t xml:space="preserve">ով կամ 399.6 մլն դրամով՝ հիմնականում պայմանավորված նախնական մասնագիտական (արհեստագործական) և միջին մասնագիտական ուսումնական հաստատությունների շենքային պայմանների բարելավման ծախսերի </w:t>
      </w:r>
      <w:r w:rsidRPr="001F63BA">
        <w:rPr>
          <w:rFonts w:ascii="GHEA Grapalat" w:hAnsi="GHEA Grapalat" w:cs="Sylfaen"/>
          <w:sz w:val="22"/>
          <w:szCs w:val="22"/>
          <w:lang w:val="en-US"/>
        </w:rPr>
        <w:t xml:space="preserve">2.1 անգամ </w:t>
      </w:r>
      <w:r w:rsidRPr="001F63BA">
        <w:rPr>
          <w:rFonts w:ascii="GHEA Grapalat" w:hAnsi="GHEA Grapalat" w:cs="Sylfaen"/>
          <w:sz w:val="22"/>
          <w:szCs w:val="22"/>
        </w:rPr>
        <w:t xml:space="preserve">աճով, </w:t>
      </w:r>
      <w:r w:rsidRPr="001F63BA">
        <w:rPr>
          <w:rFonts w:ascii="GHEA Grapalat" w:hAnsi="GHEA Grapalat"/>
          <w:sz w:val="22"/>
          <w:szCs w:val="22"/>
        </w:rPr>
        <w:t xml:space="preserve">ինչպես նաև </w:t>
      </w:r>
      <w:r w:rsidRPr="001F63BA">
        <w:rPr>
          <w:rFonts w:ascii="GHEA Grapalat" w:hAnsi="GHEA Grapalat"/>
          <w:sz w:val="22"/>
          <w:szCs w:val="22"/>
          <w:lang w:val="en-US"/>
        </w:rPr>
        <w:t xml:space="preserve">նշված </w:t>
      </w:r>
      <w:r w:rsidRPr="001F63BA">
        <w:rPr>
          <w:rFonts w:ascii="GHEA Grapalat" w:hAnsi="GHEA Grapalat" w:cs="Arial"/>
          <w:sz w:val="22"/>
          <w:szCs w:val="22"/>
        </w:rPr>
        <w:t xml:space="preserve">հաստատություններում ուսումնաարտադրական բազայով ապահովման և շենքերի կառուցման </w:t>
      </w:r>
      <w:r w:rsidRPr="001F63BA">
        <w:rPr>
          <w:rFonts w:ascii="GHEA Grapalat" w:hAnsi="GHEA Grapalat" w:cs="Arial"/>
          <w:bCs/>
          <w:sz w:val="22"/>
          <w:szCs w:val="22"/>
          <w:lang w:val="zu-ZA"/>
        </w:rPr>
        <w:t xml:space="preserve">նպատակով համապատասխանաբար 244.0 մլն դրամ և 206.6 մլն դրամ միջոցների </w:t>
      </w:r>
      <w:r w:rsidRPr="001F63BA">
        <w:rPr>
          <w:rFonts w:ascii="GHEA Grapalat" w:hAnsi="GHEA Grapalat" w:cs="Arial"/>
          <w:bCs/>
          <w:sz w:val="22"/>
          <w:szCs w:val="22"/>
        </w:rPr>
        <w:t>հատկացմամբ, որ</w:t>
      </w:r>
      <w:r w:rsidRPr="001F63BA">
        <w:rPr>
          <w:rFonts w:ascii="GHEA Grapalat" w:hAnsi="GHEA Grapalat" w:cs="Arial"/>
          <w:bCs/>
          <w:sz w:val="22"/>
          <w:szCs w:val="22"/>
          <w:lang w:val="en-US"/>
        </w:rPr>
        <w:t>ոնց</w:t>
      </w:r>
      <w:r w:rsidRPr="001F63BA">
        <w:rPr>
          <w:rFonts w:ascii="GHEA Grapalat" w:hAnsi="GHEA Grapalat" w:cs="Arial"/>
          <w:bCs/>
          <w:sz w:val="22"/>
          <w:szCs w:val="22"/>
        </w:rPr>
        <w:t xml:space="preserve"> համար 2021 թվականին միջոցներ չէին </w:t>
      </w:r>
      <w:r w:rsidRPr="001F63BA">
        <w:rPr>
          <w:rFonts w:ascii="GHEA Grapalat" w:hAnsi="GHEA Grapalat" w:cs="Sylfaen"/>
          <w:sz w:val="22"/>
          <w:szCs w:val="22"/>
        </w:rPr>
        <w:t>հատկացվել:</w:t>
      </w:r>
    </w:p>
    <w:p w:rsidR="001C411D" w:rsidRPr="001F63BA" w:rsidRDefault="001C411D" w:rsidP="004C60AF">
      <w:pPr>
        <w:autoSpaceDE w:val="0"/>
        <w:autoSpaceDN w:val="0"/>
        <w:adjustRightInd w:val="0"/>
        <w:spacing w:line="360" w:lineRule="auto"/>
        <w:ind w:firstLine="567"/>
        <w:jc w:val="both"/>
        <w:rPr>
          <w:rFonts w:ascii="GHEA Grapalat" w:hAnsi="GHEA Grapalat" w:cs="Arial"/>
          <w:sz w:val="22"/>
          <w:szCs w:val="22"/>
        </w:rPr>
      </w:pPr>
      <w:r w:rsidRPr="001F63BA">
        <w:rPr>
          <w:rFonts w:ascii="GHEA Grapalat" w:hAnsi="GHEA Grapalat" w:cs="Arial"/>
          <w:sz w:val="22"/>
          <w:szCs w:val="22"/>
        </w:rPr>
        <w:t xml:space="preserve">2022 թվականին շարունակվել է ուսման վարձի փոխհատուցումների իրականացումը, մասնավորապես՝ ՀՀ կառավարության 2020 թվականի դեկտեմբերի 10-ի N 2008-Լ որոշմամբ հաստատված միջոցառման շրջանակներում 2020 թվականի </w:t>
      </w:r>
      <w:r w:rsidRPr="001F63BA">
        <w:rPr>
          <w:rFonts w:ascii="GHEA Grapalat" w:hAnsi="GHEA Grapalat" w:cs="Arial"/>
          <w:sz w:val="22"/>
          <w:szCs w:val="22"/>
          <w:lang w:val="en-US"/>
        </w:rPr>
        <w:t>ա</w:t>
      </w:r>
      <w:r w:rsidRPr="001F63BA">
        <w:rPr>
          <w:rFonts w:ascii="GHEA Grapalat" w:hAnsi="GHEA Grapalat" w:cs="Arial"/>
          <w:sz w:val="22"/>
          <w:szCs w:val="22"/>
        </w:rPr>
        <w:t xml:space="preserve">րցախյան երկրորդ պատերազմի ընթացքում միջին մասնագիտական ուսումնական հաստատությունների մարտական գործողությունների մասնակից ուսանողների, ուսանող երեխաների և ամուսինների՝ 2020-2021 ուսումնական տարվա 1-ին կիսամյակի ուսման վարձի փոխհատուցումը, ինչպես նաև ՀՀ կառավարության 2021 թվականի նոյեմբերի 4-ի N 1784-Ն որոշմամբ հաստատված ուսման վճարի փոխհատուցման շրջանակներում ընտանիքների անապահովության սահմանային միավորից բարձր </w:t>
      </w:r>
      <w:r w:rsidRPr="001F63BA">
        <w:rPr>
          <w:rFonts w:ascii="GHEA Grapalat" w:hAnsi="GHEA Grapalat" w:cs="Arial"/>
          <w:sz w:val="22"/>
          <w:szCs w:val="22"/>
        </w:rPr>
        <w:lastRenderedPageBreak/>
        <w:t>միավորներ ունեցող ուսանողներին, սոցիալական աջակցություն ստացող սահմանամերձ համայնքների ուսանողներին, մարտական գործողություններին մասնակցած ուսանողներին, երկու և ավելի անչափահաս երեխա ունեցող ուսանողներին և պետության համար առաջնահերթություն և կարևորություն ներկայացնող մասնագիտություններով նպատակային ուսուցմամբ ընդունված ուսանողներին ուսման վճարի լրիվ կամ մասնակի փոխհատուցումը:</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Հաշվետու տարվա ընթացքում միջին մասնագիտական կրթության գծով ուսանողական նպաստների տրամադրման միջոցառման շրջանակներում նպաստ է տրամադրվել 17974 ուսանողի՝ կանխատեսված 20378-ի և 2021 թվականի 19197-ի դիմաց, ՀՀ կառավարության 2020 թվականի դեկտեմբերի 10-ի N 2008-Լ որոշմամբ սահմանված շահառու հանդիսացող սովորողների փաստացի թիվը կազմել է 70՝ նախատեսված 610-ի և 2021 թվականի 512-ի դիմաց, ուսման վարձի լրիվ կամ մասնակի փոխհատուցում ստացող սովորողների թիվը կազմել է 2150՝ </w:t>
      </w:r>
      <w:r w:rsidRPr="001F63BA">
        <w:rPr>
          <w:rFonts w:ascii="GHEA Grapalat" w:hAnsi="GHEA Grapalat" w:cs="Sylfaen"/>
          <w:sz w:val="22"/>
          <w:szCs w:val="22"/>
          <w:lang w:val="en-US"/>
        </w:rPr>
        <w:t xml:space="preserve">կանխատեսված </w:t>
      </w:r>
      <w:r w:rsidRPr="001F63BA">
        <w:rPr>
          <w:rFonts w:ascii="GHEA Grapalat" w:hAnsi="GHEA Grapalat" w:cs="Sylfaen"/>
          <w:sz w:val="22"/>
          <w:szCs w:val="22"/>
        </w:rPr>
        <w:t>100-ի և 2021 թվականի 646-ի դիմաց: Հանրապետությունում 2022 թվականին, ինչպես և 2021 թվականին, գործել է 69 միջին մասնագիտական պետական ուսումնական հաստատություն, միջին մասնագիտական կրթական ծրագիր է իրականացվել 77 պետական ուսումնական հաստատությունների կողմից, կարիերայի կենտրոնների ծառայություններից օգտվել է 22499 սովորող</w:t>
      </w:r>
      <w:r w:rsidRPr="001F63BA">
        <w:rPr>
          <w:rFonts w:ascii="GHEA Grapalat" w:hAnsi="GHEA Grapalat" w:cs="Sylfaen"/>
          <w:sz w:val="22"/>
          <w:szCs w:val="22"/>
          <w:lang w:val="en-US"/>
        </w:rPr>
        <w:t xml:space="preserve"> և շրջանավարտ</w:t>
      </w:r>
      <w:r w:rsidRPr="001F63BA">
        <w:rPr>
          <w:rFonts w:ascii="GHEA Grapalat" w:hAnsi="GHEA Grapalat" w:cs="Sylfaen"/>
          <w:sz w:val="22"/>
          <w:szCs w:val="22"/>
        </w:rPr>
        <w:t>՝ կանխատեսված 6000-ի և 2021 թվականի 18452-ի դիմաց: Հաշվետու տարում միջին մասնագիտական կրթության գծով ուսանողական նպաստների տրամադրմանն ուղղվել է ավելի քան 6.6 մլրդ դրամ, որը կազմել է նախատեսված հատկացումների 93.5%</w:t>
      </w:r>
      <w:r w:rsidRPr="001F63BA">
        <w:rPr>
          <w:rFonts w:ascii="GHEA Grapalat" w:hAnsi="GHEA Grapalat" w:cs="Sylfaen"/>
          <w:sz w:val="22"/>
          <w:szCs w:val="22"/>
        </w:rPr>
        <w:noBreakHyphen/>
        <w:t>ը և 3.3%-ով կամ 225.6 մլն դրամով</w:t>
      </w:r>
      <w:r w:rsidRPr="001F63BA">
        <w:rPr>
          <w:rFonts w:ascii="GHEA Grapalat" w:hAnsi="GHEA Grapalat" w:cs="Sylfaen"/>
          <w:sz w:val="22"/>
          <w:szCs w:val="22"/>
          <w:lang w:val="en-US"/>
        </w:rPr>
        <w:t xml:space="preserve"> զիջել է նախորդ տարվա ցուցանիշը</w:t>
      </w:r>
      <w:r w:rsidRPr="001F63BA">
        <w:rPr>
          <w:rFonts w:ascii="GHEA Grapalat" w:hAnsi="GHEA Grapalat" w:cs="Sylfaen"/>
          <w:sz w:val="22"/>
          <w:szCs w:val="22"/>
        </w:rPr>
        <w:t xml:space="preserve">: Ծրագրային ցուցանիշից շեղումը և նախորդ տարվա համեմատ անկումը հիմնականում պայմանավորված </w:t>
      </w:r>
      <w:r w:rsidRPr="001F63BA">
        <w:rPr>
          <w:rFonts w:ascii="GHEA Grapalat" w:hAnsi="GHEA Grapalat" w:cs="Sylfaen"/>
          <w:sz w:val="22"/>
          <w:szCs w:val="22"/>
          <w:lang w:val="en-US"/>
        </w:rPr>
        <w:t>են</w:t>
      </w:r>
      <w:r w:rsidRPr="001F63BA">
        <w:rPr>
          <w:rFonts w:ascii="GHEA Grapalat" w:hAnsi="GHEA Grapalat" w:cs="Sylfaen"/>
          <w:sz w:val="22"/>
          <w:szCs w:val="22"/>
        </w:rPr>
        <w:t xml:space="preserve"> նպաստ ստացող ուսանողների և ՀՀ կառավարության 2020 թվականի դեկտեմբերի 10-ի N 2008-Լ որոշմամբ սահմանված շահառուների փաստացի թվի նվազմամբ:</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Նախնական մասնագիտական (արհեստագործական) կրթության գծով ուսանողական նպաստների տրամադրման միջոցառման շրջանակներում նպաստ է տրամադրվել 6194 ուսանողի՝ կանխատեսված 7312-ի և 2021 թվականի 6455-ի դիմաց, իսկ ուսման վարձի լրիվ կամ մասնակի փոխհատուցում ստացող սովորողների թիվը կազմել է 7՝ կանխատեսված 30-ի դիմաց: Հանրապետությունում 2022 թվականին, ինչպես և 2021 թվականին, գործել է 21 նախնական մասնագիտական (արհեստագործական) պետական ուսումնական հաստատություն, նախնական մասնագիտական (արհեստագործական) կրթական ծրագիր իրականացնող 55 պետական ուսումնական հաստատություն՝ 2021 թվականի 56-ի դիմաց, կարիերայի կենտրոնների ծառայություններից օգտվել են 4304 սովորողներ</w:t>
      </w:r>
      <w:r w:rsidRPr="001F63BA">
        <w:rPr>
          <w:rFonts w:ascii="GHEA Grapalat" w:hAnsi="GHEA Grapalat" w:cs="Sylfaen"/>
          <w:sz w:val="22"/>
          <w:szCs w:val="22"/>
          <w:lang w:val="en-US"/>
        </w:rPr>
        <w:t xml:space="preserve"> և շրջանավարտներ</w:t>
      </w:r>
      <w:r w:rsidRPr="001F63BA">
        <w:rPr>
          <w:rFonts w:ascii="GHEA Grapalat" w:hAnsi="GHEA Grapalat" w:cs="Sylfaen"/>
          <w:sz w:val="22"/>
          <w:szCs w:val="22"/>
        </w:rPr>
        <w:t xml:space="preserve">՝ կանխատեսված 3000-ի և 2021 թվականի 3411-ի դիմաց: 2022 թվականի ընթացքում նախնական մասնագիտական </w:t>
      </w:r>
      <w:r w:rsidRPr="001F63BA">
        <w:rPr>
          <w:rFonts w:ascii="GHEA Grapalat" w:hAnsi="GHEA Grapalat" w:cs="Sylfaen"/>
          <w:sz w:val="22"/>
          <w:szCs w:val="22"/>
        </w:rPr>
        <w:lastRenderedPageBreak/>
        <w:t>(արհեստագործական) կրթության գծով ուսանողական նպաստների ծախսերը կազմել են շուրջ 2.3</w:t>
      </w:r>
      <w:r w:rsidRPr="001F63BA">
        <w:rPr>
          <w:rFonts w:ascii="Courier New" w:hAnsi="Courier New" w:cs="Courier New"/>
          <w:sz w:val="22"/>
          <w:szCs w:val="22"/>
          <w:lang w:val="en-US"/>
        </w:rPr>
        <w:t> </w:t>
      </w:r>
      <w:r w:rsidRPr="001F63BA">
        <w:rPr>
          <w:rFonts w:ascii="GHEA Grapalat" w:hAnsi="GHEA Grapalat" w:cs="Sylfaen"/>
          <w:sz w:val="22"/>
          <w:szCs w:val="22"/>
        </w:rPr>
        <w:t>մլրդ դրամ՝ ապահովելով 99.9% կատարողական: Նախորդ տարվա համեմատ միջոցառման գծով ծախսերը նվազել են 1.8%-ով կամ 41.1 մլն դրամով, որը պայմանավորված է ուսումնարաններում նպաստ ստացող ուսանողների փաստացի թվով: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2022 թվականի ընթացքում </w:t>
      </w:r>
      <w:r w:rsidRPr="001F63BA">
        <w:rPr>
          <w:rFonts w:ascii="GHEA Grapalat" w:hAnsi="GHEA Grapalat" w:cs="Sylfaen"/>
          <w:i/>
          <w:sz w:val="22"/>
          <w:szCs w:val="22"/>
        </w:rPr>
        <w:t>Բարձրագույն և հետբուհական մասնագիտական կրթության</w:t>
      </w:r>
      <w:r w:rsidRPr="001F63BA">
        <w:rPr>
          <w:rFonts w:ascii="GHEA Grapalat" w:hAnsi="GHEA Grapalat" w:cs="Sylfaen"/>
          <w:sz w:val="22"/>
          <w:szCs w:val="22"/>
        </w:rPr>
        <w:t xml:space="preserve"> ծրագրին տրամադրվել է շուրջ 12.4 մլրդ դրամ` ապահովելով ծրագրված ցուցանիշի 98.6% կատարողական: Շեղումը հիմնականում պայմանավորված է բարձրագույն մասնագիտական կրթություն ստացող ուսանողների կրթաթոշակի և ուսումնական վարկերի տոկոսավճարների մասնակի փոխհատուցման գծով ծախսերի կատարողականով: Ծրագիրն ուղղված է եղել գիտելիքների տնտեսության և գիտության զարգացման արդի պահանջներին համապատասխան բարձրագույն և հետբուհական մասնագիտական որակավորում ունեցող մասնագետների պատրաստմանը: Նախորդ տարվա համեմատ Բարձրագույն և հետբուհական մասնագիտական կրթության ծրագրի ծախսերը նվազել են 1.4%-ով կամ 172.6 մլն դրամով` հիմնականում կապված ռազմական դրությամբ պայմանավորված</w:t>
      </w:r>
      <w:r w:rsidRPr="001F63BA">
        <w:rPr>
          <w:rFonts w:ascii="GHEA Grapalat" w:hAnsi="GHEA Grapalat" w:cs="Sylfaen"/>
          <w:sz w:val="22"/>
          <w:szCs w:val="22"/>
          <w:lang w:val="en-US"/>
        </w:rPr>
        <w:t>՝</w:t>
      </w:r>
      <w:r w:rsidRPr="001F63BA">
        <w:rPr>
          <w:rFonts w:ascii="GHEA Grapalat" w:hAnsi="GHEA Grapalat" w:cs="Sylfaen"/>
          <w:sz w:val="22"/>
          <w:szCs w:val="22"/>
        </w:rPr>
        <w:t xml:space="preserve"> բարձրագույն կրթական ծրագրեր իրականացնող ուսումնական հաստատությունների սովորողների ուսման վարձի փոխհատուցման գծով ծախսերի նվազմա</w:t>
      </w:r>
      <w:r w:rsidRPr="001F63BA">
        <w:rPr>
          <w:rFonts w:ascii="GHEA Grapalat" w:hAnsi="GHEA Grapalat" w:cs="Sylfaen"/>
          <w:sz w:val="22"/>
          <w:szCs w:val="22"/>
          <w:lang w:val="en-US"/>
        </w:rPr>
        <w:t>ն հետ</w:t>
      </w:r>
      <w:r w:rsidRPr="001F63BA">
        <w:rPr>
          <w:rFonts w:ascii="GHEA Grapalat" w:hAnsi="GHEA Grapalat" w:cs="Sylfaen"/>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Ռազմական դրությամբ պայմանավորված բարձրագույն կրթական ծրագրեր իրականացնող ուսումնական հաստատությունների սովորողների ուսման վարձի փոխհատուցման միջոցառման շրջանակում իրականացվել է 2020 թվականի </w:t>
      </w:r>
      <w:r w:rsidRPr="001F63BA">
        <w:rPr>
          <w:rFonts w:ascii="GHEA Grapalat" w:hAnsi="GHEA Grapalat" w:cs="Sylfaen"/>
          <w:sz w:val="22"/>
          <w:szCs w:val="22"/>
          <w:lang w:val="en-US"/>
        </w:rPr>
        <w:t>ա</w:t>
      </w:r>
      <w:r w:rsidRPr="001F63BA">
        <w:rPr>
          <w:rFonts w:ascii="GHEA Grapalat" w:hAnsi="GHEA Grapalat" w:cs="Sylfaen"/>
          <w:sz w:val="22"/>
          <w:szCs w:val="22"/>
        </w:rPr>
        <w:t xml:space="preserve">րցախյան երկրորդ պատերազմի ընթացքում բարձրագույն ուսումնական հաստատությունների մարտական գործողությունների մասնակից ուսանողների, ուսանող երեխաների և ամուսինների՝ 2020-2021 ուսումնական տարվա առաջին կիսամյակի ուսման վարձի փոխհատուցում: Միջոցառման շրջանակներում ուսման վարձի փոխհատուցում է ստացել 1613 ուսանող՝ կանխատեսված 1611-ի և 2021 թվականի 7318-ի դիմաց: </w:t>
      </w:r>
      <w:r w:rsidRPr="001F63BA">
        <w:rPr>
          <w:rFonts w:ascii="GHEA Grapalat" w:hAnsi="GHEA Grapalat" w:cs="Sylfaen"/>
          <w:sz w:val="22"/>
          <w:szCs w:val="22"/>
          <w:lang w:val="en-US"/>
        </w:rPr>
        <w:t>Նշված</w:t>
      </w:r>
      <w:r w:rsidRPr="001F63BA">
        <w:rPr>
          <w:rFonts w:ascii="GHEA Grapalat" w:hAnsi="GHEA Grapalat" w:cs="Sylfaen"/>
          <w:sz w:val="22"/>
          <w:szCs w:val="22"/>
        </w:rPr>
        <w:t xml:space="preserve"> ծախսերը</w:t>
      </w:r>
      <w:r w:rsidRPr="001F63BA">
        <w:rPr>
          <w:rFonts w:ascii="GHEA Grapalat" w:hAnsi="GHEA Grapalat" w:cs="Sylfaen"/>
          <w:sz w:val="22"/>
          <w:szCs w:val="22"/>
          <w:lang w:val="en-US"/>
        </w:rPr>
        <w:t xml:space="preserve"> 2022 </w:t>
      </w:r>
      <w:r w:rsidRPr="001F63BA">
        <w:rPr>
          <w:rFonts w:ascii="GHEA Grapalat" w:hAnsi="GHEA Grapalat" w:cs="Sylfaen"/>
          <w:sz w:val="22"/>
          <w:szCs w:val="22"/>
        </w:rPr>
        <w:t>թվականին կազմել են 382.3 մլն դրամ՝ ապահովելով 98.5% կատարողական և 76%</w:t>
      </w:r>
      <w:r w:rsidRPr="001F63BA">
        <w:rPr>
          <w:rFonts w:ascii="GHEA Grapalat" w:hAnsi="GHEA Grapalat" w:cs="Sylfaen"/>
          <w:sz w:val="22"/>
          <w:szCs w:val="22"/>
        </w:rPr>
        <w:noBreakHyphen/>
        <w:t>ով կամ 1.2 մլրդ դրամով զիջելով նախորդ տարվա ցուցանիշը: Ծրագրի նկատմամբ շեղումը պայմանավորված է փոխհատուցում ստացող ուսանողների փաստացի ցուցակների և հաշվարկների ճշգրտմամբ</w:t>
      </w:r>
      <w:r w:rsidRPr="001F63BA">
        <w:rPr>
          <w:rFonts w:ascii="GHEA Grapalat" w:hAnsi="GHEA Grapalat" w:cs="Sylfaen"/>
          <w:sz w:val="22"/>
          <w:szCs w:val="22"/>
          <w:lang w:val="en-US"/>
        </w:rPr>
        <w:t>:</w:t>
      </w:r>
      <w:r w:rsidRPr="001F63BA">
        <w:rPr>
          <w:rFonts w:ascii="GHEA Grapalat" w:hAnsi="GHEA Grapalat" w:cs="Sylfaen"/>
          <w:sz w:val="22"/>
          <w:szCs w:val="22"/>
        </w:rPr>
        <w:t xml:space="preserve"> </w:t>
      </w:r>
      <w:r w:rsidRPr="001F63BA">
        <w:rPr>
          <w:rFonts w:ascii="GHEA Grapalat" w:hAnsi="GHEA Grapalat" w:cs="Sylfaen"/>
          <w:sz w:val="22"/>
          <w:szCs w:val="22"/>
          <w:lang w:val="en-US"/>
        </w:rPr>
        <w:t>Ն</w:t>
      </w:r>
      <w:r w:rsidRPr="001F63BA">
        <w:rPr>
          <w:rFonts w:ascii="GHEA Grapalat" w:hAnsi="GHEA Grapalat" w:cs="Sylfaen"/>
          <w:sz w:val="22"/>
          <w:szCs w:val="22"/>
        </w:rPr>
        <w:t xml:space="preserve">ախորդ տարվա համեմատ </w:t>
      </w:r>
      <w:r w:rsidRPr="001F63BA">
        <w:rPr>
          <w:rFonts w:ascii="GHEA Grapalat" w:hAnsi="GHEA Grapalat" w:cs="Sylfaen"/>
          <w:sz w:val="22"/>
          <w:szCs w:val="22"/>
          <w:lang w:val="en-US"/>
        </w:rPr>
        <w:t xml:space="preserve">ծախսերի </w:t>
      </w:r>
      <w:r w:rsidRPr="001F63BA">
        <w:rPr>
          <w:rFonts w:ascii="GHEA Grapalat" w:hAnsi="GHEA Grapalat" w:cs="Sylfaen"/>
          <w:sz w:val="22"/>
          <w:szCs w:val="22"/>
        </w:rPr>
        <w:t>անկումը պայմանավորված է ուսման վարձի փոխհատուցում ստաց</w:t>
      </w:r>
      <w:r w:rsidRPr="001F63BA">
        <w:rPr>
          <w:rFonts w:ascii="GHEA Grapalat" w:hAnsi="GHEA Grapalat" w:cs="Sylfaen"/>
          <w:sz w:val="22"/>
          <w:szCs w:val="22"/>
          <w:lang w:val="en-US"/>
        </w:rPr>
        <w:t>ած</w:t>
      </w:r>
      <w:r w:rsidRPr="001F63BA">
        <w:rPr>
          <w:rFonts w:ascii="GHEA Grapalat" w:hAnsi="GHEA Grapalat" w:cs="Sylfaen"/>
          <w:sz w:val="22"/>
          <w:szCs w:val="22"/>
        </w:rPr>
        <w:t xml:space="preserve"> ուսանողների փաստացի թվ</w:t>
      </w:r>
      <w:r w:rsidRPr="001F63BA">
        <w:rPr>
          <w:rFonts w:ascii="GHEA Grapalat" w:hAnsi="GHEA Grapalat" w:cs="Sylfaen"/>
          <w:sz w:val="22"/>
          <w:szCs w:val="22"/>
          <w:lang w:val="en-US"/>
        </w:rPr>
        <w:t>ի նվազմամբ</w:t>
      </w:r>
      <w:r w:rsidRPr="001F63BA">
        <w:rPr>
          <w:rFonts w:ascii="GHEA Grapalat" w:hAnsi="GHEA Grapalat" w:cs="Sylfaen"/>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Arial"/>
          <w:sz w:val="22"/>
          <w:szCs w:val="22"/>
        </w:rPr>
        <w:t xml:space="preserve"> </w:t>
      </w:r>
      <w:r w:rsidRPr="001F63BA">
        <w:rPr>
          <w:rFonts w:ascii="GHEA Grapalat" w:hAnsi="GHEA Grapalat" w:cs="Sylfaen"/>
          <w:sz w:val="22"/>
          <w:szCs w:val="22"/>
        </w:rPr>
        <w:t xml:space="preserve">Բարձրագույն մասնագիտական կրթության գծով ուսանողական նպաստների տրամադրման միջոցառման շրջանակներում 2022 թվականին նպաստ ստացող ուսանողների թիվը կազմել է 10639՝ կանխատեսված 10706-ի և 2021 թվականի 10468-ի դիմաց, իսկ ուսման վարձավճարի լրիվ փոխհատուցում ստացած ուսանողների միջին տարեկան թիվը կազմել է 732՝ կանխատեսված 740-ի </w:t>
      </w:r>
      <w:r w:rsidRPr="001F63BA">
        <w:rPr>
          <w:rFonts w:ascii="GHEA Grapalat" w:hAnsi="GHEA Grapalat" w:cs="Sylfaen"/>
          <w:sz w:val="22"/>
          <w:szCs w:val="22"/>
        </w:rPr>
        <w:lastRenderedPageBreak/>
        <w:t>և 2021 թվականի 608-ի դիմաց: Միջոցառման ծախսերը կազմել են շուրջ 10</w:t>
      </w:r>
      <w:r w:rsidRPr="001F63BA">
        <w:rPr>
          <w:rFonts w:ascii="Courier New" w:hAnsi="Courier New" w:cs="Courier New"/>
          <w:sz w:val="22"/>
          <w:szCs w:val="22"/>
        </w:rPr>
        <w:t> </w:t>
      </w:r>
      <w:r w:rsidRPr="001F63BA">
        <w:rPr>
          <w:rFonts w:ascii="GHEA Grapalat" w:hAnsi="GHEA Grapalat" w:cs="GHEA Grapalat"/>
          <w:sz w:val="22"/>
          <w:szCs w:val="22"/>
        </w:rPr>
        <w:t>մլրդ</w:t>
      </w:r>
      <w:r w:rsidRPr="001F63BA">
        <w:rPr>
          <w:rFonts w:ascii="GHEA Grapalat" w:hAnsi="GHEA Grapalat" w:cs="Sylfaen"/>
          <w:sz w:val="22"/>
          <w:szCs w:val="22"/>
        </w:rPr>
        <w:t xml:space="preserve"> </w:t>
      </w:r>
      <w:r w:rsidRPr="001F63BA">
        <w:rPr>
          <w:rFonts w:ascii="GHEA Grapalat" w:hAnsi="GHEA Grapalat" w:cs="GHEA Grapalat"/>
          <w:sz w:val="22"/>
          <w:szCs w:val="22"/>
        </w:rPr>
        <w:t>դրամ՝</w:t>
      </w:r>
      <w:r w:rsidRPr="001F63BA">
        <w:rPr>
          <w:rFonts w:ascii="GHEA Grapalat" w:hAnsi="GHEA Grapalat" w:cs="Sylfaen"/>
          <w:sz w:val="22"/>
          <w:szCs w:val="22"/>
        </w:rPr>
        <w:t xml:space="preserve"> </w:t>
      </w:r>
      <w:r w:rsidRPr="001F63BA">
        <w:rPr>
          <w:rFonts w:ascii="GHEA Grapalat" w:hAnsi="GHEA Grapalat" w:cs="GHEA Grapalat"/>
          <w:sz w:val="22"/>
          <w:szCs w:val="22"/>
        </w:rPr>
        <w:t>ապահովելով</w:t>
      </w:r>
      <w:r w:rsidRPr="001F63BA">
        <w:rPr>
          <w:rFonts w:ascii="GHEA Grapalat" w:hAnsi="GHEA Grapalat" w:cs="Sylfaen"/>
          <w:sz w:val="22"/>
          <w:szCs w:val="22"/>
        </w:rPr>
        <w:t xml:space="preserve"> 99.8% կատարողական և 11%-ով (985.9 մլն դրամով) գերազանցել</w:t>
      </w:r>
      <w:r w:rsidRPr="001F63BA">
        <w:rPr>
          <w:rFonts w:ascii="GHEA Grapalat" w:hAnsi="GHEA Grapalat" w:cs="Sylfaen"/>
          <w:sz w:val="22"/>
          <w:szCs w:val="22"/>
          <w:lang w:val="en-US"/>
        </w:rPr>
        <w:t>ով</w:t>
      </w:r>
      <w:r w:rsidRPr="001F63BA">
        <w:rPr>
          <w:rFonts w:ascii="GHEA Grapalat" w:hAnsi="GHEA Grapalat" w:cs="Sylfaen"/>
          <w:sz w:val="22"/>
          <w:szCs w:val="22"/>
        </w:rPr>
        <w:t xml:space="preserve"> նախորդ տարվա ցուցանիշը: </w:t>
      </w:r>
      <w:r w:rsidRPr="001F63BA">
        <w:rPr>
          <w:rFonts w:ascii="GHEA Grapalat" w:hAnsi="GHEA Grapalat" w:cs="Sylfaen"/>
          <w:sz w:val="22"/>
          <w:szCs w:val="22"/>
          <w:lang w:val="en-US"/>
        </w:rPr>
        <w:t>Վերջինս</w:t>
      </w:r>
      <w:r w:rsidRPr="001F63BA">
        <w:rPr>
          <w:rFonts w:ascii="GHEA Grapalat" w:hAnsi="GHEA Grapalat" w:cs="Sylfaen"/>
          <w:sz w:val="22"/>
          <w:szCs w:val="22"/>
        </w:rPr>
        <w:t xml:space="preserve"> պայմանավորված է նպաստ և ուսման վարձավճարի լրիվ փոխհատուցում ստաց</w:t>
      </w:r>
      <w:r w:rsidRPr="001F63BA">
        <w:rPr>
          <w:rFonts w:ascii="GHEA Grapalat" w:hAnsi="GHEA Grapalat" w:cs="Sylfaen"/>
          <w:sz w:val="22"/>
          <w:szCs w:val="22"/>
          <w:lang w:val="en-US"/>
        </w:rPr>
        <w:t>ած</w:t>
      </w:r>
      <w:r w:rsidRPr="001F63BA">
        <w:rPr>
          <w:rFonts w:ascii="GHEA Grapalat" w:hAnsi="GHEA Grapalat" w:cs="Sylfaen"/>
          <w:sz w:val="22"/>
          <w:szCs w:val="22"/>
        </w:rPr>
        <w:t xml:space="preserve"> ուսանողների թվ</w:t>
      </w:r>
      <w:r w:rsidRPr="001F63BA">
        <w:rPr>
          <w:rFonts w:ascii="GHEA Grapalat" w:hAnsi="GHEA Grapalat" w:cs="Sylfaen"/>
          <w:sz w:val="22"/>
          <w:szCs w:val="22"/>
          <w:lang w:val="en-US"/>
        </w:rPr>
        <w:t>ի աճ</w:t>
      </w:r>
      <w:r w:rsidRPr="001F63BA">
        <w:rPr>
          <w:rFonts w:ascii="GHEA Grapalat" w:hAnsi="GHEA Grapalat" w:cs="Sylfaen"/>
          <w:sz w:val="22"/>
          <w:szCs w:val="22"/>
        </w:rPr>
        <w:t>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Arial"/>
          <w:sz w:val="22"/>
          <w:szCs w:val="22"/>
        </w:rPr>
        <w:t>Բարձրագույն</w:t>
      </w:r>
      <w:r w:rsidRPr="001F63BA">
        <w:rPr>
          <w:rFonts w:ascii="GHEA Grapalat" w:hAnsi="GHEA Grapalat" w:cs="Sylfaen"/>
          <w:sz w:val="22"/>
          <w:szCs w:val="22"/>
          <w:lang w:val="af-ZA"/>
        </w:rPr>
        <w:t xml:space="preserve"> </w:t>
      </w:r>
      <w:r w:rsidRPr="001F63BA">
        <w:rPr>
          <w:rFonts w:ascii="GHEA Grapalat" w:hAnsi="GHEA Grapalat" w:cs="Arial"/>
          <w:sz w:val="22"/>
          <w:szCs w:val="22"/>
        </w:rPr>
        <w:t>մասնագիտական</w:t>
      </w:r>
      <w:r w:rsidRPr="001F63BA">
        <w:rPr>
          <w:rFonts w:ascii="GHEA Grapalat" w:hAnsi="GHEA Grapalat" w:cs="Sylfaen"/>
          <w:sz w:val="22"/>
          <w:szCs w:val="22"/>
          <w:lang w:val="af-ZA"/>
        </w:rPr>
        <w:t xml:space="preserve"> </w:t>
      </w:r>
      <w:r w:rsidRPr="001F63BA">
        <w:rPr>
          <w:rFonts w:ascii="GHEA Grapalat" w:hAnsi="GHEA Grapalat" w:cs="Arial"/>
          <w:sz w:val="22"/>
          <w:szCs w:val="22"/>
        </w:rPr>
        <w:t>կրթություն</w:t>
      </w:r>
      <w:r w:rsidRPr="001F63BA">
        <w:rPr>
          <w:rFonts w:ascii="GHEA Grapalat" w:hAnsi="GHEA Grapalat" w:cs="Sylfaen"/>
          <w:sz w:val="22"/>
          <w:szCs w:val="22"/>
          <w:lang w:val="af-ZA"/>
        </w:rPr>
        <w:t xml:space="preserve"> ստացող ուսանողներից կրթաթոշակ </w:t>
      </w:r>
      <w:r w:rsidRPr="001F63BA">
        <w:rPr>
          <w:rFonts w:ascii="GHEA Grapalat" w:hAnsi="GHEA Grapalat" w:cs="Arial"/>
          <w:sz w:val="22"/>
          <w:szCs w:val="22"/>
        </w:rPr>
        <w:t>ստացող</w:t>
      </w:r>
      <w:r w:rsidRPr="001F63BA">
        <w:rPr>
          <w:rFonts w:ascii="GHEA Grapalat" w:hAnsi="GHEA Grapalat" w:cs="Arial"/>
          <w:sz w:val="22"/>
          <w:szCs w:val="22"/>
          <w:lang w:val="en-US"/>
        </w:rPr>
        <w:t xml:space="preserve">ների </w:t>
      </w:r>
      <w:r w:rsidRPr="001F63BA">
        <w:rPr>
          <w:rFonts w:ascii="GHEA Grapalat" w:hAnsi="GHEA Grapalat" w:cs="Arial"/>
          <w:sz w:val="22"/>
          <w:szCs w:val="22"/>
        </w:rPr>
        <w:t>փաստացի</w:t>
      </w:r>
      <w:r w:rsidRPr="001F63BA">
        <w:rPr>
          <w:rFonts w:ascii="GHEA Grapalat" w:hAnsi="GHEA Grapalat" w:cs="Arial"/>
          <w:sz w:val="22"/>
          <w:szCs w:val="22"/>
          <w:lang w:val="af-ZA"/>
        </w:rPr>
        <w:t xml:space="preserve"> </w:t>
      </w:r>
      <w:r w:rsidRPr="001F63BA">
        <w:rPr>
          <w:rFonts w:ascii="GHEA Grapalat" w:hAnsi="GHEA Grapalat" w:cs="Arial"/>
          <w:sz w:val="22"/>
          <w:szCs w:val="22"/>
        </w:rPr>
        <w:t>թիվը</w:t>
      </w:r>
      <w:r w:rsidRPr="001F63BA">
        <w:rPr>
          <w:rFonts w:ascii="GHEA Grapalat" w:hAnsi="GHEA Grapalat" w:cs="Arial"/>
          <w:sz w:val="22"/>
          <w:szCs w:val="22"/>
          <w:lang w:val="af-ZA"/>
        </w:rPr>
        <w:t xml:space="preserve"> </w:t>
      </w:r>
      <w:r w:rsidRPr="001F63BA">
        <w:rPr>
          <w:rFonts w:ascii="GHEA Grapalat" w:hAnsi="GHEA Grapalat" w:cs="Sylfaen"/>
          <w:sz w:val="22"/>
          <w:szCs w:val="22"/>
        </w:rPr>
        <w:t xml:space="preserve">կազմել է 9031` կանխատեսված 9051-ի և 2021 թվականի 8484-ի դիմաց, արտերկրում սովորող ուսանողների փաստացի թիվը կազմել է 85՝ կանխատեսված և 2021 թվականի 105-ի դիմաց: Բարձրագույն </w:t>
      </w:r>
      <w:r w:rsidRPr="001F63BA">
        <w:rPr>
          <w:rFonts w:ascii="GHEA Grapalat" w:hAnsi="GHEA Grapalat" w:cs="Arial"/>
          <w:sz w:val="22"/>
          <w:szCs w:val="22"/>
        </w:rPr>
        <w:t>մասնագիտական</w:t>
      </w:r>
      <w:r w:rsidRPr="001F63BA">
        <w:rPr>
          <w:rFonts w:ascii="GHEA Grapalat" w:hAnsi="GHEA Grapalat" w:cs="Sylfaen"/>
          <w:sz w:val="22"/>
          <w:szCs w:val="22"/>
          <w:lang w:val="af-ZA"/>
        </w:rPr>
        <w:t xml:space="preserve"> </w:t>
      </w:r>
      <w:r w:rsidRPr="001F63BA">
        <w:rPr>
          <w:rFonts w:ascii="GHEA Grapalat" w:hAnsi="GHEA Grapalat" w:cs="Arial"/>
          <w:sz w:val="22"/>
          <w:szCs w:val="22"/>
        </w:rPr>
        <w:t>կրթություն</w:t>
      </w:r>
      <w:r w:rsidRPr="001F63BA">
        <w:rPr>
          <w:rFonts w:ascii="GHEA Grapalat" w:hAnsi="GHEA Grapalat" w:cs="Sylfaen"/>
          <w:sz w:val="22"/>
          <w:szCs w:val="22"/>
          <w:lang w:val="af-ZA"/>
        </w:rPr>
        <w:t xml:space="preserve"> </w:t>
      </w:r>
      <w:r w:rsidRPr="001F63BA">
        <w:rPr>
          <w:rFonts w:ascii="GHEA Grapalat" w:hAnsi="GHEA Grapalat" w:cs="Arial"/>
          <w:sz w:val="22"/>
          <w:szCs w:val="22"/>
        </w:rPr>
        <w:t>ստացող</w:t>
      </w:r>
      <w:r w:rsidRPr="001F63BA">
        <w:rPr>
          <w:rFonts w:ascii="GHEA Grapalat" w:hAnsi="GHEA Grapalat" w:cs="Sylfaen"/>
          <w:sz w:val="22"/>
          <w:szCs w:val="22"/>
          <w:lang w:val="af-ZA"/>
        </w:rPr>
        <w:t xml:space="preserve"> </w:t>
      </w:r>
      <w:r w:rsidRPr="001F63BA">
        <w:rPr>
          <w:rFonts w:ascii="GHEA Grapalat" w:hAnsi="GHEA Grapalat" w:cs="Arial"/>
          <w:sz w:val="22"/>
          <w:szCs w:val="22"/>
        </w:rPr>
        <w:t>ուսանողների</w:t>
      </w:r>
      <w:r w:rsidRPr="001F63BA">
        <w:rPr>
          <w:rFonts w:ascii="GHEA Grapalat" w:hAnsi="GHEA Grapalat" w:cs="Sylfaen"/>
          <w:sz w:val="22"/>
          <w:szCs w:val="22"/>
          <w:lang w:val="af-ZA"/>
        </w:rPr>
        <w:t xml:space="preserve"> </w:t>
      </w:r>
      <w:r w:rsidRPr="001F63BA">
        <w:rPr>
          <w:rFonts w:ascii="GHEA Grapalat" w:hAnsi="GHEA Grapalat" w:cs="Arial"/>
          <w:sz w:val="22"/>
          <w:szCs w:val="22"/>
        </w:rPr>
        <w:t>կրթաթոշակների</w:t>
      </w:r>
      <w:r w:rsidRPr="001F63BA">
        <w:rPr>
          <w:rFonts w:ascii="GHEA Grapalat" w:hAnsi="GHEA Grapalat" w:cs="Arial"/>
          <w:sz w:val="22"/>
          <w:szCs w:val="22"/>
          <w:lang w:val="af-ZA"/>
        </w:rPr>
        <w:t xml:space="preserve"> </w:t>
      </w:r>
      <w:r w:rsidRPr="001F63BA">
        <w:rPr>
          <w:rFonts w:ascii="GHEA Grapalat" w:hAnsi="GHEA Grapalat" w:cs="Arial"/>
          <w:sz w:val="22"/>
          <w:szCs w:val="22"/>
        </w:rPr>
        <w:t>ծախսերը</w:t>
      </w:r>
      <w:r w:rsidRPr="001F63BA">
        <w:rPr>
          <w:rFonts w:ascii="GHEA Grapalat" w:hAnsi="GHEA Grapalat" w:cs="Arial"/>
          <w:sz w:val="22"/>
          <w:szCs w:val="22"/>
          <w:lang w:val="af-ZA"/>
        </w:rPr>
        <w:t xml:space="preserve"> </w:t>
      </w:r>
      <w:r w:rsidRPr="001F63BA">
        <w:rPr>
          <w:rFonts w:ascii="GHEA Grapalat" w:hAnsi="GHEA Grapalat" w:cs="Arial"/>
          <w:sz w:val="22"/>
          <w:szCs w:val="22"/>
        </w:rPr>
        <w:t>կազմել են շուրջ 686 մլն դրամ` ապահովելով 88.8% կատարողական, որը պայմանավորված է կրթաթոշակ ստացող ուսանողների փաստացի թվով, արտերկրում սովորող ուսանողների չորրորդ եռամսյակի կրթական ծախսերի հաշիվներ</w:t>
      </w:r>
      <w:r w:rsidRPr="001F63BA">
        <w:rPr>
          <w:rFonts w:ascii="GHEA Grapalat" w:hAnsi="GHEA Grapalat" w:cs="Arial"/>
          <w:sz w:val="22"/>
          <w:szCs w:val="22"/>
          <w:lang w:val="en-US"/>
        </w:rPr>
        <w:t>ը</w:t>
      </w:r>
      <w:r w:rsidRPr="001F63BA">
        <w:rPr>
          <w:rFonts w:ascii="GHEA Grapalat" w:hAnsi="GHEA Grapalat" w:cs="Arial"/>
          <w:sz w:val="22"/>
          <w:szCs w:val="22"/>
        </w:rPr>
        <w:t xml:space="preserve"> չներկայաց</w:t>
      </w:r>
      <w:r w:rsidRPr="001F63BA">
        <w:rPr>
          <w:rFonts w:ascii="GHEA Grapalat" w:hAnsi="GHEA Grapalat" w:cs="Arial"/>
          <w:sz w:val="22"/>
          <w:szCs w:val="22"/>
          <w:lang w:val="en-US"/>
        </w:rPr>
        <w:t>վելու հանգամանքով</w:t>
      </w:r>
      <w:r w:rsidRPr="001F63BA">
        <w:rPr>
          <w:rFonts w:ascii="GHEA Grapalat" w:hAnsi="GHEA Grapalat" w:cs="Arial"/>
          <w:sz w:val="22"/>
          <w:szCs w:val="22"/>
        </w:rPr>
        <w:t>, ինչպես նաև արտարժույթի կանխատեսված ու փաստացի փոխարժեքների տարբերությամբ:</w:t>
      </w:r>
      <w:r w:rsidRPr="001F63BA">
        <w:rPr>
          <w:rFonts w:ascii="GHEA Grapalat" w:hAnsi="GHEA Grapalat" w:cs="Sylfaen"/>
          <w:sz w:val="22"/>
          <w:szCs w:val="22"/>
        </w:rPr>
        <w:t xml:space="preserve"> Նախորդ տարվա համեմատ միջոցառման գծով ծախսերը նվազել են </w:t>
      </w:r>
      <w:r w:rsidRPr="001F63BA">
        <w:rPr>
          <w:rFonts w:ascii="GHEA Grapalat" w:hAnsi="GHEA Grapalat" w:cs="Arial"/>
          <w:sz w:val="22"/>
          <w:szCs w:val="22"/>
        </w:rPr>
        <w:t>2.5</w:t>
      </w:r>
      <w:r w:rsidRPr="001F63BA">
        <w:rPr>
          <w:rFonts w:ascii="GHEA Grapalat" w:hAnsi="GHEA Grapalat" w:cs="Arial"/>
          <w:sz w:val="22"/>
          <w:szCs w:val="22"/>
          <w:lang w:val="af-ZA"/>
        </w:rPr>
        <w:t>%-</w:t>
      </w:r>
      <w:r w:rsidRPr="001F63BA">
        <w:rPr>
          <w:rFonts w:ascii="GHEA Grapalat" w:hAnsi="GHEA Grapalat" w:cs="Arial"/>
          <w:sz w:val="22"/>
          <w:szCs w:val="22"/>
        </w:rPr>
        <w:t>ով կամ</w:t>
      </w:r>
      <w:r w:rsidRPr="001F63BA">
        <w:rPr>
          <w:rFonts w:ascii="GHEA Grapalat" w:hAnsi="GHEA Grapalat" w:cs="Arial"/>
          <w:sz w:val="22"/>
          <w:szCs w:val="22"/>
          <w:lang w:val="af-ZA"/>
        </w:rPr>
        <w:t xml:space="preserve"> 17.3 </w:t>
      </w:r>
      <w:r w:rsidRPr="001F63BA">
        <w:rPr>
          <w:rFonts w:ascii="GHEA Grapalat" w:hAnsi="GHEA Grapalat" w:cs="Arial"/>
          <w:sz w:val="22"/>
          <w:szCs w:val="22"/>
        </w:rPr>
        <w:t>մլն</w:t>
      </w:r>
      <w:r w:rsidRPr="001F63BA">
        <w:rPr>
          <w:rFonts w:ascii="GHEA Grapalat" w:hAnsi="GHEA Grapalat" w:cs="Arial"/>
          <w:sz w:val="22"/>
          <w:szCs w:val="22"/>
          <w:lang w:val="af-ZA"/>
        </w:rPr>
        <w:t xml:space="preserve"> </w:t>
      </w:r>
      <w:r w:rsidRPr="001F63BA">
        <w:rPr>
          <w:rFonts w:ascii="GHEA Grapalat" w:hAnsi="GHEA Grapalat" w:cs="Arial"/>
          <w:sz w:val="22"/>
          <w:szCs w:val="22"/>
        </w:rPr>
        <w:t>դրամով</w:t>
      </w:r>
      <w:r w:rsidRPr="001F63BA">
        <w:rPr>
          <w:rFonts w:ascii="GHEA Grapalat" w:hAnsi="GHEA Grapalat" w:cs="Sylfaen"/>
          <w:sz w:val="22"/>
          <w:szCs w:val="22"/>
        </w:rPr>
        <w:t xml:space="preserve">, որը պայմանավորված է </w:t>
      </w:r>
      <w:r w:rsidRPr="001F63BA">
        <w:rPr>
          <w:rFonts w:ascii="GHEA Grapalat" w:hAnsi="GHEA Grapalat" w:cs="Arial"/>
          <w:sz w:val="22"/>
          <w:szCs w:val="22"/>
        </w:rPr>
        <w:t>արտերկրում սովորող ուսանողների</w:t>
      </w:r>
      <w:r w:rsidRPr="001F63BA">
        <w:rPr>
          <w:rFonts w:ascii="GHEA Grapalat" w:hAnsi="GHEA Grapalat" w:cs="Sylfaen"/>
          <w:sz w:val="22"/>
          <w:szCs w:val="22"/>
        </w:rPr>
        <w:t xml:space="preserve"> փաստացի թվի նվազմամբ:</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2022 թվականի ընթացքում ավելի քան 103.3 մլրդ դրամ է օգտագործվել </w:t>
      </w:r>
      <w:r w:rsidRPr="001F63BA">
        <w:rPr>
          <w:rFonts w:ascii="GHEA Grapalat" w:hAnsi="GHEA Grapalat" w:cs="Sylfaen"/>
          <w:i/>
          <w:sz w:val="22"/>
          <w:szCs w:val="22"/>
        </w:rPr>
        <w:t>Հանրակրթության ծրագրի</w:t>
      </w:r>
      <w:r w:rsidRPr="001F63BA">
        <w:rPr>
          <w:rFonts w:ascii="GHEA Grapalat" w:hAnsi="GHEA Grapalat" w:cs="Sylfaen"/>
          <w:sz w:val="22"/>
          <w:szCs w:val="22"/>
        </w:rPr>
        <w:t xml:space="preserve"> շրջանակներում՝ ապահովելով 99% կատարողական: Ծրագրում ընդգրկված են 30 միջոցառումներ: Ծրագիրն ուղղված է մտավոր, հոգևոր, ֆիզիկական և սոցիալական ունակությունների համակողմանի ու ներդաշնակ զարգացմամբ, հայրենասիրության, պետականության և մարդասիրության ոգով դաստիարակված, պատշաճ վարքով և վարվելակերպով անձի ձևավորմանը: Նախորդ տարվա համեմատ Հանրակրթության ծրագրի ծախսերն աճել են 3.9%-ով կամ 3.9 մլրդ դրամով` հիմնականում պայմանավորված հիմնական ընդհանուր հանրակրթության միջոցառման շրջանակներում կատարված ծախսերի աճով: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2022 թվականին ընդհանուր հանրակրթական ուսումնական կրթություն է իրականացվել թվով 1337 պետական ուսումնական հաստատություններում՝ 2021 թվականի 1336-ի դիմաց: Ընդհանուր հանրակրթության ծախսերը 2022 թվականին կատարվել են 99.7%-ով՝ կազմելով 93.2 մլրդ դրամ: Նախորդ տարվա համեմատ տարրական, հիմնական և միջնակարգ ընդհանուր հանրակրթական ուսուցման ծախսերն աճել են 3.6%-ով կամ 3.3 մլրդ դրամով, որը պայմանավորված է սննդի կազմակերպման նպատակով տրամադրվող ֆինանսական միջոցների հաշվարկման նորմատիվների բարեփոխումներով՝ մեկ սովորողի համար սննդի </w:t>
      </w:r>
      <w:r w:rsidRPr="001F63BA">
        <w:rPr>
          <w:rFonts w:ascii="GHEA Grapalat" w:hAnsi="GHEA Grapalat" w:cs="Sylfaen"/>
          <w:sz w:val="22"/>
          <w:szCs w:val="22"/>
          <w:lang w:val="en-US"/>
        </w:rPr>
        <w:t xml:space="preserve">համար </w:t>
      </w:r>
      <w:r w:rsidRPr="001F63BA">
        <w:rPr>
          <w:rFonts w:ascii="GHEA Grapalat" w:hAnsi="GHEA Grapalat" w:cs="Sylfaen"/>
          <w:sz w:val="22"/>
          <w:szCs w:val="22"/>
        </w:rPr>
        <w:t>հատկաց</w:t>
      </w:r>
      <w:r w:rsidRPr="001F63BA">
        <w:rPr>
          <w:rFonts w:ascii="GHEA Grapalat" w:hAnsi="GHEA Grapalat" w:cs="Sylfaen"/>
          <w:sz w:val="22"/>
          <w:szCs w:val="22"/>
          <w:lang w:val="en-US"/>
        </w:rPr>
        <w:t>վող</w:t>
      </w:r>
      <w:r w:rsidRPr="001F63BA">
        <w:rPr>
          <w:rFonts w:ascii="GHEA Grapalat" w:hAnsi="GHEA Grapalat" w:cs="Sylfaen"/>
          <w:sz w:val="22"/>
          <w:szCs w:val="22"/>
        </w:rPr>
        <w:t xml:space="preserve"> գումարի ավելացմամբ:</w:t>
      </w:r>
      <w:r w:rsidRPr="001F63BA">
        <w:rPr>
          <w:rFonts w:ascii="GHEA Grapalat" w:hAnsi="GHEA Grapalat" w:cs="Sylfaen"/>
          <w:sz w:val="22"/>
          <w:szCs w:val="22"/>
          <w:lang w:val="en-US"/>
        </w:rPr>
        <w:t xml:space="preserve"> </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 </w:t>
      </w: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en-US"/>
        </w:rPr>
      </w:pPr>
      <w:r w:rsidRPr="001F63BA">
        <w:rPr>
          <w:rFonts w:ascii="GHEA Grapalat" w:hAnsi="GHEA Grapalat"/>
          <w:i/>
          <w:sz w:val="18"/>
          <w:szCs w:val="18"/>
          <w:lang w:val="en-US"/>
        </w:rPr>
        <w:lastRenderedPageBreak/>
        <w:t>Ընդհանուր հանրակրթության համակարգի ցուցանիշները</w:t>
      </w:r>
    </w:p>
    <w:tbl>
      <w:tblPr>
        <w:tblW w:w="10206" w:type="dxa"/>
        <w:tblInd w:w="108" w:type="dxa"/>
        <w:tblLayout w:type="fixed"/>
        <w:tblLook w:val="00A0" w:firstRow="1" w:lastRow="0" w:firstColumn="1" w:lastColumn="0" w:noHBand="0" w:noVBand="0"/>
      </w:tblPr>
      <w:tblGrid>
        <w:gridCol w:w="2694"/>
        <w:gridCol w:w="1417"/>
        <w:gridCol w:w="1418"/>
        <w:gridCol w:w="1134"/>
        <w:gridCol w:w="1134"/>
        <w:gridCol w:w="1134"/>
        <w:gridCol w:w="1275"/>
      </w:tblGrid>
      <w:tr w:rsidR="001C411D" w:rsidRPr="001F63BA" w:rsidTr="006223A3">
        <w:trPr>
          <w:trHeight w:val="1260"/>
        </w:trPr>
        <w:tc>
          <w:tcPr>
            <w:tcW w:w="2694"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865E10">
            <w:pPr>
              <w:rPr>
                <w:rFonts w:ascii="Calibri" w:hAnsi="Calibri" w:cs="Calibri"/>
                <w:sz w:val="18"/>
                <w:szCs w:val="18"/>
              </w:rPr>
            </w:pPr>
            <w:r w:rsidRPr="001F63BA">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1</w:t>
            </w:r>
            <w:r w:rsidRPr="001F63BA">
              <w:rPr>
                <w:rFonts w:ascii="GHEA Grapalat" w:hAnsi="GHEA Grapalat"/>
                <w:b/>
                <w:sz w:val="18"/>
                <w:szCs w:val="18"/>
              </w:rPr>
              <w:t>թ. սովորողների փաստացի թիվ</w:t>
            </w:r>
          </w:p>
        </w:tc>
        <w:tc>
          <w:tcPr>
            <w:tcW w:w="1418"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2</w:t>
            </w:r>
            <w:r w:rsidRPr="001F63BA">
              <w:rPr>
                <w:rFonts w:ascii="GHEA Grapalat" w:hAnsi="GHEA Grapalat"/>
                <w:b/>
                <w:sz w:val="18"/>
                <w:szCs w:val="18"/>
              </w:rPr>
              <w:t>թ. սովորողների փաստացի թիվ</w:t>
            </w:r>
          </w:p>
        </w:tc>
        <w:tc>
          <w:tcPr>
            <w:tcW w:w="1134" w:type="dxa"/>
            <w:tcBorders>
              <w:top w:val="single" w:sz="4" w:space="0" w:color="auto"/>
              <w:left w:val="nil"/>
              <w:bottom w:val="single" w:sz="4" w:space="0" w:color="auto"/>
              <w:right w:val="single" w:sz="4" w:space="0" w:color="auto"/>
            </w:tcBorders>
            <w:noWrap/>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2022թ. և 2021թ. տարբե-րությունը</w:t>
            </w:r>
          </w:p>
        </w:tc>
        <w:tc>
          <w:tcPr>
            <w:tcW w:w="1134"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1</w:t>
            </w:r>
            <w:r w:rsidRPr="001F63BA">
              <w:rPr>
                <w:rFonts w:ascii="GHEA Grapalat" w:hAnsi="GHEA Grapalat"/>
                <w:b/>
                <w:sz w:val="18"/>
                <w:szCs w:val="18"/>
              </w:rPr>
              <w:t>թ. փաստ</w:t>
            </w:r>
          </w:p>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(մլն դրամ)</w:t>
            </w:r>
          </w:p>
        </w:tc>
        <w:tc>
          <w:tcPr>
            <w:tcW w:w="1134"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2</w:t>
            </w:r>
            <w:r w:rsidRPr="001F63BA">
              <w:rPr>
                <w:rFonts w:ascii="GHEA Grapalat" w:hAnsi="GHEA Grapalat"/>
                <w:b/>
                <w:sz w:val="18"/>
                <w:szCs w:val="18"/>
              </w:rPr>
              <w:t>թ. փաստ (մլն</w:t>
            </w:r>
            <w:r w:rsidRPr="001F63BA">
              <w:rPr>
                <w:rFonts w:ascii="GHEA Grapalat" w:hAnsi="GHEA Grapalat"/>
                <w:b/>
                <w:sz w:val="18"/>
                <w:szCs w:val="18"/>
                <w:lang w:val="en-US"/>
              </w:rPr>
              <w:t xml:space="preserve"> </w:t>
            </w:r>
            <w:r w:rsidRPr="001F63BA">
              <w:rPr>
                <w:rFonts w:ascii="GHEA Grapalat" w:hAnsi="GHEA Grapalat"/>
                <w:b/>
                <w:sz w:val="18"/>
                <w:szCs w:val="18"/>
              </w:rPr>
              <w:t>դրամ)</w:t>
            </w:r>
          </w:p>
        </w:tc>
        <w:tc>
          <w:tcPr>
            <w:tcW w:w="1275"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2022թ. 2021թ-ի նկատմամբ (%)</w:t>
            </w:r>
          </w:p>
        </w:tc>
      </w:tr>
      <w:tr w:rsidR="001C411D" w:rsidRPr="001F63BA" w:rsidTr="006223A3">
        <w:trPr>
          <w:trHeight w:val="397"/>
        </w:trPr>
        <w:tc>
          <w:tcPr>
            <w:tcW w:w="2694" w:type="dxa"/>
            <w:tcBorders>
              <w:top w:val="nil"/>
              <w:left w:val="single" w:sz="4" w:space="0" w:color="auto"/>
              <w:bottom w:val="single" w:sz="4" w:space="0" w:color="auto"/>
              <w:right w:val="single" w:sz="4" w:space="0" w:color="auto"/>
            </w:tcBorders>
          </w:tcPr>
          <w:p w:rsidR="001C411D" w:rsidRPr="001F63BA" w:rsidRDefault="001C411D" w:rsidP="00865E10">
            <w:pPr>
              <w:rPr>
                <w:rFonts w:ascii="GHEA Grapalat" w:hAnsi="GHEA Grapalat"/>
                <w:b/>
                <w:sz w:val="18"/>
                <w:szCs w:val="18"/>
              </w:rPr>
            </w:pPr>
            <w:r w:rsidRPr="001F63BA">
              <w:rPr>
                <w:rFonts w:ascii="GHEA Grapalat" w:hAnsi="GHEA Grapalat" w:cs="Arial"/>
                <w:b/>
                <w:sz w:val="18"/>
                <w:szCs w:val="18"/>
              </w:rPr>
              <w:t>Ընդհանուր հանրակրթություն</w:t>
            </w:r>
          </w:p>
        </w:tc>
        <w:tc>
          <w:tcPr>
            <w:tcW w:w="1417"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b/>
                <w:sz w:val="18"/>
                <w:szCs w:val="18"/>
              </w:rPr>
            </w:pPr>
            <w:r w:rsidRPr="001F63BA">
              <w:rPr>
                <w:rFonts w:ascii="GHEA Grapalat" w:hAnsi="GHEA Grapalat"/>
                <w:b/>
                <w:sz w:val="18"/>
                <w:szCs w:val="18"/>
              </w:rPr>
              <w:t>390</w:t>
            </w:r>
            <w:r w:rsidRPr="001F63BA">
              <w:rPr>
                <w:rFonts w:ascii="GHEA Grapalat" w:hAnsi="GHEA Grapalat"/>
                <w:b/>
                <w:sz w:val="18"/>
                <w:szCs w:val="18"/>
                <w:lang w:val="en-US"/>
              </w:rPr>
              <w:t>,</w:t>
            </w:r>
            <w:r w:rsidRPr="001F63BA">
              <w:rPr>
                <w:rFonts w:ascii="GHEA Grapalat" w:hAnsi="GHEA Grapalat"/>
                <w:b/>
                <w:sz w:val="18"/>
                <w:szCs w:val="18"/>
              </w:rPr>
              <w:t>347</w:t>
            </w:r>
          </w:p>
        </w:tc>
        <w:tc>
          <w:tcPr>
            <w:tcW w:w="1418"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b/>
                <w:sz w:val="18"/>
                <w:szCs w:val="18"/>
              </w:rPr>
            </w:pPr>
            <w:r w:rsidRPr="001F63BA">
              <w:rPr>
                <w:rFonts w:ascii="GHEA Grapalat" w:hAnsi="GHEA Grapalat"/>
                <w:b/>
                <w:sz w:val="18"/>
                <w:szCs w:val="18"/>
              </w:rPr>
              <w:t>390</w:t>
            </w:r>
            <w:r w:rsidRPr="001F63BA">
              <w:rPr>
                <w:rFonts w:ascii="GHEA Grapalat" w:hAnsi="GHEA Grapalat"/>
                <w:b/>
                <w:sz w:val="18"/>
                <w:szCs w:val="18"/>
                <w:lang w:val="en-US"/>
              </w:rPr>
              <w:t>,</w:t>
            </w:r>
            <w:r w:rsidRPr="001F63BA">
              <w:rPr>
                <w:rFonts w:ascii="GHEA Grapalat" w:hAnsi="GHEA Grapalat"/>
                <w:b/>
                <w:sz w:val="18"/>
                <w:szCs w:val="18"/>
              </w:rPr>
              <w:t>151</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b/>
                <w:noProof w:val="0"/>
                <w:sz w:val="18"/>
                <w:szCs w:val="18"/>
                <w:lang w:val="en-US"/>
              </w:rPr>
            </w:pPr>
            <w:r w:rsidRPr="001F63BA">
              <w:rPr>
                <w:rFonts w:ascii="GHEA Grapalat" w:hAnsi="GHEA Grapalat"/>
                <w:b/>
                <w:sz w:val="18"/>
                <w:szCs w:val="18"/>
              </w:rPr>
              <w:t xml:space="preserve">(196) </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b/>
                <w:sz w:val="18"/>
                <w:szCs w:val="18"/>
              </w:rPr>
            </w:pPr>
            <w:r w:rsidRPr="001F63BA">
              <w:rPr>
                <w:rFonts w:ascii="GHEA Grapalat" w:hAnsi="GHEA Grapalat"/>
                <w:b/>
                <w:sz w:val="18"/>
                <w:szCs w:val="18"/>
              </w:rPr>
              <w:t>89,922.6</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b/>
                <w:sz w:val="18"/>
                <w:szCs w:val="18"/>
                <w:lang w:val="en-US"/>
              </w:rPr>
            </w:pPr>
            <w:r w:rsidRPr="001F63BA">
              <w:rPr>
                <w:rFonts w:ascii="GHEA Grapalat" w:hAnsi="GHEA Grapalat"/>
                <w:b/>
                <w:sz w:val="18"/>
                <w:szCs w:val="18"/>
              </w:rPr>
              <w:t>9</w:t>
            </w:r>
            <w:r w:rsidRPr="001F63BA">
              <w:rPr>
                <w:rFonts w:ascii="GHEA Grapalat" w:hAnsi="GHEA Grapalat"/>
                <w:b/>
                <w:sz w:val="18"/>
                <w:szCs w:val="18"/>
                <w:lang w:val="en-US"/>
              </w:rPr>
              <w:t>3</w:t>
            </w:r>
            <w:r w:rsidRPr="001F63BA">
              <w:rPr>
                <w:rFonts w:ascii="GHEA Grapalat" w:hAnsi="GHEA Grapalat"/>
                <w:b/>
                <w:sz w:val="18"/>
                <w:szCs w:val="18"/>
              </w:rPr>
              <w:t>,</w:t>
            </w:r>
            <w:r w:rsidRPr="001F63BA">
              <w:rPr>
                <w:rFonts w:ascii="GHEA Grapalat" w:hAnsi="GHEA Grapalat"/>
                <w:b/>
                <w:sz w:val="18"/>
                <w:szCs w:val="18"/>
                <w:lang w:val="en-US"/>
              </w:rPr>
              <w:t>18</w:t>
            </w:r>
            <w:r w:rsidRPr="001F63BA">
              <w:rPr>
                <w:rFonts w:ascii="GHEA Grapalat" w:hAnsi="GHEA Grapalat"/>
                <w:b/>
                <w:sz w:val="18"/>
                <w:szCs w:val="18"/>
              </w:rPr>
              <w:t>2.</w:t>
            </w:r>
            <w:r w:rsidRPr="001F63BA">
              <w:rPr>
                <w:rFonts w:ascii="GHEA Grapalat" w:hAnsi="GHEA Grapalat"/>
                <w:b/>
                <w:sz w:val="18"/>
                <w:szCs w:val="18"/>
                <w:lang w:val="en-US"/>
              </w:rPr>
              <w:t>1</w:t>
            </w:r>
          </w:p>
        </w:tc>
        <w:tc>
          <w:tcPr>
            <w:tcW w:w="1275"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b/>
                <w:sz w:val="18"/>
                <w:szCs w:val="18"/>
              </w:rPr>
            </w:pPr>
            <w:r w:rsidRPr="001F63BA">
              <w:rPr>
                <w:rFonts w:ascii="GHEA Grapalat" w:hAnsi="GHEA Grapalat"/>
                <w:b/>
                <w:sz w:val="18"/>
                <w:szCs w:val="18"/>
              </w:rPr>
              <w:t>10</w:t>
            </w:r>
            <w:r w:rsidRPr="001F63BA">
              <w:rPr>
                <w:rFonts w:ascii="GHEA Grapalat" w:hAnsi="GHEA Grapalat"/>
                <w:b/>
                <w:sz w:val="18"/>
                <w:szCs w:val="18"/>
                <w:lang w:val="en-US"/>
              </w:rPr>
              <w:t>3</w:t>
            </w:r>
            <w:r w:rsidRPr="001F63BA">
              <w:rPr>
                <w:rFonts w:ascii="GHEA Grapalat" w:hAnsi="GHEA Grapalat"/>
                <w:b/>
                <w:sz w:val="18"/>
                <w:szCs w:val="18"/>
              </w:rPr>
              <w:t>.6</w:t>
            </w:r>
          </w:p>
        </w:tc>
      </w:tr>
      <w:tr w:rsidR="001C411D" w:rsidRPr="001F63BA" w:rsidTr="006223A3">
        <w:trPr>
          <w:trHeight w:val="169"/>
        </w:trPr>
        <w:tc>
          <w:tcPr>
            <w:tcW w:w="2694" w:type="dxa"/>
            <w:tcBorders>
              <w:top w:val="nil"/>
              <w:left w:val="single" w:sz="4" w:space="0" w:color="auto"/>
              <w:bottom w:val="single" w:sz="4" w:space="0" w:color="auto"/>
              <w:right w:val="single" w:sz="4" w:space="0" w:color="auto"/>
            </w:tcBorders>
          </w:tcPr>
          <w:p w:rsidR="001C411D" w:rsidRPr="001F63BA" w:rsidRDefault="001C411D" w:rsidP="00865E10">
            <w:pPr>
              <w:rPr>
                <w:rFonts w:ascii="GHEA Grapalat" w:hAnsi="GHEA Grapalat"/>
                <w:sz w:val="18"/>
                <w:szCs w:val="18"/>
              </w:rPr>
            </w:pPr>
            <w:r w:rsidRPr="001F63BA">
              <w:rPr>
                <w:rFonts w:ascii="GHEA Grapalat" w:hAnsi="GHEA Grapalat" w:cs="Arial"/>
                <w:sz w:val="18"/>
                <w:szCs w:val="18"/>
              </w:rPr>
              <w:t>Տարրական</w:t>
            </w:r>
          </w:p>
        </w:tc>
        <w:tc>
          <w:tcPr>
            <w:tcW w:w="1417"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152</w:t>
            </w:r>
            <w:r w:rsidRPr="001F63BA">
              <w:rPr>
                <w:rFonts w:ascii="GHEA Grapalat" w:hAnsi="GHEA Grapalat"/>
                <w:sz w:val="18"/>
                <w:szCs w:val="18"/>
                <w:lang w:val="en-US"/>
              </w:rPr>
              <w:t>,</w:t>
            </w:r>
            <w:r w:rsidRPr="001F63BA">
              <w:rPr>
                <w:rFonts w:ascii="GHEA Grapalat" w:hAnsi="GHEA Grapalat"/>
                <w:sz w:val="18"/>
                <w:szCs w:val="18"/>
              </w:rPr>
              <w:t>362</w:t>
            </w:r>
          </w:p>
        </w:tc>
        <w:tc>
          <w:tcPr>
            <w:tcW w:w="1418"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150</w:t>
            </w:r>
            <w:r w:rsidRPr="001F63BA">
              <w:rPr>
                <w:rFonts w:ascii="GHEA Grapalat" w:hAnsi="GHEA Grapalat"/>
                <w:sz w:val="18"/>
                <w:szCs w:val="18"/>
                <w:lang w:val="en-US"/>
              </w:rPr>
              <w:t>,</w:t>
            </w:r>
            <w:r w:rsidRPr="001F63BA">
              <w:rPr>
                <w:rFonts w:ascii="GHEA Grapalat" w:hAnsi="GHEA Grapalat"/>
                <w:sz w:val="18"/>
                <w:szCs w:val="18"/>
              </w:rPr>
              <w:t>750</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noProof w:val="0"/>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w:t>
            </w:r>
            <w:r w:rsidRPr="001F63BA">
              <w:rPr>
                <w:rFonts w:ascii="GHEA Grapalat" w:hAnsi="GHEA Grapalat"/>
                <w:sz w:val="18"/>
                <w:szCs w:val="18"/>
              </w:rPr>
              <w:t>612</w:t>
            </w:r>
            <w:r w:rsidRPr="001F63BA">
              <w:rPr>
                <w:rFonts w:ascii="GHEA Grapalat" w:hAnsi="GHEA Grapalat"/>
                <w:sz w:val="18"/>
                <w:szCs w:val="18"/>
                <w:lang w:val="en-US"/>
              </w:rPr>
              <w:t>)</w:t>
            </w:r>
            <w:r w:rsidRPr="001F63BA">
              <w:rPr>
                <w:rFonts w:ascii="GHEA Grapalat" w:hAnsi="GHEA Grapalat"/>
                <w:sz w:val="18"/>
                <w:szCs w:val="18"/>
              </w:rPr>
              <w:t xml:space="preserve"> </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33,740.3</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33,746.5</w:t>
            </w:r>
          </w:p>
        </w:tc>
        <w:tc>
          <w:tcPr>
            <w:tcW w:w="1275"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100.0</w:t>
            </w:r>
          </w:p>
        </w:tc>
      </w:tr>
      <w:tr w:rsidR="001C411D" w:rsidRPr="001F63BA" w:rsidTr="006223A3">
        <w:trPr>
          <w:trHeight w:val="248"/>
        </w:trPr>
        <w:tc>
          <w:tcPr>
            <w:tcW w:w="2694" w:type="dxa"/>
            <w:tcBorders>
              <w:top w:val="nil"/>
              <w:left w:val="single" w:sz="4" w:space="0" w:color="auto"/>
              <w:bottom w:val="single" w:sz="4" w:space="0" w:color="auto"/>
              <w:right w:val="single" w:sz="4" w:space="0" w:color="auto"/>
            </w:tcBorders>
          </w:tcPr>
          <w:p w:rsidR="001C411D" w:rsidRPr="001F63BA" w:rsidRDefault="001C411D" w:rsidP="00865E10">
            <w:pPr>
              <w:rPr>
                <w:rFonts w:ascii="GHEA Grapalat" w:hAnsi="GHEA Grapalat"/>
                <w:sz w:val="18"/>
                <w:szCs w:val="18"/>
                <w:lang w:val="en-US"/>
              </w:rPr>
            </w:pPr>
            <w:r w:rsidRPr="001F63BA">
              <w:rPr>
                <w:rFonts w:ascii="GHEA Grapalat" w:hAnsi="GHEA Grapalat" w:cs="Arial"/>
                <w:sz w:val="18"/>
                <w:szCs w:val="18"/>
              </w:rPr>
              <w:t>Հիմնական</w:t>
            </w:r>
          </w:p>
        </w:tc>
        <w:tc>
          <w:tcPr>
            <w:tcW w:w="1417"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178</w:t>
            </w:r>
            <w:r w:rsidRPr="001F63BA">
              <w:rPr>
                <w:rFonts w:ascii="GHEA Grapalat" w:hAnsi="GHEA Grapalat"/>
                <w:sz w:val="18"/>
                <w:szCs w:val="18"/>
                <w:lang w:val="en-US"/>
              </w:rPr>
              <w:t>,</w:t>
            </w:r>
            <w:r w:rsidRPr="001F63BA">
              <w:rPr>
                <w:rFonts w:ascii="GHEA Grapalat" w:hAnsi="GHEA Grapalat"/>
                <w:sz w:val="18"/>
                <w:szCs w:val="18"/>
              </w:rPr>
              <w:t>166</w:t>
            </w:r>
          </w:p>
        </w:tc>
        <w:tc>
          <w:tcPr>
            <w:tcW w:w="1418"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180</w:t>
            </w:r>
            <w:r w:rsidRPr="001F63BA">
              <w:rPr>
                <w:rFonts w:ascii="GHEA Grapalat" w:hAnsi="GHEA Grapalat"/>
                <w:sz w:val="18"/>
                <w:szCs w:val="18"/>
                <w:lang w:val="en-US"/>
              </w:rPr>
              <w:t>,</w:t>
            </w:r>
            <w:r w:rsidRPr="001F63BA">
              <w:rPr>
                <w:rFonts w:ascii="GHEA Grapalat" w:hAnsi="GHEA Grapalat"/>
                <w:sz w:val="18"/>
                <w:szCs w:val="18"/>
              </w:rPr>
              <w:t>803</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noProof w:val="0"/>
                <w:sz w:val="18"/>
                <w:szCs w:val="18"/>
                <w:lang w:val="en-US"/>
              </w:rPr>
            </w:pPr>
            <w:r w:rsidRPr="001F63BA">
              <w:rPr>
                <w:rFonts w:ascii="GHEA Grapalat" w:hAnsi="GHEA Grapalat"/>
                <w:sz w:val="18"/>
                <w:szCs w:val="18"/>
              </w:rPr>
              <w:t>2</w:t>
            </w:r>
            <w:r w:rsidRPr="001F63BA">
              <w:rPr>
                <w:rFonts w:ascii="GHEA Grapalat" w:hAnsi="GHEA Grapalat"/>
                <w:sz w:val="18"/>
                <w:szCs w:val="18"/>
                <w:lang w:val="en-US"/>
              </w:rPr>
              <w:t>,</w:t>
            </w:r>
            <w:r w:rsidRPr="001F63BA">
              <w:rPr>
                <w:rFonts w:ascii="GHEA Grapalat" w:hAnsi="GHEA Grapalat"/>
                <w:sz w:val="18"/>
                <w:szCs w:val="18"/>
              </w:rPr>
              <w:t xml:space="preserve">637 </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39,391.2</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42,363.</w:t>
            </w:r>
            <w:r w:rsidRPr="001F63BA">
              <w:rPr>
                <w:rFonts w:ascii="GHEA Grapalat" w:hAnsi="GHEA Grapalat"/>
                <w:sz w:val="18"/>
                <w:szCs w:val="18"/>
                <w:lang w:val="en-US"/>
              </w:rPr>
              <w:t>5</w:t>
            </w:r>
          </w:p>
        </w:tc>
        <w:tc>
          <w:tcPr>
            <w:tcW w:w="1275"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107.5</w:t>
            </w:r>
          </w:p>
        </w:tc>
      </w:tr>
      <w:tr w:rsidR="001C411D" w:rsidRPr="001F63BA" w:rsidTr="006223A3">
        <w:trPr>
          <w:trHeight w:val="221"/>
        </w:trPr>
        <w:tc>
          <w:tcPr>
            <w:tcW w:w="2694" w:type="dxa"/>
            <w:tcBorders>
              <w:top w:val="nil"/>
              <w:left w:val="single" w:sz="4" w:space="0" w:color="auto"/>
              <w:bottom w:val="single" w:sz="4" w:space="0" w:color="auto"/>
              <w:right w:val="single" w:sz="4" w:space="0" w:color="auto"/>
            </w:tcBorders>
          </w:tcPr>
          <w:p w:rsidR="001C411D" w:rsidRPr="001F63BA" w:rsidRDefault="001C411D" w:rsidP="00865E10">
            <w:pPr>
              <w:rPr>
                <w:rFonts w:ascii="GHEA Grapalat" w:hAnsi="GHEA Grapalat"/>
                <w:sz w:val="18"/>
                <w:szCs w:val="18"/>
              </w:rPr>
            </w:pPr>
            <w:r w:rsidRPr="001F63BA">
              <w:rPr>
                <w:rFonts w:ascii="GHEA Grapalat" w:hAnsi="GHEA Grapalat" w:cs="Arial"/>
                <w:sz w:val="18"/>
                <w:szCs w:val="18"/>
              </w:rPr>
              <w:t>Միջնակարգ</w:t>
            </w:r>
          </w:p>
        </w:tc>
        <w:tc>
          <w:tcPr>
            <w:tcW w:w="1417"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59</w:t>
            </w:r>
            <w:r w:rsidRPr="001F63BA">
              <w:rPr>
                <w:rFonts w:ascii="GHEA Grapalat" w:hAnsi="GHEA Grapalat"/>
                <w:sz w:val="18"/>
                <w:szCs w:val="18"/>
                <w:lang w:val="en-US"/>
              </w:rPr>
              <w:t>,</w:t>
            </w:r>
            <w:r w:rsidRPr="001F63BA">
              <w:rPr>
                <w:rFonts w:ascii="GHEA Grapalat" w:hAnsi="GHEA Grapalat"/>
                <w:sz w:val="18"/>
                <w:szCs w:val="18"/>
              </w:rPr>
              <w:t>819</w:t>
            </w:r>
          </w:p>
        </w:tc>
        <w:tc>
          <w:tcPr>
            <w:tcW w:w="1418"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58</w:t>
            </w:r>
            <w:r w:rsidRPr="001F63BA">
              <w:rPr>
                <w:rFonts w:ascii="GHEA Grapalat" w:hAnsi="GHEA Grapalat"/>
                <w:sz w:val="18"/>
                <w:szCs w:val="18"/>
                <w:lang w:val="en-US"/>
              </w:rPr>
              <w:t>,</w:t>
            </w:r>
            <w:r w:rsidRPr="001F63BA">
              <w:rPr>
                <w:rFonts w:ascii="GHEA Grapalat" w:hAnsi="GHEA Grapalat"/>
                <w:sz w:val="18"/>
                <w:szCs w:val="18"/>
              </w:rPr>
              <w:t>598</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noProof w:val="0"/>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w:t>
            </w:r>
            <w:r w:rsidRPr="001F63BA">
              <w:rPr>
                <w:rFonts w:ascii="GHEA Grapalat" w:hAnsi="GHEA Grapalat"/>
                <w:sz w:val="18"/>
                <w:szCs w:val="18"/>
              </w:rPr>
              <w:t>221)</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lang w:val="en-US"/>
              </w:rPr>
            </w:pPr>
            <w:r w:rsidRPr="001F63BA">
              <w:rPr>
                <w:rFonts w:ascii="GHEA Grapalat" w:hAnsi="GHEA Grapalat"/>
                <w:sz w:val="18"/>
                <w:szCs w:val="18"/>
              </w:rPr>
              <w:t>16,791</w:t>
            </w:r>
            <w:r w:rsidRPr="001F63BA">
              <w:rPr>
                <w:rFonts w:ascii="GHEA Grapalat" w:hAnsi="GHEA Grapalat"/>
                <w:sz w:val="18"/>
                <w:szCs w:val="18"/>
                <w:lang w:val="en-US"/>
              </w:rPr>
              <w:t>.0</w:t>
            </w:r>
          </w:p>
        </w:tc>
        <w:tc>
          <w:tcPr>
            <w:tcW w:w="1134"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7</w:t>
            </w:r>
            <w:r w:rsidRPr="001F63BA">
              <w:rPr>
                <w:rFonts w:ascii="GHEA Grapalat" w:hAnsi="GHEA Grapalat"/>
                <w:sz w:val="18"/>
                <w:szCs w:val="18"/>
              </w:rPr>
              <w:t>,</w:t>
            </w:r>
            <w:r w:rsidRPr="001F63BA">
              <w:rPr>
                <w:rFonts w:ascii="GHEA Grapalat" w:hAnsi="GHEA Grapalat"/>
                <w:sz w:val="18"/>
                <w:szCs w:val="18"/>
                <w:lang w:val="en-US"/>
              </w:rPr>
              <w:t>072.2</w:t>
            </w:r>
          </w:p>
        </w:tc>
        <w:tc>
          <w:tcPr>
            <w:tcW w:w="1275" w:type="dxa"/>
            <w:tcBorders>
              <w:top w:val="nil"/>
              <w:left w:val="nil"/>
              <w:bottom w:val="single" w:sz="4" w:space="0" w:color="auto"/>
              <w:right w:val="single" w:sz="4" w:space="0" w:color="auto"/>
            </w:tcBorders>
            <w:vAlign w:val="bottom"/>
          </w:tcPr>
          <w:p w:rsidR="001C411D" w:rsidRPr="001F63BA" w:rsidRDefault="001C411D" w:rsidP="006223A3">
            <w:pPr>
              <w:jc w:val="right"/>
              <w:rPr>
                <w:rFonts w:ascii="GHEA Grapalat" w:hAnsi="GHEA Grapalat"/>
                <w:sz w:val="18"/>
                <w:szCs w:val="18"/>
              </w:rPr>
            </w:pPr>
            <w:r w:rsidRPr="001F63BA">
              <w:rPr>
                <w:rFonts w:ascii="GHEA Grapalat" w:hAnsi="GHEA Grapalat"/>
                <w:sz w:val="18"/>
                <w:szCs w:val="18"/>
              </w:rPr>
              <w:t>101.7</w:t>
            </w:r>
          </w:p>
        </w:tc>
      </w:tr>
    </w:tbl>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865E10">
      <w:pPr>
        <w:autoSpaceDE w:val="0"/>
        <w:autoSpaceDN w:val="0"/>
        <w:adjustRightInd w:val="0"/>
        <w:spacing w:line="360" w:lineRule="auto"/>
        <w:ind w:firstLine="567"/>
        <w:jc w:val="both"/>
        <w:rPr>
          <w:rFonts w:ascii="GHEA Grapalat" w:hAnsi="GHEA Grapalat" w:cs="Arial"/>
          <w:sz w:val="22"/>
          <w:szCs w:val="22"/>
          <w:lang w:val="en-US"/>
        </w:rPr>
      </w:pPr>
      <w:r w:rsidRPr="001F63BA">
        <w:rPr>
          <w:rFonts w:ascii="GHEA Grapalat" w:hAnsi="GHEA Grapalat" w:cs="Sylfaen"/>
          <w:sz w:val="22"/>
          <w:szCs w:val="22"/>
        </w:rPr>
        <w:t xml:space="preserve">Հանրակրթության համակարգում 2022 թվականին գործել է 7 հատուկ դպրոց, ինչպես և 2021 թվականին: </w:t>
      </w:r>
      <w:r w:rsidRPr="001F63BA">
        <w:rPr>
          <w:rFonts w:ascii="GHEA Grapalat" w:hAnsi="GHEA Grapalat" w:cs="Arial"/>
          <w:sz w:val="22"/>
          <w:szCs w:val="22"/>
        </w:rPr>
        <w:t>2022 թվականին հատուկ հանրակրթական ուսումնական հաստատություններում սովորողների սննդի կազմակերպման նպատակով տրամադրվող ֆինանսական միջոցների հաշվարկման համար հաստատվել են նոր</w:t>
      </w:r>
      <w:r w:rsidRPr="001F63BA">
        <w:rPr>
          <w:rFonts w:ascii="GHEA Grapalat" w:hAnsi="GHEA Grapalat" w:cs="Arial"/>
          <w:sz w:val="22"/>
          <w:szCs w:val="22"/>
          <w:lang w:val="en-US"/>
        </w:rPr>
        <w:t>՝ ավելի բարձր</w:t>
      </w:r>
      <w:r w:rsidRPr="001F63BA">
        <w:rPr>
          <w:rFonts w:ascii="GHEA Grapalat" w:hAnsi="GHEA Grapalat" w:cs="Arial"/>
          <w:sz w:val="22"/>
          <w:szCs w:val="22"/>
        </w:rPr>
        <w:t xml:space="preserve"> նորմատիվներ: 2022 թվականին շարունակվել է հատուկ դպրոցներ</w:t>
      </w:r>
      <w:r w:rsidRPr="001F63BA">
        <w:rPr>
          <w:rFonts w:ascii="GHEA Grapalat" w:hAnsi="GHEA Grapalat" w:cs="Arial"/>
          <w:sz w:val="22"/>
          <w:szCs w:val="22"/>
          <w:lang w:val="en-US"/>
        </w:rPr>
        <w:t>ի՝</w:t>
      </w:r>
      <w:r w:rsidRPr="001F63BA">
        <w:rPr>
          <w:rFonts w:ascii="GHEA Grapalat" w:hAnsi="GHEA Grapalat" w:cs="Arial"/>
          <w:sz w:val="22"/>
          <w:szCs w:val="22"/>
        </w:rPr>
        <w:t xml:space="preserve"> տարածքային մանկավարժահոգեբանական աջակցության կենտրոնների վերակազմավորումը, որոնց հիմնական գործառույթն է սովորողի կարիքի գնահատումը, ըստ անհրաժեշտության կրթության առանձնահատուկ պայմանների կարիք ունեցող երեխաների համար անհատական ուսումնական պլաններով կրթության կազմակերպումը: </w:t>
      </w:r>
      <w:r w:rsidRPr="001F63BA">
        <w:rPr>
          <w:rFonts w:ascii="GHEA Grapalat" w:hAnsi="GHEA Grapalat" w:cs="Sylfaen"/>
          <w:sz w:val="22"/>
          <w:szCs w:val="22"/>
        </w:rPr>
        <w:t>Հատուկ հանրակրթության ծախսերը 2022 թվականին կատարվել են 88%-ով՝ կազմելով շուրջ 1.2 մլրդ դրամ</w:t>
      </w:r>
      <w:r w:rsidRPr="001F63BA">
        <w:rPr>
          <w:rFonts w:ascii="GHEA Grapalat" w:hAnsi="GHEA Grapalat" w:cs="Sylfaen"/>
          <w:sz w:val="22"/>
          <w:szCs w:val="22"/>
          <w:lang w:val="en-US"/>
        </w:rPr>
        <w:t>,</w:t>
      </w:r>
      <w:r w:rsidRPr="001F63BA">
        <w:rPr>
          <w:rFonts w:ascii="GHEA Grapalat" w:hAnsi="GHEA Grapalat" w:cs="Sylfaen"/>
          <w:sz w:val="22"/>
          <w:szCs w:val="22"/>
        </w:rPr>
        <w:t xml:space="preserve"> և նախորդ տարվա համեմատ </w:t>
      </w:r>
      <w:r w:rsidRPr="001F63BA">
        <w:rPr>
          <w:rFonts w:ascii="GHEA Grapalat" w:hAnsi="GHEA Grapalat" w:cs="Sylfaen"/>
          <w:sz w:val="22"/>
          <w:szCs w:val="22"/>
          <w:lang w:val="en-US"/>
        </w:rPr>
        <w:t>էական</w:t>
      </w:r>
      <w:r w:rsidRPr="001F63BA">
        <w:rPr>
          <w:rFonts w:ascii="GHEA Grapalat" w:hAnsi="GHEA Grapalat" w:cs="Sylfaen"/>
          <w:sz w:val="22"/>
          <w:szCs w:val="22"/>
        </w:rPr>
        <w:t xml:space="preserve"> փոփոխ</w:t>
      </w:r>
      <w:r w:rsidRPr="001F63BA">
        <w:rPr>
          <w:rFonts w:ascii="GHEA Grapalat" w:hAnsi="GHEA Grapalat" w:cs="Sylfaen"/>
          <w:sz w:val="22"/>
          <w:szCs w:val="22"/>
          <w:lang w:val="en-US"/>
        </w:rPr>
        <w:t>ություն չեն կրել</w:t>
      </w:r>
      <w:r w:rsidRPr="001F63BA">
        <w:rPr>
          <w:rFonts w:ascii="GHEA Grapalat" w:hAnsi="GHEA Grapalat" w:cs="Sylfaen"/>
          <w:sz w:val="22"/>
          <w:szCs w:val="22"/>
        </w:rPr>
        <w:t>: Ծրագրային ցուցանիշից շ</w:t>
      </w:r>
      <w:r w:rsidRPr="001F63BA">
        <w:rPr>
          <w:rFonts w:ascii="GHEA Grapalat" w:hAnsi="GHEA Grapalat" w:cs="GHEA Grapalat"/>
          <w:sz w:val="22"/>
          <w:szCs w:val="22"/>
        </w:rPr>
        <w:t>եղումը</w:t>
      </w:r>
      <w:r w:rsidRPr="001F63BA">
        <w:rPr>
          <w:rFonts w:ascii="GHEA Grapalat" w:hAnsi="GHEA Grapalat" w:cs="Arial"/>
          <w:sz w:val="22"/>
          <w:szCs w:val="22"/>
        </w:rPr>
        <w:t xml:space="preserve"> պայմանավորված է հատուկ կրթական հաստատությունների աշակերտների՝ կանխատեսվածից պակաս թվով, ինչպես նաև սննդի ծախսերի խնայողությամբ:</w:t>
      </w:r>
    </w:p>
    <w:p w:rsidR="001C411D" w:rsidRPr="001F63BA" w:rsidRDefault="001C411D" w:rsidP="00865E10">
      <w:pPr>
        <w:autoSpaceDE w:val="0"/>
        <w:autoSpaceDN w:val="0"/>
        <w:adjustRightInd w:val="0"/>
        <w:spacing w:line="360" w:lineRule="auto"/>
        <w:ind w:firstLine="567"/>
        <w:jc w:val="both"/>
        <w:rPr>
          <w:rFonts w:ascii="GHEA Grapalat" w:hAnsi="GHEA Grapalat" w:cs="Arial"/>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Հատուկ հանրակրթության համակարգի ցուցանիշները</w:t>
      </w:r>
    </w:p>
    <w:tbl>
      <w:tblPr>
        <w:tblW w:w="10206" w:type="dxa"/>
        <w:tblInd w:w="108" w:type="dxa"/>
        <w:tblLayout w:type="fixed"/>
        <w:tblLook w:val="00A0" w:firstRow="1" w:lastRow="0" w:firstColumn="1" w:lastColumn="0" w:noHBand="0" w:noVBand="0"/>
      </w:tblPr>
      <w:tblGrid>
        <w:gridCol w:w="2694"/>
        <w:gridCol w:w="1417"/>
        <w:gridCol w:w="1418"/>
        <w:gridCol w:w="1134"/>
        <w:gridCol w:w="1134"/>
        <w:gridCol w:w="1134"/>
        <w:gridCol w:w="1275"/>
      </w:tblGrid>
      <w:tr w:rsidR="001C411D" w:rsidRPr="001F63BA" w:rsidTr="009A0B66">
        <w:trPr>
          <w:trHeight w:val="1002"/>
        </w:trPr>
        <w:tc>
          <w:tcPr>
            <w:tcW w:w="2694"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865E10">
            <w:pPr>
              <w:rPr>
                <w:rFonts w:ascii="Calibri" w:hAnsi="Calibri" w:cs="Calibri"/>
                <w:sz w:val="18"/>
                <w:szCs w:val="18"/>
              </w:rPr>
            </w:pPr>
            <w:r w:rsidRPr="001F63BA">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2021թ. սովորողների փաստացի թիվ</w:t>
            </w:r>
          </w:p>
        </w:tc>
        <w:tc>
          <w:tcPr>
            <w:tcW w:w="1418"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2022թ. սովորողների փաստացի թիվ</w:t>
            </w:r>
          </w:p>
        </w:tc>
        <w:tc>
          <w:tcPr>
            <w:tcW w:w="1134" w:type="dxa"/>
            <w:tcBorders>
              <w:top w:val="single" w:sz="4" w:space="0" w:color="auto"/>
              <w:left w:val="nil"/>
              <w:bottom w:val="single" w:sz="4" w:space="0" w:color="auto"/>
              <w:right w:val="single" w:sz="4" w:space="0" w:color="auto"/>
            </w:tcBorders>
            <w:noWrap/>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2022թ. և 2021թ. տարբե-րությունը</w:t>
            </w:r>
          </w:p>
        </w:tc>
        <w:tc>
          <w:tcPr>
            <w:tcW w:w="1134"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1</w:t>
            </w:r>
            <w:r w:rsidRPr="001F63BA">
              <w:rPr>
                <w:rFonts w:ascii="GHEA Grapalat" w:hAnsi="GHEA Grapalat"/>
                <w:b/>
                <w:sz w:val="18"/>
                <w:szCs w:val="18"/>
              </w:rPr>
              <w:t>թ. փաստ</w:t>
            </w:r>
          </w:p>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(մլն դրամ)</w:t>
            </w:r>
          </w:p>
        </w:tc>
        <w:tc>
          <w:tcPr>
            <w:tcW w:w="1134"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2</w:t>
            </w:r>
            <w:r w:rsidRPr="001F63BA">
              <w:rPr>
                <w:rFonts w:ascii="GHEA Grapalat" w:hAnsi="GHEA Grapalat"/>
                <w:b/>
                <w:sz w:val="18"/>
                <w:szCs w:val="18"/>
              </w:rPr>
              <w:t>թ. փաստ (մլն</w:t>
            </w:r>
            <w:r w:rsidRPr="001F63BA">
              <w:rPr>
                <w:rFonts w:ascii="GHEA Grapalat" w:hAnsi="GHEA Grapalat"/>
                <w:b/>
                <w:sz w:val="18"/>
                <w:szCs w:val="18"/>
                <w:lang w:val="en-US"/>
              </w:rPr>
              <w:t xml:space="preserve"> </w:t>
            </w:r>
            <w:r w:rsidRPr="001F63BA">
              <w:rPr>
                <w:rFonts w:ascii="GHEA Grapalat" w:hAnsi="GHEA Grapalat"/>
                <w:b/>
                <w:sz w:val="18"/>
                <w:szCs w:val="18"/>
              </w:rPr>
              <w:t>դրամ)</w:t>
            </w:r>
          </w:p>
        </w:tc>
        <w:tc>
          <w:tcPr>
            <w:tcW w:w="1275"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2022թ. 2021թ-ի նկատմամբ (%)</w:t>
            </w:r>
          </w:p>
        </w:tc>
      </w:tr>
      <w:tr w:rsidR="001C411D" w:rsidRPr="001F63BA" w:rsidTr="009A0B66">
        <w:trPr>
          <w:trHeight w:val="421"/>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9A0B66">
            <w:pPr>
              <w:rPr>
                <w:rFonts w:ascii="GHEA Grapalat" w:hAnsi="GHEA Grapalat"/>
                <w:b/>
                <w:sz w:val="18"/>
                <w:szCs w:val="18"/>
              </w:rPr>
            </w:pPr>
            <w:r w:rsidRPr="001F63BA">
              <w:rPr>
                <w:rFonts w:ascii="GHEA Grapalat" w:hAnsi="GHEA Grapalat" w:cs="Arial"/>
                <w:b/>
                <w:sz w:val="18"/>
                <w:szCs w:val="18"/>
              </w:rPr>
              <w:t>Հատուկ հանրակրթություն</w:t>
            </w:r>
          </w:p>
        </w:tc>
        <w:tc>
          <w:tcPr>
            <w:tcW w:w="1417"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b/>
                <w:sz w:val="18"/>
                <w:szCs w:val="18"/>
              </w:rPr>
            </w:pPr>
            <w:r w:rsidRPr="001F63BA">
              <w:rPr>
                <w:rFonts w:ascii="GHEA Grapalat" w:hAnsi="GHEA Grapalat"/>
                <w:b/>
                <w:sz w:val="18"/>
                <w:szCs w:val="18"/>
              </w:rPr>
              <w:t>533</w:t>
            </w:r>
          </w:p>
        </w:tc>
        <w:tc>
          <w:tcPr>
            <w:tcW w:w="1418"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b/>
                <w:sz w:val="18"/>
                <w:szCs w:val="18"/>
                <w:lang w:val="en-US"/>
              </w:rPr>
            </w:pPr>
            <w:r w:rsidRPr="001F63BA">
              <w:rPr>
                <w:rFonts w:ascii="GHEA Grapalat" w:hAnsi="GHEA Grapalat"/>
                <w:b/>
                <w:sz w:val="18"/>
                <w:szCs w:val="18"/>
                <w:lang w:val="en-US"/>
              </w:rPr>
              <w:t>551</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b/>
                <w:sz w:val="18"/>
                <w:szCs w:val="18"/>
              </w:rPr>
            </w:pPr>
            <w:r w:rsidRPr="001F63BA">
              <w:rPr>
                <w:rFonts w:ascii="GHEA Grapalat" w:hAnsi="GHEA Grapalat"/>
                <w:b/>
                <w:sz w:val="18"/>
                <w:szCs w:val="18"/>
              </w:rPr>
              <w:t>18</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b/>
                <w:sz w:val="18"/>
                <w:szCs w:val="18"/>
              </w:rPr>
            </w:pPr>
            <w:r w:rsidRPr="001F63BA">
              <w:rPr>
                <w:rFonts w:ascii="GHEA Grapalat" w:hAnsi="GHEA Grapalat"/>
                <w:b/>
                <w:sz w:val="18"/>
                <w:szCs w:val="18"/>
              </w:rPr>
              <w:t>1,179.8</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b/>
                <w:sz w:val="18"/>
                <w:szCs w:val="18"/>
              </w:rPr>
            </w:pPr>
            <w:r w:rsidRPr="001F63BA">
              <w:rPr>
                <w:rFonts w:ascii="GHEA Grapalat" w:hAnsi="GHEA Grapalat"/>
                <w:b/>
                <w:sz w:val="18"/>
                <w:szCs w:val="18"/>
              </w:rPr>
              <w:t>1,1</w:t>
            </w:r>
            <w:r w:rsidRPr="001F63BA">
              <w:rPr>
                <w:rFonts w:ascii="GHEA Grapalat" w:hAnsi="GHEA Grapalat"/>
                <w:b/>
                <w:sz w:val="18"/>
                <w:szCs w:val="18"/>
                <w:lang w:val="en-US"/>
              </w:rPr>
              <w:t>6</w:t>
            </w:r>
            <w:r w:rsidRPr="001F63BA">
              <w:rPr>
                <w:rFonts w:ascii="GHEA Grapalat" w:hAnsi="GHEA Grapalat"/>
                <w:b/>
                <w:sz w:val="18"/>
                <w:szCs w:val="18"/>
              </w:rPr>
              <w:t>9.8</w:t>
            </w:r>
          </w:p>
        </w:tc>
        <w:tc>
          <w:tcPr>
            <w:tcW w:w="1275"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b/>
                <w:sz w:val="18"/>
                <w:szCs w:val="18"/>
              </w:rPr>
            </w:pPr>
            <w:r w:rsidRPr="001F63BA">
              <w:rPr>
                <w:rFonts w:ascii="GHEA Grapalat" w:hAnsi="GHEA Grapalat"/>
                <w:b/>
                <w:sz w:val="18"/>
                <w:szCs w:val="18"/>
                <w:lang w:val="en-US"/>
              </w:rPr>
              <w:t>99</w:t>
            </w:r>
            <w:r w:rsidRPr="001F63BA">
              <w:rPr>
                <w:rFonts w:ascii="GHEA Grapalat" w:hAnsi="GHEA Grapalat"/>
                <w:b/>
                <w:sz w:val="18"/>
                <w:szCs w:val="18"/>
              </w:rPr>
              <w:t>.2</w:t>
            </w:r>
          </w:p>
        </w:tc>
      </w:tr>
      <w:tr w:rsidR="001C411D" w:rsidRPr="001F63BA" w:rsidTr="009A0B66">
        <w:trPr>
          <w:trHeight w:val="458"/>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9A0B66">
            <w:pPr>
              <w:rPr>
                <w:rFonts w:ascii="GHEA Grapalat" w:hAnsi="GHEA Grapalat"/>
                <w:sz w:val="18"/>
                <w:szCs w:val="18"/>
              </w:rPr>
            </w:pPr>
            <w:r w:rsidRPr="001F63BA">
              <w:rPr>
                <w:rFonts w:ascii="GHEA Grapalat" w:hAnsi="GHEA Grapalat" w:cs="Arial"/>
                <w:sz w:val="18"/>
                <w:szCs w:val="18"/>
              </w:rPr>
              <w:t>Տարրական</w:t>
            </w:r>
          </w:p>
        </w:tc>
        <w:tc>
          <w:tcPr>
            <w:tcW w:w="1417"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158</w:t>
            </w:r>
          </w:p>
        </w:tc>
        <w:tc>
          <w:tcPr>
            <w:tcW w:w="1418"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rPr>
              <w:t>15</w:t>
            </w:r>
            <w:r w:rsidRPr="001F63BA">
              <w:rPr>
                <w:rFonts w:ascii="GHEA Grapalat" w:hAnsi="GHEA Grapalat"/>
                <w:sz w:val="18"/>
                <w:szCs w:val="18"/>
                <w:lang w:val="en-US"/>
              </w:rPr>
              <w:t>3</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(5)</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329.6</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300.7</w:t>
            </w:r>
          </w:p>
        </w:tc>
        <w:tc>
          <w:tcPr>
            <w:tcW w:w="1275"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91.2</w:t>
            </w:r>
          </w:p>
        </w:tc>
      </w:tr>
      <w:tr w:rsidR="001C411D" w:rsidRPr="001F63BA" w:rsidTr="009A0B66">
        <w:trPr>
          <w:trHeight w:val="458"/>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9A0B66">
            <w:pPr>
              <w:rPr>
                <w:rFonts w:ascii="GHEA Grapalat" w:hAnsi="GHEA Grapalat"/>
                <w:sz w:val="18"/>
                <w:szCs w:val="18"/>
              </w:rPr>
            </w:pPr>
            <w:r w:rsidRPr="001F63BA">
              <w:rPr>
                <w:rFonts w:ascii="GHEA Grapalat" w:hAnsi="GHEA Grapalat" w:cs="Arial"/>
                <w:sz w:val="18"/>
                <w:szCs w:val="18"/>
              </w:rPr>
              <w:t>Հիմնական</w:t>
            </w:r>
          </w:p>
        </w:tc>
        <w:tc>
          <w:tcPr>
            <w:tcW w:w="1417"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237</w:t>
            </w:r>
          </w:p>
        </w:tc>
        <w:tc>
          <w:tcPr>
            <w:tcW w:w="1418"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rPr>
              <w:t>2</w:t>
            </w:r>
            <w:r w:rsidRPr="001F63BA">
              <w:rPr>
                <w:rFonts w:ascii="GHEA Grapalat" w:hAnsi="GHEA Grapalat"/>
                <w:sz w:val="18"/>
                <w:szCs w:val="18"/>
                <w:lang w:val="en-US"/>
              </w:rPr>
              <w:t>48</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lang w:val="en-US"/>
              </w:rPr>
              <w:t>11</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512.2</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rPr>
              <w:t>51</w:t>
            </w:r>
            <w:r w:rsidRPr="001F63BA">
              <w:rPr>
                <w:rFonts w:ascii="GHEA Grapalat" w:hAnsi="GHEA Grapalat"/>
                <w:sz w:val="18"/>
                <w:szCs w:val="18"/>
                <w:lang w:val="en-US"/>
              </w:rPr>
              <w:t>5</w:t>
            </w:r>
            <w:r w:rsidRPr="001F63BA">
              <w:rPr>
                <w:rFonts w:ascii="GHEA Grapalat" w:hAnsi="GHEA Grapalat"/>
                <w:sz w:val="18"/>
                <w:szCs w:val="18"/>
              </w:rPr>
              <w:t>.</w:t>
            </w:r>
            <w:r w:rsidRPr="001F63BA">
              <w:rPr>
                <w:rFonts w:ascii="GHEA Grapalat" w:hAnsi="GHEA Grapalat"/>
                <w:sz w:val="18"/>
                <w:szCs w:val="18"/>
                <w:lang w:val="en-US"/>
              </w:rPr>
              <w:t>1</w:t>
            </w:r>
          </w:p>
        </w:tc>
        <w:tc>
          <w:tcPr>
            <w:tcW w:w="1275"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100.6</w:t>
            </w:r>
          </w:p>
        </w:tc>
      </w:tr>
      <w:tr w:rsidR="001C411D" w:rsidRPr="001F63BA" w:rsidTr="009A0B66">
        <w:trPr>
          <w:trHeight w:val="458"/>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9A0B66">
            <w:pPr>
              <w:rPr>
                <w:rFonts w:ascii="GHEA Grapalat" w:hAnsi="GHEA Grapalat"/>
                <w:sz w:val="18"/>
                <w:szCs w:val="18"/>
                <w:lang w:val="en-US"/>
              </w:rPr>
            </w:pPr>
            <w:r w:rsidRPr="001F63BA">
              <w:rPr>
                <w:rFonts w:ascii="GHEA Grapalat" w:hAnsi="GHEA Grapalat" w:cs="Arial"/>
                <w:sz w:val="18"/>
                <w:szCs w:val="18"/>
              </w:rPr>
              <w:t>Միջնակարգ</w:t>
            </w:r>
          </w:p>
        </w:tc>
        <w:tc>
          <w:tcPr>
            <w:tcW w:w="1417"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138</w:t>
            </w:r>
          </w:p>
        </w:tc>
        <w:tc>
          <w:tcPr>
            <w:tcW w:w="1418"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50</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lang w:val="en-US"/>
              </w:rPr>
              <w:t>12</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rPr>
              <w:t>338</w:t>
            </w:r>
            <w:r w:rsidRPr="001F63BA">
              <w:rPr>
                <w:rFonts w:ascii="GHEA Grapalat" w:hAnsi="GHEA Grapalat"/>
                <w:sz w:val="18"/>
                <w:szCs w:val="18"/>
                <w:lang w:val="en-US"/>
              </w:rPr>
              <w:t>.0</w:t>
            </w:r>
          </w:p>
        </w:tc>
        <w:tc>
          <w:tcPr>
            <w:tcW w:w="1134"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lang w:val="en-US"/>
              </w:rPr>
            </w:pPr>
            <w:r w:rsidRPr="001F63BA">
              <w:rPr>
                <w:rFonts w:ascii="GHEA Grapalat" w:hAnsi="GHEA Grapalat"/>
                <w:sz w:val="18"/>
                <w:szCs w:val="18"/>
              </w:rPr>
              <w:t>3</w:t>
            </w:r>
            <w:r w:rsidRPr="001F63BA">
              <w:rPr>
                <w:rFonts w:ascii="GHEA Grapalat" w:hAnsi="GHEA Grapalat"/>
                <w:sz w:val="18"/>
                <w:szCs w:val="18"/>
                <w:lang w:val="en-US"/>
              </w:rPr>
              <w:t>54.0</w:t>
            </w:r>
          </w:p>
        </w:tc>
        <w:tc>
          <w:tcPr>
            <w:tcW w:w="1275" w:type="dxa"/>
            <w:tcBorders>
              <w:top w:val="nil"/>
              <w:left w:val="nil"/>
              <w:bottom w:val="single" w:sz="4" w:space="0" w:color="auto"/>
              <w:right w:val="single" w:sz="4" w:space="0" w:color="auto"/>
            </w:tcBorders>
            <w:vAlign w:val="bottom"/>
          </w:tcPr>
          <w:p w:rsidR="001C411D" w:rsidRPr="001F63BA" w:rsidRDefault="001C411D" w:rsidP="009A0B66">
            <w:pPr>
              <w:jc w:val="right"/>
              <w:rPr>
                <w:rFonts w:ascii="GHEA Grapalat" w:hAnsi="GHEA Grapalat"/>
                <w:sz w:val="18"/>
                <w:szCs w:val="18"/>
              </w:rPr>
            </w:pPr>
            <w:r w:rsidRPr="001F63BA">
              <w:rPr>
                <w:rFonts w:ascii="GHEA Grapalat" w:hAnsi="GHEA Grapalat"/>
                <w:sz w:val="18"/>
                <w:szCs w:val="18"/>
              </w:rPr>
              <w:t>104.7</w:t>
            </w:r>
          </w:p>
        </w:tc>
      </w:tr>
    </w:tbl>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lang w:val="en-US"/>
        </w:rPr>
      </w:pP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2022 թվականին, ինչպես և 2021 թվականին, մասնագիտացված կրթության համակարգում գործել է 10 մասնագիտացված դպրոց: </w:t>
      </w:r>
      <w:r w:rsidRPr="001F63BA">
        <w:rPr>
          <w:rFonts w:ascii="GHEA Grapalat" w:hAnsi="GHEA Grapalat" w:cs="Sylfaen"/>
          <w:sz w:val="22"/>
          <w:szCs w:val="22"/>
          <w:lang w:val="en-US"/>
        </w:rPr>
        <w:t xml:space="preserve">Հաշվետու տարում տարրական, հիմնական և միջնակարգ մասնագիտացված հանրակրթական ուսուցման նպատակով օգտագործվել է շուրջ 3.6 մլրդ դրամ՝ </w:t>
      </w:r>
      <w:r w:rsidRPr="001F63BA">
        <w:rPr>
          <w:rFonts w:ascii="GHEA Grapalat" w:hAnsi="GHEA Grapalat" w:cs="Sylfaen"/>
          <w:sz w:val="22"/>
          <w:szCs w:val="22"/>
          <w:lang w:val="en-US"/>
        </w:rPr>
        <w:lastRenderedPageBreak/>
        <w:t xml:space="preserve">ապահովելով ծրագրված ցուցանիշի 94.7%-ը: Ծրագրային </w:t>
      </w:r>
      <w:r w:rsidRPr="001F63BA">
        <w:rPr>
          <w:rFonts w:ascii="GHEA Grapalat" w:hAnsi="GHEA Grapalat" w:cs="Sylfaen"/>
          <w:sz w:val="22"/>
          <w:szCs w:val="22"/>
        </w:rPr>
        <w:t>ցուցանիշից շեղումը պայմանավորված է ՀՀ ՊՆ ենթակայությամբ գործող Մոնթե Մելքոնյանի անվան ռազմամարզական վարժարանի սաների՝ կանխատեսվածից պակաս թվով, ինչպես նաև նշվածի արդյունքում սննդի ծախսերի տնտեսմամբ: Հարկ է նշել, որ 2022 թվականին մասնագիտացված հանրակրթական ուսումնական հաստատություններում սովորողների սննդի կազմակերպման նպատակով տրամադրվող ֆինանսական միջոցների հաշվարկման համար նույնպես հաստատվել են նոր</w:t>
      </w:r>
      <w:r w:rsidRPr="001F63BA">
        <w:rPr>
          <w:rFonts w:ascii="GHEA Grapalat" w:hAnsi="GHEA Grapalat" w:cs="Sylfaen"/>
          <w:sz w:val="22"/>
          <w:szCs w:val="22"/>
          <w:lang w:val="en-US"/>
        </w:rPr>
        <w:t>՝ ավելի բարձր</w:t>
      </w:r>
      <w:r w:rsidRPr="001F63BA">
        <w:rPr>
          <w:rFonts w:ascii="GHEA Grapalat" w:hAnsi="GHEA Grapalat" w:cs="Sylfaen"/>
          <w:sz w:val="22"/>
          <w:szCs w:val="22"/>
        </w:rPr>
        <w:t xml:space="preserve"> նորմատիվներ</w:t>
      </w:r>
      <w:r w:rsidRPr="001F63BA">
        <w:rPr>
          <w:rFonts w:ascii="GHEA Grapalat" w:hAnsi="GHEA Grapalat" w:cs="Sylfaen"/>
          <w:sz w:val="22"/>
          <w:szCs w:val="22"/>
          <w:lang w:val="en-US"/>
        </w:rPr>
        <w:t>:</w:t>
      </w:r>
      <w:r w:rsidRPr="001F63BA">
        <w:rPr>
          <w:rFonts w:ascii="GHEA Grapalat" w:hAnsi="GHEA Grapalat" w:cs="Arial"/>
          <w:sz w:val="22"/>
          <w:szCs w:val="22"/>
        </w:rPr>
        <w:t xml:space="preserve"> </w:t>
      </w:r>
      <w:r w:rsidRPr="001F63BA">
        <w:rPr>
          <w:rFonts w:ascii="GHEA Grapalat" w:hAnsi="GHEA Grapalat" w:cs="Sylfaen"/>
          <w:sz w:val="22"/>
          <w:szCs w:val="22"/>
        </w:rPr>
        <w:t>2022 թվականի համեմատ մասնագիտացված հանրակրթական ուսուցման ծախսերը նվազել են 1.5%-ով կամ 55.1 մլն դրամով</w:t>
      </w:r>
      <w:r w:rsidRPr="001F63BA">
        <w:rPr>
          <w:rFonts w:ascii="GHEA Grapalat" w:hAnsi="GHEA Grapalat" w:cs="Sylfaen"/>
          <w:sz w:val="22"/>
          <w:szCs w:val="22"/>
          <w:lang w:val="en-US"/>
        </w:rPr>
        <w:t>՝</w:t>
      </w:r>
      <w:r w:rsidRPr="001F63BA">
        <w:rPr>
          <w:rFonts w:ascii="GHEA Grapalat" w:hAnsi="GHEA Grapalat" w:cs="Sylfaen"/>
          <w:sz w:val="22"/>
          <w:szCs w:val="22"/>
        </w:rPr>
        <w:t xml:space="preserve"> պայմանավորված սովորողների թվի նվազմամբ:</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en-US"/>
        </w:rPr>
      </w:pPr>
      <w:r w:rsidRPr="001F63BA">
        <w:rPr>
          <w:rFonts w:ascii="GHEA Grapalat" w:hAnsi="GHEA Grapalat"/>
          <w:i/>
          <w:sz w:val="18"/>
          <w:szCs w:val="18"/>
          <w:lang w:val="en-US"/>
        </w:rPr>
        <w:t>Մասնագիտացված հանրակրթության համակարգի ցուցանիշները</w:t>
      </w:r>
    </w:p>
    <w:tbl>
      <w:tblPr>
        <w:tblW w:w="10206" w:type="dxa"/>
        <w:tblInd w:w="108" w:type="dxa"/>
        <w:tblLayout w:type="fixed"/>
        <w:tblLook w:val="00A0" w:firstRow="1" w:lastRow="0" w:firstColumn="1" w:lastColumn="0" w:noHBand="0" w:noVBand="0"/>
      </w:tblPr>
      <w:tblGrid>
        <w:gridCol w:w="2694"/>
        <w:gridCol w:w="1417"/>
        <w:gridCol w:w="1418"/>
        <w:gridCol w:w="1134"/>
        <w:gridCol w:w="1134"/>
        <w:gridCol w:w="1134"/>
        <w:gridCol w:w="1275"/>
      </w:tblGrid>
      <w:tr w:rsidR="001C411D" w:rsidRPr="001F63BA" w:rsidTr="004C47E8">
        <w:trPr>
          <w:trHeight w:val="1045"/>
        </w:trPr>
        <w:tc>
          <w:tcPr>
            <w:tcW w:w="2694"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865E10">
            <w:pPr>
              <w:rPr>
                <w:rFonts w:ascii="Calibri" w:hAnsi="Calibri" w:cs="Calibri"/>
                <w:sz w:val="18"/>
                <w:szCs w:val="18"/>
              </w:rPr>
            </w:pPr>
            <w:r w:rsidRPr="001F63BA">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1</w:t>
            </w:r>
            <w:r w:rsidRPr="001F63BA">
              <w:rPr>
                <w:rFonts w:ascii="GHEA Grapalat" w:hAnsi="GHEA Grapalat"/>
                <w:b/>
                <w:sz w:val="18"/>
                <w:szCs w:val="18"/>
              </w:rPr>
              <w:t>թ. սովորողների փաստացի թիվ</w:t>
            </w:r>
          </w:p>
        </w:tc>
        <w:tc>
          <w:tcPr>
            <w:tcW w:w="1418"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2</w:t>
            </w:r>
            <w:r w:rsidRPr="001F63BA">
              <w:rPr>
                <w:rFonts w:ascii="GHEA Grapalat" w:hAnsi="GHEA Grapalat"/>
                <w:b/>
                <w:sz w:val="18"/>
                <w:szCs w:val="18"/>
              </w:rPr>
              <w:t>թ. սովորողների փաստացի թիվ</w:t>
            </w:r>
          </w:p>
        </w:tc>
        <w:tc>
          <w:tcPr>
            <w:tcW w:w="1134" w:type="dxa"/>
            <w:tcBorders>
              <w:top w:val="single" w:sz="4" w:space="0" w:color="auto"/>
              <w:left w:val="nil"/>
              <w:bottom w:val="single" w:sz="4" w:space="0" w:color="auto"/>
              <w:right w:val="single" w:sz="4" w:space="0" w:color="auto"/>
            </w:tcBorders>
            <w:noWrap/>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2022թ. և 2021թ. տարբե-րությունը</w:t>
            </w:r>
          </w:p>
        </w:tc>
        <w:tc>
          <w:tcPr>
            <w:tcW w:w="1134"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2021թ. փաստ</w:t>
            </w:r>
          </w:p>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(մլն դրամ)</w:t>
            </w:r>
          </w:p>
        </w:tc>
        <w:tc>
          <w:tcPr>
            <w:tcW w:w="1134"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w:t>
            </w:r>
            <w:r w:rsidRPr="001F63BA">
              <w:rPr>
                <w:rFonts w:ascii="GHEA Grapalat" w:hAnsi="GHEA Grapalat"/>
                <w:b/>
                <w:sz w:val="18"/>
                <w:szCs w:val="18"/>
                <w:lang w:val="en-US"/>
              </w:rPr>
              <w:t>2</w:t>
            </w:r>
            <w:r w:rsidRPr="001F63BA">
              <w:rPr>
                <w:rFonts w:ascii="GHEA Grapalat" w:hAnsi="GHEA Grapalat"/>
                <w:b/>
                <w:sz w:val="18"/>
                <w:szCs w:val="18"/>
              </w:rPr>
              <w:t>թ. փաստ (մլն</w:t>
            </w:r>
            <w:r w:rsidRPr="001F63BA">
              <w:rPr>
                <w:rFonts w:ascii="GHEA Grapalat" w:hAnsi="GHEA Grapalat"/>
                <w:b/>
                <w:sz w:val="18"/>
                <w:szCs w:val="18"/>
                <w:lang w:val="en-US"/>
              </w:rPr>
              <w:t xml:space="preserve"> </w:t>
            </w:r>
            <w:r w:rsidRPr="001F63BA">
              <w:rPr>
                <w:rFonts w:ascii="GHEA Grapalat" w:hAnsi="GHEA Grapalat"/>
                <w:b/>
                <w:sz w:val="18"/>
                <w:szCs w:val="18"/>
              </w:rPr>
              <w:t>դրամ)</w:t>
            </w:r>
          </w:p>
        </w:tc>
        <w:tc>
          <w:tcPr>
            <w:tcW w:w="1275" w:type="dxa"/>
            <w:tcBorders>
              <w:top w:val="single" w:sz="4" w:space="0" w:color="auto"/>
              <w:left w:val="nil"/>
              <w:bottom w:val="single" w:sz="4" w:space="0" w:color="auto"/>
              <w:right w:val="single" w:sz="4" w:space="0" w:color="auto"/>
            </w:tcBorders>
          </w:tcPr>
          <w:p w:rsidR="001C411D" w:rsidRPr="001F63BA" w:rsidRDefault="001C411D" w:rsidP="00865E10">
            <w:pPr>
              <w:jc w:val="center"/>
              <w:rPr>
                <w:rFonts w:ascii="GHEA Grapalat" w:hAnsi="GHEA Grapalat"/>
                <w:b/>
                <w:sz w:val="18"/>
                <w:szCs w:val="18"/>
              </w:rPr>
            </w:pPr>
            <w:r w:rsidRPr="001F63BA">
              <w:rPr>
                <w:rFonts w:ascii="GHEA Grapalat" w:hAnsi="GHEA Grapalat"/>
                <w:b/>
                <w:sz w:val="18"/>
                <w:szCs w:val="18"/>
              </w:rPr>
              <w:t>2022թ. 2021թ-ի նկատմամբ (%)</w:t>
            </w:r>
          </w:p>
        </w:tc>
      </w:tr>
      <w:tr w:rsidR="001C411D" w:rsidRPr="001F63BA" w:rsidTr="004C47E8">
        <w:trPr>
          <w:trHeight w:val="491"/>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4C47E8">
            <w:pPr>
              <w:rPr>
                <w:rFonts w:ascii="GHEA Grapalat" w:hAnsi="GHEA Grapalat"/>
                <w:b/>
                <w:sz w:val="18"/>
                <w:szCs w:val="18"/>
              </w:rPr>
            </w:pPr>
            <w:r w:rsidRPr="001F63BA">
              <w:rPr>
                <w:rFonts w:ascii="GHEA Grapalat" w:hAnsi="GHEA Grapalat" w:cs="Arial"/>
                <w:b/>
                <w:sz w:val="18"/>
                <w:szCs w:val="18"/>
              </w:rPr>
              <w:t>Մասնագիտացված հանրակրթություն</w:t>
            </w:r>
          </w:p>
        </w:tc>
        <w:tc>
          <w:tcPr>
            <w:tcW w:w="1417"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b/>
                <w:sz w:val="18"/>
                <w:szCs w:val="18"/>
              </w:rPr>
            </w:pPr>
            <w:r w:rsidRPr="001F63BA">
              <w:rPr>
                <w:rFonts w:ascii="GHEA Grapalat" w:hAnsi="GHEA Grapalat"/>
                <w:b/>
                <w:sz w:val="18"/>
                <w:szCs w:val="18"/>
              </w:rPr>
              <w:t>3674</w:t>
            </w:r>
          </w:p>
        </w:tc>
        <w:tc>
          <w:tcPr>
            <w:tcW w:w="1418"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b/>
                <w:sz w:val="18"/>
                <w:szCs w:val="18"/>
                <w:lang w:val="en-US"/>
              </w:rPr>
            </w:pPr>
            <w:r w:rsidRPr="001F63BA">
              <w:rPr>
                <w:rFonts w:ascii="GHEA Grapalat" w:hAnsi="GHEA Grapalat"/>
                <w:b/>
                <w:sz w:val="18"/>
                <w:szCs w:val="18"/>
              </w:rPr>
              <w:t>3</w:t>
            </w:r>
            <w:r w:rsidRPr="001F63BA">
              <w:rPr>
                <w:rFonts w:ascii="GHEA Grapalat" w:hAnsi="GHEA Grapalat"/>
                <w:b/>
                <w:sz w:val="18"/>
                <w:szCs w:val="18"/>
                <w:lang w:val="en-US"/>
              </w:rPr>
              <w:t>398</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b/>
                <w:noProof w:val="0"/>
                <w:sz w:val="18"/>
                <w:szCs w:val="18"/>
                <w:lang w:val="en-US"/>
              </w:rPr>
            </w:pPr>
            <w:r w:rsidRPr="001F63BA">
              <w:rPr>
                <w:rFonts w:ascii="GHEA Grapalat" w:hAnsi="GHEA Grapalat"/>
                <w:b/>
                <w:sz w:val="18"/>
                <w:szCs w:val="18"/>
              </w:rPr>
              <w:t>(276)</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b/>
                <w:sz w:val="18"/>
                <w:szCs w:val="18"/>
              </w:rPr>
            </w:pPr>
            <w:r w:rsidRPr="001F63BA">
              <w:rPr>
                <w:rFonts w:ascii="GHEA Grapalat" w:hAnsi="GHEA Grapalat"/>
                <w:b/>
                <w:sz w:val="18"/>
                <w:szCs w:val="18"/>
              </w:rPr>
              <w:t>3,676.0</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b/>
                <w:sz w:val="18"/>
                <w:szCs w:val="18"/>
                <w:lang w:val="en-US"/>
              </w:rPr>
            </w:pPr>
            <w:r w:rsidRPr="001F63BA">
              <w:rPr>
                <w:rFonts w:ascii="GHEA Grapalat" w:hAnsi="GHEA Grapalat"/>
                <w:b/>
                <w:sz w:val="18"/>
                <w:szCs w:val="18"/>
              </w:rPr>
              <w:t>3,6</w:t>
            </w:r>
            <w:r w:rsidRPr="001F63BA">
              <w:rPr>
                <w:rFonts w:ascii="GHEA Grapalat" w:hAnsi="GHEA Grapalat"/>
                <w:b/>
                <w:sz w:val="18"/>
                <w:szCs w:val="18"/>
                <w:lang w:val="en-US"/>
              </w:rPr>
              <w:t>20</w:t>
            </w:r>
            <w:r w:rsidRPr="001F63BA">
              <w:rPr>
                <w:rFonts w:ascii="GHEA Grapalat" w:hAnsi="GHEA Grapalat"/>
                <w:b/>
                <w:sz w:val="18"/>
                <w:szCs w:val="18"/>
              </w:rPr>
              <w:t>.</w:t>
            </w:r>
            <w:r w:rsidRPr="001F63BA">
              <w:rPr>
                <w:rFonts w:ascii="GHEA Grapalat" w:hAnsi="GHEA Grapalat"/>
                <w:b/>
                <w:sz w:val="18"/>
                <w:szCs w:val="18"/>
                <w:lang w:val="en-US"/>
              </w:rPr>
              <w:t>8</w:t>
            </w:r>
          </w:p>
        </w:tc>
        <w:tc>
          <w:tcPr>
            <w:tcW w:w="1275"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b/>
                <w:sz w:val="18"/>
                <w:szCs w:val="18"/>
                <w:lang w:val="en-US"/>
              </w:rPr>
            </w:pPr>
            <w:r w:rsidRPr="001F63BA">
              <w:rPr>
                <w:rFonts w:ascii="GHEA Grapalat" w:hAnsi="GHEA Grapalat"/>
                <w:b/>
                <w:sz w:val="18"/>
                <w:szCs w:val="18"/>
                <w:lang w:val="en-US"/>
              </w:rPr>
              <w:t>98.5</w:t>
            </w:r>
          </w:p>
        </w:tc>
      </w:tr>
      <w:tr w:rsidR="001C411D" w:rsidRPr="001F63BA" w:rsidTr="004C47E8">
        <w:trPr>
          <w:trHeight w:val="420"/>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4C47E8">
            <w:pPr>
              <w:rPr>
                <w:rFonts w:ascii="GHEA Grapalat" w:hAnsi="GHEA Grapalat"/>
                <w:sz w:val="18"/>
                <w:szCs w:val="18"/>
              </w:rPr>
            </w:pPr>
            <w:r w:rsidRPr="001F63BA">
              <w:rPr>
                <w:rFonts w:ascii="GHEA Grapalat" w:hAnsi="GHEA Grapalat" w:cs="Arial"/>
                <w:sz w:val="18"/>
                <w:szCs w:val="18"/>
              </w:rPr>
              <w:t>Տարրական</w:t>
            </w:r>
          </w:p>
        </w:tc>
        <w:tc>
          <w:tcPr>
            <w:tcW w:w="1417"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301</w:t>
            </w:r>
          </w:p>
        </w:tc>
        <w:tc>
          <w:tcPr>
            <w:tcW w:w="1418"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lang w:val="en-US"/>
              </w:rPr>
            </w:pPr>
            <w:r w:rsidRPr="001F63BA">
              <w:rPr>
                <w:rFonts w:ascii="GHEA Grapalat" w:hAnsi="GHEA Grapalat"/>
                <w:sz w:val="18"/>
                <w:szCs w:val="18"/>
                <w:lang w:val="en-US"/>
              </w:rPr>
              <w:t>208</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noProof w:val="0"/>
                <w:sz w:val="18"/>
                <w:szCs w:val="18"/>
                <w:lang w:val="en-US"/>
              </w:rPr>
            </w:pPr>
            <w:r w:rsidRPr="001F63BA">
              <w:rPr>
                <w:rFonts w:ascii="GHEA Grapalat" w:hAnsi="GHEA Grapalat"/>
                <w:sz w:val="18"/>
                <w:szCs w:val="18"/>
              </w:rPr>
              <w:t xml:space="preserve">(93) </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254.6</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215.8</w:t>
            </w:r>
          </w:p>
        </w:tc>
        <w:tc>
          <w:tcPr>
            <w:tcW w:w="1275"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84.8</w:t>
            </w:r>
          </w:p>
        </w:tc>
      </w:tr>
      <w:tr w:rsidR="001C411D" w:rsidRPr="001F63BA" w:rsidTr="004C47E8">
        <w:trPr>
          <w:trHeight w:val="420"/>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4C47E8">
            <w:pPr>
              <w:rPr>
                <w:rFonts w:ascii="GHEA Grapalat" w:hAnsi="GHEA Grapalat"/>
                <w:sz w:val="18"/>
                <w:szCs w:val="18"/>
              </w:rPr>
            </w:pPr>
            <w:r w:rsidRPr="001F63BA">
              <w:rPr>
                <w:rFonts w:ascii="GHEA Grapalat" w:hAnsi="GHEA Grapalat" w:cs="Arial"/>
                <w:sz w:val="18"/>
                <w:szCs w:val="18"/>
              </w:rPr>
              <w:t>Հիմնական</w:t>
            </w:r>
          </w:p>
        </w:tc>
        <w:tc>
          <w:tcPr>
            <w:tcW w:w="1417"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1827</w:t>
            </w:r>
          </w:p>
        </w:tc>
        <w:tc>
          <w:tcPr>
            <w:tcW w:w="1418"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733</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noProof w:val="0"/>
                <w:sz w:val="18"/>
                <w:szCs w:val="18"/>
                <w:lang w:val="en-US"/>
              </w:rPr>
            </w:pPr>
            <w:r w:rsidRPr="001F63BA">
              <w:rPr>
                <w:rFonts w:ascii="GHEA Grapalat" w:hAnsi="GHEA Grapalat"/>
                <w:sz w:val="18"/>
                <w:szCs w:val="18"/>
              </w:rPr>
              <w:t xml:space="preserve">(94) </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lang w:val="en-US"/>
              </w:rPr>
            </w:pPr>
            <w:r w:rsidRPr="001F63BA">
              <w:rPr>
                <w:rFonts w:ascii="GHEA Grapalat" w:hAnsi="GHEA Grapalat"/>
                <w:sz w:val="18"/>
                <w:szCs w:val="18"/>
              </w:rPr>
              <w:t>1,593</w:t>
            </w:r>
            <w:r w:rsidRPr="001F63BA">
              <w:rPr>
                <w:rFonts w:ascii="GHEA Grapalat" w:hAnsi="GHEA Grapalat"/>
                <w:sz w:val="18"/>
                <w:szCs w:val="18"/>
                <w:lang w:val="en-US"/>
              </w:rPr>
              <w:t>.0</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650.3</w:t>
            </w:r>
          </w:p>
        </w:tc>
        <w:tc>
          <w:tcPr>
            <w:tcW w:w="1275"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103.6</w:t>
            </w:r>
          </w:p>
        </w:tc>
      </w:tr>
      <w:tr w:rsidR="001C411D" w:rsidRPr="001F63BA" w:rsidTr="004C47E8">
        <w:trPr>
          <w:trHeight w:val="420"/>
        </w:trPr>
        <w:tc>
          <w:tcPr>
            <w:tcW w:w="2694" w:type="dxa"/>
            <w:tcBorders>
              <w:top w:val="nil"/>
              <w:left w:val="single" w:sz="4" w:space="0" w:color="auto"/>
              <w:bottom w:val="single" w:sz="4" w:space="0" w:color="auto"/>
              <w:right w:val="single" w:sz="4" w:space="0" w:color="auto"/>
            </w:tcBorders>
            <w:vAlign w:val="bottom"/>
          </w:tcPr>
          <w:p w:rsidR="001C411D" w:rsidRPr="001F63BA" w:rsidRDefault="001C411D" w:rsidP="004C47E8">
            <w:pPr>
              <w:rPr>
                <w:rFonts w:ascii="GHEA Grapalat" w:hAnsi="GHEA Grapalat"/>
                <w:sz w:val="18"/>
                <w:szCs w:val="18"/>
                <w:lang w:val="en-US"/>
              </w:rPr>
            </w:pPr>
            <w:r w:rsidRPr="001F63BA">
              <w:rPr>
                <w:rFonts w:ascii="GHEA Grapalat" w:hAnsi="GHEA Grapalat" w:cs="Arial"/>
                <w:sz w:val="18"/>
                <w:szCs w:val="18"/>
              </w:rPr>
              <w:t>Միջնակարգ</w:t>
            </w:r>
          </w:p>
        </w:tc>
        <w:tc>
          <w:tcPr>
            <w:tcW w:w="1417"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1546</w:t>
            </w:r>
          </w:p>
        </w:tc>
        <w:tc>
          <w:tcPr>
            <w:tcW w:w="1418"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lang w:val="en-US"/>
              </w:rPr>
            </w:pPr>
            <w:r w:rsidRPr="001F63BA">
              <w:rPr>
                <w:rFonts w:ascii="GHEA Grapalat" w:hAnsi="GHEA Grapalat"/>
                <w:sz w:val="18"/>
                <w:szCs w:val="18"/>
              </w:rPr>
              <w:t>14</w:t>
            </w:r>
            <w:r w:rsidRPr="001F63BA">
              <w:rPr>
                <w:rFonts w:ascii="GHEA Grapalat" w:hAnsi="GHEA Grapalat"/>
                <w:sz w:val="18"/>
                <w:szCs w:val="18"/>
                <w:lang w:val="en-US"/>
              </w:rPr>
              <w:t>57</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noProof w:val="0"/>
                <w:sz w:val="18"/>
                <w:szCs w:val="18"/>
                <w:lang w:val="en-US"/>
              </w:rPr>
            </w:pPr>
            <w:r w:rsidRPr="001F63BA">
              <w:rPr>
                <w:rFonts w:ascii="GHEA Grapalat" w:hAnsi="GHEA Grapalat"/>
                <w:sz w:val="18"/>
                <w:szCs w:val="18"/>
              </w:rPr>
              <w:t>(89)</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1,828.4</w:t>
            </w:r>
          </w:p>
        </w:tc>
        <w:tc>
          <w:tcPr>
            <w:tcW w:w="1134"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754</w:t>
            </w:r>
            <w:r w:rsidRPr="001F63BA">
              <w:rPr>
                <w:rFonts w:ascii="GHEA Grapalat" w:hAnsi="GHEA Grapalat"/>
                <w:sz w:val="18"/>
                <w:szCs w:val="18"/>
              </w:rPr>
              <w:t>.</w:t>
            </w:r>
            <w:r w:rsidRPr="001F63BA">
              <w:rPr>
                <w:rFonts w:ascii="GHEA Grapalat" w:hAnsi="GHEA Grapalat"/>
                <w:sz w:val="18"/>
                <w:szCs w:val="18"/>
                <w:lang w:val="en-US"/>
              </w:rPr>
              <w:t>8</w:t>
            </w:r>
          </w:p>
        </w:tc>
        <w:tc>
          <w:tcPr>
            <w:tcW w:w="1275" w:type="dxa"/>
            <w:tcBorders>
              <w:top w:val="nil"/>
              <w:left w:val="nil"/>
              <w:bottom w:val="single" w:sz="4" w:space="0" w:color="auto"/>
              <w:right w:val="single" w:sz="4" w:space="0" w:color="auto"/>
            </w:tcBorders>
            <w:vAlign w:val="bottom"/>
          </w:tcPr>
          <w:p w:rsidR="001C411D" w:rsidRPr="001F63BA" w:rsidRDefault="001C411D" w:rsidP="004C47E8">
            <w:pPr>
              <w:jc w:val="right"/>
              <w:rPr>
                <w:rFonts w:ascii="GHEA Grapalat" w:hAnsi="GHEA Grapalat"/>
                <w:sz w:val="18"/>
                <w:szCs w:val="18"/>
              </w:rPr>
            </w:pPr>
            <w:r w:rsidRPr="001F63BA">
              <w:rPr>
                <w:rFonts w:ascii="GHEA Grapalat" w:hAnsi="GHEA Grapalat"/>
                <w:sz w:val="18"/>
                <w:szCs w:val="18"/>
              </w:rPr>
              <w:t>96.0</w:t>
            </w:r>
          </w:p>
        </w:tc>
      </w:tr>
    </w:tbl>
    <w:p w:rsidR="001C411D" w:rsidRPr="001F63BA" w:rsidRDefault="001C411D" w:rsidP="00865E10">
      <w:pPr>
        <w:autoSpaceDE w:val="0"/>
        <w:autoSpaceDN w:val="0"/>
        <w:adjustRightInd w:val="0"/>
        <w:spacing w:line="360" w:lineRule="auto"/>
        <w:ind w:firstLine="567"/>
        <w:jc w:val="both"/>
        <w:rPr>
          <w:rFonts w:ascii="GHEA Grapalat" w:hAnsi="GHEA Grapalat" w:cs="Arial"/>
          <w:sz w:val="22"/>
          <w:szCs w:val="22"/>
          <w:lang w:val="fr-FR"/>
        </w:rPr>
      </w:pPr>
    </w:p>
    <w:p w:rsidR="001C411D" w:rsidRPr="001F63BA" w:rsidRDefault="001C411D" w:rsidP="00865E10">
      <w:pPr>
        <w:autoSpaceDE w:val="0"/>
        <w:autoSpaceDN w:val="0"/>
        <w:adjustRightInd w:val="0"/>
        <w:spacing w:line="360" w:lineRule="auto"/>
        <w:ind w:firstLine="567"/>
        <w:jc w:val="both"/>
        <w:rPr>
          <w:rFonts w:ascii="GHEA Grapalat" w:hAnsi="GHEA Grapalat" w:cs="Arial LatArm"/>
          <w:sz w:val="22"/>
          <w:szCs w:val="22"/>
          <w:lang w:val="pt-BR"/>
        </w:rPr>
      </w:pPr>
      <w:r w:rsidRPr="001F63BA">
        <w:rPr>
          <w:rFonts w:ascii="GHEA Grapalat" w:hAnsi="GHEA Grapalat" w:cs="Arial"/>
          <w:sz w:val="22"/>
          <w:szCs w:val="22"/>
          <w:lang w:val="fr-FR"/>
        </w:rPr>
        <w:t>Կրթական հաստատությունների աշակերտներին</w:t>
      </w:r>
      <w:r w:rsidRPr="001F63BA">
        <w:rPr>
          <w:rFonts w:ascii="GHEA Grapalat" w:hAnsi="GHEA Grapalat" w:cs="Sylfaen"/>
          <w:sz w:val="22"/>
          <w:szCs w:val="22"/>
          <w:lang w:val="fr-FR"/>
        </w:rPr>
        <w:t xml:space="preserve"> </w:t>
      </w:r>
      <w:r w:rsidRPr="001F63BA">
        <w:rPr>
          <w:rFonts w:ascii="GHEA Grapalat" w:hAnsi="GHEA Grapalat" w:cs="Arial"/>
          <w:sz w:val="22"/>
          <w:szCs w:val="22"/>
          <w:lang w:val="fr-FR"/>
        </w:rPr>
        <w:t>դասագրքերով</w:t>
      </w:r>
      <w:r w:rsidRPr="001F63BA">
        <w:rPr>
          <w:rFonts w:ascii="GHEA Grapalat" w:hAnsi="GHEA Grapalat" w:cs="Sylfaen"/>
          <w:sz w:val="22"/>
          <w:szCs w:val="22"/>
          <w:lang w:val="fr-FR"/>
        </w:rPr>
        <w:t xml:space="preserve"> </w:t>
      </w:r>
      <w:r w:rsidRPr="001F63BA">
        <w:rPr>
          <w:rFonts w:ascii="GHEA Grapalat" w:hAnsi="GHEA Grapalat" w:cs="Arial"/>
          <w:sz w:val="22"/>
          <w:szCs w:val="22"/>
          <w:lang w:val="fr-FR"/>
        </w:rPr>
        <w:t>և</w:t>
      </w:r>
      <w:r w:rsidRPr="001F63BA">
        <w:rPr>
          <w:rFonts w:ascii="GHEA Grapalat" w:hAnsi="GHEA Grapalat" w:cs="Sylfaen"/>
          <w:sz w:val="22"/>
          <w:szCs w:val="22"/>
          <w:lang w:val="fr-FR"/>
        </w:rPr>
        <w:t xml:space="preserve"> </w:t>
      </w:r>
      <w:r w:rsidRPr="001F63BA">
        <w:rPr>
          <w:rFonts w:ascii="GHEA Grapalat" w:hAnsi="GHEA Grapalat" w:cs="Arial"/>
          <w:sz w:val="22"/>
          <w:szCs w:val="22"/>
          <w:lang w:val="fr-FR"/>
        </w:rPr>
        <w:t>ուսումնական</w:t>
      </w:r>
      <w:r w:rsidRPr="001F63BA">
        <w:rPr>
          <w:rFonts w:ascii="GHEA Grapalat" w:hAnsi="GHEA Grapalat" w:cs="Sylfaen"/>
          <w:sz w:val="22"/>
          <w:szCs w:val="22"/>
          <w:lang w:val="fr-FR"/>
        </w:rPr>
        <w:t xml:space="preserve"> </w:t>
      </w:r>
      <w:r w:rsidRPr="001F63BA">
        <w:rPr>
          <w:rFonts w:ascii="GHEA Grapalat" w:hAnsi="GHEA Grapalat" w:cs="Arial"/>
          <w:sz w:val="22"/>
          <w:szCs w:val="22"/>
          <w:lang w:val="fr-FR"/>
        </w:rPr>
        <w:t>գրականությամբ</w:t>
      </w:r>
      <w:r w:rsidRPr="001F63BA">
        <w:rPr>
          <w:rFonts w:ascii="GHEA Grapalat" w:hAnsi="GHEA Grapalat" w:cs="Sylfaen"/>
          <w:sz w:val="22"/>
          <w:szCs w:val="22"/>
          <w:lang w:val="fr-FR"/>
        </w:rPr>
        <w:t xml:space="preserve"> </w:t>
      </w:r>
      <w:r w:rsidRPr="001F63BA">
        <w:rPr>
          <w:rFonts w:ascii="GHEA Grapalat" w:hAnsi="GHEA Grapalat" w:cs="Arial"/>
          <w:sz w:val="22"/>
          <w:szCs w:val="22"/>
          <w:lang w:val="fr-FR"/>
        </w:rPr>
        <w:t>ապահովման</w:t>
      </w:r>
      <w:r w:rsidRPr="001F63BA">
        <w:rPr>
          <w:rFonts w:ascii="GHEA Grapalat" w:hAnsi="GHEA Grapalat" w:cs="Sylfaen"/>
          <w:sz w:val="22"/>
          <w:szCs w:val="22"/>
          <w:lang w:val="fr-FR"/>
        </w:rPr>
        <w:t xml:space="preserve"> </w:t>
      </w:r>
      <w:r w:rsidRPr="001F63BA">
        <w:rPr>
          <w:rFonts w:ascii="GHEA Grapalat" w:hAnsi="GHEA Grapalat" w:cs="Arial"/>
          <w:sz w:val="22"/>
          <w:szCs w:val="22"/>
          <w:lang w:val="fr-FR"/>
        </w:rPr>
        <w:t xml:space="preserve">միջոցառման </w:t>
      </w:r>
      <w:r w:rsidRPr="001F63BA">
        <w:rPr>
          <w:rFonts w:ascii="GHEA Grapalat" w:hAnsi="GHEA Grapalat" w:cs="Sylfaen"/>
          <w:sz w:val="22"/>
          <w:szCs w:val="22"/>
        </w:rPr>
        <w:t>շրջանակներում</w:t>
      </w:r>
      <w:r w:rsidRPr="001F63BA">
        <w:rPr>
          <w:rFonts w:ascii="GHEA Grapalat" w:hAnsi="GHEA Grapalat" w:cs="Arial LatArm"/>
          <w:sz w:val="22"/>
          <w:szCs w:val="22"/>
          <w:lang w:val="pt-BR"/>
        </w:rPr>
        <w:t xml:space="preserve"> նախատեսվել և ձեռք </w:t>
      </w:r>
      <w:r w:rsidRPr="001F63BA">
        <w:rPr>
          <w:rFonts w:ascii="GHEA Grapalat" w:hAnsi="GHEA Grapalat" w:cs="Arial LatArm"/>
          <w:sz w:val="22"/>
          <w:szCs w:val="22"/>
        </w:rPr>
        <w:t>են</w:t>
      </w:r>
      <w:r w:rsidRPr="001F63BA">
        <w:rPr>
          <w:rFonts w:ascii="GHEA Grapalat" w:hAnsi="GHEA Grapalat" w:cs="Arial LatArm"/>
          <w:sz w:val="22"/>
          <w:szCs w:val="22"/>
          <w:lang w:val="pt-BR"/>
        </w:rPr>
        <w:t xml:space="preserve"> բերվել </w:t>
      </w:r>
      <w:r w:rsidRPr="001F63BA">
        <w:rPr>
          <w:rFonts w:ascii="GHEA Grapalat" w:hAnsi="GHEA Grapalat" w:cs="Arial"/>
          <w:sz w:val="22"/>
          <w:szCs w:val="22"/>
          <w:lang w:val="fr-FR"/>
        </w:rPr>
        <w:t>939806 հատ դասագրքեր</w:t>
      </w:r>
      <w:r w:rsidRPr="001F63BA">
        <w:rPr>
          <w:rFonts w:ascii="GHEA Grapalat" w:hAnsi="GHEA Grapalat" w:cs="Arial LatArm"/>
          <w:sz w:val="22"/>
          <w:szCs w:val="22"/>
          <w:lang w:val="pt-BR"/>
        </w:rPr>
        <w:t xml:space="preserve"> և վարժությունների տետրեր</w:t>
      </w:r>
      <w:r w:rsidRPr="001F63BA">
        <w:rPr>
          <w:rFonts w:ascii="GHEA Grapalat" w:hAnsi="GHEA Grapalat" w:cs="Arial LatArm"/>
          <w:sz w:val="22"/>
          <w:szCs w:val="22"/>
        </w:rPr>
        <w:t>՝</w:t>
      </w:r>
      <w:r w:rsidRPr="001F63BA">
        <w:rPr>
          <w:rFonts w:ascii="GHEA Grapalat" w:hAnsi="GHEA Grapalat" w:cs="Arial LatArm"/>
          <w:sz w:val="22"/>
          <w:szCs w:val="22"/>
          <w:lang w:val="pt-BR"/>
        </w:rPr>
        <w:t xml:space="preserve"> 2021 թվականի 901950-ի դիմաց: Կ</w:t>
      </w:r>
      <w:r w:rsidRPr="001F63BA">
        <w:rPr>
          <w:rFonts w:ascii="GHEA Grapalat" w:hAnsi="GHEA Grapalat" w:cs="Arial"/>
          <w:sz w:val="22"/>
          <w:szCs w:val="22"/>
          <w:lang w:val="fr-FR"/>
        </w:rPr>
        <w:t xml:space="preserve">րթական </w:t>
      </w:r>
      <w:r w:rsidRPr="001F63BA">
        <w:rPr>
          <w:rFonts w:ascii="GHEA Grapalat" w:hAnsi="GHEA Grapalat" w:cs="Arial LatArm"/>
          <w:sz w:val="22"/>
          <w:szCs w:val="22"/>
          <w:lang w:val="pt-BR"/>
        </w:rPr>
        <w:t xml:space="preserve">հաստատությունների աշակերտներին դասագրքերով և ուսումնական գրականությամբ ապահովմանը հատկացված </w:t>
      </w:r>
      <w:r w:rsidRPr="001F63BA">
        <w:rPr>
          <w:rFonts w:ascii="GHEA Grapalat" w:hAnsi="GHEA Grapalat" w:cs="Sylfaen"/>
          <w:sz w:val="22"/>
          <w:szCs w:val="22"/>
          <w:lang w:val="fr-FR"/>
        </w:rPr>
        <w:t xml:space="preserve">892 </w:t>
      </w:r>
      <w:r w:rsidRPr="001F63BA">
        <w:rPr>
          <w:rFonts w:ascii="GHEA Grapalat" w:hAnsi="GHEA Grapalat" w:cs="Arial"/>
          <w:sz w:val="22"/>
          <w:szCs w:val="22"/>
          <w:lang w:val="fr-FR"/>
        </w:rPr>
        <w:t>մլն</w:t>
      </w:r>
      <w:r w:rsidRPr="001F63BA">
        <w:rPr>
          <w:rFonts w:ascii="GHEA Grapalat" w:hAnsi="GHEA Grapalat" w:cs="Sylfaen"/>
          <w:sz w:val="22"/>
          <w:szCs w:val="22"/>
          <w:lang w:val="fr-FR"/>
        </w:rPr>
        <w:t xml:space="preserve"> </w:t>
      </w:r>
      <w:r w:rsidRPr="001F63BA">
        <w:rPr>
          <w:rFonts w:ascii="GHEA Grapalat" w:hAnsi="GHEA Grapalat" w:cs="Arial"/>
          <w:sz w:val="22"/>
          <w:szCs w:val="22"/>
          <w:lang w:val="fr-FR"/>
        </w:rPr>
        <w:t>դրամն ամբողջությամբ օգտագործվել է</w:t>
      </w:r>
      <w:r w:rsidRPr="001F63BA">
        <w:rPr>
          <w:rFonts w:ascii="GHEA Grapalat" w:hAnsi="GHEA Grapalat" w:cs="Arial LatArm"/>
          <w:sz w:val="22"/>
          <w:szCs w:val="22"/>
          <w:lang w:val="pt-BR"/>
        </w:rPr>
        <w:t>: Նախորդ տարվա համեմատ նշված ծախսերը նվազել են 2.3%-ով կամ 20.7 մլն դրամով, որը հիմնականում պայմանավորված է ձեռքբերված դասագրքերի և վարժությունների տետրերի արժեքի տարբերությամբ:</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STEM կրթության և ռոբոտատեխնիկայի զարգացման միջոցառման շրջանակներում Հայաստանում և Արցախում ինժեներական լաբորատորիաներում գործել </w:t>
      </w:r>
      <w:r w:rsidRPr="001F63BA">
        <w:rPr>
          <w:rFonts w:ascii="GHEA Grapalat" w:hAnsi="GHEA Grapalat" w:cs="Sylfaen"/>
          <w:sz w:val="22"/>
          <w:szCs w:val="22"/>
          <w:lang w:val="en-US"/>
        </w:rPr>
        <w:t>է</w:t>
      </w:r>
      <w:r w:rsidRPr="001F63BA">
        <w:rPr>
          <w:rFonts w:ascii="GHEA Grapalat" w:hAnsi="GHEA Grapalat" w:cs="Sylfaen"/>
          <w:sz w:val="22"/>
          <w:szCs w:val="22"/>
        </w:rPr>
        <w:t xml:space="preserve"> 1038 խումբ՝ կանխատեսված 921-ի և 2021 թվականի 942-ի դիմաց, ինժեներական լաբորատորիաներին կից</w:t>
      </w:r>
      <w:r w:rsidRPr="001F63BA">
        <w:rPr>
          <w:rFonts w:ascii="GHEA Grapalat" w:hAnsi="GHEA Grapalat" w:cs="Sylfaen"/>
          <w:sz w:val="22"/>
          <w:szCs w:val="22"/>
          <w:lang w:val="en-US"/>
        </w:rPr>
        <w:t>՝</w:t>
      </w:r>
      <w:r w:rsidRPr="001F63BA">
        <w:rPr>
          <w:rFonts w:ascii="GHEA Grapalat" w:hAnsi="GHEA Grapalat" w:cs="Sylfaen"/>
          <w:sz w:val="22"/>
          <w:szCs w:val="22"/>
        </w:rPr>
        <w:t xml:space="preserve"> 32 ԱԹՍ խումբ՝ կանխատեսված 50-ի և 2021 թվականի 1-ի դիմաց, ինչպես նաև 16 ռոբոտաշինության խմբեր՝ կանխատեսված և 2021 թվականի 22-ի դիմաց</w:t>
      </w:r>
      <w:r w:rsidRPr="001F63BA">
        <w:rPr>
          <w:rFonts w:ascii="GHEA Grapalat" w:hAnsi="GHEA Grapalat" w:cs="Sylfaen"/>
          <w:sz w:val="22"/>
          <w:szCs w:val="22"/>
          <w:lang w:val="en-US"/>
        </w:rPr>
        <w:t>, որը պայմանավորված է նրանով, որ թվով 6 խմբակ վերազինվել են և վերափոխվել ինժեներական լաբորատորիաներում գործող խմբերի</w:t>
      </w:r>
      <w:r w:rsidRPr="001F63BA">
        <w:rPr>
          <w:rFonts w:ascii="GHEA Grapalat" w:hAnsi="GHEA Grapalat" w:cs="Sylfaen"/>
          <w:sz w:val="22"/>
          <w:szCs w:val="22"/>
        </w:rPr>
        <w:t>:</w:t>
      </w:r>
      <w:r w:rsidRPr="001F63BA">
        <w:rPr>
          <w:rFonts w:ascii="GHEA Grapalat" w:hAnsi="GHEA Grapalat" w:cs="Sylfaen"/>
          <w:sz w:val="22"/>
          <w:szCs w:val="22"/>
          <w:lang w:val="en-US"/>
        </w:rPr>
        <w:t xml:space="preserve"> Դպրոցներում</w:t>
      </w:r>
      <w:r w:rsidRPr="001F63BA">
        <w:rPr>
          <w:rFonts w:ascii="GHEA Grapalat" w:hAnsi="GHEA Grapalat" w:cs="Sylfaen"/>
          <w:sz w:val="22"/>
          <w:szCs w:val="22"/>
        </w:rPr>
        <w:t xml:space="preserve"> STEM կրթության և ռոբոտատեխնիկայի զարգացման </w:t>
      </w:r>
      <w:r w:rsidRPr="001F63BA">
        <w:rPr>
          <w:rFonts w:ascii="GHEA Grapalat" w:hAnsi="GHEA Grapalat" w:cs="Sylfaen"/>
          <w:sz w:val="22"/>
          <w:szCs w:val="22"/>
          <w:lang w:val="en-US"/>
        </w:rPr>
        <w:t>ծախսերը կազմել</w:t>
      </w:r>
      <w:r w:rsidRPr="001F63BA">
        <w:rPr>
          <w:rFonts w:ascii="GHEA Grapalat" w:hAnsi="GHEA Grapalat" w:cs="Sylfaen"/>
          <w:sz w:val="22"/>
          <w:szCs w:val="22"/>
        </w:rPr>
        <w:t xml:space="preserve"> են 848 մլն դրամ ծախսեր` ապահովելով 98.8% կատարողական: Նախորդ տարվա համեմատ նշված ծախսերն </w:t>
      </w:r>
      <w:r w:rsidRPr="001F63BA">
        <w:rPr>
          <w:rFonts w:ascii="GHEA Grapalat" w:hAnsi="GHEA Grapalat" w:cs="Sylfaen"/>
          <w:sz w:val="22"/>
          <w:szCs w:val="22"/>
        </w:rPr>
        <w:lastRenderedPageBreak/>
        <w:t>աճել են 16%-ով կամ 116.8 մլն դրամով` հիմնականում պայմանավորված ինժեներական լաբորատորիաներում գործող խմբերի և ինժեներական լաբորատորիաներին կից գործող ԱԹՍ խմբերի թվի ա</w:t>
      </w:r>
      <w:r w:rsidRPr="001F63BA">
        <w:rPr>
          <w:rFonts w:ascii="GHEA Grapalat" w:hAnsi="GHEA Grapalat" w:cs="Sylfaen"/>
          <w:sz w:val="22"/>
          <w:szCs w:val="22"/>
          <w:lang w:val="en-US"/>
        </w:rPr>
        <w:t>ճով</w:t>
      </w:r>
      <w:r w:rsidRPr="001F63BA">
        <w:rPr>
          <w:rFonts w:ascii="GHEA Grapalat" w:hAnsi="GHEA Grapalat" w:cs="Sylfaen"/>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«Մոդուլային» տիպի մանկապարտեզների շենքային ապահովման շրջանակ</w:t>
      </w:r>
      <w:r w:rsidRPr="001F63BA">
        <w:rPr>
          <w:rFonts w:ascii="GHEA Grapalat" w:hAnsi="GHEA Grapalat" w:cs="Sylfaen"/>
          <w:sz w:val="22"/>
          <w:szCs w:val="22"/>
          <w:lang w:val="en-US"/>
        </w:rPr>
        <w:t>ներ</w:t>
      </w:r>
      <w:r w:rsidRPr="001F63BA">
        <w:rPr>
          <w:rFonts w:ascii="GHEA Grapalat" w:hAnsi="GHEA Grapalat" w:cs="Sylfaen"/>
          <w:sz w:val="22"/>
          <w:szCs w:val="22"/>
        </w:rPr>
        <w:t>ում 4 համայնքում՝ ՀՀ Արագածոտնի մարզի Ալագյազ, ՀՀ Արմավիրի մարզի Այգեվան, ՀՀ Գեղարքունիքի մարզի Աստղաձոր և ՀՀ Լոռու մարզի Սպիտակ</w:t>
      </w:r>
      <w:r w:rsidRPr="001F63BA">
        <w:rPr>
          <w:rFonts w:ascii="GHEA Grapalat" w:hAnsi="GHEA Grapalat" w:cs="Sylfaen"/>
          <w:sz w:val="22"/>
          <w:szCs w:val="22"/>
          <w:lang w:val="en-US"/>
        </w:rPr>
        <w:t xml:space="preserve"> համայնքներում</w:t>
      </w:r>
      <w:r w:rsidRPr="001F63BA">
        <w:rPr>
          <w:rFonts w:ascii="GHEA Grapalat" w:hAnsi="GHEA Grapalat" w:cs="Sylfaen"/>
          <w:sz w:val="22"/>
          <w:szCs w:val="22"/>
        </w:rPr>
        <w:t xml:space="preserve"> մեկնարկել են «Մոդուլային» տիպի 144 տեղ հզորությամբ մսուր-մանկապարտեզ</w:t>
      </w:r>
      <w:r w:rsidRPr="001F63BA">
        <w:rPr>
          <w:rFonts w:ascii="GHEA Grapalat" w:hAnsi="GHEA Grapalat" w:cs="Sylfaen"/>
          <w:sz w:val="22"/>
          <w:szCs w:val="22"/>
          <w:lang w:val="en-US"/>
        </w:rPr>
        <w:t>ների</w:t>
      </w:r>
      <w:r w:rsidRPr="001F63BA">
        <w:rPr>
          <w:rFonts w:ascii="GHEA Grapalat" w:hAnsi="GHEA Grapalat" w:cs="Sylfaen"/>
          <w:sz w:val="22"/>
          <w:szCs w:val="22"/>
        </w:rPr>
        <w:t xml:space="preserve"> կառուցման աշխատանքները, 8 համայնքներում իրականացվել են «Մոդուլային» տիպի 144 տեղ հզորությամբ մսուր-մանկապարտեզ կառուցելու նախագծման աշխատանքները, ինչպես նաև շարունակվել են </w:t>
      </w:r>
      <w:r w:rsidRPr="001F63BA">
        <w:rPr>
          <w:rFonts w:ascii="GHEA Grapalat" w:hAnsi="GHEA Grapalat" w:cs="Sylfaen"/>
          <w:sz w:val="22"/>
          <w:szCs w:val="22"/>
          <w:lang w:val="en-US"/>
        </w:rPr>
        <w:t xml:space="preserve">2021 թվականին սկսված՝ </w:t>
      </w:r>
      <w:r w:rsidRPr="001F63BA">
        <w:rPr>
          <w:rFonts w:ascii="GHEA Grapalat" w:hAnsi="GHEA Grapalat" w:cs="Sylfaen"/>
          <w:sz w:val="22"/>
          <w:szCs w:val="22"/>
        </w:rPr>
        <w:t>ՀՀ Արմավիրի մարզի Արևիկ համայնքի «Մոդուլային» տիպի մսուր-մանկապարտեզի կառուցման աշխատանքները: «Մոդուլային» տիպի մանկապարտեզների շենքային ապահովման ծախսերը 2022 թվականին կազմել են շուրջ 538.2 մլն դրամ կամ ծրագրի 97.1%-ը, որը հիմնականում պայմանավորված է</w:t>
      </w:r>
      <w:r w:rsidRPr="001F63BA">
        <w:rPr>
          <w:rFonts w:ascii="GHEA Grapalat" w:hAnsi="GHEA Grapalat" w:cs="Sylfaen"/>
          <w:sz w:val="22"/>
          <w:szCs w:val="22"/>
          <w:lang w:val="en-US"/>
        </w:rPr>
        <w:t xml:space="preserve"> այն հանգամանքով, որ</w:t>
      </w:r>
      <w:r w:rsidRPr="001F63BA">
        <w:rPr>
          <w:rFonts w:ascii="GHEA Grapalat" w:hAnsi="GHEA Grapalat" w:cs="Sylfaen"/>
          <w:sz w:val="22"/>
          <w:szCs w:val="22"/>
        </w:rPr>
        <w:t xml:space="preserve"> շինարարական աշխատանքների տեխնիկական և հեղինակային հսկողության ծառայությունների համար նախատեսված գումարի մնացորդի մասով կատարողական ակտեր չ</w:t>
      </w:r>
      <w:r w:rsidRPr="001F63BA">
        <w:rPr>
          <w:rFonts w:ascii="GHEA Grapalat" w:hAnsi="GHEA Grapalat" w:cs="Sylfaen"/>
          <w:sz w:val="22"/>
          <w:szCs w:val="22"/>
          <w:lang w:val="en-US"/>
        </w:rPr>
        <w:t>են ներկայացվել</w:t>
      </w:r>
      <w:r w:rsidRPr="001F63BA">
        <w:rPr>
          <w:rFonts w:ascii="GHEA Grapalat" w:hAnsi="GHEA Grapalat" w:cs="Sylfaen"/>
          <w:sz w:val="22"/>
          <w:szCs w:val="22"/>
        </w:rPr>
        <w:t xml:space="preserve">, </w:t>
      </w:r>
      <w:r w:rsidRPr="001F63BA">
        <w:rPr>
          <w:rFonts w:ascii="GHEA Grapalat" w:hAnsi="GHEA Grapalat" w:cs="Sylfaen"/>
          <w:sz w:val="22"/>
          <w:szCs w:val="22"/>
          <w:lang w:val="en-US"/>
        </w:rPr>
        <w:t>իսկ</w:t>
      </w:r>
      <w:r w:rsidRPr="001F63BA">
        <w:rPr>
          <w:rFonts w:ascii="GHEA Grapalat" w:hAnsi="GHEA Grapalat" w:cs="Sylfaen"/>
          <w:sz w:val="22"/>
          <w:szCs w:val="22"/>
        </w:rPr>
        <w:t xml:space="preserve"> 2 օ</w:t>
      </w:r>
      <w:r w:rsidRPr="001F63BA">
        <w:rPr>
          <w:rFonts w:ascii="GHEA Grapalat" w:hAnsi="GHEA Grapalat" w:cs="Sylfaen"/>
          <w:sz w:val="22"/>
          <w:szCs w:val="22"/>
          <w:lang w:val="en-US"/>
        </w:rPr>
        <w:t>բ</w:t>
      </w:r>
      <w:r w:rsidRPr="001F63BA">
        <w:rPr>
          <w:rFonts w:ascii="GHEA Grapalat" w:hAnsi="GHEA Grapalat" w:cs="Sylfaen"/>
          <w:sz w:val="22"/>
          <w:szCs w:val="22"/>
        </w:rPr>
        <w:t>յեկտի մասով նախագծեր</w:t>
      </w:r>
      <w:r w:rsidRPr="001F63BA">
        <w:rPr>
          <w:rFonts w:ascii="GHEA Grapalat" w:hAnsi="GHEA Grapalat" w:cs="Sylfaen"/>
          <w:sz w:val="22"/>
          <w:szCs w:val="22"/>
          <w:lang w:val="en-US"/>
        </w:rPr>
        <w:t>ը չեն ներկայացվել</w:t>
      </w:r>
      <w:r w:rsidRPr="001F63BA">
        <w:rPr>
          <w:rFonts w:ascii="GHEA Grapalat" w:hAnsi="GHEA Grapalat" w:cs="Sylfaen"/>
          <w:sz w:val="22"/>
          <w:szCs w:val="22"/>
        </w:rPr>
        <w:t>: Նախորդ տարվա համեմատ «Մոդուլային» տիպի մանկապարտեզների շենքային ապահովման միջոցառման գծով ծախսերն աճել են 2.9 անգամ կամ 353</w:t>
      </w:r>
      <w:r w:rsidRPr="001F63BA">
        <w:rPr>
          <w:rFonts w:ascii="GHEA Grapalat" w:hAnsi="GHEA Grapalat" w:cs="Sylfaen"/>
          <w:sz w:val="22"/>
          <w:szCs w:val="22"/>
          <w:lang w:val="en-US"/>
        </w:rPr>
        <w:t xml:space="preserve"> </w:t>
      </w:r>
      <w:r w:rsidRPr="001F63BA">
        <w:rPr>
          <w:rFonts w:ascii="GHEA Grapalat" w:hAnsi="GHEA Grapalat" w:cs="Sylfaen"/>
          <w:sz w:val="22"/>
          <w:szCs w:val="22"/>
        </w:rPr>
        <w:t>մլն դրամով՝ պայմանավորված օբյեկտների քանակով և կատարված աշխատանքների ծավալներով: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2022 թվականի ընթացքում շուրջ </w:t>
      </w:r>
      <w:r w:rsidRPr="001F63BA">
        <w:rPr>
          <w:rFonts w:ascii="GHEA Grapalat" w:hAnsi="GHEA Grapalat" w:cs="Sylfaen"/>
          <w:sz w:val="22"/>
          <w:szCs w:val="22"/>
          <w:lang w:val="pt-BR"/>
        </w:rPr>
        <w:t>22.2</w:t>
      </w:r>
      <w:r w:rsidRPr="001F63BA">
        <w:rPr>
          <w:rFonts w:ascii="GHEA Grapalat" w:hAnsi="GHEA Grapalat" w:cs="Sylfaen"/>
          <w:sz w:val="22"/>
          <w:szCs w:val="22"/>
        </w:rPr>
        <w:t xml:space="preserve"> մլրդ դրամ է տրամադրվել </w:t>
      </w:r>
      <w:r w:rsidRPr="001F63BA">
        <w:rPr>
          <w:rFonts w:ascii="GHEA Grapalat" w:hAnsi="GHEA Grapalat" w:cs="Sylfaen"/>
          <w:i/>
          <w:sz w:val="22"/>
          <w:szCs w:val="22"/>
        </w:rPr>
        <w:t>Գիտական և գիտատեխնիկական հետազոտությունների ծրագրին</w:t>
      </w:r>
      <w:r w:rsidRPr="001F63BA">
        <w:rPr>
          <w:rFonts w:ascii="GHEA Grapalat" w:hAnsi="GHEA Grapalat" w:cs="Sylfaen"/>
          <w:sz w:val="22"/>
          <w:szCs w:val="22"/>
        </w:rPr>
        <w:t>՝ ապահովելով 99.</w:t>
      </w:r>
      <w:r w:rsidRPr="001F63BA">
        <w:rPr>
          <w:rFonts w:ascii="GHEA Grapalat" w:hAnsi="GHEA Grapalat" w:cs="Sylfaen"/>
          <w:sz w:val="22"/>
          <w:szCs w:val="22"/>
          <w:lang w:val="pt-BR"/>
        </w:rPr>
        <w:t>5</w:t>
      </w:r>
      <w:r w:rsidRPr="001F63BA">
        <w:rPr>
          <w:rFonts w:ascii="GHEA Grapalat" w:hAnsi="GHEA Grapalat" w:cs="Sylfaen"/>
          <w:sz w:val="22"/>
          <w:szCs w:val="22"/>
        </w:rPr>
        <w:t xml:space="preserve">% կատարողական և </w:t>
      </w:r>
      <w:r w:rsidRPr="001F63BA">
        <w:rPr>
          <w:rFonts w:ascii="GHEA Grapalat" w:hAnsi="GHEA Grapalat" w:cs="Sylfaen"/>
          <w:sz w:val="22"/>
          <w:szCs w:val="22"/>
          <w:lang w:val="pt-BR"/>
        </w:rPr>
        <w:t>46.3</w:t>
      </w:r>
      <w:r w:rsidRPr="001F63BA">
        <w:rPr>
          <w:rFonts w:ascii="GHEA Grapalat" w:hAnsi="GHEA Grapalat" w:cs="Sylfaen"/>
          <w:sz w:val="22"/>
          <w:szCs w:val="22"/>
        </w:rPr>
        <w:t>%</w:t>
      </w:r>
      <w:r w:rsidRPr="001F63BA">
        <w:rPr>
          <w:rFonts w:ascii="GHEA Grapalat" w:hAnsi="GHEA Grapalat" w:cs="Sylfaen"/>
          <w:sz w:val="22"/>
          <w:szCs w:val="22"/>
        </w:rPr>
        <w:noBreakHyphen/>
        <w:t xml:space="preserve">ով կամ </w:t>
      </w:r>
      <w:r w:rsidRPr="001F63BA">
        <w:rPr>
          <w:rFonts w:ascii="GHEA Grapalat" w:hAnsi="GHEA Grapalat" w:cs="Sylfaen"/>
          <w:sz w:val="22"/>
          <w:szCs w:val="22"/>
          <w:lang w:val="pt-BR"/>
        </w:rPr>
        <w:t>7</w:t>
      </w:r>
      <w:r w:rsidRPr="001F63BA">
        <w:rPr>
          <w:rFonts w:ascii="GHEA Grapalat" w:hAnsi="GHEA Grapalat" w:cs="Sylfaen"/>
          <w:sz w:val="22"/>
          <w:szCs w:val="22"/>
        </w:rPr>
        <w:t xml:space="preserve"> մլրդ դրամով գերազանցել</w:t>
      </w:r>
      <w:r w:rsidRPr="001F63BA">
        <w:rPr>
          <w:rFonts w:ascii="GHEA Grapalat" w:hAnsi="GHEA Grapalat" w:cs="Sylfaen"/>
          <w:sz w:val="22"/>
          <w:szCs w:val="22"/>
          <w:lang w:val="en-US"/>
        </w:rPr>
        <w:t>ով</w:t>
      </w:r>
      <w:r w:rsidRPr="001F63BA">
        <w:rPr>
          <w:rFonts w:ascii="GHEA Grapalat" w:hAnsi="GHEA Grapalat" w:cs="Sylfaen"/>
          <w:sz w:val="22"/>
          <w:szCs w:val="22"/>
        </w:rPr>
        <w:t xml:space="preserve"> նախորդ տարվա ցուցանիշը: Ծրագիրն ուղղված է գիտության և տեխնիկայի զարգացման գերակա ուղղությունների հետազոտությունների իրականացմանը, գիտական ներուժի զարգացմանը, ազգային արժեք ներկայացնող գիտական օբյեկտների պահպանմանը: Ծրագրի նկատմամբ շեղումը և նախորդ տարվա համեմատ աճը հիմնականում պայմանավորված է «Գիտական ենթակառուցվածքի արդիականացում» և «Գիտական և գիտատեխնիկական պայմանագրային (թեմատիկ) հետազոտություններ» միջոցառումների կատարողականներով: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Գիտական ենթակառուցվածքների արդիականացման միջոցառման նպատակն է գիտական կազմակերպությունների և բուհերի գիտական ստորաբաժանումների զարգացումը, ծրագրերի իրականացումը, գիտական սարքավորումների արդիականացումը, միջազգային համագործակցությանն աջակցությունը: 2022 թվականին «Գիտական ենթակառուցվածքի արդիականացում» միջոցառման շրջանակներում փաստացի ներգրավված է եղել թվով 67 </w:t>
      </w:r>
      <w:r w:rsidRPr="001F63BA">
        <w:rPr>
          <w:rFonts w:ascii="GHEA Grapalat" w:hAnsi="GHEA Grapalat" w:cs="Sylfaen"/>
          <w:sz w:val="22"/>
          <w:szCs w:val="22"/>
        </w:rPr>
        <w:lastRenderedPageBreak/>
        <w:t>կազմակերպություն, համագործակցել է 5 գիտական կառույց, Հայաստանն անդամակցել է թվով 5 միջազգային գիտական կառույցի, պետական բյուջեից ֆինանսավոր</w:t>
      </w:r>
      <w:r w:rsidRPr="001F63BA">
        <w:rPr>
          <w:rFonts w:ascii="GHEA Grapalat" w:hAnsi="GHEA Grapalat" w:cs="Sylfaen"/>
          <w:sz w:val="22"/>
          <w:szCs w:val="22"/>
          <w:lang w:val="en-US"/>
        </w:rPr>
        <w:t>վ</w:t>
      </w:r>
      <w:r w:rsidRPr="001F63BA">
        <w:rPr>
          <w:rFonts w:ascii="GHEA Grapalat" w:hAnsi="GHEA Grapalat" w:cs="Sylfaen"/>
          <w:sz w:val="22"/>
          <w:szCs w:val="22"/>
        </w:rPr>
        <w:t>ել է երիտասարդ գիտնականների թվով 3 դպրոց և 14 երաշխավորված գիտական միջոցառում: Կատարվել է նաև թվով 196 գիտական հայտի փորձաքննություն՝ կանխատեսված 700-ի և 2021 թվականի 340-ի դիմաց: 2022</w:t>
      </w:r>
      <w:r w:rsidRPr="001F63BA">
        <w:rPr>
          <w:rFonts w:ascii="GHEA Grapalat" w:hAnsi="GHEA Grapalat" w:cs="Sylfaen"/>
          <w:sz w:val="22"/>
          <w:szCs w:val="22"/>
          <w:lang w:val="en-US"/>
        </w:rPr>
        <w:t xml:space="preserve"> </w:t>
      </w:r>
      <w:r w:rsidRPr="001F63BA">
        <w:rPr>
          <w:rFonts w:ascii="GHEA Grapalat" w:hAnsi="GHEA Grapalat" w:cs="Sylfaen"/>
          <w:sz w:val="22"/>
          <w:szCs w:val="22"/>
        </w:rPr>
        <w:t>թ</w:t>
      </w:r>
      <w:r w:rsidRPr="001F63BA">
        <w:rPr>
          <w:rFonts w:ascii="GHEA Grapalat" w:hAnsi="GHEA Grapalat" w:cs="Sylfaen"/>
          <w:sz w:val="22"/>
          <w:szCs w:val="22"/>
          <w:lang w:val="en-US"/>
        </w:rPr>
        <w:t>վական</w:t>
      </w:r>
      <w:r w:rsidRPr="001F63BA">
        <w:rPr>
          <w:rFonts w:ascii="GHEA Grapalat" w:hAnsi="GHEA Grapalat" w:cs="Sylfaen"/>
          <w:sz w:val="22"/>
          <w:szCs w:val="22"/>
        </w:rPr>
        <w:t xml:space="preserve">ին </w:t>
      </w:r>
      <w:r w:rsidRPr="001F63BA">
        <w:rPr>
          <w:rFonts w:ascii="GHEA Grapalat" w:hAnsi="GHEA Grapalat" w:cs="Sylfaen"/>
          <w:sz w:val="22"/>
          <w:szCs w:val="22"/>
          <w:lang w:val="en-US"/>
        </w:rPr>
        <w:t>«Գ</w:t>
      </w:r>
      <w:r w:rsidRPr="001F63BA">
        <w:rPr>
          <w:rFonts w:ascii="GHEA Grapalat" w:hAnsi="GHEA Grapalat" w:cs="Sylfaen"/>
          <w:sz w:val="22"/>
          <w:szCs w:val="22"/>
        </w:rPr>
        <w:t>իտական կենտրոնների ստեղծում և տեխնոլոգիական հետազոտական համալսարանի պիլոտային</w:t>
      </w:r>
      <w:r w:rsidRPr="001F63BA">
        <w:rPr>
          <w:rFonts w:ascii="GHEA Grapalat" w:hAnsi="GHEA Grapalat" w:cs="Sylfaen"/>
          <w:sz w:val="22"/>
          <w:szCs w:val="22"/>
          <w:lang w:val="en-US"/>
        </w:rPr>
        <w:t xml:space="preserve"> ծրագրի իրականացում»</w:t>
      </w:r>
      <w:r w:rsidRPr="001F63BA">
        <w:rPr>
          <w:rFonts w:ascii="GHEA Grapalat" w:hAnsi="GHEA Grapalat" w:cs="Sylfaen"/>
          <w:sz w:val="22"/>
          <w:szCs w:val="22"/>
        </w:rPr>
        <w:t xml:space="preserve"> ծրագրով աջակցություն է ստացել </w:t>
      </w:r>
      <w:r w:rsidRPr="001F63BA">
        <w:rPr>
          <w:rFonts w:ascii="GHEA Grapalat" w:hAnsi="GHEA Grapalat" w:cs="Sylfaen"/>
          <w:sz w:val="22"/>
          <w:szCs w:val="22"/>
          <w:lang w:val="en-US"/>
        </w:rPr>
        <w:t>1</w:t>
      </w:r>
      <w:r w:rsidRPr="001F63BA">
        <w:rPr>
          <w:rFonts w:ascii="GHEA Grapalat" w:hAnsi="GHEA Grapalat" w:cs="Sylfaen"/>
          <w:sz w:val="22"/>
          <w:szCs w:val="22"/>
        </w:rPr>
        <w:t xml:space="preserve"> գիտական կենտրոն: Միջոցառման գծով ծախսերը կազմել են շուրջ 12.5 մլրդ դրամ կամ ծրագրված ցուցանիշի 99.8%-ը: Նախորդ տարվա համեմատ նշված ծախսերն աճել են 54.7%-ով կամ 4.4</w:t>
      </w:r>
      <w:r w:rsidRPr="001F63BA">
        <w:rPr>
          <w:rFonts w:ascii="Courier New" w:hAnsi="Courier New" w:cs="Courier New"/>
          <w:sz w:val="22"/>
          <w:szCs w:val="22"/>
        </w:rPr>
        <w:t> </w:t>
      </w:r>
      <w:r w:rsidRPr="001F63BA">
        <w:rPr>
          <w:rFonts w:ascii="GHEA Grapalat" w:hAnsi="GHEA Grapalat" w:cs="GHEA Grapalat"/>
          <w:sz w:val="22"/>
          <w:szCs w:val="22"/>
        </w:rPr>
        <w:t>մլ</w:t>
      </w:r>
      <w:r w:rsidRPr="001F63BA">
        <w:rPr>
          <w:rFonts w:ascii="GHEA Grapalat" w:hAnsi="GHEA Grapalat" w:cs="Sylfaen"/>
          <w:sz w:val="22"/>
          <w:szCs w:val="22"/>
        </w:rPr>
        <w:t>րդ դրամով, որը պայմանավորված է 2022 թվականին իրականացված գիտական և գիտատեխնիկական գործունեության բազային ֆինանսավորման ծրագրերում ընդգրկված գիտական կադրերի աշխատավարձերի նորմավորման գործընթացով, որի արդյունքում ավելացել է աշխատավարձի ֆոնդը:</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Գիտական և գիտատեխնիկական պայմանագրային (թեմատիկ) հետազոտությունների միջոցառման շրջանակներում 2022 թվականի ընթացքում պետական բյուջեից ֆինանսավորվել են թվով 564 գիտական թեմաներ՝ կանխատեսված 472-ի և 2021 թվականի 500-ի դիմաց: Միջոցառման շրջանակներում իրականացվել են երիտասարդ</w:t>
      </w:r>
      <w:r w:rsidRPr="001F63BA">
        <w:rPr>
          <w:rFonts w:ascii="GHEA Grapalat" w:hAnsi="GHEA Grapalat" w:cs="Sylfaen"/>
          <w:sz w:val="22"/>
          <w:szCs w:val="22"/>
          <w:lang w:val="en-US"/>
        </w:rPr>
        <w:t xml:space="preserve"> </w:t>
      </w:r>
      <w:r w:rsidRPr="001F63BA">
        <w:rPr>
          <w:rFonts w:ascii="GHEA Grapalat" w:hAnsi="GHEA Grapalat" w:cs="Sylfaen"/>
          <w:sz w:val="22"/>
          <w:szCs w:val="22"/>
        </w:rPr>
        <w:t>(մինչև 35 տարեկան) գիտաշխատողների աջակցության ծրագրերի և հետազոտությունների ֆինանսավորում, «Արհեստական բանականություն և տվյալագիտություն», «Քվանտային տեխնոլոգիաներ», «Ռոբոտատեխնիկա» մասնագիտություններով հետազոտություններ, «Հասարակական գիտություններ», «Հայագիտություն և հումանիտար գիտություններ» բնագավառների հետազոտություններ, Արցախի հետ համագործակցության ծրագիր, կիրառական արդյունքի ձեռքբերմանն ուղղված հետազոտություններ: Տրամադրվել են հավելավճարներ բարձր արդյունավետությամբ աշխատող գիտաշխատողներին, այդ թվում՝ երիտասարդ գիտաշխատողներին (մինչև 35 տարեկան), աջակցություն՝ ասպիրանտներին և երիտասարդ հայցորդներին հետազոտությունների իրականացման համար, գիտական խմբերի կամ լաբորատորիաների ամրապնդմանն ուղղված ծրագրերին, հեռավար լաբորատորիաների ստեղծմանը, կին ղեկավարների առաջխաղացմանն ուղղված ծրագրերին, միջազգային գիտական համագործակցության շրջանակներում իրականացվող գիտական ծրագրերին (հայ-բելառուսական, հայ-ռուսական, եվրասիական, հայ-գերմանական, հայ-իտալական և հայ-չինական):</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Գիտական և գիտատեխնիկական պայմանագրային (թեմատիկ) հետազոտությունների գծով ծախսերը 2022 թվականին կազմել են 5.8 մլրդ դրամ կամ ծրագրված ցուցանիշի 99.4%-ը: Նախորդ տարվա համեմատ նշված ծախսերն աճել են 68.9%-ով կամ 2.4 մլրդ դրամով` հիմնականում պայմանավորված </w:t>
      </w:r>
      <w:r w:rsidRPr="001F63BA">
        <w:rPr>
          <w:rFonts w:ascii="GHEA Grapalat" w:hAnsi="GHEA Grapalat" w:cs="Sylfaen"/>
          <w:sz w:val="22"/>
          <w:szCs w:val="22"/>
          <w:lang w:val="en-US"/>
        </w:rPr>
        <w:t>թեմա</w:t>
      </w:r>
      <w:r w:rsidRPr="001F63BA">
        <w:rPr>
          <w:rFonts w:ascii="GHEA Grapalat" w:hAnsi="GHEA Grapalat" w:cs="Sylfaen"/>
          <w:sz w:val="22"/>
          <w:szCs w:val="22"/>
        </w:rPr>
        <w:t>ների թվի ավելացմամբ:</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lastRenderedPageBreak/>
        <w:t xml:space="preserve">Հաշվետու տարում </w:t>
      </w:r>
      <w:r w:rsidRPr="001F63BA">
        <w:rPr>
          <w:rFonts w:ascii="GHEA Grapalat" w:hAnsi="GHEA Grapalat" w:cs="Sylfaen"/>
          <w:i/>
          <w:sz w:val="22"/>
          <w:szCs w:val="22"/>
        </w:rPr>
        <w:t>Արվեստների ծրագրի</w:t>
      </w:r>
      <w:r w:rsidRPr="001F63BA">
        <w:rPr>
          <w:rFonts w:ascii="GHEA Grapalat" w:hAnsi="GHEA Grapalat" w:cs="Sylfaen"/>
          <w:sz w:val="22"/>
          <w:szCs w:val="22"/>
        </w:rPr>
        <w:t xml:space="preserve"> շրջանակներում օգտագործվել է նախատեսված միջոցների 96.6%-ը՝ շուրջ 10.7 մլրդ դրամ: Շեղումը հիմնականում պայմանավորված է «Մշակութային միջոցառումների իրականացում», «Թատերական ներկայացումներ» և «Երաժշտարվեստի և պարարվեստի համերգներ» միջոցառումների կատարողականով՝ հիմնականում պայմանավորված ԱԱՀ-ի վճարման համար նախատեսված հատկացումներն ամբողջությամբ չօգտագործելու հանգամանքով, ինչպես նաև տնտես</w:t>
      </w:r>
      <w:r w:rsidRPr="001F63BA">
        <w:rPr>
          <w:rFonts w:ascii="GHEA Grapalat" w:hAnsi="GHEA Grapalat" w:cs="Sylfaen"/>
          <w:sz w:val="22"/>
          <w:szCs w:val="22"/>
          <w:lang w:val="en-US"/>
        </w:rPr>
        <w:t>ումներով</w:t>
      </w:r>
      <w:r w:rsidRPr="001F63BA">
        <w:rPr>
          <w:rFonts w:ascii="GHEA Grapalat" w:hAnsi="GHEA Grapalat" w:cs="Sylfaen"/>
          <w:sz w:val="22"/>
          <w:szCs w:val="22"/>
        </w:rPr>
        <w:t>: Ծրագիրն ուղղված է մրցունակ արվեստային արտադրանքի ստեղծմանը, ստեղծագործական գործընթացների խթան</w:t>
      </w:r>
      <w:r w:rsidRPr="001F63BA">
        <w:rPr>
          <w:rFonts w:ascii="GHEA Grapalat" w:hAnsi="GHEA Grapalat" w:cs="Sylfaen"/>
          <w:sz w:val="22"/>
          <w:szCs w:val="22"/>
          <w:lang w:val="en-US"/>
        </w:rPr>
        <w:t>մ</w:t>
      </w:r>
      <w:r w:rsidRPr="001F63BA">
        <w:rPr>
          <w:rFonts w:ascii="GHEA Grapalat" w:hAnsi="GHEA Grapalat" w:cs="Sylfaen"/>
          <w:sz w:val="22"/>
          <w:szCs w:val="22"/>
        </w:rPr>
        <w:t>անը, արվեստի նոր նախագծերի ներդրմանը և մշակութային կյանքում հասարակության ներգրավմանը, անհատի և հանրության հոգևոր-մշակութային առաջընթացի գործում մշակույթի ռազմավարական դերակատարման բարձրացմանը, մշակութային ենթակառուցվածքների արդիականացմանը, մշակութային ծառայությունների որակի բարելավմանն ու մատչելիության ապահովմանը, ստեղծագործական 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մարզային և միջազգային մշակութային գործընթացներին ինտեգրմանն աջակցմանը: Նախորդ տարվա համեմատ ծրագրի ծախսերն աճել են 20.7%-ով կամ 1.8 մլրդ դրամով` հիմնականում պայմանավորված մշակութային միջոցառումների իրականացման և թատերահամերգային կազմակերպությունների նյութատեխնիկական բազայի համալրման,</w:t>
      </w:r>
      <w:r w:rsidRPr="001F63BA">
        <w:rPr>
          <w:rFonts w:ascii="GHEA Grapalat" w:hAnsi="GHEA Grapalat" w:cs="Sylfaen"/>
          <w:sz w:val="22"/>
          <w:szCs w:val="22"/>
          <w:lang w:val="en-US"/>
        </w:rPr>
        <w:t xml:space="preserve"> Կարեն Դեմիրճյանի անվան մարզահամերգային համալիրի պահպանության ու կարողությունների զարգացման ծախսերի,</w:t>
      </w:r>
      <w:r w:rsidRPr="001F63BA">
        <w:rPr>
          <w:rFonts w:ascii="GHEA Grapalat" w:hAnsi="GHEA Grapalat" w:cs="Sylfaen"/>
          <w:sz w:val="22"/>
          <w:szCs w:val="22"/>
        </w:rPr>
        <w:t xml:space="preserve"> ինչպես նաև թատրոնների և համերգային կազմակերպությունների շենքերի կապիտալ վերանորոգման</w:t>
      </w:r>
      <w:r w:rsidRPr="001F63BA">
        <w:rPr>
          <w:rFonts w:ascii="GHEA Grapalat" w:hAnsi="GHEA Grapalat" w:cs="Sylfaen"/>
          <w:sz w:val="22"/>
          <w:szCs w:val="22"/>
          <w:lang w:val="en-US"/>
        </w:rPr>
        <w:t>ն ուղղված</w:t>
      </w:r>
      <w:r w:rsidRPr="001F63BA">
        <w:rPr>
          <w:rFonts w:ascii="GHEA Grapalat" w:hAnsi="GHEA Grapalat" w:cs="Sylfaen"/>
          <w:sz w:val="22"/>
          <w:szCs w:val="22"/>
        </w:rPr>
        <w:t xml:space="preserve"> ներդրումների աճով: </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2022 թվականին երաժշտարվեստի և պարարվեստի համերգների միջոցառման շրջանակներում հատկացումներն ուղղվել են 12 համերգային կազմակերպությունների գործունեության ապահովմանը, երաժշտարվեստի և պարարվեստի պահպանմանը, զարգացմանն ու տարածմանը, երաժշտադրամատիկական, երաժշտական կատարողական, երգի-պարի արվեստին հաղորդակցմանը, նոր գաղափարների ու արժեքների տարածմանը: Փաստացի համերգների քանակը 2022 թվականին կազմել է 612՝ կանխատեսված 513-ի և 2021 թվականի 445-ի դիմաց, հանդիսատեսի թիվը կազմել է 179268՝ կանխատեսված 175940-ի և 2021 թվականի 154229-ի դիմաց, իսկ նոր համերգային համարների քանակը կազմել է 85՝ նախատեսված 46-ի և 2021 թվականի 32-ի դիմաց:</w:t>
      </w:r>
      <w:r w:rsidRPr="001F63BA">
        <w:rPr>
          <w:rFonts w:ascii="GHEA Grapalat" w:hAnsi="GHEA Grapalat" w:cs="Arial"/>
        </w:rPr>
        <w:t xml:space="preserve"> </w:t>
      </w:r>
      <w:r w:rsidRPr="001F63BA">
        <w:rPr>
          <w:rFonts w:ascii="GHEA Grapalat" w:hAnsi="GHEA Grapalat" w:cs="Sylfaen"/>
          <w:sz w:val="22"/>
          <w:szCs w:val="22"/>
        </w:rPr>
        <w:t>2022 թվականին երաժշտարվեստի և պարարվեստի համերգների միջոցառման ծախսերը կազմել են ավելի քան 3.1 մլրդ դրամ կամ նախատեսվածի 97.8%-ը</w:t>
      </w:r>
      <w:r w:rsidRPr="001F63BA">
        <w:rPr>
          <w:rFonts w:ascii="GHEA Grapalat" w:hAnsi="GHEA Grapalat" w:cs="Sylfaen"/>
          <w:sz w:val="22"/>
          <w:szCs w:val="22"/>
          <w:lang w:val="en-US"/>
        </w:rPr>
        <w:t>, իսկ</w:t>
      </w:r>
      <w:r w:rsidRPr="001F63BA">
        <w:rPr>
          <w:rFonts w:ascii="GHEA Grapalat" w:hAnsi="GHEA Grapalat" w:cs="Sylfaen"/>
          <w:sz w:val="22"/>
          <w:szCs w:val="22"/>
        </w:rPr>
        <w:t xml:space="preserve"> </w:t>
      </w:r>
      <w:r w:rsidRPr="001F63BA">
        <w:rPr>
          <w:rFonts w:ascii="GHEA Grapalat" w:hAnsi="GHEA Grapalat" w:cs="Sylfaen"/>
          <w:sz w:val="22"/>
          <w:szCs w:val="22"/>
          <w:lang w:val="en-US"/>
        </w:rPr>
        <w:t>ն</w:t>
      </w:r>
      <w:r w:rsidRPr="001F63BA">
        <w:rPr>
          <w:rFonts w:ascii="GHEA Grapalat" w:hAnsi="GHEA Grapalat" w:cs="Sylfaen"/>
          <w:sz w:val="22"/>
          <w:szCs w:val="22"/>
        </w:rPr>
        <w:t xml:space="preserve">ախորդ տարվա համեմատ աճել են 5%-ով կամ 149.5 մլն դրամով, որը պայմանավորված է </w:t>
      </w:r>
      <w:r w:rsidRPr="001F63BA">
        <w:rPr>
          <w:rFonts w:ascii="GHEA Grapalat" w:hAnsi="GHEA Grapalat" w:cs="Sylfaen"/>
          <w:sz w:val="22"/>
          <w:szCs w:val="22"/>
          <w:lang w:val="en-US"/>
        </w:rPr>
        <w:t>կազմակերպ</w:t>
      </w:r>
      <w:r w:rsidRPr="001F63BA">
        <w:rPr>
          <w:rFonts w:ascii="GHEA Grapalat" w:hAnsi="GHEA Grapalat" w:cs="Sylfaen"/>
          <w:sz w:val="22"/>
          <w:szCs w:val="22"/>
        </w:rPr>
        <w:t>ված համերգների</w:t>
      </w:r>
      <w:r w:rsidRPr="001F63BA">
        <w:rPr>
          <w:rFonts w:ascii="GHEA Grapalat" w:hAnsi="GHEA Grapalat" w:cs="Sylfaen"/>
          <w:sz w:val="22"/>
          <w:szCs w:val="22"/>
          <w:lang w:val="en-US"/>
        </w:rPr>
        <w:t>, այդ թվում՝</w:t>
      </w:r>
      <w:r w:rsidRPr="001F63BA">
        <w:rPr>
          <w:rFonts w:ascii="GHEA Grapalat" w:hAnsi="GHEA Grapalat" w:cs="Sylfaen"/>
          <w:sz w:val="22"/>
          <w:szCs w:val="22"/>
        </w:rPr>
        <w:t xml:space="preserve"> նոր համերգային համարների քանակի ավելացմամբ:</w:t>
      </w:r>
    </w:p>
    <w:p w:rsidR="001C411D" w:rsidRPr="001F63BA" w:rsidRDefault="001C411D" w:rsidP="00CF6E0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lastRenderedPageBreak/>
        <w:t xml:space="preserve">Թատերական ներկայացումների միջոցառման շրջանակներում հատկացումներն ուղղվել են 18 թատրոնների գործունեության ապահովմանը: Փաստացի ներկայացումների քանակը 2022 թվականին կազմել է 2719՝ նախատեսված 2685-ի և 2021 թվականի 2774-ի դիմաց, հանդիսատեսի թիվը կազմել է 458888՝ կանխատեսված 459757-ի և 2021 թվականի 423113-ի դիմաց, իսկ նոր ներկայացումների քանակը կազմել է 73՝ նախատեսված 63-ի և 2021 թվականի 83-ի դիմաց: Թատերական ներկայացումների ծախսերը կազմել են ավելի քան 2.2 մլրդ դրամ, որոնք օգտագործվել են 96.4%-ով: Նախորդ տարվա համեմատ միջոցառման ծախսերը նվազել են 4.9%-ով կամ 114.3 մլն դրամով, </w:t>
      </w:r>
      <w:r w:rsidRPr="001F63BA">
        <w:rPr>
          <w:rFonts w:ascii="GHEA Grapalat" w:hAnsi="GHEA Grapalat" w:cs="Sylfaen"/>
          <w:sz w:val="22"/>
          <w:szCs w:val="22"/>
          <w:lang w:val="en-US"/>
        </w:rPr>
        <w:t>ո</w:t>
      </w:r>
      <w:r w:rsidRPr="001F63BA">
        <w:rPr>
          <w:rFonts w:ascii="GHEA Grapalat" w:hAnsi="GHEA Grapalat" w:cs="Sylfaen"/>
          <w:sz w:val="22"/>
          <w:szCs w:val="22"/>
        </w:rPr>
        <w:t xml:space="preserve">րը պայմանավորված է այն հանգամանքով, որ Հաշվեքննիչ պալատի ստուգումներով արձանագրված խախտումների արդյունքում նախորդ տարիներին ավել վճարված գումարների չափով 2022 թվականին դրամաշնորհային պայմանագրերը կնքվել են </w:t>
      </w:r>
      <w:r w:rsidRPr="001F63BA">
        <w:rPr>
          <w:rFonts w:ascii="GHEA Grapalat" w:hAnsi="GHEA Grapalat" w:cs="Sylfaen"/>
          <w:sz w:val="22"/>
          <w:szCs w:val="22"/>
          <w:lang w:val="en-US"/>
        </w:rPr>
        <w:t xml:space="preserve">ավելի պակաս </w:t>
      </w:r>
      <w:r w:rsidRPr="001F63BA">
        <w:rPr>
          <w:rFonts w:ascii="GHEA Grapalat" w:hAnsi="GHEA Grapalat" w:cs="Sylfaen"/>
          <w:sz w:val="22"/>
          <w:szCs w:val="22"/>
        </w:rPr>
        <w:t>գումարներով: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Մշակութային միջոցառումների նպատակն է հայ ժամանակակից արվեստի զարգացումն ու հանրահռչակումը, երիտասարդ ստեղծագործական ներուժի բացահայտումը, դրա զարգացման համար պայմանների ստեղծումը և ժամանակակից ստեղծագործական գործընթացներում ներգրավումը, նոր գաղափարների և մտահղացումների խթանումը, խաղացանկերի և երկացանկերի ժանրային ու ոճական բազմազանության և որակի ապահովումը: Միջոցառման շրջանակում իրականացվել են 152 միջոցառումներ, որոնցից հատկանշական են` «Թատերական պաստառների միջազգային փառատոնը»,</w:t>
      </w:r>
      <w:r w:rsidRPr="001F63BA">
        <w:rPr>
          <w:rFonts w:ascii="GHEA Grapalat" w:hAnsi="GHEA Grapalat" w:cs="Arial"/>
        </w:rPr>
        <w:t xml:space="preserve"> </w:t>
      </w:r>
      <w:r w:rsidRPr="001F63BA">
        <w:rPr>
          <w:rFonts w:ascii="GHEA Grapalat" w:hAnsi="GHEA Grapalat" w:cs="Sylfaen"/>
          <w:sz w:val="22"/>
          <w:szCs w:val="22"/>
        </w:rPr>
        <w:t>«Խորանաշատ 800» հոբելյանական միջոցառումը, Եղիշե Չարենցի 125</w:t>
      </w:r>
      <w:r w:rsidRPr="001F63BA">
        <w:rPr>
          <w:rFonts w:ascii="GHEA Grapalat" w:hAnsi="GHEA Grapalat" w:cs="Sylfaen"/>
          <w:sz w:val="22"/>
          <w:szCs w:val="22"/>
          <w:lang w:val="en-US"/>
        </w:rPr>
        <w:noBreakHyphen/>
      </w:r>
      <w:r w:rsidRPr="001F63BA">
        <w:rPr>
          <w:rFonts w:ascii="GHEA Grapalat" w:hAnsi="GHEA Grapalat" w:cs="Sylfaen"/>
          <w:sz w:val="22"/>
          <w:szCs w:val="22"/>
        </w:rPr>
        <w:t>ամյակին նվիրված գրական</w:t>
      </w:r>
      <w:r w:rsidRPr="001F63BA">
        <w:rPr>
          <w:rFonts w:ascii="GHEA Grapalat" w:hAnsi="GHEA Grapalat" w:cs="Sylfaen"/>
          <w:sz w:val="22"/>
          <w:szCs w:val="22"/>
          <w:lang w:val="en-US"/>
        </w:rPr>
        <w:t>-</w:t>
      </w:r>
      <w:r w:rsidRPr="001F63BA">
        <w:rPr>
          <w:rFonts w:ascii="GHEA Grapalat" w:hAnsi="GHEA Grapalat" w:cs="Sylfaen"/>
          <w:sz w:val="22"/>
          <w:szCs w:val="22"/>
        </w:rPr>
        <w:t>երաժշտական հոբելյանական երեկոն, Երգեհոնային երաժշտության միջազգային փառատոնը, Ալ. Սպենդիարյանի անվան օպերայի և բալետի ազգային ակադեմիական թատրոնի 90-րդ թատերաշրջանի բացումը, Հայ-վրացական համատեղ մշակութային ծրագիրը Երևանում և Թբիլիսիում, Հայաստանի մշակույթի օրեր</w:t>
      </w:r>
      <w:r w:rsidRPr="001F63BA">
        <w:rPr>
          <w:rFonts w:ascii="GHEA Grapalat" w:hAnsi="GHEA Grapalat" w:cs="Sylfaen"/>
          <w:sz w:val="22"/>
          <w:szCs w:val="22"/>
          <w:lang w:val="en-US"/>
        </w:rPr>
        <w:t>ը</w:t>
      </w:r>
      <w:r w:rsidRPr="001F63BA">
        <w:rPr>
          <w:rFonts w:ascii="GHEA Grapalat" w:hAnsi="GHEA Grapalat" w:cs="Sylfaen"/>
          <w:sz w:val="22"/>
          <w:szCs w:val="22"/>
        </w:rPr>
        <w:t xml:space="preserve"> Ռուսաստանում և Գերմանիայի Սաքսոնիա-Անհալտ երկրամասում, ՅՈՒՆԵՍԿՕ-ի կենտրոնակայանում (Փարիզ) ՅՈՒՆԵՍԿՕ-ին Հայաստանի անդամակցության 30-ամյակի կապակցությամբ համերգ-երեկոն: Հայաստանը մասնակցել է Վենետիկի ժամանակակից արվեստի 59-րդ միջազգային բիենալեին, «Դուբայ ԷՔՍՊՈ-2020» համաշխարհային ցուցահանդեսին: Իրականացվել են նոր կրթական ծրագրեր` «Դասարվեստ», «Իմ սիմֆոնիկ», «Արվեստանոցներ Տավուշի մարզում», «Մարզերի պատանի երաժիշտների համերգաշար», ներառական ծրագրեր` «Կողք-կողքի», «Խոսող կտավներ»: Մշակութային միջոցառումների իրականացմանը հաշվետու տարվա ընթացքում տրամադրվել է ավելի քան 1.2 մլրդ դրամ` ապահովելով 85.7% կատարողական</w:t>
      </w:r>
      <w:r w:rsidRPr="001F63BA">
        <w:rPr>
          <w:rFonts w:ascii="GHEA Grapalat" w:hAnsi="GHEA Grapalat" w:cs="Sylfaen"/>
          <w:sz w:val="22"/>
          <w:szCs w:val="22"/>
          <w:lang w:val="en-US"/>
        </w:rPr>
        <w:t xml:space="preserve">, որը պայմանավորված է </w:t>
      </w:r>
      <w:r w:rsidRPr="001F63BA">
        <w:rPr>
          <w:rFonts w:ascii="GHEA Grapalat" w:hAnsi="GHEA Grapalat" w:cs="Sylfaen"/>
          <w:sz w:val="22"/>
          <w:szCs w:val="22"/>
        </w:rPr>
        <w:t>ԱԱՀ-ի վճարման համար նախատեսված հատկացումներն ամբողջությամբ չօգտագործելու հանգամանքով</w:t>
      </w:r>
      <w:r w:rsidRPr="001F63BA">
        <w:rPr>
          <w:rFonts w:ascii="GHEA Grapalat" w:hAnsi="GHEA Grapalat" w:cs="Sylfaen"/>
          <w:sz w:val="22"/>
          <w:szCs w:val="22"/>
          <w:lang w:val="en-US"/>
        </w:rPr>
        <w:t xml:space="preserve"> </w:t>
      </w:r>
      <w:r w:rsidRPr="001F63BA">
        <w:rPr>
          <w:rFonts w:ascii="GHEA Grapalat" w:hAnsi="GHEA Grapalat" w:cs="Sylfaen"/>
          <w:sz w:val="22"/>
          <w:szCs w:val="22"/>
        </w:rPr>
        <w:t>և տնտես</w:t>
      </w:r>
      <w:r w:rsidRPr="001F63BA">
        <w:rPr>
          <w:rFonts w:ascii="GHEA Grapalat" w:hAnsi="GHEA Grapalat" w:cs="Sylfaen"/>
          <w:sz w:val="22"/>
          <w:szCs w:val="22"/>
          <w:lang w:val="en-US"/>
        </w:rPr>
        <w:t>ումներով</w:t>
      </w:r>
      <w:r w:rsidRPr="001F63BA">
        <w:rPr>
          <w:rFonts w:ascii="GHEA Grapalat" w:hAnsi="GHEA Grapalat" w:cs="Sylfaen"/>
          <w:sz w:val="22"/>
          <w:szCs w:val="22"/>
        </w:rPr>
        <w:t>: Նախորդ տարվա համեմատ մշակութային միջոցառումների գծով ծախսերն աճել են 67.2%</w:t>
      </w:r>
      <w:r w:rsidRPr="001F63BA">
        <w:rPr>
          <w:rFonts w:ascii="GHEA Grapalat" w:hAnsi="GHEA Grapalat" w:cs="Sylfaen"/>
          <w:sz w:val="22"/>
          <w:szCs w:val="22"/>
        </w:rPr>
        <w:noBreakHyphen/>
        <w:t>ով կամ 499.9</w:t>
      </w:r>
      <w:r w:rsidRPr="001F63BA">
        <w:rPr>
          <w:rFonts w:ascii="Calibri" w:hAnsi="Calibri" w:cs="Calibri"/>
          <w:sz w:val="22"/>
          <w:szCs w:val="22"/>
        </w:rPr>
        <w:t> </w:t>
      </w:r>
      <w:r w:rsidRPr="001F63BA">
        <w:rPr>
          <w:rFonts w:ascii="GHEA Grapalat" w:hAnsi="GHEA Grapalat" w:cs="Sylfaen"/>
          <w:sz w:val="22"/>
          <w:szCs w:val="22"/>
        </w:rPr>
        <w:t xml:space="preserve">մլն դրամով` պայմանավորված իրականացված մշակութային միջոցառումների քանակով: </w:t>
      </w:r>
    </w:p>
    <w:p w:rsidR="001C411D" w:rsidRPr="001F63BA" w:rsidRDefault="001C411D" w:rsidP="00EF39C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lastRenderedPageBreak/>
        <w:t>Օպերային և բալետային արվեստի ներկայացումներին աջակցության միջոցառումն իրականացվել է օպերային և բալետային արվեստի ավանդույթների պահպանման, տարածման և զարգացման, դասական ու ժամանակակից օպերային և բալետային ստեղծագործությունների բեմադրման նպատակով: Փաստացի ներկայացումների քանակը 2022 թվականին կազմել է 179՝ նախատեսված 110-ի և 2021 թվականի 73-ի դիմաց, հանդիսատեսի թիվը՝ 90691՝ կանխատեսված 64735-ի և 2021 թվականի 45848-ի դիմաց: Նշված ցուցանիշների բարձ մակարդակը կանխատեսվածների նկատմամբ հիմնականում պայմանավորված է նոր ներկայացումների առաջնախաղերով, ինչպես նաև կազմակերպությունում գովազդատեղեկատվական ակտիվ գործունեությամբ: Օպերային և բալետային արվեստի ներկայացումներին աջակցության միջոցառման շրջանակներում հաշվետու տարում ավելի քան 1.4 մլրդ դրամ է տրամադրվել Ալ. Սպենդիարյանի անվան օպերայի և բալետի պետական ակադեմիական թատրոնին` ապահովելով 100% կատարողական: Նախորդ տարվա համեմատ նշված ծախսերը նվազել են 1.1%</w:t>
      </w:r>
      <w:r w:rsidRPr="001F63BA">
        <w:rPr>
          <w:rFonts w:ascii="GHEA Grapalat" w:hAnsi="GHEA Grapalat" w:cs="Sylfaen"/>
          <w:sz w:val="22"/>
          <w:szCs w:val="22"/>
        </w:rPr>
        <w:noBreakHyphen/>
        <w:t xml:space="preserve">ով կամ 15.1 մլն դրամով, </w:t>
      </w:r>
      <w:r w:rsidRPr="001F63BA">
        <w:rPr>
          <w:rFonts w:ascii="GHEA Grapalat" w:hAnsi="GHEA Grapalat" w:cs="Sylfaen"/>
          <w:sz w:val="22"/>
          <w:szCs w:val="22"/>
          <w:lang w:val="en-US"/>
        </w:rPr>
        <w:t>ո</w:t>
      </w:r>
      <w:r w:rsidRPr="001F63BA">
        <w:rPr>
          <w:rFonts w:ascii="GHEA Grapalat" w:hAnsi="GHEA Grapalat" w:cs="Sylfaen"/>
          <w:sz w:val="22"/>
          <w:szCs w:val="22"/>
        </w:rPr>
        <w:t xml:space="preserve">րը պայմանավորված է այն հանգամանքով, որ Հաշվեքննիչ պալատի ստուգումներով արձանագրված խախտումների արդյունքում նախորդ տարիներին ավել վճարված գումարների չափով 2022 թվականին դրամաշնորհային պայմանագրերը կնքվել են </w:t>
      </w:r>
      <w:r w:rsidRPr="001F63BA">
        <w:rPr>
          <w:rFonts w:ascii="GHEA Grapalat" w:hAnsi="GHEA Grapalat" w:cs="Sylfaen"/>
          <w:sz w:val="22"/>
          <w:szCs w:val="22"/>
          <w:lang w:val="en-US"/>
        </w:rPr>
        <w:t xml:space="preserve">ավելի պակաս </w:t>
      </w:r>
      <w:r w:rsidRPr="001F63BA">
        <w:rPr>
          <w:rFonts w:ascii="GHEA Grapalat" w:hAnsi="GHEA Grapalat" w:cs="Sylfaen"/>
          <w:sz w:val="22"/>
          <w:szCs w:val="22"/>
        </w:rPr>
        <w:t>գումարներով: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Թատերահամերգային կազմակերպությունների նյութատեխնիկական բազայի համալրման միջոցառման շրջանակներում հաշվետու տարում ներդրումներ են իրականացվել 5 թատրոններում՝ 2021 թվականի 4-ի դիմաց: Մասնավորապես</w:t>
      </w:r>
      <w:r w:rsidRPr="001F63BA">
        <w:rPr>
          <w:rFonts w:ascii="GHEA Grapalat" w:hAnsi="GHEA Grapalat" w:cs="Sylfaen"/>
          <w:sz w:val="22"/>
          <w:szCs w:val="22"/>
          <w:lang w:val="en-US"/>
        </w:rPr>
        <w:t>՝</w:t>
      </w:r>
      <w:r w:rsidRPr="001F63BA">
        <w:rPr>
          <w:rFonts w:ascii="GHEA Grapalat" w:hAnsi="GHEA Grapalat" w:cs="Sylfaen"/>
          <w:sz w:val="22"/>
          <w:szCs w:val="22"/>
        </w:rPr>
        <w:t xml:space="preserve"> նոր գույքով և տեխնիկայով ապահովվել են «Կամերային երաժշտության ազգային կենտրոն», «Հ.Պարոնյանի անվան երաժշտական կոմեդիայի պետական թատրոն», «Հայաստանի երգի պետական թատրոն», «Սոս Սարգսյանի անվան համազգային թատրոն» և «Ալ</w:t>
      </w:r>
      <w:r w:rsidRPr="001F63BA">
        <w:rPr>
          <w:rFonts w:ascii="MS Mincho" w:eastAsia="MS Mincho" w:hAnsi="MS Mincho" w:cs="MS Mincho" w:hint="eastAsia"/>
          <w:sz w:val="22"/>
          <w:szCs w:val="22"/>
        </w:rPr>
        <w:t>․</w:t>
      </w:r>
      <w:r w:rsidRPr="001F63BA">
        <w:rPr>
          <w:rFonts w:ascii="GHEA Grapalat" w:hAnsi="GHEA Grapalat" w:cs="Sylfaen"/>
          <w:sz w:val="22"/>
          <w:szCs w:val="22"/>
        </w:rPr>
        <w:t xml:space="preserve"> Սպենդիարյանի անվան օպերայի և բալետի ազգային ակադեմիական թատրոն» ՊՈԱԿ-ները: Թատերահամերգային կազմակերպությունների նյութատեխնիկական բազայի համալրման միջոցառման ծախսերը կազմել են 705.8 մլն դրամ, որոնք օգտագործվել են 99.4%-ով: Նախորդ տարվա համեմատ միջոցառման ծախսերն աճել են 3.2 անգամ կամ 488.1 մլն դրամով՝ պայմանավորված գույքով ապահովված թատրոնների թվով, ինչպես նաև ձեռքբերված գույքի տեսակներով և գներով:</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Թատրոնների և համերգային կազմակերպությունների շենքերի կապիտալ վերանորոգման միջոցառման շրջանակներում հաշվետու տարում ներդրումներ են նախատեսվել և իրականացվել 4 թատրոններում՝ 2021 թվականի 1-ի դիմաց, ինչպես նաև մեկ համերգային կազմակերպությունում, նախատեսվել և իրականացվել </w:t>
      </w:r>
      <w:r w:rsidRPr="001F63BA">
        <w:rPr>
          <w:rFonts w:ascii="GHEA Grapalat" w:hAnsi="GHEA Grapalat" w:cs="Sylfaen"/>
          <w:sz w:val="22"/>
          <w:szCs w:val="22"/>
          <w:lang w:val="en-US"/>
        </w:rPr>
        <w:t>է</w:t>
      </w:r>
      <w:r w:rsidRPr="001F63BA">
        <w:rPr>
          <w:rFonts w:ascii="GHEA Grapalat" w:hAnsi="GHEA Grapalat" w:cs="Sylfaen"/>
          <w:sz w:val="22"/>
          <w:szCs w:val="22"/>
        </w:rPr>
        <w:t xml:space="preserve"> վերանորոգման համար անհարժեշտ 2 </w:t>
      </w:r>
      <w:r w:rsidRPr="001F63BA">
        <w:rPr>
          <w:rFonts w:ascii="GHEA Grapalat" w:hAnsi="GHEA Grapalat"/>
          <w:sz w:val="22"/>
          <w:szCs w:val="22"/>
          <w:lang w:val="it-IT"/>
        </w:rPr>
        <w:t>նախագծանախահաշվային փաստաթղթերի ձեռքբերում:</w:t>
      </w:r>
      <w:r w:rsidRPr="001F63BA">
        <w:rPr>
          <w:rFonts w:ascii="GHEA Grapalat" w:hAnsi="GHEA Grapalat" w:cs="Sylfaen"/>
          <w:sz w:val="22"/>
          <w:szCs w:val="22"/>
        </w:rPr>
        <w:t xml:space="preserve"> Մասնավորապես</w:t>
      </w:r>
      <w:r w:rsidRPr="001F63BA">
        <w:rPr>
          <w:rFonts w:ascii="GHEA Grapalat" w:hAnsi="GHEA Grapalat" w:cs="Sylfaen"/>
          <w:sz w:val="22"/>
          <w:szCs w:val="22"/>
          <w:lang w:val="en-US"/>
        </w:rPr>
        <w:t>՝</w:t>
      </w:r>
      <w:r w:rsidRPr="001F63BA">
        <w:rPr>
          <w:rFonts w:ascii="GHEA Grapalat" w:hAnsi="GHEA Grapalat" w:cs="Sylfaen"/>
          <w:sz w:val="22"/>
          <w:szCs w:val="22"/>
        </w:rPr>
        <w:t xml:space="preserve"> վերանորոգման աշխատանքներ են իրականացվել Երևանի մնջախաղի պետական թատրոնում</w:t>
      </w:r>
      <w:r w:rsidRPr="001F63BA">
        <w:rPr>
          <w:rFonts w:ascii="GHEA Grapalat" w:hAnsi="GHEA Grapalat" w:cs="Sylfaen"/>
        </w:rPr>
        <w:t xml:space="preserve">, </w:t>
      </w:r>
      <w:r w:rsidRPr="001F63BA">
        <w:rPr>
          <w:rFonts w:ascii="GHEA Grapalat" w:hAnsi="GHEA Grapalat" w:cs="Sylfaen"/>
          <w:sz w:val="22"/>
          <w:szCs w:val="22"/>
        </w:rPr>
        <w:t>«Ալ</w:t>
      </w:r>
      <w:r w:rsidRPr="001F63BA">
        <w:rPr>
          <w:rFonts w:ascii="MS Mincho" w:eastAsia="MS Mincho" w:hAnsi="MS Mincho" w:cs="MS Mincho" w:hint="eastAsia"/>
          <w:sz w:val="22"/>
          <w:szCs w:val="22"/>
        </w:rPr>
        <w:t>․</w:t>
      </w:r>
      <w:r w:rsidRPr="001F63BA">
        <w:rPr>
          <w:rFonts w:ascii="GHEA Grapalat" w:hAnsi="GHEA Grapalat" w:cs="Sylfaen"/>
          <w:sz w:val="22"/>
          <w:szCs w:val="22"/>
        </w:rPr>
        <w:t xml:space="preserve"> Սպենդիարյանի անվան օպերայի և բալետի </w:t>
      </w:r>
      <w:r w:rsidRPr="001F63BA">
        <w:rPr>
          <w:rFonts w:ascii="GHEA Grapalat" w:hAnsi="GHEA Grapalat" w:cs="Sylfaen"/>
          <w:sz w:val="22"/>
          <w:szCs w:val="22"/>
        </w:rPr>
        <w:lastRenderedPageBreak/>
        <w:t>ազգային ակադեմիական թատրոն», «Կ. Ստանիսլավսկու անվան պետական ռուսական դրամատիկական թատրոն», «Գ. Սունդուկյանի անվան ազգային ակադեմիական թատրոն» և «Հայաստանի ազգային ֆիլհարմոնիկ նվագախումբ» ՊՈԱԿ-ներում: 2022 թվականին նախագծվել են «Հայաստանի պետական սիմֆոնիկ նվագախումբ» ՊՈԱԿ-ին ամրացված</w:t>
      </w:r>
      <w:r w:rsidRPr="001F63BA">
        <w:rPr>
          <w:rFonts w:ascii="GHEA Grapalat" w:hAnsi="GHEA Grapalat" w:cs="Sylfaen"/>
          <w:sz w:val="22"/>
          <w:szCs w:val="22"/>
          <w:lang w:val="en-US"/>
        </w:rPr>
        <w:t>՝</w:t>
      </w:r>
      <w:r w:rsidRPr="001F63BA">
        <w:rPr>
          <w:rFonts w:ascii="GHEA Grapalat" w:hAnsi="GHEA Grapalat" w:cs="Sylfaen"/>
          <w:sz w:val="22"/>
          <w:szCs w:val="22"/>
        </w:rPr>
        <w:t xml:space="preserve"> Երևանի Պռոշյան փակուղի 1 հասցեում գտնվող շինության վերակառուցման աշխատանքները: </w:t>
      </w:r>
      <w:r w:rsidRPr="001F63BA">
        <w:rPr>
          <w:rFonts w:ascii="GHEA Grapalat" w:hAnsi="GHEA Grapalat" w:cs="Sylfaen"/>
          <w:sz w:val="22"/>
          <w:szCs w:val="22"/>
          <w:lang w:val="en-US"/>
        </w:rPr>
        <w:t>Թ</w:t>
      </w:r>
      <w:r w:rsidRPr="001F63BA">
        <w:rPr>
          <w:rFonts w:ascii="GHEA Grapalat" w:hAnsi="GHEA Grapalat" w:cs="Sylfaen"/>
          <w:sz w:val="22"/>
          <w:szCs w:val="22"/>
        </w:rPr>
        <w:t>ատրոնների և համերգային կազմակերպությունների շենքերի կապիտալ վերանորոգման համար</w:t>
      </w:r>
      <w:r w:rsidRPr="001F63BA">
        <w:rPr>
          <w:rFonts w:ascii="GHEA Grapalat" w:hAnsi="GHEA Grapalat" w:cs="Sylfaen"/>
          <w:sz w:val="22"/>
          <w:szCs w:val="22"/>
          <w:lang w:val="en-US"/>
        </w:rPr>
        <w:t xml:space="preserve"> ներդրումները կ</w:t>
      </w:r>
      <w:r w:rsidRPr="001F63BA">
        <w:rPr>
          <w:rFonts w:ascii="GHEA Grapalat" w:hAnsi="GHEA Grapalat" w:cs="Sylfaen"/>
          <w:sz w:val="22"/>
          <w:szCs w:val="22"/>
        </w:rPr>
        <w:t>ազմել են 394.4 մլն դրամ, որոնք օգտագործվել են 99.6%-ով: Նախորդ տարվա համեմատ միջոցառման ծախսերն աճել են 9.8 անգամ կամ 354 մլն դրամով՝ պայմանավորված օբյեկտների թվի և շինարարական աշխատանքների ծավալների ավելացմամբ</w:t>
      </w:r>
      <w:r w:rsidRPr="001F63BA">
        <w:rPr>
          <w:rFonts w:ascii="GHEA Grapalat" w:hAnsi="GHEA Grapalat" w:cs="GHEA Grapalat"/>
        </w:rPr>
        <w:t>:</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Arial"/>
          <w:sz w:val="22"/>
          <w:szCs w:val="22"/>
        </w:rPr>
        <w:t xml:space="preserve">«Կարեն Դեմիրճյանի անվան մարզահամերգային համալիրի կարողությունների զարգացում» միջոցառման </w:t>
      </w:r>
      <w:r w:rsidRPr="001F63BA">
        <w:rPr>
          <w:rFonts w:ascii="GHEA Grapalat" w:hAnsi="GHEA Grapalat" w:cs="GHEA Grapalat"/>
          <w:sz w:val="22"/>
          <w:szCs w:val="22"/>
        </w:rPr>
        <w:t>շրջանակներում նախատեսված ակտիվներն ամբողջությամբ ձ</w:t>
      </w:r>
      <w:r w:rsidRPr="001F63BA">
        <w:rPr>
          <w:rFonts w:ascii="GHEA Grapalat" w:hAnsi="GHEA Grapalat" w:cs="Arial"/>
          <w:sz w:val="22"/>
          <w:szCs w:val="22"/>
        </w:rPr>
        <w:t xml:space="preserve">եռք են բերվել՝ 1 մոդուլային շարժական հատակ, 1 լուսադիոդային ցուցատախտակ և 2 վերելակ: Հաշվետու </w:t>
      </w:r>
      <w:r w:rsidRPr="001F63BA">
        <w:rPr>
          <w:rFonts w:ascii="GHEA Grapalat" w:hAnsi="GHEA Grapalat" w:cs="Arial"/>
          <w:sz w:val="22"/>
          <w:szCs w:val="22"/>
          <w:lang w:val="en-US"/>
        </w:rPr>
        <w:t>տարում</w:t>
      </w:r>
      <w:r w:rsidRPr="001F63BA">
        <w:rPr>
          <w:rFonts w:ascii="GHEA Grapalat" w:hAnsi="GHEA Grapalat" w:cs="Arial"/>
          <w:sz w:val="22"/>
          <w:szCs w:val="22"/>
        </w:rPr>
        <w:t xml:space="preserve"> Կարեն Դեմիրճյանի անվան մարզահամերգային համալիրի կարողությունների զարգացմանն ուղղ</w:t>
      </w:r>
      <w:r w:rsidRPr="001F63BA">
        <w:rPr>
          <w:rFonts w:ascii="GHEA Grapalat" w:hAnsi="GHEA Grapalat" w:cs="GHEA Grapalat"/>
          <w:sz w:val="22"/>
          <w:szCs w:val="22"/>
        </w:rPr>
        <w:t xml:space="preserve">վել է </w:t>
      </w:r>
      <w:r w:rsidRPr="001F63BA">
        <w:rPr>
          <w:rFonts w:ascii="GHEA Grapalat" w:hAnsi="GHEA Grapalat" w:cs="Arial"/>
          <w:sz w:val="22"/>
          <w:szCs w:val="22"/>
        </w:rPr>
        <w:t>252.9 մլն դրամ</w:t>
      </w:r>
      <w:r w:rsidRPr="001F63BA">
        <w:rPr>
          <w:rFonts w:ascii="GHEA Grapalat" w:hAnsi="GHEA Grapalat" w:cs="Sylfaen"/>
          <w:sz w:val="22"/>
          <w:szCs w:val="22"/>
        </w:rPr>
        <w:t>, որը կազմել է ծրագրված ցուցանիշի 99.8%-ը:</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 </w:t>
      </w:r>
      <w:r w:rsidRPr="001F63BA">
        <w:rPr>
          <w:rFonts w:ascii="GHEA Grapalat" w:hAnsi="GHEA Grapalat" w:cs="Sylfaen"/>
          <w:sz w:val="22"/>
          <w:szCs w:val="22"/>
          <w:lang w:val="en-US"/>
        </w:rPr>
        <w:t>2022 թվականին</w:t>
      </w:r>
      <w:r w:rsidRPr="001F63BA">
        <w:rPr>
          <w:rFonts w:ascii="GHEA Grapalat" w:hAnsi="GHEA Grapalat" w:cs="Sylfaen"/>
          <w:sz w:val="22"/>
          <w:szCs w:val="22"/>
        </w:rPr>
        <w:t xml:space="preserve"> </w:t>
      </w:r>
      <w:r w:rsidRPr="001F63BA">
        <w:rPr>
          <w:rFonts w:ascii="GHEA Grapalat" w:hAnsi="GHEA Grapalat" w:cs="Sylfaen"/>
          <w:i/>
          <w:sz w:val="22"/>
          <w:szCs w:val="22"/>
        </w:rPr>
        <w:t>«Ապահով դպրոց»</w:t>
      </w:r>
      <w:r w:rsidRPr="001F63BA">
        <w:rPr>
          <w:rFonts w:ascii="GHEA Grapalat" w:hAnsi="GHEA Grapalat" w:cs="Sylfaen"/>
          <w:sz w:val="22"/>
          <w:szCs w:val="22"/>
        </w:rPr>
        <w:t xml:space="preserve"> ծրագրի շրջանակներում օգտագործվել է նախատեսված միջոցների 90.3%-ը՝ 10.5 մլրդ դրամ: Շեղումը հիմնականում պայմանավորված է փոքրաքանակ երեխաներով համալրված հանրակրթական դպրոցների մոդուլային շենքերի կառուցման և կրթական օբյեկտների շենքային պայմանների բարելավման միջոցառումների կատարողականներով: Ծրագիրն ուղղված է դպրոցական միջավայրի բարելավմանը</w:t>
      </w:r>
      <w:r w:rsidRPr="001F63BA">
        <w:rPr>
          <w:rFonts w:ascii="GHEA Grapalat" w:hAnsi="GHEA Grapalat" w:cs="Sylfaen"/>
          <w:sz w:val="22"/>
          <w:szCs w:val="22"/>
          <w:lang w:val="af-ZA"/>
        </w:rPr>
        <w:t>:</w:t>
      </w:r>
      <w:r w:rsidRPr="001F63BA">
        <w:rPr>
          <w:rFonts w:ascii="GHEA Grapalat" w:hAnsi="GHEA Grapalat" w:cs="Sylfaen"/>
          <w:sz w:val="22"/>
          <w:szCs w:val="22"/>
        </w:rPr>
        <w:t xml:space="preserve"> Նախորդ տարվա համեմատ «Ապահով դպրոց» ծրագրի ծախսերն աճել են 2.8 անգամ կամ 6.7 մլրդ դրամով, որը հիմնականում պայմանավորված է 2022 թվականին փոքրաքանակ երեխաներով համալրված հանրակրթական դպրոցների մոդուլային շենքերի կառուցման, կրթական օբյեկտների շենքային պայմանների բարելավման ծախսերի աճով, ինչպես նաև հանրակրթական կրթություն իրականացնող ուսումնական հաստատությունների նոր մարզադահլիճների կառուցման</w:t>
      </w:r>
      <w:r w:rsidRPr="001F63BA">
        <w:rPr>
          <w:rFonts w:ascii="GHEA Grapalat" w:hAnsi="GHEA Grapalat" w:cs="Sylfaen"/>
          <w:sz w:val="22"/>
          <w:szCs w:val="22"/>
          <w:lang w:val="en-US"/>
        </w:rPr>
        <w:t>ն</w:t>
      </w:r>
      <w:r w:rsidRPr="001F63BA">
        <w:rPr>
          <w:rFonts w:ascii="GHEA Grapalat" w:hAnsi="GHEA Grapalat" w:cs="Sylfaen"/>
          <w:sz w:val="22"/>
          <w:szCs w:val="22"/>
        </w:rPr>
        <w:t xml:space="preserve"> ու վերակառուցման</w:t>
      </w:r>
      <w:r w:rsidRPr="001F63BA">
        <w:rPr>
          <w:rFonts w:ascii="GHEA Grapalat" w:hAnsi="GHEA Grapalat" w:cs="Sylfaen"/>
          <w:sz w:val="22"/>
          <w:szCs w:val="22"/>
          <w:lang w:val="en-US"/>
        </w:rPr>
        <w:t>ը</w:t>
      </w:r>
      <w:r w:rsidRPr="001F63BA">
        <w:rPr>
          <w:rFonts w:ascii="GHEA Grapalat" w:hAnsi="GHEA Grapalat" w:cs="Sylfaen"/>
          <w:sz w:val="22"/>
          <w:szCs w:val="22"/>
        </w:rPr>
        <w:t xml:space="preserve"> </w:t>
      </w:r>
      <w:r w:rsidRPr="001F63BA">
        <w:rPr>
          <w:rFonts w:ascii="GHEA Grapalat" w:hAnsi="GHEA Grapalat" w:cs="Arial"/>
          <w:bCs/>
          <w:sz w:val="22"/>
          <w:szCs w:val="22"/>
        </w:rPr>
        <w:t>միջոցների հատկացմամբ, որոն</w:t>
      </w:r>
      <w:r w:rsidRPr="001F63BA">
        <w:rPr>
          <w:rFonts w:ascii="GHEA Grapalat" w:hAnsi="GHEA Grapalat" w:cs="Arial"/>
          <w:bCs/>
          <w:sz w:val="22"/>
          <w:szCs w:val="22"/>
          <w:lang w:val="en-US"/>
        </w:rPr>
        <w:t>ք</w:t>
      </w:r>
      <w:r w:rsidRPr="001F63BA">
        <w:rPr>
          <w:rFonts w:ascii="GHEA Grapalat" w:hAnsi="GHEA Grapalat" w:cs="Arial"/>
          <w:bCs/>
          <w:sz w:val="22"/>
          <w:szCs w:val="22"/>
        </w:rPr>
        <w:t xml:space="preserve"> 2021 թվականին չէին </w:t>
      </w:r>
      <w:r w:rsidRPr="001F63BA">
        <w:rPr>
          <w:rFonts w:ascii="GHEA Grapalat" w:hAnsi="GHEA Grapalat" w:cs="Arial"/>
          <w:bCs/>
          <w:sz w:val="22"/>
          <w:szCs w:val="22"/>
          <w:lang w:val="en-US"/>
        </w:rPr>
        <w:t>նախատեսվ</w:t>
      </w:r>
      <w:r w:rsidRPr="001F63BA">
        <w:rPr>
          <w:rFonts w:ascii="GHEA Grapalat" w:hAnsi="GHEA Grapalat" w:cs="Arial"/>
          <w:bCs/>
          <w:sz w:val="22"/>
          <w:szCs w:val="22"/>
        </w:rPr>
        <w:t>ել:</w:t>
      </w:r>
    </w:p>
    <w:p w:rsidR="001C411D" w:rsidRPr="001F63BA" w:rsidRDefault="001C411D" w:rsidP="00865E10">
      <w:pPr>
        <w:spacing w:line="360" w:lineRule="auto"/>
        <w:ind w:firstLine="561"/>
        <w:jc w:val="both"/>
        <w:rPr>
          <w:rFonts w:ascii="GHEA Grapalat" w:hAnsi="GHEA Grapalat"/>
          <w:sz w:val="22"/>
          <w:szCs w:val="22"/>
        </w:rPr>
      </w:pPr>
      <w:r w:rsidRPr="001F63BA">
        <w:rPr>
          <w:rFonts w:ascii="GHEA Grapalat" w:hAnsi="GHEA Grapalat" w:cs="Sylfaen"/>
          <w:sz w:val="22"/>
          <w:szCs w:val="22"/>
        </w:rPr>
        <w:t xml:space="preserve">Փոքրաքանակ երեխաներով համալրված հանրակրթական դպրոցների մոդուլային շենքերի կառուցման միջոցառման շրջանակներում </w:t>
      </w:r>
      <w:r w:rsidRPr="001F63BA">
        <w:rPr>
          <w:rFonts w:ascii="GHEA Grapalat" w:hAnsi="GHEA Grapalat"/>
          <w:sz w:val="22"/>
          <w:szCs w:val="22"/>
        </w:rPr>
        <w:t xml:space="preserve">22 ուսումնական հաստատություններում նախատեսվել և իրականացվել են </w:t>
      </w:r>
      <w:r w:rsidRPr="001F63BA">
        <w:rPr>
          <w:rFonts w:ascii="GHEA Grapalat" w:hAnsi="GHEA Grapalat" w:cs="Sylfaen"/>
          <w:sz w:val="22"/>
          <w:szCs w:val="22"/>
        </w:rPr>
        <w:t>շինարարական աշխատանքներ, իսկ 10</w:t>
      </w:r>
      <w:r w:rsidRPr="001F63BA">
        <w:rPr>
          <w:rFonts w:ascii="GHEA Grapalat" w:hAnsi="GHEA Grapalat"/>
          <w:sz w:val="22"/>
          <w:szCs w:val="22"/>
        </w:rPr>
        <w:t xml:space="preserve"> դպրոցների համար՝ նախագծահետազոտական </w:t>
      </w:r>
      <w:r w:rsidRPr="001F63BA">
        <w:rPr>
          <w:rFonts w:ascii="GHEA Grapalat" w:hAnsi="GHEA Grapalat" w:cs="Sylfaen"/>
          <w:sz w:val="22"/>
          <w:szCs w:val="22"/>
        </w:rPr>
        <w:t xml:space="preserve">աշխատանքներ՝ նախատեսված 12–ի դիմաց: Հարկ է նշել, որ ՀՀ Արարատի մարզի «Դեղձուտի միջնակարգ դպրոց» և ՀՀ Արմավիրի մարզի «Արգինայի միջնակարգ դպրոց» ՊՈԱԿ-ների մոդուլային դպրոցների շինարարական աշխատանքները ավարտվել են: </w:t>
      </w:r>
      <w:r w:rsidRPr="001F63BA">
        <w:rPr>
          <w:rFonts w:ascii="GHEA Grapalat" w:hAnsi="GHEA Grapalat"/>
          <w:sz w:val="22"/>
          <w:szCs w:val="22"/>
        </w:rPr>
        <w:t xml:space="preserve">Փոքրաքանակ երեխաներով համալրված հանրակրթական դպրոցների մոդուլային շենքերի </w:t>
      </w:r>
      <w:r w:rsidRPr="001F63BA">
        <w:rPr>
          <w:rFonts w:ascii="GHEA Grapalat" w:hAnsi="GHEA Grapalat"/>
          <w:sz w:val="22"/>
          <w:szCs w:val="22"/>
        </w:rPr>
        <w:lastRenderedPageBreak/>
        <w:t>կառուցման նպատակով տրամադրվել է 4.6 մլրդ դրամ` ապահովելով ծրագրված ցուցանիշի 88.5%</w:t>
      </w:r>
      <w:r w:rsidRPr="001F63BA">
        <w:rPr>
          <w:rFonts w:ascii="GHEA Grapalat" w:hAnsi="GHEA Grapalat"/>
          <w:sz w:val="22"/>
          <w:szCs w:val="22"/>
          <w:lang w:val="en-US"/>
        </w:rPr>
        <w:noBreakHyphen/>
      </w:r>
      <w:r w:rsidRPr="001F63BA">
        <w:rPr>
          <w:rFonts w:ascii="GHEA Grapalat" w:hAnsi="GHEA Grapalat"/>
          <w:sz w:val="22"/>
          <w:szCs w:val="22"/>
        </w:rPr>
        <w:t xml:space="preserve">ը: Շեղումը հիմնականում պայմանավորված է այն հանգամանքով, որ երկու օբյեկտի մասով նախագծման աշխատանքները չեն ավարտվել, ինչպես նաև շինարարական աշխատանքների համար նախատեսված գումարի մնացորդի մասով կատարողական ակտեր չեն ներկայացվել: </w:t>
      </w:r>
      <w:r w:rsidRPr="001F63BA">
        <w:rPr>
          <w:rFonts w:ascii="GHEA Grapalat" w:hAnsi="GHEA Grapalat" w:cs="Sylfaen"/>
          <w:sz w:val="22"/>
          <w:szCs w:val="22"/>
        </w:rPr>
        <w:t xml:space="preserve">Նախորդ տարվա համեմատ վերոնշված միջոցառման գծով ծախսերն աճել են </w:t>
      </w:r>
      <w:r w:rsidRPr="001F63BA">
        <w:rPr>
          <w:rFonts w:ascii="GHEA Grapalat" w:hAnsi="GHEA Grapalat" w:cs="Sylfaen"/>
          <w:sz w:val="22"/>
          <w:szCs w:val="22"/>
          <w:lang w:val="en-US"/>
        </w:rPr>
        <w:t>55.9%-ով</w:t>
      </w:r>
      <w:r w:rsidRPr="001F63BA">
        <w:rPr>
          <w:rFonts w:ascii="GHEA Grapalat" w:hAnsi="GHEA Grapalat" w:cs="Sylfaen"/>
          <w:sz w:val="22"/>
          <w:szCs w:val="22"/>
        </w:rPr>
        <w:t xml:space="preserve"> կամ 1.6</w:t>
      </w:r>
      <w:r w:rsidRPr="001F63BA">
        <w:rPr>
          <w:rFonts w:ascii="Courier New" w:hAnsi="Courier New" w:cs="Courier New"/>
          <w:sz w:val="22"/>
          <w:szCs w:val="22"/>
        </w:rPr>
        <w:t> </w:t>
      </w:r>
      <w:r w:rsidRPr="001F63BA">
        <w:rPr>
          <w:rFonts w:ascii="GHEA Grapalat" w:hAnsi="GHEA Grapalat" w:cs="Sylfaen"/>
          <w:sz w:val="22"/>
          <w:szCs w:val="22"/>
        </w:rPr>
        <w:t>մլրդ դրամով</w:t>
      </w:r>
      <w:r w:rsidRPr="001F63BA">
        <w:rPr>
          <w:rFonts w:ascii="GHEA Grapalat" w:hAnsi="GHEA Grapalat" w:cs="Sylfaen"/>
          <w:sz w:val="22"/>
          <w:szCs w:val="22"/>
          <w:lang w:val="en-US"/>
        </w:rPr>
        <w:t>՝</w:t>
      </w:r>
      <w:r w:rsidRPr="001F63BA">
        <w:rPr>
          <w:rFonts w:ascii="GHEA Grapalat" w:hAnsi="GHEA Grapalat" w:cs="Sylfaen"/>
          <w:sz w:val="22"/>
          <w:szCs w:val="22"/>
        </w:rPr>
        <w:t xml:space="preserve"> </w:t>
      </w:r>
      <w:r w:rsidRPr="001F63BA">
        <w:rPr>
          <w:rFonts w:ascii="GHEA Grapalat" w:hAnsi="GHEA Grapalat"/>
          <w:sz w:val="22"/>
          <w:szCs w:val="22"/>
        </w:rPr>
        <w:t>պայմանավորված նոր օբյեկտների ավելացմամբ, ինչպես նաև կատարված աշխատանքների ծավալներով:</w:t>
      </w:r>
    </w:p>
    <w:p w:rsidR="001C411D" w:rsidRPr="001F63BA" w:rsidRDefault="001C411D" w:rsidP="00865E10">
      <w:pPr>
        <w:spacing w:line="360" w:lineRule="auto"/>
        <w:ind w:firstLine="561"/>
        <w:jc w:val="both"/>
        <w:rPr>
          <w:rFonts w:ascii="GHEA Grapalat" w:hAnsi="GHEA Grapalat"/>
          <w:sz w:val="22"/>
          <w:szCs w:val="22"/>
        </w:rPr>
      </w:pPr>
      <w:r w:rsidRPr="001F63BA">
        <w:rPr>
          <w:rFonts w:ascii="GHEA Grapalat" w:hAnsi="GHEA Grapalat" w:cs="Sylfaen"/>
          <w:sz w:val="22"/>
          <w:szCs w:val="22"/>
        </w:rPr>
        <w:t xml:space="preserve">Հանրակրթական կրթություն իրականացնող ուսումնական հաստատությունների նոր մարզադահլիճների կառուցման ու </w:t>
      </w:r>
      <w:r w:rsidRPr="001F63BA">
        <w:rPr>
          <w:rFonts w:ascii="GHEA Grapalat" w:hAnsi="GHEA Grapalat"/>
          <w:sz w:val="22"/>
          <w:szCs w:val="22"/>
        </w:rPr>
        <w:t>վերակառուցման միջոցառ</w:t>
      </w:r>
      <w:r w:rsidRPr="001F63BA">
        <w:rPr>
          <w:rFonts w:ascii="GHEA Grapalat" w:hAnsi="GHEA Grapalat"/>
          <w:sz w:val="22"/>
          <w:szCs w:val="22"/>
          <w:lang w:val="en-US"/>
        </w:rPr>
        <w:t xml:space="preserve">ումների </w:t>
      </w:r>
      <w:r w:rsidRPr="001F63BA">
        <w:rPr>
          <w:rFonts w:ascii="GHEA Grapalat" w:hAnsi="GHEA Grapalat"/>
          <w:sz w:val="22"/>
          <w:szCs w:val="22"/>
        </w:rPr>
        <w:t>շրջանակներում մեկնարկել են 16 դպրոցների մարզադահլիճների կառուցման և 13 դպրոցների մարզադահլիճների վերակառուցման աշխատանքները: Իրականացվել է</w:t>
      </w:r>
      <w:r w:rsidRPr="001F63BA">
        <w:rPr>
          <w:rFonts w:ascii="GHEA Grapalat" w:hAnsi="GHEA Grapalat"/>
          <w:sz w:val="22"/>
          <w:szCs w:val="22"/>
          <w:lang w:val="en-US"/>
        </w:rPr>
        <w:t xml:space="preserve"> նաև</w:t>
      </w:r>
      <w:r w:rsidRPr="001F63BA">
        <w:rPr>
          <w:rFonts w:ascii="GHEA Grapalat" w:hAnsi="GHEA Grapalat"/>
          <w:sz w:val="22"/>
          <w:szCs w:val="22"/>
        </w:rPr>
        <w:t xml:space="preserve"> ՀՀ Շիրակի մարզ</w:t>
      </w:r>
      <w:r w:rsidRPr="001F63BA">
        <w:rPr>
          <w:rFonts w:ascii="GHEA Grapalat" w:hAnsi="GHEA Grapalat"/>
          <w:sz w:val="22"/>
          <w:szCs w:val="22"/>
          <w:lang w:val="en-US"/>
        </w:rPr>
        <w:t>ի</w:t>
      </w:r>
      <w:r w:rsidRPr="001F63BA">
        <w:rPr>
          <w:rFonts w:ascii="GHEA Grapalat" w:hAnsi="GHEA Grapalat"/>
          <w:sz w:val="22"/>
          <w:szCs w:val="22"/>
        </w:rPr>
        <w:t xml:space="preserve"> «Ախուրյանի Նիկոլ Աղբալյանի անվան ավագ դպրոց» ՊՈԱԿ-ի մարզադահլիճի կառուցման համար անհրաժեշտ նախագծանախահաշվային փաստաթղթերի մշակումը:</w:t>
      </w:r>
      <w:r w:rsidRPr="001F63BA">
        <w:rPr>
          <w:rFonts w:ascii="GHEA Grapalat" w:hAnsi="GHEA Grapalat" w:cs="Sylfaen"/>
          <w:sz w:val="22"/>
          <w:szCs w:val="22"/>
        </w:rPr>
        <w:t xml:space="preserve"> Հանրակրթական կրթություն իրականացնող ուսումնական հաստատությունների նոր մարզադահլիճների կառուցման ու </w:t>
      </w:r>
      <w:r w:rsidRPr="001F63BA">
        <w:rPr>
          <w:rFonts w:ascii="GHEA Grapalat" w:hAnsi="GHEA Grapalat"/>
          <w:sz w:val="22"/>
          <w:szCs w:val="22"/>
        </w:rPr>
        <w:t xml:space="preserve">վերակառուցման ծախսերը կազմել են </w:t>
      </w:r>
      <w:r w:rsidRPr="001F63BA">
        <w:rPr>
          <w:rFonts w:ascii="GHEA Grapalat" w:hAnsi="GHEA Grapalat" w:cs="Sylfaen"/>
          <w:sz w:val="22"/>
          <w:szCs w:val="22"/>
        </w:rPr>
        <w:t xml:space="preserve">համապատասխանաբար 1.9 մլրդ դրամ՝ 93.1% և 697.3 մլն դրամ՝ 93.9%, </w:t>
      </w:r>
      <w:r w:rsidRPr="001F63BA">
        <w:rPr>
          <w:rFonts w:ascii="GHEA Grapalat" w:hAnsi="GHEA Grapalat" w:cs="GHEA Grapalat"/>
          <w:sz w:val="22"/>
          <w:szCs w:val="22"/>
        </w:rPr>
        <w:t>որոնք 2021 թվականին չ</w:t>
      </w:r>
      <w:r w:rsidRPr="001F63BA">
        <w:rPr>
          <w:rFonts w:ascii="GHEA Grapalat" w:hAnsi="GHEA Grapalat" w:cs="GHEA Grapalat"/>
          <w:sz w:val="22"/>
          <w:szCs w:val="22"/>
          <w:lang w:val="en-US"/>
        </w:rPr>
        <w:t>էին</w:t>
      </w:r>
      <w:r w:rsidRPr="001F63BA">
        <w:rPr>
          <w:rFonts w:ascii="GHEA Grapalat" w:hAnsi="GHEA Grapalat" w:cs="GHEA Grapalat"/>
          <w:sz w:val="22"/>
          <w:szCs w:val="22"/>
        </w:rPr>
        <w:t xml:space="preserve"> նախատեսվել:</w:t>
      </w:r>
    </w:p>
    <w:p w:rsidR="001C411D" w:rsidRPr="001F63BA" w:rsidRDefault="001C411D" w:rsidP="00865E10">
      <w:pPr>
        <w:spacing w:line="360" w:lineRule="auto"/>
        <w:ind w:firstLine="561"/>
        <w:jc w:val="both"/>
        <w:rPr>
          <w:rFonts w:ascii="GHEA Grapalat" w:hAnsi="GHEA Grapalat" w:cs="Sylfaen"/>
          <w:sz w:val="22"/>
          <w:szCs w:val="22"/>
        </w:rPr>
      </w:pPr>
      <w:r w:rsidRPr="001F63BA">
        <w:rPr>
          <w:rFonts w:ascii="GHEA Grapalat" w:hAnsi="GHEA Grapalat" w:cs="Sylfaen"/>
          <w:sz w:val="22"/>
          <w:szCs w:val="22"/>
        </w:rPr>
        <w:t>Կրթական</w:t>
      </w:r>
      <w:r w:rsidRPr="001F63BA">
        <w:rPr>
          <w:rFonts w:ascii="GHEA Grapalat" w:hAnsi="GHEA Grapalat" w:cs="Sylfaen"/>
          <w:sz w:val="22"/>
          <w:szCs w:val="22"/>
          <w:lang w:val="pt-BR"/>
        </w:rPr>
        <w:t xml:space="preserve"> </w:t>
      </w:r>
      <w:r w:rsidRPr="001F63BA">
        <w:rPr>
          <w:rFonts w:ascii="GHEA Grapalat" w:hAnsi="GHEA Grapalat" w:cs="Sylfaen"/>
          <w:sz w:val="22"/>
          <w:szCs w:val="22"/>
        </w:rPr>
        <w:t>օբյեկտների</w:t>
      </w:r>
      <w:r w:rsidRPr="001F63BA">
        <w:rPr>
          <w:rFonts w:ascii="GHEA Grapalat" w:hAnsi="GHEA Grapalat" w:cs="Sylfaen"/>
          <w:sz w:val="22"/>
          <w:szCs w:val="22"/>
          <w:lang w:val="pt-BR"/>
        </w:rPr>
        <w:t xml:space="preserve"> </w:t>
      </w:r>
      <w:r w:rsidRPr="001F63BA">
        <w:rPr>
          <w:rFonts w:ascii="GHEA Grapalat" w:hAnsi="GHEA Grapalat" w:cs="Sylfaen"/>
          <w:sz w:val="22"/>
          <w:szCs w:val="22"/>
        </w:rPr>
        <w:t>շենքային պայմանների</w:t>
      </w:r>
      <w:r w:rsidRPr="001F63BA">
        <w:rPr>
          <w:rFonts w:ascii="GHEA Grapalat" w:hAnsi="GHEA Grapalat" w:cs="Sylfaen"/>
          <w:sz w:val="22"/>
          <w:szCs w:val="22"/>
          <w:lang w:val="pt-BR"/>
        </w:rPr>
        <w:t xml:space="preserve"> </w:t>
      </w:r>
      <w:r w:rsidRPr="001F63BA">
        <w:rPr>
          <w:rFonts w:ascii="GHEA Grapalat" w:hAnsi="GHEA Grapalat" w:cs="Sylfaen"/>
          <w:sz w:val="22"/>
          <w:szCs w:val="22"/>
        </w:rPr>
        <w:t>բարելավման միջոցառման շրջանակում 94 կրթական օբյեկտներում իրականացվել են շենքային պայմանների</w:t>
      </w:r>
      <w:r w:rsidRPr="001F63BA">
        <w:rPr>
          <w:rFonts w:ascii="GHEA Grapalat" w:hAnsi="GHEA Grapalat" w:cs="Sylfaen"/>
          <w:sz w:val="22"/>
          <w:szCs w:val="22"/>
          <w:lang w:val="pt-BR"/>
        </w:rPr>
        <w:t xml:space="preserve"> </w:t>
      </w:r>
      <w:r w:rsidRPr="001F63BA">
        <w:rPr>
          <w:rFonts w:ascii="GHEA Grapalat" w:hAnsi="GHEA Grapalat" w:cs="Sylfaen"/>
          <w:sz w:val="22"/>
          <w:szCs w:val="22"/>
        </w:rPr>
        <w:t>բարելավման աշխատանքներ՝ նախատեսված 101-ի և 2021 թվականի 52-ի դիմաց: Աշխատանքներ</w:t>
      </w:r>
      <w:r w:rsidRPr="001F63BA">
        <w:rPr>
          <w:rFonts w:ascii="GHEA Grapalat" w:hAnsi="GHEA Grapalat" w:cs="Sylfaen"/>
          <w:sz w:val="22"/>
          <w:szCs w:val="22"/>
          <w:lang w:val="en-US"/>
        </w:rPr>
        <w:t>ն</w:t>
      </w:r>
      <w:r w:rsidRPr="001F63BA">
        <w:rPr>
          <w:rFonts w:ascii="GHEA Grapalat" w:hAnsi="GHEA Grapalat" w:cs="Sylfaen"/>
          <w:sz w:val="22"/>
          <w:szCs w:val="22"/>
        </w:rPr>
        <w:t xml:space="preserve"> իրականացվել են ՀՀ Արագածոտնի մարզի՝ 14, ՀՀ Արարատի մարզի՝ 7, ՀՀ Արմավիրի մարզի՝ 13, ՀՀ Գեղարքունիքի մարզի՝ 9, ՀՀ Լոռու մարզի՝ 16, ՀՀ Կոտայքի մարզի՝ 3, ՀՀ Շիրակի մարզի՝ 21 և ՀՀ Տավուշի մարզի՝ 11 դպրոցներում։ Կրթական</w:t>
      </w:r>
      <w:r w:rsidRPr="001F63BA">
        <w:rPr>
          <w:rFonts w:ascii="GHEA Grapalat" w:hAnsi="GHEA Grapalat" w:cs="Sylfaen"/>
          <w:sz w:val="22"/>
          <w:szCs w:val="22"/>
          <w:lang w:val="pt-BR"/>
        </w:rPr>
        <w:t xml:space="preserve"> </w:t>
      </w:r>
      <w:r w:rsidRPr="001F63BA">
        <w:rPr>
          <w:rFonts w:ascii="GHEA Grapalat" w:hAnsi="GHEA Grapalat" w:cs="Sylfaen"/>
          <w:sz w:val="22"/>
          <w:szCs w:val="22"/>
        </w:rPr>
        <w:t>օբյեկտների</w:t>
      </w:r>
      <w:r w:rsidRPr="001F63BA">
        <w:rPr>
          <w:rFonts w:ascii="GHEA Grapalat" w:hAnsi="GHEA Grapalat" w:cs="Sylfaen"/>
          <w:sz w:val="22"/>
          <w:szCs w:val="22"/>
          <w:lang w:val="pt-BR"/>
        </w:rPr>
        <w:t xml:space="preserve"> </w:t>
      </w:r>
      <w:r w:rsidRPr="001F63BA">
        <w:rPr>
          <w:rFonts w:ascii="GHEA Grapalat" w:hAnsi="GHEA Grapalat" w:cs="Sylfaen"/>
          <w:sz w:val="22"/>
          <w:szCs w:val="22"/>
        </w:rPr>
        <w:t xml:space="preserve">շենքային պայմանների բարելավման ծախսերը կազմել են ավելի քան </w:t>
      </w:r>
      <w:r w:rsidRPr="001F63BA">
        <w:rPr>
          <w:rFonts w:ascii="GHEA Grapalat" w:hAnsi="GHEA Grapalat" w:cs="Sylfaen"/>
          <w:sz w:val="22"/>
          <w:szCs w:val="22"/>
          <w:lang w:val="et-EE"/>
        </w:rPr>
        <w:t xml:space="preserve">1.5 </w:t>
      </w:r>
      <w:r w:rsidRPr="001F63BA">
        <w:rPr>
          <w:rFonts w:ascii="GHEA Grapalat" w:hAnsi="GHEA Grapalat" w:cs="Sylfaen"/>
          <w:sz w:val="22"/>
          <w:szCs w:val="22"/>
        </w:rPr>
        <w:t>մլրդ</w:t>
      </w:r>
      <w:r w:rsidRPr="001F63BA">
        <w:rPr>
          <w:rFonts w:ascii="GHEA Grapalat" w:hAnsi="GHEA Grapalat" w:cs="Sylfaen"/>
          <w:sz w:val="22"/>
          <w:szCs w:val="22"/>
          <w:lang w:val="et-EE"/>
        </w:rPr>
        <w:t xml:space="preserve"> </w:t>
      </w:r>
      <w:r w:rsidRPr="001F63BA">
        <w:rPr>
          <w:rFonts w:ascii="GHEA Grapalat" w:hAnsi="GHEA Grapalat" w:cs="Sylfaen"/>
          <w:sz w:val="22"/>
          <w:szCs w:val="22"/>
        </w:rPr>
        <w:t>դրամ կամ</w:t>
      </w:r>
      <w:r w:rsidRPr="001F63BA">
        <w:rPr>
          <w:rFonts w:ascii="GHEA Grapalat" w:hAnsi="GHEA Grapalat" w:cs="Times Armenian"/>
          <w:sz w:val="22"/>
          <w:szCs w:val="22"/>
        </w:rPr>
        <w:t xml:space="preserve"> ծրագրի 86.6%-ը՝ </w:t>
      </w:r>
      <w:r w:rsidRPr="001F63BA">
        <w:rPr>
          <w:rFonts w:ascii="GHEA Grapalat" w:hAnsi="GHEA Grapalat" w:cs="Sylfaen"/>
          <w:sz w:val="22"/>
          <w:szCs w:val="22"/>
        </w:rPr>
        <w:t>պայմանավորված</w:t>
      </w:r>
      <w:r w:rsidRPr="001F63BA">
        <w:rPr>
          <w:rFonts w:ascii="GHEA Grapalat" w:hAnsi="GHEA Grapalat" w:cs="Sylfaen"/>
          <w:sz w:val="22"/>
          <w:szCs w:val="22"/>
          <w:lang w:val="en-US"/>
        </w:rPr>
        <w:t xml:space="preserve"> ներկայացված</w:t>
      </w:r>
      <w:r w:rsidRPr="001F63BA">
        <w:rPr>
          <w:rFonts w:ascii="GHEA Grapalat" w:hAnsi="GHEA Grapalat" w:cs="Sylfaen"/>
          <w:sz w:val="22"/>
          <w:szCs w:val="22"/>
        </w:rPr>
        <w:t xml:space="preserve"> կատարողական ակտերով: Նախորդ տարվա համեմատ </w:t>
      </w:r>
      <w:r w:rsidRPr="001F63BA">
        <w:rPr>
          <w:rFonts w:ascii="GHEA Grapalat" w:hAnsi="GHEA Grapalat" w:cs="Sylfaen"/>
          <w:sz w:val="22"/>
          <w:szCs w:val="22"/>
          <w:lang w:val="en-US"/>
        </w:rPr>
        <w:t>կ</w:t>
      </w:r>
      <w:r w:rsidRPr="001F63BA">
        <w:rPr>
          <w:rFonts w:ascii="GHEA Grapalat" w:hAnsi="GHEA Grapalat" w:cs="Sylfaen"/>
          <w:sz w:val="22"/>
          <w:szCs w:val="22"/>
        </w:rPr>
        <w:t>րթական</w:t>
      </w:r>
      <w:r w:rsidRPr="001F63BA">
        <w:rPr>
          <w:rFonts w:ascii="GHEA Grapalat" w:hAnsi="GHEA Grapalat" w:cs="Sylfaen"/>
          <w:sz w:val="22"/>
          <w:szCs w:val="22"/>
          <w:lang w:val="pt-BR"/>
        </w:rPr>
        <w:t xml:space="preserve"> </w:t>
      </w:r>
      <w:r w:rsidRPr="001F63BA">
        <w:rPr>
          <w:rFonts w:ascii="GHEA Grapalat" w:hAnsi="GHEA Grapalat" w:cs="Sylfaen"/>
          <w:sz w:val="22"/>
          <w:szCs w:val="22"/>
        </w:rPr>
        <w:t>օբյեկտների</w:t>
      </w:r>
      <w:r w:rsidRPr="001F63BA">
        <w:rPr>
          <w:rFonts w:ascii="GHEA Grapalat" w:hAnsi="GHEA Grapalat" w:cs="Sylfaen"/>
          <w:sz w:val="22"/>
          <w:szCs w:val="22"/>
          <w:lang w:val="pt-BR"/>
        </w:rPr>
        <w:t xml:space="preserve"> </w:t>
      </w:r>
      <w:r w:rsidRPr="001F63BA">
        <w:rPr>
          <w:rFonts w:ascii="GHEA Grapalat" w:hAnsi="GHEA Grapalat" w:cs="Sylfaen"/>
          <w:sz w:val="22"/>
          <w:szCs w:val="22"/>
        </w:rPr>
        <w:t>շենքային պայմանների բարելավման ծախսերն աճել են 3.7 անգամ կամ 1.1</w:t>
      </w:r>
      <w:r w:rsidRPr="001F63BA">
        <w:rPr>
          <w:rFonts w:ascii="Courier New" w:hAnsi="Courier New" w:cs="Courier New"/>
          <w:sz w:val="22"/>
          <w:szCs w:val="22"/>
        </w:rPr>
        <w:t> </w:t>
      </w:r>
      <w:r w:rsidRPr="001F63BA">
        <w:rPr>
          <w:rFonts w:ascii="GHEA Grapalat" w:hAnsi="GHEA Grapalat" w:cs="Sylfaen"/>
          <w:sz w:val="22"/>
          <w:szCs w:val="22"/>
        </w:rPr>
        <w:t>մլրդ դրամով</w:t>
      </w:r>
      <w:r w:rsidRPr="001F63BA">
        <w:rPr>
          <w:rFonts w:ascii="GHEA Grapalat" w:hAnsi="GHEA Grapalat" w:cs="Sylfaen"/>
          <w:sz w:val="22"/>
          <w:szCs w:val="22"/>
          <w:lang w:val="en-US"/>
        </w:rPr>
        <w:t>՝</w:t>
      </w:r>
      <w:r w:rsidRPr="001F63BA">
        <w:rPr>
          <w:rFonts w:ascii="GHEA Grapalat" w:hAnsi="GHEA Grapalat" w:cs="Sylfaen"/>
          <w:sz w:val="22"/>
          <w:szCs w:val="22"/>
        </w:rPr>
        <w:t xml:space="preserve"> պայմանավորված </w:t>
      </w:r>
      <w:r w:rsidRPr="001F63BA">
        <w:rPr>
          <w:rFonts w:ascii="GHEA Grapalat" w:hAnsi="GHEA Grapalat" w:cs="Sylfaen"/>
          <w:sz w:val="22"/>
          <w:szCs w:val="22"/>
          <w:lang w:val="en-US"/>
        </w:rPr>
        <w:t xml:space="preserve">հիմնանորոգվող կրթական </w:t>
      </w:r>
      <w:r w:rsidRPr="001F63BA">
        <w:rPr>
          <w:rFonts w:ascii="GHEA Grapalat" w:hAnsi="GHEA Grapalat" w:cs="Sylfaen"/>
          <w:sz w:val="22"/>
          <w:szCs w:val="22"/>
        </w:rPr>
        <w:t>օբյեկտների թվ</w:t>
      </w:r>
      <w:r w:rsidRPr="001F63BA">
        <w:rPr>
          <w:rFonts w:ascii="GHEA Grapalat" w:hAnsi="GHEA Grapalat" w:cs="Sylfaen"/>
          <w:sz w:val="22"/>
          <w:szCs w:val="22"/>
          <w:lang w:val="en-US"/>
        </w:rPr>
        <w:t>ի</w:t>
      </w:r>
      <w:r w:rsidRPr="001F63BA">
        <w:rPr>
          <w:rFonts w:ascii="GHEA Grapalat" w:hAnsi="GHEA Grapalat" w:cs="Sylfaen"/>
          <w:sz w:val="22"/>
          <w:szCs w:val="22"/>
        </w:rPr>
        <w:t xml:space="preserve"> և </w:t>
      </w:r>
      <w:r w:rsidRPr="001F63BA">
        <w:rPr>
          <w:rFonts w:ascii="GHEA Grapalat" w:hAnsi="GHEA Grapalat" w:cs="Sylfaen"/>
          <w:sz w:val="22"/>
          <w:szCs w:val="22"/>
          <w:lang w:val="en-US"/>
        </w:rPr>
        <w:t>աշխատանքների</w:t>
      </w:r>
      <w:r w:rsidRPr="001F63BA">
        <w:rPr>
          <w:rFonts w:ascii="GHEA Grapalat" w:hAnsi="GHEA Grapalat" w:cs="Sylfaen"/>
          <w:sz w:val="22"/>
          <w:szCs w:val="22"/>
        </w:rPr>
        <w:t xml:space="preserve"> ծավալների ա</w:t>
      </w:r>
      <w:r w:rsidRPr="001F63BA">
        <w:rPr>
          <w:rFonts w:ascii="GHEA Grapalat" w:hAnsi="GHEA Grapalat" w:cs="Sylfaen"/>
          <w:sz w:val="22"/>
          <w:szCs w:val="22"/>
          <w:lang w:val="en-US"/>
        </w:rPr>
        <w:t>ճով</w:t>
      </w:r>
      <w:r w:rsidRPr="001F63BA">
        <w:rPr>
          <w:rFonts w:ascii="GHEA Grapalat" w:hAnsi="GHEA Grapalat" w:cs="Sylfaen"/>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2022 թվականի ընթացքում շուրջ 4 մլրդ դրամ է տրամադրվել </w:t>
      </w:r>
      <w:r w:rsidRPr="001F63BA">
        <w:rPr>
          <w:rFonts w:ascii="GHEA Grapalat" w:hAnsi="GHEA Grapalat" w:cs="Sylfaen"/>
          <w:i/>
          <w:sz w:val="22"/>
          <w:szCs w:val="22"/>
        </w:rPr>
        <w:t>Կրթության որակի ապահովման ծրագրին</w:t>
      </w:r>
      <w:r w:rsidRPr="001F63BA">
        <w:rPr>
          <w:rFonts w:ascii="GHEA Grapalat" w:hAnsi="GHEA Grapalat" w:cs="Sylfaen"/>
          <w:sz w:val="22"/>
          <w:szCs w:val="22"/>
        </w:rPr>
        <w:t>՝ կազմելով ծրագրված ցուցանիշի 82.6%-ը: Ծրագրի նկատմամբ շեղումը հիմնականում պայմանավորված է ուսուցիչների որակի բարձրացմանն ուղղված ատեստավորման նոր համակարգի ներդրման, Համաշխարհային բանկի աջակցությամբ իրականացվող «Հայաստանում ԵՄ-ն ի նպաստ նորարարության» դրամաշնորհային փորձնական ծրագրի</w:t>
      </w:r>
      <w:r w:rsidRPr="001F63BA">
        <w:rPr>
          <w:rFonts w:ascii="GHEA Grapalat" w:hAnsi="GHEA Grapalat" w:cs="Sylfaen"/>
          <w:sz w:val="22"/>
          <w:szCs w:val="22"/>
          <w:lang w:val="en-US"/>
        </w:rPr>
        <w:t xml:space="preserve">, </w:t>
      </w:r>
      <w:r w:rsidRPr="001F63BA">
        <w:rPr>
          <w:rFonts w:ascii="GHEA Grapalat" w:hAnsi="GHEA Grapalat" w:cs="Sylfaen"/>
          <w:sz w:val="22"/>
          <w:szCs w:val="22"/>
        </w:rPr>
        <w:t>ինչպես</w:t>
      </w:r>
      <w:r w:rsidRPr="001F63BA">
        <w:rPr>
          <w:rFonts w:ascii="GHEA Grapalat" w:hAnsi="GHEA Grapalat" w:cs="Sylfaen"/>
          <w:sz w:val="22"/>
          <w:szCs w:val="22"/>
          <w:lang w:val="en-US"/>
        </w:rPr>
        <w:t xml:space="preserve"> նաև հանրակրթական հիմնական ծրագրեր իրականացնող ուսումնական հաստատությունների հերթական ատեստավորման ենթակա </w:t>
      </w:r>
      <w:r w:rsidRPr="001F63BA">
        <w:rPr>
          <w:rFonts w:ascii="GHEA Grapalat" w:hAnsi="GHEA Grapalat" w:cs="Sylfaen"/>
          <w:sz w:val="22"/>
          <w:szCs w:val="22"/>
          <w:lang w:val="en-US"/>
        </w:rPr>
        <w:lastRenderedPageBreak/>
        <w:t>ուսուցչի վերապատրաստման</w:t>
      </w:r>
      <w:r w:rsidRPr="001F63BA">
        <w:rPr>
          <w:rFonts w:ascii="GHEA Grapalat" w:hAnsi="GHEA Grapalat" w:cs="Sylfaen"/>
          <w:sz w:val="22"/>
          <w:szCs w:val="22"/>
        </w:rPr>
        <w:t xml:space="preserve"> ծախսեր</w:t>
      </w:r>
      <w:r w:rsidRPr="001F63BA">
        <w:rPr>
          <w:rFonts w:ascii="GHEA Grapalat" w:hAnsi="GHEA Grapalat" w:cs="Sylfaen"/>
          <w:sz w:val="22"/>
          <w:szCs w:val="22"/>
          <w:lang w:val="en-US"/>
        </w:rPr>
        <w:t>ի կատարողական</w:t>
      </w:r>
      <w:r w:rsidRPr="001F63BA">
        <w:rPr>
          <w:rFonts w:ascii="GHEA Grapalat" w:hAnsi="GHEA Grapalat" w:cs="Sylfaen"/>
          <w:sz w:val="22"/>
          <w:szCs w:val="22"/>
        </w:rPr>
        <w:t>ով: Կրթության որակի ապահովման ծրագի</w:t>
      </w:r>
      <w:r w:rsidRPr="001F63BA">
        <w:rPr>
          <w:rFonts w:ascii="GHEA Grapalat" w:hAnsi="GHEA Grapalat" w:cs="Sylfaen"/>
          <w:sz w:val="22"/>
          <w:szCs w:val="22"/>
          <w:lang w:val="en-US"/>
        </w:rPr>
        <w:t>ր</w:t>
      </w:r>
      <w:r w:rsidRPr="001F63BA">
        <w:rPr>
          <w:rFonts w:ascii="GHEA Grapalat" w:hAnsi="GHEA Grapalat" w:cs="Sylfaen"/>
          <w:sz w:val="22"/>
          <w:szCs w:val="22"/>
        </w:rPr>
        <w:t xml:space="preserve">ն ուղղված է նախադպրոցականից մինչև հետբուհական կրթության որակի՝ սովորողների, միջավայրի, ծրագրերի և ուսումնական նյութերի բովանդակության, գործընթացների, ինչպես նաև վերջնարդյունքների որակի՝ ըստ ներպետական և միջազգային ցուցիչների բարելավմանը: Նախորդ տարվա համեմատ Կրթության որակի ապահովման ծրագրի ծախսերը նվազել են 2.2%-ով կամ 88.8 մլն դրամով, որը հիմնականում պայմանավորված է Համաշխարհային բանկի աջակցությամբ իրականացվող կրթության բարելավման ծրագրի շրջանակներում </w:t>
      </w:r>
      <w:r w:rsidRPr="001F63BA">
        <w:rPr>
          <w:rFonts w:ascii="GHEA Grapalat" w:hAnsi="GHEA Grapalat" w:cs="Sylfaen"/>
          <w:sz w:val="22"/>
          <w:szCs w:val="22"/>
          <w:lang w:val="en-US"/>
        </w:rPr>
        <w:t>կատար</w:t>
      </w:r>
      <w:r w:rsidRPr="001F63BA">
        <w:rPr>
          <w:rFonts w:ascii="GHEA Grapalat" w:hAnsi="GHEA Grapalat" w:cs="Sylfaen"/>
          <w:sz w:val="22"/>
          <w:szCs w:val="22"/>
        </w:rPr>
        <w:t>ված ծախսերի նվազմամբ:</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Arial"/>
          <w:sz w:val="22"/>
          <w:szCs w:val="22"/>
          <w:lang w:val="zu-ZA"/>
        </w:rPr>
        <w:t xml:space="preserve">«Ատեստավորման նոր համակարգի </w:t>
      </w:r>
      <w:r w:rsidRPr="001F63BA">
        <w:rPr>
          <w:rFonts w:ascii="GHEA Grapalat" w:hAnsi="GHEA Grapalat" w:cs="Sylfaen"/>
          <w:sz w:val="22"/>
          <w:szCs w:val="22"/>
        </w:rPr>
        <w:t xml:space="preserve">ներդրում՝ ուղղված ուսուցիչների որակի բարձրացմանը» միջոցառման շրջանակներում կամավոր ատեստավորմանը մասնակցել են 2653 </w:t>
      </w:r>
      <w:r w:rsidRPr="001F63BA">
        <w:rPr>
          <w:rFonts w:ascii="GHEA Grapalat" w:hAnsi="GHEA Grapalat"/>
          <w:sz w:val="22"/>
          <w:szCs w:val="22"/>
        </w:rPr>
        <w:t>ուսուցիչներ</w:t>
      </w:r>
      <w:r w:rsidRPr="001F63BA">
        <w:rPr>
          <w:rFonts w:ascii="GHEA Grapalat" w:hAnsi="GHEA Grapalat" w:cs="Sylfaen"/>
          <w:sz w:val="22"/>
          <w:szCs w:val="22"/>
        </w:rPr>
        <w:t>՝ նախատեսված 2594-ի և 2021 թվականի 996-ի դիմաց, որոնցից 1048</w:t>
      </w:r>
      <w:r w:rsidRPr="001F63BA">
        <w:rPr>
          <w:rFonts w:ascii="GHEA Grapalat" w:hAnsi="GHEA Grapalat"/>
          <w:sz w:val="22"/>
          <w:szCs w:val="22"/>
        </w:rPr>
        <w:t xml:space="preserve"> ուսուցիչներ</w:t>
      </w:r>
      <w:r w:rsidRPr="001F63BA">
        <w:rPr>
          <w:rFonts w:ascii="GHEA Grapalat" w:hAnsi="GHEA Grapalat" w:cs="Sylfaen"/>
          <w:sz w:val="22"/>
          <w:szCs w:val="22"/>
        </w:rPr>
        <w:t xml:space="preserve"> հաղթահարել են անհրաժեշտ շեմը և ստացել են հավելավճարներ՝ աշխատավարձի 30-50%-ի չափով՝ կանխատեսված 1548-ի և 2021 թվականի 474-ի դիմաց: 2022 թվականի</w:t>
      </w:r>
      <w:r w:rsidRPr="001F63BA">
        <w:rPr>
          <w:rFonts w:ascii="GHEA Grapalat" w:hAnsi="GHEA Grapalat" w:cs="Sylfaen"/>
          <w:sz w:val="22"/>
          <w:szCs w:val="22"/>
          <w:lang w:val="en-US"/>
        </w:rPr>
        <w:t>ն</w:t>
      </w:r>
      <w:r w:rsidRPr="001F63BA">
        <w:rPr>
          <w:rFonts w:ascii="GHEA Grapalat" w:hAnsi="GHEA Grapalat" w:cs="Sylfaen"/>
          <w:sz w:val="22"/>
          <w:szCs w:val="22"/>
        </w:rPr>
        <w:t xml:space="preserve"> հաստատվել է ուսուցիչների կամավոր ատեստավորման, կամավոր ատեստավորման արդյունքով ուսուցչի դրույքաչափի և դրան հատկացվող հավելավճարի տրամադրման, կամավոր ատեստավորման հանձնաժողովի ձևավորման կարգը, որի համաձայն 2022 թվականի մայիսի 1-ից կամավոր ատեստավորման շեմը հաղթահարած և 70-100% արդյունք ցուցաբերած ուսուցիչների դրույքաչափը փոխվել և սահմանվել է 200 հազար դրամ մեկ դրույք զբաղվածության համար, որի նկատմամբ կիրառվել է համապատասխան չափով հավելավճարը: Կամավոր ատեստավորման արդյունքում 90</w:t>
      </w:r>
      <w:r w:rsidRPr="001F63BA">
        <w:rPr>
          <w:rFonts w:ascii="GHEA Grapalat" w:hAnsi="GHEA Grapalat" w:cs="Sylfaen"/>
          <w:sz w:val="22"/>
          <w:szCs w:val="22"/>
          <w:lang w:val="en-US"/>
        </w:rPr>
        <w:noBreakHyphen/>
      </w:r>
      <w:r w:rsidRPr="001F63BA">
        <w:rPr>
          <w:rFonts w:ascii="GHEA Grapalat" w:hAnsi="GHEA Grapalat" w:cs="Sylfaen"/>
          <w:sz w:val="22"/>
          <w:szCs w:val="22"/>
        </w:rPr>
        <w:t>100% արդյունք ցուցաբերած ուսուցիչներին հավելավճարը տրվել է աշխատավարձի 50%-ի չափով, 80-89% արդյունք ցուցաբերած ուսուցիչներին՝ 40%</w:t>
      </w:r>
      <w:r w:rsidRPr="001F63BA">
        <w:rPr>
          <w:rFonts w:ascii="GHEA Grapalat" w:hAnsi="GHEA Grapalat" w:cs="Sylfaen"/>
          <w:sz w:val="22"/>
          <w:szCs w:val="22"/>
          <w:lang w:val="en-US"/>
        </w:rPr>
        <w:t>-ի</w:t>
      </w:r>
      <w:r w:rsidRPr="001F63BA">
        <w:rPr>
          <w:rFonts w:ascii="GHEA Grapalat" w:hAnsi="GHEA Grapalat" w:cs="Sylfaen"/>
          <w:sz w:val="22"/>
          <w:szCs w:val="22"/>
        </w:rPr>
        <w:t xml:space="preserve"> չափով, 70-79% արդյունք ցուցաբերած ուսուցիչներին՝ 30%-ի չափով: Կամավոր ատեստավորման արդյունքում 60-69% արդյունք ցուցաբերած ուսուցիչների աշխատավարձը պահպանվել է առանց դրույքաչափի փոփոխության և հավելավճարի, իսկ մինչև 60% արդյունքի դեպքում ուսուցիչը ենթակա է եղել վերաատեստավորման՝ մեկ տարվա ընթացքում: Երկրորդ տարում վերաատեստավորումը չանցած ուսուցիչն ազատվում է զբաղեցրած պաշտոնից՝ համաձայն «Հանրակրթության մասին» օրենքի: Հարկ է նշել նաև, որ հաստատված </w:t>
      </w:r>
      <w:r w:rsidRPr="001F63BA">
        <w:rPr>
          <w:rFonts w:ascii="GHEA Grapalat" w:hAnsi="GHEA Grapalat" w:cs="Sylfaen"/>
          <w:sz w:val="22"/>
          <w:szCs w:val="22"/>
          <w:lang w:val="en-US"/>
        </w:rPr>
        <w:t>կ</w:t>
      </w:r>
      <w:r w:rsidRPr="001F63BA">
        <w:rPr>
          <w:rFonts w:ascii="GHEA Grapalat" w:hAnsi="GHEA Grapalat" w:cs="Sylfaen"/>
          <w:sz w:val="22"/>
          <w:szCs w:val="22"/>
        </w:rPr>
        <w:t xml:space="preserve">արգի համաձայն՝ ատեստավորումն անցած ուսուցիչներին հավելավճար տրվում է 5 տարի ժամկետով, և այն պահպանվում է նաև դպրոցից դպրոց տեղափոխման </w:t>
      </w:r>
      <w:r w:rsidRPr="001F63BA">
        <w:rPr>
          <w:rFonts w:ascii="GHEA Grapalat" w:hAnsi="GHEA Grapalat" w:cs="Sylfaen"/>
          <w:sz w:val="22"/>
          <w:szCs w:val="22"/>
          <w:lang w:val="en-US"/>
        </w:rPr>
        <w:t>դեպք</w:t>
      </w:r>
      <w:r w:rsidRPr="001F63BA">
        <w:rPr>
          <w:rFonts w:ascii="GHEA Grapalat" w:hAnsi="GHEA Grapalat" w:cs="Sylfaen"/>
          <w:sz w:val="22"/>
          <w:szCs w:val="22"/>
        </w:rPr>
        <w:t xml:space="preserve">ում: Մեկից ավելի առարկա դասավանդելու դեպքում ուսուցիչը հավելավճար է ստանում իր ամբողջ աշխատավարձի համապատասխան տոկոսի չափով՝ անկախ նրանից, թե որ առարկայից է ատեստավորվել: «Ատեստավորման նոր համակարգի ներդրում՝ ուղղված ուսուցիչների որակի բարձրացմանը» միջոցառման ծախսերը կազմել են ավելի քան 1 մլրդ դրամ` ապահովելով 81.6% կատարողական: Ծախսերի՝ ծրագրից շեղումը, ինչպես նաև փաստացի ցածր արդյունքային ցուցանիշը </w:t>
      </w:r>
      <w:r w:rsidRPr="001F63BA">
        <w:rPr>
          <w:rFonts w:ascii="GHEA Grapalat" w:hAnsi="GHEA Grapalat" w:cs="Sylfaen"/>
          <w:sz w:val="22"/>
          <w:szCs w:val="22"/>
        </w:rPr>
        <w:lastRenderedPageBreak/>
        <w:t xml:space="preserve">պայմանավորված է կամավոր ատեստավորման շեմը հաղթահարած ուսուցիչների փաստացի թվով: Նախորդ տարվա համեմատ </w:t>
      </w:r>
      <w:r w:rsidRPr="001F63BA">
        <w:rPr>
          <w:rFonts w:ascii="GHEA Grapalat" w:hAnsi="GHEA Grapalat" w:cs="Sylfaen"/>
          <w:sz w:val="22"/>
          <w:szCs w:val="22"/>
          <w:lang w:val="en-US"/>
        </w:rPr>
        <w:t xml:space="preserve">նշված </w:t>
      </w:r>
      <w:r w:rsidRPr="001F63BA">
        <w:rPr>
          <w:rFonts w:ascii="GHEA Grapalat" w:hAnsi="GHEA Grapalat" w:cs="Sylfaen"/>
          <w:sz w:val="22"/>
          <w:szCs w:val="22"/>
        </w:rPr>
        <w:t>ծախսերն աճել են 14.9 անգամ կամ 956</w:t>
      </w:r>
      <w:r w:rsidRPr="001F63BA">
        <w:rPr>
          <w:rFonts w:ascii="Courier New" w:hAnsi="Courier New" w:cs="Courier New"/>
          <w:sz w:val="22"/>
          <w:szCs w:val="22"/>
        </w:rPr>
        <w:t> </w:t>
      </w:r>
      <w:r w:rsidRPr="001F63BA">
        <w:rPr>
          <w:rFonts w:ascii="GHEA Grapalat" w:hAnsi="GHEA Grapalat" w:cs="Sylfaen"/>
          <w:sz w:val="22"/>
          <w:szCs w:val="22"/>
        </w:rPr>
        <w:t>մլն դրամով: Նման ցուցանիշը պայմանավորված է կամավոր ատեստավորման շեմը հաղթահարած ուսուցիչների թվ</w:t>
      </w:r>
      <w:r w:rsidRPr="001F63BA">
        <w:rPr>
          <w:rFonts w:ascii="GHEA Grapalat" w:hAnsi="GHEA Grapalat" w:cs="Sylfaen"/>
          <w:sz w:val="22"/>
          <w:szCs w:val="22"/>
          <w:lang w:val="en-US"/>
        </w:rPr>
        <w:t>ի աճ</w:t>
      </w:r>
      <w:r w:rsidRPr="001F63BA">
        <w:rPr>
          <w:rFonts w:ascii="GHEA Grapalat" w:hAnsi="GHEA Grapalat" w:cs="Sylfaen"/>
          <w:sz w:val="22"/>
          <w:szCs w:val="22"/>
        </w:rPr>
        <w:t xml:space="preserve">ով, </w:t>
      </w:r>
      <w:r w:rsidRPr="001F63BA">
        <w:rPr>
          <w:rFonts w:ascii="GHEA Grapalat" w:hAnsi="GHEA Grapalat" w:cs="Sylfaen"/>
          <w:sz w:val="22"/>
          <w:szCs w:val="22"/>
          <w:lang w:val="en-US"/>
        </w:rPr>
        <w:t>կ</w:t>
      </w:r>
      <w:r w:rsidRPr="001F63BA">
        <w:rPr>
          <w:rFonts w:ascii="GHEA Grapalat" w:hAnsi="GHEA Grapalat" w:cs="Sylfaen"/>
          <w:sz w:val="22"/>
          <w:szCs w:val="22"/>
        </w:rPr>
        <w:t xml:space="preserve">արգի համաձայն հավելավճարների </w:t>
      </w:r>
      <w:r w:rsidRPr="001F63BA">
        <w:rPr>
          <w:rFonts w:ascii="GHEA Grapalat" w:hAnsi="GHEA Grapalat" w:cs="Times Armenian"/>
          <w:sz w:val="22"/>
          <w:szCs w:val="22"/>
        </w:rPr>
        <w:t>չափի ավելացմամբ</w:t>
      </w:r>
      <w:r w:rsidRPr="001F63BA">
        <w:rPr>
          <w:rFonts w:ascii="GHEA Grapalat" w:hAnsi="GHEA Grapalat" w:cs="Sylfaen"/>
          <w:sz w:val="22"/>
          <w:szCs w:val="22"/>
        </w:rPr>
        <w:t xml:space="preserve">, ինչպես նաև </w:t>
      </w:r>
      <w:r w:rsidRPr="001F63BA">
        <w:rPr>
          <w:rFonts w:ascii="GHEA Grapalat" w:hAnsi="GHEA Grapalat" w:cs="Sylfaen"/>
          <w:sz w:val="22"/>
          <w:szCs w:val="22"/>
          <w:lang w:val="en-US"/>
        </w:rPr>
        <w:t xml:space="preserve">նրանով, որ </w:t>
      </w:r>
      <w:r w:rsidRPr="001F63BA">
        <w:rPr>
          <w:rFonts w:ascii="GHEA Grapalat" w:hAnsi="GHEA Grapalat" w:cs="Sylfaen"/>
          <w:sz w:val="22"/>
          <w:szCs w:val="22"/>
        </w:rPr>
        <w:t>ծրագիրը 2021 թվականին մեկնարկել է սեպտեմբեր ամսից:</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Համաշխարհային բանկի աջակցությամբ իրականացվող «Հայաստանում ԵՄ-ն հանուն նորարարության» դրամաշնորհային փորձնական ծրագրի շրջանակներում Տավուշի մարզում ԳՏՃՄ (գիտություն, տեխնոլոգիա, ճարտարագիտություն, մաթեմատիկա) ոլորտների կրթական միջավայրի բարելավման միջոցառման շրջանակներում Տավուշի մարզի 80 հանրակրթական դպրոցներ ապահովվել են ԳՏՃՄ ոլորտի մասով անհրաժեշտ համակարգչային տեխնիկայով, լաբորատոր սարքավորումներով և գույքով: Համաշխարհային բանկի աջակցությամբ իրականացվող «Հայաստանում ԵՄ-ն հանուն նորարարության» դրամաշնորհային փորձնական ծրագրի շրջանակներում Տավուշի մարզում ԳՏՃՄ (գիտություն, տեխնոլոգիա, ճարտարագիտություն, մաթեմատիկա) ոլորտների կրթական միջավայրի բարելավման </w:t>
      </w:r>
      <w:r w:rsidRPr="001F63BA">
        <w:rPr>
          <w:rFonts w:ascii="GHEA Grapalat" w:hAnsi="GHEA Grapalat" w:cs="Sylfaen"/>
          <w:sz w:val="22"/>
          <w:szCs w:val="22"/>
          <w:lang w:val="en-US"/>
        </w:rPr>
        <w:t>ծախսերի</w:t>
      </w:r>
      <w:r w:rsidRPr="001F63BA">
        <w:rPr>
          <w:rFonts w:ascii="GHEA Grapalat" w:hAnsi="GHEA Grapalat" w:cs="Sylfaen"/>
          <w:sz w:val="22"/>
          <w:szCs w:val="22"/>
        </w:rPr>
        <w:t xml:space="preserve"> կատարողականը կազմել է 89.8%՝ 1.7 մլրդ դրամ: Շեղումը պայմանավորված է այն հանգամանքով, որ Տավուշի մարզի հանրակրթական դպրոցների համար տեղեկատվական և հաղորդակց</w:t>
      </w:r>
      <w:r w:rsidRPr="001F63BA">
        <w:rPr>
          <w:rFonts w:ascii="GHEA Grapalat" w:hAnsi="GHEA Grapalat" w:cs="Sylfaen"/>
          <w:sz w:val="22"/>
          <w:szCs w:val="22"/>
          <w:lang w:val="en-US"/>
        </w:rPr>
        <w:t>մ</w:t>
      </w:r>
      <w:r w:rsidRPr="001F63BA">
        <w:rPr>
          <w:rFonts w:ascii="GHEA Grapalat" w:hAnsi="GHEA Grapalat" w:cs="Sylfaen"/>
          <w:sz w:val="22"/>
          <w:szCs w:val="22"/>
        </w:rPr>
        <w:t xml:space="preserve">ան տեխնոլոգիաների (ՏՀՏ) նյութերի գնման մրցույթը չի կայացել, </w:t>
      </w:r>
      <w:r w:rsidRPr="001F63BA">
        <w:rPr>
          <w:rFonts w:ascii="GHEA Grapalat" w:hAnsi="GHEA Grapalat" w:cs="Sylfaen"/>
          <w:sz w:val="22"/>
          <w:szCs w:val="22"/>
          <w:lang w:val="en-US"/>
        </w:rPr>
        <w:t xml:space="preserve">ինչպես նաև </w:t>
      </w:r>
      <w:r w:rsidRPr="001F63BA">
        <w:rPr>
          <w:rFonts w:ascii="GHEA Grapalat" w:hAnsi="GHEA Grapalat" w:cs="Sylfaen"/>
          <w:sz w:val="22"/>
          <w:szCs w:val="22"/>
        </w:rPr>
        <w:t>մատակարարված լաբորատոր սարքավորումների և գույքի դիմաց վճարումների մի մասը չ</w:t>
      </w:r>
      <w:r w:rsidRPr="001F63BA">
        <w:rPr>
          <w:rFonts w:ascii="GHEA Grapalat" w:hAnsi="GHEA Grapalat" w:cs="Sylfaen"/>
          <w:sz w:val="22"/>
          <w:szCs w:val="22"/>
          <w:lang w:val="en-US"/>
        </w:rPr>
        <w:t>ի</w:t>
      </w:r>
      <w:r w:rsidRPr="001F63BA">
        <w:rPr>
          <w:rFonts w:ascii="GHEA Grapalat" w:hAnsi="GHEA Grapalat" w:cs="Sylfaen"/>
          <w:sz w:val="22"/>
          <w:szCs w:val="22"/>
        </w:rPr>
        <w:t xml:space="preserve"> իրականացվել՝ ֆինանսական միջոցները դեկտեմբերի 30-ին հասանելի լինելու պատճառով: Վերոհիշյալ դրամաշնորհային ծրագրի շրջանակներում Կրթության զարգացման և նորարարության ազգային կենտրոնի զարգացման նպատակով օգտագործվել է նախատեսված միջոցների 46.5%-ը՝ 113.1 մլն դրամ: Ցածր կատարողականը պայմանավորված է այն հանգամանքով, որ եվրոյի արժեզրկման պատճառով ֆինանսական միջոցների անբավարարությամբ պայմանավորված՝ չեն իրականացվել ուսուցիչների ատեստավորման և տարակարգերի շնորհման գործընթացի թվայնացման և ավտոմատացման ծրագրակազմի մշակման աշխատանքները:</w:t>
      </w:r>
    </w:p>
    <w:p w:rsidR="001C411D" w:rsidRPr="001F63BA" w:rsidRDefault="001C411D" w:rsidP="00865E10">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Համաշխարհային բանկի աջակցությամբ իրականացվող կրթության բարելավման վարկային ծրագրի շրջանակներում իրականացվել են Նորարարությունների մրցակցային հիմնադրամի զարգացմանն աջակցության ուղղությամբ ծառայությունների ձեռքբերում և ավագ, միջնակարգ ու հիմնական դպրոցներում և կրթության ոլորտի կազմակերպություններում կապիտալ ներդրումներ: Միջոցառման շրջանակներում Նորարարությունների մրցակցային հիմնադրամից օգտվել է 3 բուհ, կապիտալ ներդրումների շրջանակներում ավարտին </w:t>
      </w:r>
      <w:r w:rsidRPr="001F63BA">
        <w:rPr>
          <w:rFonts w:ascii="GHEA Grapalat" w:hAnsi="GHEA Grapalat" w:cs="Sylfaen"/>
          <w:sz w:val="22"/>
          <w:szCs w:val="22"/>
          <w:lang w:val="en-US"/>
        </w:rPr>
        <w:t>են</w:t>
      </w:r>
      <w:r w:rsidRPr="001F63BA">
        <w:rPr>
          <w:rFonts w:ascii="GHEA Grapalat" w:hAnsi="GHEA Grapalat" w:cs="Sylfaen"/>
          <w:sz w:val="22"/>
          <w:szCs w:val="22"/>
        </w:rPr>
        <w:t xml:space="preserve"> հասցվել «Գորիսի Ա. Բակունցի անվան N 1 ավագ դպրոց» ՊՈԱԿ-ի հիմնանորոգման աշխատանքները:</w:t>
      </w:r>
    </w:p>
    <w:p w:rsidR="001C411D" w:rsidRPr="001F63BA" w:rsidRDefault="001C411D" w:rsidP="00447FFD">
      <w:pPr>
        <w:autoSpaceDE w:val="0"/>
        <w:autoSpaceDN w:val="0"/>
        <w:adjustRightInd w:val="0"/>
        <w:spacing w:line="360" w:lineRule="auto"/>
        <w:ind w:firstLine="567"/>
        <w:jc w:val="both"/>
        <w:rPr>
          <w:rFonts w:ascii="GHEA Grapalat" w:hAnsi="GHEA Grapalat" w:cs="Sylfaen"/>
          <w:lang w:val="en-US"/>
        </w:rPr>
      </w:pPr>
      <w:r w:rsidRPr="001F63BA">
        <w:rPr>
          <w:rFonts w:ascii="GHEA Grapalat" w:hAnsi="GHEA Grapalat"/>
          <w:lang w:val="pt-BR"/>
        </w:rPr>
        <w:lastRenderedPageBreak/>
        <w:t>«</w:t>
      </w:r>
      <w:r w:rsidRPr="001F63BA">
        <w:rPr>
          <w:rFonts w:ascii="GHEA Grapalat" w:hAnsi="GHEA Grapalat" w:cs="Sylfaen"/>
          <w:sz w:val="22"/>
          <w:szCs w:val="22"/>
        </w:rPr>
        <w:t xml:space="preserve">Կրթության բարելավում» վարկային ծրագրի </w:t>
      </w:r>
      <w:r w:rsidRPr="001F63BA">
        <w:rPr>
          <w:rFonts w:ascii="GHEA Grapalat" w:hAnsi="GHEA Grapalat"/>
          <w:lang w:val="pt-BR"/>
        </w:rPr>
        <w:t>(</w:t>
      </w:r>
      <w:r w:rsidRPr="001F63BA">
        <w:rPr>
          <w:rFonts w:ascii="GHEA Grapalat" w:hAnsi="GHEA Grapalat"/>
        </w:rPr>
        <w:t>ԿԲԾ</w:t>
      </w:r>
      <w:r w:rsidRPr="001F63BA">
        <w:rPr>
          <w:rFonts w:ascii="GHEA Grapalat" w:hAnsi="GHEA Grapalat"/>
          <w:lang w:val="pt-BR"/>
        </w:rPr>
        <w:t xml:space="preserve">) </w:t>
      </w:r>
      <w:r w:rsidRPr="001F63BA">
        <w:rPr>
          <w:rFonts w:ascii="GHEA Grapalat" w:hAnsi="GHEA Grapalat" w:cs="Sylfaen"/>
          <w:sz w:val="22"/>
          <w:szCs w:val="22"/>
        </w:rPr>
        <w:t>ժամկետն ավարտվել</w:t>
      </w:r>
      <w:r w:rsidRPr="001F63BA">
        <w:rPr>
          <w:rFonts w:ascii="GHEA Grapalat" w:hAnsi="GHEA Grapalat" w:cs="Sylfaen"/>
          <w:sz w:val="22"/>
          <w:szCs w:val="22"/>
          <w:lang w:val="en-US"/>
        </w:rPr>
        <w:t xml:space="preserve"> է</w:t>
      </w:r>
      <w:r w:rsidRPr="001F63BA">
        <w:rPr>
          <w:rFonts w:ascii="GHEA Grapalat" w:hAnsi="GHEA Grapalat" w:cs="Sylfaen"/>
          <w:sz w:val="22"/>
          <w:szCs w:val="22"/>
        </w:rPr>
        <w:t xml:space="preserve"> 2022 թվականի ապրիլին: Այն իրականացվել է 8 տարի</w:t>
      </w:r>
      <w:r w:rsidRPr="001F63BA">
        <w:rPr>
          <w:rFonts w:ascii="GHEA Grapalat" w:hAnsi="GHEA Grapalat" w:cs="Sylfaen"/>
          <w:sz w:val="22"/>
          <w:szCs w:val="22"/>
          <w:lang w:val="en-US"/>
        </w:rPr>
        <w:t>:</w:t>
      </w:r>
    </w:p>
    <w:p w:rsidR="001C411D" w:rsidRPr="001F63BA" w:rsidRDefault="001C411D" w:rsidP="00AF30E2">
      <w:pPr>
        <w:tabs>
          <w:tab w:val="left" w:pos="-5387"/>
        </w:tabs>
        <w:spacing w:line="360" w:lineRule="auto"/>
        <w:ind w:left="-90" w:firstLine="630"/>
        <w:jc w:val="both"/>
        <w:rPr>
          <w:rFonts w:ascii="GHEA Grapalat" w:hAnsi="GHEA Grapalat"/>
          <w:sz w:val="22"/>
          <w:szCs w:val="22"/>
        </w:rPr>
      </w:pPr>
      <w:r w:rsidRPr="001F63BA">
        <w:rPr>
          <w:rFonts w:ascii="GHEA Grapalat" w:hAnsi="GHEA Grapalat"/>
          <w:sz w:val="22"/>
          <w:szCs w:val="22"/>
        </w:rPr>
        <w:t>Համաշխարհային բանկի աջակցությամբ իրականացվող կրթության բարելավման վարկային ծրագրի շրջանակներում</w:t>
      </w:r>
      <w:r w:rsidRPr="001F63BA">
        <w:rPr>
          <w:rFonts w:ascii="GHEA Grapalat" w:hAnsi="GHEA Grapalat"/>
          <w:sz w:val="22"/>
          <w:szCs w:val="22"/>
          <w:lang w:val="en-US"/>
        </w:rPr>
        <w:t xml:space="preserve"> 2022 թվականին</w:t>
      </w:r>
      <w:r w:rsidRPr="001F63BA">
        <w:rPr>
          <w:rFonts w:ascii="GHEA Grapalat" w:hAnsi="GHEA Grapalat"/>
          <w:sz w:val="22"/>
          <w:szCs w:val="22"/>
        </w:rPr>
        <w:t xml:space="preserve"> օգտագործվել է </w:t>
      </w:r>
      <w:r w:rsidRPr="001F63BA">
        <w:rPr>
          <w:rFonts w:ascii="GHEA Grapalat" w:hAnsi="GHEA Grapalat"/>
          <w:sz w:val="22"/>
          <w:szCs w:val="22"/>
          <w:lang w:val="en-US"/>
        </w:rPr>
        <w:t>269.4</w:t>
      </w:r>
      <w:r w:rsidRPr="001F63BA">
        <w:rPr>
          <w:rFonts w:ascii="GHEA Grapalat" w:hAnsi="GHEA Grapalat"/>
          <w:sz w:val="22"/>
          <w:szCs w:val="22"/>
        </w:rPr>
        <w:t xml:space="preserve"> մլն դրամ</w:t>
      </w:r>
      <w:r w:rsidRPr="001F63BA">
        <w:rPr>
          <w:rFonts w:ascii="GHEA Grapalat" w:hAnsi="GHEA Grapalat"/>
          <w:sz w:val="22"/>
          <w:szCs w:val="22"/>
          <w:lang w:val="en-US"/>
        </w:rPr>
        <w:t xml:space="preserve"> </w:t>
      </w:r>
      <w:r w:rsidRPr="001F63BA">
        <w:rPr>
          <w:rFonts w:ascii="GHEA Grapalat" w:hAnsi="GHEA Grapalat"/>
          <w:sz w:val="22"/>
          <w:szCs w:val="22"/>
        </w:rPr>
        <w:t>կամ նախատեսված միջոցների 78.</w:t>
      </w:r>
      <w:r w:rsidRPr="001F63BA">
        <w:rPr>
          <w:rFonts w:ascii="GHEA Grapalat" w:hAnsi="GHEA Grapalat"/>
          <w:sz w:val="22"/>
          <w:szCs w:val="22"/>
          <w:lang w:val="en-US"/>
        </w:rPr>
        <w:t>3</w:t>
      </w:r>
      <w:r w:rsidRPr="001F63BA">
        <w:rPr>
          <w:rFonts w:ascii="GHEA Grapalat" w:hAnsi="GHEA Grapalat"/>
          <w:sz w:val="22"/>
          <w:szCs w:val="22"/>
        </w:rPr>
        <w:t>%</w:t>
      </w:r>
      <w:r w:rsidRPr="001F63BA">
        <w:rPr>
          <w:rFonts w:ascii="GHEA Grapalat" w:hAnsi="GHEA Grapalat"/>
          <w:sz w:val="22"/>
          <w:szCs w:val="22"/>
        </w:rPr>
        <w:noBreakHyphen/>
        <w:t xml:space="preserve">ը, որը պայմանավորված է </w:t>
      </w:r>
      <w:r w:rsidRPr="001F63BA">
        <w:rPr>
          <w:rFonts w:ascii="GHEA Grapalat" w:hAnsi="GHEA Grapalat"/>
          <w:sz w:val="22"/>
          <w:szCs w:val="22"/>
          <w:lang w:val="en-US"/>
        </w:rPr>
        <w:t xml:space="preserve">հիմնանորոգման ծախսերի </w:t>
      </w:r>
      <w:r w:rsidRPr="001F63BA">
        <w:rPr>
          <w:rFonts w:ascii="GHEA Grapalat" w:hAnsi="GHEA Grapalat"/>
          <w:sz w:val="22"/>
          <w:szCs w:val="22"/>
        </w:rPr>
        <w:t>նախահաշվում կատարված փոփոխությունների</w:t>
      </w:r>
      <w:r w:rsidRPr="001F63BA">
        <w:rPr>
          <w:rFonts w:ascii="GHEA Grapalat" w:hAnsi="GHEA Grapalat"/>
          <w:sz w:val="22"/>
          <w:szCs w:val="22"/>
          <w:lang w:val="en-US"/>
        </w:rPr>
        <w:t xml:space="preserve"> և</w:t>
      </w:r>
      <w:r w:rsidRPr="001F63BA">
        <w:rPr>
          <w:rFonts w:ascii="GHEA Grapalat" w:hAnsi="GHEA Grapalat"/>
          <w:sz w:val="22"/>
          <w:szCs w:val="22"/>
        </w:rPr>
        <w:t xml:space="preserve"> գնումների արդյունքում առաջացած</w:t>
      </w:r>
      <w:r w:rsidRPr="001F63BA">
        <w:rPr>
          <w:rFonts w:ascii="GHEA Grapalat" w:hAnsi="GHEA Grapalat"/>
          <w:sz w:val="22"/>
          <w:szCs w:val="22"/>
          <w:lang w:val="en-US"/>
        </w:rPr>
        <w:t>, ինչպես նաև</w:t>
      </w:r>
      <w:r w:rsidRPr="001F63BA">
        <w:rPr>
          <w:rFonts w:ascii="GHEA Grapalat" w:hAnsi="GHEA Grapalat"/>
          <w:sz w:val="22"/>
          <w:szCs w:val="22"/>
        </w:rPr>
        <w:t xml:space="preserve"> աշխատավարձի ֆոնդի տնտեսումներով: </w:t>
      </w:r>
      <w:r w:rsidRPr="001F63BA">
        <w:rPr>
          <w:rFonts w:ascii="GHEA Grapalat" w:hAnsi="GHEA Grapalat"/>
          <w:sz w:val="22"/>
          <w:szCs w:val="22"/>
          <w:lang w:val="en-US"/>
        </w:rPr>
        <w:t xml:space="preserve">Նշված գումարից </w:t>
      </w:r>
      <w:r w:rsidRPr="001F63BA">
        <w:rPr>
          <w:rFonts w:ascii="GHEA Grapalat" w:hAnsi="GHEA Grapalat"/>
          <w:sz w:val="22"/>
          <w:szCs w:val="22"/>
        </w:rPr>
        <w:t>219.1 մլն դրամ</w:t>
      </w:r>
      <w:r w:rsidRPr="001F63BA">
        <w:rPr>
          <w:rFonts w:ascii="GHEA Grapalat" w:hAnsi="GHEA Grapalat"/>
          <w:sz w:val="22"/>
          <w:szCs w:val="22"/>
          <w:lang w:val="en-US"/>
        </w:rPr>
        <w:t>ը</w:t>
      </w:r>
      <w:r w:rsidRPr="001F63BA">
        <w:rPr>
          <w:rFonts w:ascii="GHEA Grapalat" w:hAnsi="GHEA Grapalat"/>
          <w:sz w:val="22"/>
          <w:szCs w:val="22"/>
        </w:rPr>
        <w:t xml:space="preserve"> կամ նախատեսվածի 77.7%-ը տրամադրվել է </w:t>
      </w:r>
      <w:r w:rsidRPr="001F63BA">
        <w:rPr>
          <w:rFonts w:ascii="GHEA Grapalat" w:hAnsi="GHEA Grapalat"/>
          <w:sz w:val="22"/>
          <w:szCs w:val="22"/>
          <w:lang w:val="en-US"/>
        </w:rPr>
        <w:t>վարկային</w:t>
      </w:r>
      <w:r w:rsidRPr="001F63BA">
        <w:rPr>
          <w:rFonts w:ascii="GHEA Grapalat" w:hAnsi="GHEA Grapalat"/>
          <w:sz w:val="22"/>
          <w:szCs w:val="22"/>
        </w:rPr>
        <w:t xml:space="preserve"> ծրագրի շրջանակներում ավագ, միջնակարգ և հիմնական դպրոցներում և կրթության ոլորտի կազմակերպություններում</w:t>
      </w:r>
      <w:r w:rsidRPr="001F63BA">
        <w:rPr>
          <w:rFonts w:ascii="GHEA Grapalat" w:hAnsi="GHEA Grapalat"/>
          <w:sz w:val="22"/>
          <w:szCs w:val="22"/>
          <w:lang w:val="en-US"/>
        </w:rPr>
        <w:t xml:space="preserve"> </w:t>
      </w:r>
      <w:r w:rsidRPr="001F63BA">
        <w:rPr>
          <w:rFonts w:ascii="GHEA Grapalat" w:hAnsi="GHEA Grapalat"/>
          <w:sz w:val="22"/>
          <w:szCs w:val="22"/>
        </w:rPr>
        <w:t>կապիտալ ներդրումներ</w:t>
      </w:r>
      <w:r w:rsidRPr="001F63BA">
        <w:rPr>
          <w:rFonts w:ascii="GHEA Grapalat" w:hAnsi="GHEA Grapalat"/>
          <w:sz w:val="22"/>
          <w:szCs w:val="22"/>
          <w:lang w:val="en-US"/>
        </w:rPr>
        <w:t>ի ֆինանսավոր</w:t>
      </w:r>
      <w:r w:rsidRPr="001F63BA">
        <w:rPr>
          <w:rFonts w:ascii="GHEA Grapalat" w:hAnsi="GHEA Grapalat"/>
          <w:sz w:val="22"/>
          <w:szCs w:val="22"/>
        </w:rPr>
        <w:t>մանը, 50.3 մլն դրամ կամ նախատեսվածի 81.1%-ը՝ ծրագրի շրջանակներում ծառայությունների ձեռքբերմանը:</w:t>
      </w:r>
      <w:r w:rsidRPr="001F63BA">
        <w:rPr>
          <w:rFonts w:ascii="GHEA Grapalat" w:hAnsi="GHEA Grapalat"/>
          <w:sz w:val="22"/>
          <w:szCs w:val="22"/>
          <w:lang w:val="en-US"/>
        </w:rPr>
        <w:t xml:space="preserve"> 79.7 մլն դրամ է օգտագործվել ծրագրի լրացուցիչ ֆինանսավորման շրջանակներում՝ կազմելով նախատեսված միջոցների 77.3%-ը՝ պայմանավորված անհատ խորհրդատուի ընտրության համար աշխատանքների </w:t>
      </w:r>
      <w:r w:rsidRPr="001F63BA">
        <w:rPr>
          <w:rFonts w:ascii="GHEA Grapalat" w:hAnsi="GHEA Grapalat"/>
          <w:sz w:val="22"/>
          <w:szCs w:val="22"/>
        </w:rPr>
        <w:t>նկարագրի՝ Համաշխարհային բանկի հաստատումներով պայմանավորված՝ ավագ դպրոցների վերակառուցման համար մշակված տեղանքի բնապահպանական և սոցիալական կառավարման պլանների մշակման հետաձ</w:t>
      </w:r>
      <w:r w:rsidRPr="001F63BA">
        <w:rPr>
          <w:rFonts w:ascii="GHEA Grapalat" w:hAnsi="GHEA Grapalat"/>
          <w:sz w:val="22"/>
          <w:szCs w:val="22"/>
          <w:lang w:val="en-US"/>
        </w:rPr>
        <w:t>գ</w:t>
      </w:r>
      <w:r w:rsidRPr="001F63BA">
        <w:rPr>
          <w:rFonts w:ascii="GHEA Grapalat" w:hAnsi="GHEA Grapalat"/>
          <w:sz w:val="22"/>
          <w:szCs w:val="22"/>
        </w:rPr>
        <w:t xml:space="preserve">մամբ: Ծրագրի նպատակն է՝ բարելավել տարրական կրթություն մուտք գործող երեխաների պատրաստվածությունը դպրոցին, հանրակրթական դպրոցների ֆիզիկական պայմանները և կրթական ռեսուրսների առկայությունը, ինչպես նաև աջակցել ՀՀ բարձրագույն ուսումնական հաստատությունների որակի և համապատասխանության բարելավմանը: </w:t>
      </w:r>
      <w:r w:rsidRPr="001F63BA">
        <w:rPr>
          <w:rFonts w:ascii="GHEA Grapalat" w:hAnsi="GHEA Grapalat"/>
          <w:sz w:val="22"/>
          <w:szCs w:val="22"/>
          <w:lang w:val="en-US"/>
        </w:rPr>
        <w:t xml:space="preserve">Միջոցառման շրջանակներում </w:t>
      </w:r>
      <w:r w:rsidRPr="001F63BA">
        <w:rPr>
          <w:rFonts w:ascii="GHEA Grapalat" w:hAnsi="GHEA Grapalat"/>
          <w:sz w:val="22"/>
          <w:szCs w:val="22"/>
        </w:rPr>
        <w:t xml:space="preserve">2022 թվականին նախակրթարանների հիմնման նպատակով ընտրվել է 31 հաստատություն, ինչպես նաև ըստ ԳՏՃՄ ոլորտների մշակվել է լաբորատոր սարքավորումների և նյութերի 5 ցանկ: </w:t>
      </w:r>
    </w:p>
    <w:p w:rsidR="001C411D" w:rsidRPr="001F63BA" w:rsidRDefault="001C411D" w:rsidP="00865E10">
      <w:pPr>
        <w:tabs>
          <w:tab w:val="left" w:pos="-5387"/>
        </w:tabs>
        <w:spacing w:line="360" w:lineRule="auto"/>
        <w:ind w:left="-90" w:firstLine="630"/>
        <w:jc w:val="both"/>
        <w:rPr>
          <w:rFonts w:ascii="GHEA Grapalat" w:hAnsi="GHEA Grapalat"/>
          <w:sz w:val="22"/>
          <w:szCs w:val="22"/>
        </w:rPr>
      </w:pPr>
      <w:r w:rsidRPr="001F63BA">
        <w:rPr>
          <w:rFonts w:ascii="GHEA Grapalat" w:hAnsi="GHEA Grapalat"/>
          <w:sz w:val="22"/>
          <w:szCs w:val="22"/>
        </w:rPr>
        <w:t>ՀՀ ԿԳՄՍ նախարարության պատասխանատվությամբ իրականացվող այլ ծրագրերից</w:t>
      </w:r>
      <w:r w:rsidRPr="001F63BA">
        <w:rPr>
          <w:rFonts w:ascii="GHEA Grapalat" w:hAnsi="GHEA Grapalat"/>
          <w:i/>
          <w:sz w:val="22"/>
          <w:szCs w:val="22"/>
        </w:rPr>
        <w:t xml:space="preserve"> </w:t>
      </w:r>
      <w:r w:rsidRPr="001F63BA">
        <w:rPr>
          <w:rFonts w:ascii="GHEA Grapalat" w:hAnsi="GHEA Grapalat" w:cs="Sylfaen"/>
          <w:sz w:val="22"/>
          <w:szCs w:val="22"/>
          <w:lang w:val="it-IT"/>
        </w:rPr>
        <w:t>շուրջ 3.4 մլրդ դրամն օգտագործվել է</w:t>
      </w:r>
      <w:r w:rsidRPr="001F63BA">
        <w:rPr>
          <w:rFonts w:ascii="GHEA Grapalat" w:hAnsi="GHEA Grapalat"/>
          <w:i/>
          <w:sz w:val="22"/>
          <w:szCs w:val="22"/>
        </w:rPr>
        <w:t xml:space="preserve"> Մշակութային</w:t>
      </w:r>
      <w:r w:rsidRPr="001F63BA">
        <w:rPr>
          <w:rFonts w:ascii="GHEA Grapalat" w:hAnsi="GHEA Grapalat"/>
          <w:i/>
          <w:sz w:val="22"/>
          <w:szCs w:val="22"/>
          <w:lang w:val="it-IT"/>
        </w:rPr>
        <w:t xml:space="preserve"> </w:t>
      </w:r>
      <w:r w:rsidRPr="001F63BA">
        <w:rPr>
          <w:rFonts w:ascii="GHEA Grapalat" w:hAnsi="GHEA Grapalat"/>
          <w:i/>
          <w:sz w:val="22"/>
          <w:szCs w:val="22"/>
        </w:rPr>
        <w:t xml:space="preserve">ժառանգության </w:t>
      </w:r>
      <w:r w:rsidRPr="001F63BA">
        <w:rPr>
          <w:rFonts w:ascii="GHEA Grapalat" w:hAnsi="GHEA Grapalat"/>
          <w:sz w:val="22"/>
          <w:szCs w:val="22"/>
        </w:rPr>
        <w:t>ծրագրի շրջանակներում</w:t>
      </w:r>
      <w:r w:rsidRPr="001F63BA">
        <w:rPr>
          <w:rFonts w:ascii="GHEA Grapalat" w:hAnsi="GHEA Grapalat" w:cs="Arial"/>
          <w:sz w:val="22"/>
          <w:szCs w:val="22"/>
        </w:rPr>
        <w:t>՝</w:t>
      </w:r>
      <w:r w:rsidRPr="001F63BA">
        <w:rPr>
          <w:rFonts w:ascii="GHEA Grapalat" w:hAnsi="GHEA Grapalat" w:cs="Times Armenian"/>
          <w:sz w:val="22"/>
          <w:szCs w:val="22"/>
          <w:lang w:val="it-IT"/>
        </w:rPr>
        <w:t xml:space="preserve"> </w:t>
      </w:r>
      <w:r w:rsidRPr="001F63BA">
        <w:rPr>
          <w:rFonts w:ascii="GHEA Grapalat" w:hAnsi="GHEA Grapalat" w:cs="Sylfaen"/>
          <w:sz w:val="22"/>
          <w:szCs w:val="22"/>
        </w:rPr>
        <w:t>կազմելով ծրագրված ցուցանիշի 95.3%-ը և 2.6%</w:t>
      </w:r>
      <w:r w:rsidRPr="001F63BA">
        <w:rPr>
          <w:rFonts w:ascii="GHEA Grapalat" w:hAnsi="GHEA Grapalat" w:cs="Sylfaen"/>
          <w:sz w:val="22"/>
          <w:szCs w:val="22"/>
        </w:rPr>
        <w:noBreakHyphen/>
        <w:t>ով կամ 86 մլն դրամով գերազանցել</w:t>
      </w:r>
      <w:r w:rsidRPr="001F63BA">
        <w:rPr>
          <w:rFonts w:ascii="GHEA Grapalat" w:hAnsi="GHEA Grapalat" w:cs="Sylfaen"/>
          <w:sz w:val="22"/>
          <w:szCs w:val="22"/>
          <w:lang w:val="en-US"/>
        </w:rPr>
        <w:t>ով</w:t>
      </w:r>
      <w:r w:rsidRPr="001F63BA">
        <w:rPr>
          <w:rFonts w:ascii="GHEA Grapalat" w:hAnsi="GHEA Grapalat" w:cs="Sylfaen"/>
          <w:sz w:val="22"/>
          <w:szCs w:val="22"/>
        </w:rPr>
        <w:t xml:space="preserve"> նախորդ տարվա ցուցանիշը:</w:t>
      </w:r>
      <w:r w:rsidRPr="001F63BA">
        <w:rPr>
          <w:rFonts w:ascii="GHEA Grapalat" w:hAnsi="GHEA Grapalat" w:cs="Arial"/>
          <w:sz w:val="22"/>
          <w:szCs w:val="22"/>
        </w:rPr>
        <w:t xml:space="preserve"> </w:t>
      </w:r>
      <w:r w:rsidRPr="001F63BA">
        <w:rPr>
          <w:rFonts w:ascii="GHEA Grapalat" w:hAnsi="GHEA Grapalat" w:cs="Sylfaen"/>
          <w:sz w:val="22"/>
          <w:szCs w:val="22"/>
        </w:rPr>
        <w:t xml:space="preserve">Ծրագրի նկատմամբ շեղումը և նախորդ տարվա համեմատ աճը հիմնականում պայմանավորված </w:t>
      </w:r>
      <w:r w:rsidRPr="001F63BA">
        <w:rPr>
          <w:rFonts w:ascii="GHEA Grapalat" w:hAnsi="GHEA Grapalat" w:cs="Sylfaen"/>
          <w:sz w:val="22"/>
          <w:szCs w:val="22"/>
          <w:lang w:val="en-US"/>
        </w:rPr>
        <w:t>են</w:t>
      </w:r>
      <w:r w:rsidRPr="001F63BA">
        <w:rPr>
          <w:rFonts w:ascii="GHEA Grapalat" w:hAnsi="GHEA Grapalat" w:cs="Sylfaen"/>
          <w:sz w:val="22"/>
          <w:szCs w:val="22"/>
        </w:rPr>
        <w:t xml:space="preserve"> ծրագրի ծախսերում մեծ տեսակարար կշիռ ունեցող՝</w:t>
      </w:r>
      <w:r w:rsidRPr="001F63BA">
        <w:rPr>
          <w:rFonts w:ascii="GHEA Grapalat" w:hAnsi="GHEA Grapalat" w:cs="Arial"/>
          <w:sz w:val="22"/>
          <w:szCs w:val="22"/>
        </w:rPr>
        <w:t xml:space="preserve"> թ</w:t>
      </w:r>
      <w:r w:rsidRPr="001F63BA">
        <w:rPr>
          <w:rFonts w:ascii="GHEA Grapalat" w:hAnsi="GHEA Grapalat" w:cs="Times Armenian"/>
          <w:sz w:val="22"/>
          <w:szCs w:val="22"/>
          <w:lang w:val="it-IT"/>
        </w:rPr>
        <w:t xml:space="preserve">անգարանային ծառայությունների և </w:t>
      </w:r>
      <w:r w:rsidRPr="001F63BA">
        <w:rPr>
          <w:rFonts w:ascii="GHEA Grapalat" w:hAnsi="GHEA Grapalat" w:cs="Arial"/>
          <w:sz w:val="22"/>
          <w:szCs w:val="22"/>
        </w:rPr>
        <w:t xml:space="preserve">ցուցահանդեսների ծախսերով: </w:t>
      </w:r>
    </w:p>
    <w:p w:rsidR="001C411D" w:rsidRPr="001F63BA" w:rsidRDefault="001C411D" w:rsidP="00865E10">
      <w:pPr>
        <w:autoSpaceDE w:val="0"/>
        <w:autoSpaceDN w:val="0"/>
        <w:adjustRightInd w:val="0"/>
        <w:spacing w:line="360" w:lineRule="auto"/>
        <w:ind w:firstLine="567"/>
        <w:jc w:val="both"/>
        <w:rPr>
          <w:rFonts w:ascii="GHEA Grapalat" w:hAnsi="GHEA Grapalat" w:cs="Arial"/>
          <w:sz w:val="22"/>
          <w:szCs w:val="22"/>
        </w:rPr>
      </w:pPr>
      <w:r w:rsidRPr="001F63BA">
        <w:rPr>
          <w:rFonts w:ascii="GHEA Grapalat" w:hAnsi="GHEA Grapalat" w:cs="Arial"/>
          <w:sz w:val="22"/>
          <w:szCs w:val="22"/>
        </w:rPr>
        <w:t xml:space="preserve"> Մշակութային ժառանգության ծրագրի շրջանակներում թանգարանների</w:t>
      </w:r>
      <w:r w:rsidRPr="001F63BA">
        <w:rPr>
          <w:rFonts w:ascii="GHEA Grapalat" w:hAnsi="GHEA Grapalat" w:cs="Arial"/>
          <w:sz w:val="22"/>
          <w:szCs w:val="22"/>
          <w:lang w:val="it-IT"/>
        </w:rPr>
        <w:t xml:space="preserve"> </w:t>
      </w:r>
      <w:r w:rsidRPr="001F63BA">
        <w:rPr>
          <w:rFonts w:ascii="GHEA Grapalat" w:hAnsi="GHEA Grapalat" w:cs="Arial"/>
          <w:sz w:val="22"/>
          <w:szCs w:val="22"/>
        </w:rPr>
        <w:t>գործունեության</w:t>
      </w:r>
      <w:r w:rsidRPr="001F63BA">
        <w:rPr>
          <w:rFonts w:ascii="GHEA Grapalat" w:hAnsi="GHEA Grapalat" w:cs="Arial"/>
          <w:sz w:val="22"/>
          <w:szCs w:val="22"/>
          <w:lang w:val="it-IT"/>
        </w:rPr>
        <w:t xml:space="preserve"> </w:t>
      </w:r>
      <w:r w:rsidRPr="001F63BA">
        <w:rPr>
          <w:rFonts w:ascii="GHEA Grapalat" w:hAnsi="GHEA Grapalat" w:cs="Arial"/>
          <w:sz w:val="22"/>
          <w:szCs w:val="22"/>
        </w:rPr>
        <w:t>առաջնային</w:t>
      </w:r>
      <w:r w:rsidRPr="001F63BA">
        <w:rPr>
          <w:rFonts w:ascii="GHEA Grapalat" w:hAnsi="GHEA Grapalat" w:cs="Arial"/>
          <w:sz w:val="22"/>
          <w:szCs w:val="22"/>
          <w:lang w:val="it-IT"/>
        </w:rPr>
        <w:t xml:space="preserve"> </w:t>
      </w:r>
      <w:r w:rsidRPr="001F63BA">
        <w:rPr>
          <w:rFonts w:ascii="GHEA Grapalat" w:hAnsi="GHEA Grapalat" w:cs="Arial"/>
          <w:sz w:val="22"/>
          <w:szCs w:val="22"/>
        </w:rPr>
        <w:t>ուղղություններն</w:t>
      </w:r>
      <w:r w:rsidRPr="001F63BA">
        <w:rPr>
          <w:rFonts w:ascii="GHEA Grapalat" w:hAnsi="GHEA Grapalat" w:cs="Arial"/>
          <w:sz w:val="22"/>
          <w:szCs w:val="22"/>
          <w:lang w:val="it-IT"/>
        </w:rPr>
        <w:t xml:space="preserve"> </w:t>
      </w:r>
      <w:r w:rsidRPr="001F63BA">
        <w:rPr>
          <w:rFonts w:ascii="GHEA Grapalat" w:hAnsi="GHEA Grapalat" w:cs="Arial"/>
          <w:sz w:val="22"/>
          <w:szCs w:val="22"/>
        </w:rPr>
        <w:t>են</w:t>
      </w:r>
      <w:r w:rsidRPr="001F63BA">
        <w:rPr>
          <w:rFonts w:ascii="GHEA Grapalat" w:hAnsi="GHEA Grapalat" w:cs="Arial"/>
          <w:sz w:val="22"/>
          <w:szCs w:val="22"/>
          <w:lang w:val="it-IT"/>
        </w:rPr>
        <w:t xml:space="preserve"> </w:t>
      </w:r>
      <w:r w:rsidRPr="001F63BA">
        <w:rPr>
          <w:rFonts w:ascii="GHEA Grapalat" w:hAnsi="GHEA Grapalat" w:cs="Arial"/>
          <w:sz w:val="22"/>
          <w:szCs w:val="22"/>
        </w:rPr>
        <w:t>համարվել</w:t>
      </w:r>
      <w:r w:rsidRPr="001F63BA">
        <w:rPr>
          <w:rFonts w:ascii="GHEA Grapalat" w:hAnsi="GHEA Grapalat" w:cs="Arial"/>
          <w:sz w:val="22"/>
          <w:szCs w:val="22"/>
          <w:lang w:val="it-IT"/>
        </w:rPr>
        <w:t xml:space="preserve"> </w:t>
      </w:r>
      <w:r w:rsidRPr="001F63BA">
        <w:rPr>
          <w:rFonts w:ascii="GHEA Grapalat" w:hAnsi="GHEA Grapalat" w:cs="Arial"/>
          <w:sz w:val="22"/>
          <w:szCs w:val="22"/>
        </w:rPr>
        <w:t>թանգարանային</w:t>
      </w:r>
      <w:r w:rsidRPr="001F63BA">
        <w:rPr>
          <w:rFonts w:ascii="GHEA Grapalat" w:hAnsi="GHEA Grapalat" w:cs="Arial"/>
          <w:sz w:val="22"/>
          <w:szCs w:val="22"/>
          <w:lang w:val="it-IT"/>
        </w:rPr>
        <w:t xml:space="preserve"> </w:t>
      </w:r>
      <w:r w:rsidRPr="001F63BA">
        <w:rPr>
          <w:rFonts w:ascii="GHEA Grapalat" w:hAnsi="GHEA Grapalat" w:cs="Arial"/>
          <w:sz w:val="22"/>
          <w:szCs w:val="22"/>
        </w:rPr>
        <w:t>հավաքածուների</w:t>
      </w:r>
      <w:r w:rsidRPr="001F63BA">
        <w:rPr>
          <w:rFonts w:ascii="GHEA Grapalat" w:hAnsi="GHEA Grapalat" w:cs="Arial"/>
          <w:sz w:val="22"/>
          <w:szCs w:val="22"/>
          <w:lang w:val="it-IT"/>
        </w:rPr>
        <w:t xml:space="preserve"> </w:t>
      </w:r>
      <w:r w:rsidRPr="001F63BA">
        <w:rPr>
          <w:rFonts w:ascii="GHEA Grapalat" w:hAnsi="GHEA Grapalat" w:cs="Arial"/>
          <w:sz w:val="22"/>
          <w:szCs w:val="22"/>
        </w:rPr>
        <w:t>պահպանությունը</w:t>
      </w:r>
      <w:r w:rsidRPr="001F63BA">
        <w:rPr>
          <w:rFonts w:ascii="GHEA Grapalat" w:hAnsi="GHEA Grapalat" w:cs="Arial"/>
          <w:sz w:val="22"/>
          <w:szCs w:val="22"/>
          <w:lang w:val="it-IT"/>
        </w:rPr>
        <w:t xml:space="preserve">, </w:t>
      </w:r>
      <w:r w:rsidRPr="001F63BA">
        <w:rPr>
          <w:rFonts w:ascii="GHEA Grapalat" w:hAnsi="GHEA Grapalat" w:cs="Arial"/>
          <w:sz w:val="22"/>
          <w:szCs w:val="22"/>
        </w:rPr>
        <w:t>հանրահռչակումը</w:t>
      </w:r>
      <w:r w:rsidRPr="001F63BA">
        <w:rPr>
          <w:rFonts w:ascii="GHEA Grapalat" w:hAnsi="GHEA Grapalat" w:cs="Arial"/>
          <w:sz w:val="22"/>
          <w:szCs w:val="22"/>
          <w:lang w:val="it-IT"/>
        </w:rPr>
        <w:t xml:space="preserve">, </w:t>
      </w:r>
      <w:r w:rsidRPr="001F63BA">
        <w:rPr>
          <w:rFonts w:ascii="GHEA Grapalat" w:hAnsi="GHEA Grapalat" w:cs="Arial"/>
          <w:sz w:val="22"/>
          <w:szCs w:val="22"/>
        </w:rPr>
        <w:t>մշակութային</w:t>
      </w:r>
      <w:r w:rsidRPr="001F63BA">
        <w:rPr>
          <w:rFonts w:ascii="GHEA Grapalat" w:hAnsi="GHEA Grapalat" w:cs="Arial"/>
          <w:sz w:val="22"/>
          <w:szCs w:val="22"/>
          <w:lang w:val="it-IT"/>
        </w:rPr>
        <w:t xml:space="preserve"> </w:t>
      </w:r>
      <w:r w:rsidRPr="001F63BA">
        <w:rPr>
          <w:rFonts w:ascii="GHEA Grapalat" w:hAnsi="GHEA Grapalat" w:cs="Arial"/>
          <w:sz w:val="22"/>
          <w:szCs w:val="22"/>
        </w:rPr>
        <w:t>ժառանգության</w:t>
      </w:r>
      <w:r w:rsidRPr="001F63BA">
        <w:rPr>
          <w:rFonts w:ascii="GHEA Grapalat" w:hAnsi="GHEA Grapalat" w:cs="Arial"/>
          <w:sz w:val="22"/>
          <w:szCs w:val="22"/>
          <w:lang w:val="it-IT"/>
        </w:rPr>
        <w:t xml:space="preserve"> </w:t>
      </w:r>
      <w:r w:rsidRPr="001F63BA">
        <w:rPr>
          <w:rFonts w:ascii="GHEA Grapalat" w:hAnsi="GHEA Grapalat" w:cs="Arial"/>
          <w:sz w:val="22"/>
          <w:szCs w:val="22"/>
        </w:rPr>
        <w:t>թվայնացումը</w:t>
      </w:r>
      <w:r w:rsidRPr="001F63BA">
        <w:rPr>
          <w:rFonts w:ascii="GHEA Grapalat" w:hAnsi="GHEA Grapalat" w:cs="Arial"/>
          <w:sz w:val="22"/>
          <w:szCs w:val="22"/>
          <w:lang w:val="it-IT"/>
        </w:rPr>
        <w:t xml:space="preserve">, </w:t>
      </w:r>
      <w:r w:rsidRPr="001F63BA">
        <w:rPr>
          <w:rFonts w:ascii="GHEA Grapalat" w:hAnsi="GHEA Grapalat" w:cs="Arial"/>
          <w:sz w:val="22"/>
          <w:szCs w:val="22"/>
        </w:rPr>
        <w:t>բացառիկ</w:t>
      </w:r>
      <w:r w:rsidRPr="001F63BA">
        <w:rPr>
          <w:rFonts w:ascii="GHEA Grapalat" w:hAnsi="GHEA Grapalat" w:cs="Arial"/>
          <w:sz w:val="22"/>
          <w:szCs w:val="22"/>
          <w:lang w:val="it-IT"/>
        </w:rPr>
        <w:t xml:space="preserve"> </w:t>
      </w:r>
      <w:r w:rsidRPr="001F63BA">
        <w:rPr>
          <w:rFonts w:ascii="GHEA Grapalat" w:hAnsi="GHEA Grapalat" w:cs="Arial"/>
          <w:sz w:val="22"/>
          <w:szCs w:val="22"/>
        </w:rPr>
        <w:t>ցուցանմուշների</w:t>
      </w:r>
      <w:r w:rsidRPr="001F63BA">
        <w:rPr>
          <w:rFonts w:ascii="GHEA Grapalat" w:hAnsi="GHEA Grapalat" w:cs="Arial"/>
          <w:sz w:val="22"/>
          <w:szCs w:val="22"/>
          <w:lang w:val="it-IT"/>
        </w:rPr>
        <w:t xml:space="preserve"> </w:t>
      </w:r>
      <w:r w:rsidRPr="001F63BA">
        <w:rPr>
          <w:rFonts w:ascii="GHEA Grapalat" w:hAnsi="GHEA Grapalat" w:cs="Arial"/>
          <w:sz w:val="22"/>
          <w:szCs w:val="22"/>
        </w:rPr>
        <w:t>կրկնատիպերի</w:t>
      </w:r>
      <w:r w:rsidRPr="001F63BA">
        <w:rPr>
          <w:rFonts w:ascii="GHEA Grapalat" w:hAnsi="GHEA Grapalat" w:cs="Arial"/>
          <w:sz w:val="22"/>
          <w:szCs w:val="22"/>
          <w:lang w:val="it-IT"/>
        </w:rPr>
        <w:t xml:space="preserve"> </w:t>
      </w:r>
      <w:r w:rsidRPr="001F63BA">
        <w:rPr>
          <w:rFonts w:ascii="GHEA Grapalat" w:hAnsi="GHEA Grapalat" w:cs="Arial"/>
          <w:sz w:val="22"/>
          <w:szCs w:val="22"/>
        </w:rPr>
        <w:t>պատրաստումը</w:t>
      </w:r>
      <w:r w:rsidRPr="001F63BA">
        <w:rPr>
          <w:rFonts w:ascii="GHEA Grapalat" w:hAnsi="GHEA Grapalat" w:cs="Arial"/>
          <w:sz w:val="22"/>
          <w:szCs w:val="22"/>
          <w:lang w:val="it-IT"/>
        </w:rPr>
        <w:t xml:space="preserve">, </w:t>
      </w:r>
      <w:r w:rsidRPr="001F63BA">
        <w:rPr>
          <w:rFonts w:ascii="GHEA Grapalat" w:hAnsi="GHEA Grapalat" w:cs="Arial"/>
          <w:sz w:val="22"/>
          <w:szCs w:val="22"/>
        </w:rPr>
        <w:t>թանգարանային</w:t>
      </w:r>
      <w:r w:rsidRPr="001F63BA">
        <w:rPr>
          <w:rFonts w:ascii="GHEA Grapalat" w:hAnsi="GHEA Grapalat" w:cs="Arial"/>
          <w:sz w:val="22"/>
          <w:szCs w:val="22"/>
          <w:lang w:val="it-IT"/>
        </w:rPr>
        <w:t xml:space="preserve"> </w:t>
      </w:r>
      <w:r w:rsidRPr="001F63BA">
        <w:rPr>
          <w:rFonts w:ascii="GHEA Grapalat" w:hAnsi="GHEA Grapalat" w:cs="Arial"/>
          <w:sz w:val="22"/>
          <w:szCs w:val="22"/>
        </w:rPr>
        <w:t>առարկաների</w:t>
      </w:r>
      <w:r w:rsidRPr="001F63BA">
        <w:rPr>
          <w:rFonts w:ascii="GHEA Grapalat" w:hAnsi="GHEA Grapalat" w:cs="Arial"/>
          <w:sz w:val="22"/>
          <w:szCs w:val="22"/>
          <w:lang w:val="it-IT"/>
        </w:rPr>
        <w:t xml:space="preserve"> </w:t>
      </w:r>
      <w:r w:rsidRPr="001F63BA">
        <w:rPr>
          <w:rFonts w:ascii="GHEA Grapalat" w:hAnsi="GHEA Grapalat" w:cs="Arial"/>
          <w:sz w:val="22"/>
          <w:szCs w:val="22"/>
        </w:rPr>
        <w:t>վերականգնումը</w:t>
      </w:r>
      <w:r w:rsidRPr="001F63BA">
        <w:rPr>
          <w:rFonts w:ascii="GHEA Grapalat" w:hAnsi="GHEA Grapalat" w:cs="Arial"/>
          <w:sz w:val="22"/>
          <w:szCs w:val="22"/>
          <w:lang w:val="it-IT"/>
        </w:rPr>
        <w:t xml:space="preserve">: </w:t>
      </w:r>
      <w:r w:rsidRPr="001F63BA">
        <w:rPr>
          <w:rFonts w:ascii="GHEA Grapalat" w:hAnsi="GHEA Grapalat" w:cs="Arial"/>
          <w:sz w:val="22"/>
          <w:szCs w:val="22"/>
        </w:rPr>
        <w:t>Միջոցառման</w:t>
      </w:r>
      <w:r w:rsidRPr="001F63BA">
        <w:rPr>
          <w:rFonts w:ascii="GHEA Grapalat" w:hAnsi="GHEA Grapalat" w:cs="Arial"/>
          <w:sz w:val="22"/>
          <w:szCs w:val="22"/>
          <w:lang w:val="it-IT"/>
        </w:rPr>
        <w:t xml:space="preserve"> </w:t>
      </w:r>
      <w:r w:rsidRPr="001F63BA">
        <w:rPr>
          <w:rFonts w:ascii="GHEA Grapalat" w:hAnsi="GHEA Grapalat" w:cs="Arial"/>
          <w:sz w:val="22"/>
          <w:szCs w:val="22"/>
        </w:rPr>
        <w:t>շրջանակներում</w:t>
      </w:r>
      <w:r w:rsidRPr="001F63BA">
        <w:rPr>
          <w:rFonts w:ascii="GHEA Grapalat" w:hAnsi="GHEA Grapalat" w:cs="Arial"/>
          <w:sz w:val="22"/>
          <w:szCs w:val="22"/>
          <w:lang w:val="it-IT"/>
        </w:rPr>
        <w:t xml:space="preserve"> </w:t>
      </w:r>
      <w:r w:rsidRPr="001F63BA">
        <w:rPr>
          <w:rFonts w:ascii="GHEA Grapalat" w:hAnsi="GHEA Grapalat" w:cs="Arial"/>
          <w:sz w:val="22"/>
          <w:szCs w:val="22"/>
        </w:rPr>
        <w:t>կազմակերպվել</w:t>
      </w:r>
      <w:r w:rsidRPr="001F63BA">
        <w:rPr>
          <w:rFonts w:ascii="GHEA Grapalat" w:hAnsi="GHEA Grapalat" w:cs="Arial"/>
          <w:sz w:val="22"/>
          <w:szCs w:val="22"/>
          <w:lang w:val="it-IT"/>
        </w:rPr>
        <w:t xml:space="preserve"> </w:t>
      </w:r>
      <w:r w:rsidRPr="001F63BA">
        <w:rPr>
          <w:rFonts w:ascii="GHEA Grapalat" w:hAnsi="GHEA Grapalat" w:cs="Arial"/>
          <w:sz w:val="22"/>
          <w:szCs w:val="22"/>
        </w:rPr>
        <w:t>է</w:t>
      </w:r>
      <w:r w:rsidRPr="001F63BA">
        <w:rPr>
          <w:rFonts w:ascii="GHEA Grapalat" w:hAnsi="GHEA Grapalat" w:cs="Arial"/>
          <w:sz w:val="22"/>
          <w:szCs w:val="22"/>
          <w:lang w:val="it-IT"/>
        </w:rPr>
        <w:t xml:space="preserve"> 309 </w:t>
      </w:r>
      <w:r w:rsidRPr="001F63BA">
        <w:rPr>
          <w:rFonts w:ascii="GHEA Grapalat" w:hAnsi="GHEA Grapalat" w:cs="Arial"/>
          <w:sz w:val="22"/>
          <w:szCs w:val="22"/>
        </w:rPr>
        <w:t>ցուցահանդես՝</w:t>
      </w:r>
      <w:r w:rsidRPr="001F63BA">
        <w:rPr>
          <w:rFonts w:ascii="GHEA Grapalat" w:hAnsi="GHEA Grapalat" w:cs="Arial"/>
          <w:sz w:val="22"/>
          <w:szCs w:val="22"/>
          <w:lang w:val="it-IT"/>
        </w:rPr>
        <w:t xml:space="preserve"> </w:t>
      </w:r>
      <w:r w:rsidRPr="001F63BA">
        <w:rPr>
          <w:rFonts w:ascii="GHEA Grapalat" w:hAnsi="GHEA Grapalat" w:cs="Arial"/>
          <w:sz w:val="22"/>
          <w:szCs w:val="22"/>
        </w:rPr>
        <w:t xml:space="preserve">նախատեսված 214-ի և </w:t>
      </w:r>
      <w:r w:rsidRPr="001F63BA">
        <w:rPr>
          <w:rFonts w:ascii="GHEA Grapalat" w:hAnsi="GHEA Grapalat" w:cs="Sylfaen"/>
          <w:sz w:val="22"/>
          <w:szCs w:val="22"/>
        </w:rPr>
        <w:t xml:space="preserve">2021 թվականի 254-ի </w:t>
      </w:r>
      <w:r w:rsidRPr="001F63BA">
        <w:rPr>
          <w:rFonts w:ascii="GHEA Grapalat" w:hAnsi="GHEA Grapalat" w:cs="Arial"/>
          <w:sz w:val="22"/>
          <w:szCs w:val="22"/>
        </w:rPr>
        <w:lastRenderedPageBreak/>
        <w:t xml:space="preserve">դիմաց, թանգարանների այցելուների թիվը կազմել է 1473840՝ </w:t>
      </w:r>
      <w:r w:rsidRPr="001F63BA">
        <w:rPr>
          <w:rFonts w:ascii="GHEA Grapalat" w:hAnsi="GHEA Grapalat" w:cs="Arial"/>
          <w:sz w:val="22"/>
          <w:szCs w:val="22"/>
          <w:lang w:val="en-US"/>
        </w:rPr>
        <w:t>կանխա</w:t>
      </w:r>
      <w:r w:rsidRPr="001F63BA">
        <w:rPr>
          <w:rFonts w:ascii="GHEA Grapalat" w:hAnsi="GHEA Grapalat" w:cs="Arial"/>
          <w:sz w:val="22"/>
          <w:szCs w:val="22"/>
        </w:rPr>
        <w:t xml:space="preserve">տեսված </w:t>
      </w:r>
      <w:r w:rsidRPr="001F63BA">
        <w:rPr>
          <w:rFonts w:ascii="GHEA Grapalat" w:hAnsi="GHEA Grapalat" w:cs="Arial"/>
          <w:sz w:val="22"/>
          <w:szCs w:val="22"/>
          <w:lang w:val="it-IT"/>
        </w:rPr>
        <w:t>685174</w:t>
      </w:r>
      <w:r w:rsidRPr="001F63BA">
        <w:rPr>
          <w:rFonts w:ascii="GHEA Grapalat" w:hAnsi="GHEA Grapalat" w:cs="Arial"/>
          <w:sz w:val="22"/>
          <w:szCs w:val="22"/>
        </w:rPr>
        <w:t xml:space="preserve">-ի և </w:t>
      </w:r>
      <w:r w:rsidRPr="001F63BA">
        <w:rPr>
          <w:rFonts w:ascii="GHEA Grapalat" w:hAnsi="GHEA Grapalat" w:cs="Sylfaen"/>
          <w:sz w:val="22"/>
          <w:szCs w:val="22"/>
        </w:rPr>
        <w:t xml:space="preserve">2021 թվականի </w:t>
      </w:r>
      <w:r w:rsidRPr="001F63BA">
        <w:rPr>
          <w:rFonts w:ascii="GHEA Grapalat" w:hAnsi="GHEA Grapalat" w:cs="Arial"/>
          <w:sz w:val="22"/>
          <w:szCs w:val="22"/>
        </w:rPr>
        <w:t>1243409</w:t>
      </w:r>
      <w:r w:rsidRPr="001F63BA">
        <w:rPr>
          <w:rFonts w:ascii="GHEA Grapalat" w:hAnsi="GHEA Grapalat" w:cs="Sylfaen"/>
          <w:sz w:val="22"/>
          <w:szCs w:val="22"/>
        </w:rPr>
        <w:t xml:space="preserve">-ի </w:t>
      </w:r>
      <w:r w:rsidRPr="001F63BA">
        <w:rPr>
          <w:rFonts w:ascii="GHEA Grapalat" w:hAnsi="GHEA Grapalat" w:cs="Arial"/>
          <w:sz w:val="22"/>
          <w:szCs w:val="22"/>
        </w:rPr>
        <w:t xml:space="preserve">դիմաց, իսկ սպասարկվող ընթերցողների թիվը կազմել է 1222՝ </w:t>
      </w:r>
      <w:r w:rsidRPr="001F63BA">
        <w:rPr>
          <w:rFonts w:ascii="GHEA Grapalat" w:hAnsi="GHEA Grapalat" w:cs="Arial"/>
          <w:sz w:val="22"/>
          <w:szCs w:val="22"/>
          <w:lang w:val="en-US"/>
        </w:rPr>
        <w:t>կան</w:t>
      </w:r>
      <w:r w:rsidRPr="001F63BA">
        <w:rPr>
          <w:rFonts w:ascii="GHEA Grapalat" w:hAnsi="GHEA Grapalat" w:cs="Arial"/>
          <w:sz w:val="22"/>
          <w:szCs w:val="22"/>
        </w:rPr>
        <w:t xml:space="preserve">խատեսված 1180-ի և 2021 թվականի 758-ի դիմաց։ Փաստացի բարձր արդյունքային ցուցանիշները հիմնականում պայմանավորված </w:t>
      </w:r>
      <w:r w:rsidRPr="001F63BA">
        <w:rPr>
          <w:rFonts w:ascii="GHEA Grapalat" w:hAnsi="GHEA Grapalat" w:cs="Arial"/>
          <w:sz w:val="22"/>
          <w:szCs w:val="22"/>
          <w:lang w:val="en-US"/>
        </w:rPr>
        <w:t>են</w:t>
      </w:r>
      <w:r w:rsidRPr="001F63BA">
        <w:rPr>
          <w:rFonts w:ascii="GHEA Grapalat" w:hAnsi="GHEA Grapalat" w:cs="Arial"/>
          <w:sz w:val="22"/>
          <w:szCs w:val="22"/>
        </w:rPr>
        <w:t xml:space="preserve"> զբոսաշրջիկների</w:t>
      </w:r>
      <w:r w:rsidRPr="001F63BA">
        <w:rPr>
          <w:rFonts w:ascii="GHEA Grapalat" w:hAnsi="GHEA Grapalat" w:cs="Arial"/>
          <w:sz w:val="22"/>
          <w:szCs w:val="22"/>
          <w:lang w:val="en-US"/>
        </w:rPr>
        <w:t xml:space="preserve"> թվի</w:t>
      </w:r>
      <w:r w:rsidRPr="001F63BA">
        <w:rPr>
          <w:rFonts w:ascii="GHEA Grapalat" w:hAnsi="GHEA Grapalat" w:cs="Arial"/>
          <w:sz w:val="22"/>
          <w:szCs w:val="22"/>
        </w:rPr>
        <w:t xml:space="preserve"> էական աճով: Թանգարանային հավաքածուներում ընդգրկված առարկաների թիվը կազմել է 2281962` նախատեսված 2277125-ի և 2021 թվականի 2263368-ի դիմաց</w:t>
      </w:r>
      <w:r w:rsidRPr="001F63BA">
        <w:rPr>
          <w:rFonts w:ascii="GHEA Grapalat" w:hAnsi="GHEA Grapalat" w:cs="Arial"/>
          <w:sz w:val="22"/>
          <w:szCs w:val="22"/>
          <w:lang w:val="en-US"/>
        </w:rPr>
        <w:t>: Աճ</w:t>
      </w:r>
      <w:r w:rsidRPr="001F63BA">
        <w:rPr>
          <w:rFonts w:ascii="GHEA Grapalat" w:hAnsi="GHEA Grapalat" w:cs="Arial"/>
          <w:sz w:val="22"/>
          <w:szCs w:val="22"/>
        </w:rPr>
        <w:t xml:space="preserve">ը պայմանավորված է </w:t>
      </w:r>
      <w:r w:rsidRPr="001F63BA">
        <w:rPr>
          <w:rFonts w:ascii="GHEA Grapalat" w:hAnsi="GHEA Grapalat" w:cs="Arial"/>
          <w:sz w:val="22"/>
          <w:szCs w:val="22"/>
          <w:lang w:val="en-US"/>
        </w:rPr>
        <w:t xml:space="preserve">նոր </w:t>
      </w:r>
      <w:r w:rsidRPr="001F63BA">
        <w:rPr>
          <w:rFonts w:ascii="GHEA Grapalat" w:hAnsi="GHEA Grapalat" w:cs="Arial"/>
          <w:sz w:val="22"/>
          <w:szCs w:val="22"/>
        </w:rPr>
        <w:t xml:space="preserve">ձեռքբերումներով և նվիրատվություններով: Թանգարանային ծառայությունների և </w:t>
      </w:r>
      <w:r w:rsidRPr="001F63BA">
        <w:rPr>
          <w:rFonts w:ascii="GHEA Grapalat" w:hAnsi="GHEA Grapalat" w:cs="GHEA Grapalat"/>
          <w:sz w:val="22"/>
          <w:szCs w:val="22"/>
        </w:rPr>
        <w:t>ցուցահանդեսների</w:t>
      </w:r>
      <w:r w:rsidRPr="001F63BA">
        <w:rPr>
          <w:rFonts w:ascii="GHEA Grapalat" w:hAnsi="GHEA Grapalat" w:cs="Arial"/>
          <w:sz w:val="22"/>
          <w:szCs w:val="22"/>
        </w:rPr>
        <w:t xml:space="preserve"> միջոցառման շրջանակներում օգտագործվել է շուրջ 2.7 մլրդ դրամ՝ ապահովելով 95.4% կատարողական: Շեղումը պայմանավորված է ԱԱՀ-ի վճարման համար նախատեսված միջոցները ոչ ամբողջությամբ օգտագործելու հանգամանքով: Նախորդ տարվա համեմատ միջոցառման ծախսերն աճել են 4.4%-ով կամ 112.4 մլն դրամով, որը պայմանավորված է </w:t>
      </w:r>
      <w:r w:rsidRPr="001F63BA">
        <w:rPr>
          <w:rFonts w:ascii="GHEA Grapalat" w:hAnsi="GHEA Grapalat" w:cs="Arial"/>
          <w:sz w:val="22"/>
          <w:szCs w:val="22"/>
          <w:lang w:val="en-US"/>
        </w:rPr>
        <w:t>կազմակերպված միջոցառումների</w:t>
      </w:r>
      <w:r w:rsidRPr="001F63BA">
        <w:rPr>
          <w:rFonts w:ascii="GHEA Grapalat" w:hAnsi="GHEA Grapalat" w:cs="Arial"/>
          <w:sz w:val="22"/>
          <w:szCs w:val="22"/>
        </w:rPr>
        <w:t xml:space="preserve"> թվի ա</w:t>
      </w:r>
      <w:r w:rsidRPr="001F63BA">
        <w:rPr>
          <w:rFonts w:ascii="GHEA Grapalat" w:hAnsi="GHEA Grapalat" w:cs="Arial"/>
          <w:sz w:val="22"/>
          <w:szCs w:val="22"/>
          <w:lang w:val="en-US"/>
        </w:rPr>
        <w:t>ճով, նոր ձեռքբերումներով</w:t>
      </w:r>
      <w:r w:rsidRPr="001F63BA">
        <w:rPr>
          <w:rFonts w:ascii="GHEA Grapalat" w:hAnsi="GHEA Grapalat" w:cs="Arial"/>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Arial"/>
          <w:sz w:val="22"/>
          <w:szCs w:val="22"/>
        </w:rPr>
      </w:pPr>
      <w:r w:rsidRPr="001F63BA">
        <w:rPr>
          <w:rFonts w:ascii="GHEA Grapalat" w:hAnsi="GHEA Grapalat" w:cs="Arial"/>
          <w:sz w:val="22"/>
          <w:szCs w:val="22"/>
        </w:rPr>
        <w:t>Հուշարձանների ամրակայման, նորոգման և վերականգնման միջոցառման շրջանակներում իրականացվել են 6 հուշարձանների ուսումնասիրման, նախագծման և փորձաքննության աշխատանքներ՝ նախատեսված 7-ի դիմաց, նախատեսվել և իրականացվել են 8 հուշարձանի ամրակայման, նորոգման և վերականգնման աշխատանքներ: Հաշվետու տարում հուշարձանների ամրակայման, նորոգման և վերականգնման աշխատանքների իրականացմանը տրամադրվել է 195.8</w:t>
      </w:r>
      <w:r w:rsidRPr="001F63BA">
        <w:rPr>
          <w:rFonts w:ascii="Courier New" w:hAnsi="Courier New" w:cs="Courier New"/>
          <w:sz w:val="22"/>
          <w:szCs w:val="22"/>
        </w:rPr>
        <w:t> </w:t>
      </w:r>
      <w:r w:rsidRPr="001F63BA">
        <w:rPr>
          <w:rFonts w:ascii="GHEA Grapalat" w:hAnsi="GHEA Grapalat" w:cs="Arial"/>
          <w:sz w:val="22"/>
          <w:szCs w:val="22"/>
        </w:rPr>
        <w:t xml:space="preserve">մլն դրամ` կազմելով ծրագրային ցուցանիշի 92%-ը: Ծախսերի՝ ծրագրից շեղումը, ինչպես նաև փաստացի ցածր արդյունքային ցուցանիշները պայմանավորված </w:t>
      </w:r>
      <w:r w:rsidRPr="001F63BA">
        <w:rPr>
          <w:rFonts w:ascii="GHEA Grapalat" w:hAnsi="GHEA Grapalat" w:cs="Arial"/>
          <w:sz w:val="22"/>
          <w:szCs w:val="22"/>
          <w:lang w:val="en-US"/>
        </w:rPr>
        <w:t>են</w:t>
      </w:r>
      <w:r w:rsidRPr="001F63BA">
        <w:rPr>
          <w:rFonts w:ascii="GHEA Grapalat" w:hAnsi="GHEA Grapalat" w:cs="Arial"/>
          <w:sz w:val="22"/>
          <w:szCs w:val="22"/>
        </w:rPr>
        <w:t xml:space="preserve"> նրանով, որ թերությունների պատճառով չ</w:t>
      </w:r>
      <w:r w:rsidRPr="001F63BA">
        <w:rPr>
          <w:rFonts w:ascii="GHEA Grapalat" w:hAnsi="GHEA Grapalat" w:cs="Arial"/>
          <w:sz w:val="22"/>
          <w:szCs w:val="22"/>
          <w:lang w:val="en-US"/>
        </w:rPr>
        <w:t>են</w:t>
      </w:r>
      <w:r w:rsidRPr="001F63BA">
        <w:rPr>
          <w:rFonts w:ascii="GHEA Grapalat" w:hAnsi="GHEA Grapalat" w:cs="Arial"/>
          <w:sz w:val="22"/>
          <w:szCs w:val="22"/>
        </w:rPr>
        <w:t xml:space="preserve"> ընդունվել ՀՀ Լոռու մարզի Դսեղի Բարձրաքաշի Սուրբ Գրիգոր վանքի վերականգման նախագծման աշխատանքները, ինչպես նաև գնումների գործընթացի արդյունքում առաջաց</w:t>
      </w:r>
      <w:r w:rsidRPr="001F63BA">
        <w:rPr>
          <w:rFonts w:ascii="GHEA Grapalat" w:hAnsi="GHEA Grapalat" w:cs="Arial"/>
          <w:sz w:val="22"/>
          <w:szCs w:val="22"/>
          <w:lang w:val="en-US"/>
        </w:rPr>
        <w:t>ած</w:t>
      </w:r>
      <w:r w:rsidRPr="001F63BA">
        <w:rPr>
          <w:rFonts w:ascii="GHEA Grapalat" w:hAnsi="GHEA Grapalat" w:cs="Arial"/>
          <w:sz w:val="22"/>
          <w:szCs w:val="22"/>
        </w:rPr>
        <w:t xml:space="preserve"> տնտեսում</w:t>
      </w:r>
      <w:r w:rsidRPr="001F63BA">
        <w:rPr>
          <w:rFonts w:ascii="GHEA Grapalat" w:hAnsi="GHEA Grapalat" w:cs="Arial"/>
          <w:sz w:val="22"/>
          <w:szCs w:val="22"/>
          <w:lang w:val="en-US"/>
        </w:rPr>
        <w:t>ներով</w:t>
      </w:r>
      <w:r w:rsidRPr="001F63BA">
        <w:rPr>
          <w:rFonts w:ascii="GHEA Grapalat" w:hAnsi="GHEA Grapalat" w:cs="Arial"/>
          <w:sz w:val="22"/>
          <w:szCs w:val="22"/>
        </w:rPr>
        <w:t>: 2021 թվականի համեմատ հուշարձանների վերականգնման ծախսերը նվազել են 44.9%-ով կամ 159.7 մլն դրամով</w:t>
      </w:r>
      <w:r w:rsidRPr="001F63BA">
        <w:rPr>
          <w:rFonts w:ascii="GHEA Grapalat" w:hAnsi="GHEA Grapalat" w:cs="Arial"/>
          <w:sz w:val="22"/>
          <w:szCs w:val="22"/>
          <w:lang w:val="en-US"/>
        </w:rPr>
        <w:t>՝</w:t>
      </w:r>
      <w:r w:rsidRPr="001F63BA">
        <w:rPr>
          <w:rFonts w:ascii="GHEA Grapalat" w:hAnsi="GHEA Grapalat" w:cs="Arial"/>
          <w:sz w:val="22"/>
          <w:szCs w:val="22"/>
        </w:rPr>
        <w:t xml:space="preserve"> պայմանավորված կատարված աշխատանքների </w:t>
      </w:r>
      <w:r w:rsidRPr="001F63BA">
        <w:rPr>
          <w:rFonts w:ascii="GHEA Grapalat" w:hAnsi="GHEA Grapalat" w:cs="Arial"/>
          <w:sz w:val="22"/>
          <w:szCs w:val="22"/>
          <w:lang w:val="en-US"/>
        </w:rPr>
        <w:t>ծավալներով</w:t>
      </w:r>
      <w:r w:rsidRPr="001F63BA">
        <w:rPr>
          <w:rFonts w:ascii="GHEA Grapalat" w:hAnsi="GHEA Grapalat" w:cs="Arial"/>
          <w:sz w:val="22"/>
          <w:szCs w:val="22"/>
        </w:rPr>
        <w:t>:</w:t>
      </w:r>
    </w:p>
    <w:p w:rsidR="001C411D" w:rsidRPr="001F63BA" w:rsidRDefault="001C411D" w:rsidP="00865E10">
      <w:pPr>
        <w:autoSpaceDE w:val="0"/>
        <w:autoSpaceDN w:val="0"/>
        <w:adjustRightInd w:val="0"/>
        <w:spacing w:line="360" w:lineRule="auto"/>
        <w:ind w:firstLine="567"/>
        <w:jc w:val="both"/>
        <w:rPr>
          <w:rFonts w:ascii="GHEA Grapalat" w:hAnsi="GHEA Grapalat" w:cs="Arial"/>
          <w:sz w:val="22"/>
          <w:szCs w:val="22"/>
          <w:lang w:val="af-ZA"/>
        </w:rPr>
      </w:pPr>
      <w:r w:rsidRPr="001F63BA">
        <w:rPr>
          <w:rFonts w:ascii="GHEA Grapalat" w:hAnsi="GHEA Grapalat" w:cs="Arial"/>
          <w:sz w:val="22"/>
          <w:szCs w:val="22"/>
        </w:rPr>
        <w:t>Ոչ</w:t>
      </w:r>
      <w:r w:rsidRPr="001F63BA">
        <w:rPr>
          <w:rFonts w:ascii="GHEA Grapalat" w:hAnsi="GHEA Grapalat" w:cs="Arial"/>
          <w:sz w:val="22"/>
          <w:szCs w:val="22"/>
          <w:lang w:val="af-ZA"/>
        </w:rPr>
        <w:t xml:space="preserve"> </w:t>
      </w:r>
      <w:r w:rsidRPr="001F63BA">
        <w:rPr>
          <w:rFonts w:ascii="GHEA Grapalat" w:hAnsi="GHEA Grapalat" w:cs="Arial"/>
          <w:sz w:val="22"/>
          <w:szCs w:val="22"/>
        </w:rPr>
        <w:t>նյութական</w:t>
      </w:r>
      <w:r w:rsidRPr="001F63BA">
        <w:rPr>
          <w:rFonts w:ascii="GHEA Grapalat" w:hAnsi="GHEA Grapalat" w:cs="Arial"/>
          <w:sz w:val="22"/>
          <w:szCs w:val="22"/>
          <w:lang w:val="af-ZA"/>
        </w:rPr>
        <w:t xml:space="preserve"> </w:t>
      </w:r>
      <w:r w:rsidRPr="001F63BA">
        <w:rPr>
          <w:rFonts w:ascii="GHEA Grapalat" w:hAnsi="GHEA Grapalat" w:cs="Arial"/>
          <w:sz w:val="22"/>
          <w:szCs w:val="22"/>
        </w:rPr>
        <w:t>մշակութային</w:t>
      </w:r>
      <w:r w:rsidRPr="001F63BA">
        <w:rPr>
          <w:rFonts w:ascii="GHEA Grapalat" w:hAnsi="GHEA Grapalat" w:cs="Arial"/>
          <w:sz w:val="22"/>
          <w:szCs w:val="22"/>
          <w:lang w:val="af-ZA"/>
        </w:rPr>
        <w:t xml:space="preserve"> </w:t>
      </w:r>
      <w:r w:rsidRPr="001F63BA">
        <w:rPr>
          <w:rFonts w:ascii="GHEA Grapalat" w:hAnsi="GHEA Grapalat" w:cs="Arial"/>
          <w:sz w:val="22"/>
          <w:szCs w:val="22"/>
        </w:rPr>
        <w:t>ժառանգության</w:t>
      </w:r>
      <w:r w:rsidRPr="001F63BA">
        <w:rPr>
          <w:rFonts w:ascii="GHEA Grapalat" w:hAnsi="GHEA Grapalat" w:cs="Arial"/>
          <w:sz w:val="22"/>
          <w:szCs w:val="22"/>
          <w:lang w:val="af-ZA"/>
        </w:rPr>
        <w:t xml:space="preserve"> </w:t>
      </w:r>
      <w:r w:rsidRPr="001F63BA">
        <w:rPr>
          <w:rFonts w:ascii="GHEA Grapalat" w:hAnsi="GHEA Grapalat" w:cs="Arial"/>
          <w:sz w:val="22"/>
          <w:szCs w:val="22"/>
        </w:rPr>
        <w:t>պահպանման միջոցառման</w:t>
      </w:r>
      <w:r w:rsidRPr="001F63BA">
        <w:rPr>
          <w:rFonts w:ascii="GHEA Grapalat" w:hAnsi="GHEA Grapalat" w:cs="Arial"/>
          <w:sz w:val="22"/>
          <w:szCs w:val="22"/>
          <w:lang w:val="af-ZA"/>
        </w:rPr>
        <w:t xml:space="preserve"> </w:t>
      </w:r>
      <w:r w:rsidRPr="001F63BA">
        <w:rPr>
          <w:rFonts w:ascii="GHEA Grapalat" w:hAnsi="GHEA Grapalat" w:cs="Arial"/>
          <w:sz w:val="22"/>
          <w:szCs w:val="22"/>
        </w:rPr>
        <w:t>շրջանակներում 2022 թվականի</w:t>
      </w:r>
      <w:r w:rsidRPr="001F63BA">
        <w:rPr>
          <w:rFonts w:ascii="GHEA Grapalat" w:hAnsi="GHEA Grapalat" w:cs="Arial"/>
          <w:sz w:val="22"/>
          <w:szCs w:val="22"/>
          <w:lang w:val="af-ZA"/>
        </w:rPr>
        <w:t xml:space="preserve"> ընթացքում 30 համայնքներում </w:t>
      </w:r>
      <w:r w:rsidRPr="001F63BA">
        <w:rPr>
          <w:rFonts w:ascii="GHEA Grapalat" w:hAnsi="GHEA Grapalat" w:cs="Arial"/>
          <w:sz w:val="22"/>
          <w:szCs w:val="22"/>
        </w:rPr>
        <w:t>իրականացվել</w:t>
      </w:r>
      <w:r w:rsidRPr="001F63BA">
        <w:rPr>
          <w:rFonts w:ascii="GHEA Grapalat" w:hAnsi="GHEA Grapalat" w:cs="Arial"/>
          <w:sz w:val="22"/>
          <w:szCs w:val="22"/>
          <w:lang w:val="af-ZA"/>
        </w:rPr>
        <w:t xml:space="preserve"> </w:t>
      </w:r>
      <w:r w:rsidRPr="001F63BA">
        <w:rPr>
          <w:rFonts w:ascii="GHEA Grapalat" w:hAnsi="GHEA Grapalat" w:cs="Arial"/>
          <w:sz w:val="22"/>
          <w:szCs w:val="22"/>
        </w:rPr>
        <w:t>է</w:t>
      </w:r>
      <w:r w:rsidRPr="001F63BA">
        <w:rPr>
          <w:rFonts w:ascii="GHEA Grapalat" w:hAnsi="GHEA Grapalat" w:cs="Arial"/>
          <w:sz w:val="22"/>
          <w:szCs w:val="22"/>
          <w:lang w:val="af-ZA"/>
        </w:rPr>
        <w:t xml:space="preserve"> </w:t>
      </w:r>
      <w:r w:rsidRPr="001F63BA">
        <w:rPr>
          <w:rFonts w:ascii="GHEA Grapalat" w:hAnsi="GHEA Grapalat" w:cs="Arial"/>
          <w:sz w:val="22"/>
          <w:szCs w:val="22"/>
        </w:rPr>
        <w:t>ոչ</w:t>
      </w:r>
      <w:r w:rsidRPr="001F63BA">
        <w:rPr>
          <w:rFonts w:ascii="GHEA Grapalat" w:hAnsi="GHEA Grapalat" w:cs="Arial"/>
          <w:sz w:val="22"/>
          <w:szCs w:val="22"/>
          <w:lang w:val="af-ZA"/>
        </w:rPr>
        <w:t xml:space="preserve"> </w:t>
      </w:r>
      <w:r w:rsidRPr="001F63BA">
        <w:rPr>
          <w:rFonts w:ascii="GHEA Grapalat" w:hAnsi="GHEA Grapalat" w:cs="Arial"/>
          <w:sz w:val="22"/>
          <w:szCs w:val="22"/>
        </w:rPr>
        <w:t>նյութական</w:t>
      </w:r>
      <w:r w:rsidRPr="001F63BA">
        <w:rPr>
          <w:rFonts w:ascii="GHEA Grapalat" w:hAnsi="GHEA Grapalat" w:cs="Arial"/>
          <w:sz w:val="22"/>
          <w:szCs w:val="22"/>
          <w:lang w:val="af-ZA"/>
        </w:rPr>
        <w:t xml:space="preserve"> </w:t>
      </w:r>
      <w:r w:rsidRPr="001F63BA">
        <w:rPr>
          <w:rFonts w:ascii="GHEA Grapalat" w:hAnsi="GHEA Grapalat" w:cs="Arial"/>
          <w:sz w:val="22"/>
          <w:szCs w:val="22"/>
        </w:rPr>
        <w:t>մշակութային</w:t>
      </w:r>
      <w:r w:rsidRPr="001F63BA">
        <w:rPr>
          <w:rFonts w:ascii="GHEA Grapalat" w:hAnsi="GHEA Grapalat" w:cs="Arial"/>
          <w:sz w:val="22"/>
          <w:szCs w:val="22"/>
          <w:lang w:val="af-ZA"/>
        </w:rPr>
        <w:t xml:space="preserve"> </w:t>
      </w:r>
      <w:r w:rsidRPr="001F63BA">
        <w:rPr>
          <w:rFonts w:ascii="GHEA Grapalat" w:hAnsi="GHEA Grapalat" w:cs="Arial"/>
          <w:sz w:val="22"/>
          <w:szCs w:val="22"/>
        </w:rPr>
        <w:t>ժառանգության</w:t>
      </w:r>
      <w:r w:rsidRPr="001F63BA">
        <w:rPr>
          <w:rFonts w:ascii="GHEA Grapalat" w:hAnsi="GHEA Grapalat" w:cs="Arial"/>
          <w:sz w:val="22"/>
          <w:szCs w:val="22"/>
          <w:lang w:val="af-ZA"/>
        </w:rPr>
        <w:t xml:space="preserve"> </w:t>
      </w:r>
      <w:r w:rsidRPr="001F63BA">
        <w:rPr>
          <w:rFonts w:ascii="GHEA Grapalat" w:hAnsi="GHEA Grapalat" w:cs="Arial"/>
          <w:sz w:val="22"/>
          <w:szCs w:val="22"/>
        </w:rPr>
        <w:t>պահպանման</w:t>
      </w:r>
      <w:r w:rsidRPr="001F63BA">
        <w:rPr>
          <w:rFonts w:ascii="GHEA Grapalat" w:hAnsi="GHEA Grapalat" w:cs="Arial"/>
          <w:sz w:val="22"/>
          <w:szCs w:val="22"/>
          <w:lang w:val="af-ZA"/>
        </w:rPr>
        <w:t xml:space="preserve">, </w:t>
      </w:r>
      <w:r w:rsidRPr="001F63BA">
        <w:rPr>
          <w:rFonts w:ascii="GHEA Grapalat" w:hAnsi="GHEA Grapalat" w:cs="Arial"/>
          <w:sz w:val="22"/>
          <w:szCs w:val="22"/>
        </w:rPr>
        <w:t>զարգացման</w:t>
      </w:r>
      <w:r w:rsidRPr="001F63BA">
        <w:rPr>
          <w:rFonts w:ascii="GHEA Grapalat" w:hAnsi="GHEA Grapalat" w:cs="Arial"/>
          <w:sz w:val="22"/>
          <w:szCs w:val="22"/>
          <w:lang w:val="af-ZA"/>
        </w:rPr>
        <w:t xml:space="preserve"> </w:t>
      </w:r>
      <w:r w:rsidRPr="001F63BA">
        <w:rPr>
          <w:rFonts w:ascii="GHEA Grapalat" w:hAnsi="GHEA Grapalat" w:cs="Arial"/>
          <w:sz w:val="22"/>
          <w:szCs w:val="22"/>
        </w:rPr>
        <w:t>և</w:t>
      </w:r>
      <w:r w:rsidRPr="001F63BA">
        <w:rPr>
          <w:rFonts w:ascii="GHEA Grapalat" w:hAnsi="GHEA Grapalat" w:cs="Arial"/>
          <w:sz w:val="22"/>
          <w:szCs w:val="22"/>
          <w:lang w:val="af-ZA"/>
        </w:rPr>
        <w:t xml:space="preserve"> </w:t>
      </w:r>
      <w:r w:rsidRPr="001F63BA">
        <w:rPr>
          <w:rFonts w:ascii="GHEA Grapalat" w:hAnsi="GHEA Grapalat" w:cs="Arial"/>
          <w:sz w:val="22"/>
          <w:szCs w:val="22"/>
        </w:rPr>
        <w:t>հանրահռչակման</w:t>
      </w:r>
      <w:r w:rsidRPr="001F63BA">
        <w:rPr>
          <w:rFonts w:ascii="GHEA Grapalat" w:hAnsi="GHEA Grapalat" w:cs="Arial"/>
          <w:sz w:val="22"/>
          <w:szCs w:val="22"/>
          <w:lang w:val="af-ZA"/>
        </w:rPr>
        <w:t xml:space="preserve"> 15 </w:t>
      </w:r>
      <w:r w:rsidRPr="001F63BA">
        <w:rPr>
          <w:rFonts w:ascii="GHEA Grapalat" w:hAnsi="GHEA Grapalat" w:cs="Arial"/>
          <w:sz w:val="22"/>
          <w:szCs w:val="22"/>
        </w:rPr>
        <w:t xml:space="preserve">միջոցառում՝ նախատեսված 11-ի դիմաց, </w:t>
      </w:r>
      <w:r w:rsidRPr="001F63BA">
        <w:rPr>
          <w:rFonts w:ascii="GHEA Grapalat" w:hAnsi="GHEA Grapalat" w:cs="Sylfaen"/>
          <w:sz w:val="22"/>
          <w:szCs w:val="22"/>
        </w:rPr>
        <w:t xml:space="preserve">որոնց մասնակցել է </w:t>
      </w:r>
      <w:r w:rsidRPr="001F63BA">
        <w:rPr>
          <w:rFonts w:ascii="GHEA Grapalat" w:hAnsi="GHEA Grapalat" w:cs="Arial"/>
          <w:sz w:val="22"/>
          <w:szCs w:val="22"/>
          <w:lang w:val="af-ZA"/>
        </w:rPr>
        <w:t>1400 մասնակից, իրականացվել են ոչ նյութական մշակութային ժառանգության միջազգային հանրահռչակմանն ուղղված 4 նախագիծ և ոչ նյութական մշակութային ժառանգության պահպանությանն ուղղված 15 ծրագիր՝ նախատեսված համապատասխանաբար 2-ի և 9-ի դիմաց։ 2022 թվականին իրականացված միջոցառումներից առավել նշանակալի են եղել «Գյումրի. վարպետաց քաղաք»</w:t>
      </w:r>
      <w:r w:rsidRPr="001F63BA">
        <w:rPr>
          <w:rFonts w:ascii="GHEA Grapalat" w:hAnsi="GHEA Grapalat" w:cs="Arial"/>
          <w:sz w:val="22"/>
          <w:szCs w:val="22"/>
        </w:rPr>
        <w:t xml:space="preserve"> փառատոնը, «Նշխարներ Շիրակի բանավոր մշակույթից», «Ամառային </w:t>
      </w:r>
      <w:r w:rsidRPr="001F63BA">
        <w:rPr>
          <w:rFonts w:ascii="GHEA Grapalat" w:hAnsi="GHEA Grapalat" w:cs="Arial"/>
          <w:sz w:val="22"/>
          <w:szCs w:val="22"/>
        </w:rPr>
        <w:lastRenderedPageBreak/>
        <w:t>մշակութային ճամբար Ջավախքում», «Տարեցների փորձը և մշակութային կրթությունը ի նպաստ երկրի զարգացման</w:t>
      </w:r>
      <w:r w:rsidRPr="001F63BA">
        <w:rPr>
          <w:rFonts w:ascii="GHEA Grapalat" w:hAnsi="GHEA Grapalat" w:cs="Arial"/>
          <w:sz w:val="22"/>
          <w:szCs w:val="22"/>
          <w:lang w:val="af-ZA"/>
        </w:rPr>
        <w:t>», «Գուպար» ազգային-ավանդական խաղերի մրցույթ ծրագրերը: Ոչ նյութական մշակութային ժառանգության պահպանման նպատակով օգտագործվել է 27.3 մլն դրամ, որը կազմել է ծրագրված միջոցների 86.8%-ը: Շեղումը հիմնականում պայմանավորված է ԱԱՀ-ի վճարման համար նախատեսված հատկացումներն ամբողջությամբ չօգտագործելու հանգամանքով: Նախորդ տարվա համեմատ Ոչ նյութական մշակութային ժառանգության միջոցառման ծախսերն աճել են 6.2%-ով կամ 1.6 մլն դրամով, որը պայմանավորված է իրականացված միջոցառումների ծավալներով:</w:t>
      </w:r>
    </w:p>
    <w:p w:rsidR="001C411D" w:rsidRPr="001F63BA" w:rsidRDefault="001C411D" w:rsidP="008E438A">
      <w:pPr>
        <w:tabs>
          <w:tab w:val="num" w:pos="0"/>
        </w:tabs>
        <w:spacing w:line="360" w:lineRule="auto"/>
        <w:ind w:firstLine="567"/>
        <w:jc w:val="both"/>
        <w:rPr>
          <w:rFonts w:ascii="GHEA Grapalat" w:hAnsi="GHEA Grapalat" w:cs="Arial"/>
          <w:sz w:val="22"/>
          <w:szCs w:val="22"/>
        </w:rPr>
      </w:pP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i/>
          <w:sz w:val="22"/>
          <w:szCs w:val="22"/>
          <w:u w:val="single"/>
        </w:rPr>
        <w:t>ՀՀ պաշտպանության նախարարության</w:t>
      </w:r>
      <w:r w:rsidRPr="001F63BA">
        <w:rPr>
          <w:rFonts w:ascii="GHEA Grapalat" w:hAnsi="GHEA Grapalat" w:cs="GHEA Grapalat"/>
          <w:sz w:val="22"/>
          <w:szCs w:val="22"/>
        </w:rPr>
        <w:t xml:space="preserve"> </w:t>
      </w:r>
      <w:r w:rsidRPr="001F63BA">
        <w:rPr>
          <w:rFonts w:ascii="GHEA Grapalat" w:hAnsi="GHEA Grapalat" w:cs="Times Armenian"/>
          <w:sz w:val="22"/>
          <w:szCs w:val="22"/>
        </w:rPr>
        <w:t>պատասխանատվությամբ 202</w:t>
      </w:r>
      <w:r w:rsidRPr="001F63BA">
        <w:rPr>
          <w:rFonts w:ascii="GHEA Grapalat" w:hAnsi="GHEA Grapalat" w:cs="Times Armenian"/>
          <w:sz w:val="22"/>
          <w:szCs w:val="22"/>
          <w:lang w:val="en-US"/>
        </w:rPr>
        <w:t>2</w:t>
      </w:r>
      <w:r w:rsidRPr="001F63BA">
        <w:rPr>
          <w:rFonts w:ascii="GHEA Grapalat" w:hAnsi="GHEA Grapalat" w:cs="GHEA Grapalat"/>
          <w:sz w:val="22"/>
          <w:szCs w:val="22"/>
        </w:rPr>
        <w:t xml:space="preserve"> թվականի </w:t>
      </w:r>
      <w:r w:rsidRPr="001F63BA">
        <w:rPr>
          <w:rFonts w:ascii="GHEA Grapalat" w:hAnsi="GHEA Grapalat" w:cs="Sylfaen"/>
          <w:sz w:val="22"/>
          <w:szCs w:val="22"/>
        </w:rPr>
        <w:t>ընթացք</w:t>
      </w:r>
      <w:r w:rsidRPr="001F63BA">
        <w:rPr>
          <w:rFonts w:ascii="GHEA Grapalat" w:hAnsi="GHEA Grapalat" w:cs="GHEA Grapalat"/>
          <w:sz w:val="22"/>
          <w:szCs w:val="22"/>
        </w:rPr>
        <w:t xml:space="preserve">ում կատարվել է պետական բյուջեի 5 ծրագիր: Ծախսերը կազմել են </w:t>
      </w:r>
      <w:r w:rsidRPr="001F63BA">
        <w:rPr>
          <w:rFonts w:ascii="GHEA Grapalat" w:hAnsi="GHEA Grapalat" w:cs="GHEA Grapalat"/>
          <w:sz w:val="22"/>
          <w:szCs w:val="22"/>
          <w:lang w:val="en-US"/>
        </w:rPr>
        <w:t>ավելի քան 479.</w:t>
      </w:r>
      <w:r w:rsidRPr="001F63BA">
        <w:rPr>
          <w:rFonts w:ascii="GHEA Grapalat" w:hAnsi="GHEA Grapalat" w:cs="GHEA Grapalat"/>
          <w:sz w:val="22"/>
          <w:szCs w:val="22"/>
        </w:rPr>
        <w:t>6</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մլրդ դրամ կամ </w:t>
      </w:r>
      <w:r w:rsidRPr="001F63BA">
        <w:rPr>
          <w:rFonts w:ascii="GHEA Grapalat" w:hAnsi="GHEA Grapalat" w:cs="GHEA Grapalat"/>
          <w:sz w:val="22"/>
          <w:szCs w:val="22"/>
          <w:lang w:val="en-US"/>
        </w:rPr>
        <w:t>ծրագրված ցուցանիշի</w:t>
      </w:r>
      <w:r w:rsidRPr="001F63BA">
        <w:rPr>
          <w:rFonts w:ascii="GHEA Grapalat" w:hAnsi="GHEA Grapalat" w:cs="GHEA Grapalat"/>
          <w:sz w:val="22"/>
          <w:szCs w:val="22"/>
        </w:rPr>
        <w:t xml:space="preserve"> 99.</w:t>
      </w:r>
      <w:r w:rsidRPr="001F63BA">
        <w:rPr>
          <w:rFonts w:ascii="GHEA Grapalat" w:hAnsi="GHEA Grapalat" w:cs="GHEA Grapalat"/>
          <w:sz w:val="22"/>
          <w:szCs w:val="22"/>
          <w:lang w:val="en-US"/>
        </w:rPr>
        <w:t>9</w:t>
      </w:r>
      <w:r w:rsidRPr="001F63BA">
        <w:rPr>
          <w:rFonts w:ascii="GHEA Grapalat" w:hAnsi="GHEA Grapalat" w:cs="GHEA Grapalat"/>
          <w:sz w:val="22"/>
          <w:szCs w:val="22"/>
        </w:rPr>
        <w:t>%</w:t>
      </w:r>
      <w:r w:rsidRPr="001F63BA">
        <w:rPr>
          <w:rFonts w:ascii="GHEA Grapalat" w:hAnsi="GHEA Grapalat" w:cs="GHEA Grapalat"/>
          <w:sz w:val="22"/>
          <w:szCs w:val="22"/>
        </w:rPr>
        <w:noBreakHyphen/>
        <w:t>ը: Նախորդ տարվա համեմատ ՀՀ պաշտպանության նախարարության պատասխանատվությամբ իրականացվող ծրագրերի գծով ծախսերն</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ա</w:t>
      </w:r>
      <w:r w:rsidRPr="001F63BA">
        <w:rPr>
          <w:rFonts w:ascii="GHEA Grapalat" w:hAnsi="GHEA Grapalat" w:cs="GHEA Grapalat"/>
          <w:sz w:val="22"/>
          <w:szCs w:val="22"/>
          <w:lang w:val="en-US"/>
        </w:rPr>
        <w:t>ճ</w:t>
      </w:r>
      <w:r w:rsidRPr="001F63BA">
        <w:rPr>
          <w:rFonts w:ascii="GHEA Grapalat" w:hAnsi="GHEA Grapalat" w:cs="GHEA Grapalat"/>
          <w:sz w:val="22"/>
          <w:szCs w:val="22"/>
        </w:rPr>
        <w:t xml:space="preserve">ել են </w:t>
      </w:r>
      <w:r w:rsidRPr="001F63BA">
        <w:rPr>
          <w:rFonts w:ascii="GHEA Grapalat" w:hAnsi="GHEA Grapalat" w:cs="GHEA Grapalat"/>
          <w:sz w:val="22"/>
          <w:szCs w:val="22"/>
          <w:lang w:val="en-US"/>
        </w:rPr>
        <w:t>42.4</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ով կամ </w:t>
      </w:r>
      <w:r w:rsidRPr="001F63BA">
        <w:rPr>
          <w:rFonts w:ascii="GHEA Grapalat" w:hAnsi="GHEA Grapalat" w:cs="GHEA Grapalat"/>
          <w:sz w:val="22"/>
          <w:szCs w:val="22"/>
          <w:lang w:val="en-US"/>
        </w:rPr>
        <w:t>142.9</w:t>
      </w:r>
      <w:r w:rsidRPr="001F63BA">
        <w:rPr>
          <w:rFonts w:ascii="GHEA Grapalat" w:hAnsi="GHEA Grapalat" w:cs="GHEA Grapalat"/>
          <w:sz w:val="22"/>
          <w:szCs w:val="22"/>
        </w:rPr>
        <w:t xml:space="preserve"> մլրդ դրամով, որը հիմնականում պայմանավորված է ՀՀ պաշտպանության ապահովման ծրագրի շրջանակներում կատարված ծախսերի </w:t>
      </w:r>
      <w:r w:rsidRPr="001F63BA">
        <w:rPr>
          <w:rFonts w:ascii="GHEA Grapalat" w:hAnsi="GHEA Grapalat" w:cs="GHEA Grapalat"/>
          <w:sz w:val="22"/>
          <w:szCs w:val="22"/>
          <w:lang w:val="en-US"/>
        </w:rPr>
        <w:t>աճով</w:t>
      </w:r>
      <w:r w:rsidRPr="001F63BA">
        <w:rPr>
          <w:rFonts w:ascii="GHEA Grapalat" w:hAnsi="GHEA Grapalat" w:cs="GHEA Grapalat"/>
          <w:sz w:val="22"/>
          <w:szCs w:val="22"/>
        </w:rPr>
        <w:t>:</w:t>
      </w: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202</w:t>
      </w:r>
      <w:r w:rsidRPr="001F63BA">
        <w:rPr>
          <w:rFonts w:ascii="GHEA Grapalat" w:hAnsi="GHEA Grapalat"/>
          <w:i/>
          <w:sz w:val="18"/>
          <w:szCs w:val="18"/>
          <w:lang w:val="en-US"/>
        </w:rPr>
        <w:t>2</w:t>
      </w:r>
      <w:r w:rsidRPr="001F63BA">
        <w:rPr>
          <w:rFonts w:ascii="GHEA Grapalat" w:hAnsi="GHEA Grapalat"/>
          <w:i/>
          <w:sz w:val="18"/>
          <w:szCs w:val="18"/>
          <w:lang w:val="hy-AM"/>
        </w:rPr>
        <w:t>թ. ՀՀ պաշտպանության նախարարության կողմից իրականացված ծրագրերը (մլն դրամ)</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8"/>
        <w:gridCol w:w="1101"/>
        <w:gridCol w:w="1085"/>
        <w:gridCol w:w="1079"/>
        <w:gridCol w:w="1203"/>
        <w:gridCol w:w="1203"/>
        <w:gridCol w:w="1120"/>
      </w:tblGrid>
      <w:tr w:rsidR="001C411D" w:rsidRPr="001F63BA" w:rsidTr="006331B8">
        <w:trPr>
          <w:trHeight w:val="300"/>
          <w:jc w:val="center"/>
        </w:trPr>
        <w:tc>
          <w:tcPr>
            <w:tcW w:w="3388" w:type="dxa"/>
            <w:noWrap/>
            <w:vAlign w:val="bottom"/>
          </w:tcPr>
          <w:p w:rsidR="001C411D" w:rsidRPr="001F63BA" w:rsidRDefault="001C411D">
            <w:pPr>
              <w:rPr>
                <w:noProof w:val="0"/>
                <w:sz w:val="20"/>
                <w:szCs w:val="20"/>
                <w:lang w:val="en-US"/>
              </w:rPr>
            </w:pPr>
          </w:p>
        </w:tc>
        <w:tc>
          <w:tcPr>
            <w:tcW w:w="1101"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2021թ. փաստ</w:t>
            </w:r>
          </w:p>
        </w:tc>
        <w:tc>
          <w:tcPr>
            <w:tcW w:w="1085"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1079" w:type="dxa"/>
            <w:noWrap/>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03"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Կատարո-ղականը ճշտված պլանի նկատմամբ (</w:t>
            </w:r>
            <w:r w:rsidRPr="001F63BA">
              <w:rPr>
                <w:rFonts w:ascii="GHEA Grapalat" w:hAnsi="GHEA Grapalat"/>
                <w:b/>
                <w:bCs/>
                <w:sz w:val="18"/>
                <w:szCs w:val="18"/>
              </w:rPr>
              <w:t>%)</w:t>
            </w:r>
            <w:r w:rsidRPr="001F63BA">
              <w:rPr>
                <w:rFonts w:ascii="GHEA Grapalat" w:hAnsi="GHEA Grapalat" w:cs="Calibri"/>
                <w:b/>
                <w:sz w:val="18"/>
                <w:szCs w:val="18"/>
              </w:rPr>
              <w:t xml:space="preserve"> </w:t>
            </w:r>
          </w:p>
        </w:tc>
        <w:tc>
          <w:tcPr>
            <w:tcW w:w="1203" w:type="dxa"/>
          </w:tcPr>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2</w:t>
            </w:r>
            <w:r w:rsidRPr="001F63BA">
              <w:rPr>
                <w:rFonts w:ascii="GHEA Grapalat" w:hAnsi="GHEA Grapalat" w:cs="Calibri"/>
                <w:b/>
                <w:bCs/>
                <w:sz w:val="18"/>
                <w:szCs w:val="18"/>
              </w:rPr>
              <w:t>թ-ի նկատմամբ</w:t>
            </w:r>
            <w:r w:rsidRPr="001F63BA">
              <w:rPr>
                <w:rFonts w:ascii="GHEA Grapalat" w:hAnsi="GHEA Grapalat" w:cs="Calibri"/>
                <w:b/>
                <w:sz w:val="18"/>
                <w:szCs w:val="18"/>
                <w:lang w:val="en-US"/>
              </w:rPr>
              <w:t xml:space="preserve"> (</w:t>
            </w:r>
            <w:r w:rsidRPr="001F63BA">
              <w:rPr>
                <w:rFonts w:ascii="GHEA Grapalat" w:hAnsi="GHEA Grapalat"/>
                <w:b/>
                <w:bCs/>
                <w:sz w:val="18"/>
                <w:szCs w:val="18"/>
              </w:rPr>
              <w:t>%</w:t>
            </w:r>
            <w:r w:rsidRPr="001F63BA">
              <w:rPr>
                <w:rFonts w:ascii="GHEA Grapalat" w:hAnsi="GHEA Grapalat"/>
                <w:b/>
                <w:bCs/>
                <w:sz w:val="18"/>
                <w:szCs w:val="18"/>
                <w:lang w:val="en-US"/>
              </w:rPr>
              <w:t>)</w:t>
            </w:r>
          </w:p>
        </w:tc>
        <w:tc>
          <w:tcPr>
            <w:tcW w:w="1120" w:type="dxa"/>
          </w:tcPr>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և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տարբե-րությունը</w:t>
            </w:r>
          </w:p>
        </w:tc>
      </w:tr>
      <w:tr w:rsidR="001C411D" w:rsidRPr="001F63BA" w:rsidTr="00975ED5">
        <w:trPr>
          <w:trHeight w:val="331"/>
          <w:jc w:val="center"/>
        </w:trPr>
        <w:tc>
          <w:tcPr>
            <w:tcW w:w="3388" w:type="dxa"/>
            <w:vAlign w:val="bottom"/>
          </w:tcPr>
          <w:p w:rsidR="001C411D" w:rsidRPr="001F63BA" w:rsidRDefault="001C411D" w:rsidP="00975ED5">
            <w:pPr>
              <w:rPr>
                <w:rFonts w:ascii="GHEA Grapalat" w:hAnsi="GHEA Grapalat"/>
                <w:b/>
                <w:sz w:val="18"/>
                <w:szCs w:val="18"/>
              </w:rPr>
            </w:pPr>
            <w:r w:rsidRPr="001F63BA">
              <w:rPr>
                <w:rFonts w:ascii="GHEA Grapalat" w:hAnsi="GHEA Grapalat"/>
                <w:b/>
                <w:sz w:val="18"/>
                <w:szCs w:val="18"/>
              </w:rPr>
              <w:t>ԸՆԴԱՄԵՆԸ</w:t>
            </w:r>
          </w:p>
        </w:tc>
        <w:tc>
          <w:tcPr>
            <w:tcW w:w="1101"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336,797.0</w:t>
            </w:r>
          </w:p>
        </w:tc>
        <w:tc>
          <w:tcPr>
            <w:tcW w:w="1085"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480,252.0</w:t>
            </w:r>
          </w:p>
        </w:tc>
        <w:tc>
          <w:tcPr>
            <w:tcW w:w="1079"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479,649.2</w:t>
            </w:r>
          </w:p>
        </w:tc>
        <w:tc>
          <w:tcPr>
            <w:tcW w:w="120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99.9</w:t>
            </w:r>
          </w:p>
        </w:tc>
        <w:tc>
          <w:tcPr>
            <w:tcW w:w="120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142.4</w:t>
            </w:r>
          </w:p>
        </w:tc>
        <w:tc>
          <w:tcPr>
            <w:tcW w:w="1120"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142,852.2</w:t>
            </w:r>
          </w:p>
        </w:tc>
      </w:tr>
      <w:tr w:rsidR="001C411D" w:rsidRPr="001F63BA" w:rsidTr="00975ED5">
        <w:trPr>
          <w:trHeight w:val="331"/>
          <w:jc w:val="center"/>
        </w:trPr>
        <w:tc>
          <w:tcPr>
            <w:tcW w:w="3388" w:type="dxa"/>
            <w:vAlign w:val="bottom"/>
          </w:tcPr>
          <w:p w:rsidR="001C411D" w:rsidRPr="001F63BA" w:rsidRDefault="001C411D" w:rsidP="00975ED5">
            <w:pPr>
              <w:rPr>
                <w:rFonts w:ascii="GHEA Grapalat" w:hAnsi="GHEA Grapalat"/>
                <w:sz w:val="18"/>
                <w:szCs w:val="18"/>
              </w:rPr>
            </w:pPr>
            <w:r w:rsidRPr="001F63BA">
              <w:rPr>
                <w:rFonts w:ascii="GHEA Grapalat" w:hAnsi="GHEA Grapalat"/>
                <w:sz w:val="18"/>
                <w:szCs w:val="18"/>
              </w:rPr>
              <w:t>ՀՀ պաշտպանության ապահովում</w:t>
            </w:r>
          </w:p>
        </w:tc>
        <w:tc>
          <w:tcPr>
            <w:tcW w:w="1101"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333,764.8</w:t>
            </w:r>
          </w:p>
        </w:tc>
        <w:tc>
          <w:tcPr>
            <w:tcW w:w="1085"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476,564.2</w:t>
            </w:r>
          </w:p>
        </w:tc>
        <w:tc>
          <w:tcPr>
            <w:tcW w:w="1079"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476,125.8</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99.9</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142.7</w:t>
            </w:r>
          </w:p>
        </w:tc>
        <w:tc>
          <w:tcPr>
            <w:tcW w:w="1120"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142,361.0</w:t>
            </w:r>
          </w:p>
        </w:tc>
      </w:tr>
      <w:tr w:rsidR="001C411D" w:rsidRPr="001F63BA" w:rsidTr="00975ED5">
        <w:trPr>
          <w:trHeight w:val="300"/>
          <w:jc w:val="center"/>
        </w:trPr>
        <w:tc>
          <w:tcPr>
            <w:tcW w:w="3388" w:type="dxa"/>
            <w:vAlign w:val="bottom"/>
          </w:tcPr>
          <w:p w:rsidR="001C411D" w:rsidRPr="001F63BA" w:rsidRDefault="001C411D" w:rsidP="00975ED5">
            <w:pPr>
              <w:rPr>
                <w:rFonts w:ascii="GHEA Grapalat" w:hAnsi="GHEA Grapalat"/>
                <w:sz w:val="18"/>
                <w:szCs w:val="18"/>
              </w:rPr>
            </w:pPr>
            <w:r w:rsidRPr="001F63BA">
              <w:rPr>
                <w:rFonts w:ascii="GHEA Grapalat" w:hAnsi="GHEA Grapalat"/>
                <w:sz w:val="18"/>
                <w:szCs w:val="18"/>
              </w:rPr>
              <w:t>Ռազմաբժշկական սպասարկում և առողջապահական ծառայություններ</w:t>
            </w:r>
          </w:p>
        </w:tc>
        <w:tc>
          <w:tcPr>
            <w:tcW w:w="1101"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1,280.7</w:t>
            </w:r>
          </w:p>
        </w:tc>
        <w:tc>
          <w:tcPr>
            <w:tcW w:w="1085"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1,385.6</w:t>
            </w:r>
          </w:p>
        </w:tc>
        <w:tc>
          <w:tcPr>
            <w:tcW w:w="1079"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1,381.4</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99.7</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107.9</w:t>
            </w:r>
          </w:p>
        </w:tc>
        <w:tc>
          <w:tcPr>
            <w:tcW w:w="1120"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100.6</w:t>
            </w:r>
          </w:p>
        </w:tc>
      </w:tr>
      <w:tr w:rsidR="001C411D" w:rsidRPr="001F63BA" w:rsidTr="00975ED5">
        <w:trPr>
          <w:trHeight w:val="300"/>
          <w:jc w:val="center"/>
        </w:trPr>
        <w:tc>
          <w:tcPr>
            <w:tcW w:w="3388" w:type="dxa"/>
            <w:vAlign w:val="bottom"/>
          </w:tcPr>
          <w:p w:rsidR="001C411D" w:rsidRPr="001F63BA" w:rsidRDefault="001C411D" w:rsidP="00975ED5">
            <w:pPr>
              <w:rPr>
                <w:rFonts w:ascii="GHEA Grapalat" w:hAnsi="GHEA Grapalat"/>
                <w:sz w:val="18"/>
                <w:szCs w:val="18"/>
              </w:rPr>
            </w:pPr>
            <w:r w:rsidRPr="001F63BA">
              <w:rPr>
                <w:rFonts w:ascii="GHEA Grapalat" w:hAnsi="GHEA Grapalat"/>
                <w:sz w:val="18"/>
                <w:szCs w:val="18"/>
              </w:rPr>
              <w:t>Այլ ծրագրեր</w:t>
            </w:r>
          </w:p>
        </w:tc>
        <w:tc>
          <w:tcPr>
            <w:tcW w:w="1101"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1,751.5</w:t>
            </w:r>
          </w:p>
        </w:tc>
        <w:tc>
          <w:tcPr>
            <w:tcW w:w="1085"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2,302.2</w:t>
            </w:r>
          </w:p>
        </w:tc>
        <w:tc>
          <w:tcPr>
            <w:tcW w:w="1079"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2,142.1</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93.0</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122.3</w:t>
            </w:r>
          </w:p>
        </w:tc>
        <w:tc>
          <w:tcPr>
            <w:tcW w:w="1120"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390.6</w:t>
            </w:r>
          </w:p>
        </w:tc>
      </w:tr>
    </w:tbl>
    <w:p w:rsidR="001C411D" w:rsidRPr="001F63BA" w:rsidRDefault="001C411D" w:rsidP="006331B8">
      <w:pPr>
        <w:autoSpaceDE w:val="0"/>
        <w:autoSpaceDN w:val="0"/>
        <w:adjustRightInd w:val="0"/>
        <w:spacing w:line="360" w:lineRule="auto"/>
        <w:ind w:firstLine="567"/>
        <w:jc w:val="both"/>
        <w:rPr>
          <w:rFonts w:ascii="GHEA Grapalat" w:hAnsi="GHEA Grapalat"/>
          <w:sz w:val="20"/>
          <w:szCs w:val="20"/>
        </w:rPr>
      </w:pPr>
    </w:p>
    <w:p w:rsidR="001C411D" w:rsidRPr="001F63BA" w:rsidRDefault="001C411D" w:rsidP="006331B8">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Sylfaen"/>
          <w:sz w:val="22"/>
          <w:szCs w:val="22"/>
        </w:rPr>
        <w:t>Հաշվետու տարում</w:t>
      </w:r>
      <w:r w:rsidRPr="001F63BA">
        <w:rPr>
          <w:rFonts w:ascii="GHEA Grapalat" w:hAnsi="GHEA Grapalat"/>
          <w:sz w:val="22"/>
          <w:szCs w:val="22"/>
        </w:rPr>
        <w:t xml:space="preserve"> </w:t>
      </w:r>
      <w:r w:rsidRPr="001F63BA">
        <w:rPr>
          <w:rFonts w:ascii="GHEA Grapalat" w:hAnsi="GHEA Grapalat" w:cs="GHEA Grapalat"/>
          <w:i/>
          <w:sz w:val="22"/>
          <w:szCs w:val="22"/>
        </w:rPr>
        <w:t>ՀՀ պաշտպանության ապահովման</w:t>
      </w:r>
      <w:r w:rsidRPr="001F63BA">
        <w:rPr>
          <w:rFonts w:ascii="GHEA Grapalat" w:hAnsi="GHEA Grapalat"/>
          <w:sz w:val="22"/>
          <w:szCs w:val="22"/>
        </w:rPr>
        <w:t xml:space="preserve"> ծրագրի շրջանակներում օգտագործվել է </w:t>
      </w:r>
      <w:r w:rsidRPr="001F63BA">
        <w:rPr>
          <w:rFonts w:ascii="GHEA Grapalat" w:hAnsi="GHEA Grapalat" w:cs="GHEA Grapalat"/>
          <w:sz w:val="22"/>
          <w:szCs w:val="22"/>
          <w:lang w:val="en-US"/>
        </w:rPr>
        <w:t>476.1</w:t>
      </w:r>
      <w:r w:rsidRPr="001F63BA">
        <w:rPr>
          <w:rFonts w:ascii="GHEA Grapalat" w:hAnsi="GHEA Grapalat"/>
          <w:sz w:val="22"/>
          <w:szCs w:val="22"/>
        </w:rPr>
        <w:t xml:space="preserve"> մլրդ դրամ կամ նախատեսված միջոցների 99.9%-ը: Նախորդ տարվա համեմատ ՀՀ պաշտպանության ապահովման ծրագրի ծախսերն</w:t>
      </w:r>
      <w:r w:rsidRPr="001F63BA">
        <w:rPr>
          <w:rFonts w:ascii="GHEA Grapalat" w:hAnsi="GHEA Grapalat"/>
          <w:sz w:val="22"/>
          <w:szCs w:val="22"/>
          <w:lang w:val="en-US"/>
        </w:rPr>
        <w:t xml:space="preserve"> </w:t>
      </w:r>
      <w:r w:rsidRPr="001F63BA">
        <w:rPr>
          <w:rFonts w:ascii="GHEA Grapalat" w:hAnsi="GHEA Grapalat"/>
          <w:sz w:val="22"/>
          <w:szCs w:val="22"/>
        </w:rPr>
        <w:t>ա</w:t>
      </w:r>
      <w:r w:rsidRPr="001F63BA">
        <w:rPr>
          <w:rFonts w:ascii="GHEA Grapalat" w:hAnsi="GHEA Grapalat"/>
          <w:sz w:val="22"/>
          <w:szCs w:val="22"/>
          <w:lang w:val="en-US"/>
        </w:rPr>
        <w:t>ճ</w:t>
      </w:r>
      <w:r w:rsidRPr="001F63BA">
        <w:rPr>
          <w:rFonts w:ascii="GHEA Grapalat" w:hAnsi="GHEA Grapalat"/>
          <w:sz w:val="22"/>
          <w:szCs w:val="22"/>
        </w:rPr>
        <w:t>ել</w:t>
      </w:r>
      <w:r w:rsidRPr="001F63BA">
        <w:rPr>
          <w:rFonts w:ascii="Courier New" w:hAnsi="Courier New" w:cs="Courier New"/>
          <w:sz w:val="22"/>
          <w:szCs w:val="22"/>
        </w:rPr>
        <w:t> </w:t>
      </w:r>
      <w:r w:rsidRPr="001F63BA">
        <w:rPr>
          <w:rFonts w:ascii="GHEA Grapalat" w:hAnsi="GHEA Grapalat" w:cs="GHEA Grapalat"/>
          <w:sz w:val="22"/>
          <w:szCs w:val="22"/>
        </w:rPr>
        <w:t>են</w:t>
      </w:r>
      <w:r w:rsidRPr="001F63BA">
        <w:rPr>
          <w:rFonts w:ascii="GHEA Grapalat" w:hAnsi="GHEA Grapalat"/>
          <w:sz w:val="22"/>
          <w:szCs w:val="22"/>
        </w:rPr>
        <w:t xml:space="preserve"> </w:t>
      </w:r>
      <w:r w:rsidRPr="001F63BA">
        <w:rPr>
          <w:rFonts w:ascii="GHEA Grapalat" w:hAnsi="GHEA Grapalat"/>
          <w:sz w:val="22"/>
          <w:szCs w:val="22"/>
          <w:lang w:val="en-US"/>
        </w:rPr>
        <w:t>42.7</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ով </w:t>
      </w:r>
      <w:r w:rsidRPr="001F63BA">
        <w:rPr>
          <w:rFonts w:ascii="GHEA Grapalat" w:hAnsi="GHEA Grapalat"/>
          <w:sz w:val="22"/>
          <w:szCs w:val="22"/>
        </w:rPr>
        <w:t xml:space="preserve">կամ </w:t>
      </w:r>
      <w:r w:rsidRPr="001F63BA">
        <w:rPr>
          <w:rFonts w:ascii="GHEA Grapalat" w:hAnsi="GHEA Grapalat"/>
          <w:sz w:val="22"/>
          <w:szCs w:val="22"/>
          <w:lang w:val="en-US"/>
        </w:rPr>
        <w:t xml:space="preserve">142.4 </w:t>
      </w:r>
      <w:r w:rsidRPr="001F63BA">
        <w:rPr>
          <w:rFonts w:ascii="GHEA Grapalat" w:hAnsi="GHEA Grapalat"/>
          <w:sz w:val="22"/>
          <w:szCs w:val="22"/>
        </w:rPr>
        <w:t xml:space="preserve">մլրդ դրամով, որը հիմնականում պայմանավորված է ՀՀ պաշտպանության նախարարության շենքային պայմանների բարելավման և ռազմական կարիքների բավարարման միջոցառումների շրջանակներում կատարված ծախսերի աճով: </w:t>
      </w: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sz w:val="22"/>
          <w:szCs w:val="22"/>
        </w:rPr>
        <w:t xml:space="preserve">2022 թվականին ռազմական կարիքների բավարարման ծախսերը կազմել են 237.3 մլրդ դրամ կամ </w:t>
      </w:r>
      <w:r w:rsidRPr="001F63BA">
        <w:rPr>
          <w:rFonts w:ascii="GHEA Grapalat" w:hAnsi="GHEA Grapalat"/>
          <w:sz w:val="22"/>
          <w:szCs w:val="22"/>
          <w:lang w:val="en-US"/>
        </w:rPr>
        <w:t>ծրագրված ցուցանիշի</w:t>
      </w:r>
      <w:r w:rsidRPr="001F63BA">
        <w:rPr>
          <w:rFonts w:ascii="GHEA Grapalat" w:hAnsi="GHEA Grapalat"/>
          <w:sz w:val="22"/>
          <w:szCs w:val="22"/>
        </w:rPr>
        <w:t xml:space="preserve"> 99.8%-ը, իսկ ՀՀ պաշտպանության նախարարության շենքային </w:t>
      </w:r>
      <w:r w:rsidRPr="001F63BA">
        <w:rPr>
          <w:rFonts w:ascii="GHEA Grapalat" w:hAnsi="GHEA Grapalat"/>
          <w:sz w:val="22"/>
          <w:szCs w:val="22"/>
        </w:rPr>
        <w:lastRenderedPageBreak/>
        <w:t>պայմանների բարելավման ծախսերը</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237.2</w:t>
      </w:r>
      <w:r w:rsidRPr="001F63BA">
        <w:rPr>
          <w:rFonts w:ascii="Courier New" w:hAnsi="Courier New" w:cs="Courier New"/>
          <w:sz w:val="22"/>
          <w:szCs w:val="22"/>
        </w:rPr>
        <w:t> </w:t>
      </w:r>
      <w:r w:rsidRPr="001F63BA">
        <w:rPr>
          <w:rFonts w:ascii="GHEA Grapalat" w:hAnsi="GHEA Grapalat" w:cs="GHEA Grapalat"/>
          <w:sz w:val="22"/>
          <w:szCs w:val="22"/>
        </w:rPr>
        <w:t>մլրդ դրամ՝ ապահովելով 100% կատարողական: Նախորդ տարվա համեմատ Ռազմական կարիքների բավարարման ծախսերն</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ա</w:t>
      </w:r>
      <w:r w:rsidRPr="001F63BA">
        <w:rPr>
          <w:rFonts w:ascii="GHEA Grapalat" w:hAnsi="GHEA Grapalat" w:cs="GHEA Grapalat"/>
          <w:sz w:val="22"/>
          <w:szCs w:val="22"/>
          <w:lang w:val="en-US"/>
        </w:rPr>
        <w:t>ճ</w:t>
      </w:r>
      <w:r w:rsidRPr="001F63BA">
        <w:rPr>
          <w:rFonts w:ascii="GHEA Grapalat" w:hAnsi="GHEA Grapalat" w:cs="GHEA Grapalat"/>
          <w:sz w:val="22"/>
          <w:szCs w:val="22"/>
        </w:rPr>
        <w:t xml:space="preserve">ել են </w:t>
      </w:r>
      <w:r w:rsidRPr="001F63BA">
        <w:rPr>
          <w:rFonts w:ascii="GHEA Grapalat" w:hAnsi="GHEA Grapalat" w:cs="GHEA Grapalat"/>
          <w:sz w:val="22"/>
          <w:szCs w:val="22"/>
          <w:lang w:val="en-US"/>
        </w:rPr>
        <w:t>5.5</w:t>
      </w:r>
      <w:r w:rsidRPr="001F63BA">
        <w:rPr>
          <w:rFonts w:ascii="GHEA Grapalat" w:hAnsi="GHEA Grapalat" w:cs="GHEA Grapalat"/>
          <w:sz w:val="22"/>
          <w:szCs w:val="22"/>
        </w:rPr>
        <w:t>%-ով (1</w:t>
      </w:r>
      <w:r w:rsidRPr="001F63BA">
        <w:rPr>
          <w:rFonts w:ascii="GHEA Grapalat" w:hAnsi="GHEA Grapalat" w:cs="GHEA Grapalat"/>
          <w:sz w:val="22"/>
          <w:szCs w:val="22"/>
          <w:lang w:val="en-US"/>
        </w:rPr>
        <w:t>2.5</w:t>
      </w:r>
      <w:r w:rsidRPr="001F63BA">
        <w:rPr>
          <w:rFonts w:ascii="Courier New" w:hAnsi="Courier New" w:cs="Courier New"/>
          <w:sz w:val="22"/>
          <w:szCs w:val="22"/>
          <w:lang w:val="en-US"/>
        </w:rPr>
        <w:t> </w:t>
      </w:r>
      <w:r w:rsidRPr="001F63BA">
        <w:rPr>
          <w:rFonts w:ascii="GHEA Grapalat" w:hAnsi="GHEA Grapalat" w:cs="GHEA Grapalat"/>
          <w:sz w:val="22"/>
          <w:szCs w:val="22"/>
        </w:rPr>
        <w:t xml:space="preserve">մլրդ դրամով), ՀՀ պաշտպանության նախարարության շենքային պայմանների բարելավման ծախսերը՝ </w:t>
      </w:r>
      <w:r w:rsidRPr="001F63BA">
        <w:rPr>
          <w:rFonts w:ascii="GHEA Grapalat" w:hAnsi="GHEA Grapalat" w:cs="GHEA Grapalat"/>
          <w:sz w:val="22"/>
          <w:szCs w:val="22"/>
          <w:lang w:val="en-US"/>
        </w:rPr>
        <w:t>2.6 անգամ</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1</w:t>
      </w:r>
      <w:r w:rsidRPr="001F63BA">
        <w:rPr>
          <w:rFonts w:ascii="GHEA Grapalat" w:hAnsi="GHEA Grapalat" w:cs="GHEA Grapalat"/>
          <w:sz w:val="22"/>
          <w:szCs w:val="22"/>
        </w:rPr>
        <w:t>4</w:t>
      </w:r>
      <w:r w:rsidRPr="001F63BA">
        <w:rPr>
          <w:rFonts w:ascii="GHEA Grapalat" w:hAnsi="GHEA Grapalat" w:cs="GHEA Grapalat"/>
          <w:sz w:val="22"/>
          <w:szCs w:val="22"/>
          <w:lang w:val="en-US"/>
        </w:rPr>
        <w:t>5.</w:t>
      </w:r>
      <w:r w:rsidRPr="001F63BA">
        <w:rPr>
          <w:rFonts w:ascii="GHEA Grapalat" w:hAnsi="GHEA Grapalat" w:cs="GHEA Grapalat"/>
          <w:sz w:val="22"/>
          <w:szCs w:val="22"/>
        </w:rPr>
        <w:t>9 մլրդ դրամով):</w:t>
      </w: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rPr>
        <w:t>Ռազմաբժշկական սպասարկման և առողջապահական ծառայությունների</w:t>
      </w:r>
      <w:r w:rsidRPr="001F63BA">
        <w:rPr>
          <w:rFonts w:ascii="GHEA Grapalat" w:hAnsi="GHEA Grapalat" w:cs="GHEA Grapalat"/>
          <w:sz w:val="22"/>
          <w:szCs w:val="22"/>
        </w:rPr>
        <w:t xml:space="preserve"> ծրագրի</w:t>
      </w:r>
      <w:r w:rsidRPr="001F63BA">
        <w:rPr>
          <w:rFonts w:ascii="GHEA Grapalat" w:hAnsi="GHEA Grapalat" w:cs="GHEA Grapalat"/>
          <w:sz w:val="22"/>
          <w:szCs w:val="22"/>
          <w:lang w:val="en-US"/>
        </w:rPr>
        <w:t xml:space="preserve"> գծով</w:t>
      </w:r>
      <w:r w:rsidRPr="001F63BA">
        <w:rPr>
          <w:rFonts w:ascii="GHEA Grapalat" w:hAnsi="GHEA Grapalat" w:cs="GHEA Grapalat"/>
          <w:sz w:val="22"/>
          <w:szCs w:val="22"/>
        </w:rPr>
        <w:t xml:space="preserve"> </w:t>
      </w:r>
      <w:r w:rsidRPr="001F63BA">
        <w:rPr>
          <w:rFonts w:ascii="GHEA Grapalat" w:hAnsi="GHEA Grapalat" w:cs="Sylfaen"/>
          <w:sz w:val="22"/>
          <w:szCs w:val="22"/>
        </w:rPr>
        <w:t>ծախսերը</w:t>
      </w:r>
      <w:r w:rsidRPr="001F63BA">
        <w:rPr>
          <w:rFonts w:ascii="GHEA Grapalat" w:hAnsi="GHEA Grapalat" w:cs="Sylfaen"/>
          <w:sz w:val="22"/>
          <w:szCs w:val="22"/>
          <w:lang w:val="en-US"/>
        </w:rPr>
        <w:t xml:space="preserve"> 2022 թվականին</w:t>
      </w:r>
      <w:r w:rsidRPr="001F63BA">
        <w:rPr>
          <w:rFonts w:ascii="GHEA Grapalat" w:hAnsi="GHEA Grapalat" w:cs="Sylfaen"/>
          <w:sz w:val="22"/>
          <w:szCs w:val="22"/>
        </w:rPr>
        <w:t xml:space="preserve"> կազմել են շուրջ </w:t>
      </w:r>
      <w:r w:rsidRPr="001F63BA">
        <w:rPr>
          <w:rFonts w:ascii="GHEA Grapalat" w:hAnsi="GHEA Grapalat" w:cs="GHEA Grapalat"/>
          <w:sz w:val="22"/>
          <w:szCs w:val="22"/>
        </w:rPr>
        <w:t>1.</w:t>
      </w:r>
      <w:r w:rsidRPr="001F63BA">
        <w:rPr>
          <w:rFonts w:ascii="GHEA Grapalat" w:hAnsi="GHEA Grapalat" w:cs="GHEA Grapalat"/>
          <w:sz w:val="22"/>
          <w:szCs w:val="22"/>
          <w:lang w:val="en-US"/>
        </w:rPr>
        <w:t>4</w:t>
      </w:r>
      <w:r w:rsidRPr="001F63BA">
        <w:rPr>
          <w:rFonts w:ascii="GHEA Grapalat" w:hAnsi="GHEA Grapalat" w:cs="GHEA Grapalat"/>
          <w:sz w:val="22"/>
          <w:szCs w:val="22"/>
        </w:rPr>
        <w:t xml:space="preserve"> մլրդ դրամ</w:t>
      </w:r>
      <w:r w:rsidRPr="001F63BA">
        <w:rPr>
          <w:rFonts w:ascii="GHEA Grapalat" w:hAnsi="GHEA Grapalat" w:cs="Sylfaen"/>
          <w:sz w:val="22"/>
          <w:szCs w:val="22"/>
        </w:rPr>
        <w:t xml:space="preserve"> կամ ծրագրված ցուցանիշի </w:t>
      </w:r>
      <w:r w:rsidRPr="001F63BA">
        <w:rPr>
          <w:rFonts w:ascii="GHEA Grapalat" w:hAnsi="GHEA Grapalat" w:cs="GHEA Grapalat"/>
          <w:sz w:val="22"/>
          <w:szCs w:val="22"/>
          <w:lang w:val="en-US"/>
        </w:rPr>
        <w:t>99.7</w:t>
      </w:r>
      <w:r w:rsidRPr="001F63BA">
        <w:rPr>
          <w:rFonts w:ascii="GHEA Grapalat" w:hAnsi="GHEA Grapalat" w:cs="GHEA Grapalat"/>
          <w:sz w:val="22"/>
          <w:szCs w:val="22"/>
        </w:rPr>
        <w:t xml:space="preserve">%-ը: Նախորդ տարվա համեմատ </w:t>
      </w:r>
      <w:r w:rsidRPr="001F63BA">
        <w:rPr>
          <w:rFonts w:ascii="GHEA Grapalat" w:hAnsi="GHEA Grapalat" w:cs="GHEA Grapalat"/>
          <w:sz w:val="22"/>
          <w:szCs w:val="22"/>
          <w:lang w:val="en-US"/>
        </w:rPr>
        <w:t>նշված</w:t>
      </w:r>
      <w:r w:rsidRPr="001F63BA">
        <w:rPr>
          <w:rFonts w:ascii="GHEA Grapalat" w:hAnsi="GHEA Grapalat" w:cs="GHEA Grapalat"/>
          <w:sz w:val="22"/>
          <w:szCs w:val="22"/>
        </w:rPr>
        <w:t xml:space="preserve"> ծախսերն</w:t>
      </w:r>
      <w:r w:rsidRPr="001F63BA">
        <w:rPr>
          <w:rFonts w:ascii="GHEA Grapalat" w:hAnsi="GHEA Grapalat" w:cs="GHEA Grapalat"/>
          <w:sz w:val="22"/>
          <w:szCs w:val="22"/>
          <w:lang w:val="en-US"/>
        </w:rPr>
        <w:t xml:space="preserve"> </w:t>
      </w:r>
      <w:r w:rsidRPr="001F63BA">
        <w:rPr>
          <w:rFonts w:ascii="GHEA Grapalat" w:hAnsi="GHEA Grapalat"/>
          <w:sz w:val="22"/>
          <w:szCs w:val="22"/>
        </w:rPr>
        <w:t>ա</w:t>
      </w:r>
      <w:r w:rsidRPr="001F63BA">
        <w:rPr>
          <w:rFonts w:ascii="GHEA Grapalat" w:hAnsi="GHEA Grapalat"/>
          <w:sz w:val="22"/>
          <w:szCs w:val="22"/>
          <w:lang w:val="en-US"/>
        </w:rPr>
        <w:t>ճ</w:t>
      </w:r>
      <w:r w:rsidRPr="001F63BA">
        <w:rPr>
          <w:rFonts w:ascii="GHEA Grapalat" w:hAnsi="GHEA Grapalat"/>
          <w:sz w:val="22"/>
          <w:szCs w:val="22"/>
        </w:rPr>
        <w:t>ել</w:t>
      </w:r>
      <w:r w:rsidRPr="001F63BA">
        <w:rPr>
          <w:rFonts w:ascii="Courier New" w:hAnsi="Courier New" w:cs="Courier New"/>
          <w:sz w:val="22"/>
          <w:szCs w:val="22"/>
        </w:rPr>
        <w:t> </w:t>
      </w:r>
      <w:r w:rsidRPr="001F63BA">
        <w:rPr>
          <w:rFonts w:ascii="GHEA Grapalat" w:hAnsi="GHEA Grapalat" w:cs="GHEA Grapalat"/>
          <w:sz w:val="22"/>
          <w:szCs w:val="22"/>
        </w:rPr>
        <w:t>են</w:t>
      </w:r>
      <w:r w:rsidRPr="001F63BA">
        <w:rPr>
          <w:rFonts w:ascii="GHEA Grapalat" w:hAnsi="GHEA Grapalat"/>
          <w:sz w:val="22"/>
          <w:szCs w:val="22"/>
        </w:rPr>
        <w:t xml:space="preserve"> </w:t>
      </w:r>
      <w:r w:rsidRPr="001F63BA">
        <w:rPr>
          <w:rFonts w:ascii="GHEA Grapalat" w:hAnsi="GHEA Grapalat"/>
          <w:sz w:val="22"/>
          <w:szCs w:val="22"/>
          <w:lang w:val="en-US"/>
        </w:rPr>
        <w:t>7.9</w:t>
      </w:r>
      <w:r w:rsidRPr="001F63BA">
        <w:rPr>
          <w:rFonts w:ascii="GHEA Grapalat" w:hAnsi="GHEA Grapalat" w:cs="GHEA Grapalat"/>
          <w:sz w:val="22"/>
          <w:szCs w:val="22"/>
        </w:rPr>
        <w:t>%</w:t>
      </w:r>
      <w:r w:rsidRPr="001F63BA">
        <w:rPr>
          <w:rFonts w:ascii="GHEA Grapalat" w:hAnsi="GHEA Grapalat" w:cs="GHEA Grapalat"/>
          <w:sz w:val="22"/>
          <w:szCs w:val="22"/>
        </w:rPr>
        <w:noBreakHyphen/>
      </w:r>
      <w:r w:rsidRPr="001F63BA">
        <w:rPr>
          <w:rFonts w:ascii="GHEA Grapalat" w:hAnsi="GHEA Grapalat" w:cs="GHEA Grapalat"/>
          <w:sz w:val="22"/>
          <w:szCs w:val="22"/>
          <w:lang w:val="en-US"/>
        </w:rPr>
        <w:t xml:space="preserve">ով կամ 100.6 մլն դրամով, որը հիմնականում պայմանավորված է հոսպիտալների և բուժկետերի բժշկական սարքավորումներով համալրման </w:t>
      </w:r>
      <w:r w:rsidRPr="001F63BA">
        <w:rPr>
          <w:rFonts w:ascii="GHEA Grapalat" w:hAnsi="GHEA Grapalat" w:cs="GHEA Grapalat"/>
          <w:sz w:val="22"/>
          <w:szCs w:val="22"/>
        </w:rPr>
        <w:t>ծախսերի աճով:</w:t>
      </w: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Հաշվետու տարում զորամասային և հոսպիտալային օղակներում բուժօգնություն ստացողներին դեղորայքի տրամադրման միջոցառման շրջանակներում սահմանված բոլոր արդյունքային չափորոշիչների գծով արձանագրվել են թերակատարումներ՝ պայմանավորված երկարատև բուժում պահանջող հիվանդների առկայությամբ, ինչպես նաև 2022 թվականի</w:t>
      </w:r>
      <w:r w:rsidRPr="001F63BA">
        <w:rPr>
          <w:rFonts w:ascii="GHEA Grapalat" w:hAnsi="GHEA Grapalat" w:cs="GHEA Grapalat"/>
          <w:sz w:val="22"/>
          <w:szCs w:val="22"/>
          <w:lang w:val="en-US"/>
        </w:rPr>
        <w:t xml:space="preserve"> սեպտեմբերյան իրադարձությունների հետևանքով պլանային ընդունելությունների ժամանակավորապես դադարեցման հանգամանքով:</w:t>
      </w:r>
      <w:r w:rsidRPr="001F63BA">
        <w:rPr>
          <w:rFonts w:ascii="GHEA Grapalat" w:hAnsi="GHEA Grapalat" w:cs="GHEA Grapalat"/>
          <w:sz w:val="22"/>
          <w:szCs w:val="22"/>
        </w:rPr>
        <w:t xml:space="preserve"> Միջոցառման ծախսերը կազմել են 792.5 մլն դրամ՝ ապահովելով 99.6% կատարողական</w:t>
      </w:r>
      <w:r w:rsidRPr="001F63BA">
        <w:rPr>
          <w:rFonts w:ascii="GHEA Grapalat" w:hAnsi="GHEA Grapalat" w:cs="GHEA Grapalat"/>
          <w:sz w:val="22"/>
          <w:szCs w:val="22"/>
          <w:lang w:val="en-US"/>
        </w:rPr>
        <w:t xml:space="preserve"> և </w:t>
      </w:r>
      <w:r w:rsidRPr="001F63BA">
        <w:rPr>
          <w:rFonts w:ascii="GHEA Grapalat" w:hAnsi="GHEA Grapalat" w:cs="GHEA Grapalat"/>
          <w:sz w:val="22"/>
          <w:szCs w:val="22"/>
        </w:rPr>
        <w:t>0.9%-ով կամ 6.8 մլն դրամով</w:t>
      </w:r>
      <w:r w:rsidRPr="001F63BA">
        <w:rPr>
          <w:rFonts w:ascii="GHEA Grapalat" w:hAnsi="GHEA Grapalat" w:cs="GHEA Grapalat"/>
          <w:sz w:val="22"/>
          <w:szCs w:val="22"/>
          <w:lang w:val="en-US"/>
        </w:rPr>
        <w:t xml:space="preserve"> գերազանցելով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ախորդ տարվա </w:t>
      </w:r>
      <w:r w:rsidRPr="001F63BA">
        <w:rPr>
          <w:rFonts w:ascii="GHEA Grapalat" w:hAnsi="GHEA Grapalat" w:cs="GHEA Grapalat"/>
          <w:sz w:val="22"/>
          <w:szCs w:val="22"/>
          <w:lang w:val="en-US"/>
        </w:rPr>
        <w:t>ցուցանիշը</w:t>
      </w:r>
      <w:r w:rsidRPr="001F63BA">
        <w:rPr>
          <w:rFonts w:ascii="GHEA Grapalat" w:hAnsi="GHEA Grapalat" w:cs="GHEA Grapalat"/>
          <w:sz w:val="22"/>
          <w:szCs w:val="22"/>
        </w:rPr>
        <w:t>:</w:t>
      </w: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Հայաստանի Հանրապետությունից դուրս զինծառայողի բժշկական օգնության ծառայությունների </w:t>
      </w:r>
      <w:r w:rsidRPr="001F63BA">
        <w:rPr>
          <w:rFonts w:ascii="GHEA Grapalat" w:hAnsi="GHEA Grapalat"/>
          <w:sz w:val="22"/>
          <w:szCs w:val="22"/>
        </w:rPr>
        <w:t>շրջանակներում հատկացված միջոցներ</w:t>
      </w:r>
      <w:r w:rsidRPr="001F63BA">
        <w:rPr>
          <w:rFonts w:ascii="GHEA Grapalat" w:hAnsi="GHEA Grapalat"/>
          <w:sz w:val="22"/>
          <w:szCs w:val="22"/>
          <w:lang w:val="en-US"/>
        </w:rPr>
        <w:t>ն ուղղվել են 7</w:t>
      </w:r>
      <w:r w:rsidRPr="001F63BA">
        <w:rPr>
          <w:rFonts w:ascii="GHEA Grapalat" w:hAnsi="GHEA Grapalat"/>
          <w:sz w:val="22"/>
          <w:szCs w:val="22"/>
        </w:rPr>
        <w:t xml:space="preserve"> զինծառայողի առողջական </w:t>
      </w:r>
      <w:r w:rsidRPr="001F63BA">
        <w:rPr>
          <w:rFonts w:ascii="GHEA Grapalat" w:hAnsi="GHEA Grapalat" w:cs="GHEA Grapalat"/>
          <w:sz w:val="22"/>
          <w:szCs w:val="22"/>
        </w:rPr>
        <w:t>վիճակի բարելավման</w:t>
      </w:r>
      <w:r w:rsidRPr="001F63BA">
        <w:rPr>
          <w:rFonts w:ascii="GHEA Grapalat" w:hAnsi="GHEA Grapalat" w:cs="GHEA Grapalat"/>
          <w:sz w:val="22"/>
          <w:szCs w:val="22"/>
          <w:lang w:val="en-US"/>
        </w:rPr>
        <w:t>ը</w:t>
      </w:r>
      <w:r w:rsidRPr="001F63BA">
        <w:rPr>
          <w:rFonts w:ascii="GHEA Grapalat" w:hAnsi="GHEA Grapalat" w:cs="GHEA Grapalat"/>
          <w:sz w:val="22"/>
          <w:szCs w:val="22"/>
        </w:rPr>
        <w:t>: Միջոց</w:t>
      </w:r>
      <w:r w:rsidRPr="001F63BA">
        <w:rPr>
          <w:rFonts w:ascii="GHEA Grapalat" w:hAnsi="GHEA Grapalat" w:cs="GHEA Grapalat"/>
          <w:sz w:val="22"/>
          <w:szCs w:val="22"/>
          <w:lang w:val="en-US"/>
        </w:rPr>
        <w:t>ն</w:t>
      </w:r>
      <w:r w:rsidRPr="001F63BA">
        <w:rPr>
          <w:rFonts w:ascii="GHEA Grapalat" w:hAnsi="GHEA Grapalat" w:cs="GHEA Grapalat"/>
          <w:sz w:val="22"/>
          <w:szCs w:val="22"/>
        </w:rPr>
        <w:t>երն օգտագործվել են նախատեսված ծավալով՝ կազմելով 417.8 մլն դրամ: Նախորդ տարվա համեմատ նշված միջոցառման ծախսերն աճել են 0.8%</w:t>
      </w:r>
      <w:r w:rsidRPr="001F63BA">
        <w:rPr>
          <w:rFonts w:ascii="GHEA Grapalat" w:hAnsi="GHEA Grapalat" w:cs="GHEA Grapalat"/>
          <w:sz w:val="22"/>
          <w:szCs w:val="22"/>
        </w:rPr>
        <w:noBreakHyphen/>
        <w:t>ով կամ ավելի քան 3.4 մլն դրամով:</w:t>
      </w: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Հոսպիտալների և բուժկետերի բժշկական սարքավորումներով համալր</w:t>
      </w:r>
      <w:r w:rsidRPr="001F63BA">
        <w:rPr>
          <w:rFonts w:ascii="GHEA Grapalat" w:hAnsi="GHEA Grapalat" w:cs="GHEA Grapalat"/>
          <w:sz w:val="22"/>
          <w:szCs w:val="22"/>
          <w:lang w:val="en-US"/>
        </w:rPr>
        <w:t>մ</w:t>
      </w:r>
      <w:r w:rsidRPr="001F63BA">
        <w:rPr>
          <w:rFonts w:ascii="GHEA Grapalat" w:hAnsi="GHEA Grapalat" w:cs="GHEA Grapalat"/>
          <w:sz w:val="22"/>
          <w:szCs w:val="22"/>
        </w:rPr>
        <w:t>ան շրջանակներում ձեռք է բերվել 28</w:t>
      </w:r>
      <w:r w:rsidRPr="001F63BA">
        <w:rPr>
          <w:rFonts w:ascii="GHEA Grapalat" w:hAnsi="GHEA Grapalat"/>
          <w:sz w:val="22"/>
          <w:szCs w:val="22"/>
          <w:lang w:val="en-US"/>
        </w:rPr>
        <w:t xml:space="preserve"> հատ բժշկական սարքավորում՝ նախատեսված 31-ի և նախորդ տարվա 3-ի դիմաց:</w:t>
      </w:r>
      <w:r w:rsidRPr="001F63BA">
        <w:rPr>
          <w:rFonts w:ascii="GHEA Grapalat" w:hAnsi="GHEA Grapalat" w:cs="GHEA Grapalat"/>
          <w:sz w:val="22"/>
          <w:szCs w:val="22"/>
        </w:rPr>
        <w:t xml:space="preserve"> Միջոցառման</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ծախսերը կազմել են</w:t>
      </w:r>
      <w:r w:rsidRPr="001F63BA">
        <w:rPr>
          <w:rFonts w:ascii="GHEA Grapalat" w:hAnsi="GHEA Grapalat" w:cs="GHEA Grapalat"/>
          <w:sz w:val="22"/>
          <w:szCs w:val="22"/>
          <w:lang w:val="en-US"/>
        </w:rPr>
        <w:t xml:space="preserve"> 128.8</w:t>
      </w:r>
      <w:r w:rsidRPr="001F63BA">
        <w:rPr>
          <w:rFonts w:ascii="GHEA Grapalat" w:hAnsi="GHEA Grapalat" w:cs="GHEA Grapalat"/>
          <w:sz w:val="22"/>
          <w:szCs w:val="22"/>
        </w:rPr>
        <w:t xml:space="preserve"> մլն դրամ՝ ապահովելով 99.</w:t>
      </w:r>
      <w:r w:rsidRPr="001F63BA">
        <w:rPr>
          <w:rFonts w:ascii="GHEA Grapalat" w:hAnsi="GHEA Grapalat" w:cs="GHEA Grapalat"/>
          <w:sz w:val="22"/>
          <w:szCs w:val="22"/>
          <w:lang w:val="en-US"/>
        </w:rPr>
        <w:t>3</w:t>
      </w:r>
      <w:r w:rsidRPr="001F63BA">
        <w:rPr>
          <w:rFonts w:ascii="GHEA Grapalat" w:hAnsi="GHEA Grapalat" w:cs="GHEA Grapalat"/>
          <w:sz w:val="22"/>
          <w:szCs w:val="22"/>
        </w:rPr>
        <w:t>% կատարողական</w:t>
      </w:r>
      <w:r w:rsidRPr="001F63BA">
        <w:rPr>
          <w:rFonts w:ascii="GHEA Grapalat" w:hAnsi="GHEA Grapalat" w:cs="GHEA Grapalat"/>
          <w:sz w:val="22"/>
          <w:szCs w:val="22"/>
          <w:lang w:val="en-US"/>
        </w:rPr>
        <w:t xml:space="preserve"> և 2.6 անգամ</w:t>
      </w:r>
      <w:r w:rsidRPr="001F63BA">
        <w:rPr>
          <w:rFonts w:ascii="GHEA Grapalat" w:hAnsi="GHEA Grapalat" w:cs="GHEA Grapalat"/>
          <w:sz w:val="22"/>
          <w:szCs w:val="22"/>
        </w:rPr>
        <w:t xml:space="preserve"> կամ</w:t>
      </w:r>
      <w:r w:rsidRPr="001F63BA">
        <w:rPr>
          <w:rFonts w:ascii="GHEA Grapalat" w:hAnsi="GHEA Grapalat" w:cs="GHEA Grapalat"/>
          <w:sz w:val="22"/>
          <w:szCs w:val="22"/>
          <w:lang w:val="en-US"/>
        </w:rPr>
        <w:t xml:space="preserve"> 79.3 </w:t>
      </w:r>
      <w:r w:rsidRPr="001F63BA">
        <w:rPr>
          <w:rFonts w:ascii="GHEA Grapalat" w:hAnsi="GHEA Grapalat" w:cs="GHEA Grapalat"/>
          <w:sz w:val="22"/>
          <w:szCs w:val="22"/>
        </w:rPr>
        <w:t>մլն դրամով</w:t>
      </w:r>
      <w:r w:rsidRPr="001F63BA">
        <w:rPr>
          <w:rFonts w:ascii="GHEA Grapalat" w:hAnsi="GHEA Grapalat" w:cs="GHEA Grapalat"/>
          <w:sz w:val="22"/>
          <w:szCs w:val="22"/>
          <w:lang w:val="en-US"/>
        </w:rPr>
        <w:t xml:space="preserve"> գերազանցելով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ախորդ տարվա </w:t>
      </w:r>
      <w:r w:rsidRPr="001F63BA">
        <w:rPr>
          <w:rFonts w:ascii="GHEA Grapalat" w:hAnsi="GHEA Grapalat" w:cs="GHEA Grapalat"/>
          <w:sz w:val="22"/>
          <w:szCs w:val="22"/>
          <w:lang w:val="en-US"/>
        </w:rPr>
        <w:t>ցուցանիշը</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w:t>
      </w:r>
    </w:p>
    <w:p w:rsidR="001C411D" w:rsidRPr="001F63BA" w:rsidRDefault="001C411D" w:rsidP="006331B8">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Այլ ծրագրերում ընդգրկված՝ </w:t>
      </w:r>
      <w:r w:rsidRPr="001F63BA">
        <w:rPr>
          <w:rFonts w:ascii="GHEA Grapalat" w:hAnsi="GHEA Grapalat" w:cs="GHEA Grapalat"/>
          <w:i/>
          <w:sz w:val="22"/>
          <w:szCs w:val="22"/>
        </w:rPr>
        <w:t>Միջազգային ռազմական համագործակցության</w:t>
      </w:r>
      <w:r w:rsidRPr="001F63BA">
        <w:rPr>
          <w:rFonts w:ascii="GHEA Grapalat" w:hAnsi="GHEA Grapalat" w:cs="GHEA Grapalat"/>
          <w:sz w:val="22"/>
          <w:szCs w:val="22"/>
        </w:rPr>
        <w:t xml:space="preserve"> ծրագրի ծախսերը </w:t>
      </w:r>
      <w:r w:rsidRPr="001F63BA">
        <w:rPr>
          <w:rFonts w:ascii="GHEA Grapalat" w:hAnsi="GHEA Grapalat" w:cs="GHEA Grapalat"/>
          <w:sz w:val="22"/>
          <w:szCs w:val="22"/>
          <w:lang w:val="en-US"/>
        </w:rPr>
        <w:t>կազմել են 737.4 մլն դրամ՝ ապահովելով 83.7% կատարողական: Շեղումը հիմնականում պայմանավորված է հավատագրման երկրներում 1 ռեզիդենտ ռազմական կցորդի հաստիքը թափուր լինելու հանգամանքով: Միջոցներն օգտագործվել են 13 երկրներում և 5 միջազգային կազմակերպություններում համապատասխանաբար 10 և 5 ՀՀ ռազմական կցորդների ու</w:t>
      </w:r>
      <w:r w:rsidRPr="001F63BA">
        <w:rPr>
          <w:rFonts w:ascii="GHEA Grapalat" w:hAnsi="GHEA Grapalat" w:cs="GHEA Grapalat"/>
          <w:sz w:val="22"/>
          <w:szCs w:val="22"/>
        </w:rPr>
        <w:t xml:space="preserve"> ներկայացուցիչների պահպանման նպատակով: Նախորդ տարվա համեմատ նշված ծախսեր</w:t>
      </w:r>
      <w:r w:rsidRPr="001F63BA">
        <w:rPr>
          <w:rFonts w:ascii="GHEA Grapalat" w:hAnsi="GHEA Grapalat" w:cs="GHEA Grapalat"/>
          <w:sz w:val="22"/>
          <w:szCs w:val="22"/>
          <w:lang w:val="en-US"/>
        </w:rPr>
        <w:t xml:space="preserve">ը </w:t>
      </w:r>
      <w:r w:rsidRPr="001F63BA">
        <w:rPr>
          <w:rFonts w:ascii="GHEA Grapalat" w:hAnsi="GHEA Grapalat" w:cs="GHEA Grapalat"/>
          <w:sz w:val="22"/>
          <w:szCs w:val="22"/>
        </w:rPr>
        <w:t>ն</w:t>
      </w:r>
      <w:r w:rsidRPr="001F63BA">
        <w:rPr>
          <w:rFonts w:ascii="GHEA Grapalat" w:hAnsi="GHEA Grapalat" w:cs="GHEA Grapalat"/>
          <w:sz w:val="22"/>
          <w:szCs w:val="22"/>
          <w:lang w:val="en-US"/>
        </w:rPr>
        <w:t>վ</w:t>
      </w:r>
      <w:r w:rsidRPr="001F63BA">
        <w:rPr>
          <w:rFonts w:ascii="GHEA Grapalat" w:hAnsi="GHEA Grapalat" w:cs="GHEA Grapalat"/>
          <w:sz w:val="22"/>
          <w:szCs w:val="22"/>
        </w:rPr>
        <w:t>ա</w:t>
      </w:r>
      <w:r w:rsidRPr="001F63BA">
        <w:rPr>
          <w:rFonts w:ascii="GHEA Grapalat" w:hAnsi="GHEA Grapalat" w:cs="GHEA Grapalat"/>
          <w:sz w:val="22"/>
          <w:szCs w:val="22"/>
          <w:lang w:val="en-US"/>
        </w:rPr>
        <w:t>զ</w:t>
      </w:r>
      <w:r w:rsidRPr="001F63BA">
        <w:rPr>
          <w:rFonts w:ascii="GHEA Grapalat" w:hAnsi="GHEA Grapalat" w:cs="GHEA Grapalat"/>
          <w:sz w:val="22"/>
          <w:szCs w:val="22"/>
        </w:rPr>
        <w:t>ել են 1</w:t>
      </w:r>
      <w:r w:rsidRPr="001F63BA">
        <w:rPr>
          <w:rFonts w:ascii="GHEA Grapalat" w:hAnsi="GHEA Grapalat" w:cs="GHEA Grapalat"/>
          <w:sz w:val="22"/>
          <w:szCs w:val="22"/>
          <w:lang w:val="en-US"/>
        </w:rPr>
        <w:t>0</w:t>
      </w:r>
      <w:r w:rsidRPr="001F63BA">
        <w:rPr>
          <w:rFonts w:ascii="GHEA Grapalat" w:hAnsi="GHEA Grapalat" w:cs="GHEA Grapalat"/>
          <w:sz w:val="22"/>
          <w:szCs w:val="22"/>
        </w:rPr>
        <w:t xml:space="preserve">.2%-ով կամ </w:t>
      </w:r>
      <w:r w:rsidRPr="001F63BA">
        <w:rPr>
          <w:rFonts w:ascii="GHEA Grapalat" w:hAnsi="GHEA Grapalat" w:cs="GHEA Grapalat"/>
          <w:sz w:val="22"/>
          <w:szCs w:val="22"/>
          <w:lang w:val="en-US"/>
        </w:rPr>
        <w:t>84.1</w:t>
      </w:r>
      <w:r w:rsidRPr="001F63BA">
        <w:rPr>
          <w:rFonts w:ascii="GHEA Grapalat" w:hAnsi="GHEA Grapalat" w:cs="GHEA Grapalat"/>
          <w:sz w:val="22"/>
          <w:szCs w:val="22"/>
        </w:rPr>
        <w:t xml:space="preserve"> մլն դրամով: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F362B5">
      <w:pPr>
        <w:autoSpaceDE w:val="0"/>
        <w:autoSpaceDN w:val="0"/>
        <w:adjustRightInd w:val="0"/>
        <w:spacing w:line="360" w:lineRule="auto"/>
        <w:ind w:firstLine="567"/>
        <w:jc w:val="both"/>
        <w:rPr>
          <w:rFonts w:ascii="GHEA Grapalat" w:hAnsi="GHEA Grapalat" w:cs="Arial"/>
          <w:sz w:val="22"/>
          <w:szCs w:val="22"/>
          <w:lang w:val="en-US"/>
        </w:rPr>
      </w:pPr>
      <w:r w:rsidRPr="001F63BA">
        <w:rPr>
          <w:rFonts w:ascii="GHEA Grapalat" w:hAnsi="GHEA Grapalat" w:cs="Arial"/>
          <w:i/>
          <w:sz w:val="22"/>
          <w:szCs w:val="22"/>
          <w:u w:val="single"/>
        </w:rPr>
        <w:t>ՀՀ</w:t>
      </w:r>
      <w:r w:rsidRPr="001F63BA">
        <w:rPr>
          <w:rFonts w:ascii="GHEA Grapalat" w:hAnsi="GHEA Grapalat"/>
          <w:i/>
          <w:sz w:val="22"/>
          <w:szCs w:val="22"/>
          <w:u w:val="single"/>
        </w:rPr>
        <w:t xml:space="preserve"> </w:t>
      </w:r>
      <w:r w:rsidRPr="001F63BA">
        <w:rPr>
          <w:rFonts w:ascii="GHEA Grapalat" w:hAnsi="GHEA Grapalat" w:cs="Arial"/>
          <w:i/>
          <w:sz w:val="22"/>
          <w:szCs w:val="22"/>
          <w:u w:val="single"/>
        </w:rPr>
        <w:t>աշխատանքի</w:t>
      </w:r>
      <w:r w:rsidRPr="001F63BA">
        <w:rPr>
          <w:rFonts w:ascii="GHEA Grapalat" w:hAnsi="GHEA Grapalat"/>
          <w:i/>
          <w:sz w:val="22"/>
          <w:szCs w:val="22"/>
          <w:u w:val="single"/>
        </w:rPr>
        <w:t xml:space="preserve"> </w:t>
      </w:r>
      <w:r w:rsidRPr="001F63BA">
        <w:rPr>
          <w:rFonts w:ascii="GHEA Grapalat" w:hAnsi="GHEA Grapalat" w:cs="Arial"/>
          <w:i/>
          <w:sz w:val="22"/>
          <w:szCs w:val="22"/>
          <w:u w:val="single"/>
        </w:rPr>
        <w:t>և</w:t>
      </w:r>
      <w:r w:rsidRPr="001F63BA">
        <w:rPr>
          <w:rFonts w:ascii="GHEA Grapalat" w:hAnsi="GHEA Grapalat"/>
          <w:i/>
          <w:sz w:val="22"/>
          <w:szCs w:val="22"/>
          <w:u w:val="single"/>
        </w:rPr>
        <w:t xml:space="preserve"> </w:t>
      </w:r>
      <w:r w:rsidRPr="001F63BA">
        <w:rPr>
          <w:rFonts w:ascii="GHEA Grapalat" w:hAnsi="GHEA Grapalat" w:cs="Arial"/>
          <w:i/>
          <w:sz w:val="22"/>
          <w:szCs w:val="22"/>
          <w:u w:val="single"/>
        </w:rPr>
        <w:t>սոցիալական</w:t>
      </w:r>
      <w:r w:rsidRPr="001F63BA">
        <w:rPr>
          <w:rFonts w:ascii="GHEA Grapalat" w:hAnsi="GHEA Grapalat"/>
          <w:i/>
          <w:sz w:val="22"/>
          <w:szCs w:val="22"/>
          <w:u w:val="single"/>
        </w:rPr>
        <w:t xml:space="preserve"> </w:t>
      </w:r>
      <w:r w:rsidRPr="001F63BA">
        <w:rPr>
          <w:rFonts w:ascii="GHEA Grapalat" w:hAnsi="GHEA Grapalat" w:cs="Arial"/>
          <w:i/>
          <w:sz w:val="22"/>
          <w:szCs w:val="22"/>
          <w:u w:val="single"/>
        </w:rPr>
        <w:t>հարցերի</w:t>
      </w:r>
      <w:r w:rsidRPr="001F63BA">
        <w:rPr>
          <w:rFonts w:ascii="GHEA Grapalat" w:hAnsi="GHEA Grapalat"/>
          <w:i/>
          <w:sz w:val="22"/>
          <w:szCs w:val="22"/>
          <w:u w:val="single"/>
        </w:rPr>
        <w:t xml:space="preserve"> </w:t>
      </w:r>
      <w:r w:rsidRPr="001F63BA">
        <w:rPr>
          <w:rFonts w:ascii="GHEA Grapalat" w:hAnsi="GHEA Grapalat" w:cs="Arial"/>
          <w:i/>
          <w:sz w:val="22"/>
          <w:szCs w:val="22"/>
          <w:u w:val="single"/>
        </w:rPr>
        <w:t>նախարարության</w:t>
      </w:r>
      <w:r w:rsidRPr="001F63BA">
        <w:rPr>
          <w:rFonts w:ascii="GHEA Grapalat" w:hAnsi="GHEA Grapalat"/>
          <w:sz w:val="22"/>
          <w:szCs w:val="22"/>
        </w:rPr>
        <w:t xml:space="preserve"> պատասխանատվությամբ 202</w:t>
      </w:r>
      <w:r w:rsidRPr="001F63BA">
        <w:rPr>
          <w:rFonts w:ascii="GHEA Grapalat" w:hAnsi="GHEA Grapalat"/>
          <w:sz w:val="22"/>
          <w:szCs w:val="22"/>
          <w:lang w:val="en-US"/>
        </w:rPr>
        <w:t>2</w:t>
      </w:r>
      <w:r w:rsidRPr="001F63BA">
        <w:rPr>
          <w:rFonts w:ascii="GHEA Grapalat" w:hAnsi="GHEA Grapalat"/>
          <w:sz w:val="22"/>
          <w:szCs w:val="22"/>
        </w:rPr>
        <w:t xml:space="preserve"> թվականի ընթացքում իրականացվել է պետական բյուջեի 1</w:t>
      </w:r>
      <w:r w:rsidRPr="001F63BA">
        <w:rPr>
          <w:rFonts w:ascii="GHEA Grapalat" w:hAnsi="GHEA Grapalat"/>
          <w:sz w:val="22"/>
          <w:szCs w:val="22"/>
          <w:lang w:val="en-US"/>
        </w:rPr>
        <w:t>6</w:t>
      </w:r>
      <w:r w:rsidRPr="001F63BA">
        <w:rPr>
          <w:rFonts w:ascii="GHEA Grapalat" w:hAnsi="GHEA Grapalat"/>
          <w:sz w:val="22"/>
          <w:szCs w:val="22"/>
        </w:rPr>
        <w:t xml:space="preserve"> ծրագիր, որոնց շրջանակներում օգտագործվել</w:t>
      </w:r>
      <w:r w:rsidRPr="001F63BA">
        <w:rPr>
          <w:rFonts w:ascii="GHEA Grapalat" w:hAnsi="GHEA Grapalat" w:cs="Sylfaen"/>
          <w:sz w:val="22"/>
          <w:szCs w:val="22"/>
        </w:rPr>
        <w:t xml:space="preserve"> է շուրջ 61</w:t>
      </w:r>
      <w:r w:rsidRPr="001F63BA">
        <w:rPr>
          <w:rFonts w:ascii="GHEA Grapalat" w:hAnsi="GHEA Grapalat" w:cs="Sylfaen"/>
          <w:sz w:val="22"/>
          <w:szCs w:val="22"/>
          <w:lang w:val="en-US"/>
        </w:rPr>
        <w:t>3</w:t>
      </w:r>
      <w:r w:rsidRPr="001F63BA">
        <w:rPr>
          <w:rFonts w:ascii="GHEA Grapalat" w:hAnsi="GHEA Grapalat" w:cs="Sylfaen"/>
          <w:sz w:val="22"/>
          <w:szCs w:val="22"/>
        </w:rPr>
        <w:t>.</w:t>
      </w:r>
      <w:r w:rsidRPr="001F63BA">
        <w:rPr>
          <w:rFonts w:ascii="GHEA Grapalat" w:hAnsi="GHEA Grapalat" w:cs="Sylfaen"/>
          <w:sz w:val="22"/>
          <w:szCs w:val="22"/>
          <w:lang w:val="en-US"/>
        </w:rPr>
        <w:t>6</w:t>
      </w:r>
      <w:r w:rsidRPr="001F63BA">
        <w:rPr>
          <w:rFonts w:ascii="GHEA Grapalat" w:hAnsi="GHEA Grapalat" w:cs="Sylfaen"/>
          <w:sz w:val="22"/>
          <w:szCs w:val="22"/>
        </w:rPr>
        <w:t xml:space="preserve"> մլրդ դրամ՝</w:t>
      </w:r>
      <w:r w:rsidRPr="001F63BA">
        <w:rPr>
          <w:rFonts w:ascii="GHEA Grapalat" w:hAnsi="GHEA Grapalat" w:cs="Times Armenian"/>
          <w:sz w:val="22"/>
          <w:szCs w:val="22"/>
        </w:rPr>
        <w:t xml:space="preserve"> </w:t>
      </w:r>
      <w:r w:rsidRPr="001F63BA">
        <w:rPr>
          <w:rFonts w:ascii="GHEA Grapalat" w:hAnsi="GHEA Grapalat" w:cs="Sylfaen"/>
          <w:sz w:val="22"/>
          <w:szCs w:val="22"/>
        </w:rPr>
        <w:t>ապահովելով</w:t>
      </w:r>
      <w:r w:rsidRPr="001F63BA">
        <w:rPr>
          <w:rFonts w:ascii="GHEA Grapalat" w:hAnsi="GHEA Grapalat" w:cs="Times Armenian"/>
          <w:sz w:val="22"/>
          <w:szCs w:val="22"/>
        </w:rPr>
        <w:t xml:space="preserve"> տարեկան </w:t>
      </w:r>
      <w:r w:rsidRPr="001F63BA">
        <w:rPr>
          <w:rFonts w:ascii="GHEA Grapalat" w:hAnsi="GHEA Grapalat" w:cs="Sylfaen"/>
          <w:sz w:val="22"/>
          <w:szCs w:val="22"/>
        </w:rPr>
        <w:t>ծրագրի 98.</w:t>
      </w:r>
      <w:r w:rsidRPr="001F63BA">
        <w:rPr>
          <w:rFonts w:ascii="GHEA Grapalat" w:hAnsi="GHEA Grapalat" w:cs="Sylfaen"/>
          <w:sz w:val="22"/>
          <w:szCs w:val="22"/>
          <w:lang w:val="en-US"/>
        </w:rPr>
        <w:t>9</w:t>
      </w:r>
      <w:r w:rsidRPr="001F63BA">
        <w:rPr>
          <w:rFonts w:ascii="GHEA Grapalat" w:hAnsi="GHEA Grapalat" w:cs="Times Armenian"/>
          <w:sz w:val="22"/>
          <w:szCs w:val="22"/>
        </w:rPr>
        <w:t xml:space="preserve">% կատարողական, ընդ որում բոլոր ծրագրերում արձանագրվել են շեղումներ: </w:t>
      </w:r>
      <w:r w:rsidRPr="001F63BA">
        <w:rPr>
          <w:rFonts w:ascii="GHEA Grapalat" w:hAnsi="GHEA Grapalat"/>
          <w:sz w:val="22"/>
          <w:szCs w:val="22"/>
        </w:rPr>
        <w:t xml:space="preserve">Նախորդ տարվա </w:t>
      </w:r>
      <w:r w:rsidRPr="001F63BA">
        <w:rPr>
          <w:rFonts w:ascii="GHEA Grapalat" w:hAnsi="GHEA Grapalat" w:cs="Arial"/>
          <w:sz w:val="22"/>
          <w:szCs w:val="22"/>
        </w:rPr>
        <w:t>համեմատ ՀՀ ԱՍՀՆ պատասխանատվությամբ իրականացվող ծախսերը նվազել են 1%</w:t>
      </w:r>
      <w:r w:rsidRPr="001F63BA">
        <w:rPr>
          <w:rFonts w:ascii="GHEA Grapalat" w:hAnsi="GHEA Grapalat" w:cs="Arial"/>
          <w:sz w:val="22"/>
          <w:szCs w:val="22"/>
        </w:rPr>
        <w:noBreakHyphen/>
        <w:t>ով կամ 6.2 մլրդ դրամով՝ հիմնականում պայմանավորված Սոցիալական ապահովության ծրագրի շրջանակներում կատարված ծախսերի անկմամբ: Միևնույն ժամանակ զգալի աճ է արձանագրվել Կենսաթոշակային</w:t>
      </w:r>
      <w:r w:rsidRPr="001F63BA">
        <w:rPr>
          <w:rFonts w:ascii="GHEA Grapalat" w:hAnsi="GHEA Grapalat" w:cs="Times Armenian"/>
          <w:sz w:val="22"/>
          <w:szCs w:val="22"/>
        </w:rPr>
        <w:t xml:space="preserve"> ապահովության</w:t>
      </w:r>
      <w:r w:rsidRPr="001F63BA">
        <w:rPr>
          <w:rFonts w:ascii="GHEA Grapalat" w:hAnsi="GHEA Grapalat" w:cs="Arial"/>
          <w:sz w:val="22"/>
          <w:szCs w:val="22"/>
        </w:rPr>
        <w:t xml:space="preserve"> և Ժողովրդագրական վիճակի բարելավման ծրագրերի ծախսերում:</w:t>
      </w:r>
    </w:p>
    <w:p w:rsidR="001C411D" w:rsidRPr="001F63BA" w:rsidRDefault="001C411D" w:rsidP="00F362B5">
      <w:pPr>
        <w:autoSpaceDE w:val="0"/>
        <w:autoSpaceDN w:val="0"/>
        <w:adjustRightInd w:val="0"/>
        <w:spacing w:line="360" w:lineRule="auto"/>
        <w:ind w:firstLine="567"/>
        <w:jc w:val="both"/>
        <w:rPr>
          <w:rFonts w:ascii="GHEA Grapalat" w:hAnsi="GHEA Grapalat" w:cs="Arial"/>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2022թ. ՀՀ աշխատանքի և սոցիալական հարցերի նախարարության կողմից իրականացված ծրագրերը (մլն դրամ)</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2"/>
        <w:gridCol w:w="1134"/>
        <w:gridCol w:w="1134"/>
        <w:gridCol w:w="1134"/>
        <w:gridCol w:w="1275"/>
        <w:gridCol w:w="1276"/>
        <w:gridCol w:w="1074"/>
      </w:tblGrid>
      <w:tr w:rsidR="001C411D" w:rsidRPr="001F63BA" w:rsidTr="0051104C">
        <w:trPr>
          <w:trHeight w:val="1378"/>
          <w:jc w:val="center"/>
        </w:trPr>
        <w:tc>
          <w:tcPr>
            <w:tcW w:w="3342" w:type="dxa"/>
            <w:noWrap/>
            <w:vAlign w:val="bottom"/>
          </w:tcPr>
          <w:p w:rsidR="001C411D" w:rsidRPr="001F63BA" w:rsidRDefault="001C411D" w:rsidP="00645E70">
            <w:pPr>
              <w:rPr>
                <w:rFonts w:ascii="GHEA Grapalat" w:hAnsi="GHEA Grapalat"/>
                <w:sz w:val="18"/>
                <w:szCs w:val="18"/>
              </w:rPr>
            </w:pPr>
          </w:p>
        </w:tc>
        <w:tc>
          <w:tcPr>
            <w:tcW w:w="1134" w:type="dxa"/>
          </w:tcPr>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1</w:t>
            </w:r>
            <w:r w:rsidRPr="001F63BA">
              <w:rPr>
                <w:rFonts w:ascii="GHEA Grapalat" w:hAnsi="GHEA Grapalat" w:cs="Calibri"/>
                <w:b/>
                <w:sz w:val="18"/>
                <w:szCs w:val="18"/>
              </w:rPr>
              <w:t>թ. փաստ</w:t>
            </w:r>
          </w:p>
        </w:tc>
        <w:tc>
          <w:tcPr>
            <w:tcW w:w="1134" w:type="dxa"/>
          </w:tcPr>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1134" w:type="dxa"/>
            <w:noWrap/>
          </w:tcPr>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75" w:type="dxa"/>
          </w:tcPr>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bCs/>
                <w:sz w:val="18"/>
                <w:szCs w:val="18"/>
              </w:rPr>
              <w:t>Կատարո-ղականը ճշտված պլանի նկատմամբ</w:t>
            </w:r>
          </w:p>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sz w:val="18"/>
                <w:szCs w:val="18"/>
              </w:rPr>
              <w:t>(%)</w:t>
            </w:r>
          </w:p>
        </w:tc>
        <w:tc>
          <w:tcPr>
            <w:tcW w:w="1276" w:type="dxa"/>
          </w:tcPr>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bCs/>
                <w:sz w:val="18"/>
                <w:szCs w:val="18"/>
              </w:rPr>
              <w:t>2022թ. 2021թ.</w:t>
            </w:r>
            <w:r w:rsidRPr="001F63BA">
              <w:rPr>
                <w:rFonts w:ascii="GHEA Grapalat" w:hAnsi="GHEA Grapalat" w:cs="Calibri"/>
                <w:b/>
                <w:bCs/>
                <w:sz w:val="18"/>
                <w:szCs w:val="18"/>
                <w:lang w:val="en-US"/>
              </w:rPr>
              <w:t xml:space="preserve"> </w:t>
            </w:r>
            <w:r w:rsidRPr="001F63BA">
              <w:rPr>
                <w:rFonts w:ascii="GHEA Grapalat" w:hAnsi="GHEA Grapalat" w:cs="Calibri"/>
                <w:b/>
                <w:bCs/>
                <w:sz w:val="18"/>
                <w:szCs w:val="18"/>
              </w:rPr>
              <w:t>նկատմամբ</w:t>
            </w:r>
          </w:p>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sz w:val="18"/>
                <w:szCs w:val="18"/>
              </w:rPr>
              <w:t>(%)</w:t>
            </w:r>
          </w:p>
        </w:tc>
        <w:tc>
          <w:tcPr>
            <w:tcW w:w="1074" w:type="dxa"/>
          </w:tcPr>
          <w:p w:rsidR="001C411D" w:rsidRPr="001F63BA" w:rsidRDefault="001C411D" w:rsidP="00645E70">
            <w:pPr>
              <w:jc w:val="center"/>
              <w:rPr>
                <w:rFonts w:ascii="GHEA Grapalat" w:hAnsi="GHEA Grapalat" w:cs="Calibri"/>
                <w:b/>
                <w:sz w:val="18"/>
                <w:szCs w:val="18"/>
              </w:rPr>
            </w:pPr>
            <w:r w:rsidRPr="001F63BA">
              <w:rPr>
                <w:rFonts w:ascii="GHEA Grapalat" w:hAnsi="GHEA Grapalat" w:cs="Calibri"/>
                <w:b/>
                <w:bCs/>
                <w:sz w:val="18"/>
                <w:szCs w:val="18"/>
              </w:rPr>
              <w:t>2022թ. և 2021թ. տարբե-րությունը</w:t>
            </w:r>
          </w:p>
        </w:tc>
      </w:tr>
      <w:tr w:rsidR="001C411D" w:rsidRPr="001F63BA" w:rsidTr="0051104C">
        <w:trPr>
          <w:trHeight w:val="284"/>
          <w:jc w:val="center"/>
        </w:trPr>
        <w:tc>
          <w:tcPr>
            <w:tcW w:w="3342" w:type="dxa"/>
            <w:vAlign w:val="bottom"/>
          </w:tcPr>
          <w:p w:rsidR="001C411D" w:rsidRPr="001F63BA" w:rsidRDefault="001C411D" w:rsidP="0051104C">
            <w:pPr>
              <w:rPr>
                <w:rFonts w:ascii="GHEA Grapalat" w:hAnsi="GHEA Grapalat" w:cs="Calibri"/>
                <w:b/>
                <w:sz w:val="18"/>
                <w:szCs w:val="18"/>
              </w:rPr>
            </w:pPr>
            <w:r w:rsidRPr="001F63BA">
              <w:rPr>
                <w:rFonts w:ascii="GHEA Grapalat" w:hAnsi="GHEA Grapalat" w:cs="Calibri"/>
                <w:b/>
                <w:sz w:val="18"/>
                <w:szCs w:val="18"/>
              </w:rPr>
              <w:t>ԸՆԴԱՄԵՆԸ</w:t>
            </w:r>
          </w:p>
        </w:tc>
        <w:tc>
          <w:tcPr>
            <w:tcW w:w="1134" w:type="dxa"/>
            <w:vAlign w:val="bottom"/>
          </w:tcPr>
          <w:p w:rsidR="001C411D" w:rsidRPr="001F63BA" w:rsidRDefault="001C411D" w:rsidP="00F362B5">
            <w:pPr>
              <w:jc w:val="right"/>
              <w:rPr>
                <w:rFonts w:ascii="GHEA Grapalat" w:hAnsi="GHEA Grapalat" w:cs="Calibri"/>
                <w:b/>
                <w:sz w:val="18"/>
                <w:szCs w:val="18"/>
              </w:rPr>
            </w:pPr>
            <w:r w:rsidRPr="001F63BA">
              <w:rPr>
                <w:rFonts w:ascii="GHEA Grapalat" w:hAnsi="GHEA Grapalat" w:cs="Calibri"/>
                <w:b/>
                <w:sz w:val="18"/>
                <w:szCs w:val="18"/>
              </w:rPr>
              <w:t>619,774.1</w:t>
            </w:r>
          </w:p>
        </w:tc>
        <w:tc>
          <w:tcPr>
            <w:tcW w:w="1134" w:type="dxa"/>
            <w:vAlign w:val="bottom"/>
          </w:tcPr>
          <w:p w:rsidR="001C411D" w:rsidRPr="001F63BA" w:rsidRDefault="001C411D" w:rsidP="00F362B5">
            <w:pPr>
              <w:jc w:val="right"/>
              <w:rPr>
                <w:rFonts w:ascii="GHEA Grapalat" w:hAnsi="GHEA Grapalat"/>
                <w:b/>
                <w:bCs/>
                <w:noProof w:val="0"/>
                <w:sz w:val="18"/>
                <w:szCs w:val="18"/>
                <w:lang w:val="en-US"/>
              </w:rPr>
            </w:pPr>
            <w:r w:rsidRPr="001F63BA">
              <w:rPr>
                <w:rFonts w:ascii="GHEA Grapalat" w:hAnsi="GHEA Grapalat"/>
                <w:b/>
                <w:bCs/>
                <w:sz w:val="18"/>
                <w:szCs w:val="18"/>
              </w:rPr>
              <w:t>620,369.2</w:t>
            </w:r>
          </w:p>
        </w:tc>
        <w:tc>
          <w:tcPr>
            <w:tcW w:w="1134" w:type="dxa"/>
            <w:vAlign w:val="bottom"/>
          </w:tcPr>
          <w:p w:rsidR="001C411D" w:rsidRPr="001F63BA" w:rsidRDefault="001C411D" w:rsidP="00F362B5">
            <w:pPr>
              <w:jc w:val="right"/>
              <w:rPr>
                <w:rFonts w:ascii="GHEA Grapalat" w:hAnsi="GHEA Grapalat"/>
                <w:b/>
                <w:bCs/>
                <w:noProof w:val="0"/>
                <w:sz w:val="18"/>
                <w:szCs w:val="18"/>
                <w:lang w:val="en-US"/>
              </w:rPr>
            </w:pPr>
            <w:r w:rsidRPr="001F63BA">
              <w:rPr>
                <w:rFonts w:ascii="GHEA Grapalat" w:hAnsi="GHEA Grapalat"/>
                <w:b/>
                <w:bCs/>
                <w:sz w:val="18"/>
                <w:szCs w:val="18"/>
              </w:rPr>
              <w:t>613,585.5</w:t>
            </w:r>
          </w:p>
        </w:tc>
        <w:tc>
          <w:tcPr>
            <w:tcW w:w="1275" w:type="dxa"/>
            <w:vAlign w:val="bottom"/>
          </w:tcPr>
          <w:p w:rsidR="001C411D" w:rsidRPr="001F63BA" w:rsidRDefault="001C411D" w:rsidP="00F362B5">
            <w:pPr>
              <w:jc w:val="right"/>
              <w:rPr>
                <w:rFonts w:ascii="GHEA Grapalat" w:hAnsi="GHEA Grapalat"/>
                <w:b/>
                <w:bCs/>
                <w:sz w:val="18"/>
                <w:szCs w:val="18"/>
              </w:rPr>
            </w:pPr>
            <w:r w:rsidRPr="001F63BA">
              <w:rPr>
                <w:rFonts w:ascii="GHEA Grapalat" w:hAnsi="GHEA Grapalat"/>
                <w:b/>
                <w:bCs/>
                <w:sz w:val="18"/>
                <w:szCs w:val="18"/>
              </w:rPr>
              <w:t>98.9</w:t>
            </w:r>
          </w:p>
        </w:tc>
        <w:tc>
          <w:tcPr>
            <w:tcW w:w="1276" w:type="dxa"/>
            <w:vAlign w:val="bottom"/>
          </w:tcPr>
          <w:p w:rsidR="001C411D" w:rsidRPr="001F63BA" w:rsidRDefault="001C411D" w:rsidP="00F362B5">
            <w:pPr>
              <w:jc w:val="right"/>
              <w:rPr>
                <w:rFonts w:ascii="GHEA Grapalat" w:hAnsi="GHEA Grapalat"/>
                <w:b/>
                <w:bCs/>
                <w:sz w:val="18"/>
                <w:szCs w:val="18"/>
              </w:rPr>
            </w:pPr>
            <w:r w:rsidRPr="001F63BA">
              <w:rPr>
                <w:rFonts w:ascii="GHEA Grapalat" w:hAnsi="GHEA Grapalat"/>
                <w:b/>
                <w:bCs/>
                <w:sz w:val="18"/>
                <w:szCs w:val="18"/>
              </w:rPr>
              <w:t>99.0</w:t>
            </w:r>
          </w:p>
        </w:tc>
        <w:tc>
          <w:tcPr>
            <w:tcW w:w="1074" w:type="dxa"/>
            <w:vAlign w:val="bottom"/>
          </w:tcPr>
          <w:p w:rsidR="001C411D" w:rsidRPr="001F63BA" w:rsidRDefault="001C411D" w:rsidP="00F362B5">
            <w:pPr>
              <w:jc w:val="right"/>
              <w:rPr>
                <w:rFonts w:ascii="GHEA Grapalat" w:hAnsi="GHEA Grapalat"/>
                <w:b/>
                <w:noProof w:val="0"/>
                <w:sz w:val="18"/>
                <w:szCs w:val="18"/>
                <w:lang w:val="en-US"/>
              </w:rPr>
            </w:pPr>
            <w:r w:rsidRPr="001F63BA">
              <w:rPr>
                <w:rFonts w:ascii="GHEA Grapalat" w:hAnsi="GHEA Grapalat"/>
                <w:b/>
                <w:sz w:val="18"/>
                <w:szCs w:val="18"/>
              </w:rPr>
              <w:t>(6,188.6)</w:t>
            </w:r>
          </w:p>
        </w:tc>
      </w:tr>
      <w:tr w:rsidR="001C411D" w:rsidRPr="001F63BA" w:rsidTr="0051104C">
        <w:trPr>
          <w:trHeight w:val="339"/>
          <w:jc w:val="center"/>
        </w:trPr>
        <w:tc>
          <w:tcPr>
            <w:tcW w:w="3342" w:type="dxa"/>
            <w:vAlign w:val="bottom"/>
          </w:tcPr>
          <w:p w:rsidR="001C411D" w:rsidRPr="001F63BA" w:rsidRDefault="001C411D" w:rsidP="0051104C">
            <w:pPr>
              <w:rPr>
                <w:rFonts w:ascii="GHEA Grapalat" w:hAnsi="GHEA Grapalat" w:cs="Calibri"/>
                <w:sz w:val="18"/>
                <w:szCs w:val="18"/>
              </w:rPr>
            </w:pPr>
            <w:r w:rsidRPr="001F63BA">
              <w:rPr>
                <w:rFonts w:ascii="GHEA Grapalat" w:hAnsi="GHEA Grapalat" w:cs="Calibri"/>
                <w:sz w:val="18"/>
                <w:szCs w:val="18"/>
              </w:rPr>
              <w:t>Անապահով սոցիալական խմբերին աջակցություն</w:t>
            </w:r>
          </w:p>
        </w:tc>
        <w:tc>
          <w:tcPr>
            <w:tcW w:w="1134" w:type="dxa"/>
            <w:vAlign w:val="bottom"/>
          </w:tcPr>
          <w:p w:rsidR="001C411D" w:rsidRPr="001F63BA" w:rsidRDefault="001C411D" w:rsidP="00F362B5">
            <w:pPr>
              <w:jc w:val="right"/>
              <w:rPr>
                <w:rFonts w:ascii="GHEA Grapalat" w:hAnsi="GHEA Grapalat" w:cs="Calibri"/>
                <w:sz w:val="18"/>
                <w:szCs w:val="18"/>
              </w:rPr>
            </w:pPr>
            <w:r w:rsidRPr="001F63BA">
              <w:rPr>
                <w:rFonts w:ascii="GHEA Grapalat" w:hAnsi="GHEA Grapalat" w:cs="Calibri"/>
                <w:sz w:val="18"/>
                <w:szCs w:val="18"/>
              </w:rPr>
              <w:t>30,656.1</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27,703.9</w:t>
            </w:r>
          </w:p>
        </w:tc>
        <w:tc>
          <w:tcPr>
            <w:tcW w:w="113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27,575.5</w:t>
            </w:r>
          </w:p>
        </w:tc>
        <w:tc>
          <w:tcPr>
            <w:tcW w:w="1275"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99.5</w:t>
            </w:r>
          </w:p>
        </w:tc>
        <w:tc>
          <w:tcPr>
            <w:tcW w:w="1276"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90.0</w:t>
            </w:r>
          </w:p>
        </w:tc>
        <w:tc>
          <w:tcPr>
            <w:tcW w:w="107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(3,080.6)</w:t>
            </w:r>
          </w:p>
        </w:tc>
      </w:tr>
      <w:tr w:rsidR="001C411D" w:rsidRPr="001F63BA" w:rsidTr="0051104C">
        <w:trPr>
          <w:trHeight w:val="339"/>
          <w:jc w:val="center"/>
        </w:trPr>
        <w:tc>
          <w:tcPr>
            <w:tcW w:w="3342" w:type="dxa"/>
            <w:vAlign w:val="bottom"/>
          </w:tcPr>
          <w:p w:rsidR="001C411D" w:rsidRPr="001F63BA" w:rsidRDefault="001C411D" w:rsidP="0051104C">
            <w:pPr>
              <w:rPr>
                <w:rFonts w:ascii="GHEA Grapalat" w:hAnsi="GHEA Grapalat" w:cs="Calibri"/>
                <w:sz w:val="18"/>
                <w:szCs w:val="18"/>
              </w:rPr>
            </w:pPr>
            <w:r w:rsidRPr="001F63BA">
              <w:rPr>
                <w:rFonts w:ascii="GHEA Grapalat" w:hAnsi="GHEA Grapalat" w:cs="Calibri"/>
                <w:sz w:val="18"/>
                <w:szCs w:val="18"/>
              </w:rPr>
              <w:t>Սոցիալական փաթեթների ապահովում</w:t>
            </w:r>
          </w:p>
        </w:tc>
        <w:tc>
          <w:tcPr>
            <w:tcW w:w="1134" w:type="dxa"/>
            <w:vAlign w:val="bottom"/>
          </w:tcPr>
          <w:p w:rsidR="001C411D" w:rsidRPr="001F63BA" w:rsidRDefault="001C411D" w:rsidP="00F362B5">
            <w:pPr>
              <w:jc w:val="right"/>
              <w:rPr>
                <w:rFonts w:ascii="GHEA Grapalat" w:hAnsi="GHEA Grapalat" w:cs="Calibri"/>
                <w:sz w:val="18"/>
                <w:szCs w:val="18"/>
              </w:rPr>
            </w:pPr>
            <w:r w:rsidRPr="001F63BA">
              <w:rPr>
                <w:rFonts w:ascii="GHEA Grapalat" w:hAnsi="GHEA Grapalat" w:cs="Calibri"/>
                <w:sz w:val="18"/>
                <w:szCs w:val="18"/>
              </w:rPr>
              <w:t>9,404.4</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9,926.8</w:t>
            </w:r>
          </w:p>
        </w:tc>
        <w:tc>
          <w:tcPr>
            <w:tcW w:w="113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9,248.4</w:t>
            </w:r>
          </w:p>
        </w:tc>
        <w:tc>
          <w:tcPr>
            <w:tcW w:w="1275"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93.2</w:t>
            </w:r>
          </w:p>
        </w:tc>
        <w:tc>
          <w:tcPr>
            <w:tcW w:w="1276"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98.3</w:t>
            </w:r>
          </w:p>
        </w:tc>
        <w:tc>
          <w:tcPr>
            <w:tcW w:w="107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(156.0)</w:t>
            </w:r>
          </w:p>
        </w:tc>
      </w:tr>
      <w:tr w:rsidR="001C411D" w:rsidRPr="001F63BA" w:rsidTr="0051104C">
        <w:trPr>
          <w:trHeight w:val="339"/>
          <w:jc w:val="center"/>
        </w:trPr>
        <w:tc>
          <w:tcPr>
            <w:tcW w:w="3342" w:type="dxa"/>
            <w:vAlign w:val="bottom"/>
          </w:tcPr>
          <w:p w:rsidR="001C411D" w:rsidRPr="001F63BA" w:rsidRDefault="001C411D" w:rsidP="0051104C">
            <w:pPr>
              <w:rPr>
                <w:rFonts w:ascii="GHEA Grapalat" w:hAnsi="GHEA Grapalat" w:cs="Calibri"/>
                <w:sz w:val="18"/>
                <w:szCs w:val="18"/>
              </w:rPr>
            </w:pPr>
            <w:r w:rsidRPr="001F63BA">
              <w:rPr>
                <w:rFonts w:ascii="GHEA Grapalat" w:hAnsi="GHEA Grapalat" w:cs="Calibri"/>
                <w:sz w:val="18"/>
                <w:szCs w:val="18"/>
              </w:rPr>
              <w:t>Ժողովրդագրական վիճակի բարելավում</w:t>
            </w:r>
          </w:p>
        </w:tc>
        <w:tc>
          <w:tcPr>
            <w:tcW w:w="1134" w:type="dxa"/>
            <w:vAlign w:val="bottom"/>
          </w:tcPr>
          <w:p w:rsidR="001C411D" w:rsidRPr="001F63BA" w:rsidRDefault="001C411D" w:rsidP="00F362B5">
            <w:pPr>
              <w:jc w:val="right"/>
              <w:rPr>
                <w:rFonts w:ascii="GHEA Grapalat" w:hAnsi="GHEA Grapalat" w:cs="Calibri"/>
                <w:sz w:val="18"/>
                <w:szCs w:val="18"/>
              </w:rPr>
            </w:pPr>
            <w:r w:rsidRPr="001F63BA">
              <w:rPr>
                <w:rFonts w:ascii="GHEA Grapalat" w:hAnsi="GHEA Grapalat" w:cs="Calibri"/>
                <w:sz w:val="18"/>
                <w:szCs w:val="18"/>
              </w:rPr>
              <w:t>28,343.8</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41,039.1</w:t>
            </w:r>
          </w:p>
        </w:tc>
        <w:tc>
          <w:tcPr>
            <w:tcW w:w="113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39,968.0</w:t>
            </w:r>
          </w:p>
        </w:tc>
        <w:tc>
          <w:tcPr>
            <w:tcW w:w="1275"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97.4</w:t>
            </w:r>
          </w:p>
        </w:tc>
        <w:tc>
          <w:tcPr>
            <w:tcW w:w="1276"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141.0</w:t>
            </w:r>
          </w:p>
        </w:tc>
        <w:tc>
          <w:tcPr>
            <w:tcW w:w="107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11,624.2</w:t>
            </w:r>
          </w:p>
        </w:tc>
      </w:tr>
      <w:tr w:rsidR="001C411D" w:rsidRPr="001F63BA" w:rsidTr="0051104C">
        <w:trPr>
          <w:trHeight w:val="339"/>
          <w:jc w:val="center"/>
        </w:trPr>
        <w:tc>
          <w:tcPr>
            <w:tcW w:w="3342" w:type="dxa"/>
            <w:vAlign w:val="bottom"/>
          </w:tcPr>
          <w:p w:rsidR="001C411D" w:rsidRPr="001F63BA" w:rsidRDefault="001C411D" w:rsidP="0051104C">
            <w:pPr>
              <w:rPr>
                <w:rFonts w:ascii="GHEA Grapalat" w:hAnsi="GHEA Grapalat" w:cs="Calibri"/>
                <w:sz w:val="18"/>
                <w:szCs w:val="18"/>
              </w:rPr>
            </w:pPr>
            <w:r w:rsidRPr="001F63BA">
              <w:rPr>
                <w:rFonts w:ascii="GHEA Grapalat" w:hAnsi="GHEA Grapalat" w:cs="Calibri"/>
                <w:sz w:val="18"/>
                <w:szCs w:val="18"/>
              </w:rPr>
              <w:t>Սոցիալական աջակցություն անաշխատունակության դեպքում</w:t>
            </w:r>
          </w:p>
        </w:tc>
        <w:tc>
          <w:tcPr>
            <w:tcW w:w="1134" w:type="dxa"/>
            <w:vAlign w:val="bottom"/>
          </w:tcPr>
          <w:p w:rsidR="001C411D" w:rsidRPr="001F63BA" w:rsidRDefault="001C411D" w:rsidP="00F362B5">
            <w:pPr>
              <w:jc w:val="right"/>
              <w:rPr>
                <w:rFonts w:ascii="GHEA Grapalat" w:hAnsi="GHEA Grapalat" w:cs="Calibri"/>
                <w:sz w:val="18"/>
                <w:szCs w:val="18"/>
              </w:rPr>
            </w:pPr>
            <w:r w:rsidRPr="001F63BA">
              <w:rPr>
                <w:rFonts w:ascii="GHEA Grapalat" w:hAnsi="GHEA Grapalat" w:cs="Calibri"/>
                <w:sz w:val="18"/>
                <w:szCs w:val="18"/>
              </w:rPr>
              <w:t>19,289.1</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20,090.0</w:t>
            </w:r>
          </w:p>
        </w:tc>
        <w:tc>
          <w:tcPr>
            <w:tcW w:w="113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20,069.1</w:t>
            </w:r>
          </w:p>
        </w:tc>
        <w:tc>
          <w:tcPr>
            <w:tcW w:w="1275"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99.9</w:t>
            </w:r>
          </w:p>
        </w:tc>
        <w:tc>
          <w:tcPr>
            <w:tcW w:w="1276"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104.0</w:t>
            </w:r>
          </w:p>
        </w:tc>
        <w:tc>
          <w:tcPr>
            <w:tcW w:w="107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780.0</w:t>
            </w:r>
          </w:p>
        </w:tc>
      </w:tr>
      <w:tr w:rsidR="001C411D" w:rsidRPr="001F63BA" w:rsidTr="0051104C">
        <w:trPr>
          <w:trHeight w:val="339"/>
          <w:jc w:val="center"/>
        </w:trPr>
        <w:tc>
          <w:tcPr>
            <w:tcW w:w="3342" w:type="dxa"/>
            <w:vAlign w:val="bottom"/>
          </w:tcPr>
          <w:p w:rsidR="001C411D" w:rsidRPr="001F63BA" w:rsidRDefault="001C411D" w:rsidP="0051104C">
            <w:pPr>
              <w:rPr>
                <w:rFonts w:ascii="GHEA Grapalat" w:hAnsi="GHEA Grapalat" w:cs="Calibri"/>
                <w:sz w:val="18"/>
                <w:szCs w:val="18"/>
              </w:rPr>
            </w:pPr>
            <w:r w:rsidRPr="001F63BA">
              <w:rPr>
                <w:rFonts w:ascii="GHEA Grapalat" w:hAnsi="GHEA Grapalat" w:cs="Calibri"/>
                <w:sz w:val="18"/>
                <w:szCs w:val="18"/>
              </w:rPr>
              <w:t>Կենսաթոշակային ապահովություն</w:t>
            </w:r>
          </w:p>
        </w:tc>
        <w:tc>
          <w:tcPr>
            <w:tcW w:w="1134" w:type="dxa"/>
            <w:vAlign w:val="bottom"/>
          </w:tcPr>
          <w:p w:rsidR="001C411D" w:rsidRPr="001F63BA" w:rsidRDefault="001C411D" w:rsidP="00F362B5">
            <w:pPr>
              <w:jc w:val="right"/>
              <w:rPr>
                <w:rFonts w:ascii="GHEA Grapalat" w:hAnsi="GHEA Grapalat" w:cs="Calibri"/>
                <w:sz w:val="18"/>
                <w:szCs w:val="18"/>
              </w:rPr>
            </w:pPr>
            <w:r w:rsidRPr="001F63BA">
              <w:rPr>
                <w:rFonts w:ascii="GHEA Grapalat" w:hAnsi="GHEA Grapalat" w:cs="Calibri"/>
                <w:sz w:val="18"/>
                <w:szCs w:val="18"/>
              </w:rPr>
              <w:t>377,573.1</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412,212.4</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411,947.2</w:t>
            </w:r>
          </w:p>
        </w:tc>
        <w:tc>
          <w:tcPr>
            <w:tcW w:w="1275"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99.9</w:t>
            </w:r>
          </w:p>
        </w:tc>
        <w:tc>
          <w:tcPr>
            <w:tcW w:w="1276"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109.1</w:t>
            </w:r>
          </w:p>
        </w:tc>
        <w:tc>
          <w:tcPr>
            <w:tcW w:w="107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34,374.1</w:t>
            </w:r>
          </w:p>
        </w:tc>
      </w:tr>
      <w:tr w:rsidR="001C411D" w:rsidRPr="001F63BA" w:rsidTr="0051104C">
        <w:trPr>
          <w:trHeight w:val="339"/>
          <w:jc w:val="center"/>
        </w:trPr>
        <w:tc>
          <w:tcPr>
            <w:tcW w:w="3342" w:type="dxa"/>
            <w:vAlign w:val="bottom"/>
          </w:tcPr>
          <w:p w:rsidR="001C411D" w:rsidRPr="001F63BA" w:rsidRDefault="001C411D" w:rsidP="0051104C">
            <w:pPr>
              <w:rPr>
                <w:rFonts w:ascii="GHEA Grapalat" w:hAnsi="GHEA Grapalat" w:cs="Calibri"/>
                <w:sz w:val="18"/>
                <w:szCs w:val="18"/>
              </w:rPr>
            </w:pPr>
            <w:r w:rsidRPr="001F63BA">
              <w:rPr>
                <w:rFonts w:ascii="GHEA Grapalat" w:hAnsi="GHEA Grapalat" w:cs="Calibri"/>
                <w:sz w:val="18"/>
                <w:szCs w:val="18"/>
              </w:rPr>
              <w:t>Սոցիալական ապահովություն</w:t>
            </w:r>
          </w:p>
        </w:tc>
        <w:tc>
          <w:tcPr>
            <w:tcW w:w="1134" w:type="dxa"/>
            <w:vAlign w:val="bottom"/>
          </w:tcPr>
          <w:p w:rsidR="001C411D" w:rsidRPr="001F63BA" w:rsidRDefault="001C411D" w:rsidP="00F362B5">
            <w:pPr>
              <w:jc w:val="right"/>
              <w:rPr>
                <w:rFonts w:ascii="GHEA Grapalat" w:hAnsi="GHEA Grapalat" w:cs="Calibri"/>
                <w:sz w:val="18"/>
                <w:szCs w:val="18"/>
              </w:rPr>
            </w:pPr>
            <w:r w:rsidRPr="001F63BA">
              <w:rPr>
                <w:rFonts w:ascii="GHEA Grapalat" w:hAnsi="GHEA Grapalat" w:cs="Calibri"/>
                <w:sz w:val="18"/>
                <w:szCs w:val="18"/>
              </w:rPr>
              <w:t>124,978.4</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74,880.3</w:t>
            </w:r>
          </w:p>
        </w:tc>
        <w:tc>
          <w:tcPr>
            <w:tcW w:w="113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73,898.9</w:t>
            </w:r>
          </w:p>
        </w:tc>
        <w:tc>
          <w:tcPr>
            <w:tcW w:w="1275"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98.7</w:t>
            </w:r>
          </w:p>
        </w:tc>
        <w:tc>
          <w:tcPr>
            <w:tcW w:w="1276"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59.1</w:t>
            </w:r>
          </w:p>
        </w:tc>
        <w:tc>
          <w:tcPr>
            <w:tcW w:w="107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(51,079.5)</w:t>
            </w:r>
          </w:p>
        </w:tc>
      </w:tr>
      <w:tr w:rsidR="001C411D" w:rsidRPr="001F63BA" w:rsidTr="0051104C">
        <w:trPr>
          <w:trHeight w:val="364"/>
          <w:jc w:val="center"/>
        </w:trPr>
        <w:tc>
          <w:tcPr>
            <w:tcW w:w="3342" w:type="dxa"/>
            <w:vAlign w:val="bottom"/>
          </w:tcPr>
          <w:p w:rsidR="001C411D" w:rsidRPr="001F63BA" w:rsidRDefault="001C411D" w:rsidP="0051104C">
            <w:pPr>
              <w:rPr>
                <w:rFonts w:ascii="GHEA Grapalat" w:hAnsi="GHEA Grapalat" w:cs="Calibri"/>
                <w:sz w:val="18"/>
                <w:szCs w:val="18"/>
              </w:rPr>
            </w:pPr>
            <w:r w:rsidRPr="001F63BA">
              <w:rPr>
                <w:rFonts w:ascii="GHEA Grapalat" w:hAnsi="GHEA Grapalat" w:cs="Calibri"/>
                <w:sz w:val="18"/>
                <w:szCs w:val="18"/>
              </w:rPr>
              <w:t>Այլ ծրագրեր</w:t>
            </w:r>
          </w:p>
        </w:tc>
        <w:tc>
          <w:tcPr>
            <w:tcW w:w="1134"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29,529.2</w:t>
            </w:r>
          </w:p>
        </w:tc>
        <w:tc>
          <w:tcPr>
            <w:tcW w:w="113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34,516.7</w:t>
            </w:r>
          </w:p>
        </w:tc>
        <w:tc>
          <w:tcPr>
            <w:tcW w:w="113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30,878.5</w:t>
            </w:r>
          </w:p>
        </w:tc>
        <w:tc>
          <w:tcPr>
            <w:tcW w:w="1275" w:type="dxa"/>
            <w:vAlign w:val="bottom"/>
          </w:tcPr>
          <w:p w:rsidR="001C411D" w:rsidRPr="001F63BA" w:rsidRDefault="001C411D" w:rsidP="00F362B5">
            <w:pPr>
              <w:jc w:val="right"/>
              <w:rPr>
                <w:rFonts w:ascii="GHEA Grapalat" w:hAnsi="GHEA Grapalat"/>
                <w:noProof w:val="0"/>
                <w:sz w:val="18"/>
                <w:szCs w:val="18"/>
                <w:lang w:val="en-US"/>
              </w:rPr>
            </w:pPr>
            <w:r w:rsidRPr="001F63BA">
              <w:rPr>
                <w:rFonts w:ascii="GHEA Grapalat" w:hAnsi="GHEA Grapalat"/>
                <w:sz w:val="18"/>
                <w:szCs w:val="18"/>
              </w:rPr>
              <w:t>89.5</w:t>
            </w:r>
          </w:p>
        </w:tc>
        <w:tc>
          <w:tcPr>
            <w:tcW w:w="1276"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104.6</w:t>
            </w:r>
          </w:p>
        </w:tc>
        <w:tc>
          <w:tcPr>
            <w:tcW w:w="1074" w:type="dxa"/>
            <w:vAlign w:val="bottom"/>
          </w:tcPr>
          <w:p w:rsidR="001C411D" w:rsidRPr="001F63BA" w:rsidRDefault="001C411D" w:rsidP="00F362B5">
            <w:pPr>
              <w:jc w:val="right"/>
              <w:rPr>
                <w:rFonts w:ascii="GHEA Grapalat" w:hAnsi="GHEA Grapalat"/>
                <w:sz w:val="18"/>
                <w:szCs w:val="18"/>
              </w:rPr>
            </w:pPr>
            <w:r w:rsidRPr="001F63BA">
              <w:rPr>
                <w:rFonts w:ascii="GHEA Grapalat" w:hAnsi="GHEA Grapalat"/>
                <w:sz w:val="18"/>
                <w:szCs w:val="18"/>
              </w:rPr>
              <w:t>1,349.2</w:t>
            </w:r>
          </w:p>
        </w:tc>
      </w:tr>
    </w:tbl>
    <w:p w:rsidR="001C411D" w:rsidRPr="001F63BA" w:rsidRDefault="001C411D" w:rsidP="00F362B5">
      <w:pPr>
        <w:autoSpaceDE w:val="0"/>
        <w:autoSpaceDN w:val="0"/>
        <w:adjustRightInd w:val="0"/>
        <w:spacing w:line="360" w:lineRule="auto"/>
        <w:ind w:firstLine="567"/>
        <w:jc w:val="both"/>
        <w:rPr>
          <w:rFonts w:ascii="GHEA Grapalat" w:hAnsi="GHEA Grapalat"/>
          <w:sz w:val="22"/>
          <w:szCs w:val="22"/>
        </w:rPr>
      </w:pPr>
    </w:p>
    <w:p w:rsidR="001C411D" w:rsidRPr="001F63BA" w:rsidRDefault="001C411D" w:rsidP="00F362B5">
      <w:pPr>
        <w:autoSpaceDE w:val="0"/>
        <w:autoSpaceDN w:val="0"/>
        <w:adjustRightInd w:val="0"/>
        <w:spacing w:line="360" w:lineRule="auto"/>
        <w:ind w:firstLine="567"/>
        <w:jc w:val="both"/>
        <w:rPr>
          <w:rFonts w:ascii="GHEA Grapalat" w:hAnsi="GHEA Grapalat" w:cs="Arial"/>
          <w:sz w:val="22"/>
          <w:szCs w:val="22"/>
        </w:rPr>
      </w:pPr>
      <w:r w:rsidRPr="001F63BA">
        <w:rPr>
          <w:rFonts w:ascii="GHEA Grapalat" w:hAnsi="GHEA Grapalat"/>
          <w:sz w:val="22"/>
          <w:szCs w:val="22"/>
        </w:rPr>
        <w:t>2022 թվականի</w:t>
      </w:r>
      <w:r w:rsidRPr="001F63BA">
        <w:rPr>
          <w:rFonts w:ascii="GHEA Grapalat" w:hAnsi="GHEA Grapalat"/>
          <w:sz w:val="22"/>
          <w:szCs w:val="22"/>
          <w:lang w:val="en-US"/>
        </w:rPr>
        <w:t>ն</w:t>
      </w:r>
      <w:r w:rsidRPr="001F63BA">
        <w:rPr>
          <w:rFonts w:ascii="GHEA Grapalat" w:hAnsi="GHEA Grapalat" w:cs="Arial"/>
          <w:sz w:val="22"/>
          <w:szCs w:val="22"/>
        </w:rPr>
        <w:t xml:space="preserve"> շուրջ 27.6 մլրդ դրամ է տրամադրվել </w:t>
      </w:r>
      <w:r w:rsidRPr="001F63BA">
        <w:rPr>
          <w:rFonts w:ascii="GHEA Grapalat" w:hAnsi="GHEA Grapalat" w:cs="Arial"/>
          <w:i/>
          <w:sz w:val="22"/>
          <w:szCs w:val="22"/>
        </w:rPr>
        <w:t>Անապահով սոցիալական խմբերին աջակցության</w:t>
      </w:r>
      <w:r w:rsidRPr="001F63BA">
        <w:rPr>
          <w:rFonts w:ascii="GHEA Grapalat" w:hAnsi="GHEA Grapalat" w:cs="Arial"/>
          <w:sz w:val="22"/>
          <w:szCs w:val="22"/>
        </w:rPr>
        <w:t xml:space="preserve"> ծրագրին՝ ապահովելով 99.5% կատարողական </w:t>
      </w:r>
      <w:r w:rsidRPr="001F63BA">
        <w:rPr>
          <w:rFonts w:ascii="GHEA Grapalat" w:hAnsi="GHEA Grapalat" w:cs="Times Armenian"/>
          <w:sz w:val="22"/>
          <w:szCs w:val="22"/>
        </w:rPr>
        <w:t>և 10</w:t>
      </w:r>
      <w:r w:rsidRPr="001F63BA">
        <w:rPr>
          <w:rFonts w:ascii="GHEA Grapalat" w:hAnsi="GHEA Grapalat" w:cs="Sylfaen"/>
          <w:sz w:val="22"/>
          <w:szCs w:val="22"/>
        </w:rPr>
        <w:t>%</w:t>
      </w:r>
      <w:r w:rsidRPr="001F63BA">
        <w:rPr>
          <w:rFonts w:ascii="GHEA Grapalat" w:hAnsi="GHEA Grapalat" w:cs="Sylfaen"/>
          <w:sz w:val="22"/>
          <w:szCs w:val="22"/>
        </w:rPr>
        <w:noBreakHyphen/>
        <w:t>ով կամ 3.1 մլրդ դրամով զիջելով նախորդ տարվա ցուցանիշը</w:t>
      </w:r>
      <w:r w:rsidRPr="001F63BA">
        <w:rPr>
          <w:rFonts w:ascii="GHEA Grapalat" w:hAnsi="GHEA Grapalat" w:cs="Times Armenian"/>
          <w:sz w:val="22"/>
          <w:szCs w:val="22"/>
        </w:rPr>
        <w:t xml:space="preserve">: </w:t>
      </w:r>
      <w:r w:rsidRPr="001F63BA">
        <w:rPr>
          <w:rFonts w:ascii="GHEA Grapalat" w:hAnsi="GHEA Grapalat" w:cs="Arial"/>
          <w:sz w:val="22"/>
          <w:szCs w:val="22"/>
        </w:rPr>
        <w:t xml:space="preserve">Ծրագիրն օժանդակել է անապահով ընտանիքների կենսամակարդակի բարձրացմանը: </w:t>
      </w:r>
      <w:r w:rsidRPr="001F63BA">
        <w:rPr>
          <w:rFonts w:ascii="GHEA Grapalat" w:hAnsi="GHEA Grapalat" w:cs="Times Armenian"/>
          <w:sz w:val="22"/>
          <w:szCs w:val="22"/>
        </w:rPr>
        <w:t xml:space="preserve">Ծրագրի նկատմամբ շեղումը և նախորդ տարվա համեմատ նվազումը </w:t>
      </w:r>
      <w:r w:rsidRPr="001F63BA">
        <w:rPr>
          <w:rFonts w:ascii="GHEA Grapalat" w:hAnsi="GHEA Grapalat" w:cs="Arial"/>
          <w:sz w:val="22"/>
          <w:szCs w:val="22"/>
        </w:rPr>
        <w:t>հիմնականում պայմանավորված</w:t>
      </w:r>
      <w:r w:rsidRPr="001F63BA">
        <w:rPr>
          <w:rFonts w:ascii="GHEA Grapalat" w:hAnsi="GHEA Grapalat" w:cs="GHEA Grapalat"/>
          <w:sz w:val="22"/>
          <w:szCs w:val="22"/>
        </w:rPr>
        <w:t xml:space="preserve"> </w:t>
      </w:r>
      <w:r w:rsidRPr="001F63BA">
        <w:rPr>
          <w:rFonts w:ascii="GHEA Grapalat" w:hAnsi="GHEA Grapalat" w:cs="Arial"/>
          <w:sz w:val="22"/>
          <w:szCs w:val="22"/>
        </w:rPr>
        <w:t>է ը</w:t>
      </w:r>
      <w:r w:rsidRPr="001F63BA">
        <w:rPr>
          <w:rFonts w:ascii="GHEA Grapalat" w:hAnsi="GHEA Grapalat" w:cs="Times Armenian"/>
          <w:sz w:val="22"/>
          <w:szCs w:val="22"/>
        </w:rPr>
        <w:t>նտանիքի կենսամակարդակի բարձրացմանն ուղղված նպաստների գծով ծախսերով, որոնք կազմել են ավելի քան 27.2 մլրդ դրամ կամ նախատեսվածի</w:t>
      </w:r>
      <w:r w:rsidRPr="001F63BA">
        <w:rPr>
          <w:rFonts w:ascii="GHEA Grapalat" w:hAnsi="GHEA Grapalat" w:cs="Arial"/>
          <w:sz w:val="22"/>
          <w:szCs w:val="22"/>
        </w:rPr>
        <w:t xml:space="preserve"> 99.6%-ը և 9.5%-ով (2.8 մլրդ դրամով) զիջել նախորդ տարվա ցուցանիշը: </w:t>
      </w:r>
      <w:r w:rsidRPr="001F63BA">
        <w:rPr>
          <w:rFonts w:ascii="GHEA Grapalat" w:hAnsi="GHEA Grapalat" w:cs="Times Armenian"/>
          <w:sz w:val="22"/>
          <w:szCs w:val="22"/>
        </w:rPr>
        <w:t>Ընտանիքի կենսամակարդակի բարձրացմանն ուղղված նպաստների միջոցառման շրջանակներում</w:t>
      </w:r>
      <w:r w:rsidRPr="001F63BA">
        <w:rPr>
          <w:rFonts w:ascii="GHEA Grapalat" w:hAnsi="GHEA Grapalat" w:cs="Arial"/>
          <w:sz w:val="22"/>
          <w:szCs w:val="22"/>
        </w:rPr>
        <w:t xml:space="preserve"> </w:t>
      </w:r>
      <w:r w:rsidRPr="001F63BA">
        <w:rPr>
          <w:rFonts w:ascii="GHEA Grapalat" w:hAnsi="GHEA Grapalat" w:cs="Arial"/>
          <w:sz w:val="22"/>
          <w:szCs w:val="22"/>
          <w:lang w:val="en-US"/>
        </w:rPr>
        <w:t xml:space="preserve">2022 թվականին </w:t>
      </w:r>
      <w:r w:rsidRPr="001F63BA">
        <w:rPr>
          <w:rFonts w:ascii="GHEA Grapalat" w:hAnsi="GHEA Grapalat" w:cs="Times Armenian"/>
          <w:sz w:val="22"/>
          <w:szCs w:val="22"/>
        </w:rPr>
        <w:t xml:space="preserve">նպաստ է ստացել </w:t>
      </w:r>
      <w:r w:rsidRPr="001F63BA">
        <w:rPr>
          <w:rFonts w:ascii="GHEA Grapalat" w:hAnsi="GHEA Grapalat" w:cs="Arial"/>
          <w:sz w:val="22"/>
          <w:szCs w:val="22"/>
        </w:rPr>
        <w:t xml:space="preserve">76631 ընտանիք՝ ծրագրված 81363-ի և 2021 թվականի 86943-ի դիմաց: Ծախսերի՝ ծրագրից շեղումը և </w:t>
      </w:r>
      <w:r w:rsidRPr="001F63BA">
        <w:rPr>
          <w:rFonts w:ascii="GHEA Grapalat" w:hAnsi="GHEA Grapalat" w:cs="Arial"/>
          <w:sz w:val="22"/>
          <w:szCs w:val="22"/>
        </w:rPr>
        <w:lastRenderedPageBreak/>
        <w:t xml:space="preserve">նախորդ տարվա համեմատ անկումը, ինչպես նաև նպաստառու ընտանիքների՝ նախատեսվածից ցածր փաստացի թիվը պայմանավորված են </w:t>
      </w:r>
      <w:r w:rsidR="00166616" w:rsidRPr="001F63BA">
        <w:rPr>
          <w:rFonts w:ascii="GHEA Grapalat" w:hAnsi="GHEA Grapalat" w:cs="Arial"/>
          <w:sz w:val="22"/>
          <w:szCs w:val="22"/>
        </w:rPr>
        <w:t>Կառավարությ</w:t>
      </w:r>
      <w:r w:rsidRPr="001F63BA">
        <w:rPr>
          <w:rFonts w:ascii="GHEA Grapalat" w:hAnsi="GHEA Grapalat" w:cs="Arial"/>
          <w:sz w:val="22"/>
          <w:szCs w:val="22"/>
        </w:rPr>
        <w:t xml:space="preserve">ան </w:t>
      </w:r>
      <w:r w:rsidRPr="001F63BA">
        <w:rPr>
          <w:rFonts w:ascii="GHEA Grapalat" w:hAnsi="GHEA Grapalat" w:cs="Arial"/>
          <w:sz w:val="22"/>
          <w:szCs w:val="22"/>
          <w:lang w:val="en-US"/>
        </w:rPr>
        <w:t>կողմից</w:t>
      </w:r>
      <w:r w:rsidRPr="001F63BA">
        <w:rPr>
          <w:rFonts w:ascii="GHEA Grapalat" w:hAnsi="GHEA Grapalat" w:cs="Arial"/>
          <w:sz w:val="22"/>
          <w:szCs w:val="22"/>
        </w:rPr>
        <w:t xml:space="preserve"> կատարված փոփոխությունների (ծերերի նպաստի նվազագույն չափի 28.6 հազար դրամից 31.6 հազար դրամ բարձրացման ու 3-րդ և հաջորդ երեխայի ծննդյան դեպքում 50 հազար դրամ դրամական աջակցության սահմանման) հետևանքով ընտանիքի եկամուտների ավելացման և վարչարարության արդյունքում նպաստառու ընտանիքների</w:t>
      </w:r>
      <w:r w:rsidRPr="001F63BA">
        <w:rPr>
          <w:rFonts w:ascii="GHEA Grapalat" w:hAnsi="GHEA Grapalat" w:cs="Times Armenian"/>
          <w:sz w:val="22"/>
          <w:szCs w:val="22"/>
        </w:rPr>
        <w:t xml:space="preserve"> թվի կրճատմամբ:</w:t>
      </w:r>
    </w:p>
    <w:p w:rsidR="001C411D" w:rsidRPr="001F63BA" w:rsidRDefault="001C411D" w:rsidP="00645E70">
      <w:pPr>
        <w:autoSpaceDE w:val="0"/>
        <w:autoSpaceDN w:val="0"/>
        <w:adjustRightInd w:val="0"/>
        <w:spacing w:line="360" w:lineRule="auto"/>
        <w:ind w:firstLine="567"/>
        <w:jc w:val="both"/>
        <w:rPr>
          <w:rFonts w:ascii="GHEA Grapalat" w:hAnsi="GHEA Grapalat" w:cs="Sylfaen"/>
        </w:rPr>
      </w:pPr>
      <w:r w:rsidRPr="001F63BA">
        <w:rPr>
          <w:rFonts w:ascii="GHEA Grapalat" w:hAnsi="GHEA Grapalat" w:cs="Arial"/>
          <w:i/>
          <w:sz w:val="22"/>
          <w:szCs w:val="22"/>
        </w:rPr>
        <w:t xml:space="preserve">Սոցիալական փաթեթների ապահովման </w:t>
      </w:r>
      <w:r w:rsidRPr="001F63BA">
        <w:rPr>
          <w:rFonts w:ascii="GHEA Grapalat" w:hAnsi="GHEA Grapalat" w:cs="Arial"/>
          <w:sz w:val="22"/>
          <w:szCs w:val="22"/>
        </w:rPr>
        <w:t xml:space="preserve">ծրագրի շրջանակներում </w:t>
      </w:r>
      <w:r w:rsidRPr="001F63BA">
        <w:rPr>
          <w:rFonts w:ascii="GHEA Grapalat" w:hAnsi="GHEA Grapalat"/>
          <w:sz w:val="22"/>
          <w:szCs w:val="22"/>
        </w:rPr>
        <w:t>պ</w:t>
      </w:r>
      <w:r w:rsidRPr="001F63BA">
        <w:rPr>
          <w:rFonts w:ascii="GHEA Grapalat" w:hAnsi="GHEA Grapalat" w:cs="Arial"/>
          <w:sz w:val="22"/>
          <w:szCs w:val="22"/>
        </w:rPr>
        <w:t>ետական հիմնարկների և կազմակերպությունների աշխատողների սոցիալական փաթեթով ապահովման միջոցառման շահառուների թիվը կազմել է 128455՝ կանխատեսված 137873-ի և նախորդ տարվա 130987-ի դիմաց:</w:t>
      </w:r>
      <w:r w:rsidRPr="001F63BA">
        <w:rPr>
          <w:rFonts w:ascii="GHEA Grapalat" w:hAnsi="GHEA Grapalat" w:cs="Arial"/>
          <w:sz w:val="22"/>
          <w:szCs w:val="22"/>
          <w:lang w:val="en-US"/>
        </w:rPr>
        <w:t xml:space="preserve"> </w:t>
      </w:r>
      <w:r w:rsidRPr="001F63BA">
        <w:rPr>
          <w:rFonts w:ascii="GHEA Grapalat" w:hAnsi="GHEA Grapalat" w:cs="Arial"/>
          <w:sz w:val="22"/>
          <w:szCs w:val="22"/>
        </w:rPr>
        <w:t>Ծրագիրն ուղղված է պետական մարմինների աշխատակիցների կյանքի որակի բարելավմանը՝ սոցիալական երաշխիքների ապահովմանը և աշխատանքային մոտիվացիայի բարձրացմանը</w:t>
      </w:r>
      <w:r w:rsidRPr="001F63BA">
        <w:rPr>
          <w:rFonts w:ascii="GHEA Grapalat" w:hAnsi="GHEA Grapalat" w:cs="Sylfaen"/>
        </w:rPr>
        <w:t xml:space="preserve">: </w:t>
      </w:r>
      <w:r w:rsidRPr="001F63BA">
        <w:rPr>
          <w:rFonts w:ascii="GHEA Grapalat" w:hAnsi="GHEA Grapalat" w:cs="Arial"/>
          <w:sz w:val="22"/>
          <w:szCs w:val="22"/>
        </w:rPr>
        <w:t>Ծրագրի շրջանակներում օգտագործվել է նախատեսված միջոցների 93.2%-ը՝</w:t>
      </w:r>
      <w:r w:rsidRPr="001F63BA">
        <w:rPr>
          <w:rFonts w:ascii="GHEA Grapalat" w:hAnsi="GHEA Grapalat"/>
          <w:sz w:val="22"/>
          <w:szCs w:val="22"/>
        </w:rPr>
        <w:t xml:space="preserve"> 9.2</w:t>
      </w:r>
      <w:r w:rsidRPr="001F63BA">
        <w:rPr>
          <w:rFonts w:ascii="Courier New" w:hAnsi="Courier New" w:cs="Courier New"/>
          <w:sz w:val="22"/>
          <w:szCs w:val="22"/>
        </w:rPr>
        <w:t> </w:t>
      </w:r>
      <w:r w:rsidRPr="001F63BA">
        <w:rPr>
          <w:rFonts w:ascii="GHEA Grapalat" w:hAnsi="GHEA Grapalat"/>
          <w:sz w:val="22"/>
          <w:szCs w:val="22"/>
        </w:rPr>
        <w:t xml:space="preserve">մլրդ </w:t>
      </w:r>
      <w:r w:rsidRPr="001F63BA">
        <w:rPr>
          <w:rFonts w:ascii="GHEA Grapalat" w:hAnsi="GHEA Grapalat" w:cs="Arial"/>
          <w:sz w:val="22"/>
          <w:szCs w:val="22"/>
        </w:rPr>
        <w:t>դրամ</w:t>
      </w:r>
      <w:r w:rsidRPr="001F63BA">
        <w:rPr>
          <w:rFonts w:ascii="GHEA Grapalat" w:hAnsi="GHEA Grapalat" w:cs="Arial"/>
          <w:sz w:val="22"/>
          <w:szCs w:val="22"/>
          <w:lang w:val="en-US"/>
        </w:rPr>
        <w:t>, որը</w:t>
      </w:r>
      <w:r w:rsidRPr="001F63BA">
        <w:rPr>
          <w:rFonts w:ascii="GHEA Grapalat" w:hAnsi="GHEA Grapalat" w:cs="Times Armenian"/>
          <w:sz w:val="22"/>
          <w:szCs w:val="22"/>
        </w:rPr>
        <w:t xml:space="preserve"> 1.7</w:t>
      </w:r>
      <w:r w:rsidRPr="001F63BA">
        <w:rPr>
          <w:rFonts w:ascii="GHEA Grapalat" w:hAnsi="GHEA Grapalat" w:cs="Sylfaen"/>
          <w:sz w:val="22"/>
          <w:szCs w:val="22"/>
        </w:rPr>
        <w:t>%</w:t>
      </w:r>
      <w:r w:rsidRPr="001F63BA">
        <w:rPr>
          <w:rFonts w:ascii="GHEA Grapalat" w:hAnsi="GHEA Grapalat" w:cs="Sylfaen"/>
          <w:sz w:val="22"/>
          <w:szCs w:val="22"/>
        </w:rPr>
        <w:noBreakHyphen/>
        <w:t>ով կամ 156 մլն դրամով զիջել է նախորդ տարվա ցուցանիշը:</w:t>
      </w:r>
      <w:r w:rsidRPr="001F63BA">
        <w:rPr>
          <w:rFonts w:ascii="GHEA Grapalat" w:hAnsi="GHEA Grapalat" w:cs="Sylfaen"/>
          <w:lang w:val="en-US"/>
        </w:rPr>
        <w:t xml:space="preserve"> </w:t>
      </w:r>
      <w:r w:rsidRPr="001F63BA">
        <w:rPr>
          <w:rFonts w:ascii="GHEA Grapalat" w:hAnsi="GHEA Grapalat" w:cs="Arial"/>
          <w:sz w:val="22"/>
          <w:szCs w:val="22"/>
        </w:rPr>
        <w:t xml:space="preserve">Ծախսերի՝ ծրագրից շեղումը և նախորդ տարվա համեմատ անկումը, ինչպես նաև շահառուների՝ նախատեսվածից ցածր փաստացի թիվը հիմնականում </w:t>
      </w:r>
      <w:r w:rsidRPr="001F63BA">
        <w:rPr>
          <w:rFonts w:ascii="GHEA Grapalat" w:hAnsi="GHEA Grapalat"/>
          <w:sz w:val="22"/>
          <w:szCs w:val="22"/>
        </w:rPr>
        <w:t>պայմանավորված</w:t>
      </w:r>
      <w:r w:rsidRPr="001F63BA">
        <w:rPr>
          <w:rFonts w:ascii="GHEA Grapalat" w:hAnsi="GHEA Grapalat" w:cs="Arial"/>
          <w:sz w:val="22"/>
          <w:szCs w:val="22"/>
        </w:rPr>
        <w:t xml:space="preserve"> </w:t>
      </w:r>
      <w:r w:rsidRPr="001F63BA">
        <w:rPr>
          <w:rFonts w:ascii="GHEA Grapalat" w:hAnsi="GHEA Grapalat" w:cs="Arial"/>
          <w:sz w:val="22"/>
          <w:szCs w:val="22"/>
          <w:lang w:val="en-US"/>
        </w:rPr>
        <w:t xml:space="preserve">են </w:t>
      </w:r>
      <w:r w:rsidRPr="001F63BA">
        <w:rPr>
          <w:rFonts w:ascii="GHEA Grapalat" w:hAnsi="GHEA Grapalat"/>
          <w:sz w:val="22"/>
          <w:szCs w:val="22"/>
        </w:rPr>
        <w:t xml:space="preserve">6 ամսվա աշխատանքային ստաժ չունեցող աշխատողների, </w:t>
      </w:r>
      <w:r w:rsidRPr="001F63BA">
        <w:rPr>
          <w:rFonts w:ascii="GHEA Grapalat" w:hAnsi="GHEA Grapalat" w:cs="Arial"/>
          <w:sz w:val="22"/>
          <w:szCs w:val="22"/>
        </w:rPr>
        <w:t>թափուր հաստիքների առկայությամբ և շահառուների՝ սոցիալական փաթեթից օգտվելու իրավունքի դադարեցման այլ պատճառներով:</w:t>
      </w:r>
    </w:p>
    <w:p w:rsidR="001C411D" w:rsidRPr="001F63BA" w:rsidRDefault="001C411D" w:rsidP="00F362B5">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i/>
          <w:sz w:val="22"/>
          <w:szCs w:val="22"/>
        </w:rPr>
        <w:t>Ժողովրդագրական վիճակի բարելավման</w:t>
      </w:r>
      <w:r w:rsidRPr="001F63BA">
        <w:rPr>
          <w:rFonts w:ascii="GHEA Grapalat" w:hAnsi="GHEA Grapalat"/>
          <w:sz w:val="22"/>
          <w:szCs w:val="22"/>
        </w:rPr>
        <w:t xml:space="preserve"> ծրագրին 2022 </w:t>
      </w:r>
      <w:r w:rsidRPr="001F63BA">
        <w:rPr>
          <w:rFonts w:ascii="GHEA Grapalat" w:hAnsi="GHEA Grapalat" w:cs="Arial"/>
          <w:sz w:val="22"/>
          <w:szCs w:val="22"/>
        </w:rPr>
        <w:t>թվականի</w:t>
      </w:r>
      <w:r w:rsidRPr="001F63BA">
        <w:rPr>
          <w:rFonts w:ascii="GHEA Grapalat" w:hAnsi="GHEA Grapalat" w:cs="Sylfaen"/>
          <w:sz w:val="22"/>
          <w:szCs w:val="22"/>
        </w:rPr>
        <w:t>ն ՀՀ պետական բյուջեից տրամադրվել է շուրջ 40 մլրդ դրամ՝</w:t>
      </w:r>
      <w:r w:rsidRPr="001F63BA">
        <w:rPr>
          <w:rFonts w:ascii="GHEA Grapalat" w:hAnsi="GHEA Grapalat" w:cs="Times Armenian"/>
          <w:sz w:val="22"/>
          <w:szCs w:val="22"/>
        </w:rPr>
        <w:t xml:space="preserve"> </w:t>
      </w:r>
      <w:r w:rsidRPr="001F63BA">
        <w:rPr>
          <w:rFonts w:ascii="GHEA Grapalat" w:hAnsi="GHEA Grapalat" w:cs="Sylfaen"/>
          <w:sz w:val="22"/>
          <w:szCs w:val="22"/>
        </w:rPr>
        <w:t>ապահովելով</w:t>
      </w:r>
      <w:r w:rsidRPr="001F63BA">
        <w:rPr>
          <w:rFonts w:ascii="GHEA Grapalat" w:hAnsi="GHEA Grapalat" w:cs="Times Armenian"/>
          <w:sz w:val="22"/>
          <w:szCs w:val="22"/>
        </w:rPr>
        <w:t xml:space="preserve"> </w:t>
      </w:r>
      <w:r w:rsidRPr="001F63BA">
        <w:rPr>
          <w:rFonts w:ascii="GHEA Grapalat" w:hAnsi="GHEA Grapalat" w:cs="Sylfaen"/>
          <w:sz w:val="22"/>
          <w:szCs w:val="22"/>
        </w:rPr>
        <w:t>ծրագրային ցուցանիշի 97.4</w:t>
      </w:r>
      <w:r w:rsidRPr="001F63BA">
        <w:rPr>
          <w:rFonts w:ascii="GHEA Grapalat" w:hAnsi="GHEA Grapalat" w:cs="Times Armenian"/>
          <w:sz w:val="22"/>
          <w:szCs w:val="22"/>
        </w:rPr>
        <w:t>%-ը</w:t>
      </w:r>
      <w:r w:rsidRPr="001F63BA">
        <w:rPr>
          <w:rFonts w:ascii="GHEA Grapalat" w:hAnsi="GHEA Grapalat" w:cs="Sylfaen"/>
          <w:sz w:val="22"/>
          <w:szCs w:val="22"/>
        </w:rPr>
        <w:t>: Ծրագրի նկատմամբ շեղումը հիմնականում պայմանավորված է «Ե</w:t>
      </w:r>
      <w:r w:rsidRPr="001F63BA">
        <w:rPr>
          <w:rFonts w:ascii="GHEA Grapalat" w:hAnsi="GHEA Grapalat"/>
          <w:sz w:val="22"/>
          <w:szCs w:val="22"/>
        </w:rPr>
        <w:t>րեխայի</w:t>
      </w:r>
      <w:r w:rsidRPr="001F63BA">
        <w:rPr>
          <w:rFonts w:ascii="GHEA Grapalat" w:hAnsi="GHEA Grapalat" w:cs="Sylfaen"/>
          <w:sz w:val="22"/>
          <w:szCs w:val="22"/>
        </w:rPr>
        <w:t xml:space="preserve"> ծննդյան միանվագ նպաստ» և «Մ</w:t>
      </w:r>
      <w:r w:rsidRPr="001F63BA">
        <w:rPr>
          <w:rFonts w:ascii="GHEA Grapalat" w:hAnsi="GHEA Grapalat"/>
          <w:sz w:val="22"/>
          <w:szCs w:val="22"/>
        </w:rPr>
        <w:t>ինչև 2 տարեկան երեխայի խնամքի նպաստի տրամադրում» միջոցառումների</w:t>
      </w:r>
      <w:r w:rsidRPr="001F63BA">
        <w:rPr>
          <w:rFonts w:ascii="GHEA Grapalat" w:hAnsi="GHEA Grapalat" w:cs="Sylfaen"/>
          <w:sz w:val="22"/>
          <w:szCs w:val="22"/>
        </w:rPr>
        <w:t xml:space="preserve"> </w:t>
      </w:r>
      <w:r w:rsidRPr="001F63BA">
        <w:rPr>
          <w:rFonts w:ascii="GHEA Grapalat" w:hAnsi="GHEA Grapalat" w:cs="Arial"/>
          <w:sz w:val="22"/>
          <w:szCs w:val="22"/>
        </w:rPr>
        <w:t xml:space="preserve">ծախսերի կատարողականով: </w:t>
      </w:r>
      <w:r w:rsidRPr="001F63BA">
        <w:rPr>
          <w:rFonts w:ascii="GHEA Grapalat" w:hAnsi="GHEA Grapalat" w:cs="Sylfaen"/>
          <w:sz w:val="22"/>
          <w:szCs w:val="22"/>
        </w:rPr>
        <w:t xml:space="preserve">Ծրագիրն ուղղված է եղել ժողովրդագրական վիճակի բարելավմանը և բազմազավակության աճին: </w:t>
      </w:r>
      <w:r w:rsidRPr="001F63BA">
        <w:rPr>
          <w:rFonts w:ascii="GHEA Grapalat" w:hAnsi="GHEA Grapalat" w:cs="Times Armenian"/>
          <w:sz w:val="22"/>
          <w:szCs w:val="22"/>
        </w:rPr>
        <w:t xml:space="preserve">Նախորդ տարվա համեմատ Ժողովրդագրական վիճակի բարելավման ծրագրի ծախսերն աճել են 41%-ով կամ 11.6 մլրդ դրամով, որը հիմնականում պայմանավորված </w:t>
      </w:r>
      <w:r w:rsidRPr="001F63BA">
        <w:rPr>
          <w:rFonts w:ascii="GHEA Grapalat" w:hAnsi="GHEA Grapalat" w:cs="Times Armenian"/>
          <w:sz w:val="22"/>
          <w:szCs w:val="22"/>
          <w:lang w:val="en-US"/>
        </w:rPr>
        <w:t>է մ</w:t>
      </w:r>
      <w:r w:rsidRPr="001F63BA">
        <w:rPr>
          <w:rFonts w:ascii="GHEA Grapalat" w:hAnsi="GHEA Grapalat" w:cs="Times Armenian"/>
          <w:sz w:val="22"/>
          <w:szCs w:val="22"/>
        </w:rPr>
        <w:t>ինչև 2 տարեկան երեխայի խնամքի նպաստի տրամադր</w:t>
      </w:r>
      <w:r w:rsidRPr="001F63BA">
        <w:rPr>
          <w:rFonts w:ascii="GHEA Grapalat" w:hAnsi="GHEA Grapalat" w:cs="Times Armenian"/>
          <w:sz w:val="22"/>
          <w:szCs w:val="22"/>
          <w:lang w:val="en-US"/>
        </w:rPr>
        <w:t>ման և</w:t>
      </w:r>
      <w:r w:rsidRPr="001F63BA">
        <w:rPr>
          <w:rFonts w:ascii="GHEA Grapalat" w:hAnsi="GHEA Grapalat" w:cs="Times Armenian"/>
          <w:sz w:val="22"/>
          <w:szCs w:val="22"/>
        </w:rPr>
        <w:t xml:space="preserve"> </w:t>
      </w:r>
      <w:r w:rsidRPr="001F63BA">
        <w:rPr>
          <w:rFonts w:ascii="GHEA Grapalat" w:hAnsi="GHEA Grapalat" w:cs="Times Armenian"/>
          <w:sz w:val="22"/>
          <w:szCs w:val="22"/>
          <w:lang w:val="en-US"/>
        </w:rPr>
        <w:t>ե</w:t>
      </w:r>
      <w:r w:rsidRPr="001F63BA">
        <w:rPr>
          <w:rFonts w:ascii="GHEA Grapalat" w:hAnsi="GHEA Grapalat" w:cs="Times Armenian"/>
          <w:sz w:val="22"/>
          <w:szCs w:val="22"/>
        </w:rPr>
        <w:t>րեխայի ծննդյան միանվագ նպաստ</w:t>
      </w:r>
      <w:r w:rsidRPr="001F63BA">
        <w:rPr>
          <w:rFonts w:ascii="GHEA Grapalat" w:hAnsi="GHEA Grapalat" w:cs="Times Armenian"/>
          <w:sz w:val="22"/>
          <w:szCs w:val="22"/>
          <w:lang w:val="en-US"/>
        </w:rPr>
        <w:t xml:space="preserve">ի գծով ծախսերի աճով, ինչպես նաև </w:t>
      </w:r>
      <w:r w:rsidRPr="001F63BA">
        <w:rPr>
          <w:rFonts w:ascii="GHEA Grapalat" w:hAnsi="GHEA Grapalat" w:cs="Times Armenian"/>
          <w:sz w:val="22"/>
          <w:szCs w:val="22"/>
        </w:rPr>
        <w:t>ընտանիքում 3 և ավելի երեխա ունեցող ընտանիքներին</w:t>
      </w:r>
      <w:r w:rsidRPr="001F63BA">
        <w:rPr>
          <w:rFonts w:ascii="GHEA Grapalat" w:hAnsi="GHEA Grapalat" w:cs="Times Armenian"/>
          <w:sz w:val="22"/>
          <w:szCs w:val="22"/>
          <w:lang w:val="en-US"/>
        </w:rPr>
        <w:t xml:space="preserve"> դ</w:t>
      </w:r>
      <w:r w:rsidRPr="001F63BA">
        <w:rPr>
          <w:rFonts w:ascii="GHEA Grapalat" w:hAnsi="GHEA Grapalat" w:cs="Times Armenian"/>
          <w:sz w:val="22"/>
          <w:szCs w:val="22"/>
        </w:rPr>
        <w:t>րամական աջակցությ</w:t>
      </w:r>
      <w:r w:rsidRPr="001F63BA">
        <w:rPr>
          <w:rFonts w:ascii="GHEA Grapalat" w:hAnsi="GHEA Grapalat" w:cs="Times Armenian"/>
          <w:sz w:val="22"/>
          <w:szCs w:val="22"/>
          <w:lang w:val="en-US"/>
        </w:rPr>
        <w:t>ա</w:t>
      </w:r>
      <w:r w:rsidRPr="001F63BA">
        <w:rPr>
          <w:rFonts w:ascii="GHEA Grapalat" w:hAnsi="GHEA Grapalat" w:cs="Times Armenian"/>
          <w:sz w:val="22"/>
          <w:szCs w:val="22"/>
        </w:rPr>
        <w:t xml:space="preserve">ն </w:t>
      </w:r>
      <w:r w:rsidRPr="001F63BA">
        <w:rPr>
          <w:rFonts w:ascii="GHEA Grapalat" w:hAnsi="GHEA Grapalat" w:cs="Times Armenian"/>
          <w:sz w:val="22"/>
          <w:szCs w:val="22"/>
          <w:lang w:val="en-US"/>
        </w:rPr>
        <w:t>տրամադրմամբ, որի համար 2021 թվականին միջոցներ չէին հատկացվել:</w:t>
      </w:r>
    </w:p>
    <w:p w:rsidR="001C411D" w:rsidRPr="001F63BA" w:rsidRDefault="001C411D" w:rsidP="00F362B5">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sz w:val="22"/>
          <w:szCs w:val="22"/>
        </w:rPr>
        <w:t>Ժողովրդագրական վիճակի բարելավման ծ</w:t>
      </w:r>
      <w:r w:rsidRPr="001F63BA">
        <w:rPr>
          <w:rFonts w:ascii="GHEA Grapalat" w:hAnsi="GHEA Grapalat" w:cs="Arial"/>
          <w:sz w:val="22"/>
          <w:szCs w:val="22"/>
        </w:rPr>
        <w:t>րագրի</w:t>
      </w:r>
      <w:r w:rsidRPr="001F63BA">
        <w:rPr>
          <w:rFonts w:ascii="GHEA Grapalat" w:hAnsi="GHEA Grapalat" w:cs="Sylfaen"/>
          <w:sz w:val="22"/>
          <w:szCs w:val="22"/>
        </w:rPr>
        <w:t xml:space="preserve"> </w:t>
      </w:r>
      <w:r w:rsidRPr="001F63BA">
        <w:rPr>
          <w:rFonts w:ascii="GHEA Grapalat" w:hAnsi="GHEA Grapalat" w:cs="Arial"/>
          <w:sz w:val="22"/>
          <w:szCs w:val="22"/>
        </w:rPr>
        <w:t>ծախսերում</w:t>
      </w:r>
      <w:r w:rsidRPr="001F63BA">
        <w:rPr>
          <w:rFonts w:ascii="GHEA Grapalat" w:hAnsi="GHEA Grapalat" w:cs="Sylfaen"/>
          <w:sz w:val="22"/>
          <w:szCs w:val="22"/>
        </w:rPr>
        <w:t xml:space="preserve"> </w:t>
      </w:r>
      <w:r w:rsidRPr="001F63BA">
        <w:rPr>
          <w:rFonts w:ascii="GHEA Grapalat" w:hAnsi="GHEA Grapalat" w:cs="Times Armenian"/>
          <w:sz w:val="22"/>
          <w:szCs w:val="22"/>
        </w:rPr>
        <w:t>բարձր տեսակարար կշիռ ունեցող՝ «Ե</w:t>
      </w:r>
      <w:r w:rsidRPr="001F63BA">
        <w:rPr>
          <w:rFonts w:ascii="GHEA Grapalat" w:hAnsi="GHEA Grapalat"/>
          <w:sz w:val="22"/>
          <w:szCs w:val="22"/>
        </w:rPr>
        <w:t>րեխայի</w:t>
      </w:r>
      <w:r w:rsidRPr="001F63BA">
        <w:rPr>
          <w:rFonts w:ascii="GHEA Grapalat" w:hAnsi="GHEA Grapalat" w:cs="Sylfaen"/>
          <w:sz w:val="22"/>
          <w:szCs w:val="22"/>
        </w:rPr>
        <w:t xml:space="preserve"> ծննդյան միանվագ նպաստ» </w:t>
      </w:r>
      <w:r w:rsidRPr="001F63BA">
        <w:rPr>
          <w:rFonts w:ascii="GHEA Grapalat" w:hAnsi="GHEA Grapalat" w:cs="Times Armenian"/>
          <w:sz w:val="22"/>
          <w:szCs w:val="22"/>
        </w:rPr>
        <w:t>միջոցառման շրջանակներում հաշվետու ժամանակահատվածում շահառու նորածինների թիվը կազմել է 35742՝ կանխատեսված 37149</w:t>
      </w:r>
      <w:r w:rsidRPr="001F63BA">
        <w:rPr>
          <w:rFonts w:ascii="GHEA Grapalat" w:hAnsi="GHEA Grapalat" w:cs="Times Armenian"/>
          <w:sz w:val="22"/>
          <w:szCs w:val="22"/>
          <w:lang w:val="en-US"/>
        </w:rPr>
        <w:t>-</w:t>
      </w:r>
      <w:r w:rsidRPr="001F63BA">
        <w:rPr>
          <w:rFonts w:ascii="GHEA Grapalat" w:hAnsi="GHEA Grapalat" w:cs="Times Armenian"/>
          <w:sz w:val="22"/>
          <w:szCs w:val="22"/>
        </w:rPr>
        <w:t>ի և 2021 թվականի 35196-ի դիմաց</w:t>
      </w:r>
      <w:r w:rsidRPr="001F63BA">
        <w:rPr>
          <w:rFonts w:ascii="GHEA Grapalat" w:hAnsi="GHEA Grapalat" w:cs="Sylfaen"/>
          <w:sz w:val="22"/>
          <w:szCs w:val="22"/>
        </w:rPr>
        <w:t xml:space="preserve">: </w:t>
      </w:r>
      <w:r w:rsidRPr="001F63BA">
        <w:rPr>
          <w:rFonts w:ascii="GHEA Grapalat" w:hAnsi="GHEA Grapalat" w:cs="Times Armenian"/>
          <w:sz w:val="22"/>
          <w:szCs w:val="22"/>
        </w:rPr>
        <w:t>Նշված միջոցառման</w:t>
      </w:r>
      <w:r w:rsidRPr="001F63BA">
        <w:rPr>
          <w:rFonts w:ascii="GHEA Grapalat" w:hAnsi="GHEA Grapalat" w:cs="Sylfaen"/>
          <w:sz w:val="22"/>
          <w:szCs w:val="22"/>
        </w:rPr>
        <w:t xml:space="preserve"> գծով ծախսերը կազմել են ավելի քան 19.4 մլրդ դրամ՝</w:t>
      </w:r>
      <w:r w:rsidRPr="001F63BA">
        <w:rPr>
          <w:rFonts w:ascii="GHEA Grapalat" w:hAnsi="GHEA Grapalat" w:cs="Times Armenian"/>
          <w:sz w:val="22"/>
          <w:szCs w:val="22"/>
        </w:rPr>
        <w:t xml:space="preserve"> </w:t>
      </w:r>
      <w:r w:rsidRPr="001F63BA">
        <w:rPr>
          <w:rFonts w:ascii="GHEA Grapalat" w:hAnsi="GHEA Grapalat" w:cs="Sylfaen"/>
          <w:sz w:val="22"/>
          <w:szCs w:val="22"/>
        </w:rPr>
        <w:t xml:space="preserve">ապահովելով </w:t>
      </w:r>
      <w:r w:rsidRPr="001F63BA">
        <w:rPr>
          <w:rFonts w:ascii="GHEA Grapalat" w:hAnsi="GHEA Grapalat" w:cs="Times Armenian"/>
          <w:sz w:val="22"/>
          <w:szCs w:val="22"/>
        </w:rPr>
        <w:t>տարեկան</w:t>
      </w:r>
      <w:r w:rsidRPr="001F63BA">
        <w:rPr>
          <w:rFonts w:ascii="GHEA Grapalat" w:hAnsi="GHEA Grapalat"/>
          <w:sz w:val="22"/>
          <w:szCs w:val="22"/>
        </w:rPr>
        <w:t xml:space="preserve"> </w:t>
      </w:r>
      <w:r w:rsidRPr="001F63BA">
        <w:rPr>
          <w:rFonts w:ascii="GHEA Grapalat" w:hAnsi="GHEA Grapalat" w:cs="Sylfaen"/>
          <w:sz w:val="22"/>
          <w:szCs w:val="22"/>
        </w:rPr>
        <w:t>ծրագրի 96.3</w:t>
      </w:r>
      <w:r w:rsidRPr="001F63BA">
        <w:rPr>
          <w:rFonts w:ascii="GHEA Grapalat" w:hAnsi="GHEA Grapalat" w:cs="Times Armenian"/>
          <w:sz w:val="22"/>
          <w:szCs w:val="22"/>
        </w:rPr>
        <w:t xml:space="preserve">% կատարողական, որը պայմանավորված է լրացուցիչ </w:t>
      </w:r>
      <w:r w:rsidRPr="001F63BA">
        <w:rPr>
          <w:rFonts w:ascii="GHEA Grapalat" w:hAnsi="GHEA Grapalat" w:cs="Times Armenian"/>
          <w:sz w:val="22"/>
          <w:szCs w:val="22"/>
        </w:rPr>
        <w:lastRenderedPageBreak/>
        <w:t xml:space="preserve">գումար հատկացնելու մասին </w:t>
      </w:r>
      <w:r w:rsidR="00166616" w:rsidRPr="001F63BA">
        <w:rPr>
          <w:rFonts w:ascii="GHEA Grapalat" w:hAnsi="GHEA Grapalat" w:cs="Times Armenian"/>
          <w:sz w:val="22"/>
          <w:szCs w:val="22"/>
        </w:rPr>
        <w:t>Կառավարությ</w:t>
      </w:r>
      <w:r w:rsidRPr="001F63BA">
        <w:rPr>
          <w:rFonts w:ascii="GHEA Grapalat" w:hAnsi="GHEA Grapalat" w:cs="Times Armenian"/>
          <w:sz w:val="22"/>
          <w:szCs w:val="22"/>
        </w:rPr>
        <w:t>ան որոշման ուշ ընդունմամբ (ՀՀ կառավարության 15</w:t>
      </w:r>
      <w:r w:rsidR="00166616" w:rsidRPr="001F63BA">
        <w:rPr>
          <w:rFonts w:ascii="GHEA Grapalat" w:hAnsi="GHEA Grapalat" w:cs="Times Armenian"/>
          <w:sz w:val="22"/>
          <w:szCs w:val="22"/>
          <w:lang w:val="en-US"/>
        </w:rPr>
        <w:t>.12.</w:t>
      </w:r>
      <w:r w:rsidR="00166616" w:rsidRPr="001F63BA">
        <w:rPr>
          <w:rFonts w:ascii="GHEA Grapalat" w:hAnsi="GHEA Grapalat" w:cs="Times Armenian"/>
          <w:sz w:val="22"/>
          <w:szCs w:val="22"/>
        </w:rPr>
        <w:t>2022</w:t>
      </w:r>
      <w:r w:rsidRPr="001F63BA">
        <w:rPr>
          <w:rFonts w:ascii="GHEA Grapalat" w:hAnsi="GHEA Grapalat" w:cs="Times Armenian"/>
          <w:sz w:val="22"/>
          <w:szCs w:val="22"/>
        </w:rPr>
        <w:t>թ</w:t>
      </w:r>
      <w:r w:rsidR="00166616"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թիվ 1981-Ն որոշում), որի արդյունքում դեկտեմբեր ամսվա ե</w:t>
      </w:r>
      <w:r w:rsidRPr="001F63BA">
        <w:rPr>
          <w:rFonts w:ascii="GHEA Grapalat" w:hAnsi="GHEA Grapalat"/>
          <w:sz w:val="22"/>
          <w:szCs w:val="22"/>
        </w:rPr>
        <w:t>րեխայի</w:t>
      </w:r>
      <w:r w:rsidRPr="001F63BA">
        <w:rPr>
          <w:rFonts w:ascii="GHEA Grapalat" w:hAnsi="GHEA Grapalat" w:cs="Sylfaen"/>
          <w:sz w:val="22"/>
          <w:szCs w:val="22"/>
        </w:rPr>
        <w:t xml:space="preserve"> ծննդյան միանվագ </w:t>
      </w:r>
      <w:r w:rsidRPr="001F63BA">
        <w:rPr>
          <w:rFonts w:ascii="GHEA Grapalat" w:hAnsi="GHEA Grapalat" w:cs="Times Armenian"/>
          <w:sz w:val="22"/>
          <w:szCs w:val="22"/>
        </w:rPr>
        <w:t xml:space="preserve">նպաստի վճարման ցուցակը ձևավորել և վճարվել է մեկ շաբաթով պակաս ժամանակահատվածի համար: Նախորդ տարվա համեմատ </w:t>
      </w:r>
      <w:r w:rsidRPr="001F63BA">
        <w:rPr>
          <w:rFonts w:ascii="GHEA Grapalat" w:hAnsi="GHEA Grapalat" w:cs="Sylfaen"/>
          <w:sz w:val="22"/>
          <w:szCs w:val="22"/>
        </w:rPr>
        <w:t>մինչև 2 տարեկան երեխայի խնամքի նպաստ</w:t>
      </w:r>
      <w:r w:rsidRPr="001F63BA">
        <w:rPr>
          <w:rFonts w:ascii="GHEA Grapalat" w:hAnsi="GHEA Grapalat" w:cs="Times Armenian"/>
          <w:sz w:val="22"/>
          <w:szCs w:val="22"/>
        </w:rPr>
        <w:t>ի ծախսերն աճել են 5</w:t>
      </w:r>
      <w:r w:rsidRPr="001F63BA">
        <w:rPr>
          <w:rFonts w:ascii="GHEA Grapalat" w:hAnsi="GHEA Grapalat" w:cs="Times Armenian"/>
          <w:sz w:val="22"/>
          <w:szCs w:val="22"/>
          <w:lang w:val="af-ZA"/>
        </w:rPr>
        <w:t>.8</w:t>
      </w:r>
      <w:r w:rsidRPr="001F63BA">
        <w:rPr>
          <w:rFonts w:ascii="GHEA Grapalat" w:hAnsi="GHEA Grapalat" w:cs="Times Armenian"/>
          <w:sz w:val="22"/>
          <w:szCs w:val="22"/>
        </w:rPr>
        <w:t>%-ով կամ 1</w:t>
      </w:r>
      <w:r w:rsidRPr="001F63BA">
        <w:rPr>
          <w:rFonts w:ascii="GHEA Grapalat" w:hAnsi="GHEA Grapalat" w:cs="Times Armenian"/>
          <w:sz w:val="22"/>
          <w:szCs w:val="22"/>
          <w:lang w:val="af-ZA"/>
        </w:rPr>
        <w:t>.1</w:t>
      </w:r>
      <w:r w:rsidRPr="001F63BA">
        <w:rPr>
          <w:rFonts w:ascii="GHEA Grapalat" w:hAnsi="GHEA Grapalat" w:cs="Times Armenian"/>
          <w:sz w:val="22"/>
          <w:szCs w:val="22"/>
        </w:rPr>
        <w:t xml:space="preserve"> մլրդ դրամով, որը հիմնականում</w:t>
      </w:r>
      <w:r w:rsidRPr="001F63BA">
        <w:rPr>
          <w:rFonts w:ascii="GHEA Grapalat" w:hAnsi="GHEA Grapalat" w:cs="Times Armenian"/>
          <w:sz w:val="22"/>
          <w:szCs w:val="22"/>
          <w:lang w:val="af-ZA"/>
        </w:rPr>
        <w:t xml:space="preserve"> </w:t>
      </w:r>
      <w:r w:rsidRPr="001F63BA">
        <w:rPr>
          <w:rFonts w:ascii="GHEA Grapalat" w:hAnsi="GHEA Grapalat" w:cs="Sylfaen"/>
          <w:sz w:val="22"/>
          <w:szCs w:val="22"/>
        </w:rPr>
        <w:t xml:space="preserve">պայմանավորված է 3 և ավելի կարգաթվերով </w:t>
      </w:r>
      <w:r w:rsidRPr="001F63BA">
        <w:rPr>
          <w:rFonts w:ascii="GHEA Grapalat" w:hAnsi="GHEA Grapalat" w:cs="Times Armenian"/>
          <w:sz w:val="22"/>
          <w:szCs w:val="22"/>
        </w:rPr>
        <w:t>ծնված երեխաների</w:t>
      </w:r>
      <w:r w:rsidRPr="001F63BA">
        <w:rPr>
          <w:rFonts w:ascii="GHEA Grapalat" w:hAnsi="GHEA Grapalat" w:cs="Times Armenian"/>
          <w:sz w:val="22"/>
          <w:szCs w:val="22"/>
          <w:lang w:val="en-US"/>
        </w:rPr>
        <w:t xml:space="preserve"> թվի</w:t>
      </w:r>
      <w:r w:rsidRPr="001F63BA">
        <w:rPr>
          <w:rFonts w:ascii="GHEA Grapalat" w:hAnsi="GHEA Grapalat" w:cs="Times Armenian"/>
          <w:sz w:val="22"/>
          <w:szCs w:val="22"/>
        </w:rPr>
        <w:t xml:space="preserve"> աճով:</w:t>
      </w:r>
    </w:p>
    <w:p w:rsidR="001C411D" w:rsidRPr="001F63BA" w:rsidRDefault="001C411D" w:rsidP="002364EE">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Times Armenian"/>
          <w:sz w:val="22"/>
          <w:szCs w:val="22"/>
        </w:rPr>
        <w:t xml:space="preserve"> </w:t>
      </w:r>
      <w:r w:rsidRPr="001F63BA">
        <w:rPr>
          <w:rFonts w:ascii="GHEA Grapalat" w:hAnsi="GHEA Grapalat" w:cs="Sylfaen"/>
          <w:sz w:val="22"/>
          <w:szCs w:val="22"/>
        </w:rPr>
        <w:t>2022 թվականին մինչև 2 տարեկան երեխայի խնամքի նպաստ է ստացել 42129 քաղաքացի՝ կանխատեսված 42905-ի և 2021 թվականի 25121–ի փոխարեն</w:t>
      </w:r>
      <w:r w:rsidRPr="001F63BA">
        <w:rPr>
          <w:rFonts w:ascii="GHEA Grapalat" w:hAnsi="GHEA Grapalat" w:cs="Sylfaen"/>
          <w:sz w:val="22"/>
          <w:szCs w:val="22"/>
          <w:lang w:val="en-US"/>
        </w:rPr>
        <w:t xml:space="preserve">: </w:t>
      </w:r>
      <w:r w:rsidRPr="001F63BA">
        <w:rPr>
          <w:rFonts w:ascii="GHEA Grapalat" w:hAnsi="GHEA Grapalat" w:cs="Sylfaen"/>
          <w:sz w:val="22"/>
          <w:szCs w:val="22"/>
        </w:rPr>
        <w:t>Ծախսերը կազմել են 15.4</w:t>
      </w:r>
      <w:r w:rsidRPr="001F63BA">
        <w:rPr>
          <w:rFonts w:ascii="Calibri" w:hAnsi="Calibri" w:cs="Calibri"/>
          <w:sz w:val="22"/>
          <w:szCs w:val="22"/>
        </w:rPr>
        <w:t> </w:t>
      </w:r>
      <w:r w:rsidRPr="001F63BA">
        <w:rPr>
          <w:rFonts w:ascii="GHEA Grapalat" w:hAnsi="GHEA Grapalat" w:cs="Sylfaen"/>
          <w:sz w:val="22"/>
          <w:szCs w:val="22"/>
        </w:rPr>
        <w:t xml:space="preserve">մլրդ դրամ՝ ապահովելով 98.4% կատարողական: Ծախսերի՝ ծրագրից շեղումը, ինչպես նաև փաստացի ցածր արդյունքային ցուցանիշը պայմանավորված է նպաստի իրավունք ձեռք բերած և փաստացի նպաստառուների թվի տարբերությամբ: </w:t>
      </w:r>
      <w:r w:rsidRPr="001F63BA">
        <w:rPr>
          <w:rFonts w:ascii="GHEA Grapalat" w:hAnsi="GHEA Grapalat" w:cs="Times Armenian"/>
          <w:sz w:val="22"/>
          <w:szCs w:val="22"/>
        </w:rPr>
        <w:t xml:space="preserve">Նախորդ տարվա համեմատ </w:t>
      </w:r>
      <w:r w:rsidRPr="001F63BA">
        <w:rPr>
          <w:rFonts w:ascii="GHEA Grapalat" w:hAnsi="GHEA Grapalat" w:cs="Sylfaen"/>
          <w:sz w:val="22"/>
          <w:szCs w:val="22"/>
        </w:rPr>
        <w:t>մինչև 2 տարեկան երեխայի խնամքի նպաստ</w:t>
      </w:r>
      <w:r w:rsidRPr="001F63BA">
        <w:rPr>
          <w:rFonts w:ascii="GHEA Grapalat" w:hAnsi="GHEA Grapalat" w:cs="Times Armenian"/>
          <w:sz w:val="22"/>
          <w:szCs w:val="22"/>
        </w:rPr>
        <w:t xml:space="preserve">ի ծախսերն աճել են </w:t>
      </w:r>
      <w:r w:rsidRPr="001F63BA">
        <w:rPr>
          <w:rFonts w:ascii="GHEA Grapalat" w:hAnsi="GHEA Grapalat" w:cs="Times Armenian"/>
          <w:sz w:val="22"/>
          <w:szCs w:val="22"/>
          <w:lang w:val="af-ZA"/>
        </w:rPr>
        <w:t>76.6</w:t>
      </w:r>
      <w:r w:rsidRPr="001F63BA">
        <w:rPr>
          <w:rFonts w:ascii="GHEA Grapalat" w:hAnsi="GHEA Grapalat" w:cs="Times Armenian"/>
          <w:sz w:val="22"/>
          <w:szCs w:val="22"/>
        </w:rPr>
        <w:t xml:space="preserve">%-ով կամ </w:t>
      </w:r>
      <w:r w:rsidRPr="001F63BA">
        <w:rPr>
          <w:rFonts w:ascii="GHEA Grapalat" w:hAnsi="GHEA Grapalat" w:cs="Times Armenian"/>
          <w:sz w:val="22"/>
          <w:szCs w:val="22"/>
          <w:lang w:val="af-ZA"/>
        </w:rPr>
        <w:t>6.7</w:t>
      </w:r>
      <w:r w:rsidRPr="001F63BA">
        <w:rPr>
          <w:rFonts w:ascii="GHEA Grapalat" w:hAnsi="GHEA Grapalat" w:cs="Times Armenian"/>
          <w:sz w:val="22"/>
          <w:szCs w:val="22"/>
        </w:rPr>
        <w:t xml:space="preserve"> մլրդ դրամով</w:t>
      </w:r>
      <w:r w:rsidRPr="001F63BA">
        <w:rPr>
          <w:rFonts w:ascii="GHEA Grapalat" w:hAnsi="GHEA Grapalat" w:cs="Times Armenian"/>
          <w:sz w:val="22"/>
          <w:szCs w:val="22"/>
          <w:lang w:val="af-ZA"/>
        </w:rPr>
        <w:t>:</w:t>
      </w:r>
      <w:r w:rsidRPr="001F63BA">
        <w:rPr>
          <w:rFonts w:ascii="GHEA Grapalat" w:hAnsi="GHEA Grapalat" w:cs="Times Armenian"/>
          <w:sz w:val="22"/>
          <w:szCs w:val="22"/>
        </w:rPr>
        <w:t xml:space="preserve"> Նշված աճը պայմանավորված է 202</w:t>
      </w:r>
      <w:r w:rsidRPr="001F63BA">
        <w:rPr>
          <w:rFonts w:ascii="GHEA Grapalat" w:hAnsi="GHEA Grapalat" w:cs="Times Armenian"/>
          <w:sz w:val="22"/>
          <w:szCs w:val="22"/>
          <w:lang w:val="af-ZA"/>
        </w:rPr>
        <w:t>2</w:t>
      </w:r>
      <w:r w:rsidRPr="001F63BA">
        <w:rPr>
          <w:rFonts w:ascii="GHEA Grapalat" w:hAnsi="GHEA Grapalat" w:cs="Times Armenian"/>
          <w:sz w:val="22"/>
          <w:szCs w:val="22"/>
        </w:rPr>
        <w:t xml:space="preserve"> թվականի հունվարի 1-ից մինչև 2 տարեկան երեխայի խնամքի նպաստի (այդ թվում՝ գյուղական բնակավայրում տրվող) չափի բարձրացմամբ 26500 դրամից մինչև 28600 դրամ</w:t>
      </w:r>
      <w:r w:rsidRPr="001F63BA">
        <w:rPr>
          <w:rFonts w:ascii="GHEA Grapalat" w:hAnsi="GHEA Grapalat" w:cs="Times Armenian"/>
          <w:sz w:val="22"/>
          <w:szCs w:val="22"/>
          <w:lang w:val="en-US"/>
        </w:rPr>
        <w:t>, ինչպես նաև</w:t>
      </w:r>
      <w:r w:rsidRPr="001F63BA">
        <w:rPr>
          <w:rFonts w:ascii="GHEA Grapalat" w:hAnsi="GHEA Grapalat"/>
          <w:sz w:val="22"/>
          <w:szCs w:val="22"/>
        </w:rPr>
        <w:t xml:space="preserve"> օրենսդրական փոփոխությամբ, համաձայն որի 01.07.2020 թվականից հետո ծնված և գյուղական բնակավայրում հաշվառված երեխաների խնամքի կապակցությամբ խնամքի նպաստ նշանակվում է անկախ ծնողի աշխատելու հանգամանքից, իսկ գյուղաբ</w:t>
      </w:r>
      <w:r w:rsidRPr="001F63BA">
        <w:rPr>
          <w:rFonts w:ascii="GHEA Grapalat" w:hAnsi="GHEA Grapalat"/>
          <w:sz w:val="22"/>
          <w:szCs w:val="22"/>
          <w:lang w:val="en-US"/>
        </w:rPr>
        <w:t>նա</w:t>
      </w:r>
      <w:r w:rsidRPr="001F63BA">
        <w:rPr>
          <w:rFonts w:ascii="GHEA Grapalat" w:hAnsi="GHEA Grapalat"/>
          <w:sz w:val="22"/>
          <w:szCs w:val="22"/>
        </w:rPr>
        <w:t>կ ծնողին վճարվում է կրկնակի՝ որպես վարձու աշխատող և գյուղաբնակ։ Մինչև 01.07.2022թ. համակարգում շարունակվել է շահառուների թվի</w:t>
      </w:r>
      <w:r w:rsidRPr="001F63BA">
        <w:rPr>
          <w:rFonts w:ascii="GHEA Grapalat" w:hAnsi="GHEA Grapalat"/>
          <w:sz w:val="22"/>
          <w:szCs w:val="22"/>
          <w:lang w:val="en-US"/>
        </w:rPr>
        <w:t xml:space="preserve"> կտրուկ</w:t>
      </w:r>
      <w:r w:rsidRPr="001F63BA">
        <w:rPr>
          <w:rFonts w:ascii="GHEA Grapalat" w:hAnsi="GHEA Grapalat"/>
          <w:sz w:val="22"/>
          <w:szCs w:val="22"/>
        </w:rPr>
        <w:t xml:space="preserve"> ավելացումը և միայն 01.07.2022</w:t>
      </w:r>
      <w:r w:rsidRPr="001F63BA">
        <w:rPr>
          <w:rFonts w:ascii="GHEA Grapalat" w:hAnsi="GHEA Grapalat"/>
          <w:sz w:val="22"/>
          <w:szCs w:val="22"/>
          <w:lang w:val="en-US"/>
        </w:rPr>
        <w:t>թ-</w:t>
      </w:r>
      <w:r w:rsidRPr="001F63BA">
        <w:rPr>
          <w:rFonts w:ascii="GHEA Grapalat" w:hAnsi="GHEA Grapalat"/>
          <w:sz w:val="22"/>
          <w:szCs w:val="22"/>
        </w:rPr>
        <w:t>ից հետո, երբ սկսել է լրանալ</w:t>
      </w:r>
      <w:r w:rsidRPr="001F63BA">
        <w:rPr>
          <w:rFonts w:ascii="Calibri" w:hAnsi="Calibri" w:cs="Calibri"/>
          <w:sz w:val="22"/>
          <w:szCs w:val="22"/>
        </w:rPr>
        <w:t> </w:t>
      </w:r>
      <w:r w:rsidRPr="001F63BA">
        <w:rPr>
          <w:rFonts w:ascii="GHEA Grapalat" w:hAnsi="GHEA Grapalat"/>
          <w:sz w:val="22"/>
          <w:szCs w:val="22"/>
        </w:rPr>
        <w:t>01.07.2020թ</w:t>
      </w:r>
      <w:r w:rsidRPr="001F63BA">
        <w:rPr>
          <w:rFonts w:ascii="GHEA Grapalat" w:hAnsi="GHEA Grapalat"/>
          <w:sz w:val="22"/>
          <w:szCs w:val="22"/>
          <w:lang w:val="en-US"/>
        </w:rPr>
        <w:noBreakHyphen/>
        <w:t>ից</w:t>
      </w:r>
      <w:r w:rsidRPr="001F63BA">
        <w:rPr>
          <w:rFonts w:ascii="GHEA Grapalat" w:hAnsi="GHEA Grapalat"/>
          <w:sz w:val="22"/>
          <w:szCs w:val="22"/>
        </w:rPr>
        <w:t xml:space="preserve"> հետո ծնված գյուղաբնակ երեխաների 2 տարին, շահառուների թիվը կայունացել է։ Արդյունքում գյուղաբնակ շահառուների թիվն ավելացել է 14931-ով, որից 3154-ը՝ ի հաշիվ խնամքի արձակուրդում գտնվող գյուղաբնակ ծնողների, իսկ 11749-ը՝ գյուղաբնակների։ Խնամքի արձակուրդում գտնվող քաղաքաբնակ ծնողների թիվը նվազել է 1048-ով։</w:t>
      </w:r>
    </w:p>
    <w:p w:rsidR="001C411D" w:rsidRPr="001F63BA" w:rsidRDefault="001C411D" w:rsidP="00F362B5">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2022 թվականի ընթացքում իրականացվել է «Դրամական աջակցություն ընտանիքում 3 և ավելի երեխա ունեցող ընտանիքներին» նոր միջոցառումը: Ծնելիությունը խթանելու և բազմազավակ ընտանիքներին պետական աջակցություն ցուցաբերելու նպատակով 2022 թվականի հունվարի 1-ից հետո ընտանիքում 3-րդ և յուրաքանչյուր հաջորդ երեխայի ծնվելու կապակցությամբ նոր ծնված երեխայի ծնողին նշանակվել և տրամադրվել է դրամական աջակցություն՝ ամսական 50.0 հազար դրամի չափով (մինչև երեխայի 6 տարեկանը լրանալը)։ Միջոցառման շրջանակներում դրամական աջակցություն է ստացել 5078 ընտանիք (յուրաքանչյուր երեխայի համար դիմած)՝ կանխատեսված 5008–ի փոխարեն:</w:t>
      </w:r>
      <w:r w:rsidRPr="001F63BA">
        <w:rPr>
          <w:rFonts w:ascii="GHEA Grapalat" w:hAnsi="GHEA Grapalat" w:cs="Times Armenian"/>
          <w:sz w:val="22"/>
          <w:szCs w:val="22"/>
        </w:rPr>
        <w:t xml:space="preserve"> Նշված միջոցառման</w:t>
      </w:r>
      <w:r w:rsidRPr="001F63BA">
        <w:rPr>
          <w:rFonts w:ascii="GHEA Grapalat" w:hAnsi="GHEA Grapalat" w:cs="Sylfaen"/>
          <w:sz w:val="22"/>
          <w:szCs w:val="22"/>
        </w:rPr>
        <w:t xml:space="preserve"> գծով ծախսերը կազմել են շուրջ 3 մլրդ դրամ՝</w:t>
      </w:r>
      <w:r w:rsidRPr="001F63BA">
        <w:rPr>
          <w:rFonts w:ascii="GHEA Grapalat" w:hAnsi="GHEA Grapalat" w:cs="Times Armenian"/>
          <w:sz w:val="22"/>
          <w:szCs w:val="22"/>
        </w:rPr>
        <w:t xml:space="preserve"> </w:t>
      </w:r>
      <w:r w:rsidRPr="001F63BA">
        <w:rPr>
          <w:rFonts w:ascii="GHEA Grapalat" w:hAnsi="GHEA Grapalat" w:cs="Sylfaen"/>
          <w:sz w:val="22"/>
          <w:szCs w:val="22"/>
        </w:rPr>
        <w:t xml:space="preserve">ապահովելով </w:t>
      </w:r>
      <w:r w:rsidRPr="001F63BA">
        <w:rPr>
          <w:rFonts w:ascii="GHEA Grapalat" w:hAnsi="GHEA Grapalat" w:cs="Times Armenian"/>
          <w:sz w:val="22"/>
          <w:szCs w:val="22"/>
        </w:rPr>
        <w:t>տարեկան</w:t>
      </w:r>
      <w:r w:rsidRPr="001F63BA">
        <w:rPr>
          <w:rFonts w:ascii="GHEA Grapalat" w:hAnsi="GHEA Grapalat"/>
          <w:sz w:val="22"/>
          <w:szCs w:val="22"/>
        </w:rPr>
        <w:t xml:space="preserve"> </w:t>
      </w:r>
      <w:r w:rsidRPr="001F63BA">
        <w:rPr>
          <w:rFonts w:ascii="GHEA Grapalat" w:hAnsi="GHEA Grapalat" w:cs="Sylfaen"/>
          <w:sz w:val="22"/>
          <w:szCs w:val="22"/>
        </w:rPr>
        <w:t>ծրագրի 99</w:t>
      </w:r>
      <w:r w:rsidRPr="001F63BA">
        <w:rPr>
          <w:rFonts w:ascii="GHEA Grapalat" w:hAnsi="GHEA Grapalat" w:cs="Times Armenian"/>
          <w:sz w:val="22"/>
          <w:szCs w:val="22"/>
        </w:rPr>
        <w:t>% կատարողական:</w:t>
      </w:r>
    </w:p>
    <w:p w:rsidR="001C411D" w:rsidRPr="001F63BA" w:rsidRDefault="001C411D" w:rsidP="00F362B5">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i/>
          <w:sz w:val="22"/>
          <w:szCs w:val="22"/>
        </w:rPr>
        <w:lastRenderedPageBreak/>
        <w:t>Անաշխատունակության դեպքում սոցիալական աջակցության</w:t>
      </w:r>
      <w:r w:rsidRPr="001F63BA">
        <w:rPr>
          <w:rFonts w:ascii="GHEA Grapalat" w:hAnsi="GHEA Grapalat"/>
          <w:sz w:val="22"/>
          <w:szCs w:val="22"/>
        </w:rPr>
        <w:t xml:space="preserve"> ծրագրին հաշվետու </w:t>
      </w:r>
      <w:r w:rsidRPr="001F63BA">
        <w:rPr>
          <w:rFonts w:ascii="GHEA Grapalat" w:hAnsi="GHEA Grapalat"/>
          <w:sz w:val="22"/>
          <w:szCs w:val="22"/>
          <w:lang w:val="en-US"/>
        </w:rPr>
        <w:t>տարում</w:t>
      </w:r>
      <w:r w:rsidRPr="001F63BA">
        <w:rPr>
          <w:rFonts w:ascii="GHEA Grapalat" w:hAnsi="GHEA Grapalat"/>
          <w:sz w:val="22"/>
          <w:szCs w:val="22"/>
        </w:rPr>
        <w:t xml:space="preserve"> </w:t>
      </w:r>
      <w:r w:rsidRPr="001F63BA">
        <w:rPr>
          <w:rFonts w:ascii="GHEA Grapalat" w:hAnsi="GHEA Grapalat" w:cs="Sylfaen"/>
          <w:sz w:val="22"/>
          <w:szCs w:val="22"/>
        </w:rPr>
        <w:t>տրամադրվել է 20.1 մլրդ դրամ՝</w:t>
      </w:r>
      <w:r w:rsidRPr="001F63BA">
        <w:rPr>
          <w:rFonts w:ascii="GHEA Grapalat" w:hAnsi="GHEA Grapalat" w:cs="Times Armenian"/>
          <w:sz w:val="22"/>
          <w:szCs w:val="22"/>
        </w:rPr>
        <w:t xml:space="preserve"> </w:t>
      </w:r>
      <w:r w:rsidRPr="001F63BA">
        <w:rPr>
          <w:rFonts w:ascii="GHEA Grapalat" w:hAnsi="GHEA Grapalat" w:cs="Sylfaen"/>
          <w:sz w:val="22"/>
          <w:szCs w:val="22"/>
        </w:rPr>
        <w:t>ապահովելով</w:t>
      </w:r>
      <w:r w:rsidRPr="001F63BA">
        <w:rPr>
          <w:rFonts w:ascii="GHEA Grapalat" w:hAnsi="GHEA Grapalat" w:cs="Times Armenian"/>
          <w:sz w:val="22"/>
          <w:szCs w:val="22"/>
        </w:rPr>
        <w:t xml:space="preserve"> </w:t>
      </w:r>
      <w:r w:rsidRPr="001F63BA">
        <w:rPr>
          <w:rFonts w:ascii="GHEA Grapalat" w:hAnsi="GHEA Grapalat" w:cs="Sylfaen"/>
          <w:sz w:val="22"/>
          <w:szCs w:val="22"/>
        </w:rPr>
        <w:t>ծրագրված ցուցանիշի 99</w:t>
      </w:r>
      <w:r w:rsidRPr="001F63BA">
        <w:rPr>
          <w:rFonts w:ascii="GHEA Grapalat" w:hAnsi="GHEA Grapalat" w:cs="Times Armenian"/>
          <w:sz w:val="22"/>
          <w:szCs w:val="22"/>
        </w:rPr>
        <w:t>.9%</w:t>
      </w:r>
      <w:r w:rsidRPr="001F63BA">
        <w:rPr>
          <w:rFonts w:ascii="GHEA Grapalat" w:hAnsi="GHEA Grapalat" w:cs="Times Armenian"/>
          <w:sz w:val="22"/>
          <w:szCs w:val="22"/>
        </w:rPr>
        <w:noBreakHyphen/>
        <w:t xml:space="preserve">ը: </w:t>
      </w:r>
      <w:r w:rsidRPr="001F63BA">
        <w:rPr>
          <w:rFonts w:ascii="GHEA Grapalat" w:hAnsi="GHEA Grapalat"/>
          <w:sz w:val="22"/>
          <w:szCs w:val="22"/>
          <w:lang w:val="af-ZA"/>
        </w:rPr>
        <w:t xml:space="preserve">Ծրագիրն ուղղված է անաշխատունակության հետևանքով եկամտի կորստի մասնակի փոխհատուցման ապահովմանը: </w:t>
      </w:r>
      <w:r w:rsidRPr="001F63BA">
        <w:rPr>
          <w:rFonts w:ascii="GHEA Grapalat" w:hAnsi="GHEA Grapalat" w:cs="Times Armenian"/>
          <w:sz w:val="22"/>
          <w:szCs w:val="22"/>
        </w:rPr>
        <w:t xml:space="preserve">2021 թվականի </w:t>
      </w:r>
      <w:r w:rsidRPr="001F63BA">
        <w:rPr>
          <w:rFonts w:ascii="GHEA Grapalat" w:hAnsi="GHEA Grapalat" w:cs="Times Armenian"/>
          <w:sz w:val="22"/>
          <w:szCs w:val="22"/>
          <w:lang w:val="en-US"/>
        </w:rPr>
        <w:t xml:space="preserve">համեմատ </w:t>
      </w:r>
      <w:r w:rsidRPr="001F63BA">
        <w:rPr>
          <w:rFonts w:ascii="GHEA Grapalat" w:hAnsi="GHEA Grapalat" w:cs="Times Armenian"/>
          <w:sz w:val="22"/>
          <w:szCs w:val="22"/>
        </w:rPr>
        <w:t>Անաշխատունակության դեպքում սոցիալական աջակցության ծրագրի ծախսերն աճել են 4%-ով կամ 780 մլն դրամով՝ հիմնականում պայմանավորված մայրության նպաստի գծով ծախսերի աճով:</w:t>
      </w:r>
    </w:p>
    <w:p w:rsidR="001C411D" w:rsidRPr="001F63BA" w:rsidRDefault="001C411D" w:rsidP="00F362B5">
      <w:pPr>
        <w:spacing w:line="360" w:lineRule="auto"/>
        <w:ind w:firstLine="567"/>
        <w:jc w:val="both"/>
        <w:rPr>
          <w:rFonts w:ascii="GHEA Grapalat" w:hAnsi="GHEA Grapalat"/>
          <w:sz w:val="22"/>
          <w:szCs w:val="22"/>
          <w:lang w:val="af-ZA"/>
        </w:rPr>
      </w:pPr>
      <w:r w:rsidRPr="001F63BA">
        <w:rPr>
          <w:rFonts w:ascii="GHEA Grapalat" w:hAnsi="GHEA Grapalat" w:cs="Times Armenian"/>
          <w:sz w:val="22"/>
          <w:szCs w:val="22"/>
        </w:rPr>
        <w:t>Ծրագրի շրջանակներում մ</w:t>
      </w:r>
      <w:r w:rsidRPr="001F63BA">
        <w:rPr>
          <w:rFonts w:ascii="GHEA Grapalat" w:hAnsi="GHEA Grapalat"/>
          <w:sz w:val="22"/>
          <w:szCs w:val="22"/>
        </w:rPr>
        <w:t>այրության</w:t>
      </w:r>
      <w:r w:rsidRPr="001F63BA">
        <w:rPr>
          <w:rFonts w:ascii="GHEA Grapalat" w:hAnsi="GHEA Grapalat"/>
          <w:sz w:val="22"/>
          <w:szCs w:val="22"/>
          <w:lang w:val="af-ZA"/>
        </w:rPr>
        <w:t xml:space="preserve"> </w:t>
      </w:r>
      <w:r w:rsidRPr="001F63BA">
        <w:rPr>
          <w:rFonts w:ascii="GHEA Grapalat" w:hAnsi="GHEA Grapalat"/>
          <w:sz w:val="22"/>
          <w:szCs w:val="22"/>
        </w:rPr>
        <w:t>նպաստ</w:t>
      </w:r>
      <w:r w:rsidRPr="001F63BA">
        <w:rPr>
          <w:rFonts w:ascii="GHEA Grapalat" w:hAnsi="GHEA Grapalat"/>
          <w:sz w:val="22"/>
          <w:szCs w:val="22"/>
          <w:lang w:val="af-ZA"/>
        </w:rPr>
        <w:t xml:space="preserve"> </w:t>
      </w:r>
      <w:r w:rsidRPr="001F63BA">
        <w:rPr>
          <w:rFonts w:ascii="GHEA Grapalat" w:hAnsi="GHEA Grapalat"/>
          <w:sz w:val="22"/>
          <w:szCs w:val="22"/>
        </w:rPr>
        <w:t>ստացող</w:t>
      </w:r>
      <w:r w:rsidRPr="001F63BA">
        <w:rPr>
          <w:rFonts w:ascii="GHEA Grapalat" w:hAnsi="GHEA Grapalat"/>
          <w:sz w:val="22"/>
          <w:szCs w:val="22"/>
          <w:lang w:val="af-ZA"/>
        </w:rPr>
        <w:t xml:space="preserve"> </w:t>
      </w:r>
      <w:r w:rsidRPr="001F63BA">
        <w:rPr>
          <w:rFonts w:ascii="GHEA Grapalat" w:hAnsi="GHEA Grapalat"/>
          <w:sz w:val="22"/>
          <w:szCs w:val="22"/>
        </w:rPr>
        <w:t>աշխատող</w:t>
      </w:r>
      <w:r w:rsidRPr="001F63BA">
        <w:rPr>
          <w:rFonts w:ascii="GHEA Grapalat" w:hAnsi="GHEA Grapalat"/>
          <w:sz w:val="22"/>
          <w:szCs w:val="22"/>
          <w:lang w:val="af-ZA"/>
        </w:rPr>
        <w:t xml:space="preserve"> </w:t>
      </w:r>
      <w:r w:rsidRPr="001F63BA">
        <w:rPr>
          <w:rFonts w:ascii="GHEA Grapalat" w:hAnsi="GHEA Grapalat"/>
          <w:sz w:val="22"/>
          <w:szCs w:val="22"/>
        </w:rPr>
        <w:t>անձանց</w:t>
      </w:r>
      <w:r w:rsidRPr="001F63BA">
        <w:rPr>
          <w:rFonts w:ascii="GHEA Grapalat" w:hAnsi="GHEA Grapalat"/>
          <w:sz w:val="22"/>
          <w:szCs w:val="22"/>
          <w:lang w:val="af-ZA"/>
        </w:rPr>
        <w:t xml:space="preserve"> </w:t>
      </w:r>
      <w:r w:rsidRPr="001F63BA">
        <w:rPr>
          <w:rFonts w:ascii="GHEA Grapalat" w:hAnsi="GHEA Grapalat"/>
          <w:sz w:val="22"/>
          <w:szCs w:val="22"/>
        </w:rPr>
        <w:t>թիվը</w:t>
      </w:r>
      <w:r w:rsidRPr="001F63BA">
        <w:rPr>
          <w:rFonts w:ascii="GHEA Grapalat" w:hAnsi="GHEA Grapalat"/>
          <w:sz w:val="22"/>
          <w:szCs w:val="22"/>
          <w:lang w:val="af-ZA"/>
        </w:rPr>
        <w:t xml:space="preserve"> հաշվետու տարում </w:t>
      </w:r>
      <w:r w:rsidRPr="001F63BA">
        <w:rPr>
          <w:rFonts w:ascii="GHEA Grapalat" w:hAnsi="GHEA Grapalat" w:cs="Times Armenian"/>
          <w:sz w:val="22"/>
          <w:szCs w:val="22"/>
        </w:rPr>
        <w:t>կազմել է 17757՝ կանխատեսված</w:t>
      </w:r>
      <w:r w:rsidRPr="001F63BA">
        <w:rPr>
          <w:rFonts w:ascii="GHEA Grapalat" w:hAnsi="GHEA Grapalat"/>
          <w:sz w:val="22"/>
          <w:szCs w:val="22"/>
          <w:lang w:val="af-ZA"/>
        </w:rPr>
        <w:t xml:space="preserve"> 17960-ի և նախորդ տարվա </w:t>
      </w:r>
      <w:r w:rsidRPr="001F63BA">
        <w:rPr>
          <w:rFonts w:ascii="GHEA Grapalat" w:hAnsi="GHEA Grapalat"/>
          <w:sz w:val="22"/>
          <w:szCs w:val="22"/>
        </w:rPr>
        <w:t>15111</w:t>
      </w:r>
      <w:r w:rsidRPr="001F63BA">
        <w:rPr>
          <w:rFonts w:ascii="GHEA Grapalat" w:hAnsi="GHEA Grapalat"/>
          <w:sz w:val="22"/>
          <w:szCs w:val="22"/>
          <w:lang w:val="af-ZA"/>
        </w:rPr>
        <w:t>-ի դիմաց, իսկ չ</w:t>
      </w:r>
      <w:r w:rsidRPr="001F63BA">
        <w:rPr>
          <w:rFonts w:ascii="GHEA Grapalat" w:hAnsi="GHEA Grapalat"/>
          <w:sz w:val="22"/>
          <w:szCs w:val="22"/>
        </w:rPr>
        <w:t>աշխատող</w:t>
      </w:r>
      <w:r w:rsidRPr="001F63BA">
        <w:rPr>
          <w:rFonts w:ascii="GHEA Grapalat" w:hAnsi="GHEA Grapalat"/>
          <w:sz w:val="22"/>
          <w:szCs w:val="22"/>
          <w:lang w:val="af-ZA"/>
        </w:rPr>
        <w:t xml:space="preserve"> </w:t>
      </w:r>
      <w:r w:rsidRPr="001F63BA">
        <w:rPr>
          <w:rFonts w:ascii="GHEA Grapalat" w:hAnsi="GHEA Grapalat"/>
          <w:sz w:val="22"/>
          <w:szCs w:val="22"/>
        </w:rPr>
        <w:t>անձանց</w:t>
      </w:r>
      <w:r w:rsidRPr="001F63BA">
        <w:rPr>
          <w:rFonts w:ascii="GHEA Grapalat" w:hAnsi="GHEA Grapalat"/>
          <w:sz w:val="22"/>
          <w:szCs w:val="22"/>
          <w:lang w:val="af-ZA"/>
        </w:rPr>
        <w:t xml:space="preserve"> թիվը՝ 20047՝ կանխատեսված 24242</w:t>
      </w:r>
      <w:r w:rsidRPr="001F63BA">
        <w:rPr>
          <w:rFonts w:ascii="GHEA Grapalat" w:hAnsi="GHEA Grapalat"/>
          <w:sz w:val="22"/>
          <w:szCs w:val="22"/>
        </w:rPr>
        <w:t>-ի և նախորդ տարվա 20582-ի դիմաց</w:t>
      </w:r>
      <w:r w:rsidRPr="001F63BA">
        <w:rPr>
          <w:rFonts w:ascii="GHEA Grapalat" w:hAnsi="GHEA Grapalat"/>
          <w:sz w:val="22"/>
          <w:szCs w:val="22"/>
          <w:lang w:val="af-ZA"/>
        </w:rPr>
        <w:t>: Մ</w:t>
      </w:r>
      <w:r w:rsidRPr="001F63BA">
        <w:rPr>
          <w:rFonts w:ascii="GHEA Grapalat" w:hAnsi="GHEA Grapalat" w:cs="Times Armenian"/>
          <w:sz w:val="22"/>
          <w:szCs w:val="22"/>
        </w:rPr>
        <w:t>այրության նպաստին տրամադրվել է</w:t>
      </w:r>
      <w:r w:rsidRPr="001F63BA">
        <w:rPr>
          <w:rFonts w:ascii="GHEA Grapalat" w:hAnsi="GHEA Grapalat"/>
          <w:sz w:val="22"/>
          <w:szCs w:val="22"/>
          <w:lang w:val="af-ZA"/>
        </w:rPr>
        <w:t xml:space="preserve"> </w:t>
      </w:r>
      <w:r w:rsidRPr="001F63BA">
        <w:rPr>
          <w:rFonts w:ascii="GHEA Grapalat" w:hAnsi="GHEA Grapalat" w:cs="Times Armenian"/>
          <w:sz w:val="22"/>
          <w:szCs w:val="22"/>
        </w:rPr>
        <w:t xml:space="preserve">14.4 մլրդ դրամ՝ կազմելով </w:t>
      </w:r>
      <w:r w:rsidRPr="001F63BA">
        <w:rPr>
          <w:rFonts w:ascii="GHEA Grapalat" w:hAnsi="GHEA Grapalat" w:cs="Sylfaen"/>
          <w:sz w:val="22"/>
          <w:szCs w:val="22"/>
        </w:rPr>
        <w:t>նախատեսվածի 99.9</w:t>
      </w:r>
      <w:r w:rsidRPr="001F63BA">
        <w:rPr>
          <w:rFonts w:ascii="GHEA Grapalat" w:hAnsi="GHEA Grapalat" w:cs="Times Armenian"/>
          <w:sz w:val="22"/>
          <w:szCs w:val="22"/>
        </w:rPr>
        <w:t xml:space="preserve">%-ը: </w:t>
      </w:r>
      <w:r w:rsidRPr="001F63BA">
        <w:rPr>
          <w:rFonts w:ascii="GHEA Grapalat" w:hAnsi="GHEA Grapalat" w:cs="Sylfaen"/>
          <w:sz w:val="22"/>
          <w:szCs w:val="22"/>
        </w:rPr>
        <w:t>Նախորդ տարվա համեմատ նշված ծախսեր</w:t>
      </w:r>
      <w:r w:rsidRPr="001F63BA">
        <w:rPr>
          <w:rFonts w:ascii="GHEA Grapalat" w:hAnsi="GHEA Grapalat" w:cs="Sylfaen"/>
          <w:sz w:val="22"/>
          <w:szCs w:val="22"/>
          <w:lang w:val="en-US"/>
        </w:rPr>
        <w:t>ն</w:t>
      </w:r>
      <w:r w:rsidRPr="001F63BA">
        <w:rPr>
          <w:rFonts w:ascii="GHEA Grapalat" w:hAnsi="GHEA Grapalat" w:cs="Sylfaen"/>
          <w:sz w:val="22"/>
          <w:szCs w:val="22"/>
        </w:rPr>
        <w:t xml:space="preserve"> աճել են 9%-ով կամ </w:t>
      </w:r>
      <w:r w:rsidRPr="001F63BA">
        <w:rPr>
          <w:rFonts w:ascii="GHEA Grapalat" w:hAnsi="GHEA Grapalat" w:cs="Sylfaen"/>
          <w:sz w:val="22"/>
          <w:szCs w:val="22"/>
          <w:lang w:val="zu-ZA"/>
        </w:rPr>
        <w:t>1.2</w:t>
      </w:r>
      <w:r w:rsidRPr="001F63BA">
        <w:rPr>
          <w:rFonts w:ascii="GHEA Grapalat" w:hAnsi="GHEA Grapalat" w:cs="Sylfaen"/>
          <w:sz w:val="22"/>
          <w:szCs w:val="22"/>
        </w:rPr>
        <w:t xml:space="preserve"> մլրդ դրամով, </w:t>
      </w:r>
      <w:r w:rsidRPr="001F63BA">
        <w:rPr>
          <w:rFonts w:ascii="GHEA Grapalat" w:hAnsi="GHEA Grapalat"/>
          <w:sz w:val="22"/>
          <w:szCs w:val="22"/>
          <w:lang w:val="af-ZA"/>
        </w:rPr>
        <w:t>որը պայմանավորված է աշխատող մայրերի թվի, ինչպես նաև միջին ամսական աշխատավարձի աճով:</w:t>
      </w:r>
    </w:p>
    <w:p w:rsidR="001C411D" w:rsidRPr="001F63BA" w:rsidRDefault="001C411D" w:rsidP="00F362B5">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rPr>
        <w:t>Ամբողջությամբ օգտագործվել է նաև Ժամանակավոր անաշխատունակության դեպքում նպաստի</w:t>
      </w:r>
      <w:r w:rsidRPr="001F63BA">
        <w:rPr>
          <w:rFonts w:ascii="GHEA Grapalat" w:hAnsi="GHEA Grapalat" w:cs="Times Armenian"/>
          <w:sz w:val="22"/>
          <w:szCs w:val="22"/>
          <w:lang w:val="en-US"/>
        </w:rPr>
        <w:t>ն</w:t>
      </w:r>
      <w:r w:rsidRPr="001F63BA">
        <w:rPr>
          <w:rFonts w:ascii="GHEA Grapalat" w:hAnsi="GHEA Grapalat" w:cs="Times Armenian"/>
          <w:sz w:val="22"/>
          <w:szCs w:val="22"/>
        </w:rPr>
        <w:t xml:space="preserve"> հատկացված շուրջ 5.6 մլրդ դրամը: </w:t>
      </w:r>
      <w:r w:rsidRPr="001F63BA">
        <w:rPr>
          <w:rFonts w:ascii="GHEA Grapalat" w:hAnsi="GHEA Grapalat" w:cs="GHEA Grapalat"/>
          <w:sz w:val="22"/>
          <w:szCs w:val="22"/>
        </w:rPr>
        <w:t>Նախորդ</w:t>
      </w:r>
      <w:r w:rsidRPr="001F63BA">
        <w:rPr>
          <w:rFonts w:ascii="GHEA Grapalat" w:hAnsi="GHEA Grapalat" w:cs="Sylfaen"/>
          <w:sz w:val="22"/>
          <w:szCs w:val="22"/>
        </w:rPr>
        <w:t xml:space="preserve"> </w:t>
      </w:r>
      <w:r w:rsidRPr="001F63BA">
        <w:rPr>
          <w:rFonts w:ascii="GHEA Grapalat" w:hAnsi="GHEA Grapalat" w:cs="GHEA Grapalat"/>
          <w:sz w:val="22"/>
          <w:szCs w:val="22"/>
        </w:rPr>
        <w:t>տարվա</w:t>
      </w:r>
      <w:r w:rsidRPr="001F63BA">
        <w:rPr>
          <w:rFonts w:ascii="GHEA Grapalat" w:hAnsi="GHEA Grapalat" w:cs="Sylfaen"/>
          <w:sz w:val="22"/>
          <w:szCs w:val="22"/>
        </w:rPr>
        <w:t xml:space="preserve"> </w:t>
      </w:r>
      <w:r w:rsidRPr="001F63BA">
        <w:rPr>
          <w:rFonts w:ascii="GHEA Grapalat" w:hAnsi="GHEA Grapalat" w:cs="GHEA Grapalat"/>
          <w:sz w:val="22"/>
          <w:szCs w:val="22"/>
        </w:rPr>
        <w:t>համեմատ</w:t>
      </w:r>
      <w:r w:rsidRPr="001F63BA">
        <w:rPr>
          <w:rFonts w:ascii="GHEA Grapalat" w:hAnsi="GHEA Grapalat" w:cs="Sylfaen"/>
          <w:sz w:val="22"/>
          <w:szCs w:val="22"/>
        </w:rPr>
        <w:t xml:space="preserve"> </w:t>
      </w:r>
      <w:r w:rsidRPr="001F63BA">
        <w:rPr>
          <w:rFonts w:ascii="GHEA Grapalat" w:hAnsi="GHEA Grapalat" w:cs="GHEA Grapalat"/>
          <w:sz w:val="22"/>
          <w:szCs w:val="22"/>
        </w:rPr>
        <w:t>նշված</w:t>
      </w:r>
      <w:r w:rsidRPr="001F63BA">
        <w:rPr>
          <w:rFonts w:ascii="GHEA Grapalat" w:hAnsi="GHEA Grapalat" w:cs="Sylfaen"/>
          <w:sz w:val="22"/>
          <w:szCs w:val="22"/>
        </w:rPr>
        <w:t xml:space="preserve"> </w:t>
      </w:r>
      <w:r w:rsidRPr="001F63BA">
        <w:rPr>
          <w:rFonts w:ascii="GHEA Grapalat" w:hAnsi="GHEA Grapalat" w:cs="GHEA Grapalat"/>
          <w:sz w:val="22"/>
          <w:szCs w:val="22"/>
        </w:rPr>
        <w:t>ծախսերը</w:t>
      </w:r>
      <w:r w:rsidRPr="001F63BA">
        <w:rPr>
          <w:rFonts w:ascii="GHEA Grapalat" w:hAnsi="GHEA Grapalat" w:cs="Sylfaen"/>
          <w:sz w:val="22"/>
          <w:szCs w:val="22"/>
        </w:rPr>
        <w:t xml:space="preserve"> նվազել են 6.8%-ով՝ հիմնականում պայմանավորված </w:t>
      </w:r>
      <w:r w:rsidRPr="001F63BA">
        <w:rPr>
          <w:rFonts w:ascii="GHEA Grapalat" w:hAnsi="GHEA Grapalat" w:cs="Times Armenian"/>
          <w:sz w:val="22"/>
          <w:szCs w:val="22"/>
        </w:rPr>
        <w:t xml:space="preserve">ժամանակավոր անաշխատունակության </w:t>
      </w:r>
      <w:r w:rsidRPr="001F63BA">
        <w:rPr>
          <w:rFonts w:ascii="GHEA Grapalat" w:hAnsi="GHEA Grapalat" w:cs="Sylfaen"/>
          <w:sz w:val="22"/>
          <w:szCs w:val="22"/>
        </w:rPr>
        <w:t>օրերի թվ</w:t>
      </w:r>
      <w:r w:rsidRPr="001F63BA">
        <w:rPr>
          <w:rFonts w:ascii="GHEA Grapalat" w:hAnsi="GHEA Grapalat" w:cs="Sylfaen"/>
          <w:sz w:val="22"/>
          <w:szCs w:val="22"/>
          <w:lang w:val="en-US"/>
        </w:rPr>
        <w:t>ի նվազմամբ</w:t>
      </w:r>
      <w:r w:rsidRPr="001F63BA">
        <w:rPr>
          <w:rFonts w:ascii="GHEA Grapalat" w:hAnsi="GHEA Grapalat" w:cs="Sylfaen"/>
          <w:sz w:val="22"/>
          <w:szCs w:val="22"/>
        </w:rPr>
        <w:t>:</w:t>
      </w:r>
    </w:p>
    <w:p w:rsidR="001C411D" w:rsidRPr="001F63BA" w:rsidRDefault="001C411D" w:rsidP="00F362B5">
      <w:pPr>
        <w:autoSpaceDE w:val="0"/>
        <w:autoSpaceDN w:val="0"/>
        <w:adjustRightInd w:val="0"/>
        <w:spacing w:line="360" w:lineRule="auto"/>
        <w:ind w:firstLine="567"/>
        <w:jc w:val="both"/>
        <w:rPr>
          <w:rFonts w:ascii="GHEA Grapalat" w:hAnsi="GHEA Grapalat" w:cs="Arial"/>
          <w:sz w:val="22"/>
          <w:szCs w:val="22"/>
        </w:rPr>
      </w:pPr>
      <w:r w:rsidRPr="001F63BA">
        <w:rPr>
          <w:rFonts w:ascii="GHEA Grapalat" w:hAnsi="GHEA Grapalat" w:cs="Times Armenian"/>
          <w:sz w:val="22"/>
          <w:szCs w:val="22"/>
        </w:rPr>
        <w:t xml:space="preserve">2022 թվականի ընթացքում ՀՀ ԱՍՀՆ-ին հատկացված միջոցների գերակշիռ մասը՝ 411.9 մլրդ դրամ, տրամադրվել է </w:t>
      </w:r>
      <w:r w:rsidRPr="001F63BA">
        <w:rPr>
          <w:rFonts w:ascii="GHEA Grapalat" w:hAnsi="GHEA Grapalat" w:cs="Times Armenian"/>
          <w:i/>
          <w:sz w:val="22"/>
          <w:szCs w:val="22"/>
        </w:rPr>
        <w:t>Կենսաթոշակային ապահովության</w:t>
      </w:r>
      <w:r w:rsidRPr="001F63BA">
        <w:rPr>
          <w:rFonts w:ascii="GHEA Grapalat" w:hAnsi="GHEA Grapalat" w:cs="Times Armenian"/>
          <w:sz w:val="22"/>
          <w:szCs w:val="22"/>
        </w:rPr>
        <w:t xml:space="preserve"> ծրագրի ֆինանսավորմանը՝ կազմելով ծրագրված ցուցանիշի 99.9%-ը:</w:t>
      </w:r>
      <w:r w:rsidRPr="001F63BA">
        <w:rPr>
          <w:rFonts w:ascii="GHEA Grapalat" w:hAnsi="GHEA Grapalat" w:cs="Arial"/>
          <w:sz w:val="22"/>
          <w:szCs w:val="22"/>
        </w:rPr>
        <w:t xml:space="preserve"> </w:t>
      </w:r>
      <w:r w:rsidRPr="001F63BA">
        <w:rPr>
          <w:rFonts w:ascii="GHEA Grapalat" w:hAnsi="GHEA Grapalat" w:cs="Times Armenian"/>
          <w:sz w:val="22"/>
          <w:szCs w:val="22"/>
        </w:rPr>
        <w:t>Ծրագիրն ուղղվ</w:t>
      </w:r>
      <w:r w:rsidRPr="001F63BA">
        <w:rPr>
          <w:rFonts w:ascii="GHEA Grapalat" w:hAnsi="GHEA Grapalat" w:cs="Times Armenian"/>
          <w:sz w:val="22"/>
          <w:szCs w:val="22"/>
          <w:lang w:val="en-US"/>
        </w:rPr>
        <w:t>ել</w:t>
      </w:r>
      <w:r w:rsidRPr="001F63BA">
        <w:rPr>
          <w:rFonts w:ascii="GHEA Grapalat" w:hAnsi="GHEA Grapalat" w:cs="Times Armenian"/>
          <w:sz w:val="22"/>
          <w:szCs w:val="22"/>
        </w:rPr>
        <w:t xml:space="preserve"> է օրենքով սահմանված դեպքերում և կարգով պետական կենսաթոշակների տրամադրմանը, ինչպես նաև պետական բյուջեի միջոցների հաշվին օրենքով սահմանված դեպքերում պարտադիր կուտակային համակարգի մասնակցի օգտին մինչև նրա կենսաթոշակային տարիքը լրանալը կուտակային հատկացումների կատարման ապահովմանը:</w:t>
      </w:r>
      <w:r w:rsidRPr="001F63BA">
        <w:rPr>
          <w:rFonts w:ascii="GHEA Grapalat" w:hAnsi="GHEA Grapalat" w:cs="Arial"/>
          <w:sz w:val="22"/>
          <w:szCs w:val="22"/>
        </w:rPr>
        <w:t xml:space="preserve"> </w:t>
      </w:r>
      <w:r w:rsidRPr="001F63BA">
        <w:rPr>
          <w:rFonts w:ascii="GHEA Grapalat" w:hAnsi="GHEA Grapalat" w:cs="Sylfaen"/>
          <w:sz w:val="22"/>
          <w:szCs w:val="22"/>
        </w:rPr>
        <w:t xml:space="preserve">2021 թվականի </w:t>
      </w:r>
      <w:r w:rsidRPr="001F63BA">
        <w:rPr>
          <w:rFonts w:ascii="GHEA Grapalat" w:hAnsi="GHEA Grapalat" w:cs="Times Armenian"/>
          <w:sz w:val="22"/>
          <w:szCs w:val="22"/>
        </w:rPr>
        <w:t>համեմատ Կենսաթոշակային ապահովության ծրագրի ծախսերն աճել են 9.1%</w:t>
      </w:r>
      <w:r w:rsidRPr="001F63BA">
        <w:rPr>
          <w:rFonts w:ascii="GHEA Grapalat" w:hAnsi="GHEA Grapalat" w:cs="Times Armenian"/>
          <w:sz w:val="22"/>
          <w:szCs w:val="22"/>
        </w:rPr>
        <w:noBreakHyphen/>
        <w:t xml:space="preserve">ով կամ 34.4 մլրդ դրամով, որը հիմնականում պայմանավորված է կուտակային կենսաթոշակային </w:t>
      </w:r>
      <w:r w:rsidRPr="001F63BA">
        <w:rPr>
          <w:rFonts w:ascii="GHEA Grapalat" w:hAnsi="GHEA Grapalat"/>
          <w:sz w:val="22"/>
          <w:szCs w:val="22"/>
        </w:rPr>
        <w:t>համակարգի</w:t>
      </w:r>
      <w:r w:rsidRPr="001F63BA">
        <w:rPr>
          <w:rFonts w:ascii="GHEA Grapalat" w:hAnsi="GHEA Grapalat" w:cs="Times Armenian"/>
          <w:sz w:val="22"/>
          <w:szCs w:val="22"/>
        </w:rPr>
        <w:t xml:space="preserve"> մասնակիցների կենսաթոշակային հաշիվներին հատկացումների և աշխատանքային կենսաթոշակների գծով ծախսերի աճով: </w:t>
      </w:r>
    </w:p>
    <w:p w:rsidR="001C411D" w:rsidRPr="001F63BA" w:rsidRDefault="001C411D" w:rsidP="009E7689">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Times Armenian"/>
          <w:sz w:val="22"/>
          <w:szCs w:val="22"/>
        </w:rPr>
        <w:t xml:space="preserve">Կենսաթոշակային ապահովության ծրագրի միջոցների գերակշիռ մասը հատկացվել է աշխատանքային կենսաթոշակներին: Հաշվետու ժամանակահատվածում կենսաթոշակառուների թիվը կազմել է 443544՝ կանխատեսված 458305-ի դիմաց և նախորդ տարվա 439226-ի դիմաց: Կենսաթոշակառուների փաստացի թվի շեղումը կանխատեսվածի նկատմամբ հիմնականում պայմանավորված է կենսաթոշակի իրավունք ձեռք բերած կենսաթոշակառուների՝ հանրապետությունից բացակայելու հանգամանքով: Աշխատանքային կենսաթոշակներին </w:t>
      </w:r>
      <w:r w:rsidRPr="001F63BA">
        <w:rPr>
          <w:rFonts w:ascii="GHEA Grapalat" w:hAnsi="GHEA Grapalat" w:cs="Times Armenian"/>
          <w:sz w:val="22"/>
          <w:szCs w:val="22"/>
        </w:rPr>
        <w:lastRenderedPageBreak/>
        <w:t>հատկացված միջոցները</w:t>
      </w:r>
      <w:r w:rsidRPr="001F63BA">
        <w:rPr>
          <w:rFonts w:ascii="GHEA Grapalat" w:hAnsi="GHEA Grapalat" w:cs="Times Armenian"/>
          <w:sz w:val="22"/>
          <w:szCs w:val="22"/>
          <w:lang w:val="en-US"/>
        </w:rPr>
        <w:t xml:space="preserve"> գրեթե</w:t>
      </w:r>
      <w:r w:rsidRPr="001F63BA">
        <w:rPr>
          <w:rFonts w:ascii="GHEA Grapalat" w:hAnsi="GHEA Grapalat" w:cs="Times Armenian"/>
          <w:sz w:val="22"/>
          <w:szCs w:val="22"/>
        </w:rPr>
        <w:t xml:space="preserve"> ամբողջությամբ օգտագործվել են՝ կազմելով ավելի քան 251.4 մլրդ դրամ: Նախորդ տարվա համեմատ աշխատանքային կենսաթոշակների գծով ծախսերն աճել են 5.4%-ով կամ 12.8 մլրդ դրամով, որը հիմնականում պայմանավորված է </w:t>
      </w:r>
      <w:r w:rsidRPr="001F63BA">
        <w:rPr>
          <w:rFonts w:ascii="GHEA Grapalat" w:hAnsi="GHEA Grapalat" w:cs="Times Armenian"/>
          <w:sz w:val="22"/>
          <w:szCs w:val="22"/>
          <w:lang w:val="en-US"/>
        </w:rPr>
        <w:t xml:space="preserve">2022 թվականի սեպտեմբերի 1-ից </w:t>
      </w:r>
      <w:r w:rsidRPr="001F63BA">
        <w:rPr>
          <w:rFonts w:ascii="GHEA Grapalat" w:hAnsi="GHEA Grapalat"/>
          <w:sz w:val="22"/>
          <w:szCs w:val="22"/>
          <w:lang w:val="en-US"/>
        </w:rPr>
        <w:t>աշխատանքային կենսաթոշակի չափը հաշվարկելու համար հիմնական կենսաթոշակի չափի բարձրացմամբ 18000 դրամից 21000 դրամ</w:t>
      </w:r>
      <w:r w:rsidRPr="001F63BA">
        <w:rPr>
          <w:rFonts w:ascii="GHEA Grapalat" w:hAnsi="GHEA Grapalat" w:cs="Times Armenian"/>
          <w:sz w:val="22"/>
          <w:szCs w:val="22"/>
        </w:rPr>
        <w:t>, ինչպես նաև կենսաթոշակառուների թվի աճով:</w:t>
      </w:r>
    </w:p>
    <w:p w:rsidR="001C411D" w:rsidRPr="001F63BA" w:rsidRDefault="001C411D" w:rsidP="00F362B5">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lang w:val="en-US"/>
        </w:rPr>
        <w:t>2022 թվականին</w:t>
      </w:r>
      <w:r w:rsidRPr="001F63BA">
        <w:rPr>
          <w:rFonts w:ascii="GHEA Grapalat" w:hAnsi="GHEA Grapalat" w:cs="Times Armenian"/>
          <w:sz w:val="22"/>
          <w:szCs w:val="22"/>
        </w:rPr>
        <w:t xml:space="preserve"> կուտակային կենսաթոշակային համակարգի մասնակիցների թիվը կազմել է 456529՝ կանխատեսված 377282-ի և նախորդ տարվա 408656-ի դիմաց: Կուտակային հատկացումները մասնակիցների կենսաթոշակային հաշիվներին կազմել են ավելի քան 118.7 մլրդ դրամ կամ ծրագրված ցուցանիշի 99.8%-ը:</w:t>
      </w:r>
      <w:r w:rsidRPr="001F63BA">
        <w:rPr>
          <w:rFonts w:ascii="GHEA Grapalat" w:hAnsi="GHEA Grapalat"/>
        </w:rPr>
        <w:t xml:space="preserve"> </w:t>
      </w:r>
      <w:r w:rsidRPr="001F63BA">
        <w:rPr>
          <w:rFonts w:ascii="GHEA Grapalat" w:hAnsi="GHEA Grapalat" w:cs="Times Armenian"/>
          <w:sz w:val="22"/>
          <w:szCs w:val="22"/>
        </w:rPr>
        <w:t xml:space="preserve">Նախորդ տարվա համեմատ նշված ծախսերն աճել են 16.8%-ով կամ 17.1 մլրդ դրամով՝ պայմանավորված մասնակիցների թվի աճով: </w:t>
      </w:r>
    </w:p>
    <w:p w:rsidR="001C411D" w:rsidRPr="001F63BA" w:rsidRDefault="001C411D" w:rsidP="00F362B5">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rPr>
        <w:t>Հաշվետու ժամանակահատվածում սպայական անձնակազմի և նրանց ընտանիքների անդամների կենսաթոշակների միջոցառման շրջանակներում կենսաթոշակ է ստացել 34809 անձ՝ կանխատեսված 35884-ի և նախորդ տարվա 32036-ի դիմաց:</w:t>
      </w:r>
      <w:r w:rsidRPr="001F63BA">
        <w:rPr>
          <w:rFonts w:ascii="GHEA Grapalat" w:hAnsi="GHEA Grapalat" w:cs="Sylfaen"/>
          <w:sz w:val="22"/>
          <w:szCs w:val="22"/>
        </w:rPr>
        <w:t xml:space="preserve"> </w:t>
      </w:r>
      <w:r w:rsidRPr="001F63BA">
        <w:rPr>
          <w:rFonts w:ascii="GHEA Grapalat" w:hAnsi="GHEA Grapalat" w:cs="Times Armenian"/>
          <w:sz w:val="22"/>
          <w:szCs w:val="22"/>
        </w:rPr>
        <w:t xml:space="preserve">Ցածր ցուցանիշը կանխատեսվածի նկատմամբ պայմանավորված է կենսաթոշակի իրավունք ձեռք բերած </w:t>
      </w:r>
      <w:r w:rsidRPr="001F63BA">
        <w:rPr>
          <w:rFonts w:ascii="GHEA Grapalat" w:hAnsi="GHEA Grapalat" w:cs="Times Armenian"/>
          <w:sz w:val="22"/>
          <w:szCs w:val="22"/>
          <w:lang w:val="en-US"/>
        </w:rPr>
        <w:t>կենսաթոշակառուների թվի համեմատ փ</w:t>
      </w:r>
      <w:r w:rsidRPr="001F63BA">
        <w:rPr>
          <w:rFonts w:ascii="GHEA Grapalat" w:hAnsi="GHEA Grapalat" w:cs="Times Armenian"/>
          <w:sz w:val="22"/>
          <w:szCs w:val="22"/>
        </w:rPr>
        <w:t xml:space="preserve">աստացի կենսաթոշակ ստացած կենսաթոշակառուների </w:t>
      </w:r>
      <w:r w:rsidRPr="001F63BA">
        <w:rPr>
          <w:rFonts w:ascii="GHEA Grapalat" w:hAnsi="GHEA Grapalat" w:cs="Times Armenian"/>
          <w:sz w:val="22"/>
          <w:szCs w:val="22"/>
          <w:lang w:val="en-US"/>
        </w:rPr>
        <w:t xml:space="preserve">ավելի փոքր </w:t>
      </w:r>
      <w:r w:rsidRPr="001F63BA">
        <w:rPr>
          <w:rFonts w:ascii="GHEA Grapalat" w:hAnsi="GHEA Grapalat" w:cs="Times Armenian"/>
          <w:sz w:val="22"/>
          <w:szCs w:val="22"/>
        </w:rPr>
        <w:t>թվ</w:t>
      </w:r>
      <w:r w:rsidRPr="001F63BA">
        <w:rPr>
          <w:rFonts w:ascii="GHEA Grapalat" w:hAnsi="GHEA Grapalat" w:cs="Times Armenian"/>
          <w:sz w:val="22"/>
          <w:szCs w:val="22"/>
          <w:lang w:val="en-US"/>
        </w:rPr>
        <w:t>ով</w:t>
      </w:r>
      <w:r w:rsidRPr="001F63BA">
        <w:rPr>
          <w:rFonts w:ascii="GHEA Grapalat" w:hAnsi="GHEA Grapalat" w:cs="Times Armenian"/>
          <w:sz w:val="22"/>
          <w:szCs w:val="22"/>
        </w:rPr>
        <w:t xml:space="preserve">: Միջոցառման </w:t>
      </w:r>
      <w:r w:rsidRPr="001F63BA">
        <w:rPr>
          <w:rFonts w:ascii="GHEA Grapalat" w:hAnsi="GHEA Grapalat" w:cs="GHEA Grapalat"/>
          <w:sz w:val="22"/>
          <w:szCs w:val="22"/>
        </w:rPr>
        <w:t xml:space="preserve">ծախսերը </w:t>
      </w:r>
      <w:r w:rsidRPr="001F63BA">
        <w:rPr>
          <w:rFonts w:ascii="GHEA Grapalat" w:hAnsi="GHEA Grapalat" w:cs="Times Armenian"/>
          <w:sz w:val="22"/>
          <w:szCs w:val="22"/>
        </w:rPr>
        <w:t>կազմել են շուրջ 36.9 մլրդ դրամ կամ ծրագրված ցուցանիշի 99.9%-ը և</w:t>
      </w:r>
      <w:r w:rsidRPr="001F63BA">
        <w:rPr>
          <w:rFonts w:ascii="GHEA Grapalat" w:hAnsi="GHEA Grapalat" w:cs="Times Armenian"/>
          <w:sz w:val="22"/>
          <w:szCs w:val="22"/>
          <w:lang w:val="en-US"/>
        </w:rPr>
        <w:t xml:space="preserve"> </w:t>
      </w:r>
      <w:r w:rsidRPr="001F63BA">
        <w:rPr>
          <w:rFonts w:ascii="GHEA Grapalat" w:hAnsi="GHEA Grapalat" w:cs="Times Armenian"/>
          <w:sz w:val="22"/>
          <w:szCs w:val="22"/>
        </w:rPr>
        <w:t>13.1%</w:t>
      </w:r>
      <w:r w:rsidRPr="001F63BA">
        <w:rPr>
          <w:rFonts w:ascii="GHEA Grapalat" w:hAnsi="GHEA Grapalat" w:cs="Times Armenian"/>
          <w:sz w:val="22"/>
          <w:szCs w:val="22"/>
        </w:rPr>
        <w:noBreakHyphen/>
        <w:t>ով կամ 4.3</w:t>
      </w:r>
      <w:r w:rsidRPr="001F63BA">
        <w:rPr>
          <w:rFonts w:ascii="Courier New" w:hAnsi="Courier New" w:cs="Courier New"/>
          <w:sz w:val="22"/>
          <w:szCs w:val="22"/>
          <w:lang w:val="en-US"/>
        </w:rPr>
        <w:t> </w:t>
      </w:r>
      <w:r w:rsidRPr="001F63BA">
        <w:rPr>
          <w:rFonts w:ascii="GHEA Grapalat" w:hAnsi="GHEA Grapalat" w:cs="Times Armenian"/>
          <w:sz w:val="22"/>
          <w:szCs w:val="22"/>
        </w:rPr>
        <w:t>մլրդ դրամով</w:t>
      </w:r>
      <w:r w:rsidRPr="001F63BA">
        <w:rPr>
          <w:rFonts w:ascii="GHEA Grapalat" w:hAnsi="GHEA Grapalat" w:cs="Times Armenian"/>
          <w:sz w:val="22"/>
          <w:szCs w:val="22"/>
          <w:lang w:val="en-US"/>
        </w:rPr>
        <w:t xml:space="preserve"> գերազանցելով</w:t>
      </w:r>
      <w:r w:rsidRPr="001F63BA">
        <w:rPr>
          <w:rFonts w:ascii="GHEA Grapalat" w:hAnsi="GHEA Grapalat"/>
        </w:rPr>
        <w:t xml:space="preserve"> </w:t>
      </w:r>
      <w:r w:rsidRPr="001F63BA">
        <w:rPr>
          <w:rFonts w:ascii="GHEA Grapalat" w:hAnsi="GHEA Grapalat" w:cs="Sylfaen"/>
          <w:sz w:val="22"/>
          <w:szCs w:val="22"/>
        </w:rPr>
        <w:t xml:space="preserve">2021 թվականի </w:t>
      </w:r>
      <w:r w:rsidRPr="001F63BA">
        <w:rPr>
          <w:rFonts w:ascii="GHEA Grapalat" w:hAnsi="GHEA Grapalat" w:cs="Times Armenian"/>
          <w:sz w:val="22"/>
          <w:szCs w:val="22"/>
          <w:lang w:val="en-US"/>
        </w:rPr>
        <w:t>ցուցանիշը</w:t>
      </w:r>
      <w:r w:rsidRPr="001F63BA">
        <w:rPr>
          <w:rFonts w:ascii="GHEA Grapalat" w:hAnsi="GHEA Grapalat" w:cs="Times Armenian"/>
          <w:sz w:val="22"/>
          <w:szCs w:val="22"/>
        </w:rPr>
        <w:t>, որը պայմանավորված է կենսաթոշակների չափի ավելացմամբ, ինչպես նաև կենսաթոշակառուների թվի աճով:</w:t>
      </w:r>
    </w:p>
    <w:p w:rsidR="001C411D" w:rsidRPr="001F63BA" w:rsidRDefault="001C411D" w:rsidP="00F362B5">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Times Armenian"/>
          <w:i/>
          <w:sz w:val="22"/>
          <w:szCs w:val="22"/>
        </w:rPr>
        <w:t>Սոցիալական ապահովության</w:t>
      </w:r>
      <w:r w:rsidRPr="001F63BA">
        <w:rPr>
          <w:rFonts w:ascii="GHEA Grapalat" w:hAnsi="GHEA Grapalat" w:cs="Times Armenian"/>
          <w:sz w:val="22"/>
          <w:szCs w:val="22"/>
        </w:rPr>
        <w:t xml:space="preserve"> ծրագրի շրջանակներում 2022 թվականի ընթացքում օգտագործվել է նախատեսված միջոցների 98.7%-ը՝ շուրջ 73.9 մլրդ դրամ: Շեղումը հիմնականում արձանագրվել է «</w:t>
      </w:r>
      <w:r w:rsidRPr="001F63BA">
        <w:rPr>
          <w:rFonts w:ascii="GHEA Grapalat" w:hAnsi="GHEA Grapalat"/>
          <w:sz w:val="22"/>
          <w:szCs w:val="22"/>
        </w:rPr>
        <w:t>Հայաստանի Հանրապետության պաշտպանության ժամանակ զինծառայողների կյանքին կամ առողջությանը պատճառված վնասների հատուցում» և «Կ</w:t>
      </w:r>
      <w:r w:rsidRPr="001F63BA">
        <w:rPr>
          <w:rFonts w:ascii="GHEA Grapalat" w:hAnsi="GHEA Grapalat" w:cs="Times Armenian"/>
          <w:sz w:val="22"/>
          <w:szCs w:val="22"/>
        </w:rPr>
        <w:t xml:space="preserve">ենսաթոշակ, ծերության նպաստ, կերակրողին կորցնելու դեպքում նպաստ կամ հաշմանդամության նպաստ ստանալու իրավունք ունեցող անձանց մահվան դեպքում տրվող թաղման նպաստ» </w:t>
      </w:r>
      <w:r w:rsidRPr="001F63BA">
        <w:rPr>
          <w:rFonts w:ascii="GHEA Grapalat" w:hAnsi="GHEA Grapalat"/>
          <w:sz w:val="22"/>
          <w:szCs w:val="22"/>
        </w:rPr>
        <w:t xml:space="preserve">միջոցառումների ծախսերում: </w:t>
      </w:r>
      <w:r w:rsidRPr="001F63BA">
        <w:rPr>
          <w:rFonts w:ascii="GHEA Grapalat" w:hAnsi="GHEA Grapalat" w:cs="Sylfaen"/>
          <w:sz w:val="22"/>
          <w:szCs w:val="22"/>
        </w:rPr>
        <w:t>Նախորդ տարվա համեմատ Սոցիալական ապահովության ծրագրի ծախսերը նվազել են 40.9</w:t>
      </w:r>
      <w:r w:rsidRPr="001F63BA">
        <w:rPr>
          <w:rFonts w:ascii="GHEA Grapalat" w:hAnsi="GHEA Grapalat"/>
          <w:sz w:val="22"/>
          <w:szCs w:val="22"/>
        </w:rPr>
        <w:t>%-ով</w:t>
      </w:r>
      <w:r w:rsidRPr="001F63BA">
        <w:rPr>
          <w:rFonts w:ascii="GHEA Grapalat" w:hAnsi="GHEA Grapalat" w:cs="Sylfaen"/>
          <w:sz w:val="22"/>
          <w:szCs w:val="22"/>
        </w:rPr>
        <w:t xml:space="preserve"> կամ 51.1 մլրդ դրամով՝ հիմնականում պայմանավորված Ադրբեջանի կողմից</w:t>
      </w:r>
      <w:r w:rsidRPr="001F63BA">
        <w:rPr>
          <w:rFonts w:ascii="GHEA Grapalat" w:hAnsi="GHEA Grapalat"/>
          <w:sz w:val="22"/>
          <w:szCs w:val="22"/>
        </w:rPr>
        <w:t xml:space="preserve"> Արցախի դեմ սանձազերծված պատերազմի հետևանքների մեղմման նպատակով </w:t>
      </w:r>
      <w:r w:rsidRPr="001F63BA">
        <w:rPr>
          <w:rFonts w:ascii="GHEA Grapalat" w:hAnsi="GHEA Grapalat" w:cs="Sylfaen"/>
          <w:sz w:val="22"/>
          <w:szCs w:val="22"/>
        </w:rPr>
        <w:t xml:space="preserve">2021 թվականին զգալի միջոցների </w:t>
      </w:r>
      <w:r w:rsidRPr="001F63BA">
        <w:rPr>
          <w:rFonts w:ascii="GHEA Grapalat" w:hAnsi="GHEA Grapalat"/>
          <w:sz w:val="22"/>
          <w:szCs w:val="22"/>
        </w:rPr>
        <w:t>հատկացմամբ:</w:t>
      </w:r>
    </w:p>
    <w:p w:rsidR="001C411D" w:rsidRPr="001F63BA" w:rsidRDefault="001C411D" w:rsidP="00F362B5">
      <w:pPr>
        <w:spacing w:line="360" w:lineRule="auto"/>
        <w:ind w:firstLine="720"/>
        <w:jc w:val="both"/>
        <w:rPr>
          <w:rFonts w:ascii="GHEA Grapalat" w:hAnsi="GHEA Grapalat" w:cs="Cambria Math"/>
          <w:sz w:val="22"/>
          <w:szCs w:val="22"/>
          <w:lang w:val="af-ZA"/>
        </w:rPr>
      </w:pPr>
      <w:r w:rsidRPr="001F63BA">
        <w:rPr>
          <w:rFonts w:ascii="GHEA Grapalat" w:hAnsi="GHEA Grapalat"/>
          <w:sz w:val="22"/>
          <w:szCs w:val="22"/>
        </w:rPr>
        <w:t xml:space="preserve">Հայաստանի Հանրապետության պաշտպանության ժամանակ զինծառայողների կյանքին կամ առողջությանը պատճառված վնասների հատուցման ծախսերը </w:t>
      </w:r>
      <w:r w:rsidRPr="001F63BA">
        <w:rPr>
          <w:rFonts w:ascii="GHEA Grapalat" w:hAnsi="GHEA Grapalat" w:cs="Times Armenian"/>
          <w:sz w:val="22"/>
          <w:szCs w:val="22"/>
        </w:rPr>
        <w:t xml:space="preserve">կազմել </w:t>
      </w:r>
      <w:r w:rsidRPr="001F63BA">
        <w:rPr>
          <w:rFonts w:ascii="GHEA Grapalat" w:hAnsi="GHEA Grapalat" w:cs="Times Armenian"/>
          <w:sz w:val="22"/>
          <w:szCs w:val="22"/>
          <w:lang w:val="en-US"/>
        </w:rPr>
        <w:t>են</w:t>
      </w:r>
      <w:r w:rsidRPr="001F63BA">
        <w:rPr>
          <w:rFonts w:ascii="GHEA Grapalat" w:hAnsi="GHEA Grapalat" w:cs="Times Armenian"/>
          <w:sz w:val="22"/>
          <w:szCs w:val="22"/>
        </w:rPr>
        <w:t xml:space="preserve"> շուրջ 34 մլրդ դրամ կամ ծրագրված ցուցանիշի 97.8%-ը</w:t>
      </w:r>
      <w:r w:rsidRPr="001F63BA">
        <w:rPr>
          <w:rFonts w:ascii="GHEA Grapalat" w:hAnsi="GHEA Grapalat" w:cs="Times Armenian"/>
          <w:sz w:val="22"/>
          <w:szCs w:val="22"/>
          <w:lang w:val="en-US"/>
        </w:rPr>
        <w:t>: Նախորդ տարվա համեմատ դրանք աճել են</w:t>
      </w:r>
      <w:r w:rsidRPr="001F63BA">
        <w:rPr>
          <w:rFonts w:ascii="GHEA Grapalat" w:hAnsi="GHEA Grapalat" w:cs="Cambria Math"/>
          <w:sz w:val="22"/>
          <w:szCs w:val="22"/>
          <w:lang w:val="af-ZA"/>
        </w:rPr>
        <w:t xml:space="preserve"> 21.7%-ով կամ 6.1</w:t>
      </w:r>
      <w:r w:rsidRPr="001F63BA">
        <w:rPr>
          <w:rFonts w:ascii="Courier New" w:hAnsi="Courier New" w:cs="Courier New"/>
          <w:sz w:val="22"/>
          <w:szCs w:val="22"/>
          <w:lang w:val="af-ZA"/>
        </w:rPr>
        <w:t> </w:t>
      </w:r>
      <w:r w:rsidRPr="001F63BA">
        <w:rPr>
          <w:rFonts w:ascii="GHEA Grapalat" w:hAnsi="GHEA Grapalat" w:cs="Cambria Math"/>
          <w:sz w:val="22"/>
          <w:szCs w:val="22"/>
          <w:lang w:val="af-ZA"/>
        </w:rPr>
        <w:t>մլրդ դրամով:</w:t>
      </w:r>
    </w:p>
    <w:p w:rsidR="001C411D" w:rsidRPr="001F63BA" w:rsidRDefault="001C411D" w:rsidP="00F362B5">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rPr>
        <w:lastRenderedPageBreak/>
        <w:t xml:space="preserve">Հաշվետու տարում կենսաթոշակ, ծերության նպաստ, կերակրողին կորցնելու դեպքում նպաստ կամ հաշմանդամության նպաստ ստանալու իրավունք ունեցող անձանց մահվան դեպքում տրվող թաղման նպաստ է տրամադրվել 22730 անձի՝ կանխատեսված 23412-ի և </w:t>
      </w:r>
      <w:r w:rsidRPr="001F63BA">
        <w:rPr>
          <w:rFonts w:ascii="GHEA Grapalat" w:hAnsi="GHEA Grapalat" w:cs="Cambria Math"/>
          <w:sz w:val="22"/>
          <w:szCs w:val="22"/>
          <w:lang w:val="af-ZA"/>
        </w:rPr>
        <w:t>նախորդ տարվա</w:t>
      </w:r>
      <w:r w:rsidRPr="001F63BA">
        <w:rPr>
          <w:rFonts w:ascii="GHEA Grapalat" w:hAnsi="GHEA Grapalat" w:cs="Times Armenian"/>
          <w:sz w:val="22"/>
          <w:szCs w:val="22"/>
        </w:rPr>
        <w:t xml:space="preserve"> 29115-ի դիմաց: Նշված հատուցման նպատակով օգտագործվել է </w:t>
      </w:r>
      <w:r w:rsidRPr="001F63BA">
        <w:rPr>
          <w:rFonts w:ascii="GHEA Grapalat" w:hAnsi="GHEA Grapalat" w:cs="Times Armenian"/>
          <w:sz w:val="22"/>
          <w:szCs w:val="22"/>
          <w:lang w:val="en-US"/>
        </w:rPr>
        <w:t>ավելի</w:t>
      </w:r>
      <w:r w:rsidRPr="001F63BA">
        <w:rPr>
          <w:rFonts w:ascii="GHEA Grapalat" w:hAnsi="GHEA Grapalat" w:cs="Times Armenian"/>
          <w:sz w:val="22"/>
          <w:szCs w:val="22"/>
          <w:lang w:val="af-ZA"/>
        </w:rPr>
        <w:t xml:space="preserve"> </w:t>
      </w:r>
      <w:r w:rsidRPr="001F63BA">
        <w:rPr>
          <w:rFonts w:ascii="GHEA Grapalat" w:hAnsi="GHEA Grapalat" w:cs="Times Armenian"/>
          <w:sz w:val="22"/>
          <w:szCs w:val="22"/>
          <w:lang w:val="en-US"/>
        </w:rPr>
        <w:t>քան</w:t>
      </w:r>
      <w:r w:rsidRPr="001F63BA">
        <w:rPr>
          <w:rFonts w:ascii="GHEA Grapalat" w:hAnsi="GHEA Grapalat" w:cs="Times Armenian"/>
          <w:sz w:val="22"/>
          <w:szCs w:val="22"/>
        </w:rPr>
        <w:t xml:space="preserve"> 4.5 մլրդ դրամ կամ նախատեսված միջոցների 96.9%-ը՝ պայմանավորված շահառուների փաստացի թվով: Նախորդ տարվա համեմատ նշված ծախսերը նվազել են 22%-ով կամ 1.3 մլրդ դրամով՝ պայմանավորված շահառուների թվի նվազմամբ:</w:t>
      </w:r>
    </w:p>
    <w:p w:rsidR="001C411D" w:rsidRPr="001F63BA" w:rsidRDefault="001C411D" w:rsidP="00F362B5">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rPr>
        <w:t>Հաշվետու տարում ծերության, հաշմանդամության, կերակրողին կորցնելու դեպքում նպաստներ են տրամադրվել 82780 նպաստառուների՝ կանխատեսված 88809-ի և նախորդ տարվա 76626-ի դիմաց</w:t>
      </w:r>
      <w:r w:rsidRPr="001F63BA">
        <w:rPr>
          <w:rFonts w:ascii="GHEA Grapalat" w:hAnsi="GHEA Grapalat" w:cs="Times Armenian"/>
          <w:sz w:val="22"/>
          <w:szCs w:val="22"/>
          <w:lang w:val="en-US"/>
        </w:rPr>
        <w:t>: Շեղում</w:t>
      </w:r>
      <w:r w:rsidRPr="001F63BA">
        <w:rPr>
          <w:rFonts w:ascii="GHEA Grapalat" w:hAnsi="GHEA Grapalat" w:cs="Times Armenian"/>
          <w:sz w:val="22"/>
          <w:szCs w:val="22"/>
        </w:rPr>
        <w:t xml:space="preserve">ը պայմանավորված է փաստացի պահանջով: Միջոցառման շրջանակներում </w:t>
      </w:r>
      <w:r w:rsidRPr="001F63BA">
        <w:rPr>
          <w:rFonts w:ascii="GHEA Grapalat" w:hAnsi="GHEA Grapalat"/>
          <w:sz w:val="22"/>
          <w:szCs w:val="22"/>
        </w:rPr>
        <w:t>նախատեսված միջոցներն ամբողջությամբ օգտագործվել են՝ կազմելով 33.3</w:t>
      </w:r>
      <w:r w:rsidRPr="001F63BA">
        <w:rPr>
          <w:rFonts w:ascii="GHEA Grapalat" w:hAnsi="GHEA Grapalat" w:cs="Cambria Math"/>
          <w:sz w:val="22"/>
          <w:szCs w:val="22"/>
          <w:lang w:val="af-ZA"/>
        </w:rPr>
        <w:t xml:space="preserve"> մլրդ դրամ և 26.8%-ով (7 մլրդ դրամով) գերազանցելով նախորդ տարվա ծախսերը</w:t>
      </w:r>
      <w:r w:rsidRPr="001F63BA">
        <w:rPr>
          <w:rFonts w:ascii="GHEA Grapalat" w:hAnsi="GHEA Grapalat" w:cs="Times Armenian"/>
          <w:sz w:val="22"/>
          <w:szCs w:val="22"/>
        </w:rPr>
        <w:t xml:space="preserve">, որը պայմանավորված է </w:t>
      </w:r>
      <w:r w:rsidRPr="001F63BA">
        <w:rPr>
          <w:rFonts w:ascii="GHEA Grapalat" w:hAnsi="GHEA Grapalat" w:cs="Times Armenian"/>
          <w:sz w:val="22"/>
          <w:szCs w:val="22"/>
          <w:lang w:val="en-US"/>
        </w:rPr>
        <w:t>նպաստների</w:t>
      </w:r>
      <w:r w:rsidRPr="001F63BA">
        <w:rPr>
          <w:rFonts w:ascii="GHEA Grapalat" w:hAnsi="GHEA Grapalat" w:cs="Times Armenian"/>
          <w:sz w:val="22"/>
          <w:szCs w:val="22"/>
        </w:rPr>
        <w:t xml:space="preserve"> չափ</w:t>
      </w:r>
      <w:r w:rsidRPr="001F63BA">
        <w:rPr>
          <w:rFonts w:ascii="GHEA Grapalat" w:hAnsi="GHEA Grapalat" w:cs="Times Armenian"/>
          <w:sz w:val="22"/>
          <w:szCs w:val="22"/>
          <w:lang w:val="en-US"/>
        </w:rPr>
        <w:t>եր</w:t>
      </w:r>
      <w:r w:rsidRPr="001F63BA">
        <w:rPr>
          <w:rFonts w:ascii="GHEA Grapalat" w:hAnsi="GHEA Grapalat" w:cs="Times Armenian"/>
          <w:sz w:val="22"/>
          <w:szCs w:val="22"/>
        </w:rPr>
        <w:t>ի ավելացմամբ և շահառուների թվի աճով:</w:t>
      </w:r>
    </w:p>
    <w:p w:rsidR="001C411D" w:rsidRPr="001F63BA" w:rsidRDefault="001C411D" w:rsidP="00F362B5">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cs="Sylfaen"/>
          <w:sz w:val="22"/>
          <w:szCs w:val="22"/>
        </w:rPr>
        <w:t xml:space="preserve">ՀՀ </w:t>
      </w:r>
      <w:r w:rsidRPr="001F63BA">
        <w:rPr>
          <w:rFonts w:ascii="GHEA Grapalat" w:hAnsi="GHEA Grapalat"/>
          <w:sz w:val="22"/>
          <w:szCs w:val="22"/>
        </w:rPr>
        <w:t>ԱՍՀՆ-ի</w:t>
      </w:r>
      <w:r w:rsidRPr="001F63BA">
        <w:rPr>
          <w:rFonts w:ascii="GHEA Grapalat" w:hAnsi="GHEA Grapalat" w:cs="Sylfaen"/>
          <w:sz w:val="22"/>
          <w:szCs w:val="22"/>
        </w:rPr>
        <w:t xml:space="preserve"> կողմից իրականացվող այլ ծրագրերի շրջանակներում</w:t>
      </w:r>
      <w:r w:rsidRPr="001F63BA">
        <w:rPr>
          <w:rFonts w:ascii="GHEA Grapalat" w:hAnsi="GHEA Grapalat"/>
          <w:sz w:val="22"/>
          <w:szCs w:val="22"/>
        </w:rPr>
        <w:t xml:space="preserve"> հաշվետու տարում </w:t>
      </w:r>
      <w:r w:rsidRPr="001F63BA">
        <w:rPr>
          <w:rFonts w:ascii="GHEA Grapalat" w:hAnsi="GHEA Grapalat"/>
          <w:i/>
          <w:sz w:val="22"/>
          <w:szCs w:val="22"/>
        </w:rPr>
        <w:t>Պարգևավճարների և պատվովճարների</w:t>
      </w:r>
      <w:r w:rsidRPr="001F63BA">
        <w:rPr>
          <w:rFonts w:ascii="GHEA Grapalat" w:hAnsi="GHEA Grapalat"/>
          <w:sz w:val="22"/>
          <w:szCs w:val="22"/>
        </w:rPr>
        <w:t xml:space="preserve"> ծրագրի</w:t>
      </w:r>
      <w:r w:rsidRPr="001F63BA">
        <w:rPr>
          <w:rFonts w:ascii="GHEA Grapalat" w:hAnsi="GHEA Grapalat" w:cs="Arial"/>
          <w:sz w:val="22"/>
          <w:szCs w:val="22"/>
        </w:rPr>
        <w:t xml:space="preserve"> ֆինանսավորմանը </w:t>
      </w:r>
      <w:r w:rsidRPr="001F63BA">
        <w:rPr>
          <w:rFonts w:ascii="GHEA Grapalat" w:hAnsi="GHEA Grapalat"/>
          <w:sz w:val="22"/>
          <w:szCs w:val="22"/>
        </w:rPr>
        <w:t>տրամադրվել է</w:t>
      </w:r>
      <w:r w:rsidRPr="001F63BA">
        <w:rPr>
          <w:rFonts w:ascii="GHEA Grapalat" w:hAnsi="GHEA Grapalat" w:cs="Arial"/>
          <w:sz w:val="22"/>
          <w:szCs w:val="22"/>
        </w:rPr>
        <w:t xml:space="preserve"> 11.3 մլրդ դրամ, որը կազմել</w:t>
      </w:r>
      <w:r w:rsidRPr="001F63BA">
        <w:rPr>
          <w:rFonts w:ascii="GHEA Grapalat" w:hAnsi="GHEA Grapalat"/>
          <w:sz w:val="22"/>
          <w:szCs w:val="22"/>
        </w:rPr>
        <w:t xml:space="preserve"> է </w:t>
      </w:r>
      <w:r w:rsidRPr="001F63BA">
        <w:rPr>
          <w:rFonts w:ascii="GHEA Grapalat" w:hAnsi="GHEA Grapalat" w:cs="Arial"/>
          <w:sz w:val="22"/>
          <w:szCs w:val="22"/>
        </w:rPr>
        <w:t>ծրագրված ցուցանիշի</w:t>
      </w:r>
      <w:r w:rsidRPr="001F63BA">
        <w:rPr>
          <w:rFonts w:ascii="GHEA Grapalat" w:hAnsi="GHEA Grapalat"/>
          <w:sz w:val="22"/>
          <w:szCs w:val="22"/>
        </w:rPr>
        <w:t xml:space="preserve"> 99.8%</w:t>
      </w:r>
      <w:r w:rsidRPr="001F63BA">
        <w:rPr>
          <w:rFonts w:ascii="GHEA Grapalat" w:hAnsi="GHEA Grapalat"/>
          <w:sz w:val="22"/>
          <w:szCs w:val="22"/>
        </w:rPr>
        <w:noBreakHyphen/>
      </w:r>
      <w:r w:rsidRPr="001F63BA">
        <w:rPr>
          <w:rFonts w:ascii="GHEA Grapalat" w:hAnsi="GHEA Grapalat" w:cs="Arial"/>
          <w:sz w:val="22"/>
          <w:szCs w:val="22"/>
        </w:rPr>
        <w:t>ը</w:t>
      </w:r>
      <w:r w:rsidRPr="001F63BA">
        <w:rPr>
          <w:rFonts w:ascii="GHEA Grapalat" w:hAnsi="GHEA Grapalat"/>
          <w:sz w:val="22"/>
          <w:szCs w:val="22"/>
        </w:rPr>
        <w:t>:</w:t>
      </w:r>
      <w:r w:rsidRPr="001F63BA">
        <w:rPr>
          <w:rFonts w:ascii="GHEA Grapalat" w:hAnsi="GHEA Grapalat" w:cs="Times Armenian"/>
          <w:sz w:val="22"/>
          <w:szCs w:val="22"/>
        </w:rPr>
        <w:t xml:space="preserve"> Ծրագիրն ուղղված է եղել առանձին կատեգորիայի քաղաքացիների և նրանց ընտանիքի անդամների սոցիալական պաշտպանվածության մակարդակի բարձրացմանը: Միջոցների գերակշիռ մասն ուղղվել է զ</w:t>
      </w:r>
      <w:r w:rsidRPr="001F63BA">
        <w:rPr>
          <w:rFonts w:ascii="GHEA Grapalat" w:hAnsi="GHEA Grapalat" w:cs="Arial"/>
          <w:sz w:val="22"/>
          <w:szCs w:val="22"/>
        </w:rPr>
        <w:t xml:space="preserve">ինծառայողներին, ՀՄՊ մասնակիցներին, այլ պետություններում մարտական գործողությունների մասնակիցներին, զոհված (մահացած) զինծառայողի ընտանիքի անդամներին, ընտանիքներին </w:t>
      </w:r>
      <w:r w:rsidRPr="001F63BA">
        <w:rPr>
          <w:rFonts w:ascii="GHEA Grapalat" w:hAnsi="GHEA Grapalat"/>
          <w:sz w:val="22"/>
          <w:szCs w:val="22"/>
        </w:rPr>
        <w:t>տրվող</w:t>
      </w:r>
      <w:r w:rsidRPr="001F63BA">
        <w:rPr>
          <w:rFonts w:ascii="GHEA Grapalat" w:hAnsi="GHEA Grapalat" w:cs="Arial"/>
          <w:sz w:val="22"/>
          <w:szCs w:val="22"/>
        </w:rPr>
        <w:t xml:space="preserve"> պարգևավճարներին: </w:t>
      </w:r>
      <w:r w:rsidRPr="001F63BA">
        <w:rPr>
          <w:rFonts w:ascii="GHEA Grapalat" w:hAnsi="GHEA Grapalat"/>
          <w:sz w:val="22"/>
          <w:szCs w:val="22"/>
        </w:rPr>
        <w:t>Հաշվետու տարվա ընթացքում</w:t>
      </w:r>
      <w:r w:rsidRPr="001F63BA">
        <w:rPr>
          <w:rFonts w:ascii="GHEA Grapalat" w:hAnsi="GHEA Grapalat" w:cs="Arial"/>
          <w:sz w:val="22"/>
          <w:szCs w:val="22"/>
        </w:rPr>
        <w:t xml:space="preserve"> պարգևավճար ստացած շահառուների թիվը կազմել է 34242՝ նախատեսված 35180-ի և նախորդ տարվա 34223-ի դիմաց,</w:t>
      </w:r>
      <w:r w:rsidRPr="001F63BA">
        <w:rPr>
          <w:rFonts w:ascii="GHEA Grapalat" w:hAnsi="GHEA Grapalat" w:cs="Times Armenian"/>
          <w:sz w:val="22"/>
          <w:szCs w:val="22"/>
        </w:rPr>
        <w:t xml:space="preserve"> </w:t>
      </w:r>
      <w:r w:rsidRPr="001F63BA">
        <w:rPr>
          <w:rFonts w:ascii="GHEA Grapalat" w:hAnsi="GHEA Grapalat" w:cs="Arial"/>
          <w:sz w:val="22"/>
          <w:szCs w:val="22"/>
        </w:rPr>
        <w:t>որոնց գծով ծախսերը կազմել են 10.9</w:t>
      </w:r>
      <w:r w:rsidRPr="001F63BA">
        <w:rPr>
          <w:rFonts w:ascii="GHEA Grapalat" w:hAnsi="GHEA Grapalat"/>
          <w:sz w:val="22"/>
          <w:szCs w:val="22"/>
        </w:rPr>
        <w:t xml:space="preserve"> </w:t>
      </w:r>
      <w:r w:rsidRPr="001F63BA">
        <w:rPr>
          <w:rFonts w:ascii="GHEA Grapalat" w:hAnsi="GHEA Grapalat" w:cs="Arial"/>
          <w:sz w:val="22"/>
          <w:szCs w:val="22"/>
        </w:rPr>
        <w:t>մլրդ</w:t>
      </w:r>
      <w:r w:rsidRPr="001F63BA">
        <w:rPr>
          <w:rFonts w:ascii="GHEA Grapalat" w:hAnsi="GHEA Grapalat"/>
          <w:sz w:val="22"/>
          <w:szCs w:val="22"/>
        </w:rPr>
        <w:t xml:space="preserve"> </w:t>
      </w:r>
      <w:r w:rsidRPr="001F63BA">
        <w:rPr>
          <w:rFonts w:ascii="GHEA Grapalat" w:hAnsi="GHEA Grapalat" w:cs="Arial"/>
          <w:sz w:val="22"/>
          <w:szCs w:val="22"/>
        </w:rPr>
        <w:t>դրամ</w:t>
      </w:r>
      <w:r w:rsidRPr="001F63BA">
        <w:rPr>
          <w:rFonts w:ascii="GHEA Grapalat" w:hAnsi="GHEA Grapalat"/>
          <w:sz w:val="22"/>
          <w:szCs w:val="22"/>
        </w:rPr>
        <w:t xml:space="preserve"> </w:t>
      </w:r>
      <w:r w:rsidRPr="001F63BA">
        <w:rPr>
          <w:rFonts w:ascii="GHEA Grapalat" w:hAnsi="GHEA Grapalat" w:cs="Arial"/>
          <w:sz w:val="22"/>
          <w:szCs w:val="22"/>
        </w:rPr>
        <w:t>կամ</w:t>
      </w:r>
      <w:r w:rsidRPr="001F63BA">
        <w:rPr>
          <w:rFonts w:ascii="GHEA Grapalat" w:hAnsi="GHEA Grapalat"/>
          <w:sz w:val="22"/>
          <w:szCs w:val="22"/>
        </w:rPr>
        <w:t xml:space="preserve"> նախատեսվածի 99.8%-ը: Նախորդ տարվա համեմատ Պարգևավճարների և պատվովճարների ծրագրի գծով ծախսերն աճել են 2.2%-ով՝ հիմնականում պայմանավորված պարգևավճարի իրավունք ձեռք բերած անձանց թվի աճո</w:t>
      </w:r>
      <w:r w:rsidRPr="001F63BA">
        <w:rPr>
          <w:rFonts w:ascii="GHEA Grapalat" w:hAnsi="GHEA Grapalat"/>
          <w:sz w:val="22"/>
          <w:szCs w:val="22"/>
          <w:lang w:val="en-US"/>
        </w:rPr>
        <w:t>վ</w:t>
      </w:r>
      <w:r w:rsidRPr="001F63BA">
        <w:rPr>
          <w:rFonts w:ascii="GHEA Grapalat" w:hAnsi="GHEA Grapalat"/>
          <w:sz w:val="22"/>
          <w:szCs w:val="22"/>
        </w:rPr>
        <w:t>:</w:t>
      </w:r>
    </w:p>
    <w:p w:rsidR="001C411D" w:rsidRPr="001F63BA" w:rsidRDefault="001C411D" w:rsidP="00F362B5">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Sylfaen"/>
          <w:sz w:val="22"/>
          <w:szCs w:val="22"/>
        </w:rPr>
        <w:t>2022 թվականի ընթացքում</w:t>
      </w:r>
      <w:r w:rsidRPr="001F63BA">
        <w:rPr>
          <w:rFonts w:ascii="GHEA Grapalat" w:hAnsi="GHEA Grapalat"/>
          <w:sz w:val="22"/>
          <w:szCs w:val="22"/>
        </w:rPr>
        <w:t xml:space="preserve"> շուրջ 2.9 մլրդ դրամ տրամադրվել է </w:t>
      </w:r>
      <w:r w:rsidRPr="001F63BA">
        <w:rPr>
          <w:rFonts w:ascii="GHEA Grapalat" w:hAnsi="GHEA Grapalat" w:cs="Arial"/>
          <w:i/>
          <w:sz w:val="22"/>
          <w:szCs w:val="22"/>
        </w:rPr>
        <w:t>18 տարեկանից բարձր տարիքի անձանց</w:t>
      </w:r>
      <w:r w:rsidRPr="001F63BA">
        <w:rPr>
          <w:rFonts w:ascii="GHEA Grapalat" w:hAnsi="GHEA Grapalat"/>
          <w:i/>
          <w:sz w:val="22"/>
          <w:szCs w:val="22"/>
        </w:rPr>
        <w:t xml:space="preserve"> խ</w:t>
      </w:r>
      <w:r w:rsidRPr="001F63BA">
        <w:rPr>
          <w:rFonts w:ascii="GHEA Grapalat" w:hAnsi="GHEA Grapalat" w:cs="Arial"/>
          <w:i/>
          <w:sz w:val="22"/>
          <w:szCs w:val="22"/>
        </w:rPr>
        <w:t>նամքի ծառայությունների</w:t>
      </w:r>
      <w:r w:rsidRPr="001F63BA">
        <w:rPr>
          <w:rFonts w:ascii="GHEA Grapalat" w:hAnsi="GHEA Grapalat" w:cs="Arial"/>
          <w:sz w:val="22"/>
          <w:szCs w:val="22"/>
        </w:rPr>
        <w:t xml:space="preserve"> </w:t>
      </w:r>
      <w:r w:rsidRPr="001F63BA">
        <w:rPr>
          <w:rFonts w:ascii="GHEA Grapalat" w:hAnsi="GHEA Grapalat"/>
          <w:sz w:val="22"/>
          <w:szCs w:val="22"/>
        </w:rPr>
        <w:t xml:space="preserve">ծրագրին՝ ապահովելով 94.5% կատարողական: Ծրագիրն ուղղված է խնամքի կարիք ունեցող 18 տարեկանից բարձր տարիքի անձանց բնականոն կենսագործունեության ապահովմանը: Շեղումը հիմնականում պայմանավորված է ծրագրի ծախսերում մեծ տեսակարար կշիռ ունեցող </w:t>
      </w:r>
      <w:r w:rsidRPr="001F63BA">
        <w:rPr>
          <w:rFonts w:ascii="GHEA Grapalat" w:hAnsi="GHEA Grapalat"/>
          <w:sz w:val="22"/>
          <w:szCs w:val="22"/>
          <w:lang w:val="en-US"/>
        </w:rPr>
        <w:t>տ</w:t>
      </w:r>
      <w:r w:rsidRPr="001F63BA">
        <w:rPr>
          <w:rFonts w:ascii="GHEA Grapalat" w:hAnsi="GHEA Grapalat"/>
          <w:sz w:val="22"/>
          <w:szCs w:val="22"/>
        </w:rPr>
        <w:t>արեցների և հաշմանդամություն ունեցող 18 տարին լրացած անձանց շուրջօրյա խնամքի ծառայություններ</w:t>
      </w:r>
      <w:r w:rsidRPr="001F63BA">
        <w:rPr>
          <w:rFonts w:ascii="GHEA Grapalat" w:hAnsi="GHEA Grapalat"/>
          <w:sz w:val="22"/>
          <w:szCs w:val="22"/>
          <w:lang w:val="en-US"/>
        </w:rPr>
        <w:t>ի գծով</w:t>
      </w:r>
      <w:r w:rsidRPr="001F63BA">
        <w:rPr>
          <w:rFonts w:ascii="GHEA Grapalat" w:hAnsi="GHEA Grapalat"/>
          <w:sz w:val="22"/>
          <w:szCs w:val="22"/>
        </w:rPr>
        <w:t xml:space="preserve"> ծախսեր</w:t>
      </w:r>
      <w:r w:rsidRPr="001F63BA">
        <w:rPr>
          <w:rFonts w:ascii="GHEA Grapalat" w:hAnsi="GHEA Grapalat"/>
          <w:sz w:val="22"/>
          <w:szCs w:val="22"/>
          <w:lang w:val="en-US"/>
        </w:rPr>
        <w:t>ի կատարողականով, ինչպես</w:t>
      </w:r>
      <w:r w:rsidRPr="001F63BA">
        <w:rPr>
          <w:rFonts w:ascii="GHEA Grapalat" w:hAnsi="GHEA Grapalat"/>
          <w:sz w:val="22"/>
          <w:szCs w:val="22"/>
        </w:rPr>
        <w:t xml:space="preserve"> նաև 18 տարեկանից բարձր տարիքի անձանց համայնքային փոքր տներում խնամքի կազմակերպման </w:t>
      </w:r>
      <w:r w:rsidRPr="001F63BA">
        <w:rPr>
          <w:rFonts w:ascii="GHEA Grapalat" w:hAnsi="GHEA Grapalat"/>
          <w:sz w:val="22"/>
          <w:szCs w:val="22"/>
        </w:rPr>
        <w:lastRenderedPageBreak/>
        <w:t>համար անշարժ գույքի ձեռքբեր</w:t>
      </w:r>
      <w:r w:rsidRPr="001F63BA">
        <w:rPr>
          <w:rFonts w:ascii="GHEA Grapalat" w:hAnsi="GHEA Grapalat"/>
          <w:sz w:val="22"/>
          <w:szCs w:val="22"/>
          <w:lang w:val="en-US"/>
        </w:rPr>
        <w:t>մանը</w:t>
      </w:r>
      <w:r w:rsidRPr="001F63BA">
        <w:rPr>
          <w:rFonts w:ascii="GHEA Grapalat" w:hAnsi="GHEA Grapalat"/>
          <w:sz w:val="22"/>
          <w:szCs w:val="22"/>
        </w:rPr>
        <w:t xml:space="preserve"> և </w:t>
      </w:r>
      <w:r w:rsidRPr="001F63BA">
        <w:rPr>
          <w:rFonts w:ascii="GHEA Grapalat" w:hAnsi="GHEA Grapalat"/>
          <w:sz w:val="22"/>
          <w:szCs w:val="22"/>
          <w:lang w:val="en-US"/>
        </w:rPr>
        <w:t>տ</w:t>
      </w:r>
      <w:r w:rsidRPr="001F63BA">
        <w:rPr>
          <w:rFonts w:ascii="GHEA Grapalat" w:hAnsi="GHEA Grapalat"/>
          <w:sz w:val="22"/>
          <w:szCs w:val="22"/>
        </w:rPr>
        <w:t>արեց և (կամ) հաշմանդամություն ունեցող անձանց շուրջօրյա խնամք մատուցող պետական ոչ առևտրային կազմակերպությունների շենքային պայմանների բարելավ</w:t>
      </w:r>
      <w:r w:rsidRPr="001F63BA">
        <w:rPr>
          <w:rFonts w:ascii="GHEA Grapalat" w:hAnsi="GHEA Grapalat"/>
          <w:sz w:val="22"/>
          <w:szCs w:val="22"/>
          <w:lang w:val="en-US"/>
        </w:rPr>
        <w:t>մանը հատկացված միջոցները</w:t>
      </w:r>
      <w:r w:rsidRPr="001F63BA">
        <w:rPr>
          <w:rFonts w:ascii="GHEA Grapalat" w:hAnsi="GHEA Grapalat" w:cs="Sylfaen"/>
          <w:sz w:val="22"/>
          <w:szCs w:val="22"/>
        </w:rPr>
        <w:t xml:space="preserve"> չօգտագործելու հանգամանքով:</w:t>
      </w:r>
      <w:r w:rsidRPr="001F63BA">
        <w:rPr>
          <w:rFonts w:ascii="GHEA Grapalat" w:hAnsi="GHEA Grapalat" w:cs="Sylfaen"/>
          <w:sz w:val="22"/>
          <w:szCs w:val="22"/>
          <w:lang w:val="en-US"/>
        </w:rPr>
        <w:t xml:space="preserve"> </w:t>
      </w:r>
      <w:r w:rsidRPr="001F63BA">
        <w:rPr>
          <w:rFonts w:ascii="GHEA Grapalat" w:hAnsi="GHEA Grapalat"/>
          <w:sz w:val="22"/>
          <w:szCs w:val="22"/>
        </w:rPr>
        <w:t>18 տարեկանից բարձր տարիքի անձանց համայնքային փոքր տներում խնամքի կազմակերպման համար անշարժ գույքի ձեռքբեր</w:t>
      </w:r>
      <w:r w:rsidRPr="001F63BA">
        <w:rPr>
          <w:rFonts w:ascii="GHEA Grapalat" w:hAnsi="GHEA Grapalat"/>
          <w:sz w:val="22"/>
          <w:szCs w:val="22"/>
          <w:lang w:val="en-US"/>
        </w:rPr>
        <w:t xml:space="preserve">ման համար նախատեսված միջոցները չեն օգտագործվել՝ </w:t>
      </w:r>
      <w:r w:rsidRPr="001F63BA">
        <w:rPr>
          <w:rFonts w:ascii="GHEA Grapalat" w:hAnsi="GHEA Grapalat" w:cs="Arial"/>
          <w:sz w:val="22"/>
          <w:szCs w:val="22"/>
        </w:rPr>
        <w:t>պայմանավորված պայմանագ</w:t>
      </w:r>
      <w:r w:rsidRPr="001F63BA">
        <w:rPr>
          <w:rFonts w:ascii="GHEA Grapalat" w:hAnsi="GHEA Grapalat" w:cs="Arial"/>
          <w:sz w:val="22"/>
          <w:szCs w:val="22"/>
          <w:lang w:val="en-US"/>
        </w:rPr>
        <w:t>իրը</w:t>
      </w:r>
      <w:r w:rsidRPr="001F63BA">
        <w:rPr>
          <w:rFonts w:ascii="GHEA Grapalat" w:hAnsi="GHEA Grapalat" w:cs="Arial"/>
          <w:sz w:val="22"/>
          <w:szCs w:val="22"/>
        </w:rPr>
        <w:t xml:space="preserve"> տարեվերջին կնք</w:t>
      </w:r>
      <w:r w:rsidRPr="001F63BA">
        <w:rPr>
          <w:rFonts w:ascii="GHEA Grapalat" w:hAnsi="GHEA Grapalat" w:cs="Arial"/>
          <w:sz w:val="22"/>
          <w:szCs w:val="22"/>
          <w:lang w:val="en-US"/>
        </w:rPr>
        <w:t>վելու հանգամանքով</w:t>
      </w:r>
      <w:r w:rsidRPr="001F63BA">
        <w:rPr>
          <w:rFonts w:ascii="GHEA Grapalat" w:hAnsi="GHEA Grapalat" w:cs="Arial"/>
          <w:sz w:val="22"/>
          <w:szCs w:val="22"/>
        </w:rPr>
        <w:t>, որի արդյունքում վճարումը չի իրականացվել</w:t>
      </w:r>
      <w:r w:rsidRPr="001F63BA">
        <w:rPr>
          <w:rFonts w:ascii="GHEA Grapalat" w:hAnsi="GHEA Grapalat" w:cs="Arial"/>
          <w:sz w:val="22"/>
          <w:szCs w:val="22"/>
          <w:lang w:val="en-US"/>
        </w:rPr>
        <w:t>:</w:t>
      </w:r>
      <w:r w:rsidRPr="001F63BA">
        <w:rPr>
          <w:rFonts w:ascii="GHEA Grapalat" w:hAnsi="GHEA Grapalat" w:cs="Arial"/>
          <w:sz w:val="22"/>
          <w:szCs w:val="22"/>
        </w:rPr>
        <w:t xml:space="preserve"> </w:t>
      </w:r>
      <w:r w:rsidRPr="001F63BA">
        <w:rPr>
          <w:rFonts w:ascii="GHEA Grapalat" w:hAnsi="GHEA Grapalat"/>
          <w:sz w:val="22"/>
          <w:szCs w:val="22"/>
          <w:lang w:val="en-US"/>
        </w:rPr>
        <w:t>Տ</w:t>
      </w:r>
      <w:r w:rsidRPr="001F63BA">
        <w:rPr>
          <w:rFonts w:ascii="GHEA Grapalat" w:hAnsi="GHEA Grapalat"/>
          <w:sz w:val="22"/>
          <w:szCs w:val="22"/>
        </w:rPr>
        <w:t>արեց և (կամ) հաշմանդամություն ունեցող անձանց շուրջօրյա խնամք մատուցող պետական ոչ առևտրային կազմակերպությունների շենքային պայմանների բարելավ</w:t>
      </w:r>
      <w:r w:rsidRPr="001F63BA">
        <w:rPr>
          <w:rFonts w:ascii="GHEA Grapalat" w:hAnsi="GHEA Grapalat"/>
          <w:sz w:val="22"/>
          <w:szCs w:val="22"/>
          <w:lang w:val="en-US"/>
        </w:rPr>
        <w:t>մանը հատկացված միջոցները</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չեն օգտագործվել՝ </w:t>
      </w:r>
      <w:r w:rsidRPr="001F63BA">
        <w:rPr>
          <w:rFonts w:ascii="GHEA Grapalat" w:hAnsi="GHEA Grapalat" w:cs="GHEA Grapalat"/>
          <w:sz w:val="22"/>
          <w:szCs w:val="22"/>
        </w:rPr>
        <w:t xml:space="preserve">պայմանավորված պայմանագրի </w:t>
      </w:r>
      <w:r w:rsidRPr="001F63BA">
        <w:rPr>
          <w:rFonts w:ascii="GHEA Grapalat" w:hAnsi="GHEA Grapalat" w:cs="Sylfaen"/>
          <w:sz w:val="22"/>
          <w:szCs w:val="22"/>
          <w:lang w:val="it-IT"/>
        </w:rPr>
        <w:t>լուծմամբ` ոչ պատշաճ կատարման հիմքով</w:t>
      </w:r>
      <w:r w:rsidRPr="001F63BA">
        <w:rPr>
          <w:rFonts w:ascii="GHEA Grapalat" w:hAnsi="GHEA Grapalat" w:cs="GHEA Grapalat"/>
          <w:sz w:val="22"/>
          <w:szCs w:val="22"/>
        </w:rPr>
        <w:t xml:space="preserve">: </w:t>
      </w:r>
      <w:r w:rsidRPr="001F63BA">
        <w:rPr>
          <w:rFonts w:ascii="GHEA Grapalat" w:hAnsi="GHEA Grapalat"/>
          <w:sz w:val="22"/>
          <w:szCs w:val="22"/>
        </w:rPr>
        <w:t>Նախորդ տարվա համեմատ 18 տարեկանից բարձր տարիքի անձանց խնամքի ծառայությունների ծրագրի ծախսերն աճել</w:t>
      </w:r>
      <w:r w:rsidRPr="001F63BA">
        <w:rPr>
          <w:rFonts w:ascii="GHEA Grapalat" w:hAnsi="GHEA Grapalat" w:cs="Sylfaen"/>
          <w:sz w:val="22"/>
          <w:szCs w:val="22"/>
        </w:rPr>
        <w:t xml:space="preserve"> են 1.3</w:t>
      </w:r>
      <w:r w:rsidRPr="001F63BA">
        <w:rPr>
          <w:rFonts w:ascii="GHEA Grapalat" w:hAnsi="GHEA Grapalat" w:cs="Times Armenian"/>
          <w:sz w:val="22"/>
          <w:szCs w:val="22"/>
        </w:rPr>
        <w:t>%-ով կամ 37.9 մլն դրամով՝ հիմնականում</w:t>
      </w:r>
      <w:r w:rsidRPr="001F63BA">
        <w:rPr>
          <w:rFonts w:ascii="GHEA Grapalat" w:hAnsi="GHEA Grapalat"/>
          <w:sz w:val="22"/>
          <w:szCs w:val="22"/>
        </w:rPr>
        <w:t xml:space="preserve"> պայմանավորված</w:t>
      </w:r>
      <w:r w:rsidRPr="001F63BA">
        <w:rPr>
          <w:rFonts w:ascii="GHEA Grapalat" w:hAnsi="GHEA Grapalat" w:cs="Sylfaen"/>
          <w:sz w:val="22"/>
          <w:szCs w:val="22"/>
        </w:rPr>
        <w:t xml:space="preserve"> տ</w:t>
      </w:r>
      <w:r w:rsidRPr="001F63BA">
        <w:rPr>
          <w:rFonts w:ascii="GHEA Grapalat" w:hAnsi="GHEA Grapalat" w:cs="Times Armenian"/>
          <w:sz w:val="22"/>
          <w:szCs w:val="22"/>
        </w:rPr>
        <w:t xml:space="preserve">արեցների և հաշմանդամություն ունեցող 18 տարին լրացած անձանց շուրջօրյա խնամքի </w:t>
      </w:r>
      <w:r w:rsidRPr="001F63BA">
        <w:rPr>
          <w:rFonts w:ascii="GHEA Grapalat" w:hAnsi="GHEA Grapalat"/>
          <w:sz w:val="22"/>
          <w:szCs w:val="22"/>
        </w:rPr>
        <w:t xml:space="preserve">ծառայությունների </w:t>
      </w:r>
      <w:r w:rsidRPr="001F63BA">
        <w:rPr>
          <w:rFonts w:ascii="GHEA Grapalat" w:hAnsi="GHEA Grapalat" w:cs="Times Armenian"/>
          <w:sz w:val="22"/>
          <w:szCs w:val="22"/>
        </w:rPr>
        <w:t>գծով ծախսերի աճով:</w:t>
      </w:r>
    </w:p>
    <w:p w:rsidR="001C411D" w:rsidRPr="001F63BA" w:rsidRDefault="001C411D" w:rsidP="00F362B5">
      <w:pPr>
        <w:tabs>
          <w:tab w:val="left" w:pos="0"/>
        </w:tabs>
        <w:spacing w:line="360" w:lineRule="auto"/>
        <w:ind w:firstLine="540"/>
        <w:jc w:val="both"/>
        <w:rPr>
          <w:rFonts w:ascii="GHEA Grapalat" w:hAnsi="GHEA Grapalat" w:cs="Sylfaen"/>
          <w:sz w:val="22"/>
          <w:szCs w:val="22"/>
        </w:rPr>
      </w:pPr>
      <w:r w:rsidRPr="001F63BA">
        <w:rPr>
          <w:rFonts w:ascii="GHEA Grapalat" w:hAnsi="GHEA Grapalat"/>
          <w:sz w:val="22"/>
          <w:szCs w:val="22"/>
        </w:rPr>
        <w:t xml:space="preserve">Տարեցների և հաշմանդամություն ունեցող 18 տարին լրացած անձանց շուրջօրյա խնամքի ծառայությունների միջոցառման շրջանակներում շուրջօրյա խնամքի բնակչության սոցիալական պաշտպանության հաստատություններում խնամվող տարեցների և հաշմանդամություն ունեցող 18 տարին լրացած անձանց թիվը կազմել է 1129` կանխատեսված 1160-ի և նախորդ տարվա 1115-ի </w:t>
      </w:r>
      <w:r w:rsidRPr="001F63BA">
        <w:rPr>
          <w:rFonts w:ascii="GHEA Grapalat" w:hAnsi="GHEA Grapalat"/>
          <w:sz w:val="22"/>
          <w:szCs w:val="22"/>
          <w:lang w:val="en-US"/>
        </w:rPr>
        <w:t>դիմաց</w:t>
      </w:r>
      <w:r w:rsidRPr="001F63BA">
        <w:rPr>
          <w:rFonts w:ascii="GHEA Grapalat" w:hAnsi="GHEA Grapalat"/>
          <w:sz w:val="22"/>
          <w:szCs w:val="22"/>
        </w:rPr>
        <w:t xml:space="preserve">: Ծրագրից շեղումը և շահառուների՝ կանխատեսվածից փոքր թիվը հիմնականում պայմանավորված </w:t>
      </w:r>
      <w:r w:rsidRPr="001F63BA">
        <w:rPr>
          <w:rFonts w:ascii="GHEA Grapalat" w:hAnsi="GHEA Grapalat"/>
          <w:sz w:val="22"/>
          <w:szCs w:val="22"/>
          <w:lang w:val="en-US"/>
        </w:rPr>
        <w:t>են</w:t>
      </w:r>
      <w:r w:rsidRPr="001F63BA">
        <w:rPr>
          <w:rFonts w:ascii="GHEA Grapalat" w:hAnsi="GHEA Grapalat"/>
          <w:sz w:val="22"/>
          <w:szCs w:val="22"/>
        </w:rPr>
        <w:t xml:space="preserve"> </w:t>
      </w:r>
      <w:r w:rsidRPr="001F63BA">
        <w:rPr>
          <w:rFonts w:ascii="GHEA Grapalat" w:hAnsi="GHEA Grapalat"/>
          <w:sz w:val="22"/>
          <w:szCs w:val="22"/>
          <w:lang w:val="en-US"/>
        </w:rPr>
        <w:t>բ</w:t>
      </w:r>
      <w:r w:rsidRPr="001F63BA">
        <w:rPr>
          <w:rFonts w:ascii="GHEA Grapalat" w:hAnsi="GHEA Grapalat"/>
          <w:sz w:val="22"/>
          <w:szCs w:val="22"/>
        </w:rPr>
        <w:t>նակչության սոց</w:t>
      </w:r>
      <w:r w:rsidRPr="001F63BA">
        <w:rPr>
          <w:rFonts w:ascii="GHEA Grapalat" w:hAnsi="GHEA Grapalat"/>
          <w:sz w:val="22"/>
          <w:szCs w:val="22"/>
          <w:lang w:val="en-US"/>
        </w:rPr>
        <w:t xml:space="preserve">իալական </w:t>
      </w:r>
      <w:r w:rsidRPr="001F63BA">
        <w:rPr>
          <w:rFonts w:ascii="GHEA Grapalat" w:hAnsi="GHEA Grapalat"/>
          <w:sz w:val="22"/>
          <w:szCs w:val="22"/>
        </w:rPr>
        <w:t>պաշտպանության հաստատություններ</w:t>
      </w:r>
      <w:r w:rsidRPr="001F63BA">
        <w:rPr>
          <w:rFonts w:ascii="GHEA Grapalat" w:hAnsi="GHEA Grapalat"/>
          <w:sz w:val="22"/>
          <w:szCs w:val="22"/>
          <w:lang w:val="en-US"/>
        </w:rPr>
        <w:t xml:space="preserve"> </w:t>
      </w:r>
      <w:r w:rsidRPr="001F63BA">
        <w:rPr>
          <w:rFonts w:ascii="GHEA Grapalat" w:hAnsi="GHEA Grapalat"/>
          <w:sz w:val="22"/>
          <w:szCs w:val="22"/>
        </w:rPr>
        <w:t>ցածր դիմելիությամբ և դիմողների՝ ընդունելության չափորոշիչներին չհամապատասխանելու հանգամանքով: Միջոցառման</w:t>
      </w:r>
      <w:r w:rsidRPr="001F63BA">
        <w:rPr>
          <w:rFonts w:ascii="GHEA Grapalat" w:hAnsi="GHEA Grapalat" w:cs="Sylfaen"/>
          <w:sz w:val="22"/>
          <w:szCs w:val="22"/>
          <w:lang w:val="de-AT"/>
        </w:rPr>
        <w:t xml:space="preserve"> </w:t>
      </w:r>
      <w:r w:rsidRPr="001F63BA">
        <w:rPr>
          <w:rFonts w:ascii="GHEA Grapalat" w:hAnsi="GHEA Grapalat" w:cs="Sylfaen"/>
          <w:sz w:val="22"/>
          <w:szCs w:val="22"/>
        </w:rPr>
        <w:t>նպատակն</w:t>
      </w:r>
      <w:r w:rsidRPr="001F63BA">
        <w:rPr>
          <w:rFonts w:ascii="GHEA Grapalat" w:hAnsi="GHEA Grapalat" w:cs="Sylfaen"/>
          <w:sz w:val="22"/>
          <w:szCs w:val="22"/>
          <w:lang w:val="de-AT"/>
        </w:rPr>
        <w:t xml:space="preserve"> </w:t>
      </w:r>
      <w:r w:rsidRPr="001F63BA">
        <w:rPr>
          <w:rFonts w:ascii="GHEA Grapalat" w:hAnsi="GHEA Grapalat" w:cs="Sylfaen"/>
          <w:sz w:val="22"/>
          <w:szCs w:val="22"/>
        </w:rPr>
        <w:t>է</w:t>
      </w:r>
      <w:r w:rsidRPr="001F63BA">
        <w:rPr>
          <w:rFonts w:ascii="GHEA Grapalat" w:hAnsi="GHEA Grapalat" w:cs="Sylfaen"/>
          <w:sz w:val="22"/>
          <w:szCs w:val="22"/>
          <w:lang w:val="en-US"/>
        </w:rPr>
        <w:t>՝</w:t>
      </w:r>
      <w:r w:rsidRPr="001F63BA">
        <w:rPr>
          <w:rFonts w:ascii="GHEA Grapalat" w:hAnsi="GHEA Grapalat" w:cs="Sylfaen"/>
          <w:sz w:val="22"/>
          <w:szCs w:val="22"/>
        </w:rPr>
        <w:t xml:space="preserve"> շուրջօրյա</w:t>
      </w:r>
      <w:r w:rsidRPr="001F63BA">
        <w:rPr>
          <w:rFonts w:ascii="GHEA Grapalat" w:hAnsi="GHEA Grapalat" w:cs="Sylfaen"/>
          <w:sz w:val="22"/>
          <w:szCs w:val="22"/>
          <w:lang w:val="de-AT"/>
        </w:rPr>
        <w:t xml:space="preserve"> </w:t>
      </w:r>
      <w:r w:rsidRPr="001F63BA">
        <w:rPr>
          <w:rFonts w:ascii="GHEA Grapalat" w:hAnsi="GHEA Grapalat" w:cs="Sylfaen"/>
          <w:sz w:val="22"/>
          <w:szCs w:val="22"/>
        </w:rPr>
        <w:t>խնամքի</w:t>
      </w:r>
      <w:r w:rsidRPr="001F63BA">
        <w:rPr>
          <w:rFonts w:ascii="GHEA Grapalat" w:hAnsi="GHEA Grapalat" w:cs="Sylfaen"/>
          <w:sz w:val="22"/>
          <w:szCs w:val="22"/>
          <w:lang w:val="de-AT"/>
        </w:rPr>
        <w:t xml:space="preserve"> </w:t>
      </w:r>
      <w:r w:rsidRPr="001F63BA">
        <w:rPr>
          <w:rFonts w:ascii="GHEA Grapalat" w:hAnsi="GHEA Grapalat" w:cs="Sylfaen"/>
          <w:sz w:val="22"/>
          <w:szCs w:val="22"/>
        </w:rPr>
        <w:t>ծառայություններ</w:t>
      </w:r>
      <w:r w:rsidRPr="001F63BA">
        <w:rPr>
          <w:rFonts w:ascii="GHEA Grapalat" w:hAnsi="GHEA Grapalat" w:cs="Sylfaen"/>
          <w:sz w:val="22"/>
          <w:szCs w:val="22"/>
          <w:lang w:val="de-AT"/>
        </w:rPr>
        <w:t xml:space="preserve"> </w:t>
      </w:r>
      <w:r w:rsidRPr="001F63BA">
        <w:rPr>
          <w:rFonts w:ascii="GHEA Grapalat" w:hAnsi="GHEA Grapalat" w:cs="Sylfaen"/>
          <w:sz w:val="22"/>
          <w:szCs w:val="22"/>
        </w:rPr>
        <w:t>տրամադրել</w:t>
      </w:r>
      <w:r w:rsidRPr="001F63BA">
        <w:rPr>
          <w:rFonts w:ascii="GHEA Grapalat" w:hAnsi="GHEA Grapalat" w:cs="Sylfaen"/>
          <w:sz w:val="22"/>
          <w:szCs w:val="22"/>
          <w:lang w:val="de-AT"/>
        </w:rPr>
        <w:t xml:space="preserve"> </w:t>
      </w:r>
      <w:r w:rsidRPr="001F63BA">
        <w:rPr>
          <w:rFonts w:ascii="GHEA Grapalat" w:hAnsi="GHEA Grapalat" w:cs="Sylfaen"/>
          <w:sz w:val="22"/>
          <w:szCs w:val="22"/>
        </w:rPr>
        <w:t>դրանց</w:t>
      </w:r>
      <w:r w:rsidRPr="001F63BA">
        <w:rPr>
          <w:rFonts w:ascii="GHEA Grapalat" w:hAnsi="GHEA Grapalat" w:cs="Sylfaen"/>
          <w:sz w:val="22"/>
          <w:szCs w:val="22"/>
          <w:lang w:val="de-AT"/>
        </w:rPr>
        <w:t xml:space="preserve"> </w:t>
      </w:r>
      <w:r w:rsidRPr="001F63BA">
        <w:rPr>
          <w:rFonts w:ascii="GHEA Grapalat" w:hAnsi="GHEA Grapalat" w:cs="Sylfaen"/>
          <w:sz w:val="22"/>
          <w:szCs w:val="22"/>
        </w:rPr>
        <w:t>կարիքն</w:t>
      </w:r>
      <w:r w:rsidRPr="001F63BA">
        <w:rPr>
          <w:rFonts w:ascii="GHEA Grapalat" w:hAnsi="GHEA Grapalat" w:cs="Sylfaen"/>
          <w:sz w:val="22"/>
          <w:szCs w:val="22"/>
          <w:lang w:val="de-AT"/>
        </w:rPr>
        <w:t xml:space="preserve"> </w:t>
      </w:r>
      <w:r w:rsidRPr="001F63BA">
        <w:rPr>
          <w:rFonts w:ascii="GHEA Grapalat" w:hAnsi="GHEA Grapalat" w:cs="Sylfaen"/>
          <w:sz w:val="22"/>
          <w:szCs w:val="22"/>
        </w:rPr>
        <w:t>ունեցող</w:t>
      </w:r>
      <w:r w:rsidRPr="001F63BA">
        <w:rPr>
          <w:rFonts w:ascii="GHEA Grapalat" w:hAnsi="GHEA Grapalat" w:cs="Sylfaen"/>
          <w:sz w:val="22"/>
          <w:szCs w:val="22"/>
          <w:lang w:val="de-AT"/>
        </w:rPr>
        <w:t xml:space="preserve"> </w:t>
      </w:r>
      <w:r w:rsidRPr="001F63BA">
        <w:rPr>
          <w:rFonts w:ascii="GHEA Grapalat" w:hAnsi="GHEA Grapalat" w:cs="Sylfaen"/>
          <w:sz w:val="22"/>
          <w:szCs w:val="22"/>
        </w:rPr>
        <w:t>տարեց</w:t>
      </w:r>
      <w:r w:rsidRPr="001F63BA">
        <w:rPr>
          <w:rFonts w:ascii="GHEA Grapalat" w:hAnsi="GHEA Grapalat" w:cs="Sylfaen"/>
          <w:sz w:val="22"/>
          <w:szCs w:val="22"/>
          <w:lang w:val="de-AT"/>
        </w:rPr>
        <w:t xml:space="preserve"> </w:t>
      </w:r>
      <w:r w:rsidRPr="001F63BA">
        <w:rPr>
          <w:rFonts w:ascii="GHEA Grapalat" w:hAnsi="GHEA Grapalat" w:cs="Sylfaen"/>
          <w:sz w:val="22"/>
          <w:szCs w:val="22"/>
        </w:rPr>
        <w:t>և</w:t>
      </w:r>
      <w:r w:rsidRPr="001F63BA">
        <w:rPr>
          <w:rFonts w:ascii="GHEA Grapalat" w:hAnsi="GHEA Grapalat" w:cs="Sylfaen"/>
          <w:sz w:val="22"/>
          <w:szCs w:val="22"/>
          <w:lang w:val="de-AT"/>
        </w:rPr>
        <w:t xml:space="preserve"> </w:t>
      </w:r>
      <w:r w:rsidRPr="001F63BA">
        <w:rPr>
          <w:rFonts w:ascii="GHEA Grapalat" w:hAnsi="GHEA Grapalat" w:cs="Sylfaen"/>
          <w:sz w:val="22"/>
          <w:szCs w:val="22"/>
        </w:rPr>
        <w:t>հաշմանդամություն</w:t>
      </w:r>
      <w:r w:rsidRPr="001F63BA">
        <w:rPr>
          <w:rFonts w:ascii="GHEA Grapalat" w:hAnsi="GHEA Grapalat" w:cs="Sylfaen"/>
          <w:sz w:val="22"/>
          <w:szCs w:val="22"/>
          <w:lang w:val="de-AT"/>
        </w:rPr>
        <w:t xml:space="preserve"> </w:t>
      </w:r>
      <w:r w:rsidRPr="001F63BA">
        <w:rPr>
          <w:rFonts w:ascii="GHEA Grapalat" w:hAnsi="GHEA Grapalat" w:cs="Sylfaen"/>
          <w:sz w:val="22"/>
          <w:szCs w:val="22"/>
        </w:rPr>
        <w:t>ունեցող</w:t>
      </w:r>
      <w:r w:rsidRPr="001F63BA">
        <w:rPr>
          <w:rFonts w:ascii="GHEA Grapalat" w:hAnsi="GHEA Grapalat" w:cs="Sylfaen"/>
          <w:sz w:val="22"/>
          <w:szCs w:val="22"/>
          <w:lang w:val="de-AT"/>
        </w:rPr>
        <w:t xml:space="preserve"> 18 </w:t>
      </w:r>
      <w:r w:rsidRPr="001F63BA">
        <w:rPr>
          <w:rFonts w:ascii="GHEA Grapalat" w:hAnsi="GHEA Grapalat" w:cs="Sylfaen"/>
          <w:sz w:val="22"/>
          <w:szCs w:val="22"/>
        </w:rPr>
        <w:t>տարին</w:t>
      </w:r>
      <w:r w:rsidRPr="001F63BA">
        <w:rPr>
          <w:rFonts w:ascii="GHEA Grapalat" w:hAnsi="GHEA Grapalat" w:cs="Sylfaen"/>
          <w:sz w:val="22"/>
          <w:szCs w:val="22"/>
          <w:lang w:val="de-AT"/>
        </w:rPr>
        <w:t xml:space="preserve"> </w:t>
      </w:r>
      <w:r w:rsidRPr="001F63BA">
        <w:rPr>
          <w:rFonts w:ascii="GHEA Grapalat" w:hAnsi="GHEA Grapalat" w:cs="Sylfaen"/>
          <w:sz w:val="22"/>
          <w:szCs w:val="22"/>
        </w:rPr>
        <w:t>լրացած</w:t>
      </w:r>
      <w:r w:rsidRPr="001F63BA">
        <w:rPr>
          <w:rFonts w:ascii="GHEA Grapalat" w:hAnsi="GHEA Grapalat" w:cs="Sylfaen"/>
          <w:sz w:val="22"/>
          <w:szCs w:val="22"/>
          <w:lang w:val="de-AT"/>
        </w:rPr>
        <w:t xml:space="preserve"> </w:t>
      </w:r>
      <w:r w:rsidRPr="001F63BA">
        <w:rPr>
          <w:rFonts w:ascii="GHEA Grapalat" w:hAnsi="GHEA Grapalat" w:cs="Sylfaen"/>
          <w:sz w:val="22"/>
          <w:szCs w:val="22"/>
        </w:rPr>
        <w:t>անձանց</w:t>
      </w:r>
      <w:r w:rsidRPr="001F63BA">
        <w:rPr>
          <w:rFonts w:ascii="GHEA Grapalat" w:hAnsi="GHEA Grapalat" w:cs="Sylfaen"/>
          <w:sz w:val="22"/>
          <w:szCs w:val="22"/>
          <w:lang w:val="de-AT"/>
        </w:rPr>
        <w:t xml:space="preserve">` </w:t>
      </w:r>
      <w:r w:rsidRPr="001F63BA">
        <w:rPr>
          <w:rFonts w:ascii="GHEA Grapalat" w:hAnsi="GHEA Grapalat" w:cs="Sylfaen"/>
          <w:sz w:val="22"/>
          <w:szCs w:val="22"/>
        </w:rPr>
        <w:t>նրանց</w:t>
      </w:r>
      <w:r w:rsidRPr="001F63BA">
        <w:rPr>
          <w:rFonts w:ascii="GHEA Grapalat" w:hAnsi="GHEA Grapalat" w:cs="Sylfaen"/>
          <w:sz w:val="22"/>
          <w:szCs w:val="22"/>
          <w:lang w:val="de-AT"/>
        </w:rPr>
        <w:t xml:space="preserve"> </w:t>
      </w:r>
      <w:r w:rsidRPr="001F63BA">
        <w:rPr>
          <w:rFonts w:ascii="GHEA Grapalat" w:hAnsi="GHEA Grapalat" w:cs="Sylfaen"/>
          <w:sz w:val="22"/>
          <w:szCs w:val="22"/>
        </w:rPr>
        <w:t>համար</w:t>
      </w:r>
      <w:r w:rsidRPr="001F63BA">
        <w:rPr>
          <w:rFonts w:ascii="GHEA Grapalat" w:hAnsi="GHEA Grapalat" w:cs="Sylfaen"/>
          <w:sz w:val="22"/>
          <w:szCs w:val="22"/>
          <w:lang w:val="de-AT"/>
        </w:rPr>
        <w:t xml:space="preserve"> </w:t>
      </w:r>
      <w:r w:rsidRPr="001F63BA">
        <w:rPr>
          <w:rFonts w:ascii="GHEA Grapalat" w:hAnsi="GHEA Grapalat" w:cs="Sylfaen"/>
          <w:sz w:val="22"/>
          <w:szCs w:val="22"/>
        </w:rPr>
        <w:t>ապահովելով</w:t>
      </w:r>
      <w:r w:rsidRPr="001F63BA">
        <w:rPr>
          <w:rFonts w:ascii="GHEA Grapalat" w:hAnsi="GHEA Grapalat" w:cs="Sylfaen"/>
          <w:sz w:val="22"/>
          <w:szCs w:val="22"/>
          <w:lang w:val="de-AT"/>
        </w:rPr>
        <w:t xml:space="preserve"> </w:t>
      </w:r>
      <w:r w:rsidRPr="001F63BA">
        <w:rPr>
          <w:rFonts w:ascii="GHEA Grapalat" w:hAnsi="GHEA Grapalat" w:cs="Sylfaen"/>
          <w:sz w:val="22"/>
          <w:szCs w:val="22"/>
        </w:rPr>
        <w:t>արժանապատիվ</w:t>
      </w:r>
      <w:r w:rsidRPr="001F63BA">
        <w:rPr>
          <w:rFonts w:ascii="GHEA Grapalat" w:hAnsi="GHEA Grapalat" w:cs="Sylfaen"/>
          <w:sz w:val="22"/>
          <w:szCs w:val="22"/>
          <w:lang w:val="de-AT"/>
        </w:rPr>
        <w:t xml:space="preserve"> </w:t>
      </w:r>
      <w:r w:rsidRPr="001F63BA">
        <w:rPr>
          <w:rFonts w:ascii="GHEA Grapalat" w:hAnsi="GHEA Grapalat" w:cs="Sylfaen"/>
          <w:sz w:val="22"/>
          <w:szCs w:val="22"/>
        </w:rPr>
        <w:t>կենսապայմաններ</w:t>
      </w:r>
      <w:r w:rsidRPr="001F63BA">
        <w:rPr>
          <w:rFonts w:ascii="GHEA Grapalat" w:hAnsi="GHEA Grapalat" w:cs="Sylfaen"/>
          <w:sz w:val="22"/>
          <w:szCs w:val="22"/>
          <w:lang w:val="de-AT"/>
        </w:rPr>
        <w:t xml:space="preserve">: </w:t>
      </w:r>
      <w:r w:rsidRPr="001F63BA">
        <w:rPr>
          <w:rFonts w:ascii="GHEA Grapalat" w:hAnsi="GHEA Grapalat" w:cs="Sylfaen"/>
          <w:sz w:val="22"/>
          <w:szCs w:val="22"/>
        </w:rPr>
        <w:t>Խնամքի</w:t>
      </w:r>
      <w:r w:rsidRPr="001F63BA">
        <w:rPr>
          <w:rFonts w:ascii="GHEA Grapalat" w:hAnsi="GHEA Grapalat" w:cs="Sylfaen"/>
          <w:sz w:val="22"/>
          <w:szCs w:val="22"/>
          <w:lang w:val="de-AT"/>
        </w:rPr>
        <w:t xml:space="preserve"> </w:t>
      </w:r>
      <w:r w:rsidRPr="001F63BA">
        <w:rPr>
          <w:rFonts w:ascii="GHEA Grapalat" w:hAnsi="GHEA Grapalat" w:cs="Sylfaen"/>
          <w:sz w:val="22"/>
          <w:szCs w:val="22"/>
        </w:rPr>
        <w:t>և</w:t>
      </w:r>
      <w:r w:rsidRPr="001F63BA">
        <w:rPr>
          <w:rFonts w:ascii="GHEA Grapalat" w:hAnsi="GHEA Grapalat" w:cs="Sylfaen"/>
          <w:sz w:val="22"/>
          <w:szCs w:val="22"/>
          <w:lang w:val="de-AT"/>
        </w:rPr>
        <w:t xml:space="preserve"> </w:t>
      </w:r>
      <w:r w:rsidRPr="001F63BA">
        <w:rPr>
          <w:rFonts w:ascii="GHEA Grapalat" w:hAnsi="GHEA Grapalat" w:cs="Sylfaen"/>
          <w:sz w:val="22"/>
          <w:szCs w:val="22"/>
        </w:rPr>
        <w:t>սոցիալական</w:t>
      </w:r>
      <w:r w:rsidRPr="001F63BA">
        <w:rPr>
          <w:rFonts w:ascii="GHEA Grapalat" w:hAnsi="GHEA Grapalat" w:cs="Sylfaen"/>
          <w:sz w:val="22"/>
          <w:szCs w:val="22"/>
          <w:lang w:val="de-AT"/>
        </w:rPr>
        <w:t xml:space="preserve"> </w:t>
      </w:r>
      <w:r w:rsidRPr="001F63BA">
        <w:rPr>
          <w:rFonts w:ascii="GHEA Grapalat" w:hAnsi="GHEA Grapalat" w:cs="Sylfaen"/>
          <w:sz w:val="22"/>
          <w:szCs w:val="22"/>
        </w:rPr>
        <w:t>սպասարկման</w:t>
      </w:r>
      <w:r w:rsidRPr="001F63BA">
        <w:rPr>
          <w:rFonts w:ascii="GHEA Grapalat" w:hAnsi="GHEA Grapalat" w:cs="Sylfaen"/>
          <w:sz w:val="22"/>
          <w:szCs w:val="22"/>
          <w:lang w:val="de-AT"/>
        </w:rPr>
        <w:t xml:space="preserve"> </w:t>
      </w:r>
      <w:r w:rsidRPr="001F63BA">
        <w:rPr>
          <w:rFonts w:ascii="GHEA Grapalat" w:hAnsi="GHEA Grapalat" w:cs="Sylfaen"/>
          <w:sz w:val="22"/>
          <w:szCs w:val="22"/>
        </w:rPr>
        <w:t>ծառայությունները</w:t>
      </w:r>
      <w:r w:rsidRPr="001F63BA">
        <w:rPr>
          <w:rFonts w:ascii="GHEA Grapalat" w:hAnsi="GHEA Grapalat" w:cs="Sylfaen"/>
          <w:sz w:val="22"/>
          <w:szCs w:val="22"/>
          <w:lang w:val="de-AT"/>
        </w:rPr>
        <w:t xml:space="preserve"> </w:t>
      </w:r>
      <w:r w:rsidRPr="001F63BA">
        <w:rPr>
          <w:rFonts w:ascii="GHEA Grapalat" w:hAnsi="GHEA Grapalat" w:cs="Sylfaen"/>
          <w:sz w:val="22"/>
          <w:szCs w:val="22"/>
        </w:rPr>
        <w:t>ներառում</w:t>
      </w:r>
      <w:r w:rsidRPr="001F63BA">
        <w:rPr>
          <w:rFonts w:ascii="GHEA Grapalat" w:hAnsi="GHEA Grapalat" w:cs="Sylfaen"/>
          <w:sz w:val="22"/>
          <w:szCs w:val="22"/>
          <w:lang w:val="de-AT"/>
        </w:rPr>
        <w:t xml:space="preserve"> </w:t>
      </w:r>
      <w:r w:rsidRPr="001F63BA">
        <w:rPr>
          <w:rFonts w:ascii="GHEA Grapalat" w:hAnsi="GHEA Grapalat" w:cs="Sylfaen"/>
          <w:sz w:val="22"/>
          <w:szCs w:val="22"/>
        </w:rPr>
        <w:t>են</w:t>
      </w:r>
      <w:r w:rsidRPr="001F63BA">
        <w:rPr>
          <w:rFonts w:ascii="GHEA Grapalat" w:hAnsi="GHEA Grapalat" w:cs="Sylfaen"/>
          <w:sz w:val="22"/>
          <w:szCs w:val="22"/>
          <w:lang w:val="de-AT"/>
        </w:rPr>
        <w:t xml:space="preserve"> </w:t>
      </w:r>
      <w:r w:rsidRPr="001F63BA">
        <w:rPr>
          <w:rFonts w:ascii="GHEA Grapalat" w:hAnsi="GHEA Grapalat" w:cs="Sylfaen"/>
          <w:sz w:val="22"/>
          <w:szCs w:val="22"/>
        </w:rPr>
        <w:t>կացարանի</w:t>
      </w:r>
      <w:r w:rsidRPr="001F63BA">
        <w:rPr>
          <w:rFonts w:ascii="GHEA Grapalat" w:hAnsi="GHEA Grapalat" w:cs="Sylfaen"/>
          <w:sz w:val="22"/>
          <w:szCs w:val="22"/>
          <w:lang w:val="de-AT"/>
        </w:rPr>
        <w:t xml:space="preserve">, </w:t>
      </w:r>
      <w:r w:rsidRPr="001F63BA">
        <w:rPr>
          <w:rFonts w:ascii="GHEA Grapalat" w:hAnsi="GHEA Grapalat" w:cs="Sylfaen"/>
          <w:sz w:val="22"/>
          <w:szCs w:val="22"/>
        </w:rPr>
        <w:t>կենսապահովման</w:t>
      </w:r>
      <w:r w:rsidRPr="001F63BA">
        <w:rPr>
          <w:rFonts w:ascii="GHEA Grapalat" w:hAnsi="GHEA Grapalat" w:cs="Sylfaen"/>
          <w:sz w:val="22"/>
          <w:szCs w:val="22"/>
          <w:lang w:val="de-AT"/>
        </w:rPr>
        <w:t xml:space="preserve"> </w:t>
      </w:r>
      <w:r w:rsidRPr="001F63BA">
        <w:rPr>
          <w:rFonts w:ascii="GHEA Grapalat" w:hAnsi="GHEA Grapalat" w:cs="Sylfaen"/>
          <w:sz w:val="22"/>
          <w:szCs w:val="22"/>
        </w:rPr>
        <w:t>համար</w:t>
      </w:r>
      <w:r w:rsidRPr="001F63BA">
        <w:rPr>
          <w:rFonts w:ascii="GHEA Grapalat" w:hAnsi="GHEA Grapalat" w:cs="Sylfaen"/>
          <w:sz w:val="22"/>
          <w:szCs w:val="22"/>
          <w:lang w:val="de-AT"/>
        </w:rPr>
        <w:t xml:space="preserve"> </w:t>
      </w:r>
      <w:r w:rsidRPr="001F63BA">
        <w:rPr>
          <w:rFonts w:ascii="GHEA Grapalat" w:hAnsi="GHEA Grapalat" w:cs="Sylfaen"/>
          <w:sz w:val="22"/>
          <w:szCs w:val="22"/>
        </w:rPr>
        <w:t>անհրաժեշտ</w:t>
      </w:r>
      <w:r w:rsidRPr="001F63BA">
        <w:rPr>
          <w:rFonts w:ascii="GHEA Grapalat" w:hAnsi="GHEA Grapalat" w:cs="Sylfaen"/>
          <w:sz w:val="22"/>
          <w:szCs w:val="22"/>
          <w:lang w:val="de-AT"/>
        </w:rPr>
        <w:t xml:space="preserve"> </w:t>
      </w:r>
      <w:r w:rsidRPr="001F63BA">
        <w:rPr>
          <w:rFonts w:ascii="GHEA Grapalat" w:hAnsi="GHEA Grapalat" w:cs="Sylfaen"/>
          <w:sz w:val="22"/>
          <w:szCs w:val="22"/>
        </w:rPr>
        <w:t>պայմանների</w:t>
      </w:r>
      <w:r w:rsidRPr="001F63BA">
        <w:rPr>
          <w:rFonts w:ascii="GHEA Grapalat" w:hAnsi="GHEA Grapalat" w:cs="Sylfaen"/>
          <w:sz w:val="22"/>
          <w:szCs w:val="22"/>
          <w:lang w:val="de-AT"/>
        </w:rPr>
        <w:t xml:space="preserve">, </w:t>
      </w:r>
      <w:r w:rsidRPr="001F63BA">
        <w:rPr>
          <w:rFonts w:ascii="GHEA Grapalat" w:hAnsi="GHEA Grapalat" w:cs="Sylfaen"/>
          <w:sz w:val="22"/>
          <w:szCs w:val="22"/>
        </w:rPr>
        <w:t>սննդով</w:t>
      </w:r>
      <w:r w:rsidRPr="001F63BA">
        <w:rPr>
          <w:rFonts w:ascii="GHEA Grapalat" w:hAnsi="GHEA Grapalat" w:cs="Sylfaen"/>
          <w:sz w:val="22"/>
          <w:szCs w:val="22"/>
          <w:lang w:val="de-AT"/>
        </w:rPr>
        <w:t xml:space="preserve">, </w:t>
      </w:r>
      <w:r w:rsidRPr="001F63BA">
        <w:rPr>
          <w:rFonts w:ascii="GHEA Grapalat" w:hAnsi="GHEA Grapalat" w:cs="Sylfaen"/>
          <w:sz w:val="22"/>
          <w:szCs w:val="22"/>
        </w:rPr>
        <w:t>հագուստով</w:t>
      </w:r>
      <w:r w:rsidRPr="001F63BA">
        <w:rPr>
          <w:rFonts w:ascii="GHEA Grapalat" w:hAnsi="GHEA Grapalat" w:cs="Sylfaen"/>
          <w:sz w:val="22"/>
          <w:szCs w:val="22"/>
          <w:lang w:val="de-AT"/>
        </w:rPr>
        <w:t xml:space="preserve">, </w:t>
      </w:r>
      <w:r w:rsidRPr="001F63BA">
        <w:rPr>
          <w:rFonts w:ascii="GHEA Grapalat" w:hAnsi="GHEA Grapalat" w:cs="Sylfaen"/>
          <w:sz w:val="22"/>
          <w:szCs w:val="22"/>
        </w:rPr>
        <w:t>կոշկեղենով</w:t>
      </w:r>
      <w:r w:rsidRPr="001F63BA">
        <w:rPr>
          <w:rFonts w:ascii="GHEA Grapalat" w:hAnsi="GHEA Grapalat" w:cs="Sylfaen"/>
          <w:sz w:val="22"/>
          <w:szCs w:val="22"/>
          <w:lang w:val="de-AT"/>
        </w:rPr>
        <w:t xml:space="preserve">, </w:t>
      </w:r>
      <w:r w:rsidRPr="001F63BA">
        <w:rPr>
          <w:rFonts w:ascii="GHEA Grapalat" w:hAnsi="GHEA Grapalat" w:cs="Sylfaen"/>
          <w:sz w:val="22"/>
          <w:szCs w:val="22"/>
        </w:rPr>
        <w:t>անկողնային</w:t>
      </w:r>
      <w:r w:rsidRPr="001F63BA">
        <w:rPr>
          <w:rFonts w:ascii="GHEA Grapalat" w:hAnsi="GHEA Grapalat" w:cs="Sylfaen"/>
          <w:sz w:val="22"/>
          <w:szCs w:val="22"/>
          <w:lang w:val="de-AT"/>
        </w:rPr>
        <w:t xml:space="preserve"> </w:t>
      </w:r>
      <w:r w:rsidRPr="001F63BA">
        <w:rPr>
          <w:rFonts w:ascii="GHEA Grapalat" w:hAnsi="GHEA Grapalat" w:cs="Sylfaen"/>
          <w:sz w:val="22"/>
          <w:szCs w:val="22"/>
        </w:rPr>
        <w:t>պարագաներով</w:t>
      </w:r>
      <w:r w:rsidRPr="001F63BA">
        <w:rPr>
          <w:rFonts w:ascii="GHEA Grapalat" w:hAnsi="GHEA Grapalat" w:cs="Sylfaen"/>
          <w:sz w:val="22"/>
          <w:szCs w:val="22"/>
          <w:lang w:val="de-AT"/>
        </w:rPr>
        <w:t xml:space="preserve"> </w:t>
      </w:r>
      <w:r w:rsidRPr="001F63BA">
        <w:rPr>
          <w:rFonts w:ascii="GHEA Grapalat" w:hAnsi="GHEA Grapalat" w:cs="Sylfaen"/>
          <w:sz w:val="22"/>
          <w:szCs w:val="22"/>
        </w:rPr>
        <w:t>ապահովումը</w:t>
      </w:r>
      <w:r w:rsidRPr="001F63BA">
        <w:rPr>
          <w:rFonts w:ascii="GHEA Grapalat" w:hAnsi="GHEA Grapalat" w:cs="Sylfaen"/>
          <w:sz w:val="22"/>
          <w:szCs w:val="22"/>
          <w:lang w:val="de-AT"/>
        </w:rPr>
        <w:t xml:space="preserve">, </w:t>
      </w:r>
      <w:r w:rsidRPr="001F63BA">
        <w:rPr>
          <w:rFonts w:ascii="GHEA Grapalat" w:hAnsi="GHEA Grapalat" w:cs="Sylfaen"/>
          <w:sz w:val="22"/>
          <w:szCs w:val="22"/>
        </w:rPr>
        <w:t>բժշկական</w:t>
      </w:r>
      <w:r w:rsidRPr="001F63BA">
        <w:rPr>
          <w:rFonts w:ascii="GHEA Grapalat" w:hAnsi="GHEA Grapalat" w:cs="Sylfaen"/>
          <w:sz w:val="22"/>
          <w:szCs w:val="22"/>
          <w:lang w:val="de-AT"/>
        </w:rPr>
        <w:t xml:space="preserve"> </w:t>
      </w:r>
      <w:r w:rsidRPr="001F63BA">
        <w:rPr>
          <w:rFonts w:ascii="GHEA Grapalat" w:hAnsi="GHEA Grapalat" w:cs="Sylfaen"/>
          <w:sz w:val="22"/>
          <w:szCs w:val="22"/>
        </w:rPr>
        <w:t>օգնության</w:t>
      </w:r>
      <w:r w:rsidRPr="001F63BA">
        <w:rPr>
          <w:rFonts w:ascii="GHEA Grapalat" w:hAnsi="GHEA Grapalat" w:cs="Sylfaen"/>
          <w:sz w:val="22"/>
          <w:szCs w:val="22"/>
          <w:lang w:val="de-AT"/>
        </w:rPr>
        <w:t xml:space="preserve"> </w:t>
      </w:r>
      <w:r w:rsidRPr="001F63BA">
        <w:rPr>
          <w:rFonts w:ascii="GHEA Grapalat" w:hAnsi="GHEA Grapalat" w:cs="Sylfaen"/>
          <w:sz w:val="22"/>
          <w:szCs w:val="22"/>
        </w:rPr>
        <w:t>ու</w:t>
      </w:r>
      <w:r w:rsidRPr="001F63BA">
        <w:rPr>
          <w:rFonts w:ascii="GHEA Grapalat" w:hAnsi="GHEA Grapalat" w:cs="Sylfaen"/>
          <w:sz w:val="22"/>
          <w:szCs w:val="22"/>
          <w:lang w:val="de-AT"/>
        </w:rPr>
        <w:t xml:space="preserve"> </w:t>
      </w:r>
      <w:r w:rsidRPr="001F63BA">
        <w:rPr>
          <w:rFonts w:ascii="GHEA Grapalat" w:hAnsi="GHEA Grapalat" w:cs="Sylfaen"/>
          <w:sz w:val="22"/>
          <w:szCs w:val="22"/>
        </w:rPr>
        <w:t>սպասարկման</w:t>
      </w:r>
      <w:r w:rsidRPr="001F63BA">
        <w:rPr>
          <w:rFonts w:ascii="GHEA Grapalat" w:hAnsi="GHEA Grapalat" w:cs="Sylfaen"/>
          <w:sz w:val="22"/>
          <w:szCs w:val="22"/>
          <w:lang w:val="de-AT"/>
        </w:rPr>
        <w:t xml:space="preserve">, </w:t>
      </w:r>
      <w:r w:rsidRPr="001F63BA">
        <w:rPr>
          <w:rFonts w:ascii="GHEA Grapalat" w:hAnsi="GHEA Grapalat" w:cs="Sylfaen"/>
          <w:sz w:val="22"/>
          <w:szCs w:val="22"/>
        </w:rPr>
        <w:t>սոցիալ</w:t>
      </w:r>
      <w:r w:rsidRPr="001F63BA">
        <w:rPr>
          <w:rFonts w:ascii="GHEA Grapalat" w:hAnsi="GHEA Grapalat" w:cs="Sylfaen"/>
          <w:sz w:val="22"/>
          <w:szCs w:val="22"/>
          <w:lang w:val="de-AT"/>
        </w:rPr>
        <w:t>-</w:t>
      </w:r>
      <w:r w:rsidRPr="001F63BA">
        <w:rPr>
          <w:rFonts w:ascii="GHEA Grapalat" w:hAnsi="GHEA Grapalat" w:cs="Sylfaen"/>
          <w:sz w:val="22"/>
          <w:szCs w:val="22"/>
        </w:rPr>
        <w:t>հոգեբանական</w:t>
      </w:r>
      <w:r w:rsidRPr="001F63BA">
        <w:rPr>
          <w:rFonts w:ascii="GHEA Grapalat" w:hAnsi="GHEA Grapalat" w:cs="Sylfaen"/>
          <w:sz w:val="22"/>
          <w:szCs w:val="22"/>
          <w:lang w:val="de-AT"/>
        </w:rPr>
        <w:t xml:space="preserve"> </w:t>
      </w:r>
      <w:r w:rsidRPr="001F63BA">
        <w:rPr>
          <w:rFonts w:ascii="GHEA Grapalat" w:hAnsi="GHEA Grapalat" w:cs="Sylfaen"/>
          <w:sz w:val="22"/>
          <w:szCs w:val="22"/>
        </w:rPr>
        <w:t>և</w:t>
      </w:r>
      <w:r w:rsidRPr="001F63BA">
        <w:rPr>
          <w:rFonts w:ascii="GHEA Grapalat" w:hAnsi="GHEA Grapalat" w:cs="Sylfaen"/>
          <w:sz w:val="22"/>
          <w:szCs w:val="22"/>
          <w:lang w:val="de-AT"/>
        </w:rPr>
        <w:t xml:space="preserve"> </w:t>
      </w:r>
      <w:r w:rsidRPr="001F63BA">
        <w:rPr>
          <w:rFonts w:ascii="GHEA Grapalat" w:hAnsi="GHEA Grapalat" w:cs="Sylfaen"/>
          <w:sz w:val="22"/>
          <w:szCs w:val="22"/>
        </w:rPr>
        <w:t>իրավաբանական</w:t>
      </w:r>
      <w:r w:rsidRPr="001F63BA">
        <w:rPr>
          <w:rFonts w:ascii="GHEA Grapalat" w:hAnsi="GHEA Grapalat" w:cs="Sylfaen"/>
          <w:sz w:val="22"/>
          <w:szCs w:val="22"/>
          <w:lang w:val="de-AT"/>
        </w:rPr>
        <w:t xml:space="preserve"> </w:t>
      </w:r>
      <w:r w:rsidRPr="001F63BA">
        <w:rPr>
          <w:rFonts w:ascii="GHEA Grapalat" w:hAnsi="GHEA Grapalat" w:cs="Sylfaen"/>
          <w:sz w:val="22"/>
          <w:szCs w:val="22"/>
        </w:rPr>
        <w:t>օգնության</w:t>
      </w:r>
      <w:r w:rsidRPr="001F63BA">
        <w:rPr>
          <w:rFonts w:ascii="GHEA Grapalat" w:hAnsi="GHEA Grapalat" w:cs="Sylfaen"/>
          <w:sz w:val="22"/>
          <w:szCs w:val="22"/>
          <w:lang w:val="de-AT"/>
        </w:rPr>
        <w:t xml:space="preserve"> </w:t>
      </w:r>
      <w:r w:rsidRPr="001F63BA">
        <w:rPr>
          <w:rFonts w:ascii="GHEA Grapalat" w:hAnsi="GHEA Grapalat" w:cs="Sylfaen"/>
          <w:sz w:val="22"/>
          <w:szCs w:val="22"/>
        </w:rPr>
        <w:t>տրամադրումը</w:t>
      </w:r>
      <w:r w:rsidRPr="001F63BA">
        <w:rPr>
          <w:rFonts w:ascii="GHEA Grapalat" w:hAnsi="GHEA Grapalat" w:cs="Sylfaen"/>
          <w:sz w:val="22"/>
          <w:szCs w:val="22"/>
          <w:lang w:val="de-AT"/>
        </w:rPr>
        <w:t xml:space="preserve">, </w:t>
      </w:r>
      <w:r w:rsidRPr="001F63BA">
        <w:rPr>
          <w:rFonts w:ascii="GHEA Grapalat" w:hAnsi="GHEA Grapalat" w:cs="Sylfaen"/>
          <w:sz w:val="22"/>
          <w:szCs w:val="22"/>
        </w:rPr>
        <w:t>մշակութային</w:t>
      </w:r>
      <w:r w:rsidRPr="001F63BA">
        <w:rPr>
          <w:rFonts w:ascii="GHEA Grapalat" w:hAnsi="GHEA Grapalat" w:cs="Sylfaen"/>
          <w:sz w:val="22"/>
          <w:szCs w:val="22"/>
          <w:lang w:val="de-AT"/>
        </w:rPr>
        <w:t xml:space="preserve"> </w:t>
      </w:r>
      <w:r w:rsidRPr="001F63BA">
        <w:rPr>
          <w:rFonts w:ascii="GHEA Grapalat" w:hAnsi="GHEA Grapalat" w:cs="Sylfaen"/>
          <w:sz w:val="22"/>
          <w:szCs w:val="22"/>
        </w:rPr>
        <w:t>միջոցառումների</w:t>
      </w:r>
      <w:r w:rsidRPr="001F63BA">
        <w:rPr>
          <w:rFonts w:ascii="GHEA Grapalat" w:hAnsi="GHEA Grapalat" w:cs="Sylfaen"/>
          <w:sz w:val="22"/>
          <w:szCs w:val="22"/>
          <w:lang w:val="de-AT"/>
        </w:rPr>
        <w:t xml:space="preserve"> </w:t>
      </w:r>
      <w:r w:rsidRPr="001F63BA">
        <w:rPr>
          <w:rFonts w:ascii="GHEA Grapalat" w:hAnsi="GHEA Grapalat" w:cs="Sylfaen"/>
          <w:sz w:val="22"/>
          <w:szCs w:val="22"/>
        </w:rPr>
        <w:t>կազմակերպումը:</w:t>
      </w:r>
      <w:r w:rsidRPr="001F63BA">
        <w:rPr>
          <w:rFonts w:ascii="GHEA Grapalat" w:hAnsi="GHEA Grapalat" w:cs="Sylfaen"/>
          <w:sz w:val="22"/>
          <w:szCs w:val="22"/>
          <w:lang w:val="de-AT"/>
        </w:rPr>
        <w:t xml:space="preserve"> </w:t>
      </w:r>
      <w:r w:rsidRPr="001F63BA">
        <w:rPr>
          <w:rFonts w:ascii="GHEA Grapalat" w:hAnsi="GHEA Grapalat"/>
          <w:sz w:val="22"/>
          <w:szCs w:val="22"/>
        </w:rPr>
        <w:t>Տարեցների և հաշմանդամություն ունեցող 18 տարին լրացած անձանց շուրջօրյա խնամքի ծառայությունների ծախսերը կազմել են ավելի քան 2.4</w:t>
      </w:r>
      <w:r w:rsidRPr="001F63BA">
        <w:rPr>
          <w:rFonts w:ascii="Courier New" w:hAnsi="Courier New" w:cs="Courier New"/>
          <w:sz w:val="22"/>
          <w:szCs w:val="22"/>
          <w:lang w:val="en-US"/>
        </w:rPr>
        <w:t> </w:t>
      </w:r>
      <w:r w:rsidRPr="001F63BA">
        <w:rPr>
          <w:rFonts w:ascii="GHEA Grapalat" w:hAnsi="GHEA Grapalat"/>
          <w:sz w:val="22"/>
          <w:szCs w:val="22"/>
        </w:rPr>
        <w:t>մլրդ դրամ կամ նախատեսվածի 96.9%-ը:</w:t>
      </w:r>
      <w:r w:rsidRPr="001F63BA">
        <w:rPr>
          <w:rFonts w:ascii="GHEA Grapalat" w:hAnsi="GHEA Grapalat" w:cs="Sylfaen"/>
          <w:sz w:val="22"/>
          <w:szCs w:val="22"/>
        </w:rPr>
        <w:t xml:space="preserve"> Նշված</w:t>
      </w:r>
      <w:r w:rsidRPr="001F63BA">
        <w:rPr>
          <w:rFonts w:ascii="GHEA Grapalat" w:hAnsi="GHEA Grapalat" w:cs="Sylfaen"/>
          <w:sz w:val="22"/>
          <w:szCs w:val="22"/>
          <w:lang w:val="de-AT"/>
        </w:rPr>
        <w:t xml:space="preserve"> </w:t>
      </w:r>
      <w:r w:rsidRPr="001F63BA">
        <w:rPr>
          <w:rFonts w:ascii="GHEA Grapalat" w:hAnsi="GHEA Grapalat" w:cs="Sylfaen"/>
          <w:sz w:val="22"/>
          <w:szCs w:val="22"/>
        </w:rPr>
        <w:t>ծախսերը</w:t>
      </w:r>
      <w:r w:rsidRPr="001F63BA">
        <w:rPr>
          <w:rFonts w:ascii="GHEA Grapalat" w:hAnsi="GHEA Grapalat" w:cs="Sylfaen"/>
          <w:sz w:val="22"/>
          <w:szCs w:val="22"/>
          <w:lang w:val="de-AT"/>
        </w:rPr>
        <w:t xml:space="preserve"> </w:t>
      </w:r>
      <w:r w:rsidRPr="001F63BA">
        <w:rPr>
          <w:rFonts w:ascii="GHEA Grapalat" w:hAnsi="GHEA Grapalat" w:cs="Sylfaen"/>
          <w:sz w:val="22"/>
          <w:szCs w:val="22"/>
        </w:rPr>
        <w:t>նախորդ</w:t>
      </w:r>
      <w:r w:rsidRPr="001F63BA">
        <w:rPr>
          <w:rFonts w:ascii="GHEA Grapalat" w:hAnsi="GHEA Grapalat" w:cs="Sylfaen"/>
          <w:sz w:val="22"/>
          <w:szCs w:val="22"/>
          <w:lang w:val="de-AT"/>
        </w:rPr>
        <w:t xml:space="preserve"> </w:t>
      </w:r>
      <w:r w:rsidRPr="001F63BA">
        <w:rPr>
          <w:rFonts w:ascii="GHEA Grapalat" w:hAnsi="GHEA Grapalat" w:cs="Sylfaen"/>
          <w:sz w:val="22"/>
          <w:szCs w:val="22"/>
        </w:rPr>
        <w:t>տարվա</w:t>
      </w:r>
      <w:r w:rsidRPr="001F63BA">
        <w:rPr>
          <w:rFonts w:ascii="GHEA Grapalat" w:hAnsi="GHEA Grapalat" w:cs="Sylfaen"/>
          <w:sz w:val="22"/>
          <w:szCs w:val="22"/>
          <w:lang w:val="de-AT"/>
        </w:rPr>
        <w:t xml:space="preserve"> </w:t>
      </w:r>
      <w:r w:rsidRPr="001F63BA">
        <w:rPr>
          <w:rFonts w:ascii="GHEA Grapalat" w:hAnsi="GHEA Grapalat" w:cs="Sylfaen"/>
          <w:sz w:val="22"/>
          <w:szCs w:val="22"/>
        </w:rPr>
        <w:t>համեմատ</w:t>
      </w:r>
      <w:r w:rsidRPr="001F63BA">
        <w:rPr>
          <w:rFonts w:ascii="GHEA Grapalat" w:hAnsi="GHEA Grapalat" w:cs="Sylfaen"/>
          <w:sz w:val="22"/>
          <w:szCs w:val="22"/>
          <w:lang w:val="de-AT"/>
        </w:rPr>
        <w:t xml:space="preserve"> աճել </w:t>
      </w:r>
      <w:r w:rsidRPr="001F63BA">
        <w:rPr>
          <w:rFonts w:ascii="GHEA Grapalat" w:hAnsi="GHEA Grapalat" w:cs="Sylfaen"/>
          <w:sz w:val="22"/>
          <w:szCs w:val="22"/>
        </w:rPr>
        <w:t>են</w:t>
      </w:r>
      <w:r w:rsidRPr="001F63BA">
        <w:rPr>
          <w:rFonts w:ascii="GHEA Grapalat" w:hAnsi="GHEA Grapalat" w:cs="Sylfaen"/>
          <w:sz w:val="22"/>
          <w:szCs w:val="22"/>
          <w:lang w:val="de-AT"/>
        </w:rPr>
        <w:t xml:space="preserve"> 2.9%-</w:t>
      </w:r>
      <w:r w:rsidRPr="001F63BA">
        <w:rPr>
          <w:rFonts w:ascii="GHEA Grapalat" w:hAnsi="GHEA Grapalat" w:cs="Sylfaen"/>
          <w:sz w:val="22"/>
          <w:szCs w:val="22"/>
        </w:rPr>
        <w:t>ով</w:t>
      </w:r>
      <w:r w:rsidRPr="001F63BA">
        <w:rPr>
          <w:rFonts w:ascii="GHEA Grapalat" w:hAnsi="GHEA Grapalat" w:cs="Sylfaen"/>
          <w:sz w:val="22"/>
          <w:szCs w:val="22"/>
          <w:lang w:val="en-US"/>
        </w:rPr>
        <w:t xml:space="preserve"> (68.4 մլն դրամով)</w:t>
      </w:r>
      <w:r w:rsidRPr="001F63BA">
        <w:rPr>
          <w:rFonts w:ascii="GHEA Grapalat" w:hAnsi="GHEA Grapalat" w:cs="Sylfaen"/>
          <w:sz w:val="22"/>
          <w:szCs w:val="22"/>
          <w:lang w:val="de-AT"/>
        </w:rPr>
        <w:t xml:space="preserve">, </w:t>
      </w:r>
      <w:r w:rsidRPr="001F63BA">
        <w:rPr>
          <w:rFonts w:ascii="GHEA Grapalat" w:hAnsi="GHEA Grapalat" w:cs="Sylfaen"/>
          <w:sz w:val="22"/>
          <w:szCs w:val="22"/>
        </w:rPr>
        <w:t>որը</w:t>
      </w:r>
      <w:r w:rsidRPr="001F63BA">
        <w:rPr>
          <w:rFonts w:ascii="GHEA Grapalat" w:hAnsi="GHEA Grapalat" w:cs="Sylfaen"/>
          <w:sz w:val="22"/>
          <w:szCs w:val="22"/>
          <w:lang w:val="de-AT"/>
        </w:rPr>
        <w:t xml:space="preserve"> </w:t>
      </w:r>
      <w:r w:rsidRPr="001F63BA">
        <w:rPr>
          <w:rFonts w:ascii="GHEA Grapalat" w:hAnsi="GHEA Grapalat" w:cs="Sylfaen"/>
          <w:sz w:val="22"/>
          <w:szCs w:val="22"/>
        </w:rPr>
        <w:t>պայմանավորված</w:t>
      </w:r>
      <w:r w:rsidRPr="001F63BA">
        <w:rPr>
          <w:rFonts w:ascii="GHEA Grapalat" w:hAnsi="GHEA Grapalat" w:cs="Sylfaen"/>
          <w:sz w:val="22"/>
          <w:szCs w:val="22"/>
          <w:lang w:val="de-AT"/>
        </w:rPr>
        <w:t xml:space="preserve"> </w:t>
      </w:r>
      <w:r w:rsidRPr="001F63BA">
        <w:rPr>
          <w:rFonts w:ascii="GHEA Grapalat" w:hAnsi="GHEA Grapalat" w:cs="Sylfaen"/>
          <w:sz w:val="22"/>
          <w:szCs w:val="22"/>
        </w:rPr>
        <w:t>է</w:t>
      </w:r>
      <w:r w:rsidRPr="001F63BA">
        <w:rPr>
          <w:rFonts w:ascii="GHEA Grapalat" w:hAnsi="GHEA Grapalat" w:cs="Sylfaen"/>
          <w:sz w:val="22"/>
          <w:szCs w:val="22"/>
          <w:lang w:val="de-AT"/>
        </w:rPr>
        <w:t xml:space="preserve"> </w:t>
      </w:r>
      <w:r w:rsidRPr="001F63BA">
        <w:rPr>
          <w:rFonts w:ascii="GHEA Grapalat" w:hAnsi="GHEA Grapalat" w:cs="Sylfaen"/>
          <w:sz w:val="22"/>
          <w:szCs w:val="22"/>
        </w:rPr>
        <w:t>շուրջօրյա խնամք ստացող շահառուների թվի աճով:</w:t>
      </w:r>
    </w:p>
    <w:p w:rsidR="001C411D" w:rsidRPr="001F63BA" w:rsidRDefault="001C411D" w:rsidP="004D0965">
      <w:pPr>
        <w:pStyle w:val="ListParagraph"/>
        <w:spacing w:line="360" w:lineRule="auto"/>
        <w:ind w:left="0" w:firstLine="567"/>
        <w:jc w:val="both"/>
        <w:rPr>
          <w:rFonts w:ascii="GHEA Grapalat" w:hAnsi="GHEA Grapalat" w:cs="Times Armenian"/>
          <w:lang w:val="en-US"/>
        </w:rPr>
      </w:pPr>
      <w:r w:rsidRPr="001F63BA">
        <w:rPr>
          <w:rFonts w:ascii="GHEA Grapalat" w:hAnsi="GHEA Grapalat"/>
        </w:rPr>
        <w:lastRenderedPageBreak/>
        <w:t xml:space="preserve">2022 </w:t>
      </w:r>
      <w:r w:rsidRPr="001F63BA">
        <w:rPr>
          <w:rFonts w:ascii="GHEA Grapalat" w:hAnsi="GHEA Grapalat" w:cs="Arial"/>
        </w:rPr>
        <w:t>թվականի ընթացքում</w:t>
      </w:r>
      <w:r w:rsidRPr="001F63BA">
        <w:rPr>
          <w:rFonts w:ascii="GHEA Grapalat" w:hAnsi="GHEA Grapalat" w:cs="Sylfaen"/>
          <w:i/>
        </w:rPr>
        <w:t xml:space="preserve"> Ընտանիքներին, կանանց և երեխաներին աջակցության</w:t>
      </w:r>
      <w:r w:rsidRPr="001F63BA">
        <w:rPr>
          <w:rFonts w:ascii="GHEA Grapalat" w:hAnsi="GHEA Grapalat" w:cs="Sylfaen"/>
        </w:rPr>
        <w:t xml:space="preserve"> ծրագրի շրջանակներում օգտագործվել է ավելի քան 3 մլրդ դրամ՝ կազմելով ծրագրված ցուցանիշի 91.5</w:t>
      </w:r>
      <w:r w:rsidRPr="001F63BA">
        <w:rPr>
          <w:rFonts w:ascii="GHEA Grapalat" w:hAnsi="GHEA Grapalat" w:cs="Times Armenian"/>
        </w:rPr>
        <w:t>%-ը, ընդ որում, ծրագրի բոլոր միջոցառումներում արձանագրվել են շեղումներ:</w:t>
      </w:r>
      <w:r w:rsidRPr="001F63BA">
        <w:t xml:space="preserve"> </w:t>
      </w:r>
      <w:r w:rsidRPr="001F63BA">
        <w:rPr>
          <w:rFonts w:ascii="GHEA Grapalat" w:hAnsi="GHEA Grapalat" w:cs="Times Armenian"/>
        </w:rPr>
        <w:t>Ծրագիրն ուղղված է ընտանիքներին՝ կանանց և երեխաներին մատուցվող սոցիալական ծառայությունների և դրանց հասցեականության բարելավմանը</w:t>
      </w:r>
      <w:r w:rsidRPr="001F63BA">
        <w:rPr>
          <w:rFonts w:ascii="GHEA Grapalat" w:hAnsi="GHEA Grapalat" w:cs="Times Armenian"/>
          <w:lang w:val="en-US"/>
        </w:rPr>
        <w:t>,</w:t>
      </w:r>
      <w:r w:rsidRPr="001F63BA">
        <w:rPr>
          <w:rFonts w:ascii="GHEA Grapalat" w:hAnsi="GHEA Grapalat" w:cs="Times Armenian"/>
        </w:rPr>
        <w:t xml:space="preserve"> նրանց</w:t>
      </w:r>
      <w:r w:rsidRPr="001F63BA">
        <w:rPr>
          <w:rFonts w:ascii="GHEA Grapalat" w:hAnsi="GHEA Grapalat" w:cs="Times Armenian"/>
          <w:lang w:val="en-US"/>
        </w:rPr>
        <w:t>՝</w:t>
      </w:r>
      <w:r w:rsidRPr="001F63BA">
        <w:rPr>
          <w:rFonts w:ascii="GHEA Grapalat" w:hAnsi="GHEA Grapalat" w:cs="Times Armenian"/>
        </w:rPr>
        <w:t xml:space="preserve"> հասարակություն ինտեգրմանը</w:t>
      </w:r>
      <w:r w:rsidRPr="001F63BA">
        <w:rPr>
          <w:rFonts w:ascii="GHEA Grapalat" w:hAnsi="GHEA Grapalat" w:cs="Browallia New"/>
          <w:b/>
        </w:rPr>
        <w:t>:</w:t>
      </w:r>
      <w:r w:rsidRPr="001F63BA">
        <w:rPr>
          <w:rFonts w:ascii="GHEA Grapalat" w:hAnsi="GHEA Grapalat"/>
        </w:rPr>
        <w:t xml:space="preserve"> Նախորդ տարվա</w:t>
      </w:r>
      <w:r w:rsidRPr="001F63BA">
        <w:rPr>
          <w:rFonts w:ascii="GHEA Grapalat" w:hAnsi="GHEA Grapalat" w:cs="Sylfaen"/>
        </w:rPr>
        <w:t xml:space="preserve"> համեմատ </w:t>
      </w:r>
      <w:r w:rsidRPr="001F63BA">
        <w:rPr>
          <w:rFonts w:ascii="GHEA Grapalat" w:hAnsi="GHEA Grapalat" w:cs="Times Armenian"/>
        </w:rPr>
        <w:t>Ընտանիքներին, կանանց և երեխաներին աջակցության ծրագրի ծախ</w:t>
      </w:r>
      <w:r w:rsidRPr="001F63BA">
        <w:rPr>
          <w:rFonts w:ascii="GHEA Grapalat" w:hAnsi="GHEA Grapalat" w:cs="Sylfaen"/>
        </w:rPr>
        <w:t>սերն աճել են 1.8</w:t>
      </w:r>
      <w:r w:rsidRPr="001F63BA">
        <w:rPr>
          <w:rFonts w:ascii="GHEA Grapalat" w:hAnsi="GHEA Grapalat" w:cs="Times Armenian"/>
        </w:rPr>
        <w:t>%</w:t>
      </w:r>
      <w:r w:rsidRPr="001F63BA">
        <w:rPr>
          <w:rFonts w:ascii="GHEA Grapalat" w:hAnsi="GHEA Grapalat" w:cs="Times Armenian"/>
          <w:lang w:val="en-US"/>
        </w:rPr>
        <w:noBreakHyphen/>
      </w:r>
      <w:r w:rsidRPr="001F63BA">
        <w:rPr>
          <w:rFonts w:ascii="GHEA Grapalat" w:hAnsi="GHEA Grapalat" w:cs="Times Armenian"/>
        </w:rPr>
        <w:t>ով կամ 52.6 մլն դրամով` հիմնականում պայմանավորված կյանքի դժվարին իրավիճակում հայտնված երեխաներին ժամանակավոր խնամքի տրամադրման ծառայությունների և երեխաների և ընտանիքների աջակցության տրամադրման ծառայությունների գծով ծախսերի համապատասխանաբար 34.6% (62.7 մլն դրամ) և 9.5% (42.4 մլն դրամ) աճով:</w:t>
      </w:r>
    </w:p>
    <w:p w:rsidR="001C411D" w:rsidRPr="001F63BA" w:rsidRDefault="001C411D" w:rsidP="004D0965">
      <w:pPr>
        <w:pStyle w:val="ListParagraph"/>
        <w:spacing w:line="360" w:lineRule="auto"/>
        <w:ind w:left="0" w:firstLine="567"/>
        <w:jc w:val="both"/>
        <w:rPr>
          <w:rFonts w:ascii="GHEA Grapalat" w:hAnsi="GHEA Grapalat"/>
        </w:rPr>
      </w:pPr>
      <w:r w:rsidRPr="001F63BA">
        <w:rPr>
          <w:rFonts w:ascii="GHEA Grapalat" w:hAnsi="GHEA Grapalat" w:cs="Times Armenian"/>
        </w:rPr>
        <w:t xml:space="preserve">Երեխաների շուրջօրյա խնամքի </w:t>
      </w:r>
      <w:r w:rsidRPr="001F63BA">
        <w:rPr>
          <w:rFonts w:ascii="GHEA Grapalat" w:hAnsi="GHEA Grapalat" w:cs="Sylfaen"/>
        </w:rPr>
        <w:t>ծառայությունների միջոցառման շրջանակներում հաշվետու տարում բնակչության սոցիալական պաշտպանության ընդհանուր տիպի և հատուկ/մասնագիտացված 5 հաստատություններում խնամվել է 573 երեխա՝ կանխատեսված 585-</w:t>
      </w:r>
      <w:r w:rsidRPr="001F63BA">
        <w:rPr>
          <w:rFonts w:ascii="GHEA Grapalat" w:hAnsi="GHEA Grapalat" w:cs="Times Armenian"/>
        </w:rPr>
        <w:t>ի և նախորդ տարվա 584-ի դիմաց:</w:t>
      </w:r>
      <w:r w:rsidRPr="001F63BA">
        <w:rPr>
          <w:rFonts w:ascii="GHEA Grapalat" w:hAnsi="GHEA Grapalat" w:cs="Sylfaen"/>
        </w:rPr>
        <w:t xml:space="preserve"> Կանխատեսվածի համեմատ երեխաների փոքր թիվը պայմանավորված է առանց ծնողական խնամքի մնացած երեխաներին այլընտրանքային խնամքի տրամադրմամբ, նրանց կենսաբանական ընտանիքներ վերադարձնելով: Ընտանիքներին, կանանց և երեխաներին աջակցության ծրագրին հատկացված միջոցների գերակշիռ մասն ուղղվել է տվյալ միջոցառմանը, որի</w:t>
      </w:r>
      <w:r w:rsidRPr="001F63BA">
        <w:rPr>
          <w:rFonts w:ascii="GHEA Grapalat" w:hAnsi="GHEA Grapalat" w:cs="Times Armenian"/>
        </w:rPr>
        <w:t xml:space="preserve"> շրջանակներում օ</w:t>
      </w:r>
      <w:r w:rsidRPr="001F63BA">
        <w:rPr>
          <w:rFonts w:ascii="GHEA Grapalat" w:hAnsi="GHEA Grapalat" w:cs="Sylfaen"/>
        </w:rPr>
        <w:t>գտագործվել է ծրագրված միջոցների 98.3</w:t>
      </w:r>
      <w:r w:rsidRPr="001F63BA">
        <w:rPr>
          <w:rFonts w:ascii="GHEA Grapalat" w:hAnsi="GHEA Grapalat" w:cs="Times Armenian"/>
        </w:rPr>
        <w:t>%-ը՝ 1.9</w:t>
      </w:r>
      <w:r w:rsidRPr="001F63BA">
        <w:rPr>
          <w:rFonts w:ascii="GHEA Grapalat" w:hAnsi="GHEA Grapalat" w:cs="Sylfaen"/>
        </w:rPr>
        <w:t xml:space="preserve"> մլրդ դրամ: Շեղումը</w:t>
      </w:r>
      <w:r w:rsidRPr="001F63BA">
        <w:rPr>
          <w:rFonts w:ascii="GHEA Grapalat" w:hAnsi="GHEA Grapalat" w:cs="Times Armenian"/>
        </w:rPr>
        <w:t xml:space="preserve"> </w:t>
      </w:r>
      <w:r w:rsidRPr="001F63BA">
        <w:rPr>
          <w:rFonts w:ascii="GHEA Grapalat" w:hAnsi="GHEA Grapalat" w:cs="Sylfaen"/>
        </w:rPr>
        <w:t xml:space="preserve">պայմանավորված է շահառուների՝ կանխատեսվածից պակաս թվով և դրանով </w:t>
      </w:r>
      <w:r w:rsidRPr="001F63BA">
        <w:rPr>
          <w:rFonts w:ascii="GHEA Grapalat" w:hAnsi="GHEA Grapalat"/>
        </w:rPr>
        <w:t>պայմանավորված՝ սննդի ու այլ ծառայությունների գծով ծախսերի տնտեսմամբ: Նախորդ տարվա համեմատ նշված միջոցառման ծախսերն էական փոփոխություն չեն կրել:</w:t>
      </w:r>
    </w:p>
    <w:p w:rsidR="001C411D" w:rsidRPr="001F63BA" w:rsidRDefault="001C411D" w:rsidP="004D0965">
      <w:pPr>
        <w:pStyle w:val="ListParagraph"/>
        <w:spacing w:line="360" w:lineRule="auto"/>
        <w:ind w:left="0" w:firstLine="567"/>
        <w:jc w:val="both"/>
        <w:rPr>
          <w:rFonts w:ascii="GHEA Grapalat" w:hAnsi="GHEA Grapalat"/>
        </w:rPr>
      </w:pPr>
      <w:r w:rsidRPr="001F63BA">
        <w:rPr>
          <w:rFonts w:ascii="GHEA Grapalat" w:hAnsi="GHEA Grapalat"/>
        </w:rPr>
        <w:t>Երեխաների և ընտանիքների աջակցության տրամադրման ծառայությունների շրջանակներում 2022 թվականի ընթացքում 6 աջակցության կենտրոնում ցերեկային խնամք է ստացել 560 երեխա՝ կանխատեսված 600-ի և նախորդ տարվա 548-ի դիմաց: Երեխաների փաստացի թիվը կախված է անհատական սոցիալական ծրագրերում նշված նպատակադրումների իրականացումից: Երեխաների և ընտանիքների աջակցության տրամադրման ծառայությունների շրջանակներում ծախսվել է 490.4 մլն դրամ կամ նախատեսվածի 89.9%-ը: Ծրագրային ցուցանիշից շեղումը պայմանավորված է շահառուների՝ կանխատեսվածից պակաս թվով: Նախորդ տարվա համեմատ նշված միջոցառման ծախսերն աճել են 9.5%-ով կամ 42.4 մլն դրամով՝ պայմանավորված շահառուների թվի աճով:</w:t>
      </w:r>
    </w:p>
    <w:p w:rsidR="001C411D" w:rsidRPr="001F63BA" w:rsidRDefault="001C411D" w:rsidP="006331B8">
      <w:pPr>
        <w:pStyle w:val="ListParagraph"/>
        <w:spacing w:line="360" w:lineRule="auto"/>
        <w:ind w:left="0" w:firstLine="567"/>
        <w:jc w:val="both"/>
        <w:rPr>
          <w:rFonts w:ascii="GHEA Grapalat" w:hAnsi="GHEA Grapalat" w:cs="Sylfaen"/>
        </w:rPr>
      </w:pPr>
      <w:r w:rsidRPr="001F63BA">
        <w:rPr>
          <w:rFonts w:ascii="GHEA Grapalat" w:hAnsi="GHEA Grapalat"/>
        </w:rPr>
        <w:t xml:space="preserve">«Կյանքի դժվարին իրավիճակում հայտնված երեխաներին ժամանակավոր խնամքի տրամադրման ծառայություններ» միջոցառման շրջանակներում ժամանակավոր խնամքի 3 հաստատությունում խնամվել է 97 երեխա՝ կանխատեսված 125-ի և նախորդ տարվա 76-ի դիմաց: </w:t>
      </w:r>
      <w:r w:rsidRPr="001F63BA">
        <w:rPr>
          <w:rFonts w:ascii="GHEA Grapalat" w:hAnsi="GHEA Grapalat"/>
        </w:rPr>
        <w:lastRenderedPageBreak/>
        <w:t>Շահառուների՝ կանխատեսվածից փոքր թվով պայմանավորված՝ միջոցառման շրջանակներում օգտագործվել է 243.9 մլն դրամ կամ</w:t>
      </w:r>
      <w:r w:rsidRPr="001F63BA">
        <w:rPr>
          <w:rFonts w:ascii="GHEA Grapalat" w:hAnsi="GHEA Grapalat" w:cs="Sylfaen"/>
        </w:rPr>
        <w:t xml:space="preserve"> նախատեսված միջոցների 67.7%-ը: Նախորդ տարվա համեմատ նշված միջոցառման ծախսերն աճել են 34.6%-ով կամ 62.7 մլն դրամով, որը հիմնականում պայմանավորված է շահառուների թվի աճով:</w:t>
      </w:r>
    </w:p>
    <w:p w:rsidR="001C411D" w:rsidRPr="001F63BA" w:rsidRDefault="001C411D" w:rsidP="006331B8">
      <w:pPr>
        <w:pStyle w:val="ListParagraph"/>
        <w:spacing w:line="360" w:lineRule="auto"/>
        <w:ind w:left="0" w:firstLine="567"/>
        <w:jc w:val="both"/>
        <w:rPr>
          <w:rFonts w:ascii="GHEA Grapalat" w:hAnsi="GHEA Grapalat" w:cs="Sylfaen"/>
        </w:rPr>
      </w:pPr>
    </w:p>
    <w:p w:rsidR="001C411D" w:rsidRPr="001F63BA" w:rsidRDefault="001C411D" w:rsidP="000633EE">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i/>
          <w:sz w:val="22"/>
          <w:szCs w:val="22"/>
          <w:u w:val="single"/>
        </w:rPr>
        <w:t xml:space="preserve">ՀՀ </w:t>
      </w:r>
      <w:r w:rsidRPr="001F63BA">
        <w:rPr>
          <w:rFonts w:ascii="GHEA Grapalat" w:hAnsi="GHEA Grapalat" w:cs="Arial"/>
          <w:i/>
          <w:sz w:val="22"/>
          <w:szCs w:val="22"/>
          <w:u w:val="single"/>
        </w:rPr>
        <w:t>բ</w:t>
      </w:r>
      <w:r w:rsidRPr="001F63BA">
        <w:rPr>
          <w:rFonts w:ascii="GHEA Grapalat" w:hAnsi="GHEA Grapalat" w:cs="GHEA Grapalat"/>
          <w:i/>
          <w:sz w:val="22"/>
          <w:szCs w:val="22"/>
          <w:u w:val="single"/>
        </w:rPr>
        <w:t>արձր տեխնոլոգիական արդյունաբերության նախարարության</w:t>
      </w:r>
      <w:r w:rsidRPr="001F63BA">
        <w:rPr>
          <w:rFonts w:ascii="GHEA Grapalat" w:hAnsi="GHEA Grapalat" w:cs="GHEA Grapalat"/>
          <w:sz w:val="22"/>
          <w:szCs w:val="22"/>
        </w:rPr>
        <w:t xml:space="preserve"> </w:t>
      </w:r>
      <w:r w:rsidRPr="001F63BA">
        <w:rPr>
          <w:rFonts w:ascii="GHEA Grapalat" w:hAnsi="GHEA Grapalat" w:cs="Times Armenian"/>
          <w:sz w:val="22"/>
          <w:szCs w:val="22"/>
        </w:rPr>
        <w:t>պատասխանատվությամբ 202</w:t>
      </w:r>
      <w:r w:rsidRPr="001F63BA">
        <w:rPr>
          <w:rFonts w:ascii="GHEA Grapalat" w:hAnsi="GHEA Grapalat" w:cs="Times Armenian"/>
          <w:sz w:val="22"/>
          <w:szCs w:val="22"/>
          <w:lang w:val="en-US"/>
        </w:rPr>
        <w:t>2</w:t>
      </w:r>
      <w:r w:rsidRPr="001F63BA">
        <w:rPr>
          <w:rFonts w:ascii="GHEA Grapalat" w:hAnsi="GHEA Grapalat" w:cs="GHEA Grapalat"/>
          <w:sz w:val="22"/>
          <w:szCs w:val="22"/>
        </w:rPr>
        <w:t xml:space="preserve"> թվականի </w:t>
      </w:r>
      <w:r w:rsidRPr="001F63BA">
        <w:rPr>
          <w:rFonts w:ascii="GHEA Grapalat" w:hAnsi="GHEA Grapalat" w:cs="Sylfaen"/>
          <w:sz w:val="22"/>
          <w:szCs w:val="22"/>
        </w:rPr>
        <w:t>ընթացք</w:t>
      </w:r>
      <w:r w:rsidRPr="001F63BA">
        <w:rPr>
          <w:rFonts w:ascii="GHEA Grapalat" w:hAnsi="GHEA Grapalat" w:cs="GHEA Grapalat"/>
          <w:sz w:val="22"/>
          <w:szCs w:val="22"/>
        </w:rPr>
        <w:t xml:space="preserve">ում կատարվել է պետական բյուջեի </w:t>
      </w:r>
      <w:r w:rsidRPr="001F63BA">
        <w:rPr>
          <w:rFonts w:ascii="GHEA Grapalat" w:hAnsi="GHEA Grapalat" w:cs="GHEA Grapalat"/>
          <w:sz w:val="22"/>
          <w:szCs w:val="22"/>
          <w:lang w:val="en-US"/>
        </w:rPr>
        <w:t>4</w:t>
      </w:r>
      <w:r w:rsidRPr="001F63BA">
        <w:rPr>
          <w:rFonts w:ascii="GHEA Grapalat" w:hAnsi="GHEA Grapalat" w:cs="GHEA Grapalat"/>
          <w:sz w:val="22"/>
          <w:szCs w:val="22"/>
        </w:rPr>
        <w:t xml:space="preserve"> ծրագիր: Ծախսերը կազմել են </w:t>
      </w:r>
      <w:r w:rsidRPr="001F63BA">
        <w:rPr>
          <w:rFonts w:ascii="GHEA Grapalat" w:hAnsi="GHEA Grapalat" w:cs="GHEA Grapalat"/>
          <w:sz w:val="22"/>
          <w:szCs w:val="22"/>
          <w:lang w:val="en-US"/>
        </w:rPr>
        <w:t>11.5</w:t>
      </w:r>
      <w:r w:rsidRPr="001F63BA">
        <w:rPr>
          <w:rFonts w:ascii="Courier New" w:hAnsi="Courier New" w:cs="Courier New"/>
          <w:sz w:val="22"/>
          <w:szCs w:val="22"/>
          <w:lang w:val="en-US"/>
        </w:rPr>
        <w:t> </w:t>
      </w:r>
      <w:r w:rsidRPr="001F63BA">
        <w:rPr>
          <w:rFonts w:ascii="GHEA Grapalat" w:hAnsi="GHEA Grapalat" w:cs="GHEA Grapalat"/>
          <w:sz w:val="22"/>
          <w:szCs w:val="22"/>
        </w:rPr>
        <w:t xml:space="preserve">մլրդ դրամ կամ նախատեսված միջոցների </w:t>
      </w:r>
      <w:r w:rsidRPr="001F63BA">
        <w:rPr>
          <w:rFonts w:ascii="GHEA Grapalat" w:hAnsi="GHEA Grapalat" w:cs="GHEA Grapalat"/>
          <w:sz w:val="22"/>
          <w:szCs w:val="22"/>
          <w:lang w:val="en-US"/>
        </w:rPr>
        <w:t>8</w:t>
      </w:r>
      <w:r w:rsidRPr="001F63BA">
        <w:rPr>
          <w:rFonts w:ascii="GHEA Grapalat" w:hAnsi="GHEA Grapalat" w:cs="GHEA Grapalat"/>
          <w:sz w:val="22"/>
          <w:szCs w:val="22"/>
        </w:rPr>
        <w:t>9.</w:t>
      </w:r>
      <w:r w:rsidRPr="001F63BA">
        <w:rPr>
          <w:rFonts w:ascii="GHEA Grapalat" w:hAnsi="GHEA Grapalat" w:cs="GHEA Grapalat"/>
          <w:sz w:val="22"/>
          <w:szCs w:val="22"/>
          <w:lang w:val="en-US"/>
        </w:rPr>
        <w:t>5</w:t>
      </w:r>
      <w:r w:rsidRPr="001F63BA">
        <w:rPr>
          <w:rFonts w:ascii="GHEA Grapalat" w:hAnsi="GHEA Grapalat" w:cs="GHEA Grapalat"/>
          <w:sz w:val="22"/>
          <w:szCs w:val="22"/>
        </w:rPr>
        <w:t>%</w:t>
      </w:r>
      <w:r w:rsidRPr="001F63BA">
        <w:rPr>
          <w:rFonts w:ascii="GHEA Grapalat" w:hAnsi="GHEA Grapalat" w:cs="GHEA Grapalat"/>
          <w:sz w:val="22"/>
          <w:szCs w:val="22"/>
        </w:rPr>
        <w:noBreakHyphen/>
        <w:t>ը: Շեղումը հիմնականում պայմանավորված է Բարձր տեխնոլոգիական արդյունաբերության էկոհամակարգի, թվայնացման և շուկայի զարգացման ծրագրի կատարողականով:</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2021 թվականի համեմատ ՀՀ ԲՏԱՆ պատասխանատվությամբ իրականացվող ծրագրերի գծով ծախսերն աճել են </w:t>
      </w:r>
      <w:r w:rsidRPr="001F63BA">
        <w:rPr>
          <w:rFonts w:ascii="GHEA Grapalat" w:hAnsi="GHEA Grapalat" w:cs="GHEA Grapalat"/>
          <w:sz w:val="22"/>
          <w:szCs w:val="22"/>
          <w:lang w:val="en-US"/>
        </w:rPr>
        <w:t>74</w:t>
      </w:r>
      <w:r w:rsidRPr="001F63BA">
        <w:rPr>
          <w:rFonts w:ascii="GHEA Grapalat" w:hAnsi="GHEA Grapalat" w:cs="GHEA Grapalat"/>
          <w:sz w:val="22"/>
          <w:szCs w:val="22"/>
        </w:rPr>
        <w:t>.</w:t>
      </w:r>
      <w:r w:rsidRPr="001F63BA">
        <w:rPr>
          <w:rFonts w:ascii="GHEA Grapalat" w:hAnsi="GHEA Grapalat" w:cs="GHEA Grapalat"/>
          <w:sz w:val="22"/>
          <w:szCs w:val="22"/>
          <w:lang w:val="en-US"/>
        </w:rPr>
        <w:t>5</w:t>
      </w:r>
      <w:r w:rsidRPr="001F63BA">
        <w:rPr>
          <w:rFonts w:ascii="GHEA Grapalat" w:hAnsi="GHEA Grapalat" w:cs="GHEA Grapalat"/>
          <w:sz w:val="22"/>
          <w:szCs w:val="22"/>
        </w:rPr>
        <w:t>%</w:t>
      </w:r>
      <w:r w:rsidRPr="001F63BA">
        <w:rPr>
          <w:rFonts w:ascii="GHEA Grapalat" w:hAnsi="GHEA Grapalat" w:cs="GHEA Grapalat"/>
          <w:sz w:val="22"/>
          <w:szCs w:val="22"/>
        </w:rPr>
        <w:noBreakHyphen/>
      </w:r>
      <w:r w:rsidRPr="001F63BA">
        <w:rPr>
          <w:rFonts w:ascii="GHEA Grapalat" w:hAnsi="GHEA Grapalat" w:cs="GHEA Grapalat"/>
          <w:sz w:val="22"/>
          <w:szCs w:val="22"/>
          <w:lang w:val="en-US"/>
        </w:rPr>
        <w:t>ով</w:t>
      </w:r>
      <w:r w:rsidRPr="001F63BA">
        <w:rPr>
          <w:rFonts w:ascii="GHEA Grapalat" w:hAnsi="GHEA Grapalat" w:cs="GHEA Grapalat"/>
          <w:sz w:val="22"/>
          <w:szCs w:val="22"/>
        </w:rPr>
        <w:t xml:space="preserve"> կամ 4.</w:t>
      </w:r>
      <w:r w:rsidRPr="001F63BA">
        <w:rPr>
          <w:rFonts w:ascii="GHEA Grapalat" w:hAnsi="GHEA Grapalat" w:cs="GHEA Grapalat"/>
          <w:sz w:val="22"/>
          <w:szCs w:val="22"/>
          <w:lang w:val="en-US"/>
        </w:rPr>
        <w:t>9</w:t>
      </w:r>
      <w:r w:rsidRPr="001F63BA">
        <w:rPr>
          <w:rFonts w:ascii="GHEA Grapalat" w:hAnsi="GHEA Grapalat" w:cs="GHEA Grapalat"/>
          <w:sz w:val="22"/>
          <w:szCs w:val="22"/>
        </w:rPr>
        <w:t xml:space="preserve"> մլրդ դրամով: Նշենք, որ 2022 թվականից Համաշխարհային բանկի աջակցությամբ իրականացվող առևտրի և ենթակառուցվածքների զարգացման վարկային ծրագիրը ՀՀ </w:t>
      </w:r>
      <w:r w:rsidRPr="001F63BA">
        <w:rPr>
          <w:rFonts w:ascii="GHEA Grapalat" w:hAnsi="GHEA Grapalat" w:cs="GHEA Grapalat"/>
          <w:sz w:val="22"/>
          <w:szCs w:val="22"/>
          <w:lang w:val="en-US"/>
        </w:rPr>
        <w:t>վ</w:t>
      </w:r>
      <w:r w:rsidRPr="001F63BA">
        <w:rPr>
          <w:rFonts w:ascii="GHEA Grapalat" w:hAnsi="GHEA Grapalat" w:cs="GHEA Grapalat"/>
          <w:sz w:val="22"/>
          <w:szCs w:val="22"/>
        </w:rPr>
        <w:t xml:space="preserve">արչապետի աշխատակազմի պատասխանատվությամբ իրականացվող ՀՀ </w:t>
      </w:r>
      <w:r w:rsidRPr="001F63BA">
        <w:rPr>
          <w:rFonts w:ascii="GHEA Grapalat" w:hAnsi="GHEA Grapalat" w:cs="GHEA Grapalat"/>
          <w:sz w:val="22"/>
          <w:szCs w:val="22"/>
          <w:lang w:val="en-US"/>
        </w:rPr>
        <w:t>վ</w:t>
      </w:r>
      <w:r w:rsidRPr="001F63BA">
        <w:rPr>
          <w:rFonts w:ascii="GHEA Grapalat" w:hAnsi="GHEA Grapalat" w:cs="GHEA Grapalat"/>
          <w:sz w:val="22"/>
          <w:szCs w:val="22"/>
        </w:rPr>
        <w:t>արչապետի լիազորությունների իրականացման ապահովման ծրագրից փոխանցվել է ՀՀ ԲՏԱՆ պատասխանատվությամբ իրականացվող Բարձր տեխնոլոգիական արդյունաբերության էկոհամակարգի, թվայնացման և շուկայի զարգացման ծրագիր, ուստի 2021 թվականի համադրելի ցուցանիշի համեմատ ՀՀ ԲՏԱՆ պատասխանատվությամբ իրականացվող ծախսերի աճը կազմում է 1</w:t>
      </w:r>
      <w:r w:rsidRPr="001F63BA">
        <w:rPr>
          <w:rFonts w:ascii="GHEA Grapalat" w:hAnsi="GHEA Grapalat" w:cs="GHEA Grapalat"/>
          <w:sz w:val="22"/>
          <w:szCs w:val="22"/>
          <w:lang w:val="en-US"/>
        </w:rPr>
        <w:t>0</w:t>
      </w:r>
      <w:r w:rsidRPr="001F63BA">
        <w:rPr>
          <w:rFonts w:ascii="GHEA Grapalat" w:hAnsi="GHEA Grapalat" w:cs="GHEA Grapalat"/>
          <w:sz w:val="22"/>
          <w:szCs w:val="22"/>
        </w:rPr>
        <w:t>.</w:t>
      </w:r>
      <w:r w:rsidRPr="001F63BA">
        <w:rPr>
          <w:rFonts w:ascii="GHEA Grapalat" w:hAnsi="GHEA Grapalat" w:cs="GHEA Grapalat"/>
          <w:sz w:val="22"/>
          <w:szCs w:val="22"/>
          <w:lang w:val="en-US"/>
        </w:rPr>
        <w:t>5</w:t>
      </w:r>
      <w:r w:rsidRPr="001F63BA">
        <w:rPr>
          <w:rFonts w:ascii="GHEA Grapalat" w:hAnsi="GHEA Grapalat" w:cs="GHEA Grapalat"/>
          <w:sz w:val="22"/>
          <w:szCs w:val="22"/>
        </w:rPr>
        <w:t>% կամ 1</w:t>
      </w:r>
      <w:r w:rsidRPr="001F63BA">
        <w:rPr>
          <w:rFonts w:ascii="GHEA Grapalat" w:hAnsi="GHEA Grapalat" w:cs="GHEA Grapalat"/>
          <w:sz w:val="22"/>
          <w:szCs w:val="22"/>
          <w:lang w:val="en-US"/>
        </w:rPr>
        <w:t>.1</w:t>
      </w:r>
      <w:r w:rsidRPr="001F63BA">
        <w:rPr>
          <w:rFonts w:ascii="Courier New" w:hAnsi="Courier New" w:cs="Courier New"/>
          <w:sz w:val="22"/>
          <w:szCs w:val="22"/>
        </w:rPr>
        <w:t xml:space="preserve"> </w:t>
      </w:r>
      <w:r w:rsidRPr="001F63BA">
        <w:rPr>
          <w:rFonts w:ascii="GHEA Grapalat" w:hAnsi="GHEA Grapalat" w:cs="GHEA Grapalat"/>
          <w:sz w:val="22"/>
          <w:szCs w:val="22"/>
        </w:rPr>
        <w:t>մլրդ դրամ, որը հիմնականում պայմանավորված է Պաշտպանության բնագավառում գիտական և գիտատեխնիկական նպատակային հետազոտությունների ծրագրի</w:t>
      </w:r>
      <w:r w:rsidRPr="001F63BA">
        <w:rPr>
          <w:rFonts w:ascii="GHEA Grapalat" w:hAnsi="GHEA Grapalat" w:cs="GHEA Grapalat"/>
          <w:sz w:val="22"/>
          <w:szCs w:val="22"/>
          <w:lang w:val="en-US"/>
        </w:rPr>
        <w:t>, ինչպես նաև Բարձր տեխնոլոգիական արդյունաբերության էկոհամակարգի, թվայնացման և շուկայի զարգացման ծրագրի</w:t>
      </w:r>
      <w:r w:rsidRPr="001F63BA">
        <w:rPr>
          <w:rFonts w:ascii="GHEA Grapalat" w:hAnsi="GHEA Grapalat" w:cs="GHEA Grapalat"/>
          <w:sz w:val="22"/>
          <w:szCs w:val="22"/>
        </w:rPr>
        <w:t xml:space="preserve"> շրջանակներում կատարված ծախսերի աճով:</w:t>
      </w:r>
    </w:p>
    <w:p w:rsidR="001C411D" w:rsidRPr="001F63BA" w:rsidRDefault="001C411D" w:rsidP="000633EE">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202</w:t>
      </w:r>
      <w:r w:rsidRPr="001F63BA">
        <w:rPr>
          <w:rFonts w:ascii="GHEA Grapalat" w:hAnsi="GHEA Grapalat"/>
          <w:i/>
          <w:sz w:val="18"/>
          <w:szCs w:val="18"/>
          <w:lang w:val="en-US"/>
        </w:rPr>
        <w:t>2</w:t>
      </w:r>
      <w:r w:rsidRPr="001F63BA">
        <w:rPr>
          <w:rFonts w:ascii="GHEA Grapalat" w:hAnsi="GHEA Grapalat"/>
          <w:i/>
          <w:sz w:val="18"/>
          <w:szCs w:val="18"/>
          <w:lang w:val="hy-AM"/>
        </w:rPr>
        <w:t>թ. ՀՀ բարձր տեխնոլոգիական արդյունաբերության նախարարության կողմից իրականացված ծրագրերը (մլն</w:t>
      </w:r>
      <w:r w:rsidRPr="001F63BA">
        <w:rPr>
          <w:rFonts w:ascii="Courier New" w:hAnsi="Courier New" w:cs="Courier New"/>
          <w:i/>
          <w:sz w:val="18"/>
          <w:szCs w:val="18"/>
          <w:lang w:val="hy-AM"/>
        </w:rPr>
        <w:t> </w:t>
      </w:r>
      <w:r w:rsidRPr="001F63BA">
        <w:rPr>
          <w:rFonts w:ascii="GHEA Grapalat" w:hAnsi="GHEA Grapalat" w:cs="GHEA Grapalat"/>
          <w:i/>
          <w:sz w:val="18"/>
          <w:szCs w:val="18"/>
          <w:lang w:val="hy-AM"/>
        </w:rPr>
        <w:t>դրամ</w:t>
      </w:r>
      <w:r w:rsidRPr="001F63BA">
        <w:rPr>
          <w:rFonts w:ascii="GHEA Grapalat" w:hAnsi="GHEA Grapalat"/>
          <w:i/>
          <w:sz w:val="18"/>
          <w:szCs w:val="18"/>
          <w:lang w:val="hy-AM"/>
        </w:rPr>
        <w:t>)</w:t>
      </w:r>
    </w:p>
    <w:tbl>
      <w:tblPr>
        <w:tblW w:w="10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8"/>
        <w:gridCol w:w="1272"/>
        <w:gridCol w:w="959"/>
        <w:gridCol w:w="993"/>
        <w:gridCol w:w="1203"/>
        <w:gridCol w:w="1203"/>
        <w:gridCol w:w="1048"/>
      </w:tblGrid>
      <w:tr w:rsidR="001C411D" w:rsidRPr="001F63BA" w:rsidTr="000633EE">
        <w:trPr>
          <w:trHeight w:val="300"/>
          <w:jc w:val="center"/>
        </w:trPr>
        <w:tc>
          <w:tcPr>
            <w:tcW w:w="3608" w:type="dxa"/>
            <w:noWrap/>
            <w:vAlign w:val="bottom"/>
          </w:tcPr>
          <w:p w:rsidR="001C411D" w:rsidRPr="001F63BA" w:rsidRDefault="001C411D">
            <w:pPr>
              <w:rPr>
                <w:noProof w:val="0"/>
                <w:sz w:val="20"/>
                <w:szCs w:val="20"/>
                <w:lang w:val="en-US"/>
              </w:rPr>
            </w:pPr>
          </w:p>
        </w:tc>
        <w:tc>
          <w:tcPr>
            <w:tcW w:w="1272" w:type="dxa"/>
          </w:tcPr>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sz w:val="18"/>
                <w:szCs w:val="18"/>
              </w:rPr>
              <w:t>2021թ. փաստ</w:t>
            </w:r>
          </w:p>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sz w:val="18"/>
                <w:szCs w:val="18"/>
              </w:rPr>
              <w:t xml:space="preserve"> (2022թ. հետ համադրելի)</w:t>
            </w:r>
          </w:p>
        </w:tc>
        <w:tc>
          <w:tcPr>
            <w:tcW w:w="917"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993" w:type="dxa"/>
            <w:noWrap/>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03"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Կատարո-ղականը ճշտված պլանի նկատմամբ (</w:t>
            </w:r>
            <w:r w:rsidRPr="001F63BA">
              <w:rPr>
                <w:rFonts w:ascii="GHEA Grapalat" w:hAnsi="GHEA Grapalat"/>
                <w:b/>
                <w:bCs/>
                <w:sz w:val="18"/>
                <w:szCs w:val="18"/>
              </w:rPr>
              <w:t>%)</w:t>
            </w:r>
            <w:r w:rsidRPr="001F63BA">
              <w:rPr>
                <w:rFonts w:ascii="GHEA Grapalat" w:hAnsi="GHEA Grapalat" w:cs="Calibri"/>
                <w:b/>
                <w:sz w:val="18"/>
                <w:szCs w:val="18"/>
              </w:rPr>
              <w:t xml:space="preserve"> </w:t>
            </w:r>
          </w:p>
        </w:tc>
        <w:tc>
          <w:tcPr>
            <w:tcW w:w="1203" w:type="dxa"/>
          </w:tcPr>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2</w:t>
            </w:r>
            <w:r w:rsidRPr="001F63BA">
              <w:rPr>
                <w:rFonts w:ascii="GHEA Grapalat" w:hAnsi="GHEA Grapalat" w:cs="Calibri"/>
                <w:b/>
                <w:bCs/>
                <w:sz w:val="18"/>
                <w:szCs w:val="18"/>
              </w:rPr>
              <w:t>թ-ի նկատմամբ</w:t>
            </w:r>
            <w:r w:rsidRPr="001F63BA">
              <w:rPr>
                <w:rFonts w:ascii="GHEA Grapalat" w:hAnsi="GHEA Grapalat" w:cs="Calibri"/>
                <w:b/>
                <w:sz w:val="18"/>
                <w:szCs w:val="18"/>
                <w:lang w:val="en-US"/>
              </w:rPr>
              <w:t xml:space="preserve"> (</w:t>
            </w:r>
            <w:r w:rsidRPr="001F63BA">
              <w:rPr>
                <w:rFonts w:ascii="GHEA Grapalat" w:hAnsi="GHEA Grapalat"/>
                <w:b/>
                <w:bCs/>
                <w:sz w:val="18"/>
                <w:szCs w:val="18"/>
              </w:rPr>
              <w:t>%</w:t>
            </w:r>
            <w:r w:rsidRPr="001F63BA">
              <w:rPr>
                <w:rFonts w:ascii="GHEA Grapalat" w:hAnsi="GHEA Grapalat"/>
                <w:b/>
                <w:bCs/>
                <w:sz w:val="18"/>
                <w:szCs w:val="18"/>
                <w:lang w:val="en-US"/>
              </w:rPr>
              <w:t>)</w:t>
            </w:r>
          </w:p>
        </w:tc>
        <w:tc>
          <w:tcPr>
            <w:tcW w:w="1048" w:type="dxa"/>
          </w:tcPr>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և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տարբե-րությունը</w:t>
            </w:r>
          </w:p>
        </w:tc>
      </w:tr>
      <w:tr w:rsidR="001C411D" w:rsidRPr="001F63BA" w:rsidTr="000633EE">
        <w:trPr>
          <w:trHeight w:val="331"/>
          <w:jc w:val="center"/>
        </w:trPr>
        <w:tc>
          <w:tcPr>
            <w:tcW w:w="3608" w:type="dxa"/>
          </w:tcPr>
          <w:p w:rsidR="001C411D" w:rsidRPr="001F63BA" w:rsidRDefault="001C411D">
            <w:pPr>
              <w:rPr>
                <w:rFonts w:ascii="GHEA Grapalat" w:hAnsi="GHEA Grapalat" w:cs="Calibri"/>
                <w:b/>
                <w:sz w:val="18"/>
                <w:szCs w:val="18"/>
              </w:rPr>
            </w:pPr>
            <w:r w:rsidRPr="001F63BA">
              <w:rPr>
                <w:rFonts w:ascii="GHEA Grapalat" w:hAnsi="GHEA Grapalat"/>
                <w:b/>
                <w:sz w:val="18"/>
                <w:szCs w:val="18"/>
              </w:rPr>
              <w:t>ԸՆԴԱՄԵՆԸ</w:t>
            </w:r>
          </w:p>
        </w:tc>
        <w:tc>
          <w:tcPr>
            <w:tcW w:w="1272"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10,445.0</w:t>
            </w:r>
          </w:p>
        </w:tc>
        <w:tc>
          <w:tcPr>
            <w:tcW w:w="917"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12,896.6</w:t>
            </w:r>
          </w:p>
        </w:tc>
        <w:tc>
          <w:tcPr>
            <w:tcW w:w="99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11,539.2</w:t>
            </w:r>
          </w:p>
        </w:tc>
        <w:tc>
          <w:tcPr>
            <w:tcW w:w="120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89.5</w:t>
            </w:r>
          </w:p>
        </w:tc>
        <w:tc>
          <w:tcPr>
            <w:tcW w:w="120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110.5</w:t>
            </w:r>
          </w:p>
        </w:tc>
        <w:tc>
          <w:tcPr>
            <w:tcW w:w="1048"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1,094.2</w:t>
            </w:r>
          </w:p>
        </w:tc>
      </w:tr>
      <w:tr w:rsidR="001C411D" w:rsidRPr="001F63BA" w:rsidTr="000633EE">
        <w:trPr>
          <w:trHeight w:val="331"/>
          <w:jc w:val="center"/>
        </w:trPr>
        <w:tc>
          <w:tcPr>
            <w:tcW w:w="3608" w:type="dxa"/>
          </w:tcPr>
          <w:p w:rsidR="001C411D" w:rsidRPr="001F63BA" w:rsidRDefault="001C411D">
            <w:pPr>
              <w:rPr>
                <w:rFonts w:ascii="GHEA Grapalat" w:hAnsi="GHEA Grapalat"/>
                <w:sz w:val="18"/>
                <w:szCs w:val="18"/>
              </w:rPr>
            </w:pPr>
            <w:r w:rsidRPr="001F63BA">
              <w:rPr>
                <w:rFonts w:ascii="GHEA Grapalat" w:hAnsi="GHEA Grapalat"/>
                <w:sz w:val="18"/>
                <w:szCs w:val="18"/>
              </w:rPr>
              <w:t>Բարձր տեխնոլոգիական արդյունաբերության էկոհամակարգի և շուկայի զարգացման ծրագիր</w:t>
            </w:r>
          </w:p>
        </w:tc>
        <w:tc>
          <w:tcPr>
            <w:tcW w:w="127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5,812.7</w:t>
            </w:r>
          </w:p>
        </w:tc>
        <w:tc>
          <w:tcPr>
            <w:tcW w:w="917"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7,773.7</w:t>
            </w:r>
          </w:p>
        </w:tc>
        <w:tc>
          <w:tcPr>
            <w:tcW w:w="99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6,441.3</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82.9</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110.8</w:t>
            </w:r>
          </w:p>
        </w:tc>
        <w:tc>
          <w:tcPr>
            <w:tcW w:w="1048"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628.6</w:t>
            </w:r>
          </w:p>
        </w:tc>
      </w:tr>
      <w:tr w:rsidR="001C411D" w:rsidRPr="001F63BA" w:rsidTr="000633EE">
        <w:trPr>
          <w:trHeight w:val="300"/>
          <w:jc w:val="center"/>
        </w:trPr>
        <w:tc>
          <w:tcPr>
            <w:tcW w:w="3608" w:type="dxa"/>
          </w:tcPr>
          <w:p w:rsidR="001C411D" w:rsidRPr="001F63BA" w:rsidRDefault="001C411D">
            <w:pPr>
              <w:rPr>
                <w:rFonts w:ascii="GHEA Grapalat" w:hAnsi="GHEA Grapalat"/>
                <w:sz w:val="18"/>
                <w:szCs w:val="18"/>
              </w:rPr>
            </w:pPr>
            <w:r w:rsidRPr="001F63BA">
              <w:rPr>
                <w:rFonts w:ascii="GHEA Grapalat" w:hAnsi="GHEA Grapalat"/>
                <w:sz w:val="18"/>
                <w:szCs w:val="18"/>
              </w:rPr>
              <w:lastRenderedPageBreak/>
              <w:t>Պաշտպանության բնագավառում գիտական և գիտատեխնիկական նպատակային հետազոտություններ</w:t>
            </w:r>
          </w:p>
        </w:tc>
        <w:tc>
          <w:tcPr>
            <w:tcW w:w="127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1,168.4</w:t>
            </w:r>
          </w:p>
        </w:tc>
        <w:tc>
          <w:tcPr>
            <w:tcW w:w="917"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2,973.6</w:t>
            </w:r>
          </w:p>
        </w:tc>
        <w:tc>
          <w:tcPr>
            <w:tcW w:w="99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2,973.5</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100.0</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254.5</w:t>
            </w:r>
          </w:p>
        </w:tc>
        <w:tc>
          <w:tcPr>
            <w:tcW w:w="1048"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1,805.1</w:t>
            </w:r>
          </w:p>
        </w:tc>
      </w:tr>
      <w:tr w:rsidR="001C411D" w:rsidRPr="001F63BA" w:rsidTr="000633EE">
        <w:trPr>
          <w:trHeight w:val="314"/>
          <w:jc w:val="center"/>
        </w:trPr>
        <w:tc>
          <w:tcPr>
            <w:tcW w:w="3608" w:type="dxa"/>
          </w:tcPr>
          <w:p w:rsidR="001C411D" w:rsidRPr="001F63BA" w:rsidRDefault="001C411D">
            <w:pPr>
              <w:rPr>
                <w:rFonts w:ascii="GHEA Grapalat" w:hAnsi="GHEA Grapalat"/>
                <w:sz w:val="18"/>
                <w:szCs w:val="18"/>
              </w:rPr>
            </w:pPr>
            <w:r w:rsidRPr="001F63BA">
              <w:rPr>
                <w:rFonts w:ascii="GHEA Grapalat" w:hAnsi="GHEA Grapalat"/>
                <w:sz w:val="18"/>
                <w:szCs w:val="18"/>
              </w:rPr>
              <w:t>Այլ ծրագրեր</w:t>
            </w:r>
          </w:p>
        </w:tc>
        <w:tc>
          <w:tcPr>
            <w:tcW w:w="1272"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3,464.0</w:t>
            </w:r>
          </w:p>
        </w:tc>
        <w:tc>
          <w:tcPr>
            <w:tcW w:w="917"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2,149.2</w:t>
            </w:r>
          </w:p>
        </w:tc>
        <w:tc>
          <w:tcPr>
            <w:tcW w:w="99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2,124.5</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98.8</w:t>
            </w:r>
          </w:p>
        </w:tc>
        <w:tc>
          <w:tcPr>
            <w:tcW w:w="1203"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61.3</w:t>
            </w:r>
          </w:p>
        </w:tc>
        <w:tc>
          <w:tcPr>
            <w:tcW w:w="1048"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rPr>
              <w:t>(1,339.5)</w:t>
            </w:r>
          </w:p>
        </w:tc>
      </w:tr>
    </w:tbl>
    <w:p w:rsidR="001C411D" w:rsidRPr="001F63BA" w:rsidRDefault="001C411D" w:rsidP="000633EE">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0633EE">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cs="GHEA Grapalat"/>
          <w:sz w:val="22"/>
          <w:szCs w:val="22"/>
        </w:rPr>
        <w:t xml:space="preserve">Հաշվետու տարում </w:t>
      </w:r>
      <w:r w:rsidRPr="001F63BA">
        <w:rPr>
          <w:rFonts w:ascii="GHEA Grapalat" w:hAnsi="GHEA Grapalat" w:cs="GHEA Grapalat"/>
          <w:i/>
          <w:sz w:val="22"/>
          <w:szCs w:val="22"/>
        </w:rPr>
        <w:t>Բարձր տեխնոլոգիական արդյունաբերության էկոհամակարգի և շուկայի զարգացման</w:t>
      </w:r>
      <w:r w:rsidRPr="001F63BA">
        <w:rPr>
          <w:rFonts w:ascii="GHEA Grapalat" w:hAnsi="GHEA Grapalat" w:cs="GHEA Grapalat"/>
          <w:sz w:val="22"/>
          <w:szCs w:val="22"/>
        </w:rPr>
        <w:t xml:space="preserve"> </w:t>
      </w:r>
      <w:r w:rsidRPr="001F63BA">
        <w:rPr>
          <w:rFonts w:ascii="GHEA Grapalat" w:hAnsi="GHEA Grapalat" w:cs="Sylfaen"/>
          <w:sz w:val="22"/>
          <w:szCs w:val="22"/>
        </w:rPr>
        <w:t xml:space="preserve">ծրագրի շրջանակներում </w:t>
      </w:r>
      <w:r w:rsidRPr="001F63BA">
        <w:rPr>
          <w:rFonts w:ascii="GHEA Grapalat" w:hAnsi="GHEA Grapalat"/>
          <w:sz w:val="22"/>
          <w:szCs w:val="22"/>
        </w:rPr>
        <w:t xml:space="preserve">օգտագործվել է </w:t>
      </w:r>
      <w:r w:rsidRPr="001F63BA">
        <w:rPr>
          <w:rFonts w:ascii="GHEA Grapalat" w:hAnsi="GHEA Grapalat"/>
          <w:sz w:val="22"/>
          <w:szCs w:val="22"/>
          <w:lang w:val="en-US"/>
        </w:rPr>
        <w:t>ավելի քան 6.4</w:t>
      </w:r>
      <w:r w:rsidRPr="001F63BA">
        <w:rPr>
          <w:rFonts w:ascii="GHEA Grapalat" w:hAnsi="GHEA Grapalat"/>
          <w:sz w:val="22"/>
          <w:szCs w:val="22"/>
        </w:rPr>
        <w:t xml:space="preserve"> մլրդ դրամ կամ </w:t>
      </w:r>
      <w:r w:rsidRPr="001F63BA">
        <w:rPr>
          <w:rFonts w:ascii="GHEA Grapalat" w:hAnsi="GHEA Grapalat"/>
          <w:sz w:val="22"/>
          <w:szCs w:val="22"/>
          <w:lang w:val="en-US"/>
        </w:rPr>
        <w:t>նախատեսված միջոցների</w:t>
      </w:r>
      <w:r w:rsidRPr="001F63BA">
        <w:rPr>
          <w:rFonts w:ascii="GHEA Grapalat" w:hAnsi="GHEA Grapalat"/>
          <w:sz w:val="22"/>
          <w:szCs w:val="22"/>
        </w:rPr>
        <w:t xml:space="preserve"> 8</w:t>
      </w:r>
      <w:r w:rsidRPr="001F63BA">
        <w:rPr>
          <w:rFonts w:ascii="GHEA Grapalat" w:hAnsi="GHEA Grapalat"/>
          <w:sz w:val="22"/>
          <w:szCs w:val="22"/>
          <w:lang w:val="en-US"/>
        </w:rPr>
        <w:t>2</w:t>
      </w:r>
      <w:r w:rsidRPr="001F63BA">
        <w:rPr>
          <w:rFonts w:ascii="GHEA Grapalat" w:hAnsi="GHEA Grapalat"/>
          <w:sz w:val="22"/>
          <w:szCs w:val="22"/>
        </w:rPr>
        <w:t xml:space="preserve">.9%-ը: </w:t>
      </w:r>
      <w:r w:rsidRPr="001F63BA">
        <w:rPr>
          <w:rFonts w:ascii="GHEA Grapalat" w:hAnsi="GHEA Grapalat" w:cs="Sylfaen"/>
          <w:sz w:val="22"/>
          <w:szCs w:val="22"/>
        </w:rPr>
        <w:t>Շեղումը հիմնականում պայմանավորված է Համաշխարհային բանկի աջակցությամբ իրականացվող առևտրի և ենթակառուցվածքների զարգացման վարկային ծրագրի կատարողականով:</w:t>
      </w:r>
      <w:r w:rsidRPr="001F63BA">
        <w:rPr>
          <w:rFonts w:ascii="GHEA Grapalat" w:hAnsi="GHEA Grapalat" w:cs="Sylfaen"/>
          <w:sz w:val="22"/>
          <w:szCs w:val="22"/>
          <w:lang w:val="en-US"/>
        </w:rPr>
        <w:t xml:space="preserve"> </w:t>
      </w:r>
      <w:r w:rsidRPr="001F63BA">
        <w:rPr>
          <w:rFonts w:ascii="GHEA Grapalat" w:hAnsi="GHEA Grapalat"/>
          <w:sz w:val="22"/>
          <w:szCs w:val="22"/>
        </w:rPr>
        <w:t>Նախորդ տարվա համեմատ Բարձր տեխնոլոգիական արդյունաբերության էկոհամակարգի և շուկայի զարգացման ծրագրի ծախսերն աճել</w:t>
      </w:r>
      <w:r w:rsidRPr="001F63BA">
        <w:rPr>
          <w:rFonts w:ascii="Courier New" w:hAnsi="Courier New" w:cs="Courier New"/>
          <w:sz w:val="22"/>
          <w:szCs w:val="22"/>
        </w:rPr>
        <w:t> </w:t>
      </w:r>
      <w:r w:rsidRPr="001F63BA">
        <w:rPr>
          <w:rFonts w:ascii="GHEA Grapalat" w:hAnsi="GHEA Grapalat" w:cs="GHEA Grapalat"/>
          <w:sz w:val="22"/>
          <w:szCs w:val="22"/>
        </w:rPr>
        <w:t>են</w:t>
      </w:r>
      <w:r w:rsidRPr="001F63BA">
        <w:rPr>
          <w:rFonts w:ascii="GHEA Grapalat" w:hAnsi="GHEA Grapalat"/>
          <w:sz w:val="22"/>
          <w:szCs w:val="22"/>
        </w:rPr>
        <w:t xml:space="preserve"> </w:t>
      </w:r>
      <w:r w:rsidRPr="001F63BA">
        <w:rPr>
          <w:rFonts w:ascii="GHEA Grapalat" w:hAnsi="GHEA Grapalat"/>
          <w:sz w:val="22"/>
          <w:szCs w:val="22"/>
          <w:lang w:val="en-US"/>
        </w:rPr>
        <w:t>10</w:t>
      </w:r>
      <w:r w:rsidRPr="001F63BA">
        <w:rPr>
          <w:rFonts w:ascii="GHEA Grapalat" w:hAnsi="GHEA Grapalat"/>
          <w:sz w:val="22"/>
          <w:szCs w:val="22"/>
        </w:rPr>
        <w:t>.</w:t>
      </w:r>
      <w:r w:rsidRPr="001F63BA">
        <w:rPr>
          <w:rFonts w:ascii="GHEA Grapalat" w:hAnsi="GHEA Grapalat"/>
          <w:sz w:val="22"/>
          <w:szCs w:val="22"/>
          <w:lang w:val="en-US"/>
        </w:rPr>
        <w:t>8</w:t>
      </w:r>
      <w:r w:rsidRPr="001F63BA">
        <w:rPr>
          <w:rFonts w:ascii="GHEA Grapalat" w:hAnsi="GHEA Grapalat"/>
          <w:sz w:val="22"/>
          <w:szCs w:val="22"/>
        </w:rPr>
        <w:t>%-</w:t>
      </w:r>
      <w:r w:rsidRPr="001F63BA">
        <w:rPr>
          <w:rFonts w:ascii="GHEA Grapalat" w:hAnsi="GHEA Grapalat"/>
          <w:sz w:val="22"/>
          <w:szCs w:val="22"/>
          <w:lang w:val="en-US"/>
        </w:rPr>
        <w:t>ով</w:t>
      </w:r>
      <w:r w:rsidRPr="001F63BA">
        <w:rPr>
          <w:rFonts w:ascii="GHEA Grapalat" w:hAnsi="GHEA Grapalat"/>
          <w:sz w:val="22"/>
          <w:szCs w:val="22"/>
        </w:rPr>
        <w:t xml:space="preserve"> կամ </w:t>
      </w:r>
      <w:r w:rsidRPr="001F63BA">
        <w:rPr>
          <w:rFonts w:ascii="GHEA Grapalat" w:hAnsi="GHEA Grapalat"/>
          <w:sz w:val="22"/>
          <w:szCs w:val="22"/>
          <w:lang w:val="en-US"/>
        </w:rPr>
        <w:t xml:space="preserve">628.6 </w:t>
      </w:r>
      <w:r w:rsidRPr="001F63BA">
        <w:rPr>
          <w:rFonts w:ascii="GHEA Grapalat" w:hAnsi="GHEA Grapalat"/>
          <w:sz w:val="22"/>
          <w:szCs w:val="22"/>
        </w:rPr>
        <w:t>մլ</w:t>
      </w:r>
      <w:r w:rsidRPr="001F63BA">
        <w:rPr>
          <w:rFonts w:ascii="GHEA Grapalat" w:hAnsi="GHEA Grapalat"/>
          <w:sz w:val="22"/>
          <w:szCs w:val="22"/>
          <w:lang w:val="en-US"/>
        </w:rPr>
        <w:t>ն</w:t>
      </w:r>
      <w:r w:rsidRPr="001F63BA">
        <w:rPr>
          <w:rFonts w:ascii="GHEA Grapalat" w:hAnsi="GHEA Grapalat"/>
          <w:sz w:val="22"/>
          <w:szCs w:val="22"/>
        </w:rPr>
        <w:t xml:space="preserve"> դրամով, որը հիմնականում պայմանավորված է </w:t>
      </w:r>
      <w:r w:rsidRPr="001F63BA">
        <w:rPr>
          <w:rFonts w:ascii="GHEA Grapalat" w:hAnsi="GHEA Grapalat"/>
          <w:sz w:val="22"/>
          <w:szCs w:val="22"/>
          <w:lang w:val="en-US"/>
        </w:rPr>
        <w:t xml:space="preserve">2022 թվականին </w:t>
      </w:r>
      <w:r w:rsidRPr="001F63BA">
        <w:rPr>
          <w:rFonts w:ascii="GHEA Grapalat" w:hAnsi="GHEA Grapalat"/>
          <w:sz w:val="22"/>
          <w:szCs w:val="22"/>
        </w:rPr>
        <w:t>տեղեկատվական տեխնոլոգիաների ոլորտում գործունեություն իրականացնող առևտրային կազմակերպություններին և անհատ ձեռնարկատերերին պետական աջակցության տրամադրմ</w:t>
      </w:r>
      <w:r w:rsidRPr="001F63BA">
        <w:rPr>
          <w:rFonts w:ascii="GHEA Grapalat" w:hAnsi="GHEA Grapalat"/>
          <w:sz w:val="22"/>
          <w:szCs w:val="22"/>
          <w:lang w:val="en-US"/>
        </w:rPr>
        <w:t xml:space="preserve">ան </w:t>
      </w:r>
      <w:r w:rsidRPr="001F63BA">
        <w:rPr>
          <w:rFonts w:ascii="GHEA Grapalat" w:hAnsi="GHEA Grapalat" w:cs="GHEA Grapalat"/>
          <w:sz w:val="22"/>
          <w:szCs w:val="22"/>
        </w:rPr>
        <w:t>համար միջոցների հատկացմամբ</w:t>
      </w:r>
      <w:r w:rsidRPr="001F63BA">
        <w:rPr>
          <w:rFonts w:ascii="GHEA Grapalat" w:hAnsi="GHEA Grapalat" w:cs="GHEA Grapalat"/>
          <w:sz w:val="22"/>
          <w:szCs w:val="22"/>
          <w:lang w:val="en-US"/>
        </w:rPr>
        <w:t>:</w:t>
      </w:r>
    </w:p>
    <w:p w:rsidR="001C411D" w:rsidRPr="001F63BA" w:rsidRDefault="001C411D" w:rsidP="000633EE">
      <w:pPr>
        <w:spacing w:line="360" w:lineRule="auto"/>
        <w:ind w:firstLine="561"/>
        <w:jc w:val="both"/>
        <w:rPr>
          <w:rFonts w:ascii="GHEA Grapalat" w:hAnsi="GHEA Grapalat"/>
          <w:sz w:val="22"/>
          <w:szCs w:val="22"/>
        </w:rPr>
      </w:pPr>
      <w:r w:rsidRPr="001F63BA">
        <w:rPr>
          <w:rFonts w:ascii="GHEA Grapalat" w:hAnsi="GHEA Grapalat" w:cs="Sylfaen"/>
          <w:sz w:val="22"/>
          <w:szCs w:val="22"/>
        </w:rPr>
        <w:t xml:space="preserve">Համաշխարհային բանկի աջակցությամբ իրականացվող առևտրի և ենթակառուցվածքների զարգացման վարկային ծրագրի </w:t>
      </w:r>
      <w:r w:rsidRPr="001F63BA">
        <w:rPr>
          <w:rFonts w:ascii="GHEA Grapalat" w:hAnsi="GHEA Grapalat"/>
          <w:sz w:val="22"/>
          <w:szCs w:val="22"/>
        </w:rPr>
        <w:t xml:space="preserve">նպատակն է՝ հզորացնել արտահանման խթանման, ներդրումների ներգրավման և </w:t>
      </w:r>
      <w:r w:rsidRPr="001F63BA">
        <w:rPr>
          <w:rFonts w:ascii="GHEA Grapalat" w:hAnsi="GHEA Grapalat" w:cs="Sylfaen"/>
          <w:sz w:val="22"/>
          <w:szCs w:val="22"/>
        </w:rPr>
        <w:t>ձեռնարկություններին տրամադրվող</w:t>
      </w:r>
      <w:r w:rsidRPr="001F63BA">
        <w:rPr>
          <w:rFonts w:ascii="GHEA Grapalat" w:hAnsi="GHEA Grapalat"/>
          <w:sz w:val="22"/>
          <w:szCs w:val="22"/>
        </w:rPr>
        <w:t xml:space="preserve"> որակի կառավարման ծառայությունների կարողությունները: Ծրագիրը բաղկացած է հետևյալ բաղադրիչներից.</w:t>
      </w:r>
    </w:p>
    <w:p w:rsidR="001C411D" w:rsidRPr="001F63BA" w:rsidRDefault="001C411D" w:rsidP="00BB1B4B">
      <w:pPr>
        <w:numPr>
          <w:ilvl w:val="0"/>
          <w:numId w:val="25"/>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Առևտրի խթանման և որակի համակարգերի արդյունավետության բարելավում,</w:t>
      </w:r>
    </w:p>
    <w:p w:rsidR="001C411D" w:rsidRPr="001F63BA" w:rsidRDefault="001C411D" w:rsidP="00BB1B4B">
      <w:pPr>
        <w:numPr>
          <w:ilvl w:val="0"/>
          <w:numId w:val="25"/>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Ներդրումների և արտահանման խթանում,</w:t>
      </w:r>
    </w:p>
    <w:p w:rsidR="001C411D" w:rsidRPr="001F63BA" w:rsidRDefault="001C411D" w:rsidP="00BB1B4B">
      <w:pPr>
        <w:numPr>
          <w:ilvl w:val="0"/>
          <w:numId w:val="25"/>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Որակի ազգային ենթակառուցվածքի արդիականացում,</w:t>
      </w:r>
    </w:p>
    <w:p w:rsidR="001C411D" w:rsidRPr="001F63BA" w:rsidRDefault="001C411D" w:rsidP="00BB1B4B">
      <w:pPr>
        <w:numPr>
          <w:ilvl w:val="0"/>
          <w:numId w:val="25"/>
        </w:numPr>
        <w:tabs>
          <w:tab w:val="left" w:pos="851"/>
        </w:tabs>
        <w:spacing w:line="360" w:lineRule="auto"/>
        <w:ind w:left="0" w:firstLine="567"/>
        <w:jc w:val="both"/>
        <w:rPr>
          <w:rFonts w:ascii="GHEA Grapalat" w:hAnsi="GHEA Grapalat"/>
          <w:sz w:val="22"/>
          <w:szCs w:val="22"/>
        </w:rPr>
      </w:pPr>
      <w:r w:rsidRPr="001F63BA">
        <w:rPr>
          <w:rFonts w:ascii="GHEA Grapalat" w:hAnsi="GHEA Grapalat"/>
          <w:sz w:val="22"/>
          <w:szCs w:val="22"/>
        </w:rPr>
        <w:t>Ծրագրի կառավարում, մոնիտորինգ և գնահատում:</w:t>
      </w:r>
    </w:p>
    <w:p w:rsidR="001C411D" w:rsidRPr="001F63BA" w:rsidRDefault="001C411D" w:rsidP="000633EE">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 xml:space="preserve">Համաշխարհային բանկի աջակցությամբ իրականացվող առևտրի և ենթակառուցվածքների զարգացման վարկային ծրագրի շրջանակներում </w:t>
      </w:r>
      <w:r w:rsidRPr="001F63BA">
        <w:rPr>
          <w:rFonts w:ascii="GHEA Grapalat" w:hAnsi="GHEA Grapalat" w:cs="Sylfaen"/>
          <w:sz w:val="22"/>
          <w:szCs w:val="22"/>
          <w:lang w:val="en-US"/>
        </w:rPr>
        <w:t xml:space="preserve">ընդհանուր առմամբ </w:t>
      </w:r>
      <w:r w:rsidRPr="001F63BA">
        <w:rPr>
          <w:rFonts w:ascii="GHEA Grapalat" w:hAnsi="GHEA Grapalat" w:cs="Sylfaen"/>
          <w:sz w:val="22"/>
          <w:szCs w:val="22"/>
        </w:rPr>
        <w:t>օգտագործվել է 2.5 մլրդ դրամ կամ նախատեսված միջոցների 66.3%</w:t>
      </w:r>
      <w:r w:rsidRPr="001F63BA">
        <w:rPr>
          <w:rFonts w:ascii="GHEA Grapalat" w:hAnsi="GHEA Grapalat" w:cs="Sylfaen"/>
          <w:sz w:val="22"/>
          <w:szCs w:val="22"/>
        </w:rPr>
        <w:noBreakHyphen/>
        <w:t>ը:</w:t>
      </w:r>
    </w:p>
    <w:p w:rsidR="001C411D" w:rsidRPr="001F63BA" w:rsidRDefault="001C411D" w:rsidP="000633EE">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Sylfaen"/>
          <w:sz w:val="22"/>
          <w:szCs w:val="22"/>
        </w:rPr>
        <w:t>Ծրագրի՝ ծառայությունների մատուցման բաղադրիչի շրջանակներում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w:t>
      </w:r>
      <w:r w:rsidRPr="001F63BA">
        <w:rPr>
          <w:rFonts w:ascii="GHEA Grapalat" w:hAnsi="GHEA Grapalat" w:cs="Sylfaen"/>
          <w:sz w:val="22"/>
          <w:szCs w:val="22"/>
          <w:lang w:val="en-US"/>
        </w:rPr>
        <w:t xml:space="preserve"> ընթացքում</w:t>
      </w:r>
      <w:r w:rsidRPr="001F63BA">
        <w:rPr>
          <w:rFonts w:ascii="GHEA Grapalat" w:hAnsi="GHEA Grapalat" w:cs="Sylfaen"/>
          <w:sz w:val="22"/>
          <w:szCs w:val="22"/>
        </w:rPr>
        <w:t xml:space="preserve"> արտահանողների </w:t>
      </w:r>
      <w:r w:rsidRPr="001F63BA">
        <w:rPr>
          <w:rFonts w:ascii="GHEA Grapalat" w:hAnsi="GHEA Grapalat" w:cs="Sylfaen"/>
          <w:sz w:val="22"/>
          <w:szCs w:val="22"/>
          <w:lang w:val="en-US"/>
        </w:rPr>
        <w:t xml:space="preserve">զարգացման </w:t>
      </w:r>
      <w:r w:rsidRPr="001F63BA">
        <w:rPr>
          <w:rFonts w:ascii="GHEA Grapalat" w:hAnsi="GHEA Grapalat" w:cs="Sylfaen"/>
          <w:sz w:val="22"/>
          <w:szCs w:val="22"/>
        </w:rPr>
        <w:t>դրամաշնորհ</w:t>
      </w:r>
      <w:r w:rsidRPr="001F63BA">
        <w:rPr>
          <w:rFonts w:ascii="GHEA Grapalat" w:hAnsi="GHEA Grapalat" w:cs="Sylfaen"/>
          <w:sz w:val="22"/>
          <w:szCs w:val="22"/>
          <w:lang w:val="en-US"/>
        </w:rPr>
        <w:t xml:space="preserve">ներ ստացած թվով 7 կազմակերպություններ ամբողջությամբ </w:t>
      </w:r>
      <w:r w:rsidRPr="001F63BA">
        <w:rPr>
          <w:rFonts w:ascii="GHEA Grapalat" w:hAnsi="GHEA Grapalat" w:cs="Sylfaen"/>
          <w:sz w:val="22"/>
          <w:szCs w:val="22"/>
        </w:rPr>
        <w:t>իրականաց</w:t>
      </w:r>
      <w:r w:rsidRPr="001F63BA">
        <w:rPr>
          <w:rFonts w:ascii="GHEA Grapalat" w:hAnsi="GHEA Grapalat" w:cs="Sylfaen"/>
          <w:sz w:val="22"/>
          <w:szCs w:val="22"/>
          <w:lang w:val="en-US"/>
        </w:rPr>
        <w:t>ր</w:t>
      </w:r>
      <w:r w:rsidRPr="001F63BA">
        <w:rPr>
          <w:rFonts w:ascii="GHEA Grapalat" w:hAnsi="GHEA Grapalat" w:cs="Sylfaen"/>
          <w:sz w:val="22"/>
          <w:szCs w:val="22"/>
        </w:rPr>
        <w:t xml:space="preserve">ել են </w:t>
      </w:r>
      <w:r w:rsidRPr="001F63BA">
        <w:rPr>
          <w:rFonts w:ascii="GHEA Grapalat" w:hAnsi="GHEA Grapalat" w:cs="Sylfaen"/>
          <w:sz w:val="22"/>
          <w:szCs w:val="22"/>
          <w:lang w:val="en-US"/>
        </w:rPr>
        <w:t xml:space="preserve">ծրագրերով </w:t>
      </w:r>
      <w:r w:rsidRPr="001F63BA">
        <w:rPr>
          <w:rFonts w:ascii="GHEA Grapalat" w:hAnsi="GHEA Grapalat" w:cs="Sylfaen"/>
          <w:sz w:val="22"/>
          <w:szCs w:val="22"/>
        </w:rPr>
        <w:t xml:space="preserve">նախատեսված </w:t>
      </w:r>
      <w:r w:rsidRPr="001F63BA">
        <w:rPr>
          <w:rFonts w:ascii="GHEA Grapalat" w:hAnsi="GHEA Grapalat" w:cs="Sylfaen"/>
          <w:sz w:val="22"/>
          <w:szCs w:val="22"/>
          <w:lang w:val="en-US"/>
        </w:rPr>
        <w:t xml:space="preserve">աշխատանքները, մասնավորապես՝ ամբողջությամբ </w:t>
      </w:r>
      <w:r w:rsidRPr="001F63BA">
        <w:rPr>
          <w:rFonts w:ascii="GHEA Grapalat" w:hAnsi="GHEA Grapalat" w:cs="Sylfaen"/>
          <w:sz w:val="22"/>
          <w:szCs w:val="22"/>
        </w:rPr>
        <w:t>իրականաց</w:t>
      </w:r>
      <w:r w:rsidRPr="001F63BA">
        <w:rPr>
          <w:rFonts w:ascii="GHEA Grapalat" w:hAnsi="GHEA Grapalat" w:cs="Sylfaen"/>
          <w:sz w:val="22"/>
          <w:szCs w:val="22"/>
          <w:lang w:val="en-US"/>
        </w:rPr>
        <w:t>վ</w:t>
      </w:r>
      <w:r w:rsidRPr="001F63BA">
        <w:rPr>
          <w:rFonts w:ascii="GHEA Grapalat" w:hAnsi="GHEA Grapalat" w:cs="Sylfaen"/>
          <w:sz w:val="22"/>
          <w:szCs w:val="22"/>
        </w:rPr>
        <w:t xml:space="preserve">ել են </w:t>
      </w:r>
      <w:r w:rsidRPr="001F63BA">
        <w:rPr>
          <w:rFonts w:ascii="GHEA Grapalat" w:hAnsi="GHEA Grapalat" w:cs="GHEA Grapalat"/>
          <w:sz w:val="22"/>
          <w:szCs w:val="22"/>
          <w:lang w:val="en-US"/>
        </w:rPr>
        <w:t xml:space="preserve">ինժեներական բիզնես աքսելերատորի շենքի նախագծման, ինժեներական քաղաքի տարածքի բարեկարգման և ենթակառուցվածքների հեղինակային վերահսկողության աշխատանքները: Հաշվետու տարում միջոցառման շրջանակներում </w:t>
      </w:r>
      <w:r w:rsidRPr="001F63BA">
        <w:rPr>
          <w:rFonts w:ascii="GHEA Grapalat" w:hAnsi="GHEA Grapalat" w:cs="Sylfaen"/>
          <w:sz w:val="22"/>
          <w:szCs w:val="22"/>
          <w:lang w:val="en-US"/>
        </w:rPr>
        <w:t xml:space="preserve">իրականացվել են նաև թվով </w:t>
      </w:r>
      <w:r w:rsidRPr="001F63BA">
        <w:rPr>
          <w:rFonts w:ascii="GHEA Grapalat" w:hAnsi="GHEA Grapalat" w:cs="Sylfaen"/>
          <w:sz w:val="22"/>
          <w:szCs w:val="22"/>
        </w:rPr>
        <w:t>19 նորարարության</w:t>
      </w:r>
      <w:r w:rsidRPr="001F63BA">
        <w:rPr>
          <w:rFonts w:ascii="GHEA Grapalat" w:hAnsi="GHEA Grapalat" w:cs="GHEA Grapalat"/>
          <w:sz w:val="22"/>
          <w:szCs w:val="22"/>
        </w:rPr>
        <w:t xml:space="preserve"> զարգացման և մարզային համաֆինանսավորվող </w:t>
      </w:r>
      <w:r w:rsidRPr="001F63BA">
        <w:rPr>
          <w:rFonts w:ascii="GHEA Grapalat" w:hAnsi="GHEA Grapalat" w:cs="GHEA Grapalat"/>
          <w:sz w:val="22"/>
          <w:szCs w:val="22"/>
          <w:lang w:val="en-US"/>
        </w:rPr>
        <w:t xml:space="preserve">դրամաշնորհային ծրագրեր՝ </w:t>
      </w:r>
      <w:r w:rsidRPr="001F63BA">
        <w:rPr>
          <w:rFonts w:ascii="GHEA Grapalat" w:hAnsi="GHEA Grapalat" w:cs="Sylfaen"/>
          <w:sz w:val="22"/>
          <w:szCs w:val="22"/>
        </w:rPr>
        <w:t>նախատեսված 30-ի դիմաց</w:t>
      </w:r>
      <w:r w:rsidRPr="001F63BA">
        <w:rPr>
          <w:rFonts w:ascii="GHEA Grapalat" w:hAnsi="GHEA Grapalat" w:cs="GHEA Grapalat"/>
          <w:sz w:val="22"/>
          <w:szCs w:val="22"/>
          <w:lang w:val="en-US"/>
        </w:rPr>
        <w:t xml:space="preserve">, որը պայմանավորված է նրանով, որ դրամաշնորհային ծրագրերով նախատեսված միջոցառումների փոփոխությունների հետևանքով կատարվել են </w:t>
      </w:r>
      <w:r w:rsidRPr="001F63BA">
        <w:rPr>
          <w:rFonts w:ascii="GHEA Grapalat" w:hAnsi="GHEA Grapalat" w:cs="GHEA Grapalat"/>
          <w:sz w:val="22"/>
          <w:szCs w:val="22"/>
          <w:lang w:val="en-US"/>
        </w:rPr>
        <w:lastRenderedPageBreak/>
        <w:t>պայմանագրերի ժամկետների փոփոխություններ: ՍՉԱՄ-ի տրամաչափարկման լաբորատորիաների համար միջազգային հավատարմագրում ստանալու նպատակով՝ միջազգային մրցույթով ընտրված փորձագետի կողմից իրականացվել են պայմանագրով նախատեսված առաջին փուլի՝ հավատարմագրման նախապատրաստական աշխատանքները, ազգային հավատարմագրման մարմնի կողմից միջազգային գործելակերպին համապատասխան հավատարմագրվել են թվով 10 ընկերություններ: Ծրագրի՝ ծառայությունների մատուցման բաղադրիչի շրջանակներում ծախսերը կատարվել են 70.5%-ով՝ կազմելով շուրջ 1.3 մլրդ դրամ: Շեղումը հիմնականում պայմանավորված է նրանով, որ անհրաժեշտություն է առաջացել փոփոխություններ կատարելու նորարարության զարգացման և մարզային համաֆինանսավորվող դրամաշնորհային ծրագրերում, ինչի արդյունքում երկարաձգվել են պայմանագրերով նախատեսված աշխատանքների ժամկետները:</w:t>
      </w:r>
    </w:p>
    <w:p w:rsidR="001C411D" w:rsidRPr="001F63BA" w:rsidRDefault="001C411D" w:rsidP="000633EE">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Համաշխարհային բանկի աջակցությամբ իրականացվող առևտրի և ենթակառուցվածքների զարգացման վարկային ծրագրի՝ շենքերի և շինությունների շինարարության և հիմնանորոգման բաղադրիչի շրջանակներում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ընթացքում նախատեսված ողջ ծավալով իրականացվել են Ստանդարտացման և չափագիտության ազգային մարմնի (ՍՉԱՄ) լաբորատորիաների և այլ տարածքների վերանորոգման աշխատանքները: Ինժեներական քաղաքի տարածքի բարեկարգման և ենթակառուցվածքների կառուցման աշխատանքները կատարվել են 90%-ով</w:t>
      </w:r>
      <w:r w:rsidRPr="001F63BA">
        <w:rPr>
          <w:rFonts w:ascii="GHEA Grapalat" w:hAnsi="GHEA Grapalat" w:cs="Sylfaen"/>
          <w:sz w:val="22"/>
          <w:szCs w:val="22"/>
          <w:lang w:val="en-US"/>
        </w:rPr>
        <w:t xml:space="preserve">՝ պայմանավորված նրանով, որ </w:t>
      </w:r>
      <w:r w:rsidRPr="001F63BA">
        <w:rPr>
          <w:rFonts w:ascii="GHEA Grapalat" w:hAnsi="GHEA Grapalat" w:cs="Sylfaen"/>
          <w:sz w:val="22"/>
          <w:szCs w:val="22"/>
        </w:rPr>
        <w:t>շինարարական աշխատանքների հանձնման-ընդունման գործընթացը</w:t>
      </w:r>
      <w:r w:rsidRPr="001F63BA">
        <w:rPr>
          <w:rFonts w:ascii="GHEA Grapalat" w:hAnsi="GHEA Grapalat" w:cs="Sylfaen"/>
          <w:sz w:val="22"/>
          <w:szCs w:val="22"/>
          <w:lang w:val="en-US"/>
        </w:rPr>
        <w:t xml:space="preserve"> 2022 թվականին</w:t>
      </w:r>
      <w:r w:rsidRPr="001F63BA">
        <w:rPr>
          <w:rFonts w:ascii="GHEA Grapalat" w:hAnsi="GHEA Grapalat" w:cs="Sylfaen"/>
          <w:sz w:val="22"/>
          <w:szCs w:val="22"/>
        </w:rPr>
        <w:t xml:space="preserve"> </w:t>
      </w:r>
      <w:r w:rsidRPr="001F63BA">
        <w:rPr>
          <w:rFonts w:ascii="GHEA Grapalat" w:hAnsi="GHEA Grapalat" w:cs="Sylfaen"/>
          <w:sz w:val="22"/>
          <w:szCs w:val="22"/>
          <w:lang w:val="en-US"/>
        </w:rPr>
        <w:t xml:space="preserve">չի ավարտվել, քանի որ անհրաժեշտություն էր առաջացել ճշգրտելու </w:t>
      </w:r>
      <w:r w:rsidRPr="001F63BA">
        <w:rPr>
          <w:rFonts w:ascii="GHEA Grapalat" w:hAnsi="GHEA Grapalat" w:cs="Sylfaen"/>
          <w:sz w:val="22"/>
          <w:szCs w:val="22"/>
        </w:rPr>
        <w:t>ինժեներական քաղաքի տարածքի բարեկարգման և ենթակառուցվածքների կառուցման պայմանագրի վերջնական գ</w:t>
      </w:r>
      <w:r w:rsidRPr="001F63BA">
        <w:rPr>
          <w:rFonts w:ascii="GHEA Grapalat" w:hAnsi="GHEA Grapalat" w:cs="Sylfaen"/>
          <w:sz w:val="22"/>
          <w:szCs w:val="22"/>
          <w:lang w:val="en-US"/>
        </w:rPr>
        <w:t>ի</w:t>
      </w:r>
      <w:r w:rsidRPr="001F63BA">
        <w:rPr>
          <w:rFonts w:ascii="GHEA Grapalat" w:hAnsi="GHEA Grapalat" w:cs="Sylfaen"/>
          <w:sz w:val="22"/>
          <w:szCs w:val="22"/>
        </w:rPr>
        <w:t>ն</w:t>
      </w:r>
      <w:r w:rsidRPr="001F63BA">
        <w:rPr>
          <w:rFonts w:ascii="GHEA Grapalat" w:hAnsi="GHEA Grapalat" w:cs="Sylfaen"/>
          <w:sz w:val="22"/>
          <w:szCs w:val="22"/>
          <w:lang w:val="en-US"/>
        </w:rPr>
        <w:t>ը</w:t>
      </w:r>
      <w:r w:rsidRPr="001F63BA">
        <w:rPr>
          <w:rFonts w:ascii="GHEA Grapalat" w:hAnsi="GHEA Grapalat" w:cs="Sylfaen"/>
          <w:sz w:val="22"/>
          <w:szCs w:val="22"/>
        </w:rPr>
        <w:t>: Չեն իրականացվել ինժեներական բիզնես աքսելատորի շենքի կառուցման աշխատանքները՝ պայմանավորված մրցույթի անցկացման մեթոդի փոփոխությամբ:</w:t>
      </w:r>
      <w:r w:rsidRPr="001F63BA">
        <w:rPr>
          <w:rFonts w:ascii="GHEA Grapalat" w:hAnsi="GHEA Grapalat" w:cs="GHEA Grapalat"/>
          <w:sz w:val="22"/>
          <w:szCs w:val="22"/>
        </w:rPr>
        <w:t xml:space="preserve"> </w:t>
      </w:r>
      <w:r w:rsidRPr="001F63BA">
        <w:rPr>
          <w:rFonts w:ascii="GHEA Grapalat" w:hAnsi="GHEA Grapalat" w:cs="Sylfaen"/>
          <w:sz w:val="22"/>
          <w:szCs w:val="22"/>
        </w:rPr>
        <w:t>Չեն իրականացվել</w:t>
      </w:r>
      <w:r w:rsidRPr="001F63BA">
        <w:rPr>
          <w:rFonts w:ascii="GHEA Grapalat" w:hAnsi="GHEA Grapalat" w:cs="GHEA Grapalat"/>
          <w:sz w:val="22"/>
          <w:szCs w:val="22"/>
        </w:rPr>
        <w:t xml:space="preserve"> նաև կիբեռանվտանգության ինկուբատորի դեմո լաբորատորիայի տարածքի վերանորոգման աշխատանքները՝ </w:t>
      </w:r>
      <w:r w:rsidRPr="001F63BA">
        <w:rPr>
          <w:rFonts w:ascii="GHEA Grapalat" w:hAnsi="GHEA Grapalat" w:cs="Sylfaen"/>
          <w:sz w:val="22"/>
          <w:szCs w:val="22"/>
        </w:rPr>
        <w:t xml:space="preserve">պայմանավորված Հայաստանի ազգային պոլիտեխնիկական համալսարանում կառուցվածքային (նաև տարածքային) փոփոխություններով: Վարկային ծրագրի շրջանակներում շենքերի և շինությունների շինարարության և հիմնանորոգման համար օգտագործվել է նախատեսված միջոցների 77.1%-ը՝ 1.2 մլրդ դրամ: Ցածր կատարողականը պայմանավորված է ինժեներական քաղաքի տարածքի բարեկարգման և ենթակառուցվածքների կառուցման </w:t>
      </w:r>
      <w:r w:rsidRPr="001F63BA">
        <w:rPr>
          <w:rFonts w:ascii="GHEA Grapalat" w:hAnsi="GHEA Grapalat" w:cs="Sylfaen"/>
          <w:sz w:val="22"/>
          <w:szCs w:val="22"/>
          <w:lang w:val="en-US"/>
        </w:rPr>
        <w:t>աշխատանքներն ամբողջությամբ չկատարելու հանգամանքով</w:t>
      </w:r>
      <w:r w:rsidRPr="001F63BA">
        <w:rPr>
          <w:rFonts w:ascii="GHEA Grapalat" w:hAnsi="GHEA Grapalat" w:cs="Sylfaen"/>
          <w:sz w:val="22"/>
          <w:szCs w:val="22"/>
        </w:rPr>
        <w:t>:</w:t>
      </w:r>
    </w:p>
    <w:p w:rsidR="001C411D" w:rsidRPr="001F63BA" w:rsidRDefault="001C411D" w:rsidP="000633EE">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Ծրագրի՝ սարքավորումների ձեռքբերման բաղադրիչի շրջանակներում կիբե</w:t>
      </w:r>
      <w:r w:rsidRPr="001F63BA">
        <w:rPr>
          <w:rFonts w:ascii="GHEA Grapalat" w:hAnsi="GHEA Grapalat" w:cs="GHEA Grapalat"/>
          <w:sz w:val="22"/>
          <w:szCs w:val="22"/>
          <w:lang w:val="en-US"/>
        </w:rPr>
        <w:t>ռ</w:t>
      </w:r>
      <w:r w:rsidRPr="001F63BA">
        <w:rPr>
          <w:rFonts w:ascii="GHEA Grapalat" w:hAnsi="GHEA Grapalat" w:cs="GHEA Grapalat"/>
          <w:sz w:val="22"/>
          <w:szCs w:val="22"/>
        </w:rPr>
        <w:t>անվտանգության ինկուբատորի</w:t>
      </w:r>
      <w:r w:rsidRPr="001F63BA">
        <w:rPr>
          <w:rFonts w:ascii="GHEA Grapalat" w:hAnsi="GHEA Grapalat" w:cs="Sylfaen"/>
          <w:sz w:val="22"/>
          <w:szCs w:val="22"/>
        </w:rPr>
        <w:t xml:space="preserve"> կրթական լաբորատորիաների համար համակարգչային սարքավորումների ձեռքբերումն ամբողջությամբ իրականացվել է, իսկ կիբե</w:t>
      </w:r>
      <w:r w:rsidRPr="001F63BA">
        <w:rPr>
          <w:rFonts w:ascii="GHEA Grapalat" w:hAnsi="GHEA Grapalat" w:cs="Sylfaen"/>
          <w:sz w:val="22"/>
          <w:szCs w:val="22"/>
          <w:lang w:val="en-US"/>
        </w:rPr>
        <w:t>ռ</w:t>
      </w:r>
      <w:r w:rsidRPr="001F63BA">
        <w:rPr>
          <w:rFonts w:ascii="GHEA Grapalat" w:hAnsi="GHEA Grapalat" w:cs="Sylfaen"/>
          <w:sz w:val="22"/>
          <w:szCs w:val="22"/>
        </w:rPr>
        <w:t xml:space="preserve">անվտանգության ինկուբատորի լաբորատորիաների համար IBM լիցենզիաների ձեռքբերման, տեղադրման, ուսուցման և </w:t>
      </w:r>
      <w:r w:rsidRPr="001F63BA">
        <w:rPr>
          <w:rFonts w:ascii="GHEA Grapalat" w:hAnsi="GHEA Grapalat" w:cs="Sylfaen"/>
          <w:sz w:val="22"/>
          <w:szCs w:val="22"/>
        </w:rPr>
        <w:lastRenderedPageBreak/>
        <w:t>երաշխիքային սպասարկման աշխատանքները չեն իրականացվել՝ պայմանավորված այն հանգամանքով, որ նախնական բանակցություններ</w:t>
      </w:r>
      <w:r w:rsidRPr="001F63BA">
        <w:rPr>
          <w:rFonts w:ascii="GHEA Grapalat" w:hAnsi="GHEA Grapalat" w:cs="Sylfaen"/>
          <w:sz w:val="22"/>
          <w:szCs w:val="22"/>
          <w:lang w:val="en-US"/>
        </w:rPr>
        <w:t xml:space="preserve"> էին</w:t>
      </w:r>
      <w:r w:rsidRPr="001F63BA">
        <w:rPr>
          <w:rFonts w:ascii="GHEA Grapalat" w:hAnsi="GHEA Grapalat" w:cs="Sylfaen"/>
          <w:sz w:val="22"/>
          <w:szCs w:val="22"/>
        </w:rPr>
        <w:t xml:space="preserve"> </w:t>
      </w:r>
      <w:r w:rsidRPr="001F63BA">
        <w:rPr>
          <w:rFonts w:ascii="GHEA Grapalat" w:hAnsi="GHEA Grapalat" w:cs="Sylfaen"/>
          <w:sz w:val="22"/>
          <w:szCs w:val="22"/>
          <w:lang w:val="en-US"/>
        </w:rPr>
        <w:t>վ</w:t>
      </w:r>
      <w:r w:rsidRPr="001F63BA">
        <w:rPr>
          <w:rFonts w:ascii="GHEA Grapalat" w:hAnsi="GHEA Grapalat" w:cs="Sylfaen"/>
          <w:sz w:val="22"/>
          <w:szCs w:val="22"/>
        </w:rPr>
        <w:t>արվել Ռուսաստանի IBM ներկայացուցչության հետ, սակայն պատժամիջոցների հետևանքով նոր պայմանավորվածություն է ձեռք բերվել IBM Խորվաթիայի հետ</w:t>
      </w:r>
      <w:r w:rsidRPr="001F63BA">
        <w:rPr>
          <w:rFonts w:ascii="GHEA Grapalat" w:hAnsi="GHEA Grapalat" w:cs="Sylfaen"/>
          <w:sz w:val="22"/>
          <w:szCs w:val="22"/>
          <w:lang w:val="en-US"/>
        </w:rPr>
        <w:t xml:space="preserve">, սակայն 2022 թվականի սեպտեմբերին հայտարարված մրցույթը հայտերի բացակայության պատճառով չի կայացել: </w:t>
      </w:r>
      <w:r w:rsidRPr="001F63BA">
        <w:rPr>
          <w:rFonts w:ascii="GHEA Grapalat" w:hAnsi="GHEA Grapalat" w:cs="Sylfaen"/>
          <w:sz w:val="22"/>
          <w:szCs w:val="22"/>
        </w:rPr>
        <w:t xml:space="preserve">Չեն իրականացվել </w:t>
      </w:r>
      <w:r w:rsidRPr="001F63BA">
        <w:rPr>
          <w:rFonts w:ascii="GHEA Grapalat" w:hAnsi="GHEA Grapalat" w:cs="Sylfaen"/>
          <w:sz w:val="22"/>
          <w:szCs w:val="22"/>
          <w:lang w:val="en-US"/>
        </w:rPr>
        <w:t xml:space="preserve">նաև </w:t>
      </w:r>
      <w:r w:rsidRPr="001F63BA">
        <w:rPr>
          <w:rFonts w:ascii="GHEA Grapalat" w:hAnsi="GHEA Grapalat" w:cs="Sylfaen"/>
          <w:sz w:val="22"/>
          <w:szCs w:val="22"/>
        </w:rPr>
        <w:t xml:space="preserve">ՍՉԱՄ նավթամթերքների թեստավորման լաբորատորիայի համար սարքավորումների ձեռքբերման աշխատանքները՝ պայմանավորված գնման երկարատև գործընթացով: </w:t>
      </w:r>
      <w:r w:rsidRPr="001F63BA">
        <w:rPr>
          <w:rFonts w:ascii="GHEA Grapalat" w:hAnsi="GHEA Grapalat" w:cs="GHEA Grapalat"/>
          <w:sz w:val="22"/>
          <w:szCs w:val="22"/>
          <w:lang w:val="en-US"/>
        </w:rPr>
        <w:t>Սարքավորումների ձեռքբերման նպատակով առաջին անգամ հայտարարված մրցույթը չի կայացել հայտերի բացակայության պատճառով, իսկ երկրորդ անգամ հայտարարված մրցույթի արդյունքներով պայմանագիրը կնքվել է 2022 թվականի դեկտեմբերին։ Արդյունքում նշված միջոցառման շրջանակներում օգտագործվել է նախատեսված միջոցների 12.1%-ը՝ 54.9 մլն դրամ:</w:t>
      </w:r>
    </w:p>
    <w:p w:rsidR="001C411D" w:rsidRPr="001F63BA" w:rsidRDefault="001C411D" w:rsidP="00EE4F20">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lang w:val="en-US"/>
        </w:rPr>
        <w:t>Տ</w:t>
      </w:r>
      <w:r w:rsidRPr="001F63BA">
        <w:rPr>
          <w:rFonts w:ascii="GHEA Grapalat" w:hAnsi="GHEA Grapalat" w:cs="Sylfaen"/>
          <w:sz w:val="22"/>
          <w:szCs w:val="22"/>
        </w:rPr>
        <w:t xml:space="preserve">եղեկատվական տեխնոլոգիաների ոլորտում գործունեություն իրականացնող առևտրային կազմակերպություններին և անհատ ձեռնարկատերերին պետական աջակցության միջոցառման </w:t>
      </w:r>
      <w:r w:rsidRPr="001F63BA">
        <w:rPr>
          <w:rFonts w:ascii="GHEA Grapalat" w:hAnsi="GHEA Grapalat" w:cs="Sylfaen"/>
          <w:sz w:val="22"/>
          <w:szCs w:val="22"/>
          <w:lang w:val="en-US"/>
        </w:rPr>
        <w:t xml:space="preserve">նպատակն է </w:t>
      </w:r>
      <w:r w:rsidRPr="001F63BA">
        <w:rPr>
          <w:rFonts w:ascii="GHEA Grapalat" w:hAnsi="GHEA Grapalat" w:cs="Sylfaen"/>
          <w:sz w:val="22"/>
          <w:szCs w:val="22"/>
        </w:rPr>
        <w:t>Հայաստանի Հանրապետությունում տեղեկատվական տեխնոլոգիաների ոլորտի զարգացմանն օժանդակելու, ինչպես նաև տարածաշրջանի երկրների համեմատ նշյալ ոլորտում գործունեության խթանների առումով տնտեսվարող սուբ</w:t>
      </w:r>
      <w:r w:rsidRPr="001F63BA">
        <w:rPr>
          <w:rFonts w:ascii="GHEA Grapalat" w:hAnsi="GHEA Grapalat" w:cs="Sylfaen"/>
          <w:sz w:val="22"/>
          <w:szCs w:val="22"/>
        </w:rPr>
        <w:softHyphen/>
        <w:t>յեկտ</w:t>
      </w:r>
      <w:r w:rsidRPr="001F63BA">
        <w:rPr>
          <w:rFonts w:ascii="GHEA Grapalat" w:hAnsi="GHEA Grapalat" w:cs="Sylfaen"/>
          <w:sz w:val="22"/>
          <w:szCs w:val="22"/>
        </w:rPr>
        <w:softHyphen/>
      </w:r>
      <w:r w:rsidRPr="001F63BA">
        <w:rPr>
          <w:rFonts w:ascii="GHEA Grapalat" w:hAnsi="GHEA Grapalat" w:cs="Sylfaen"/>
          <w:sz w:val="22"/>
          <w:szCs w:val="22"/>
        </w:rPr>
        <w:softHyphen/>
        <w:t>ների գործունեության իրականացման համար համապատասխան մրցունակ միջավայրի ստեղծումը։ Միջոցառման շրջանակներում աջակցություն ստացած շահառուների թիվը կազմել է 34՝ նախատեսված 35-ի փոխարեն, որը</w:t>
      </w:r>
      <w:r w:rsidRPr="001F63BA">
        <w:rPr>
          <w:rFonts w:ascii="GHEA Grapalat" w:hAnsi="GHEA Grapalat" w:cs="GHEA Grapalat"/>
          <w:sz w:val="22"/>
          <w:szCs w:val="22"/>
          <w:lang w:val="en-US"/>
        </w:rPr>
        <w:t xml:space="preserve"> պայմանավորված է նրանով, որ </w:t>
      </w:r>
      <w:r w:rsidRPr="001F63BA">
        <w:rPr>
          <w:rFonts w:ascii="GHEA Grapalat" w:hAnsi="GHEA Grapalat" w:cs="Sylfaen"/>
          <w:sz w:val="22"/>
          <w:szCs w:val="22"/>
          <w:lang w:val="en-US"/>
        </w:rPr>
        <w:t xml:space="preserve">մեկ շահառու կազմակերպության հետ պայմանագիրը կնքվել է նախատեսված ժամկետից ուշ: </w:t>
      </w:r>
      <w:r w:rsidRPr="001F63BA">
        <w:rPr>
          <w:rFonts w:ascii="GHEA Grapalat" w:hAnsi="GHEA Grapalat" w:cs="Sylfaen"/>
          <w:sz w:val="22"/>
          <w:szCs w:val="22"/>
        </w:rPr>
        <w:t xml:space="preserve">Նշված միջոցառման շրջանակներում օգտագործվել է շուրջ </w:t>
      </w:r>
      <w:r w:rsidRPr="001F63BA">
        <w:rPr>
          <w:rFonts w:ascii="GHEA Grapalat" w:hAnsi="GHEA Grapalat" w:cs="Sylfaen"/>
          <w:sz w:val="22"/>
          <w:szCs w:val="22"/>
          <w:lang w:val="en-US"/>
        </w:rPr>
        <w:t xml:space="preserve">2.6 </w:t>
      </w:r>
      <w:r w:rsidRPr="001F63BA">
        <w:rPr>
          <w:rFonts w:ascii="GHEA Grapalat" w:hAnsi="GHEA Grapalat" w:cs="Sylfaen"/>
          <w:sz w:val="22"/>
          <w:szCs w:val="22"/>
        </w:rPr>
        <w:t xml:space="preserve">մլրդ դրամ կամ նախատեսված միջոցների </w:t>
      </w:r>
      <w:r w:rsidRPr="001F63BA">
        <w:rPr>
          <w:rFonts w:ascii="GHEA Grapalat" w:hAnsi="GHEA Grapalat" w:cs="Sylfaen"/>
          <w:sz w:val="22"/>
          <w:szCs w:val="22"/>
          <w:lang w:val="en-US"/>
        </w:rPr>
        <w:t>98.8</w:t>
      </w:r>
      <w:r w:rsidRPr="001F63BA">
        <w:rPr>
          <w:rFonts w:ascii="GHEA Grapalat" w:hAnsi="GHEA Grapalat" w:cs="Sylfaen"/>
          <w:sz w:val="22"/>
          <w:szCs w:val="22"/>
        </w:rPr>
        <w:t>%-ը</w:t>
      </w:r>
      <w:r w:rsidRPr="001F63BA">
        <w:rPr>
          <w:rFonts w:ascii="GHEA Grapalat" w:hAnsi="GHEA Grapalat" w:cs="Sylfaen"/>
          <w:sz w:val="22"/>
          <w:szCs w:val="22"/>
          <w:lang w:val="en-US"/>
        </w:rPr>
        <w:t>: Միջոցառումը մեկնարկել է 2022 թվականին:</w:t>
      </w:r>
    </w:p>
    <w:p w:rsidR="001C411D" w:rsidRPr="001F63BA" w:rsidRDefault="001C411D" w:rsidP="000633EE">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rPr>
        <w:t>Պաշտպանության բնագավառում գիտական և գիտատեխնիկական նպատակային հետազոտությունների</w:t>
      </w:r>
      <w:r w:rsidRPr="001F63BA">
        <w:rPr>
          <w:rFonts w:ascii="GHEA Grapalat" w:hAnsi="GHEA Grapalat" w:cs="GHEA Grapalat"/>
          <w:sz w:val="22"/>
          <w:szCs w:val="22"/>
        </w:rPr>
        <w:t xml:space="preserve"> ծրագրի շրջանակներում մ</w:t>
      </w:r>
      <w:r w:rsidRPr="001F63BA">
        <w:rPr>
          <w:rFonts w:ascii="GHEA Grapalat" w:hAnsi="GHEA Grapalat" w:cs="Sylfaen"/>
          <w:sz w:val="22"/>
          <w:szCs w:val="22"/>
        </w:rPr>
        <w:t xml:space="preserve">իջոցներն ուղղվել են հատուկ գիտահետազոտական և փորձակոնստրուկտորական աշխատանքների ֆինանսավորմանը: </w:t>
      </w:r>
      <w:r w:rsidRPr="001F63BA">
        <w:rPr>
          <w:rFonts w:ascii="GHEA Grapalat" w:hAnsi="GHEA Grapalat" w:cs="GHEA Grapalat"/>
          <w:sz w:val="22"/>
          <w:szCs w:val="22"/>
        </w:rPr>
        <w:t xml:space="preserve">Ծրագրի շրջանակներում </w:t>
      </w:r>
      <w:r w:rsidRPr="001F63BA">
        <w:rPr>
          <w:rFonts w:ascii="GHEA Grapalat" w:hAnsi="GHEA Grapalat" w:cs="Sylfaen"/>
          <w:sz w:val="22"/>
          <w:szCs w:val="22"/>
        </w:rPr>
        <w:t xml:space="preserve">օգտագործվել է շուրջ </w:t>
      </w:r>
      <w:r w:rsidRPr="001F63BA">
        <w:rPr>
          <w:rFonts w:ascii="GHEA Grapalat" w:hAnsi="GHEA Grapalat" w:cs="Sylfaen"/>
          <w:sz w:val="22"/>
          <w:szCs w:val="22"/>
          <w:lang w:val="en-US"/>
        </w:rPr>
        <w:t>3</w:t>
      </w:r>
      <w:r w:rsidRPr="001F63BA">
        <w:rPr>
          <w:rFonts w:ascii="GHEA Grapalat" w:hAnsi="GHEA Grapalat" w:cs="Sylfaen"/>
          <w:sz w:val="22"/>
          <w:szCs w:val="22"/>
        </w:rPr>
        <w:t xml:space="preserve"> մլրդ դրամ՝ ապահովելով </w:t>
      </w:r>
      <w:r w:rsidRPr="001F63BA">
        <w:rPr>
          <w:rFonts w:ascii="GHEA Grapalat" w:hAnsi="GHEA Grapalat" w:cs="Sylfaen"/>
          <w:sz w:val="22"/>
          <w:szCs w:val="22"/>
          <w:lang w:val="en-US"/>
        </w:rPr>
        <w:t>100</w:t>
      </w:r>
      <w:r w:rsidRPr="001F63BA">
        <w:rPr>
          <w:rFonts w:ascii="GHEA Grapalat" w:hAnsi="GHEA Grapalat" w:cs="Sylfaen"/>
          <w:sz w:val="22"/>
          <w:szCs w:val="22"/>
        </w:rPr>
        <w:t xml:space="preserve">% կատարողական: </w:t>
      </w:r>
      <w:r w:rsidRPr="001F63BA">
        <w:rPr>
          <w:rFonts w:ascii="GHEA Grapalat" w:hAnsi="GHEA Grapalat" w:cs="Sylfaen"/>
          <w:sz w:val="22"/>
          <w:szCs w:val="22"/>
          <w:lang w:val="en-US"/>
        </w:rPr>
        <w:t xml:space="preserve">Նախորդ տարվա </w:t>
      </w:r>
      <w:r w:rsidRPr="001F63BA">
        <w:rPr>
          <w:rFonts w:ascii="GHEA Grapalat" w:hAnsi="GHEA Grapalat" w:cs="Sylfaen"/>
          <w:sz w:val="22"/>
          <w:szCs w:val="22"/>
        </w:rPr>
        <w:t xml:space="preserve">համեմատ Պաշտպանության բնագավառում գիտական և գիտատեխնիկական </w:t>
      </w:r>
      <w:r w:rsidRPr="001F63BA">
        <w:rPr>
          <w:rFonts w:ascii="GHEA Grapalat" w:hAnsi="GHEA Grapalat" w:cs="GHEA Grapalat"/>
          <w:sz w:val="22"/>
          <w:szCs w:val="22"/>
        </w:rPr>
        <w:t>նպատակային հետազոտությունների ծրագրի շրջանակներում կատարված ծախսերն աճել են 2.</w:t>
      </w:r>
      <w:r w:rsidRPr="001F63BA">
        <w:rPr>
          <w:rFonts w:ascii="GHEA Grapalat" w:hAnsi="GHEA Grapalat" w:cs="GHEA Grapalat"/>
          <w:sz w:val="22"/>
          <w:szCs w:val="22"/>
          <w:lang w:val="en-US"/>
        </w:rPr>
        <w:t xml:space="preserve">5 </w:t>
      </w:r>
      <w:r w:rsidRPr="001F63BA">
        <w:rPr>
          <w:rFonts w:ascii="GHEA Grapalat" w:hAnsi="GHEA Grapalat" w:cs="GHEA Grapalat"/>
          <w:sz w:val="22"/>
          <w:szCs w:val="22"/>
        </w:rPr>
        <w:t>անգամ կամ 1.8 մլրդ դրամով, որը պայմանավորված է նոր թեմաների հաստատմամբ, ինչպես նաև դրանց առաջին փուլերի կանխավճարների տրամադրմամբ:</w:t>
      </w:r>
    </w:p>
    <w:p w:rsidR="001C411D" w:rsidRPr="001F63BA" w:rsidRDefault="001C411D" w:rsidP="008E438A">
      <w:pPr>
        <w:spacing w:line="360" w:lineRule="auto"/>
        <w:ind w:firstLine="561"/>
        <w:jc w:val="both"/>
        <w:rPr>
          <w:rFonts w:ascii="GHEA Grapalat" w:hAnsi="GHEA Grapalat" w:cs="GHEA Grapalat"/>
          <w:sz w:val="22"/>
          <w:szCs w:val="22"/>
        </w:rPr>
      </w:pPr>
    </w:p>
    <w:p w:rsidR="001C411D" w:rsidRPr="001F63BA" w:rsidRDefault="001C411D" w:rsidP="00056123">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i/>
          <w:sz w:val="22"/>
          <w:szCs w:val="22"/>
          <w:u w:val="single"/>
        </w:rPr>
        <w:t xml:space="preserve">ՀՀ </w:t>
      </w:r>
      <w:r w:rsidRPr="001F63BA">
        <w:rPr>
          <w:rFonts w:ascii="GHEA Grapalat" w:hAnsi="GHEA Grapalat" w:cs="GHEA Grapalat"/>
          <w:i/>
          <w:sz w:val="22"/>
          <w:szCs w:val="22"/>
          <w:u w:val="single"/>
        </w:rPr>
        <w:t>ֆինանսների</w:t>
      </w:r>
      <w:r w:rsidRPr="001F63BA">
        <w:rPr>
          <w:rFonts w:ascii="GHEA Grapalat" w:hAnsi="GHEA Grapalat" w:cs="Sylfaen"/>
          <w:i/>
          <w:sz w:val="22"/>
          <w:szCs w:val="22"/>
          <w:u w:val="single"/>
        </w:rPr>
        <w:t xml:space="preserve"> նախարարության</w:t>
      </w:r>
      <w:r w:rsidRPr="001F63BA">
        <w:rPr>
          <w:rFonts w:ascii="GHEA Grapalat" w:hAnsi="GHEA Grapalat" w:cs="Sylfaen"/>
          <w:sz w:val="22"/>
          <w:szCs w:val="22"/>
          <w:lang w:val="en-US"/>
        </w:rPr>
        <w:t xml:space="preserve"> </w:t>
      </w:r>
      <w:r w:rsidRPr="001F63BA">
        <w:rPr>
          <w:rFonts w:ascii="GHEA Grapalat" w:hAnsi="GHEA Grapalat" w:cs="Sylfaen"/>
          <w:sz w:val="22"/>
          <w:szCs w:val="22"/>
        </w:rPr>
        <w:t>պատասխանատվության ներքո իրականացվել են 4 ծրագրեր, որոնց 2022 թվականի</w:t>
      </w:r>
      <w:r w:rsidRPr="001F63BA">
        <w:rPr>
          <w:rFonts w:ascii="GHEA Grapalat" w:hAnsi="GHEA Grapalat" w:cs="GHEA Grapalat"/>
          <w:sz w:val="22"/>
          <w:szCs w:val="22"/>
        </w:rPr>
        <w:t xml:space="preserve">ն </w:t>
      </w:r>
      <w:r w:rsidRPr="001F63BA">
        <w:rPr>
          <w:rFonts w:ascii="GHEA Grapalat" w:hAnsi="GHEA Grapalat" w:cs="Sylfaen"/>
          <w:sz w:val="22"/>
          <w:szCs w:val="22"/>
        </w:rPr>
        <w:t>ՀՀ պետական բյուջեից տրամադրվել է 201.6</w:t>
      </w:r>
      <w:r w:rsidRPr="001F63BA">
        <w:rPr>
          <w:rFonts w:ascii="Courier New" w:hAnsi="Courier New" w:cs="Courier New"/>
          <w:sz w:val="22"/>
          <w:szCs w:val="22"/>
        </w:rPr>
        <w:t> </w:t>
      </w:r>
      <w:r w:rsidRPr="001F63BA">
        <w:rPr>
          <w:rFonts w:ascii="GHEA Grapalat" w:hAnsi="GHEA Grapalat" w:cs="GHEA Grapalat"/>
          <w:sz w:val="22"/>
          <w:szCs w:val="22"/>
        </w:rPr>
        <w:t>մլրդ</w:t>
      </w:r>
      <w:r w:rsidRPr="001F63BA">
        <w:rPr>
          <w:rFonts w:ascii="GHEA Grapalat" w:hAnsi="GHEA Grapalat" w:cs="Sylfaen"/>
          <w:sz w:val="22"/>
          <w:szCs w:val="22"/>
        </w:rPr>
        <w:t xml:space="preserve"> </w:t>
      </w:r>
      <w:r w:rsidRPr="001F63BA">
        <w:rPr>
          <w:rFonts w:ascii="GHEA Grapalat" w:hAnsi="GHEA Grapalat" w:cs="GHEA Grapalat"/>
          <w:sz w:val="22"/>
          <w:szCs w:val="22"/>
        </w:rPr>
        <w:t>դրամ՝</w:t>
      </w:r>
      <w:r w:rsidRPr="001F63BA">
        <w:rPr>
          <w:rFonts w:ascii="GHEA Grapalat" w:hAnsi="GHEA Grapalat" w:cs="Sylfaen"/>
          <w:sz w:val="22"/>
          <w:szCs w:val="22"/>
        </w:rPr>
        <w:t xml:space="preserve"> </w:t>
      </w:r>
      <w:r w:rsidRPr="001F63BA">
        <w:rPr>
          <w:rFonts w:ascii="GHEA Grapalat" w:hAnsi="GHEA Grapalat" w:cs="GHEA Grapalat"/>
          <w:sz w:val="22"/>
          <w:szCs w:val="22"/>
        </w:rPr>
        <w:lastRenderedPageBreak/>
        <w:t>ապահովելով</w:t>
      </w:r>
      <w:r w:rsidRPr="001F63BA">
        <w:rPr>
          <w:rFonts w:ascii="GHEA Grapalat" w:hAnsi="GHEA Grapalat" w:cs="Sylfaen"/>
          <w:sz w:val="22"/>
          <w:szCs w:val="22"/>
        </w:rPr>
        <w:t xml:space="preserve"> </w:t>
      </w:r>
      <w:r w:rsidRPr="001F63BA">
        <w:rPr>
          <w:rFonts w:ascii="GHEA Grapalat" w:hAnsi="GHEA Grapalat" w:cs="GHEA Grapalat"/>
          <w:sz w:val="22"/>
          <w:szCs w:val="22"/>
        </w:rPr>
        <w:t>ծրագրի</w:t>
      </w:r>
      <w:r w:rsidRPr="001F63BA">
        <w:rPr>
          <w:rFonts w:ascii="GHEA Grapalat" w:hAnsi="GHEA Grapalat" w:cs="Sylfaen"/>
          <w:sz w:val="22"/>
          <w:szCs w:val="22"/>
        </w:rPr>
        <w:t xml:space="preserve"> 99.7% կատարողական: 2021 թվականի համեմատ նախարարության ծախսերն աճել են 9.2%-ով (17 մլրդ դրամով)՝ հիմնականում պայմանավորված Պետական պարտքի կառավարման ծրագրի շրջանակներում կատարված ծախսերի աճով:</w:t>
      </w:r>
    </w:p>
    <w:p w:rsidR="001C411D" w:rsidRPr="001F63BA" w:rsidRDefault="001C411D" w:rsidP="00056123">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en-US"/>
        </w:rPr>
      </w:pPr>
      <w:r w:rsidRPr="001F63BA">
        <w:rPr>
          <w:rFonts w:ascii="GHEA Grapalat" w:hAnsi="GHEA Grapalat"/>
          <w:i/>
          <w:sz w:val="18"/>
          <w:szCs w:val="18"/>
          <w:lang w:val="en-US"/>
        </w:rPr>
        <w:t xml:space="preserve">ՀՀ ֆինանսների </w:t>
      </w:r>
      <w:r w:rsidRPr="001F63BA">
        <w:rPr>
          <w:rFonts w:ascii="GHEA Grapalat" w:hAnsi="GHEA Grapalat"/>
          <w:i/>
          <w:sz w:val="18"/>
          <w:szCs w:val="18"/>
          <w:lang w:val="hy-AM"/>
        </w:rPr>
        <w:t>նախարարության</w:t>
      </w:r>
      <w:r w:rsidRPr="001F63BA">
        <w:rPr>
          <w:rFonts w:ascii="GHEA Grapalat" w:hAnsi="GHEA Grapalat"/>
          <w:i/>
          <w:sz w:val="18"/>
          <w:szCs w:val="18"/>
          <w:lang w:val="en-US"/>
        </w:rPr>
        <w:t xml:space="preserve"> կողմից իրականացված ծրագրերը (մլն դրամ)</w:t>
      </w:r>
    </w:p>
    <w:tbl>
      <w:tblPr>
        <w:tblW w:w="10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300"/>
        <w:gridCol w:w="1134"/>
        <w:gridCol w:w="1134"/>
        <w:gridCol w:w="1033"/>
        <w:gridCol w:w="1235"/>
        <w:gridCol w:w="1275"/>
        <w:gridCol w:w="1174"/>
      </w:tblGrid>
      <w:tr w:rsidR="001C411D" w:rsidRPr="001F63BA" w:rsidTr="006B43D2">
        <w:trPr>
          <w:trHeight w:val="1596"/>
          <w:jc w:val="center"/>
        </w:trPr>
        <w:tc>
          <w:tcPr>
            <w:tcW w:w="3300" w:type="dxa"/>
            <w:noWrap/>
            <w:vAlign w:val="bottom"/>
          </w:tcPr>
          <w:p w:rsidR="001C411D" w:rsidRPr="001F63BA" w:rsidRDefault="001C411D">
            <w:pPr>
              <w:spacing w:after="160" w:line="256" w:lineRule="auto"/>
              <w:rPr>
                <w:rFonts w:ascii="Calibri" w:hAnsi="Calibri"/>
              </w:rPr>
            </w:pPr>
          </w:p>
        </w:tc>
        <w:tc>
          <w:tcPr>
            <w:tcW w:w="1134" w:type="dxa"/>
          </w:tcPr>
          <w:p w:rsidR="001C411D" w:rsidRPr="001F63BA" w:rsidRDefault="001C411D">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134" w:type="dxa"/>
          </w:tcPr>
          <w:p w:rsidR="001C411D" w:rsidRPr="001F63BA" w:rsidRDefault="001C411D">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033" w:type="dxa"/>
            <w:noWrap/>
          </w:tcPr>
          <w:p w:rsidR="001C411D" w:rsidRPr="001F63BA" w:rsidRDefault="001C411D">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235" w:type="dxa"/>
          </w:tcPr>
          <w:p w:rsidR="001C411D" w:rsidRPr="001F63BA" w:rsidRDefault="001C411D">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 (%)</w:t>
            </w:r>
          </w:p>
        </w:tc>
        <w:tc>
          <w:tcPr>
            <w:tcW w:w="1275" w:type="dxa"/>
          </w:tcPr>
          <w:p w:rsidR="001C411D" w:rsidRPr="001F63BA" w:rsidRDefault="001C411D" w:rsidP="006B43D2">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2022թ. 2021թ</w:t>
            </w:r>
            <w:r w:rsidRPr="001F63BA">
              <w:rPr>
                <w:rFonts w:ascii="GHEA Grapalat" w:hAnsi="GHEA Grapalat" w:cs="Calibri"/>
                <w:b/>
                <w:bCs/>
                <w:sz w:val="18"/>
                <w:szCs w:val="18"/>
                <w:lang w:val="en-US"/>
              </w:rPr>
              <w:t xml:space="preserve">-ի </w:t>
            </w:r>
            <w:r w:rsidRPr="001F63BA">
              <w:rPr>
                <w:rFonts w:ascii="GHEA Grapalat" w:hAnsi="GHEA Grapalat" w:cs="Calibri"/>
                <w:b/>
                <w:bCs/>
                <w:sz w:val="18"/>
                <w:szCs w:val="18"/>
              </w:rPr>
              <w:t>նկատմամբ (%)</w:t>
            </w:r>
          </w:p>
        </w:tc>
        <w:tc>
          <w:tcPr>
            <w:tcW w:w="1174" w:type="dxa"/>
          </w:tcPr>
          <w:p w:rsidR="001C411D" w:rsidRPr="001F63BA" w:rsidRDefault="001C411D">
            <w:pPr>
              <w:spacing w:line="256" w:lineRule="auto"/>
              <w:jc w:val="center"/>
              <w:rPr>
                <w:rFonts w:ascii="GHEA Grapalat" w:hAnsi="GHEA Grapalat" w:cs="Calibri"/>
                <w:b/>
                <w:sz w:val="18"/>
                <w:szCs w:val="18"/>
              </w:rPr>
            </w:pPr>
            <w:r w:rsidRPr="001F63BA">
              <w:rPr>
                <w:rFonts w:ascii="GHEA Grapalat" w:hAnsi="GHEA Grapalat" w:cs="Calibri"/>
                <w:b/>
                <w:sz w:val="18"/>
                <w:szCs w:val="18"/>
              </w:rPr>
              <w:t>2022թ. և 2021թ. տարբե-րությունը</w:t>
            </w:r>
          </w:p>
        </w:tc>
      </w:tr>
      <w:tr w:rsidR="001C411D" w:rsidRPr="001F63BA" w:rsidTr="006B43D2">
        <w:trPr>
          <w:trHeight w:val="331"/>
          <w:jc w:val="center"/>
        </w:trPr>
        <w:tc>
          <w:tcPr>
            <w:tcW w:w="3300" w:type="dxa"/>
            <w:vAlign w:val="bottom"/>
          </w:tcPr>
          <w:p w:rsidR="001C411D" w:rsidRPr="001F63BA" w:rsidRDefault="001C411D">
            <w:pPr>
              <w:spacing w:line="256" w:lineRule="auto"/>
              <w:rPr>
                <w:rFonts w:ascii="GHEA Grapalat" w:hAnsi="GHEA Grapalat" w:cs="Calibri"/>
                <w:b/>
                <w:sz w:val="18"/>
                <w:szCs w:val="18"/>
              </w:rPr>
            </w:pPr>
            <w:r w:rsidRPr="001F63BA">
              <w:rPr>
                <w:rFonts w:ascii="GHEA Grapalat" w:hAnsi="GHEA Grapalat" w:cs="Calibri"/>
                <w:b/>
                <w:sz w:val="18"/>
                <w:szCs w:val="18"/>
              </w:rPr>
              <w:t>ԸՆԴԱՄԵՆԸ</w:t>
            </w:r>
          </w:p>
        </w:tc>
        <w:tc>
          <w:tcPr>
            <w:tcW w:w="1134" w:type="dxa"/>
            <w:vAlign w:val="bottom"/>
          </w:tcPr>
          <w:p w:rsidR="001C411D" w:rsidRPr="001F63BA" w:rsidRDefault="001C411D" w:rsidP="00512F6B">
            <w:pPr>
              <w:jc w:val="right"/>
              <w:rPr>
                <w:rFonts w:ascii="GHEA Grapalat" w:hAnsi="GHEA Grapalat"/>
                <w:b/>
                <w:sz w:val="18"/>
                <w:szCs w:val="18"/>
              </w:rPr>
            </w:pPr>
            <w:r w:rsidRPr="001F63BA">
              <w:rPr>
                <w:rFonts w:ascii="GHEA Grapalat" w:hAnsi="GHEA Grapalat"/>
                <w:b/>
                <w:sz w:val="18"/>
                <w:szCs w:val="18"/>
              </w:rPr>
              <w:t>184,582.8</w:t>
            </w:r>
          </w:p>
        </w:tc>
        <w:tc>
          <w:tcPr>
            <w:tcW w:w="1134" w:type="dxa"/>
            <w:vAlign w:val="bottom"/>
          </w:tcPr>
          <w:p w:rsidR="001C411D" w:rsidRPr="001F63BA" w:rsidRDefault="001C411D" w:rsidP="00512F6B">
            <w:pPr>
              <w:jc w:val="right"/>
              <w:rPr>
                <w:rFonts w:ascii="GHEA Grapalat" w:hAnsi="GHEA Grapalat"/>
                <w:b/>
                <w:sz w:val="18"/>
                <w:szCs w:val="18"/>
              </w:rPr>
            </w:pPr>
            <w:r w:rsidRPr="001F63BA">
              <w:rPr>
                <w:rFonts w:ascii="GHEA Grapalat" w:hAnsi="GHEA Grapalat"/>
                <w:b/>
                <w:sz w:val="18"/>
                <w:szCs w:val="18"/>
              </w:rPr>
              <w:t>202,141.6</w:t>
            </w:r>
          </w:p>
        </w:tc>
        <w:tc>
          <w:tcPr>
            <w:tcW w:w="1033" w:type="dxa"/>
            <w:vAlign w:val="bottom"/>
          </w:tcPr>
          <w:p w:rsidR="001C411D" w:rsidRPr="001F63BA" w:rsidRDefault="001C411D" w:rsidP="00512F6B">
            <w:pPr>
              <w:jc w:val="right"/>
              <w:rPr>
                <w:rFonts w:ascii="GHEA Grapalat" w:hAnsi="GHEA Grapalat"/>
                <w:b/>
                <w:sz w:val="18"/>
                <w:szCs w:val="18"/>
              </w:rPr>
            </w:pPr>
            <w:r w:rsidRPr="001F63BA">
              <w:rPr>
                <w:rFonts w:ascii="GHEA Grapalat" w:hAnsi="GHEA Grapalat"/>
                <w:b/>
                <w:sz w:val="18"/>
                <w:szCs w:val="18"/>
              </w:rPr>
              <w:t>201,594.1</w:t>
            </w:r>
          </w:p>
        </w:tc>
        <w:tc>
          <w:tcPr>
            <w:tcW w:w="1235" w:type="dxa"/>
            <w:vAlign w:val="bottom"/>
          </w:tcPr>
          <w:p w:rsidR="001C411D" w:rsidRPr="001F63BA" w:rsidRDefault="001C411D" w:rsidP="00512F6B">
            <w:pPr>
              <w:jc w:val="right"/>
              <w:rPr>
                <w:rFonts w:ascii="GHEA Grapalat" w:hAnsi="GHEA Grapalat"/>
                <w:b/>
                <w:sz w:val="18"/>
                <w:szCs w:val="18"/>
              </w:rPr>
            </w:pPr>
            <w:r w:rsidRPr="001F63BA">
              <w:rPr>
                <w:rFonts w:ascii="GHEA Grapalat" w:hAnsi="GHEA Grapalat"/>
                <w:b/>
                <w:sz w:val="18"/>
                <w:szCs w:val="18"/>
              </w:rPr>
              <w:t>99.7</w:t>
            </w:r>
          </w:p>
        </w:tc>
        <w:tc>
          <w:tcPr>
            <w:tcW w:w="1275" w:type="dxa"/>
            <w:vAlign w:val="bottom"/>
          </w:tcPr>
          <w:p w:rsidR="001C411D" w:rsidRPr="001F63BA" w:rsidRDefault="001C411D" w:rsidP="00512F6B">
            <w:pPr>
              <w:jc w:val="right"/>
              <w:rPr>
                <w:rFonts w:ascii="GHEA Grapalat" w:hAnsi="GHEA Grapalat"/>
                <w:b/>
                <w:sz w:val="18"/>
                <w:szCs w:val="18"/>
              </w:rPr>
            </w:pPr>
            <w:r w:rsidRPr="001F63BA">
              <w:rPr>
                <w:rFonts w:ascii="GHEA Grapalat" w:hAnsi="GHEA Grapalat"/>
                <w:b/>
                <w:sz w:val="18"/>
                <w:szCs w:val="18"/>
              </w:rPr>
              <w:t>109.2</w:t>
            </w:r>
          </w:p>
        </w:tc>
        <w:tc>
          <w:tcPr>
            <w:tcW w:w="1174" w:type="dxa"/>
            <w:vAlign w:val="bottom"/>
          </w:tcPr>
          <w:p w:rsidR="001C411D" w:rsidRPr="001F63BA" w:rsidRDefault="001C411D" w:rsidP="00512F6B">
            <w:pPr>
              <w:jc w:val="right"/>
              <w:rPr>
                <w:rFonts w:ascii="GHEA Grapalat" w:hAnsi="GHEA Grapalat"/>
                <w:b/>
                <w:sz w:val="18"/>
                <w:szCs w:val="18"/>
              </w:rPr>
            </w:pPr>
            <w:r w:rsidRPr="001F63BA">
              <w:rPr>
                <w:rFonts w:ascii="GHEA Grapalat" w:hAnsi="GHEA Grapalat"/>
                <w:b/>
                <w:sz w:val="18"/>
                <w:szCs w:val="18"/>
              </w:rPr>
              <w:t>17,011.2</w:t>
            </w:r>
          </w:p>
        </w:tc>
      </w:tr>
      <w:tr w:rsidR="001C411D" w:rsidRPr="001F63BA" w:rsidTr="006B43D2">
        <w:trPr>
          <w:trHeight w:val="339"/>
          <w:jc w:val="center"/>
        </w:trPr>
        <w:tc>
          <w:tcPr>
            <w:tcW w:w="3300" w:type="dxa"/>
            <w:vAlign w:val="bottom"/>
          </w:tcPr>
          <w:p w:rsidR="001C411D" w:rsidRPr="001F63BA" w:rsidRDefault="001C411D">
            <w:pPr>
              <w:spacing w:line="256" w:lineRule="auto"/>
              <w:rPr>
                <w:rFonts w:ascii="GHEA Grapalat" w:hAnsi="GHEA Grapalat" w:cs="Calibri"/>
                <w:sz w:val="18"/>
                <w:szCs w:val="18"/>
              </w:rPr>
            </w:pPr>
            <w:r w:rsidRPr="001F63BA">
              <w:rPr>
                <w:rFonts w:ascii="GHEA Grapalat" w:hAnsi="GHEA Grapalat" w:cs="Calibri"/>
                <w:sz w:val="18"/>
                <w:szCs w:val="18"/>
              </w:rPr>
              <w:t>Պետական պարտքի կառավարում</w:t>
            </w:r>
          </w:p>
        </w:tc>
        <w:tc>
          <w:tcPr>
            <w:tcW w:w="1134" w:type="dxa"/>
            <w:vAlign w:val="bottom"/>
          </w:tcPr>
          <w:p w:rsidR="001C411D" w:rsidRPr="001F63BA" w:rsidRDefault="001C411D" w:rsidP="00512F6B">
            <w:pPr>
              <w:jc w:val="right"/>
              <w:rPr>
                <w:rFonts w:ascii="GHEA Grapalat" w:hAnsi="GHEA Grapalat"/>
                <w:sz w:val="18"/>
                <w:szCs w:val="18"/>
              </w:rPr>
            </w:pPr>
            <w:r w:rsidRPr="001F63BA">
              <w:rPr>
                <w:rFonts w:ascii="GHEA Grapalat" w:hAnsi="GHEA Grapalat"/>
                <w:sz w:val="18"/>
                <w:szCs w:val="18"/>
              </w:rPr>
              <w:t>181,475.5</w:t>
            </w:r>
          </w:p>
        </w:tc>
        <w:tc>
          <w:tcPr>
            <w:tcW w:w="1134" w:type="dxa"/>
            <w:vAlign w:val="bottom"/>
          </w:tcPr>
          <w:p w:rsidR="001C411D" w:rsidRPr="001F63BA" w:rsidRDefault="001C411D" w:rsidP="00512F6B">
            <w:pPr>
              <w:jc w:val="right"/>
              <w:rPr>
                <w:rFonts w:ascii="GHEA Grapalat" w:hAnsi="GHEA Grapalat"/>
                <w:sz w:val="18"/>
                <w:szCs w:val="18"/>
              </w:rPr>
            </w:pPr>
            <w:r w:rsidRPr="001F63BA">
              <w:rPr>
                <w:rFonts w:ascii="GHEA Grapalat" w:hAnsi="GHEA Grapalat"/>
                <w:sz w:val="18"/>
                <w:szCs w:val="18"/>
              </w:rPr>
              <w:t>198,864.7</w:t>
            </w:r>
          </w:p>
        </w:tc>
        <w:tc>
          <w:tcPr>
            <w:tcW w:w="1033" w:type="dxa"/>
            <w:vAlign w:val="bottom"/>
          </w:tcPr>
          <w:p w:rsidR="001C411D" w:rsidRPr="001F63BA" w:rsidRDefault="001C411D" w:rsidP="00512F6B">
            <w:pPr>
              <w:jc w:val="right"/>
              <w:rPr>
                <w:rFonts w:ascii="GHEA Grapalat" w:hAnsi="GHEA Grapalat"/>
                <w:sz w:val="18"/>
                <w:szCs w:val="18"/>
              </w:rPr>
            </w:pPr>
            <w:r w:rsidRPr="001F63BA">
              <w:rPr>
                <w:rFonts w:ascii="GHEA Grapalat" w:hAnsi="GHEA Grapalat"/>
                <w:sz w:val="18"/>
                <w:szCs w:val="18"/>
              </w:rPr>
              <w:t>198,374.0</w:t>
            </w:r>
          </w:p>
        </w:tc>
        <w:tc>
          <w:tcPr>
            <w:tcW w:w="1235" w:type="dxa"/>
            <w:vAlign w:val="bottom"/>
          </w:tcPr>
          <w:p w:rsidR="001C411D" w:rsidRPr="001F63BA" w:rsidRDefault="001C411D" w:rsidP="00512F6B">
            <w:pPr>
              <w:jc w:val="right"/>
              <w:rPr>
                <w:rFonts w:ascii="GHEA Grapalat" w:hAnsi="GHEA Grapalat"/>
                <w:sz w:val="18"/>
                <w:szCs w:val="18"/>
              </w:rPr>
            </w:pPr>
            <w:r w:rsidRPr="001F63BA">
              <w:rPr>
                <w:rFonts w:ascii="GHEA Grapalat" w:hAnsi="GHEA Grapalat"/>
                <w:sz w:val="18"/>
                <w:szCs w:val="18"/>
              </w:rPr>
              <w:t>99.8</w:t>
            </w:r>
          </w:p>
        </w:tc>
        <w:tc>
          <w:tcPr>
            <w:tcW w:w="1275" w:type="dxa"/>
            <w:vAlign w:val="bottom"/>
          </w:tcPr>
          <w:p w:rsidR="001C411D" w:rsidRPr="001F63BA" w:rsidRDefault="001C411D" w:rsidP="00512F6B">
            <w:pPr>
              <w:jc w:val="right"/>
              <w:rPr>
                <w:rFonts w:ascii="GHEA Grapalat" w:hAnsi="GHEA Grapalat"/>
                <w:sz w:val="18"/>
                <w:szCs w:val="18"/>
              </w:rPr>
            </w:pPr>
            <w:r w:rsidRPr="001F63BA">
              <w:rPr>
                <w:rFonts w:ascii="GHEA Grapalat" w:hAnsi="GHEA Grapalat"/>
                <w:sz w:val="18"/>
                <w:szCs w:val="18"/>
              </w:rPr>
              <w:t>109.3</w:t>
            </w:r>
          </w:p>
        </w:tc>
        <w:tc>
          <w:tcPr>
            <w:tcW w:w="1174" w:type="dxa"/>
            <w:vAlign w:val="bottom"/>
          </w:tcPr>
          <w:p w:rsidR="001C411D" w:rsidRPr="001F63BA" w:rsidRDefault="001C411D" w:rsidP="00512F6B">
            <w:pPr>
              <w:jc w:val="right"/>
              <w:rPr>
                <w:rFonts w:ascii="GHEA Grapalat" w:hAnsi="GHEA Grapalat"/>
                <w:sz w:val="18"/>
                <w:szCs w:val="18"/>
              </w:rPr>
            </w:pPr>
            <w:r w:rsidRPr="001F63BA">
              <w:rPr>
                <w:rFonts w:ascii="GHEA Grapalat" w:hAnsi="GHEA Grapalat"/>
                <w:sz w:val="18"/>
                <w:szCs w:val="18"/>
              </w:rPr>
              <w:t>16,898.4</w:t>
            </w:r>
          </w:p>
        </w:tc>
      </w:tr>
      <w:tr w:rsidR="001C411D" w:rsidRPr="001F63BA" w:rsidTr="006B43D2">
        <w:trPr>
          <w:trHeight w:val="300"/>
          <w:jc w:val="center"/>
        </w:trPr>
        <w:tc>
          <w:tcPr>
            <w:tcW w:w="3300" w:type="dxa"/>
            <w:vAlign w:val="bottom"/>
          </w:tcPr>
          <w:p w:rsidR="001C411D" w:rsidRPr="001F63BA" w:rsidRDefault="001C411D">
            <w:pPr>
              <w:spacing w:line="256" w:lineRule="auto"/>
              <w:rPr>
                <w:rFonts w:ascii="GHEA Grapalat" w:hAnsi="GHEA Grapalat" w:cs="Calibri"/>
                <w:sz w:val="18"/>
                <w:szCs w:val="18"/>
              </w:rPr>
            </w:pPr>
            <w:r w:rsidRPr="001F63BA">
              <w:rPr>
                <w:rFonts w:ascii="GHEA Grapalat" w:hAnsi="GHEA Grapalat" w:cs="Calibri"/>
                <w:sz w:val="18"/>
                <w:szCs w:val="18"/>
              </w:rPr>
              <w:t>Այլ ծրագրեր</w:t>
            </w:r>
          </w:p>
        </w:tc>
        <w:tc>
          <w:tcPr>
            <w:tcW w:w="1134" w:type="dxa"/>
            <w:vAlign w:val="bottom"/>
          </w:tcPr>
          <w:p w:rsidR="001C411D" w:rsidRPr="001F63BA" w:rsidRDefault="001C411D" w:rsidP="00512F6B">
            <w:pPr>
              <w:jc w:val="right"/>
              <w:rPr>
                <w:rFonts w:ascii="GHEA Grapalat" w:hAnsi="GHEA Grapalat"/>
                <w:sz w:val="18"/>
                <w:szCs w:val="18"/>
                <w:lang w:val="en-US"/>
              </w:rPr>
            </w:pPr>
            <w:r w:rsidRPr="001F63BA">
              <w:rPr>
                <w:rFonts w:ascii="GHEA Grapalat" w:hAnsi="GHEA Grapalat"/>
                <w:sz w:val="18"/>
                <w:szCs w:val="18"/>
                <w:lang w:val="en-US"/>
              </w:rPr>
              <w:t>3,107.3</w:t>
            </w:r>
          </w:p>
        </w:tc>
        <w:tc>
          <w:tcPr>
            <w:tcW w:w="1134" w:type="dxa"/>
            <w:vAlign w:val="bottom"/>
          </w:tcPr>
          <w:p w:rsidR="001C411D" w:rsidRPr="001F63BA" w:rsidRDefault="001C411D" w:rsidP="00512F6B">
            <w:pPr>
              <w:jc w:val="right"/>
              <w:rPr>
                <w:rFonts w:ascii="GHEA Grapalat" w:hAnsi="GHEA Grapalat"/>
                <w:sz w:val="18"/>
                <w:szCs w:val="18"/>
                <w:lang w:val="en-US"/>
              </w:rPr>
            </w:pPr>
            <w:r w:rsidRPr="001F63BA">
              <w:rPr>
                <w:rFonts w:ascii="GHEA Grapalat" w:hAnsi="GHEA Grapalat"/>
                <w:sz w:val="18"/>
                <w:szCs w:val="18"/>
                <w:lang w:val="en-US"/>
              </w:rPr>
              <w:t>3,276.9</w:t>
            </w:r>
          </w:p>
        </w:tc>
        <w:tc>
          <w:tcPr>
            <w:tcW w:w="1033" w:type="dxa"/>
            <w:vAlign w:val="bottom"/>
          </w:tcPr>
          <w:p w:rsidR="001C411D" w:rsidRPr="001F63BA" w:rsidRDefault="001C411D" w:rsidP="00512F6B">
            <w:pPr>
              <w:jc w:val="right"/>
              <w:rPr>
                <w:rFonts w:ascii="GHEA Grapalat" w:hAnsi="GHEA Grapalat"/>
                <w:sz w:val="18"/>
                <w:szCs w:val="18"/>
                <w:lang w:val="en-US"/>
              </w:rPr>
            </w:pPr>
            <w:r w:rsidRPr="001F63BA">
              <w:rPr>
                <w:rFonts w:ascii="GHEA Grapalat" w:hAnsi="GHEA Grapalat"/>
                <w:sz w:val="18"/>
                <w:szCs w:val="18"/>
                <w:lang w:val="en-US"/>
              </w:rPr>
              <w:t>3,220.1</w:t>
            </w:r>
          </w:p>
        </w:tc>
        <w:tc>
          <w:tcPr>
            <w:tcW w:w="1235" w:type="dxa"/>
            <w:vAlign w:val="bottom"/>
          </w:tcPr>
          <w:p w:rsidR="001C411D" w:rsidRPr="001F63BA" w:rsidRDefault="001C411D" w:rsidP="006A481D">
            <w:pPr>
              <w:jc w:val="right"/>
              <w:rPr>
                <w:rFonts w:ascii="GHEA Grapalat" w:hAnsi="GHEA Grapalat"/>
                <w:sz w:val="18"/>
                <w:szCs w:val="18"/>
                <w:lang w:val="en-US"/>
              </w:rPr>
            </w:pPr>
            <w:r w:rsidRPr="001F63BA">
              <w:rPr>
                <w:rFonts w:ascii="GHEA Grapalat" w:hAnsi="GHEA Grapalat"/>
                <w:sz w:val="18"/>
                <w:szCs w:val="18"/>
              </w:rPr>
              <w:t>9</w:t>
            </w:r>
            <w:r w:rsidRPr="001F63BA">
              <w:rPr>
                <w:rFonts w:ascii="GHEA Grapalat" w:hAnsi="GHEA Grapalat"/>
                <w:sz w:val="18"/>
                <w:szCs w:val="18"/>
                <w:lang w:val="en-US"/>
              </w:rPr>
              <w:t>8.3</w:t>
            </w:r>
          </w:p>
        </w:tc>
        <w:tc>
          <w:tcPr>
            <w:tcW w:w="1275" w:type="dxa"/>
            <w:vAlign w:val="bottom"/>
          </w:tcPr>
          <w:p w:rsidR="001C411D" w:rsidRPr="001F63BA" w:rsidRDefault="001C411D" w:rsidP="00512F6B">
            <w:pPr>
              <w:jc w:val="right"/>
              <w:rPr>
                <w:rFonts w:ascii="GHEA Grapalat" w:hAnsi="GHEA Grapalat"/>
                <w:sz w:val="18"/>
                <w:szCs w:val="18"/>
                <w:lang w:val="en-US"/>
              </w:rPr>
            </w:pPr>
            <w:r w:rsidRPr="001F63BA">
              <w:rPr>
                <w:rFonts w:ascii="GHEA Grapalat" w:hAnsi="GHEA Grapalat"/>
                <w:sz w:val="18"/>
                <w:szCs w:val="18"/>
              </w:rPr>
              <w:t>103</w:t>
            </w:r>
            <w:r w:rsidRPr="001F63BA">
              <w:rPr>
                <w:rFonts w:ascii="GHEA Grapalat" w:hAnsi="GHEA Grapalat"/>
                <w:sz w:val="18"/>
                <w:szCs w:val="18"/>
                <w:lang w:val="en-US"/>
              </w:rPr>
              <w:t>.6</w:t>
            </w:r>
          </w:p>
        </w:tc>
        <w:tc>
          <w:tcPr>
            <w:tcW w:w="1174" w:type="dxa"/>
            <w:vAlign w:val="bottom"/>
          </w:tcPr>
          <w:p w:rsidR="001C411D" w:rsidRPr="001F63BA" w:rsidRDefault="001C411D" w:rsidP="00512F6B">
            <w:pPr>
              <w:jc w:val="right"/>
              <w:rPr>
                <w:rFonts w:ascii="GHEA Grapalat" w:hAnsi="GHEA Grapalat"/>
                <w:sz w:val="18"/>
                <w:szCs w:val="18"/>
                <w:lang w:val="en-US"/>
              </w:rPr>
            </w:pPr>
            <w:r w:rsidRPr="001F63BA">
              <w:rPr>
                <w:rFonts w:ascii="GHEA Grapalat" w:hAnsi="GHEA Grapalat"/>
                <w:sz w:val="18"/>
                <w:szCs w:val="18"/>
                <w:lang w:val="en-US"/>
              </w:rPr>
              <w:t>112.8</w:t>
            </w:r>
          </w:p>
        </w:tc>
      </w:tr>
    </w:tbl>
    <w:p w:rsidR="001C411D" w:rsidRPr="001F63BA" w:rsidRDefault="001C411D" w:rsidP="00056123">
      <w:pPr>
        <w:autoSpaceDE w:val="0"/>
        <w:autoSpaceDN w:val="0"/>
        <w:adjustRightInd w:val="0"/>
        <w:spacing w:line="360" w:lineRule="auto"/>
        <w:ind w:firstLine="567"/>
        <w:jc w:val="both"/>
        <w:rPr>
          <w:rFonts w:ascii="GHEA Grapalat" w:hAnsi="GHEA Grapalat" w:cs="Sylfaen"/>
          <w:sz w:val="22"/>
          <w:szCs w:val="22"/>
          <w:lang w:val="en-US"/>
        </w:rPr>
      </w:pPr>
    </w:p>
    <w:p w:rsidR="001C411D" w:rsidRPr="001F63BA" w:rsidRDefault="001C411D" w:rsidP="004F23FB">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Sylfaen"/>
          <w:sz w:val="22"/>
          <w:szCs w:val="22"/>
        </w:rPr>
        <w:t xml:space="preserve">Հատկացված միջոցների գերակշիռ մասը բաժին է ընկել </w:t>
      </w:r>
      <w:r w:rsidRPr="001F63BA">
        <w:rPr>
          <w:rFonts w:ascii="GHEA Grapalat" w:hAnsi="GHEA Grapalat" w:cs="Sylfaen"/>
          <w:i/>
          <w:sz w:val="22"/>
          <w:szCs w:val="22"/>
        </w:rPr>
        <w:t>Պետական պարտքի կառավարման</w:t>
      </w:r>
      <w:r w:rsidRPr="001F63BA">
        <w:rPr>
          <w:rFonts w:ascii="GHEA Grapalat" w:hAnsi="GHEA Grapalat" w:cs="Sylfaen"/>
          <w:sz w:val="22"/>
          <w:szCs w:val="22"/>
        </w:rPr>
        <w:t xml:space="preserve"> ծրագրին, որի շրջանակներում օգտագործվել է նախատեսված միջոցների 99.8%-ը՝ 198.</w:t>
      </w:r>
      <w:r w:rsidRPr="001F63BA">
        <w:rPr>
          <w:rFonts w:ascii="GHEA Grapalat" w:hAnsi="GHEA Grapalat" w:cs="Sylfaen"/>
          <w:sz w:val="22"/>
          <w:szCs w:val="22"/>
          <w:lang w:val="en-US"/>
        </w:rPr>
        <w:t>9</w:t>
      </w:r>
      <w:r w:rsidRPr="001F63BA">
        <w:rPr>
          <w:rFonts w:ascii="GHEA Grapalat" w:hAnsi="GHEA Grapalat" w:cs="Sylfaen"/>
          <w:sz w:val="22"/>
          <w:szCs w:val="22"/>
        </w:rPr>
        <w:t xml:space="preserve"> մլրդ դրամ: Նշված գումարի հիմնական մասն ուղղվել է </w:t>
      </w:r>
      <w:r w:rsidR="00166616" w:rsidRPr="001F63BA">
        <w:rPr>
          <w:rFonts w:ascii="GHEA Grapalat" w:hAnsi="GHEA Grapalat" w:cs="Sylfaen"/>
          <w:sz w:val="22"/>
          <w:szCs w:val="22"/>
        </w:rPr>
        <w:t>Կառավարությ</w:t>
      </w:r>
      <w:r w:rsidRPr="001F63BA">
        <w:rPr>
          <w:rFonts w:ascii="GHEA Grapalat" w:hAnsi="GHEA Grapalat" w:cs="Sylfaen"/>
          <w:sz w:val="22"/>
          <w:szCs w:val="22"/>
        </w:rPr>
        <w:t>ան պարտքի սպասարկմանը</w:t>
      </w:r>
      <w:r w:rsidRPr="001F63BA">
        <w:rPr>
          <w:rStyle w:val="FootnoteReference"/>
          <w:rFonts w:ascii="GHEA Grapalat" w:hAnsi="GHEA Grapalat" w:cs="Sylfaen"/>
          <w:sz w:val="22"/>
          <w:szCs w:val="22"/>
        </w:rPr>
        <w:footnoteReference w:id="40"/>
      </w:r>
      <w:r w:rsidRPr="001F63BA">
        <w:rPr>
          <w:rFonts w:ascii="GHEA Grapalat" w:hAnsi="GHEA Grapalat" w:cs="Sylfaen"/>
          <w:sz w:val="22"/>
          <w:szCs w:val="22"/>
        </w:rPr>
        <w:t>: Նախորդ տարվա համեմատ Պետական պարտքի կառավարման ծրագրի ծախսերն աճել են 9.3%-ով կամ 16.9</w:t>
      </w:r>
      <w:r w:rsidRPr="001F63BA">
        <w:rPr>
          <w:rFonts w:ascii="Courier New" w:hAnsi="Courier New" w:cs="Courier New"/>
          <w:sz w:val="22"/>
          <w:szCs w:val="22"/>
          <w:lang w:val="en-US"/>
        </w:rPr>
        <w:t> </w:t>
      </w:r>
      <w:r w:rsidRPr="001F63BA">
        <w:rPr>
          <w:rFonts w:ascii="GHEA Grapalat" w:hAnsi="GHEA Grapalat" w:cs="Sylfaen"/>
          <w:sz w:val="22"/>
          <w:szCs w:val="22"/>
        </w:rPr>
        <w:t>մլրդ դրամով</w:t>
      </w:r>
      <w:r w:rsidRPr="001F63BA">
        <w:rPr>
          <w:rFonts w:ascii="GHEA Grapalat" w:hAnsi="GHEA Grapalat" w:cs="Sylfaen"/>
          <w:sz w:val="22"/>
          <w:szCs w:val="22"/>
          <w:lang w:val="en-US"/>
        </w:rPr>
        <w:t>՝ պայմանավորված ներքին պարտքի սպասարկման ծախսերի աճով</w:t>
      </w:r>
      <w:r w:rsidRPr="001F63BA">
        <w:rPr>
          <w:rFonts w:ascii="GHEA Grapalat" w:hAnsi="GHEA Grapalat" w:cs="Sylfaen"/>
          <w:sz w:val="22"/>
          <w:szCs w:val="22"/>
        </w:rPr>
        <w:t xml:space="preserve">: </w:t>
      </w:r>
      <w:r w:rsidRPr="001F63BA">
        <w:rPr>
          <w:rFonts w:ascii="GHEA Grapalat" w:hAnsi="GHEA Grapalat"/>
          <w:sz w:val="22"/>
          <w:szCs w:val="22"/>
        </w:rPr>
        <w:t>Նախորդ տարվա</w:t>
      </w:r>
      <w:r w:rsidRPr="001F63BA">
        <w:rPr>
          <w:rFonts w:ascii="GHEA Grapalat" w:hAnsi="GHEA Grapalat" w:cs="Sylfaen"/>
          <w:sz w:val="22"/>
          <w:szCs w:val="22"/>
        </w:rPr>
        <w:t xml:space="preserve"> համեմատ Հանրային ֆինանսների կառավարման բնագավառում պետական քաղաքականության մշակման, ծրագրերի համակարգման և մոնիտորինգի ծրագրի ծախսերն աճել են 3.8%-</w:t>
      </w:r>
      <w:r w:rsidRPr="001F63BA">
        <w:rPr>
          <w:rFonts w:ascii="GHEA Grapalat" w:hAnsi="GHEA Grapalat" w:cs="Times Armenian"/>
          <w:sz w:val="22"/>
          <w:szCs w:val="22"/>
        </w:rPr>
        <w:t xml:space="preserve">ով (112.3 մլն դրամով)՝ հիմնականում պայմանավորված Դատական ակտերի հիման վրա ՀՀ պետական բյուջեից բռնագանձման ենթակա գումարների վճարման </w:t>
      </w:r>
      <w:r w:rsidRPr="001F63BA">
        <w:rPr>
          <w:rFonts w:ascii="GHEA Grapalat" w:hAnsi="GHEA Grapalat" w:cs="Sylfaen"/>
          <w:sz w:val="22"/>
          <w:szCs w:val="22"/>
        </w:rPr>
        <w:t>ծախսերով, որոնց գծով նախորդ տարի միջոցներ չէին հատկացվել:</w:t>
      </w:r>
    </w:p>
    <w:p w:rsidR="001C411D" w:rsidRPr="001F63BA" w:rsidRDefault="001C411D" w:rsidP="00056123">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lang w:val="en-US"/>
        </w:rPr>
        <w:t xml:space="preserve">ՀՀ ՖՆ այլ ծրագրերից </w:t>
      </w:r>
      <w:r w:rsidRPr="001F63BA">
        <w:rPr>
          <w:rFonts w:ascii="GHEA Grapalat" w:hAnsi="GHEA Grapalat" w:cs="Sylfaen"/>
          <w:i/>
          <w:sz w:val="22"/>
          <w:szCs w:val="22"/>
        </w:rPr>
        <w:t>Հանրային ֆինանսների կառավարման բնագավառում պետական քաղաքականության մշակման, ծրագրերի համակարգման և մոնիտորինգի</w:t>
      </w:r>
      <w:r w:rsidRPr="001F63BA">
        <w:rPr>
          <w:rFonts w:ascii="GHEA Grapalat" w:hAnsi="GHEA Grapalat" w:cs="Sylfaen"/>
          <w:sz w:val="22"/>
          <w:szCs w:val="22"/>
        </w:rPr>
        <w:t xml:space="preserve"> ծախսերը կազմել են 3.1 մլրդ դրամ՝ ապահովելով ծրագրի 98.3%-ը: Շեղումը հիմնականում առաջացել է </w:t>
      </w:r>
      <w:r w:rsidRPr="001F63BA">
        <w:rPr>
          <w:rFonts w:ascii="GHEA Grapalat" w:hAnsi="GHEA Grapalat" w:cs="Sylfaen"/>
          <w:sz w:val="22"/>
          <w:szCs w:val="22"/>
          <w:lang w:val="en-US"/>
        </w:rPr>
        <w:t>դ</w:t>
      </w:r>
      <w:r w:rsidRPr="001F63BA">
        <w:rPr>
          <w:rFonts w:ascii="GHEA Grapalat" w:hAnsi="GHEA Grapalat" w:cs="Times Armenian"/>
          <w:sz w:val="22"/>
          <w:szCs w:val="22"/>
        </w:rPr>
        <w:t>ատական ակտերի հիման վրա ՀՀ պետական բյուջեից բռնագանձման ենթակա գումարների վճար</w:t>
      </w:r>
      <w:r w:rsidRPr="001F63BA">
        <w:rPr>
          <w:rFonts w:ascii="GHEA Grapalat" w:hAnsi="GHEA Grapalat" w:cs="Times Armenian"/>
          <w:sz w:val="22"/>
          <w:szCs w:val="22"/>
          <w:lang w:val="en-US"/>
        </w:rPr>
        <w:t>ման գծով ծախսերում, որոնք կատարվել են 74.7%-ով՝ կազմելով 112.0 մլն դրամ՝ պայմանավորված ՀՀ պետական բյուջեից բռնագանձման պահանջով ներկայացված դատական ակտ</w:t>
      </w:r>
      <w:r w:rsidRPr="001F63BA">
        <w:rPr>
          <w:rFonts w:ascii="GHEA Grapalat" w:hAnsi="GHEA Grapalat" w:cs="Sylfaen"/>
          <w:sz w:val="22"/>
          <w:szCs w:val="22"/>
          <w:lang w:val="en-US"/>
        </w:rPr>
        <w:t>երով:</w:t>
      </w:r>
    </w:p>
    <w:p w:rsidR="001C411D" w:rsidRPr="001F63BA" w:rsidRDefault="001C411D" w:rsidP="00056123">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lastRenderedPageBreak/>
        <w:t xml:space="preserve">Ծրագրի շրջանակներում հատկացված միջոցների մեծ մասը բաժին է ընկել պլանավորման, բյուջետավորման, գանձապետական ծառայությունների, պետական պարտքի կառավարման, տնտեսական և հարկաբյուջետային քաղաքականության մշակման և մոնիտորինգի միջոցառման ծախսերին, որոնք կատարվել են 99.6%-ով և կազմել 2.5 մլրդ դրամ: </w:t>
      </w:r>
    </w:p>
    <w:p w:rsidR="001C411D" w:rsidRPr="001F63BA" w:rsidRDefault="001C411D" w:rsidP="00056123">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Sylfaen"/>
          <w:sz w:val="22"/>
          <w:szCs w:val="22"/>
        </w:rPr>
        <w:t>ՀՀ միջազգային վարկանիշի տրամադրման ծախսերը կազմել են 116.5 մլն դրամ կամ ծրագրված ցուցանիշի 100%-ը: Միջոցները հատկացվել են Fitch և Moodys վարկանիշային</w:t>
      </w:r>
      <w:r w:rsidRPr="001F63BA">
        <w:rPr>
          <w:rFonts w:ascii="GHEA Grapalat" w:hAnsi="GHEA Grapalat" w:cs="Sylfaen"/>
          <w:sz w:val="22"/>
          <w:szCs w:val="22"/>
          <w:lang w:val="en-US"/>
        </w:rPr>
        <w:t xml:space="preserve"> ընկերությունների կողմից </w:t>
      </w:r>
      <w:r w:rsidRPr="001F63BA">
        <w:rPr>
          <w:rFonts w:ascii="GHEA Grapalat" w:hAnsi="GHEA Grapalat" w:cs="Sylfaen"/>
          <w:sz w:val="22"/>
          <w:szCs w:val="22"/>
        </w:rPr>
        <w:t>վարկային դեֆոլտի (երկարաժամկետ և</w:t>
      </w:r>
      <w:r w:rsidRPr="001F63BA">
        <w:rPr>
          <w:rFonts w:ascii="GHEA Grapalat" w:hAnsi="GHEA Grapalat" w:cs="Times Armenian"/>
          <w:sz w:val="22"/>
          <w:szCs w:val="22"/>
        </w:rPr>
        <w:t xml:space="preserve"> կարճաժամկետ, դրամային և արտարժութային) վարկանիշների</w:t>
      </w:r>
      <w:r w:rsidRPr="001F63BA">
        <w:rPr>
          <w:rFonts w:ascii="GHEA Grapalat" w:hAnsi="GHEA Grapalat" w:cs="Times Armenian"/>
          <w:sz w:val="22"/>
          <w:szCs w:val="22"/>
          <w:lang w:val="en-US"/>
        </w:rPr>
        <w:t xml:space="preserve">, </w:t>
      </w:r>
      <w:r w:rsidRPr="001F63BA">
        <w:rPr>
          <w:rFonts w:ascii="GHEA Grapalat" w:hAnsi="GHEA Grapalat" w:cs="Sylfaen"/>
          <w:sz w:val="22"/>
          <w:szCs w:val="22"/>
          <w:lang w:val="en-US"/>
        </w:rPr>
        <w:t xml:space="preserve">և </w:t>
      </w:r>
      <w:r w:rsidRPr="001F63BA">
        <w:rPr>
          <w:rFonts w:ascii="GHEA Grapalat" w:hAnsi="GHEA Grapalat" w:cs="Sylfaen"/>
          <w:sz w:val="22"/>
          <w:szCs w:val="22"/>
        </w:rPr>
        <w:t>Standard&amp;Poor's վարկանիշային գործակալության</w:t>
      </w:r>
      <w:r w:rsidRPr="001F63BA">
        <w:rPr>
          <w:rFonts w:ascii="GHEA Grapalat" w:hAnsi="GHEA Grapalat" w:cs="Sylfaen"/>
          <w:sz w:val="22"/>
          <w:szCs w:val="22"/>
          <w:lang w:val="en-US"/>
        </w:rPr>
        <w:t xml:space="preserve"> կողմից վարկանիշների 2-</w:t>
      </w:r>
      <w:r w:rsidRPr="001F63BA">
        <w:rPr>
          <w:rFonts w:ascii="GHEA Grapalat" w:hAnsi="GHEA Grapalat" w:cs="Times Armenian"/>
          <w:sz w:val="22"/>
          <w:szCs w:val="22"/>
        </w:rPr>
        <w:t>ական վերանայումներ</w:t>
      </w:r>
      <w:r w:rsidRPr="001F63BA">
        <w:rPr>
          <w:rFonts w:ascii="GHEA Grapalat" w:hAnsi="GHEA Grapalat" w:cs="Times Armenian"/>
          <w:sz w:val="22"/>
          <w:szCs w:val="22"/>
          <w:lang w:val="en-US"/>
        </w:rPr>
        <w:t>ի նպատակով</w:t>
      </w:r>
      <w:r w:rsidRPr="001F63BA">
        <w:rPr>
          <w:rFonts w:ascii="GHEA Grapalat" w:hAnsi="GHEA Grapalat" w:cs="Sylfaen"/>
          <w:sz w:val="22"/>
          <w:szCs w:val="22"/>
        </w:rPr>
        <w:t>:</w:t>
      </w:r>
      <w:r w:rsidRPr="001F63BA">
        <w:rPr>
          <w:rFonts w:ascii="GHEA Grapalat" w:hAnsi="GHEA Grapalat" w:cs="Sylfaen"/>
          <w:sz w:val="22"/>
          <w:szCs w:val="22"/>
          <w:lang w:val="en-US"/>
        </w:rPr>
        <w:t xml:space="preserve"> Նախորդ տարվա համեմատ նշված ծախսերը նվազել են 6.9%-ով (8.6 մլն դրամով)՝ պայմանավորված փոխարժեքի նվազմամբ:</w:t>
      </w:r>
    </w:p>
    <w:p w:rsidR="001C411D" w:rsidRPr="001F63BA" w:rsidRDefault="001C411D" w:rsidP="008E438A">
      <w:pPr>
        <w:spacing w:line="360" w:lineRule="auto"/>
        <w:ind w:firstLine="561"/>
        <w:jc w:val="both"/>
        <w:rPr>
          <w:rFonts w:ascii="GHEA Grapalat" w:hAnsi="GHEA Grapalat" w:cs="Sylfaen"/>
          <w:sz w:val="22"/>
          <w:szCs w:val="22"/>
        </w:rPr>
      </w:pPr>
    </w:p>
    <w:p w:rsidR="001C411D" w:rsidRPr="001F63BA" w:rsidRDefault="001C411D" w:rsidP="00174FF0">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u w:val="single"/>
        </w:rPr>
        <w:t>ՀՀ արտակարգ իրավիճակների նախարարության</w:t>
      </w:r>
      <w:r w:rsidRPr="001F63BA">
        <w:rPr>
          <w:rFonts w:ascii="GHEA Grapalat" w:hAnsi="GHEA Grapalat" w:cs="GHEA Grapalat"/>
          <w:sz w:val="22"/>
          <w:szCs w:val="22"/>
        </w:rPr>
        <w:t xml:space="preserve"> </w:t>
      </w:r>
      <w:r w:rsidRPr="001F63BA">
        <w:rPr>
          <w:rFonts w:ascii="GHEA Grapalat" w:hAnsi="GHEA Grapalat" w:cs="Times Armenian"/>
          <w:sz w:val="22"/>
          <w:szCs w:val="22"/>
        </w:rPr>
        <w:t>պատասխանատվությամբ 202</w:t>
      </w:r>
      <w:r w:rsidRPr="001F63BA">
        <w:rPr>
          <w:rFonts w:ascii="GHEA Grapalat" w:hAnsi="GHEA Grapalat" w:cs="Times Armenian"/>
          <w:sz w:val="22"/>
          <w:szCs w:val="22"/>
          <w:lang w:val="en-US"/>
        </w:rPr>
        <w:t>2</w:t>
      </w:r>
      <w:r w:rsidRPr="001F63BA">
        <w:rPr>
          <w:rFonts w:ascii="GHEA Grapalat" w:hAnsi="GHEA Grapalat" w:cs="GHEA Grapalat"/>
          <w:sz w:val="22"/>
          <w:szCs w:val="22"/>
        </w:rPr>
        <w:t xml:space="preserve"> թվականի </w:t>
      </w:r>
      <w:r w:rsidRPr="001F63BA">
        <w:rPr>
          <w:rFonts w:ascii="GHEA Grapalat" w:hAnsi="GHEA Grapalat" w:cs="Sylfaen"/>
          <w:sz w:val="22"/>
          <w:szCs w:val="22"/>
        </w:rPr>
        <w:t>ընթացք</w:t>
      </w:r>
      <w:r w:rsidRPr="001F63BA">
        <w:rPr>
          <w:rFonts w:ascii="GHEA Grapalat" w:hAnsi="GHEA Grapalat" w:cs="GHEA Grapalat"/>
          <w:sz w:val="22"/>
          <w:szCs w:val="22"/>
        </w:rPr>
        <w:t xml:space="preserve">ում կատարվել է </w:t>
      </w:r>
      <w:r w:rsidRPr="001F63BA">
        <w:rPr>
          <w:rFonts w:ascii="GHEA Grapalat" w:hAnsi="GHEA Grapalat" w:cs="Times Armenian"/>
          <w:sz w:val="22"/>
          <w:szCs w:val="22"/>
        </w:rPr>
        <w:t>պետական բյուջեի 5 ծրագիր՝ նախատեսված 6-ի փոխարեն:</w:t>
      </w:r>
      <w:r w:rsidRPr="001F63BA">
        <w:rPr>
          <w:rFonts w:ascii="GHEA Grapalat" w:hAnsi="GHEA Grapalat" w:cs="Times Armenian"/>
          <w:sz w:val="22"/>
          <w:szCs w:val="22"/>
          <w:lang w:val="en-US"/>
        </w:rPr>
        <w:t xml:space="preserve"> </w:t>
      </w:r>
      <w:r w:rsidRPr="001F63BA">
        <w:rPr>
          <w:rFonts w:ascii="GHEA Grapalat" w:hAnsi="GHEA Grapalat" w:cs="GHEA Grapalat"/>
          <w:sz w:val="22"/>
          <w:szCs w:val="22"/>
        </w:rPr>
        <w:t xml:space="preserve">Ծախսերը կազմել են </w:t>
      </w:r>
      <w:r w:rsidRPr="001F63BA">
        <w:rPr>
          <w:rFonts w:ascii="GHEA Grapalat" w:hAnsi="GHEA Grapalat" w:cs="GHEA Grapalat"/>
          <w:sz w:val="22"/>
          <w:szCs w:val="22"/>
          <w:lang w:val="en-US"/>
        </w:rPr>
        <w:t xml:space="preserve">ավելի քան </w:t>
      </w:r>
      <w:r w:rsidRPr="001F63BA">
        <w:rPr>
          <w:rFonts w:ascii="GHEA Grapalat" w:hAnsi="GHEA Grapalat" w:cs="GHEA Grapalat"/>
          <w:sz w:val="22"/>
          <w:szCs w:val="22"/>
        </w:rPr>
        <w:t>14.</w:t>
      </w:r>
      <w:r w:rsidRPr="001F63BA">
        <w:rPr>
          <w:rFonts w:ascii="GHEA Grapalat" w:hAnsi="GHEA Grapalat" w:cs="GHEA Grapalat"/>
          <w:sz w:val="22"/>
          <w:szCs w:val="22"/>
          <w:lang w:val="en-US"/>
        </w:rPr>
        <w:t>9</w:t>
      </w:r>
      <w:r w:rsidRPr="001F63BA">
        <w:rPr>
          <w:rFonts w:ascii="GHEA Grapalat" w:hAnsi="GHEA Grapalat" w:cs="GHEA Grapalat"/>
          <w:sz w:val="22"/>
          <w:szCs w:val="22"/>
        </w:rPr>
        <w:t xml:space="preserve"> մլրդ դրամ կամ ծրագրված ցուցանիշի 9</w:t>
      </w:r>
      <w:r w:rsidRPr="001F63BA">
        <w:rPr>
          <w:rFonts w:ascii="GHEA Grapalat" w:hAnsi="GHEA Grapalat" w:cs="GHEA Grapalat"/>
          <w:sz w:val="22"/>
          <w:szCs w:val="22"/>
          <w:lang w:val="en-US"/>
        </w:rPr>
        <w:t>6.1</w:t>
      </w:r>
      <w:r w:rsidRPr="001F63BA">
        <w:rPr>
          <w:rFonts w:ascii="GHEA Grapalat" w:hAnsi="GHEA Grapalat" w:cs="GHEA Grapalat"/>
          <w:sz w:val="22"/>
          <w:szCs w:val="22"/>
        </w:rPr>
        <w:t>%</w:t>
      </w:r>
      <w:r w:rsidRPr="001F63BA">
        <w:rPr>
          <w:rFonts w:ascii="GHEA Grapalat" w:hAnsi="GHEA Grapalat" w:cs="GHEA Grapalat"/>
          <w:sz w:val="22"/>
          <w:szCs w:val="22"/>
        </w:rPr>
        <w:noBreakHyphen/>
        <w:t>ը</w:t>
      </w:r>
      <w:r w:rsidRPr="001F63BA">
        <w:rPr>
          <w:rFonts w:ascii="GHEA Grapalat" w:hAnsi="GHEA Grapalat" w:cs="GHEA Grapalat"/>
          <w:sz w:val="22"/>
          <w:szCs w:val="22"/>
          <w:lang w:val="en-US"/>
        </w:rPr>
        <w:t xml:space="preserve">: </w:t>
      </w:r>
      <w:r w:rsidRPr="001F63BA">
        <w:rPr>
          <w:rFonts w:ascii="GHEA Grapalat" w:hAnsi="GHEA Grapalat" w:cs="Times Armenian"/>
          <w:sz w:val="22"/>
          <w:szCs w:val="22"/>
        </w:rPr>
        <w:t>Շեղումը հիմնականում պայմանավորված է ՀՀ արտակարգ իրավիճակների նախարարության</w:t>
      </w:r>
      <w:r w:rsidRPr="001F63BA">
        <w:rPr>
          <w:rFonts w:ascii="GHEA Grapalat" w:hAnsi="GHEA Grapalat" w:cs="GHEA Grapalat"/>
          <w:sz w:val="22"/>
          <w:szCs w:val="22"/>
        </w:rPr>
        <w:t xml:space="preserve"> կողմից կատարված ծախսերի գերակշիռ մասը կազմող «Փրկարարական ծառայություններ» ծրագրի կատարողականով: Վերջինով է հիմնականում պայմանավորված նաև նախորդ տարվա համեմատ ՀՀ արտակարգ իրավիճակների նախարարության պատասխանատվությամբ իրականացվող ծրագրերի գծով ծախսերի 3</w:t>
      </w:r>
      <w:r w:rsidRPr="001F63BA">
        <w:rPr>
          <w:rFonts w:ascii="GHEA Grapalat" w:hAnsi="GHEA Grapalat" w:cs="GHEA Grapalat"/>
          <w:sz w:val="22"/>
          <w:szCs w:val="22"/>
          <w:lang w:val="en-US"/>
        </w:rPr>
        <w:t>.8</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w:t>
      </w:r>
      <w:r w:rsidRPr="001F63BA">
        <w:rPr>
          <w:rFonts w:ascii="GHEA Grapalat" w:hAnsi="GHEA Grapalat" w:cs="GHEA Grapalat"/>
          <w:sz w:val="22"/>
          <w:szCs w:val="22"/>
          <w:lang w:val="en-US"/>
        </w:rPr>
        <w:t>542</w:t>
      </w:r>
      <w:r w:rsidRPr="001F63BA">
        <w:rPr>
          <w:rFonts w:ascii="GHEA Grapalat" w:hAnsi="GHEA Grapalat" w:cs="GHEA Grapalat"/>
          <w:sz w:val="22"/>
          <w:szCs w:val="22"/>
        </w:rPr>
        <w:t xml:space="preserve"> մլն դրամ) աճը:</w:t>
      </w:r>
    </w:p>
    <w:p w:rsidR="001C411D" w:rsidRPr="001F63BA" w:rsidRDefault="001C411D" w:rsidP="00174FF0">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202</w:t>
      </w:r>
      <w:r w:rsidRPr="001F63BA">
        <w:rPr>
          <w:rFonts w:ascii="GHEA Grapalat" w:hAnsi="GHEA Grapalat"/>
          <w:i/>
          <w:sz w:val="18"/>
          <w:szCs w:val="18"/>
          <w:lang w:val="en-US"/>
        </w:rPr>
        <w:t>2</w:t>
      </w:r>
      <w:r w:rsidRPr="001F63BA">
        <w:rPr>
          <w:rFonts w:ascii="GHEA Grapalat" w:hAnsi="GHEA Grapalat"/>
          <w:i/>
          <w:sz w:val="18"/>
          <w:szCs w:val="18"/>
          <w:lang w:val="hy-AM"/>
        </w:rPr>
        <w:t>թ. ՀՀ արտակարգ իրավիճակների նախարարության կողմից իրականացված ծրագրերը</w:t>
      </w:r>
      <w:r w:rsidRPr="001F63BA">
        <w:rPr>
          <w:rFonts w:ascii="GHEA Grapalat" w:hAnsi="GHEA Grapalat"/>
          <w:i/>
          <w:sz w:val="18"/>
          <w:szCs w:val="18"/>
          <w:lang w:val="en-US"/>
        </w:rPr>
        <w:t xml:space="preserve"> (</w:t>
      </w:r>
      <w:r w:rsidRPr="001F63BA">
        <w:rPr>
          <w:rFonts w:ascii="GHEA Grapalat" w:hAnsi="GHEA Grapalat"/>
          <w:i/>
          <w:sz w:val="18"/>
          <w:szCs w:val="18"/>
          <w:lang w:val="hy-AM"/>
        </w:rPr>
        <w:t>մլն</w:t>
      </w:r>
      <w:r w:rsidRPr="001F63BA">
        <w:rPr>
          <w:rFonts w:ascii="Courier New" w:hAnsi="Courier New" w:cs="Courier New"/>
          <w:i/>
          <w:sz w:val="18"/>
          <w:szCs w:val="18"/>
          <w:lang w:val="hy-AM"/>
        </w:rPr>
        <w:t> </w:t>
      </w:r>
      <w:r w:rsidRPr="001F63BA">
        <w:rPr>
          <w:rFonts w:ascii="GHEA Grapalat" w:hAnsi="GHEA Grapalat"/>
          <w:i/>
          <w:sz w:val="18"/>
          <w:szCs w:val="18"/>
          <w:lang w:val="hy-AM"/>
        </w:rPr>
        <w:t>դրամ)</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88"/>
        <w:gridCol w:w="992"/>
        <w:gridCol w:w="993"/>
        <w:gridCol w:w="1019"/>
        <w:gridCol w:w="1276"/>
        <w:gridCol w:w="1275"/>
        <w:gridCol w:w="1107"/>
      </w:tblGrid>
      <w:tr w:rsidR="001C411D" w:rsidRPr="001F63BA" w:rsidTr="00130E21">
        <w:trPr>
          <w:trHeight w:val="300"/>
          <w:jc w:val="center"/>
        </w:trPr>
        <w:tc>
          <w:tcPr>
            <w:tcW w:w="3488" w:type="dxa"/>
            <w:noWrap/>
            <w:vAlign w:val="bottom"/>
          </w:tcPr>
          <w:p w:rsidR="001C411D" w:rsidRPr="001F63BA" w:rsidRDefault="001C411D">
            <w:pPr>
              <w:rPr>
                <w:noProof w:val="0"/>
                <w:sz w:val="20"/>
                <w:szCs w:val="20"/>
                <w:lang w:val="en-US"/>
              </w:rPr>
            </w:pPr>
          </w:p>
        </w:tc>
        <w:tc>
          <w:tcPr>
            <w:tcW w:w="992"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2021թ. փաստ</w:t>
            </w:r>
          </w:p>
        </w:tc>
        <w:tc>
          <w:tcPr>
            <w:tcW w:w="993"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ճշտված պլան</w:t>
            </w:r>
          </w:p>
        </w:tc>
        <w:tc>
          <w:tcPr>
            <w:tcW w:w="1019" w:type="dxa"/>
            <w:noWrap/>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202</w:t>
            </w:r>
            <w:r w:rsidRPr="001F63BA">
              <w:rPr>
                <w:rFonts w:ascii="GHEA Grapalat" w:hAnsi="GHEA Grapalat" w:cs="Calibri"/>
                <w:b/>
                <w:sz w:val="18"/>
                <w:szCs w:val="18"/>
                <w:lang w:val="en-US"/>
              </w:rPr>
              <w:t>2</w:t>
            </w:r>
            <w:r w:rsidRPr="001F63BA">
              <w:rPr>
                <w:rFonts w:ascii="GHEA Grapalat" w:hAnsi="GHEA Grapalat" w:cs="Calibri"/>
                <w:b/>
                <w:sz w:val="18"/>
                <w:szCs w:val="18"/>
              </w:rPr>
              <w:t>թ. փաստ</w:t>
            </w:r>
          </w:p>
        </w:tc>
        <w:tc>
          <w:tcPr>
            <w:tcW w:w="1276" w:type="dxa"/>
          </w:tcPr>
          <w:p w:rsidR="001C411D" w:rsidRPr="001F63BA" w:rsidRDefault="001C411D">
            <w:pPr>
              <w:jc w:val="center"/>
              <w:rPr>
                <w:rFonts w:ascii="GHEA Grapalat" w:hAnsi="GHEA Grapalat" w:cs="Calibri"/>
                <w:b/>
                <w:sz w:val="18"/>
                <w:szCs w:val="18"/>
              </w:rPr>
            </w:pPr>
            <w:r w:rsidRPr="001F63BA">
              <w:rPr>
                <w:rFonts w:ascii="GHEA Grapalat" w:hAnsi="GHEA Grapalat" w:cs="Calibri"/>
                <w:b/>
                <w:sz w:val="18"/>
                <w:szCs w:val="18"/>
              </w:rPr>
              <w:t>Կատարո-ղականը ճշտված պլանի նկատմամբ (</w:t>
            </w:r>
            <w:r w:rsidRPr="001F63BA">
              <w:rPr>
                <w:rFonts w:ascii="GHEA Grapalat" w:hAnsi="GHEA Grapalat"/>
                <w:b/>
                <w:bCs/>
                <w:sz w:val="18"/>
                <w:szCs w:val="18"/>
              </w:rPr>
              <w:t>%)</w:t>
            </w:r>
            <w:r w:rsidRPr="001F63BA">
              <w:rPr>
                <w:rFonts w:ascii="GHEA Grapalat" w:hAnsi="GHEA Grapalat" w:cs="Calibri"/>
                <w:b/>
                <w:sz w:val="18"/>
                <w:szCs w:val="18"/>
              </w:rPr>
              <w:t xml:space="preserve"> </w:t>
            </w:r>
          </w:p>
        </w:tc>
        <w:tc>
          <w:tcPr>
            <w:tcW w:w="1275" w:type="dxa"/>
          </w:tcPr>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2</w:t>
            </w:r>
            <w:r w:rsidRPr="001F63BA">
              <w:rPr>
                <w:rFonts w:ascii="GHEA Grapalat" w:hAnsi="GHEA Grapalat" w:cs="Calibri"/>
                <w:b/>
                <w:bCs/>
                <w:sz w:val="18"/>
                <w:szCs w:val="18"/>
              </w:rPr>
              <w:t>թ-ի նկատմամբ</w:t>
            </w:r>
            <w:r w:rsidRPr="001F63BA">
              <w:rPr>
                <w:rFonts w:ascii="GHEA Grapalat" w:hAnsi="GHEA Grapalat" w:cs="Calibri"/>
                <w:b/>
                <w:sz w:val="18"/>
                <w:szCs w:val="18"/>
                <w:lang w:val="en-US"/>
              </w:rPr>
              <w:t xml:space="preserve"> (</w:t>
            </w:r>
            <w:r w:rsidRPr="001F63BA">
              <w:rPr>
                <w:rFonts w:ascii="GHEA Grapalat" w:hAnsi="GHEA Grapalat"/>
                <w:b/>
                <w:bCs/>
                <w:sz w:val="18"/>
                <w:szCs w:val="18"/>
              </w:rPr>
              <w:t>%</w:t>
            </w:r>
            <w:r w:rsidRPr="001F63BA">
              <w:rPr>
                <w:rFonts w:ascii="GHEA Grapalat" w:hAnsi="GHEA Grapalat"/>
                <w:b/>
                <w:bCs/>
                <w:sz w:val="18"/>
                <w:szCs w:val="18"/>
                <w:lang w:val="en-US"/>
              </w:rPr>
              <w:t>)</w:t>
            </w:r>
          </w:p>
        </w:tc>
        <w:tc>
          <w:tcPr>
            <w:tcW w:w="1107" w:type="dxa"/>
          </w:tcPr>
          <w:p w:rsidR="001C411D" w:rsidRPr="001F63BA" w:rsidRDefault="001C411D">
            <w:pPr>
              <w:jc w:val="center"/>
              <w:rPr>
                <w:rFonts w:ascii="GHEA Grapalat" w:hAnsi="GHEA Grapalat" w:cs="Calibri"/>
                <w:b/>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և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տարբե-րությունը</w:t>
            </w:r>
          </w:p>
        </w:tc>
      </w:tr>
      <w:tr w:rsidR="001C411D" w:rsidRPr="001F63BA" w:rsidTr="00130E21">
        <w:trPr>
          <w:trHeight w:val="331"/>
          <w:jc w:val="center"/>
        </w:trPr>
        <w:tc>
          <w:tcPr>
            <w:tcW w:w="3488" w:type="dxa"/>
            <w:vAlign w:val="bottom"/>
          </w:tcPr>
          <w:p w:rsidR="001C411D" w:rsidRPr="001F63BA" w:rsidRDefault="001C411D" w:rsidP="00130E21">
            <w:pPr>
              <w:rPr>
                <w:rFonts w:ascii="GHEA Grapalat" w:hAnsi="GHEA Grapalat" w:cs="Calibri"/>
                <w:b/>
                <w:sz w:val="18"/>
                <w:szCs w:val="18"/>
              </w:rPr>
            </w:pPr>
            <w:r w:rsidRPr="001F63BA">
              <w:rPr>
                <w:rFonts w:ascii="GHEA Grapalat" w:hAnsi="GHEA Grapalat" w:cs="Calibri"/>
                <w:b/>
                <w:sz w:val="18"/>
                <w:szCs w:val="18"/>
              </w:rPr>
              <w:t>ԸՆԴԱՄԵՆԸ</w:t>
            </w:r>
          </w:p>
        </w:tc>
        <w:tc>
          <w:tcPr>
            <w:tcW w:w="992"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14,402.4</w:t>
            </w:r>
          </w:p>
        </w:tc>
        <w:tc>
          <w:tcPr>
            <w:tcW w:w="993"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15,555.9</w:t>
            </w:r>
          </w:p>
        </w:tc>
        <w:tc>
          <w:tcPr>
            <w:tcW w:w="1019"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14,944.5</w:t>
            </w:r>
          </w:p>
        </w:tc>
        <w:tc>
          <w:tcPr>
            <w:tcW w:w="1276"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96.1</w:t>
            </w:r>
          </w:p>
        </w:tc>
        <w:tc>
          <w:tcPr>
            <w:tcW w:w="1275"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103.8</w:t>
            </w:r>
          </w:p>
        </w:tc>
        <w:tc>
          <w:tcPr>
            <w:tcW w:w="1107" w:type="dxa"/>
            <w:vAlign w:val="bottom"/>
          </w:tcPr>
          <w:p w:rsidR="001C411D" w:rsidRPr="001F63BA" w:rsidRDefault="001C411D">
            <w:pPr>
              <w:jc w:val="right"/>
              <w:rPr>
                <w:rFonts w:ascii="GHEA Grapalat" w:hAnsi="GHEA Grapalat"/>
                <w:b/>
                <w:bCs/>
                <w:sz w:val="18"/>
                <w:szCs w:val="18"/>
              </w:rPr>
            </w:pPr>
            <w:r w:rsidRPr="001F63BA">
              <w:rPr>
                <w:rFonts w:ascii="GHEA Grapalat" w:hAnsi="GHEA Grapalat"/>
                <w:b/>
                <w:bCs/>
                <w:sz w:val="18"/>
                <w:szCs w:val="18"/>
              </w:rPr>
              <w:t>542.0</w:t>
            </w:r>
          </w:p>
        </w:tc>
      </w:tr>
      <w:tr w:rsidR="001C411D" w:rsidRPr="001F63BA" w:rsidTr="00130E21">
        <w:trPr>
          <w:trHeight w:val="300"/>
          <w:jc w:val="center"/>
        </w:trPr>
        <w:tc>
          <w:tcPr>
            <w:tcW w:w="3488" w:type="dxa"/>
            <w:vAlign w:val="bottom"/>
          </w:tcPr>
          <w:p w:rsidR="001C411D" w:rsidRPr="001F63BA" w:rsidRDefault="001C411D" w:rsidP="00130E21">
            <w:pPr>
              <w:rPr>
                <w:rFonts w:ascii="GHEA Grapalat" w:hAnsi="GHEA Grapalat"/>
                <w:sz w:val="18"/>
                <w:szCs w:val="18"/>
              </w:rPr>
            </w:pPr>
            <w:r w:rsidRPr="001F63BA">
              <w:rPr>
                <w:rFonts w:ascii="GHEA Grapalat" w:hAnsi="GHEA Grapalat"/>
                <w:sz w:val="18"/>
                <w:szCs w:val="18"/>
              </w:rPr>
              <w:t>Սեյսմիկ պաշտպանություն</w:t>
            </w:r>
          </w:p>
        </w:tc>
        <w:tc>
          <w:tcPr>
            <w:tcW w:w="99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759.5</w:t>
            </w:r>
          </w:p>
        </w:tc>
        <w:tc>
          <w:tcPr>
            <w:tcW w:w="993"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752.9</w:t>
            </w:r>
          </w:p>
        </w:tc>
        <w:tc>
          <w:tcPr>
            <w:tcW w:w="1019"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752.9</w:t>
            </w:r>
          </w:p>
        </w:tc>
        <w:tc>
          <w:tcPr>
            <w:tcW w:w="1276" w:type="dxa"/>
            <w:vAlign w:val="bottom"/>
          </w:tcPr>
          <w:p w:rsidR="001C411D" w:rsidRPr="001F63BA" w:rsidRDefault="001C411D">
            <w:pPr>
              <w:jc w:val="right"/>
              <w:rPr>
                <w:rFonts w:ascii="GHEA Grapalat" w:hAnsi="GHEA Grapalat"/>
                <w:sz w:val="18"/>
                <w:szCs w:val="18"/>
              </w:rPr>
            </w:pPr>
            <w:r w:rsidRPr="001F63BA">
              <w:rPr>
                <w:rFonts w:ascii="GHEA Grapalat" w:hAnsi="GHEA Grapalat"/>
                <w:sz w:val="18"/>
                <w:szCs w:val="18"/>
                <w:lang w:val="en-US"/>
              </w:rPr>
              <w:t>100</w:t>
            </w:r>
            <w:r w:rsidRPr="001F63BA">
              <w:rPr>
                <w:rFonts w:ascii="GHEA Grapalat" w:hAnsi="GHEA Grapalat"/>
                <w:sz w:val="18"/>
                <w:szCs w:val="18"/>
              </w:rPr>
              <w:t>.0</w:t>
            </w:r>
          </w:p>
        </w:tc>
        <w:tc>
          <w:tcPr>
            <w:tcW w:w="1275"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99.1</w:t>
            </w:r>
          </w:p>
        </w:tc>
        <w:tc>
          <w:tcPr>
            <w:tcW w:w="1107"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(6.6)</w:t>
            </w:r>
          </w:p>
        </w:tc>
      </w:tr>
      <w:tr w:rsidR="001C411D" w:rsidRPr="001F63BA" w:rsidTr="00130E21">
        <w:trPr>
          <w:trHeight w:val="300"/>
          <w:jc w:val="center"/>
        </w:trPr>
        <w:tc>
          <w:tcPr>
            <w:tcW w:w="3488" w:type="dxa"/>
            <w:vAlign w:val="bottom"/>
          </w:tcPr>
          <w:p w:rsidR="001C411D" w:rsidRPr="001F63BA" w:rsidRDefault="001C411D" w:rsidP="00AD17CB">
            <w:pPr>
              <w:rPr>
                <w:rFonts w:ascii="GHEA Grapalat" w:hAnsi="GHEA Grapalat"/>
                <w:sz w:val="18"/>
                <w:szCs w:val="18"/>
              </w:rPr>
            </w:pPr>
            <w:r w:rsidRPr="001F63BA">
              <w:rPr>
                <w:rFonts w:ascii="GHEA Grapalat" w:hAnsi="GHEA Grapalat"/>
                <w:sz w:val="18"/>
                <w:szCs w:val="18"/>
              </w:rPr>
              <w:t>Փրկարարական ծառայություններ</w:t>
            </w:r>
          </w:p>
        </w:tc>
        <w:tc>
          <w:tcPr>
            <w:tcW w:w="992" w:type="dxa"/>
            <w:vAlign w:val="bottom"/>
          </w:tcPr>
          <w:p w:rsidR="001C411D" w:rsidRPr="001F63BA" w:rsidRDefault="001C411D" w:rsidP="00AD17CB">
            <w:pPr>
              <w:jc w:val="right"/>
              <w:rPr>
                <w:rFonts w:ascii="GHEA Grapalat" w:hAnsi="GHEA Grapalat"/>
                <w:sz w:val="18"/>
                <w:szCs w:val="18"/>
              </w:rPr>
            </w:pPr>
            <w:r w:rsidRPr="001F63BA">
              <w:rPr>
                <w:rFonts w:ascii="GHEA Grapalat" w:hAnsi="GHEA Grapalat"/>
                <w:sz w:val="18"/>
                <w:szCs w:val="18"/>
              </w:rPr>
              <w:t>11,434.7</w:t>
            </w:r>
          </w:p>
        </w:tc>
        <w:tc>
          <w:tcPr>
            <w:tcW w:w="993" w:type="dxa"/>
            <w:vAlign w:val="bottom"/>
          </w:tcPr>
          <w:p w:rsidR="001C411D" w:rsidRPr="001F63BA" w:rsidRDefault="001C411D" w:rsidP="00AD17CB">
            <w:pPr>
              <w:jc w:val="right"/>
              <w:rPr>
                <w:rFonts w:ascii="GHEA Grapalat" w:hAnsi="GHEA Grapalat"/>
                <w:sz w:val="18"/>
                <w:szCs w:val="18"/>
              </w:rPr>
            </w:pPr>
            <w:r w:rsidRPr="001F63BA">
              <w:rPr>
                <w:rFonts w:ascii="GHEA Grapalat" w:hAnsi="GHEA Grapalat"/>
                <w:sz w:val="18"/>
                <w:szCs w:val="18"/>
              </w:rPr>
              <w:t>12,923.6</w:t>
            </w:r>
          </w:p>
        </w:tc>
        <w:tc>
          <w:tcPr>
            <w:tcW w:w="1019" w:type="dxa"/>
            <w:vAlign w:val="bottom"/>
          </w:tcPr>
          <w:p w:rsidR="001C411D" w:rsidRPr="001F63BA" w:rsidRDefault="001C411D" w:rsidP="00AD17CB">
            <w:pPr>
              <w:jc w:val="right"/>
              <w:rPr>
                <w:rFonts w:ascii="GHEA Grapalat" w:hAnsi="GHEA Grapalat"/>
                <w:sz w:val="18"/>
                <w:szCs w:val="18"/>
              </w:rPr>
            </w:pPr>
            <w:r w:rsidRPr="001F63BA">
              <w:rPr>
                <w:rFonts w:ascii="GHEA Grapalat" w:hAnsi="GHEA Grapalat"/>
                <w:sz w:val="18"/>
                <w:szCs w:val="18"/>
              </w:rPr>
              <w:t>12,411.5</w:t>
            </w:r>
          </w:p>
        </w:tc>
        <w:tc>
          <w:tcPr>
            <w:tcW w:w="1276" w:type="dxa"/>
            <w:vAlign w:val="bottom"/>
          </w:tcPr>
          <w:p w:rsidR="001C411D" w:rsidRPr="001F63BA" w:rsidRDefault="001C411D" w:rsidP="00AD17CB">
            <w:pPr>
              <w:jc w:val="right"/>
              <w:rPr>
                <w:rFonts w:ascii="GHEA Grapalat" w:hAnsi="GHEA Grapalat"/>
                <w:sz w:val="18"/>
                <w:szCs w:val="18"/>
              </w:rPr>
            </w:pPr>
            <w:r w:rsidRPr="001F63BA">
              <w:rPr>
                <w:rFonts w:ascii="GHEA Grapalat" w:hAnsi="GHEA Grapalat"/>
                <w:sz w:val="18"/>
                <w:szCs w:val="18"/>
              </w:rPr>
              <w:t>96.0</w:t>
            </w:r>
          </w:p>
        </w:tc>
        <w:tc>
          <w:tcPr>
            <w:tcW w:w="1275" w:type="dxa"/>
            <w:vAlign w:val="bottom"/>
          </w:tcPr>
          <w:p w:rsidR="001C411D" w:rsidRPr="001F63BA" w:rsidRDefault="001C411D" w:rsidP="00AD17CB">
            <w:pPr>
              <w:jc w:val="right"/>
              <w:rPr>
                <w:rFonts w:ascii="GHEA Grapalat" w:hAnsi="GHEA Grapalat"/>
                <w:sz w:val="18"/>
                <w:szCs w:val="18"/>
              </w:rPr>
            </w:pPr>
            <w:r w:rsidRPr="001F63BA">
              <w:rPr>
                <w:rFonts w:ascii="GHEA Grapalat" w:hAnsi="GHEA Grapalat"/>
                <w:sz w:val="18"/>
                <w:szCs w:val="18"/>
              </w:rPr>
              <w:t>108.5</w:t>
            </w:r>
          </w:p>
        </w:tc>
        <w:tc>
          <w:tcPr>
            <w:tcW w:w="1107" w:type="dxa"/>
            <w:vAlign w:val="bottom"/>
          </w:tcPr>
          <w:p w:rsidR="001C411D" w:rsidRPr="001F63BA" w:rsidRDefault="001C411D" w:rsidP="00AD17CB">
            <w:pPr>
              <w:jc w:val="right"/>
              <w:rPr>
                <w:rFonts w:ascii="GHEA Grapalat" w:hAnsi="GHEA Grapalat"/>
                <w:sz w:val="18"/>
                <w:szCs w:val="18"/>
              </w:rPr>
            </w:pPr>
            <w:r w:rsidRPr="001F63BA">
              <w:rPr>
                <w:rFonts w:ascii="GHEA Grapalat" w:hAnsi="GHEA Grapalat"/>
                <w:sz w:val="18"/>
                <w:szCs w:val="18"/>
              </w:rPr>
              <w:t>976.9</w:t>
            </w:r>
          </w:p>
        </w:tc>
      </w:tr>
      <w:tr w:rsidR="001C411D" w:rsidRPr="001F63BA" w:rsidTr="00130E21">
        <w:trPr>
          <w:trHeight w:val="300"/>
          <w:jc w:val="center"/>
        </w:trPr>
        <w:tc>
          <w:tcPr>
            <w:tcW w:w="3488" w:type="dxa"/>
            <w:vAlign w:val="bottom"/>
          </w:tcPr>
          <w:p w:rsidR="001C411D" w:rsidRPr="001F63BA" w:rsidRDefault="001C411D" w:rsidP="00130E21">
            <w:pPr>
              <w:rPr>
                <w:rFonts w:ascii="GHEA Grapalat" w:hAnsi="GHEA Grapalat"/>
                <w:sz w:val="18"/>
                <w:szCs w:val="18"/>
              </w:rPr>
            </w:pPr>
            <w:r w:rsidRPr="001F63BA">
              <w:rPr>
                <w:rFonts w:ascii="GHEA Grapalat" w:hAnsi="GHEA Grapalat"/>
                <w:sz w:val="18"/>
                <w:szCs w:val="18"/>
              </w:rPr>
              <w:t>Այլ ծրագրեր</w:t>
            </w:r>
          </w:p>
        </w:tc>
        <w:tc>
          <w:tcPr>
            <w:tcW w:w="992"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2,208.3</w:t>
            </w:r>
          </w:p>
        </w:tc>
        <w:tc>
          <w:tcPr>
            <w:tcW w:w="993" w:type="dxa"/>
            <w:vAlign w:val="bottom"/>
          </w:tcPr>
          <w:p w:rsidR="001C411D" w:rsidRPr="001F63BA" w:rsidRDefault="001C411D" w:rsidP="007A71FF">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879.4</w:t>
            </w:r>
          </w:p>
        </w:tc>
        <w:tc>
          <w:tcPr>
            <w:tcW w:w="1019" w:type="dxa"/>
            <w:vAlign w:val="bottom"/>
          </w:tcPr>
          <w:p w:rsidR="001C411D" w:rsidRPr="001F63BA" w:rsidRDefault="001C411D" w:rsidP="007A71FF">
            <w:pPr>
              <w:jc w:val="right"/>
              <w:rPr>
                <w:rFonts w:ascii="GHEA Grapalat" w:hAnsi="GHEA Grapalat"/>
                <w:sz w:val="18"/>
                <w:szCs w:val="18"/>
                <w:lang w:val="en-US"/>
              </w:rPr>
            </w:pPr>
            <w:r w:rsidRPr="001F63BA">
              <w:rPr>
                <w:rFonts w:ascii="GHEA Grapalat" w:hAnsi="GHEA Grapalat"/>
                <w:sz w:val="18"/>
                <w:szCs w:val="18"/>
              </w:rPr>
              <w:t>1,</w:t>
            </w:r>
            <w:r w:rsidRPr="001F63BA">
              <w:rPr>
                <w:rFonts w:ascii="GHEA Grapalat" w:hAnsi="GHEA Grapalat"/>
                <w:sz w:val="18"/>
                <w:szCs w:val="18"/>
                <w:lang w:val="en-US"/>
              </w:rPr>
              <w:t>780.1</w:t>
            </w:r>
          </w:p>
        </w:tc>
        <w:tc>
          <w:tcPr>
            <w:tcW w:w="1276" w:type="dxa"/>
            <w:vAlign w:val="bottom"/>
          </w:tcPr>
          <w:p w:rsidR="001C411D" w:rsidRPr="001F63BA" w:rsidRDefault="001C411D" w:rsidP="007A71FF">
            <w:pPr>
              <w:jc w:val="right"/>
              <w:rPr>
                <w:rFonts w:ascii="GHEA Grapalat" w:hAnsi="GHEA Grapalat"/>
                <w:sz w:val="18"/>
                <w:szCs w:val="18"/>
                <w:lang w:val="en-US"/>
              </w:rPr>
            </w:pPr>
            <w:r w:rsidRPr="001F63BA">
              <w:rPr>
                <w:rFonts w:ascii="GHEA Grapalat" w:hAnsi="GHEA Grapalat"/>
                <w:sz w:val="18"/>
                <w:szCs w:val="18"/>
              </w:rPr>
              <w:t>9</w:t>
            </w:r>
            <w:r w:rsidRPr="001F63BA">
              <w:rPr>
                <w:rFonts w:ascii="GHEA Grapalat" w:hAnsi="GHEA Grapalat"/>
                <w:sz w:val="18"/>
                <w:szCs w:val="18"/>
                <w:lang w:val="en-US"/>
              </w:rPr>
              <w:t>4.7</w:t>
            </w:r>
          </w:p>
        </w:tc>
        <w:tc>
          <w:tcPr>
            <w:tcW w:w="1275" w:type="dxa"/>
            <w:vAlign w:val="bottom"/>
          </w:tcPr>
          <w:p w:rsidR="001C411D" w:rsidRPr="001F63BA" w:rsidRDefault="001C411D">
            <w:pPr>
              <w:jc w:val="right"/>
              <w:rPr>
                <w:rFonts w:ascii="GHEA Grapalat" w:hAnsi="GHEA Grapalat"/>
                <w:sz w:val="18"/>
                <w:szCs w:val="18"/>
                <w:lang w:val="en-US"/>
              </w:rPr>
            </w:pPr>
            <w:r w:rsidRPr="001F63BA">
              <w:rPr>
                <w:rFonts w:ascii="GHEA Grapalat" w:hAnsi="GHEA Grapalat"/>
                <w:sz w:val="18"/>
                <w:szCs w:val="18"/>
                <w:lang w:val="en-US"/>
              </w:rPr>
              <w:t>80.6</w:t>
            </w:r>
          </w:p>
        </w:tc>
        <w:tc>
          <w:tcPr>
            <w:tcW w:w="1107" w:type="dxa"/>
            <w:vAlign w:val="bottom"/>
          </w:tcPr>
          <w:p w:rsidR="001C411D" w:rsidRPr="001F63BA" w:rsidRDefault="001C411D" w:rsidP="007A71FF">
            <w:pPr>
              <w:jc w:val="right"/>
              <w:rPr>
                <w:rFonts w:ascii="GHEA Grapalat" w:hAnsi="GHEA Grapalat"/>
                <w:sz w:val="18"/>
                <w:szCs w:val="18"/>
              </w:rPr>
            </w:pPr>
            <w:r w:rsidRPr="001F63BA">
              <w:rPr>
                <w:rFonts w:ascii="GHEA Grapalat" w:hAnsi="GHEA Grapalat"/>
                <w:sz w:val="18"/>
                <w:szCs w:val="18"/>
              </w:rPr>
              <w:t>(</w:t>
            </w:r>
            <w:r w:rsidRPr="001F63BA">
              <w:rPr>
                <w:rFonts w:ascii="GHEA Grapalat" w:hAnsi="GHEA Grapalat"/>
                <w:sz w:val="18"/>
                <w:szCs w:val="18"/>
                <w:lang w:val="en-US"/>
              </w:rPr>
              <w:t>428.2</w:t>
            </w:r>
            <w:r w:rsidRPr="001F63BA">
              <w:rPr>
                <w:rFonts w:ascii="GHEA Grapalat" w:hAnsi="GHEA Grapalat"/>
                <w:sz w:val="18"/>
                <w:szCs w:val="18"/>
              </w:rPr>
              <w:t>)</w:t>
            </w:r>
          </w:p>
        </w:tc>
      </w:tr>
    </w:tbl>
    <w:p w:rsidR="001C411D" w:rsidRPr="001F63BA" w:rsidRDefault="001C411D" w:rsidP="00174FF0">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174FF0">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GHEA Grapalat"/>
          <w:sz w:val="22"/>
          <w:szCs w:val="22"/>
        </w:rPr>
        <w:t>Հաշվետու տարում</w:t>
      </w:r>
      <w:r w:rsidRPr="001F63BA">
        <w:rPr>
          <w:rFonts w:ascii="GHEA Grapalat" w:hAnsi="GHEA Grapalat" w:cs="GHEA Grapalat"/>
          <w:sz w:val="22"/>
          <w:szCs w:val="22"/>
          <w:lang w:val="en-US"/>
        </w:rPr>
        <w:t xml:space="preserve"> </w:t>
      </w:r>
      <w:r w:rsidRPr="001F63BA">
        <w:rPr>
          <w:rFonts w:ascii="GHEA Grapalat" w:hAnsi="GHEA Grapalat" w:cs="GHEA Grapalat"/>
          <w:i/>
          <w:sz w:val="22"/>
          <w:szCs w:val="22"/>
        </w:rPr>
        <w:t>«Փրկարարական ծառայություններ»</w:t>
      </w:r>
      <w:r w:rsidRPr="001F63BA">
        <w:rPr>
          <w:rFonts w:ascii="GHEA Grapalat" w:hAnsi="GHEA Grapalat" w:cs="GHEA Grapalat"/>
          <w:sz w:val="22"/>
          <w:szCs w:val="22"/>
        </w:rPr>
        <w:t xml:space="preserve"> </w:t>
      </w:r>
      <w:r w:rsidRPr="001F63BA">
        <w:rPr>
          <w:rFonts w:ascii="GHEA Grapalat" w:hAnsi="GHEA Grapalat" w:cs="Sylfaen"/>
          <w:sz w:val="22"/>
          <w:szCs w:val="22"/>
        </w:rPr>
        <w:t>ծրագրի շրջանակներում կատարվել են 1</w:t>
      </w:r>
      <w:r w:rsidRPr="001F63BA">
        <w:rPr>
          <w:rFonts w:ascii="GHEA Grapalat" w:hAnsi="GHEA Grapalat" w:cs="Sylfaen"/>
          <w:sz w:val="22"/>
          <w:szCs w:val="22"/>
          <w:lang w:val="en-US"/>
        </w:rPr>
        <w:t>2.</w:t>
      </w:r>
      <w:r w:rsidRPr="001F63BA">
        <w:rPr>
          <w:rFonts w:ascii="GHEA Grapalat" w:hAnsi="GHEA Grapalat" w:cs="Sylfaen"/>
          <w:sz w:val="22"/>
          <w:szCs w:val="22"/>
        </w:rPr>
        <w:t>4 մլրդ դրամ ծախսեր՝ կազմելով ծրագրված ցուցանիշի 9</w:t>
      </w:r>
      <w:r w:rsidRPr="001F63BA">
        <w:rPr>
          <w:rFonts w:ascii="GHEA Grapalat" w:hAnsi="GHEA Grapalat" w:cs="Sylfaen"/>
          <w:sz w:val="22"/>
          <w:szCs w:val="22"/>
          <w:lang w:val="en-US"/>
        </w:rPr>
        <w:t>6</w:t>
      </w:r>
      <w:r w:rsidRPr="001F63BA">
        <w:rPr>
          <w:rFonts w:ascii="GHEA Grapalat" w:hAnsi="GHEA Grapalat" w:cs="Sylfaen"/>
          <w:sz w:val="22"/>
          <w:szCs w:val="22"/>
        </w:rPr>
        <w:t xml:space="preserve">%-ը: Շեղումը հիմնականում պայմանավորված է ԱԻՆ փրկարար ծառայության շենքի ապահովվածության և պայմանների </w:t>
      </w:r>
      <w:r w:rsidRPr="001F63BA">
        <w:rPr>
          <w:rFonts w:ascii="GHEA Grapalat" w:hAnsi="GHEA Grapalat" w:cs="Sylfaen"/>
          <w:sz w:val="22"/>
          <w:szCs w:val="22"/>
        </w:rPr>
        <w:lastRenderedPageBreak/>
        <w:t>բարելավմ</w:t>
      </w:r>
      <w:r w:rsidRPr="001F63BA">
        <w:rPr>
          <w:rFonts w:ascii="GHEA Grapalat" w:hAnsi="GHEA Grapalat" w:cs="Sylfaen"/>
          <w:sz w:val="22"/>
          <w:szCs w:val="22"/>
          <w:lang w:val="en-US"/>
        </w:rPr>
        <w:t>ան,</w:t>
      </w:r>
      <w:r w:rsidRPr="001F63BA">
        <w:t xml:space="preserve"> </w:t>
      </w:r>
      <w:r w:rsidRPr="001F63BA">
        <w:rPr>
          <w:rFonts w:ascii="GHEA Grapalat" w:hAnsi="GHEA Grapalat" w:cs="Sylfaen"/>
          <w:sz w:val="22"/>
          <w:szCs w:val="22"/>
          <w:lang w:val="en-US"/>
        </w:rPr>
        <w:t xml:space="preserve">ԵՄ-ի կողմից Հարավային Կովկասի խոցելի տարածքներում երկրաշարժի համակողմանի կառավարման աջակցության ծրագրի շրջանակներում կատարված ծախսերի և Փրկարարական ծառայության տեխնիկական հագեցվածության բարելավման ծախսերի կատարողականով: Նախորդ տարվա համեմատ նշված ծրագրի ծախսերն աճել են 8.5%-ով կամ 976.9 մլն դրամով, որը հիմնականում պայմանավորված է փրկարարական ծառայության տեխնիկական հագեցվածության բարելավման միջոցառման ծախսերի աճով: </w:t>
      </w:r>
    </w:p>
    <w:p w:rsidR="001C411D" w:rsidRPr="001F63BA" w:rsidRDefault="001C411D" w:rsidP="00174FF0">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Sylfaen"/>
          <w:sz w:val="22"/>
          <w:szCs w:val="22"/>
          <w:lang w:val="en-US"/>
        </w:rPr>
        <w:t>Հաշվետու տարում «Փրկարարական ծառայություններ» միջոցառման շրջանակներում մարտունակության բարձրացման</w:t>
      </w:r>
      <w:r w:rsidRPr="001F63BA">
        <w:rPr>
          <w:rFonts w:ascii="GHEA Grapalat" w:hAnsi="GHEA Grapalat" w:cs="GHEA Grapalat"/>
          <w:sz w:val="22"/>
          <w:szCs w:val="22"/>
        </w:rPr>
        <w:t xml:space="preserve"> նպատակով նախատեսված 32</w:t>
      </w:r>
      <w:r w:rsidRPr="001F63BA">
        <w:rPr>
          <w:rFonts w:ascii="GHEA Grapalat" w:hAnsi="GHEA Grapalat" w:cs="GHEA Grapalat"/>
          <w:sz w:val="22"/>
          <w:szCs w:val="22"/>
          <w:lang w:val="en-US"/>
        </w:rPr>
        <w:t>5-ի դիմաց</w:t>
      </w:r>
      <w:r w:rsidRPr="001F63BA">
        <w:rPr>
          <w:rFonts w:ascii="GHEA Grapalat" w:hAnsi="GHEA Grapalat" w:cs="GHEA Grapalat"/>
          <w:sz w:val="22"/>
          <w:szCs w:val="22"/>
        </w:rPr>
        <w:t xml:space="preserve"> իրականացվել են </w:t>
      </w:r>
      <w:r w:rsidRPr="001F63BA">
        <w:rPr>
          <w:rFonts w:ascii="GHEA Grapalat" w:hAnsi="GHEA Grapalat" w:cs="GHEA Grapalat"/>
          <w:sz w:val="22"/>
          <w:szCs w:val="22"/>
          <w:lang w:val="en-US"/>
        </w:rPr>
        <w:t xml:space="preserve">334 </w:t>
      </w:r>
      <w:r w:rsidRPr="001F63BA">
        <w:rPr>
          <w:rFonts w:ascii="GHEA Grapalat" w:hAnsi="GHEA Grapalat" w:cs="GHEA Grapalat"/>
          <w:sz w:val="22"/>
          <w:szCs w:val="22"/>
        </w:rPr>
        <w:t>ուսումնավարժանքներ</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պայմանավորված</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այլ կազմակերպությունների</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հետ արդյունավետ համագործակցությա</w:t>
      </w:r>
      <w:r w:rsidRPr="001F63BA">
        <w:rPr>
          <w:rFonts w:ascii="GHEA Grapalat" w:hAnsi="GHEA Grapalat" w:cs="GHEA Grapalat"/>
          <w:sz w:val="22"/>
          <w:szCs w:val="22"/>
          <w:lang w:val="en-US"/>
        </w:rPr>
        <w:t>մբ</w:t>
      </w:r>
      <w:r w:rsidRPr="001F63BA">
        <w:rPr>
          <w:rFonts w:ascii="GHEA Grapalat" w:hAnsi="GHEA Grapalat" w:cs="GHEA Grapalat"/>
          <w:sz w:val="22"/>
          <w:szCs w:val="22"/>
        </w:rPr>
        <w:t>: Նշված միջոցառման ծախսերը կազմել են ավելի քան 11.4 մլրդ դրամ և ապահովել 99.5% կատարողական, իսկ նախորդ տարվա համեմատ աճել են 0.7%-ով կամ 76 մլն դրամով:</w:t>
      </w:r>
    </w:p>
    <w:p w:rsidR="001C411D" w:rsidRPr="001F63BA" w:rsidRDefault="001C411D" w:rsidP="00174FF0">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2022 թվականին փրկարարական ծառայության տեխնիկական հագեցվածության բարելավման համար վարչական սարքավորումների ձեռքբերման միջոցառման շրջանակներում հիմնականում ապահովվել են նախատեսված</w:t>
      </w:r>
      <w:r w:rsidRPr="001F63BA">
        <w:rPr>
          <w:rFonts w:ascii="GHEA Grapalat" w:hAnsi="GHEA Grapalat" w:cs="Sylfaen"/>
          <w:sz w:val="22"/>
          <w:szCs w:val="22"/>
        </w:rPr>
        <w:t xml:space="preserve"> արդյունքային ցուցանիշները: Մեկ արդյունքային չափորոշիչի գծով արձանագրվել է թերակատարում. ձեռք </w:t>
      </w:r>
      <w:r w:rsidRPr="001F63BA">
        <w:rPr>
          <w:rFonts w:ascii="GHEA Grapalat" w:hAnsi="GHEA Grapalat" w:cs="Sylfaen"/>
          <w:sz w:val="22"/>
          <w:szCs w:val="22"/>
          <w:lang w:val="en-US"/>
        </w:rPr>
        <w:t>են</w:t>
      </w:r>
      <w:r w:rsidRPr="001F63BA">
        <w:rPr>
          <w:rFonts w:ascii="GHEA Grapalat" w:hAnsi="GHEA Grapalat" w:cs="Sylfaen"/>
          <w:sz w:val="22"/>
          <w:szCs w:val="22"/>
        </w:rPr>
        <w:t xml:space="preserve"> բերվել թվով 562 գրասենյակային գույք և սարքավորումներ՝ նախատեսված 577-ի փոխարեն: Շեղումը հիմնականում պայմանավորված է գնման գործընթացում հայտերի բացակայության արդյունքում գնման չկայացմամբ: Միջոցառման ծախսերը կազմել են 782.8 մլն դրամ՝ ապահովելով 87.3% կատարողական, որը </w:t>
      </w:r>
      <w:r w:rsidRPr="001F63BA">
        <w:rPr>
          <w:rFonts w:ascii="GHEA Grapalat" w:hAnsi="GHEA Grapalat" w:cs="Sylfaen"/>
          <w:sz w:val="22"/>
          <w:szCs w:val="22"/>
          <w:lang w:val="en-US"/>
        </w:rPr>
        <w:t xml:space="preserve">պայմանավորված է </w:t>
      </w:r>
      <w:r w:rsidRPr="001F63BA">
        <w:rPr>
          <w:rFonts w:ascii="GHEA Grapalat" w:hAnsi="GHEA Grapalat" w:cs="Sylfaen"/>
          <w:sz w:val="22"/>
          <w:szCs w:val="22"/>
        </w:rPr>
        <w:t xml:space="preserve">գնման ընթացակարգերի չկայացմամբ և գնման մրցույթների արդյունքում </w:t>
      </w:r>
      <w:r w:rsidRPr="001F63BA">
        <w:rPr>
          <w:rFonts w:ascii="GHEA Grapalat" w:hAnsi="GHEA Grapalat" w:cs="Sylfaen"/>
          <w:sz w:val="22"/>
          <w:szCs w:val="22"/>
          <w:lang w:val="en-US"/>
        </w:rPr>
        <w:t>ապրանքն</w:t>
      </w:r>
      <w:r w:rsidRPr="001F63BA">
        <w:rPr>
          <w:rFonts w:ascii="GHEA Grapalat" w:hAnsi="GHEA Grapalat" w:cs="Sylfaen"/>
          <w:sz w:val="22"/>
          <w:szCs w:val="22"/>
        </w:rPr>
        <w:t xml:space="preserve">երի՝ </w:t>
      </w:r>
      <w:r w:rsidRPr="001F63BA">
        <w:rPr>
          <w:rFonts w:ascii="GHEA Grapalat" w:hAnsi="GHEA Grapalat" w:cs="GHEA Grapalat"/>
          <w:sz w:val="22"/>
          <w:szCs w:val="22"/>
          <w:lang w:val="en-US"/>
        </w:rPr>
        <w:t>նախատեսվածից ցածր գներով ձեռքբերմամբ: Նախորդ տարվա համեմատ նշված ծախսերն աճել են 58.7 անգամ կամ 769.5 մլն դրամով՝ պայմանավորված տեխնիկական վերազինման անհրաժեշտությամբ:</w:t>
      </w:r>
    </w:p>
    <w:p w:rsidR="001C411D" w:rsidRPr="001F63BA" w:rsidRDefault="001C411D" w:rsidP="00174FF0">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rPr>
        <w:t>Ս</w:t>
      </w:r>
      <w:r w:rsidRPr="001F63BA">
        <w:rPr>
          <w:rFonts w:ascii="GHEA Grapalat" w:hAnsi="GHEA Grapalat"/>
          <w:i/>
          <w:sz w:val="22"/>
          <w:szCs w:val="22"/>
        </w:rPr>
        <w:t>եյսմիկ պաշտպանության</w:t>
      </w:r>
      <w:r w:rsidRPr="001F63BA">
        <w:rPr>
          <w:rFonts w:ascii="GHEA Grapalat" w:hAnsi="GHEA Grapalat"/>
          <w:sz w:val="22"/>
          <w:szCs w:val="22"/>
        </w:rPr>
        <w:t xml:space="preserve"> ծրագրի շրջանակներում հատկացված միջոցներն ուղղվել են սեյսմիկ պաշտպանության ոլորտում ծառայությունների տրամադրմանը: Միջոցառման շրջանակներում «Սեյսմիկ պաշտպանության տարածքային ծառայություն» ՊՈԱԿ-ի կողմից իրականացվել են սեյսմիկ վտանգի մոնիտորինգի ապահովման, դրա հետ կապված այլ երկրորդային</w:t>
      </w:r>
      <w:r w:rsidRPr="001F63BA">
        <w:rPr>
          <w:rFonts w:ascii="GHEA Grapalat" w:hAnsi="GHEA Grapalat" w:cs="GHEA Grapalat"/>
          <w:sz w:val="22"/>
          <w:szCs w:val="22"/>
        </w:rPr>
        <w:t xml:space="preserve"> վտանգների գնահատման, ՀՀ տարածքում և տարածաշրջանում տեղի ունեցող երկրաշարժերի գրանցման, մշակման և դրանց մասին հաղորդագրությունների տրամադրման աշխատանքներ: Միջոցառման շրջանակներում երկրաֆիզիկական, երկրադինամիկական և այլ դաշտերի մոնիտորինգի, սեյսմիկ վտանգի, այդ թվում՝ ընթացիկ սեյսմիկ վտանգի գնահատման նպատակով իրականացվել են </w:t>
      </w:r>
      <w:r w:rsidRPr="001F63BA">
        <w:rPr>
          <w:rFonts w:ascii="GHEA Grapalat" w:hAnsi="GHEA Grapalat" w:cs="GHEA Grapalat"/>
          <w:sz w:val="22"/>
          <w:szCs w:val="22"/>
          <w:lang w:val="en-US"/>
        </w:rPr>
        <w:t>520508</w:t>
      </w:r>
      <w:r w:rsidRPr="001F63BA">
        <w:rPr>
          <w:rFonts w:ascii="GHEA Grapalat" w:hAnsi="GHEA Grapalat" w:cs="GHEA Grapalat"/>
          <w:sz w:val="22"/>
          <w:szCs w:val="22"/>
        </w:rPr>
        <w:t xml:space="preserve"> դիտարկումներ՝ կանխատեսված </w:t>
      </w:r>
      <w:r w:rsidRPr="001F63BA">
        <w:rPr>
          <w:rFonts w:ascii="GHEA Grapalat" w:hAnsi="GHEA Grapalat" w:cs="GHEA Grapalat"/>
          <w:sz w:val="22"/>
          <w:szCs w:val="22"/>
          <w:lang w:val="en-US"/>
        </w:rPr>
        <w:t>51</w:t>
      </w:r>
      <w:r w:rsidRPr="001F63BA">
        <w:rPr>
          <w:rFonts w:ascii="GHEA Grapalat" w:hAnsi="GHEA Grapalat" w:cs="GHEA Grapalat"/>
          <w:sz w:val="22"/>
          <w:szCs w:val="22"/>
        </w:rPr>
        <w:t>0000-ի փոխարեն, սեյսմիկ պաշտպանության տարրերի և վարքականոնների ուսուցման, ՏԻՄ</w:t>
      </w:r>
      <w:r w:rsidRPr="001F63BA">
        <w:rPr>
          <w:rFonts w:ascii="GHEA Grapalat" w:hAnsi="GHEA Grapalat" w:cs="GHEA Grapalat"/>
          <w:sz w:val="22"/>
          <w:szCs w:val="22"/>
        </w:rPr>
        <w:noBreakHyphen/>
        <w:t xml:space="preserve">երի աշխատողների նախապատրաստման նպատակով </w:t>
      </w:r>
      <w:r w:rsidRPr="001F63BA">
        <w:rPr>
          <w:rFonts w:ascii="GHEA Grapalat" w:hAnsi="GHEA Grapalat" w:cs="GHEA Grapalat"/>
          <w:sz w:val="22"/>
          <w:szCs w:val="22"/>
        </w:rPr>
        <w:lastRenderedPageBreak/>
        <w:t xml:space="preserve">կազմակերպվել է </w:t>
      </w:r>
      <w:r w:rsidRPr="001F63BA">
        <w:rPr>
          <w:rFonts w:ascii="GHEA Grapalat" w:hAnsi="GHEA Grapalat" w:cs="GHEA Grapalat"/>
          <w:sz w:val="22"/>
          <w:szCs w:val="22"/>
          <w:lang w:val="en-US"/>
        </w:rPr>
        <w:t>517</w:t>
      </w:r>
      <w:r w:rsidRPr="001F63BA">
        <w:rPr>
          <w:rFonts w:ascii="GHEA Grapalat" w:hAnsi="GHEA Grapalat" w:cs="GHEA Grapalat"/>
          <w:sz w:val="22"/>
          <w:szCs w:val="22"/>
        </w:rPr>
        <w:t xml:space="preserve"> միջոցառում՝ նախատեսված </w:t>
      </w:r>
      <w:r w:rsidRPr="001F63BA">
        <w:rPr>
          <w:rFonts w:ascii="GHEA Grapalat" w:hAnsi="GHEA Grapalat" w:cs="GHEA Grapalat"/>
          <w:sz w:val="22"/>
          <w:szCs w:val="22"/>
          <w:lang w:val="en-US"/>
        </w:rPr>
        <w:t>430</w:t>
      </w:r>
      <w:r w:rsidRPr="001F63BA">
        <w:rPr>
          <w:rFonts w:ascii="GHEA Grapalat" w:hAnsi="GHEA Grapalat" w:cs="GHEA Grapalat"/>
          <w:sz w:val="22"/>
          <w:szCs w:val="22"/>
        </w:rPr>
        <w:t xml:space="preserve">-ի փոխարեն: Հատկացված միջոցներն օգտագործվել են ամբողջությամբ՝ կազմելով </w:t>
      </w:r>
      <w:r w:rsidRPr="001F63BA">
        <w:rPr>
          <w:rFonts w:ascii="GHEA Grapalat" w:hAnsi="GHEA Grapalat" w:cs="GHEA Grapalat"/>
          <w:sz w:val="22"/>
          <w:szCs w:val="22"/>
          <w:lang w:val="en-US"/>
        </w:rPr>
        <w:t>752.9</w:t>
      </w:r>
      <w:r w:rsidRPr="001F63BA">
        <w:rPr>
          <w:rFonts w:ascii="GHEA Grapalat" w:hAnsi="GHEA Grapalat" w:cs="GHEA Grapalat"/>
          <w:sz w:val="22"/>
          <w:szCs w:val="22"/>
        </w:rPr>
        <w:t xml:space="preserve"> մլն դրամ: Նախորդ տարվա համեմատ Սեյսմիկ պաշտպանության ծրագրի շրջանակներում կատարված ծախսեր</w:t>
      </w:r>
      <w:r w:rsidRPr="001F63BA">
        <w:rPr>
          <w:rFonts w:ascii="GHEA Grapalat" w:hAnsi="GHEA Grapalat" w:cs="GHEA Grapalat"/>
          <w:sz w:val="22"/>
          <w:szCs w:val="22"/>
          <w:lang w:val="en-US"/>
        </w:rPr>
        <w:t>ն էական փոփոխություն չեն կրել</w:t>
      </w:r>
      <w:r w:rsidRPr="001F63BA">
        <w:rPr>
          <w:rFonts w:ascii="GHEA Grapalat" w:hAnsi="GHEA Grapalat" w:cs="GHEA Grapalat"/>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A503AD">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GHEA Grapalat"/>
          <w:i/>
          <w:sz w:val="22"/>
          <w:szCs w:val="22"/>
          <w:u w:val="single"/>
        </w:rPr>
        <w:t>ՀՀ վիճակագրական կոմիտեի</w:t>
      </w:r>
      <w:r w:rsidRPr="001F63BA">
        <w:rPr>
          <w:rFonts w:ascii="GHEA Grapalat" w:hAnsi="GHEA Grapalat" w:cs="GHEA Grapalat"/>
          <w:sz w:val="22"/>
          <w:szCs w:val="22"/>
        </w:rPr>
        <w:t xml:space="preserve"> </w:t>
      </w:r>
      <w:r w:rsidRPr="001F63BA">
        <w:rPr>
          <w:rFonts w:ascii="GHEA Grapalat" w:hAnsi="GHEA Grapalat" w:cs="Sylfaen"/>
          <w:sz w:val="22"/>
          <w:szCs w:val="22"/>
        </w:rPr>
        <w:t>պատասխանատվությամբ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ընթացքում կատարվել է </w:t>
      </w:r>
      <w:bookmarkStart w:id="258" w:name="_Hlk95470837"/>
      <w:r w:rsidRPr="001F63BA">
        <w:rPr>
          <w:rFonts w:ascii="GHEA Grapalat" w:hAnsi="GHEA Grapalat" w:cs="Sylfaen"/>
          <w:sz w:val="22"/>
          <w:szCs w:val="22"/>
        </w:rPr>
        <w:t xml:space="preserve">պետական բյուջեի 2 ծրագիր, որոնց գծով ծախսերը կազմել են </w:t>
      </w:r>
      <w:r w:rsidRPr="001F63BA">
        <w:rPr>
          <w:rFonts w:ascii="GHEA Grapalat" w:hAnsi="GHEA Grapalat" w:cs="Sylfaen"/>
          <w:sz w:val="22"/>
          <w:szCs w:val="22"/>
          <w:lang w:val="en-US"/>
        </w:rPr>
        <w:t>ավելի քան 3.2</w:t>
      </w:r>
      <w:r w:rsidRPr="001F63BA">
        <w:rPr>
          <w:rFonts w:ascii="GHEA Grapalat" w:hAnsi="GHEA Grapalat" w:cs="Sylfaen"/>
          <w:sz w:val="22"/>
          <w:szCs w:val="22"/>
        </w:rPr>
        <w:t xml:space="preserve"> մլրդ դրամ կամ ծրագրված ցուցանիշի 9</w:t>
      </w:r>
      <w:r w:rsidRPr="001F63BA">
        <w:rPr>
          <w:rFonts w:ascii="GHEA Grapalat" w:hAnsi="GHEA Grapalat" w:cs="Sylfaen"/>
          <w:sz w:val="22"/>
          <w:szCs w:val="22"/>
          <w:lang w:val="en-US"/>
        </w:rPr>
        <w:t>3</w:t>
      </w:r>
      <w:r w:rsidRPr="001F63BA">
        <w:rPr>
          <w:rFonts w:ascii="GHEA Grapalat" w:hAnsi="GHEA Grapalat" w:cs="Sylfaen"/>
          <w:sz w:val="22"/>
          <w:szCs w:val="22"/>
        </w:rPr>
        <w:t>%</w:t>
      </w:r>
      <w:r w:rsidRPr="001F63BA">
        <w:rPr>
          <w:rFonts w:ascii="GHEA Grapalat" w:hAnsi="GHEA Grapalat" w:cs="Sylfaen"/>
          <w:sz w:val="22"/>
          <w:szCs w:val="22"/>
        </w:rPr>
        <w:noBreakHyphen/>
        <w:t>ը</w:t>
      </w:r>
      <w:r w:rsidRPr="001F63BA">
        <w:rPr>
          <w:rFonts w:ascii="GHEA Grapalat" w:hAnsi="GHEA Grapalat" w:cs="Sylfaen"/>
          <w:sz w:val="22"/>
          <w:szCs w:val="22"/>
          <w:lang w:val="en-US"/>
        </w:rPr>
        <w:t>, ընդ որում երկու ծրագրերում էլ արձանագրվել են շեղումներ: Ն</w:t>
      </w:r>
      <w:r w:rsidRPr="001F63BA">
        <w:rPr>
          <w:rFonts w:ascii="GHEA Grapalat" w:hAnsi="GHEA Grapalat" w:cs="Sylfaen"/>
          <w:sz w:val="22"/>
          <w:szCs w:val="22"/>
        </w:rPr>
        <w:t xml:space="preserve">ախորդ տարվա համեմատ </w:t>
      </w:r>
      <w:r w:rsidRPr="001F63BA">
        <w:rPr>
          <w:rFonts w:ascii="GHEA Grapalat" w:hAnsi="GHEA Grapalat" w:cs="Sylfaen"/>
          <w:sz w:val="22"/>
          <w:szCs w:val="22"/>
          <w:lang w:val="en-US"/>
        </w:rPr>
        <w:t xml:space="preserve">կոմիտեի ծախսերն </w:t>
      </w:r>
      <w:r w:rsidRPr="001F63BA">
        <w:rPr>
          <w:rFonts w:ascii="GHEA Grapalat" w:hAnsi="GHEA Grapalat" w:cs="Sylfaen"/>
          <w:sz w:val="22"/>
          <w:szCs w:val="22"/>
        </w:rPr>
        <w:t xml:space="preserve">աճել են </w:t>
      </w:r>
      <w:r w:rsidRPr="001F63BA">
        <w:rPr>
          <w:rFonts w:ascii="GHEA Grapalat" w:hAnsi="GHEA Grapalat" w:cs="Sylfaen"/>
          <w:sz w:val="22"/>
          <w:szCs w:val="22"/>
          <w:lang w:val="en-US"/>
        </w:rPr>
        <w:t>27.6</w:t>
      </w:r>
      <w:r w:rsidRPr="001F63BA">
        <w:rPr>
          <w:rFonts w:ascii="GHEA Grapalat" w:hAnsi="GHEA Grapalat" w:cs="Sylfaen"/>
          <w:sz w:val="22"/>
          <w:szCs w:val="22"/>
        </w:rPr>
        <w:t>%</w:t>
      </w:r>
      <w:r w:rsidRPr="001F63BA">
        <w:rPr>
          <w:rFonts w:ascii="GHEA Grapalat" w:hAnsi="GHEA Grapalat" w:cs="Sylfaen"/>
          <w:sz w:val="22"/>
          <w:szCs w:val="22"/>
        </w:rPr>
        <w:noBreakHyphen/>
        <w:t>ով (</w:t>
      </w:r>
      <w:r w:rsidRPr="001F63BA">
        <w:rPr>
          <w:rFonts w:ascii="GHEA Grapalat" w:hAnsi="GHEA Grapalat" w:cs="Sylfaen"/>
          <w:sz w:val="22"/>
          <w:szCs w:val="22"/>
          <w:lang w:val="en-US"/>
        </w:rPr>
        <w:t>699</w:t>
      </w:r>
      <w:r w:rsidRPr="001F63BA">
        <w:rPr>
          <w:rFonts w:ascii="GHEA Grapalat" w:hAnsi="GHEA Grapalat" w:cs="Sylfaen"/>
          <w:sz w:val="22"/>
          <w:szCs w:val="22"/>
        </w:rPr>
        <w:t>.9</w:t>
      </w:r>
      <w:r w:rsidRPr="001F63BA">
        <w:rPr>
          <w:rFonts w:ascii="Courier New" w:hAnsi="Courier New" w:cs="Courier New"/>
          <w:sz w:val="22"/>
          <w:szCs w:val="22"/>
          <w:lang w:val="en-US"/>
        </w:rPr>
        <w:t> </w:t>
      </w:r>
      <w:r w:rsidRPr="001F63BA">
        <w:rPr>
          <w:rFonts w:ascii="GHEA Grapalat" w:hAnsi="GHEA Grapalat" w:cs="Sylfaen"/>
          <w:sz w:val="22"/>
          <w:szCs w:val="22"/>
        </w:rPr>
        <w:t>մլն դրամով)</w:t>
      </w:r>
      <w:r w:rsidRPr="001F63BA">
        <w:rPr>
          <w:rFonts w:ascii="GHEA Grapalat" w:hAnsi="GHEA Grapalat" w:cs="Sylfaen"/>
          <w:sz w:val="22"/>
          <w:szCs w:val="22"/>
          <w:lang w:val="en-US"/>
        </w:rPr>
        <w:t xml:space="preserve">՝ պայմանավորված </w:t>
      </w:r>
      <w:r w:rsidRPr="001F63BA">
        <w:rPr>
          <w:rFonts w:ascii="GHEA Grapalat" w:hAnsi="GHEA Grapalat" w:cs="Sylfaen"/>
          <w:sz w:val="22"/>
          <w:szCs w:val="22"/>
        </w:rPr>
        <w:t>Ազգային պաշտոնական վիճակագրության արտադրությ</w:t>
      </w:r>
      <w:r w:rsidRPr="001F63BA">
        <w:rPr>
          <w:rFonts w:ascii="GHEA Grapalat" w:hAnsi="GHEA Grapalat" w:cs="Sylfaen"/>
          <w:sz w:val="22"/>
          <w:szCs w:val="22"/>
          <w:lang w:val="en-US"/>
        </w:rPr>
        <w:t>ա</w:t>
      </w:r>
      <w:r w:rsidRPr="001F63BA">
        <w:rPr>
          <w:rFonts w:ascii="GHEA Grapalat" w:hAnsi="GHEA Grapalat" w:cs="Sylfaen"/>
          <w:sz w:val="22"/>
          <w:szCs w:val="22"/>
        </w:rPr>
        <w:t>ն և տարած</w:t>
      </w:r>
      <w:r w:rsidRPr="001F63BA">
        <w:rPr>
          <w:rFonts w:ascii="GHEA Grapalat" w:hAnsi="GHEA Grapalat" w:cs="Sylfaen"/>
          <w:sz w:val="22"/>
          <w:szCs w:val="22"/>
          <w:lang w:val="en-US"/>
        </w:rPr>
        <w:t>ման</w:t>
      </w:r>
      <w:r w:rsidRPr="001F63BA">
        <w:rPr>
          <w:rFonts w:ascii="GHEA Grapalat" w:hAnsi="GHEA Grapalat" w:cs="Sylfaen"/>
          <w:sz w:val="22"/>
          <w:szCs w:val="22"/>
        </w:rPr>
        <w:t xml:space="preserve"> ծրագրի ծախսեր</w:t>
      </w:r>
      <w:r w:rsidRPr="001F63BA">
        <w:rPr>
          <w:rFonts w:ascii="GHEA Grapalat" w:hAnsi="GHEA Grapalat" w:cs="Sylfaen"/>
          <w:sz w:val="22"/>
          <w:szCs w:val="22"/>
          <w:lang w:val="en-US"/>
        </w:rPr>
        <w:t>ի աճ</w:t>
      </w:r>
      <w:r w:rsidRPr="001F63BA">
        <w:rPr>
          <w:rFonts w:ascii="GHEA Grapalat" w:hAnsi="GHEA Grapalat" w:cs="Sylfaen"/>
          <w:sz w:val="22"/>
          <w:szCs w:val="22"/>
        </w:rPr>
        <w:t>ով:</w:t>
      </w:r>
    </w:p>
    <w:p w:rsidR="001C411D" w:rsidRPr="001F63BA" w:rsidRDefault="001C411D" w:rsidP="00A503AD">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i/>
          <w:sz w:val="22"/>
          <w:szCs w:val="22"/>
        </w:rPr>
        <w:t>Ազգային պաշտոնական վիճակագրության արտադրության և տարածման</w:t>
      </w:r>
      <w:r w:rsidRPr="001F63BA">
        <w:rPr>
          <w:rFonts w:ascii="GHEA Grapalat" w:hAnsi="GHEA Grapalat" w:cs="Sylfaen"/>
          <w:sz w:val="22"/>
          <w:szCs w:val="22"/>
        </w:rPr>
        <w:t xml:space="preserve"> ծրագրի շրջանակներում օգտագործվել է հատկացված միջոցների </w:t>
      </w:r>
      <w:r w:rsidRPr="001F63BA">
        <w:rPr>
          <w:rFonts w:ascii="GHEA Grapalat" w:hAnsi="GHEA Grapalat" w:cs="Sylfaen"/>
          <w:sz w:val="22"/>
          <w:szCs w:val="22"/>
          <w:lang w:val="en-US"/>
        </w:rPr>
        <w:t>95.8</w:t>
      </w:r>
      <w:r w:rsidRPr="001F63BA">
        <w:rPr>
          <w:rFonts w:ascii="GHEA Grapalat" w:hAnsi="GHEA Grapalat" w:cs="Sylfaen"/>
          <w:sz w:val="22"/>
          <w:szCs w:val="22"/>
        </w:rPr>
        <w:t>%-ը՝ 2</w:t>
      </w:r>
      <w:r w:rsidRPr="001F63BA">
        <w:rPr>
          <w:rFonts w:ascii="GHEA Grapalat" w:hAnsi="GHEA Grapalat" w:cs="Sylfaen"/>
          <w:sz w:val="22"/>
          <w:szCs w:val="22"/>
          <w:lang w:val="en-US"/>
        </w:rPr>
        <w:t>.7</w:t>
      </w:r>
      <w:r w:rsidRPr="001F63BA">
        <w:rPr>
          <w:rFonts w:ascii="GHEA Grapalat" w:hAnsi="GHEA Grapalat" w:cs="Sylfaen"/>
          <w:sz w:val="22"/>
          <w:szCs w:val="22"/>
        </w:rPr>
        <w:t xml:space="preserve"> մլրդ դրամ: Մասնավորապես՝ 1.3 մլրդ դրամ</w:t>
      </w:r>
      <w:r w:rsidRPr="001F63BA">
        <w:rPr>
          <w:rFonts w:ascii="GHEA Grapalat" w:hAnsi="GHEA Grapalat" w:cs="Sylfaen"/>
          <w:sz w:val="22"/>
          <w:szCs w:val="22"/>
          <w:lang w:val="en-US"/>
        </w:rPr>
        <w:t xml:space="preserve"> (կատարողականը՝ </w:t>
      </w:r>
      <w:r w:rsidRPr="001F63BA">
        <w:rPr>
          <w:rFonts w:ascii="GHEA Grapalat" w:hAnsi="GHEA Grapalat" w:cs="Sylfaen"/>
          <w:sz w:val="22"/>
          <w:szCs w:val="22"/>
        </w:rPr>
        <w:t>98.</w:t>
      </w:r>
      <w:r w:rsidRPr="001F63BA">
        <w:rPr>
          <w:rFonts w:ascii="GHEA Grapalat" w:hAnsi="GHEA Grapalat" w:cs="Sylfaen"/>
          <w:sz w:val="22"/>
          <w:szCs w:val="22"/>
          <w:lang w:val="en-US"/>
        </w:rPr>
        <w:t>7</w:t>
      </w:r>
      <w:r w:rsidRPr="001F63BA">
        <w:rPr>
          <w:rFonts w:ascii="GHEA Grapalat" w:hAnsi="GHEA Grapalat" w:cs="Sylfaen"/>
          <w:sz w:val="22"/>
          <w:szCs w:val="22"/>
        </w:rPr>
        <w:t>%</w:t>
      </w:r>
      <w:r w:rsidRPr="001F63BA">
        <w:rPr>
          <w:rFonts w:ascii="GHEA Grapalat" w:hAnsi="GHEA Grapalat" w:cs="Sylfaen"/>
          <w:sz w:val="22"/>
          <w:szCs w:val="22"/>
          <w:lang w:val="en-US"/>
        </w:rPr>
        <w:t>)</w:t>
      </w:r>
      <w:r w:rsidRPr="001F63BA">
        <w:rPr>
          <w:rFonts w:ascii="GHEA Grapalat" w:hAnsi="GHEA Grapalat" w:cs="Sylfaen"/>
          <w:sz w:val="22"/>
          <w:szCs w:val="22"/>
        </w:rPr>
        <w:t xml:space="preserve"> է տրամադրվել «Վիճակագրության քաղաքականության մշակում և իրականացում, պաշտոնական վիճակագրական տեղեկատվության մշակում, արտադրում և տարածում» միջոցառմանը, </w:t>
      </w:r>
      <w:r w:rsidRPr="001F63BA">
        <w:rPr>
          <w:rFonts w:ascii="GHEA Grapalat" w:hAnsi="GHEA Grapalat" w:cs="Sylfaen"/>
          <w:sz w:val="22"/>
          <w:szCs w:val="22"/>
          <w:lang w:val="en-US"/>
        </w:rPr>
        <w:t>586</w:t>
      </w:r>
      <w:r w:rsidRPr="001F63BA">
        <w:rPr>
          <w:rFonts w:ascii="GHEA Grapalat" w:hAnsi="GHEA Grapalat" w:cs="Sylfaen"/>
          <w:sz w:val="22"/>
          <w:szCs w:val="22"/>
        </w:rPr>
        <w:t xml:space="preserve"> մլն դրամ</w:t>
      </w:r>
      <w:r w:rsidRPr="001F63BA">
        <w:rPr>
          <w:rFonts w:ascii="GHEA Grapalat" w:hAnsi="GHEA Grapalat" w:cs="Sylfaen"/>
          <w:sz w:val="22"/>
          <w:szCs w:val="22"/>
          <w:lang w:val="en-US"/>
        </w:rPr>
        <w:t xml:space="preserve"> (կատարողականը՝ </w:t>
      </w:r>
      <w:r w:rsidRPr="001F63BA">
        <w:rPr>
          <w:rFonts w:ascii="GHEA Grapalat" w:hAnsi="GHEA Grapalat" w:cs="Sylfaen"/>
          <w:sz w:val="22"/>
          <w:szCs w:val="22"/>
        </w:rPr>
        <w:t>9</w:t>
      </w:r>
      <w:r w:rsidRPr="001F63BA">
        <w:rPr>
          <w:rFonts w:ascii="GHEA Grapalat" w:hAnsi="GHEA Grapalat" w:cs="Sylfaen"/>
          <w:sz w:val="22"/>
          <w:szCs w:val="22"/>
          <w:lang w:val="en-US"/>
        </w:rPr>
        <w:t>9</w:t>
      </w:r>
      <w:r w:rsidRPr="001F63BA">
        <w:rPr>
          <w:rFonts w:ascii="GHEA Grapalat" w:hAnsi="GHEA Grapalat" w:cs="Sylfaen"/>
          <w:sz w:val="22"/>
          <w:szCs w:val="22"/>
        </w:rPr>
        <w:t>.</w:t>
      </w:r>
      <w:r w:rsidRPr="001F63BA">
        <w:rPr>
          <w:rFonts w:ascii="GHEA Grapalat" w:hAnsi="GHEA Grapalat" w:cs="Sylfaen"/>
          <w:sz w:val="22"/>
          <w:szCs w:val="22"/>
          <w:lang w:val="en-US"/>
        </w:rPr>
        <w:t>7</w:t>
      </w:r>
      <w:r w:rsidRPr="001F63BA">
        <w:rPr>
          <w:rFonts w:ascii="GHEA Grapalat" w:hAnsi="GHEA Grapalat" w:cs="Sylfaen"/>
          <w:sz w:val="22"/>
          <w:szCs w:val="22"/>
        </w:rPr>
        <w:t>%</w:t>
      </w:r>
      <w:r w:rsidRPr="001F63BA">
        <w:rPr>
          <w:rFonts w:ascii="GHEA Grapalat" w:hAnsi="GHEA Grapalat" w:cs="Sylfaen"/>
          <w:sz w:val="22"/>
          <w:szCs w:val="22"/>
          <w:lang w:val="en-US"/>
        </w:rPr>
        <w:t>)</w:t>
      </w:r>
      <w:r w:rsidRPr="001F63BA">
        <w:rPr>
          <w:rFonts w:ascii="GHEA Grapalat" w:hAnsi="GHEA Grapalat" w:cs="Sylfaen"/>
          <w:sz w:val="22"/>
          <w:szCs w:val="22"/>
        </w:rPr>
        <w:t xml:space="preserve">՝ «Վիճակագրական տեղեկատվության հավաքում» միջոցառմանը, </w:t>
      </w:r>
      <w:r w:rsidRPr="001F63BA">
        <w:rPr>
          <w:rFonts w:ascii="GHEA Grapalat" w:hAnsi="GHEA Grapalat" w:cs="Sylfaen"/>
          <w:sz w:val="22"/>
          <w:szCs w:val="22"/>
          <w:lang w:val="en-US"/>
        </w:rPr>
        <w:t>571.8 մլն դրամ (կատարողականը՝ 85</w:t>
      </w:r>
      <w:r w:rsidRPr="001F63BA">
        <w:rPr>
          <w:rFonts w:ascii="GHEA Grapalat" w:hAnsi="GHEA Grapalat" w:cs="Sylfaen"/>
          <w:sz w:val="22"/>
          <w:szCs w:val="22"/>
        </w:rPr>
        <w:t>%</w:t>
      </w:r>
      <w:r w:rsidRPr="001F63BA">
        <w:rPr>
          <w:rFonts w:ascii="GHEA Grapalat" w:hAnsi="GHEA Grapalat" w:cs="Sylfaen"/>
          <w:sz w:val="22"/>
          <w:szCs w:val="22"/>
          <w:lang w:val="en-US"/>
        </w:rPr>
        <w:t>)՝ «Հերթական մարդահամարի նախապատրաստման և անցկացման միջոցառումների իրականացում» միջոցառմանը</w:t>
      </w:r>
      <w:r w:rsidRPr="001F63BA">
        <w:rPr>
          <w:rFonts w:ascii="GHEA Grapalat" w:hAnsi="GHEA Grapalat" w:cs="Sylfaen"/>
          <w:sz w:val="22"/>
          <w:szCs w:val="22"/>
        </w:rPr>
        <w:t>: Միջոցառումների շրջանակներում հիմնականում ապահովվել են նախատեսված արդյունքային ցուցանիշները</w:t>
      </w:r>
      <w:r w:rsidRPr="001F63BA">
        <w:rPr>
          <w:rFonts w:ascii="GHEA Grapalat" w:hAnsi="GHEA Grapalat" w:cs="Sylfaen"/>
          <w:sz w:val="22"/>
          <w:szCs w:val="22"/>
          <w:lang w:val="en-US"/>
        </w:rPr>
        <w:t>:</w:t>
      </w:r>
      <w:r w:rsidRPr="001F63BA">
        <w:rPr>
          <w:rFonts w:ascii="GHEA Grapalat" w:hAnsi="GHEA Grapalat" w:cs="Sylfaen"/>
          <w:sz w:val="22"/>
          <w:szCs w:val="22"/>
        </w:rPr>
        <w:t xml:space="preserve"> </w:t>
      </w:r>
      <w:r w:rsidRPr="001F63BA">
        <w:rPr>
          <w:rFonts w:ascii="GHEA Grapalat" w:hAnsi="GHEA Grapalat" w:cs="Sylfaen"/>
          <w:sz w:val="22"/>
          <w:szCs w:val="22"/>
          <w:lang w:val="en-US"/>
        </w:rPr>
        <w:t>«Հերթական մարդահամարի նախապատրաստման և անցկացման միջոցառումների իրականացում» միջոցառման</w:t>
      </w:r>
      <w:r w:rsidRPr="001F63BA">
        <w:rPr>
          <w:rFonts w:ascii="GHEA Grapalat" w:hAnsi="GHEA Grapalat" w:cs="Sylfaen"/>
          <w:sz w:val="22"/>
          <w:szCs w:val="22"/>
        </w:rPr>
        <w:t xml:space="preserve"> </w:t>
      </w:r>
      <w:r w:rsidRPr="001F63BA">
        <w:rPr>
          <w:rFonts w:ascii="GHEA Grapalat" w:hAnsi="GHEA Grapalat" w:cs="Sylfaen"/>
          <w:sz w:val="22"/>
          <w:szCs w:val="22"/>
          <w:lang w:val="en-US"/>
        </w:rPr>
        <w:t xml:space="preserve">շրջանակներում ծրագրից </w:t>
      </w:r>
      <w:r w:rsidRPr="001F63BA">
        <w:rPr>
          <w:rFonts w:ascii="GHEA Grapalat" w:hAnsi="GHEA Grapalat" w:cs="Sylfaen"/>
          <w:sz w:val="22"/>
          <w:szCs w:val="22"/>
        </w:rPr>
        <w:t>շեղում</w:t>
      </w:r>
      <w:r w:rsidRPr="001F63BA">
        <w:rPr>
          <w:rFonts w:ascii="GHEA Grapalat" w:hAnsi="GHEA Grapalat" w:cs="Sylfaen"/>
          <w:sz w:val="22"/>
          <w:szCs w:val="22"/>
          <w:lang w:val="en-US"/>
        </w:rPr>
        <w:t>ը</w:t>
      </w:r>
      <w:r w:rsidRPr="001F63BA">
        <w:rPr>
          <w:rFonts w:ascii="GHEA Grapalat" w:hAnsi="GHEA Grapalat" w:cs="Sylfaen"/>
          <w:sz w:val="22"/>
          <w:szCs w:val="22"/>
        </w:rPr>
        <w:t xml:space="preserve"> հիմնականում պայմանավորված </w:t>
      </w:r>
      <w:r w:rsidRPr="001F63BA">
        <w:rPr>
          <w:rFonts w:ascii="GHEA Grapalat" w:hAnsi="GHEA Grapalat" w:cs="Sylfaen"/>
          <w:sz w:val="22"/>
          <w:szCs w:val="22"/>
          <w:lang w:val="en-US"/>
        </w:rPr>
        <w:t>է</w:t>
      </w:r>
      <w:r w:rsidRPr="001F63BA">
        <w:rPr>
          <w:rFonts w:ascii="GHEA Grapalat" w:hAnsi="GHEA Grapalat" w:cs="Sylfaen"/>
          <w:sz w:val="22"/>
          <w:szCs w:val="22"/>
        </w:rPr>
        <w:t xml:space="preserve"> </w:t>
      </w:r>
      <w:r w:rsidRPr="001F63BA">
        <w:rPr>
          <w:rFonts w:ascii="GHEA Grapalat" w:hAnsi="GHEA Grapalat" w:cs="Sylfaen"/>
          <w:sz w:val="22"/>
          <w:szCs w:val="22"/>
          <w:lang w:val="af-ZA"/>
        </w:rPr>
        <w:t>հերթական մարդահամարի դաշտային աշխատանքների համար պլանավորված, սակայն չհամալրված հաստիքներով, կապի և էլեկտրաէներգիայի ծախսերի գծով առաջացած տնտեսումներով, ինչպես նաև արտասահմանյան գործուղումների անհրաժեշտության բացակայությամբ</w:t>
      </w:r>
      <w:r w:rsidRPr="001F63BA">
        <w:rPr>
          <w:rFonts w:ascii="GHEA Grapalat" w:hAnsi="GHEA Grapalat" w:cs="Sylfaen"/>
          <w:sz w:val="22"/>
          <w:szCs w:val="22"/>
        </w:rPr>
        <w:t>:</w:t>
      </w:r>
    </w:p>
    <w:p w:rsidR="001C411D" w:rsidRPr="001F63BA" w:rsidRDefault="001C411D" w:rsidP="00A503AD">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202</w:t>
      </w:r>
      <w:r w:rsidRPr="001F63BA">
        <w:rPr>
          <w:rFonts w:ascii="GHEA Grapalat" w:hAnsi="GHEA Grapalat" w:cs="Sylfaen"/>
          <w:sz w:val="22"/>
          <w:szCs w:val="22"/>
          <w:lang w:val="en-US"/>
        </w:rPr>
        <w:t>1</w:t>
      </w:r>
      <w:r w:rsidRPr="001F63BA">
        <w:rPr>
          <w:rFonts w:ascii="GHEA Grapalat" w:hAnsi="GHEA Grapalat" w:cs="Sylfaen"/>
          <w:sz w:val="22"/>
          <w:szCs w:val="22"/>
        </w:rPr>
        <w:t xml:space="preserve"> թվականի համեմատ Ազգային պաշտոնական վիճակագրության արտադրության և տարածման ծրագրի գծով ծախսերն աճել են </w:t>
      </w:r>
      <w:r w:rsidRPr="001F63BA">
        <w:rPr>
          <w:rFonts w:ascii="GHEA Grapalat" w:hAnsi="GHEA Grapalat" w:cs="Sylfaen"/>
          <w:sz w:val="22"/>
          <w:szCs w:val="22"/>
          <w:lang w:val="en-US"/>
        </w:rPr>
        <w:t>37.8</w:t>
      </w:r>
      <w:r w:rsidRPr="001F63BA">
        <w:rPr>
          <w:rFonts w:ascii="GHEA Grapalat" w:hAnsi="GHEA Grapalat" w:cs="Sylfaen"/>
          <w:sz w:val="22"/>
          <w:szCs w:val="22"/>
        </w:rPr>
        <w:t>%</w:t>
      </w:r>
      <w:r w:rsidRPr="001F63BA">
        <w:rPr>
          <w:rFonts w:ascii="GHEA Grapalat" w:hAnsi="GHEA Grapalat" w:cs="Sylfaen"/>
          <w:sz w:val="22"/>
          <w:szCs w:val="22"/>
        </w:rPr>
        <w:noBreakHyphen/>
        <w:t>ով (744.8 մլն դրամով</w:t>
      </w:r>
      <w:bookmarkStart w:id="259" w:name="_Hlk95468744"/>
      <w:r w:rsidRPr="001F63BA">
        <w:rPr>
          <w:rFonts w:ascii="GHEA Grapalat" w:hAnsi="GHEA Grapalat" w:cs="Sylfaen"/>
          <w:sz w:val="22"/>
          <w:szCs w:val="22"/>
        </w:rPr>
        <w:t>)՝ հիմնականում պայմանավորված հերթական մարդահամարի անցկացմամբ</w:t>
      </w:r>
      <w:r w:rsidRPr="001F63BA">
        <w:rPr>
          <w:rFonts w:ascii="GHEA Grapalat" w:hAnsi="GHEA Grapalat" w:cs="Sylfaen"/>
          <w:sz w:val="22"/>
          <w:szCs w:val="22"/>
          <w:lang w:val="en-US"/>
        </w:rPr>
        <w:t>, որի հետ կապված՝ ավելացել է</w:t>
      </w:r>
      <w:r w:rsidRPr="001F63BA">
        <w:rPr>
          <w:rFonts w:ascii="GHEA Grapalat" w:hAnsi="GHEA Grapalat" w:cs="Sylfaen"/>
          <w:sz w:val="22"/>
          <w:szCs w:val="22"/>
        </w:rPr>
        <w:t xml:space="preserve"> մարդահամարի դաշտային աշխատանքներում ներգրավվող աշխատողների</w:t>
      </w:r>
      <w:r w:rsidRPr="001F63BA">
        <w:rPr>
          <w:rFonts w:ascii="GHEA Grapalat" w:hAnsi="GHEA Grapalat" w:cs="Sylfaen"/>
          <w:sz w:val="22"/>
          <w:szCs w:val="22"/>
          <w:lang w:val="en-US"/>
        </w:rPr>
        <w:t xml:space="preserve"> (պայմանագրային հարցազրուցավարներ)</w:t>
      </w:r>
      <w:r w:rsidRPr="001F63BA">
        <w:rPr>
          <w:rFonts w:ascii="GHEA Grapalat" w:hAnsi="GHEA Grapalat" w:cs="Sylfaen"/>
          <w:sz w:val="22"/>
          <w:szCs w:val="22"/>
        </w:rPr>
        <w:t xml:space="preserve"> աշխատավարձի ֆոնդ</w:t>
      </w:r>
      <w:r w:rsidRPr="001F63BA">
        <w:rPr>
          <w:rFonts w:ascii="GHEA Grapalat" w:hAnsi="GHEA Grapalat" w:cs="Sylfaen"/>
          <w:sz w:val="22"/>
          <w:szCs w:val="22"/>
          <w:lang w:val="en-US"/>
        </w:rPr>
        <w:t>ը և միջոցներ են հատկացվել ՀՀ վիճակագրական կոմիտեի մարդահամարի վարչության տեխնիկական հագեցվածության բարելավման նպատակով</w:t>
      </w:r>
      <w:r w:rsidRPr="001F63BA">
        <w:rPr>
          <w:rFonts w:ascii="GHEA Grapalat" w:hAnsi="GHEA Grapalat" w:cs="Sylfaen"/>
          <w:sz w:val="22"/>
          <w:szCs w:val="22"/>
        </w:rPr>
        <w:t>:</w:t>
      </w:r>
      <w:bookmarkEnd w:id="259"/>
    </w:p>
    <w:bookmarkEnd w:id="258"/>
    <w:p w:rsidR="001C411D" w:rsidRPr="001F63BA" w:rsidRDefault="001C411D" w:rsidP="00A503AD">
      <w:pPr>
        <w:spacing w:line="360" w:lineRule="auto"/>
        <w:ind w:firstLine="567"/>
        <w:jc w:val="both"/>
        <w:rPr>
          <w:rFonts w:ascii="GHEA Grapalat" w:hAnsi="GHEA Grapalat" w:cs="Sylfaen"/>
          <w:sz w:val="22"/>
          <w:szCs w:val="22"/>
          <w:lang w:val="en-US"/>
        </w:rPr>
      </w:pPr>
      <w:r w:rsidRPr="001F63BA">
        <w:rPr>
          <w:rFonts w:ascii="GHEA Grapalat" w:hAnsi="GHEA Grapalat" w:cs="Sylfaen"/>
          <w:i/>
          <w:iCs/>
          <w:sz w:val="22"/>
          <w:szCs w:val="22"/>
        </w:rPr>
        <w:t>Վիճակագրական համակարգի ամրապնդման ազգային ռազմավարական</w:t>
      </w:r>
      <w:r w:rsidRPr="001F63BA">
        <w:rPr>
          <w:rFonts w:ascii="GHEA Grapalat" w:hAnsi="GHEA Grapalat" w:cs="Sylfaen"/>
          <w:sz w:val="22"/>
          <w:szCs w:val="22"/>
        </w:rPr>
        <w:t xml:space="preserve"> ծրագ</w:t>
      </w:r>
      <w:r w:rsidRPr="001F63BA">
        <w:rPr>
          <w:rFonts w:ascii="GHEA Grapalat" w:hAnsi="GHEA Grapalat" w:cs="Sylfaen"/>
          <w:sz w:val="22"/>
          <w:szCs w:val="22"/>
          <w:lang w:val="en-US"/>
        </w:rPr>
        <w:t>ի</w:t>
      </w:r>
      <w:r w:rsidRPr="001F63BA">
        <w:rPr>
          <w:rFonts w:ascii="GHEA Grapalat" w:hAnsi="GHEA Grapalat" w:cs="Sylfaen"/>
          <w:sz w:val="22"/>
          <w:szCs w:val="22"/>
        </w:rPr>
        <w:t>ր</w:t>
      </w:r>
      <w:r w:rsidRPr="001F63BA">
        <w:rPr>
          <w:rFonts w:ascii="GHEA Grapalat" w:hAnsi="GHEA Grapalat" w:cs="Sylfaen"/>
          <w:sz w:val="22"/>
          <w:szCs w:val="22"/>
          <w:lang w:val="en-US"/>
        </w:rPr>
        <w:t xml:space="preserve">ն </w:t>
      </w:r>
      <w:r w:rsidRPr="001F63BA">
        <w:rPr>
          <w:rFonts w:ascii="GHEA Grapalat" w:hAnsi="GHEA Grapalat" w:cs="Sylfaen"/>
          <w:sz w:val="22"/>
          <w:szCs w:val="22"/>
        </w:rPr>
        <w:t>ի</w:t>
      </w:r>
      <w:r w:rsidRPr="001F63BA">
        <w:rPr>
          <w:rFonts w:ascii="GHEA Grapalat" w:hAnsi="GHEA Grapalat" w:cs="Sylfaen"/>
          <w:sz w:val="22"/>
          <w:szCs w:val="22"/>
          <w:lang w:val="en-US"/>
        </w:rPr>
        <w:t>րականացվել է Համաշխարհային բանկի աջակցությամբ, որի</w:t>
      </w:r>
      <w:r w:rsidRPr="001F63BA">
        <w:rPr>
          <w:rFonts w:ascii="GHEA Grapalat" w:hAnsi="GHEA Grapalat" w:cs="Sylfaen"/>
          <w:sz w:val="22"/>
          <w:szCs w:val="22"/>
        </w:rPr>
        <w:t xml:space="preserve"> շրջանակներում </w:t>
      </w:r>
      <w:r w:rsidRPr="001F63BA">
        <w:rPr>
          <w:rFonts w:ascii="GHEA Grapalat" w:hAnsi="GHEA Grapalat" w:cs="Sylfaen"/>
          <w:sz w:val="22"/>
          <w:szCs w:val="22"/>
          <w:lang w:val="en-US"/>
        </w:rPr>
        <w:t>կատարվել</w:t>
      </w:r>
      <w:r w:rsidRPr="001F63BA">
        <w:rPr>
          <w:rFonts w:ascii="GHEA Grapalat" w:hAnsi="GHEA Grapalat" w:cs="Sylfaen"/>
          <w:sz w:val="22"/>
          <w:szCs w:val="22"/>
        </w:rPr>
        <w:t xml:space="preserve"> են ԱՐՄՍՏԱՏ-ի էլեկտրոնային տվյալների հավաքման, պահպանման և մշակման վեբ-հարթակի </w:t>
      </w:r>
      <w:r w:rsidRPr="001F63BA">
        <w:rPr>
          <w:rFonts w:ascii="GHEA Grapalat" w:hAnsi="GHEA Grapalat" w:cs="Sylfaen"/>
          <w:sz w:val="22"/>
          <w:szCs w:val="22"/>
        </w:rPr>
        <w:lastRenderedPageBreak/>
        <w:t>ներդրման և թեստավորման, առցանց հաշվետվությունների ծրագրային ապահովման համակարգի գործարկման աշխատանքների հեղինակային հսկողության աշխատանքները, ինչպես նաև ձեռք են բերվել սարքավորումներ</w:t>
      </w:r>
      <w:r w:rsidRPr="001F63BA">
        <w:rPr>
          <w:rFonts w:ascii="GHEA Grapalat" w:hAnsi="GHEA Grapalat" w:cs="Sylfaen"/>
          <w:iCs/>
          <w:sz w:val="22"/>
          <w:szCs w:val="22"/>
          <w:lang w:val="af-ZA"/>
        </w:rPr>
        <w:t xml:space="preserve"> և ծրագրային ապահովումներ ԱՐՄՍՏԱՏ-ի առցանց վիճակագրական հաշվետվությունների համակարգի նախագծման և ճարտարապետության համար:</w:t>
      </w:r>
      <w:r w:rsidRPr="001F63BA">
        <w:rPr>
          <w:rFonts w:ascii="GHEA Grapalat" w:hAnsi="GHEA Grapalat" w:cs="Sylfaen"/>
          <w:iCs/>
          <w:sz w:val="22"/>
          <w:szCs w:val="22"/>
          <w:lang w:val="en-US"/>
        </w:rPr>
        <w:t xml:space="preserve"> </w:t>
      </w:r>
      <w:r w:rsidRPr="001F63BA">
        <w:rPr>
          <w:rFonts w:ascii="GHEA Grapalat" w:hAnsi="GHEA Grapalat" w:cs="Sylfaen"/>
          <w:sz w:val="22"/>
          <w:szCs w:val="22"/>
          <w:lang w:val="en-US"/>
        </w:rPr>
        <w:t xml:space="preserve">Վերջինիս շրջանակներում </w:t>
      </w:r>
      <w:r w:rsidRPr="001F63BA">
        <w:rPr>
          <w:rFonts w:ascii="GHEA Grapalat" w:hAnsi="GHEA Grapalat" w:cs="Sylfaen"/>
          <w:sz w:val="22"/>
          <w:szCs w:val="22"/>
        </w:rPr>
        <w:t>նախատեսված արդյունքային ցուցանիշներ</w:t>
      </w:r>
      <w:r w:rsidRPr="001F63BA">
        <w:rPr>
          <w:rFonts w:ascii="GHEA Grapalat" w:hAnsi="GHEA Grapalat" w:cs="Sylfaen"/>
          <w:sz w:val="22"/>
          <w:szCs w:val="22"/>
          <w:lang w:val="en-US"/>
        </w:rPr>
        <w:t>ը</w:t>
      </w:r>
      <w:r w:rsidRPr="001F63BA">
        <w:rPr>
          <w:rFonts w:ascii="GHEA Grapalat" w:hAnsi="GHEA Grapalat" w:cs="Sylfaen"/>
          <w:sz w:val="22"/>
          <w:szCs w:val="22"/>
        </w:rPr>
        <w:t xml:space="preserve"> </w:t>
      </w:r>
      <w:r w:rsidRPr="001F63BA">
        <w:rPr>
          <w:rFonts w:ascii="GHEA Grapalat" w:hAnsi="GHEA Grapalat" w:cs="Sylfaen"/>
          <w:sz w:val="22"/>
          <w:szCs w:val="22"/>
          <w:lang w:val="en-US"/>
        </w:rPr>
        <w:t>մեծ մասամբ</w:t>
      </w:r>
      <w:r w:rsidRPr="001F63BA">
        <w:rPr>
          <w:rFonts w:ascii="GHEA Grapalat" w:hAnsi="GHEA Grapalat" w:cs="Sylfaen"/>
          <w:sz w:val="22"/>
          <w:szCs w:val="22"/>
        </w:rPr>
        <w:t xml:space="preserve"> ապահովվել են</w:t>
      </w:r>
      <w:r w:rsidRPr="001F63BA">
        <w:rPr>
          <w:rFonts w:ascii="GHEA Grapalat" w:hAnsi="GHEA Grapalat" w:cs="Sylfaen"/>
          <w:sz w:val="22"/>
          <w:szCs w:val="22"/>
          <w:lang w:val="en-US"/>
        </w:rPr>
        <w:t>: Ծրագրի ծառայությունների մատուցման բաղադրիչի շրջանակներում ներդրվել է 139 վիճակագրական արտադրանքների վերաբերյալ մետատվյալների համակարգ: Վիճակագրական կոմիտեի տեխնիկական հագեցվածության բարելավման բաղադրիչի շրջանակներում ձեռք են բերվել 2 սերվերային հանգույց, առաջ</w:t>
      </w:r>
      <w:r w:rsidRPr="001F63BA">
        <w:rPr>
          <w:rFonts w:ascii="GHEA Grapalat" w:hAnsi="GHEA Grapalat"/>
          <w:sz w:val="22"/>
          <w:szCs w:val="22"/>
        </w:rPr>
        <w:t>ին եռամսյակում դրամի փոխարժեքի՝ դոլարի նկատմամբ արժեզրկմամբ պայմանավորված</w:t>
      </w:r>
      <w:r w:rsidRPr="001F63BA">
        <w:rPr>
          <w:rFonts w:ascii="GHEA Grapalat" w:hAnsi="GHEA Grapalat"/>
          <w:sz w:val="22"/>
          <w:szCs w:val="22"/>
          <w:lang w:val="en-US"/>
        </w:rPr>
        <w:t>՝</w:t>
      </w:r>
      <w:r w:rsidRPr="001F63BA">
        <w:rPr>
          <w:rFonts w:ascii="GHEA Grapalat" w:hAnsi="GHEA Grapalat"/>
          <w:sz w:val="22"/>
          <w:szCs w:val="22"/>
        </w:rPr>
        <w:t xml:space="preserve"> առաջացել էին որոշակի խնայողություններ, որը հնարավորություն էր ընձեռում ձեռք բերել լրացուցիչ 275 համակարգչային սարքավորումներ, ինչը սակայն հնարավոր չի եղել իրականացնել</w:t>
      </w:r>
      <w:r w:rsidRPr="001F63BA">
        <w:rPr>
          <w:rFonts w:ascii="GHEA Grapalat" w:hAnsi="GHEA Grapalat"/>
          <w:sz w:val="22"/>
          <w:szCs w:val="22"/>
          <w:lang w:val="en-US"/>
        </w:rPr>
        <w:t>՝</w:t>
      </w:r>
      <w:r w:rsidRPr="001F63BA">
        <w:rPr>
          <w:rFonts w:ascii="GHEA Grapalat" w:hAnsi="GHEA Grapalat"/>
          <w:sz w:val="22"/>
          <w:szCs w:val="22"/>
        </w:rPr>
        <w:t xml:space="preserve"> </w:t>
      </w:r>
      <w:r w:rsidRPr="001F63BA">
        <w:rPr>
          <w:rFonts w:ascii="GHEA Grapalat" w:hAnsi="GHEA Grapalat"/>
          <w:sz w:val="22"/>
          <w:szCs w:val="22"/>
          <w:lang w:val="en-US"/>
        </w:rPr>
        <w:t>երկրո</w:t>
      </w:r>
      <w:r w:rsidRPr="001F63BA">
        <w:rPr>
          <w:rFonts w:ascii="GHEA Grapalat" w:hAnsi="GHEA Grapalat"/>
          <w:sz w:val="22"/>
          <w:szCs w:val="22"/>
        </w:rPr>
        <w:t>րդ եռամսյակում դոլարի փոխարժեքի կտրուկ նվազմամբ պայմանավորված: Ծրագրի շրջանակներում օգտագործվել է նախատեսված միջոցների 80.8%-ը (դրամային արտահայտությամբ, իսկ ԱՄՆ դոլարով կատարողականը կազմել է 100%)</w:t>
      </w:r>
      <w:r w:rsidRPr="001F63BA">
        <w:rPr>
          <w:rFonts w:ascii="GHEA Grapalat" w:hAnsi="GHEA Grapalat" w:cs="Sylfaen"/>
          <w:sz w:val="22"/>
          <w:szCs w:val="22"/>
          <w:lang w:val="en-US"/>
        </w:rPr>
        <w:t>:</w:t>
      </w:r>
    </w:p>
    <w:p w:rsidR="001C411D" w:rsidRPr="001F63BA" w:rsidRDefault="001C411D" w:rsidP="00A503AD">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Նախորդ տարվա համեմատ Վիճակագրական համակարգի ամրապնդման ազգային ռազմավարական ծրագրի ծախսեր</w:t>
      </w:r>
      <w:r w:rsidRPr="001F63BA">
        <w:rPr>
          <w:rFonts w:ascii="GHEA Grapalat" w:hAnsi="GHEA Grapalat" w:cs="Sylfaen"/>
          <w:sz w:val="22"/>
          <w:szCs w:val="22"/>
          <w:lang w:val="en-US"/>
        </w:rPr>
        <w:t>ը</w:t>
      </w:r>
      <w:r w:rsidRPr="001F63BA">
        <w:rPr>
          <w:rFonts w:ascii="GHEA Grapalat" w:hAnsi="GHEA Grapalat" w:cs="Sylfaen"/>
          <w:sz w:val="22"/>
          <w:szCs w:val="22"/>
        </w:rPr>
        <w:t xml:space="preserve"> </w:t>
      </w:r>
      <w:r w:rsidRPr="001F63BA">
        <w:rPr>
          <w:rFonts w:ascii="GHEA Grapalat" w:hAnsi="GHEA Grapalat" w:cs="Sylfaen"/>
          <w:sz w:val="22"/>
          <w:szCs w:val="22"/>
          <w:lang w:val="en-US"/>
        </w:rPr>
        <w:t>նվազ</w:t>
      </w:r>
      <w:r w:rsidRPr="001F63BA">
        <w:rPr>
          <w:rFonts w:ascii="GHEA Grapalat" w:hAnsi="GHEA Grapalat" w:cs="Sylfaen"/>
          <w:sz w:val="22"/>
          <w:szCs w:val="22"/>
        </w:rPr>
        <w:t xml:space="preserve">ել են </w:t>
      </w:r>
      <w:r w:rsidRPr="001F63BA">
        <w:rPr>
          <w:rFonts w:ascii="GHEA Grapalat" w:hAnsi="GHEA Grapalat" w:cs="Sylfaen"/>
          <w:sz w:val="22"/>
          <w:szCs w:val="22"/>
          <w:lang w:val="en-US"/>
        </w:rPr>
        <w:t>7.9</w:t>
      </w:r>
      <w:r w:rsidRPr="001F63BA">
        <w:rPr>
          <w:rFonts w:ascii="GHEA Grapalat" w:hAnsi="GHEA Grapalat" w:cs="Sylfaen"/>
          <w:sz w:val="22"/>
          <w:szCs w:val="22"/>
        </w:rPr>
        <w:t>%-ով (</w:t>
      </w:r>
      <w:r w:rsidRPr="001F63BA">
        <w:rPr>
          <w:rFonts w:ascii="GHEA Grapalat" w:hAnsi="GHEA Grapalat" w:cs="Sylfaen"/>
          <w:sz w:val="22"/>
          <w:szCs w:val="22"/>
          <w:lang w:val="en-US"/>
        </w:rPr>
        <w:t>44.8</w:t>
      </w:r>
      <w:r w:rsidRPr="001F63BA">
        <w:rPr>
          <w:rFonts w:ascii="GHEA Grapalat" w:hAnsi="GHEA Grapalat" w:cs="Sylfaen"/>
          <w:sz w:val="22"/>
          <w:szCs w:val="22"/>
        </w:rPr>
        <w:t xml:space="preserve"> մլն դրամով):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7C7CC1">
      <w:pPr>
        <w:spacing w:line="360" w:lineRule="auto"/>
        <w:ind w:firstLine="708"/>
        <w:jc w:val="both"/>
        <w:rPr>
          <w:rFonts w:ascii="GHEA Grapalat" w:hAnsi="GHEA Grapalat" w:cs="Sylfaen"/>
          <w:sz w:val="22"/>
          <w:szCs w:val="22"/>
        </w:rPr>
      </w:pPr>
      <w:r w:rsidRPr="001F63BA">
        <w:rPr>
          <w:rFonts w:ascii="GHEA Grapalat" w:hAnsi="GHEA Grapalat" w:cs="Sylfaen"/>
          <w:i/>
          <w:sz w:val="22"/>
          <w:szCs w:val="22"/>
          <w:u w:val="single"/>
        </w:rPr>
        <w:t>ՀՀ հանրային ծառայությունները կարգավորող հանձնաժողովին</w:t>
      </w:r>
      <w:r w:rsidRPr="001F63BA">
        <w:rPr>
          <w:rFonts w:ascii="GHEA Grapalat" w:hAnsi="GHEA Grapalat" w:cs="Sylfaen"/>
          <w:sz w:val="22"/>
          <w:szCs w:val="22"/>
        </w:rPr>
        <w:t xml:space="preserve"> </w:t>
      </w:r>
      <w:r w:rsidRPr="001F63BA">
        <w:rPr>
          <w:rFonts w:ascii="GHEA Grapalat" w:hAnsi="GHEA Grapalat" w:cs="Sylfaen"/>
          <w:i/>
          <w:sz w:val="22"/>
          <w:szCs w:val="22"/>
        </w:rPr>
        <w:t>Հանրային ծառայությունների ոլորտի կարգավորման</w:t>
      </w:r>
      <w:r w:rsidRPr="001F63BA">
        <w:rPr>
          <w:rFonts w:ascii="GHEA Grapalat" w:hAnsi="GHEA Grapalat" w:cs="Sylfaen"/>
          <w:sz w:val="22"/>
          <w:szCs w:val="22"/>
        </w:rPr>
        <w:t xml:space="preserve"> ծրագրի շրջանակներում 2022 թվականին</w:t>
      </w:r>
      <w:r w:rsidRPr="001F63BA">
        <w:rPr>
          <w:rFonts w:ascii="GHEA Grapalat" w:hAnsi="GHEA Grapalat" w:cs="GHEA Grapalat"/>
          <w:sz w:val="22"/>
          <w:szCs w:val="22"/>
        </w:rPr>
        <w:t xml:space="preserve"> </w:t>
      </w:r>
      <w:r w:rsidRPr="001F63BA">
        <w:rPr>
          <w:rFonts w:ascii="GHEA Grapalat" w:hAnsi="GHEA Grapalat" w:cs="Sylfaen"/>
          <w:sz w:val="22"/>
          <w:szCs w:val="22"/>
        </w:rPr>
        <w:t>տրամադրվել է 909.7 մլն դրամ, որը կազմել է ծրագրված ցուցանիշի 91.4%</w:t>
      </w:r>
      <w:r w:rsidRPr="001F63BA">
        <w:rPr>
          <w:rFonts w:ascii="GHEA Grapalat" w:hAnsi="GHEA Grapalat" w:cs="Sylfaen"/>
          <w:sz w:val="22"/>
          <w:szCs w:val="22"/>
        </w:rPr>
        <w:noBreakHyphen/>
        <w:t xml:space="preserve">ը՝ հիմնականում պայմանավորված տնտեսումներով, որի գերակշիռ մասն առաջացել է </w:t>
      </w:r>
      <w:r w:rsidRPr="001F63BA">
        <w:rPr>
          <w:rFonts w:ascii="GHEA Grapalat" w:hAnsi="GHEA Grapalat" w:cs="Sylfaen"/>
          <w:sz w:val="22"/>
          <w:szCs w:val="22"/>
          <w:lang w:val="en-US"/>
        </w:rPr>
        <w:t>«Է</w:t>
      </w:r>
      <w:r w:rsidRPr="001F63BA">
        <w:rPr>
          <w:rFonts w:ascii="GHEA Grapalat" w:hAnsi="GHEA Grapalat" w:cs="Sylfaen"/>
          <w:sz w:val="22"/>
          <w:szCs w:val="22"/>
        </w:rPr>
        <w:t>ներգետիկայի բնագավառում 2021 թվականի ընթացքում իրականացված ներդրումների տեխնիկական աուդիտի իրականաց</w:t>
      </w:r>
      <w:r w:rsidRPr="001F63BA">
        <w:rPr>
          <w:rFonts w:ascii="GHEA Grapalat" w:hAnsi="GHEA Grapalat" w:cs="Sylfaen"/>
          <w:sz w:val="22"/>
          <w:szCs w:val="22"/>
          <w:lang w:val="en-US"/>
        </w:rPr>
        <w:t>ում»</w:t>
      </w:r>
      <w:r w:rsidRPr="001F63BA">
        <w:rPr>
          <w:rFonts w:ascii="GHEA Grapalat" w:hAnsi="GHEA Grapalat" w:cs="Sylfaen"/>
          <w:sz w:val="22"/>
          <w:szCs w:val="22"/>
        </w:rPr>
        <w:t xml:space="preserve"> միջոցառման </w:t>
      </w:r>
      <w:r w:rsidRPr="001F63BA">
        <w:rPr>
          <w:rFonts w:ascii="GHEA Grapalat" w:hAnsi="GHEA Grapalat" w:cs="Sylfaen"/>
          <w:sz w:val="22"/>
          <w:szCs w:val="22"/>
          <w:lang w:val="en-US"/>
        </w:rPr>
        <w:t xml:space="preserve">շրջանակներում «Հայաստանի էլեկտրական ցանցեր» ՓԲԸ-ի և «Գազպրոմ Արմենիա» ՓԲԸ-ի կողմից 2021 թվականի ընթացքում իրականացված ներդրումների տեխնիկական աուդիտի </w:t>
      </w:r>
      <w:r w:rsidRPr="001F63BA">
        <w:rPr>
          <w:rFonts w:ascii="GHEA Grapalat" w:hAnsi="GHEA Grapalat" w:cs="Sylfaen"/>
          <w:sz w:val="22"/>
          <w:szCs w:val="22"/>
        </w:rPr>
        <w:t>պայմանագր</w:t>
      </w:r>
      <w:r w:rsidRPr="001F63BA">
        <w:rPr>
          <w:rFonts w:ascii="GHEA Grapalat" w:hAnsi="GHEA Grapalat" w:cs="Sylfaen"/>
          <w:sz w:val="22"/>
          <w:szCs w:val="22"/>
          <w:lang w:val="en-US"/>
        </w:rPr>
        <w:t>եր</w:t>
      </w:r>
      <w:r w:rsidRPr="001F63BA">
        <w:rPr>
          <w:rFonts w:ascii="GHEA Grapalat" w:hAnsi="GHEA Grapalat" w:cs="Sylfaen"/>
          <w:sz w:val="22"/>
          <w:szCs w:val="22"/>
        </w:rPr>
        <w:t>ի՝ նախատեսվածից ցածր գնով կնքման արդյունքում:</w:t>
      </w:r>
    </w:p>
    <w:p w:rsidR="001C411D" w:rsidRPr="001F63BA" w:rsidRDefault="001C411D" w:rsidP="007C7CC1">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 xml:space="preserve"> Միջոցների հիմնական մասն ուղղվել է հանրային ծառայությունների ոլորտում կարգավորման իրականացման միջոցառմանը, որի շրջանակներում օգտագործվել է նախատեսված միջոցների 98.8%-ը՝ 830.2 մլն դրամ: Հանրային ծառայությունների ոլորտում կարգավորման միջոցառման շրջանակներում 2022 թվականի</w:t>
      </w:r>
      <w:r w:rsidRPr="001F63BA">
        <w:rPr>
          <w:rFonts w:ascii="GHEA Grapalat" w:hAnsi="GHEA Grapalat" w:cs="GHEA Grapalat"/>
          <w:sz w:val="22"/>
          <w:szCs w:val="22"/>
        </w:rPr>
        <w:t xml:space="preserve">ն </w:t>
      </w:r>
      <w:r w:rsidRPr="001F63BA">
        <w:rPr>
          <w:rFonts w:ascii="GHEA Grapalat" w:hAnsi="GHEA Grapalat" w:cs="Sylfaen"/>
          <w:sz w:val="22"/>
          <w:szCs w:val="22"/>
        </w:rPr>
        <w:t>տրամադրվել է թվով 50 լիցենզիա՝ կանխատեսված 21-ի փոխարեն, իրականացվել է հանրային ծառայությունների կարգավորվող ոլորտում թվով 424 սակագների սահմանում և վերանայում՝ կանխատեսված 300-ի փոխարեն: Նախորդ տարվա համեմատ ՀՀ հանրային ծառայությունները կարգավորող հանձնաժողովի ծախսերն աճել են 9.2%</w:t>
      </w:r>
      <w:r w:rsidRPr="001F63BA">
        <w:rPr>
          <w:rFonts w:ascii="GHEA Grapalat" w:hAnsi="GHEA Grapalat" w:cs="Sylfaen"/>
          <w:sz w:val="22"/>
          <w:szCs w:val="22"/>
        </w:rPr>
        <w:noBreakHyphen/>
        <w:t xml:space="preserve">ով կամ 76.9 մլն </w:t>
      </w:r>
      <w:r w:rsidRPr="001F63BA">
        <w:rPr>
          <w:rFonts w:ascii="GHEA Grapalat" w:hAnsi="GHEA Grapalat" w:cs="Sylfaen"/>
          <w:sz w:val="22"/>
          <w:szCs w:val="22"/>
        </w:rPr>
        <w:lastRenderedPageBreak/>
        <w:t>դրամով, հիմնականում պայմանավորված Էներգետիկայի բնագավառում 2021 թվականի ընթացքում իրականացված ներդրումների տեխնիկական աուդիտի իրականաց</w:t>
      </w:r>
      <w:r w:rsidRPr="001F63BA">
        <w:rPr>
          <w:rFonts w:ascii="GHEA Grapalat" w:hAnsi="GHEA Grapalat" w:cs="Sylfaen"/>
          <w:sz w:val="22"/>
          <w:szCs w:val="22"/>
          <w:lang w:val="en-US"/>
        </w:rPr>
        <w:t>ման ծախսերով</w:t>
      </w:r>
      <w:r w:rsidRPr="001F63BA">
        <w:rPr>
          <w:rFonts w:ascii="GHEA Grapalat" w:hAnsi="GHEA Grapalat" w:cs="Sylfaen"/>
          <w:sz w:val="22"/>
          <w:szCs w:val="22"/>
        </w:rPr>
        <w:t xml:space="preserve">: </w:t>
      </w:r>
    </w:p>
    <w:p w:rsidR="001C411D" w:rsidRPr="001F63BA" w:rsidRDefault="001C411D" w:rsidP="008E438A">
      <w:pPr>
        <w:spacing w:line="360" w:lineRule="auto"/>
        <w:ind w:firstLine="561"/>
        <w:jc w:val="both"/>
        <w:rPr>
          <w:rFonts w:ascii="GHEA Grapalat" w:hAnsi="GHEA Grapalat" w:cs="Times Armenian"/>
          <w:sz w:val="22"/>
          <w:szCs w:val="22"/>
        </w:rPr>
      </w:pPr>
    </w:p>
    <w:p w:rsidR="001C411D" w:rsidRPr="001F63BA" w:rsidRDefault="001C411D" w:rsidP="007C7CC1">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Sylfaen"/>
          <w:i/>
          <w:sz w:val="22"/>
          <w:szCs w:val="22"/>
          <w:u w:val="single"/>
        </w:rPr>
        <w:t>ՀՀ կենտրոնական ընտրական հանձնաժողովի</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կողմից 2022 թվականին </w:t>
      </w:r>
      <w:r w:rsidRPr="001F63BA">
        <w:rPr>
          <w:rFonts w:ascii="GHEA Grapalat" w:hAnsi="GHEA Grapalat" w:cs="Sylfaen"/>
          <w:i/>
          <w:sz w:val="22"/>
          <w:szCs w:val="22"/>
        </w:rPr>
        <w:t>Ընտրական գործընթացների համակարգման, կանոնակարգման և տեղեկատվության տրամադրման</w:t>
      </w:r>
      <w:r w:rsidRPr="001F63BA">
        <w:rPr>
          <w:rFonts w:ascii="GHEA Grapalat" w:hAnsi="GHEA Grapalat" w:cs="Sylfaen"/>
          <w:sz w:val="22"/>
          <w:szCs w:val="22"/>
        </w:rPr>
        <w:t xml:space="preserve"> ծրագրի </w:t>
      </w:r>
      <w:r w:rsidRPr="001F63BA">
        <w:rPr>
          <w:rFonts w:ascii="GHEA Grapalat" w:hAnsi="GHEA Grapalat" w:cs="Times Armenian"/>
          <w:sz w:val="22"/>
          <w:szCs w:val="22"/>
          <w:lang w:val="en-US"/>
        </w:rPr>
        <w:t>շրջանակներում օգտագործվել է նախատեսված միջոցների 90.6%-ը՝ 936.7 մլն դրամ: Ծրագրի երեք միջոցառումներում արձանագրվել են շեղումներ: Մասնավորապես՝ ընտրական հանձնաժողովների</w:t>
      </w:r>
      <w:r w:rsidRPr="001F63BA">
        <w:rPr>
          <w:rFonts w:ascii="GHEA Grapalat" w:hAnsi="GHEA Grapalat" w:cs="Times Armenian"/>
          <w:sz w:val="22"/>
          <w:szCs w:val="22"/>
        </w:rPr>
        <w:t xml:space="preserve"> անդամների մասնագիտական դասընթացների կազմակերպման և տեղական ինքնակառավարման մարմինների ընտրությունների կազմակերպման ծախսեր</w:t>
      </w:r>
      <w:r w:rsidRPr="001F63BA">
        <w:rPr>
          <w:rFonts w:ascii="GHEA Grapalat" w:hAnsi="GHEA Grapalat" w:cs="Times Armenian"/>
          <w:sz w:val="22"/>
          <w:szCs w:val="22"/>
          <w:lang w:val="en-US"/>
        </w:rPr>
        <w:t>ը</w:t>
      </w:r>
      <w:r w:rsidRPr="001F63BA">
        <w:rPr>
          <w:rFonts w:ascii="GHEA Grapalat" w:hAnsi="GHEA Grapalat" w:cs="Times Armenian"/>
          <w:sz w:val="22"/>
          <w:szCs w:val="22"/>
        </w:rPr>
        <w:t xml:space="preserve"> կազմել են համապատասխանաբար 11.8</w:t>
      </w:r>
      <w:r w:rsidRPr="001F63BA">
        <w:rPr>
          <w:rFonts w:ascii="Courier New" w:hAnsi="Courier New" w:cs="Courier New"/>
          <w:sz w:val="22"/>
          <w:szCs w:val="22"/>
          <w:lang w:val="en-US"/>
        </w:rPr>
        <w:t> </w:t>
      </w:r>
      <w:r w:rsidRPr="001F63BA">
        <w:rPr>
          <w:rFonts w:ascii="GHEA Grapalat" w:hAnsi="GHEA Grapalat" w:cs="Times Armenian"/>
          <w:sz w:val="22"/>
          <w:szCs w:val="22"/>
        </w:rPr>
        <w:t>մլն դրամ</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20.1%</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և 524.1 մլն դրամ</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94.7%:</w:t>
      </w:r>
    </w:p>
    <w:p w:rsidR="001C411D" w:rsidRPr="001F63BA" w:rsidRDefault="001C411D" w:rsidP="007C7CC1">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lang w:val="en-US"/>
        </w:rPr>
        <w:t>Առաջին միջոցառման շրջանակներում 2022 թվականին վերապատրաստվել է ընտրական հանձնաժողովների 3577 անդամ՝ կանխատեսված 22258-ի փոխարեն: Ցածր կատարողականը պայմանավորված է այն հանգամանքով, որ ԿԸՀ հանձնաժողովի նոր անդամները նշանակվել են 2022 թվականի հոկտեմբերի 12-ին, իսկ ընտրատարածքային ընտրական հանձնաժողովների անդամները՝ դեկտեմբերի 17-ին, ուստի ժամկետների սղության պատճառով նրանց ուսուցումը տեղափոխվել է 2023 թվական:</w:t>
      </w:r>
    </w:p>
    <w:p w:rsidR="001C411D" w:rsidRPr="001F63BA" w:rsidRDefault="001C411D" w:rsidP="007C7CC1">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lang w:val="en-US"/>
        </w:rPr>
        <w:t>Տ</w:t>
      </w:r>
      <w:r w:rsidRPr="001F63BA">
        <w:rPr>
          <w:rFonts w:ascii="GHEA Grapalat" w:hAnsi="GHEA Grapalat" w:cs="Times Armenian"/>
          <w:sz w:val="22"/>
          <w:szCs w:val="22"/>
        </w:rPr>
        <w:t>եղական ինքնակառավարման մարմինների ընտրությունների կազմակերպման</w:t>
      </w:r>
      <w:r w:rsidRPr="001F63BA">
        <w:rPr>
          <w:rFonts w:ascii="GHEA Grapalat" w:hAnsi="GHEA Grapalat" w:cs="Times Armenian"/>
          <w:sz w:val="22"/>
          <w:szCs w:val="22"/>
          <w:lang w:val="en-US"/>
        </w:rPr>
        <w:t>ը հատկացված</w:t>
      </w:r>
      <w:r w:rsidRPr="001F63BA">
        <w:rPr>
          <w:rFonts w:ascii="GHEA Grapalat" w:hAnsi="GHEA Grapalat" w:cs="Times Armenian"/>
          <w:sz w:val="22"/>
          <w:szCs w:val="22"/>
        </w:rPr>
        <w:t xml:space="preserve"> միջոցներն ուղղվել են 2022 թվականի մարտի 23-ին և սեպտեմբերի 25-ին կայացած ՏԻՄ ընտրությունների ծախսերի ֆինանսավորմանը: </w:t>
      </w:r>
      <w:r w:rsidRPr="001F63BA">
        <w:rPr>
          <w:rFonts w:ascii="GHEA Grapalat" w:hAnsi="GHEA Grapalat" w:cs="Times Armenian"/>
          <w:sz w:val="22"/>
          <w:szCs w:val="22"/>
          <w:lang w:val="en-US"/>
        </w:rPr>
        <w:t>Ծախսերի կատարողականը պայմանավորված է տնտեսումներով:</w:t>
      </w:r>
    </w:p>
    <w:p w:rsidR="001C411D" w:rsidRPr="001F63BA" w:rsidRDefault="001C411D" w:rsidP="007C7CC1">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rPr>
        <w:t>2021 թվականի համեմատ ՀՀ կենտրոնական ընտրական հանձնաժողովի ծախսերը նվազել են 84.4</w:t>
      </w:r>
      <w:r w:rsidRPr="001F63BA">
        <w:rPr>
          <w:rFonts w:ascii="GHEA Grapalat" w:hAnsi="GHEA Grapalat" w:cs="Sylfaen"/>
          <w:sz w:val="22"/>
          <w:szCs w:val="22"/>
        </w:rPr>
        <w:t>%-ով</w:t>
      </w:r>
      <w:r w:rsidRPr="001F63BA">
        <w:rPr>
          <w:rFonts w:ascii="GHEA Grapalat" w:hAnsi="GHEA Grapalat" w:cs="Times Armenian"/>
          <w:sz w:val="22"/>
          <w:szCs w:val="22"/>
        </w:rPr>
        <w:t xml:space="preserve"> (5</w:t>
      </w:r>
      <w:r w:rsidRPr="001F63BA">
        <w:rPr>
          <w:rFonts w:ascii="Courier New" w:hAnsi="Courier New" w:cs="Courier New"/>
          <w:sz w:val="22"/>
          <w:szCs w:val="22"/>
        </w:rPr>
        <w:t> </w:t>
      </w:r>
      <w:r w:rsidRPr="001F63BA">
        <w:rPr>
          <w:rFonts w:ascii="GHEA Grapalat" w:hAnsi="GHEA Grapalat" w:cs="Times Armenian"/>
          <w:sz w:val="22"/>
          <w:szCs w:val="22"/>
        </w:rPr>
        <w:t>մլրդ դրամով)՝ հիմնականում պայմանավորված 2021 թվականի հունիսին ՀՀ Ազգային ժողովի արտահերթ ընտրությունների անցկա</w:t>
      </w:r>
      <w:r w:rsidRPr="001F63BA">
        <w:rPr>
          <w:rFonts w:ascii="GHEA Grapalat" w:hAnsi="GHEA Grapalat" w:cs="Times Armenian"/>
          <w:sz w:val="22"/>
          <w:szCs w:val="22"/>
          <w:lang w:val="en-US"/>
        </w:rPr>
        <w:t>ց</w:t>
      </w:r>
      <w:r w:rsidRPr="001F63BA">
        <w:rPr>
          <w:rFonts w:ascii="GHEA Grapalat" w:hAnsi="GHEA Grapalat" w:cs="Times Armenian"/>
          <w:sz w:val="22"/>
          <w:szCs w:val="22"/>
        </w:rPr>
        <w:t>ման հետ կապված ծախսերի իրականացմամբ:</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rPr>
      </w:pPr>
    </w:p>
    <w:p w:rsidR="001C411D" w:rsidRPr="001F63BA" w:rsidRDefault="001C411D" w:rsidP="00A46A3C">
      <w:pPr>
        <w:spacing w:line="360" w:lineRule="auto"/>
        <w:ind w:firstLine="561"/>
        <w:jc w:val="both"/>
        <w:rPr>
          <w:rFonts w:ascii="GHEA Grapalat" w:hAnsi="GHEA Grapalat" w:cs="GHEA Grapalat"/>
          <w:sz w:val="22"/>
          <w:szCs w:val="22"/>
          <w:lang w:val="en-US"/>
        </w:rPr>
      </w:pPr>
      <w:r w:rsidRPr="001F63BA">
        <w:rPr>
          <w:rFonts w:ascii="GHEA Grapalat" w:hAnsi="GHEA Grapalat" w:cs="GHEA Grapalat"/>
          <w:i/>
          <w:sz w:val="22"/>
          <w:szCs w:val="22"/>
          <w:u w:val="single"/>
        </w:rPr>
        <w:t>Մրցակցության պաշտպանության հանձնաժողովին</w:t>
      </w:r>
      <w:r w:rsidRPr="001F63BA">
        <w:rPr>
          <w:rFonts w:ascii="GHEA Grapalat" w:hAnsi="GHEA Grapalat" w:cs="GHEA Grapalat"/>
          <w:sz w:val="22"/>
          <w:szCs w:val="22"/>
        </w:rPr>
        <w:t xml:space="preserve"> 202</w:t>
      </w:r>
      <w:r w:rsidRPr="001F63BA">
        <w:rPr>
          <w:rFonts w:ascii="GHEA Grapalat" w:hAnsi="GHEA Grapalat" w:cs="GHEA Grapalat"/>
          <w:sz w:val="22"/>
          <w:szCs w:val="22"/>
          <w:lang w:val="en-US"/>
        </w:rPr>
        <w:t xml:space="preserve">2 </w:t>
      </w:r>
      <w:r w:rsidRPr="001F63BA">
        <w:rPr>
          <w:rFonts w:ascii="GHEA Grapalat" w:hAnsi="GHEA Grapalat" w:cs="GHEA Grapalat"/>
          <w:sz w:val="22"/>
          <w:szCs w:val="22"/>
        </w:rPr>
        <w:t xml:space="preserve">թվականին </w:t>
      </w:r>
      <w:r w:rsidRPr="001F63BA">
        <w:rPr>
          <w:rFonts w:ascii="GHEA Grapalat" w:hAnsi="GHEA Grapalat" w:cs="GHEA Grapalat"/>
          <w:i/>
          <w:sz w:val="22"/>
          <w:szCs w:val="22"/>
        </w:rPr>
        <w:t xml:space="preserve">«Տնտեսական մրցակցության պաշտպանություն» </w:t>
      </w:r>
      <w:r w:rsidRPr="001F63BA">
        <w:rPr>
          <w:rFonts w:ascii="GHEA Grapalat" w:hAnsi="GHEA Grapalat" w:cs="GHEA Grapalat"/>
          <w:sz w:val="22"/>
          <w:szCs w:val="22"/>
        </w:rPr>
        <w:t xml:space="preserve">ծրագրի իրականացման համար տրամադրվել է </w:t>
      </w:r>
      <w:r w:rsidRPr="001F63BA">
        <w:rPr>
          <w:rFonts w:ascii="GHEA Grapalat" w:hAnsi="GHEA Grapalat" w:cs="GHEA Grapalat"/>
          <w:sz w:val="22"/>
          <w:szCs w:val="22"/>
          <w:lang w:val="en-US"/>
        </w:rPr>
        <w:t>շուրջ 533.1</w:t>
      </w:r>
      <w:r w:rsidRPr="001F63BA">
        <w:rPr>
          <w:rFonts w:ascii="GHEA Grapalat" w:hAnsi="GHEA Grapalat" w:cs="GHEA Grapalat"/>
          <w:sz w:val="22"/>
          <w:szCs w:val="22"/>
        </w:rPr>
        <w:t xml:space="preserve"> մլն դրամ, որը կազմել է ծրագրված ցուցանիշի 98.</w:t>
      </w:r>
      <w:r w:rsidRPr="001F63BA">
        <w:rPr>
          <w:rFonts w:ascii="GHEA Grapalat" w:hAnsi="GHEA Grapalat" w:cs="GHEA Grapalat"/>
          <w:sz w:val="22"/>
          <w:szCs w:val="22"/>
          <w:lang w:val="en-US"/>
        </w:rPr>
        <w:t>4</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ը: Նախորդ տարվա համեմատ Մրցակցության պաշտպանության հանձնաժողովի ծախսերն </w:t>
      </w:r>
      <w:r w:rsidRPr="001F63BA">
        <w:rPr>
          <w:rFonts w:ascii="GHEA Grapalat" w:hAnsi="GHEA Grapalat" w:cs="GHEA Grapalat"/>
          <w:sz w:val="22"/>
          <w:szCs w:val="22"/>
          <w:lang w:val="en-US"/>
        </w:rPr>
        <w:t>էական փոփոխություն չեն կրել:</w:t>
      </w:r>
    </w:p>
    <w:p w:rsidR="001C411D" w:rsidRPr="001F63BA" w:rsidRDefault="001C411D" w:rsidP="00A46A3C">
      <w:pPr>
        <w:spacing w:line="360" w:lineRule="auto"/>
        <w:ind w:firstLine="561"/>
        <w:jc w:val="both"/>
        <w:rPr>
          <w:rFonts w:ascii="GHEA Grapalat" w:hAnsi="GHEA Grapalat" w:cs="GHEA Grapalat"/>
          <w:sz w:val="22"/>
          <w:szCs w:val="22"/>
          <w:lang w:val="en-US"/>
        </w:rPr>
      </w:pPr>
      <w:r w:rsidRPr="001F63BA">
        <w:rPr>
          <w:rFonts w:ascii="GHEA Grapalat" w:hAnsi="GHEA Grapalat"/>
          <w:sz w:val="22"/>
          <w:szCs w:val="22"/>
        </w:rPr>
        <w:t xml:space="preserve">Հայաստանի Հանրապետությունում տնտեսական մրցակցության պաշտպանության </w:t>
      </w:r>
      <w:r w:rsidRPr="001F63BA">
        <w:rPr>
          <w:rFonts w:ascii="GHEA Grapalat" w:hAnsi="GHEA Grapalat" w:cs="GHEA Grapalat"/>
          <w:sz w:val="22"/>
          <w:szCs w:val="22"/>
        </w:rPr>
        <w:t xml:space="preserve">բնագավառում քաղաքականության մշակման և վերահսկողության միջոցառման նպատակն է պաշտպանել և խրախուսել ազատ տնտեսական մրցակցությունը, ապահովել բարեխիղճ մրցակցության համար անհրաժեշտ միջավայր, նպաստել ձեռնարկատիրության զարգացմանը և </w:t>
      </w:r>
      <w:r w:rsidRPr="001F63BA">
        <w:rPr>
          <w:rFonts w:ascii="GHEA Grapalat" w:hAnsi="GHEA Grapalat" w:cs="GHEA Grapalat"/>
          <w:sz w:val="22"/>
          <w:szCs w:val="22"/>
        </w:rPr>
        <w:lastRenderedPageBreak/>
        <w:t>սպառողների շահերի պաշտպանությանը Հ</w:t>
      </w:r>
      <w:r w:rsidRPr="001F63BA">
        <w:rPr>
          <w:rFonts w:ascii="GHEA Grapalat" w:hAnsi="GHEA Grapalat" w:cs="GHEA Grapalat"/>
          <w:sz w:val="22"/>
          <w:szCs w:val="22"/>
          <w:lang w:val="en-US"/>
        </w:rPr>
        <w:t>այաստանի Հանրապետություն</w:t>
      </w:r>
      <w:r w:rsidRPr="001F63BA">
        <w:rPr>
          <w:rFonts w:ascii="GHEA Grapalat" w:hAnsi="GHEA Grapalat" w:cs="GHEA Grapalat"/>
          <w:sz w:val="22"/>
          <w:szCs w:val="22"/>
        </w:rPr>
        <w:t>ում: Հաշվետու տարվա ընթացքում միջոցառման շրջանակներում տարբեր ապրանքային շուկաներում իրականացվել են ուսումնասիրություններ, գործարար համայնքի և սպառողների շահերը պաշտպանող հասարակական կազմակերպությունների հետ կազմակերպվել են բազմաթիվ քննարկումներ՝ նպատակ ունենալով բացահայտել տնտեսական մրցակցության բնագավառում երկրում առկա խնդիրները: 2022 թվականին տնտեսական մրցակցության իրավիճակը գնահատելու համար կատարվել են թվով 108 ուսումնասիրություններ՝ նախատեսված 100-ի փոխարեն</w:t>
      </w:r>
      <w:r w:rsidRPr="001F63BA">
        <w:rPr>
          <w:rFonts w:ascii="GHEA Grapalat" w:hAnsi="GHEA Grapalat" w:cs="GHEA Grapalat"/>
          <w:sz w:val="22"/>
          <w:szCs w:val="22"/>
          <w:lang w:val="en-US"/>
        </w:rPr>
        <w:t>՝ պայմանավորված անբարեխիղճ մրցակցության դեպքերի բացահայտման աճով</w:t>
      </w:r>
      <w:r w:rsidRPr="001F63BA">
        <w:rPr>
          <w:rFonts w:ascii="GHEA Grapalat" w:hAnsi="GHEA Grapalat" w:cs="GHEA Grapalat"/>
          <w:sz w:val="22"/>
          <w:szCs w:val="22"/>
        </w:rPr>
        <w:t>: Միջոցառման ծախսերը կազմել են 532.9 մլն դրամ, որոնք կատարվել են 98.4%</w:t>
      </w:r>
      <w:r w:rsidRPr="001F63BA">
        <w:rPr>
          <w:rFonts w:ascii="GHEA Grapalat" w:hAnsi="GHEA Grapalat" w:cs="GHEA Grapalat"/>
          <w:sz w:val="22"/>
          <w:szCs w:val="22"/>
        </w:rPr>
        <w:noBreakHyphen/>
        <w:t xml:space="preserve">ով: </w:t>
      </w:r>
      <w:r w:rsidRPr="001F63BA">
        <w:rPr>
          <w:rFonts w:ascii="GHEA Grapalat" w:hAnsi="GHEA Grapalat" w:cs="GHEA Grapalat"/>
          <w:sz w:val="22"/>
          <w:szCs w:val="22"/>
          <w:lang w:val="en-US"/>
        </w:rPr>
        <w:t>Շեղումը հիմնականում պայմանավորված է ուսումնասիրվող ապրանքների լաբորատոր փորձարկումներ անցկացնելու նպատակով հատկացված միջոցների տնտեսմամբ, որը կախված է քաղաքացիների դիմում-բողոքների և հարուցված վարույթների բնույթից և քանակից:</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i/>
          <w:sz w:val="22"/>
          <w:szCs w:val="22"/>
          <w:u w:val="single"/>
        </w:rPr>
        <w:t>ՀՀ կադաստրի կոմիտեի</w:t>
      </w:r>
      <w:r w:rsidRPr="001F63BA">
        <w:rPr>
          <w:rFonts w:ascii="GHEA Grapalat" w:hAnsi="GHEA Grapalat" w:cs="GHEA Grapalat"/>
          <w:sz w:val="22"/>
          <w:szCs w:val="22"/>
        </w:rPr>
        <w:t xml:space="preserve"> պատասխանատվությամբ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ընթացքում կատարվել է </w:t>
      </w:r>
      <w:r w:rsidRPr="001F63BA">
        <w:rPr>
          <w:rFonts w:ascii="GHEA Grapalat" w:hAnsi="GHEA Grapalat" w:cs="GHEA Grapalat"/>
          <w:i/>
          <w:sz w:val="22"/>
          <w:szCs w:val="22"/>
        </w:rPr>
        <w:t>Անշարժ գույքի կադաստրի վարման բնագավառում պետական քաղաքականության իրականացման</w:t>
      </w:r>
      <w:r w:rsidRPr="001F63BA">
        <w:rPr>
          <w:rFonts w:ascii="GHEA Grapalat" w:hAnsi="GHEA Grapalat" w:cs="GHEA Grapalat"/>
          <w:sz w:val="22"/>
          <w:szCs w:val="22"/>
        </w:rPr>
        <w:t xml:space="preserve"> ծրագիրը, որի գծով ծախսերը կազմել են 4.8 մլրդ դրամ կամ նախատեսվածի 98.8%</w:t>
      </w:r>
      <w:r w:rsidRPr="001F63BA">
        <w:rPr>
          <w:rFonts w:ascii="GHEA Grapalat" w:hAnsi="GHEA Grapalat" w:cs="GHEA Grapalat"/>
          <w:sz w:val="22"/>
          <w:szCs w:val="22"/>
        </w:rPr>
        <w:noBreakHyphen/>
        <w:t xml:space="preserve">ը: Շեղումը հիմնականում պայմանավորված է ՀՀ կադաստրի կոմիտեի շենքային ապահովվածության բարելավման և </w:t>
      </w:r>
      <w:r w:rsidRPr="001F63BA">
        <w:rPr>
          <w:rFonts w:ascii="GHEA Grapalat" w:hAnsi="GHEA Grapalat" w:cs="GHEA Grapalat"/>
          <w:sz w:val="22"/>
          <w:szCs w:val="22"/>
          <w:lang w:val="en-US"/>
        </w:rPr>
        <w:t>գ</w:t>
      </w:r>
      <w:r w:rsidRPr="001F63BA">
        <w:rPr>
          <w:rFonts w:ascii="GHEA Grapalat" w:hAnsi="GHEA Grapalat" w:cs="GHEA Grapalat"/>
          <w:sz w:val="22"/>
          <w:szCs w:val="22"/>
        </w:rPr>
        <w:t xml:space="preserve">ույքի նկատմամբ իրավունքների պետական գրանցման, գույքի և դրա նկատմամբ գրանցված իրավունքների և սահմանափակումների վերաբերյալ տեղեկատվության տրամադրման միջոցառումների կատարողականով: </w:t>
      </w:r>
      <w:r w:rsidRPr="001F63BA">
        <w:rPr>
          <w:rFonts w:ascii="GHEA Grapalat" w:hAnsi="GHEA Grapalat" w:cs="GHEA Grapalat"/>
          <w:sz w:val="22"/>
          <w:szCs w:val="22"/>
          <w:lang w:val="en-US"/>
        </w:rPr>
        <w:t>Հիմնականում նշված ծախսերով է պայմանավորված նաև ն</w:t>
      </w:r>
      <w:r w:rsidRPr="001F63BA">
        <w:rPr>
          <w:rFonts w:ascii="GHEA Grapalat" w:hAnsi="GHEA Grapalat" w:cs="GHEA Grapalat"/>
          <w:sz w:val="22"/>
          <w:szCs w:val="22"/>
        </w:rPr>
        <w:t>ախորդ տարվա համեմատ ՀՀ կադաստրի կոմիտեի պատասխանատվությամբ իրականացվող ծախսեր</w:t>
      </w:r>
      <w:r w:rsidRPr="001F63BA">
        <w:rPr>
          <w:rFonts w:ascii="GHEA Grapalat" w:hAnsi="GHEA Grapalat" w:cs="GHEA Grapalat"/>
          <w:sz w:val="22"/>
          <w:szCs w:val="22"/>
          <w:lang w:val="en-US"/>
        </w:rPr>
        <w:t xml:space="preserve">ի </w:t>
      </w:r>
      <w:r w:rsidRPr="001F63BA">
        <w:rPr>
          <w:rFonts w:ascii="GHEA Grapalat" w:hAnsi="GHEA Grapalat" w:cs="GHEA Grapalat"/>
          <w:sz w:val="22"/>
          <w:szCs w:val="22"/>
        </w:rPr>
        <w:t>աճ</w:t>
      </w:r>
      <w:r w:rsidRPr="001F63BA">
        <w:rPr>
          <w:rFonts w:ascii="GHEA Grapalat" w:hAnsi="GHEA Grapalat" w:cs="GHEA Grapalat"/>
          <w:sz w:val="22"/>
          <w:szCs w:val="22"/>
          <w:lang w:val="en-US"/>
        </w:rPr>
        <w:t>ը, որը կազմել է</w:t>
      </w:r>
      <w:r w:rsidRPr="001F63BA">
        <w:rPr>
          <w:rFonts w:ascii="GHEA Grapalat" w:hAnsi="GHEA Grapalat" w:cs="GHEA Grapalat"/>
          <w:sz w:val="22"/>
          <w:szCs w:val="22"/>
        </w:rPr>
        <w:t xml:space="preserve"> 22.1% կամ 875.5 մլն դրամ</w:t>
      </w:r>
      <w:r w:rsidRPr="001F63BA">
        <w:rPr>
          <w:rFonts w:ascii="GHEA Grapalat" w:hAnsi="GHEA Grapalat" w:cs="GHEA Grapalat"/>
          <w:sz w:val="22"/>
          <w:szCs w:val="22"/>
          <w:lang w:val="en-US"/>
        </w:rPr>
        <w:t>:</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Հաշվետու տարում Գույքի նկատմամբ իրավունքների պետական գրանցման, գույքի և դրա նկատմամբ գրանցված իրավունքների և սահմանափակումների վերաբերյալ տեղեկատվության տրամադրման միջոցառման շրջանակներում սահմանված որոշ արդյունքային չափորոշիչների գծով արձանագրվել են գերակատարումներ՝ պայմանավորված ինչպես քաղաքացիների դիմելիությամբ, այնպես էլ գույքի նկատմամբ իրավունքների պետական գրանցման գործարքների թվի աճով:</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Մասնավորապես՝ հաշվետու ժամանակահատվածում իրականացվել է գույքի նկատմամբ իրավունքների </w:t>
      </w:r>
      <w:r w:rsidRPr="001F63BA">
        <w:rPr>
          <w:rFonts w:ascii="GHEA Grapalat" w:hAnsi="GHEA Grapalat" w:cs="GHEA Grapalat"/>
          <w:sz w:val="22"/>
          <w:szCs w:val="22"/>
          <w:lang w:val="en-US"/>
        </w:rPr>
        <w:t>204910</w:t>
      </w:r>
      <w:r w:rsidRPr="001F63BA">
        <w:rPr>
          <w:rFonts w:ascii="GHEA Grapalat" w:hAnsi="GHEA Grapalat" w:cs="GHEA Grapalat"/>
          <w:sz w:val="22"/>
          <w:szCs w:val="22"/>
        </w:rPr>
        <w:t xml:space="preserve"> պետական գրանցում՝ կանխատեսված </w:t>
      </w:r>
      <w:r w:rsidRPr="001F63BA">
        <w:rPr>
          <w:rFonts w:ascii="GHEA Grapalat" w:hAnsi="GHEA Grapalat" w:cs="GHEA Grapalat"/>
          <w:sz w:val="22"/>
          <w:szCs w:val="22"/>
          <w:lang w:val="en-US"/>
        </w:rPr>
        <w:t>202725</w:t>
      </w:r>
      <w:r w:rsidRPr="001F63BA">
        <w:rPr>
          <w:rFonts w:ascii="GHEA Grapalat" w:hAnsi="GHEA Grapalat" w:cs="GHEA Grapalat"/>
          <w:sz w:val="22"/>
          <w:szCs w:val="22"/>
        </w:rPr>
        <w:t>-ի դիմաց: Միջոցառման շրջանակներում օգտագործվել է</w:t>
      </w:r>
      <w:r w:rsidRPr="001F63BA">
        <w:rPr>
          <w:rFonts w:ascii="GHEA Grapalat" w:hAnsi="GHEA Grapalat" w:cs="GHEA Grapalat"/>
          <w:sz w:val="22"/>
          <w:szCs w:val="22"/>
          <w:lang w:val="en-US"/>
        </w:rPr>
        <w:t xml:space="preserve"> շուրջ </w:t>
      </w:r>
      <w:r w:rsidRPr="001F63BA">
        <w:rPr>
          <w:rFonts w:ascii="GHEA Grapalat" w:hAnsi="GHEA Grapalat" w:cs="GHEA Grapalat"/>
          <w:sz w:val="22"/>
          <w:szCs w:val="22"/>
        </w:rPr>
        <w:t>4 մլրդ դրամ՝ ապահովելով 99.</w:t>
      </w:r>
      <w:r w:rsidRPr="001F63BA">
        <w:rPr>
          <w:rFonts w:ascii="GHEA Grapalat" w:hAnsi="GHEA Grapalat" w:cs="GHEA Grapalat"/>
          <w:sz w:val="22"/>
          <w:szCs w:val="22"/>
          <w:lang w:val="en-US"/>
        </w:rPr>
        <w:t>4</w:t>
      </w:r>
      <w:r w:rsidRPr="001F63BA">
        <w:rPr>
          <w:rFonts w:ascii="GHEA Grapalat" w:hAnsi="GHEA Grapalat" w:cs="GHEA Grapalat"/>
          <w:sz w:val="22"/>
          <w:szCs w:val="22"/>
        </w:rPr>
        <w:t xml:space="preserve">% կատարողական: Նախորդ տարվա համեմատ նշված միջոցառման ծախսերն աճել են 16.4%-ով կամ 564.7 մլն դրամով, որը </w:t>
      </w:r>
      <w:r w:rsidRPr="001F63BA">
        <w:rPr>
          <w:rFonts w:ascii="GHEA Grapalat" w:hAnsi="GHEA Grapalat" w:cs="GHEA Grapalat"/>
          <w:sz w:val="22"/>
          <w:szCs w:val="22"/>
        </w:rPr>
        <w:lastRenderedPageBreak/>
        <w:t>պայմանավորված է անշարժ գույքի միասնական արխիվային ստորաբաժանման ստեղծմա</w:t>
      </w:r>
      <w:r w:rsidRPr="001F63BA">
        <w:rPr>
          <w:rFonts w:ascii="GHEA Grapalat" w:hAnsi="GHEA Grapalat" w:cs="GHEA Grapalat"/>
          <w:sz w:val="22"/>
          <w:szCs w:val="22"/>
          <w:lang w:val="en-US"/>
        </w:rPr>
        <w:t xml:space="preserve">մբ, </w:t>
      </w:r>
      <w:r w:rsidRPr="001F63BA">
        <w:rPr>
          <w:rFonts w:ascii="GHEA Grapalat" w:hAnsi="GHEA Grapalat" w:cs="GHEA Grapalat"/>
          <w:sz w:val="22"/>
          <w:szCs w:val="22"/>
        </w:rPr>
        <w:t xml:space="preserve">ինչպես նաև աշխատավարձի բնականոն աճի </w:t>
      </w:r>
      <w:r w:rsidRPr="001F63BA">
        <w:rPr>
          <w:rFonts w:ascii="GHEA Grapalat" w:hAnsi="GHEA Grapalat" w:cs="GHEA Grapalat"/>
          <w:sz w:val="22"/>
          <w:szCs w:val="22"/>
          <w:lang w:val="en-US"/>
        </w:rPr>
        <w:t>արդյունքում</w:t>
      </w:r>
      <w:r w:rsidRPr="001F63BA">
        <w:rPr>
          <w:rFonts w:ascii="GHEA Grapalat" w:hAnsi="GHEA Grapalat" w:cs="GHEA Grapalat"/>
          <w:sz w:val="22"/>
          <w:szCs w:val="22"/>
        </w:rPr>
        <w:t xml:space="preserve"> աշխատանքի վարձատրության ծախսերի աճով:</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ՀՀ տարածքի օդալուսանկարահանման, օրթոֆոտոհատակագծերի և թվային բարձունքային մոդելի ստեղծման միջոցառման շրջանակներում իրականացվել են ՀՀ ամբողջ տարածքի համար բազմասպեկտրալ, ժամանակակից պահանջներին բավարարող օրթոֆոտոհատակագծերի և ռելիեֆի մոդելների ստեղծման աշխատանքներ: 2022 թվականին ավարտվել են Հայաստանի ամբողջ տարածքի օդալուսանկարահանման աշխատանքները: Միջոցառման շրջանակներում նախատեսված աշխատանքներն ամբողջությամբ կատարվել են, և ապահովվել են </w:t>
      </w:r>
      <w:r w:rsidRPr="001F63BA">
        <w:rPr>
          <w:rFonts w:ascii="GHEA Grapalat" w:hAnsi="GHEA Grapalat" w:cs="GHEA Grapalat"/>
          <w:sz w:val="22"/>
          <w:szCs w:val="22"/>
          <w:lang w:val="en-US"/>
        </w:rPr>
        <w:t>սահմանված բոլոր արդյունքային չափորոշիչները: Միջոցառման ծախսերը կազմել են 215.2 մլն դրամ՝ ապահովելով 100% կատարողական, իսկ նախորդ տարվա համեմատ նվազելով 43.8%-ով կամ 167.4</w:t>
      </w:r>
      <w:r w:rsidRPr="001F63BA">
        <w:rPr>
          <w:rFonts w:ascii="Courier New" w:hAnsi="Courier New" w:cs="Courier New"/>
          <w:sz w:val="22"/>
          <w:szCs w:val="22"/>
          <w:lang w:val="en-US"/>
        </w:rPr>
        <w:t> </w:t>
      </w:r>
      <w:r w:rsidRPr="001F63BA">
        <w:rPr>
          <w:rFonts w:ascii="GHEA Grapalat" w:hAnsi="GHEA Grapalat" w:cs="GHEA Grapalat"/>
          <w:sz w:val="22"/>
          <w:szCs w:val="22"/>
          <w:lang w:val="en-US"/>
        </w:rPr>
        <w:t>մլն դրամով, որը պայմանավորված է տվյալ տարվա պահանջարկով:</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 xml:space="preserve">Հաշվետու տարում </w:t>
      </w:r>
      <w:r w:rsidRPr="001F63BA">
        <w:rPr>
          <w:rFonts w:ascii="GHEA Grapalat" w:hAnsi="GHEA Grapalat" w:cs="GHEA Grapalat"/>
          <w:sz w:val="22"/>
          <w:szCs w:val="22"/>
        </w:rPr>
        <w:t>ՀՀ կադաստրի կոմիտեի տեխնիկական հագեցվածության</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բարելավման</w:t>
      </w:r>
      <w:r w:rsidRPr="001F63BA">
        <w:rPr>
          <w:rFonts w:ascii="GHEA Grapalat" w:hAnsi="GHEA Grapalat" w:cs="GHEA Grapalat"/>
          <w:sz w:val="22"/>
          <w:szCs w:val="22"/>
          <w:lang w:val="en-US"/>
        </w:rPr>
        <w:t xml:space="preserve"> միջոցառման շրջանակներում</w:t>
      </w:r>
      <w:r w:rsidRPr="001F63BA">
        <w:rPr>
          <w:rFonts w:ascii="GHEA Grapalat" w:hAnsi="GHEA Grapalat" w:cs="GHEA Grapalat"/>
          <w:sz w:val="22"/>
          <w:szCs w:val="22"/>
        </w:rPr>
        <w:t xml:space="preserve"> ձեռք</w:t>
      </w:r>
      <w:r w:rsidRPr="001F63BA">
        <w:rPr>
          <w:rFonts w:ascii="GHEA Grapalat" w:hAnsi="GHEA Grapalat" w:cs="GHEA Grapalat"/>
          <w:sz w:val="22"/>
          <w:szCs w:val="22"/>
          <w:lang w:val="en-US"/>
        </w:rPr>
        <w:t xml:space="preserve"> են </w:t>
      </w:r>
      <w:r w:rsidRPr="001F63BA">
        <w:rPr>
          <w:rFonts w:ascii="GHEA Grapalat" w:hAnsi="GHEA Grapalat" w:cs="GHEA Grapalat"/>
          <w:sz w:val="22"/>
          <w:szCs w:val="22"/>
        </w:rPr>
        <w:t>բեր</w:t>
      </w:r>
      <w:r w:rsidRPr="001F63BA">
        <w:rPr>
          <w:rFonts w:ascii="GHEA Grapalat" w:hAnsi="GHEA Grapalat" w:cs="GHEA Grapalat"/>
          <w:sz w:val="22"/>
          <w:szCs w:val="22"/>
          <w:lang w:val="en-US"/>
        </w:rPr>
        <w:t>վել</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համակարգչային ու այլ</w:t>
      </w:r>
      <w:r w:rsidRPr="001F63BA">
        <w:rPr>
          <w:rFonts w:ascii="GHEA Grapalat" w:hAnsi="GHEA Grapalat" w:cs="GHEA Grapalat"/>
          <w:sz w:val="22"/>
          <w:szCs w:val="22"/>
        </w:rPr>
        <w:t xml:space="preserve"> սարքավորումներ</w:t>
      </w:r>
      <w:r w:rsidRPr="001F63BA">
        <w:rPr>
          <w:rFonts w:ascii="GHEA Grapalat" w:hAnsi="GHEA Grapalat" w:cs="GHEA Grapalat"/>
          <w:sz w:val="22"/>
          <w:szCs w:val="22"/>
          <w:lang w:val="en-US"/>
        </w:rPr>
        <w:t xml:space="preserve"> և գրասենյակային կահույք:</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Մ</w:t>
      </w:r>
      <w:r w:rsidRPr="001F63BA">
        <w:rPr>
          <w:rFonts w:ascii="GHEA Grapalat" w:hAnsi="GHEA Grapalat" w:cs="GHEA Grapalat"/>
          <w:sz w:val="22"/>
          <w:szCs w:val="22"/>
        </w:rPr>
        <w:t xml:space="preserve">իջոցառման շրջանակներում սահմանված արդյունքային չափորոշիչների </w:t>
      </w:r>
      <w:r w:rsidRPr="001F63BA">
        <w:rPr>
          <w:rFonts w:ascii="GHEA Grapalat" w:hAnsi="GHEA Grapalat" w:cs="GHEA Grapalat"/>
          <w:sz w:val="22"/>
          <w:szCs w:val="22"/>
          <w:lang w:val="en-US"/>
        </w:rPr>
        <w:t>գծով արձանագրվել են շեղումներ: Միջոցառման ծախսերը կազմել են 193.6 մլն դրամ կամ</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ծրագրված ցուցանիշի</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99.7</w:t>
      </w:r>
      <w:r w:rsidRPr="001F63BA">
        <w:rPr>
          <w:rFonts w:ascii="GHEA Grapalat" w:hAnsi="GHEA Grapalat" w:cs="GHEA Grapalat"/>
          <w:sz w:val="22"/>
          <w:szCs w:val="22"/>
        </w:rPr>
        <w:t>%-ը:</w:t>
      </w:r>
      <w:r w:rsidRPr="001F63BA">
        <w:rPr>
          <w:rFonts w:ascii="GHEA Grapalat" w:hAnsi="GHEA Grapalat" w:cs="GHEA Grapalat"/>
          <w:sz w:val="22"/>
          <w:szCs w:val="22"/>
          <w:lang w:val="en-US"/>
        </w:rPr>
        <w:t xml:space="preserve"> Նախորդ տարվա համեմատ նշված միջոցառման ծախսերն աճել են 30.3%-ով կամ 45.1 մլն դրամով, որը պայմանավորված է տվյալ տարվա կարիքներով:</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2022 թվականին ռեֆերենց կայանների կառուցման, դիտարկման և կայանների ցանցի հավասարակշռման աշխատանքների միջոցառման շրջանակներում իրականացվել են պետական գեոդեզիական (GNSS) ցանցի խտացման, հավասարակշռման, ծրագրային ապահովումների արդիականացման, սերվերային հանգույցի թարմացման աշխատանքներ՝ արդյունքում ունենալով համակարգի արդյունավետ կառավարման ժամանակակից ծրագրային փաթեթ և միջազգային ստանդարտներին համապատասխան մշտական գործող 14 ռեֆերենց կայաններից բաղկացած ցանց, որը հնարավորություն է տալիս իրական ժամանակում օգտատերերին ապահովել ճշգրիտ տվյալներով։ Միջոցառման շրջանակներում</w:t>
      </w:r>
      <w:r w:rsidRPr="001F63BA">
        <w:rPr>
          <w:rFonts w:ascii="GHEA Grapalat" w:hAnsi="GHEA Grapalat" w:cs="GHEA Grapalat"/>
          <w:sz w:val="22"/>
          <w:szCs w:val="22"/>
        </w:rPr>
        <w:t xml:space="preserve"> նախատեսված աշխատանքներն ամբողջությամբ կատարվել են, և ապահովվել են սահմանված բոլոր արդյունքային չափորոշիչները:</w:t>
      </w:r>
      <w:r w:rsidRPr="001F63BA">
        <w:rPr>
          <w:rFonts w:ascii="GHEA Grapalat" w:hAnsi="GHEA Grapalat" w:cs="GHEA Grapalat"/>
          <w:sz w:val="22"/>
          <w:szCs w:val="22"/>
          <w:lang w:val="en-US"/>
        </w:rPr>
        <w:t xml:space="preserve"> Մ</w:t>
      </w:r>
      <w:r w:rsidRPr="001F63BA">
        <w:rPr>
          <w:rFonts w:ascii="GHEA Grapalat" w:hAnsi="GHEA Grapalat" w:cs="GHEA Grapalat"/>
          <w:sz w:val="22"/>
          <w:szCs w:val="22"/>
        </w:rPr>
        <w:t>իջոցառման</w:t>
      </w:r>
      <w:r w:rsidRPr="001F63BA">
        <w:rPr>
          <w:rFonts w:ascii="GHEA Grapalat" w:hAnsi="GHEA Grapalat" w:cs="GHEA Grapalat"/>
          <w:sz w:val="22"/>
          <w:szCs w:val="22"/>
          <w:lang w:val="en-US"/>
        </w:rPr>
        <w:t xml:space="preserve"> ծախսերը կազմել են 179.8</w:t>
      </w:r>
      <w:r w:rsidRPr="001F63BA">
        <w:rPr>
          <w:rFonts w:ascii="GHEA Grapalat" w:hAnsi="GHEA Grapalat" w:cs="GHEA Grapalat"/>
          <w:sz w:val="22"/>
          <w:szCs w:val="22"/>
        </w:rPr>
        <w:t xml:space="preserve"> մլն դրամ կամ նախատեսված միջոցների </w:t>
      </w:r>
      <w:r w:rsidRPr="001F63BA">
        <w:rPr>
          <w:rFonts w:ascii="GHEA Grapalat" w:hAnsi="GHEA Grapalat" w:cs="GHEA Grapalat"/>
          <w:sz w:val="22"/>
          <w:szCs w:val="22"/>
          <w:lang w:val="en-US"/>
        </w:rPr>
        <w:t>98.8</w:t>
      </w:r>
      <w:r w:rsidRPr="001F63BA">
        <w:rPr>
          <w:rFonts w:ascii="GHEA Grapalat" w:hAnsi="GHEA Grapalat" w:cs="GHEA Grapalat"/>
          <w:sz w:val="22"/>
          <w:szCs w:val="22"/>
        </w:rPr>
        <w:t>%-ը</w:t>
      </w:r>
      <w:r w:rsidRPr="001F63BA">
        <w:rPr>
          <w:rFonts w:ascii="GHEA Grapalat" w:hAnsi="GHEA Grapalat" w:cs="GHEA Grapalat"/>
          <w:sz w:val="22"/>
          <w:szCs w:val="22"/>
          <w:lang w:val="en-US"/>
        </w:rPr>
        <w:t xml:space="preserve">, որը պայմանավորված է </w:t>
      </w:r>
      <w:r w:rsidRPr="001F63BA">
        <w:rPr>
          <w:rFonts w:ascii="GHEA Grapalat" w:hAnsi="GHEA Grapalat" w:cs="Sylfaen"/>
          <w:sz w:val="22"/>
          <w:szCs w:val="22"/>
          <w:lang w:val="en-US"/>
        </w:rPr>
        <w:t>տնտեսումներով</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Միջոցառումը մեկնարկել է 2022 թվականին:</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7C7CC1">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Sylfaen"/>
          <w:i/>
          <w:sz w:val="22"/>
          <w:szCs w:val="22"/>
          <w:u w:val="single"/>
        </w:rPr>
        <w:t>Հեռուստատեսության և ռադիոյի հանձնաժողովի</w:t>
      </w:r>
      <w:r w:rsidRPr="001F63BA">
        <w:rPr>
          <w:rFonts w:ascii="GHEA Grapalat" w:hAnsi="GHEA Grapalat" w:cs="Sylfaen"/>
          <w:sz w:val="22"/>
          <w:szCs w:val="22"/>
          <w:lang w:val="en-US"/>
        </w:rPr>
        <w:t xml:space="preserve"> </w:t>
      </w:r>
      <w:r w:rsidRPr="001F63BA">
        <w:rPr>
          <w:rFonts w:ascii="GHEA Grapalat" w:hAnsi="GHEA Grapalat" w:cs="GHEA Grapalat"/>
          <w:sz w:val="22"/>
          <w:szCs w:val="22"/>
        </w:rPr>
        <w:t xml:space="preserve">պատասխանատվությամբ 2022 թվականին </w:t>
      </w:r>
      <w:r w:rsidRPr="001F63BA">
        <w:rPr>
          <w:rFonts w:ascii="GHEA Grapalat" w:hAnsi="GHEA Grapalat" w:cs="GHEA Grapalat"/>
          <w:i/>
          <w:sz w:val="22"/>
          <w:szCs w:val="22"/>
        </w:rPr>
        <w:t>Տեսալսողական մեդիայի ոլորտի կանոնակարգման</w:t>
      </w:r>
      <w:r w:rsidRPr="001F63BA">
        <w:rPr>
          <w:rFonts w:ascii="GHEA Grapalat" w:hAnsi="GHEA Grapalat" w:cs="GHEA Grapalat"/>
          <w:sz w:val="22"/>
          <w:szCs w:val="22"/>
        </w:rPr>
        <w:t xml:space="preserve"> ծրագրի շրջանակներում պետական բյուջեից </w:t>
      </w:r>
      <w:r w:rsidRPr="001F63BA">
        <w:rPr>
          <w:rFonts w:ascii="GHEA Grapalat" w:hAnsi="GHEA Grapalat" w:cs="GHEA Grapalat"/>
          <w:sz w:val="22"/>
          <w:szCs w:val="22"/>
        </w:rPr>
        <w:lastRenderedPageBreak/>
        <w:t>տրամադրվել է 324.2 մլն դրամ՝ ապահովելով 99.6% կատարողական: Նախորդ տարվա համեմատ հանձնաժողովի ծախսեր</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աճել են 2.7%-ով կամ 8.5 մլն դրամով: </w:t>
      </w:r>
    </w:p>
    <w:p w:rsidR="001C411D" w:rsidRPr="001F63BA" w:rsidRDefault="001C411D" w:rsidP="007C7CC1">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Տեսալսողական մեդիայի ոլորտի կանոնակարգման ծառայությունների միջոցառման շրջանակներում իրականացվել է տեսալսողական հաղորդումների պատրաստման և հեռարձակման՝ օրենսդրության պահանջների և լիցենզիայի պայմանների պահպանման նկատմամբ մշտադիտարկում և վերահսկողություն (3960 եթերային օր), անցկացվել է սլոթի օգտագործման, լսողական ծրագրի հաճախականության օգտագործման և մասնավոր մուլտիպլեքս օպերատորի գործունեության լիցենզավորման 13 մրցույթ, որոնք նախատեսված չէին</w:t>
      </w:r>
      <w:r w:rsidRPr="001F63BA">
        <w:rPr>
          <w:rFonts w:ascii="GHEA Grapalat" w:hAnsi="GHEA Grapalat" w:cs="GHEA Grapalat"/>
          <w:sz w:val="22"/>
          <w:szCs w:val="22"/>
          <w:lang w:val="en-US"/>
        </w:rPr>
        <w:t xml:space="preserve"> և պայմանավորված են ազատ սլոթ և նոր հաճախականություններ առաջանալու հանգամանքով: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Մրցույթների</w:t>
      </w:r>
      <w:r w:rsidRPr="001F63BA">
        <w:rPr>
          <w:rFonts w:ascii="GHEA Grapalat" w:hAnsi="GHEA Grapalat" w:cs="GHEA Grapalat"/>
          <w:sz w:val="22"/>
          <w:szCs w:val="22"/>
        </w:rPr>
        <w:t xml:space="preserve"> արդյունքում տրամադրվել </w:t>
      </w:r>
      <w:r w:rsidRPr="001F63BA">
        <w:rPr>
          <w:rFonts w:ascii="GHEA Grapalat" w:hAnsi="GHEA Grapalat" w:cs="GHEA Grapalat"/>
          <w:sz w:val="22"/>
          <w:szCs w:val="22"/>
          <w:lang w:val="en-US"/>
        </w:rPr>
        <w:t>են</w:t>
      </w:r>
      <w:r w:rsidRPr="001F63BA">
        <w:rPr>
          <w:rFonts w:ascii="GHEA Grapalat" w:hAnsi="GHEA Grapalat" w:cs="GHEA Grapalat"/>
          <w:sz w:val="22"/>
          <w:szCs w:val="22"/>
        </w:rPr>
        <w:t xml:space="preserve"> սլոթի օգտագործման, լսողական ծրագրերի հեռարձակման և մասնավոր մուլտիպլեքս օպերատորի գործունեության 11 լիցենզիա, ցանցային օպերատորի գործունեության 11 լիցենզիա, տեսալսողական մեդիածառայություն մատուցողի կարգավիճակի 9 հեղինակազորման վկայագրեր:</w:t>
      </w:r>
    </w:p>
    <w:p w:rsidR="001C411D" w:rsidRPr="001F63BA" w:rsidRDefault="001C411D" w:rsidP="008E438A">
      <w:pPr>
        <w:autoSpaceDE w:val="0"/>
        <w:autoSpaceDN w:val="0"/>
        <w:adjustRightInd w:val="0"/>
        <w:spacing w:line="360" w:lineRule="auto"/>
        <w:ind w:firstLine="567"/>
        <w:jc w:val="both"/>
        <w:rPr>
          <w:rFonts w:ascii="GHEA Grapalat" w:hAnsi="GHEA Grapalat" w:cs="Times Armenian"/>
          <w:sz w:val="22"/>
          <w:szCs w:val="22"/>
        </w:rPr>
      </w:pPr>
    </w:p>
    <w:p w:rsidR="001C411D" w:rsidRPr="001F63BA" w:rsidRDefault="001C411D" w:rsidP="00D479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u w:val="single"/>
        </w:rPr>
        <w:t>ՀՀ պետական եկամուտների կոմիտեի</w:t>
      </w:r>
      <w:r w:rsidRPr="001F63BA">
        <w:rPr>
          <w:rFonts w:ascii="GHEA Grapalat" w:hAnsi="GHEA Grapalat" w:cs="GHEA Grapalat"/>
          <w:sz w:val="22"/>
          <w:szCs w:val="22"/>
        </w:rPr>
        <w:t xml:space="preserve"> պատասխանատվությամբ 2022 թվականին իրականացվել է «Հարկային և մաքսային ծառայություններ» ծրագիրը, որի շրջանակներում օգտագործվել է 28.3 մլրդ դրամ կամ նախատեսված միջոցների 93.1%</w:t>
      </w:r>
      <w:r w:rsidRPr="001F63BA">
        <w:rPr>
          <w:rFonts w:ascii="GHEA Grapalat" w:hAnsi="GHEA Grapalat" w:cs="GHEA Grapalat"/>
          <w:sz w:val="22"/>
          <w:szCs w:val="22"/>
        </w:rPr>
        <w:noBreakHyphen/>
        <w:t xml:space="preserve">ը: Ծրագրված ցուցանիշից շեղումը հիմնականում պայմանավորված է նրանով, որ չեն օգտագործվել Վերակառուցման և զարգացման եվրոպական բանկի աջակցությամբ իրականացվող Մեղրիի սահմանային անցակետի ծրագրի շրջանակներում ՀՀ </w:t>
      </w:r>
      <w:r w:rsidRPr="001F63BA">
        <w:rPr>
          <w:rFonts w:ascii="GHEA Grapalat" w:hAnsi="GHEA Grapalat" w:cs="GHEA Grapalat"/>
          <w:sz w:val="22"/>
          <w:szCs w:val="22"/>
          <w:lang w:val="en-US"/>
        </w:rPr>
        <w:t>ՊԵԿ</w:t>
      </w:r>
      <w:r w:rsidRPr="001F63BA">
        <w:rPr>
          <w:rFonts w:ascii="GHEA Grapalat" w:hAnsi="GHEA Grapalat" w:cs="GHEA Grapalat"/>
          <w:sz w:val="22"/>
          <w:szCs w:val="22"/>
        </w:rPr>
        <w:t xml:space="preserve"> նոր շենքային պայմանների ապահովման նպատակով նախատեսված շուրջ 1.2 մլրդ դրամ միջոցները՝ պայմանավորված այն հանգամանքով, որ </w:t>
      </w:r>
      <w:r w:rsidRPr="001F63BA">
        <w:rPr>
          <w:rFonts w:ascii="GHEA Grapalat" w:hAnsi="GHEA Grapalat" w:cs="GHEA Grapalat"/>
          <w:sz w:val="22"/>
          <w:szCs w:val="22"/>
          <w:lang w:val="en-US"/>
        </w:rPr>
        <w:t xml:space="preserve">ՊԵԿ </w:t>
      </w:r>
      <w:r w:rsidRPr="001F63BA">
        <w:rPr>
          <w:rFonts w:ascii="GHEA Grapalat" w:hAnsi="GHEA Grapalat" w:cs="GHEA Grapalat"/>
          <w:sz w:val="22"/>
          <w:szCs w:val="22"/>
        </w:rPr>
        <w:t>շենքերի կառուց</w:t>
      </w:r>
      <w:r w:rsidRPr="001F63BA">
        <w:rPr>
          <w:rFonts w:ascii="GHEA Grapalat" w:hAnsi="GHEA Grapalat" w:cs="GHEA Grapalat"/>
          <w:sz w:val="22"/>
          <w:szCs w:val="22"/>
          <w:lang w:val="en-US"/>
        </w:rPr>
        <w:t xml:space="preserve">ման համար </w:t>
      </w:r>
      <w:r w:rsidRPr="001F63BA">
        <w:rPr>
          <w:rFonts w:ascii="GHEA Grapalat" w:hAnsi="GHEA Grapalat" w:cs="GHEA Grapalat"/>
          <w:sz w:val="22"/>
          <w:szCs w:val="22"/>
        </w:rPr>
        <w:t xml:space="preserve">հայտարարված միջազգային մրցույթի արդյունքում հաղթած կազմակերպությունը ներկայացվել է ՎԶԵԲ-ին, </w:t>
      </w:r>
      <w:r w:rsidRPr="001F63BA">
        <w:rPr>
          <w:rFonts w:ascii="GHEA Grapalat" w:hAnsi="GHEA Grapalat" w:cs="GHEA Grapalat"/>
          <w:sz w:val="22"/>
          <w:szCs w:val="22"/>
          <w:lang w:val="en-US"/>
        </w:rPr>
        <w:t>որի կողմից</w:t>
      </w:r>
      <w:r w:rsidRPr="001F63BA">
        <w:rPr>
          <w:rFonts w:ascii="GHEA Grapalat" w:hAnsi="GHEA Grapalat" w:cs="GHEA Grapalat"/>
          <w:sz w:val="22"/>
          <w:szCs w:val="22"/>
        </w:rPr>
        <w:t xml:space="preserve"> համաձայնությունը չի ստացվել: Ծրագրի կատարողականը պայմանավորված է նաև «Հարկային և մաքսային ծառայություններ» և «ՀՀ պետական եկամուտների կոմիտեի տեխնիկական հագեցվածության բարելավում» միջոցառումների կատարողականով: </w:t>
      </w:r>
    </w:p>
    <w:p w:rsidR="001C411D" w:rsidRPr="001F63BA" w:rsidRDefault="001C411D" w:rsidP="00D479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Նախորդ տարվա համեմատ ՀՀ պետական եկամուտների կոմիտեի պատասխանատվությամբ իրականացված ծախսեր</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աճել են 1.6%</w:t>
      </w:r>
      <w:r w:rsidRPr="001F63BA">
        <w:rPr>
          <w:rFonts w:ascii="GHEA Grapalat" w:hAnsi="GHEA Grapalat" w:cs="GHEA Grapalat"/>
          <w:sz w:val="22"/>
          <w:szCs w:val="22"/>
        </w:rPr>
        <w:noBreakHyphen/>
        <w:t>ով կամ 452.1 մլն դրամով, որը հիմնականում ձևավորվել է տնտեսվարողների կարիքներով պայ</w:t>
      </w:r>
      <w:r w:rsidRPr="001F63BA">
        <w:rPr>
          <w:rFonts w:ascii="GHEA Grapalat" w:hAnsi="GHEA Grapalat" w:cs="GHEA Grapalat"/>
          <w:sz w:val="22"/>
          <w:szCs w:val="22"/>
          <w:lang w:val="en-US"/>
        </w:rPr>
        <w:t>մ</w:t>
      </w:r>
      <w:r w:rsidRPr="001F63BA">
        <w:rPr>
          <w:rFonts w:ascii="GHEA Grapalat" w:hAnsi="GHEA Grapalat" w:cs="GHEA Grapalat"/>
          <w:sz w:val="22"/>
          <w:szCs w:val="22"/>
        </w:rPr>
        <w:t>անավորված՝ դրոշմապիակների ձեռքբերման գծով ծախսերի աճի և ակցիզային դրոշմանիշերի ձեռքբերման ծախսերի նվազման արդյունքում</w:t>
      </w:r>
      <w:r w:rsidRPr="001F63BA">
        <w:rPr>
          <w:rFonts w:ascii="GHEA Grapalat" w:hAnsi="GHEA Grapalat" w:cs="GHEA Grapalat"/>
          <w:sz w:val="22"/>
          <w:szCs w:val="22"/>
          <w:lang w:val="en-US"/>
        </w:rPr>
        <w:t xml:space="preserve">, ինչպես նաև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w:t>
      </w:r>
      <w:r w:rsidRPr="001F63BA">
        <w:rPr>
          <w:rFonts w:ascii="GHEA Grapalat" w:hAnsi="GHEA Grapalat" w:cs="GHEA Grapalat"/>
          <w:sz w:val="22"/>
          <w:szCs w:val="22"/>
          <w:lang w:val="en-US"/>
        </w:rPr>
        <w:lastRenderedPageBreak/>
        <w:t>օրենքով սահմանված վճարումների, ՊԵԿ տեխնիկական հագեցվածության ու շենքային ապահովվածության բարելավման ծախսերի աճով</w:t>
      </w:r>
      <w:r w:rsidRPr="001F63BA">
        <w:rPr>
          <w:rFonts w:ascii="GHEA Grapalat" w:hAnsi="GHEA Grapalat" w:cs="GHEA Grapalat"/>
          <w:sz w:val="22"/>
          <w:szCs w:val="22"/>
        </w:rPr>
        <w:t xml:space="preserve">: </w:t>
      </w:r>
    </w:p>
    <w:p w:rsidR="001C411D" w:rsidRPr="001F63BA" w:rsidRDefault="001C411D" w:rsidP="00D479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«Հարկային և մաքսային ծառայություններ» միջոցառման շրջանակներում օգտագործվել է շուրջ 20.0 մլրդ դրամ, որը կազմել է ծրագրային ցուցանիշի 96.6%-ը</w:t>
      </w:r>
      <w:r w:rsidRPr="001F63BA">
        <w:rPr>
          <w:rFonts w:ascii="GHEA Grapalat" w:hAnsi="GHEA Grapalat" w:cs="GHEA Grapalat"/>
          <w:sz w:val="22"/>
          <w:szCs w:val="22"/>
          <w:lang w:val="en-US"/>
        </w:rPr>
        <w:t>՝ պայմանավորված գնման մրցույթների արդյունքում առաջացած խնայողություններով</w:t>
      </w:r>
      <w:r w:rsidRPr="001F63BA">
        <w:rPr>
          <w:rFonts w:ascii="GHEA Grapalat" w:hAnsi="GHEA Grapalat" w:cs="GHEA Grapalat"/>
          <w:sz w:val="22"/>
          <w:szCs w:val="22"/>
        </w:rPr>
        <w:t xml:space="preserve">: Նախորդ տարվա համեմատ նշված միջոցառման ծախսերն </w:t>
      </w:r>
      <w:r w:rsidRPr="001F63BA">
        <w:rPr>
          <w:rFonts w:ascii="GHEA Grapalat" w:hAnsi="GHEA Grapalat" w:cs="GHEA Grapalat"/>
          <w:sz w:val="22"/>
          <w:szCs w:val="22"/>
          <w:lang w:val="en-US"/>
        </w:rPr>
        <w:t>էական փոփոխություն չեն կրել</w:t>
      </w:r>
      <w:r w:rsidRPr="001F63BA">
        <w:rPr>
          <w:rFonts w:ascii="GHEA Grapalat" w:hAnsi="GHEA Grapalat" w:cs="GHEA Grapalat"/>
          <w:sz w:val="22"/>
          <w:szCs w:val="22"/>
        </w:rPr>
        <w:t>:</w:t>
      </w:r>
    </w:p>
    <w:p w:rsidR="001C411D" w:rsidRPr="001F63BA" w:rsidRDefault="001C411D" w:rsidP="00D479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Դրոշմապիտակների ձեռքբերման միջոցառման շրջանակներում հաշվետու տարվա ընթացքում ձեռք են բերվել 1380000 հազար հատ դրոշմապիտակներ՝ 2021 թվականի 750000 հազարի դիմաց: Միջոցառմանը հատկացված միջոցներն օգտագործվել են ամբողջությամբ՝ կազմելով 5.2 մլրդ դրամ: Նախորդ տարվա համեմատ նշված միջոցառման ծախսերն աճել են 84%</w:t>
      </w:r>
      <w:r w:rsidRPr="001F63BA">
        <w:rPr>
          <w:rFonts w:ascii="GHEA Grapalat" w:hAnsi="GHEA Grapalat" w:cs="GHEA Grapalat"/>
          <w:sz w:val="22"/>
          <w:szCs w:val="22"/>
        </w:rPr>
        <w:noBreakHyphen/>
        <w:t xml:space="preserve">ով կամ 2.4 մլրդ դրամով: </w:t>
      </w:r>
    </w:p>
    <w:p w:rsidR="001C411D" w:rsidRPr="001F63BA" w:rsidRDefault="001C411D" w:rsidP="00D479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2022 թվականին ՀՀ պետական եկամուտների կոմիտեի տեխնիկական հագեցվածության բարելավման համար հատկացված միջոցներն օգտագործվել են ռենտգենյան սարքավորումների տեխնիկական սպասարկման ծառայությունների, ոչ նյութական հիմնական միջոցների, գրասենյակային գույքի, համակարգչային և այլ սարքավորումների ձեռքբերման համար: Միջոցառման ծախսերը կազմել են շուրջ 2.3 մլրդ դրամ՝ ապահովելով 91.5% կատարողական: Շեղումը պայմանավորված է արտարժույթի՝ կանխատեսված և փաստացի փոխարժեքների տարբերությամբ, ինչպես նաև մրցույթների արդյունքում ապրանքների և ծառայությունների՝ նախատեսվածից ցածր գներով ձեռքբերմամբ: Նախորդ տարվա համեմատ նշված միջոցառման ծախսերն աճել են 3.8%-ով կամ 87.1 մլն դրամով:</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A46A3C">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i/>
          <w:sz w:val="22"/>
          <w:szCs w:val="22"/>
          <w:u w:val="single"/>
        </w:rPr>
        <w:t>ՀՀ ազգային անվտանգության ծառայության</w:t>
      </w:r>
      <w:r w:rsidRPr="001F63BA">
        <w:rPr>
          <w:rFonts w:ascii="GHEA Grapalat" w:hAnsi="GHEA Grapalat"/>
          <w:sz w:val="22"/>
          <w:szCs w:val="22"/>
        </w:rPr>
        <w:t xml:space="preserve"> պատասխանատվությամբ</w:t>
      </w:r>
      <w:r w:rsidRPr="001F63BA">
        <w:rPr>
          <w:rFonts w:ascii="GHEA Grapalat" w:hAnsi="GHEA Grapalat" w:cs="GHEA Grapalat"/>
          <w:sz w:val="22"/>
          <w:szCs w:val="22"/>
        </w:rPr>
        <w:t xml:space="preserve">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կատարվել են </w:t>
      </w:r>
      <w:r w:rsidRPr="001F63BA">
        <w:rPr>
          <w:rFonts w:ascii="GHEA Grapalat" w:hAnsi="GHEA Grapalat" w:cs="GHEA Grapalat"/>
          <w:sz w:val="22"/>
          <w:szCs w:val="22"/>
          <w:lang w:val="en-US"/>
        </w:rPr>
        <w:t>50.3</w:t>
      </w:r>
      <w:r w:rsidRPr="001F63BA">
        <w:rPr>
          <w:rFonts w:ascii="Courier New" w:hAnsi="Courier New" w:cs="Courier New"/>
          <w:sz w:val="22"/>
          <w:szCs w:val="22"/>
        </w:rPr>
        <w:t> </w:t>
      </w:r>
      <w:r w:rsidRPr="001F63BA">
        <w:rPr>
          <w:rFonts w:ascii="GHEA Grapalat" w:hAnsi="GHEA Grapalat" w:cs="GHEA Grapalat"/>
          <w:sz w:val="22"/>
          <w:szCs w:val="22"/>
        </w:rPr>
        <w:t>մլրդ դրամ ծախսեր՝ ապահովելով ծրագրված ցուցանիշի 96.</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%-ը: Հատկացված միջոցներով իրականացվել են </w:t>
      </w:r>
      <w:r w:rsidRPr="001F63BA">
        <w:rPr>
          <w:rFonts w:ascii="GHEA Grapalat" w:hAnsi="GHEA Grapalat"/>
          <w:sz w:val="22"/>
          <w:szCs w:val="22"/>
        </w:rPr>
        <w:t xml:space="preserve">երկու ծրագրեր՝ «Պետական պահպանության ապահովում» և «Ազգային </w:t>
      </w:r>
      <w:r w:rsidRPr="001F63BA">
        <w:rPr>
          <w:rFonts w:ascii="GHEA Grapalat" w:hAnsi="GHEA Grapalat" w:cs="GHEA Grapalat"/>
          <w:sz w:val="22"/>
          <w:szCs w:val="22"/>
        </w:rPr>
        <w:t>անվտանգություն</w:t>
      </w:r>
      <w:r w:rsidRPr="001F63BA">
        <w:rPr>
          <w:rFonts w:ascii="GHEA Grapalat" w:hAnsi="GHEA Grapalat"/>
          <w:sz w:val="22"/>
          <w:szCs w:val="22"/>
        </w:rPr>
        <w:t xml:space="preserve">»։ Շեղումը, ինչպես նաև նախորդ տարվա համեմատ </w:t>
      </w:r>
      <w:r w:rsidRPr="001F63BA">
        <w:rPr>
          <w:rFonts w:ascii="GHEA Grapalat" w:hAnsi="GHEA Grapalat" w:cs="GHEA Grapalat"/>
          <w:sz w:val="22"/>
          <w:szCs w:val="22"/>
          <w:lang w:val="en-US"/>
        </w:rPr>
        <w:t>34</w:t>
      </w:r>
      <w:r w:rsidRPr="001F63BA">
        <w:rPr>
          <w:rFonts w:ascii="GHEA Grapalat" w:hAnsi="GHEA Grapalat" w:cs="GHEA Grapalat"/>
          <w:sz w:val="22"/>
          <w:szCs w:val="22"/>
        </w:rPr>
        <w:t xml:space="preserve">% </w:t>
      </w:r>
      <w:r w:rsidRPr="001F63BA">
        <w:rPr>
          <w:rFonts w:ascii="GHEA Grapalat" w:hAnsi="GHEA Grapalat" w:cs="Calibri"/>
          <w:sz w:val="22"/>
          <w:szCs w:val="22"/>
        </w:rPr>
        <w:t>կամ</w:t>
      </w:r>
      <w:r w:rsidRPr="001F63BA">
        <w:rPr>
          <w:rFonts w:ascii="GHEA Grapalat" w:hAnsi="GHEA Grapalat" w:cs="Calibri"/>
          <w:sz w:val="22"/>
          <w:szCs w:val="22"/>
          <w:lang w:val="en-US"/>
        </w:rPr>
        <w:t xml:space="preserve"> </w:t>
      </w:r>
      <w:r w:rsidRPr="001F63BA">
        <w:rPr>
          <w:rFonts w:ascii="GHEA Grapalat" w:hAnsi="GHEA Grapalat"/>
          <w:sz w:val="22"/>
          <w:szCs w:val="22"/>
        </w:rPr>
        <w:t>12.8</w:t>
      </w:r>
      <w:r w:rsidRPr="001F63BA">
        <w:rPr>
          <w:rFonts w:ascii="Courier New" w:hAnsi="Courier New" w:cs="Courier New"/>
          <w:sz w:val="22"/>
          <w:szCs w:val="22"/>
          <w:lang w:val="en-US"/>
        </w:rPr>
        <w:t> </w:t>
      </w:r>
      <w:r w:rsidRPr="001F63BA">
        <w:rPr>
          <w:rFonts w:ascii="GHEA Grapalat" w:hAnsi="GHEA Grapalat"/>
          <w:sz w:val="22"/>
          <w:szCs w:val="22"/>
        </w:rPr>
        <w:t>մլրդ դրամ աճը հիմնականում պայմանավորված են Ազգային անվտանգության ծրագրի ծախսերով:</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ընթացքում </w:t>
      </w:r>
      <w:r w:rsidRPr="001F63BA">
        <w:rPr>
          <w:rFonts w:ascii="GHEA Grapalat" w:hAnsi="GHEA Grapalat" w:cs="Sylfaen"/>
          <w:i/>
          <w:sz w:val="22"/>
          <w:szCs w:val="22"/>
        </w:rPr>
        <w:t>Ազգային</w:t>
      </w:r>
      <w:r w:rsidRPr="001F63BA">
        <w:rPr>
          <w:rFonts w:ascii="GHEA Grapalat" w:hAnsi="GHEA Grapalat" w:cs="Sylfaen"/>
          <w:i/>
          <w:sz w:val="22"/>
          <w:szCs w:val="22"/>
          <w:lang w:val="zu-ZA"/>
        </w:rPr>
        <w:t xml:space="preserve"> </w:t>
      </w:r>
      <w:r w:rsidRPr="001F63BA">
        <w:rPr>
          <w:rFonts w:ascii="GHEA Grapalat" w:hAnsi="GHEA Grapalat" w:cs="Sylfaen"/>
          <w:i/>
          <w:sz w:val="22"/>
          <w:szCs w:val="22"/>
        </w:rPr>
        <w:t>անվտանգության</w:t>
      </w:r>
      <w:r w:rsidRPr="001F63BA">
        <w:rPr>
          <w:rFonts w:ascii="GHEA Grapalat" w:hAnsi="GHEA Grapalat" w:cs="Sylfaen"/>
          <w:sz w:val="22"/>
          <w:szCs w:val="22"/>
          <w:lang w:val="zu-ZA"/>
        </w:rPr>
        <w:t xml:space="preserve"> </w:t>
      </w:r>
      <w:r w:rsidRPr="001F63BA">
        <w:rPr>
          <w:rFonts w:ascii="GHEA Grapalat" w:hAnsi="GHEA Grapalat" w:cs="GHEA Grapalat"/>
          <w:sz w:val="22"/>
          <w:szCs w:val="22"/>
        </w:rPr>
        <w:t xml:space="preserve">ծրագրի իրականացման նպատակով պետական բյուջեից ծախսվել է շուրջ </w:t>
      </w:r>
      <w:r w:rsidRPr="001F63BA">
        <w:rPr>
          <w:rFonts w:ascii="GHEA Grapalat" w:hAnsi="GHEA Grapalat" w:cs="GHEA Grapalat"/>
          <w:sz w:val="22"/>
          <w:szCs w:val="22"/>
          <w:lang w:val="en-US"/>
        </w:rPr>
        <w:t>45.2</w:t>
      </w:r>
      <w:r w:rsidRPr="001F63BA">
        <w:rPr>
          <w:rFonts w:ascii="GHEA Grapalat" w:hAnsi="GHEA Grapalat" w:cs="GHEA Grapalat"/>
          <w:sz w:val="22"/>
          <w:szCs w:val="22"/>
        </w:rPr>
        <w:t xml:space="preserve"> մլրդ դրամ` կազմելով ծրագրված ցուցանիշի 9</w:t>
      </w:r>
      <w:r w:rsidRPr="001F63BA">
        <w:rPr>
          <w:rFonts w:ascii="GHEA Grapalat" w:hAnsi="GHEA Grapalat" w:cs="GHEA Grapalat"/>
          <w:sz w:val="22"/>
          <w:szCs w:val="22"/>
          <w:lang w:val="en-US"/>
        </w:rPr>
        <w:t>5.8</w:t>
      </w:r>
      <w:r w:rsidRPr="001F63BA">
        <w:rPr>
          <w:rFonts w:ascii="GHEA Grapalat" w:hAnsi="GHEA Grapalat" w:cs="GHEA Grapalat"/>
          <w:sz w:val="22"/>
          <w:szCs w:val="22"/>
        </w:rPr>
        <w:t>%</w:t>
      </w:r>
      <w:r w:rsidRPr="001F63BA">
        <w:rPr>
          <w:rFonts w:ascii="GHEA Grapalat" w:hAnsi="GHEA Grapalat" w:cs="GHEA Grapalat"/>
          <w:sz w:val="22"/>
          <w:szCs w:val="22"/>
        </w:rPr>
        <w:noBreakHyphen/>
        <w:t xml:space="preserve">ը: Ծրագրի շրջանակներում իրականացվել են </w:t>
      </w:r>
      <w:r w:rsidRPr="001F63BA">
        <w:rPr>
          <w:rFonts w:ascii="GHEA Grapalat" w:hAnsi="GHEA Grapalat" w:cs="GHEA Grapalat"/>
          <w:sz w:val="22"/>
          <w:szCs w:val="22"/>
          <w:lang w:val="en-US"/>
        </w:rPr>
        <w:t>6</w:t>
      </w:r>
      <w:r w:rsidRPr="001F63BA">
        <w:rPr>
          <w:rFonts w:ascii="GHEA Grapalat" w:hAnsi="GHEA Grapalat" w:cs="GHEA Grapalat"/>
          <w:sz w:val="22"/>
          <w:szCs w:val="22"/>
        </w:rPr>
        <w:t xml:space="preserve"> միջոցառումներ:</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Նախորդ տարվա համեմատ ծրագրի ծախսերն աճել են </w:t>
      </w:r>
      <w:r w:rsidRPr="001F63BA">
        <w:rPr>
          <w:rFonts w:ascii="GHEA Grapalat" w:hAnsi="GHEA Grapalat" w:cs="GHEA Grapalat"/>
          <w:sz w:val="22"/>
          <w:szCs w:val="22"/>
          <w:lang w:val="en-US"/>
        </w:rPr>
        <w:t>34.9</w:t>
      </w:r>
      <w:r w:rsidRPr="001F63BA">
        <w:rPr>
          <w:rFonts w:ascii="GHEA Grapalat" w:hAnsi="GHEA Grapalat" w:cs="GHEA Grapalat"/>
          <w:sz w:val="22"/>
          <w:szCs w:val="22"/>
        </w:rPr>
        <w:t>%-ով կամ</w:t>
      </w:r>
      <w:r w:rsidRPr="001F63BA">
        <w:rPr>
          <w:rFonts w:ascii="GHEA Grapalat" w:hAnsi="GHEA Grapalat" w:cs="GHEA Grapalat"/>
          <w:sz w:val="22"/>
          <w:szCs w:val="22"/>
          <w:lang w:val="en-US"/>
        </w:rPr>
        <w:t xml:space="preserve"> շուրջ</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11</w:t>
      </w:r>
      <w:r w:rsidRPr="001F63BA">
        <w:rPr>
          <w:rFonts w:ascii="GHEA Grapalat" w:hAnsi="GHEA Grapalat" w:cs="GHEA Grapalat"/>
          <w:sz w:val="22"/>
          <w:szCs w:val="22"/>
        </w:rPr>
        <w:t xml:space="preserve">.7 մլրդ դրամով՝ հիմնականում պայմանավորված </w:t>
      </w:r>
      <w:r w:rsidRPr="001F63BA">
        <w:rPr>
          <w:rFonts w:ascii="GHEA Grapalat" w:hAnsi="GHEA Grapalat"/>
          <w:sz w:val="22"/>
          <w:szCs w:val="22"/>
          <w:lang w:val="zu-ZA"/>
        </w:rPr>
        <w:t xml:space="preserve">հետախուզական, հակահետախուզական, ռազմական </w:t>
      </w:r>
      <w:r w:rsidRPr="001F63BA">
        <w:rPr>
          <w:rFonts w:ascii="GHEA Grapalat" w:hAnsi="GHEA Grapalat" w:cs="Sylfaen"/>
          <w:sz w:val="22"/>
          <w:szCs w:val="22"/>
        </w:rPr>
        <w:t>հակահետախուզության</w:t>
      </w:r>
      <w:r w:rsidRPr="001F63BA">
        <w:rPr>
          <w:rFonts w:ascii="GHEA Grapalat" w:hAnsi="GHEA Grapalat"/>
          <w:sz w:val="22"/>
          <w:szCs w:val="22"/>
          <w:lang w:val="zu-ZA"/>
        </w:rPr>
        <w:t xml:space="preserve">, հանցագործություն-ների դեմ պայքարի և պետական </w:t>
      </w:r>
      <w:r w:rsidRPr="001F63BA">
        <w:rPr>
          <w:rFonts w:ascii="GHEA Grapalat" w:hAnsi="GHEA Grapalat" w:cs="GHEA Grapalat"/>
          <w:sz w:val="22"/>
          <w:szCs w:val="22"/>
        </w:rPr>
        <w:t xml:space="preserve">սահմանի պահպանության գործունեության կազմակերպման և </w:t>
      </w:r>
      <w:r w:rsidRPr="001F63BA">
        <w:rPr>
          <w:rFonts w:ascii="GHEA Grapalat" w:hAnsi="GHEA Grapalat" w:cs="GHEA Grapalat"/>
          <w:sz w:val="22"/>
          <w:szCs w:val="22"/>
        </w:rPr>
        <w:lastRenderedPageBreak/>
        <w:t>պաշտպանության բնագավառի այլ ծախսերի միջոցառումների շրջանակներում կատարված ծախսերի աճով։</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Ազգային անվտանգության ծրագրի շրջանակներում 28.3 մլրդ դրամ է տրամադրվել հետախուզական, հակահետախուզական, ռազմական հակահետախուզության, հանցագործությունների դեմ պայքարի և պետական սահմանի պահպանության գործունեության կազմակերպման միջոցառմանը, որը կատարվել է 96%-ով: Նախորդ տարվա համեմատ նշված ծախսերն աճել են 23%-ով կամ 5.3 մլրդ դրամով, որը պայմանավորված է հաստիքների ավելացման հետևանքով աշխատանքի վարձատրության ծախսերի աճով: </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Պաշտպանության բնագավառի այլ ծախսերին տրամադրվել է շուրջ 13 մլրդ դրամ՝ ապահովելով 100% կատարողական: Նախորդ տարվա համեմատ տվյալ միջոցառման ծախսերն աճել են 58%</w:t>
      </w:r>
      <w:r w:rsidRPr="001F63BA">
        <w:rPr>
          <w:rFonts w:ascii="GHEA Grapalat" w:hAnsi="GHEA Grapalat" w:cs="GHEA Grapalat"/>
          <w:sz w:val="22"/>
          <w:szCs w:val="22"/>
        </w:rPr>
        <w:noBreakHyphen/>
        <w:t>ով կամ 4.8 մլրդ դրամով:</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Ազգային անվտանգության համակարգի շենքային ապահովվածության բարելավման ծախսերը կատարվել են 8</w:t>
      </w:r>
      <w:r w:rsidRPr="001F63BA">
        <w:rPr>
          <w:rFonts w:ascii="GHEA Grapalat" w:hAnsi="GHEA Grapalat" w:cs="GHEA Grapalat"/>
          <w:sz w:val="22"/>
          <w:szCs w:val="22"/>
          <w:lang w:val="en-US"/>
        </w:rPr>
        <w:t>0</w:t>
      </w:r>
      <w:r w:rsidRPr="001F63BA">
        <w:rPr>
          <w:rFonts w:ascii="GHEA Grapalat" w:hAnsi="GHEA Grapalat" w:cs="GHEA Grapalat"/>
          <w:sz w:val="22"/>
          <w:szCs w:val="22"/>
        </w:rPr>
        <w:t>.</w:t>
      </w:r>
      <w:r w:rsidRPr="001F63BA">
        <w:rPr>
          <w:rFonts w:ascii="GHEA Grapalat" w:hAnsi="GHEA Grapalat" w:cs="GHEA Grapalat"/>
          <w:sz w:val="22"/>
          <w:szCs w:val="22"/>
          <w:lang w:val="en-US"/>
        </w:rPr>
        <w:t>9</w:t>
      </w:r>
      <w:r w:rsidRPr="001F63BA">
        <w:rPr>
          <w:rFonts w:ascii="GHEA Grapalat" w:hAnsi="GHEA Grapalat" w:cs="GHEA Grapalat"/>
          <w:sz w:val="22"/>
          <w:szCs w:val="22"/>
        </w:rPr>
        <w:t>%-ով` կազմելով 2.3 մլրդ դրամ: Ծրագրված ցուցանիշի նկատմամբ շեղումը պայմանավորված է մրցույթների արդյունքում առաջացած տնտեսումներով, ինչպես նաև ՀՀ սահմանին ստեղծված իրավիճակով, որոնց հետևանքով հնարավոր չի եղել ամբողջ ծավալով իրականացնել նախատեսված շինարարական աշխատանքները: Նախորդ տարվա համեմատ տվյալ միջոցառման ծախսերն աճել են 2.2 անգամ կամ 1.3 մլրդ դրամով՝ պայմանավորված ՀՀ սահմանապահ զորքերի սահմանապահ ուղեկալների կառուցման անհրաժեշտությամբ:</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2022 թվականի ընթացքում Ազգային անվտանգության համակարգի տեխնիկական հագեցվածության բարելավման միջոցառման</w:t>
      </w:r>
      <w:r w:rsidRPr="001F63BA">
        <w:rPr>
          <w:rFonts w:ascii="GHEA Grapalat" w:hAnsi="GHEA Grapalat" w:cs="GHEA Grapalat"/>
          <w:sz w:val="22"/>
          <w:szCs w:val="22"/>
          <w:lang w:val="en-US"/>
        </w:rPr>
        <w:t xml:space="preserve"> շրջանակներում ծախսերը կազմել են շուրջ 844.8 մլն դրամ կամ ծրագրված ցուցանիշի </w:t>
      </w:r>
      <w:r w:rsidRPr="001F63BA">
        <w:rPr>
          <w:rFonts w:ascii="GHEA Grapalat" w:hAnsi="GHEA Grapalat" w:cs="Sylfaen"/>
          <w:sz w:val="22"/>
          <w:szCs w:val="22"/>
          <w:lang w:val="en-US"/>
        </w:rPr>
        <w:t xml:space="preserve">80.3%-ը: Շեղումը հիմնականում պայմանավորված է գնման մրցույթների արդյունքում ապրանքների և ծառայությունների՝ նախատեսվածից ցածր գներով ձեռքբերմամբ, ինչպես նաև որոշ հայտարարված </w:t>
      </w:r>
      <w:r w:rsidRPr="001F63BA">
        <w:rPr>
          <w:rFonts w:ascii="GHEA Grapalat" w:hAnsi="GHEA Grapalat" w:cs="GHEA Grapalat"/>
          <w:sz w:val="22"/>
          <w:szCs w:val="22"/>
        </w:rPr>
        <w:t xml:space="preserve">մրցույթներում գնային առաջարկ չներկայացնելու պատճառով </w:t>
      </w:r>
      <w:r w:rsidRPr="001F63BA">
        <w:rPr>
          <w:rFonts w:ascii="GHEA Grapalat" w:hAnsi="GHEA Grapalat" w:cs="GHEA Grapalat"/>
          <w:sz w:val="22"/>
          <w:szCs w:val="22"/>
          <w:lang w:val="en-US"/>
        </w:rPr>
        <w:t xml:space="preserve">մրցույթների </w:t>
      </w:r>
      <w:r w:rsidRPr="001F63BA">
        <w:rPr>
          <w:rFonts w:ascii="GHEA Grapalat" w:hAnsi="GHEA Grapalat" w:cs="GHEA Grapalat"/>
          <w:sz w:val="22"/>
          <w:szCs w:val="22"/>
        </w:rPr>
        <w:t>չկայա</w:t>
      </w:r>
      <w:r w:rsidRPr="001F63BA">
        <w:rPr>
          <w:rFonts w:ascii="GHEA Grapalat" w:hAnsi="GHEA Grapalat" w:cs="GHEA Grapalat"/>
          <w:sz w:val="22"/>
          <w:szCs w:val="22"/>
          <w:lang w:val="en-US"/>
        </w:rPr>
        <w:t>նալու հանգամանք</w:t>
      </w:r>
      <w:r w:rsidRPr="001F63BA">
        <w:rPr>
          <w:rFonts w:ascii="GHEA Grapalat" w:hAnsi="GHEA Grapalat" w:cs="GHEA Grapalat"/>
          <w:sz w:val="22"/>
          <w:szCs w:val="22"/>
        </w:rPr>
        <w:t xml:space="preserve">ով: Նախորդ տարվա համեմատ տվյալ միջոցառման ծախսերն աճել են </w:t>
      </w:r>
      <w:r w:rsidRPr="001F63BA">
        <w:rPr>
          <w:rFonts w:ascii="GHEA Grapalat" w:hAnsi="GHEA Grapalat" w:cs="GHEA Grapalat"/>
          <w:sz w:val="22"/>
          <w:szCs w:val="22"/>
          <w:lang w:val="en-US"/>
        </w:rPr>
        <w:t>2.8 անգամ</w:t>
      </w:r>
      <w:r w:rsidRPr="001F63BA">
        <w:rPr>
          <w:rFonts w:ascii="GHEA Grapalat" w:hAnsi="GHEA Grapalat" w:cs="GHEA Grapalat"/>
          <w:sz w:val="22"/>
          <w:szCs w:val="22"/>
        </w:rPr>
        <w:t xml:space="preserve"> կամ </w:t>
      </w:r>
      <w:r w:rsidRPr="001F63BA">
        <w:rPr>
          <w:rFonts w:ascii="GHEA Grapalat" w:hAnsi="GHEA Grapalat" w:cs="GHEA Grapalat"/>
          <w:sz w:val="22"/>
          <w:szCs w:val="22"/>
          <w:lang w:val="en-US"/>
        </w:rPr>
        <w:t>538.7 մլն</w:t>
      </w:r>
      <w:r w:rsidRPr="001F63BA">
        <w:rPr>
          <w:rFonts w:ascii="GHEA Grapalat" w:hAnsi="GHEA Grapalat" w:cs="GHEA Grapalat"/>
          <w:sz w:val="22"/>
          <w:szCs w:val="22"/>
        </w:rPr>
        <w:t xml:space="preserve"> դրամով՝ պայմանավորված տեխնիկական միջոցներով համակարգի համալրման անհրաժեշտությամբ:</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rPr>
        <w:t>Պետական պահպանության ապահովման</w:t>
      </w:r>
      <w:r w:rsidRPr="001F63BA">
        <w:rPr>
          <w:rFonts w:ascii="GHEA Grapalat" w:hAnsi="GHEA Grapalat" w:cs="GHEA Grapalat"/>
          <w:sz w:val="22"/>
          <w:szCs w:val="22"/>
        </w:rPr>
        <w:t xml:space="preserve"> ծրագրի շրջանակներում հաշվետու տարում օգտագործվել է </w:t>
      </w:r>
      <w:r w:rsidRPr="001F63BA">
        <w:rPr>
          <w:rFonts w:ascii="GHEA Grapalat" w:hAnsi="GHEA Grapalat" w:cs="GHEA Grapalat"/>
          <w:sz w:val="22"/>
          <w:szCs w:val="22"/>
          <w:lang w:val="en-US"/>
        </w:rPr>
        <w:t>շուրջ 5.1</w:t>
      </w:r>
      <w:r w:rsidRPr="001F63BA">
        <w:rPr>
          <w:rFonts w:ascii="GHEA Grapalat" w:hAnsi="GHEA Grapalat" w:cs="GHEA Grapalat"/>
          <w:sz w:val="22"/>
          <w:szCs w:val="22"/>
        </w:rPr>
        <w:t xml:space="preserve"> մլրդ դրամ՝ կազմելով ծրագրային ցուցանիշի </w:t>
      </w:r>
      <w:r w:rsidRPr="001F63BA">
        <w:rPr>
          <w:rFonts w:ascii="GHEA Grapalat" w:hAnsi="GHEA Grapalat" w:cs="GHEA Grapalat"/>
          <w:sz w:val="22"/>
          <w:szCs w:val="22"/>
          <w:lang w:val="en-US"/>
        </w:rPr>
        <w:t>98.3</w:t>
      </w:r>
      <w:r w:rsidRPr="001F63BA">
        <w:rPr>
          <w:rFonts w:ascii="GHEA Grapalat" w:hAnsi="GHEA Grapalat" w:cs="GHEA Grapalat"/>
          <w:sz w:val="22"/>
          <w:szCs w:val="22"/>
        </w:rPr>
        <w:t xml:space="preserve">%-ը: </w:t>
      </w:r>
      <w:r w:rsidRPr="001F63BA">
        <w:rPr>
          <w:rFonts w:ascii="GHEA Grapalat" w:hAnsi="GHEA Grapalat" w:cs="Sylfaen"/>
          <w:sz w:val="22"/>
          <w:szCs w:val="22"/>
        </w:rPr>
        <w:t>Շեղումը</w:t>
      </w:r>
      <w:r w:rsidRPr="001F63BA">
        <w:rPr>
          <w:rFonts w:ascii="GHEA Grapalat" w:hAnsi="GHEA Grapalat"/>
          <w:sz w:val="22"/>
          <w:szCs w:val="22"/>
        </w:rPr>
        <w:t xml:space="preserve"> հիմնականում </w:t>
      </w:r>
      <w:r w:rsidRPr="001F63BA">
        <w:rPr>
          <w:rFonts w:ascii="GHEA Grapalat" w:hAnsi="GHEA Grapalat" w:cs="GHEA Grapalat"/>
          <w:sz w:val="22"/>
          <w:szCs w:val="22"/>
        </w:rPr>
        <w:t>պայմանավորված</w:t>
      </w:r>
      <w:r w:rsidRPr="001F63BA">
        <w:rPr>
          <w:rFonts w:ascii="GHEA Grapalat" w:hAnsi="GHEA Grapalat"/>
          <w:sz w:val="22"/>
          <w:szCs w:val="22"/>
        </w:rPr>
        <w:t xml:space="preserve"> է</w:t>
      </w:r>
      <w:r w:rsidRPr="001F63BA">
        <w:rPr>
          <w:rFonts w:ascii="GHEA Grapalat" w:hAnsi="GHEA Grapalat"/>
          <w:sz w:val="22"/>
          <w:szCs w:val="22"/>
          <w:lang w:val="zu-ZA"/>
        </w:rPr>
        <w:t xml:space="preserve"> «Պետական պահպանության ծառայություններ»</w:t>
      </w:r>
      <w:r w:rsidRPr="001F63BA">
        <w:rPr>
          <w:rFonts w:ascii="GHEA Grapalat" w:hAnsi="GHEA Grapalat" w:cs="GHEA Grapalat"/>
          <w:sz w:val="22"/>
          <w:szCs w:val="22"/>
        </w:rPr>
        <w:t xml:space="preserve"> միջոցառման </w:t>
      </w:r>
      <w:r w:rsidRPr="001F63BA">
        <w:rPr>
          <w:rFonts w:ascii="GHEA Grapalat" w:hAnsi="GHEA Grapalat"/>
          <w:sz w:val="22"/>
          <w:szCs w:val="22"/>
          <w:lang w:val="zu-ZA"/>
        </w:rPr>
        <w:t xml:space="preserve">կատարողականով: </w:t>
      </w:r>
      <w:r w:rsidRPr="001F63BA">
        <w:rPr>
          <w:rFonts w:ascii="GHEA Grapalat" w:hAnsi="GHEA Grapalat" w:cs="GHEA Grapalat"/>
          <w:sz w:val="22"/>
          <w:szCs w:val="22"/>
        </w:rPr>
        <w:t xml:space="preserve">Նախորդ տարվա համեմատ պետական պահպանության ապահովման ծախսերն աճել են </w:t>
      </w:r>
      <w:r w:rsidRPr="001F63BA">
        <w:rPr>
          <w:rFonts w:ascii="GHEA Grapalat" w:hAnsi="GHEA Grapalat" w:cs="GHEA Grapalat"/>
          <w:sz w:val="22"/>
          <w:szCs w:val="22"/>
          <w:lang w:val="en-US"/>
        </w:rPr>
        <w:t>26.6</w:t>
      </w:r>
      <w:r w:rsidRPr="001F63BA">
        <w:rPr>
          <w:rFonts w:ascii="GHEA Grapalat" w:hAnsi="GHEA Grapalat" w:cs="GHEA Grapalat"/>
          <w:sz w:val="22"/>
          <w:szCs w:val="22"/>
        </w:rPr>
        <w:t xml:space="preserve">%-ով կամ </w:t>
      </w:r>
      <w:r w:rsidRPr="001F63BA">
        <w:rPr>
          <w:rFonts w:ascii="GHEA Grapalat" w:hAnsi="GHEA Grapalat" w:cs="GHEA Grapalat"/>
          <w:sz w:val="22"/>
          <w:szCs w:val="22"/>
          <w:lang w:val="en-US"/>
        </w:rPr>
        <w:t>1.1 մլրդ դրամով՝</w:t>
      </w:r>
      <w:r w:rsidRPr="001F63BA">
        <w:rPr>
          <w:rFonts w:ascii="GHEA Grapalat" w:hAnsi="GHEA Grapalat" w:cs="GHEA Grapalat"/>
          <w:sz w:val="22"/>
          <w:szCs w:val="22"/>
        </w:rPr>
        <w:t xml:space="preserve"> հիմնականում պայմանավորված Պետական պահպանության ծառայության և ՊՊԾ տրանսպորտային միջոցներով ապահովվածության բարելավման ծախսերի աճով։</w:t>
      </w:r>
    </w:p>
    <w:p w:rsidR="001C411D" w:rsidRPr="001F63BA" w:rsidRDefault="001C411D" w:rsidP="00A46A3C">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GHEA Grapalat"/>
          <w:sz w:val="22"/>
          <w:szCs w:val="22"/>
        </w:rPr>
        <w:lastRenderedPageBreak/>
        <w:t xml:space="preserve">Հաշվետու տարում </w:t>
      </w:r>
      <w:r w:rsidRPr="001F63BA">
        <w:rPr>
          <w:rFonts w:ascii="GHEA Grapalat" w:hAnsi="GHEA Grapalat"/>
          <w:sz w:val="22"/>
          <w:szCs w:val="22"/>
          <w:lang w:val="zu-ZA"/>
        </w:rPr>
        <w:t>«Պետական պահպանության ծառայություններ»</w:t>
      </w:r>
      <w:r w:rsidRPr="001F63BA">
        <w:rPr>
          <w:rFonts w:ascii="GHEA Grapalat" w:hAnsi="GHEA Grapalat" w:cs="GHEA Grapalat"/>
          <w:sz w:val="22"/>
          <w:szCs w:val="22"/>
        </w:rPr>
        <w:t xml:space="preserve"> միջոցառման</w:t>
      </w:r>
      <w:r w:rsidRPr="001F63BA">
        <w:rPr>
          <w:rFonts w:ascii="GHEA Grapalat" w:hAnsi="GHEA Grapalat"/>
          <w:sz w:val="22"/>
          <w:szCs w:val="22"/>
          <w:lang w:val="zu-ZA"/>
        </w:rPr>
        <w:t xml:space="preserve"> շրջանակներում ապահովվել է մշտապես պահպանվող 10 օբյեկտների 24-ժամյա անվտանգությունը: Միջոցառման </w:t>
      </w:r>
      <w:r w:rsidRPr="001F63BA">
        <w:rPr>
          <w:rFonts w:ascii="GHEA Grapalat" w:hAnsi="GHEA Grapalat" w:cs="GHEA Grapalat"/>
          <w:sz w:val="22"/>
          <w:szCs w:val="22"/>
        </w:rPr>
        <w:t>շրջանակներում</w:t>
      </w:r>
      <w:r w:rsidRPr="001F63BA">
        <w:rPr>
          <w:rFonts w:ascii="GHEA Grapalat" w:hAnsi="GHEA Grapalat"/>
          <w:sz w:val="22"/>
          <w:szCs w:val="22"/>
          <w:lang w:val="zu-ZA"/>
        </w:rPr>
        <w:t xml:space="preserve"> ծախսերը կազմել են </w:t>
      </w:r>
      <w:r w:rsidRPr="001F63BA">
        <w:rPr>
          <w:rFonts w:ascii="GHEA Grapalat" w:hAnsi="GHEA Grapalat" w:cs="GHEA Grapalat"/>
          <w:sz w:val="22"/>
          <w:szCs w:val="22"/>
          <w:lang w:val="en-US"/>
        </w:rPr>
        <w:t xml:space="preserve">ավելի քան 4.5 </w:t>
      </w:r>
      <w:r w:rsidRPr="001F63BA">
        <w:rPr>
          <w:rFonts w:ascii="GHEA Grapalat" w:hAnsi="GHEA Grapalat" w:cs="GHEA Grapalat"/>
          <w:sz w:val="22"/>
          <w:szCs w:val="22"/>
        </w:rPr>
        <w:t>մլրդ դրամ կամ</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ծրագրված ցուցանիշի 9</w:t>
      </w:r>
      <w:r w:rsidRPr="001F63BA">
        <w:rPr>
          <w:rFonts w:ascii="GHEA Grapalat" w:hAnsi="GHEA Grapalat" w:cs="GHEA Grapalat"/>
          <w:sz w:val="22"/>
          <w:szCs w:val="22"/>
          <w:lang w:val="en-US"/>
        </w:rPr>
        <w:t>8.8</w:t>
      </w:r>
      <w:r w:rsidRPr="001F63BA">
        <w:rPr>
          <w:rFonts w:ascii="GHEA Grapalat" w:hAnsi="GHEA Grapalat" w:cs="GHEA Grapalat"/>
          <w:sz w:val="22"/>
          <w:szCs w:val="22"/>
        </w:rPr>
        <w:t xml:space="preserve">%-ը: </w:t>
      </w:r>
      <w:r w:rsidRPr="001F63BA">
        <w:rPr>
          <w:rFonts w:ascii="GHEA Grapalat" w:hAnsi="GHEA Grapalat" w:cs="GHEA Grapalat"/>
          <w:sz w:val="22"/>
          <w:szCs w:val="22"/>
          <w:lang w:val="en-US"/>
        </w:rPr>
        <w:t xml:space="preserve">Շեղումը հիմնականում </w:t>
      </w:r>
      <w:r w:rsidRPr="001F63BA">
        <w:rPr>
          <w:rFonts w:ascii="GHEA Grapalat" w:hAnsi="GHEA Grapalat" w:cs="Sylfaen"/>
          <w:sz w:val="22"/>
          <w:szCs w:val="22"/>
        </w:rPr>
        <w:t>պայմանավորված է գործուղումների</w:t>
      </w:r>
      <w:r w:rsidRPr="001F63BA">
        <w:rPr>
          <w:rFonts w:ascii="GHEA Grapalat" w:hAnsi="GHEA Grapalat" w:cs="Sylfaen"/>
          <w:sz w:val="22"/>
          <w:szCs w:val="22"/>
          <w:lang w:val="en-US"/>
        </w:rPr>
        <w:t xml:space="preserve"> գծով</w:t>
      </w:r>
      <w:r w:rsidRPr="001F63BA">
        <w:rPr>
          <w:rFonts w:ascii="GHEA Grapalat" w:hAnsi="GHEA Grapalat" w:cs="Sylfaen"/>
          <w:sz w:val="22"/>
          <w:szCs w:val="22"/>
        </w:rPr>
        <w:t xml:space="preserve"> ծախսերի, ինչպես նաև</w:t>
      </w:r>
      <w:r w:rsidRPr="001F63BA">
        <w:rPr>
          <w:rFonts w:ascii="GHEA Grapalat" w:hAnsi="GHEA Grapalat" w:cs="Sylfaen"/>
          <w:sz w:val="22"/>
          <w:szCs w:val="22"/>
          <w:lang w:val="en-US"/>
        </w:rPr>
        <w:t xml:space="preserve"> </w:t>
      </w:r>
      <w:r w:rsidRPr="001F63BA">
        <w:rPr>
          <w:rFonts w:ascii="GHEA Grapalat" w:hAnsi="GHEA Grapalat" w:cs="Sylfaen"/>
          <w:sz w:val="22"/>
          <w:szCs w:val="22"/>
        </w:rPr>
        <w:t xml:space="preserve">տրանսպորտային միջոցների մասնակի թարմացման արդյունքում </w:t>
      </w:r>
      <w:r w:rsidRPr="001F63BA">
        <w:rPr>
          <w:rFonts w:ascii="GHEA Grapalat" w:hAnsi="GHEA Grapalat" w:cs="Sylfaen"/>
          <w:sz w:val="22"/>
          <w:szCs w:val="22"/>
          <w:lang w:val="en-US"/>
        </w:rPr>
        <w:t xml:space="preserve">դրանց </w:t>
      </w:r>
      <w:r w:rsidRPr="001F63BA">
        <w:rPr>
          <w:rFonts w:ascii="GHEA Grapalat" w:hAnsi="GHEA Grapalat" w:cs="Sylfaen"/>
          <w:sz w:val="22"/>
          <w:szCs w:val="22"/>
        </w:rPr>
        <w:t>սպասարկման ծախսերի</w:t>
      </w:r>
      <w:r w:rsidRPr="001F63BA">
        <w:rPr>
          <w:rFonts w:ascii="GHEA Grapalat" w:hAnsi="GHEA Grapalat" w:cs="Sylfaen"/>
          <w:sz w:val="22"/>
          <w:szCs w:val="22"/>
          <w:lang w:val="en-US"/>
        </w:rPr>
        <w:t xml:space="preserve"> խնայողությամբ</w:t>
      </w:r>
      <w:r w:rsidRPr="001F63BA">
        <w:rPr>
          <w:rFonts w:ascii="GHEA Grapalat" w:hAnsi="GHEA Grapalat" w:cs="Sylfaen"/>
          <w:sz w:val="22"/>
          <w:szCs w:val="22"/>
        </w:rPr>
        <w:t>:</w:t>
      </w:r>
      <w:r w:rsidRPr="001F63BA">
        <w:rPr>
          <w:rFonts w:ascii="GHEA Grapalat" w:hAnsi="GHEA Grapalat" w:cs="Sylfaen"/>
          <w:sz w:val="22"/>
          <w:szCs w:val="22"/>
          <w:lang w:val="en-US"/>
        </w:rPr>
        <w:t xml:space="preserve"> </w:t>
      </w:r>
      <w:r w:rsidRPr="001F63BA">
        <w:rPr>
          <w:rFonts w:ascii="GHEA Grapalat" w:hAnsi="GHEA Grapalat" w:cs="GHEA Grapalat"/>
          <w:sz w:val="22"/>
          <w:szCs w:val="22"/>
        </w:rPr>
        <w:t xml:space="preserve">Նախորդ տարվա </w:t>
      </w:r>
      <w:r w:rsidRPr="001F63BA">
        <w:rPr>
          <w:rFonts w:ascii="GHEA Grapalat" w:hAnsi="GHEA Grapalat" w:cs="Sylfaen"/>
          <w:sz w:val="22"/>
          <w:szCs w:val="22"/>
        </w:rPr>
        <w:t xml:space="preserve">համեմատ պետական պահպանության ծառայության ծախսերն աճել են 16.2%-ով կամ 635.2 մլն դրամով՝ </w:t>
      </w:r>
      <w:r w:rsidRPr="001F63BA">
        <w:rPr>
          <w:rFonts w:ascii="GHEA Grapalat" w:hAnsi="GHEA Grapalat" w:cs="Sylfaen"/>
          <w:sz w:val="22"/>
          <w:szCs w:val="22"/>
          <w:lang w:val="en-US"/>
        </w:rPr>
        <w:t xml:space="preserve">պայմանավորված </w:t>
      </w:r>
      <w:r w:rsidRPr="001F63BA">
        <w:rPr>
          <w:rFonts w:ascii="GHEA Grapalat" w:hAnsi="GHEA Grapalat" w:cs="Sylfaen"/>
          <w:sz w:val="22"/>
          <w:szCs w:val="22"/>
        </w:rPr>
        <w:t>հաստիքների ավելացման հետևանքով աշխատանքի վարձատրության ծախսերի աճով և հատուկ միջոցների ձեռքբերմա</w:t>
      </w:r>
      <w:r w:rsidRPr="001F63BA">
        <w:rPr>
          <w:rFonts w:ascii="GHEA Grapalat" w:hAnsi="GHEA Grapalat" w:cs="Sylfaen"/>
          <w:sz w:val="22"/>
          <w:szCs w:val="22"/>
          <w:lang w:val="en-US"/>
        </w:rPr>
        <w:t>մբ</w:t>
      </w:r>
      <w:r w:rsidRPr="001F63BA">
        <w:rPr>
          <w:rFonts w:ascii="GHEA Grapalat" w:hAnsi="GHEA Grapalat" w:cs="Sylfaen"/>
          <w:sz w:val="22"/>
          <w:szCs w:val="22"/>
        </w:rPr>
        <w:t>:</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sz w:val="22"/>
          <w:szCs w:val="22"/>
          <w:lang w:val="zu-ZA"/>
        </w:rPr>
        <w:t>ՊՊԾ տրանսպորտային</w:t>
      </w:r>
      <w:r w:rsidRPr="001F63BA">
        <w:rPr>
          <w:rFonts w:ascii="GHEA Grapalat" w:hAnsi="GHEA Grapalat" w:cs="GHEA Grapalat"/>
          <w:sz w:val="22"/>
          <w:szCs w:val="22"/>
          <w:lang w:val="zu-ZA"/>
        </w:rPr>
        <w:t xml:space="preserve"> </w:t>
      </w:r>
      <w:r w:rsidRPr="001F63BA">
        <w:rPr>
          <w:rFonts w:ascii="GHEA Grapalat" w:hAnsi="GHEA Grapalat" w:cs="GHEA Grapalat"/>
          <w:sz w:val="22"/>
          <w:szCs w:val="22"/>
        </w:rPr>
        <w:t>միջոցներով</w:t>
      </w:r>
      <w:r w:rsidRPr="001F63BA">
        <w:rPr>
          <w:rFonts w:ascii="GHEA Grapalat" w:hAnsi="GHEA Grapalat" w:cs="GHEA Grapalat"/>
          <w:sz w:val="22"/>
          <w:szCs w:val="22"/>
          <w:lang w:val="zu-ZA"/>
        </w:rPr>
        <w:t xml:space="preserve"> </w:t>
      </w:r>
      <w:r w:rsidRPr="001F63BA">
        <w:rPr>
          <w:rFonts w:ascii="GHEA Grapalat" w:hAnsi="GHEA Grapalat" w:cs="GHEA Grapalat"/>
          <w:sz w:val="22"/>
          <w:szCs w:val="22"/>
        </w:rPr>
        <w:t xml:space="preserve">ապահովվածության բարելավման միջոցառման շրջանակներում ձեռք է բերվել 3 հատ մարդատար ավտոմեքենա: Ծախսերը կազմել են 500.4 մլն դրամ՝ ապահովելով 100% կատարողական: Նախորդ տարվա համեմատ </w:t>
      </w:r>
      <w:r w:rsidRPr="001F63BA">
        <w:rPr>
          <w:rFonts w:ascii="GHEA Grapalat" w:hAnsi="GHEA Grapalat"/>
          <w:sz w:val="22"/>
          <w:szCs w:val="22"/>
          <w:lang w:val="zu-ZA"/>
        </w:rPr>
        <w:t>ՊՊԾ տրանսպորտային</w:t>
      </w:r>
      <w:r w:rsidRPr="001F63BA">
        <w:rPr>
          <w:rFonts w:ascii="GHEA Grapalat" w:hAnsi="GHEA Grapalat" w:cs="GHEA Grapalat"/>
          <w:sz w:val="22"/>
          <w:szCs w:val="22"/>
          <w:lang w:val="zu-ZA"/>
        </w:rPr>
        <w:t xml:space="preserve"> </w:t>
      </w:r>
      <w:r w:rsidRPr="001F63BA">
        <w:rPr>
          <w:rFonts w:ascii="GHEA Grapalat" w:hAnsi="GHEA Grapalat" w:cs="GHEA Grapalat"/>
          <w:sz w:val="22"/>
          <w:szCs w:val="22"/>
        </w:rPr>
        <w:t>միջոցներով</w:t>
      </w:r>
      <w:r w:rsidRPr="001F63BA">
        <w:rPr>
          <w:rFonts w:ascii="GHEA Grapalat" w:hAnsi="GHEA Grapalat" w:cs="GHEA Grapalat"/>
          <w:sz w:val="22"/>
          <w:szCs w:val="22"/>
          <w:lang w:val="zu-ZA"/>
        </w:rPr>
        <w:t xml:space="preserve"> </w:t>
      </w:r>
      <w:r w:rsidRPr="001F63BA">
        <w:rPr>
          <w:rFonts w:ascii="GHEA Grapalat" w:hAnsi="GHEA Grapalat" w:cs="GHEA Grapalat"/>
          <w:sz w:val="22"/>
          <w:szCs w:val="22"/>
        </w:rPr>
        <w:t>ապահովվածության բարելավման ծախսերն աճել են 5.4 անգամ կամ 406.9 մլն դրամով՝ պայմանավորված հատուկ նշանակության մեքենաների ձեռքբերմա</w:t>
      </w:r>
      <w:r w:rsidRPr="001F63BA">
        <w:rPr>
          <w:rFonts w:ascii="GHEA Grapalat" w:hAnsi="GHEA Grapalat" w:cs="GHEA Grapalat"/>
          <w:sz w:val="22"/>
          <w:szCs w:val="22"/>
          <w:lang w:val="en-US"/>
        </w:rPr>
        <w:t>մբ</w:t>
      </w:r>
      <w:r w:rsidRPr="001F63BA">
        <w:rPr>
          <w:rFonts w:ascii="GHEA Grapalat" w:hAnsi="GHEA Grapalat" w:cs="GHEA Grapalat"/>
          <w:sz w:val="22"/>
          <w:szCs w:val="22"/>
        </w:rPr>
        <w:t>:</w:t>
      </w:r>
    </w:p>
    <w:p w:rsidR="001C411D" w:rsidRPr="001F63BA" w:rsidRDefault="001C411D" w:rsidP="008E438A">
      <w:pPr>
        <w:spacing w:line="360" w:lineRule="auto"/>
        <w:ind w:firstLine="561"/>
        <w:jc w:val="both"/>
        <w:rPr>
          <w:rFonts w:ascii="GHEA Grapalat" w:hAnsi="GHEA Grapalat" w:cs="GHEA Grapalat"/>
          <w:sz w:val="22"/>
          <w:szCs w:val="22"/>
        </w:rPr>
      </w:pPr>
    </w:p>
    <w:p w:rsidR="001C411D" w:rsidRPr="001F63BA" w:rsidRDefault="001C411D" w:rsidP="00E84537">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Sylfaen"/>
          <w:i/>
          <w:sz w:val="22"/>
          <w:szCs w:val="22"/>
          <w:u w:val="single"/>
        </w:rPr>
        <w:t>ՀՀ ոստիկանության</w:t>
      </w:r>
      <w:r w:rsidRPr="001F63BA">
        <w:rPr>
          <w:rFonts w:ascii="GHEA Grapalat" w:hAnsi="GHEA Grapalat" w:cs="Sylfaen"/>
          <w:sz w:val="22"/>
          <w:szCs w:val="22"/>
        </w:rPr>
        <w:t xml:space="preserve"> պատասխանատվությամբ հաշվետու</w:t>
      </w:r>
      <w:r w:rsidRPr="001F63BA">
        <w:rPr>
          <w:rFonts w:ascii="GHEA Grapalat" w:hAnsi="GHEA Grapalat" w:cs="Times Armenian"/>
          <w:sz w:val="22"/>
          <w:szCs w:val="22"/>
        </w:rPr>
        <w:t xml:space="preserve"> </w:t>
      </w:r>
      <w:r w:rsidRPr="001F63BA">
        <w:rPr>
          <w:rFonts w:ascii="GHEA Grapalat" w:hAnsi="GHEA Grapalat" w:cs="Times Armenian"/>
          <w:sz w:val="22"/>
          <w:szCs w:val="22"/>
          <w:lang w:val="en-US"/>
        </w:rPr>
        <w:t>տարու</w:t>
      </w:r>
      <w:r w:rsidRPr="001F63BA">
        <w:rPr>
          <w:rFonts w:ascii="GHEA Grapalat" w:hAnsi="GHEA Grapalat" w:cs="Sylfaen"/>
          <w:sz w:val="22"/>
          <w:szCs w:val="22"/>
        </w:rPr>
        <w:t xml:space="preserve">մ իրականացվել են </w:t>
      </w:r>
      <w:r w:rsidRPr="001F63BA">
        <w:rPr>
          <w:rFonts w:ascii="GHEA Grapalat" w:hAnsi="GHEA Grapalat" w:cs="Sylfaen"/>
          <w:sz w:val="22"/>
          <w:szCs w:val="22"/>
          <w:lang w:val="en-US"/>
        </w:rPr>
        <w:t xml:space="preserve">երկու </w:t>
      </w:r>
      <w:r w:rsidRPr="001F63BA">
        <w:rPr>
          <w:rFonts w:ascii="GHEA Grapalat" w:hAnsi="GHEA Grapalat" w:cs="Sylfaen"/>
          <w:sz w:val="22"/>
          <w:szCs w:val="22"/>
        </w:rPr>
        <w:t>ծրագրեր, որոնց տրամադրվել է</w:t>
      </w:r>
      <w:r w:rsidRPr="001F63BA">
        <w:rPr>
          <w:rFonts w:ascii="GHEA Grapalat" w:hAnsi="GHEA Grapalat" w:cs="Times Armenian"/>
          <w:sz w:val="22"/>
          <w:szCs w:val="22"/>
        </w:rPr>
        <w:t xml:space="preserve"> շուրջ </w:t>
      </w:r>
      <w:r w:rsidRPr="001F63BA">
        <w:rPr>
          <w:rFonts w:ascii="GHEA Grapalat" w:hAnsi="GHEA Grapalat" w:cs="Times Armenian"/>
          <w:sz w:val="22"/>
          <w:szCs w:val="22"/>
          <w:lang w:val="en-US"/>
        </w:rPr>
        <w:t>80</w:t>
      </w:r>
      <w:r w:rsidRPr="001F63BA">
        <w:rPr>
          <w:rFonts w:ascii="GHEA Grapalat" w:hAnsi="GHEA Grapalat" w:cs="Times Armenian"/>
          <w:sz w:val="22"/>
          <w:szCs w:val="22"/>
        </w:rPr>
        <w:t xml:space="preserve"> </w:t>
      </w:r>
      <w:r w:rsidRPr="001F63BA">
        <w:rPr>
          <w:rFonts w:ascii="GHEA Grapalat" w:hAnsi="GHEA Grapalat" w:cs="Sylfaen"/>
          <w:sz w:val="22"/>
          <w:szCs w:val="22"/>
        </w:rPr>
        <w:t>մլրդ</w:t>
      </w:r>
      <w:r w:rsidRPr="001F63BA">
        <w:rPr>
          <w:rFonts w:ascii="GHEA Grapalat" w:hAnsi="GHEA Grapalat" w:cs="Times Armenian"/>
          <w:sz w:val="22"/>
          <w:szCs w:val="22"/>
        </w:rPr>
        <w:t xml:space="preserve"> </w:t>
      </w:r>
      <w:r w:rsidRPr="001F63BA">
        <w:rPr>
          <w:rFonts w:ascii="GHEA Grapalat" w:hAnsi="GHEA Grapalat" w:cs="Sylfaen"/>
          <w:sz w:val="22"/>
          <w:szCs w:val="22"/>
        </w:rPr>
        <w:t xml:space="preserve">դրամ՝ </w:t>
      </w:r>
      <w:r w:rsidRPr="001F63BA">
        <w:rPr>
          <w:rFonts w:ascii="GHEA Grapalat" w:hAnsi="GHEA Grapalat" w:cs="Times Armenian"/>
          <w:sz w:val="22"/>
          <w:szCs w:val="22"/>
        </w:rPr>
        <w:t>կազմելով ծրագրված ցուցանիշի</w:t>
      </w:r>
      <w:r w:rsidRPr="001F63BA">
        <w:rPr>
          <w:rFonts w:ascii="GHEA Grapalat" w:hAnsi="GHEA Grapalat" w:cs="Sylfaen"/>
          <w:sz w:val="22"/>
          <w:szCs w:val="22"/>
        </w:rPr>
        <w:t xml:space="preserve"> 98.</w:t>
      </w:r>
      <w:r w:rsidRPr="001F63BA">
        <w:rPr>
          <w:rFonts w:ascii="GHEA Grapalat" w:hAnsi="GHEA Grapalat" w:cs="Sylfaen"/>
          <w:sz w:val="22"/>
          <w:szCs w:val="22"/>
          <w:lang w:val="en-US"/>
        </w:rPr>
        <w:t>9</w:t>
      </w:r>
      <w:r w:rsidRPr="001F63BA">
        <w:rPr>
          <w:rFonts w:ascii="GHEA Grapalat" w:hAnsi="GHEA Grapalat" w:cs="Times Armenian"/>
          <w:sz w:val="22"/>
          <w:szCs w:val="22"/>
        </w:rPr>
        <w:t>%-ը: 202</w:t>
      </w:r>
      <w:r w:rsidRPr="001F63BA">
        <w:rPr>
          <w:rFonts w:ascii="GHEA Grapalat" w:hAnsi="GHEA Grapalat" w:cs="Times Armenian"/>
          <w:sz w:val="22"/>
          <w:szCs w:val="22"/>
          <w:lang w:val="en-US"/>
        </w:rPr>
        <w:t xml:space="preserve">1 </w:t>
      </w:r>
      <w:r w:rsidRPr="001F63BA">
        <w:rPr>
          <w:rFonts w:ascii="GHEA Grapalat" w:hAnsi="GHEA Grapalat" w:cs="Times Armenian"/>
          <w:sz w:val="22"/>
          <w:szCs w:val="22"/>
        </w:rPr>
        <w:t xml:space="preserve">թվականի համեմատ ՀՀ ոստիկանության ծախսերն աճել են </w:t>
      </w:r>
      <w:r w:rsidRPr="001F63BA">
        <w:rPr>
          <w:rFonts w:ascii="GHEA Grapalat" w:hAnsi="GHEA Grapalat" w:cs="Times Armenian"/>
          <w:sz w:val="22"/>
          <w:szCs w:val="22"/>
          <w:lang w:val="en-US"/>
        </w:rPr>
        <w:t>22.2</w:t>
      </w:r>
      <w:r w:rsidRPr="001F63BA">
        <w:rPr>
          <w:rFonts w:ascii="GHEA Grapalat" w:hAnsi="GHEA Grapalat" w:cs="Times Armenian"/>
          <w:sz w:val="22"/>
          <w:szCs w:val="22"/>
        </w:rPr>
        <w:t xml:space="preserve">%-ով կամ </w:t>
      </w:r>
      <w:r w:rsidRPr="001F63BA">
        <w:rPr>
          <w:rFonts w:ascii="GHEA Grapalat" w:hAnsi="GHEA Grapalat" w:cs="Times Armenian"/>
          <w:sz w:val="22"/>
          <w:szCs w:val="22"/>
          <w:lang w:val="en-US"/>
        </w:rPr>
        <w:t xml:space="preserve">14.5 </w:t>
      </w:r>
      <w:r w:rsidRPr="001F63BA">
        <w:rPr>
          <w:rFonts w:ascii="GHEA Grapalat" w:hAnsi="GHEA Grapalat" w:cs="Times Armenian"/>
          <w:sz w:val="22"/>
          <w:szCs w:val="22"/>
        </w:rPr>
        <w:t xml:space="preserve">մլրդ դրամով՝ պայմանավորված </w:t>
      </w:r>
      <w:r w:rsidRPr="001F63BA">
        <w:rPr>
          <w:rFonts w:ascii="GHEA Grapalat" w:hAnsi="GHEA Grapalat" w:cs="GHEA Grapalat"/>
          <w:sz w:val="22"/>
          <w:szCs w:val="22"/>
        </w:rPr>
        <w:t>Ոստիկանության</w:t>
      </w:r>
      <w:r w:rsidRPr="001F63BA">
        <w:rPr>
          <w:rFonts w:ascii="GHEA Grapalat" w:hAnsi="GHEA Grapalat" w:cs="Times Armenian"/>
          <w:sz w:val="22"/>
          <w:szCs w:val="22"/>
        </w:rPr>
        <w:t xml:space="preserve"> ոլորտի քաղաքականության մշակման, կառավարման, կենտրոնացված միջոցառումների, մոնիտորինգի և վերահսկողության ծրագրի շրջանակներում կատարված ծախսերի աճով:</w:t>
      </w:r>
    </w:p>
    <w:p w:rsidR="001C411D" w:rsidRPr="001F63BA" w:rsidRDefault="001C411D" w:rsidP="00A46A3C">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i/>
          <w:sz w:val="22"/>
          <w:szCs w:val="22"/>
        </w:rPr>
        <w:t>Ոստիկանության ոլորտի քաղաքականության մշակման, կառավարման, կենտրոնացված միջոցառումների, մոնիտորինգի ու վերահսկողության</w:t>
      </w:r>
      <w:r w:rsidRPr="001F63BA">
        <w:rPr>
          <w:rFonts w:ascii="GHEA Grapalat" w:hAnsi="GHEA Grapalat" w:cs="Times Armenian"/>
          <w:sz w:val="22"/>
          <w:szCs w:val="22"/>
        </w:rPr>
        <w:t xml:space="preserve"> ծրագրի շրջանակներում օգտագործվել է </w:t>
      </w:r>
      <w:r w:rsidRPr="001F63BA">
        <w:rPr>
          <w:rFonts w:ascii="GHEA Grapalat" w:hAnsi="GHEA Grapalat" w:cs="Times Armenian"/>
          <w:sz w:val="22"/>
          <w:szCs w:val="22"/>
          <w:lang w:val="en-US"/>
        </w:rPr>
        <w:t>78.4</w:t>
      </w:r>
      <w:r w:rsidRPr="001F63BA">
        <w:rPr>
          <w:rFonts w:ascii="Courier New" w:hAnsi="Courier New" w:cs="Courier New"/>
          <w:sz w:val="22"/>
          <w:szCs w:val="22"/>
        </w:rPr>
        <w:t> </w:t>
      </w:r>
      <w:r w:rsidRPr="001F63BA">
        <w:rPr>
          <w:rFonts w:ascii="GHEA Grapalat" w:hAnsi="GHEA Grapalat" w:cs="Times Armenian"/>
          <w:sz w:val="22"/>
          <w:szCs w:val="22"/>
        </w:rPr>
        <w:t>մլրդ դրամ կամ նախատեսված միջոցների 98.9%-ը:</w:t>
      </w:r>
      <w:r w:rsidRPr="001F63BA">
        <w:rPr>
          <w:rFonts w:ascii="GHEA Grapalat" w:hAnsi="GHEA Grapalat" w:cs="Times Armenian"/>
          <w:sz w:val="22"/>
          <w:szCs w:val="22"/>
          <w:lang w:val="en-US"/>
        </w:rPr>
        <w:t xml:space="preserve"> Շեղումը հիմնականում արձանագրվել է «ՀՀ ոստիկանության կարիքի բավարարում», «Ոստիկանության ոլորտի քաղաքականության մշակում, կառավարում, կենտրոնացված միջոցառումների, մոնիտորինգի և վերահսկողության իրականացում» և «</w:t>
      </w:r>
      <w:r w:rsidRPr="001F63BA">
        <w:rPr>
          <w:rFonts w:ascii="GHEA Grapalat" w:hAnsi="GHEA Grapalat" w:cs="GHEA Grapalat"/>
          <w:sz w:val="22"/>
          <w:szCs w:val="22"/>
        </w:rPr>
        <w:t>Ճանապարհային</w:t>
      </w:r>
      <w:r w:rsidRPr="001F63BA">
        <w:rPr>
          <w:rFonts w:ascii="GHEA Grapalat" w:hAnsi="GHEA Grapalat" w:cs="Times Armenian"/>
          <w:sz w:val="22"/>
          <w:szCs w:val="22"/>
          <w:lang w:val="en-US"/>
        </w:rPr>
        <w:t xml:space="preserve"> երթևեկության անվտանգության ապահովում և ճանապարհատրանսպորտային պատահարների կանխարգելում» միջոցառումների ծախսերում:</w:t>
      </w:r>
      <w:r w:rsidRPr="001F63BA">
        <w:rPr>
          <w:rFonts w:ascii="GHEA Grapalat" w:hAnsi="GHEA Grapalat" w:cs="Times Armenian"/>
          <w:sz w:val="22"/>
          <w:szCs w:val="22"/>
        </w:rPr>
        <w:t xml:space="preserve"> Նախորդ տարվա համեմատ Ոստիկանության ոլորտի քաղաքականության մշակման, կառավարման, կենտրոնացված միջոցառումների, մոնիտորինգի ու վերահսկողության ծրագրի ծախսերն աճել են 22.7%-ով կամ 14.5</w:t>
      </w:r>
      <w:r w:rsidRPr="001F63BA">
        <w:rPr>
          <w:rFonts w:ascii="Courier New" w:hAnsi="Courier New" w:cs="Courier New"/>
          <w:sz w:val="22"/>
          <w:szCs w:val="22"/>
          <w:lang w:val="en-US"/>
        </w:rPr>
        <w:t> </w:t>
      </w:r>
      <w:r w:rsidRPr="001F63BA">
        <w:rPr>
          <w:rFonts w:ascii="GHEA Grapalat" w:hAnsi="GHEA Grapalat" w:cs="Times Armenian"/>
          <w:sz w:val="22"/>
          <w:szCs w:val="22"/>
        </w:rPr>
        <w:t xml:space="preserve">մլրդ դրամով, որը հիմնականում </w:t>
      </w:r>
      <w:r w:rsidRPr="001F63BA">
        <w:rPr>
          <w:rFonts w:ascii="GHEA Grapalat" w:hAnsi="GHEA Grapalat" w:cs="Times Armenian"/>
          <w:sz w:val="22"/>
          <w:szCs w:val="22"/>
          <w:lang w:val="en-US"/>
        </w:rPr>
        <w:t>արձանագրվել է</w:t>
      </w:r>
      <w:r w:rsidRPr="001F63BA">
        <w:rPr>
          <w:rFonts w:ascii="GHEA Grapalat" w:hAnsi="GHEA Grapalat" w:cs="Times Armenian"/>
          <w:sz w:val="22"/>
          <w:szCs w:val="22"/>
        </w:rPr>
        <w:t xml:space="preserve"> կապիտալ ծախսերի և աշխատանքի վարձատրության ծախսերի </w:t>
      </w:r>
      <w:r w:rsidRPr="001F63BA">
        <w:rPr>
          <w:rFonts w:ascii="GHEA Grapalat" w:hAnsi="GHEA Grapalat" w:cs="Times Armenian"/>
          <w:sz w:val="22"/>
          <w:szCs w:val="22"/>
          <w:lang w:val="en-US"/>
        </w:rPr>
        <w:t>գծ</w:t>
      </w:r>
      <w:r w:rsidRPr="001F63BA">
        <w:rPr>
          <w:rFonts w:ascii="GHEA Grapalat" w:hAnsi="GHEA Grapalat" w:cs="Times Armenian"/>
          <w:sz w:val="22"/>
          <w:szCs w:val="22"/>
        </w:rPr>
        <w:t>ով՝ պայմանավորված պարեկային ծառայության և օպերատիվ կառավարման կենտրոնի ստեղծմամբ:</w:t>
      </w:r>
      <w:r w:rsidRPr="001F63BA">
        <w:rPr>
          <w:rFonts w:ascii="GHEA Grapalat" w:hAnsi="GHEA Grapalat" w:cs="Times Armenian"/>
          <w:sz w:val="22"/>
          <w:szCs w:val="22"/>
          <w:lang w:val="en-US"/>
        </w:rPr>
        <w:t xml:space="preserve"> Ծրագրի առանձին միջոցառումների գծով ծախսերի </w:t>
      </w:r>
      <w:r w:rsidRPr="001F63BA">
        <w:rPr>
          <w:rFonts w:ascii="GHEA Grapalat" w:hAnsi="GHEA Grapalat" w:cs="Times Armenian"/>
          <w:sz w:val="22"/>
          <w:szCs w:val="22"/>
          <w:lang w:val="en-US"/>
        </w:rPr>
        <w:lastRenderedPageBreak/>
        <w:t>համեմատություն նախորդ տարվա ցուցանիշների հետ չի ներկայացվել՝ պայմանավորված Ոստիկանության կառուցվածքային փոփոխությունների արդյունքում միջոցառումների միջև միջոցների վերաբաշխմամբ:</w:t>
      </w:r>
    </w:p>
    <w:p w:rsidR="001C411D" w:rsidRPr="001F63BA" w:rsidRDefault="001C411D" w:rsidP="00E84537">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Times Armenian"/>
          <w:sz w:val="22"/>
          <w:szCs w:val="22"/>
        </w:rPr>
        <w:t xml:space="preserve">Հաշվետու տարում 19.9 մլրդ դրամ ուղղվել է Ոստիկանության ոլորտի քաղաքականության մշակման, </w:t>
      </w:r>
      <w:r w:rsidRPr="001F63BA">
        <w:rPr>
          <w:rFonts w:ascii="GHEA Grapalat" w:hAnsi="GHEA Grapalat" w:cs="GHEA Grapalat"/>
          <w:sz w:val="22"/>
          <w:szCs w:val="22"/>
        </w:rPr>
        <w:t>կառավարման</w:t>
      </w:r>
      <w:r w:rsidRPr="001F63BA">
        <w:rPr>
          <w:rFonts w:ascii="GHEA Grapalat" w:hAnsi="GHEA Grapalat" w:cs="Times Armenian"/>
          <w:sz w:val="22"/>
          <w:szCs w:val="22"/>
        </w:rPr>
        <w:t>, կենտրոնացված միջոցառումների, մոնիտորինգի և վերահսկողության միջոցառմանը, որը կատարվել է 98.7%-ով: Շեղումը հիմնականում պայմանավորված է պարեկային ծառայության շենք-շինությունների համար չափագրման, քարտեզագրման, ինչպես նաև ընթացիկ նորոգման աշխատանքների գծով կատարողականների ժամկետներ</w:t>
      </w:r>
      <w:r w:rsidRPr="001F63BA">
        <w:rPr>
          <w:rFonts w:ascii="GHEA Grapalat" w:hAnsi="GHEA Grapalat" w:cs="Times Armenian"/>
          <w:sz w:val="22"/>
          <w:szCs w:val="22"/>
          <w:lang w:val="en-US"/>
        </w:rPr>
        <w:t>ի</w:t>
      </w:r>
      <w:r w:rsidRPr="001F63BA">
        <w:rPr>
          <w:rFonts w:ascii="GHEA Grapalat" w:hAnsi="GHEA Grapalat" w:cs="Times Armenian"/>
          <w:sz w:val="22"/>
          <w:szCs w:val="22"/>
        </w:rPr>
        <w:t xml:space="preserve"> երկարաձգ</w:t>
      </w:r>
      <w:r w:rsidRPr="001F63BA">
        <w:rPr>
          <w:rFonts w:ascii="GHEA Grapalat" w:hAnsi="GHEA Grapalat" w:cs="Times Armenian"/>
          <w:sz w:val="22"/>
          <w:szCs w:val="22"/>
          <w:lang w:val="en-US"/>
        </w:rPr>
        <w:t>մամբ</w:t>
      </w:r>
      <w:r w:rsidRPr="001F63BA">
        <w:rPr>
          <w:rFonts w:ascii="GHEA Grapalat" w:hAnsi="GHEA Grapalat" w:cs="Times Armenian"/>
          <w:sz w:val="22"/>
          <w:szCs w:val="22"/>
        </w:rPr>
        <w:t>,</w:t>
      </w:r>
      <w:r w:rsidRPr="001F63BA">
        <w:rPr>
          <w:rFonts w:ascii="GHEA Grapalat" w:hAnsi="GHEA Grapalat" w:cs="Times Armenian"/>
          <w:sz w:val="22"/>
          <w:szCs w:val="22"/>
          <w:lang w:val="en-US"/>
        </w:rPr>
        <w:t xml:space="preserve"> որոնց </w:t>
      </w:r>
      <w:r w:rsidRPr="001F63BA">
        <w:rPr>
          <w:rFonts w:ascii="GHEA Grapalat" w:hAnsi="GHEA Grapalat" w:cs="Times Armenian"/>
          <w:sz w:val="22"/>
          <w:szCs w:val="22"/>
        </w:rPr>
        <w:t>համար նախատեսված</w:t>
      </w:r>
      <w:r w:rsidRPr="001F63BA">
        <w:rPr>
          <w:rFonts w:ascii="GHEA Grapalat" w:hAnsi="GHEA Grapalat" w:cs="Times Armenian"/>
          <w:sz w:val="22"/>
          <w:szCs w:val="22"/>
          <w:lang w:val="en-US"/>
        </w:rPr>
        <w:t xml:space="preserve"> </w:t>
      </w:r>
      <w:r w:rsidRPr="001F63BA">
        <w:rPr>
          <w:rFonts w:ascii="GHEA Grapalat" w:hAnsi="GHEA Grapalat" w:cs="Times Armenian"/>
          <w:sz w:val="22"/>
          <w:szCs w:val="22"/>
        </w:rPr>
        <w:t>վճարումները տեղափոխ</w:t>
      </w:r>
      <w:r w:rsidRPr="001F63BA">
        <w:rPr>
          <w:rFonts w:ascii="GHEA Grapalat" w:hAnsi="GHEA Grapalat" w:cs="Times Armenian"/>
          <w:sz w:val="22"/>
          <w:szCs w:val="22"/>
          <w:lang w:val="en-US"/>
        </w:rPr>
        <w:t>վ</w:t>
      </w:r>
      <w:r w:rsidRPr="001F63BA">
        <w:rPr>
          <w:rFonts w:ascii="GHEA Grapalat" w:hAnsi="GHEA Grapalat" w:cs="Times Armenian"/>
          <w:sz w:val="22"/>
          <w:szCs w:val="22"/>
        </w:rPr>
        <w:t>ել</w:t>
      </w:r>
      <w:r w:rsidRPr="001F63BA">
        <w:rPr>
          <w:rFonts w:ascii="GHEA Grapalat" w:hAnsi="GHEA Grapalat" w:cs="Times Armenian"/>
          <w:sz w:val="22"/>
          <w:szCs w:val="22"/>
          <w:lang w:val="en-US"/>
        </w:rPr>
        <w:t xml:space="preserve"> են</w:t>
      </w:r>
      <w:r w:rsidRPr="001F63BA">
        <w:rPr>
          <w:rFonts w:ascii="GHEA Grapalat" w:hAnsi="GHEA Grapalat" w:cs="Times Armenian"/>
          <w:sz w:val="22"/>
          <w:szCs w:val="22"/>
        </w:rPr>
        <w:t xml:space="preserve"> 2023 թվական</w:t>
      </w:r>
      <w:r w:rsidRPr="001F63BA">
        <w:rPr>
          <w:rFonts w:ascii="GHEA Grapalat" w:hAnsi="GHEA Grapalat" w:cs="Times Armenian"/>
          <w:sz w:val="22"/>
          <w:szCs w:val="22"/>
          <w:lang w:val="en-US"/>
        </w:rPr>
        <w:t xml:space="preserve">: </w:t>
      </w:r>
      <w:r w:rsidRPr="001F63BA">
        <w:rPr>
          <w:rFonts w:ascii="GHEA Grapalat" w:hAnsi="GHEA Grapalat" w:cs="Times Armenian"/>
          <w:sz w:val="22"/>
          <w:szCs w:val="22"/>
        </w:rPr>
        <w:t xml:space="preserve">Նախորդ տարվա համեմատ նշված ծախսերի </w:t>
      </w:r>
      <w:r w:rsidRPr="001F63BA">
        <w:rPr>
          <w:rFonts w:ascii="GHEA Grapalat" w:hAnsi="GHEA Grapalat" w:cs="Times Armenian"/>
          <w:sz w:val="22"/>
          <w:szCs w:val="22"/>
          <w:lang w:val="en-US"/>
        </w:rPr>
        <w:t>54.3</w:t>
      </w:r>
      <w:r w:rsidRPr="001F63BA">
        <w:rPr>
          <w:rFonts w:ascii="GHEA Grapalat" w:hAnsi="GHEA Grapalat" w:cs="Times Armenian"/>
          <w:sz w:val="22"/>
          <w:szCs w:val="22"/>
        </w:rPr>
        <w:t>% (</w:t>
      </w:r>
      <w:r w:rsidRPr="001F63BA">
        <w:rPr>
          <w:rFonts w:ascii="GHEA Grapalat" w:hAnsi="GHEA Grapalat" w:cs="Times Armenian"/>
          <w:sz w:val="22"/>
          <w:szCs w:val="22"/>
          <w:lang w:val="en-US"/>
        </w:rPr>
        <w:t>7</w:t>
      </w:r>
      <w:r w:rsidRPr="001F63BA">
        <w:rPr>
          <w:rFonts w:ascii="GHEA Grapalat" w:hAnsi="GHEA Grapalat" w:cs="Times Armenian"/>
          <w:sz w:val="22"/>
          <w:szCs w:val="22"/>
        </w:rPr>
        <w:t xml:space="preserve"> մլրդ դրամ) աճը պայմանավորված է 2021 թվականի հուլիսի 7-ից</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Երևան քաղաքում, իսկ 2022 թվականի ապրիլի 16-ից</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Շիրակի և Լոռու մարզերում Պարեկային ծառայության և Օպերատիվ կառավարման կենտրոնների ստեղծմամբ:</w:t>
      </w:r>
    </w:p>
    <w:p w:rsidR="001C411D" w:rsidRPr="001F63BA" w:rsidRDefault="001C411D" w:rsidP="007A3082">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rPr>
        <w:t xml:space="preserve">Պետական պահպանության ծառայությունների կազմակերպման և իրականացման միջոցառման շրջանակներում պետական պահպանության ծառայությունների կողմից պահպանվող օբյեկտների թիվը կազմել է 3421՝ նախատեսված 3724-ի դիմաց, որը պայմանավորված է պետական պահպանության գլխավոր վարչության բարեփոխումների հետևանքով պահպանվող մասնավոր օբյեկտների թվի նվազմամբ: Միջոցառման ծախսերը կազմել են 8.1 մլրդ դրամ կամ ծրագրված ցուցանիշի 99.9%-ը: </w:t>
      </w:r>
    </w:p>
    <w:p w:rsidR="001C411D" w:rsidRPr="001F63BA" w:rsidRDefault="001C411D" w:rsidP="00E84537">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lang w:val="en-US"/>
        </w:rPr>
        <w:t>Շ</w:t>
      </w:r>
      <w:r w:rsidRPr="001F63BA">
        <w:rPr>
          <w:rFonts w:ascii="GHEA Grapalat" w:hAnsi="GHEA Grapalat" w:cs="Times Armenian"/>
          <w:sz w:val="22"/>
          <w:szCs w:val="22"/>
        </w:rPr>
        <w:t xml:space="preserve">ուրջ 18.7 մլրդ դրամ </w:t>
      </w:r>
      <w:r w:rsidRPr="001F63BA">
        <w:rPr>
          <w:rFonts w:ascii="GHEA Grapalat" w:hAnsi="GHEA Grapalat" w:cs="Times Armenian"/>
          <w:sz w:val="22"/>
          <w:szCs w:val="22"/>
          <w:lang w:val="en-US"/>
        </w:rPr>
        <w:t>է տրամադրվել պ</w:t>
      </w:r>
      <w:r w:rsidRPr="001F63BA">
        <w:rPr>
          <w:rFonts w:ascii="GHEA Grapalat" w:hAnsi="GHEA Grapalat" w:cs="Times Armenian"/>
          <w:sz w:val="22"/>
          <w:szCs w:val="22"/>
        </w:rPr>
        <w:t xml:space="preserve">ետական </w:t>
      </w:r>
      <w:r w:rsidRPr="001F63BA">
        <w:rPr>
          <w:rFonts w:ascii="GHEA Grapalat" w:hAnsi="GHEA Grapalat" w:cs="GHEA Grapalat"/>
          <w:sz w:val="22"/>
          <w:szCs w:val="22"/>
        </w:rPr>
        <w:t>պահպանության</w:t>
      </w:r>
      <w:r w:rsidRPr="001F63BA">
        <w:rPr>
          <w:rFonts w:ascii="GHEA Grapalat" w:hAnsi="GHEA Grapalat" w:cs="Times Armenian"/>
          <w:sz w:val="22"/>
          <w:szCs w:val="22"/>
        </w:rPr>
        <w:t xml:space="preserve"> ծառայություններ մատուցող ՀՀ ոստիկանության ստորաբաժանումների կարիքի բավարարման միջոցառմանը՝ ապահովելով 100% կատարողական: </w:t>
      </w:r>
    </w:p>
    <w:p w:rsidR="001C411D" w:rsidRPr="001F63BA" w:rsidRDefault="001C411D" w:rsidP="00E84537">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rPr>
        <w:t>Ճանապարհային երթևեկության անվտանգության ապահովման և ճանապարհատրանսպոր-տային պատահարների կանխարգելման միջոցառման շրջանակներում ծախսերը կատարվել են 98%-ով՝ կազմելով շուրջ 10 մլրդ դրամ: Ծրագրից շեղումը հիմնականում պայմանավորված է գնման առարկաների և տեխնիկական բնութագրերի անհամապատասխանության արդյունքում պայմանագրերի</w:t>
      </w:r>
      <w:r w:rsidRPr="001F63BA">
        <w:rPr>
          <w:rFonts w:ascii="GHEA Grapalat" w:hAnsi="GHEA Grapalat" w:cs="Times Armenian"/>
          <w:sz w:val="22"/>
          <w:szCs w:val="22"/>
          <w:lang w:val="en-US"/>
        </w:rPr>
        <w:t xml:space="preserve"> լուծմամբ</w:t>
      </w:r>
      <w:r w:rsidRPr="001F63BA">
        <w:rPr>
          <w:rFonts w:ascii="GHEA Grapalat" w:hAnsi="GHEA Grapalat" w:cs="Times Armenian"/>
          <w:sz w:val="22"/>
          <w:szCs w:val="22"/>
        </w:rPr>
        <w:t xml:space="preserve">, ինչպես նաև գնումների ընթացակարգերի արդյունքում </w:t>
      </w:r>
      <w:r w:rsidRPr="001F63BA">
        <w:rPr>
          <w:rFonts w:ascii="GHEA Grapalat" w:hAnsi="GHEA Grapalat" w:cs="Times Armenian"/>
          <w:sz w:val="22"/>
          <w:szCs w:val="22"/>
          <w:lang w:val="en-US"/>
        </w:rPr>
        <w:t>առաջացած</w:t>
      </w:r>
      <w:r w:rsidRPr="001F63BA">
        <w:rPr>
          <w:rFonts w:ascii="GHEA Grapalat" w:hAnsi="GHEA Grapalat" w:cs="Times Armenian"/>
          <w:sz w:val="22"/>
          <w:szCs w:val="22"/>
        </w:rPr>
        <w:t xml:space="preserve"> տնտեսումներով:</w:t>
      </w:r>
    </w:p>
    <w:p w:rsidR="001C411D" w:rsidRPr="001F63BA" w:rsidRDefault="001C411D" w:rsidP="00E84537">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rPr>
        <w:t xml:space="preserve">Հասարակական կարգի պահպանության, անվտանգության ապահովման և հանցագործությունների դեմ </w:t>
      </w:r>
      <w:r w:rsidRPr="001F63BA">
        <w:rPr>
          <w:rFonts w:ascii="GHEA Grapalat" w:hAnsi="GHEA Grapalat" w:cs="GHEA Grapalat"/>
          <w:sz w:val="22"/>
          <w:szCs w:val="22"/>
        </w:rPr>
        <w:t>պայքարի</w:t>
      </w:r>
      <w:r w:rsidRPr="001F63BA">
        <w:rPr>
          <w:rFonts w:ascii="GHEA Grapalat" w:hAnsi="GHEA Grapalat" w:cs="Times Armenian"/>
          <w:sz w:val="22"/>
          <w:szCs w:val="22"/>
        </w:rPr>
        <w:t xml:space="preserve"> միջոցառման ծախսերը կատարվել են 99.9%-ով՝ կազմելով ավելի քան 6.8 մլրդ դրամ:</w:t>
      </w:r>
    </w:p>
    <w:p w:rsidR="001C411D" w:rsidRPr="001F63BA" w:rsidRDefault="001C411D" w:rsidP="00A46A3C">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rPr>
        <w:t xml:space="preserve">Անձի </w:t>
      </w:r>
      <w:r w:rsidRPr="001F63BA">
        <w:rPr>
          <w:rFonts w:ascii="GHEA Grapalat" w:hAnsi="GHEA Grapalat" w:cs="GHEA Grapalat"/>
          <w:sz w:val="22"/>
          <w:szCs w:val="22"/>
        </w:rPr>
        <w:t>անհատական</w:t>
      </w:r>
      <w:r w:rsidRPr="001F63BA">
        <w:rPr>
          <w:rFonts w:ascii="GHEA Grapalat" w:hAnsi="GHEA Grapalat" w:cs="Times Armenian"/>
          <w:sz w:val="22"/>
          <w:szCs w:val="22"/>
        </w:rPr>
        <w:t xml:space="preserve"> տվյալների, քաղաքացիության և հաշվառման վերաբերյալ տեղեկությունների ստացման, տրամադրման և փոխանակման ծառայությունների մատուցման, </w:t>
      </w:r>
      <w:r w:rsidRPr="001F63BA">
        <w:rPr>
          <w:rFonts w:ascii="GHEA Grapalat" w:hAnsi="GHEA Grapalat" w:cs="Times Armenian"/>
          <w:sz w:val="22"/>
          <w:szCs w:val="22"/>
        </w:rPr>
        <w:lastRenderedPageBreak/>
        <w:t>ճամփորդական փաստաթղթերում կենսաչափական տեխնոլոգիաների ներդրման նպատակով օգտագործվել է 3.1 մլրդ դրամ, որը կազմել է ծրագրված ցուցանիշի 97.9%-ը:</w:t>
      </w:r>
      <w:r w:rsidRPr="001F63BA">
        <w:rPr>
          <w:rFonts w:ascii="GHEA Grapalat" w:hAnsi="GHEA Grapalat" w:cs="Times Armenian"/>
          <w:sz w:val="22"/>
          <w:szCs w:val="22"/>
          <w:lang w:val="en-US"/>
        </w:rPr>
        <w:t xml:space="preserve"> </w:t>
      </w:r>
      <w:r w:rsidRPr="001F63BA">
        <w:rPr>
          <w:rFonts w:ascii="GHEA Grapalat" w:hAnsi="GHEA Grapalat" w:cs="Times Armenian"/>
          <w:sz w:val="22"/>
          <w:szCs w:val="22"/>
        </w:rPr>
        <w:t>Միջոցառման շրջանակներում սահմանված արդյունքային չափորոշիչների գծով արձանագրվել են ինչպես գերակատարումներ, այնպես էլ թերակատարումներ՝ պայմանավորված քաղաքացիների դիմելիությամբ:</w:t>
      </w:r>
    </w:p>
    <w:p w:rsidR="001C411D" w:rsidRPr="001F63BA" w:rsidRDefault="001C411D" w:rsidP="00A33334">
      <w:pPr>
        <w:autoSpaceDE w:val="0"/>
        <w:autoSpaceDN w:val="0"/>
        <w:adjustRightInd w:val="0"/>
        <w:spacing w:line="360" w:lineRule="auto"/>
        <w:ind w:firstLine="567"/>
        <w:jc w:val="both"/>
        <w:rPr>
          <w:rFonts w:ascii="GHEA Grapalat" w:hAnsi="GHEA Grapalat" w:cs="Times Armenian"/>
          <w:sz w:val="22"/>
          <w:szCs w:val="22"/>
          <w:lang w:val="en-US"/>
        </w:rPr>
      </w:pPr>
      <w:r w:rsidRPr="001F63BA">
        <w:rPr>
          <w:rFonts w:ascii="GHEA Grapalat" w:hAnsi="GHEA Grapalat" w:cs="Times Armenian"/>
          <w:sz w:val="22"/>
          <w:szCs w:val="22"/>
          <w:lang w:val="zu-ZA"/>
        </w:rPr>
        <w:t xml:space="preserve">ՀՀ ոստիկանության կարիքի բավարարման շրջանակներում միջոցներն ուղղվել են ՀՀ ոստիկանության </w:t>
      </w:r>
      <w:r w:rsidRPr="001F63BA">
        <w:rPr>
          <w:rFonts w:ascii="GHEA Grapalat" w:hAnsi="GHEA Grapalat" w:cs="GHEA Grapalat"/>
          <w:sz w:val="22"/>
          <w:szCs w:val="22"/>
        </w:rPr>
        <w:t>նյութատեխնիկական</w:t>
      </w:r>
      <w:r w:rsidRPr="001F63BA">
        <w:rPr>
          <w:rFonts w:ascii="GHEA Grapalat" w:hAnsi="GHEA Grapalat" w:cs="Times Armenian"/>
          <w:sz w:val="22"/>
          <w:szCs w:val="22"/>
          <w:lang w:val="zu-ZA"/>
        </w:rPr>
        <w:t xml:space="preserve"> բազայով </w:t>
      </w:r>
      <w:r w:rsidRPr="001F63BA">
        <w:rPr>
          <w:rFonts w:ascii="GHEA Grapalat" w:hAnsi="GHEA Grapalat" w:cs="Times Armenian"/>
          <w:sz w:val="22"/>
          <w:szCs w:val="22"/>
        </w:rPr>
        <w:t xml:space="preserve">ապահովմանը: Միջոցառմանը տրամադրվել է շուրջ 11.2 մլրդ դրամ, որը կազմել է ծրագրված ցուցանիշի 96.9%-ը: Վերջինս հիմնականում պայմանավորված է պարեկային ծառայության և օպերատիվ կառավարման կենտրոնի կարիքների վերանայման արդյունքում մասնակի գնման առարկաների պահանջարկը </w:t>
      </w:r>
      <w:r w:rsidRPr="001F63BA">
        <w:rPr>
          <w:rFonts w:ascii="GHEA Grapalat" w:hAnsi="GHEA Grapalat" w:cs="Times Armenian"/>
          <w:sz w:val="22"/>
          <w:szCs w:val="22"/>
          <w:lang w:val="en-US"/>
        </w:rPr>
        <w:t xml:space="preserve">2023 թվական </w:t>
      </w:r>
      <w:r w:rsidRPr="001F63BA">
        <w:rPr>
          <w:rFonts w:ascii="GHEA Grapalat" w:hAnsi="GHEA Grapalat" w:cs="Times Armenian"/>
          <w:sz w:val="22"/>
          <w:szCs w:val="22"/>
        </w:rPr>
        <w:t>տեղափոխելու հանգամանքով, ինչպես նաև գնումների գործընթացի արդյունքում տնտեսված միջոցներով:</w:t>
      </w:r>
    </w:p>
    <w:p w:rsidR="001C411D" w:rsidRPr="001F63BA" w:rsidRDefault="001C411D" w:rsidP="00A46A3C">
      <w:pPr>
        <w:autoSpaceDE w:val="0"/>
        <w:autoSpaceDN w:val="0"/>
        <w:adjustRightInd w:val="0"/>
        <w:spacing w:line="360" w:lineRule="auto"/>
        <w:ind w:firstLine="567"/>
        <w:jc w:val="both"/>
        <w:rPr>
          <w:rFonts w:ascii="GHEA Grapalat" w:hAnsi="GHEA Grapalat" w:cs="Times Armenian"/>
          <w:sz w:val="22"/>
          <w:szCs w:val="22"/>
          <w:lang w:val="zu-ZA"/>
        </w:rPr>
      </w:pPr>
      <w:r w:rsidRPr="001F63BA">
        <w:rPr>
          <w:rFonts w:ascii="GHEA Grapalat" w:hAnsi="GHEA Grapalat" w:cs="Times Armenian"/>
          <w:sz w:val="22"/>
          <w:szCs w:val="22"/>
        </w:rPr>
        <w:t>2022 թվականի ընթացքում</w:t>
      </w:r>
      <w:r w:rsidRPr="001F63BA">
        <w:rPr>
          <w:rFonts w:ascii="GHEA Grapalat" w:hAnsi="GHEA Grapalat" w:cs="Times Armenian"/>
          <w:sz w:val="22"/>
          <w:szCs w:val="22"/>
          <w:lang w:val="zu-ZA"/>
        </w:rPr>
        <w:t xml:space="preserve"> </w:t>
      </w:r>
      <w:r w:rsidRPr="001F63BA">
        <w:rPr>
          <w:rFonts w:ascii="GHEA Grapalat" w:hAnsi="GHEA Grapalat" w:cs="Sylfaen"/>
          <w:i/>
          <w:sz w:val="22"/>
          <w:szCs w:val="22"/>
        </w:rPr>
        <w:t>Ոստիկանության</w:t>
      </w:r>
      <w:r w:rsidRPr="001F63BA">
        <w:rPr>
          <w:rFonts w:ascii="GHEA Grapalat" w:hAnsi="GHEA Grapalat" w:cs="Sylfaen"/>
          <w:i/>
          <w:sz w:val="22"/>
          <w:szCs w:val="22"/>
          <w:lang w:val="zu-ZA"/>
        </w:rPr>
        <w:t xml:space="preserve"> </w:t>
      </w:r>
      <w:r w:rsidRPr="001F63BA">
        <w:rPr>
          <w:rFonts w:ascii="GHEA Grapalat" w:hAnsi="GHEA Grapalat" w:cs="Sylfaen"/>
          <w:i/>
          <w:sz w:val="22"/>
          <w:szCs w:val="22"/>
        </w:rPr>
        <w:t>կրթական</w:t>
      </w:r>
      <w:r w:rsidRPr="001F63BA">
        <w:rPr>
          <w:rFonts w:ascii="GHEA Grapalat" w:hAnsi="GHEA Grapalat" w:cs="Sylfaen"/>
          <w:i/>
          <w:sz w:val="22"/>
          <w:szCs w:val="22"/>
          <w:lang w:val="zu-ZA"/>
        </w:rPr>
        <w:t xml:space="preserve"> </w:t>
      </w:r>
      <w:r w:rsidRPr="001F63BA">
        <w:rPr>
          <w:rFonts w:ascii="GHEA Grapalat" w:hAnsi="GHEA Grapalat" w:cs="Sylfaen"/>
          <w:i/>
          <w:sz w:val="22"/>
          <w:szCs w:val="22"/>
        </w:rPr>
        <w:t>ծառայությունների</w:t>
      </w:r>
      <w:r w:rsidRPr="001F63BA">
        <w:rPr>
          <w:rFonts w:ascii="GHEA Grapalat" w:hAnsi="GHEA Grapalat" w:cs="Sylfaen"/>
          <w:sz w:val="22"/>
          <w:szCs w:val="22"/>
          <w:lang w:val="zu-ZA"/>
        </w:rPr>
        <w:t xml:space="preserve"> </w:t>
      </w:r>
      <w:r w:rsidRPr="001F63BA">
        <w:rPr>
          <w:rFonts w:ascii="GHEA Grapalat" w:hAnsi="GHEA Grapalat" w:cs="Times Armenian"/>
          <w:sz w:val="22"/>
          <w:szCs w:val="22"/>
        </w:rPr>
        <w:t>ծրագրին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հատկացված</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միջոցներն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ուղղվել</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են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Ոստիկանության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ծառայողներին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նախնական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միջին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և</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բարձրագույն</w:t>
      </w:r>
      <w:r w:rsidRPr="001F63BA">
        <w:rPr>
          <w:rFonts w:ascii="GHEA Grapalat" w:hAnsi="GHEA Grapalat" w:cs="Times Armenian"/>
          <w:sz w:val="22"/>
          <w:szCs w:val="22"/>
          <w:lang w:val="zu-ZA"/>
        </w:rPr>
        <w:t xml:space="preserve"> </w:t>
      </w:r>
      <w:r w:rsidRPr="001F63BA">
        <w:rPr>
          <w:rFonts w:ascii="GHEA Grapalat" w:hAnsi="GHEA Grapalat" w:cs="Sylfaen"/>
          <w:sz w:val="22"/>
          <w:szCs w:val="22"/>
        </w:rPr>
        <w:t>կրթական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ծառայությունների</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մատուցմանը</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Ծրագրի</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շրջանակներում</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բակալավրիատի</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կրթական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ծրագրով</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առկա</w:t>
      </w:r>
      <w:r w:rsidRPr="001F63BA">
        <w:rPr>
          <w:rFonts w:ascii="GHEA Grapalat" w:hAnsi="GHEA Grapalat" w:cs="Times Armenian"/>
          <w:sz w:val="22"/>
          <w:szCs w:val="22"/>
          <w:lang w:val="zu-ZA"/>
        </w:rPr>
        <w:t xml:space="preserve"> </w:t>
      </w:r>
      <w:r w:rsidRPr="001F63BA">
        <w:rPr>
          <w:rFonts w:ascii="GHEA Grapalat" w:hAnsi="GHEA Grapalat" w:cs="GHEA Grapalat"/>
          <w:sz w:val="22"/>
          <w:szCs w:val="22"/>
        </w:rPr>
        <w:t>ուսուցում</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է</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ստացել</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ՀՀ</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ոստիկանության</w:t>
      </w:r>
      <w:r w:rsidRPr="001F63BA">
        <w:rPr>
          <w:rFonts w:ascii="GHEA Grapalat" w:hAnsi="GHEA Grapalat" w:cs="Times Armenian"/>
          <w:sz w:val="22"/>
          <w:szCs w:val="22"/>
          <w:lang w:val="zu-ZA"/>
        </w:rPr>
        <w:t xml:space="preserve"> 133 </w:t>
      </w:r>
      <w:r w:rsidRPr="001F63BA">
        <w:rPr>
          <w:rFonts w:ascii="GHEA Grapalat" w:hAnsi="GHEA Grapalat" w:cs="Times Armenian"/>
          <w:sz w:val="22"/>
          <w:szCs w:val="22"/>
        </w:rPr>
        <w:t>ծառայող՝</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նախատեսված</w:t>
      </w:r>
      <w:r w:rsidRPr="001F63BA">
        <w:rPr>
          <w:rFonts w:ascii="GHEA Grapalat" w:hAnsi="GHEA Grapalat" w:cs="Times Armenian"/>
          <w:sz w:val="22"/>
          <w:szCs w:val="22"/>
          <w:lang w:val="zu-ZA"/>
        </w:rPr>
        <w:t xml:space="preserve"> 212-</w:t>
      </w:r>
      <w:r w:rsidRPr="001F63BA">
        <w:rPr>
          <w:rFonts w:ascii="GHEA Grapalat" w:hAnsi="GHEA Grapalat" w:cs="Times Armenian"/>
          <w:sz w:val="22"/>
          <w:szCs w:val="22"/>
        </w:rPr>
        <w:t>ի</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դիմաց</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մագիստրատուրայի</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կրթական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ծրագրով</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առկա</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ուսուցում</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է</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ստացել</w:t>
      </w:r>
      <w:r w:rsidRPr="001F63BA">
        <w:rPr>
          <w:rFonts w:ascii="GHEA Grapalat" w:hAnsi="GHEA Grapalat" w:cs="Times Armenian"/>
          <w:sz w:val="22"/>
          <w:szCs w:val="22"/>
          <w:lang w:val="zu-ZA"/>
        </w:rPr>
        <w:t xml:space="preserve"> 3 </w:t>
      </w:r>
      <w:r w:rsidRPr="001F63BA">
        <w:rPr>
          <w:rFonts w:ascii="GHEA Grapalat" w:hAnsi="GHEA Grapalat" w:cs="Times Armenian"/>
          <w:sz w:val="22"/>
          <w:szCs w:val="22"/>
        </w:rPr>
        <w:t>ծառայող</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նախատեսված</w:t>
      </w:r>
      <w:r w:rsidRPr="001F63BA">
        <w:rPr>
          <w:rFonts w:ascii="GHEA Grapalat" w:hAnsi="GHEA Grapalat" w:cs="Times Armenian"/>
          <w:sz w:val="22"/>
          <w:szCs w:val="22"/>
          <w:lang w:val="zu-ZA"/>
        </w:rPr>
        <w:t xml:space="preserve"> 20-</w:t>
      </w:r>
      <w:r w:rsidRPr="001F63BA">
        <w:rPr>
          <w:rFonts w:ascii="GHEA Grapalat" w:hAnsi="GHEA Grapalat" w:cs="Times Armenian"/>
          <w:sz w:val="22"/>
          <w:szCs w:val="22"/>
        </w:rPr>
        <w:t>ի</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դիմաց</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միջին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մասնագիտական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կրթական</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ծրագրով</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ուսուցում է ստացել ՀՀ ոստիկանության 70 ծառայող՝ նախատեսված 160-ի դիմաց, նախնական մասնագիտական կրթական ծրագրով ուսուցում է ստացել ՀՀ ոստիկանության 39 ծառայող՝ նախատեսված 60-ի դիմաց:</w:t>
      </w:r>
      <w:r w:rsidRPr="001F63BA">
        <w:rPr>
          <w:rFonts w:ascii="GHEA Grapalat" w:hAnsi="GHEA Grapalat" w:cs="Times Armenian"/>
          <w:sz w:val="22"/>
          <w:szCs w:val="22"/>
          <w:lang w:val="en-US"/>
        </w:rPr>
        <w:t xml:space="preserve"> Փաստացի ցածր արդյունքային ցուցանիշները պայմանավորված են դիմորդների թվի նվազմամբ և անբավարար առաջադիմության արդյունքում դուրս մնացած սովորողների թվով:</w:t>
      </w:r>
      <w:r w:rsidRPr="001F63BA">
        <w:rPr>
          <w:rFonts w:ascii="GHEA Grapalat" w:hAnsi="GHEA Grapalat" w:cs="Times Armenian"/>
          <w:sz w:val="22"/>
          <w:szCs w:val="22"/>
        </w:rPr>
        <w:t xml:space="preserve"> Ծրագրին հատկացված 1.6 մլրդ դրամն ամբողջությամբ օգտագործվել է:</w:t>
      </w:r>
      <w:r w:rsidRPr="001F63BA">
        <w:rPr>
          <w:rFonts w:ascii="GHEA Grapalat" w:hAnsi="GHEA Grapalat" w:cs="Times Armenian"/>
          <w:sz w:val="22"/>
          <w:szCs w:val="22"/>
          <w:lang w:val="en-US"/>
        </w:rPr>
        <w:t xml:space="preserve"> </w:t>
      </w:r>
      <w:r w:rsidRPr="001F63BA">
        <w:rPr>
          <w:rFonts w:ascii="GHEA Grapalat" w:hAnsi="GHEA Grapalat" w:cs="Times Armenian"/>
          <w:sz w:val="22"/>
          <w:szCs w:val="22"/>
        </w:rPr>
        <w:t>Նախորդ</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տարվա</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համեմատ</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ծրագրի</w:t>
      </w:r>
      <w:r w:rsidRPr="001F63BA">
        <w:rPr>
          <w:rFonts w:ascii="GHEA Grapalat" w:hAnsi="GHEA Grapalat" w:cs="Times Armenian"/>
          <w:sz w:val="22"/>
          <w:szCs w:val="22"/>
          <w:lang w:val="zu-ZA"/>
        </w:rPr>
        <w:t xml:space="preserve"> </w:t>
      </w:r>
      <w:r w:rsidRPr="001F63BA">
        <w:rPr>
          <w:rFonts w:ascii="GHEA Grapalat" w:hAnsi="GHEA Grapalat" w:cs="Times Armenian"/>
          <w:sz w:val="22"/>
          <w:szCs w:val="22"/>
        </w:rPr>
        <w:t>ծախսեր</w:t>
      </w:r>
      <w:r w:rsidRPr="001F63BA">
        <w:rPr>
          <w:rFonts w:ascii="GHEA Grapalat" w:hAnsi="GHEA Grapalat" w:cs="Times Armenian"/>
          <w:sz w:val="22"/>
          <w:szCs w:val="22"/>
          <w:lang w:val="en-US"/>
        </w:rPr>
        <w:t>ը փոփոխություն չեն կրել</w:t>
      </w:r>
      <w:r w:rsidRPr="001F63BA">
        <w:rPr>
          <w:rFonts w:ascii="GHEA Grapalat" w:hAnsi="GHEA Grapalat" w:cs="Times Armenian"/>
          <w:sz w:val="22"/>
          <w:szCs w:val="22"/>
          <w:lang w:val="zu-ZA"/>
        </w:rPr>
        <w:t xml:space="preserve">: </w:t>
      </w:r>
    </w:p>
    <w:p w:rsidR="001C411D" w:rsidRPr="001F63BA" w:rsidRDefault="001C411D" w:rsidP="008E438A">
      <w:pPr>
        <w:spacing w:line="360" w:lineRule="auto"/>
        <w:ind w:firstLine="561"/>
        <w:jc w:val="both"/>
        <w:rPr>
          <w:rFonts w:ascii="GHEA Grapalat" w:hAnsi="GHEA Grapalat" w:cs="Times Armenian"/>
          <w:sz w:val="22"/>
          <w:szCs w:val="22"/>
        </w:rPr>
      </w:pPr>
    </w:p>
    <w:p w:rsidR="001C411D" w:rsidRPr="001F63BA" w:rsidRDefault="001C411D" w:rsidP="007C7CC1">
      <w:pPr>
        <w:autoSpaceDE w:val="0"/>
        <w:autoSpaceDN w:val="0"/>
        <w:adjustRightInd w:val="0"/>
        <w:spacing w:line="360" w:lineRule="auto"/>
        <w:ind w:firstLine="567"/>
        <w:jc w:val="both"/>
        <w:rPr>
          <w:rFonts w:ascii="GHEA Grapalat" w:hAnsi="GHEA Grapalat" w:cs="Times Armenian"/>
          <w:sz w:val="22"/>
          <w:szCs w:val="22"/>
        </w:rPr>
      </w:pPr>
      <w:r w:rsidRPr="001F63BA">
        <w:rPr>
          <w:rFonts w:ascii="GHEA Grapalat" w:hAnsi="GHEA Grapalat" w:cs="GHEA Grapalat"/>
          <w:i/>
          <w:sz w:val="22"/>
          <w:szCs w:val="22"/>
          <w:u w:val="single"/>
        </w:rPr>
        <w:t>Հանրային հեռարձակողի խորհրդին</w:t>
      </w:r>
      <w:r w:rsidRPr="001F63BA">
        <w:rPr>
          <w:rFonts w:ascii="GHEA Grapalat" w:hAnsi="GHEA Grapalat" w:cs="GHEA Grapalat"/>
          <w:sz w:val="22"/>
          <w:szCs w:val="22"/>
          <w:lang w:val="en-US"/>
        </w:rPr>
        <w:t xml:space="preserve"> </w:t>
      </w:r>
      <w:r w:rsidRPr="001F63BA">
        <w:rPr>
          <w:rFonts w:ascii="GHEA Grapalat" w:hAnsi="GHEA Grapalat" w:cs="Sylfaen"/>
          <w:i/>
          <w:sz w:val="22"/>
          <w:szCs w:val="22"/>
        </w:rPr>
        <w:t xml:space="preserve">Ռադիո և հեռուստահաղորդումների հեռարձակման </w:t>
      </w:r>
      <w:r w:rsidRPr="001F63BA">
        <w:rPr>
          <w:rFonts w:ascii="GHEA Grapalat" w:hAnsi="GHEA Grapalat" w:cs="Sylfaen"/>
          <w:sz w:val="22"/>
          <w:szCs w:val="22"/>
        </w:rPr>
        <w:t>ծրագրի շրջանակներում 2022 թվականի</w:t>
      </w:r>
      <w:r w:rsidRPr="001F63BA">
        <w:rPr>
          <w:rFonts w:ascii="GHEA Grapalat" w:hAnsi="GHEA Grapalat" w:cs="GHEA Grapalat"/>
          <w:sz w:val="22"/>
          <w:szCs w:val="22"/>
        </w:rPr>
        <w:t xml:space="preserve">ն </w:t>
      </w:r>
      <w:r w:rsidRPr="001F63BA">
        <w:rPr>
          <w:rFonts w:ascii="GHEA Grapalat" w:hAnsi="GHEA Grapalat" w:cs="Sylfaen"/>
          <w:sz w:val="22"/>
          <w:szCs w:val="22"/>
        </w:rPr>
        <w:t>ՀՀ պետական բյուջեից հատկացվել է 12.6</w:t>
      </w:r>
      <w:r w:rsidRPr="001F63BA">
        <w:rPr>
          <w:rFonts w:ascii="Courier New" w:hAnsi="Courier New" w:cs="Courier New"/>
          <w:sz w:val="22"/>
          <w:szCs w:val="22"/>
        </w:rPr>
        <w:t> </w:t>
      </w:r>
      <w:r w:rsidRPr="001F63BA">
        <w:rPr>
          <w:rFonts w:ascii="GHEA Grapalat" w:hAnsi="GHEA Grapalat" w:cs="Sylfaen"/>
          <w:sz w:val="22"/>
          <w:szCs w:val="22"/>
        </w:rPr>
        <w:t>մլրդ դրամ, որ</w:t>
      </w:r>
      <w:r w:rsidRPr="001F63BA">
        <w:rPr>
          <w:rFonts w:ascii="GHEA Grapalat" w:hAnsi="GHEA Grapalat" w:cs="Sylfaen"/>
          <w:sz w:val="22"/>
          <w:szCs w:val="22"/>
          <w:lang w:val="en-US"/>
        </w:rPr>
        <w:t>ն ամբողջությամբ օգտագործվել է</w:t>
      </w:r>
      <w:r w:rsidRPr="001F63BA">
        <w:rPr>
          <w:rFonts w:ascii="GHEA Grapalat" w:hAnsi="GHEA Grapalat" w:cs="Sylfaen"/>
          <w:sz w:val="22"/>
          <w:szCs w:val="22"/>
        </w:rPr>
        <w:t>: Հեռուստատեսային ծառայությունների</w:t>
      </w:r>
      <w:r w:rsidRPr="001F63BA">
        <w:rPr>
          <w:rFonts w:ascii="GHEA Grapalat" w:hAnsi="GHEA Grapalat" w:cs="Sylfaen"/>
          <w:sz w:val="22"/>
          <w:szCs w:val="22"/>
          <w:lang w:val="en-US"/>
        </w:rPr>
        <w:t xml:space="preserve"> միջոցառման</w:t>
      </w:r>
      <w:r w:rsidRPr="001F63BA">
        <w:rPr>
          <w:rFonts w:ascii="GHEA Grapalat" w:hAnsi="GHEA Grapalat" w:cs="Sylfaen"/>
          <w:sz w:val="22"/>
          <w:szCs w:val="22"/>
        </w:rPr>
        <w:t xml:space="preserve"> շրջանակներում իրականացվել է «Տեսալսողական մեդիայի մասին» ՀՀ օրենքի պահանջներին </w:t>
      </w:r>
      <w:r w:rsidRPr="001F63BA">
        <w:rPr>
          <w:rFonts w:ascii="GHEA Grapalat" w:hAnsi="GHEA Grapalat" w:cs="Times Armenian"/>
          <w:sz w:val="22"/>
          <w:szCs w:val="22"/>
        </w:rPr>
        <w:t>համապատասխան</w:t>
      </w:r>
      <w:r w:rsidRPr="001F63BA">
        <w:rPr>
          <w:rFonts w:ascii="GHEA Grapalat" w:hAnsi="GHEA Grapalat" w:cs="Sylfaen"/>
          <w:sz w:val="22"/>
          <w:szCs w:val="22"/>
        </w:rPr>
        <w:t xml:space="preserve"> տարբեր թեմատիկ ուղղվածության հեռուստահաղորդումների պատրաստում և հեռարձակում Հանրային հեռուստաընկերության Առաջին ալիքի եթերում՝ 8740 ժամ տևողությամբ</w:t>
      </w:r>
      <w:r w:rsidRPr="001F63BA">
        <w:rPr>
          <w:rFonts w:ascii="GHEA Grapalat" w:hAnsi="GHEA Grapalat" w:cs="Sylfaen"/>
          <w:sz w:val="22"/>
          <w:szCs w:val="22"/>
          <w:lang w:val="en-US"/>
        </w:rPr>
        <w:t>,</w:t>
      </w:r>
      <w:r w:rsidRPr="001F63BA">
        <w:rPr>
          <w:rFonts w:ascii="GHEA Grapalat" w:hAnsi="GHEA Grapalat" w:cs="Sylfaen"/>
          <w:sz w:val="22"/>
          <w:szCs w:val="22"/>
        </w:rPr>
        <w:t xml:space="preserve"> Միջազգային ալիքի եթերում՝ 8746 ժամ տևողությամբ, և Լրատվական ալիքի եթերում՝ 8736 ժամ </w:t>
      </w:r>
      <w:r w:rsidRPr="001F63BA">
        <w:rPr>
          <w:rFonts w:ascii="GHEA Grapalat" w:hAnsi="GHEA Grapalat" w:cs="Sylfaen"/>
          <w:sz w:val="22"/>
          <w:szCs w:val="22"/>
        </w:rPr>
        <w:lastRenderedPageBreak/>
        <w:t>տևողությամբ՝ յուրաքանչյուր ալիքում նախատեսված 87</w:t>
      </w:r>
      <w:r w:rsidRPr="001F63BA">
        <w:rPr>
          <w:rFonts w:ascii="GHEA Grapalat" w:hAnsi="GHEA Grapalat" w:cs="Sylfaen"/>
          <w:sz w:val="22"/>
          <w:szCs w:val="22"/>
          <w:lang w:val="en-US"/>
        </w:rPr>
        <w:t>60</w:t>
      </w:r>
      <w:r w:rsidRPr="001F63BA">
        <w:rPr>
          <w:rFonts w:ascii="GHEA Grapalat" w:hAnsi="GHEA Grapalat" w:cs="Sylfaen"/>
          <w:sz w:val="22"/>
          <w:szCs w:val="22"/>
        </w:rPr>
        <w:t xml:space="preserve">-ի </w:t>
      </w:r>
      <w:r w:rsidRPr="001F63BA">
        <w:rPr>
          <w:rFonts w:ascii="GHEA Grapalat" w:hAnsi="GHEA Grapalat" w:cs="Sylfaen"/>
          <w:sz w:val="22"/>
          <w:szCs w:val="22"/>
          <w:lang w:val="en-US"/>
        </w:rPr>
        <w:t>դիմաց</w:t>
      </w:r>
      <w:r w:rsidRPr="001F63BA">
        <w:rPr>
          <w:rFonts w:ascii="GHEA Grapalat" w:hAnsi="GHEA Grapalat" w:cs="Sylfaen"/>
          <w:sz w:val="22"/>
          <w:szCs w:val="22"/>
        </w:rPr>
        <w:t>: Ծրագրային ցուցանիշներից շեղումները պայմանավորված են պրոֆիլակտիկ աշխատանքների իրականացմամբ: Միջոցառման ծախսերը կազմել են 6.3 մլրդ դրամ</w:t>
      </w:r>
      <w:r w:rsidRPr="001F63BA">
        <w:rPr>
          <w:rFonts w:ascii="GHEA Grapalat" w:hAnsi="GHEA Grapalat" w:cs="Sylfaen"/>
          <w:sz w:val="22"/>
          <w:szCs w:val="22"/>
          <w:lang w:val="en-US"/>
        </w:rPr>
        <w:t>, որոնք</w:t>
      </w:r>
      <w:r w:rsidRPr="001F63BA">
        <w:rPr>
          <w:rFonts w:ascii="GHEA Grapalat" w:hAnsi="GHEA Grapalat" w:cs="Sylfaen"/>
          <w:sz w:val="22"/>
          <w:szCs w:val="22"/>
        </w:rPr>
        <w:t xml:space="preserve"> 4.1%</w:t>
      </w:r>
      <w:r w:rsidRPr="001F63BA">
        <w:rPr>
          <w:rFonts w:ascii="GHEA Grapalat" w:hAnsi="GHEA Grapalat" w:cs="Sylfaen"/>
          <w:sz w:val="22"/>
          <w:szCs w:val="22"/>
        </w:rPr>
        <w:noBreakHyphen/>
        <w:t>ով (247.9 մլն դրամով) գերազանցել են նախորդ տարվա ցուցանիշը:</w:t>
      </w:r>
    </w:p>
    <w:p w:rsidR="001C411D" w:rsidRPr="001F63BA" w:rsidRDefault="001C411D" w:rsidP="007C7CC1">
      <w:pPr>
        <w:spacing w:line="360" w:lineRule="auto"/>
        <w:ind w:firstLine="630"/>
        <w:jc w:val="both"/>
        <w:rPr>
          <w:rFonts w:ascii="GHEA Grapalat" w:hAnsi="GHEA Grapalat" w:cs="GHEA Grapalat"/>
          <w:sz w:val="22"/>
          <w:szCs w:val="22"/>
        </w:rPr>
      </w:pPr>
      <w:r w:rsidRPr="001F63BA">
        <w:rPr>
          <w:rFonts w:ascii="GHEA Grapalat" w:hAnsi="GHEA Grapalat" w:cs="Sylfaen"/>
          <w:sz w:val="22"/>
          <w:szCs w:val="22"/>
        </w:rPr>
        <w:t xml:space="preserve">Ռադիո ծառայությունների միջոցառման </w:t>
      </w:r>
      <w:r w:rsidRPr="001F63BA">
        <w:rPr>
          <w:rFonts w:ascii="GHEA Grapalat" w:hAnsi="GHEA Grapalat" w:cs="Times Armenian"/>
          <w:sz w:val="22"/>
          <w:szCs w:val="22"/>
        </w:rPr>
        <w:t>շրջանակներում</w:t>
      </w:r>
      <w:r w:rsidRPr="001F63BA">
        <w:rPr>
          <w:rFonts w:ascii="GHEA Grapalat" w:hAnsi="GHEA Grapalat" w:cs="Sylfaen"/>
          <w:sz w:val="22"/>
          <w:szCs w:val="22"/>
        </w:rPr>
        <w:t xml:space="preserve"> իրականացվել են «Տեսալսողական մեդիայի մասին» </w:t>
      </w:r>
      <w:r w:rsidRPr="001F63BA">
        <w:rPr>
          <w:rFonts w:ascii="GHEA Grapalat" w:hAnsi="GHEA Grapalat" w:cs="Times Armenian"/>
          <w:sz w:val="22"/>
          <w:szCs w:val="22"/>
        </w:rPr>
        <w:t xml:space="preserve">ՀՀ օրենքի </w:t>
      </w:r>
      <w:r w:rsidRPr="001F63BA">
        <w:rPr>
          <w:rFonts w:ascii="GHEA Grapalat" w:hAnsi="GHEA Grapalat" w:cs="Sylfaen"/>
          <w:sz w:val="22"/>
          <w:szCs w:val="22"/>
        </w:rPr>
        <w:t>պահանջներին</w:t>
      </w:r>
      <w:r w:rsidRPr="001F63BA">
        <w:rPr>
          <w:rFonts w:ascii="GHEA Grapalat" w:hAnsi="GHEA Grapalat" w:cs="Times Armenian"/>
          <w:sz w:val="22"/>
          <w:szCs w:val="22"/>
        </w:rPr>
        <w:t xml:space="preserve"> համապատասխան ռադիոհաղորդումների պատրաստում և հեռարձակում Հանրային ռադիոընկերության «Առաջին ծրագրի», «Երկրորդ ծրագրի»</w:t>
      </w:r>
      <w:r w:rsidRPr="001F63BA">
        <w:rPr>
          <w:rFonts w:ascii="GHEA Grapalat" w:hAnsi="GHEA Grapalat" w:cs="Times Armenian"/>
          <w:sz w:val="22"/>
          <w:szCs w:val="22"/>
          <w:lang w:val="en-US"/>
        </w:rPr>
        <w:t>,</w:t>
      </w:r>
      <w:r w:rsidRPr="001F63BA">
        <w:rPr>
          <w:rFonts w:ascii="GHEA Grapalat" w:hAnsi="GHEA Grapalat" w:cs="Times Armenian"/>
          <w:sz w:val="22"/>
          <w:szCs w:val="22"/>
        </w:rPr>
        <w:t xml:space="preserve"> «Հոգևոր-մշակութային» ռադիոալիքի, մայրաքաղաքային սփռման «Արևիկ»</w:t>
      </w:r>
      <w:r w:rsidRPr="001F63BA">
        <w:rPr>
          <w:rFonts w:ascii="GHEA Grapalat" w:hAnsi="GHEA Grapalat" w:cs="Times Armenian"/>
          <w:sz w:val="22"/>
          <w:szCs w:val="22"/>
          <w:lang w:val="en-US"/>
        </w:rPr>
        <w:t xml:space="preserve"> և</w:t>
      </w:r>
      <w:r w:rsidRPr="001F63BA">
        <w:rPr>
          <w:rFonts w:ascii="GHEA Grapalat" w:hAnsi="GHEA Grapalat" w:cs="Times Armenian"/>
          <w:sz w:val="22"/>
          <w:szCs w:val="22"/>
        </w:rPr>
        <w:t xml:space="preserve"> համացանցային սփռման «Մշակույթ» ռադիոալիքների եթերներում </w:t>
      </w:r>
      <w:r w:rsidRPr="001F63BA">
        <w:rPr>
          <w:rFonts w:ascii="GHEA Grapalat" w:hAnsi="GHEA Grapalat" w:cs="Times Armenian"/>
          <w:sz w:val="22"/>
          <w:szCs w:val="22"/>
          <w:lang w:val="en-US"/>
        </w:rPr>
        <w:t xml:space="preserve">նախատեսված ծավալով՝ </w:t>
      </w:r>
      <w:r w:rsidRPr="001F63BA">
        <w:rPr>
          <w:rFonts w:ascii="GHEA Grapalat" w:hAnsi="GHEA Grapalat" w:cs="Times Armenian"/>
          <w:sz w:val="22"/>
          <w:szCs w:val="22"/>
        </w:rPr>
        <w:t>յուրաքանչյուրում 8760 ժամ տևողությամբ, ինչպես նաև ՀՀ տարածքում, Մերձավոր Արևելքի ու հարևան երկրներում հաղորդումների հեռարձակում՝ 1368.75 ժամ տևողությամբ՝ նախատեսված 821.25 ժամի փոխարեն: Միջոցառման ծախսերը հաշվետու ժամանակահատվածում կազմել են 925 մլն դրամ</w:t>
      </w:r>
      <w:r w:rsidRPr="001F63BA">
        <w:rPr>
          <w:rFonts w:ascii="GHEA Grapalat" w:hAnsi="GHEA Grapalat" w:cs="Times Armenian"/>
          <w:sz w:val="22"/>
          <w:szCs w:val="22"/>
          <w:lang w:val="en-US"/>
        </w:rPr>
        <w:t xml:space="preserve">, որոնք </w:t>
      </w:r>
      <w:r w:rsidRPr="001F63BA">
        <w:rPr>
          <w:rFonts w:ascii="GHEA Grapalat" w:hAnsi="GHEA Grapalat" w:cs="Times Armenian"/>
          <w:sz w:val="22"/>
          <w:szCs w:val="22"/>
        </w:rPr>
        <w:t>7.1%-ով (61.5 մլն դրամով) գերազանցել են նախորդ տարվա ցուցանիշը</w:t>
      </w:r>
      <w:r w:rsidRPr="001F63BA">
        <w:rPr>
          <w:rFonts w:ascii="GHEA Grapalat" w:hAnsi="GHEA Grapalat" w:cs="Sylfaen"/>
          <w:sz w:val="22"/>
          <w:szCs w:val="22"/>
        </w:rPr>
        <w:t>:</w:t>
      </w:r>
      <w:r w:rsidRPr="001F63BA">
        <w:rPr>
          <w:rFonts w:ascii="GHEA Grapalat" w:hAnsi="GHEA Grapalat" w:cs="GHEA Grapalat"/>
          <w:sz w:val="22"/>
          <w:szCs w:val="22"/>
        </w:rPr>
        <w:t xml:space="preserve"> </w:t>
      </w:r>
    </w:p>
    <w:p w:rsidR="001C411D" w:rsidRPr="001F63BA" w:rsidRDefault="001C411D" w:rsidP="007C7CC1">
      <w:pPr>
        <w:spacing w:line="360" w:lineRule="auto"/>
        <w:ind w:firstLine="630"/>
        <w:jc w:val="both"/>
        <w:rPr>
          <w:rFonts w:ascii="GHEA Grapalat" w:hAnsi="GHEA Grapalat" w:cs="Sylfaen"/>
          <w:sz w:val="22"/>
          <w:szCs w:val="22"/>
        </w:rPr>
      </w:pPr>
      <w:r w:rsidRPr="001F63BA">
        <w:rPr>
          <w:rFonts w:ascii="GHEA Grapalat" w:hAnsi="GHEA Grapalat" w:cs="GHEA Grapalat"/>
          <w:sz w:val="22"/>
          <w:szCs w:val="22"/>
        </w:rPr>
        <w:t>2021 թվականի համեմատ</w:t>
      </w:r>
      <w:r w:rsidRPr="001F63BA">
        <w:rPr>
          <w:rFonts w:ascii="GHEA Grapalat" w:hAnsi="GHEA Grapalat" w:cs="Sylfaen"/>
          <w:i/>
          <w:sz w:val="22"/>
          <w:szCs w:val="22"/>
        </w:rPr>
        <w:t xml:space="preserve"> </w:t>
      </w:r>
      <w:r w:rsidRPr="001F63BA">
        <w:rPr>
          <w:rFonts w:ascii="GHEA Grapalat" w:hAnsi="GHEA Grapalat" w:cs="Sylfaen"/>
          <w:sz w:val="22"/>
          <w:szCs w:val="22"/>
        </w:rPr>
        <w:t>Ռադիո և հեռուստահաղորդումների հեռարձակման</w:t>
      </w:r>
      <w:r w:rsidRPr="001F63BA">
        <w:rPr>
          <w:rFonts w:ascii="GHEA Grapalat" w:hAnsi="GHEA Grapalat" w:cs="Sylfaen"/>
          <w:i/>
          <w:sz w:val="22"/>
          <w:szCs w:val="22"/>
        </w:rPr>
        <w:t xml:space="preserve"> </w:t>
      </w:r>
      <w:r w:rsidRPr="001F63BA">
        <w:rPr>
          <w:rFonts w:ascii="GHEA Grapalat" w:hAnsi="GHEA Grapalat" w:cs="Sylfaen"/>
          <w:sz w:val="22"/>
          <w:szCs w:val="22"/>
        </w:rPr>
        <w:t>ծրագրի շրջանակներում</w:t>
      </w:r>
      <w:r w:rsidRPr="001F63BA">
        <w:rPr>
          <w:rFonts w:ascii="GHEA Grapalat" w:hAnsi="GHEA Grapalat" w:cs="GHEA Grapalat"/>
          <w:sz w:val="22"/>
          <w:szCs w:val="22"/>
        </w:rPr>
        <w:t xml:space="preserve"> ծախսեր</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աճել են 71.8%-ով կամ 5.3 մլրդ դրամով</w:t>
      </w:r>
      <w:r w:rsidRPr="001F63BA">
        <w:rPr>
          <w:rFonts w:ascii="GHEA Grapalat" w:hAnsi="GHEA Grapalat" w:cs="GHEA Grapalat"/>
          <w:sz w:val="22"/>
          <w:szCs w:val="22"/>
          <w:lang w:val="en-US"/>
        </w:rPr>
        <w:t>, որը</w:t>
      </w:r>
      <w:r w:rsidRPr="001F63BA">
        <w:rPr>
          <w:rFonts w:ascii="GHEA Grapalat" w:hAnsi="GHEA Grapalat" w:cs="GHEA Grapalat"/>
          <w:sz w:val="22"/>
          <w:szCs w:val="22"/>
        </w:rPr>
        <w:t xml:space="preserve"> պայմանավորված է </w:t>
      </w:r>
      <w:r w:rsidRPr="001F63BA">
        <w:rPr>
          <w:rFonts w:ascii="GHEA Grapalat" w:hAnsi="GHEA Grapalat" w:cs="Sylfaen"/>
          <w:sz w:val="22"/>
          <w:szCs w:val="22"/>
        </w:rPr>
        <w:t xml:space="preserve">«Մանկական Եվրատեսիլ 2022» երգի մրցույթի կազմակերպման </w:t>
      </w:r>
      <w:r w:rsidRPr="001F63BA">
        <w:rPr>
          <w:rFonts w:ascii="GHEA Grapalat" w:hAnsi="GHEA Grapalat" w:cs="Sylfaen"/>
          <w:sz w:val="22"/>
          <w:szCs w:val="22"/>
          <w:lang w:val="en-US"/>
        </w:rPr>
        <w:t>նպատակով</w:t>
      </w:r>
      <w:r w:rsidRPr="001F63BA">
        <w:rPr>
          <w:rFonts w:ascii="GHEA Grapalat" w:hAnsi="GHEA Grapalat" w:cs="Sylfaen"/>
          <w:sz w:val="22"/>
          <w:szCs w:val="22"/>
        </w:rPr>
        <w:t xml:space="preserve"> </w:t>
      </w:r>
      <w:r w:rsidRPr="001F63BA">
        <w:rPr>
          <w:rFonts w:ascii="GHEA Grapalat" w:hAnsi="GHEA Grapalat" w:cs="Sylfaen"/>
          <w:sz w:val="22"/>
          <w:szCs w:val="22"/>
          <w:lang w:val="en-US"/>
        </w:rPr>
        <w:t>շուրջ 5 մլրդ դրամի չափով միջոցների հատկացմամբ</w:t>
      </w:r>
      <w:r w:rsidRPr="001F63BA">
        <w:rPr>
          <w:rFonts w:ascii="GHEA Grapalat" w:hAnsi="GHEA Grapalat" w:cs="Sylfaen"/>
          <w:sz w:val="22"/>
          <w:szCs w:val="22"/>
        </w:rPr>
        <w:t xml:space="preserve">: </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i/>
          <w:sz w:val="22"/>
          <w:szCs w:val="22"/>
          <w:u w:val="single"/>
          <w:lang w:val="en-US"/>
        </w:rPr>
      </w:pPr>
    </w:p>
    <w:p w:rsidR="001C411D" w:rsidRPr="001F63BA" w:rsidRDefault="001C411D" w:rsidP="005042A8">
      <w:pPr>
        <w:spacing w:line="360" w:lineRule="auto"/>
        <w:ind w:firstLine="375"/>
        <w:jc w:val="both"/>
        <w:rPr>
          <w:rFonts w:ascii="GHEA Grapalat" w:hAnsi="GHEA Grapalat" w:cs="Sylfaen"/>
          <w:sz w:val="22"/>
          <w:szCs w:val="22"/>
        </w:rPr>
      </w:pPr>
      <w:r w:rsidRPr="001F63BA">
        <w:rPr>
          <w:rFonts w:ascii="GHEA Grapalat" w:hAnsi="GHEA Grapalat" w:cs="Sylfaen"/>
          <w:i/>
          <w:sz w:val="22"/>
          <w:szCs w:val="22"/>
          <w:u w:val="single"/>
        </w:rPr>
        <w:t>ՀՀ հաշվեքննիչ պալատին</w:t>
      </w:r>
      <w:r w:rsidRPr="001F63BA">
        <w:rPr>
          <w:rFonts w:ascii="GHEA Grapalat" w:hAnsi="GHEA Grapalat" w:cs="Sylfaen"/>
          <w:sz w:val="22"/>
          <w:szCs w:val="22"/>
        </w:rPr>
        <w:t xml:space="preserve"> </w:t>
      </w:r>
      <w:r w:rsidRPr="001F63BA">
        <w:rPr>
          <w:rFonts w:ascii="GHEA Grapalat" w:hAnsi="GHEA Grapalat" w:cs="Sylfaen"/>
          <w:i/>
          <w:sz w:val="22"/>
          <w:szCs w:val="22"/>
        </w:rPr>
        <w:t>Հանրային ֆինանսների և սեփականության ոլորտում հաշվեքննության</w:t>
      </w:r>
      <w:r w:rsidRPr="001F63BA">
        <w:rPr>
          <w:rFonts w:ascii="GHEA Grapalat" w:hAnsi="GHEA Grapalat" w:cs="Sylfaen"/>
          <w:sz w:val="22"/>
          <w:szCs w:val="22"/>
        </w:rPr>
        <w:t xml:space="preserve"> ծրագրի շրջանակներում 2022 թվականին ՀՀ պետական բյուջեից տրամադրվել է 985.8</w:t>
      </w:r>
      <w:r w:rsidRPr="001F63BA">
        <w:rPr>
          <w:rFonts w:ascii="GHEA Grapalat" w:hAnsi="GHEA Grapalat" w:cs="Times Armenian"/>
          <w:sz w:val="22"/>
          <w:szCs w:val="22"/>
        </w:rPr>
        <w:t xml:space="preserve"> մլն դրամ,</w:t>
      </w:r>
      <w:r w:rsidRPr="001F63BA">
        <w:rPr>
          <w:rFonts w:ascii="GHEA Grapalat" w:hAnsi="GHEA Grapalat" w:cs="Sylfaen"/>
          <w:sz w:val="22"/>
          <w:szCs w:val="22"/>
        </w:rPr>
        <w:t xml:space="preserve"> որը կազմել է ծրագրված ցուցանիշի 95.6%-ը: </w:t>
      </w:r>
      <w:r w:rsidRPr="001F63BA">
        <w:rPr>
          <w:rFonts w:ascii="GHEA Grapalat" w:hAnsi="GHEA Grapalat" w:cs="GHEA Grapalat"/>
          <w:sz w:val="22"/>
          <w:szCs w:val="22"/>
        </w:rPr>
        <w:t>Շեղումը հիմնականում պայմանավորված է թափուր հաստիքների առկայության հետևանքով աշխատանքի վարձատրության գծով ծախսերի տնտես</w:t>
      </w:r>
      <w:r w:rsidRPr="001F63BA">
        <w:rPr>
          <w:rFonts w:ascii="GHEA Grapalat" w:hAnsi="GHEA Grapalat" w:cs="GHEA Grapalat"/>
          <w:sz w:val="22"/>
          <w:szCs w:val="22"/>
          <w:lang w:val="en-US"/>
        </w:rPr>
        <w:t>մամբ</w:t>
      </w:r>
      <w:r w:rsidRPr="001F63BA">
        <w:rPr>
          <w:rFonts w:ascii="GHEA Grapalat" w:hAnsi="GHEA Grapalat" w:cs="GHEA Grapalat"/>
          <w:sz w:val="22"/>
          <w:szCs w:val="22"/>
        </w:rPr>
        <w:t>: 2021 թվականի</w:t>
      </w:r>
      <w:r w:rsidRPr="001F63BA">
        <w:rPr>
          <w:rFonts w:ascii="GHEA Grapalat" w:hAnsi="GHEA Grapalat" w:cs="Sylfaen"/>
          <w:sz w:val="22"/>
          <w:szCs w:val="22"/>
        </w:rPr>
        <w:t xml:space="preserve"> համեմատ ծախսերի 13.1% (149 մլն դրամ) նվազումը հիմնականում պայմանավորված է աշխատակիցների թվ</w:t>
      </w:r>
      <w:r w:rsidRPr="001F63BA">
        <w:rPr>
          <w:rFonts w:ascii="GHEA Grapalat" w:hAnsi="GHEA Grapalat" w:cs="Sylfaen"/>
          <w:sz w:val="22"/>
          <w:szCs w:val="22"/>
          <w:lang w:val="en-US"/>
        </w:rPr>
        <w:t>ի նվազմ</w:t>
      </w:r>
      <w:r w:rsidRPr="001F63BA">
        <w:rPr>
          <w:rFonts w:ascii="GHEA Grapalat" w:hAnsi="GHEA Grapalat" w:cs="Sylfaen"/>
          <w:sz w:val="22"/>
          <w:szCs w:val="22"/>
        </w:rPr>
        <w:t xml:space="preserve">ամբ: </w:t>
      </w:r>
      <w:r w:rsidRPr="001F63BA">
        <w:rPr>
          <w:rFonts w:ascii="GHEA Grapalat" w:hAnsi="GHEA Grapalat" w:cs="Sylfaen"/>
          <w:sz w:val="22"/>
          <w:szCs w:val="22"/>
          <w:lang w:val="en-US"/>
        </w:rPr>
        <w:t xml:space="preserve">2022 </w:t>
      </w:r>
      <w:r w:rsidRPr="001F63BA">
        <w:rPr>
          <w:rFonts w:ascii="GHEA Grapalat" w:hAnsi="GHEA Grapalat" w:cs="GHEA Grapalat"/>
          <w:sz w:val="22"/>
          <w:szCs w:val="22"/>
        </w:rPr>
        <w:t xml:space="preserve">թվականին ՀՀ հաշվեքննիչ պալատի կողմից իրականացվել են թվով 77 հաշվեքննություններ՝ </w:t>
      </w:r>
      <w:r w:rsidRPr="001F63BA">
        <w:rPr>
          <w:rFonts w:ascii="GHEA Grapalat" w:hAnsi="GHEA Grapalat" w:cs="Sylfaen"/>
          <w:sz w:val="22"/>
          <w:szCs w:val="22"/>
        </w:rPr>
        <w:t>նախատեսված 68-ի փոխարեն՝ պայմանավորված ՀՊ 2021 թվականի գործունեության ծրագրի 2-րդ մասի ծրագրային կետերի՝ 2022 թվականին ավարտվելու հանգամանքով, որոնք ներառվել են 2021 թվականի տարեկան հաղորդման մեջ:</w:t>
      </w:r>
    </w:p>
    <w:p w:rsidR="001C411D" w:rsidRPr="001F63BA" w:rsidRDefault="001C411D" w:rsidP="00B96798">
      <w:pPr>
        <w:spacing w:line="360" w:lineRule="auto"/>
        <w:ind w:firstLine="375"/>
        <w:jc w:val="both"/>
        <w:rPr>
          <w:rFonts w:ascii="GHEA Grapalat" w:hAnsi="GHEA Grapalat" w:cs="GHEA Grapalat"/>
          <w:sz w:val="22"/>
          <w:szCs w:val="22"/>
        </w:rPr>
      </w:pPr>
      <w:r w:rsidRPr="001F63BA">
        <w:rPr>
          <w:rFonts w:ascii="GHEA Grapalat" w:hAnsi="GHEA Grapalat" w:cs="GHEA Grapalat"/>
          <w:sz w:val="22"/>
          <w:szCs w:val="22"/>
        </w:rPr>
        <w:t xml:space="preserve"> </w:t>
      </w:r>
    </w:p>
    <w:p w:rsidR="001C411D" w:rsidRPr="001F63BA" w:rsidRDefault="001C411D" w:rsidP="00A46A3C">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i/>
          <w:sz w:val="22"/>
          <w:szCs w:val="22"/>
          <w:u w:val="single"/>
        </w:rPr>
        <w:t>Մարդու իրավունքների պաշտպանի աշխատակազմի</w:t>
      </w:r>
      <w:r w:rsidRPr="001F63BA">
        <w:rPr>
          <w:rFonts w:ascii="GHEA Grapalat" w:hAnsi="GHEA Grapalat"/>
          <w:sz w:val="22"/>
          <w:szCs w:val="22"/>
        </w:rPr>
        <w:t xml:space="preserve"> պատասխանատվությամբ</w:t>
      </w:r>
      <w:r w:rsidRPr="001F63BA">
        <w:rPr>
          <w:rFonts w:ascii="GHEA Grapalat" w:hAnsi="GHEA Grapalat"/>
          <w:sz w:val="22"/>
          <w:szCs w:val="22"/>
          <w:lang w:val="af-ZA"/>
        </w:rPr>
        <w:t xml:space="preserve"> </w:t>
      </w:r>
      <w:r w:rsidRPr="001F63BA">
        <w:rPr>
          <w:rFonts w:ascii="GHEA Grapalat" w:hAnsi="GHEA Grapalat"/>
          <w:sz w:val="22"/>
          <w:szCs w:val="22"/>
        </w:rPr>
        <w:t>202</w:t>
      </w:r>
      <w:r w:rsidRPr="001F63BA">
        <w:rPr>
          <w:rFonts w:ascii="GHEA Grapalat" w:hAnsi="GHEA Grapalat"/>
          <w:sz w:val="22"/>
          <w:szCs w:val="22"/>
          <w:lang w:val="en-US"/>
        </w:rPr>
        <w:t xml:space="preserve">2 </w:t>
      </w:r>
      <w:r w:rsidRPr="001F63BA">
        <w:rPr>
          <w:rFonts w:ascii="GHEA Grapalat" w:hAnsi="GHEA Grapalat"/>
          <w:sz w:val="22"/>
          <w:szCs w:val="22"/>
        </w:rPr>
        <w:t xml:space="preserve">թվականի ընթացքում կատարվել է </w:t>
      </w:r>
      <w:r w:rsidRPr="001F63BA">
        <w:rPr>
          <w:rFonts w:ascii="GHEA Grapalat" w:hAnsi="GHEA Grapalat"/>
          <w:i/>
          <w:sz w:val="22"/>
          <w:szCs w:val="22"/>
        </w:rPr>
        <w:t>Մարդու իրավունքների պաշտպանության</w:t>
      </w:r>
      <w:r w:rsidRPr="001F63BA">
        <w:rPr>
          <w:rFonts w:ascii="GHEA Grapalat" w:hAnsi="GHEA Grapalat"/>
          <w:sz w:val="22"/>
          <w:szCs w:val="22"/>
        </w:rPr>
        <w:t xml:space="preserve"> </w:t>
      </w:r>
      <w:r w:rsidRPr="001F63BA">
        <w:rPr>
          <w:rFonts w:ascii="GHEA Grapalat" w:hAnsi="GHEA Grapalat" w:cs="GHEA Grapalat"/>
          <w:sz w:val="22"/>
          <w:szCs w:val="22"/>
        </w:rPr>
        <w:t>ծրագիրը, որի գծով ծախսերը կազմել են</w:t>
      </w:r>
      <w:r w:rsidRPr="001F63BA">
        <w:rPr>
          <w:rFonts w:ascii="GHEA Grapalat" w:hAnsi="GHEA Grapalat"/>
          <w:sz w:val="22"/>
          <w:szCs w:val="22"/>
          <w:lang w:val="af-ZA"/>
        </w:rPr>
        <w:t xml:space="preserve"> շուրջ 525.2 </w:t>
      </w:r>
      <w:r w:rsidRPr="001F63BA">
        <w:rPr>
          <w:rFonts w:ascii="GHEA Grapalat" w:hAnsi="GHEA Grapalat"/>
          <w:sz w:val="22"/>
          <w:szCs w:val="22"/>
        </w:rPr>
        <w:t>մլն դրամ՝ ապահովելով ծրագրված ցուցանիշի 9</w:t>
      </w:r>
      <w:r w:rsidRPr="001F63BA">
        <w:rPr>
          <w:rFonts w:ascii="GHEA Grapalat" w:hAnsi="GHEA Grapalat"/>
          <w:sz w:val="22"/>
          <w:szCs w:val="22"/>
          <w:lang w:val="en-US"/>
        </w:rPr>
        <w:t>8.2</w:t>
      </w:r>
      <w:r w:rsidRPr="001F63BA">
        <w:rPr>
          <w:rFonts w:ascii="GHEA Grapalat" w:hAnsi="GHEA Grapalat"/>
          <w:sz w:val="22"/>
          <w:szCs w:val="22"/>
        </w:rPr>
        <w:t xml:space="preserve">%-ը: Նախորդ տարվա համեմատ </w:t>
      </w:r>
      <w:r w:rsidRPr="001F63BA">
        <w:rPr>
          <w:rFonts w:ascii="GHEA Grapalat" w:hAnsi="GHEA Grapalat"/>
          <w:sz w:val="22"/>
          <w:szCs w:val="22"/>
          <w:lang w:val="en-US"/>
        </w:rPr>
        <w:t>նշված</w:t>
      </w:r>
      <w:r w:rsidRPr="001F63BA">
        <w:rPr>
          <w:rFonts w:ascii="GHEA Grapalat" w:hAnsi="GHEA Grapalat"/>
          <w:sz w:val="22"/>
          <w:szCs w:val="22"/>
        </w:rPr>
        <w:t xml:space="preserve"> ծախսեր</w:t>
      </w:r>
      <w:r w:rsidRPr="001F63BA">
        <w:rPr>
          <w:rFonts w:ascii="GHEA Grapalat" w:hAnsi="GHEA Grapalat"/>
          <w:sz w:val="22"/>
          <w:szCs w:val="22"/>
          <w:lang w:val="en-US"/>
        </w:rPr>
        <w:t xml:space="preserve">ը </w:t>
      </w:r>
      <w:r w:rsidRPr="001F63BA">
        <w:rPr>
          <w:rFonts w:ascii="GHEA Grapalat" w:hAnsi="GHEA Grapalat"/>
          <w:sz w:val="22"/>
          <w:szCs w:val="22"/>
        </w:rPr>
        <w:t>ն</w:t>
      </w:r>
      <w:r w:rsidRPr="001F63BA">
        <w:rPr>
          <w:rFonts w:ascii="GHEA Grapalat" w:hAnsi="GHEA Grapalat"/>
          <w:sz w:val="22"/>
          <w:szCs w:val="22"/>
          <w:lang w:val="en-US"/>
        </w:rPr>
        <w:t>վ</w:t>
      </w:r>
      <w:r w:rsidRPr="001F63BA">
        <w:rPr>
          <w:rFonts w:ascii="GHEA Grapalat" w:hAnsi="GHEA Grapalat"/>
          <w:sz w:val="22"/>
          <w:szCs w:val="22"/>
        </w:rPr>
        <w:t>ա</w:t>
      </w:r>
      <w:r w:rsidRPr="001F63BA">
        <w:rPr>
          <w:rFonts w:ascii="GHEA Grapalat" w:hAnsi="GHEA Grapalat"/>
          <w:sz w:val="22"/>
          <w:szCs w:val="22"/>
          <w:lang w:val="en-US"/>
        </w:rPr>
        <w:t>զ</w:t>
      </w:r>
      <w:r w:rsidRPr="001F63BA">
        <w:rPr>
          <w:rFonts w:ascii="GHEA Grapalat" w:hAnsi="GHEA Grapalat"/>
          <w:sz w:val="22"/>
          <w:szCs w:val="22"/>
        </w:rPr>
        <w:t>ել են 1</w:t>
      </w:r>
      <w:r w:rsidRPr="001F63BA">
        <w:rPr>
          <w:rFonts w:ascii="GHEA Grapalat" w:hAnsi="GHEA Grapalat"/>
          <w:sz w:val="22"/>
          <w:szCs w:val="22"/>
          <w:lang w:val="en-US"/>
        </w:rPr>
        <w:t>.</w:t>
      </w:r>
      <w:r w:rsidRPr="001F63BA">
        <w:rPr>
          <w:rFonts w:ascii="GHEA Grapalat" w:hAnsi="GHEA Grapalat"/>
          <w:sz w:val="22"/>
          <w:szCs w:val="22"/>
        </w:rPr>
        <w:t xml:space="preserve">2%-ով կամ </w:t>
      </w:r>
      <w:r w:rsidRPr="001F63BA">
        <w:rPr>
          <w:rFonts w:ascii="GHEA Grapalat" w:hAnsi="GHEA Grapalat"/>
          <w:sz w:val="22"/>
          <w:szCs w:val="22"/>
          <w:lang w:val="en-US"/>
        </w:rPr>
        <w:t>6.1</w:t>
      </w:r>
      <w:r w:rsidRPr="001F63BA">
        <w:rPr>
          <w:rFonts w:ascii="GHEA Grapalat" w:hAnsi="GHEA Grapalat"/>
          <w:sz w:val="22"/>
          <w:szCs w:val="22"/>
        </w:rPr>
        <w:t xml:space="preserve"> մլն դրամով</w:t>
      </w:r>
      <w:r w:rsidRPr="001F63BA">
        <w:rPr>
          <w:rFonts w:ascii="GHEA Grapalat" w:hAnsi="GHEA Grapalat"/>
          <w:sz w:val="22"/>
          <w:szCs w:val="22"/>
          <w:lang w:val="en-US"/>
        </w:rPr>
        <w:t>:</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sz w:val="22"/>
          <w:szCs w:val="22"/>
        </w:rPr>
        <w:lastRenderedPageBreak/>
        <w:t>Մարդու իրավունքների և հիմնարար ազատությունների պաշտպանության ծառայությունների տրամադրման միջոցառման շրջանակներում</w:t>
      </w:r>
      <w:r w:rsidRPr="001F63BA">
        <w:rPr>
          <w:rFonts w:ascii="GHEA Grapalat" w:hAnsi="GHEA Grapalat"/>
          <w:sz w:val="22"/>
          <w:szCs w:val="22"/>
          <w:lang w:val="en-US"/>
        </w:rPr>
        <w:t xml:space="preserve"> ստացվել է 15473 դիմում-բողոք, որոնցից դրական լուծում է ստացել 1282-ը՝ կանխատեսված համապատասխանաբար 14950-ի և 1975-ի դիմաց</w:t>
      </w:r>
      <w:r w:rsidRPr="001F63BA">
        <w:rPr>
          <w:rFonts w:ascii="GHEA Grapalat" w:hAnsi="GHEA Grapalat"/>
          <w:sz w:val="22"/>
          <w:szCs w:val="22"/>
        </w:rPr>
        <w:t xml:space="preserve">: </w:t>
      </w:r>
      <w:r w:rsidRPr="001F63BA">
        <w:rPr>
          <w:rFonts w:ascii="GHEA Grapalat" w:hAnsi="GHEA Grapalat"/>
          <w:sz w:val="22"/>
          <w:szCs w:val="22"/>
          <w:lang w:val="en-US"/>
        </w:rPr>
        <w:t>Միջոցառման ծախսերը կազմել են 515.6</w:t>
      </w:r>
      <w:r w:rsidRPr="001F63BA">
        <w:rPr>
          <w:rFonts w:ascii="Courier New" w:hAnsi="Courier New" w:cs="Courier New"/>
          <w:sz w:val="22"/>
          <w:szCs w:val="22"/>
          <w:lang w:val="en-US"/>
        </w:rPr>
        <w:t> </w:t>
      </w:r>
      <w:r w:rsidRPr="001F63BA">
        <w:rPr>
          <w:rFonts w:ascii="GHEA Grapalat" w:hAnsi="GHEA Grapalat" w:cs="GHEA Grapalat"/>
          <w:sz w:val="22"/>
          <w:szCs w:val="22"/>
          <w:lang w:val="en-US"/>
        </w:rPr>
        <w:t>մլն</w:t>
      </w:r>
      <w:r w:rsidRPr="001F63BA">
        <w:rPr>
          <w:rFonts w:ascii="GHEA Grapalat" w:hAnsi="GHEA Grapalat"/>
          <w:sz w:val="22"/>
          <w:szCs w:val="22"/>
          <w:lang w:val="en-US"/>
        </w:rPr>
        <w:t xml:space="preserve"> </w:t>
      </w:r>
      <w:r w:rsidRPr="001F63BA">
        <w:rPr>
          <w:rFonts w:ascii="GHEA Grapalat" w:hAnsi="GHEA Grapalat" w:cs="GHEA Grapalat"/>
          <w:sz w:val="22"/>
          <w:szCs w:val="22"/>
          <w:lang w:val="en-US"/>
        </w:rPr>
        <w:t>դրամ՝</w:t>
      </w:r>
      <w:r w:rsidRPr="001F63BA">
        <w:rPr>
          <w:rFonts w:ascii="GHEA Grapalat" w:hAnsi="GHEA Grapalat"/>
          <w:sz w:val="22"/>
          <w:szCs w:val="22"/>
          <w:lang w:val="en-US"/>
        </w:rPr>
        <w:t xml:space="preserve"> </w:t>
      </w:r>
      <w:r w:rsidRPr="001F63BA">
        <w:rPr>
          <w:rFonts w:ascii="GHEA Grapalat" w:hAnsi="GHEA Grapalat" w:cs="GHEA Grapalat"/>
          <w:sz w:val="22"/>
          <w:szCs w:val="22"/>
          <w:lang w:val="en-US"/>
        </w:rPr>
        <w:t>ապահովելո</w:t>
      </w:r>
      <w:r w:rsidRPr="001F63BA">
        <w:rPr>
          <w:rFonts w:ascii="GHEA Grapalat" w:hAnsi="GHEA Grapalat"/>
          <w:sz w:val="22"/>
          <w:szCs w:val="22"/>
          <w:lang w:val="en-US"/>
        </w:rPr>
        <w:t>վ 98.3% կատարողական, որը հիմնականում պայմանավորված է թափուր հաստիքների առկայության արդյունքում աշխատանքի վարձատրության ծախսերի, ինչպես նաև գնման գործընթացի արդյունքում առաջացած տնտեսումներով:</w:t>
      </w:r>
      <w:r w:rsidRPr="001F63BA">
        <w:rPr>
          <w:rFonts w:ascii="GHEA Grapalat" w:hAnsi="GHEA Grapalat" w:cs="GHEA Grapalat"/>
          <w:sz w:val="22"/>
          <w:szCs w:val="22"/>
        </w:rPr>
        <w:t xml:space="preserve"> </w:t>
      </w:r>
      <w:r w:rsidRPr="001F63BA">
        <w:rPr>
          <w:rFonts w:ascii="GHEA Grapalat" w:hAnsi="GHEA Grapalat" w:cs="Sylfaen"/>
          <w:sz w:val="22"/>
          <w:szCs w:val="22"/>
        </w:rPr>
        <w:t xml:space="preserve">Նախորդ տարվա համեմատ նշված միջոցառման ծախսերն աճել են </w:t>
      </w:r>
      <w:r w:rsidRPr="001F63BA">
        <w:rPr>
          <w:rFonts w:ascii="GHEA Grapalat" w:hAnsi="GHEA Grapalat" w:cs="Sylfaen"/>
          <w:sz w:val="22"/>
          <w:szCs w:val="22"/>
          <w:lang w:val="en-US"/>
        </w:rPr>
        <w:t>2.2</w:t>
      </w:r>
      <w:r w:rsidRPr="001F63BA">
        <w:rPr>
          <w:rFonts w:ascii="GHEA Grapalat" w:hAnsi="GHEA Grapalat" w:cs="Sylfaen"/>
          <w:sz w:val="22"/>
          <w:szCs w:val="22"/>
        </w:rPr>
        <w:t xml:space="preserve">%-ով կամ </w:t>
      </w:r>
      <w:r w:rsidRPr="001F63BA">
        <w:rPr>
          <w:rFonts w:ascii="GHEA Grapalat" w:hAnsi="GHEA Grapalat" w:cs="Sylfaen"/>
          <w:sz w:val="22"/>
          <w:szCs w:val="22"/>
          <w:lang w:val="en-US"/>
        </w:rPr>
        <w:t>10.9</w:t>
      </w:r>
      <w:r w:rsidRPr="001F63BA">
        <w:rPr>
          <w:rFonts w:ascii="GHEA Grapalat" w:hAnsi="GHEA Grapalat" w:cs="Sylfaen"/>
          <w:sz w:val="22"/>
          <w:szCs w:val="22"/>
        </w:rPr>
        <w:t xml:space="preserve"> մլն դրամով, որը հիմնականում պայմանավորված է </w:t>
      </w:r>
      <w:r w:rsidRPr="001F63BA">
        <w:rPr>
          <w:rFonts w:ascii="GHEA Grapalat" w:hAnsi="GHEA Grapalat" w:cs="Sylfaen"/>
          <w:sz w:val="22"/>
          <w:szCs w:val="22"/>
          <w:lang w:val="en-US"/>
        </w:rPr>
        <w:t xml:space="preserve">աշխատավարձի բնականոն աճի արդյունքում </w:t>
      </w:r>
      <w:r w:rsidRPr="001F63BA">
        <w:rPr>
          <w:rFonts w:ascii="GHEA Grapalat" w:hAnsi="GHEA Grapalat" w:cs="GHEA Grapalat"/>
          <w:sz w:val="22"/>
          <w:szCs w:val="22"/>
        </w:rPr>
        <w:t>աշխատանքի վարձատրության ծախսերի աճով:</w:t>
      </w:r>
    </w:p>
    <w:p w:rsidR="001C411D" w:rsidRPr="001F63BA" w:rsidRDefault="001C411D" w:rsidP="00A46A3C">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sz w:val="22"/>
          <w:szCs w:val="22"/>
          <w:lang w:val="en-US"/>
        </w:rPr>
        <w:t>Երեխաների և երիտասարդների պաշտպանության բարելավման և մասնակցության խթանման</w:t>
      </w:r>
      <w:r w:rsidRPr="001F63BA">
        <w:rPr>
          <w:rFonts w:ascii="GHEA Grapalat" w:hAnsi="GHEA Grapalat" w:cs="Sylfaen"/>
          <w:sz w:val="22"/>
          <w:szCs w:val="22"/>
          <w:lang w:val="en-US"/>
        </w:rPr>
        <w:t xml:space="preserve"> դրամաշնորհային ծրագիրն ուղղված է </w:t>
      </w:r>
      <w:r w:rsidRPr="001F63BA">
        <w:rPr>
          <w:rFonts w:ascii="GHEA Grapalat" w:hAnsi="GHEA Grapalat" w:cs="Sylfaen"/>
          <w:sz w:val="22"/>
          <w:szCs w:val="22"/>
        </w:rPr>
        <w:t>Մարդու իրավունքների պաշտպանի</w:t>
      </w:r>
      <w:r w:rsidRPr="001F63BA">
        <w:rPr>
          <w:rFonts w:ascii="GHEA Grapalat" w:hAnsi="GHEA Grapalat" w:cs="Sylfaen"/>
          <w:sz w:val="22"/>
          <w:szCs w:val="22"/>
          <w:lang w:val="en-US"/>
        </w:rPr>
        <w:t xml:space="preserve"> աշխատակազմում «Երեխայի իրավունքների մասին» ՄԱԿ-ի՝ 1989 թվականի նոյեմբերի 20-ին ընդունված</w:t>
      </w:r>
      <w:r w:rsidRPr="001F63BA">
        <w:rPr>
          <w:rFonts w:ascii="GHEA Grapalat" w:hAnsi="GHEA Grapalat"/>
        </w:rPr>
        <w:t xml:space="preserve"> </w:t>
      </w:r>
      <w:r w:rsidRPr="001F63BA">
        <w:rPr>
          <w:rFonts w:ascii="GHEA Grapalat" w:hAnsi="GHEA Grapalat" w:cs="Sylfaen"/>
          <w:sz w:val="22"/>
          <w:szCs w:val="22"/>
          <w:lang w:val="en-US"/>
        </w:rPr>
        <w:t>կոնվենցիայով նախատեսված մոնիտորինգի գործառույթի զարգացմանը՝ նպաստելով ընտանիքում, դպրոցում, հաստատություններում և երեխաներին առնչվող այլ ոլորտներում լատենտ բռնության բացահայտմանը, ինչպես նաև երեխաների մասնակցայնության խթանմանը:</w:t>
      </w:r>
      <w:r w:rsidRPr="001F63BA">
        <w:rPr>
          <w:rFonts w:ascii="GHEA Grapalat" w:hAnsi="GHEA Grapalat" w:cs="Times Armenian"/>
          <w:sz w:val="22"/>
          <w:szCs w:val="22"/>
        </w:rPr>
        <w:t xml:space="preserve"> </w:t>
      </w:r>
      <w:r w:rsidRPr="001F63BA">
        <w:rPr>
          <w:rFonts w:ascii="GHEA Grapalat" w:hAnsi="GHEA Grapalat" w:cs="GHEA Grapalat"/>
          <w:sz w:val="22"/>
          <w:szCs w:val="22"/>
          <w:lang w:val="en-US"/>
        </w:rPr>
        <w:t>Ծրագրի</w:t>
      </w:r>
      <w:r w:rsidRPr="001F63BA">
        <w:rPr>
          <w:rFonts w:ascii="GHEA Grapalat" w:hAnsi="GHEA Grapalat" w:cs="GHEA Grapalat"/>
          <w:sz w:val="22"/>
          <w:szCs w:val="22"/>
        </w:rPr>
        <w:t xml:space="preserve"> շրջանակներում նախատեսված աշխատանքներն ամբողջությամբ կատարվել են, և ապահովվել են </w:t>
      </w:r>
      <w:r w:rsidRPr="001F63BA">
        <w:rPr>
          <w:rFonts w:ascii="GHEA Grapalat" w:hAnsi="GHEA Grapalat" w:cs="GHEA Grapalat"/>
          <w:sz w:val="22"/>
          <w:szCs w:val="22"/>
          <w:lang w:val="en-US"/>
        </w:rPr>
        <w:t xml:space="preserve">սահմանված բոլոր արդյունքային չափորոշիչները: </w:t>
      </w:r>
      <w:r w:rsidRPr="001F63BA">
        <w:rPr>
          <w:rFonts w:ascii="GHEA Grapalat" w:hAnsi="GHEA Grapalat" w:cs="Sylfaen"/>
          <w:sz w:val="22"/>
          <w:szCs w:val="22"/>
        </w:rPr>
        <w:t>Ծրագրի շրջանակներում իրականացվել են հետևյալ միջոցառումները</w:t>
      </w:r>
      <w:r w:rsidRPr="001F63BA">
        <w:rPr>
          <w:rFonts w:ascii="GHEA Grapalat" w:hAnsi="GHEA Grapalat" w:cs="Times Armenian"/>
          <w:sz w:val="22"/>
          <w:szCs w:val="22"/>
          <w:lang w:val="en-US"/>
        </w:rPr>
        <w:t>.</w:t>
      </w:r>
    </w:p>
    <w:p w:rsidR="001C411D" w:rsidRPr="001F63BA" w:rsidRDefault="001C411D" w:rsidP="00BB1B4B">
      <w:pPr>
        <w:numPr>
          <w:ilvl w:val="0"/>
          <w:numId w:val="26"/>
        </w:numPr>
        <w:tabs>
          <w:tab w:val="left" w:pos="851"/>
        </w:tabs>
        <w:autoSpaceDE w:val="0"/>
        <w:autoSpaceDN w:val="0"/>
        <w:adjustRightInd w:val="0"/>
        <w:spacing w:line="360" w:lineRule="auto"/>
        <w:ind w:left="0" w:firstLine="567"/>
        <w:jc w:val="both"/>
        <w:rPr>
          <w:rFonts w:ascii="GHEA Grapalat" w:hAnsi="GHEA Grapalat" w:cs="Sylfaen"/>
          <w:sz w:val="22"/>
          <w:szCs w:val="22"/>
        </w:rPr>
      </w:pPr>
      <w:r w:rsidRPr="001F63BA">
        <w:rPr>
          <w:rFonts w:ascii="GHEA Grapalat" w:hAnsi="GHEA Grapalat"/>
          <w:sz w:val="22"/>
          <w:szCs w:val="22"/>
          <w:lang w:val="en-US"/>
        </w:rPr>
        <w:t>Իրականաց</w:t>
      </w:r>
      <w:r w:rsidRPr="001F63BA">
        <w:rPr>
          <w:rFonts w:ascii="GHEA Grapalat" w:hAnsi="GHEA Grapalat"/>
          <w:sz w:val="22"/>
          <w:szCs w:val="22"/>
        </w:rPr>
        <w:t xml:space="preserve">վել է </w:t>
      </w:r>
      <w:r w:rsidRPr="001F63BA">
        <w:rPr>
          <w:rFonts w:ascii="GHEA Grapalat" w:hAnsi="GHEA Grapalat" w:cs="Sylfaen"/>
          <w:sz w:val="22"/>
          <w:szCs w:val="22"/>
        </w:rPr>
        <w:t>ՄԻՊ-ի աշխատակիցների կարողությունների զարգացում ԵԻԿ-ի մոնիտորինգի գործառույթի վերաբերյալ, վերապատրա</w:t>
      </w:r>
      <w:r w:rsidRPr="001F63BA">
        <w:rPr>
          <w:rFonts w:ascii="GHEA Grapalat" w:hAnsi="GHEA Grapalat" w:cs="Sylfaen"/>
          <w:sz w:val="22"/>
          <w:szCs w:val="22"/>
          <w:lang w:val="en-US"/>
        </w:rPr>
        <w:t>ս</w:t>
      </w:r>
      <w:r w:rsidRPr="001F63BA">
        <w:rPr>
          <w:rFonts w:ascii="GHEA Grapalat" w:hAnsi="GHEA Grapalat" w:cs="Sylfaen"/>
          <w:sz w:val="22"/>
          <w:szCs w:val="22"/>
        </w:rPr>
        <w:t xml:space="preserve">տվել են 20 աշխատակից: Մշակվել </w:t>
      </w:r>
      <w:r w:rsidRPr="001F63BA">
        <w:rPr>
          <w:rFonts w:ascii="GHEA Grapalat" w:hAnsi="GHEA Grapalat" w:cs="Sylfaen"/>
          <w:sz w:val="22"/>
          <w:szCs w:val="22"/>
          <w:lang w:val="en-US"/>
        </w:rPr>
        <w:t>են</w:t>
      </w:r>
      <w:r w:rsidRPr="001F63BA">
        <w:rPr>
          <w:rFonts w:ascii="GHEA Grapalat" w:hAnsi="GHEA Grapalat" w:cs="Sylfaen"/>
          <w:sz w:val="22"/>
          <w:szCs w:val="22"/>
        </w:rPr>
        <w:t xml:space="preserve"> բուլինգի հիմնախնդրի մոնիտորինգի գործիքներ, մշակված գործիքների հիման վրա Երևանում և ՀՀ մարզերի շուրջ 15 դպրոցներում իրականացվել է ուսումնասիրություն</w:t>
      </w:r>
      <w:r w:rsidRPr="001F63BA">
        <w:rPr>
          <w:rFonts w:ascii="GHEA Grapalat" w:hAnsi="GHEA Grapalat" w:cs="Sylfaen"/>
          <w:sz w:val="22"/>
          <w:szCs w:val="22"/>
          <w:lang w:val="en-US"/>
        </w:rPr>
        <w:t>.</w:t>
      </w:r>
    </w:p>
    <w:p w:rsidR="001C411D" w:rsidRPr="001F63BA" w:rsidRDefault="001C411D" w:rsidP="00BB1B4B">
      <w:pPr>
        <w:numPr>
          <w:ilvl w:val="0"/>
          <w:numId w:val="26"/>
        </w:numPr>
        <w:tabs>
          <w:tab w:val="left" w:pos="851"/>
        </w:tabs>
        <w:autoSpaceDE w:val="0"/>
        <w:autoSpaceDN w:val="0"/>
        <w:adjustRightInd w:val="0"/>
        <w:spacing w:line="360" w:lineRule="auto"/>
        <w:ind w:left="0" w:firstLine="567"/>
        <w:jc w:val="both"/>
        <w:rPr>
          <w:rFonts w:ascii="GHEA Grapalat" w:hAnsi="GHEA Grapalat" w:cs="Sylfaen"/>
          <w:sz w:val="22"/>
          <w:szCs w:val="22"/>
        </w:rPr>
      </w:pPr>
      <w:r w:rsidRPr="001F63BA">
        <w:rPr>
          <w:rFonts w:ascii="GHEA Grapalat" w:hAnsi="GHEA Grapalat" w:cs="Sylfaen"/>
          <w:sz w:val="22"/>
          <w:szCs w:val="22"/>
        </w:rPr>
        <w:t xml:space="preserve">Լավագույն փորձի հիման վրա մշակվել է երեխաների կողմից ՄԻՊ դիմելու մատչելի և վստահելի մեխանիզմների մոդուլ, ինչպես նաև մասնագիտական աջակցություն </w:t>
      </w:r>
      <w:r w:rsidRPr="001F63BA">
        <w:rPr>
          <w:rFonts w:ascii="GHEA Grapalat" w:hAnsi="GHEA Grapalat" w:cs="Sylfaen"/>
          <w:sz w:val="22"/>
          <w:szCs w:val="22"/>
          <w:lang w:val="en-US"/>
        </w:rPr>
        <w:t xml:space="preserve">է </w:t>
      </w:r>
      <w:r w:rsidRPr="001F63BA">
        <w:rPr>
          <w:rFonts w:ascii="GHEA Grapalat" w:hAnsi="GHEA Grapalat" w:cs="Sylfaen"/>
          <w:sz w:val="22"/>
          <w:szCs w:val="22"/>
        </w:rPr>
        <w:t>ցուցաբերվել ՀՀ մարդու իրավունքների պաշպանին առընթեր երեխաների ու երիտասարդության իրավունքների հարցերով ստեղծված խորհրդի գործունեությ</w:t>
      </w:r>
      <w:r w:rsidRPr="001F63BA">
        <w:rPr>
          <w:rFonts w:ascii="GHEA Grapalat" w:hAnsi="GHEA Grapalat" w:cs="Sylfaen"/>
          <w:sz w:val="22"/>
          <w:szCs w:val="22"/>
          <w:lang w:val="en-US"/>
        </w:rPr>
        <w:t>ա</w:t>
      </w:r>
      <w:r w:rsidRPr="001F63BA">
        <w:rPr>
          <w:rFonts w:ascii="GHEA Grapalat" w:hAnsi="GHEA Grapalat" w:cs="Sylfaen"/>
          <w:sz w:val="22"/>
          <w:szCs w:val="22"/>
        </w:rPr>
        <w:t>ն զարգացմանը: Իրականացվել են Երևանում և ՀՀ մարզերում</w:t>
      </w:r>
      <w:r w:rsidRPr="001F63BA">
        <w:rPr>
          <w:rFonts w:ascii="GHEA Grapalat" w:hAnsi="GHEA Grapalat" w:cs="Sylfaen"/>
          <w:sz w:val="22"/>
          <w:szCs w:val="22"/>
          <w:lang w:val="en-US"/>
        </w:rPr>
        <w:t xml:space="preserve"> </w:t>
      </w:r>
      <w:r w:rsidRPr="001F63BA">
        <w:rPr>
          <w:rFonts w:ascii="GHEA Grapalat" w:hAnsi="GHEA Grapalat" w:cs="Sylfaen"/>
          <w:sz w:val="22"/>
          <w:szCs w:val="22"/>
        </w:rPr>
        <w:t>երեխաների շրջանում երեխայի իրավունքների մասին և Պաշտպանի գործունեության վերաբերյալ իրազեկման հանդիպումներ, մասնավորապես</w:t>
      </w:r>
      <w:r w:rsidRPr="001F63BA">
        <w:rPr>
          <w:rFonts w:ascii="GHEA Grapalat" w:hAnsi="GHEA Grapalat" w:cs="Sylfaen"/>
          <w:sz w:val="22"/>
          <w:szCs w:val="22"/>
          <w:lang w:val="en-US"/>
        </w:rPr>
        <w:t>՝</w:t>
      </w:r>
      <w:r w:rsidRPr="001F63BA">
        <w:rPr>
          <w:rFonts w:ascii="GHEA Grapalat" w:hAnsi="GHEA Grapalat" w:cs="Sylfaen"/>
          <w:sz w:val="22"/>
          <w:szCs w:val="22"/>
        </w:rPr>
        <w:t xml:space="preserve"> բուլինգի հիմնախնդրի վերաբերյալ հանդիպումներ աշակերտների հետ: Մասնակցել են շուրջ 250 երեխա</w:t>
      </w:r>
      <w:r w:rsidRPr="001F63BA">
        <w:rPr>
          <w:rFonts w:ascii="GHEA Grapalat" w:hAnsi="GHEA Grapalat" w:cs="Sylfaen"/>
          <w:sz w:val="22"/>
          <w:szCs w:val="22"/>
          <w:lang w:val="en-US"/>
        </w:rPr>
        <w:t>.</w:t>
      </w:r>
    </w:p>
    <w:p w:rsidR="001C411D" w:rsidRPr="001F63BA" w:rsidRDefault="001C411D" w:rsidP="00BB1B4B">
      <w:pPr>
        <w:numPr>
          <w:ilvl w:val="0"/>
          <w:numId w:val="26"/>
        </w:numPr>
        <w:tabs>
          <w:tab w:val="left" w:pos="851"/>
        </w:tabs>
        <w:autoSpaceDE w:val="0"/>
        <w:autoSpaceDN w:val="0"/>
        <w:adjustRightInd w:val="0"/>
        <w:spacing w:line="360" w:lineRule="auto"/>
        <w:ind w:left="0" w:firstLine="567"/>
        <w:jc w:val="both"/>
        <w:rPr>
          <w:rFonts w:ascii="GHEA Grapalat" w:hAnsi="GHEA Grapalat" w:cs="Sylfaen"/>
          <w:sz w:val="22"/>
          <w:szCs w:val="22"/>
        </w:rPr>
      </w:pPr>
      <w:r w:rsidRPr="001F63BA">
        <w:rPr>
          <w:rFonts w:ascii="GHEA Grapalat" w:hAnsi="GHEA Grapalat" w:cs="Sylfaen"/>
          <w:sz w:val="22"/>
          <w:szCs w:val="22"/>
        </w:rPr>
        <w:t>Մշակվել է երեխաների իրավունքների, ինչպես նաև դրանց խախտման դեպքերի վերաբերյալ, մասնավորպես բուլինգի կանխարգելման և բացահայտման վերաբերյալ ձեռնարկ</w:t>
      </w:r>
      <w:r w:rsidRPr="001F63BA">
        <w:rPr>
          <w:rFonts w:ascii="GHEA Grapalat" w:hAnsi="GHEA Grapalat" w:cs="Sylfaen"/>
          <w:sz w:val="22"/>
          <w:szCs w:val="22"/>
          <w:lang w:val="en-US"/>
        </w:rPr>
        <w:t>՝</w:t>
      </w:r>
      <w:r w:rsidRPr="001F63BA">
        <w:rPr>
          <w:rFonts w:ascii="GHEA Grapalat" w:hAnsi="GHEA Grapalat" w:cs="Sylfaen"/>
          <w:sz w:val="22"/>
          <w:szCs w:val="22"/>
        </w:rPr>
        <w:t xml:space="preserve"> նախատեսված կրթության ոլորտի համապատասխան ներկայացուցիչներ</w:t>
      </w:r>
      <w:r w:rsidRPr="001F63BA">
        <w:rPr>
          <w:rFonts w:ascii="GHEA Grapalat" w:hAnsi="GHEA Grapalat" w:cs="Sylfaen"/>
          <w:sz w:val="22"/>
          <w:szCs w:val="22"/>
          <w:lang w:val="en-US"/>
        </w:rPr>
        <w:t>ի</w:t>
      </w:r>
      <w:r w:rsidRPr="001F63BA">
        <w:rPr>
          <w:rFonts w:ascii="GHEA Grapalat" w:hAnsi="GHEA Grapalat" w:cs="Sylfaen"/>
          <w:sz w:val="22"/>
          <w:szCs w:val="22"/>
        </w:rPr>
        <w:t xml:space="preserve"> համար: Իրականացվել է </w:t>
      </w:r>
      <w:r w:rsidRPr="001F63BA">
        <w:rPr>
          <w:rFonts w:ascii="GHEA Grapalat" w:hAnsi="GHEA Grapalat" w:cs="Sylfaen"/>
          <w:sz w:val="22"/>
          <w:szCs w:val="22"/>
        </w:rPr>
        <w:lastRenderedPageBreak/>
        <w:t>«Բուլինգի ճանաչում և արձագանքման հմտությունների զարգացում կրթական ոլորտի մասնագետների շրջանում» թեմայով 2-օրյա դասընթաց տարածքային և տեղական ինքնակառավարման մարմիններում գործող կրթության ոլորտի պատասխանատու անձանց համար, որին մասն</w:t>
      </w:r>
      <w:r w:rsidRPr="001F63BA">
        <w:rPr>
          <w:rFonts w:ascii="GHEA Grapalat" w:hAnsi="GHEA Grapalat" w:cs="Sylfaen"/>
          <w:sz w:val="22"/>
          <w:szCs w:val="22"/>
          <w:lang w:val="en-US"/>
        </w:rPr>
        <w:t>ա</w:t>
      </w:r>
      <w:r w:rsidRPr="001F63BA">
        <w:rPr>
          <w:rFonts w:ascii="GHEA Grapalat" w:hAnsi="GHEA Grapalat" w:cs="Sylfaen"/>
          <w:sz w:val="22"/>
          <w:szCs w:val="22"/>
        </w:rPr>
        <w:t xml:space="preserve">կցել են 25 մասնագետներ Երևանից և ՀՀ բոլոր մարզերից։ </w:t>
      </w: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Միջոցառ</w:t>
      </w:r>
      <w:r w:rsidRPr="001F63BA">
        <w:rPr>
          <w:rFonts w:ascii="GHEA Grapalat" w:hAnsi="GHEA Grapalat" w:cs="GHEA Grapalat"/>
          <w:sz w:val="22"/>
          <w:szCs w:val="22"/>
        </w:rPr>
        <w:t xml:space="preserve">ման ծախսերը կազմել են շուրջ </w:t>
      </w:r>
      <w:r w:rsidRPr="001F63BA">
        <w:rPr>
          <w:rFonts w:ascii="GHEA Grapalat" w:hAnsi="GHEA Grapalat" w:cs="GHEA Grapalat"/>
          <w:sz w:val="22"/>
          <w:szCs w:val="22"/>
          <w:lang w:val="en-US"/>
        </w:rPr>
        <w:t>5.8</w:t>
      </w:r>
      <w:r w:rsidRPr="001F63BA">
        <w:rPr>
          <w:rFonts w:ascii="GHEA Grapalat" w:hAnsi="GHEA Grapalat" w:cs="GHEA Grapalat"/>
          <w:sz w:val="22"/>
          <w:szCs w:val="22"/>
        </w:rPr>
        <w:t xml:space="preserve"> մլն դրամ՝ ապահովելով </w:t>
      </w:r>
      <w:r w:rsidRPr="001F63BA">
        <w:rPr>
          <w:rFonts w:ascii="GHEA Grapalat" w:hAnsi="GHEA Grapalat" w:cs="GHEA Grapalat"/>
          <w:sz w:val="22"/>
          <w:szCs w:val="22"/>
          <w:lang w:val="en-US"/>
        </w:rPr>
        <w:t>98.8</w:t>
      </w:r>
      <w:r w:rsidRPr="001F63BA">
        <w:rPr>
          <w:rFonts w:ascii="GHEA Grapalat" w:hAnsi="GHEA Grapalat" w:cs="GHEA Grapalat"/>
          <w:sz w:val="22"/>
          <w:szCs w:val="22"/>
        </w:rPr>
        <w:t xml:space="preserve">% կատարողական: </w:t>
      </w:r>
      <w:r w:rsidRPr="001F63BA">
        <w:rPr>
          <w:rFonts w:ascii="GHEA Grapalat" w:hAnsi="GHEA Grapalat" w:cs="GHEA Grapalat"/>
          <w:sz w:val="22"/>
          <w:szCs w:val="22"/>
          <w:lang w:val="en-US"/>
        </w:rPr>
        <w:t>Միջոցառումը մեկնարկել է 2022 թվականին:</w:t>
      </w:r>
    </w:p>
    <w:p w:rsidR="001C411D" w:rsidRPr="001F63BA" w:rsidRDefault="001C411D" w:rsidP="008E438A">
      <w:pPr>
        <w:spacing w:line="360" w:lineRule="auto"/>
        <w:ind w:firstLine="561"/>
        <w:jc w:val="both"/>
        <w:rPr>
          <w:rFonts w:ascii="GHEA Grapalat" w:hAnsi="GHEA Grapalat" w:cs="Sylfaen"/>
          <w:sz w:val="22"/>
          <w:szCs w:val="22"/>
        </w:rPr>
      </w:pPr>
    </w:p>
    <w:p w:rsidR="001C411D" w:rsidRPr="001F63BA" w:rsidRDefault="001C411D" w:rsidP="005D54D5">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GHEA Grapalat"/>
          <w:i/>
          <w:sz w:val="22"/>
          <w:szCs w:val="22"/>
          <w:u w:val="single"/>
        </w:rPr>
        <w:t>ՀՀ միջուկային անվտանգության կարգավորման կոմիտեին</w:t>
      </w:r>
      <w:r w:rsidRPr="001F63BA">
        <w:rPr>
          <w:rFonts w:ascii="GHEA Grapalat" w:hAnsi="GHEA Grapalat" w:cs="GHEA Grapalat"/>
          <w:sz w:val="22"/>
          <w:szCs w:val="22"/>
        </w:rPr>
        <w:t xml:space="preserve"> </w:t>
      </w:r>
      <w:r w:rsidRPr="001F63BA">
        <w:rPr>
          <w:rFonts w:ascii="GHEA Grapalat" w:hAnsi="GHEA Grapalat" w:cs="Sylfaen"/>
          <w:sz w:val="22"/>
          <w:szCs w:val="22"/>
        </w:rPr>
        <w:t>հատկացված միջոցներով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ընթացքում իրականացվել է </w:t>
      </w:r>
      <w:r w:rsidRPr="001F63BA">
        <w:rPr>
          <w:rFonts w:ascii="GHEA Grapalat" w:hAnsi="GHEA Grapalat" w:cs="Sylfaen"/>
          <w:i/>
          <w:sz w:val="22"/>
          <w:szCs w:val="22"/>
        </w:rPr>
        <w:t>Միջուկային և ճառագայթային անվտանգության կարգավորման</w:t>
      </w:r>
      <w:r w:rsidRPr="001F63BA">
        <w:rPr>
          <w:rFonts w:ascii="GHEA Grapalat" w:hAnsi="GHEA Grapalat" w:cs="Sylfaen"/>
          <w:sz w:val="22"/>
          <w:szCs w:val="22"/>
        </w:rPr>
        <w:t xml:space="preserve"> </w:t>
      </w:r>
      <w:r w:rsidRPr="001F63BA">
        <w:rPr>
          <w:rFonts w:ascii="GHEA Grapalat" w:hAnsi="GHEA Grapalat"/>
          <w:sz w:val="22"/>
          <w:szCs w:val="22"/>
        </w:rPr>
        <w:t>ծրագիրը</w:t>
      </w:r>
      <w:r w:rsidRPr="001F63BA">
        <w:rPr>
          <w:rFonts w:ascii="GHEA Grapalat" w:hAnsi="GHEA Grapalat" w:cs="Sylfaen"/>
          <w:sz w:val="22"/>
          <w:szCs w:val="22"/>
        </w:rPr>
        <w:t xml:space="preserve">, որի կատարողականը կազմել է 99% կամ </w:t>
      </w:r>
      <w:r w:rsidRPr="001F63BA">
        <w:rPr>
          <w:rFonts w:ascii="GHEA Grapalat" w:hAnsi="GHEA Grapalat" w:cs="Sylfaen"/>
          <w:sz w:val="22"/>
          <w:szCs w:val="22"/>
          <w:lang w:val="en-US"/>
        </w:rPr>
        <w:t>324</w:t>
      </w:r>
      <w:r w:rsidRPr="001F63BA">
        <w:rPr>
          <w:rFonts w:ascii="GHEA Grapalat" w:hAnsi="GHEA Grapalat" w:cs="Sylfaen"/>
          <w:sz w:val="22"/>
          <w:szCs w:val="22"/>
        </w:rPr>
        <w:t xml:space="preserve"> մլն դրամ: Նախորդ տարվա համեմատ կոմիտեի ծախսերն աճել են 2.3%-ով (7.2 մլն դրամով)՝ հիմնականում պայմանավորված </w:t>
      </w:r>
      <w:r w:rsidRPr="001F63BA">
        <w:rPr>
          <w:rFonts w:ascii="GHEA Grapalat" w:hAnsi="GHEA Grapalat" w:cs="Sylfaen"/>
          <w:sz w:val="22"/>
          <w:szCs w:val="22"/>
          <w:lang w:val="af-ZA"/>
        </w:rPr>
        <w:t>աշխատանքի վարձատրության ծախսերի աճով: Ծրագրի շրջանակներում 2022 թվականին ՀՀ միջուկային անվտանգության կարգավորման կոմիտեի կողմից իրականացվել են միջուկային և ճառագայթային անվտանգության նորմերի ու կանոնների, լիցենզիայի պայմանների և պահանջների համապատասխանության 45 տեսչական ստուգումներ, տրամադրվել է ատոմային էներգիայի օգտագործման բնագավառում գործունեության իրականացման 755 լիցենզիա՝ կանխատեսված 739</w:t>
      </w:r>
      <w:r w:rsidRPr="001F63BA">
        <w:rPr>
          <w:rFonts w:ascii="GHEA Grapalat" w:hAnsi="GHEA Grapalat" w:cs="Sylfaen"/>
          <w:sz w:val="22"/>
          <w:szCs w:val="22"/>
          <w:lang w:val="af-ZA"/>
        </w:rPr>
        <w:noBreakHyphen/>
        <w:t>ի փոխարեն:</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8A563E">
      <w:pPr>
        <w:autoSpaceDE w:val="0"/>
        <w:autoSpaceDN w:val="0"/>
        <w:adjustRightInd w:val="0"/>
        <w:spacing w:line="360" w:lineRule="auto"/>
        <w:ind w:firstLine="567"/>
        <w:jc w:val="both"/>
        <w:rPr>
          <w:rFonts w:ascii="GHEA Grapalat" w:hAnsi="GHEA Grapalat" w:cs="Sylfaen"/>
          <w:sz w:val="22"/>
          <w:szCs w:val="22"/>
          <w:lang w:val="en-US"/>
        </w:rPr>
      </w:pPr>
      <w:r w:rsidRPr="001F63BA">
        <w:rPr>
          <w:rFonts w:ascii="GHEA Grapalat" w:hAnsi="GHEA Grapalat" w:cs="GHEA Grapalat"/>
          <w:i/>
          <w:sz w:val="22"/>
          <w:szCs w:val="22"/>
          <w:u w:val="single"/>
        </w:rPr>
        <w:t>ՀՀ քննչական կոմիտեի</w:t>
      </w:r>
      <w:r w:rsidRPr="001F63BA">
        <w:rPr>
          <w:rFonts w:ascii="GHEA Grapalat" w:hAnsi="GHEA Grapalat" w:cs="GHEA Grapalat"/>
          <w:sz w:val="22"/>
          <w:szCs w:val="22"/>
        </w:rPr>
        <w:t xml:space="preserve"> </w:t>
      </w:r>
      <w:r w:rsidRPr="001F63BA">
        <w:rPr>
          <w:rFonts w:ascii="GHEA Grapalat" w:hAnsi="GHEA Grapalat" w:cs="Sylfaen"/>
          <w:sz w:val="22"/>
          <w:szCs w:val="22"/>
        </w:rPr>
        <w:t xml:space="preserve">կողմից իրականացված </w:t>
      </w:r>
      <w:r w:rsidRPr="001F63BA">
        <w:rPr>
          <w:rFonts w:ascii="GHEA Grapalat" w:hAnsi="GHEA Grapalat" w:cs="Sylfaen"/>
          <w:i/>
          <w:sz w:val="22"/>
          <w:szCs w:val="22"/>
        </w:rPr>
        <w:t>«ՀՀ քննչական ծառայություններ»</w:t>
      </w:r>
      <w:r w:rsidRPr="001F63BA">
        <w:rPr>
          <w:rFonts w:ascii="GHEA Grapalat" w:hAnsi="GHEA Grapalat" w:cs="Sylfaen"/>
          <w:sz w:val="22"/>
          <w:szCs w:val="22"/>
        </w:rPr>
        <w:t xml:space="preserve"> ծրագրի շրջանակներում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ընթացքում կատարվել են </w:t>
      </w:r>
      <w:r w:rsidRPr="001F63BA">
        <w:rPr>
          <w:rFonts w:ascii="GHEA Grapalat" w:hAnsi="GHEA Grapalat" w:cs="Sylfaen"/>
          <w:sz w:val="22"/>
          <w:szCs w:val="22"/>
          <w:lang w:val="en-US"/>
        </w:rPr>
        <w:t>9.6</w:t>
      </w:r>
      <w:r w:rsidRPr="001F63BA">
        <w:rPr>
          <w:rFonts w:ascii="GHEA Grapalat" w:hAnsi="GHEA Grapalat" w:cs="Sylfaen"/>
          <w:sz w:val="22"/>
          <w:szCs w:val="22"/>
        </w:rPr>
        <w:t xml:space="preserve"> մլրդ դրամ ծախսեր՝ կազմելով ծրագրային ցուցանիշի 99</w:t>
      </w:r>
      <w:r w:rsidRPr="001F63BA">
        <w:rPr>
          <w:rFonts w:ascii="GHEA Grapalat" w:hAnsi="GHEA Grapalat" w:cs="Sylfaen"/>
          <w:sz w:val="22"/>
          <w:szCs w:val="22"/>
          <w:lang w:val="en-US"/>
        </w:rPr>
        <w:t>.1</w:t>
      </w:r>
      <w:r w:rsidRPr="001F63BA">
        <w:rPr>
          <w:rFonts w:ascii="GHEA Grapalat" w:hAnsi="GHEA Grapalat" w:cs="Sylfaen"/>
          <w:sz w:val="22"/>
          <w:szCs w:val="22"/>
        </w:rPr>
        <w:t xml:space="preserve">%-ը: </w:t>
      </w:r>
      <w:r w:rsidRPr="001F63BA">
        <w:rPr>
          <w:rFonts w:ascii="GHEA Grapalat" w:hAnsi="GHEA Grapalat" w:cs="Sylfaen"/>
          <w:sz w:val="22"/>
          <w:szCs w:val="22"/>
          <w:lang w:val="en-US"/>
        </w:rPr>
        <w:t>Միջոցների հիմնական մասը՝ շուրջ 9.2 մլրդ դրամը, կազմել են քրեական գործերով վարույթի իրականացման ծախսերը, որոնք կատարվել են 99.4%-ով: Հաշվետու տարում ավարտվել է 94 սպանության և 1302 գողության դեպքով քրեական գործ` կանխատեսված համապատասխանաբար 55-ի և 560-ի դիմաց, կարճվել է սպանության դեպքերով 22 գործ և գողության դեպքերով 807 քրեական գործ՝ կանխատեսված համապատասխանաբար 12-ի և 2000-ի դիմաց: Նախորդ տարվա համեմատ կոմիտեի ծախսերն աճել են 19.3%-ով կամ շուրջ 1.6 մլրդ</w:t>
      </w:r>
      <w:r w:rsidRPr="001F63BA">
        <w:rPr>
          <w:rFonts w:ascii="GHEA Grapalat" w:hAnsi="GHEA Grapalat" w:cs="Sylfaen"/>
          <w:sz w:val="22"/>
          <w:szCs w:val="22"/>
        </w:rPr>
        <w:t xml:space="preserve"> դրամով՝ հիմնականում</w:t>
      </w:r>
      <w:r w:rsidRPr="001F63BA">
        <w:rPr>
          <w:rFonts w:ascii="GHEA Grapalat" w:hAnsi="GHEA Grapalat" w:cs="Sylfaen"/>
          <w:sz w:val="22"/>
          <w:szCs w:val="22"/>
          <w:lang w:val="en-US"/>
        </w:rPr>
        <w:t xml:space="preserve"> պայմանավորված</w:t>
      </w:r>
      <w:r w:rsidRPr="001F63BA">
        <w:rPr>
          <w:rFonts w:ascii="GHEA Grapalat" w:hAnsi="GHEA Grapalat" w:cs="Sylfaen"/>
          <w:sz w:val="22"/>
          <w:szCs w:val="22"/>
        </w:rPr>
        <w:t xml:space="preserve"> հաստիքների ավելացմամբ</w:t>
      </w:r>
      <w:r w:rsidRPr="001F63BA">
        <w:rPr>
          <w:rFonts w:ascii="GHEA Grapalat" w:hAnsi="GHEA Grapalat" w:cs="Sylfaen"/>
          <w:sz w:val="22"/>
          <w:szCs w:val="22"/>
          <w:lang w:val="en-US"/>
        </w:rPr>
        <w:t xml:space="preserve"> (ոստիկանության համակարգի 210 հետաքննիչներ տեղափոխվել են ՀՀ քննչական կոմիտե)</w:t>
      </w:r>
      <w:r w:rsidRPr="001F63BA">
        <w:rPr>
          <w:rFonts w:ascii="GHEA Grapalat" w:hAnsi="GHEA Grapalat" w:cs="Sylfaen"/>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8A563E">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GHEA Grapalat"/>
          <w:i/>
          <w:sz w:val="22"/>
          <w:szCs w:val="22"/>
          <w:u w:val="single"/>
        </w:rPr>
        <w:t>ՀՀ քաղաքաշինության կոմիտեի</w:t>
      </w:r>
      <w:r w:rsidRPr="001F63BA">
        <w:rPr>
          <w:rFonts w:ascii="GHEA Grapalat" w:hAnsi="GHEA Grapalat" w:cs="Sylfaen"/>
          <w:sz w:val="22"/>
          <w:szCs w:val="22"/>
        </w:rPr>
        <w:t xml:space="preserve"> պատասխանատվությամբ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ընթացքում կատարվել է </w:t>
      </w:r>
      <w:r w:rsidRPr="001F63BA">
        <w:rPr>
          <w:rFonts w:ascii="GHEA Grapalat" w:hAnsi="GHEA Grapalat" w:cs="Sylfaen"/>
          <w:i/>
          <w:iCs/>
          <w:sz w:val="22"/>
          <w:szCs w:val="22"/>
        </w:rPr>
        <w:t>Քաղաքաշինության և ճարտարապետության բնագավառում պետական քաղաքականության իրականացմ</w:t>
      </w:r>
      <w:r w:rsidRPr="001F63BA">
        <w:rPr>
          <w:rFonts w:ascii="GHEA Grapalat" w:hAnsi="GHEA Grapalat" w:cs="Sylfaen"/>
          <w:i/>
          <w:iCs/>
          <w:sz w:val="22"/>
          <w:szCs w:val="22"/>
          <w:lang w:val="en-US"/>
        </w:rPr>
        <w:t>ան</w:t>
      </w:r>
      <w:r w:rsidRPr="001F63BA">
        <w:rPr>
          <w:rFonts w:ascii="GHEA Grapalat" w:hAnsi="GHEA Grapalat" w:cs="Sylfaen"/>
          <w:i/>
          <w:iCs/>
          <w:sz w:val="22"/>
          <w:szCs w:val="22"/>
        </w:rPr>
        <w:t xml:space="preserve"> և կանոնակարգմ</w:t>
      </w:r>
      <w:r w:rsidRPr="001F63BA">
        <w:rPr>
          <w:rFonts w:ascii="GHEA Grapalat" w:hAnsi="GHEA Grapalat" w:cs="Sylfaen"/>
          <w:i/>
          <w:iCs/>
          <w:sz w:val="22"/>
          <w:szCs w:val="22"/>
          <w:lang w:val="en-US"/>
        </w:rPr>
        <w:t>ան</w:t>
      </w:r>
      <w:r w:rsidRPr="001F63BA">
        <w:rPr>
          <w:rFonts w:ascii="GHEA Grapalat" w:hAnsi="GHEA Grapalat" w:cs="Sylfaen"/>
          <w:sz w:val="22"/>
          <w:szCs w:val="22"/>
        </w:rPr>
        <w:t xml:space="preserve"> ծրագիր</w:t>
      </w:r>
      <w:r w:rsidRPr="001F63BA">
        <w:rPr>
          <w:rFonts w:ascii="GHEA Grapalat" w:hAnsi="GHEA Grapalat" w:cs="Sylfaen"/>
          <w:sz w:val="22"/>
          <w:szCs w:val="22"/>
          <w:lang w:val="en-US"/>
        </w:rPr>
        <w:t>ը</w:t>
      </w:r>
      <w:r w:rsidRPr="001F63BA">
        <w:rPr>
          <w:rFonts w:ascii="GHEA Grapalat" w:hAnsi="GHEA Grapalat" w:cs="Sylfaen"/>
          <w:sz w:val="22"/>
          <w:szCs w:val="22"/>
        </w:rPr>
        <w:t>, որ</w:t>
      </w:r>
      <w:r w:rsidRPr="001F63BA">
        <w:rPr>
          <w:rFonts w:ascii="GHEA Grapalat" w:hAnsi="GHEA Grapalat" w:cs="Sylfaen"/>
          <w:sz w:val="22"/>
          <w:szCs w:val="22"/>
          <w:lang w:val="en-US"/>
        </w:rPr>
        <w:t>ի</w:t>
      </w:r>
      <w:r w:rsidRPr="001F63BA">
        <w:rPr>
          <w:rFonts w:ascii="GHEA Grapalat" w:hAnsi="GHEA Grapalat" w:cs="Sylfaen"/>
          <w:sz w:val="22"/>
          <w:szCs w:val="22"/>
        </w:rPr>
        <w:t xml:space="preserve"> գծով ծախսերը կազմել են </w:t>
      </w:r>
      <w:r w:rsidRPr="001F63BA">
        <w:rPr>
          <w:rFonts w:ascii="GHEA Grapalat" w:hAnsi="GHEA Grapalat" w:cs="Sylfaen"/>
          <w:sz w:val="22"/>
          <w:szCs w:val="22"/>
          <w:lang w:val="en-US"/>
        </w:rPr>
        <w:t xml:space="preserve">1.5 </w:t>
      </w:r>
      <w:r w:rsidRPr="001F63BA">
        <w:rPr>
          <w:rFonts w:ascii="GHEA Grapalat" w:hAnsi="GHEA Grapalat" w:cs="Sylfaen"/>
          <w:sz w:val="22"/>
          <w:szCs w:val="22"/>
          <w:lang w:val="en-US"/>
        </w:rPr>
        <w:lastRenderedPageBreak/>
        <w:t>մլրդ</w:t>
      </w:r>
      <w:r w:rsidRPr="001F63BA">
        <w:rPr>
          <w:rFonts w:ascii="GHEA Grapalat" w:hAnsi="GHEA Grapalat" w:cs="Sylfaen"/>
          <w:sz w:val="22"/>
          <w:szCs w:val="22"/>
        </w:rPr>
        <w:t xml:space="preserve"> դրամ կամ ծրագրված ցուցանիշի </w:t>
      </w:r>
      <w:r w:rsidRPr="001F63BA">
        <w:rPr>
          <w:rFonts w:ascii="GHEA Grapalat" w:hAnsi="GHEA Grapalat" w:cs="Sylfaen"/>
          <w:sz w:val="22"/>
          <w:szCs w:val="22"/>
          <w:lang w:val="en-US"/>
        </w:rPr>
        <w:t>86.5</w:t>
      </w:r>
      <w:r w:rsidRPr="001F63BA">
        <w:rPr>
          <w:rFonts w:ascii="GHEA Grapalat" w:hAnsi="GHEA Grapalat" w:cs="Sylfaen"/>
          <w:sz w:val="22"/>
          <w:szCs w:val="22"/>
        </w:rPr>
        <w:t>%</w:t>
      </w:r>
      <w:r w:rsidRPr="001F63BA">
        <w:rPr>
          <w:rFonts w:ascii="GHEA Grapalat" w:hAnsi="GHEA Grapalat" w:cs="Sylfaen"/>
          <w:sz w:val="22"/>
          <w:szCs w:val="22"/>
        </w:rPr>
        <w:noBreakHyphen/>
        <w:t>ը: Շեղումը հիմնականում պայմանավորված է քաղաքաշինության բնագավառում պետական ծրագրերի իրականացման ապահովման միջոցառման կատարողականով</w:t>
      </w:r>
      <w:r w:rsidRPr="001F63BA">
        <w:rPr>
          <w:rFonts w:ascii="GHEA Grapalat" w:hAnsi="GHEA Grapalat" w:cs="Sylfaen"/>
          <w:sz w:val="22"/>
          <w:szCs w:val="22"/>
          <w:lang w:val="en-US"/>
        </w:rPr>
        <w:t>, որի</w:t>
      </w:r>
      <w:r w:rsidRPr="001F63BA">
        <w:rPr>
          <w:rFonts w:ascii="GHEA Grapalat" w:hAnsi="GHEA Grapalat" w:cs="Sylfaen"/>
          <w:sz w:val="22"/>
          <w:szCs w:val="22"/>
        </w:rPr>
        <w:t xml:space="preserve"> շրջանակներում միջոցներ են հատկացվել ՀՀ Սյունիքի մարզի սահմանամերձ Գորիս համայնքի Շուռնուխ բնակավայրում բնակելի թաղամասի կառուցման նպատակով: </w:t>
      </w:r>
      <w:bookmarkStart w:id="260" w:name="_Hlk69997696"/>
      <w:r w:rsidRPr="001F63BA">
        <w:rPr>
          <w:rFonts w:ascii="GHEA Grapalat" w:hAnsi="GHEA Grapalat" w:cs="Sylfaen"/>
          <w:bCs/>
          <w:sz w:val="22"/>
          <w:szCs w:val="22"/>
        </w:rPr>
        <w:t>Շինարարական աշխատանքների մի մասը չի կատարվել</w:t>
      </w:r>
      <w:r w:rsidRPr="001F63BA">
        <w:rPr>
          <w:rFonts w:ascii="GHEA Grapalat" w:hAnsi="GHEA Grapalat" w:cs="Sylfaen"/>
          <w:bCs/>
          <w:sz w:val="22"/>
          <w:szCs w:val="22"/>
          <w:lang w:val="en-US"/>
        </w:rPr>
        <w:t>,</w:t>
      </w:r>
      <w:r w:rsidRPr="001F63BA">
        <w:rPr>
          <w:rFonts w:ascii="GHEA Grapalat" w:hAnsi="GHEA Grapalat" w:cs="Sylfaen"/>
          <w:bCs/>
          <w:sz w:val="22"/>
          <w:szCs w:val="22"/>
        </w:rPr>
        <w:t xml:space="preserve"> </w:t>
      </w:r>
      <w:r w:rsidRPr="001F63BA">
        <w:rPr>
          <w:rFonts w:ascii="GHEA Grapalat" w:hAnsi="GHEA Grapalat" w:cs="Sylfaen"/>
          <w:bCs/>
          <w:sz w:val="22"/>
          <w:szCs w:val="22"/>
          <w:lang w:val="en-US"/>
        </w:rPr>
        <w:t xml:space="preserve">որի </w:t>
      </w:r>
      <w:r w:rsidRPr="001F63BA">
        <w:rPr>
          <w:rFonts w:ascii="GHEA Grapalat" w:hAnsi="GHEA Grapalat" w:cs="Sylfaen"/>
          <w:bCs/>
          <w:sz w:val="22"/>
          <w:szCs w:val="22"/>
        </w:rPr>
        <w:t xml:space="preserve">պատճառ </w:t>
      </w:r>
      <w:r w:rsidRPr="001F63BA">
        <w:rPr>
          <w:rFonts w:ascii="GHEA Grapalat" w:hAnsi="GHEA Grapalat" w:cs="Sylfaen"/>
          <w:bCs/>
          <w:sz w:val="22"/>
          <w:szCs w:val="22"/>
          <w:lang w:val="en-US"/>
        </w:rPr>
        <w:t>են</w:t>
      </w:r>
      <w:r w:rsidRPr="001F63BA">
        <w:rPr>
          <w:rFonts w:ascii="GHEA Grapalat" w:hAnsi="GHEA Grapalat" w:cs="Sylfaen"/>
          <w:bCs/>
          <w:sz w:val="22"/>
          <w:szCs w:val="22"/>
        </w:rPr>
        <w:t xml:space="preserve"> հանդիսացել Ադրբեջանի սանձազերծած սահմանային միջադեպերը, ցեմենտի</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դեֆիցիտի</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պատճառով</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բետոնացման</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աշխատանքների</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ժամանակին</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իրականացման</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անհնարինությունը</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ինչպես</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նաև</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Խոտ</w:t>
      </w:r>
      <w:r w:rsidRPr="001F63BA">
        <w:rPr>
          <w:rFonts w:ascii="GHEA Grapalat" w:hAnsi="GHEA Grapalat" w:cs="Sylfaen"/>
          <w:bCs/>
          <w:sz w:val="22"/>
          <w:szCs w:val="22"/>
          <w:lang w:val="en-US"/>
        </w:rPr>
        <w:t>-</w:t>
      </w:r>
      <w:r w:rsidRPr="001F63BA">
        <w:rPr>
          <w:rFonts w:ascii="GHEA Grapalat" w:hAnsi="GHEA Grapalat" w:cs="Sylfaen"/>
          <w:bCs/>
          <w:sz w:val="22"/>
          <w:szCs w:val="22"/>
        </w:rPr>
        <w:t>Որոտան</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ճանապարհի</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փլուզման</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հետևանքով</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առաջացած</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լոգիստիկ</w:t>
      </w:r>
      <w:r w:rsidRPr="001F63BA">
        <w:rPr>
          <w:rFonts w:ascii="GHEA Grapalat" w:hAnsi="GHEA Grapalat" w:cs="Sylfaen"/>
          <w:bCs/>
          <w:sz w:val="22"/>
          <w:szCs w:val="22"/>
          <w:lang w:val="fr-FR"/>
        </w:rPr>
        <w:t xml:space="preserve"> </w:t>
      </w:r>
      <w:r w:rsidRPr="001F63BA">
        <w:rPr>
          <w:rFonts w:ascii="GHEA Grapalat" w:hAnsi="GHEA Grapalat" w:cs="Sylfaen"/>
          <w:bCs/>
          <w:sz w:val="22"/>
          <w:szCs w:val="22"/>
        </w:rPr>
        <w:t>խնդիրները, որոն</w:t>
      </w:r>
      <w:r w:rsidRPr="001F63BA">
        <w:rPr>
          <w:rFonts w:ascii="GHEA Grapalat" w:hAnsi="GHEA Grapalat" w:cs="Sylfaen"/>
          <w:bCs/>
          <w:sz w:val="22"/>
          <w:szCs w:val="22"/>
          <w:lang w:val="en-US"/>
        </w:rPr>
        <w:t>ք հիմք են հանդիսացել</w:t>
      </w:r>
      <w:r w:rsidRPr="001F63BA">
        <w:rPr>
          <w:rFonts w:ascii="GHEA Grapalat" w:hAnsi="GHEA Grapalat" w:cs="Sylfaen"/>
          <w:bCs/>
          <w:sz w:val="22"/>
          <w:szCs w:val="22"/>
        </w:rPr>
        <w:t xml:space="preserve"> պայմանագր</w:t>
      </w:r>
      <w:r w:rsidRPr="001F63BA">
        <w:rPr>
          <w:rFonts w:ascii="GHEA Grapalat" w:hAnsi="GHEA Grapalat" w:cs="Sylfaen"/>
          <w:bCs/>
          <w:sz w:val="22"/>
          <w:szCs w:val="22"/>
          <w:lang w:val="en-US"/>
        </w:rPr>
        <w:t>ով</w:t>
      </w:r>
      <w:r w:rsidRPr="001F63BA">
        <w:rPr>
          <w:rFonts w:ascii="GHEA Grapalat" w:hAnsi="GHEA Grapalat" w:cs="Sylfaen"/>
          <w:bCs/>
          <w:sz w:val="22"/>
          <w:szCs w:val="22"/>
        </w:rPr>
        <w:t xml:space="preserve"> սահմանված ժամկետի երկարաձգման համար:</w:t>
      </w:r>
      <w:r w:rsidRPr="001F63BA">
        <w:t xml:space="preserve"> </w:t>
      </w:r>
      <w:r w:rsidRPr="001F63BA">
        <w:rPr>
          <w:rFonts w:ascii="GHEA Grapalat" w:hAnsi="GHEA Grapalat" w:cs="Sylfaen"/>
          <w:bCs/>
          <w:sz w:val="22"/>
          <w:szCs w:val="22"/>
        </w:rPr>
        <w:t xml:space="preserve">Տվյալ միջոցառման </w:t>
      </w:r>
      <w:r w:rsidRPr="001F63BA">
        <w:rPr>
          <w:rFonts w:ascii="GHEA Grapalat" w:hAnsi="GHEA Grapalat" w:cs="Sylfaen"/>
          <w:bCs/>
          <w:sz w:val="22"/>
          <w:szCs w:val="22"/>
          <w:lang w:val="en-US"/>
        </w:rPr>
        <w:t>գծով</w:t>
      </w:r>
      <w:r w:rsidRPr="001F63BA">
        <w:rPr>
          <w:rFonts w:ascii="GHEA Grapalat" w:hAnsi="GHEA Grapalat" w:cs="Sylfaen"/>
          <w:bCs/>
          <w:sz w:val="22"/>
          <w:szCs w:val="22"/>
        </w:rPr>
        <w:t xml:space="preserve"> ծախսերը կազմել են </w:t>
      </w:r>
      <w:r w:rsidRPr="001F63BA">
        <w:rPr>
          <w:rFonts w:ascii="GHEA Grapalat" w:hAnsi="GHEA Grapalat" w:cs="Sylfaen"/>
          <w:bCs/>
          <w:sz w:val="22"/>
          <w:szCs w:val="22"/>
          <w:lang w:val="en-US"/>
        </w:rPr>
        <w:t>308.3</w:t>
      </w:r>
      <w:r w:rsidRPr="001F63BA">
        <w:rPr>
          <w:rFonts w:ascii="GHEA Grapalat" w:hAnsi="GHEA Grapalat" w:cs="Sylfaen"/>
          <w:bCs/>
          <w:sz w:val="22"/>
          <w:szCs w:val="22"/>
        </w:rPr>
        <w:t xml:space="preserve"> մլն դրամ</w:t>
      </w:r>
      <w:r w:rsidRPr="001F63BA">
        <w:rPr>
          <w:rFonts w:ascii="GHEA Grapalat" w:hAnsi="GHEA Grapalat" w:cs="Sylfaen"/>
          <w:bCs/>
          <w:sz w:val="22"/>
          <w:szCs w:val="22"/>
          <w:lang w:val="en-US"/>
        </w:rPr>
        <w:t xml:space="preserve"> կամ նախատեսվածի 57.5</w:t>
      </w:r>
      <w:r w:rsidRPr="001F63BA">
        <w:rPr>
          <w:rFonts w:ascii="GHEA Grapalat" w:hAnsi="GHEA Grapalat" w:cs="Sylfaen"/>
          <w:bCs/>
          <w:sz w:val="22"/>
          <w:szCs w:val="22"/>
        </w:rPr>
        <w:t>%-ը:</w:t>
      </w:r>
    </w:p>
    <w:p w:rsidR="001C411D" w:rsidRPr="001F63BA" w:rsidRDefault="001C411D" w:rsidP="008A563E">
      <w:pPr>
        <w:autoSpaceDE w:val="0"/>
        <w:autoSpaceDN w:val="0"/>
        <w:adjustRightInd w:val="0"/>
        <w:spacing w:line="360" w:lineRule="auto"/>
        <w:ind w:firstLine="567"/>
        <w:jc w:val="both"/>
        <w:rPr>
          <w:rFonts w:ascii="GHEA Grapalat" w:hAnsi="GHEA Grapalat" w:cs="Sylfaen"/>
          <w:sz w:val="22"/>
          <w:szCs w:val="22"/>
        </w:rPr>
      </w:pPr>
      <w:r w:rsidRPr="001F63BA">
        <w:rPr>
          <w:rFonts w:ascii="GHEA Grapalat" w:hAnsi="GHEA Grapalat" w:cs="Sylfaen"/>
          <w:sz w:val="22"/>
          <w:szCs w:val="22"/>
        </w:rPr>
        <w:t>Քաղաքաշինության և ճարտարապետության բնագավառում պետական քաղաքականության մշակման, իրականացման, համակարգման, պլանավորման, մոնիտորինգի, կապիտալ ծրագրերի կատարման, պետական գնումների իրականացման ծառայության</w:t>
      </w:r>
      <w:bookmarkEnd w:id="260"/>
      <w:r w:rsidRPr="001F63BA">
        <w:rPr>
          <w:rFonts w:ascii="GHEA Grapalat" w:hAnsi="GHEA Grapalat" w:cs="Sylfaen"/>
          <w:sz w:val="22"/>
          <w:szCs w:val="22"/>
        </w:rPr>
        <w:t xml:space="preserve"> միջոցառման ծախսերը կազմել են </w:t>
      </w:r>
      <w:r w:rsidRPr="001F63BA">
        <w:rPr>
          <w:rFonts w:ascii="GHEA Grapalat" w:hAnsi="GHEA Grapalat" w:cs="Sylfaen"/>
          <w:sz w:val="22"/>
          <w:szCs w:val="22"/>
          <w:lang w:val="en-US"/>
        </w:rPr>
        <w:t>579.5</w:t>
      </w:r>
      <w:r w:rsidRPr="001F63BA">
        <w:rPr>
          <w:rFonts w:ascii="GHEA Grapalat" w:hAnsi="GHEA Grapalat" w:cs="Sylfaen"/>
          <w:sz w:val="22"/>
          <w:szCs w:val="22"/>
        </w:rPr>
        <w:t xml:space="preserve"> մլն դրամ կամ ծրագրված ցուցանիշի </w:t>
      </w:r>
      <w:r w:rsidRPr="001F63BA">
        <w:rPr>
          <w:rFonts w:ascii="GHEA Grapalat" w:hAnsi="GHEA Grapalat" w:cs="Sylfaen"/>
          <w:sz w:val="22"/>
          <w:szCs w:val="22"/>
          <w:lang w:val="en-US"/>
        </w:rPr>
        <w:t>98.9</w:t>
      </w:r>
      <w:r w:rsidRPr="001F63BA">
        <w:rPr>
          <w:rFonts w:ascii="GHEA Grapalat" w:hAnsi="GHEA Grapalat" w:cs="Sylfaen"/>
          <w:sz w:val="22"/>
          <w:szCs w:val="22"/>
        </w:rPr>
        <w:t xml:space="preserve">%-ը: </w:t>
      </w:r>
    </w:p>
    <w:p w:rsidR="001C411D" w:rsidRPr="001F63BA" w:rsidRDefault="001C411D" w:rsidP="008A563E">
      <w:pPr>
        <w:autoSpaceDE w:val="0"/>
        <w:autoSpaceDN w:val="0"/>
        <w:adjustRightInd w:val="0"/>
        <w:spacing w:line="360" w:lineRule="auto"/>
        <w:ind w:firstLine="567"/>
        <w:jc w:val="both"/>
        <w:rPr>
          <w:rFonts w:ascii="GHEA Grapalat" w:hAnsi="GHEA Grapalat" w:cs="Sylfaen"/>
          <w:bCs/>
          <w:sz w:val="22"/>
          <w:szCs w:val="22"/>
        </w:rPr>
      </w:pPr>
      <w:r w:rsidRPr="001F63BA">
        <w:rPr>
          <w:rFonts w:ascii="GHEA Grapalat" w:hAnsi="GHEA Grapalat" w:cs="Sylfaen"/>
          <w:bCs/>
          <w:sz w:val="22"/>
          <w:szCs w:val="22"/>
        </w:rPr>
        <w:t xml:space="preserve">Նախորդ տարվա համեմատ ՀՀ քաղաքաշինության կոմիտեի ծախսերն աճել են </w:t>
      </w:r>
      <w:r w:rsidRPr="001F63BA">
        <w:rPr>
          <w:rFonts w:ascii="GHEA Grapalat" w:hAnsi="GHEA Grapalat" w:cs="Sylfaen"/>
          <w:bCs/>
          <w:sz w:val="22"/>
          <w:szCs w:val="22"/>
          <w:lang w:val="en-US"/>
        </w:rPr>
        <w:t>22.2%-ով</w:t>
      </w:r>
      <w:r w:rsidRPr="001F63BA">
        <w:rPr>
          <w:rFonts w:ascii="GHEA Grapalat" w:hAnsi="GHEA Grapalat" w:cs="Sylfaen"/>
          <w:bCs/>
          <w:sz w:val="22"/>
          <w:szCs w:val="22"/>
        </w:rPr>
        <w:t xml:space="preserve"> (</w:t>
      </w:r>
      <w:r w:rsidRPr="001F63BA">
        <w:rPr>
          <w:rFonts w:ascii="GHEA Grapalat" w:hAnsi="GHEA Grapalat" w:cs="Sylfaen"/>
          <w:bCs/>
          <w:sz w:val="22"/>
          <w:szCs w:val="22"/>
          <w:lang w:val="en-US"/>
        </w:rPr>
        <w:t>274.7</w:t>
      </w:r>
      <w:r w:rsidRPr="001F63BA">
        <w:rPr>
          <w:rFonts w:ascii="GHEA Grapalat" w:hAnsi="GHEA Grapalat" w:cs="Sylfaen"/>
          <w:bCs/>
          <w:sz w:val="22"/>
          <w:szCs w:val="22"/>
        </w:rPr>
        <w:t xml:space="preserve"> մլն դրամով)՝ հիմնականում պայմանավորված Դատարանի վճիռներին և որոշումներին համապատասխան դրամական հատուցումների տրամադր</w:t>
      </w:r>
      <w:r w:rsidRPr="001F63BA">
        <w:rPr>
          <w:rFonts w:ascii="GHEA Grapalat" w:hAnsi="GHEA Grapalat" w:cs="Sylfaen"/>
          <w:bCs/>
          <w:sz w:val="22"/>
          <w:szCs w:val="22"/>
          <w:lang w:val="en-US"/>
        </w:rPr>
        <w:t>ման</w:t>
      </w:r>
      <w:r w:rsidRPr="001F63BA">
        <w:rPr>
          <w:rFonts w:ascii="GHEA Grapalat" w:hAnsi="GHEA Grapalat" w:cs="Sylfaen"/>
          <w:bCs/>
          <w:sz w:val="22"/>
          <w:szCs w:val="22"/>
        </w:rPr>
        <w:t xml:space="preserve"> </w:t>
      </w:r>
      <w:r w:rsidRPr="001F63BA">
        <w:rPr>
          <w:rFonts w:ascii="GHEA Grapalat" w:hAnsi="GHEA Grapalat" w:cs="Sylfaen"/>
          <w:bCs/>
          <w:sz w:val="22"/>
          <w:szCs w:val="22"/>
          <w:lang w:val="en-US"/>
        </w:rPr>
        <w:t xml:space="preserve">միջոցառման </w:t>
      </w:r>
      <w:r w:rsidRPr="001F63BA">
        <w:rPr>
          <w:rFonts w:ascii="GHEA Grapalat" w:hAnsi="GHEA Grapalat" w:cs="Sylfaen"/>
          <w:bCs/>
          <w:sz w:val="22"/>
          <w:szCs w:val="22"/>
        </w:rPr>
        <w:t>ծախսեր</w:t>
      </w:r>
      <w:r w:rsidRPr="001F63BA">
        <w:rPr>
          <w:rFonts w:ascii="GHEA Grapalat" w:hAnsi="GHEA Grapalat" w:cs="Sylfaen"/>
          <w:bCs/>
          <w:sz w:val="22"/>
          <w:szCs w:val="22"/>
          <w:lang w:val="en-US"/>
        </w:rPr>
        <w:t>ով</w:t>
      </w:r>
      <w:r w:rsidRPr="001F63BA">
        <w:rPr>
          <w:rFonts w:ascii="GHEA Grapalat" w:hAnsi="GHEA Grapalat" w:cs="Sylfaen"/>
          <w:bCs/>
          <w:sz w:val="22"/>
          <w:szCs w:val="22"/>
        </w:rPr>
        <w:t xml:space="preserve">, </w:t>
      </w:r>
      <w:r w:rsidRPr="001F63BA">
        <w:rPr>
          <w:rFonts w:ascii="GHEA Grapalat" w:hAnsi="GHEA Grapalat" w:cs="Sylfaen"/>
          <w:bCs/>
          <w:sz w:val="22"/>
          <w:szCs w:val="22"/>
          <w:lang w:val="en-US"/>
        </w:rPr>
        <w:t xml:space="preserve">որոնք կազմել են 215.5 մլն դրամ (99.4%): </w:t>
      </w:r>
      <w:r w:rsidRPr="001F63BA">
        <w:rPr>
          <w:rFonts w:ascii="GHEA Grapalat" w:hAnsi="GHEA Grapalat" w:cs="Sylfaen"/>
          <w:bCs/>
          <w:sz w:val="22"/>
          <w:szCs w:val="22"/>
        </w:rPr>
        <w:t>202</w:t>
      </w:r>
      <w:r w:rsidRPr="001F63BA">
        <w:rPr>
          <w:rFonts w:ascii="GHEA Grapalat" w:hAnsi="GHEA Grapalat" w:cs="Sylfaen"/>
          <w:bCs/>
          <w:sz w:val="22"/>
          <w:szCs w:val="22"/>
          <w:lang w:val="en-US"/>
        </w:rPr>
        <w:t>1</w:t>
      </w:r>
      <w:r w:rsidRPr="001F63BA">
        <w:rPr>
          <w:rFonts w:ascii="GHEA Grapalat" w:hAnsi="GHEA Grapalat" w:cs="Sylfaen"/>
          <w:bCs/>
          <w:sz w:val="22"/>
          <w:szCs w:val="22"/>
        </w:rPr>
        <w:t xml:space="preserve"> թվականին </w:t>
      </w:r>
      <w:r w:rsidRPr="001F63BA">
        <w:rPr>
          <w:rFonts w:ascii="GHEA Grapalat" w:hAnsi="GHEA Grapalat" w:cs="Sylfaen"/>
          <w:bCs/>
          <w:sz w:val="22"/>
          <w:szCs w:val="22"/>
          <w:lang w:val="en-US"/>
        </w:rPr>
        <w:t xml:space="preserve">տվյալ միջոցառման համար միջոցներ չէին </w:t>
      </w:r>
      <w:r w:rsidRPr="001F63BA">
        <w:rPr>
          <w:rFonts w:ascii="GHEA Grapalat" w:hAnsi="GHEA Grapalat" w:cs="Sylfaen"/>
          <w:bCs/>
          <w:sz w:val="22"/>
          <w:szCs w:val="22"/>
        </w:rPr>
        <w:t>նախատեսվ</w:t>
      </w:r>
      <w:r w:rsidRPr="001F63BA">
        <w:rPr>
          <w:rFonts w:ascii="GHEA Grapalat" w:hAnsi="GHEA Grapalat" w:cs="Sylfaen"/>
          <w:bCs/>
          <w:sz w:val="22"/>
          <w:szCs w:val="22"/>
          <w:lang w:val="en-US"/>
        </w:rPr>
        <w:t>ել</w:t>
      </w:r>
      <w:r w:rsidRPr="001F63BA">
        <w:rPr>
          <w:rFonts w:ascii="GHEA Grapalat" w:hAnsi="GHEA Grapalat" w:cs="Sylfaen"/>
          <w:bCs/>
          <w:sz w:val="22"/>
          <w:szCs w:val="22"/>
        </w:rPr>
        <w:t>:</w:t>
      </w:r>
    </w:p>
    <w:p w:rsidR="001C411D" w:rsidRPr="001F63BA" w:rsidRDefault="001C411D" w:rsidP="008E438A">
      <w:pPr>
        <w:autoSpaceDE w:val="0"/>
        <w:autoSpaceDN w:val="0"/>
        <w:adjustRightInd w:val="0"/>
        <w:spacing w:line="360" w:lineRule="auto"/>
        <w:ind w:firstLine="567"/>
        <w:jc w:val="both"/>
        <w:rPr>
          <w:rFonts w:ascii="GHEA Grapalat" w:hAnsi="GHEA Grapalat" w:cs="Sylfaen"/>
          <w:sz w:val="22"/>
          <w:szCs w:val="22"/>
        </w:rPr>
      </w:pPr>
    </w:p>
    <w:p w:rsidR="001C411D" w:rsidRPr="001F63BA" w:rsidRDefault="001C411D" w:rsidP="008A563E">
      <w:pPr>
        <w:pStyle w:val="NoSpacing"/>
        <w:spacing w:line="360" w:lineRule="auto"/>
        <w:ind w:firstLine="567"/>
        <w:jc w:val="both"/>
        <w:rPr>
          <w:rFonts w:ascii="GHEA Grapalat" w:hAnsi="GHEA Grapalat" w:cs="Arial"/>
          <w:bCs/>
        </w:rPr>
      </w:pPr>
      <w:r w:rsidRPr="001F63BA">
        <w:rPr>
          <w:rFonts w:ascii="GHEA Grapalat" w:hAnsi="GHEA Grapalat"/>
          <w:i/>
          <w:u w:val="single"/>
          <w:lang w:val="hy-AM"/>
        </w:rPr>
        <w:t>Կոռուպցիայի կանխարգելման հանձնաժողովի</w:t>
      </w:r>
      <w:r w:rsidRPr="001F63BA">
        <w:rPr>
          <w:rFonts w:ascii="GHEA Grapalat" w:hAnsi="GHEA Grapalat"/>
          <w:lang w:val="hy-AM"/>
        </w:rPr>
        <w:t xml:space="preserve"> </w:t>
      </w:r>
      <w:r w:rsidRPr="001F63BA">
        <w:rPr>
          <w:rFonts w:ascii="GHEA Grapalat" w:hAnsi="GHEA Grapalat" w:cs="Arial"/>
          <w:lang w:val="hy-AM"/>
        </w:rPr>
        <w:t>պատասխանատվությամբ</w:t>
      </w:r>
      <w:r w:rsidRPr="001F63BA">
        <w:rPr>
          <w:rFonts w:ascii="GHEA Grapalat" w:hAnsi="GHEA Grapalat"/>
          <w:lang w:val="hy-AM"/>
        </w:rPr>
        <w:t xml:space="preserve"> 202</w:t>
      </w:r>
      <w:r w:rsidRPr="001F63BA">
        <w:rPr>
          <w:rFonts w:ascii="GHEA Grapalat" w:hAnsi="GHEA Grapalat"/>
        </w:rPr>
        <w:t>2</w:t>
      </w:r>
      <w:r w:rsidRPr="001F63BA">
        <w:rPr>
          <w:rFonts w:ascii="GHEA Grapalat" w:hAnsi="GHEA Grapalat"/>
          <w:lang w:val="hy-AM"/>
        </w:rPr>
        <w:t xml:space="preserve"> </w:t>
      </w:r>
      <w:r w:rsidRPr="001F63BA">
        <w:rPr>
          <w:rFonts w:ascii="GHEA Grapalat" w:hAnsi="GHEA Grapalat" w:cs="Arial"/>
          <w:lang w:val="hy-AM"/>
        </w:rPr>
        <w:t>թվականի</w:t>
      </w:r>
      <w:r w:rsidRPr="001F63BA">
        <w:rPr>
          <w:rFonts w:ascii="GHEA Grapalat" w:hAnsi="GHEA Grapalat"/>
          <w:lang w:val="hy-AM"/>
        </w:rPr>
        <w:t xml:space="preserve"> </w:t>
      </w:r>
      <w:r w:rsidRPr="001F63BA">
        <w:rPr>
          <w:rFonts w:ascii="GHEA Grapalat" w:hAnsi="GHEA Grapalat"/>
        </w:rPr>
        <w:t>ընթացքում</w:t>
      </w:r>
      <w:r w:rsidRPr="001F63BA">
        <w:rPr>
          <w:rFonts w:ascii="GHEA Grapalat" w:hAnsi="GHEA Grapalat"/>
          <w:lang w:val="hy-AM"/>
        </w:rPr>
        <w:t xml:space="preserve"> </w:t>
      </w:r>
      <w:r w:rsidRPr="001F63BA">
        <w:rPr>
          <w:rFonts w:ascii="GHEA Grapalat" w:hAnsi="GHEA Grapalat" w:cs="Arial"/>
          <w:lang w:val="hy-AM"/>
        </w:rPr>
        <w:t>ՀՀ</w:t>
      </w:r>
      <w:r w:rsidRPr="001F63BA">
        <w:rPr>
          <w:rFonts w:ascii="GHEA Grapalat" w:hAnsi="GHEA Grapalat"/>
          <w:lang w:val="hy-AM"/>
        </w:rPr>
        <w:t xml:space="preserve"> </w:t>
      </w:r>
      <w:r w:rsidRPr="001F63BA">
        <w:rPr>
          <w:rFonts w:ascii="GHEA Grapalat" w:hAnsi="GHEA Grapalat" w:cs="Arial"/>
          <w:lang w:val="hy-AM"/>
        </w:rPr>
        <w:t>պետական</w:t>
      </w:r>
      <w:r w:rsidRPr="001F63BA">
        <w:rPr>
          <w:rFonts w:ascii="GHEA Grapalat" w:hAnsi="GHEA Grapalat"/>
          <w:lang w:val="hy-AM"/>
        </w:rPr>
        <w:t xml:space="preserve"> </w:t>
      </w:r>
      <w:r w:rsidRPr="001F63BA">
        <w:rPr>
          <w:rFonts w:ascii="GHEA Grapalat" w:hAnsi="GHEA Grapalat" w:cs="Arial"/>
          <w:lang w:val="hy-AM"/>
        </w:rPr>
        <w:t>բյուջեի</w:t>
      </w:r>
      <w:r w:rsidRPr="001F63BA">
        <w:rPr>
          <w:rFonts w:ascii="GHEA Grapalat" w:hAnsi="GHEA Grapalat"/>
          <w:lang w:val="hy-AM"/>
        </w:rPr>
        <w:t xml:space="preserve"> </w:t>
      </w:r>
      <w:r w:rsidRPr="001F63BA">
        <w:rPr>
          <w:rFonts w:ascii="GHEA Grapalat" w:hAnsi="GHEA Grapalat" w:cs="Arial"/>
          <w:lang w:val="hy-AM"/>
        </w:rPr>
        <w:t>միջոցներով</w:t>
      </w:r>
      <w:r w:rsidRPr="001F63BA">
        <w:rPr>
          <w:rFonts w:ascii="GHEA Grapalat" w:hAnsi="GHEA Grapalat"/>
          <w:lang w:val="hy-AM"/>
        </w:rPr>
        <w:t xml:space="preserve"> </w:t>
      </w:r>
      <w:r w:rsidRPr="001F63BA">
        <w:rPr>
          <w:rFonts w:ascii="GHEA Grapalat" w:hAnsi="GHEA Grapalat" w:cs="Arial"/>
          <w:lang w:val="hy-AM"/>
        </w:rPr>
        <w:t>կատարվել</w:t>
      </w:r>
      <w:r w:rsidRPr="001F63BA">
        <w:rPr>
          <w:rFonts w:ascii="GHEA Grapalat" w:hAnsi="GHEA Grapalat"/>
          <w:lang w:val="hy-AM"/>
        </w:rPr>
        <w:t xml:space="preserve"> </w:t>
      </w:r>
      <w:r w:rsidRPr="001F63BA">
        <w:rPr>
          <w:rFonts w:ascii="GHEA Grapalat" w:hAnsi="GHEA Grapalat" w:cs="Arial"/>
          <w:lang w:val="hy-AM"/>
        </w:rPr>
        <w:t>են</w:t>
      </w:r>
      <w:r w:rsidRPr="001F63BA">
        <w:rPr>
          <w:rFonts w:ascii="GHEA Grapalat" w:hAnsi="GHEA Grapalat"/>
          <w:lang w:val="hy-AM"/>
        </w:rPr>
        <w:t xml:space="preserve"> </w:t>
      </w:r>
      <w:r w:rsidRPr="001F63BA">
        <w:rPr>
          <w:rFonts w:ascii="GHEA Grapalat" w:hAnsi="GHEA Grapalat"/>
        </w:rPr>
        <w:t>358.4</w:t>
      </w:r>
      <w:r w:rsidRPr="001F63BA">
        <w:rPr>
          <w:rFonts w:ascii="GHEA Grapalat" w:hAnsi="GHEA Grapalat"/>
          <w:lang w:val="hy-AM"/>
        </w:rPr>
        <w:t xml:space="preserve"> </w:t>
      </w:r>
      <w:r w:rsidRPr="001F63BA">
        <w:rPr>
          <w:rFonts w:ascii="GHEA Grapalat" w:hAnsi="GHEA Grapalat" w:cs="Arial"/>
          <w:lang w:val="hy-AM"/>
        </w:rPr>
        <w:t>մլն</w:t>
      </w:r>
      <w:r w:rsidRPr="001F63BA">
        <w:rPr>
          <w:rFonts w:ascii="GHEA Grapalat" w:hAnsi="GHEA Grapalat"/>
          <w:lang w:val="hy-AM"/>
        </w:rPr>
        <w:t xml:space="preserve"> </w:t>
      </w:r>
      <w:r w:rsidRPr="001F63BA">
        <w:rPr>
          <w:rFonts w:ascii="GHEA Grapalat" w:hAnsi="GHEA Grapalat" w:cs="Arial"/>
          <w:lang w:val="hy-AM"/>
        </w:rPr>
        <w:t>դրամ</w:t>
      </w:r>
      <w:r w:rsidRPr="001F63BA">
        <w:rPr>
          <w:rFonts w:ascii="GHEA Grapalat" w:hAnsi="GHEA Grapalat"/>
          <w:lang w:val="hy-AM"/>
        </w:rPr>
        <w:t xml:space="preserve"> </w:t>
      </w:r>
      <w:r w:rsidRPr="001F63BA">
        <w:rPr>
          <w:rFonts w:ascii="GHEA Grapalat" w:hAnsi="GHEA Grapalat" w:cs="Arial"/>
          <w:lang w:val="hy-AM"/>
        </w:rPr>
        <w:t>ծախսեր՝</w:t>
      </w:r>
      <w:r w:rsidRPr="001F63BA">
        <w:rPr>
          <w:rFonts w:ascii="GHEA Grapalat" w:hAnsi="GHEA Grapalat"/>
          <w:lang w:val="hy-AM"/>
        </w:rPr>
        <w:t xml:space="preserve"> </w:t>
      </w:r>
      <w:r w:rsidRPr="001F63BA">
        <w:rPr>
          <w:rFonts w:ascii="GHEA Grapalat" w:hAnsi="GHEA Grapalat" w:cs="Arial"/>
          <w:lang w:val="hy-AM"/>
        </w:rPr>
        <w:t>կազմելով</w:t>
      </w:r>
      <w:r w:rsidRPr="001F63BA">
        <w:rPr>
          <w:rFonts w:ascii="GHEA Grapalat" w:hAnsi="GHEA Grapalat"/>
          <w:lang w:val="hy-AM"/>
        </w:rPr>
        <w:t xml:space="preserve"> ծրագրված </w:t>
      </w:r>
      <w:r w:rsidRPr="001F63BA">
        <w:rPr>
          <w:rFonts w:ascii="GHEA Grapalat" w:hAnsi="GHEA Grapalat" w:cs="Arial"/>
          <w:lang w:val="hy-AM"/>
        </w:rPr>
        <w:t>ցուցանիշի</w:t>
      </w:r>
      <w:r w:rsidRPr="001F63BA">
        <w:rPr>
          <w:rFonts w:ascii="GHEA Grapalat" w:hAnsi="GHEA Grapalat"/>
          <w:lang w:val="hy-AM"/>
        </w:rPr>
        <w:t xml:space="preserve"> </w:t>
      </w:r>
      <w:r w:rsidRPr="001F63BA">
        <w:rPr>
          <w:rFonts w:ascii="GHEA Grapalat" w:hAnsi="GHEA Grapalat"/>
        </w:rPr>
        <w:t>97.2</w:t>
      </w:r>
      <w:r w:rsidRPr="001F63BA">
        <w:rPr>
          <w:rFonts w:ascii="GHEA Grapalat" w:hAnsi="GHEA Grapalat"/>
          <w:lang w:val="hy-AM"/>
        </w:rPr>
        <w:t>%-</w:t>
      </w:r>
      <w:r w:rsidRPr="001F63BA">
        <w:rPr>
          <w:rFonts w:ascii="GHEA Grapalat" w:hAnsi="GHEA Grapalat" w:cs="Arial"/>
          <w:lang w:val="hy-AM"/>
        </w:rPr>
        <w:t>ը</w:t>
      </w:r>
      <w:r w:rsidRPr="001F63BA">
        <w:rPr>
          <w:rFonts w:ascii="GHEA Grapalat" w:hAnsi="GHEA Grapalat"/>
          <w:lang w:val="hy-AM"/>
        </w:rPr>
        <w:t xml:space="preserve">: </w:t>
      </w:r>
      <w:r w:rsidRPr="001F63BA">
        <w:rPr>
          <w:rFonts w:ascii="GHEA Grapalat" w:hAnsi="GHEA Grapalat" w:cs="Arial"/>
          <w:lang w:val="hy-AM"/>
        </w:rPr>
        <w:t xml:space="preserve">Նախորդ տարվա համեմատ Կոռուպցիայի </w:t>
      </w:r>
      <w:r w:rsidRPr="001F63BA">
        <w:rPr>
          <w:rFonts w:ascii="GHEA Grapalat" w:hAnsi="GHEA Grapalat" w:cs="Arial"/>
          <w:bCs/>
        </w:rPr>
        <w:t>կանխարգելման հանձնաժողովի ծախսերն աճել են 66.7%</w:t>
      </w:r>
      <w:r w:rsidRPr="001F63BA">
        <w:rPr>
          <w:rFonts w:ascii="GHEA Grapalat" w:hAnsi="GHEA Grapalat" w:cs="Arial"/>
          <w:bCs/>
        </w:rPr>
        <w:noBreakHyphen/>
        <w:t>ով կամ 143.4</w:t>
      </w:r>
      <w:r w:rsidRPr="001F63BA">
        <w:rPr>
          <w:rFonts w:cs="Calibri"/>
          <w:bCs/>
        </w:rPr>
        <w:t> </w:t>
      </w:r>
      <w:r w:rsidRPr="001F63BA">
        <w:rPr>
          <w:rFonts w:ascii="GHEA Grapalat" w:hAnsi="GHEA Grapalat" w:cs="Arial"/>
          <w:bCs/>
        </w:rPr>
        <w:t xml:space="preserve">մլն դրամով՝ հիմնականում պայմանավորված թափուր հաստիքների համալրմամբ, նոր </w:t>
      </w:r>
      <w:r w:rsidRPr="001F63BA">
        <w:rPr>
          <w:rFonts w:ascii="GHEA Grapalat" w:hAnsi="GHEA Grapalat" w:cs="Arial"/>
          <w:bCs/>
          <w:lang w:val="hy-AM"/>
        </w:rPr>
        <w:t>հաստիքների</w:t>
      </w:r>
      <w:r w:rsidRPr="001F63BA">
        <w:rPr>
          <w:rFonts w:ascii="GHEA Grapalat" w:hAnsi="GHEA Grapalat" w:cs="Arial"/>
          <w:bCs/>
        </w:rPr>
        <w:t xml:space="preserve"> ավելացմամբ և դրանց արդյունքում նաև այլ ծախսերի աճով</w:t>
      </w:r>
      <w:r w:rsidRPr="001F63BA">
        <w:rPr>
          <w:rFonts w:ascii="GHEA Grapalat" w:hAnsi="GHEA Grapalat" w:cs="Arial"/>
          <w:bCs/>
          <w:lang w:val="hy-AM"/>
        </w:rPr>
        <w:t>:</w:t>
      </w:r>
    </w:p>
    <w:p w:rsidR="001C411D" w:rsidRPr="001F63BA" w:rsidRDefault="001C411D" w:rsidP="008A563E">
      <w:pPr>
        <w:pStyle w:val="NoSpacing"/>
        <w:spacing w:line="360" w:lineRule="auto"/>
        <w:ind w:firstLine="567"/>
        <w:jc w:val="both"/>
        <w:rPr>
          <w:rFonts w:ascii="GHEA Grapalat" w:hAnsi="GHEA Grapalat"/>
        </w:rPr>
      </w:pPr>
      <w:r w:rsidRPr="001F63BA">
        <w:rPr>
          <w:rFonts w:ascii="GHEA Grapalat" w:hAnsi="GHEA Grapalat" w:cs="Arial"/>
          <w:lang w:val="hy-AM"/>
        </w:rPr>
        <w:t>Հատկացված</w:t>
      </w:r>
      <w:r w:rsidRPr="001F63BA">
        <w:rPr>
          <w:rFonts w:ascii="GHEA Grapalat" w:hAnsi="GHEA Grapalat"/>
          <w:lang w:val="hy-AM"/>
        </w:rPr>
        <w:t xml:space="preserve"> </w:t>
      </w:r>
      <w:r w:rsidRPr="001F63BA">
        <w:rPr>
          <w:rFonts w:ascii="GHEA Grapalat" w:hAnsi="GHEA Grapalat" w:cs="Arial"/>
          <w:lang w:val="hy-AM"/>
        </w:rPr>
        <w:t>միջոցներ</w:t>
      </w:r>
      <w:r w:rsidRPr="001F63BA">
        <w:rPr>
          <w:rFonts w:ascii="GHEA Grapalat" w:hAnsi="GHEA Grapalat" w:cs="Arial"/>
        </w:rPr>
        <w:t>ը</w:t>
      </w:r>
      <w:r w:rsidRPr="001F63BA">
        <w:rPr>
          <w:rFonts w:ascii="GHEA Grapalat" w:hAnsi="GHEA Grapalat"/>
          <w:lang w:val="hy-AM"/>
        </w:rPr>
        <w:t xml:space="preserve"> </w:t>
      </w:r>
      <w:r w:rsidRPr="001F63BA">
        <w:rPr>
          <w:rFonts w:ascii="GHEA Grapalat" w:hAnsi="GHEA Grapalat"/>
        </w:rPr>
        <w:t xml:space="preserve">հիմնականում </w:t>
      </w:r>
      <w:r w:rsidRPr="001F63BA">
        <w:rPr>
          <w:rFonts w:ascii="GHEA Grapalat" w:hAnsi="GHEA Grapalat" w:cs="Arial"/>
          <w:lang w:val="hy-AM"/>
        </w:rPr>
        <w:t>ուղղվել</w:t>
      </w:r>
      <w:r w:rsidRPr="001F63BA">
        <w:rPr>
          <w:rFonts w:ascii="GHEA Grapalat" w:hAnsi="GHEA Grapalat"/>
          <w:lang w:val="hy-AM"/>
        </w:rPr>
        <w:t xml:space="preserve"> </w:t>
      </w:r>
      <w:r w:rsidRPr="001F63BA">
        <w:rPr>
          <w:rFonts w:ascii="GHEA Grapalat" w:hAnsi="GHEA Grapalat" w:cs="Arial"/>
          <w:lang w:val="hy-AM"/>
        </w:rPr>
        <w:t>են</w:t>
      </w:r>
      <w:r w:rsidRPr="001F63BA">
        <w:rPr>
          <w:rFonts w:ascii="GHEA Grapalat" w:hAnsi="GHEA Grapalat"/>
          <w:lang w:val="hy-AM"/>
        </w:rPr>
        <w:t xml:space="preserve"> </w:t>
      </w:r>
      <w:r w:rsidRPr="001F63BA">
        <w:rPr>
          <w:rFonts w:ascii="GHEA Grapalat" w:hAnsi="GHEA Grapalat" w:cs="Arial"/>
          <w:i/>
          <w:lang w:val="hy-AM"/>
        </w:rPr>
        <w:t>Կոռուպցիայի</w:t>
      </w:r>
      <w:r w:rsidRPr="001F63BA">
        <w:rPr>
          <w:rFonts w:ascii="GHEA Grapalat" w:hAnsi="GHEA Grapalat"/>
          <w:i/>
          <w:lang w:val="hy-AM"/>
        </w:rPr>
        <w:t xml:space="preserve"> </w:t>
      </w:r>
      <w:r w:rsidRPr="001F63BA">
        <w:rPr>
          <w:rFonts w:ascii="GHEA Grapalat" w:hAnsi="GHEA Grapalat" w:cs="Arial"/>
          <w:i/>
          <w:lang w:val="hy-AM"/>
        </w:rPr>
        <w:t>կանխարգելման</w:t>
      </w:r>
      <w:r w:rsidRPr="001F63BA">
        <w:rPr>
          <w:rFonts w:ascii="GHEA Grapalat" w:hAnsi="GHEA Grapalat"/>
          <w:i/>
          <w:lang w:val="hy-AM"/>
        </w:rPr>
        <w:t xml:space="preserve"> </w:t>
      </w:r>
      <w:r w:rsidRPr="001F63BA">
        <w:rPr>
          <w:rFonts w:ascii="GHEA Grapalat" w:hAnsi="GHEA Grapalat" w:cs="Arial"/>
          <w:i/>
          <w:lang w:val="hy-AM"/>
        </w:rPr>
        <w:t>համակարգի</w:t>
      </w:r>
      <w:r w:rsidRPr="001F63BA">
        <w:rPr>
          <w:rFonts w:ascii="GHEA Grapalat" w:hAnsi="GHEA Grapalat"/>
          <w:i/>
          <w:lang w:val="hy-AM"/>
        </w:rPr>
        <w:t xml:space="preserve"> </w:t>
      </w:r>
      <w:r w:rsidRPr="001F63BA">
        <w:rPr>
          <w:rFonts w:ascii="GHEA Grapalat" w:hAnsi="GHEA Grapalat" w:cs="Arial"/>
          <w:i/>
          <w:lang w:val="hy-AM"/>
        </w:rPr>
        <w:t>զարգացման</w:t>
      </w:r>
      <w:r w:rsidRPr="001F63BA">
        <w:rPr>
          <w:rFonts w:ascii="GHEA Grapalat" w:hAnsi="GHEA Grapalat"/>
          <w:i/>
          <w:lang w:val="hy-AM"/>
        </w:rPr>
        <w:t xml:space="preserve"> </w:t>
      </w:r>
      <w:r w:rsidRPr="001F63BA">
        <w:rPr>
          <w:rFonts w:ascii="GHEA Grapalat" w:hAnsi="GHEA Grapalat" w:cs="Arial"/>
          <w:i/>
          <w:lang w:val="hy-AM"/>
        </w:rPr>
        <w:t>ապահովման</w:t>
      </w:r>
      <w:r w:rsidRPr="001F63BA">
        <w:rPr>
          <w:rFonts w:ascii="GHEA Grapalat" w:hAnsi="GHEA Grapalat"/>
          <w:lang w:val="hy-AM"/>
        </w:rPr>
        <w:t xml:space="preserve"> </w:t>
      </w:r>
      <w:r w:rsidRPr="001F63BA">
        <w:rPr>
          <w:rFonts w:ascii="GHEA Grapalat" w:hAnsi="GHEA Grapalat" w:cs="Arial"/>
          <w:lang w:val="hy-AM"/>
        </w:rPr>
        <w:t>ծրագրի</w:t>
      </w:r>
      <w:r w:rsidRPr="001F63BA">
        <w:rPr>
          <w:rFonts w:ascii="GHEA Grapalat" w:hAnsi="GHEA Grapalat"/>
          <w:lang w:val="hy-AM"/>
        </w:rPr>
        <w:t xml:space="preserve"> </w:t>
      </w:r>
      <w:r w:rsidRPr="001F63BA">
        <w:rPr>
          <w:rFonts w:ascii="GHEA Grapalat" w:hAnsi="GHEA Grapalat" w:cs="Arial"/>
          <w:lang w:val="hy-AM"/>
        </w:rPr>
        <w:t>շրջանակներում</w:t>
      </w:r>
      <w:r w:rsidRPr="001F63BA">
        <w:rPr>
          <w:rFonts w:ascii="GHEA Grapalat" w:hAnsi="GHEA Grapalat"/>
          <w:lang w:val="hy-AM"/>
        </w:rPr>
        <w:t xml:space="preserve"> </w:t>
      </w:r>
      <w:r w:rsidRPr="001F63BA">
        <w:rPr>
          <w:rFonts w:ascii="GHEA Grapalat" w:hAnsi="GHEA Grapalat" w:cs="Franklin Gothic Medium Cond"/>
          <w:lang w:val="hy-AM"/>
        </w:rPr>
        <w:t>«</w:t>
      </w:r>
      <w:r w:rsidRPr="001F63BA">
        <w:rPr>
          <w:rFonts w:ascii="GHEA Grapalat" w:hAnsi="GHEA Grapalat" w:cs="Arial"/>
          <w:lang w:val="hy-AM"/>
        </w:rPr>
        <w:t>Կոռուպցիայի</w:t>
      </w:r>
      <w:r w:rsidRPr="001F63BA">
        <w:rPr>
          <w:rFonts w:ascii="GHEA Grapalat" w:hAnsi="GHEA Grapalat"/>
          <w:lang w:val="hy-AM"/>
        </w:rPr>
        <w:t xml:space="preserve"> </w:t>
      </w:r>
      <w:r w:rsidRPr="001F63BA">
        <w:rPr>
          <w:rFonts w:ascii="GHEA Grapalat" w:hAnsi="GHEA Grapalat" w:cs="Arial"/>
          <w:lang w:val="hy-AM"/>
        </w:rPr>
        <w:t>կանխարգելում</w:t>
      </w:r>
      <w:r w:rsidRPr="001F63BA">
        <w:rPr>
          <w:rFonts w:ascii="GHEA Grapalat" w:hAnsi="GHEA Grapalat"/>
          <w:lang w:val="hy-AM"/>
        </w:rPr>
        <w:t xml:space="preserve"> </w:t>
      </w:r>
      <w:r w:rsidRPr="001F63BA">
        <w:rPr>
          <w:rFonts w:ascii="GHEA Grapalat" w:hAnsi="GHEA Grapalat" w:cs="Arial"/>
          <w:lang w:val="hy-AM"/>
        </w:rPr>
        <w:t>և</w:t>
      </w:r>
      <w:r w:rsidRPr="001F63BA">
        <w:rPr>
          <w:rFonts w:ascii="GHEA Grapalat" w:hAnsi="GHEA Grapalat"/>
          <w:lang w:val="hy-AM"/>
        </w:rPr>
        <w:t xml:space="preserve"> </w:t>
      </w:r>
      <w:r w:rsidRPr="001F63BA">
        <w:rPr>
          <w:rFonts w:ascii="GHEA Grapalat" w:hAnsi="GHEA Grapalat" w:cs="Arial"/>
          <w:lang w:val="hy-AM"/>
        </w:rPr>
        <w:t>բարեվարքության</w:t>
      </w:r>
      <w:r w:rsidRPr="001F63BA">
        <w:rPr>
          <w:rFonts w:ascii="GHEA Grapalat" w:hAnsi="GHEA Grapalat"/>
          <w:lang w:val="hy-AM"/>
        </w:rPr>
        <w:t xml:space="preserve"> </w:t>
      </w:r>
      <w:r w:rsidRPr="001F63BA">
        <w:rPr>
          <w:rFonts w:ascii="GHEA Grapalat" w:hAnsi="GHEA Grapalat" w:cs="Arial"/>
          <w:lang w:val="hy-AM"/>
        </w:rPr>
        <w:t>համակարգի</w:t>
      </w:r>
      <w:r w:rsidRPr="001F63BA">
        <w:rPr>
          <w:rFonts w:ascii="GHEA Grapalat" w:hAnsi="GHEA Grapalat"/>
          <w:lang w:val="hy-AM"/>
        </w:rPr>
        <w:t xml:space="preserve"> </w:t>
      </w:r>
      <w:r w:rsidRPr="001F63BA">
        <w:rPr>
          <w:rFonts w:ascii="GHEA Grapalat" w:hAnsi="GHEA Grapalat" w:cs="Arial"/>
          <w:lang w:val="hy-AM"/>
        </w:rPr>
        <w:t>զարգացում</w:t>
      </w:r>
      <w:r w:rsidRPr="001F63BA">
        <w:rPr>
          <w:rFonts w:ascii="GHEA Grapalat" w:hAnsi="GHEA Grapalat" w:cs="Franklin Gothic Medium Cond"/>
          <w:lang w:val="hy-AM"/>
        </w:rPr>
        <w:t>»</w:t>
      </w:r>
      <w:r w:rsidRPr="001F63BA">
        <w:rPr>
          <w:rFonts w:ascii="GHEA Grapalat" w:hAnsi="GHEA Grapalat"/>
          <w:lang w:val="hy-AM"/>
        </w:rPr>
        <w:t xml:space="preserve"> </w:t>
      </w:r>
      <w:r w:rsidRPr="001F63BA">
        <w:rPr>
          <w:rFonts w:ascii="GHEA Grapalat" w:hAnsi="GHEA Grapalat"/>
        </w:rPr>
        <w:t xml:space="preserve">միջոցառմանը, որի շրջանակներում Կոռուպցիայի կանխարգելման հանձնաժողովի որոշմամբ սահմանված ռիսկային չափորոշիչների հիման վրա հաշվետու տարում առաջին անգամ իրականացվել է պետական պաշտոն զբաղեցնող անձանց հայտարարագրերի վերլուծություն: 2022 թվականի ընթացքում իրականացվել է 4747 </w:t>
      </w:r>
      <w:r w:rsidRPr="001F63BA">
        <w:rPr>
          <w:rFonts w:ascii="GHEA Grapalat" w:hAnsi="GHEA Grapalat"/>
        </w:rPr>
        <w:lastRenderedPageBreak/>
        <w:t xml:space="preserve">հայտարարագրերի համալիր վերլուծություն: </w:t>
      </w:r>
      <w:r w:rsidRPr="001F63BA">
        <w:rPr>
          <w:rFonts w:ascii="GHEA Grapalat" w:hAnsi="GHEA Grapalat" w:cs="Arial"/>
        </w:rPr>
        <w:t>Մ</w:t>
      </w:r>
      <w:r w:rsidRPr="001F63BA">
        <w:rPr>
          <w:rFonts w:ascii="GHEA Grapalat" w:hAnsi="GHEA Grapalat" w:cs="Arial"/>
          <w:lang w:val="hy-AM"/>
        </w:rPr>
        <w:t>իջոցառ</w:t>
      </w:r>
      <w:r w:rsidRPr="001F63BA">
        <w:rPr>
          <w:rFonts w:ascii="GHEA Grapalat" w:hAnsi="GHEA Grapalat" w:cs="Arial"/>
        </w:rPr>
        <w:t>ման</w:t>
      </w:r>
      <w:r w:rsidRPr="001F63BA">
        <w:rPr>
          <w:rFonts w:ascii="GHEA Grapalat" w:hAnsi="GHEA Grapalat"/>
          <w:lang w:val="hy-AM"/>
        </w:rPr>
        <w:t xml:space="preserve"> </w:t>
      </w:r>
      <w:r w:rsidRPr="001F63BA">
        <w:rPr>
          <w:rFonts w:ascii="GHEA Grapalat" w:hAnsi="GHEA Grapalat"/>
        </w:rPr>
        <w:t xml:space="preserve">ծախսերը </w:t>
      </w:r>
      <w:r w:rsidRPr="001F63BA">
        <w:rPr>
          <w:rFonts w:ascii="GHEA Grapalat" w:hAnsi="GHEA Grapalat" w:cs="Arial"/>
          <w:lang w:val="hy-AM"/>
        </w:rPr>
        <w:t>կատարվել</w:t>
      </w:r>
      <w:r w:rsidRPr="001F63BA">
        <w:rPr>
          <w:rFonts w:ascii="GHEA Grapalat" w:hAnsi="GHEA Grapalat"/>
          <w:lang w:val="hy-AM"/>
        </w:rPr>
        <w:t xml:space="preserve"> </w:t>
      </w:r>
      <w:r w:rsidRPr="001F63BA">
        <w:rPr>
          <w:rFonts w:ascii="GHEA Grapalat" w:hAnsi="GHEA Grapalat" w:cs="Arial"/>
        </w:rPr>
        <w:t>են</w:t>
      </w:r>
      <w:r w:rsidRPr="001F63BA">
        <w:rPr>
          <w:rFonts w:ascii="GHEA Grapalat" w:hAnsi="GHEA Grapalat"/>
          <w:lang w:val="hy-AM"/>
        </w:rPr>
        <w:t xml:space="preserve"> </w:t>
      </w:r>
      <w:r w:rsidRPr="001F63BA">
        <w:rPr>
          <w:rFonts w:ascii="GHEA Grapalat" w:hAnsi="GHEA Grapalat"/>
        </w:rPr>
        <w:t>98</w:t>
      </w:r>
      <w:r w:rsidRPr="001F63BA">
        <w:rPr>
          <w:rFonts w:ascii="GHEA Grapalat" w:hAnsi="GHEA Grapalat"/>
          <w:lang w:val="hy-AM"/>
        </w:rPr>
        <w:t>%-</w:t>
      </w:r>
      <w:r w:rsidRPr="001F63BA">
        <w:rPr>
          <w:rFonts w:ascii="GHEA Grapalat" w:hAnsi="GHEA Grapalat" w:cs="Arial"/>
          <w:lang w:val="hy-AM"/>
        </w:rPr>
        <w:t>ով</w:t>
      </w:r>
      <w:r w:rsidRPr="001F63BA">
        <w:rPr>
          <w:rFonts w:ascii="GHEA Grapalat" w:hAnsi="GHEA Grapalat" w:cs="Arial"/>
        </w:rPr>
        <w:t>՝ կազմելով 344.7</w:t>
      </w:r>
      <w:r w:rsidRPr="001F63BA">
        <w:rPr>
          <w:rFonts w:ascii="Courier New" w:hAnsi="Courier New" w:cs="Courier New"/>
        </w:rPr>
        <w:t> </w:t>
      </w:r>
      <w:r w:rsidRPr="001F63BA">
        <w:rPr>
          <w:rFonts w:ascii="GHEA Grapalat" w:hAnsi="GHEA Grapalat" w:cs="Arial"/>
        </w:rPr>
        <w:t>մլն դրամ</w:t>
      </w:r>
      <w:r w:rsidRPr="001F63BA">
        <w:rPr>
          <w:rFonts w:ascii="GHEA Grapalat" w:hAnsi="GHEA Grapalat"/>
          <w:lang w:val="hy-AM"/>
        </w:rPr>
        <w:t xml:space="preserve">: </w:t>
      </w:r>
      <w:r w:rsidRPr="001F63BA">
        <w:rPr>
          <w:rFonts w:ascii="GHEA Grapalat" w:hAnsi="GHEA Grapalat"/>
        </w:rPr>
        <w:t>Շեղումը հիմնականում պայմանավորված է թափուր հաստիքների առկայությամբ:</w:t>
      </w:r>
    </w:p>
    <w:p w:rsidR="001C411D" w:rsidRPr="001F63BA" w:rsidRDefault="001C411D" w:rsidP="008A563E">
      <w:pPr>
        <w:pStyle w:val="NoSpacing"/>
        <w:spacing w:line="360" w:lineRule="auto"/>
        <w:ind w:firstLine="567"/>
        <w:jc w:val="both"/>
        <w:rPr>
          <w:rFonts w:ascii="GHEA Grapalat" w:hAnsi="GHEA Grapalat" w:cs="Arial"/>
          <w:bCs/>
        </w:rPr>
      </w:pPr>
      <w:r w:rsidRPr="001F63BA">
        <w:rPr>
          <w:rFonts w:ascii="GHEA Grapalat" w:hAnsi="GHEA Grapalat" w:cs="Arial"/>
          <w:bCs/>
        </w:rPr>
        <w:t xml:space="preserve">Կոռուպցիայի կանխարգելման հանձնաժողովի կարողությունների զարգացման և տեխնիկական հագեցվածության ապահովման միջոցառման շրջանակներում ձեռք է բերվել 69 միավոր համակարգչային սարքավորում և 70 միավոր գրասենյակային գույք, ինչի համար պետական բյուջեից օգտագործվել է 13.7 մլն դրամ կամ նախատեսված միջոցների 80.7%-ը: </w:t>
      </w:r>
      <w:r w:rsidRPr="001F63BA">
        <w:rPr>
          <w:rFonts w:ascii="GHEA Grapalat" w:hAnsi="GHEA Grapalat" w:cs="Arial"/>
          <w:bCs/>
          <w:lang w:val="hy-AM"/>
        </w:rPr>
        <w:t>Շեղմ</w:t>
      </w:r>
      <w:r w:rsidRPr="001F63BA">
        <w:rPr>
          <w:rFonts w:ascii="GHEA Grapalat" w:hAnsi="GHEA Grapalat" w:cs="Arial"/>
          <w:bCs/>
        </w:rPr>
        <w:t>ա</w:t>
      </w:r>
      <w:r w:rsidRPr="001F63BA">
        <w:rPr>
          <w:rFonts w:ascii="GHEA Grapalat" w:hAnsi="GHEA Grapalat" w:cs="Arial"/>
          <w:bCs/>
          <w:lang w:val="hy-AM"/>
        </w:rPr>
        <w:t>ն հիմնական պատճառ</w:t>
      </w:r>
      <w:r w:rsidRPr="001F63BA">
        <w:rPr>
          <w:rFonts w:ascii="GHEA Grapalat" w:hAnsi="GHEA Grapalat" w:cs="Arial"/>
          <w:bCs/>
        </w:rPr>
        <w:t>ներ</w:t>
      </w:r>
      <w:r w:rsidRPr="001F63BA">
        <w:rPr>
          <w:rFonts w:ascii="GHEA Grapalat" w:hAnsi="GHEA Grapalat" w:cs="Arial"/>
          <w:bCs/>
          <w:lang w:val="hy-AM"/>
        </w:rPr>
        <w:t xml:space="preserve">ը որոշ վարչական սարքավորումների </w:t>
      </w:r>
      <w:r w:rsidRPr="001F63BA">
        <w:rPr>
          <w:rFonts w:ascii="GHEA Grapalat" w:hAnsi="GHEA Grapalat" w:cs="Arial"/>
          <w:bCs/>
        </w:rPr>
        <w:t>ձեռքբերման</w:t>
      </w:r>
      <w:r w:rsidRPr="001F63BA">
        <w:rPr>
          <w:rFonts w:ascii="GHEA Grapalat" w:hAnsi="GHEA Grapalat" w:cs="Arial"/>
          <w:bCs/>
          <w:lang w:val="hy-AM"/>
        </w:rPr>
        <w:t xml:space="preserve"> ֆինանսավորումն է դոնորների կողմից և գնման</w:t>
      </w:r>
      <w:r w:rsidRPr="001F63BA">
        <w:rPr>
          <w:rFonts w:ascii="GHEA Grapalat" w:hAnsi="GHEA Grapalat" w:cs="Arial"/>
          <w:bCs/>
        </w:rPr>
        <w:t xml:space="preserve"> գործընթացում առաջաց</w:t>
      </w:r>
      <w:r w:rsidRPr="001F63BA">
        <w:rPr>
          <w:rFonts w:ascii="GHEA Grapalat" w:hAnsi="GHEA Grapalat" w:cs="Arial"/>
          <w:bCs/>
          <w:lang w:val="hy-AM"/>
        </w:rPr>
        <w:t>ած խնայողությունները։</w:t>
      </w:r>
    </w:p>
    <w:p w:rsidR="001C411D" w:rsidRPr="001F63BA" w:rsidRDefault="001C411D" w:rsidP="008E438A">
      <w:pPr>
        <w:spacing w:line="360" w:lineRule="auto"/>
        <w:ind w:firstLine="561"/>
        <w:jc w:val="both"/>
        <w:rPr>
          <w:rFonts w:ascii="GHEA Grapalat" w:hAnsi="GHEA Grapalat" w:cs="Sylfaen"/>
          <w:sz w:val="22"/>
          <w:szCs w:val="22"/>
        </w:rPr>
      </w:pPr>
    </w:p>
    <w:p w:rsidR="001C411D" w:rsidRPr="001F63BA" w:rsidRDefault="001C411D" w:rsidP="00A46A3C">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i/>
          <w:sz w:val="22"/>
          <w:szCs w:val="22"/>
          <w:u w:val="single"/>
        </w:rPr>
        <w:t>ՀՀ պետական վերահսկողական ծառայությանը</w:t>
      </w:r>
      <w:r w:rsidRPr="001F63BA">
        <w:rPr>
          <w:rFonts w:ascii="GHEA Grapalat" w:hAnsi="GHEA Grapalat" w:cs="GHEA Grapalat"/>
          <w:sz w:val="22"/>
          <w:szCs w:val="22"/>
        </w:rPr>
        <w:t xml:space="preserve"> </w:t>
      </w:r>
      <w:r w:rsidRPr="001F63BA">
        <w:rPr>
          <w:rFonts w:ascii="GHEA Grapalat" w:hAnsi="GHEA Grapalat" w:cs="GHEA Grapalat"/>
          <w:i/>
          <w:sz w:val="22"/>
          <w:szCs w:val="22"/>
        </w:rPr>
        <w:t>Պետական վերահսկողական ծառայությունների</w:t>
      </w:r>
      <w:r w:rsidRPr="001F63BA">
        <w:rPr>
          <w:rFonts w:ascii="GHEA Grapalat" w:hAnsi="GHEA Grapalat" w:cs="GHEA Grapalat"/>
          <w:sz w:val="22"/>
          <w:szCs w:val="22"/>
        </w:rPr>
        <w:t xml:space="preserve"> ծրագրի շրջանակներում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օգտագործ</w:t>
      </w:r>
      <w:r w:rsidRPr="001F63BA">
        <w:rPr>
          <w:rFonts w:ascii="GHEA Grapalat" w:hAnsi="GHEA Grapalat" w:cs="GHEA Grapalat"/>
          <w:sz w:val="22"/>
          <w:szCs w:val="22"/>
        </w:rPr>
        <w:t>վել է</w:t>
      </w:r>
      <w:r w:rsidRPr="001F63BA">
        <w:rPr>
          <w:rFonts w:ascii="GHEA Grapalat" w:hAnsi="GHEA Grapalat" w:cs="Sylfaen"/>
          <w:sz w:val="22"/>
          <w:szCs w:val="22"/>
        </w:rPr>
        <w:t xml:space="preserve"> </w:t>
      </w:r>
      <w:r w:rsidRPr="001F63BA">
        <w:rPr>
          <w:rFonts w:ascii="GHEA Grapalat" w:hAnsi="GHEA Grapalat" w:cs="Sylfaen"/>
          <w:sz w:val="22"/>
          <w:szCs w:val="22"/>
          <w:lang w:val="en-US"/>
        </w:rPr>
        <w:t xml:space="preserve">շուրջ </w:t>
      </w:r>
      <w:r w:rsidRPr="001F63BA">
        <w:rPr>
          <w:rFonts w:ascii="GHEA Grapalat" w:hAnsi="GHEA Grapalat" w:cs="GHEA Grapalat"/>
          <w:sz w:val="22"/>
          <w:szCs w:val="22"/>
          <w:lang w:val="en-US"/>
        </w:rPr>
        <w:t>774</w:t>
      </w:r>
      <w:r w:rsidRPr="001F63BA">
        <w:rPr>
          <w:rFonts w:ascii="GHEA Grapalat" w:hAnsi="GHEA Grapalat" w:cs="GHEA Grapalat"/>
          <w:sz w:val="22"/>
          <w:szCs w:val="22"/>
        </w:rPr>
        <w:t xml:space="preserve"> մլն դրամ, որը կազմել է ծրագրված ցուցանիշի 99.5%-ը: Նախորդ տարվա համեմատ ՀՀ պետական վերահսկողական ծառայության ծախսերն աճել են 14.4%-ով կամ 97.2 մլն դրամով, որը պայմանավորված է ՀՀ վարչապետին ՀՀ Սահմանադրությամբ և օրենքներով վերապահված վերահսկողական լիազորությունների իրականացման ապահովման միջոցառման ծախսերի աճով:</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 xml:space="preserve">ՀՀ վարչապետին ՀՀ Սահմանադրությամբ և օրենքներով վերապահված վերահսկողական լիազորությունների իրականացման ապահովման միջոցառման շրջանակներում ըստ փաստացի ստացված հանձնարարագրերի իրականացվել են թվով </w:t>
      </w:r>
      <w:r w:rsidRPr="001F63BA">
        <w:rPr>
          <w:rFonts w:ascii="GHEA Grapalat" w:hAnsi="GHEA Grapalat" w:cs="GHEA Grapalat"/>
          <w:sz w:val="22"/>
          <w:szCs w:val="22"/>
          <w:lang w:val="en-US"/>
        </w:rPr>
        <w:t>31</w:t>
      </w:r>
      <w:r w:rsidRPr="001F63BA">
        <w:rPr>
          <w:rFonts w:ascii="GHEA Grapalat" w:hAnsi="GHEA Grapalat" w:cs="GHEA Grapalat"/>
          <w:sz w:val="22"/>
          <w:szCs w:val="22"/>
        </w:rPr>
        <w:t xml:space="preserve"> ուսումնասիրություններ՝ </w:t>
      </w:r>
      <w:r w:rsidRPr="001F63BA">
        <w:rPr>
          <w:rFonts w:ascii="GHEA Grapalat" w:hAnsi="GHEA Grapalat" w:cs="GHEA Grapalat"/>
          <w:sz w:val="22"/>
          <w:szCs w:val="22"/>
          <w:lang w:val="en-US"/>
        </w:rPr>
        <w:t>կան</w:t>
      </w:r>
      <w:r w:rsidRPr="001F63BA">
        <w:rPr>
          <w:rFonts w:ascii="GHEA Grapalat" w:hAnsi="GHEA Grapalat" w:cs="GHEA Grapalat"/>
          <w:sz w:val="22"/>
          <w:szCs w:val="22"/>
        </w:rPr>
        <w:t xml:space="preserve">խատեսված </w:t>
      </w:r>
      <w:r w:rsidRPr="001F63BA">
        <w:rPr>
          <w:rFonts w:ascii="GHEA Grapalat" w:hAnsi="GHEA Grapalat" w:cs="GHEA Grapalat"/>
          <w:sz w:val="22"/>
          <w:szCs w:val="22"/>
          <w:lang w:val="en-US"/>
        </w:rPr>
        <w:t>28</w:t>
      </w:r>
      <w:r w:rsidRPr="001F63BA">
        <w:rPr>
          <w:rFonts w:ascii="GHEA Grapalat" w:hAnsi="GHEA Grapalat" w:cs="GHEA Grapalat"/>
          <w:sz w:val="22"/>
          <w:szCs w:val="22"/>
        </w:rPr>
        <w:t>-ի դիմաց</w:t>
      </w:r>
      <w:r w:rsidRPr="001F63BA">
        <w:rPr>
          <w:rFonts w:ascii="GHEA Grapalat" w:hAnsi="GHEA Grapalat" w:cs="GHEA Grapalat"/>
          <w:sz w:val="22"/>
          <w:szCs w:val="22"/>
          <w:lang w:val="en-US"/>
        </w:rPr>
        <w:t>, 201 մշտադիտարկումներ՝ կանխատեսված 222-ի դիմաց</w:t>
      </w:r>
      <w:r w:rsidRPr="001F63BA">
        <w:rPr>
          <w:rFonts w:ascii="GHEA Grapalat" w:hAnsi="GHEA Grapalat" w:cs="GHEA Grapalat"/>
          <w:sz w:val="22"/>
          <w:szCs w:val="22"/>
        </w:rPr>
        <w:t xml:space="preserve">: Հաշվետու տարում միջոցառման ծախսերը կազմել են շուրջ </w:t>
      </w:r>
      <w:r w:rsidRPr="001F63BA">
        <w:rPr>
          <w:rFonts w:ascii="GHEA Grapalat" w:hAnsi="GHEA Grapalat" w:cs="GHEA Grapalat"/>
          <w:sz w:val="22"/>
          <w:szCs w:val="22"/>
          <w:lang w:val="en-US"/>
        </w:rPr>
        <w:t>752.6</w:t>
      </w:r>
      <w:r w:rsidRPr="001F63BA">
        <w:rPr>
          <w:rFonts w:ascii="Courier New" w:hAnsi="Courier New" w:cs="Courier New"/>
          <w:sz w:val="22"/>
          <w:szCs w:val="22"/>
          <w:lang w:val="en-US"/>
        </w:rPr>
        <w:t> </w:t>
      </w:r>
      <w:r w:rsidRPr="001F63BA">
        <w:rPr>
          <w:rFonts w:ascii="GHEA Grapalat" w:hAnsi="GHEA Grapalat" w:cs="GHEA Grapalat"/>
          <w:sz w:val="22"/>
          <w:szCs w:val="22"/>
        </w:rPr>
        <w:t xml:space="preserve">մլն դրամ, որոնք կատարվել են </w:t>
      </w:r>
      <w:r w:rsidRPr="001F63BA">
        <w:rPr>
          <w:rFonts w:ascii="GHEA Grapalat" w:hAnsi="GHEA Grapalat"/>
          <w:sz w:val="22"/>
          <w:szCs w:val="22"/>
        </w:rPr>
        <w:t>9</w:t>
      </w:r>
      <w:r w:rsidRPr="001F63BA">
        <w:rPr>
          <w:rFonts w:ascii="GHEA Grapalat" w:hAnsi="GHEA Grapalat"/>
          <w:sz w:val="22"/>
          <w:szCs w:val="22"/>
          <w:lang w:val="en-US"/>
        </w:rPr>
        <w:t>9.5</w:t>
      </w:r>
      <w:r w:rsidRPr="001F63BA">
        <w:rPr>
          <w:rFonts w:ascii="GHEA Grapalat" w:hAnsi="GHEA Grapalat"/>
          <w:sz w:val="22"/>
          <w:szCs w:val="22"/>
        </w:rPr>
        <w:t>%</w:t>
      </w:r>
      <w:r w:rsidRPr="001F63BA">
        <w:rPr>
          <w:rFonts w:ascii="GHEA Grapalat" w:hAnsi="GHEA Grapalat" w:cs="GHEA Grapalat"/>
          <w:sz w:val="22"/>
          <w:szCs w:val="22"/>
        </w:rPr>
        <w:t>-ով: Նախորդ տարվա համեմատ նշված միջոցառման ծախսեր</w:t>
      </w:r>
      <w:r w:rsidRPr="001F63BA">
        <w:rPr>
          <w:rFonts w:ascii="GHEA Grapalat" w:hAnsi="GHEA Grapalat" w:cs="GHEA Grapalat"/>
          <w:sz w:val="22"/>
          <w:szCs w:val="22"/>
          <w:lang w:val="en-US"/>
        </w:rPr>
        <w:t>ի</w:t>
      </w:r>
      <w:r w:rsidRPr="001F63BA">
        <w:rPr>
          <w:rFonts w:ascii="GHEA Grapalat" w:hAnsi="GHEA Grapalat" w:cs="GHEA Grapalat"/>
          <w:sz w:val="22"/>
          <w:szCs w:val="22"/>
        </w:rPr>
        <w:t xml:space="preserve"> 12% </w:t>
      </w:r>
      <w:r w:rsidRPr="001F63BA">
        <w:rPr>
          <w:rFonts w:ascii="GHEA Grapalat" w:hAnsi="GHEA Grapalat" w:cs="GHEA Grapalat"/>
          <w:sz w:val="22"/>
          <w:szCs w:val="22"/>
          <w:lang w:val="en-US"/>
        </w:rPr>
        <w:t>(</w:t>
      </w:r>
      <w:r w:rsidRPr="001F63BA">
        <w:rPr>
          <w:rFonts w:ascii="GHEA Grapalat" w:hAnsi="GHEA Grapalat" w:cs="GHEA Grapalat"/>
          <w:sz w:val="22"/>
          <w:szCs w:val="22"/>
        </w:rPr>
        <w:t>80.9</w:t>
      </w:r>
      <w:r w:rsidRPr="001F63BA">
        <w:rPr>
          <w:rFonts w:ascii="Courier New" w:hAnsi="Courier New" w:cs="Courier New"/>
          <w:sz w:val="22"/>
          <w:szCs w:val="22"/>
        </w:rPr>
        <w:t> </w:t>
      </w:r>
      <w:r w:rsidRPr="001F63BA">
        <w:rPr>
          <w:rFonts w:ascii="GHEA Grapalat" w:hAnsi="GHEA Grapalat" w:cs="GHEA Grapalat"/>
          <w:sz w:val="22"/>
          <w:szCs w:val="22"/>
        </w:rPr>
        <w:t>մլն դրամ</w:t>
      </w:r>
      <w:r w:rsidRPr="001F63BA">
        <w:rPr>
          <w:rFonts w:ascii="GHEA Grapalat" w:hAnsi="GHEA Grapalat" w:cs="GHEA Grapalat"/>
          <w:sz w:val="22"/>
          <w:szCs w:val="22"/>
          <w:lang w:val="en-US"/>
        </w:rPr>
        <w:t>) աճ</w:t>
      </w:r>
      <w:r w:rsidRPr="001F63BA">
        <w:rPr>
          <w:rFonts w:ascii="GHEA Grapalat" w:hAnsi="GHEA Grapalat" w:cs="GHEA Grapalat"/>
          <w:sz w:val="22"/>
          <w:szCs w:val="22"/>
        </w:rPr>
        <w:t>ը հիմնականում պայմանավորված է թափուր հաստիքների համալրման և աշխատավարձի բնականոն աճի արդյունքում աշխատանքի վարձատրությանն ուղղված ծախսերի ու տրանսպորտային նյութերի գծով ծախսերի աճով:</w:t>
      </w:r>
    </w:p>
    <w:p w:rsidR="001C411D" w:rsidRPr="001F63BA" w:rsidRDefault="001C411D" w:rsidP="008E438A">
      <w:pPr>
        <w:spacing w:line="360" w:lineRule="auto"/>
        <w:ind w:firstLine="561"/>
        <w:jc w:val="both"/>
        <w:rPr>
          <w:rFonts w:ascii="GHEA Grapalat" w:hAnsi="GHEA Grapalat" w:cs="GHEA Grapalat"/>
          <w:sz w:val="22"/>
          <w:szCs w:val="22"/>
        </w:rPr>
      </w:pPr>
    </w:p>
    <w:p w:rsidR="001C411D" w:rsidRPr="001F63BA" w:rsidRDefault="001C411D" w:rsidP="008E438A">
      <w:pPr>
        <w:autoSpaceDE w:val="0"/>
        <w:autoSpaceDN w:val="0"/>
        <w:adjustRightInd w:val="0"/>
        <w:spacing w:line="360" w:lineRule="auto"/>
        <w:ind w:firstLine="567"/>
        <w:jc w:val="both"/>
        <w:rPr>
          <w:rFonts w:ascii="GHEA Grapalat" w:hAnsi="GHEA Grapalat" w:cs="GHEA Grapalat"/>
          <w:i/>
          <w:sz w:val="22"/>
          <w:szCs w:val="22"/>
          <w:u w:val="single"/>
        </w:rPr>
      </w:pPr>
      <w:r w:rsidRPr="001F63BA">
        <w:rPr>
          <w:rFonts w:ascii="GHEA Grapalat" w:hAnsi="GHEA Grapalat" w:cs="GHEA Grapalat"/>
          <w:i/>
          <w:sz w:val="22"/>
          <w:szCs w:val="22"/>
          <w:u w:val="single"/>
        </w:rPr>
        <w:t>Հակակոռուպցիոն կոմիտեի</w:t>
      </w:r>
      <w:r w:rsidRPr="001F63BA">
        <w:rPr>
          <w:rFonts w:ascii="GHEA Grapalat" w:hAnsi="GHEA Grapalat" w:cs="GHEA Grapalat"/>
          <w:i/>
          <w:sz w:val="22"/>
          <w:szCs w:val="22"/>
          <w:u w:val="single"/>
          <w:lang w:val="en-US"/>
        </w:rPr>
        <w:t>ն</w:t>
      </w:r>
      <w:r w:rsidRPr="001F63BA">
        <w:rPr>
          <w:rFonts w:ascii="GHEA Grapalat" w:hAnsi="GHEA Grapalat" w:cs="GHEA Grapalat"/>
          <w:sz w:val="22"/>
          <w:szCs w:val="22"/>
          <w:lang w:val="en-US"/>
        </w:rPr>
        <w:t xml:space="preserve"> </w:t>
      </w:r>
      <w:r w:rsidRPr="001F63BA">
        <w:rPr>
          <w:rFonts w:ascii="GHEA Grapalat" w:hAnsi="GHEA Grapalat" w:cs="Times Armenian"/>
          <w:sz w:val="22"/>
          <w:szCs w:val="22"/>
        </w:rPr>
        <w:t xml:space="preserve">2022 թվականին </w:t>
      </w:r>
      <w:r w:rsidRPr="001F63BA">
        <w:rPr>
          <w:rFonts w:ascii="GHEA Grapalat" w:hAnsi="GHEA Grapalat" w:cs="GHEA Grapalat"/>
          <w:sz w:val="22"/>
          <w:szCs w:val="22"/>
        </w:rPr>
        <w:t>տրամադրվել է 1.5</w:t>
      </w:r>
      <w:r w:rsidRPr="001F63BA">
        <w:rPr>
          <w:rFonts w:ascii="Courier New" w:hAnsi="Courier New" w:cs="Courier New"/>
          <w:sz w:val="22"/>
          <w:szCs w:val="22"/>
        </w:rPr>
        <w:t> </w:t>
      </w:r>
      <w:r w:rsidRPr="001F63BA">
        <w:rPr>
          <w:rFonts w:ascii="GHEA Grapalat" w:hAnsi="GHEA Grapalat" w:cs="GHEA Grapalat"/>
          <w:sz w:val="22"/>
          <w:szCs w:val="22"/>
        </w:rPr>
        <w:t xml:space="preserve">մլրդ դրամ՝ ապահովելով ծրագրային ցուցանիշի 86.7% կատարողական, որը պայմանավորված է </w:t>
      </w:r>
      <w:r w:rsidRPr="001F63BA">
        <w:rPr>
          <w:rFonts w:ascii="GHEA Grapalat" w:hAnsi="GHEA Grapalat" w:cs="GHEA Grapalat"/>
          <w:sz w:val="22"/>
          <w:szCs w:val="22"/>
          <w:lang w:val="en-US"/>
        </w:rPr>
        <w:t>թափուր</w:t>
      </w:r>
      <w:r w:rsidRPr="001F63BA">
        <w:rPr>
          <w:rFonts w:ascii="GHEA Grapalat" w:hAnsi="GHEA Grapalat" w:cs="GHEA Grapalat"/>
          <w:sz w:val="22"/>
          <w:szCs w:val="22"/>
        </w:rPr>
        <w:t xml:space="preserve"> հաստիքներ</w:t>
      </w:r>
      <w:r w:rsidRPr="001F63BA">
        <w:rPr>
          <w:rFonts w:ascii="GHEA Grapalat" w:hAnsi="GHEA Grapalat" w:cs="GHEA Grapalat"/>
          <w:sz w:val="22"/>
          <w:szCs w:val="22"/>
          <w:lang w:val="en-US"/>
        </w:rPr>
        <w:t>ի առկայությամբ</w:t>
      </w:r>
      <w:r w:rsidRPr="001F63BA">
        <w:rPr>
          <w:rFonts w:ascii="GHEA Grapalat" w:hAnsi="GHEA Grapalat" w:cs="GHEA Grapalat"/>
          <w:sz w:val="22"/>
          <w:szCs w:val="22"/>
        </w:rPr>
        <w:t>: Միջոցները գրեթե ամբողջությամբ ուղղվել են</w:t>
      </w:r>
      <w:r w:rsidRPr="001F63BA">
        <w:t xml:space="preserve"> </w:t>
      </w:r>
      <w:r w:rsidRPr="001F63BA">
        <w:rPr>
          <w:rFonts w:ascii="GHEA Grapalat" w:hAnsi="GHEA Grapalat" w:cs="GHEA Grapalat"/>
          <w:sz w:val="22"/>
          <w:szCs w:val="22"/>
        </w:rPr>
        <w:t>Կոռուպցիոն հանցագործությունների բացահայտման և քննության ապահովմանը: Հաշվետու ժամանակահատվածում վարույթում քննված քրեական գործերի ընդհանուր թիվը կազմել է 1203, այդ թվում՝</w:t>
      </w:r>
      <w:r w:rsidRPr="001F63BA">
        <w:t xml:space="preserve"> </w:t>
      </w:r>
      <w:r w:rsidRPr="001F63BA">
        <w:rPr>
          <w:rFonts w:ascii="GHEA Grapalat" w:hAnsi="GHEA Grapalat" w:cs="GHEA Grapalat"/>
          <w:sz w:val="22"/>
          <w:szCs w:val="22"/>
        </w:rPr>
        <w:t>ՀՀ քրեական դատավարության օրենսգրքով ՀՀ հակակոռուպցիոն կոմիտեի ենթակայությանը վերապահված` հարուցված քրեական գործերի թիվը՝ 504</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 xml:space="preserve">2022 թվականին </w:t>
      </w:r>
      <w:r w:rsidRPr="001F63BA">
        <w:rPr>
          <w:rFonts w:ascii="GHEA Grapalat" w:hAnsi="GHEA Grapalat" w:cs="GHEA Grapalat"/>
          <w:sz w:val="22"/>
          <w:szCs w:val="22"/>
        </w:rPr>
        <w:t>բացահայտված կոռուպցիոն հանցագործությունների թիվը</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lang w:val="en-US"/>
        </w:rPr>
        <w:lastRenderedPageBreak/>
        <w:t>կազմել է</w:t>
      </w:r>
      <w:r w:rsidRPr="001F63BA">
        <w:rPr>
          <w:rFonts w:ascii="GHEA Grapalat" w:hAnsi="GHEA Grapalat" w:cs="GHEA Grapalat"/>
          <w:sz w:val="22"/>
          <w:szCs w:val="22"/>
        </w:rPr>
        <w:t xml:space="preserve"> 1011:</w:t>
      </w:r>
      <w:r w:rsidRPr="001F63BA">
        <w:t xml:space="preserve"> </w:t>
      </w:r>
      <w:r w:rsidRPr="001F63BA">
        <w:rPr>
          <w:rFonts w:ascii="GHEA Grapalat" w:hAnsi="GHEA Grapalat" w:cs="GHEA Grapalat"/>
          <w:sz w:val="22"/>
          <w:szCs w:val="22"/>
        </w:rPr>
        <w:t>Հակակոռուպցիոն կոմիտեն իր գործունեությունը սկսել է իրականացնել 2021 թվականի հոկտեմբերի 23-ից:</w:t>
      </w:r>
    </w:p>
    <w:p w:rsidR="001C411D" w:rsidRPr="001F63BA" w:rsidRDefault="001C411D" w:rsidP="008E438A">
      <w:pPr>
        <w:spacing w:line="360" w:lineRule="auto"/>
        <w:ind w:firstLine="561"/>
        <w:jc w:val="both"/>
        <w:rPr>
          <w:rFonts w:ascii="GHEA Grapalat" w:hAnsi="GHEA Grapalat"/>
          <w:i/>
          <w:sz w:val="22"/>
          <w:szCs w:val="22"/>
          <w:u w:val="single"/>
        </w:rPr>
      </w:pPr>
    </w:p>
    <w:p w:rsidR="001C411D" w:rsidRPr="001F63BA" w:rsidRDefault="001C411D" w:rsidP="007C7CC1">
      <w:pPr>
        <w:spacing w:line="360" w:lineRule="auto"/>
        <w:ind w:firstLine="561"/>
        <w:jc w:val="both"/>
        <w:rPr>
          <w:rFonts w:ascii="GHEA Grapalat" w:hAnsi="GHEA Grapalat" w:cs="GHEA Grapalat"/>
          <w:sz w:val="22"/>
          <w:szCs w:val="22"/>
        </w:rPr>
      </w:pPr>
      <w:r w:rsidRPr="001F63BA">
        <w:rPr>
          <w:rFonts w:ascii="GHEA Grapalat" w:hAnsi="GHEA Grapalat"/>
          <w:i/>
          <w:sz w:val="22"/>
          <w:szCs w:val="22"/>
          <w:u w:val="single"/>
        </w:rPr>
        <w:t>Հայաստանի Հանրապետության մարզպետարաններին</w:t>
      </w:r>
      <w:r w:rsidRPr="001F63BA">
        <w:rPr>
          <w:rFonts w:ascii="GHEA Grapalat" w:hAnsi="GHEA Grapalat"/>
          <w:sz w:val="22"/>
          <w:szCs w:val="22"/>
        </w:rPr>
        <w:t xml:space="preserve"> </w:t>
      </w:r>
      <w:r w:rsidRPr="001F63BA">
        <w:rPr>
          <w:rFonts w:ascii="GHEA Grapalat" w:hAnsi="GHEA Grapalat" w:cs="GHEA Grapalat"/>
          <w:sz w:val="22"/>
          <w:szCs w:val="22"/>
        </w:rPr>
        <w:t>մարզերում տարածքային պետական կառավարման ծրագրերի շրջանակներում 2022 թվականին ՀՀ պետական բյուջեից ընդհանուր առմամբ տրամադրվել է շուրջ 5.3 մլրդ դրամ, որը կազմել է ծրագրված ցուցանիշի 98.5%-ը։</w:t>
      </w:r>
    </w:p>
    <w:p w:rsidR="001C411D" w:rsidRPr="001F63BA" w:rsidRDefault="001C411D" w:rsidP="007C7CC1">
      <w:pPr>
        <w:spacing w:line="360" w:lineRule="auto"/>
        <w:ind w:firstLine="561"/>
        <w:jc w:val="both"/>
        <w:rPr>
          <w:rFonts w:ascii="GHEA Grapalat" w:hAnsi="GHEA Grapalat" w:cs="GHEA Grapalat"/>
          <w:sz w:val="22"/>
          <w:szCs w:val="22"/>
        </w:rPr>
      </w:pPr>
      <w:r w:rsidRPr="001F63BA">
        <w:rPr>
          <w:rFonts w:ascii="GHEA Grapalat" w:hAnsi="GHEA Grapalat" w:cs="GHEA Grapalat"/>
          <w:sz w:val="22"/>
          <w:szCs w:val="22"/>
        </w:rPr>
        <w:t xml:space="preserve">Միջոցները հիմնականում օգտագործվել են մարզերի կողմից տարածքային պետական կառավարման ապահովման միջոցառումների շրջանակներում, որոնց ուղղվել է 5.26 մլրդ դրամ </w:t>
      </w:r>
      <w:r w:rsidRPr="001F63BA">
        <w:rPr>
          <w:rFonts w:ascii="GHEA Grapalat" w:hAnsi="GHEA Grapalat" w:cs="GHEA Grapalat"/>
          <w:sz w:val="22"/>
          <w:szCs w:val="22"/>
          <w:lang w:val="en-US"/>
        </w:rPr>
        <w:t>(</w:t>
      </w:r>
      <w:r w:rsidRPr="001F63BA">
        <w:rPr>
          <w:rFonts w:ascii="GHEA Grapalat" w:hAnsi="GHEA Grapalat" w:cs="GHEA Grapalat"/>
          <w:sz w:val="22"/>
          <w:szCs w:val="22"/>
        </w:rPr>
        <w:t>98.5%</w:t>
      </w:r>
      <w:r w:rsidRPr="001F63BA">
        <w:rPr>
          <w:rFonts w:ascii="GHEA Grapalat" w:hAnsi="GHEA Grapalat" w:cs="GHEA Grapalat"/>
          <w:sz w:val="22"/>
          <w:szCs w:val="22"/>
          <w:lang w:val="en-US"/>
        </w:rPr>
        <w:t>)</w:t>
      </w:r>
      <w:r w:rsidRPr="001F63BA">
        <w:rPr>
          <w:rFonts w:ascii="GHEA Grapalat" w:hAnsi="GHEA Grapalat" w:cs="GHEA Grapalat"/>
          <w:sz w:val="22"/>
          <w:szCs w:val="22"/>
        </w:rPr>
        <w:t>:</w:t>
      </w:r>
    </w:p>
    <w:p w:rsidR="001C411D" w:rsidRPr="001F63BA" w:rsidRDefault="001C411D" w:rsidP="007C7CC1">
      <w:pPr>
        <w:spacing w:line="360" w:lineRule="auto"/>
        <w:ind w:firstLine="561"/>
        <w:jc w:val="both"/>
        <w:rPr>
          <w:rFonts w:ascii="GHEA Grapalat" w:hAnsi="GHEA Grapalat" w:cs="GHEA Grapalat"/>
          <w:sz w:val="22"/>
          <w:szCs w:val="22"/>
        </w:rPr>
      </w:pPr>
      <w:r w:rsidRPr="001F63BA">
        <w:rPr>
          <w:rFonts w:ascii="GHEA Grapalat" w:hAnsi="GHEA Grapalat" w:cs="GHEA Grapalat"/>
          <w:sz w:val="22"/>
          <w:szCs w:val="22"/>
        </w:rPr>
        <w:t xml:space="preserve">Հատկացումներն ըստ մարզերի ներկայացված են Աղյուսակ </w:t>
      </w:r>
      <w:r w:rsidRPr="001F63BA">
        <w:rPr>
          <w:rFonts w:ascii="GHEA Grapalat" w:hAnsi="GHEA Grapalat" w:cs="GHEA Grapalat"/>
          <w:sz w:val="22"/>
          <w:szCs w:val="22"/>
          <w:lang w:val="en-US"/>
        </w:rPr>
        <w:t>40</w:t>
      </w:r>
      <w:r w:rsidRPr="001F63BA">
        <w:rPr>
          <w:rFonts w:ascii="GHEA Grapalat" w:hAnsi="GHEA Grapalat" w:cs="GHEA Grapalat"/>
          <w:sz w:val="22"/>
          <w:szCs w:val="22"/>
        </w:rPr>
        <w:t>-ում:</w:t>
      </w:r>
    </w:p>
    <w:p w:rsidR="001C411D" w:rsidRPr="001F63BA" w:rsidRDefault="001C411D" w:rsidP="007C7CC1">
      <w:pPr>
        <w:spacing w:line="360" w:lineRule="auto"/>
        <w:ind w:firstLine="561"/>
        <w:jc w:val="both"/>
        <w:rPr>
          <w:rFonts w:ascii="GHEA Grapalat" w:hAnsi="GHEA Grapalat" w:cs="GHEA Grapalat"/>
          <w:sz w:val="22"/>
          <w:szCs w:val="22"/>
        </w:rPr>
      </w:pPr>
      <w:r w:rsidRPr="001F63BA">
        <w:rPr>
          <w:rFonts w:ascii="GHEA Grapalat" w:hAnsi="GHEA Grapalat" w:cs="GHEA Grapalat"/>
          <w:sz w:val="22"/>
          <w:szCs w:val="22"/>
        </w:rPr>
        <w:t xml:space="preserve">Նախորդ տարվա համեմատ մարզպետարանների ծախսերը նվազել են 3.4%-ով կամ 188 մլն դրամով՝ հիմնականում պայմանավորված </w:t>
      </w:r>
      <w:r w:rsidR="00166616" w:rsidRPr="001F63BA">
        <w:rPr>
          <w:rFonts w:ascii="GHEA Grapalat" w:hAnsi="GHEA Grapalat" w:cs="GHEA Grapalat"/>
          <w:sz w:val="22"/>
          <w:szCs w:val="22"/>
        </w:rPr>
        <w:t>Կառավարությ</w:t>
      </w:r>
      <w:r w:rsidRPr="001F63BA">
        <w:rPr>
          <w:rFonts w:ascii="GHEA Grapalat" w:hAnsi="GHEA Grapalat" w:cs="GHEA Grapalat"/>
          <w:sz w:val="22"/>
          <w:szCs w:val="22"/>
        </w:rPr>
        <w:t>ան որոշմամբ 2021 թվականի ապրիլի 1</w:t>
      </w:r>
      <w:r w:rsidRPr="001F63BA">
        <w:rPr>
          <w:rFonts w:ascii="GHEA Grapalat" w:hAnsi="GHEA Grapalat" w:cs="GHEA Grapalat"/>
          <w:sz w:val="22"/>
          <w:szCs w:val="22"/>
          <w:lang w:val="en-US"/>
        </w:rPr>
        <w:noBreakHyphen/>
      </w:r>
      <w:r w:rsidRPr="001F63BA">
        <w:rPr>
          <w:rFonts w:ascii="GHEA Grapalat" w:hAnsi="GHEA Grapalat" w:cs="GHEA Grapalat"/>
          <w:sz w:val="22"/>
          <w:szCs w:val="22"/>
        </w:rPr>
        <w:t>ից Միասնական սոցիալական ծառայության ստեղծման հետ կապված՝ ՀՀ մարզպետարանների աշխատակազմերի առանձնացված ստորաբաժանումներ հանդիսացող սոցիալական աջակցության տարածքային գործակալությունների գործունեության դադարեցմամբ:</w:t>
      </w:r>
    </w:p>
    <w:p w:rsidR="001C411D" w:rsidRPr="001F63BA" w:rsidRDefault="001C411D" w:rsidP="007C7CC1">
      <w:pPr>
        <w:spacing w:line="360" w:lineRule="auto"/>
        <w:ind w:firstLine="561"/>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բյուջեից հատկացումներն ըստ մարզերի (մլն դրամ)</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A0" w:firstRow="1" w:lastRow="0" w:firstColumn="1" w:lastColumn="0" w:noHBand="0" w:noVBand="0"/>
      </w:tblPr>
      <w:tblGrid>
        <w:gridCol w:w="3036"/>
        <w:gridCol w:w="932"/>
        <w:gridCol w:w="992"/>
        <w:gridCol w:w="991"/>
        <w:gridCol w:w="1316"/>
        <w:gridCol w:w="1440"/>
        <w:gridCol w:w="1493"/>
      </w:tblGrid>
      <w:tr w:rsidR="001C411D" w:rsidRPr="001F63BA" w:rsidTr="007C7CC1">
        <w:trPr>
          <w:trHeight w:val="1432"/>
        </w:trPr>
        <w:tc>
          <w:tcPr>
            <w:tcW w:w="3036" w:type="dxa"/>
          </w:tcPr>
          <w:p w:rsidR="001C411D" w:rsidRPr="001F63BA" w:rsidRDefault="001C411D">
            <w:pPr>
              <w:spacing w:line="254" w:lineRule="auto"/>
              <w:jc w:val="center"/>
              <w:rPr>
                <w:rFonts w:ascii="GHEA Grapalat" w:hAnsi="GHEA Grapalat"/>
                <w:sz w:val="18"/>
                <w:szCs w:val="18"/>
              </w:rPr>
            </w:pPr>
          </w:p>
        </w:tc>
        <w:tc>
          <w:tcPr>
            <w:tcW w:w="932" w:type="dxa"/>
          </w:tcPr>
          <w:p w:rsidR="001C411D" w:rsidRPr="001F63BA" w:rsidRDefault="001C411D">
            <w:pPr>
              <w:spacing w:line="254" w:lineRule="auto"/>
              <w:jc w:val="center"/>
              <w:rPr>
                <w:rFonts w:ascii="GHEA Grapalat" w:hAnsi="GHEA Grapalat" w:cs="Calibri"/>
                <w:b/>
                <w:sz w:val="18"/>
                <w:szCs w:val="18"/>
              </w:rPr>
            </w:pPr>
            <w:r w:rsidRPr="001F63BA">
              <w:rPr>
                <w:rFonts w:ascii="GHEA Grapalat" w:hAnsi="GHEA Grapalat" w:cs="Calibri"/>
                <w:b/>
                <w:sz w:val="18"/>
                <w:szCs w:val="18"/>
              </w:rPr>
              <w:t>2021թ. փաստ</w:t>
            </w:r>
          </w:p>
        </w:tc>
        <w:tc>
          <w:tcPr>
            <w:tcW w:w="992" w:type="dxa"/>
          </w:tcPr>
          <w:p w:rsidR="001C411D" w:rsidRPr="001F63BA" w:rsidRDefault="001C411D">
            <w:pPr>
              <w:spacing w:line="254" w:lineRule="auto"/>
              <w:jc w:val="center"/>
              <w:rPr>
                <w:rFonts w:ascii="GHEA Grapalat" w:hAnsi="GHEA Grapalat" w:cs="Calibri"/>
                <w:b/>
                <w:sz w:val="18"/>
                <w:szCs w:val="18"/>
              </w:rPr>
            </w:pPr>
            <w:r w:rsidRPr="001F63BA">
              <w:rPr>
                <w:rFonts w:ascii="GHEA Grapalat" w:hAnsi="GHEA Grapalat" w:cs="Calibri"/>
                <w:b/>
                <w:sz w:val="18"/>
                <w:szCs w:val="18"/>
              </w:rPr>
              <w:t>2022թ. ճշտված պլան</w:t>
            </w:r>
          </w:p>
        </w:tc>
        <w:tc>
          <w:tcPr>
            <w:tcW w:w="991" w:type="dxa"/>
          </w:tcPr>
          <w:p w:rsidR="001C411D" w:rsidRPr="001F63BA" w:rsidRDefault="001C411D">
            <w:pPr>
              <w:spacing w:line="254" w:lineRule="auto"/>
              <w:jc w:val="center"/>
              <w:rPr>
                <w:rFonts w:ascii="GHEA Grapalat" w:hAnsi="GHEA Grapalat" w:cs="Calibri"/>
                <w:b/>
                <w:sz w:val="18"/>
                <w:szCs w:val="18"/>
              </w:rPr>
            </w:pPr>
            <w:r w:rsidRPr="001F63BA">
              <w:rPr>
                <w:rFonts w:ascii="GHEA Grapalat" w:hAnsi="GHEA Grapalat" w:cs="Calibri"/>
                <w:b/>
                <w:sz w:val="18"/>
                <w:szCs w:val="18"/>
              </w:rPr>
              <w:t>2022թ. փաստ</w:t>
            </w:r>
          </w:p>
        </w:tc>
        <w:tc>
          <w:tcPr>
            <w:tcW w:w="1316" w:type="dxa"/>
          </w:tcPr>
          <w:p w:rsidR="001C411D" w:rsidRPr="001F63BA" w:rsidRDefault="001C411D">
            <w:pPr>
              <w:spacing w:line="254" w:lineRule="auto"/>
              <w:jc w:val="center"/>
              <w:rPr>
                <w:rFonts w:ascii="GHEA Grapalat" w:hAnsi="GHEA Grapalat" w:cs="Calibri"/>
                <w:b/>
                <w:sz w:val="18"/>
                <w:szCs w:val="18"/>
              </w:rPr>
            </w:pPr>
            <w:r w:rsidRPr="001F63BA">
              <w:rPr>
                <w:rFonts w:ascii="GHEA Grapalat" w:hAnsi="GHEA Grapalat" w:cs="Calibri"/>
                <w:b/>
                <w:sz w:val="18"/>
                <w:szCs w:val="18"/>
              </w:rPr>
              <w:t>Կատարո-ղականն ճշտված պլանի նկատմամբ (%)</w:t>
            </w:r>
          </w:p>
        </w:tc>
        <w:tc>
          <w:tcPr>
            <w:tcW w:w="1440" w:type="dxa"/>
          </w:tcPr>
          <w:p w:rsidR="001C411D" w:rsidRPr="001F63BA" w:rsidRDefault="001C411D">
            <w:pPr>
              <w:spacing w:line="254" w:lineRule="auto"/>
              <w:jc w:val="center"/>
              <w:rPr>
                <w:rFonts w:ascii="GHEA Grapalat" w:hAnsi="GHEA Grapalat" w:cs="Calibri"/>
                <w:b/>
                <w:sz w:val="18"/>
                <w:szCs w:val="18"/>
              </w:rPr>
            </w:pPr>
            <w:r w:rsidRPr="001F63BA">
              <w:rPr>
                <w:rFonts w:ascii="GHEA Grapalat" w:hAnsi="GHEA Grapalat" w:cs="Calibri"/>
                <w:b/>
                <w:bCs/>
                <w:sz w:val="18"/>
                <w:szCs w:val="18"/>
              </w:rPr>
              <w:t>2022թ. փաստ</w:t>
            </w:r>
            <w:r w:rsidRPr="001F63BA">
              <w:rPr>
                <w:rFonts w:ascii="GHEA Grapalat" w:hAnsi="GHEA Grapalat" w:cs="Calibri"/>
                <w:b/>
                <w:sz w:val="18"/>
                <w:szCs w:val="18"/>
              </w:rPr>
              <w:t xml:space="preserve">ը </w:t>
            </w:r>
            <w:r w:rsidRPr="001F63BA">
              <w:rPr>
                <w:rFonts w:ascii="GHEA Grapalat" w:hAnsi="GHEA Grapalat" w:cs="Calibri"/>
                <w:b/>
                <w:bCs/>
                <w:sz w:val="18"/>
                <w:szCs w:val="18"/>
              </w:rPr>
              <w:t>2021թ.</w:t>
            </w:r>
            <w:r w:rsidRPr="001F63BA">
              <w:rPr>
                <w:rFonts w:ascii="GHEA Grapalat" w:hAnsi="GHEA Grapalat" w:cs="Calibri"/>
                <w:b/>
                <w:sz w:val="18"/>
                <w:szCs w:val="18"/>
              </w:rPr>
              <w:t xml:space="preserve"> փաստի</w:t>
            </w:r>
            <w:r w:rsidRPr="001F63BA">
              <w:rPr>
                <w:rFonts w:ascii="GHEA Grapalat" w:hAnsi="GHEA Grapalat" w:cs="Calibri"/>
                <w:b/>
                <w:bCs/>
                <w:sz w:val="18"/>
                <w:szCs w:val="18"/>
              </w:rPr>
              <w:t xml:space="preserve"> նկատմամբ (%)</w:t>
            </w:r>
          </w:p>
        </w:tc>
        <w:tc>
          <w:tcPr>
            <w:tcW w:w="1493" w:type="dxa"/>
          </w:tcPr>
          <w:p w:rsidR="001C411D" w:rsidRPr="001F63BA" w:rsidRDefault="001C411D">
            <w:pPr>
              <w:spacing w:line="254" w:lineRule="auto"/>
              <w:jc w:val="center"/>
              <w:rPr>
                <w:rFonts w:ascii="GHEA Grapalat" w:hAnsi="GHEA Grapalat" w:cs="Calibri"/>
                <w:b/>
                <w:sz w:val="18"/>
                <w:szCs w:val="18"/>
              </w:rPr>
            </w:pPr>
            <w:r w:rsidRPr="001F63BA">
              <w:rPr>
                <w:rFonts w:ascii="GHEA Grapalat" w:hAnsi="GHEA Grapalat" w:cs="Calibri"/>
                <w:b/>
                <w:bCs/>
                <w:sz w:val="18"/>
                <w:szCs w:val="18"/>
              </w:rPr>
              <w:t>2022թ. և 2021թ. տարբե-րությունը</w:t>
            </w:r>
          </w:p>
        </w:tc>
      </w:tr>
      <w:tr w:rsidR="001C411D" w:rsidRPr="001F63BA" w:rsidTr="009E58C9">
        <w:trPr>
          <w:trHeight w:val="217"/>
        </w:trPr>
        <w:tc>
          <w:tcPr>
            <w:tcW w:w="3036" w:type="dxa"/>
            <w:vAlign w:val="bottom"/>
          </w:tcPr>
          <w:p w:rsidR="001C411D" w:rsidRPr="001F63BA" w:rsidRDefault="001C411D" w:rsidP="00AD17CB">
            <w:pPr>
              <w:spacing w:line="254" w:lineRule="auto"/>
              <w:rPr>
                <w:rFonts w:ascii="GHEA Grapalat" w:hAnsi="GHEA Grapalat"/>
                <w:b/>
                <w:sz w:val="18"/>
                <w:szCs w:val="18"/>
              </w:rPr>
            </w:pPr>
            <w:r w:rsidRPr="001F63BA">
              <w:rPr>
                <w:rFonts w:ascii="GHEA Grapalat" w:hAnsi="GHEA Grapalat"/>
                <w:b/>
                <w:sz w:val="18"/>
                <w:szCs w:val="18"/>
              </w:rPr>
              <w:t>ԸՆԴԱՄԵՆԸ</w:t>
            </w:r>
          </w:p>
        </w:tc>
        <w:tc>
          <w:tcPr>
            <w:tcW w:w="932" w:type="dxa"/>
            <w:vAlign w:val="bottom"/>
          </w:tcPr>
          <w:p w:rsidR="001C411D" w:rsidRPr="001F63BA" w:rsidRDefault="001C411D" w:rsidP="009E58C9">
            <w:pPr>
              <w:spacing w:line="256" w:lineRule="auto"/>
              <w:jc w:val="right"/>
              <w:rPr>
                <w:rFonts w:ascii="GHEA Grapalat" w:hAnsi="GHEA Grapalat"/>
                <w:b/>
                <w:bCs/>
                <w:sz w:val="18"/>
                <w:szCs w:val="18"/>
              </w:rPr>
            </w:pPr>
            <w:r w:rsidRPr="001F63BA">
              <w:rPr>
                <w:rFonts w:ascii="GHEA Grapalat" w:hAnsi="GHEA Grapalat"/>
                <w:b/>
                <w:bCs/>
                <w:sz w:val="18"/>
                <w:szCs w:val="18"/>
              </w:rPr>
              <w:t>5475.6</w:t>
            </w:r>
          </w:p>
        </w:tc>
        <w:tc>
          <w:tcPr>
            <w:tcW w:w="992" w:type="dxa"/>
            <w:vAlign w:val="bottom"/>
          </w:tcPr>
          <w:p w:rsidR="001C411D" w:rsidRPr="001F63BA" w:rsidRDefault="001C411D" w:rsidP="009E58C9">
            <w:pPr>
              <w:spacing w:line="256" w:lineRule="auto"/>
              <w:jc w:val="right"/>
              <w:rPr>
                <w:rFonts w:ascii="GHEA Grapalat" w:hAnsi="GHEA Grapalat"/>
                <w:b/>
                <w:bCs/>
                <w:sz w:val="18"/>
                <w:szCs w:val="18"/>
              </w:rPr>
            </w:pPr>
            <w:r w:rsidRPr="001F63BA">
              <w:rPr>
                <w:rFonts w:ascii="GHEA Grapalat" w:hAnsi="GHEA Grapalat"/>
                <w:b/>
                <w:bCs/>
                <w:sz w:val="18"/>
                <w:szCs w:val="18"/>
              </w:rPr>
              <w:t>5365.8</w:t>
            </w:r>
          </w:p>
        </w:tc>
        <w:tc>
          <w:tcPr>
            <w:tcW w:w="991" w:type="dxa"/>
            <w:vAlign w:val="bottom"/>
          </w:tcPr>
          <w:p w:rsidR="001C411D" w:rsidRPr="001F63BA" w:rsidRDefault="001C411D" w:rsidP="009E58C9">
            <w:pPr>
              <w:spacing w:line="256" w:lineRule="auto"/>
              <w:jc w:val="right"/>
              <w:rPr>
                <w:rFonts w:ascii="GHEA Grapalat" w:hAnsi="GHEA Grapalat"/>
                <w:b/>
                <w:bCs/>
                <w:sz w:val="18"/>
                <w:szCs w:val="18"/>
              </w:rPr>
            </w:pPr>
            <w:r w:rsidRPr="001F63BA">
              <w:rPr>
                <w:rFonts w:ascii="GHEA Grapalat" w:hAnsi="GHEA Grapalat"/>
                <w:b/>
                <w:bCs/>
                <w:sz w:val="18"/>
                <w:szCs w:val="18"/>
              </w:rPr>
              <w:t>5287.6</w:t>
            </w:r>
          </w:p>
        </w:tc>
        <w:tc>
          <w:tcPr>
            <w:tcW w:w="1316" w:type="dxa"/>
            <w:vAlign w:val="bottom"/>
          </w:tcPr>
          <w:p w:rsidR="001C411D" w:rsidRPr="001F63BA" w:rsidRDefault="001C411D" w:rsidP="009E58C9">
            <w:pPr>
              <w:spacing w:line="256" w:lineRule="auto"/>
              <w:jc w:val="right"/>
              <w:rPr>
                <w:rFonts w:ascii="GHEA Grapalat" w:hAnsi="GHEA Grapalat"/>
                <w:b/>
                <w:sz w:val="18"/>
                <w:szCs w:val="18"/>
              </w:rPr>
            </w:pPr>
            <w:r w:rsidRPr="001F63BA">
              <w:rPr>
                <w:rFonts w:ascii="GHEA Grapalat" w:hAnsi="GHEA Grapalat"/>
                <w:b/>
                <w:sz w:val="18"/>
                <w:szCs w:val="18"/>
              </w:rPr>
              <w:t>98.5</w:t>
            </w:r>
          </w:p>
        </w:tc>
        <w:tc>
          <w:tcPr>
            <w:tcW w:w="1440" w:type="dxa"/>
            <w:vAlign w:val="bottom"/>
          </w:tcPr>
          <w:p w:rsidR="001C411D" w:rsidRPr="001F63BA" w:rsidRDefault="001C411D" w:rsidP="009E58C9">
            <w:pPr>
              <w:spacing w:line="256" w:lineRule="auto"/>
              <w:jc w:val="right"/>
              <w:rPr>
                <w:rFonts w:ascii="GHEA Grapalat" w:hAnsi="GHEA Grapalat"/>
                <w:b/>
                <w:sz w:val="18"/>
                <w:szCs w:val="18"/>
              </w:rPr>
            </w:pPr>
            <w:r w:rsidRPr="001F63BA">
              <w:rPr>
                <w:rFonts w:ascii="GHEA Grapalat" w:hAnsi="GHEA Grapalat"/>
                <w:b/>
                <w:sz w:val="18"/>
                <w:szCs w:val="18"/>
              </w:rPr>
              <w:t>78.2</w:t>
            </w:r>
          </w:p>
        </w:tc>
        <w:tc>
          <w:tcPr>
            <w:tcW w:w="1493" w:type="dxa"/>
            <w:vAlign w:val="bottom"/>
          </w:tcPr>
          <w:p w:rsidR="001C411D" w:rsidRPr="001F63BA" w:rsidRDefault="001C411D" w:rsidP="009E58C9">
            <w:pPr>
              <w:spacing w:line="256" w:lineRule="auto"/>
              <w:jc w:val="right"/>
              <w:rPr>
                <w:rFonts w:ascii="GHEA Grapalat" w:hAnsi="GHEA Grapalat"/>
                <w:b/>
                <w:sz w:val="18"/>
                <w:szCs w:val="18"/>
              </w:rPr>
            </w:pPr>
            <w:r w:rsidRPr="001F63BA">
              <w:rPr>
                <w:rFonts w:ascii="GHEA Grapalat" w:hAnsi="GHEA Grapalat"/>
                <w:b/>
                <w:sz w:val="18"/>
                <w:szCs w:val="18"/>
              </w:rPr>
              <w:t>(188.0)</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Արագածոտնի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474.9</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458.9</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456.7</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99.5</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2.2</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(18.1)</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Արարատի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461.1</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467.0</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431.7</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92.4</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35.3</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(29.3)</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Արմավիրի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512.4</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501.1</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498.5</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99.5</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2.7</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(13.9)</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Գեղարքունիքի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702.8</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703.2</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694.5</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98.8</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8.7</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(8.3)</w:t>
            </w:r>
          </w:p>
        </w:tc>
      </w:tr>
      <w:tr w:rsidR="001C411D" w:rsidRPr="001F63BA" w:rsidTr="009E58C9">
        <w:trPr>
          <w:trHeight w:val="228"/>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Լոռու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619.4</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588.5</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581.1</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98.7</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7.4</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(38.3)</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Կոտայքի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553.9</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542.6</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534.3</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98.5</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8.3</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(19.7)</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Շիրակի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638.8</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626.3</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624.8</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99.8</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1.5</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(14.0)</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Սյունիքի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556.6</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553.5</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549.0</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99.2</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4.5</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(7.7)</w:t>
            </w:r>
          </w:p>
        </w:tc>
      </w:tr>
      <w:tr w:rsidR="001C411D" w:rsidRPr="001F63BA" w:rsidTr="009E58C9">
        <w:trPr>
          <w:trHeight w:val="166"/>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Վայոց ձորի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425.8</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411.1</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409.9</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99.7</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1.2</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(15.9)</w:t>
            </w:r>
          </w:p>
        </w:tc>
      </w:tr>
      <w:tr w:rsidR="001C411D" w:rsidRPr="001F63BA" w:rsidTr="009E58C9">
        <w:trPr>
          <w:trHeight w:val="157"/>
        </w:trPr>
        <w:tc>
          <w:tcPr>
            <w:tcW w:w="3036" w:type="dxa"/>
            <w:vAlign w:val="bottom"/>
          </w:tcPr>
          <w:p w:rsidR="001C411D" w:rsidRPr="001F63BA" w:rsidRDefault="001C411D" w:rsidP="00AD17CB">
            <w:pPr>
              <w:spacing w:line="254" w:lineRule="auto"/>
              <w:rPr>
                <w:rFonts w:ascii="GHEA Grapalat" w:hAnsi="GHEA Grapalat"/>
                <w:sz w:val="18"/>
                <w:szCs w:val="18"/>
                <w:shd w:val="clear" w:color="auto" w:fill="FFFFFF"/>
              </w:rPr>
            </w:pPr>
            <w:r w:rsidRPr="001F63BA">
              <w:rPr>
                <w:rFonts w:ascii="GHEA Grapalat" w:hAnsi="GHEA Grapalat"/>
                <w:sz w:val="18"/>
                <w:szCs w:val="18"/>
                <w:shd w:val="clear" w:color="auto" w:fill="FFFFFF"/>
              </w:rPr>
              <w:t>Տավուշի մարզպետարան</w:t>
            </w:r>
          </w:p>
        </w:tc>
        <w:tc>
          <w:tcPr>
            <w:tcW w:w="93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530.0</w:t>
            </w:r>
          </w:p>
        </w:tc>
        <w:tc>
          <w:tcPr>
            <w:tcW w:w="992"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513.7</w:t>
            </w:r>
          </w:p>
        </w:tc>
        <w:tc>
          <w:tcPr>
            <w:tcW w:w="991"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507.2</w:t>
            </w:r>
          </w:p>
        </w:tc>
        <w:tc>
          <w:tcPr>
            <w:tcW w:w="1316"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98.7</w:t>
            </w:r>
          </w:p>
        </w:tc>
        <w:tc>
          <w:tcPr>
            <w:tcW w:w="1440"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6.5</w:t>
            </w:r>
          </w:p>
        </w:tc>
        <w:tc>
          <w:tcPr>
            <w:tcW w:w="1493" w:type="dxa"/>
            <w:vAlign w:val="bottom"/>
          </w:tcPr>
          <w:p w:rsidR="001C411D" w:rsidRPr="001F63BA" w:rsidRDefault="001C411D" w:rsidP="009E58C9">
            <w:pPr>
              <w:spacing w:line="256" w:lineRule="auto"/>
              <w:jc w:val="right"/>
              <w:rPr>
                <w:rFonts w:ascii="GHEA Grapalat" w:hAnsi="GHEA Grapalat"/>
                <w:sz w:val="18"/>
                <w:szCs w:val="18"/>
              </w:rPr>
            </w:pPr>
            <w:r w:rsidRPr="001F63BA">
              <w:rPr>
                <w:rFonts w:ascii="GHEA Grapalat" w:hAnsi="GHEA Grapalat"/>
                <w:sz w:val="18"/>
                <w:szCs w:val="18"/>
              </w:rPr>
              <w:t>(22.8)</w:t>
            </w:r>
          </w:p>
        </w:tc>
      </w:tr>
    </w:tbl>
    <w:p w:rsidR="001C411D" w:rsidRPr="001F63BA" w:rsidRDefault="001C411D" w:rsidP="008E438A">
      <w:pPr>
        <w:spacing w:line="360" w:lineRule="auto"/>
        <w:ind w:firstLine="561"/>
        <w:jc w:val="both"/>
        <w:rPr>
          <w:rFonts w:ascii="GHEA Grapalat" w:hAnsi="GHEA Grapalat" w:cs="GHEA Grapalat"/>
          <w:sz w:val="22"/>
          <w:szCs w:val="22"/>
        </w:rPr>
      </w:pPr>
    </w:p>
    <w:p w:rsidR="001C411D" w:rsidRPr="001F63BA" w:rsidRDefault="001C411D" w:rsidP="001761EA">
      <w:pPr>
        <w:spacing w:line="360" w:lineRule="auto"/>
        <w:ind w:firstLine="561"/>
        <w:jc w:val="both"/>
        <w:rPr>
          <w:rFonts w:ascii="GHEA Grapalat" w:hAnsi="GHEA Grapalat" w:cs="GHEA Grapalat"/>
          <w:sz w:val="22"/>
          <w:szCs w:val="22"/>
          <w:lang w:val="en-US"/>
        </w:rPr>
      </w:pPr>
      <w:r w:rsidRPr="001F63BA">
        <w:rPr>
          <w:rFonts w:ascii="GHEA Grapalat" w:hAnsi="GHEA Grapalat" w:cs="GHEA Grapalat"/>
          <w:i/>
          <w:sz w:val="22"/>
          <w:szCs w:val="22"/>
          <w:u w:val="single"/>
        </w:rPr>
        <w:lastRenderedPageBreak/>
        <w:t xml:space="preserve">ՀՀ </w:t>
      </w:r>
      <w:r w:rsidRPr="001F63BA">
        <w:rPr>
          <w:rFonts w:ascii="GHEA Grapalat" w:hAnsi="GHEA Grapalat"/>
          <w:i/>
          <w:sz w:val="22"/>
          <w:szCs w:val="22"/>
          <w:u w:val="single"/>
        </w:rPr>
        <w:t>կառավարության</w:t>
      </w:r>
      <w:r w:rsidRPr="001F63BA">
        <w:rPr>
          <w:rFonts w:ascii="GHEA Grapalat" w:hAnsi="GHEA Grapalat" w:cs="GHEA Grapalat"/>
          <w:sz w:val="22"/>
          <w:szCs w:val="22"/>
        </w:rPr>
        <w:t xml:space="preserve"> պատասխանատվությամբ նախատեսված «ՀՀ կառա</w:t>
      </w:r>
      <w:r w:rsidRPr="001F63BA">
        <w:rPr>
          <w:rFonts w:ascii="GHEA Grapalat" w:hAnsi="GHEA Grapalat" w:cs="GHEA Grapalat"/>
          <w:sz w:val="22"/>
          <w:szCs w:val="22"/>
        </w:rPr>
        <w:softHyphen/>
        <w:t>վա</w:t>
      </w:r>
      <w:r w:rsidRPr="001F63BA">
        <w:rPr>
          <w:rFonts w:ascii="GHEA Grapalat" w:hAnsi="GHEA Grapalat" w:cs="GHEA Grapalat"/>
          <w:sz w:val="22"/>
          <w:szCs w:val="22"/>
        </w:rPr>
        <w:softHyphen/>
        <w:t>րության պահուստային ֆոնդ», «Արտասահ</w:t>
      </w:r>
      <w:r w:rsidRPr="001F63BA">
        <w:rPr>
          <w:rFonts w:ascii="GHEA Grapalat" w:hAnsi="GHEA Grapalat" w:cs="GHEA Grapalat"/>
          <w:sz w:val="22"/>
          <w:szCs w:val="22"/>
        </w:rPr>
        <w:softHyphen/>
        <w:t>մանյան պատվիրա</w:t>
      </w:r>
      <w:r w:rsidRPr="001F63BA">
        <w:rPr>
          <w:rFonts w:ascii="GHEA Grapalat" w:hAnsi="GHEA Grapalat" w:cs="GHEA Grapalat"/>
          <w:sz w:val="22"/>
          <w:szCs w:val="22"/>
        </w:rPr>
        <w:softHyphen/>
        <w:t>կու</w:t>
      </w:r>
      <w:r w:rsidRPr="001F63BA">
        <w:rPr>
          <w:rFonts w:ascii="GHEA Grapalat" w:hAnsi="GHEA Grapalat" w:cs="GHEA Grapalat"/>
          <w:sz w:val="22"/>
          <w:szCs w:val="22"/>
        </w:rPr>
        <w:softHyphen/>
        <w:t>թյունների ընդունելությունների և պաշտոնական գործուղումների կազմակերպում» և «Հա</w:t>
      </w:r>
      <w:r w:rsidRPr="001F63BA">
        <w:rPr>
          <w:rFonts w:ascii="GHEA Grapalat" w:hAnsi="GHEA Grapalat" w:cs="GHEA Grapalat"/>
          <w:sz w:val="22"/>
          <w:szCs w:val="22"/>
        </w:rPr>
        <w:softHyphen/>
        <w:t>սարակության և պե</w:t>
      </w:r>
      <w:r w:rsidRPr="001F63BA">
        <w:rPr>
          <w:rFonts w:ascii="GHEA Grapalat" w:hAnsi="GHEA Grapalat" w:cs="GHEA Grapalat"/>
          <w:sz w:val="22"/>
          <w:szCs w:val="22"/>
        </w:rPr>
        <w:softHyphen/>
        <w:t>տության հանդեպ հատուկ ծառա</w:t>
      </w:r>
      <w:r w:rsidRPr="001F63BA">
        <w:rPr>
          <w:rFonts w:ascii="GHEA Grapalat" w:hAnsi="GHEA Grapalat" w:cs="GHEA Grapalat"/>
          <w:sz w:val="22"/>
          <w:szCs w:val="22"/>
        </w:rPr>
        <w:softHyphen/>
        <w:t>յություններ ունեցած քա</w:t>
      </w:r>
      <w:r w:rsidRPr="001F63BA">
        <w:rPr>
          <w:rFonts w:ascii="GHEA Grapalat" w:hAnsi="GHEA Grapalat" w:cs="GHEA Grapalat"/>
          <w:sz w:val="22"/>
          <w:szCs w:val="22"/>
        </w:rPr>
        <w:softHyphen/>
        <w:t>ղա</w:t>
      </w:r>
      <w:r w:rsidRPr="001F63BA">
        <w:rPr>
          <w:rFonts w:ascii="GHEA Grapalat" w:hAnsi="GHEA Grapalat" w:cs="GHEA Grapalat"/>
          <w:sz w:val="22"/>
          <w:szCs w:val="22"/>
        </w:rPr>
        <w:softHyphen/>
        <w:t>քա</w:t>
      </w:r>
      <w:r w:rsidRPr="001F63BA">
        <w:rPr>
          <w:rFonts w:ascii="GHEA Grapalat" w:hAnsi="GHEA Grapalat" w:cs="GHEA Grapalat"/>
          <w:sz w:val="22"/>
          <w:szCs w:val="22"/>
        </w:rPr>
        <w:softHyphen/>
        <w:t>ցի</w:t>
      </w:r>
      <w:r w:rsidRPr="001F63BA">
        <w:rPr>
          <w:rFonts w:ascii="GHEA Grapalat" w:hAnsi="GHEA Grapalat" w:cs="GHEA Grapalat"/>
          <w:sz w:val="22"/>
          <w:szCs w:val="22"/>
        </w:rPr>
        <w:softHyphen/>
        <w:t>նե</w:t>
      </w:r>
      <w:r w:rsidRPr="001F63BA">
        <w:rPr>
          <w:rFonts w:ascii="GHEA Grapalat" w:hAnsi="GHEA Grapalat" w:cs="GHEA Grapalat"/>
          <w:sz w:val="22"/>
          <w:szCs w:val="22"/>
        </w:rPr>
        <w:softHyphen/>
        <w:t>րի մահվան դեպքում արարողակարգային միջոցառումների կազմակերպում» ծրագրերի գծով ՀՀ 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 պետական բյուջեի մասին ՀՀ օրենքով նախատեսվել էին ընդհանուր առմամբ շուրջ </w:t>
      </w:r>
      <w:r w:rsidRPr="001F63BA">
        <w:rPr>
          <w:rFonts w:ascii="GHEA Grapalat" w:hAnsi="GHEA Grapalat" w:cs="GHEA Grapalat"/>
          <w:sz w:val="22"/>
          <w:szCs w:val="22"/>
          <w:lang w:val="en-US"/>
        </w:rPr>
        <w:t>69</w:t>
      </w:r>
      <w:r w:rsidRPr="001F63BA">
        <w:rPr>
          <w:rFonts w:ascii="GHEA Grapalat" w:hAnsi="GHEA Grapalat" w:cs="GHEA Grapalat"/>
          <w:sz w:val="22"/>
          <w:szCs w:val="22"/>
        </w:rPr>
        <w:t xml:space="preserve"> մլրդ դրամի միջոցներ: </w:t>
      </w:r>
      <w:r w:rsidR="00166616" w:rsidRPr="001F63BA">
        <w:rPr>
          <w:rFonts w:ascii="GHEA Grapalat" w:hAnsi="GHEA Grapalat" w:cs="GHEA Grapalat"/>
          <w:sz w:val="22"/>
          <w:szCs w:val="22"/>
        </w:rPr>
        <w:t>Կառավարությ</w:t>
      </w:r>
      <w:r w:rsidRPr="001F63BA">
        <w:rPr>
          <w:rFonts w:ascii="GHEA Grapalat" w:hAnsi="GHEA Grapalat" w:cs="GHEA Grapalat"/>
          <w:sz w:val="22"/>
          <w:szCs w:val="22"/>
        </w:rPr>
        <w:t xml:space="preserve">ան լիազորությունների շրջանակներում կատարված փոփոխությունների և վերաբաշխումների արդյունքում նշված ծրագրերին հատկացված միջոցները սահմանված կարգով ուղղվել են ՀՀ 2022 թվականի պետական բյուջեով նախատեսված ելքերի լրացուցիչ ֆինանսավորմանը՝ հատկացումների չափով ավելացնելով համապատասխան ծրագրերի և միջոցառումների գծով նախատեսված գումարները, ինչպես նաև բյուջեով չնախատեսված ելքերի ֆինանսավորմանը՝ բյուջետային ծախսերի ծրագրային դասակարգման մեջ ավելացնելով նոր ծրագրեր և/կամ միջոցառումներ՝ ելնելով այդ ելքերի ուղղություններից, նպատակներից, ակնկալվող արդյունքներից և դրանց համար պատասխանատու պետական մարմիններից: </w:t>
      </w:r>
      <w:r w:rsidR="00166616" w:rsidRPr="001F63BA">
        <w:rPr>
          <w:rFonts w:ascii="GHEA Grapalat" w:hAnsi="GHEA Grapalat" w:cs="GHEA Grapalat"/>
          <w:sz w:val="22"/>
          <w:szCs w:val="22"/>
        </w:rPr>
        <w:t>Կառավարությ</w:t>
      </w:r>
      <w:r w:rsidRPr="001F63BA">
        <w:rPr>
          <w:rFonts w:ascii="GHEA Grapalat" w:hAnsi="GHEA Grapalat" w:cs="GHEA Grapalat"/>
          <w:sz w:val="22"/>
          <w:szCs w:val="22"/>
        </w:rPr>
        <w:t>ան լիազորությունների շրջանակներում կատարված փոփոխությունների և վերոհիշյալ սկզբունքով կատարվ</w:t>
      </w:r>
      <w:r w:rsidR="00166616" w:rsidRPr="001F63BA">
        <w:rPr>
          <w:rFonts w:ascii="GHEA Grapalat" w:hAnsi="GHEA Grapalat" w:cs="GHEA Grapalat"/>
          <w:sz w:val="22"/>
          <w:szCs w:val="22"/>
        </w:rPr>
        <w:t>ած վերաբաշխումների արդյունքում Կառավարությ</w:t>
      </w:r>
      <w:r w:rsidRPr="001F63BA">
        <w:rPr>
          <w:rFonts w:ascii="GHEA Grapalat" w:hAnsi="GHEA Grapalat" w:cs="GHEA Grapalat"/>
          <w:sz w:val="22"/>
          <w:szCs w:val="22"/>
        </w:rPr>
        <w:t>ան պատասխանատվության ներքո գտնվող վերոհիշյալ ծրագրերի շրջանակներում չօգտագործված միջոցները կազմել են շուրջ 2</w:t>
      </w:r>
      <w:r w:rsidRPr="001F63BA">
        <w:rPr>
          <w:rFonts w:ascii="GHEA Grapalat" w:hAnsi="GHEA Grapalat" w:cs="GHEA Grapalat"/>
          <w:sz w:val="22"/>
          <w:szCs w:val="22"/>
          <w:lang w:val="en-US"/>
        </w:rPr>
        <w:t>.1</w:t>
      </w:r>
      <w:r w:rsidRPr="001F63BA">
        <w:rPr>
          <w:rFonts w:ascii="GHEA Grapalat" w:hAnsi="GHEA Grapalat" w:cs="GHEA Grapalat"/>
          <w:sz w:val="22"/>
          <w:szCs w:val="22"/>
        </w:rPr>
        <w:t xml:space="preserve"> մլրդ դրամ: Մասնավորապես՝ «ՀՀ կառա</w:t>
      </w:r>
      <w:r w:rsidRPr="001F63BA">
        <w:rPr>
          <w:rFonts w:ascii="GHEA Grapalat" w:hAnsi="GHEA Grapalat" w:cs="GHEA Grapalat"/>
          <w:sz w:val="22"/>
          <w:szCs w:val="22"/>
        </w:rPr>
        <w:softHyphen/>
        <w:t>վա</w:t>
      </w:r>
      <w:r w:rsidRPr="001F63BA">
        <w:rPr>
          <w:rFonts w:ascii="GHEA Grapalat" w:hAnsi="GHEA Grapalat" w:cs="GHEA Grapalat"/>
          <w:sz w:val="22"/>
          <w:szCs w:val="22"/>
        </w:rPr>
        <w:softHyphen/>
        <w:t>րության պահուստային ֆոնդ» ծրագրին</w:t>
      </w:r>
      <w:r w:rsidRPr="001F63BA">
        <w:rPr>
          <w:rStyle w:val="FootnoteReference"/>
          <w:rFonts w:ascii="GHEA Grapalat" w:hAnsi="GHEA Grapalat"/>
          <w:sz w:val="22"/>
          <w:szCs w:val="22"/>
        </w:rPr>
        <w:footnoteReference w:id="41"/>
      </w:r>
      <w:r w:rsidRPr="001F63BA">
        <w:rPr>
          <w:rFonts w:ascii="GHEA Grapalat" w:hAnsi="GHEA Grapalat" w:cs="GHEA Grapalat"/>
          <w:sz w:val="22"/>
          <w:szCs w:val="22"/>
        </w:rPr>
        <w:t xml:space="preserve"> հատկացված միջոցներից չի օգտագործվել </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մլրդ դրամը, «Արտասահ</w:t>
      </w:r>
      <w:r w:rsidRPr="001F63BA">
        <w:rPr>
          <w:rFonts w:ascii="GHEA Grapalat" w:hAnsi="GHEA Grapalat" w:cs="GHEA Grapalat"/>
          <w:sz w:val="22"/>
          <w:szCs w:val="22"/>
        </w:rPr>
        <w:softHyphen/>
        <w:t>մանյան պատվիրակությունների ընդունելությունների և պաշտոնական գործուղումների կազմակերպում» ծրագրին հատկացված միջոցներից՝ 2</w:t>
      </w:r>
      <w:r w:rsidRPr="001F63BA">
        <w:rPr>
          <w:rFonts w:ascii="GHEA Grapalat" w:hAnsi="GHEA Grapalat" w:cs="GHEA Grapalat"/>
          <w:sz w:val="22"/>
          <w:szCs w:val="22"/>
          <w:lang w:val="en-US"/>
        </w:rPr>
        <w:t>3.4</w:t>
      </w:r>
      <w:r w:rsidRPr="001F63BA">
        <w:rPr>
          <w:rFonts w:ascii="GHEA Grapalat" w:hAnsi="GHEA Grapalat" w:cs="GHEA Grapalat"/>
          <w:sz w:val="22"/>
          <w:szCs w:val="22"/>
        </w:rPr>
        <w:t xml:space="preserve"> մլն դրամը, «Հա</w:t>
      </w:r>
      <w:r w:rsidRPr="001F63BA">
        <w:rPr>
          <w:rFonts w:ascii="GHEA Grapalat" w:hAnsi="GHEA Grapalat" w:cs="GHEA Grapalat"/>
          <w:sz w:val="22"/>
          <w:szCs w:val="22"/>
        </w:rPr>
        <w:softHyphen/>
        <w:t>սարակության և պե</w:t>
      </w:r>
      <w:r w:rsidRPr="001F63BA">
        <w:rPr>
          <w:rFonts w:ascii="GHEA Grapalat" w:hAnsi="GHEA Grapalat" w:cs="GHEA Grapalat"/>
          <w:sz w:val="22"/>
          <w:szCs w:val="22"/>
        </w:rPr>
        <w:softHyphen/>
        <w:t>տության հանդեպ հատուկ ծառա</w:t>
      </w:r>
      <w:r w:rsidRPr="001F63BA">
        <w:rPr>
          <w:rFonts w:ascii="GHEA Grapalat" w:hAnsi="GHEA Grapalat" w:cs="GHEA Grapalat"/>
          <w:sz w:val="22"/>
          <w:szCs w:val="22"/>
        </w:rPr>
        <w:softHyphen/>
        <w:t>յություններ ունեցած քա</w:t>
      </w:r>
      <w:r w:rsidRPr="001F63BA">
        <w:rPr>
          <w:rFonts w:ascii="GHEA Grapalat" w:hAnsi="GHEA Grapalat" w:cs="GHEA Grapalat"/>
          <w:sz w:val="22"/>
          <w:szCs w:val="22"/>
        </w:rPr>
        <w:softHyphen/>
        <w:t>ղա</w:t>
      </w:r>
      <w:r w:rsidRPr="001F63BA">
        <w:rPr>
          <w:rFonts w:ascii="GHEA Grapalat" w:hAnsi="GHEA Grapalat" w:cs="GHEA Grapalat"/>
          <w:sz w:val="22"/>
          <w:szCs w:val="22"/>
        </w:rPr>
        <w:softHyphen/>
        <w:t>քա</w:t>
      </w:r>
      <w:r w:rsidRPr="001F63BA">
        <w:rPr>
          <w:rFonts w:ascii="GHEA Grapalat" w:hAnsi="GHEA Grapalat" w:cs="GHEA Grapalat"/>
          <w:sz w:val="22"/>
          <w:szCs w:val="22"/>
        </w:rPr>
        <w:softHyphen/>
        <w:t>ցի</w:t>
      </w:r>
      <w:r w:rsidRPr="001F63BA">
        <w:rPr>
          <w:rFonts w:ascii="GHEA Grapalat" w:hAnsi="GHEA Grapalat" w:cs="GHEA Grapalat"/>
          <w:sz w:val="22"/>
          <w:szCs w:val="22"/>
        </w:rPr>
        <w:softHyphen/>
        <w:t>նե</w:t>
      </w:r>
      <w:r w:rsidRPr="001F63BA">
        <w:rPr>
          <w:rFonts w:ascii="GHEA Grapalat" w:hAnsi="GHEA Grapalat" w:cs="GHEA Grapalat"/>
          <w:sz w:val="22"/>
          <w:szCs w:val="22"/>
        </w:rPr>
        <w:softHyphen/>
        <w:t xml:space="preserve">րի մահվան դեպքում արարողակարգային միջոցառումների կազմակերպում» ծրագրին հատկացված միջոցներից՝ </w:t>
      </w:r>
      <w:r w:rsidRPr="001F63BA">
        <w:rPr>
          <w:rFonts w:ascii="GHEA Grapalat" w:hAnsi="GHEA Grapalat" w:cs="GHEA Grapalat"/>
          <w:sz w:val="22"/>
          <w:szCs w:val="22"/>
          <w:lang w:val="en-US"/>
        </w:rPr>
        <w:t>2</w:t>
      </w:r>
      <w:r w:rsidRPr="001F63BA">
        <w:rPr>
          <w:rFonts w:ascii="GHEA Grapalat" w:hAnsi="GHEA Grapalat" w:cs="GHEA Grapalat"/>
          <w:sz w:val="22"/>
          <w:szCs w:val="22"/>
        </w:rPr>
        <w:t>6.2 մլն դրամը:</w:t>
      </w:r>
    </w:p>
    <w:p w:rsidR="001C411D" w:rsidRPr="001F63BA" w:rsidRDefault="001C411D" w:rsidP="00146D77">
      <w:pPr>
        <w:pStyle w:val="Heading4"/>
        <w:keepNext/>
        <w:widowControl w:val="0"/>
        <w:autoSpaceDE w:val="0"/>
        <w:autoSpaceDN w:val="0"/>
        <w:adjustRightInd w:val="0"/>
        <w:spacing w:before="360" w:after="240" w:line="240" w:lineRule="auto"/>
        <w:ind w:left="0"/>
        <w:jc w:val="both"/>
        <w:rPr>
          <w:bCs/>
        </w:rPr>
      </w:pPr>
      <w:r w:rsidRPr="001F63BA">
        <w:rPr>
          <w:bCs/>
        </w:rPr>
        <w:t>Հույժ գաղտնի</w:t>
      </w:r>
      <w:bookmarkEnd w:id="234"/>
      <w:bookmarkEnd w:id="235"/>
      <w:bookmarkEnd w:id="236"/>
      <w:bookmarkEnd w:id="237"/>
    </w:p>
    <w:p w:rsidR="001C411D" w:rsidRPr="001F63BA" w:rsidRDefault="001C411D" w:rsidP="00146D77">
      <w:pPr>
        <w:rPr>
          <w:lang w:val="de-AT"/>
        </w:rPr>
        <w:sectPr w:rsidR="001C411D" w:rsidRPr="001F63BA" w:rsidSect="009D5C15">
          <w:headerReference w:type="default" r:id="rId84"/>
          <w:pgSz w:w="11909" w:h="16834" w:code="9"/>
          <w:pgMar w:top="1134" w:right="567" w:bottom="567" w:left="1134" w:header="720" w:footer="397" w:gutter="0"/>
          <w:cols w:space="720"/>
          <w:docGrid w:linePitch="360"/>
        </w:sectPr>
      </w:pPr>
    </w:p>
    <w:p w:rsidR="001C411D" w:rsidRPr="001F63BA" w:rsidRDefault="001C411D" w:rsidP="00DD39CD">
      <w:pPr>
        <w:pStyle w:val="Heading1"/>
        <w:spacing w:line="480" w:lineRule="auto"/>
        <w:rPr>
          <w:rFonts w:ascii="GHEA Grapalat" w:hAnsi="GHEA Grapalat" w:cs="Sylfaen"/>
          <w:sz w:val="22"/>
          <w:szCs w:val="22"/>
        </w:rPr>
      </w:pPr>
      <w:bookmarkStart w:id="261" w:name="_Toc291747250"/>
      <w:bookmarkStart w:id="262" w:name="_Toc291747579"/>
      <w:bookmarkStart w:id="263" w:name="_Toc291747949"/>
      <w:bookmarkStart w:id="264" w:name="_Toc322445737"/>
      <w:bookmarkStart w:id="265" w:name="_Toc322445810"/>
      <w:bookmarkStart w:id="266" w:name="_Toc353882560"/>
      <w:bookmarkStart w:id="267" w:name="_Toc354657517"/>
      <w:bookmarkStart w:id="268" w:name="_Toc354658871"/>
      <w:bookmarkStart w:id="269" w:name="_Toc385937101"/>
      <w:bookmarkStart w:id="270" w:name="_Toc417292114"/>
      <w:bookmarkStart w:id="271" w:name="_Toc448908393"/>
      <w:bookmarkStart w:id="272" w:name="_Toc448912570"/>
      <w:bookmarkStart w:id="273" w:name="_Toc448913299"/>
      <w:bookmarkStart w:id="274" w:name="_Toc511744986"/>
      <w:bookmarkStart w:id="275" w:name="_Toc6389345"/>
      <w:bookmarkStart w:id="276" w:name="_Toc69232236"/>
      <w:bookmarkStart w:id="277" w:name="_Toc132204242"/>
      <w:r w:rsidRPr="001F63BA">
        <w:rPr>
          <w:rFonts w:ascii="GHEA Grapalat" w:hAnsi="GHEA Grapalat" w:cs="Sylfaen"/>
          <w:sz w:val="22"/>
          <w:szCs w:val="22"/>
        </w:rPr>
        <w:lastRenderedPageBreak/>
        <w:t>ՀԱՅԱՍՏԱՆԻ ՀԱՆՐԱՊԵՏՈՒԹՅԱՆ 202</w:t>
      </w:r>
      <w:r w:rsidRPr="001F63BA">
        <w:rPr>
          <w:rFonts w:ascii="GHEA Grapalat" w:hAnsi="GHEA Grapalat" w:cs="Sylfaen"/>
          <w:sz w:val="22"/>
          <w:szCs w:val="22"/>
          <w:lang w:val="en-US"/>
        </w:rPr>
        <w:t>2</w:t>
      </w:r>
      <w:r w:rsidRPr="001F63BA">
        <w:rPr>
          <w:rFonts w:ascii="GHEA Grapalat" w:hAnsi="GHEA Grapalat" w:cs="Sylfaen"/>
          <w:sz w:val="22"/>
          <w:szCs w:val="22"/>
        </w:rPr>
        <w:t xml:space="preserve"> ԹՎԱԿԱՆԻ ՊԵՏԱԿԱՆ ԲՅՈՒՋԵԻ ՊԱԿԱՍՈՒՐԴԸ</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w:t>
      </w:r>
      <w:r w:rsidRPr="001F63BA">
        <w:rPr>
          <w:rFonts w:ascii="GHEA Grapalat" w:hAnsi="GHEA Grapalat" w:cs="GHEA Grapalat"/>
          <w:sz w:val="22"/>
          <w:szCs w:val="22"/>
          <w:lang w:val="en-US"/>
        </w:rPr>
        <w:t>ն</w:t>
      </w:r>
      <w:r w:rsidRPr="001F63BA">
        <w:rPr>
          <w:rFonts w:ascii="GHEA Grapalat" w:hAnsi="GHEA Grapalat" w:cs="GHEA Grapalat"/>
          <w:sz w:val="22"/>
          <w:szCs w:val="22"/>
        </w:rPr>
        <w:t xml:space="preserve"> ՀՀ պետական բյուջեն կատարվել է </w:t>
      </w:r>
      <w:r w:rsidRPr="001F63BA">
        <w:rPr>
          <w:rFonts w:ascii="GHEA Grapalat" w:hAnsi="GHEA Grapalat" w:cs="GHEA Grapalat"/>
          <w:sz w:val="22"/>
          <w:szCs w:val="22"/>
          <w:lang w:val="en-US"/>
        </w:rPr>
        <w:t>179.5</w:t>
      </w:r>
      <w:r w:rsidRPr="001F63BA">
        <w:rPr>
          <w:rFonts w:ascii="Courier New" w:hAnsi="Courier New" w:cs="Courier New"/>
          <w:sz w:val="22"/>
          <w:szCs w:val="22"/>
        </w:rPr>
        <w:t> </w:t>
      </w:r>
      <w:r w:rsidRPr="001F63BA">
        <w:rPr>
          <w:rFonts w:ascii="GHEA Grapalat" w:hAnsi="GHEA Grapalat" w:cs="GHEA Grapalat"/>
          <w:sz w:val="22"/>
          <w:szCs w:val="22"/>
        </w:rPr>
        <w:t xml:space="preserve">մլրդ դրամ պակասուրդով՝ կազմելով ծրագրի </w:t>
      </w:r>
      <w:r w:rsidRPr="001F63BA">
        <w:rPr>
          <w:rFonts w:ascii="GHEA Grapalat" w:hAnsi="GHEA Grapalat" w:cs="GHEA Grapalat"/>
          <w:sz w:val="22"/>
          <w:szCs w:val="22"/>
          <w:lang w:val="en-US"/>
        </w:rPr>
        <w:t>78.1</w:t>
      </w:r>
      <w:r w:rsidRPr="001F63BA">
        <w:rPr>
          <w:rFonts w:ascii="GHEA Grapalat" w:hAnsi="GHEA Grapalat" w:cs="GHEA Grapalat"/>
          <w:sz w:val="22"/>
          <w:szCs w:val="22"/>
        </w:rPr>
        <w:t xml:space="preserve">%-ը և </w:t>
      </w:r>
      <w:r w:rsidRPr="001F63BA">
        <w:rPr>
          <w:rFonts w:ascii="GHEA Grapalat" w:hAnsi="GHEA Grapalat" w:cs="GHEA Grapalat"/>
          <w:sz w:val="22"/>
          <w:szCs w:val="22"/>
          <w:lang w:val="en-US"/>
        </w:rPr>
        <w:t>4</w:t>
      </w:r>
      <w:r w:rsidRPr="001F63BA">
        <w:rPr>
          <w:rFonts w:ascii="GHEA Grapalat" w:hAnsi="GHEA Grapalat" w:cs="GHEA Grapalat"/>
          <w:sz w:val="22"/>
          <w:szCs w:val="22"/>
        </w:rPr>
        <w:t>4%-ով (</w:t>
      </w:r>
      <w:r w:rsidRPr="001F63BA">
        <w:rPr>
          <w:rFonts w:ascii="GHEA Grapalat" w:hAnsi="GHEA Grapalat" w:cs="GHEA Grapalat"/>
          <w:sz w:val="22"/>
          <w:szCs w:val="22"/>
          <w:lang w:val="en-US"/>
        </w:rPr>
        <w:t>140.9</w:t>
      </w:r>
      <w:r w:rsidRPr="001F63BA">
        <w:rPr>
          <w:rFonts w:ascii="GHEA Grapalat" w:hAnsi="GHEA Grapalat" w:cs="GHEA Grapalat"/>
          <w:sz w:val="22"/>
          <w:szCs w:val="22"/>
        </w:rPr>
        <w:t xml:space="preserve"> մլրդ դրամով) զիջելով նախորդ տարվա ցուցանիշը: Ծրագրի համեմատ պակասուրդի ցածր մակարդակը հիմնականում պայմանավորված է</w:t>
      </w:r>
      <w:r w:rsidRPr="001F63BA">
        <w:rPr>
          <w:rFonts w:ascii="GHEA Grapalat" w:hAnsi="GHEA Grapalat" w:cs="GHEA Grapalat"/>
          <w:sz w:val="22"/>
          <w:szCs w:val="22"/>
          <w:lang w:val="en-US"/>
        </w:rPr>
        <w:t xml:space="preserve"> եկամուտների՝ ծրագրվածից ավել հավաքագրման և</w:t>
      </w:r>
      <w:r w:rsidRPr="001F63BA">
        <w:rPr>
          <w:rFonts w:ascii="GHEA Grapalat" w:hAnsi="GHEA Grapalat" w:cs="GHEA Grapalat"/>
          <w:sz w:val="22"/>
          <w:szCs w:val="22"/>
        </w:rPr>
        <w:t xml:space="preserve"> ծախսերի</w:t>
      </w:r>
      <w:r w:rsidRPr="001F63BA">
        <w:rPr>
          <w:rFonts w:ascii="GHEA Grapalat" w:hAnsi="GHEA Grapalat" w:cs="GHEA Grapalat"/>
          <w:sz w:val="22"/>
          <w:szCs w:val="22"/>
          <w:lang w:val="en-US"/>
        </w:rPr>
        <w:t xml:space="preserve"> համեմատաբար ցածր</w:t>
      </w:r>
      <w:r w:rsidRPr="001F63BA">
        <w:rPr>
          <w:rFonts w:ascii="GHEA Grapalat" w:hAnsi="GHEA Grapalat" w:cs="GHEA Grapalat"/>
          <w:sz w:val="22"/>
          <w:szCs w:val="22"/>
        </w:rPr>
        <w:t xml:space="preserve"> կատարողական</w:t>
      </w:r>
      <w:r w:rsidRPr="001F63BA">
        <w:rPr>
          <w:rFonts w:ascii="GHEA Grapalat" w:hAnsi="GHEA Grapalat" w:cs="GHEA Grapalat"/>
          <w:sz w:val="22"/>
          <w:szCs w:val="22"/>
          <w:lang w:val="en-US"/>
        </w:rPr>
        <w:t>ով</w:t>
      </w:r>
      <w:r w:rsidRPr="001F63BA">
        <w:rPr>
          <w:rFonts w:ascii="GHEA Grapalat" w:hAnsi="GHEA Grapalat" w:cs="GHEA Grapalat"/>
          <w:sz w:val="22"/>
          <w:szCs w:val="22"/>
        </w:rPr>
        <w:t>, որ</w:t>
      </w:r>
      <w:r w:rsidRPr="001F63BA">
        <w:rPr>
          <w:rFonts w:ascii="GHEA Grapalat" w:hAnsi="GHEA Grapalat" w:cs="GHEA Grapalat"/>
          <w:sz w:val="22"/>
          <w:szCs w:val="22"/>
          <w:lang w:val="en-US"/>
        </w:rPr>
        <w:t>ի</w:t>
      </w:r>
      <w:r w:rsidRPr="001F63BA">
        <w:rPr>
          <w:rFonts w:ascii="GHEA Grapalat" w:hAnsi="GHEA Grapalat" w:cs="GHEA Grapalat"/>
          <w:sz w:val="22"/>
          <w:szCs w:val="22"/>
        </w:rPr>
        <w:t xml:space="preserve"> արդյունքում ֆինանսավորման ներքին աղբյուրներում նախատեսված</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բյուջեի ազատ միջոցներ</w:t>
      </w:r>
      <w:r w:rsidRPr="001F63BA">
        <w:rPr>
          <w:rFonts w:ascii="GHEA Grapalat" w:hAnsi="GHEA Grapalat" w:cs="GHEA Grapalat"/>
          <w:sz w:val="22"/>
          <w:szCs w:val="22"/>
          <w:lang w:val="en-US"/>
        </w:rPr>
        <w:t>ից</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օգտագործվ</w:t>
      </w:r>
      <w:r w:rsidRPr="001F63BA">
        <w:rPr>
          <w:rFonts w:ascii="GHEA Grapalat" w:hAnsi="GHEA Grapalat" w:cs="GHEA Grapalat"/>
          <w:sz w:val="22"/>
          <w:szCs w:val="22"/>
        </w:rPr>
        <w:t xml:space="preserve">ել </w:t>
      </w:r>
      <w:r w:rsidRPr="001F63BA">
        <w:rPr>
          <w:rFonts w:ascii="GHEA Grapalat" w:hAnsi="GHEA Grapalat" w:cs="GHEA Grapalat"/>
          <w:sz w:val="22"/>
          <w:szCs w:val="22"/>
          <w:lang w:val="en-US"/>
        </w:rPr>
        <w:t xml:space="preserve">է 20.2 մլրդ դրամ՝ </w:t>
      </w:r>
      <w:r w:rsidRPr="001F63BA">
        <w:rPr>
          <w:rFonts w:ascii="GHEA Grapalat" w:hAnsi="GHEA Grapalat" w:cs="GHEA Grapalat"/>
          <w:sz w:val="22"/>
          <w:szCs w:val="22"/>
        </w:rPr>
        <w:t xml:space="preserve">նախատեսված </w:t>
      </w:r>
      <w:r w:rsidRPr="001F63BA">
        <w:rPr>
          <w:rFonts w:ascii="GHEA Grapalat" w:hAnsi="GHEA Grapalat" w:cs="GHEA Grapalat"/>
          <w:sz w:val="22"/>
          <w:szCs w:val="22"/>
          <w:lang w:val="en-US"/>
        </w:rPr>
        <w:t xml:space="preserve">41.5 </w:t>
      </w:r>
      <w:r w:rsidRPr="001F63BA">
        <w:rPr>
          <w:rFonts w:ascii="GHEA Grapalat" w:hAnsi="GHEA Grapalat" w:cs="GHEA Grapalat"/>
          <w:sz w:val="22"/>
          <w:szCs w:val="22"/>
        </w:rPr>
        <w:t>մլրդ դրամ</w:t>
      </w:r>
      <w:r w:rsidRPr="001F63BA">
        <w:rPr>
          <w:rFonts w:ascii="GHEA Grapalat" w:hAnsi="GHEA Grapalat" w:cs="GHEA Grapalat"/>
          <w:sz w:val="22"/>
          <w:szCs w:val="22"/>
          <w:lang w:val="en-US"/>
        </w:rPr>
        <w:t>ի փոխարեն</w:t>
      </w:r>
      <w:r w:rsidRPr="001F63BA">
        <w:rPr>
          <w:rFonts w:ascii="GHEA Grapalat" w:hAnsi="GHEA Grapalat" w:cs="GHEA Grapalat"/>
          <w:sz w:val="22"/>
          <w:szCs w:val="22"/>
        </w:rPr>
        <w:t>:</w:t>
      </w:r>
      <w:r w:rsidRPr="001F63BA">
        <w:t xml:space="preserve"> </w:t>
      </w:r>
      <w:r w:rsidRPr="001F63BA">
        <w:rPr>
          <w:rFonts w:ascii="GHEA Grapalat" w:hAnsi="GHEA Grapalat" w:cs="GHEA Grapalat"/>
          <w:sz w:val="22"/>
          <w:szCs w:val="22"/>
        </w:rPr>
        <w:t xml:space="preserve">Արտաքին աջակցությամբ իրականացվող ծրագրերի շրջանակներում </w:t>
      </w:r>
      <w:r w:rsidRPr="001F63BA">
        <w:rPr>
          <w:rFonts w:ascii="GHEA Grapalat" w:hAnsi="GHEA Grapalat" w:cs="GHEA Grapalat"/>
          <w:sz w:val="22"/>
          <w:szCs w:val="22"/>
          <w:lang w:val="en-US"/>
        </w:rPr>
        <w:t>հաշվետու տարվա ընթացքում</w:t>
      </w:r>
      <w:r w:rsidRPr="001F63BA">
        <w:rPr>
          <w:rFonts w:ascii="GHEA Grapalat" w:hAnsi="GHEA Grapalat" w:cs="GHEA Grapalat"/>
          <w:sz w:val="22"/>
          <w:szCs w:val="22"/>
        </w:rPr>
        <w:t xml:space="preserve"> ստացվել է նախատեսված վարկային միջոցների </w:t>
      </w:r>
      <w:r w:rsidRPr="001F63BA">
        <w:rPr>
          <w:rFonts w:ascii="GHEA Grapalat" w:hAnsi="GHEA Grapalat" w:cs="GHEA Grapalat"/>
          <w:sz w:val="22"/>
          <w:szCs w:val="22"/>
          <w:lang w:val="en-US"/>
        </w:rPr>
        <w:t>83</w:t>
      </w:r>
      <w:r w:rsidRPr="001F63BA">
        <w:rPr>
          <w:rFonts w:ascii="GHEA Grapalat" w:hAnsi="GHEA Grapalat" w:cs="GHEA Grapalat"/>
          <w:sz w:val="22"/>
          <w:szCs w:val="22"/>
        </w:rPr>
        <w:t xml:space="preserve">%-ը՝ </w:t>
      </w:r>
      <w:r w:rsidRPr="001F63BA">
        <w:rPr>
          <w:rFonts w:ascii="GHEA Grapalat" w:hAnsi="GHEA Grapalat" w:cs="GHEA Grapalat"/>
          <w:sz w:val="22"/>
          <w:szCs w:val="22"/>
          <w:lang w:val="en-US"/>
        </w:rPr>
        <w:t>165.8</w:t>
      </w:r>
      <w:r w:rsidRPr="001F63BA">
        <w:rPr>
          <w:rFonts w:ascii="GHEA Grapalat" w:hAnsi="GHEA Grapalat" w:cs="GHEA Grapalat"/>
          <w:sz w:val="22"/>
          <w:szCs w:val="22"/>
        </w:rPr>
        <w:t xml:space="preserve"> մլրդ դրամ:</w:t>
      </w:r>
    </w:p>
    <w:p w:rsidR="001C411D" w:rsidRPr="001F63BA" w:rsidRDefault="001C411D" w:rsidP="00BA6025">
      <w:pPr>
        <w:autoSpaceDE w:val="0"/>
        <w:autoSpaceDN w:val="0"/>
        <w:adjustRightInd w:val="0"/>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 xml:space="preserve"> ՀՀ պետական բյուջեի պակասուրդի ֆինանսավորման աղբյուրները (մլրդ դրամ)</w:t>
      </w:r>
      <w:r w:rsidRPr="001F63BA">
        <w:rPr>
          <w:rFonts w:ascii="GHEA Grapalat" w:hAnsi="GHEA Grapalat"/>
          <w:szCs w:val="20"/>
          <w:vertAlign w:val="superscript"/>
          <w:lang w:val="hy-AM"/>
        </w:rPr>
        <w:footnoteReference w:id="42"/>
      </w:r>
    </w:p>
    <w:tbl>
      <w:tblPr>
        <w:tblW w:w="10170" w:type="dxa"/>
        <w:tblLayout w:type="fixed"/>
        <w:tblLook w:val="00A0" w:firstRow="1" w:lastRow="0" w:firstColumn="1" w:lastColumn="0" w:noHBand="0" w:noVBand="0"/>
      </w:tblPr>
      <w:tblGrid>
        <w:gridCol w:w="3652"/>
        <w:gridCol w:w="1276"/>
        <w:gridCol w:w="1276"/>
        <w:gridCol w:w="1134"/>
        <w:gridCol w:w="1559"/>
        <w:gridCol w:w="1273"/>
      </w:tblGrid>
      <w:tr w:rsidR="001C411D" w:rsidRPr="001F63BA" w:rsidTr="009D2FDC">
        <w:trPr>
          <w:trHeight w:val="855"/>
        </w:trPr>
        <w:tc>
          <w:tcPr>
            <w:tcW w:w="3652"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6" w:lineRule="auto"/>
              <w:rPr>
                <w:rFonts w:ascii="GHEA Grapalat" w:hAnsi="GHEA Grapalat" w:cs="Calibri"/>
                <w:sz w:val="18"/>
                <w:szCs w:val="18"/>
              </w:rPr>
            </w:pPr>
            <w:r w:rsidRPr="001F63BA">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փաստ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ճշտված պլան</w:t>
            </w:r>
          </w:p>
        </w:tc>
        <w:tc>
          <w:tcPr>
            <w:tcW w:w="1134"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փաստ</w:t>
            </w:r>
          </w:p>
        </w:tc>
        <w:tc>
          <w:tcPr>
            <w:tcW w:w="1559"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 (%)</w:t>
            </w:r>
          </w:p>
        </w:tc>
        <w:tc>
          <w:tcPr>
            <w:tcW w:w="1273"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w:t>
            </w:r>
            <w:r w:rsidRPr="001F63BA">
              <w:rPr>
                <w:rFonts w:ascii="GHEA Grapalat" w:hAnsi="GHEA Grapalat" w:cs="Calibri"/>
                <w:b/>
                <w:bCs/>
                <w:sz w:val="18"/>
                <w:szCs w:val="18"/>
              </w:rPr>
              <w:t>ի նկատմամբ</w:t>
            </w:r>
            <w:r w:rsidRPr="001F63BA">
              <w:rPr>
                <w:rFonts w:ascii="GHEA Grapalat" w:hAnsi="GHEA Grapalat" w:cs="Calibri"/>
                <w:b/>
                <w:bCs/>
                <w:sz w:val="18"/>
                <w:szCs w:val="18"/>
                <w:lang w:val="en-US"/>
              </w:rPr>
              <w:t xml:space="preserve"> (%)</w:t>
            </w:r>
          </w:p>
        </w:tc>
      </w:tr>
      <w:tr w:rsidR="001C411D" w:rsidRPr="001F63BA" w:rsidTr="00BA6025">
        <w:trPr>
          <w:trHeight w:val="312"/>
        </w:trPr>
        <w:tc>
          <w:tcPr>
            <w:tcW w:w="3652" w:type="dxa"/>
            <w:tcBorders>
              <w:top w:val="nil"/>
              <w:left w:val="single" w:sz="4" w:space="0" w:color="auto"/>
              <w:bottom w:val="single" w:sz="4" w:space="0" w:color="auto"/>
              <w:right w:val="single" w:sz="4" w:space="0" w:color="auto"/>
            </w:tcBorders>
            <w:vAlign w:val="bottom"/>
          </w:tcPr>
          <w:p w:rsidR="001C411D" w:rsidRPr="001F63BA" w:rsidRDefault="001C411D" w:rsidP="00BA6025">
            <w:pPr>
              <w:spacing w:line="256" w:lineRule="auto"/>
              <w:rPr>
                <w:rFonts w:ascii="GHEA Grapalat" w:hAnsi="GHEA Grapalat" w:cs="Calibri"/>
                <w:b/>
                <w:bCs/>
                <w:sz w:val="18"/>
                <w:szCs w:val="18"/>
                <w:lang w:val="en-US"/>
              </w:rPr>
            </w:pPr>
            <w:r w:rsidRPr="001F63BA">
              <w:rPr>
                <w:rFonts w:ascii="GHEA Grapalat" w:hAnsi="GHEA Grapalat" w:cs="Calibri"/>
                <w:b/>
                <w:sz w:val="18"/>
                <w:szCs w:val="18"/>
              </w:rPr>
              <w:t>Դեֆիցիտ (պակասուրդ)</w:t>
            </w:r>
          </w:p>
        </w:tc>
        <w:tc>
          <w:tcPr>
            <w:tcW w:w="1276"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
                <w:bCs/>
                <w:sz w:val="18"/>
                <w:szCs w:val="18"/>
              </w:rPr>
            </w:pPr>
            <w:r w:rsidRPr="001F63BA">
              <w:rPr>
                <w:rFonts w:ascii="GHEA Grapalat" w:hAnsi="GHEA Grapalat" w:cs="Calibri"/>
                <w:b/>
                <w:bCs/>
                <w:sz w:val="18"/>
                <w:szCs w:val="18"/>
              </w:rPr>
              <w:t>320.5</w:t>
            </w:r>
          </w:p>
        </w:tc>
        <w:tc>
          <w:tcPr>
            <w:tcW w:w="1276" w:type="dxa"/>
            <w:tcBorders>
              <w:top w:val="nil"/>
              <w:left w:val="single" w:sz="4" w:space="0" w:color="auto"/>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229.8</w:t>
            </w:r>
          </w:p>
        </w:tc>
        <w:tc>
          <w:tcPr>
            <w:tcW w:w="1134"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179.5</w:t>
            </w:r>
          </w:p>
        </w:tc>
        <w:tc>
          <w:tcPr>
            <w:tcW w:w="1559"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78.1</w:t>
            </w:r>
          </w:p>
        </w:tc>
        <w:tc>
          <w:tcPr>
            <w:tcW w:w="1273"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56.0</w:t>
            </w:r>
          </w:p>
        </w:tc>
      </w:tr>
      <w:tr w:rsidR="001C411D" w:rsidRPr="001F63BA" w:rsidTr="00BA6025">
        <w:trPr>
          <w:trHeight w:val="312"/>
        </w:trPr>
        <w:tc>
          <w:tcPr>
            <w:tcW w:w="3652" w:type="dxa"/>
            <w:tcBorders>
              <w:top w:val="nil"/>
              <w:left w:val="single" w:sz="4" w:space="0" w:color="auto"/>
              <w:bottom w:val="single" w:sz="4" w:space="0" w:color="auto"/>
              <w:right w:val="single" w:sz="4" w:space="0" w:color="auto"/>
            </w:tcBorders>
            <w:vAlign w:val="bottom"/>
          </w:tcPr>
          <w:p w:rsidR="001C411D" w:rsidRPr="001F63BA" w:rsidRDefault="001C411D" w:rsidP="00BA6025">
            <w:pPr>
              <w:spacing w:line="256" w:lineRule="auto"/>
              <w:rPr>
                <w:rFonts w:ascii="GHEA Grapalat" w:hAnsi="GHEA Grapalat" w:cs="Calibri"/>
                <w:sz w:val="18"/>
                <w:szCs w:val="18"/>
              </w:rPr>
            </w:pPr>
            <w:r w:rsidRPr="001F63BA">
              <w:rPr>
                <w:rFonts w:ascii="GHEA Grapalat" w:hAnsi="GHEA Grapalat" w:cs="Calibri"/>
                <w:sz w:val="18"/>
                <w:szCs w:val="18"/>
              </w:rPr>
              <w:t>Ներքին աղբյուրներ, այդ թվում`</w:t>
            </w:r>
          </w:p>
        </w:tc>
        <w:tc>
          <w:tcPr>
            <w:tcW w:w="1276"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rPr>
            </w:pPr>
            <w:r w:rsidRPr="001F63BA">
              <w:rPr>
                <w:rFonts w:ascii="GHEA Grapalat" w:hAnsi="GHEA Grapalat" w:cs="Calibri"/>
                <w:bCs/>
                <w:sz w:val="18"/>
                <w:szCs w:val="18"/>
              </w:rPr>
              <w:t>101.2</w:t>
            </w:r>
          </w:p>
        </w:tc>
        <w:tc>
          <w:tcPr>
            <w:tcW w:w="1276" w:type="dxa"/>
            <w:tcBorders>
              <w:top w:val="nil"/>
              <w:left w:val="single" w:sz="4" w:space="0" w:color="auto"/>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308.5</w:t>
            </w:r>
          </w:p>
        </w:tc>
        <w:tc>
          <w:tcPr>
            <w:tcW w:w="1134"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288.1</w:t>
            </w:r>
          </w:p>
        </w:tc>
        <w:tc>
          <w:tcPr>
            <w:tcW w:w="1559"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93.4</w:t>
            </w:r>
          </w:p>
        </w:tc>
        <w:tc>
          <w:tcPr>
            <w:tcW w:w="1273"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284.7</w:t>
            </w:r>
          </w:p>
        </w:tc>
      </w:tr>
      <w:tr w:rsidR="001C411D" w:rsidRPr="001F63BA" w:rsidTr="00BA6025">
        <w:trPr>
          <w:trHeight w:val="312"/>
        </w:trPr>
        <w:tc>
          <w:tcPr>
            <w:tcW w:w="3652" w:type="dxa"/>
            <w:tcBorders>
              <w:top w:val="nil"/>
              <w:left w:val="single" w:sz="4" w:space="0" w:color="auto"/>
              <w:bottom w:val="single" w:sz="4" w:space="0" w:color="auto"/>
              <w:right w:val="single" w:sz="4" w:space="0" w:color="auto"/>
            </w:tcBorders>
            <w:vAlign w:val="bottom"/>
          </w:tcPr>
          <w:p w:rsidR="001C411D" w:rsidRPr="001F63BA" w:rsidRDefault="001C411D" w:rsidP="00BB1B4B">
            <w:pPr>
              <w:pStyle w:val="ListParagraph"/>
              <w:numPr>
                <w:ilvl w:val="0"/>
                <w:numId w:val="27"/>
              </w:numPr>
              <w:spacing w:after="0" w:line="256" w:lineRule="auto"/>
              <w:ind w:left="426" w:hanging="156"/>
              <w:rPr>
                <w:rFonts w:ascii="GHEA Grapalat" w:hAnsi="GHEA Grapalat"/>
                <w:sz w:val="18"/>
                <w:szCs w:val="18"/>
                <w:lang w:val="hy-AM"/>
              </w:rPr>
            </w:pPr>
            <w:r w:rsidRPr="001F63BA">
              <w:rPr>
                <w:rFonts w:ascii="GHEA Grapalat" w:hAnsi="GHEA Grapalat"/>
                <w:sz w:val="18"/>
                <w:szCs w:val="18"/>
                <w:lang w:val="hy-AM"/>
              </w:rPr>
              <w:t>Փոխառու միջոցներ</w:t>
            </w:r>
          </w:p>
        </w:tc>
        <w:tc>
          <w:tcPr>
            <w:tcW w:w="1276"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rPr>
            </w:pPr>
            <w:r w:rsidRPr="001F63BA">
              <w:rPr>
                <w:rFonts w:ascii="GHEA Grapalat" w:hAnsi="GHEA Grapalat" w:cs="Calibri"/>
                <w:bCs/>
                <w:sz w:val="18"/>
                <w:szCs w:val="18"/>
              </w:rPr>
              <w:t>240.0</w:t>
            </w:r>
          </w:p>
        </w:tc>
        <w:tc>
          <w:tcPr>
            <w:tcW w:w="1276" w:type="dxa"/>
            <w:tcBorders>
              <w:top w:val="nil"/>
              <w:left w:val="single" w:sz="4" w:space="0" w:color="auto"/>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252.0</w:t>
            </w:r>
          </w:p>
        </w:tc>
        <w:tc>
          <w:tcPr>
            <w:tcW w:w="1134"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rPr>
            </w:pPr>
            <w:r w:rsidRPr="001F63BA">
              <w:rPr>
                <w:rFonts w:ascii="GHEA Grapalat" w:hAnsi="GHEA Grapalat" w:cs="Calibri"/>
                <w:bCs/>
                <w:sz w:val="18"/>
                <w:szCs w:val="18"/>
                <w:lang w:val="en-US"/>
              </w:rPr>
              <w:t>252.0</w:t>
            </w:r>
          </w:p>
        </w:tc>
        <w:tc>
          <w:tcPr>
            <w:tcW w:w="1559"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rPr>
              <w:t>100.</w:t>
            </w:r>
            <w:r w:rsidRPr="001F63BA">
              <w:rPr>
                <w:rFonts w:ascii="GHEA Grapalat" w:hAnsi="GHEA Grapalat" w:cs="Calibri"/>
                <w:bCs/>
                <w:sz w:val="18"/>
                <w:szCs w:val="18"/>
                <w:lang w:val="en-US"/>
              </w:rPr>
              <w:t>0</w:t>
            </w:r>
          </w:p>
        </w:tc>
        <w:tc>
          <w:tcPr>
            <w:tcW w:w="1273"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105.0</w:t>
            </w:r>
          </w:p>
        </w:tc>
      </w:tr>
      <w:tr w:rsidR="001C411D" w:rsidRPr="001F63BA" w:rsidTr="00BA6025">
        <w:trPr>
          <w:trHeight w:val="312"/>
        </w:trPr>
        <w:tc>
          <w:tcPr>
            <w:tcW w:w="3652" w:type="dxa"/>
            <w:tcBorders>
              <w:top w:val="nil"/>
              <w:left w:val="single" w:sz="4" w:space="0" w:color="auto"/>
              <w:bottom w:val="single" w:sz="4" w:space="0" w:color="auto"/>
              <w:right w:val="single" w:sz="4" w:space="0" w:color="auto"/>
            </w:tcBorders>
            <w:vAlign w:val="bottom"/>
          </w:tcPr>
          <w:p w:rsidR="001C411D" w:rsidRPr="001F63BA" w:rsidRDefault="001C411D" w:rsidP="00BB1B4B">
            <w:pPr>
              <w:pStyle w:val="ListParagraph"/>
              <w:numPr>
                <w:ilvl w:val="0"/>
                <w:numId w:val="27"/>
              </w:numPr>
              <w:spacing w:after="0" w:line="256" w:lineRule="auto"/>
              <w:ind w:left="426" w:hanging="156"/>
              <w:rPr>
                <w:rFonts w:ascii="GHEA Grapalat" w:hAnsi="GHEA Grapalat"/>
                <w:sz w:val="18"/>
                <w:szCs w:val="18"/>
                <w:lang w:val="hy-AM"/>
              </w:rPr>
            </w:pPr>
            <w:r w:rsidRPr="001F63BA">
              <w:rPr>
                <w:rFonts w:ascii="GHEA Grapalat" w:hAnsi="GHEA Grapalat"/>
                <w:sz w:val="18"/>
                <w:szCs w:val="18"/>
                <w:lang w:val="hy-AM"/>
              </w:rPr>
              <w:t>Ֆինանսական զուտ ակտիվներ</w:t>
            </w:r>
          </w:p>
        </w:tc>
        <w:tc>
          <w:tcPr>
            <w:tcW w:w="1276"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w:t>
            </w:r>
            <w:r w:rsidRPr="001F63BA">
              <w:rPr>
                <w:rFonts w:ascii="GHEA Grapalat" w:hAnsi="GHEA Grapalat" w:cs="Calibri"/>
                <w:bCs/>
                <w:sz w:val="18"/>
                <w:szCs w:val="18"/>
              </w:rPr>
              <w:t>138.7</w:t>
            </w:r>
            <w:r w:rsidRPr="001F63BA">
              <w:rPr>
                <w:rFonts w:ascii="GHEA Grapalat" w:hAnsi="GHEA Grapalat" w:cs="Calibri"/>
                <w:bCs/>
                <w:sz w:val="18"/>
                <w:szCs w:val="18"/>
                <w:lang w:val="en-US"/>
              </w:rPr>
              <w:t>)</w:t>
            </w:r>
          </w:p>
        </w:tc>
        <w:tc>
          <w:tcPr>
            <w:tcW w:w="1276" w:type="dxa"/>
            <w:tcBorders>
              <w:top w:val="nil"/>
              <w:left w:val="single" w:sz="4" w:space="0" w:color="auto"/>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56.5</w:t>
            </w:r>
          </w:p>
        </w:tc>
        <w:tc>
          <w:tcPr>
            <w:tcW w:w="1134"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36.1</w:t>
            </w:r>
          </w:p>
        </w:tc>
        <w:tc>
          <w:tcPr>
            <w:tcW w:w="1559"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64.0</w:t>
            </w:r>
          </w:p>
        </w:tc>
        <w:tc>
          <w:tcPr>
            <w:tcW w:w="1273"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(26.1)</w:t>
            </w:r>
          </w:p>
        </w:tc>
      </w:tr>
      <w:tr w:rsidR="001C411D" w:rsidRPr="001F63BA" w:rsidTr="00BA6025">
        <w:trPr>
          <w:trHeight w:val="312"/>
        </w:trPr>
        <w:tc>
          <w:tcPr>
            <w:tcW w:w="3652" w:type="dxa"/>
            <w:tcBorders>
              <w:top w:val="nil"/>
              <w:left w:val="single" w:sz="4" w:space="0" w:color="auto"/>
              <w:bottom w:val="single" w:sz="4" w:space="0" w:color="auto"/>
              <w:right w:val="single" w:sz="4" w:space="0" w:color="auto"/>
            </w:tcBorders>
            <w:vAlign w:val="bottom"/>
          </w:tcPr>
          <w:p w:rsidR="001C411D" w:rsidRPr="001F63BA" w:rsidRDefault="001C411D" w:rsidP="00BA6025">
            <w:pPr>
              <w:spacing w:line="256" w:lineRule="auto"/>
              <w:rPr>
                <w:rFonts w:ascii="GHEA Grapalat" w:hAnsi="GHEA Grapalat" w:cs="Calibri"/>
                <w:sz w:val="18"/>
                <w:szCs w:val="18"/>
              </w:rPr>
            </w:pPr>
            <w:r w:rsidRPr="001F63BA">
              <w:rPr>
                <w:rFonts w:ascii="GHEA Grapalat" w:hAnsi="GHEA Grapalat" w:cs="Calibri"/>
                <w:sz w:val="18"/>
                <w:szCs w:val="18"/>
              </w:rPr>
              <w:t>Արտաքին աղբյուրներ, այդ թվում`</w:t>
            </w:r>
          </w:p>
        </w:tc>
        <w:tc>
          <w:tcPr>
            <w:tcW w:w="1276"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rPr>
            </w:pPr>
            <w:r w:rsidRPr="001F63BA">
              <w:rPr>
                <w:rFonts w:ascii="GHEA Grapalat" w:hAnsi="GHEA Grapalat" w:cs="Calibri"/>
                <w:bCs/>
                <w:sz w:val="18"/>
                <w:szCs w:val="18"/>
              </w:rPr>
              <w:t>219.3</w:t>
            </w:r>
          </w:p>
        </w:tc>
        <w:tc>
          <w:tcPr>
            <w:tcW w:w="1276" w:type="dxa"/>
            <w:tcBorders>
              <w:top w:val="nil"/>
              <w:left w:val="single" w:sz="4" w:space="0" w:color="auto"/>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(78.7)</w:t>
            </w:r>
          </w:p>
        </w:tc>
        <w:tc>
          <w:tcPr>
            <w:tcW w:w="1134"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(108.6)</w:t>
            </w:r>
          </w:p>
        </w:tc>
        <w:tc>
          <w:tcPr>
            <w:tcW w:w="1559"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138.0</w:t>
            </w:r>
          </w:p>
        </w:tc>
        <w:tc>
          <w:tcPr>
            <w:tcW w:w="1273"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(49.5)</w:t>
            </w:r>
          </w:p>
        </w:tc>
      </w:tr>
      <w:tr w:rsidR="001C411D" w:rsidRPr="001F63BA" w:rsidTr="00BA6025">
        <w:trPr>
          <w:trHeight w:val="312"/>
        </w:trPr>
        <w:tc>
          <w:tcPr>
            <w:tcW w:w="3652" w:type="dxa"/>
            <w:tcBorders>
              <w:top w:val="nil"/>
              <w:left w:val="single" w:sz="4" w:space="0" w:color="auto"/>
              <w:bottom w:val="single" w:sz="4" w:space="0" w:color="auto"/>
              <w:right w:val="single" w:sz="4" w:space="0" w:color="auto"/>
            </w:tcBorders>
            <w:vAlign w:val="bottom"/>
          </w:tcPr>
          <w:p w:rsidR="001C411D" w:rsidRPr="001F63BA" w:rsidRDefault="001C411D" w:rsidP="00BB1B4B">
            <w:pPr>
              <w:pStyle w:val="ListParagraph"/>
              <w:numPr>
                <w:ilvl w:val="0"/>
                <w:numId w:val="27"/>
              </w:numPr>
              <w:spacing w:after="0" w:line="256" w:lineRule="auto"/>
              <w:ind w:left="426" w:hanging="156"/>
              <w:rPr>
                <w:rFonts w:ascii="GHEA Grapalat" w:hAnsi="GHEA Grapalat"/>
                <w:sz w:val="18"/>
                <w:szCs w:val="18"/>
                <w:lang w:val="hy-AM"/>
              </w:rPr>
            </w:pPr>
            <w:r w:rsidRPr="001F63BA">
              <w:rPr>
                <w:rFonts w:ascii="GHEA Grapalat" w:hAnsi="GHEA Grapalat"/>
                <w:sz w:val="18"/>
                <w:szCs w:val="18"/>
                <w:lang w:val="hy-AM"/>
              </w:rPr>
              <w:t>Փոխառու միջոցներ</w:t>
            </w:r>
          </w:p>
        </w:tc>
        <w:tc>
          <w:tcPr>
            <w:tcW w:w="1276"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rPr>
            </w:pPr>
            <w:r w:rsidRPr="001F63BA">
              <w:rPr>
                <w:rFonts w:ascii="GHEA Grapalat" w:hAnsi="GHEA Grapalat" w:cs="Calibri"/>
                <w:bCs/>
                <w:sz w:val="18"/>
                <w:szCs w:val="18"/>
              </w:rPr>
              <w:t>350.9</w:t>
            </w:r>
          </w:p>
        </w:tc>
        <w:tc>
          <w:tcPr>
            <w:tcW w:w="1276" w:type="dxa"/>
            <w:tcBorders>
              <w:top w:val="nil"/>
              <w:left w:val="single" w:sz="4" w:space="0" w:color="auto"/>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98.2</w:t>
            </w:r>
          </w:p>
        </w:tc>
        <w:tc>
          <w:tcPr>
            <w:tcW w:w="1134"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66.2</w:t>
            </w:r>
          </w:p>
        </w:tc>
        <w:tc>
          <w:tcPr>
            <w:tcW w:w="1559"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67.4</w:t>
            </w:r>
          </w:p>
        </w:tc>
        <w:tc>
          <w:tcPr>
            <w:tcW w:w="1273"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18.9</w:t>
            </w:r>
          </w:p>
        </w:tc>
      </w:tr>
      <w:tr w:rsidR="001C411D" w:rsidRPr="001F63BA" w:rsidTr="00BA6025">
        <w:trPr>
          <w:trHeight w:val="312"/>
        </w:trPr>
        <w:tc>
          <w:tcPr>
            <w:tcW w:w="3652" w:type="dxa"/>
            <w:tcBorders>
              <w:top w:val="nil"/>
              <w:left w:val="single" w:sz="4" w:space="0" w:color="auto"/>
              <w:bottom w:val="single" w:sz="4" w:space="0" w:color="auto"/>
              <w:right w:val="single" w:sz="4" w:space="0" w:color="auto"/>
            </w:tcBorders>
            <w:vAlign w:val="bottom"/>
          </w:tcPr>
          <w:p w:rsidR="001C411D" w:rsidRPr="001F63BA" w:rsidRDefault="001C411D" w:rsidP="00BB1B4B">
            <w:pPr>
              <w:pStyle w:val="ListParagraph"/>
              <w:numPr>
                <w:ilvl w:val="0"/>
                <w:numId w:val="27"/>
              </w:numPr>
              <w:spacing w:after="0" w:line="256" w:lineRule="auto"/>
              <w:ind w:left="426" w:hanging="156"/>
              <w:rPr>
                <w:rFonts w:ascii="GHEA Grapalat" w:hAnsi="GHEA Grapalat"/>
                <w:sz w:val="18"/>
                <w:szCs w:val="18"/>
                <w:lang w:val="hy-AM"/>
              </w:rPr>
            </w:pPr>
            <w:r w:rsidRPr="001F63BA">
              <w:rPr>
                <w:rFonts w:ascii="GHEA Grapalat" w:hAnsi="GHEA Grapalat"/>
                <w:sz w:val="18"/>
                <w:szCs w:val="18"/>
                <w:lang w:val="hy-AM"/>
              </w:rPr>
              <w:t>Ֆինանսական զուտ ակտիվներ</w:t>
            </w:r>
          </w:p>
        </w:tc>
        <w:tc>
          <w:tcPr>
            <w:tcW w:w="1276"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w:t>
            </w:r>
            <w:r w:rsidRPr="001F63BA">
              <w:rPr>
                <w:rFonts w:ascii="GHEA Grapalat" w:hAnsi="GHEA Grapalat" w:cs="Calibri"/>
                <w:bCs/>
                <w:sz w:val="18"/>
                <w:szCs w:val="18"/>
              </w:rPr>
              <w:t>131.7</w:t>
            </w:r>
            <w:r w:rsidRPr="001F63BA">
              <w:rPr>
                <w:rFonts w:ascii="GHEA Grapalat" w:hAnsi="GHEA Grapalat" w:cs="Calibri"/>
                <w:bCs/>
                <w:sz w:val="18"/>
                <w:szCs w:val="18"/>
                <w:lang w:val="en-US"/>
              </w:rPr>
              <w:t>)</w:t>
            </w:r>
          </w:p>
        </w:tc>
        <w:tc>
          <w:tcPr>
            <w:tcW w:w="1276" w:type="dxa"/>
            <w:tcBorders>
              <w:top w:val="nil"/>
              <w:left w:val="single" w:sz="4" w:space="0" w:color="auto"/>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w:t>
            </w:r>
            <w:r w:rsidRPr="001F63BA">
              <w:rPr>
                <w:rFonts w:ascii="GHEA Grapalat" w:hAnsi="GHEA Grapalat" w:cs="Calibri"/>
                <w:bCs/>
                <w:sz w:val="18"/>
                <w:szCs w:val="18"/>
              </w:rPr>
              <w:t>1</w:t>
            </w:r>
            <w:r w:rsidRPr="001F63BA">
              <w:rPr>
                <w:rFonts w:ascii="GHEA Grapalat" w:hAnsi="GHEA Grapalat" w:cs="Calibri"/>
                <w:bCs/>
                <w:sz w:val="18"/>
                <w:szCs w:val="18"/>
                <w:lang w:val="en-US"/>
              </w:rPr>
              <w:t>76.9)</w:t>
            </w:r>
          </w:p>
        </w:tc>
        <w:tc>
          <w:tcPr>
            <w:tcW w:w="1134"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(174.8)</w:t>
            </w:r>
          </w:p>
        </w:tc>
        <w:tc>
          <w:tcPr>
            <w:tcW w:w="1559" w:type="dxa"/>
            <w:tcBorders>
              <w:top w:val="nil"/>
              <w:left w:val="nil"/>
              <w:bottom w:val="single" w:sz="4" w:space="0" w:color="auto"/>
              <w:right w:val="single" w:sz="4" w:space="0" w:color="auto"/>
            </w:tcBorders>
            <w:noWrap/>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98.8</w:t>
            </w:r>
          </w:p>
        </w:tc>
        <w:tc>
          <w:tcPr>
            <w:tcW w:w="1273" w:type="dxa"/>
            <w:tcBorders>
              <w:top w:val="nil"/>
              <w:left w:val="nil"/>
              <w:bottom w:val="single" w:sz="4" w:space="0" w:color="auto"/>
              <w:right w:val="single" w:sz="4" w:space="0" w:color="auto"/>
            </w:tcBorders>
            <w:vAlign w:val="bottom"/>
          </w:tcPr>
          <w:p w:rsidR="001C411D" w:rsidRPr="001F63BA" w:rsidRDefault="001C411D" w:rsidP="00BA6025">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132.8</w:t>
            </w:r>
          </w:p>
        </w:tc>
      </w:tr>
    </w:tbl>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nb-NO"/>
        </w:rPr>
      </w:pP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nb-NO"/>
        </w:rPr>
      </w:pPr>
      <w:r w:rsidRPr="001F63BA">
        <w:rPr>
          <w:rFonts w:ascii="GHEA Grapalat" w:hAnsi="GHEA Grapalat" w:cs="GHEA Grapalat"/>
          <w:sz w:val="22"/>
          <w:szCs w:val="22"/>
        </w:rPr>
        <w:t xml:space="preserve">2022 թվականին </w:t>
      </w:r>
      <w:r w:rsidRPr="001F63BA">
        <w:rPr>
          <w:rFonts w:ascii="GHEA Grapalat" w:hAnsi="GHEA Grapalat" w:cs="GHEA Grapalat"/>
          <w:sz w:val="22"/>
          <w:szCs w:val="22"/>
          <w:lang w:val="en-US"/>
        </w:rPr>
        <w:t>պ</w:t>
      </w:r>
      <w:r w:rsidRPr="001F63BA">
        <w:rPr>
          <w:rFonts w:ascii="GHEA Grapalat" w:hAnsi="GHEA Grapalat" w:cs="GHEA Grapalat"/>
          <w:sz w:val="22"/>
          <w:szCs w:val="22"/>
        </w:rPr>
        <w:t>ակասուրդ</w:t>
      </w:r>
      <w:r w:rsidRPr="001F63BA">
        <w:rPr>
          <w:rFonts w:ascii="GHEA Grapalat" w:hAnsi="GHEA Grapalat" w:cs="GHEA Grapalat"/>
          <w:sz w:val="22"/>
          <w:szCs w:val="22"/>
          <w:lang w:val="en-US"/>
        </w:rPr>
        <w:t xml:space="preserve">ի ցածր մակարդակ է արձանագրվել նաև </w:t>
      </w:r>
      <w:r w:rsidRPr="001F63BA">
        <w:rPr>
          <w:rFonts w:ascii="GHEA Grapalat" w:hAnsi="GHEA Grapalat" w:cs="GHEA Grapalat"/>
          <w:sz w:val="22"/>
          <w:szCs w:val="22"/>
        </w:rPr>
        <w:t>ՀՆԱ</w:t>
      </w:r>
      <w:r w:rsidRPr="001F63BA">
        <w:rPr>
          <w:rFonts w:ascii="GHEA Grapalat" w:hAnsi="GHEA Grapalat" w:cs="GHEA Grapalat"/>
          <w:sz w:val="22"/>
          <w:szCs w:val="22"/>
          <w:lang w:val="en-US"/>
        </w:rPr>
        <w:t>-ի նկատմամբ, որը</w:t>
      </w:r>
      <w:r w:rsidRPr="001F63BA">
        <w:rPr>
          <w:rFonts w:ascii="GHEA Grapalat" w:hAnsi="GHEA Grapalat" w:cs="GHEA Grapalat"/>
          <w:sz w:val="22"/>
          <w:szCs w:val="22"/>
        </w:rPr>
        <w:t xml:space="preserve"> կազմել է 2.1%՝ կանխատեսված 3%-ի և 2021 թվականի 4.6%-ի դիմաց: 2021 թվականի համեմատ զգալիորեն փոխվել է պակասուրդի ֆինանսավորման աղբյուրների կառուցվածքը: Եթե նախորդ տարի </w:t>
      </w:r>
      <w:r w:rsidRPr="001F63BA">
        <w:rPr>
          <w:rFonts w:ascii="GHEA Grapalat" w:hAnsi="GHEA Grapalat" w:cs="GHEA Grapalat"/>
          <w:sz w:val="22"/>
          <w:szCs w:val="22"/>
          <w:lang w:val="en-US"/>
        </w:rPr>
        <w:t>պակասուրդը</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զգալի</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չափով</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68.4</w:t>
      </w:r>
      <w:r w:rsidRPr="001F63BA">
        <w:rPr>
          <w:rFonts w:ascii="GHEA Grapalat" w:hAnsi="GHEA Grapalat" w:cs="GHEA Grapalat"/>
          <w:sz w:val="22"/>
          <w:szCs w:val="22"/>
          <w:lang w:val="nb-NO"/>
        </w:rPr>
        <w:t>%-</w:t>
      </w:r>
      <w:r w:rsidRPr="001F63BA">
        <w:rPr>
          <w:rFonts w:ascii="GHEA Grapalat" w:hAnsi="GHEA Grapalat" w:cs="GHEA Grapalat"/>
          <w:sz w:val="22"/>
          <w:szCs w:val="22"/>
          <w:lang w:val="en-US"/>
        </w:rPr>
        <w:t>ով</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ֆինանսավորվել</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էր</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արտաքին</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աղբյուրներից՝</w:t>
      </w:r>
      <w:r w:rsidRPr="001F63BA">
        <w:rPr>
          <w:rFonts w:ascii="GHEA Grapalat" w:hAnsi="GHEA Grapalat" w:cs="GHEA Grapalat"/>
          <w:sz w:val="22"/>
          <w:szCs w:val="22"/>
        </w:rPr>
        <w:t xml:space="preserve"> պայմանավորված արտարժութային պետական պարտատոմսերի </w:t>
      </w:r>
      <w:r w:rsidRPr="001F63BA">
        <w:rPr>
          <w:rFonts w:ascii="GHEA Grapalat" w:hAnsi="GHEA Grapalat" w:cs="GHEA Grapalat"/>
          <w:sz w:val="22"/>
          <w:szCs w:val="22"/>
          <w:lang w:val="en-US"/>
        </w:rPr>
        <w:t>թողարկմամբ, ապա 2022 թվականին պակասուրդն</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ամբողջությամբ</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ֆինանսավոր</w:t>
      </w:r>
      <w:r w:rsidRPr="001F63BA">
        <w:rPr>
          <w:rFonts w:ascii="GHEA Grapalat" w:hAnsi="GHEA Grapalat" w:cs="GHEA Grapalat"/>
          <w:sz w:val="22"/>
          <w:szCs w:val="22"/>
          <w:lang w:val="en-US"/>
        </w:rPr>
        <w:t>վել</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է</w:t>
      </w:r>
      <w:r w:rsidRPr="001F63BA">
        <w:rPr>
          <w:rFonts w:ascii="GHEA Grapalat" w:hAnsi="GHEA Grapalat" w:cs="GHEA Grapalat"/>
          <w:sz w:val="22"/>
          <w:szCs w:val="22"/>
        </w:rPr>
        <w:t xml:space="preserve"> ներքին աղբյուրների հաշվին</w:t>
      </w:r>
      <w:r w:rsidRPr="001F63BA">
        <w:rPr>
          <w:rFonts w:ascii="GHEA Grapalat" w:hAnsi="GHEA Grapalat" w:cs="GHEA Grapalat"/>
          <w:sz w:val="22"/>
          <w:szCs w:val="22"/>
          <w:lang w:val="nb-NO"/>
        </w:rPr>
        <w:t>:</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nb-NO"/>
        </w:rPr>
      </w:pP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nb-NO"/>
        </w:rPr>
      </w:pP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nb-NO"/>
        </w:rPr>
      </w:pP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nb-NO"/>
        </w:rPr>
      </w:pPr>
    </w:p>
    <w:p w:rsidR="001C411D" w:rsidRPr="001F63BA" w:rsidRDefault="001C411D" w:rsidP="00D508BE">
      <w:pPr>
        <w:pStyle w:val="a"/>
        <w:rPr>
          <w:lang w:val="nb-NO"/>
        </w:rPr>
      </w:pPr>
      <w:r w:rsidRPr="001F63BA">
        <w:lastRenderedPageBreak/>
        <w:t>ՀՀ</w:t>
      </w:r>
      <w:r w:rsidRPr="001F63BA">
        <w:rPr>
          <w:lang w:val="nb-NO"/>
        </w:rPr>
        <w:t xml:space="preserve"> </w:t>
      </w:r>
      <w:r w:rsidRPr="001F63BA">
        <w:t>պետական</w:t>
      </w:r>
      <w:r w:rsidRPr="001F63BA">
        <w:rPr>
          <w:lang w:val="nb-NO"/>
        </w:rPr>
        <w:t xml:space="preserve"> </w:t>
      </w:r>
      <w:r w:rsidRPr="001F63BA">
        <w:t>բյուջեի</w:t>
      </w:r>
      <w:r w:rsidRPr="001F63BA">
        <w:rPr>
          <w:lang w:val="nb-NO"/>
        </w:rPr>
        <w:t xml:space="preserve"> </w:t>
      </w:r>
      <w:r w:rsidRPr="001F63BA">
        <w:t>դեֆիցիտը</w:t>
      </w:r>
      <w:r w:rsidRPr="001F63BA">
        <w:rPr>
          <w:lang w:val="nb-NO"/>
        </w:rPr>
        <w:t xml:space="preserve"> 2020-2022</w:t>
      </w:r>
      <w:r w:rsidRPr="001F63BA">
        <w:t>թթ</w:t>
      </w:r>
      <w:r w:rsidRPr="001F63BA">
        <w:rPr>
          <w:lang w:val="nb-NO"/>
        </w:rPr>
        <w:t xml:space="preserve">., </w:t>
      </w:r>
      <w:r w:rsidRPr="001F63BA">
        <w:t>մլրդ</w:t>
      </w:r>
      <w:r w:rsidRPr="001F63BA">
        <w:rPr>
          <w:lang w:val="nb-NO"/>
        </w:rPr>
        <w:t xml:space="preserve"> </w:t>
      </w:r>
      <w:r w:rsidRPr="001F63BA">
        <w:t>դրամ</w:t>
      </w:r>
    </w:p>
    <w:p w:rsidR="001C411D" w:rsidRPr="001F63BA" w:rsidRDefault="009A358E" w:rsidP="00BA6025">
      <w:pPr>
        <w:autoSpaceDE w:val="0"/>
        <w:autoSpaceDN w:val="0"/>
        <w:adjustRightInd w:val="0"/>
        <w:spacing w:line="360" w:lineRule="auto"/>
        <w:jc w:val="both"/>
        <w:rPr>
          <w:rFonts w:ascii="GHEA Grapalat" w:hAnsi="GHEA Grapalat"/>
          <w:sz w:val="22"/>
          <w:szCs w:val="22"/>
          <w:lang w:val="en-US"/>
        </w:rPr>
      </w:pPr>
      <w:r w:rsidRPr="001F63BA">
        <w:rPr>
          <w:rFonts w:ascii="GHEA Grapalat" w:hAnsi="GHEA Grapalat"/>
          <w:sz w:val="22"/>
          <w:szCs w:val="22"/>
          <w:lang w:val="en-US"/>
        </w:rPr>
        <w:drawing>
          <wp:inline distT="0" distB="0" distL="0" distR="0" wp14:anchorId="0AE92E10" wp14:editId="2E98E58B">
            <wp:extent cx="6467475" cy="2943225"/>
            <wp:effectExtent l="0" t="0" r="0" b="0"/>
            <wp:docPr id="6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nb-NO"/>
        </w:rPr>
      </w:pP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nb-NO"/>
        </w:rPr>
      </w:pPr>
      <w:r w:rsidRPr="001F63BA">
        <w:rPr>
          <w:rFonts w:ascii="GHEA Grapalat" w:hAnsi="GHEA Grapalat"/>
          <w:sz w:val="22"/>
          <w:szCs w:val="22"/>
          <w:lang w:val="nb-NO"/>
        </w:rPr>
        <w:t xml:space="preserve">Հաշվետու ժամանակահատվածում </w:t>
      </w:r>
      <w:r w:rsidRPr="001F63BA">
        <w:rPr>
          <w:rFonts w:ascii="GHEA Grapalat" w:hAnsi="GHEA Grapalat"/>
          <w:sz w:val="22"/>
          <w:szCs w:val="22"/>
        </w:rPr>
        <w:t xml:space="preserve">ներքին փոխառու միջոցներից պետական բյուջեն ֆինանսավորվել է գանձապետական պարտատոմսերի տեղաբաշխումից զուտ մուտքերի հաշվին, որոնք </w:t>
      </w:r>
      <w:r w:rsidRPr="001F63BA">
        <w:rPr>
          <w:rFonts w:ascii="GHEA Grapalat" w:hAnsi="GHEA Grapalat"/>
          <w:sz w:val="22"/>
          <w:szCs w:val="22"/>
          <w:lang w:val="en-US"/>
        </w:rPr>
        <w:t>ապահովել են նախատեսված ցուցանիշը և կազմել 252</w:t>
      </w:r>
      <w:r w:rsidRPr="001F63BA">
        <w:rPr>
          <w:rFonts w:ascii="GHEA Grapalat" w:hAnsi="GHEA Grapalat"/>
          <w:sz w:val="22"/>
          <w:szCs w:val="22"/>
        </w:rPr>
        <w:t xml:space="preserve"> մլրդ դրամ: </w:t>
      </w:r>
      <w:r w:rsidRPr="001F63BA">
        <w:rPr>
          <w:rFonts w:ascii="GHEA Grapalat" w:hAnsi="GHEA Grapalat" w:cs="GHEA Grapalat"/>
          <w:sz w:val="22"/>
          <w:szCs w:val="22"/>
        </w:rPr>
        <w:t>20</w:t>
      </w:r>
      <w:r w:rsidRPr="001F63BA">
        <w:rPr>
          <w:rFonts w:ascii="GHEA Grapalat" w:hAnsi="GHEA Grapalat" w:cs="GHEA Grapalat"/>
          <w:sz w:val="22"/>
          <w:szCs w:val="22"/>
          <w:lang w:val="nb-NO"/>
        </w:rPr>
        <w:t xml:space="preserve">22 </w:t>
      </w:r>
      <w:r w:rsidRPr="001F63BA">
        <w:rPr>
          <w:rFonts w:ascii="GHEA Grapalat" w:hAnsi="GHEA Grapalat" w:cs="GHEA Grapalat"/>
          <w:sz w:val="22"/>
          <w:szCs w:val="22"/>
        </w:rPr>
        <w:t>թվականի ընթացքում ընդհանուր առմամբ</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տեղաբաշխվել</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են</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438,823.3</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մլն դրամի</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պարտատոմսեր</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և</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տեղաբաշխումից</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ստացված</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մուտքը</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կազմել</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է</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399,769.05</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մլն</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դրամ</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իսկ</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պարտատոմսերի</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մարմանը</w:t>
      </w:r>
      <w:r w:rsidRPr="001F63BA">
        <w:rPr>
          <w:rFonts w:ascii="GHEA Grapalat" w:hAnsi="GHEA Grapalat" w:cs="GHEA Grapalat"/>
          <w:sz w:val="22"/>
          <w:szCs w:val="22"/>
          <w:lang w:val="nb-NO"/>
        </w:rPr>
        <w:t>/</w:t>
      </w:r>
      <w:r w:rsidRPr="001F63BA">
        <w:rPr>
          <w:rFonts w:ascii="GHEA Grapalat" w:hAnsi="GHEA Grapalat" w:cs="GHEA Grapalat"/>
          <w:sz w:val="22"/>
          <w:szCs w:val="22"/>
        </w:rPr>
        <w:t>հետգնմանն</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ուղղվել</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է</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lang w:val="en-US"/>
        </w:rPr>
        <w:t>147,759.46</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մլն</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դրամ</w:t>
      </w:r>
      <w:r w:rsidRPr="001F63BA">
        <w:rPr>
          <w:rFonts w:ascii="GHEA Grapalat" w:hAnsi="GHEA Grapalat" w:cs="GHEA Grapalat"/>
          <w:sz w:val="22"/>
          <w:szCs w:val="22"/>
          <w:lang w:val="nb-NO"/>
        </w:rPr>
        <w:t xml:space="preserve">: </w:t>
      </w:r>
      <w:r w:rsidRPr="001F63BA">
        <w:rPr>
          <w:rFonts w:ascii="GHEA Grapalat" w:hAnsi="GHEA Grapalat"/>
          <w:sz w:val="22"/>
          <w:szCs w:val="22"/>
          <w:lang w:val="nb-NO"/>
        </w:rPr>
        <w:t>Հաշվետու տարում</w:t>
      </w:r>
      <w:r w:rsidRPr="001F63BA">
        <w:rPr>
          <w:rFonts w:ascii="GHEA Grapalat" w:hAnsi="GHEA Grapalat"/>
          <w:sz w:val="22"/>
          <w:szCs w:val="22"/>
        </w:rPr>
        <w:t xml:space="preserve"> </w:t>
      </w:r>
      <w:r w:rsidRPr="001F63BA">
        <w:rPr>
          <w:rFonts w:ascii="GHEA Grapalat" w:hAnsi="GHEA Grapalat"/>
          <w:sz w:val="22"/>
          <w:szCs w:val="22"/>
          <w:lang w:val="nb-NO"/>
        </w:rPr>
        <w:t xml:space="preserve">տեղաբաշխվել են </w:t>
      </w:r>
      <w:r w:rsidRPr="001F63BA">
        <w:rPr>
          <w:rFonts w:ascii="GHEA Grapalat" w:hAnsi="GHEA Grapalat"/>
          <w:sz w:val="22"/>
          <w:szCs w:val="22"/>
          <w:lang w:val="en-US"/>
        </w:rPr>
        <w:t>2,895.6</w:t>
      </w:r>
      <w:r w:rsidRPr="001F63BA">
        <w:rPr>
          <w:rFonts w:ascii="Courier New" w:hAnsi="Courier New" w:cs="Courier New"/>
          <w:sz w:val="22"/>
          <w:szCs w:val="22"/>
          <w:lang w:val="nb-NO"/>
        </w:rPr>
        <w:t> </w:t>
      </w:r>
      <w:r w:rsidRPr="001F63BA">
        <w:rPr>
          <w:rFonts w:ascii="GHEA Grapalat" w:hAnsi="GHEA Grapalat"/>
          <w:sz w:val="22"/>
          <w:szCs w:val="22"/>
          <w:lang w:val="nb-NO"/>
        </w:rPr>
        <w:t xml:space="preserve">մլն դրամի խնայողական արժեկտրոնային պարտատոմսեր, որոնցից մուտքը կազմել է </w:t>
      </w:r>
      <w:r w:rsidRPr="001F63BA">
        <w:rPr>
          <w:rFonts w:ascii="GHEA Grapalat" w:hAnsi="GHEA Grapalat"/>
          <w:sz w:val="22"/>
          <w:szCs w:val="22"/>
          <w:lang w:val="en-US"/>
        </w:rPr>
        <w:t>2,884.0</w:t>
      </w:r>
      <w:r w:rsidRPr="001F63BA">
        <w:rPr>
          <w:rFonts w:ascii="GHEA Grapalat" w:hAnsi="GHEA Grapalat"/>
          <w:sz w:val="22"/>
          <w:szCs w:val="22"/>
          <w:lang w:val="nb-NO"/>
        </w:rPr>
        <w:t xml:space="preserve"> </w:t>
      </w:r>
      <w:bookmarkStart w:id="278" w:name="OLE_LINK20"/>
      <w:bookmarkStart w:id="279" w:name="OLE_LINK21"/>
      <w:r w:rsidRPr="001F63BA">
        <w:rPr>
          <w:rFonts w:ascii="GHEA Grapalat" w:hAnsi="GHEA Grapalat"/>
          <w:sz w:val="22"/>
          <w:szCs w:val="22"/>
          <w:lang w:val="nb-NO"/>
        </w:rPr>
        <w:t>մլն</w:t>
      </w:r>
      <w:bookmarkEnd w:id="278"/>
      <w:bookmarkEnd w:id="279"/>
      <w:r w:rsidRPr="001F63BA">
        <w:rPr>
          <w:rFonts w:ascii="GHEA Grapalat" w:hAnsi="GHEA Grapalat"/>
          <w:sz w:val="22"/>
          <w:szCs w:val="22"/>
          <w:lang w:val="nb-NO"/>
        </w:rPr>
        <w:t xml:space="preserve"> դրամ: </w:t>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nb-NO"/>
        </w:rPr>
      </w:pPr>
      <w:r w:rsidRPr="001F63BA">
        <w:rPr>
          <w:rFonts w:ascii="GHEA Grapalat" w:hAnsi="GHEA Grapalat"/>
          <w:sz w:val="22"/>
          <w:szCs w:val="22"/>
        </w:rPr>
        <w:t>Կատարված</w:t>
      </w:r>
      <w:r w:rsidRPr="001F63BA">
        <w:rPr>
          <w:rFonts w:ascii="GHEA Grapalat" w:hAnsi="GHEA Grapalat"/>
          <w:sz w:val="22"/>
          <w:szCs w:val="22"/>
          <w:lang w:val="nb-NO"/>
        </w:rPr>
        <w:t xml:space="preserve"> </w:t>
      </w:r>
      <w:r w:rsidRPr="001F63BA">
        <w:rPr>
          <w:rFonts w:ascii="GHEA Grapalat" w:hAnsi="GHEA Grapalat"/>
          <w:sz w:val="22"/>
          <w:szCs w:val="22"/>
        </w:rPr>
        <w:t>գործառնությունների</w:t>
      </w:r>
      <w:r w:rsidRPr="001F63BA">
        <w:rPr>
          <w:rFonts w:ascii="GHEA Grapalat" w:hAnsi="GHEA Grapalat"/>
          <w:sz w:val="22"/>
          <w:szCs w:val="22"/>
          <w:lang w:val="nb-NO"/>
        </w:rPr>
        <w:t xml:space="preserve"> </w:t>
      </w:r>
      <w:r w:rsidRPr="001F63BA">
        <w:rPr>
          <w:rFonts w:ascii="GHEA Grapalat" w:hAnsi="GHEA Grapalat"/>
          <w:sz w:val="22"/>
          <w:szCs w:val="22"/>
        </w:rPr>
        <w:t>արդյունքում</w:t>
      </w:r>
      <w:r w:rsidRPr="001F63BA">
        <w:rPr>
          <w:rFonts w:ascii="GHEA Grapalat" w:hAnsi="GHEA Grapalat"/>
          <w:sz w:val="22"/>
          <w:szCs w:val="22"/>
          <w:lang w:val="nb-NO"/>
        </w:rPr>
        <w:t xml:space="preserve">` </w:t>
      </w:r>
      <w:r w:rsidRPr="001F63BA">
        <w:rPr>
          <w:rFonts w:ascii="GHEA Grapalat" w:hAnsi="GHEA Grapalat"/>
          <w:sz w:val="22"/>
          <w:szCs w:val="22"/>
        </w:rPr>
        <w:t>20</w:t>
      </w:r>
      <w:r w:rsidRPr="001F63BA">
        <w:rPr>
          <w:rFonts w:ascii="GHEA Grapalat" w:hAnsi="GHEA Grapalat"/>
          <w:sz w:val="22"/>
          <w:szCs w:val="22"/>
          <w:lang w:val="nb-NO"/>
        </w:rPr>
        <w:t xml:space="preserve">22 </w:t>
      </w:r>
      <w:r w:rsidRPr="001F63BA">
        <w:rPr>
          <w:rFonts w:ascii="GHEA Grapalat" w:hAnsi="GHEA Grapalat"/>
          <w:sz w:val="22"/>
          <w:szCs w:val="22"/>
        </w:rPr>
        <w:t>թվականի</w:t>
      </w:r>
      <w:r w:rsidRPr="001F63BA">
        <w:rPr>
          <w:rFonts w:ascii="GHEA Grapalat" w:hAnsi="GHEA Grapalat"/>
          <w:sz w:val="22"/>
          <w:szCs w:val="22"/>
          <w:lang w:val="nb-NO"/>
        </w:rPr>
        <w:t xml:space="preserve"> </w:t>
      </w:r>
      <w:r w:rsidRPr="001F63BA">
        <w:rPr>
          <w:rFonts w:ascii="GHEA Grapalat" w:hAnsi="GHEA Grapalat"/>
          <w:sz w:val="22"/>
          <w:szCs w:val="22"/>
        </w:rPr>
        <w:t>դեկտեմբերի</w:t>
      </w:r>
      <w:r w:rsidRPr="001F63BA">
        <w:rPr>
          <w:rFonts w:ascii="GHEA Grapalat" w:hAnsi="GHEA Grapalat"/>
          <w:sz w:val="22"/>
          <w:szCs w:val="22"/>
          <w:lang w:val="nb-NO"/>
        </w:rPr>
        <w:t xml:space="preserve"> 31-</w:t>
      </w:r>
      <w:r w:rsidRPr="001F63BA">
        <w:rPr>
          <w:rFonts w:ascii="GHEA Grapalat" w:hAnsi="GHEA Grapalat"/>
          <w:sz w:val="22"/>
          <w:szCs w:val="22"/>
        </w:rPr>
        <w:t>ի</w:t>
      </w:r>
      <w:r w:rsidRPr="001F63BA">
        <w:rPr>
          <w:rFonts w:ascii="GHEA Grapalat" w:hAnsi="GHEA Grapalat"/>
          <w:sz w:val="22"/>
          <w:szCs w:val="22"/>
          <w:lang w:val="nb-NO"/>
        </w:rPr>
        <w:t xml:space="preserve"> </w:t>
      </w:r>
      <w:r w:rsidRPr="001F63BA">
        <w:rPr>
          <w:rFonts w:ascii="GHEA Grapalat" w:hAnsi="GHEA Grapalat"/>
          <w:sz w:val="22"/>
          <w:szCs w:val="22"/>
        </w:rPr>
        <w:t>դրությամբ</w:t>
      </w:r>
      <w:r w:rsidRPr="001F63BA">
        <w:rPr>
          <w:rFonts w:ascii="GHEA Grapalat" w:hAnsi="GHEA Grapalat"/>
          <w:sz w:val="22"/>
          <w:szCs w:val="22"/>
          <w:lang w:val="nb-NO"/>
        </w:rPr>
        <w:t xml:space="preserve"> </w:t>
      </w:r>
      <w:r w:rsidRPr="001F63BA">
        <w:rPr>
          <w:rFonts w:ascii="GHEA Grapalat" w:hAnsi="GHEA Grapalat"/>
          <w:sz w:val="22"/>
          <w:szCs w:val="22"/>
        </w:rPr>
        <w:t>պետական</w:t>
      </w:r>
      <w:r w:rsidRPr="001F63BA">
        <w:rPr>
          <w:rFonts w:ascii="GHEA Grapalat" w:hAnsi="GHEA Grapalat"/>
          <w:sz w:val="22"/>
          <w:szCs w:val="22"/>
          <w:lang w:val="nb-NO"/>
        </w:rPr>
        <w:t xml:space="preserve"> </w:t>
      </w:r>
      <w:r w:rsidRPr="001F63BA">
        <w:rPr>
          <w:rFonts w:ascii="GHEA Grapalat" w:hAnsi="GHEA Grapalat"/>
          <w:sz w:val="22"/>
          <w:szCs w:val="22"/>
        </w:rPr>
        <w:t>գանձապետական</w:t>
      </w:r>
      <w:r w:rsidRPr="001F63BA">
        <w:rPr>
          <w:rFonts w:ascii="GHEA Grapalat" w:hAnsi="GHEA Grapalat"/>
          <w:sz w:val="22"/>
          <w:szCs w:val="22"/>
          <w:lang w:val="nb-NO"/>
        </w:rPr>
        <w:t xml:space="preserve"> </w:t>
      </w:r>
      <w:r w:rsidRPr="001F63BA">
        <w:rPr>
          <w:rFonts w:ascii="GHEA Grapalat" w:hAnsi="GHEA Grapalat"/>
          <w:sz w:val="22"/>
          <w:szCs w:val="22"/>
        </w:rPr>
        <w:t>պարտատոմսերը բնութագրող ցուցանիշները եղել</w:t>
      </w:r>
      <w:r w:rsidRPr="001F63BA">
        <w:rPr>
          <w:rFonts w:ascii="GHEA Grapalat" w:hAnsi="GHEA Grapalat"/>
          <w:sz w:val="22"/>
          <w:szCs w:val="22"/>
          <w:lang w:val="nb-NO"/>
        </w:rPr>
        <w:t xml:space="preserve"> </w:t>
      </w:r>
      <w:r w:rsidRPr="001F63BA">
        <w:rPr>
          <w:rFonts w:ascii="GHEA Grapalat" w:hAnsi="GHEA Grapalat"/>
          <w:sz w:val="22"/>
          <w:szCs w:val="22"/>
        </w:rPr>
        <w:t>են</w:t>
      </w:r>
      <w:r w:rsidRPr="001F63BA">
        <w:rPr>
          <w:rFonts w:ascii="GHEA Grapalat" w:hAnsi="GHEA Grapalat"/>
          <w:sz w:val="22"/>
          <w:szCs w:val="22"/>
          <w:lang w:val="nb-NO"/>
        </w:rPr>
        <w:t xml:space="preserve"> </w:t>
      </w:r>
      <w:r w:rsidRPr="001F63BA">
        <w:rPr>
          <w:rFonts w:ascii="GHEA Grapalat" w:hAnsi="GHEA Grapalat"/>
          <w:sz w:val="22"/>
          <w:szCs w:val="22"/>
        </w:rPr>
        <w:t>հետևյալը.</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 xml:space="preserve">միջին կշռված եկամտաբերությունը կազմել է </w:t>
      </w:r>
      <w:r w:rsidRPr="001F63BA">
        <w:rPr>
          <w:rFonts w:ascii="GHEA Grapalat" w:hAnsi="GHEA Grapalat" w:cs="GHEA Grapalat"/>
          <w:sz w:val="22"/>
          <w:szCs w:val="22"/>
          <w:lang w:val="nb-NO"/>
        </w:rPr>
        <w:t>10.55% (2021</w:t>
      </w:r>
      <w:r w:rsidRPr="001F63BA">
        <w:rPr>
          <w:rFonts w:ascii="GHEA Grapalat" w:hAnsi="GHEA Grapalat" w:cs="GHEA Grapalat"/>
          <w:sz w:val="22"/>
          <w:szCs w:val="22"/>
        </w:rPr>
        <w:t>թ</w:t>
      </w:r>
      <w:r w:rsidRPr="001F63BA">
        <w:rPr>
          <w:rFonts w:ascii="GHEA Grapalat" w:hAnsi="GHEA Grapalat" w:cs="GHEA Grapalat"/>
          <w:sz w:val="22"/>
          <w:szCs w:val="22"/>
          <w:lang w:val="nb-NO"/>
        </w:rPr>
        <w:t>.` 10.08%),</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մինչև մարումը մնացած միջին ժամկետայնությունը` 3,</w:t>
      </w:r>
      <w:r w:rsidRPr="001F63BA">
        <w:rPr>
          <w:rFonts w:ascii="GHEA Grapalat" w:hAnsi="GHEA Grapalat" w:cs="GHEA Grapalat"/>
          <w:sz w:val="22"/>
          <w:szCs w:val="22"/>
          <w:lang w:val="en-US"/>
        </w:rPr>
        <w:t>204</w:t>
      </w:r>
      <w:r w:rsidRPr="001F63BA">
        <w:rPr>
          <w:rFonts w:ascii="GHEA Grapalat" w:hAnsi="GHEA Grapalat" w:cs="GHEA Grapalat"/>
          <w:sz w:val="22"/>
          <w:szCs w:val="22"/>
        </w:rPr>
        <w:t xml:space="preserve"> օր (202</w:t>
      </w:r>
      <w:r w:rsidRPr="001F63BA">
        <w:rPr>
          <w:rFonts w:ascii="GHEA Grapalat" w:hAnsi="GHEA Grapalat" w:cs="GHEA Grapalat"/>
          <w:sz w:val="22"/>
          <w:szCs w:val="22"/>
          <w:lang w:val="en-US"/>
        </w:rPr>
        <w:t>1</w:t>
      </w:r>
      <w:r w:rsidRPr="001F63BA">
        <w:rPr>
          <w:rFonts w:ascii="GHEA Grapalat" w:hAnsi="GHEA Grapalat" w:cs="GHEA Grapalat"/>
          <w:sz w:val="22"/>
          <w:szCs w:val="22"/>
        </w:rPr>
        <w:t>թ.՝ 3,</w:t>
      </w:r>
      <w:r w:rsidRPr="001F63BA">
        <w:rPr>
          <w:rFonts w:ascii="GHEA Grapalat" w:hAnsi="GHEA Grapalat" w:cs="GHEA Grapalat"/>
          <w:sz w:val="22"/>
          <w:szCs w:val="22"/>
          <w:lang w:val="en-US"/>
        </w:rPr>
        <w:t>761</w:t>
      </w:r>
      <w:r w:rsidRPr="001F63BA">
        <w:rPr>
          <w:rFonts w:ascii="GHEA Grapalat" w:hAnsi="GHEA Grapalat" w:cs="GHEA Grapalat"/>
          <w:sz w:val="22"/>
          <w:szCs w:val="22"/>
        </w:rPr>
        <w:t xml:space="preserve"> օր).</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մարման բեռի բաշխվածությունը մինչև 2050 թվականն է.</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շրջանառության մեջ գտնվող պարտատոմսերի ծավալն անվանական արժեքով կազմել է 1,</w:t>
      </w:r>
      <w:r w:rsidRPr="001F63BA">
        <w:rPr>
          <w:rFonts w:ascii="GHEA Grapalat" w:hAnsi="GHEA Grapalat" w:cs="GHEA Grapalat"/>
          <w:sz w:val="22"/>
          <w:szCs w:val="22"/>
          <w:lang w:val="en-US"/>
        </w:rPr>
        <w:t>496.3</w:t>
      </w:r>
      <w:r w:rsidRPr="001F63BA">
        <w:rPr>
          <w:rFonts w:ascii="GHEA Grapalat" w:hAnsi="GHEA Grapalat" w:cs="GHEA Grapalat"/>
          <w:sz w:val="22"/>
          <w:szCs w:val="22"/>
        </w:rPr>
        <w:t xml:space="preserve"> մլրդ դրամ</w:t>
      </w:r>
      <w:r w:rsidRPr="001F63BA">
        <w:rPr>
          <w:rFonts w:ascii="GHEA Grapalat" w:hAnsi="GHEA Grapalat" w:cs="GHEA Grapalat"/>
          <w:sz w:val="22"/>
          <w:szCs w:val="22"/>
          <w:lang w:val="nb-NO"/>
        </w:rPr>
        <w:t xml:space="preserve"> (</w:t>
      </w:r>
      <w:r w:rsidRPr="001F63BA">
        <w:rPr>
          <w:rFonts w:ascii="GHEA Grapalat" w:hAnsi="GHEA Grapalat" w:cs="GHEA Grapalat"/>
          <w:sz w:val="22"/>
          <w:szCs w:val="22"/>
        </w:rPr>
        <w:t>202</w:t>
      </w:r>
      <w:r w:rsidRPr="001F63BA">
        <w:rPr>
          <w:rFonts w:ascii="GHEA Grapalat" w:hAnsi="GHEA Grapalat" w:cs="GHEA Grapalat"/>
          <w:sz w:val="22"/>
          <w:szCs w:val="22"/>
          <w:lang w:val="en-US"/>
        </w:rPr>
        <w:t>1</w:t>
      </w:r>
      <w:r w:rsidRPr="001F63BA">
        <w:rPr>
          <w:rFonts w:ascii="GHEA Grapalat" w:hAnsi="GHEA Grapalat" w:cs="GHEA Grapalat"/>
          <w:sz w:val="22"/>
          <w:szCs w:val="22"/>
        </w:rPr>
        <w:t>թ.</w:t>
      </w:r>
      <w:r w:rsidRPr="001F63BA">
        <w:rPr>
          <w:rFonts w:ascii="GHEA Grapalat" w:hAnsi="GHEA Grapalat" w:cs="GHEA Grapalat"/>
          <w:sz w:val="22"/>
          <w:szCs w:val="22"/>
          <w:lang w:val="nb-NO"/>
        </w:rPr>
        <w:t>՝ 1,208.9</w:t>
      </w:r>
      <w:r w:rsidRPr="001F63BA">
        <w:rPr>
          <w:rFonts w:ascii="GHEA Grapalat" w:hAnsi="GHEA Grapalat" w:cs="GHEA Grapalat"/>
          <w:sz w:val="22"/>
          <w:szCs w:val="22"/>
        </w:rPr>
        <w:t xml:space="preserve"> </w:t>
      </w:r>
      <w:r w:rsidRPr="001F63BA">
        <w:rPr>
          <w:rFonts w:ascii="GHEA Grapalat" w:hAnsi="GHEA Grapalat" w:cs="GHEA Grapalat"/>
          <w:sz w:val="22"/>
          <w:szCs w:val="22"/>
          <w:lang w:val="nb-NO"/>
        </w:rPr>
        <w:t>մլրդ դրամ)</w:t>
      </w:r>
      <w:r w:rsidRPr="001F63BA">
        <w:rPr>
          <w:rFonts w:ascii="GHEA Grapalat" w:hAnsi="GHEA Grapalat" w:cs="GHEA Grapalat"/>
          <w:sz w:val="22"/>
          <w:szCs w:val="22"/>
        </w:rPr>
        <w:t xml:space="preserve">, </w:t>
      </w:r>
      <w:r w:rsidRPr="001F63BA">
        <w:rPr>
          <w:rFonts w:ascii="GHEA Grapalat" w:hAnsi="GHEA Grapalat" w:cs="GHEA Grapalat"/>
          <w:sz w:val="22"/>
          <w:szCs w:val="22"/>
          <w:lang w:val="nb-NO"/>
        </w:rPr>
        <w:t>որի 6.9%-ը (103.11</w:t>
      </w:r>
      <w:r w:rsidRPr="001F63BA">
        <w:rPr>
          <w:rFonts w:ascii="Courier New" w:hAnsi="Courier New" w:cs="Courier New"/>
          <w:sz w:val="22"/>
          <w:szCs w:val="22"/>
        </w:rPr>
        <w:t> </w:t>
      </w:r>
      <w:r w:rsidRPr="001F63BA">
        <w:rPr>
          <w:rFonts w:ascii="GHEA Grapalat" w:hAnsi="GHEA Grapalat" w:cs="GHEA Grapalat"/>
          <w:sz w:val="22"/>
          <w:szCs w:val="22"/>
        </w:rPr>
        <w:t xml:space="preserve">մլրդ դրամը) կազմել են կարճաժամկետ պարտատոմսերը, </w:t>
      </w:r>
      <w:r w:rsidRPr="001F63BA">
        <w:rPr>
          <w:rFonts w:ascii="GHEA Grapalat" w:hAnsi="GHEA Grapalat" w:cs="GHEA Grapalat"/>
          <w:sz w:val="22"/>
          <w:szCs w:val="22"/>
          <w:lang w:val="en-US"/>
        </w:rPr>
        <w:t>33.7</w:t>
      </w:r>
      <w:r w:rsidRPr="001F63BA">
        <w:rPr>
          <w:rFonts w:ascii="GHEA Grapalat" w:hAnsi="GHEA Grapalat" w:cs="GHEA Grapalat"/>
          <w:sz w:val="22"/>
          <w:szCs w:val="22"/>
        </w:rPr>
        <w:t>%-ը (</w:t>
      </w:r>
      <w:r w:rsidRPr="001F63BA">
        <w:rPr>
          <w:rFonts w:ascii="GHEA Grapalat" w:hAnsi="GHEA Grapalat" w:cs="GHEA Grapalat"/>
          <w:sz w:val="22"/>
          <w:szCs w:val="22"/>
          <w:lang w:val="en-US"/>
        </w:rPr>
        <w:t>504.54</w:t>
      </w:r>
      <w:r w:rsidRPr="001F63BA">
        <w:rPr>
          <w:rFonts w:ascii="GHEA Grapalat" w:hAnsi="GHEA Grapalat" w:cs="GHEA Grapalat"/>
          <w:sz w:val="22"/>
          <w:szCs w:val="22"/>
        </w:rPr>
        <w:t xml:space="preserve"> մլրդ դրամը)՝ միջնաժամկետ պարտատոմսերը, </w:t>
      </w:r>
      <w:r w:rsidRPr="001F63BA">
        <w:rPr>
          <w:rFonts w:ascii="GHEA Grapalat" w:hAnsi="GHEA Grapalat" w:cs="GHEA Grapalat"/>
          <w:sz w:val="22"/>
          <w:szCs w:val="22"/>
          <w:lang w:val="en-US"/>
        </w:rPr>
        <w:t>59.0</w:t>
      </w:r>
      <w:r w:rsidRPr="001F63BA">
        <w:rPr>
          <w:rFonts w:ascii="GHEA Grapalat" w:hAnsi="GHEA Grapalat" w:cs="GHEA Grapalat"/>
          <w:sz w:val="22"/>
          <w:szCs w:val="22"/>
        </w:rPr>
        <w:t>%-ը (</w:t>
      </w:r>
      <w:r w:rsidRPr="001F63BA">
        <w:rPr>
          <w:rFonts w:ascii="GHEA Grapalat" w:hAnsi="GHEA Grapalat" w:cs="GHEA Grapalat"/>
          <w:sz w:val="22"/>
          <w:szCs w:val="22"/>
          <w:lang w:val="en-US"/>
        </w:rPr>
        <w:t>883.29</w:t>
      </w:r>
      <w:r w:rsidRPr="001F63BA">
        <w:rPr>
          <w:rFonts w:ascii="GHEA Grapalat" w:hAnsi="GHEA Grapalat" w:cs="GHEA Grapalat"/>
          <w:sz w:val="22"/>
          <w:szCs w:val="22"/>
        </w:rPr>
        <w:t xml:space="preserve"> մլրդ դրամը)՝ երկարաժամկետ պարտատոմսերը և 0.</w:t>
      </w:r>
      <w:r w:rsidRPr="001F63BA">
        <w:rPr>
          <w:rFonts w:ascii="GHEA Grapalat" w:hAnsi="GHEA Grapalat" w:cs="GHEA Grapalat"/>
          <w:sz w:val="22"/>
          <w:szCs w:val="22"/>
          <w:lang w:val="en-US"/>
        </w:rPr>
        <w:t>4</w:t>
      </w:r>
      <w:r w:rsidRPr="001F63BA">
        <w:rPr>
          <w:rFonts w:ascii="GHEA Grapalat" w:hAnsi="GHEA Grapalat" w:cs="GHEA Grapalat"/>
          <w:sz w:val="22"/>
          <w:szCs w:val="22"/>
        </w:rPr>
        <w:t>%-ը (5.</w:t>
      </w:r>
      <w:r w:rsidRPr="001F63BA">
        <w:rPr>
          <w:rFonts w:ascii="GHEA Grapalat" w:hAnsi="GHEA Grapalat" w:cs="GHEA Grapalat"/>
          <w:sz w:val="22"/>
          <w:szCs w:val="22"/>
          <w:lang w:val="en-US"/>
        </w:rPr>
        <w:t>32</w:t>
      </w:r>
      <w:r w:rsidRPr="001F63BA">
        <w:rPr>
          <w:rFonts w:ascii="Courier New" w:hAnsi="Courier New" w:cs="Courier New"/>
          <w:sz w:val="22"/>
          <w:szCs w:val="22"/>
        </w:rPr>
        <w:t> </w:t>
      </w:r>
      <w:r w:rsidRPr="001F63BA">
        <w:rPr>
          <w:rFonts w:ascii="GHEA Grapalat" w:hAnsi="GHEA Grapalat" w:cs="GHEA Grapalat"/>
          <w:sz w:val="22"/>
          <w:szCs w:val="22"/>
        </w:rPr>
        <w:t>մլրդ դրամը)՝ խնայողական պարտատոմսերը:</w:t>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GHEA Grapalat"/>
          <w:sz w:val="22"/>
          <w:szCs w:val="22"/>
        </w:rPr>
        <w:lastRenderedPageBreak/>
        <w:t>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w:t>
      </w:r>
      <w:r w:rsidRPr="001F63BA">
        <w:rPr>
          <w:rFonts w:ascii="GHEA Grapalat" w:hAnsi="GHEA Grapalat" w:cs="GHEA Grapalat"/>
          <w:sz w:val="22"/>
          <w:szCs w:val="22"/>
        </w:rPr>
        <w:t xml:space="preserve"> ընթացքում շրջանառության մեջ գտնվող գանձապետական պարտատոմսերի 9</w:t>
      </w:r>
      <w:r w:rsidRPr="001F63BA">
        <w:rPr>
          <w:rFonts w:ascii="GHEA Grapalat" w:hAnsi="GHEA Grapalat" w:cs="GHEA Grapalat"/>
          <w:sz w:val="22"/>
          <w:szCs w:val="22"/>
          <w:lang w:val="en-US"/>
        </w:rPr>
        <w:t>7</w:t>
      </w:r>
      <w:r w:rsidRPr="001F63BA">
        <w:rPr>
          <w:rFonts w:ascii="GHEA Grapalat" w:hAnsi="GHEA Grapalat" w:cs="GHEA Grapalat"/>
          <w:sz w:val="22"/>
          <w:szCs w:val="22"/>
        </w:rPr>
        <w:t>.</w:t>
      </w:r>
      <w:r w:rsidRPr="001F63BA">
        <w:rPr>
          <w:rFonts w:ascii="GHEA Grapalat" w:hAnsi="GHEA Grapalat" w:cs="GHEA Grapalat"/>
          <w:sz w:val="22"/>
          <w:szCs w:val="22"/>
          <w:lang w:val="en-US"/>
        </w:rPr>
        <w:t>03</w:t>
      </w:r>
      <w:r w:rsidRPr="001F63BA">
        <w:rPr>
          <w:rFonts w:ascii="GHEA Grapalat" w:hAnsi="GHEA Grapalat" w:cs="GHEA Grapalat"/>
          <w:sz w:val="22"/>
          <w:szCs w:val="22"/>
        </w:rPr>
        <w:t>%-ը (1,451</w:t>
      </w:r>
      <w:r w:rsidRPr="001F63BA">
        <w:rPr>
          <w:rFonts w:ascii="GHEA Grapalat" w:hAnsi="GHEA Grapalat" w:cs="GHEA Grapalat"/>
          <w:sz w:val="22"/>
          <w:szCs w:val="22"/>
          <w:lang w:val="en-US"/>
        </w:rPr>
        <w:t>.</w:t>
      </w:r>
      <w:r w:rsidRPr="001F63BA">
        <w:rPr>
          <w:rFonts w:ascii="GHEA Grapalat" w:hAnsi="GHEA Grapalat" w:cs="GHEA Grapalat"/>
          <w:sz w:val="22"/>
          <w:szCs w:val="22"/>
        </w:rPr>
        <w:t>8</w:t>
      </w:r>
      <w:r w:rsidRPr="001F63BA">
        <w:rPr>
          <w:rFonts w:ascii="GHEA Grapalat" w:hAnsi="GHEA Grapalat" w:cs="GHEA Grapalat"/>
          <w:sz w:val="22"/>
          <w:szCs w:val="22"/>
          <w:lang w:val="en-US"/>
        </w:rPr>
        <w:t>6</w:t>
      </w:r>
      <w:r w:rsidRPr="001F63BA">
        <w:rPr>
          <w:rFonts w:ascii="GHEA Grapalat" w:hAnsi="GHEA Grapalat" w:cs="GHEA Grapalat"/>
          <w:sz w:val="22"/>
          <w:szCs w:val="22"/>
        </w:rPr>
        <w:t xml:space="preserve"> մլրդ դրամ) ձեռք է բերվել ռեզիդենտների կողմից, իսկ մնացած ծավալը </w:t>
      </w:r>
      <w:r w:rsidRPr="001F63BA">
        <w:rPr>
          <w:rFonts w:ascii="GHEA Grapalat" w:hAnsi="GHEA Grapalat" w:cs="GHEA Grapalat"/>
          <w:sz w:val="22"/>
          <w:szCs w:val="22"/>
          <w:lang w:val="en-US"/>
        </w:rPr>
        <w:t>2</w:t>
      </w:r>
      <w:r w:rsidRPr="001F63BA">
        <w:rPr>
          <w:rFonts w:ascii="GHEA Grapalat" w:hAnsi="GHEA Grapalat" w:cs="GHEA Grapalat"/>
          <w:sz w:val="22"/>
          <w:szCs w:val="22"/>
        </w:rPr>
        <w:t>.</w:t>
      </w:r>
      <w:r w:rsidRPr="001F63BA">
        <w:rPr>
          <w:rFonts w:ascii="GHEA Grapalat" w:hAnsi="GHEA Grapalat" w:cs="GHEA Grapalat"/>
          <w:sz w:val="22"/>
          <w:szCs w:val="22"/>
          <w:lang w:val="en-US"/>
        </w:rPr>
        <w:t>97</w:t>
      </w:r>
      <w:r w:rsidRPr="001F63BA">
        <w:rPr>
          <w:rFonts w:ascii="GHEA Grapalat" w:hAnsi="GHEA Grapalat" w:cs="GHEA Grapalat"/>
          <w:sz w:val="22"/>
          <w:szCs w:val="22"/>
        </w:rPr>
        <w:t>%-ը (44.</w:t>
      </w:r>
      <w:r w:rsidRPr="001F63BA">
        <w:rPr>
          <w:rFonts w:ascii="GHEA Grapalat" w:hAnsi="GHEA Grapalat" w:cs="GHEA Grapalat"/>
          <w:sz w:val="22"/>
          <w:szCs w:val="22"/>
          <w:lang w:val="en-US"/>
        </w:rPr>
        <w:t>39</w:t>
      </w:r>
      <w:r w:rsidRPr="001F63BA">
        <w:rPr>
          <w:rFonts w:ascii="GHEA Grapalat" w:hAnsi="GHEA Grapalat" w:cs="GHEA Grapalat"/>
          <w:sz w:val="22"/>
          <w:szCs w:val="22"/>
        </w:rPr>
        <w:t xml:space="preserve"> մլրդ դրամ)` ոչ ռեզիդենտների կողմից:</w:t>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 xml:space="preserve">14.5 </w:t>
      </w:r>
      <w:r w:rsidRPr="001F63BA">
        <w:rPr>
          <w:rFonts w:ascii="GHEA Grapalat" w:hAnsi="GHEA Grapalat"/>
          <w:sz w:val="22"/>
          <w:szCs w:val="22"/>
        </w:rPr>
        <w:t xml:space="preserve">մլն դրամ տրամադրվել է մուրհակների մարմանը` ծրագրով նախատեսված </w:t>
      </w:r>
      <w:r w:rsidRPr="001F63BA">
        <w:rPr>
          <w:rFonts w:ascii="GHEA Grapalat" w:hAnsi="GHEA Grapalat"/>
          <w:sz w:val="22"/>
          <w:szCs w:val="22"/>
          <w:lang w:val="en-US"/>
        </w:rPr>
        <w:t>16.6</w:t>
      </w:r>
      <w:r w:rsidRPr="001F63BA">
        <w:rPr>
          <w:rFonts w:ascii="GHEA Grapalat" w:hAnsi="GHEA Grapalat"/>
          <w:sz w:val="22"/>
          <w:szCs w:val="22"/>
        </w:rPr>
        <w:t xml:space="preserve"> մլն դրամի դիմաց։ </w:t>
      </w:r>
      <w:r w:rsidRPr="001F63BA">
        <w:rPr>
          <w:rFonts w:ascii="GHEA Grapalat" w:hAnsi="GHEA Grapalat"/>
          <w:sz w:val="22"/>
          <w:szCs w:val="22"/>
          <w:lang w:val="en-US"/>
        </w:rPr>
        <w:t>Ծրագրից շեղումը պայմանավորված է մարման ներկայացված մուրհակների ծավալով:</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lang w:val="nb-NO"/>
        </w:rPr>
        <w:t xml:space="preserve">2022 թվականին </w:t>
      </w:r>
      <w:r w:rsidRPr="001F63BA">
        <w:rPr>
          <w:rFonts w:ascii="GHEA Grapalat" w:hAnsi="GHEA Grapalat" w:cs="GHEA Grapalat"/>
          <w:sz w:val="22"/>
          <w:szCs w:val="22"/>
        </w:rPr>
        <w:t xml:space="preserve">պետական բյուջեի ֆինանսավորումը ներքին ֆինանսական զուտ ակտիվների հաշվին կազմել է </w:t>
      </w:r>
      <w:r w:rsidRPr="001F63BA">
        <w:rPr>
          <w:rFonts w:ascii="GHEA Grapalat" w:hAnsi="GHEA Grapalat" w:cs="GHEA Grapalat"/>
          <w:sz w:val="22"/>
          <w:szCs w:val="22"/>
          <w:lang w:val="en-US"/>
        </w:rPr>
        <w:t>36.1</w:t>
      </w:r>
      <w:r w:rsidRPr="001F63BA">
        <w:rPr>
          <w:rFonts w:ascii="GHEA Grapalat" w:hAnsi="GHEA Grapalat" w:cs="GHEA Grapalat"/>
          <w:sz w:val="22"/>
          <w:szCs w:val="22"/>
        </w:rPr>
        <w:t xml:space="preserve"> մլրդ դրամ՝ նախատեսված </w:t>
      </w:r>
      <w:r w:rsidRPr="001F63BA">
        <w:rPr>
          <w:rFonts w:ascii="GHEA Grapalat" w:hAnsi="GHEA Grapalat" w:cs="GHEA Grapalat"/>
          <w:sz w:val="22"/>
          <w:szCs w:val="22"/>
          <w:lang w:val="en-US"/>
        </w:rPr>
        <w:t>56.5</w:t>
      </w:r>
      <w:r w:rsidRPr="001F63BA">
        <w:rPr>
          <w:rFonts w:ascii="GHEA Grapalat" w:hAnsi="GHEA Grapalat" w:cs="GHEA Grapalat"/>
          <w:sz w:val="22"/>
          <w:szCs w:val="22"/>
        </w:rPr>
        <w:t xml:space="preserve"> մլրդ դրամի դիմաց</w:t>
      </w:r>
      <w:r w:rsidRPr="001F63BA">
        <w:rPr>
          <w:rFonts w:ascii="GHEA Grapalat" w:hAnsi="GHEA Grapalat" w:cs="GHEA Grapalat"/>
          <w:sz w:val="22"/>
          <w:szCs w:val="22"/>
          <w:lang w:val="en-US"/>
        </w:rPr>
        <w:t>,</w:t>
      </w:r>
      <w:r w:rsidRPr="001F63BA">
        <w:rPr>
          <w:rFonts w:ascii="GHEA Grapalat" w:hAnsi="GHEA Grapalat" w:cs="GHEA Grapalat"/>
          <w:noProof w:val="0"/>
          <w:sz w:val="22"/>
          <w:szCs w:val="22"/>
          <w:lang w:val="en-US"/>
        </w:rPr>
        <w:t xml:space="preserve"> </w:t>
      </w:r>
      <w:r w:rsidRPr="001F63BA">
        <w:rPr>
          <w:rFonts w:ascii="GHEA Grapalat" w:hAnsi="GHEA Grapalat" w:cs="GHEA Grapalat"/>
          <w:sz w:val="22"/>
          <w:szCs w:val="22"/>
          <w:lang w:val="en-US"/>
        </w:rPr>
        <w:t xml:space="preserve">ինչը հիմնականում պայմանավորված է </w:t>
      </w:r>
      <w:r w:rsidRPr="001F63BA">
        <w:rPr>
          <w:rFonts w:ascii="GHEA Grapalat" w:hAnsi="GHEA Grapalat" w:cs="GHEA Grapalat"/>
          <w:sz w:val="22"/>
          <w:szCs w:val="22"/>
        </w:rPr>
        <w:t>ֆինանսավորման ներքին աղբյուրներում բյուջեի ազատ միջոցների՝ նախատեսված</w:t>
      </w:r>
      <w:r w:rsidRPr="001F63BA">
        <w:rPr>
          <w:rFonts w:ascii="GHEA Grapalat" w:hAnsi="GHEA Grapalat" w:cs="GHEA Grapalat"/>
          <w:sz w:val="22"/>
          <w:szCs w:val="22"/>
          <w:lang w:val="en-US"/>
        </w:rPr>
        <w:t xml:space="preserve">ից պակաս </w:t>
      </w:r>
      <w:r w:rsidRPr="001F63BA">
        <w:rPr>
          <w:rFonts w:ascii="GHEA Grapalat" w:hAnsi="GHEA Grapalat" w:cs="GHEA Grapalat"/>
          <w:sz w:val="22"/>
          <w:szCs w:val="22"/>
        </w:rPr>
        <w:t>օգտագործմա</w:t>
      </w:r>
      <w:r w:rsidRPr="001F63BA">
        <w:rPr>
          <w:rFonts w:ascii="GHEA Grapalat" w:hAnsi="GHEA Grapalat" w:cs="GHEA Grapalat"/>
          <w:sz w:val="22"/>
          <w:szCs w:val="22"/>
          <w:lang w:val="en-US"/>
        </w:rPr>
        <w:t>մբ:</w:t>
      </w:r>
      <w:r w:rsidRPr="001F63BA">
        <w:rPr>
          <w:rFonts w:ascii="GHEA Grapalat" w:hAnsi="GHEA Grapalat" w:cs="GHEA Grapalat"/>
          <w:sz w:val="22"/>
          <w:szCs w:val="22"/>
        </w:rPr>
        <w:t xml:space="preserve"> </w:t>
      </w:r>
    </w:p>
    <w:p w:rsidR="001C411D" w:rsidRPr="001F63BA" w:rsidRDefault="001C411D" w:rsidP="00881875">
      <w:pPr>
        <w:autoSpaceDE w:val="0"/>
        <w:autoSpaceDN w:val="0"/>
        <w:adjustRightInd w:val="0"/>
        <w:ind w:firstLine="567"/>
        <w:jc w:val="both"/>
        <w:rPr>
          <w:rFonts w:ascii="GHEA Grapalat" w:hAnsi="GHEA Grapalat" w:cs="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 xml:space="preserve"> Ներքին ֆինանսական ակտիվների հաշվին դեֆիցիտի ֆինանսավորումը (մլրդ դրամ)</w:t>
      </w:r>
    </w:p>
    <w:tbl>
      <w:tblPr>
        <w:tblW w:w="10170" w:type="dxa"/>
        <w:tblLayout w:type="fixed"/>
        <w:tblLook w:val="00A0" w:firstRow="1" w:lastRow="0" w:firstColumn="1" w:lastColumn="0" w:noHBand="0" w:noVBand="0"/>
      </w:tblPr>
      <w:tblGrid>
        <w:gridCol w:w="4946"/>
        <w:gridCol w:w="1261"/>
        <w:gridCol w:w="1261"/>
        <w:gridCol w:w="1261"/>
        <w:gridCol w:w="1441"/>
      </w:tblGrid>
      <w:tr w:rsidR="001C411D" w:rsidRPr="001F63BA" w:rsidTr="009D2FDC">
        <w:trPr>
          <w:trHeight w:val="855"/>
        </w:trPr>
        <w:tc>
          <w:tcPr>
            <w:tcW w:w="494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rPr>
                <w:rFonts w:ascii="GHEA Grapalat" w:hAnsi="GHEA Grapalat" w:cs="Calibri"/>
                <w:sz w:val="18"/>
                <w:szCs w:val="18"/>
              </w:rPr>
            </w:pPr>
            <w:bookmarkStart w:id="280" w:name="_Hlk86747269"/>
            <w:r w:rsidRPr="001F63BA">
              <w:rPr>
                <w:rFonts w:ascii="Courier New" w:hAnsi="Courier New" w:cs="Courier New"/>
                <w:sz w:val="18"/>
                <w:szCs w:val="18"/>
              </w:rPr>
              <w:t> </w:t>
            </w:r>
          </w:p>
        </w:tc>
        <w:tc>
          <w:tcPr>
            <w:tcW w:w="1261" w:type="dxa"/>
            <w:tcBorders>
              <w:top w:val="single" w:sz="4" w:space="0" w:color="auto"/>
              <w:left w:val="nil"/>
              <w:bottom w:val="single" w:sz="4" w:space="0" w:color="auto"/>
              <w:right w:val="single" w:sz="4" w:space="0" w:color="auto"/>
            </w:tcBorders>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2021թ. փաստ</w:t>
            </w:r>
          </w:p>
        </w:tc>
        <w:tc>
          <w:tcPr>
            <w:tcW w:w="1261" w:type="dxa"/>
            <w:tcBorders>
              <w:top w:val="single" w:sz="4" w:space="0" w:color="auto"/>
              <w:left w:val="single" w:sz="4" w:space="0" w:color="auto"/>
              <w:bottom w:val="single" w:sz="4" w:space="0" w:color="auto"/>
              <w:right w:val="single" w:sz="4" w:space="0" w:color="auto"/>
            </w:tcBorders>
            <w:shd w:val="clear" w:color="auto" w:fill="FFFFFF"/>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2022թ. ճշտված պլան</w:t>
            </w:r>
          </w:p>
        </w:tc>
        <w:tc>
          <w:tcPr>
            <w:tcW w:w="1261"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2022թ. փաստ</w:t>
            </w:r>
          </w:p>
        </w:tc>
        <w:tc>
          <w:tcPr>
            <w:tcW w:w="1441" w:type="dxa"/>
            <w:tcBorders>
              <w:top w:val="single" w:sz="4" w:space="0" w:color="auto"/>
              <w:left w:val="nil"/>
              <w:bottom w:val="single" w:sz="4" w:space="0" w:color="auto"/>
              <w:right w:val="single" w:sz="4" w:space="0" w:color="auto"/>
            </w:tcBorders>
            <w:shd w:val="clear" w:color="auto" w:fill="FFFFFF"/>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 (%)</w:t>
            </w:r>
          </w:p>
        </w:tc>
      </w:tr>
      <w:tr w:rsidR="001C411D" w:rsidRPr="001F63BA" w:rsidTr="009D2FDC">
        <w:trPr>
          <w:trHeight w:val="377"/>
        </w:trPr>
        <w:tc>
          <w:tcPr>
            <w:tcW w:w="4946" w:type="dxa"/>
            <w:tcBorders>
              <w:top w:val="nil"/>
              <w:left w:val="single" w:sz="4" w:space="0" w:color="auto"/>
              <w:bottom w:val="single" w:sz="4" w:space="0" w:color="auto"/>
              <w:right w:val="single" w:sz="4" w:space="0" w:color="auto"/>
            </w:tcBorders>
            <w:vAlign w:val="bottom"/>
          </w:tcPr>
          <w:p w:rsidR="001C411D" w:rsidRPr="001F63BA" w:rsidRDefault="001C411D" w:rsidP="009D2FDC">
            <w:pPr>
              <w:spacing w:line="254" w:lineRule="auto"/>
              <w:rPr>
                <w:rFonts w:ascii="GHEA Grapalat" w:hAnsi="GHEA Grapalat" w:cs="Calibri"/>
                <w:b/>
                <w:sz w:val="18"/>
                <w:szCs w:val="18"/>
              </w:rPr>
            </w:pPr>
            <w:r w:rsidRPr="001F63BA">
              <w:rPr>
                <w:rFonts w:ascii="GHEA Grapalat" w:hAnsi="GHEA Grapalat" w:cs="Calibri"/>
                <w:b/>
                <w:sz w:val="18"/>
                <w:szCs w:val="18"/>
              </w:rPr>
              <w:t>Ֆինանսական զուտ ակտիվներ</w:t>
            </w:r>
          </w:p>
        </w:tc>
        <w:tc>
          <w:tcPr>
            <w:tcW w:w="1261"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9D2FDC">
            <w:pPr>
              <w:spacing w:line="254" w:lineRule="auto"/>
              <w:jc w:val="right"/>
              <w:rPr>
                <w:rFonts w:ascii="GHEA Grapalat" w:hAnsi="GHEA Grapalat" w:cs="Calibri"/>
                <w:b/>
                <w:sz w:val="18"/>
                <w:szCs w:val="18"/>
              </w:rPr>
            </w:pPr>
            <w:r w:rsidRPr="001F63BA">
              <w:rPr>
                <w:rFonts w:ascii="GHEA Grapalat" w:hAnsi="GHEA Grapalat" w:cs="Calibri"/>
                <w:b/>
                <w:sz w:val="18"/>
                <w:szCs w:val="18"/>
              </w:rPr>
              <w:t>(</w:t>
            </w:r>
            <w:r w:rsidRPr="001F63BA">
              <w:rPr>
                <w:rFonts w:ascii="GHEA Grapalat" w:hAnsi="GHEA Grapalat" w:cs="Calibri"/>
                <w:b/>
                <w:sz w:val="18"/>
                <w:szCs w:val="18"/>
                <w:lang w:val="en-US"/>
              </w:rPr>
              <w:t>138.7</w:t>
            </w:r>
            <w:r w:rsidRPr="001F63BA">
              <w:rPr>
                <w:rFonts w:ascii="GHEA Grapalat" w:hAnsi="GHEA Grapalat" w:cs="Calibri"/>
                <w:b/>
                <w:sz w:val="18"/>
                <w:szCs w:val="18"/>
              </w:rPr>
              <w:t>)</w:t>
            </w:r>
          </w:p>
        </w:tc>
        <w:tc>
          <w:tcPr>
            <w:tcW w:w="126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b/>
                <w:sz w:val="18"/>
                <w:szCs w:val="18"/>
                <w:lang w:val="en-US"/>
              </w:rPr>
            </w:pPr>
            <w:r w:rsidRPr="001F63BA">
              <w:rPr>
                <w:rFonts w:ascii="GHEA Grapalat" w:hAnsi="GHEA Grapalat" w:cs="Calibri"/>
                <w:b/>
                <w:sz w:val="18"/>
                <w:szCs w:val="18"/>
                <w:lang w:val="en-US"/>
              </w:rPr>
              <w:t>56.5</w:t>
            </w:r>
          </w:p>
        </w:tc>
        <w:tc>
          <w:tcPr>
            <w:tcW w:w="126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b/>
                <w:sz w:val="18"/>
                <w:szCs w:val="18"/>
              </w:rPr>
            </w:pPr>
            <w:r w:rsidRPr="001F63BA">
              <w:rPr>
                <w:rFonts w:ascii="GHEA Grapalat" w:hAnsi="GHEA Grapalat" w:cs="Calibri"/>
                <w:b/>
                <w:sz w:val="18"/>
                <w:szCs w:val="18"/>
                <w:lang w:val="en-US"/>
              </w:rPr>
              <w:t>36.1</w:t>
            </w:r>
          </w:p>
        </w:tc>
        <w:tc>
          <w:tcPr>
            <w:tcW w:w="1441" w:type="dxa"/>
            <w:tcBorders>
              <w:top w:val="nil"/>
              <w:left w:val="nil"/>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b/>
                <w:sz w:val="18"/>
                <w:szCs w:val="18"/>
                <w:lang w:val="en-US"/>
              </w:rPr>
            </w:pPr>
            <w:r w:rsidRPr="001F63BA">
              <w:rPr>
                <w:rFonts w:ascii="GHEA Grapalat" w:hAnsi="GHEA Grapalat" w:cs="Calibri"/>
                <w:b/>
                <w:sz w:val="18"/>
                <w:szCs w:val="18"/>
                <w:lang w:val="en-US"/>
              </w:rPr>
              <w:t>64.0</w:t>
            </w:r>
          </w:p>
        </w:tc>
      </w:tr>
      <w:tr w:rsidR="001C411D" w:rsidRPr="001F63BA" w:rsidTr="009D2FDC">
        <w:trPr>
          <w:trHeight w:val="377"/>
        </w:trPr>
        <w:tc>
          <w:tcPr>
            <w:tcW w:w="4946" w:type="dxa"/>
            <w:tcBorders>
              <w:top w:val="nil"/>
              <w:left w:val="single" w:sz="4" w:space="0" w:color="auto"/>
              <w:bottom w:val="single" w:sz="4" w:space="0" w:color="auto"/>
              <w:right w:val="single" w:sz="4" w:space="0" w:color="auto"/>
            </w:tcBorders>
            <w:vAlign w:val="bottom"/>
          </w:tcPr>
          <w:p w:rsidR="001C411D" w:rsidRPr="001F63BA" w:rsidRDefault="001C411D" w:rsidP="009D2FDC">
            <w:pPr>
              <w:spacing w:line="254" w:lineRule="auto"/>
              <w:rPr>
                <w:rFonts w:ascii="GHEA Grapalat" w:hAnsi="GHEA Grapalat" w:cs="Calibri"/>
                <w:bCs/>
                <w:iCs/>
                <w:sz w:val="18"/>
                <w:szCs w:val="18"/>
              </w:rPr>
            </w:pPr>
            <w:r w:rsidRPr="001F63BA">
              <w:rPr>
                <w:rFonts w:ascii="GHEA Grapalat" w:hAnsi="GHEA Grapalat" w:cs="Calibri"/>
                <w:bCs/>
                <w:iCs/>
                <w:sz w:val="18"/>
                <w:szCs w:val="18"/>
              </w:rPr>
              <w:t>Բաժնետոմսերի իրացումից մուտքեր</w:t>
            </w:r>
          </w:p>
        </w:tc>
        <w:tc>
          <w:tcPr>
            <w:tcW w:w="1261"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2.0</w:t>
            </w:r>
          </w:p>
        </w:tc>
        <w:tc>
          <w:tcPr>
            <w:tcW w:w="126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0.0</w:t>
            </w:r>
          </w:p>
        </w:tc>
        <w:tc>
          <w:tcPr>
            <w:tcW w:w="1261" w:type="dxa"/>
            <w:tcBorders>
              <w:top w:val="nil"/>
              <w:left w:val="nil"/>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0.0</w:t>
            </w:r>
          </w:p>
        </w:tc>
        <w:tc>
          <w:tcPr>
            <w:tcW w:w="1441" w:type="dxa"/>
            <w:tcBorders>
              <w:top w:val="nil"/>
              <w:left w:val="nil"/>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0.0</w:t>
            </w:r>
          </w:p>
        </w:tc>
      </w:tr>
      <w:tr w:rsidR="001C411D" w:rsidRPr="001F63BA" w:rsidTr="009D2FDC">
        <w:trPr>
          <w:trHeight w:val="431"/>
        </w:trPr>
        <w:tc>
          <w:tcPr>
            <w:tcW w:w="4946"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rPr>
                <w:rFonts w:ascii="GHEA Grapalat" w:hAnsi="GHEA Grapalat" w:cs="Calibri"/>
                <w:bCs/>
                <w:iCs/>
                <w:sz w:val="18"/>
                <w:szCs w:val="18"/>
              </w:rPr>
            </w:pPr>
            <w:r w:rsidRPr="001F63BA">
              <w:rPr>
                <w:rFonts w:ascii="GHEA Grapalat" w:hAnsi="GHEA Grapalat" w:cs="Calibri"/>
                <w:bCs/>
                <w:iCs/>
                <w:sz w:val="18"/>
                <w:szCs w:val="18"/>
              </w:rPr>
              <w:t>Բաժնետոմսերի և կապիտալում այլ մասնակցության ձեռքբերում</w:t>
            </w:r>
          </w:p>
        </w:tc>
        <w:tc>
          <w:tcPr>
            <w:tcW w:w="1261"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w:t>
            </w:r>
            <w:r w:rsidRPr="001F63BA">
              <w:rPr>
                <w:rFonts w:ascii="GHEA Grapalat" w:hAnsi="GHEA Grapalat" w:cs="Calibri"/>
                <w:iCs/>
                <w:sz w:val="18"/>
                <w:szCs w:val="18"/>
                <w:lang w:val="en-US"/>
              </w:rPr>
              <w:t>12.6</w:t>
            </w:r>
            <w:r w:rsidRPr="001F63BA">
              <w:rPr>
                <w:rFonts w:ascii="GHEA Grapalat" w:hAnsi="GHEA Grapalat" w:cs="Calibri"/>
                <w:iCs/>
                <w:sz w:val="18"/>
                <w:szCs w:val="18"/>
              </w:rPr>
              <w:t>)</w:t>
            </w:r>
          </w:p>
        </w:tc>
        <w:tc>
          <w:tcPr>
            <w:tcW w:w="126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w:t>
            </w:r>
            <w:r w:rsidRPr="001F63BA">
              <w:rPr>
                <w:rFonts w:ascii="GHEA Grapalat" w:hAnsi="GHEA Grapalat" w:cs="Calibri"/>
                <w:iCs/>
                <w:sz w:val="18"/>
                <w:szCs w:val="18"/>
                <w:lang w:val="en-US"/>
              </w:rPr>
              <w:t>11.9</w:t>
            </w:r>
            <w:r w:rsidRPr="001F63BA">
              <w:rPr>
                <w:rFonts w:ascii="GHEA Grapalat" w:hAnsi="GHEA Grapalat" w:cs="Calibri"/>
                <w:iCs/>
                <w:sz w:val="18"/>
                <w:szCs w:val="18"/>
              </w:rPr>
              <w:t>)</w:t>
            </w:r>
          </w:p>
        </w:tc>
        <w:tc>
          <w:tcPr>
            <w:tcW w:w="1261" w:type="dxa"/>
            <w:tcBorders>
              <w:top w:val="nil"/>
              <w:left w:val="nil"/>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w:t>
            </w:r>
            <w:r w:rsidRPr="001F63BA">
              <w:rPr>
                <w:rFonts w:ascii="GHEA Grapalat" w:hAnsi="GHEA Grapalat" w:cs="Calibri"/>
                <w:iCs/>
                <w:sz w:val="18"/>
                <w:szCs w:val="18"/>
                <w:lang w:val="en-US"/>
              </w:rPr>
              <w:t>11.9</w:t>
            </w:r>
            <w:r w:rsidRPr="001F63BA">
              <w:rPr>
                <w:rFonts w:ascii="GHEA Grapalat" w:hAnsi="GHEA Grapalat" w:cs="Calibri"/>
                <w:iCs/>
                <w:sz w:val="18"/>
                <w:szCs w:val="18"/>
              </w:rPr>
              <w:t>)</w:t>
            </w:r>
          </w:p>
        </w:tc>
        <w:tc>
          <w:tcPr>
            <w:tcW w:w="1441" w:type="dxa"/>
            <w:tcBorders>
              <w:top w:val="nil"/>
              <w:left w:val="nil"/>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lang w:val="en-US"/>
              </w:rPr>
            </w:pPr>
            <w:r w:rsidRPr="001F63BA">
              <w:rPr>
                <w:rFonts w:ascii="GHEA Grapalat" w:hAnsi="GHEA Grapalat" w:cs="Calibri"/>
                <w:iCs/>
                <w:sz w:val="18"/>
                <w:szCs w:val="18"/>
                <w:lang w:val="en-US"/>
              </w:rPr>
              <w:t>100.0</w:t>
            </w:r>
          </w:p>
        </w:tc>
      </w:tr>
      <w:tr w:rsidR="001C411D" w:rsidRPr="001F63BA" w:rsidTr="009D2FDC">
        <w:trPr>
          <w:trHeight w:val="321"/>
        </w:trPr>
        <w:tc>
          <w:tcPr>
            <w:tcW w:w="494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rPr>
                <w:rFonts w:ascii="GHEA Grapalat" w:hAnsi="GHEA Grapalat" w:cs="Calibri"/>
                <w:b/>
                <w:bCs/>
                <w:sz w:val="18"/>
                <w:szCs w:val="18"/>
              </w:rPr>
            </w:pPr>
            <w:r w:rsidRPr="001F63BA">
              <w:rPr>
                <w:rFonts w:ascii="GHEA Grapalat" w:hAnsi="GHEA Grapalat" w:cs="Calibri"/>
                <w:bCs/>
                <w:iCs/>
                <w:sz w:val="18"/>
                <w:szCs w:val="18"/>
              </w:rPr>
              <w:t xml:space="preserve">Վարկերի և փոխատվությունների տրամադրում (արտաքին աջակցությամբ իրականացվող </w:t>
            </w:r>
            <w:r w:rsidRPr="001F63BA">
              <w:rPr>
                <w:rFonts w:ascii="GHEA Grapalat" w:hAnsi="GHEA Grapalat" w:cs="Calibri"/>
                <w:sz w:val="18"/>
                <w:szCs w:val="18"/>
              </w:rPr>
              <w:t>նպատակային ծրագրերի շրջանակներում)</w:t>
            </w:r>
          </w:p>
        </w:tc>
        <w:tc>
          <w:tcPr>
            <w:tcW w:w="1261"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w:t>
            </w:r>
            <w:r w:rsidRPr="001F63BA">
              <w:rPr>
                <w:rFonts w:ascii="GHEA Grapalat" w:hAnsi="GHEA Grapalat" w:cs="Calibri"/>
                <w:iCs/>
                <w:sz w:val="18"/>
                <w:szCs w:val="18"/>
                <w:lang w:val="en-US"/>
              </w:rPr>
              <w:t>46.9</w:t>
            </w:r>
            <w:r w:rsidRPr="001F63BA">
              <w:rPr>
                <w:rFonts w:ascii="GHEA Grapalat" w:hAnsi="GHEA Grapalat" w:cs="Calibri"/>
                <w:iCs/>
                <w:sz w:val="18"/>
                <w:szCs w:val="18"/>
              </w:rPr>
              <w:t>)</w:t>
            </w:r>
          </w:p>
        </w:tc>
        <w:tc>
          <w:tcPr>
            <w:tcW w:w="126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w:t>
            </w:r>
            <w:r w:rsidRPr="001F63BA">
              <w:rPr>
                <w:rFonts w:ascii="GHEA Grapalat" w:hAnsi="GHEA Grapalat" w:cs="Calibri"/>
                <w:iCs/>
                <w:sz w:val="18"/>
                <w:szCs w:val="18"/>
                <w:lang w:val="en-US"/>
              </w:rPr>
              <w:t>4</w:t>
            </w:r>
            <w:r w:rsidRPr="001F63BA">
              <w:rPr>
                <w:rFonts w:ascii="GHEA Grapalat" w:hAnsi="GHEA Grapalat" w:cs="Calibri"/>
                <w:iCs/>
                <w:sz w:val="18"/>
                <w:szCs w:val="18"/>
              </w:rPr>
              <w:t>.7)</w:t>
            </w:r>
          </w:p>
        </w:tc>
        <w:tc>
          <w:tcPr>
            <w:tcW w:w="126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rPr>
            </w:pPr>
            <w:r w:rsidRPr="001F63BA">
              <w:rPr>
                <w:rFonts w:ascii="GHEA Grapalat" w:hAnsi="GHEA Grapalat" w:cs="Calibri"/>
                <w:iCs/>
                <w:sz w:val="18"/>
                <w:szCs w:val="18"/>
              </w:rPr>
              <w:t>(</w:t>
            </w:r>
            <w:r w:rsidRPr="001F63BA">
              <w:rPr>
                <w:rFonts w:ascii="GHEA Grapalat" w:hAnsi="GHEA Grapalat" w:cs="Calibri"/>
                <w:iCs/>
                <w:sz w:val="18"/>
                <w:szCs w:val="18"/>
                <w:lang w:val="en-US"/>
              </w:rPr>
              <w:t>3.3</w:t>
            </w:r>
            <w:r w:rsidRPr="001F63BA">
              <w:rPr>
                <w:rFonts w:ascii="GHEA Grapalat" w:hAnsi="GHEA Grapalat" w:cs="Calibri"/>
                <w:iCs/>
                <w:sz w:val="18"/>
                <w:szCs w:val="18"/>
              </w:rPr>
              <w:t>)</w:t>
            </w:r>
          </w:p>
        </w:tc>
        <w:tc>
          <w:tcPr>
            <w:tcW w:w="144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lang w:val="en-US"/>
              </w:rPr>
            </w:pPr>
            <w:r w:rsidRPr="001F63BA">
              <w:rPr>
                <w:rFonts w:ascii="GHEA Grapalat" w:hAnsi="GHEA Grapalat" w:cs="Calibri"/>
                <w:iCs/>
                <w:sz w:val="18"/>
                <w:szCs w:val="18"/>
                <w:lang w:val="en-US"/>
              </w:rPr>
              <w:t>69.8</w:t>
            </w:r>
          </w:p>
        </w:tc>
      </w:tr>
      <w:bookmarkEnd w:id="280"/>
      <w:tr w:rsidR="001C411D" w:rsidRPr="001F63BA" w:rsidTr="009D2FDC">
        <w:trPr>
          <w:trHeight w:val="269"/>
        </w:trPr>
        <w:tc>
          <w:tcPr>
            <w:tcW w:w="494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rPr>
                <w:rFonts w:ascii="GHEA Grapalat" w:hAnsi="GHEA Grapalat" w:cs="Calibri"/>
                <w:bCs/>
                <w:iCs/>
                <w:sz w:val="18"/>
                <w:szCs w:val="18"/>
              </w:rPr>
            </w:pPr>
            <w:r w:rsidRPr="001F63BA">
              <w:rPr>
                <w:rFonts w:ascii="GHEA Grapalat" w:hAnsi="GHEA Grapalat" w:cs="Calibri"/>
                <w:bCs/>
                <w:iCs/>
                <w:sz w:val="18"/>
                <w:szCs w:val="18"/>
              </w:rPr>
              <w:t>Տրամադրված վարկերի և փոխատվությունների վերադարձից մուտքեր</w:t>
            </w:r>
          </w:p>
        </w:tc>
        <w:tc>
          <w:tcPr>
            <w:tcW w:w="1261"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9D2FDC">
            <w:pPr>
              <w:spacing w:line="254" w:lineRule="auto"/>
              <w:jc w:val="right"/>
              <w:rPr>
                <w:rFonts w:ascii="GHEA Grapalat" w:hAnsi="GHEA Grapalat" w:cs="Calibri"/>
                <w:iCs/>
                <w:sz w:val="18"/>
                <w:szCs w:val="18"/>
                <w:lang w:val="en-US"/>
              </w:rPr>
            </w:pPr>
            <w:r w:rsidRPr="001F63BA">
              <w:rPr>
                <w:rFonts w:ascii="GHEA Grapalat" w:hAnsi="GHEA Grapalat" w:cs="Calibri"/>
                <w:iCs/>
                <w:sz w:val="18"/>
                <w:szCs w:val="18"/>
                <w:lang w:val="en-US"/>
              </w:rPr>
              <w:t>34.8</w:t>
            </w:r>
          </w:p>
        </w:tc>
        <w:tc>
          <w:tcPr>
            <w:tcW w:w="126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lang w:val="en-US"/>
              </w:rPr>
            </w:pPr>
            <w:r w:rsidRPr="001F63BA">
              <w:rPr>
                <w:rFonts w:ascii="GHEA Grapalat" w:hAnsi="GHEA Grapalat" w:cs="Calibri"/>
                <w:iCs/>
                <w:sz w:val="18"/>
                <w:szCs w:val="18"/>
                <w:lang w:val="en-US"/>
              </w:rPr>
              <w:t>31.6</w:t>
            </w:r>
          </w:p>
        </w:tc>
        <w:tc>
          <w:tcPr>
            <w:tcW w:w="126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lang w:val="en-US"/>
              </w:rPr>
            </w:pPr>
            <w:r w:rsidRPr="001F63BA">
              <w:rPr>
                <w:rFonts w:ascii="GHEA Grapalat" w:hAnsi="GHEA Grapalat" w:cs="Calibri"/>
                <w:iCs/>
                <w:sz w:val="18"/>
                <w:szCs w:val="18"/>
                <w:lang w:val="en-US"/>
              </w:rPr>
              <w:t>31.2</w:t>
            </w:r>
          </w:p>
        </w:tc>
        <w:tc>
          <w:tcPr>
            <w:tcW w:w="144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iCs/>
                <w:sz w:val="18"/>
                <w:szCs w:val="18"/>
                <w:lang w:val="en-US"/>
              </w:rPr>
            </w:pPr>
            <w:r w:rsidRPr="001F63BA">
              <w:rPr>
                <w:rFonts w:ascii="GHEA Grapalat" w:hAnsi="GHEA Grapalat" w:cs="Calibri"/>
                <w:iCs/>
                <w:sz w:val="18"/>
                <w:szCs w:val="18"/>
                <w:lang w:val="en-US"/>
              </w:rPr>
              <w:t>98.7</w:t>
            </w:r>
          </w:p>
        </w:tc>
      </w:tr>
      <w:tr w:rsidR="001C411D" w:rsidRPr="001F63BA" w:rsidTr="009D2FDC">
        <w:trPr>
          <w:trHeight w:val="431"/>
        </w:trPr>
        <w:tc>
          <w:tcPr>
            <w:tcW w:w="494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rPr>
                <w:rFonts w:ascii="GHEA Grapalat" w:hAnsi="GHEA Grapalat" w:cs="Calibri"/>
                <w:bCs/>
                <w:iCs/>
                <w:sz w:val="18"/>
                <w:szCs w:val="18"/>
              </w:rPr>
            </w:pPr>
            <w:r w:rsidRPr="001F63BA">
              <w:rPr>
                <w:rFonts w:ascii="GHEA Grapalat" w:hAnsi="GHEA Grapalat" w:cs="Calibri"/>
                <w:bCs/>
                <w:iCs/>
                <w:sz w:val="18"/>
                <w:szCs w:val="18"/>
              </w:rPr>
              <w:t>Այլ ֆինանսական ակտիվներ</w:t>
            </w:r>
          </w:p>
        </w:tc>
        <w:tc>
          <w:tcPr>
            <w:tcW w:w="1261"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9D2FDC">
            <w:pPr>
              <w:spacing w:line="254" w:lineRule="auto"/>
              <w:jc w:val="right"/>
              <w:rPr>
                <w:rFonts w:ascii="GHEA Grapalat" w:hAnsi="GHEA Grapalat" w:cs="Calibri"/>
                <w:bCs/>
                <w:iCs/>
                <w:sz w:val="18"/>
                <w:szCs w:val="18"/>
              </w:rPr>
            </w:pPr>
            <w:r w:rsidRPr="001F63BA">
              <w:rPr>
                <w:rFonts w:ascii="GHEA Grapalat" w:hAnsi="GHEA Grapalat" w:cs="Calibri"/>
                <w:bCs/>
                <w:iCs/>
                <w:sz w:val="18"/>
                <w:szCs w:val="18"/>
              </w:rPr>
              <w:t>(</w:t>
            </w:r>
            <w:r w:rsidRPr="001F63BA">
              <w:rPr>
                <w:rFonts w:ascii="GHEA Grapalat" w:hAnsi="GHEA Grapalat" w:cs="Calibri"/>
                <w:bCs/>
                <w:iCs/>
                <w:sz w:val="18"/>
                <w:szCs w:val="18"/>
                <w:lang w:val="en-US"/>
              </w:rPr>
              <w:t>116.1</w:t>
            </w:r>
            <w:r w:rsidRPr="001F63BA">
              <w:rPr>
                <w:rFonts w:ascii="GHEA Grapalat" w:hAnsi="GHEA Grapalat" w:cs="Calibri"/>
                <w:bCs/>
                <w:iCs/>
                <w:sz w:val="18"/>
                <w:szCs w:val="18"/>
              </w:rPr>
              <w:t>)</w:t>
            </w:r>
          </w:p>
        </w:tc>
        <w:tc>
          <w:tcPr>
            <w:tcW w:w="126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bCs/>
                <w:iCs/>
                <w:sz w:val="18"/>
                <w:szCs w:val="18"/>
                <w:lang w:val="en-US"/>
              </w:rPr>
            </w:pPr>
            <w:r w:rsidRPr="001F63BA">
              <w:rPr>
                <w:rFonts w:ascii="GHEA Grapalat" w:hAnsi="GHEA Grapalat" w:cs="Calibri"/>
                <w:bCs/>
                <w:iCs/>
                <w:sz w:val="18"/>
                <w:szCs w:val="18"/>
                <w:lang w:val="en-US"/>
              </w:rPr>
              <w:t>41.5</w:t>
            </w:r>
          </w:p>
        </w:tc>
        <w:tc>
          <w:tcPr>
            <w:tcW w:w="126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bCs/>
                <w:iCs/>
                <w:sz w:val="18"/>
                <w:szCs w:val="18"/>
                <w:lang w:val="en-US"/>
              </w:rPr>
            </w:pPr>
            <w:r w:rsidRPr="001F63BA">
              <w:rPr>
                <w:rFonts w:ascii="GHEA Grapalat" w:hAnsi="GHEA Grapalat" w:cs="Calibri"/>
                <w:bCs/>
                <w:iCs/>
                <w:sz w:val="18"/>
                <w:szCs w:val="18"/>
                <w:lang w:val="en-US"/>
              </w:rPr>
              <w:t>20.2</w:t>
            </w:r>
          </w:p>
        </w:tc>
        <w:tc>
          <w:tcPr>
            <w:tcW w:w="144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4" w:lineRule="auto"/>
              <w:jc w:val="right"/>
              <w:rPr>
                <w:rFonts w:ascii="GHEA Grapalat" w:hAnsi="GHEA Grapalat" w:cs="Calibri"/>
                <w:bCs/>
                <w:iCs/>
                <w:sz w:val="18"/>
                <w:szCs w:val="18"/>
              </w:rPr>
            </w:pPr>
            <w:r w:rsidRPr="001F63BA">
              <w:rPr>
                <w:rFonts w:ascii="GHEA Grapalat" w:hAnsi="GHEA Grapalat" w:cs="Calibri"/>
                <w:bCs/>
                <w:iCs/>
                <w:sz w:val="18"/>
                <w:szCs w:val="18"/>
                <w:lang w:val="en-US"/>
              </w:rPr>
              <w:t>48.6</w:t>
            </w:r>
          </w:p>
        </w:tc>
      </w:tr>
    </w:tbl>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593B87">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202</w:t>
      </w:r>
      <w:r w:rsidRPr="001F63BA">
        <w:rPr>
          <w:rFonts w:ascii="GHEA Grapalat" w:hAnsi="GHEA Grapalat"/>
          <w:sz w:val="22"/>
          <w:szCs w:val="22"/>
          <w:lang w:val="en-US"/>
        </w:rPr>
        <w:t>2</w:t>
      </w:r>
      <w:r w:rsidRPr="001F63BA">
        <w:rPr>
          <w:rFonts w:ascii="GHEA Grapalat" w:hAnsi="GHEA Grapalat"/>
          <w:sz w:val="22"/>
          <w:szCs w:val="22"/>
        </w:rPr>
        <w:t xml:space="preserve"> թվականին բաժնետոմսերի և կապիտալում այլ մասնակցության ձեռքբերման նպատակով</w:t>
      </w:r>
      <w:r w:rsidRPr="001F63BA">
        <w:rPr>
          <w:rFonts w:ascii="GHEA Grapalat" w:hAnsi="GHEA Grapalat"/>
          <w:sz w:val="22"/>
          <w:szCs w:val="22"/>
          <w:lang w:val="en-US"/>
        </w:rPr>
        <w:t xml:space="preserve"> նախատեսված 11.9</w:t>
      </w:r>
      <w:r w:rsidRPr="001F63BA">
        <w:rPr>
          <w:rFonts w:ascii="GHEA Grapalat" w:hAnsi="GHEA Grapalat"/>
          <w:sz w:val="22"/>
          <w:szCs w:val="22"/>
        </w:rPr>
        <w:t xml:space="preserve"> մլրդ դրամ</w:t>
      </w:r>
      <w:r w:rsidRPr="001F63BA">
        <w:rPr>
          <w:rFonts w:ascii="GHEA Grapalat" w:hAnsi="GHEA Grapalat"/>
          <w:sz w:val="22"/>
          <w:szCs w:val="22"/>
          <w:lang w:val="en-US"/>
        </w:rPr>
        <w:t>ն ամբողջությամբ օգտագործվել է</w:t>
      </w:r>
      <w:r w:rsidRPr="001F63BA">
        <w:rPr>
          <w:rFonts w:ascii="GHEA Grapalat" w:hAnsi="GHEA Grapalat"/>
          <w:sz w:val="22"/>
          <w:szCs w:val="22"/>
        </w:rPr>
        <w:t>:</w:t>
      </w:r>
      <w:r w:rsidRPr="001F63BA">
        <w:rPr>
          <w:rFonts w:ascii="GHEA Grapalat" w:hAnsi="GHEA Grapalat"/>
          <w:sz w:val="22"/>
          <w:szCs w:val="22"/>
          <w:lang w:val="en-US"/>
        </w:rPr>
        <w:t xml:space="preserve"> </w:t>
      </w:r>
      <w:r w:rsidRPr="001F63BA">
        <w:rPr>
          <w:rFonts w:ascii="GHEA Grapalat" w:hAnsi="GHEA Grapalat"/>
          <w:sz w:val="22"/>
          <w:szCs w:val="22"/>
        </w:rPr>
        <w:t>Մասնավորապես՝</w:t>
      </w:r>
      <w:r w:rsidRPr="001F63BA">
        <w:rPr>
          <w:rFonts w:ascii="GHEA Grapalat" w:hAnsi="GHEA Grapalat"/>
          <w:sz w:val="22"/>
          <w:szCs w:val="22"/>
          <w:lang w:val="en-US"/>
        </w:rPr>
        <w:t xml:space="preserve"> 8.1</w:t>
      </w:r>
      <w:r w:rsidRPr="001F63BA">
        <w:rPr>
          <w:rFonts w:ascii="Courier New" w:hAnsi="Courier New" w:cs="Courier New"/>
          <w:sz w:val="22"/>
          <w:szCs w:val="22"/>
          <w:lang w:val="en-US"/>
        </w:rPr>
        <w:t> </w:t>
      </w:r>
      <w:r w:rsidRPr="001F63BA">
        <w:rPr>
          <w:rFonts w:ascii="GHEA Grapalat" w:hAnsi="GHEA Grapalat"/>
          <w:sz w:val="22"/>
          <w:szCs w:val="22"/>
          <w:lang w:val="en-US"/>
        </w:rPr>
        <w:t xml:space="preserve">մլրդ դրամ է տրամադրվել ՀՀ </w:t>
      </w:r>
      <w:r w:rsidRPr="001F63BA">
        <w:rPr>
          <w:rFonts w:ascii="GHEA Grapalat" w:hAnsi="GHEA Grapalat"/>
          <w:bCs/>
          <w:sz w:val="22"/>
          <w:szCs w:val="22"/>
        </w:rPr>
        <w:t>տարածքային կառավարման</w:t>
      </w:r>
      <w:r w:rsidRPr="001F63BA">
        <w:rPr>
          <w:rFonts w:ascii="GHEA Grapalat" w:hAnsi="GHEA Grapalat"/>
          <w:bCs/>
          <w:sz w:val="22"/>
          <w:szCs w:val="22"/>
          <w:lang w:val="en-US"/>
        </w:rPr>
        <w:t xml:space="preserve"> և</w:t>
      </w:r>
      <w:r w:rsidRPr="001F63BA">
        <w:rPr>
          <w:rFonts w:ascii="GHEA Grapalat" w:hAnsi="GHEA Grapalat"/>
          <w:bCs/>
          <w:sz w:val="22"/>
          <w:szCs w:val="22"/>
        </w:rPr>
        <w:t xml:space="preserve"> ենթակառուցվածքների նախարարությ</w:t>
      </w:r>
      <w:r w:rsidRPr="001F63BA">
        <w:rPr>
          <w:rFonts w:ascii="GHEA Grapalat" w:hAnsi="GHEA Grapalat"/>
          <w:bCs/>
          <w:sz w:val="22"/>
          <w:szCs w:val="22"/>
          <w:lang w:val="en-US"/>
        </w:rPr>
        <w:t>ա</w:t>
      </w:r>
      <w:r w:rsidRPr="001F63BA">
        <w:rPr>
          <w:rFonts w:ascii="GHEA Grapalat" w:hAnsi="GHEA Grapalat"/>
          <w:bCs/>
          <w:sz w:val="22"/>
          <w:szCs w:val="22"/>
        </w:rPr>
        <w:t>ն</w:t>
      </w:r>
      <w:r w:rsidRPr="001F63BA">
        <w:rPr>
          <w:rFonts w:ascii="GHEA Grapalat" w:hAnsi="GHEA Grapalat"/>
          <w:bCs/>
          <w:sz w:val="22"/>
          <w:szCs w:val="22"/>
          <w:lang w:val="en-US"/>
        </w:rPr>
        <w:t xml:space="preserve">ը, որն ուղղվել է </w:t>
      </w:r>
      <w:r w:rsidRPr="001F63BA">
        <w:rPr>
          <w:rFonts w:ascii="GHEA Grapalat" w:hAnsi="GHEA Grapalat"/>
          <w:bCs/>
          <w:sz w:val="22"/>
          <w:szCs w:val="22"/>
        </w:rPr>
        <w:t xml:space="preserve">«Երևանի ջերմաէլեկտրակենտրոն» </w:t>
      </w:r>
      <w:r w:rsidRPr="001F63BA">
        <w:rPr>
          <w:rFonts w:ascii="GHEA Grapalat" w:hAnsi="GHEA Grapalat"/>
          <w:bCs/>
          <w:sz w:val="22"/>
          <w:szCs w:val="22"/>
          <w:lang w:val="en-US"/>
        </w:rPr>
        <w:t>ՓԲԸ-ի</w:t>
      </w:r>
      <w:r w:rsidRPr="001F63BA">
        <w:rPr>
          <w:rFonts w:ascii="GHEA Grapalat" w:hAnsi="GHEA Grapalat"/>
          <w:bCs/>
          <w:sz w:val="22"/>
          <w:szCs w:val="22"/>
        </w:rPr>
        <w:t xml:space="preserve"> կանոնադրական կապիտալի ավելացմանը</w:t>
      </w:r>
      <w:r w:rsidRPr="001F63BA">
        <w:rPr>
          <w:rFonts w:ascii="GHEA Grapalat" w:hAnsi="GHEA Grapalat"/>
          <w:bCs/>
          <w:sz w:val="22"/>
          <w:szCs w:val="22"/>
          <w:lang w:val="en-US"/>
        </w:rPr>
        <w:t>՝</w:t>
      </w:r>
      <w:r w:rsidRPr="001F63BA">
        <w:rPr>
          <w:rFonts w:ascii="GHEA Grapalat" w:hAnsi="GHEA Grapalat"/>
          <w:bCs/>
          <w:sz w:val="22"/>
          <w:szCs w:val="22"/>
        </w:rPr>
        <w:t xml:space="preserve"> «Որոտանի հիդրոէլեկտրակայանների համալիր» </w:t>
      </w:r>
      <w:r w:rsidRPr="001F63BA">
        <w:rPr>
          <w:rFonts w:ascii="GHEA Grapalat" w:hAnsi="GHEA Grapalat"/>
          <w:bCs/>
          <w:sz w:val="22"/>
          <w:szCs w:val="22"/>
          <w:lang w:val="en-US"/>
        </w:rPr>
        <w:t>ՓԲԸ-ի</w:t>
      </w:r>
      <w:r w:rsidRPr="001F63BA">
        <w:rPr>
          <w:rFonts w:ascii="GHEA Grapalat" w:hAnsi="GHEA Grapalat"/>
          <w:bCs/>
          <w:sz w:val="22"/>
          <w:szCs w:val="22"/>
        </w:rPr>
        <w:t xml:space="preserve"> հանդեպ կրեդիտորական պարտավորությունների մարման նպատակով</w:t>
      </w:r>
      <w:r w:rsidRPr="001F63BA">
        <w:rPr>
          <w:rFonts w:ascii="GHEA Grapalat" w:hAnsi="GHEA Grapalat"/>
          <w:bCs/>
          <w:sz w:val="22"/>
          <w:szCs w:val="22"/>
          <w:lang w:val="en-US"/>
        </w:rPr>
        <w:t xml:space="preserve">: </w:t>
      </w:r>
      <w:r w:rsidRPr="001F63BA">
        <w:rPr>
          <w:rFonts w:ascii="GHEA Grapalat" w:hAnsi="GHEA Grapalat"/>
          <w:sz w:val="22"/>
          <w:szCs w:val="22"/>
        </w:rPr>
        <w:t>3.</w:t>
      </w:r>
      <w:r w:rsidRPr="001F63BA">
        <w:rPr>
          <w:rFonts w:ascii="GHEA Grapalat" w:hAnsi="GHEA Grapalat"/>
          <w:sz w:val="22"/>
          <w:szCs w:val="22"/>
          <w:lang w:val="en-US"/>
        </w:rPr>
        <w:t>5</w:t>
      </w:r>
      <w:r w:rsidRPr="001F63BA">
        <w:rPr>
          <w:rFonts w:ascii="GHEA Grapalat" w:hAnsi="GHEA Grapalat"/>
          <w:sz w:val="22"/>
          <w:szCs w:val="22"/>
        </w:rPr>
        <w:t xml:space="preserve"> մլրդ դրամ է տրամադրվել ՀՀ </w:t>
      </w:r>
      <w:r w:rsidRPr="001F63BA">
        <w:rPr>
          <w:rFonts w:ascii="GHEA Grapalat" w:hAnsi="GHEA Grapalat"/>
          <w:sz w:val="22"/>
          <w:szCs w:val="22"/>
          <w:lang w:val="en-US"/>
        </w:rPr>
        <w:t>ԲՏԱՆ-ին,</w:t>
      </w:r>
      <w:r w:rsidRPr="001F63BA">
        <w:rPr>
          <w:rFonts w:ascii="GHEA Grapalat" w:hAnsi="GHEA Grapalat"/>
          <w:bCs/>
          <w:sz w:val="22"/>
          <w:szCs w:val="22"/>
          <w:lang w:val="en-US"/>
        </w:rPr>
        <w:t xml:space="preserve"> որն ուղղվել է</w:t>
      </w:r>
      <w:r w:rsidRPr="001F63BA">
        <w:rPr>
          <w:rFonts w:ascii="GHEA Grapalat" w:hAnsi="GHEA Grapalat"/>
          <w:sz w:val="22"/>
          <w:szCs w:val="22"/>
        </w:rPr>
        <w:t xml:space="preserve"> </w:t>
      </w:r>
      <w:bookmarkStart w:id="281" w:name="_Hlk71795737"/>
      <w:r w:rsidRPr="001F63BA">
        <w:rPr>
          <w:rFonts w:ascii="GHEA Grapalat" w:hAnsi="GHEA Grapalat"/>
          <w:sz w:val="22"/>
          <w:szCs w:val="22"/>
        </w:rPr>
        <w:t>«Գեոկոսմոս»</w:t>
      </w:r>
      <w:bookmarkEnd w:id="281"/>
      <w:r w:rsidRPr="001F63BA">
        <w:rPr>
          <w:rFonts w:ascii="GHEA Grapalat" w:hAnsi="GHEA Grapalat"/>
          <w:sz w:val="22"/>
          <w:szCs w:val="22"/>
        </w:rPr>
        <w:t xml:space="preserve"> </w:t>
      </w:r>
      <w:r w:rsidRPr="001F63BA">
        <w:rPr>
          <w:rFonts w:ascii="GHEA Grapalat" w:hAnsi="GHEA Grapalat"/>
          <w:sz w:val="22"/>
          <w:szCs w:val="22"/>
          <w:lang w:val="en-US"/>
        </w:rPr>
        <w:t>ՓԲԸ-ի</w:t>
      </w:r>
      <w:r w:rsidRPr="001F63BA">
        <w:rPr>
          <w:rFonts w:ascii="GHEA Grapalat" w:hAnsi="GHEA Grapalat"/>
          <w:sz w:val="22"/>
          <w:szCs w:val="22"/>
        </w:rPr>
        <w:t xml:space="preserve"> կանոնադրական կապիտալի ավելացմանը՝ բաժնետոմսերի անվանական արժեքը մեծացնելու ճանապարհով </w:t>
      </w:r>
      <w:r w:rsidRPr="001F63BA">
        <w:rPr>
          <w:rFonts w:ascii="GHEA Grapalat" w:hAnsi="GHEA Grapalat"/>
          <w:sz w:val="22"/>
          <w:szCs w:val="22"/>
          <w:lang w:val="en-US"/>
        </w:rPr>
        <w:t>ա</w:t>
      </w:r>
      <w:r w:rsidRPr="001F63BA">
        <w:rPr>
          <w:rFonts w:ascii="GHEA Grapalat" w:hAnsi="GHEA Grapalat"/>
          <w:sz w:val="22"/>
          <w:szCs w:val="22"/>
        </w:rPr>
        <w:t xml:space="preserve">րբանյակի ձեռքբերման և Երկրային կառավարման կենտրոնի </w:t>
      </w:r>
      <w:r w:rsidRPr="001F63BA">
        <w:rPr>
          <w:rFonts w:ascii="GHEA Grapalat" w:hAnsi="GHEA Grapalat"/>
          <w:sz w:val="22"/>
          <w:szCs w:val="22"/>
          <w:lang w:val="en-US"/>
        </w:rPr>
        <w:t xml:space="preserve">ու </w:t>
      </w:r>
      <w:r w:rsidRPr="001F63BA">
        <w:rPr>
          <w:rFonts w:ascii="GHEA Grapalat" w:hAnsi="GHEA Grapalat"/>
          <w:sz w:val="22"/>
          <w:szCs w:val="22"/>
        </w:rPr>
        <w:t>ընդունիչ կայանի ստեղծման նպատակով</w:t>
      </w:r>
      <w:r w:rsidRPr="001F63BA">
        <w:rPr>
          <w:rFonts w:ascii="GHEA Grapalat" w:hAnsi="GHEA Grapalat"/>
          <w:sz w:val="22"/>
          <w:szCs w:val="22"/>
          <w:lang w:val="en-US"/>
        </w:rPr>
        <w:t xml:space="preserve">: </w:t>
      </w:r>
      <w:r w:rsidRPr="001F63BA">
        <w:rPr>
          <w:rFonts w:ascii="GHEA Grapalat" w:hAnsi="GHEA Grapalat"/>
          <w:sz w:val="22"/>
          <w:szCs w:val="22"/>
        </w:rPr>
        <w:t>50 մլն դրամ</w:t>
      </w:r>
      <w:r w:rsidRPr="001F63BA">
        <w:rPr>
          <w:rFonts w:ascii="GHEA Grapalat" w:hAnsi="GHEA Grapalat"/>
          <w:sz w:val="22"/>
          <w:szCs w:val="22"/>
          <w:lang w:val="en-US"/>
        </w:rPr>
        <w:t xml:space="preserve"> տրամադրվել է</w:t>
      </w:r>
      <w:r w:rsidRPr="001F63BA">
        <w:rPr>
          <w:rFonts w:ascii="GHEA Grapalat" w:hAnsi="GHEA Grapalat"/>
          <w:sz w:val="22"/>
          <w:szCs w:val="22"/>
        </w:rPr>
        <w:t xml:space="preserve"> ՀՀ էկոնոմիկայի նախարարությանը՝ «Հայ-Ալմաստ» </w:t>
      </w:r>
      <w:r w:rsidRPr="001F63BA">
        <w:rPr>
          <w:rFonts w:ascii="GHEA Grapalat" w:hAnsi="GHEA Grapalat"/>
          <w:sz w:val="22"/>
          <w:szCs w:val="22"/>
          <w:lang w:val="en-US"/>
        </w:rPr>
        <w:t>ՓԲԸ-ի</w:t>
      </w:r>
      <w:r w:rsidRPr="001F63BA">
        <w:rPr>
          <w:rFonts w:ascii="GHEA Grapalat" w:hAnsi="GHEA Grapalat"/>
          <w:sz w:val="22"/>
          <w:szCs w:val="22"/>
        </w:rPr>
        <w:t xml:space="preserve"> բաժնեմասերի ձեռքբերման նպատակով</w:t>
      </w:r>
      <w:r w:rsidRPr="001F63BA">
        <w:rPr>
          <w:rFonts w:ascii="GHEA Grapalat" w:hAnsi="GHEA Grapalat"/>
          <w:sz w:val="22"/>
          <w:szCs w:val="22"/>
          <w:lang w:val="en-US"/>
        </w:rPr>
        <w:t xml:space="preserve"> (</w:t>
      </w:r>
      <w:r w:rsidRPr="001F63BA">
        <w:rPr>
          <w:rFonts w:ascii="GHEA Grapalat" w:hAnsi="GHEA Grapalat"/>
          <w:sz w:val="22"/>
          <w:szCs w:val="22"/>
        </w:rPr>
        <w:t>ձեռք է բերվել 100.0 հազար դրամ արժեքով 500 հատ հասարակ բաժնետոմս</w:t>
      </w:r>
      <w:r w:rsidRPr="001F63BA">
        <w:rPr>
          <w:rFonts w:ascii="GHEA Grapalat" w:hAnsi="GHEA Grapalat"/>
          <w:sz w:val="22"/>
          <w:szCs w:val="22"/>
          <w:lang w:val="en-US"/>
        </w:rPr>
        <w:softHyphen/>
        <w:t>)</w:t>
      </w:r>
      <w:r w:rsidRPr="001F63BA">
        <w:rPr>
          <w:rFonts w:ascii="GHEA Grapalat" w:hAnsi="GHEA Grapalat"/>
          <w:sz w:val="22"/>
          <w:szCs w:val="22"/>
        </w:rPr>
        <w:t xml:space="preserve">: Միջոցառման </w:t>
      </w:r>
      <w:r w:rsidRPr="001F63BA">
        <w:rPr>
          <w:rFonts w:ascii="GHEA Grapalat" w:hAnsi="GHEA Grapalat"/>
          <w:sz w:val="22"/>
          <w:szCs w:val="22"/>
        </w:rPr>
        <w:lastRenderedPageBreak/>
        <w:t>նպատակն է նպաստել ՀՀ-ում ռազմավարական ոլորտ հանդիսացող ադամանդագործության ոլորտի խթանմանն ու զարգացմանը, ինչպես նաև ապահովել ադամանդագործական ոլորտի ընկերություններին անհրաժեշտ հումքային բազայով։</w:t>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sz w:val="22"/>
          <w:szCs w:val="22"/>
          <w:lang w:val="en-US"/>
        </w:rPr>
        <w:t>Բաժնեմասերի ձեռքբերման նպատակով 326.6 մլն դրամ է տրամադրվել է ՀՀ առողջապահության նախարարությանը: Մասնավորապես բ</w:t>
      </w:r>
      <w:r w:rsidRPr="001F63BA">
        <w:rPr>
          <w:rFonts w:ascii="GHEA Grapalat" w:hAnsi="GHEA Grapalat"/>
          <w:sz w:val="22"/>
          <w:szCs w:val="22"/>
        </w:rPr>
        <w:t xml:space="preserve">աժնետոմսերի անվանական արժեքը մեծացնելու միջոցով «Զարիշատ (Արամ) Մարտինի Մկրտչյանի անվան Արմավիրի բժշկական կենտրոն» </w:t>
      </w:r>
      <w:r w:rsidRPr="001F63BA">
        <w:rPr>
          <w:rFonts w:ascii="GHEA Grapalat" w:hAnsi="GHEA Grapalat"/>
          <w:sz w:val="22"/>
          <w:szCs w:val="22"/>
          <w:lang w:val="en-US"/>
        </w:rPr>
        <w:t>ՓԲԸ-ի</w:t>
      </w:r>
      <w:r w:rsidRPr="001F63BA">
        <w:rPr>
          <w:rFonts w:ascii="GHEA Grapalat" w:hAnsi="GHEA Grapalat"/>
          <w:sz w:val="22"/>
          <w:szCs w:val="22"/>
        </w:rPr>
        <w:t xml:space="preserve"> կանոնադրական կապիտալն ավելացվել է 151</w:t>
      </w:r>
      <w:r w:rsidRPr="001F63BA">
        <w:rPr>
          <w:rFonts w:ascii="GHEA Grapalat" w:hAnsi="GHEA Grapalat"/>
          <w:sz w:val="22"/>
          <w:szCs w:val="22"/>
          <w:lang w:val="en-US"/>
        </w:rPr>
        <w:t>.</w:t>
      </w:r>
      <w:r w:rsidRPr="001F63BA">
        <w:rPr>
          <w:rFonts w:ascii="GHEA Grapalat" w:hAnsi="GHEA Grapalat"/>
          <w:sz w:val="22"/>
          <w:szCs w:val="22"/>
        </w:rPr>
        <w:t xml:space="preserve">6 </w:t>
      </w:r>
      <w:r w:rsidRPr="001F63BA">
        <w:rPr>
          <w:rFonts w:ascii="GHEA Grapalat" w:hAnsi="GHEA Grapalat"/>
          <w:sz w:val="22"/>
          <w:szCs w:val="22"/>
          <w:lang w:val="en-US"/>
        </w:rPr>
        <w:t>մլն</w:t>
      </w:r>
      <w:r w:rsidRPr="001F63BA">
        <w:rPr>
          <w:rFonts w:ascii="GHEA Grapalat" w:hAnsi="GHEA Grapalat"/>
          <w:sz w:val="22"/>
          <w:szCs w:val="22"/>
        </w:rPr>
        <w:t xml:space="preserve"> դրամով: </w:t>
      </w:r>
      <w:r w:rsidRPr="001F63BA">
        <w:rPr>
          <w:rFonts w:ascii="GHEA Grapalat" w:hAnsi="GHEA Grapalat"/>
          <w:sz w:val="22"/>
          <w:szCs w:val="22"/>
          <w:lang w:val="en-US"/>
        </w:rPr>
        <w:t xml:space="preserve">Միջոցառումն ուղղված է </w:t>
      </w:r>
      <w:r w:rsidRPr="001F63BA">
        <w:rPr>
          <w:rFonts w:ascii="GHEA Grapalat" w:hAnsi="GHEA Grapalat"/>
          <w:sz w:val="22"/>
          <w:szCs w:val="22"/>
        </w:rPr>
        <w:t>Արմավիրի մարզում ապահովելու վարակիչ հիվանդությունների բուժօգնության ծառայությունների մատուցման որակը և հասանելիության ապահովումը, ինչպես նաև բժշկական կազմակերպության շենքային պայմանների բարելավ</w:t>
      </w:r>
      <w:r w:rsidRPr="001F63BA">
        <w:rPr>
          <w:rFonts w:ascii="GHEA Grapalat" w:hAnsi="GHEA Grapalat"/>
          <w:sz w:val="22"/>
          <w:szCs w:val="22"/>
          <w:lang w:val="en-US"/>
        </w:rPr>
        <w:t>մանը</w:t>
      </w:r>
      <w:r w:rsidRPr="001F63BA">
        <w:rPr>
          <w:rFonts w:ascii="GHEA Grapalat" w:hAnsi="GHEA Grapalat"/>
          <w:sz w:val="22"/>
          <w:szCs w:val="22"/>
        </w:rPr>
        <w:t>։</w:t>
      </w:r>
      <w:r w:rsidRPr="001F63BA">
        <w:rPr>
          <w:rFonts w:ascii="GHEA Grapalat" w:hAnsi="GHEA Grapalat"/>
          <w:sz w:val="22"/>
          <w:szCs w:val="22"/>
          <w:lang w:val="en-US"/>
        </w:rPr>
        <w:t xml:space="preserve"> «Ավան» հոգեկան առողջության կենտրոն» ՓԲԸ-ի </w:t>
      </w:r>
      <w:r w:rsidRPr="001F63BA">
        <w:rPr>
          <w:rFonts w:ascii="GHEA Grapalat" w:hAnsi="GHEA Grapalat"/>
          <w:sz w:val="22"/>
          <w:szCs w:val="22"/>
        </w:rPr>
        <w:t>կանոնադրական կապիտալն ավելացվել</w:t>
      </w:r>
      <w:r w:rsidRPr="001F63BA">
        <w:rPr>
          <w:rFonts w:ascii="GHEA Grapalat" w:hAnsi="GHEA Grapalat"/>
          <w:sz w:val="22"/>
          <w:szCs w:val="22"/>
          <w:lang w:val="en-US"/>
        </w:rPr>
        <w:t xml:space="preserve"> է 95 մլն դրամով</w:t>
      </w:r>
      <w:r w:rsidRPr="001F63BA">
        <w:rPr>
          <w:rFonts w:ascii="GHEA Grapalat" w:hAnsi="GHEA Grapalat"/>
          <w:sz w:val="22"/>
          <w:szCs w:val="22"/>
        </w:rPr>
        <w:t>՝ հոգեկան առողջության պահպանման ծառայությունների մատուցման որակի և հասանելիության բարձրացման, ինչպես նաև բժշկական կազմակերպությունների շենքային պայմանների բարելավման նպատակով:</w:t>
      </w:r>
      <w:r w:rsidRPr="001F63BA">
        <w:rPr>
          <w:rFonts w:ascii="GHEA Grapalat" w:hAnsi="GHEA Grapalat" w:cs="Sylfaen"/>
          <w:noProof w:val="0"/>
          <w:lang w:eastAsia="ru-RU"/>
        </w:rPr>
        <w:t xml:space="preserve"> </w:t>
      </w:r>
      <w:r w:rsidRPr="001F63BA">
        <w:rPr>
          <w:rFonts w:ascii="GHEA Grapalat" w:hAnsi="GHEA Grapalat"/>
          <w:sz w:val="22"/>
          <w:szCs w:val="22"/>
        </w:rPr>
        <w:t xml:space="preserve">«Պրոֆեսոր Ռ. Օ. Յոլյանի անվան արյունաբանական կենտրոն» </w:t>
      </w:r>
      <w:r w:rsidRPr="001F63BA">
        <w:rPr>
          <w:rFonts w:ascii="GHEA Grapalat" w:hAnsi="GHEA Grapalat"/>
          <w:sz w:val="22"/>
          <w:szCs w:val="22"/>
          <w:lang w:val="en-US"/>
        </w:rPr>
        <w:t>ՓԲԸ-ի</w:t>
      </w:r>
      <w:r w:rsidRPr="001F63BA">
        <w:rPr>
          <w:rFonts w:ascii="GHEA Grapalat" w:hAnsi="GHEA Grapalat"/>
          <w:sz w:val="22"/>
          <w:szCs w:val="22"/>
        </w:rPr>
        <w:t xml:space="preserve"> կանոնադրական կապիտալն ավելաց</w:t>
      </w:r>
      <w:r w:rsidRPr="001F63BA">
        <w:rPr>
          <w:rFonts w:ascii="GHEA Grapalat" w:hAnsi="GHEA Grapalat"/>
          <w:sz w:val="22"/>
          <w:szCs w:val="22"/>
          <w:lang w:val="en-US"/>
        </w:rPr>
        <w:t>վել է</w:t>
      </w:r>
      <w:r w:rsidRPr="001F63BA">
        <w:rPr>
          <w:rFonts w:ascii="GHEA Grapalat" w:hAnsi="GHEA Grapalat"/>
          <w:sz w:val="22"/>
          <w:szCs w:val="22"/>
        </w:rPr>
        <w:t xml:space="preserve"> 80</w:t>
      </w:r>
      <w:r w:rsidRPr="001F63BA">
        <w:rPr>
          <w:rFonts w:ascii="GHEA Grapalat" w:hAnsi="GHEA Grapalat"/>
          <w:sz w:val="22"/>
          <w:szCs w:val="22"/>
          <w:lang w:val="en-US"/>
        </w:rPr>
        <w:t>.</w:t>
      </w:r>
      <w:r w:rsidRPr="001F63BA">
        <w:rPr>
          <w:rFonts w:ascii="GHEA Grapalat" w:hAnsi="GHEA Grapalat"/>
          <w:sz w:val="22"/>
          <w:szCs w:val="22"/>
        </w:rPr>
        <w:t xml:space="preserve">0 </w:t>
      </w:r>
      <w:r w:rsidRPr="001F63BA">
        <w:rPr>
          <w:rFonts w:ascii="GHEA Grapalat" w:hAnsi="GHEA Grapalat"/>
          <w:sz w:val="22"/>
          <w:szCs w:val="22"/>
          <w:lang w:val="en-US"/>
        </w:rPr>
        <w:t>մլն</w:t>
      </w:r>
      <w:r w:rsidRPr="001F63BA">
        <w:rPr>
          <w:rFonts w:ascii="GHEA Grapalat" w:hAnsi="GHEA Grapalat"/>
          <w:sz w:val="22"/>
          <w:szCs w:val="22"/>
        </w:rPr>
        <w:t xml:space="preserve"> դրամով՝ արյան բանկի կառուցման</w:t>
      </w:r>
      <w:r w:rsidRPr="001F63BA">
        <w:rPr>
          <w:rFonts w:ascii="GHEA Grapalat" w:hAnsi="GHEA Grapalat"/>
          <w:sz w:val="22"/>
          <w:szCs w:val="22"/>
          <w:lang w:val="en-US"/>
        </w:rPr>
        <w:t xml:space="preserve"> համար </w:t>
      </w:r>
      <w:r w:rsidRPr="001F63BA">
        <w:rPr>
          <w:rFonts w:ascii="GHEA Grapalat" w:hAnsi="GHEA Grapalat"/>
          <w:sz w:val="22"/>
          <w:szCs w:val="22"/>
        </w:rPr>
        <w:t>պայմաններ ստեղծել</w:t>
      </w:r>
      <w:r w:rsidRPr="001F63BA">
        <w:rPr>
          <w:rFonts w:ascii="GHEA Grapalat" w:hAnsi="GHEA Grapalat"/>
          <w:sz w:val="22"/>
          <w:szCs w:val="22"/>
          <w:lang w:val="en-US"/>
        </w:rPr>
        <w:t>ու</w:t>
      </w:r>
      <w:r w:rsidRPr="001F63BA">
        <w:rPr>
          <w:rFonts w:ascii="GHEA Grapalat" w:hAnsi="GHEA Grapalat"/>
          <w:sz w:val="22"/>
          <w:szCs w:val="22"/>
        </w:rPr>
        <w:t>, ինչպես նաև անհրաժեշտ սարքավորումներով հագեցվածության ապահովման նպատակով</w:t>
      </w:r>
      <w:r w:rsidRPr="001F63BA">
        <w:rPr>
          <w:rFonts w:ascii="GHEA Grapalat" w:hAnsi="GHEA Grapalat"/>
          <w:sz w:val="22"/>
          <w:szCs w:val="22"/>
          <w:lang w:val="en-US"/>
        </w:rPr>
        <w:t>:</w:t>
      </w:r>
    </w:p>
    <w:p w:rsidR="001C411D" w:rsidRPr="001F63BA" w:rsidRDefault="001C411D" w:rsidP="003239E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Արտաքին աջակցությամբ իրականացվող նպատակային վարկային ծրագրերի շրջանակներում ՀՀ ռեզիդենտներին հատկացված </w:t>
      </w:r>
      <w:r w:rsidRPr="001F63BA">
        <w:rPr>
          <w:rFonts w:ascii="GHEA Grapalat" w:hAnsi="GHEA Grapalat" w:cs="GHEA Grapalat"/>
          <w:sz w:val="22"/>
          <w:szCs w:val="22"/>
          <w:lang w:val="en-US"/>
        </w:rPr>
        <w:t>3.3</w:t>
      </w:r>
      <w:r w:rsidRPr="001F63BA">
        <w:rPr>
          <w:rFonts w:ascii="GHEA Grapalat" w:hAnsi="GHEA Grapalat" w:cs="GHEA Grapalat"/>
          <w:sz w:val="22"/>
          <w:szCs w:val="22"/>
        </w:rPr>
        <w:t xml:space="preserve"> մլրդ դրամ վարկերի </w:t>
      </w:r>
      <w:r w:rsidRPr="001F63BA">
        <w:rPr>
          <w:rFonts w:ascii="GHEA Grapalat" w:hAnsi="GHEA Grapalat" w:cs="GHEA Grapalat"/>
          <w:sz w:val="22"/>
          <w:szCs w:val="22"/>
          <w:lang w:val="en-US"/>
        </w:rPr>
        <w:t>զգալի</w:t>
      </w:r>
      <w:r w:rsidRPr="001F63BA">
        <w:rPr>
          <w:rFonts w:ascii="GHEA Grapalat" w:hAnsi="GHEA Grapalat" w:cs="GHEA Grapalat"/>
          <w:sz w:val="22"/>
          <w:szCs w:val="22"/>
        </w:rPr>
        <w:t xml:space="preserve"> մասը՝ </w:t>
      </w:r>
      <w:r w:rsidRPr="001F63BA">
        <w:rPr>
          <w:rFonts w:ascii="GHEA Grapalat" w:hAnsi="GHEA Grapalat" w:cs="GHEA Grapalat"/>
          <w:sz w:val="22"/>
          <w:szCs w:val="22"/>
          <w:lang w:val="en-US"/>
        </w:rPr>
        <w:t>ավելի քան 2.1</w:t>
      </w:r>
      <w:r w:rsidRPr="001F63BA">
        <w:rPr>
          <w:rFonts w:ascii="GHEA Grapalat" w:hAnsi="GHEA Grapalat" w:cs="GHEA Grapalat"/>
          <w:sz w:val="22"/>
          <w:szCs w:val="22"/>
        </w:rPr>
        <w:t xml:space="preserve"> մլրդ դրամը, տրամադրվել է Քաղաքային զարգացման ծրագրի շրջանակներում՝ կազմելով ծրագրված ցուցանիշի </w:t>
      </w:r>
      <w:r w:rsidRPr="001F63BA">
        <w:rPr>
          <w:rFonts w:ascii="GHEA Grapalat" w:hAnsi="GHEA Grapalat" w:cs="GHEA Grapalat"/>
          <w:sz w:val="22"/>
          <w:szCs w:val="22"/>
          <w:lang w:val="en-US"/>
        </w:rPr>
        <w:t>75</w:t>
      </w:r>
      <w:r w:rsidRPr="001F63BA">
        <w:rPr>
          <w:rFonts w:ascii="GHEA Grapalat" w:hAnsi="GHEA Grapalat" w:cs="GHEA Grapalat"/>
          <w:sz w:val="22"/>
          <w:szCs w:val="22"/>
        </w:rPr>
        <w:t xml:space="preserve">.4%-ը: </w:t>
      </w:r>
      <w:bookmarkStart w:id="282" w:name="_Hlk97213469"/>
      <w:r w:rsidRPr="001F63BA">
        <w:rPr>
          <w:rFonts w:ascii="GHEA Grapalat" w:hAnsi="GHEA Grapalat" w:cs="GHEA Grapalat"/>
          <w:sz w:val="22"/>
          <w:szCs w:val="22"/>
        </w:rPr>
        <w:t>Մասնավորապես՝</w:t>
      </w:r>
      <w:r w:rsidRPr="001F63BA">
        <w:rPr>
          <w:rFonts w:ascii="GHEA Grapalat" w:hAnsi="GHEA Grapalat" w:cs="GHEA Grapalat"/>
          <w:sz w:val="22"/>
          <w:szCs w:val="22"/>
          <w:lang w:val="en-US"/>
        </w:rPr>
        <w:t xml:space="preserve"> ՎԶԵԲ</w:t>
      </w:r>
      <w:r w:rsidRPr="001F63BA">
        <w:rPr>
          <w:rFonts w:ascii="GHEA Grapalat" w:hAnsi="GHEA Grapalat" w:cs="GHEA Grapalat"/>
          <w:sz w:val="22"/>
          <w:szCs w:val="22"/>
        </w:rPr>
        <w:t xml:space="preserve"> աջակցությամբ իրականացվող Երևան քաղաքի հանրային տրանսպորտի նոր երթուղային ցանցի շարժակազմերի ներդրման ֆինանսական աջակցության ծրագրի շրջանակներում տրամադրվել է նախատեսված 20% կանխավճարը, որը կազմել է 1.7 մլրդ դրամ` ապահովելով ծրագրված ցուցանիշի 77%-ը: Ծրագրից շեղումը պայմանավորված է արտարժույթի կանխատեսված և փաստացի փոխարժեքների տարբերությամբ.</w:t>
      </w:r>
    </w:p>
    <w:p w:rsidR="001C411D" w:rsidRPr="001F63BA" w:rsidRDefault="001C411D" w:rsidP="003239E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Երևանի մետրոպոլիտենի վերակառուցման երկրորդ </w:t>
      </w:r>
      <w:bookmarkStart w:id="283" w:name="_Hlk97562294"/>
      <w:r w:rsidRPr="001F63BA">
        <w:rPr>
          <w:rFonts w:ascii="GHEA Grapalat" w:hAnsi="GHEA Grapalat" w:cs="GHEA Grapalat"/>
          <w:sz w:val="22"/>
          <w:szCs w:val="22"/>
        </w:rPr>
        <w:t xml:space="preserve">ծրագրի շրջանակներում </w:t>
      </w:r>
      <w:bookmarkEnd w:id="283"/>
      <w:r w:rsidRPr="001F63BA">
        <w:rPr>
          <w:rFonts w:ascii="GHEA Grapalat" w:hAnsi="GHEA Grapalat" w:cs="GHEA Grapalat"/>
          <w:sz w:val="22"/>
          <w:szCs w:val="22"/>
        </w:rPr>
        <w:t xml:space="preserve">նախատեսված 546.8 մլն դրամից </w:t>
      </w:r>
      <w:r w:rsidRPr="001F63BA">
        <w:rPr>
          <w:rFonts w:ascii="GHEA Grapalat" w:hAnsi="GHEA Grapalat" w:cs="GHEA Grapalat"/>
          <w:sz w:val="22"/>
          <w:szCs w:val="22"/>
          <w:lang w:val="en-US"/>
        </w:rPr>
        <w:t>ՎԶԵԲ</w:t>
      </w:r>
      <w:r w:rsidRPr="001F63BA">
        <w:rPr>
          <w:rFonts w:ascii="GHEA Grapalat" w:hAnsi="GHEA Grapalat" w:cs="GHEA Grapalat"/>
          <w:sz w:val="22"/>
          <w:szCs w:val="22"/>
        </w:rPr>
        <w:t xml:space="preserve"> մասնաբաժինը տրամադրվել է գրեթե ամբողջ ծավալով՝ կազմելով 305.2 մլն դրամ, իսկ Եվրոպական ներդրումային բանկի աջակցությամբ իրականացվող մասնաբաժինը՝ 28.1%-ով՝ կազմելով 67.6 մլն դրամ, որը պայմանավորված է կապալառուի կողմից հորատման դանդաղ տեմպով, լոգիստիկ խնդիրներով և կապալառուի կողմից աշխատանքների ոչ արդյունավետ կազմակերպմամբ: Ծրագրի շրջանակներում կատարվել են մետրոյի թունելների վերակառուցման աշխատանքներ, դրենաժային թունելի երկարացում, մետրոյի թունելների դատարկությունների լցոնում.</w:t>
      </w:r>
    </w:p>
    <w:bookmarkEnd w:id="282"/>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lastRenderedPageBreak/>
        <w:t>Հաշվետու տարում 772.6 մլն դրամ վարկեր են տրամադրվել Էլեկտրաէներգետիկ համակարգի զարգացման ծրագրի շրջանակներում՝ կազմելով ծրագրված ցուցանիշի 86.9%-ը:</w:t>
      </w:r>
      <w:r w:rsidRPr="001F63BA">
        <w:rPr>
          <w:rFonts w:ascii="GHEA Grapalat" w:hAnsi="GHEA Grapalat" w:cs="GHEA Grapalat"/>
          <w:sz w:val="22"/>
          <w:szCs w:val="22"/>
        </w:rPr>
        <w:t xml:space="preserve"> Ծրագրից շեղումը հիմնականում պայմանավորված է </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Վերակառուցման և զարգացման միջազգային բանկի աջակցությամբ իրականացվող էլեկտրամատակարարման հուսալիության ծրագրի լրացուցիչ ֆինանսավորման ծրագրի շրջանակներում </w:t>
      </w:r>
      <w:r w:rsidRPr="001F63BA">
        <w:rPr>
          <w:rFonts w:ascii="GHEA Grapalat" w:hAnsi="GHEA Grapalat" w:cs="GHEA Grapalat"/>
          <w:sz w:val="22"/>
          <w:szCs w:val="22"/>
          <w:lang w:val="en-US"/>
        </w:rPr>
        <w:t xml:space="preserve">ենթավարկի տրամադրում </w:t>
      </w:r>
      <w:r w:rsidRPr="001F63BA">
        <w:rPr>
          <w:rFonts w:ascii="GHEA Grapalat" w:hAnsi="GHEA Grapalat" w:cs="GHEA Grapalat"/>
          <w:sz w:val="22"/>
          <w:szCs w:val="22"/>
        </w:rPr>
        <w:t>«Բարձրավոլտ էլեկտրացանցեր» ՓԲԸ-ին</w:t>
      </w:r>
      <w:r w:rsidRPr="001F63BA">
        <w:rPr>
          <w:rFonts w:ascii="GHEA Grapalat" w:hAnsi="GHEA Grapalat" w:cs="GHEA Grapalat"/>
          <w:sz w:val="22"/>
          <w:szCs w:val="22"/>
          <w:lang w:val="en-US"/>
        </w:rPr>
        <w:t>» միջոցառման</w:t>
      </w:r>
      <w:r w:rsidRPr="001F63BA">
        <w:rPr>
          <w:rFonts w:ascii="GHEA Grapalat" w:hAnsi="GHEA Grapalat" w:cs="GHEA Grapalat"/>
          <w:sz w:val="22"/>
          <w:szCs w:val="22"/>
        </w:rPr>
        <w:t xml:space="preserve"> կատարողականով:</w:t>
      </w:r>
      <w:r w:rsidRPr="001F63BA">
        <w:rPr>
          <w:rFonts w:ascii="GHEA Grapalat" w:hAnsi="GHEA Grapalat"/>
          <w:noProof w:val="0"/>
          <w:lang w:eastAsia="ru-RU"/>
        </w:rPr>
        <w:t xml:space="preserve"> </w:t>
      </w:r>
      <w:r w:rsidRPr="001F63BA">
        <w:rPr>
          <w:rFonts w:ascii="GHEA Grapalat" w:hAnsi="GHEA Grapalat" w:cs="GHEA Grapalat"/>
          <w:sz w:val="22"/>
          <w:szCs w:val="22"/>
        </w:rPr>
        <w:t xml:space="preserve">Միջոցառման խորհրդատուների կողմից իրականացվել </w:t>
      </w:r>
      <w:r w:rsidRPr="001F63BA">
        <w:rPr>
          <w:rFonts w:ascii="GHEA Grapalat" w:hAnsi="GHEA Grapalat" w:cs="GHEA Grapalat"/>
          <w:sz w:val="22"/>
          <w:szCs w:val="22"/>
          <w:lang w:val="en-US"/>
        </w:rPr>
        <w:t>է</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մ</w:t>
      </w:r>
      <w:r w:rsidRPr="001F63BA">
        <w:rPr>
          <w:rFonts w:ascii="GHEA Grapalat" w:hAnsi="GHEA Grapalat" w:cs="GHEA Grapalat"/>
          <w:sz w:val="22"/>
          <w:szCs w:val="22"/>
        </w:rPr>
        <w:t>իջոցառման ֆինանսավորման ծրագր</w:t>
      </w:r>
      <w:r w:rsidRPr="001F63BA">
        <w:rPr>
          <w:rFonts w:ascii="GHEA Grapalat" w:hAnsi="GHEA Grapalat" w:cs="GHEA Grapalat"/>
          <w:sz w:val="22"/>
          <w:szCs w:val="22"/>
          <w:lang w:val="en-US"/>
        </w:rPr>
        <w:t>եր</w:t>
      </w:r>
      <w:r w:rsidRPr="001F63BA">
        <w:rPr>
          <w:rFonts w:ascii="GHEA Grapalat" w:hAnsi="GHEA Grapalat" w:cs="GHEA Grapalat"/>
          <w:sz w:val="22"/>
          <w:szCs w:val="22"/>
        </w:rPr>
        <w:t xml:space="preserve">ի </w:t>
      </w:r>
      <w:r w:rsidRPr="001F63BA">
        <w:rPr>
          <w:rFonts w:ascii="GHEA Grapalat" w:hAnsi="GHEA Grapalat" w:cs="GHEA Grapalat"/>
          <w:sz w:val="22"/>
          <w:szCs w:val="22"/>
          <w:lang w:val="en-US"/>
        </w:rPr>
        <w:t>2021 թվականի</w:t>
      </w:r>
      <w:r w:rsidRPr="001F63BA">
        <w:rPr>
          <w:rFonts w:ascii="GHEA Grapalat" w:hAnsi="GHEA Grapalat" w:cs="GHEA Grapalat"/>
          <w:sz w:val="22"/>
          <w:szCs w:val="22"/>
        </w:rPr>
        <w:t xml:space="preserve"> ֆինանսական հաշվետվությունների աուդիտ, </w:t>
      </w:r>
      <w:r w:rsidRPr="001F63BA">
        <w:rPr>
          <w:rFonts w:ascii="GHEA Grapalat" w:hAnsi="GHEA Grapalat" w:cs="GHEA Grapalat"/>
          <w:sz w:val="22"/>
          <w:szCs w:val="22"/>
          <w:lang w:val="en-US"/>
        </w:rPr>
        <w:t xml:space="preserve">մատուցվել են </w:t>
      </w:r>
      <w:r w:rsidRPr="001F63BA">
        <w:rPr>
          <w:rFonts w:ascii="GHEA Grapalat" w:hAnsi="GHEA Grapalat" w:cs="GHEA Grapalat"/>
          <w:sz w:val="22"/>
          <w:szCs w:val="22"/>
        </w:rPr>
        <w:t xml:space="preserve">ենթակայանների վերակառուցման իրականացման օժանդակության և վերակառուցման վերահսկողության </w:t>
      </w:r>
      <w:r w:rsidRPr="001F63BA">
        <w:rPr>
          <w:rFonts w:ascii="GHEA Grapalat" w:hAnsi="GHEA Grapalat" w:cs="GHEA Grapalat"/>
          <w:sz w:val="22"/>
          <w:szCs w:val="22"/>
          <w:lang w:val="en-US"/>
        </w:rPr>
        <w:t xml:space="preserve">կառավարման </w:t>
      </w:r>
      <w:r w:rsidRPr="001F63BA">
        <w:rPr>
          <w:rFonts w:ascii="GHEA Grapalat" w:hAnsi="GHEA Grapalat" w:cs="GHEA Grapalat"/>
          <w:sz w:val="22"/>
          <w:szCs w:val="22"/>
        </w:rPr>
        <w:t>խորհրդատվական ծառայություններ, ինչպես նաև կապալառուների կողմից իրականացված շինարարական, սարքեր</w:t>
      </w:r>
      <w:r w:rsidRPr="001F63BA">
        <w:rPr>
          <w:rFonts w:ascii="GHEA Grapalat" w:hAnsi="GHEA Grapalat" w:cs="GHEA Grapalat"/>
          <w:sz w:val="22"/>
          <w:szCs w:val="22"/>
          <w:lang w:val="en-US"/>
        </w:rPr>
        <w:t>ի ու</w:t>
      </w:r>
      <w:r w:rsidRPr="001F63BA">
        <w:rPr>
          <w:rFonts w:ascii="GHEA Grapalat" w:hAnsi="GHEA Grapalat" w:cs="GHEA Grapalat"/>
          <w:sz w:val="22"/>
          <w:szCs w:val="22"/>
        </w:rPr>
        <w:t xml:space="preserve"> սարքավորումների ներկրման աշխատանքներ։ 2022 թվականին ավարտվել են «Վանաձոր-1» ենթակայանի</w:t>
      </w:r>
      <w:r w:rsidRPr="001F63BA">
        <w:rPr>
          <w:rFonts w:ascii="GHEA Grapalat" w:hAnsi="GHEA Grapalat" w:cs="GHEA Grapalat"/>
          <w:bCs/>
          <w:sz w:val="22"/>
          <w:szCs w:val="22"/>
        </w:rPr>
        <w:t xml:space="preserve"> վերակառուցման աշխատանքներ</w:t>
      </w:r>
      <w:r w:rsidRPr="001F63BA">
        <w:rPr>
          <w:rFonts w:ascii="GHEA Grapalat" w:hAnsi="GHEA Grapalat" w:cs="GHEA Grapalat"/>
          <w:bCs/>
          <w:sz w:val="22"/>
          <w:szCs w:val="22"/>
          <w:lang w:val="en-US"/>
        </w:rPr>
        <w:t>ը</w:t>
      </w:r>
      <w:r w:rsidRPr="001F63BA">
        <w:rPr>
          <w:rFonts w:ascii="GHEA Grapalat" w:hAnsi="GHEA Grapalat" w:cs="GHEA Grapalat"/>
          <w:bCs/>
          <w:sz w:val="22"/>
          <w:szCs w:val="22"/>
        </w:rPr>
        <w:t>: Ենթակայանը սահմանված կարգով ամբողջությամբ դրվել է լարման տակ</w:t>
      </w:r>
      <w:r w:rsidRPr="001F63BA">
        <w:rPr>
          <w:rFonts w:ascii="GHEA Grapalat" w:hAnsi="GHEA Grapalat" w:cs="GHEA Grapalat"/>
          <w:sz w:val="22"/>
          <w:szCs w:val="22"/>
        </w:rPr>
        <w:t>: Շարունակվել են «Չարենցավան</w:t>
      </w:r>
      <w:r w:rsidRPr="001F63BA">
        <w:rPr>
          <w:rFonts w:ascii="GHEA Grapalat" w:hAnsi="GHEA Grapalat" w:cs="GHEA Grapalat"/>
          <w:sz w:val="22"/>
          <w:szCs w:val="22"/>
          <w:lang w:val="fr-FR"/>
        </w:rPr>
        <w:t>-3</w:t>
      </w:r>
      <w:r w:rsidRPr="001F63BA">
        <w:rPr>
          <w:rFonts w:ascii="GHEA Grapalat" w:hAnsi="GHEA Grapalat" w:cs="GHEA Grapalat"/>
          <w:sz w:val="22"/>
          <w:szCs w:val="22"/>
        </w:rPr>
        <w:t>» ենթակայանի վերակառուցման աշխատանքները</w:t>
      </w:r>
      <w:r w:rsidRPr="001F63BA">
        <w:rPr>
          <w:rFonts w:ascii="GHEA Grapalat" w:hAnsi="GHEA Grapalat" w:cs="GHEA Grapalat"/>
          <w:sz w:val="22"/>
          <w:szCs w:val="22"/>
          <w:lang w:val="en-US"/>
        </w:rPr>
        <w:t>, որոնք</w:t>
      </w:r>
      <w:r w:rsidRPr="001F63BA">
        <w:rPr>
          <w:rFonts w:ascii="GHEA Grapalat" w:hAnsi="GHEA Grapalat" w:cs="GHEA Grapalat"/>
          <w:sz w:val="22"/>
          <w:szCs w:val="22"/>
        </w:rPr>
        <w:t xml:space="preserve"> նախատեսվում է ավարտել 2023</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վականին</w:t>
      </w:r>
      <w:r w:rsidRPr="001F63BA">
        <w:rPr>
          <w:rFonts w:ascii="GHEA Grapalat" w:hAnsi="GHEA Grapalat" w:cs="GHEA Grapalat"/>
          <w:sz w:val="22"/>
          <w:szCs w:val="22"/>
        </w:rPr>
        <w:t>: Իրականացվում են «Զովունի» ենթակայանի վերակառուցման աշխատանքները</w:t>
      </w:r>
      <w:r w:rsidRPr="001F63BA">
        <w:rPr>
          <w:rFonts w:ascii="GHEA Grapalat" w:hAnsi="GHEA Grapalat" w:cs="GHEA Grapalat"/>
          <w:sz w:val="22"/>
          <w:szCs w:val="22"/>
          <w:lang w:val="en-US"/>
        </w:rPr>
        <w:t xml:space="preserve">, որոնք </w:t>
      </w:r>
      <w:r w:rsidRPr="001F63BA">
        <w:rPr>
          <w:rFonts w:ascii="GHEA Grapalat" w:hAnsi="GHEA Grapalat" w:cs="GHEA Grapalat"/>
          <w:sz w:val="22"/>
          <w:szCs w:val="22"/>
        </w:rPr>
        <w:t>նախատեսվում է ավարտել 2024</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վականին</w:t>
      </w:r>
      <w:r w:rsidRPr="001F63BA">
        <w:rPr>
          <w:rFonts w:ascii="GHEA Grapalat" w:hAnsi="GHEA Grapalat" w:cs="GHEA Grapalat"/>
          <w:sz w:val="22"/>
          <w:szCs w:val="22"/>
        </w:rPr>
        <w:t xml:space="preserve">: Միջոցառման շրջանակներում տրամադրվել է </w:t>
      </w:r>
      <w:r w:rsidRPr="001F63BA">
        <w:rPr>
          <w:rFonts w:ascii="GHEA Grapalat" w:hAnsi="GHEA Grapalat" w:cs="GHEA Grapalat"/>
          <w:sz w:val="22"/>
          <w:szCs w:val="22"/>
          <w:lang w:val="en-US"/>
        </w:rPr>
        <w:t>220 մլն</w:t>
      </w:r>
      <w:r w:rsidRPr="001F63BA">
        <w:rPr>
          <w:rFonts w:ascii="GHEA Grapalat" w:hAnsi="GHEA Grapalat" w:cs="GHEA Grapalat"/>
          <w:sz w:val="22"/>
          <w:szCs w:val="22"/>
        </w:rPr>
        <w:t xml:space="preserve"> դրամ</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նախատեսված </w:t>
      </w:r>
      <w:r w:rsidRPr="001F63BA">
        <w:rPr>
          <w:rFonts w:ascii="GHEA Grapalat" w:hAnsi="GHEA Grapalat" w:cs="GHEA Grapalat"/>
          <w:sz w:val="22"/>
          <w:szCs w:val="22"/>
          <w:lang w:val="en-US"/>
        </w:rPr>
        <w:t>324.7 մլն</w:t>
      </w:r>
      <w:r w:rsidRPr="001F63BA">
        <w:rPr>
          <w:rFonts w:ascii="GHEA Grapalat" w:hAnsi="GHEA Grapalat" w:cs="GHEA Grapalat"/>
          <w:sz w:val="22"/>
          <w:szCs w:val="22"/>
        </w:rPr>
        <w:t xml:space="preserve"> դրամի դիմաց</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պայմանավորված արտարժույթի </w:t>
      </w:r>
      <w:r w:rsidRPr="001F63BA">
        <w:rPr>
          <w:rFonts w:ascii="GHEA Grapalat" w:hAnsi="GHEA Grapalat" w:cs="GHEA Grapalat"/>
          <w:sz w:val="22"/>
          <w:szCs w:val="22"/>
          <w:lang w:val="en-US"/>
        </w:rPr>
        <w:t xml:space="preserve">կանխատեսված և փաստացի փոխարժեքների </w:t>
      </w:r>
      <w:r w:rsidRPr="001F63BA">
        <w:rPr>
          <w:rFonts w:ascii="GHEA Grapalat" w:hAnsi="GHEA Grapalat" w:cs="GHEA Grapalat"/>
          <w:sz w:val="22"/>
          <w:szCs w:val="22"/>
        </w:rPr>
        <w:t>տարբերությամբ, ինչպես նաև տարեվերջին տեխնիկական խնդիրների պատճառով վճարում իրականացնել</w:t>
      </w:r>
      <w:r w:rsidRPr="001F63BA">
        <w:rPr>
          <w:rFonts w:ascii="GHEA Grapalat" w:hAnsi="GHEA Grapalat" w:cs="GHEA Grapalat"/>
          <w:sz w:val="22"/>
          <w:szCs w:val="22"/>
          <w:lang w:val="en-US"/>
        </w:rPr>
        <w:t>ու անհնարինությամբ</w:t>
      </w:r>
      <w:r w:rsidRPr="001F63BA">
        <w:rPr>
          <w:rFonts w:ascii="GHEA Grapalat" w:hAnsi="GHEA Grapalat" w:cs="GHEA Grapalat"/>
          <w:sz w:val="22"/>
          <w:szCs w:val="22"/>
        </w:rPr>
        <w:t>։</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lang w:val="en-US"/>
        </w:rPr>
        <w:t>Նախատեսված ամբողջ ծավալով՝ 488.5 մլն դրամի չափով ենթավարկ է տրամադրվել «Էլեկտրաէներգետիկական համակարգի օպերատոր» ՓԲԸ-ին ԱԶԲ աջակցությամբ իրականացվող Կարգավարման կառավարման ավտոմատացված համակարգի (SCADA) ընդլայնման ծրագրի շրջանակներում:</w:t>
      </w:r>
      <w:r w:rsidRPr="001F63BA">
        <w:rPr>
          <w:rFonts w:ascii="GHEA Grapalat" w:hAnsi="GHEA Grapalat"/>
          <w:noProof w:val="0"/>
          <w:lang w:eastAsia="ru-RU"/>
        </w:rPr>
        <w:t xml:space="preserve"> </w:t>
      </w:r>
      <w:r w:rsidRPr="001F63BA">
        <w:rPr>
          <w:rFonts w:ascii="GHEA Grapalat" w:hAnsi="GHEA Grapalat" w:cs="GHEA Grapalat"/>
          <w:sz w:val="22"/>
          <w:szCs w:val="22"/>
        </w:rPr>
        <w:t>Միջոցառման շրջանակներում սահմանված ժամկետում</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2022 թվա</w:t>
      </w:r>
      <w:r w:rsidRPr="001F63BA">
        <w:rPr>
          <w:rFonts w:ascii="GHEA Grapalat" w:hAnsi="GHEA Grapalat" w:cs="GHEA Grapalat"/>
          <w:sz w:val="22"/>
          <w:szCs w:val="22"/>
          <w:lang w:val="en-US"/>
        </w:rPr>
        <w:t>կանի</w:t>
      </w:r>
      <w:r w:rsidRPr="001F63BA">
        <w:rPr>
          <w:rFonts w:ascii="GHEA Grapalat" w:hAnsi="GHEA Grapalat" w:cs="GHEA Grapalat"/>
          <w:sz w:val="22"/>
          <w:szCs w:val="22"/>
        </w:rPr>
        <w:t xml:space="preserve"> հունիսին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 xml:space="preserve">ավարտվել են </w:t>
      </w:r>
      <w:r w:rsidRPr="001F63BA">
        <w:rPr>
          <w:rFonts w:ascii="GHEA Grapalat" w:hAnsi="GHEA Grapalat" w:cs="GHEA Grapalat"/>
          <w:sz w:val="22"/>
          <w:szCs w:val="22"/>
          <w:lang w:val="af-ZA"/>
        </w:rPr>
        <w:t xml:space="preserve">SCADA/EMS </w:t>
      </w:r>
      <w:r w:rsidRPr="001F63BA">
        <w:rPr>
          <w:rFonts w:ascii="GHEA Grapalat" w:hAnsi="GHEA Grapalat" w:cs="GHEA Grapalat"/>
          <w:sz w:val="22"/>
          <w:szCs w:val="22"/>
        </w:rPr>
        <w:t>համակարգերի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ընդլայնման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ու</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արդիականացման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և</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պահուստային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կարգավարական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կառավարման</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կենտրոնի</w:t>
      </w:r>
      <w:r w:rsidRPr="001F63BA">
        <w:rPr>
          <w:rFonts w:ascii="GHEA Grapalat" w:hAnsi="GHEA Grapalat" w:cs="GHEA Grapalat"/>
          <w:sz w:val="22"/>
          <w:szCs w:val="22"/>
          <w:lang w:val="af-ZA"/>
        </w:rPr>
        <w:t xml:space="preserve"> </w:t>
      </w:r>
      <w:r w:rsidRPr="001F63BA">
        <w:rPr>
          <w:rFonts w:ascii="GHEA Grapalat" w:hAnsi="GHEA Grapalat" w:cs="GHEA Grapalat"/>
          <w:sz w:val="22"/>
          <w:szCs w:val="22"/>
        </w:rPr>
        <w:t>կառուցման աշխատանքներ</w:t>
      </w:r>
      <w:r w:rsidRPr="001F63BA">
        <w:rPr>
          <w:rFonts w:ascii="GHEA Grapalat" w:hAnsi="GHEA Grapalat" w:cs="GHEA Grapalat"/>
          <w:sz w:val="22"/>
          <w:szCs w:val="22"/>
          <w:lang w:val="en-US"/>
        </w:rPr>
        <w:t>ը</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w:t>
      </w:r>
      <w:bookmarkStart w:id="284" w:name="_Hlk97556808"/>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 xml:space="preserve">Վերակառուցման և զարգացման եվրոպական բանկի աջակցությամբ իրականացվող Կոտայքի և Գեղարքունիքի մարզերի կոշտ թափոնների կառավարման ծրագրի շրջանակներում տրամադրվել է </w:t>
      </w:r>
      <w:r w:rsidRPr="001F63BA">
        <w:rPr>
          <w:rFonts w:ascii="GHEA Grapalat" w:hAnsi="GHEA Grapalat"/>
          <w:sz w:val="22"/>
          <w:szCs w:val="22"/>
          <w:lang w:val="en-US"/>
        </w:rPr>
        <w:t>345.1</w:t>
      </w:r>
      <w:r w:rsidRPr="001F63BA">
        <w:rPr>
          <w:rFonts w:ascii="GHEA Grapalat" w:hAnsi="GHEA Grapalat"/>
          <w:sz w:val="22"/>
          <w:szCs w:val="22"/>
        </w:rPr>
        <w:t xml:space="preserve"> մլն դրամ </w:t>
      </w:r>
      <w:r w:rsidRPr="001F63BA">
        <w:rPr>
          <w:rFonts w:ascii="GHEA Grapalat" w:hAnsi="GHEA Grapalat"/>
          <w:sz w:val="22"/>
          <w:szCs w:val="22"/>
          <w:lang w:val="en-US"/>
        </w:rPr>
        <w:t>ենթավարկ, որը կազմել է ծրագրված ցուցանիշի</w:t>
      </w:r>
      <w:r w:rsidRPr="001F63BA">
        <w:rPr>
          <w:rFonts w:ascii="GHEA Grapalat" w:hAnsi="GHEA Grapalat"/>
          <w:sz w:val="22"/>
          <w:szCs w:val="22"/>
        </w:rPr>
        <w:t xml:space="preserve"> </w:t>
      </w:r>
      <w:r w:rsidRPr="001F63BA">
        <w:rPr>
          <w:rFonts w:ascii="GHEA Grapalat" w:hAnsi="GHEA Grapalat"/>
          <w:sz w:val="22"/>
          <w:szCs w:val="22"/>
          <w:lang w:val="en-US"/>
        </w:rPr>
        <w:t>50</w:t>
      </w:r>
      <w:r w:rsidRPr="001F63BA">
        <w:rPr>
          <w:rFonts w:ascii="GHEA Grapalat" w:hAnsi="GHEA Grapalat"/>
          <w:sz w:val="22"/>
          <w:szCs w:val="22"/>
        </w:rPr>
        <w:t xml:space="preserve">%-ը: </w:t>
      </w:r>
      <w:r w:rsidRPr="001F63BA">
        <w:rPr>
          <w:rFonts w:ascii="GHEA Grapalat" w:hAnsi="GHEA Grapalat"/>
          <w:sz w:val="22"/>
          <w:szCs w:val="22"/>
          <w:lang w:val="en-US"/>
        </w:rPr>
        <w:t xml:space="preserve">Միջոցառման </w:t>
      </w:r>
      <w:r w:rsidRPr="001F63BA">
        <w:rPr>
          <w:rFonts w:ascii="GHEA Grapalat" w:hAnsi="GHEA Grapalat"/>
          <w:sz w:val="22"/>
          <w:szCs w:val="22"/>
        </w:rPr>
        <w:t xml:space="preserve">շրջանակներում հաշվետու </w:t>
      </w:r>
      <w:r w:rsidRPr="001F63BA">
        <w:rPr>
          <w:rFonts w:ascii="GHEA Grapalat" w:hAnsi="GHEA Grapalat"/>
          <w:sz w:val="22"/>
          <w:szCs w:val="22"/>
          <w:lang w:val="en-US"/>
        </w:rPr>
        <w:t>տար</w:t>
      </w:r>
      <w:r w:rsidRPr="001F63BA">
        <w:rPr>
          <w:rFonts w:ascii="GHEA Grapalat" w:hAnsi="GHEA Grapalat"/>
          <w:sz w:val="22"/>
          <w:szCs w:val="22"/>
        </w:rPr>
        <w:t xml:space="preserve">ում իրականացվել են Հրազդան համայնքում նոր սանիտարական աղբավայրի և Մարտունի ու Աբովյան համայնքի Ակունք բնակավայրերում աղբի փոխաբեռնման կայանների կառուցապատման աշխատանքներ։ </w:t>
      </w:r>
      <w:r w:rsidRPr="001F63BA">
        <w:rPr>
          <w:rFonts w:ascii="GHEA Grapalat" w:hAnsi="GHEA Grapalat"/>
          <w:sz w:val="22"/>
          <w:szCs w:val="22"/>
          <w:lang w:val="en-US"/>
        </w:rPr>
        <w:t>Ցածր ցուցանիշը</w:t>
      </w:r>
      <w:r w:rsidRPr="001F63BA">
        <w:rPr>
          <w:rFonts w:ascii="GHEA Grapalat" w:hAnsi="GHEA Grapalat"/>
          <w:sz w:val="22"/>
          <w:szCs w:val="22"/>
        </w:rPr>
        <w:t xml:space="preserve"> </w:t>
      </w:r>
      <w:r w:rsidRPr="001F63BA">
        <w:rPr>
          <w:rFonts w:ascii="GHEA Grapalat" w:hAnsi="GHEA Grapalat"/>
          <w:sz w:val="22"/>
          <w:szCs w:val="22"/>
          <w:lang w:val="fr-FR"/>
        </w:rPr>
        <w:t>պայմանավորված</w:t>
      </w:r>
      <w:r w:rsidRPr="001F63BA">
        <w:rPr>
          <w:rFonts w:ascii="GHEA Grapalat" w:hAnsi="GHEA Grapalat"/>
          <w:sz w:val="22"/>
          <w:szCs w:val="22"/>
        </w:rPr>
        <w:t xml:space="preserve"> </w:t>
      </w:r>
      <w:r w:rsidRPr="001F63BA">
        <w:rPr>
          <w:rFonts w:ascii="GHEA Grapalat" w:hAnsi="GHEA Grapalat"/>
          <w:sz w:val="22"/>
          <w:szCs w:val="22"/>
          <w:lang w:val="af-ZA"/>
        </w:rPr>
        <w:t>է</w:t>
      </w:r>
      <w:r w:rsidRPr="001F63BA">
        <w:rPr>
          <w:rFonts w:ascii="GHEA Grapalat" w:hAnsi="GHEA Grapalat"/>
          <w:sz w:val="22"/>
          <w:szCs w:val="22"/>
        </w:rPr>
        <w:t xml:space="preserve"> </w:t>
      </w:r>
      <w:r w:rsidRPr="001F63BA">
        <w:rPr>
          <w:rFonts w:ascii="GHEA Grapalat" w:hAnsi="GHEA Grapalat"/>
          <w:sz w:val="22"/>
          <w:szCs w:val="22"/>
          <w:lang w:val="en-US"/>
        </w:rPr>
        <w:t>տեխնիկական խնդիրներով</w:t>
      </w:r>
      <w:r w:rsidRPr="001F63BA">
        <w:rPr>
          <w:rFonts w:ascii="GHEA Grapalat" w:hAnsi="GHEA Grapalat"/>
          <w:sz w:val="22"/>
          <w:szCs w:val="22"/>
        </w:rPr>
        <w:t xml:space="preserve">, ինչի պատճառով էլ վճարումը </w:t>
      </w:r>
      <w:r w:rsidRPr="001F63BA">
        <w:rPr>
          <w:rFonts w:ascii="GHEA Grapalat" w:hAnsi="GHEA Grapalat"/>
          <w:sz w:val="22"/>
          <w:szCs w:val="22"/>
          <w:lang w:val="en-US"/>
        </w:rPr>
        <w:t>տեղափոխվել է</w:t>
      </w:r>
      <w:r w:rsidRPr="001F63BA">
        <w:rPr>
          <w:rFonts w:ascii="GHEA Grapalat" w:hAnsi="GHEA Grapalat"/>
          <w:sz w:val="22"/>
          <w:szCs w:val="22"/>
        </w:rPr>
        <w:t xml:space="preserve"> 2023 թվական։</w:t>
      </w:r>
    </w:p>
    <w:bookmarkEnd w:id="284"/>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lastRenderedPageBreak/>
        <w:t>Գյուղատնտեսության զարգացման միջազգային հիմնադրամի աջակցությամբ իրականացվող «Ենթակառուցվածքների և գյուղական ֆինանսավորման աջակցություն» վարկային ծրագ</w:t>
      </w:r>
      <w:r w:rsidRPr="001F63BA">
        <w:rPr>
          <w:rFonts w:ascii="GHEA Grapalat" w:hAnsi="GHEA Grapalat" w:cs="GHEA Grapalat"/>
          <w:sz w:val="22"/>
          <w:szCs w:val="22"/>
          <w:lang w:val="en-US"/>
        </w:rPr>
        <w:t>րի շրջանակներում</w:t>
      </w:r>
      <w:r w:rsidRPr="001F63BA">
        <w:rPr>
          <w:rFonts w:ascii="GHEA Grapalat" w:hAnsi="GHEA Grapalat" w:cs="GHEA Grapalat"/>
          <w:sz w:val="22"/>
          <w:szCs w:val="22"/>
        </w:rPr>
        <w:t xml:space="preserve"> ԳՖԿ</w:t>
      </w:r>
      <w:r w:rsidRPr="001F63BA">
        <w:rPr>
          <w:rFonts w:ascii="GHEA Grapalat" w:hAnsi="GHEA Grapalat" w:cs="GHEA Grapalat"/>
          <w:sz w:val="22"/>
          <w:szCs w:val="22"/>
          <w:lang w:val="en-US"/>
        </w:rPr>
        <w:noBreakHyphen/>
      </w:r>
      <w:r w:rsidRPr="001F63BA">
        <w:rPr>
          <w:rFonts w:ascii="GHEA Grapalat" w:hAnsi="GHEA Grapalat" w:cs="GHEA Grapalat"/>
          <w:sz w:val="22"/>
          <w:szCs w:val="22"/>
        </w:rPr>
        <w:t>ի միջոցով ծրագրի մասնակից ֆինանսական հաստատություններին տրամադր</w:t>
      </w:r>
      <w:r w:rsidRPr="001F63BA">
        <w:rPr>
          <w:rFonts w:ascii="GHEA Grapalat" w:hAnsi="GHEA Grapalat" w:cs="GHEA Grapalat"/>
          <w:sz w:val="22"/>
          <w:szCs w:val="22"/>
          <w:lang w:val="en-US"/>
        </w:rPr>
        <w:t>վ</w:t>
      </w:r>
      <w:r w:rsidRPr="001F63BA">
        <w:rPr>
          <w:rFonts w:ascii="GHEA Grapalat" w:hAnsi="GHEA Grapalat" w:cs="GHEA Grapalat"/>
          <w:sz w:val="22"/>
          <w:szCs w:val="22"/>
        </w:rPr>
        <w:t xml:space="preserve">ում </w:t>
      </w:r>
      <w:r w:rsidRPr="001F63BA">
        <w:rPr>
          <w:rFonts w:ascii="GHEA Grapalat" w:hAnsi="GHEA Grapalat" w:cs="GHEA Grapalat"/>
          <w:sz w:val="22"/>
          <w:szCs w:val="22"/>
          <w:lang w:val="en-US"/>
        </w:rPr>
        <w:t>են</w:t>
      </w:r>
      <w:r w:rsidRPr="001F63BA">
        <w:rPr>
          <w:rFonts w:ascii="GHEA Grapalat" w:hAnsi="GHEA Grapalat" w:cs="GHEA Grapalat"/>
          <w:sz w:val="22"/>
          <w:szCs w:val="22"/>
        </w:rPr>
        <w:t xml:space="preserve"> ֆինանսական միջոցներ, որոնք վարկերի տեսքով ուղղվում են փոքր գյուղացիական տնտեսավարողներին: Միջոցառման շրջանակներում վարկեր են տրամադրվել 12 փոքր գյուղացիական տնտեսավարողների՝ նախատեսված 35</w:t>
      </w:r>
      <w:r w:rsidRPr="001F63BA">
        <w:rPr>
          <w:rFonts w:ascii="GHEA Grapalat" w:hAnsi="GHEA Grapalat" w:cs="GHEA Grapalat"/>
          <w:sz w:val="22"/>
          <w:szCs w:val="22"/>
          <w:lang w:val="en-US"/>
        </w:rPr>
        <w:t>-ի փոխարեն</w:t>
      </w:r>
      <w:r w:rsidRPr="001F63BA">
        <w:rPr>
          <w:rFonts w:ascii="GHEA Grapalat" w:hAnsi="GHEA Grapalat" w:cs="GHEA Grapalat"/>
          <w:sz w:val="22"/>
          <w:szCs w:val="22"/>
        </w:rPr>
        <w:t>։ Շեղումը պայմանավորված է նախորդ տարիներին</w:t>
      </w:r>
      <w:r w:rsidRPr="001F63BA">
        <w:rPr>
          <w:rFonts w:ascii="GHEA Grapalat" w:hAnsi="GHEA Grapalat" w:cs="GHEA Grapalat"/>
          <w:sz w:val="22"/>
          <w:szCs w:val="22"/>
          <w:lang w:val="en-US"/>
        </w:rPr>
        <w:t xml:space="preserve"> շահառուների՝</w:t>
      </w:r>
      <w:r w:rsidRPr="001F63BA">
        <w:rPr>
          <w:rFonts w:ascii="GHEA Grapalat" w:hAnsi="GHEA Grapalat" w:cs="GHEA Grapalat"/>
          <w:sz w:val="22"/>
          <w:szCs w:val="22"/>
        </w:rPr>
        <w:t xml:space="preserve"> նախատեսվածից </w:t>
      </w:r>
      <w:r w:rsidRPr="001F63BA">
        <w:rPr>
          <w:rFonts w:ascii="GHEA Grapalat" w:hAnsi="GHEA Grapalat" w:cs="GHEA Grapalat"/>
          <w:sz w:val="22"/>
          <w:szCs w:val="22"/>
          <w:lang w:val="en-US"/>
        </w:rPr>
        <w:t>մեծ քանակով:</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Ծ</w:t>
      </w:r>
      <w:r w:rsidRPr="001F63BA">
        <w:rPr>
          <w:rFonts w:ascii="GHEA Grapalat" w:hAnsi="GHEA Grapalat" w:cs="GHEA Grapalat"/>
          <w:sz w:val="22"/>
          <w:szCs w:val="22"/>
        </w:rPr>
        <w:t xml:space="preserve">րագիրն ավարտվել է 2022 թվականի հունիսին։ Ծրագրի շրջանակներում տրամադրվել է 58.3 մլն դրամ կամ </w:t>
      </w:r>
      <w:r w:rsidRPr="001F63BA">
        <w:rPr>
          <w:rFonts w:ascii="GHEA Grapalat" w:hAnsi="GHEA Grapalat" w:cs="GHEA Grapalat"/>
          <w:sz w:val="22"/>
          <w:szCs w:val="22"/>
          <w:lang w:val="en-US"/>
        </w:rPr>
        <w:t>նախատեսված</w:t>
      </w:r>
      <w:r w:rsidRPr="001F63BA">
        <w:rPr>
          <w:rFonts w:ascii="GHEA Grapalat" w:hAnsi="GHEA Grapalat" w:cs="GHEA Grapalat"/>
          <w:sz w:val="22"/>
          <w:szCs w:val="22"/>
        </w:rPr>
        <w:t xml:space="preserve">ի 17.5%-ը: Շեղումը պայմանավորված է </w:t>
      </w:r>
      <w:r w:rsidRPr="001F63BA">
        <w:rPr>
          <w:rFonts w:ascii="GHEA Grapalat" w:hAnsi="GHEA Grapalat" w:cs="GHEA Grapalat"/>
          <w:sz w:val="22"/>
          <w:szCs w:val="22"/>
          <w:lang w:val="en-US"/>
        </w:rPr>
        <w:t xml:space="preserve">նրանով, որ տրամադրված վարկերի միջին մեծությունը կազմել է 5 մլն դրամ՝ </w:t>
      </w:r>
      <w:r w:rsidRPr="001F63BA">
        <w:rPr>
          <w:rFonts w:ascii="GHEA Grapalat" w:hAnsi="GHEA Grapalat" w:cs="GHEA Grapalat"/>
          <w:sz w:val="22"/>
          <w:szCs w:val="22"/>
        </w:rPr>
        <w:t>նախատեսված 10 մլն դրամի փոխարեն,</w:t>
      </w:r>
      <w:r w:rsidRPr="001F63BA">
        <w:rPr>
          <w:rFonts w:ascii="GHEA Grapalat" w:hAnsi="GHEA Grapalat" w:cs="GHEA Grapalat"/>
          <w:sz w:val="22"/>
          <w:szCs w:val="22"/>
          <w:lang w:val="en-US"/>
        </w:rPr>
        <w:t xml:space="preserve"> շահառուների քանակով,</w:t>
      </w:r>
      <w:r w:rsidRPr="001F63BA">
        <w:rPr>
          <w:rFonts w:ascii="GHEA Grapalat" w:hAnsi="GHEA Grapalat" w:cs="GHEA Grapalat"/>
          <w:sz w:val="22"/>
          <w:szCs w:val="22"/>
        </w:rPr>
        <w:t xml:space="preserve"> ինչպես նաև արտարժույթի կանխատեսված և փաստացի փոխարժեք</w:t>
      </w:r>
      <w:r w:rsidRPr="001F63BA">
        <w:rPr>
          <w:rFonts w:ascii="GHEA Grapalat" w:hAnsi="GHEA Grapalat" w:cs="GHEA Grapalat"/>
          <w:sz w:val="22"/>
          <w:szCs w:val="22"/>
          <w:lang w:val="en-US"/>
        </w:rPr>
        <w:t>ներ</w:t>
      </w:r>
      <w:r w:rsidRPr="001F63BA">
        <w:rPr>
          <w:rFonts w:ascii="GHEA Grapalat" w:hAnsi="GHEA Grapalat" w:cs="GHEA Grapalat"/>
          <w:sz w:val="22"/>
          <w:szCs w:val="22"/>
        </w:rPr>
        <w:t xml:space="preserve">ի տարբերությամբ: </w:t>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cs="GHEA Grapalat"/>
          <w:sz w:val="22"/>
          <w:szCs w:val="22"/>
        </w:rPr>
        <w:t xml:space="preserve">Նախկինում պետական բյուջեից ռեզիդենտներին տրամադրված վարկերից </w:t>
      </w:r>
      <w:r w:rsidRPr="001F63BA">
        <w:rPr>
          <w:rFonts w:ascii="GHEA Grapalat" w:hAnsi="GHEA Grapalat" w:cs="GHEA Grapalat"/>
          <w:sz w:val="22"/>
          <w:szCs w:val="22"/>
          <w:lang w:val="en-US"/>
        </w:rPr>
        <w:t>2022 թվականի</w:t>
      </w:r>
      <w:r w:rsidRPr="001F63BA">
        <w:rPr>
          <w:rFonts w:ascii="GHEA Grapalat" w:hAnsi="GHEA Grapalat" w:cs="GHEA Grapalat"/>
          <w:sz w:val="22"/>
          <w:szCs w:val="22"/>
        </w:rPr>
        <w:t xml:space="preserve"> ընթացքում վերադարձվել է </w:t>
      </w:r>
      <w:r w:rsidRPr="001F63BA">
        <w:rPr>
          <w:rFonts w:ascii="GHEA Grapalat" w:hAnsi="GHEA Grapalat" w:cs="GHEA Grapalat"/>
          <w:sz w:val="22"/>
          <w:szCs w:val="22"/>
          <w:lang w:val="en-US"/>
        </w:rPr>
        <w:t>31.2</w:t>
      </w:r>
      <w:r w:rsidRPr="001F63BA">
        <w:rPr>
          <w:rFonts w:ascii="GHEA Grapalat" w:hAnsi="GHEA Grapalat" w:cs="GHEA Grapalat"/>
          <w:sz w:val="22"/>
          <w:szCs w:val="22"/>
        </w:rPr>
        <w:t xml:space="preserve"> մլրդ դրամ՝ </w:t>
      </w:r>
      <w:r w:rsidRPr="001F63BA">
        <w:rPr>
          <w:rFonts w:ascii="GHEA Grapalat" w:hAnsi="GHEA Grapalat" w:cs="GHEA Grapalat"/>
          <w:sz w:val="22"/>
          <w:szCs w:val="22"/>
          <w:lang w:val="en-US"/>
        </w:rPr>
        <w:t>98.7</w:t>
      </w:r>
      <w:r w:rsidRPr="001F63BA">
        <w:rPr>
          <w:rFonts w:ascii="GHEA Grapalat" w:hAnsi="GHEA Grapalat" w:cs="GHEA Grapalat"/>
          <w:sz w:val="22"/>
          <w:szCs w:val="22"/>
        </w:rPr>
        <w:t xml:space="preserve">%-ով </w:t>
      </w:r>
      <w:r w:rsidRPr="001F63BA">
        <w:rPr>
          <w:rFonts w:ascii="GHEA Grapalat" w:hAnsi="GHEA Grapalat" w:cs="GHEA Grapalat"/>
          <w:sz w:val="22"/>
          <w:szCs w:val="22"/>
          <w:lang w:val="en-US"/>
        </w:rPr>
        <w:t>ապահովելով</w:t>
      </w:r>
      <w:r w:rsidRPr="001F63BA">
        <w:rPr>
          <w:rFonts w:ascii="GHEA Grapalat" w:hAnsi="GHEA Grapalat" w:cs="GHEA Grapalat"/>
          <w:sz w:val="22"/>
          <w:szCs w:val="22"/>
        </w:rPr>
        <w:t xml:space="preserve"> ծրագրված ցուցանիշը, ինչը հիմնականում պայմանավորված է</w:t>
      </w:r>
      <w:r w:rsidRPr="001F63BA">
        <w:rPr>
          <w:rFonts w:ascii="GHEA Grapalat" w:hAnsi="GHEA Grapalat"/>
          <w:noProof w:val="0"/>
          <w:sz w:val="22"/>
          <w:szCs w:val="22"/>
          <w:lang w:val="en-US"/>
        </w:rPr>
        <w:t xml:space="preserve"> </w:t>
      </w:r>
      <w:r w:rsidRPr="001F63BA">
        <w:rPr>
          <w:rFonts w:ascii="GHEA Grapalat" w:hAnsi="GHEA Grapalat" w:cs="GHEA Grapalat"/>
          <w:sz w:val="22"/>
          <w:szCs w:val="22"/>
          <w:lang w:val="en-US"/>
        </w:rPr>
        <w:t>արտարժույթի՝ կանխատեսվածից ցածր փոխարժեքով: Նշենք, որ վարկերի վերադարձի ցուցանիշի վրա դրական ազդեցություն է ունեցել Կորոնավիրուսի (COVID-19) տնտեսական հետևանքների չեզոքացման 3-րդ միջոցառման շրջանակներում տրամադրված վարկերից 3.2 մլրդ դրամի վաղաժամկետ մարումը: Վերադարձված միջոցներից 10.4</w:t>
      </w:r>
      <w:r w:rsidRPr="001F63BA">
        <w:rPr>
          <w:rFonts w:ascii="Courier New" w:hAnsi="Courier New" w:cs="Courier New"/>
          <w:sz w:val="22"/>
          <w:szCs w:val="22"/>
          <w:lang w:val="en-US"/>
        </w:rPr>
        <w:t> </w:t>
      </w:r>
      <w:r w:rsidRPr="001F63BA">
        <w:rPr>
          <w:rFonts w:ascii="GHEA Grapalat" w:hAnsi="GHEA Grapalat" w:cs="GHEA Grapalat"/>
          <w:sz w:val="22"/>
          <w:szCs w:val="22"/>
          <w:lang w:val="en-US"/>
        </w:rPr>
        <w:t xml:space="preserve">մլրդ դրամը վճարվել է «Հայկական ատոմակայան» ՓԲԸ-ի կողմից՝ ապահովելով ծրագրի 95.1% կատարողական, 3.1 մլրդ դրամը՝ «Երևանի Ջերմաէլեկտրակենտրոն» ՓԲԸ-ի կողմից, որը կազմել է ծրագրի 84.4%-ը: </w:t>
      </w:r>
      <w:r w:rsidRPr="001F63BA">
        <w:rPr>
          <w:rFonts w:ascii="GHEA Grapalat" w:hAnsi="GHEA Grapalat"/>
          <w:sz w:val="22"/>
          <w:szCs w:val="22"/>
        </w:rPr>
        <w:t>ՀՀ կենտ</w:t>
      </w:r>
      <w:r w:rsidRPr="001F63BA">
        <w:rPr>
          <w:rFonts w:ascii="GHEA Grapalat" w:hAnsi="GHEA Grapalat"/>
          <w:sz w:val="22"/>
          <w:szCs w:val="22"/>
          <w:lang w:val="en-US"/>
        </w:rPr>
        <w:t>ր</w:t>
      </w:r>
      <w:r w:rsidRPr="001F63BA">
        <w:rPr>
          <w:rFonts w:ascii="GHEA Grapalat" w:hAnsi="GHEA Grapalat"/>
          <w:sz w:val="22"/>
          <w:szCs w:val="22"/>
        </w:rPr>
        <w:t>ոնական բանկի կողմից՝</w:t>
      </w:r>
      <w:r w:rsidRPr="001F63BA">
        <w:rPr>
          <w:rFonts w:ascii="GHEA Grapalat" w:hAnsi="GHEA Grapalat" w:cs="GHEA Grapalat"/>
          <w:sz w:val="22"/>
          <w:szCs w:val="22"/>
        </w:rPr>
        <w:t xml:space="preserve"> Տնտեսության կայունացման վարկավորման ծրագրի շրջանակներում տրամադրված վարկերի գծով նախատեսված </w:t>
      </w:r>
      <w:r w:rsidRPr="001F63BA">
        <w:rPr>
          <w:rFonts w:ascii="GHEA Grapalat" w:hAnsi="GHEA Grapalat" w:cs="GHEA Grapalat"/>
          <w:sz w:val="22"/>
          <w:szCs w:val="22"/>
          <w:lang w:val="en-US"/>
        </w:rPr>
        <w:t>շուրջ 5.7</w:t>
      </w:r>
      <w:r w:rsidRPr="001F63BA">
        <w:rPr>
          <w:rFonts w:ascii="GHEA Grapalat" w:hAnsi="GHEA Grapalat" w:cs="GHEA Grapalat"/>
          <w:sz w:val="22"/>
          <w:szCs w:val="22"/>
        </w:rPr>
        <w:t xml:space="preserve"> մլրդ դրամ</w:t>
      </w:r>
      <w:r w:rsidRPr="001F63BA">
        <w:rPr>
          <w:rFonts w:ascii="GHEA Grapalat" w:hAnsi="GHEA Grapalat" w:cs="GHEA Grapalat"/>
          <w:sz w:val="22"/>
          <w:szCs w:val="22"/>
          <w:lang w:val="en-US"/>
        </w:rPr>
        <w:t xml:space="preserve">ի փոխարեն </w:t>
      </w:r>
      <w:r w:rsidRPr="001F63BA">
        <w:rPr>
          <w:rFonts w:ascii="GHEA Grapalat" w:hAnsi="GHEA Grapalat"/>
          <w:sz w:val="22"/>
          <w:szCs w:val="22"/>
        </w:rPr>
        <w:t>վերադարձվել է</w:t>
      </w:r>
      <w:r w:rsidRPr="001F63BA">
        <w:rPr>
          <w:rFonts w:ascii="GHEA Grapalat" w:hAnsi="GHEA Grapalat"/>
          <w:sz w:val="22"/>
          <w:szCs w:val="22"/>
          <w:lang w:val="en-US"/>
        </w:rPr>
        <w:t xml:space="preserve"> 5 մլրդ դրամ</w:t>
      </w:r>
      <w:r w:rsidRPr="001F63BA">
        <w:rPr>
          <w:rFonts w:ascii="GHEA Grapalat" w:hAnsi="GHEA Grapalat" w:cs="GHEA Grapalat"/>
          <w:sz w:val="22"/>
          <w:szCs w:val="22"/>
        </w:rPr>
        <w:t>:</w:t>
      </w:r>
      <w:r w:rsidRPr="001F63BA">
        <w:rPr>
          <w:rFonts w:ascii="GHEA Grapalat" w:hAnsi="GHEA Grapalat" w:cs="GHEA Grapalat"/>
          <w:sz w:val="22"/>
          <w:szCs w:val="22"/>
          <w:lang w:val="en-US"/>
        </w:rPr>
        <w:t xml:space="preserve"> Ծրագրված ցուցանիշներից շեղումները պայմանավորված են կանխատեսվածի համեմատ ցածր փաստացի փոխարժեքով:</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 թվականին ՀՀ պետական բյուջեի պակասուրդի արտաքին ֆինանսավորման աղբյուրներում </w:t>
      </w:r>
      <w:r w:rsidRPr="001F63BA">
        <w:rPr>
          <w:rFonts w:ascii="GHEA Grapalat" w:hAnsi="GHEA Grapalat" w:cs="GHEA Grapalat"/>
          <w:sz w:val="22"/>
          <w:szCs w:val="22"/>
          <w:lang w:val="en-US"/>
        </w:rPr>
        <w:t>66.2</w:t>
      </w:r>
      <w:r w:rsidRPr="001F63BA">
        <w:rPr>
          <w:rFonts w:ascii="GHEA Grapalat" w:hAnsi="GHEA Grapalat" w:cs="GHEA Grapalat"/>
          <w:sz w:val="22"/>
          <w:szCs w:val="22"/>
        </w:rPr>
        <w:t xml:space="preserve"> մլրդ դրամ են կազմել փոխառու զուտ միջոցները: </w:t>
      </w:r>
    </w:p>
    <w:p w:rsidR="001C411D" w:rsidRPr="001F63BA" w:rsidRDefault="001C411D" w:rsidP="00BA6025">
      <w:pPr>
        <w:autoSpaceDE w:val="0"/>
        <w:autoSpaceDN w:val="0"/>
        <w:adjustRightInd w:val="0"/>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Արտաքին փոխառու միջոցների հաշվին դեֆիցիտի ֆինանսավորումը (մլրդ դրամ)</w:t>
      </w:r>
    </w:p>
    <w:tbl>
      <w:tblPr>
        <w:tblW w:w="10314" w:type="dxa"/>
        <w:tblLayout w:type="fixed"/>
        <w:tblLook w:val="00A0" w:firstRow="1" w:lastRow="0" w:firstColumn="1" w:lastColumn="0" w:noHBand="0" w:noVBand="0"/>
      </w:tblPr>
      <w:tblGrid>
        <w:gridCol w:w="3416"/>
        <w:gridCol w:w="1260"/>
        <w:gridCol w:w="1351"/>
        <w:gridCol w:w="1261"/>
        <w:gridCol w:w="1609"/>
        <w:gridCol w:w="1417"/>
      </w:tblGrid>
      <w:tr w:rsidR="001C411D" w:rsidRPr="001F63BA" w:rsidTr="009D2FDC">
        <w:trPr>
          <w:trHeight w:val="855"/>
        </w:trPr>
        <w:tc>
          <w:tcPr>
            <w:tcW w:w="341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6" w:lineRule="auto"/>
              <w:rPr>
                <w:rFonts w:ascii="GHEA Grapalat" w:hAnsi="GHEA Grapalat" w:cs="Calibri"/>
                <w:sz w:val="18"/>
                <w:szCs w:val="18"/>
              </w:rPr>
            </w:pPr>
            <w:r w:rsidRPr="001F63BA">
              <w:rPr>
                <w:rFonts w:ascii="Courier New" w:hAnsi="Courier New" w:cs="Courier New"/>
                <w:sz w:val="18"/>
                <w:szCs w:val="18"/>
              </w:rPr>
              <w:t> </w:t>
            </w:r>
          </w:p>
        </w:tc>
        <w:tc>
          <w:tcPr>
            <w:tcW w:w="1260" w:type="dxa"/>
            <w:tcBorders>
              <w:top w:val="single" w:sz="4" w:space="0" w:color="auto"/>
              <w:left w:val="nil"/>
              <w:bottom w:val="single" w:sz="4" w:space="0" w:color="auto"/>
              <w:right w:val="single" w:sz="4" w:space="0" w:color="auto"/>
            </w:tcBorders>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փաստ</w:t>
            </w: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ճշտված պլան</w:t>
            </w:r>
          </w:p>
        </w:tc>
        <w:tc>
          <w:tcPr>
            <w:tcW w:w="1261"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փաստ</w:t>
            </w:r>
          </w:p>
        </w:tc>
        <w:tc>
          <w:tcPr>
            <w:tcW w:w="1609"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 (%)</w:t>
            </w:r>
          </w:p>
        </w:tc>
        <w:tc>
          <w:tcPr>
            <w:tcW w:w="1417"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w:t>
            </w:r>
            <w:r w:rsidRPr="001F63BA">
              <w:rPr>
                <w:rFonts w:ascii="GHEA Grapalat" w:hAnsi="GHEA Grapalat" w:cs="Calibri"/>
                <w:b/>
                <w:bCs/>
                <w:sz w:val="18"/>
                <w:szCs w:val="18"/>
              </w:rPr>
              <w:t>ի նկատմամբ</w:t>
            </w:r>
            <w:r w:rsidRPr="001F63BA">
              <w:rPr>
                <w:rFonts w:ascii="GHEA Grapalat" w:hAnsi="GHEA Grapalat" w:cs="Calibri"/>
                <w:b/>
                <w:bCs/>
                <w:sz w:val="18"/>
                <w:szCs w:val="18"/>
                <w:lang w:val="en-US"/>
              </w:rPr>
              <w:t xml:space="preserve"> (%)</w:t>
            </w:r>
          </w:p>
        </w:tc>
      </w:tr>
      <w:tr w:rsidR="001C411D" w:rsidRPr="001F63BA" w:rsidTr="009D2FDC">
        <w:trPr>
          <w:trHeight w:val="377"/>
        </w:trPr>
        <w:tc>
          <w:tcPr>
            <w:tcW w:w="3416" w:type="dxa"/>
            <w:tcBorders>
              <w:top w:val="nil"/>
              <w:left w:val="single" w:sz="4" w:space="0" w:color="auto"/>
              <w:bottom w:val="single" w:sz="4" w:space="0" w:color="auto"/>
              <w:right w:val="single" w:sz="4" w:space="0" w:color="auto"/>
            </w:tcBorders>
            <w:vAlign w:val="bottom"/>
          </w:tcPr>
          <w:p w:rsidR="001C411D" w:rsidRPr="001F63BA" w:rsidRDefault="001C411D" w:rsidP="009D2FDC">
            <w:pPr>
              <w:spacing w:line="256" w:lineRule="auto"/>
              <w:rPr>
                <w:rFonts w:ascii="GHEA Grapalat" w:hAnsi="GHEA Grapalat" w:cs="Calibri"/>
                <w:b/>
                <w:sz w:val="18"/>
                <w:szCs w:val="18"/>
              </w:rPr>
            </w:pPr>
            <w:r w:rsidRPr="001F63BA">
              <w:rPr>
                <w:rFonts w:ascii="GHEA Grapalat" w:hAnsi="GHEA Grapalat" w:cs="Calibri"/>
                <w:b/>
                <w:sz w:val="18"/>
                <w:szCs w:val="18"/>
              </w:rPr>
              <w:t>Փոխառու զուտ միջոցներ</w:t>
            </w:r>
          </w:p>
        </w:tc>
        <w:tc>
          <w:tcPr>
            <w:tcW w:w="1260"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b/>
                <w:bCs/>
                <w:sz w:val="18"/>
                <w:szCs w:val="18"/>
              </w:rPr>
            </w:pPr>
            <w:r w:rsidRPr="001F63BA">
              <w:rPr>
                <w:rFonts w:ascii="GHEA Grapalat" w:hAnsi="GHEA Grapalat" w:cs="Calibri"/>
                <w:b/>
                <w:bCs/>
                <w:sz w:val="18"/>
                <w:szCs w:val="18"/>
              </w:rPr>
              <w:t>350.9</w:t>
            </w:r>
          </w:p>
        </w:tc>
        <w:tc>
          <w:tcPr>
            <w:tcW w:w="135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98.2</w:t>
            </w:r>
          </w:p>
        </w:tc>
        <w:tc>
          <w:tcPr>
            <w:tcW w:w="1261"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66.2</w:t>
            </w:r>
          </w:p>
        </w:tc>
        <w:tc>
          <w:tcPr>
            <w:tcW w:w="1609"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67.4</w:t>
            </w:r>
          </w:p>
        </w:tc>
        <w:tc>
          <w:tcPr>
            <w:tcW w:w="1417"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18.9</w:t>
            </w:r>
          </w:p>
        </w:tc>
      </w:tr>
      <w:tr w:rsidR="001C411D" w:rsidRPr="001F63BA" w:rsidTr="009D2FDC">
        <w:trPr>
          <w:trHeight w:val="377"/>
        </w:trPr>
        <w:tc>
          <w:tcPr>
            <w:tcW w:w="3416" w:type="dxa"/>
            <w:tcBorders>
              <w:top w:val="nil"/>
              <w:left w:val="single" w:sz="4" w:space="0" w:color="auto"/>
              <w:bottom w:val="single" w:sz="4" w:space="0" w:color="auto"/>
              <w:right w:val="single" w:sz="4" w:space="0" w:color="auto"/>
            </w:tcBorders>
            <w:tcMar>
              <w:left w:w="170" w:type="dxa"/>
            </w:tcMar>
            <w:vAlign w:val="bottom"/>
          </w:tcPr>
          <w:p w:rsidR="001C411D" w:rsidRPr="001F63BA" w:rsidRDefault="001C411D" w:rsidP="009D2FDC">
            <w:pPr>
              <w:spacing w:line="256" w:lineRule="auto"/>
              <w:rPr>
                <w:rFonts w:ascii="GHEA Grapalat" w:hAnsi="GHEA Grapalat" w:cs="Calibri"/>
                <w:b/>
                <w:bCs/>
                <w:sz w:val="18"/>
                <w:szCs w:val="18"/>
              </w:rPr>
            </w:pPr>
            <w:r w:rsidRPr="001F63BA">
              <w:rPr>
                <w:rFonts w:ascii="GHEA Grapalat" w:hAnsi="GHEA Grapalat" w:cs="Calibri"/>
                <w:sz w:val="18"/>
                <w:szCs w:val="18"/>
              </w:rPr>
              <w:t>Վարկերի և փոխատվությունների ստացում</w:t>
            </w:r>
          </w:p>
        </w:tc>
        <w:tc>
          <w:tcPr>
            <w:tcW w:w="1260"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bCs/>
                <w:sz w:val="18"/>
                <w:szCs w:val="18"/>
              </w:rPr>
            </w:pPr>
            <w:r w:rsidRPr="001F63BA">
              <w:rPr>
                <w:rFonts w:ascii="GHEA Grapalat" w:hAnsi="GHEA Grapalat" w:cs="Calibri"/>
                <w:bCs/>
                <w:sz w:val="18"/>
                <w:szCs w:val="18"/>
              </w:rPr>
              <w:t>88.2</w:t>
            </w:r>
          </w:p>
        </w:tc>
        <w:tc>
          <w:tcPr>
            <w:tcW w:w="135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199.7</w:t>
            </w:r>
          </w:p>
        </w:tc>
        <w:tc>
          <w:tcPr>
            <w:tcW w:w="1261"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165.8</w:t>
            </w:r>
          </w:p>
        </w:tc>
        <w:tc>
          <w:tcPr>
            <w:tcW w:w="1609"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83.0</w:t>
            </w:r>
          </w:p>
        </w:tc>
        <w:tc>
          <w:tcPr>
            <w:tcW w:w="1417"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bCs/>
                <w:sz w:val="18"/>
                <w:szCs w:val="18"/>
                <w:lang w:val="en-US"/>
              </w:rPr>
            </w:pPr>
            <w:r w:rsidRPr="001F63BA">
              <w:rPr>
                <w:rFonts w:ascii="GHEA Grapalat" w:hAnsi="GHEA Grapalat" w:cs="Calibri"/>
                <w:bCs/>
                <w:sz w:val="18"/>
                <w:szCs w:val="18"/>
                <w:lang w:val="en-US"/>
              </w:rPr>
              <w:t>187.9</w:t>
            </w:r>
          </w:p>
        </w:tc>
      </w:tr>
      <w:tr w:rsidR="001C411D" w:rsidRPr="001F63BA" w:rsidTr="009D2FDC">
        <w:trPr>
          <w:trHeight w:val="431"/>
        </w:trPr>
        <w:tc>
          <w:tcPr>
            <w:tcW w:w="3416" w:type="dxa"/>
            <w:tcBorders>
              <w:top w:val="nil"/>
              <w:left w:val="single" w:sz="4" w:space="0" w:color="auto"/>
              <w:bottom w:val="single" w:sz="4" w:space="0" w:color="auto"/>
              <w:right w:val="single" w:sz="4" w:space="0" w:color="auto"/>
            </w:tcBorders>
            <w:noWrap/>
            <w:tcMar>
              <w:left w:w="170" w:type="dxa"/>
            </w:tcMar>
            <w:vAlign w:val="bottom"/>
          </w:tcPr>
          <w:p w:rsidR="001C411D" w:rsidRPr="001F63BA" w:rsidRDefault="001C411D" w:rsidP="009D2FDC">
            <w:pPr>
              <w:spacing w:line="256" w:lineRule="auto"/>
              <w:rPr>
                <w:rFonts w:ascii="GHEA Grapalat" w:hAnsi="GHEA Grapalat" w:cs="Calibri"/>
                <w:sz w:val="18"/>
                <w:szCs w:val="18"/>
              </w:rPr>
            </w:pPr>
            <w:r w:rsidRPr="001F63BA">
              <w:rPr>
                <w:rFonts w:ascii="GHEA Grapalat" w:hAnsi="GHEA Grapalat" w:cs="Calibri"/>
                <w:sz w:val="18"/>
                <w:szCs w:val="18"/>
              </w:rPr>
              <w:t>Ստացված վարկերի և փոխատվությունների մարում</w:t>
            </w:r>
          </w:p>
        </w:tc>
        <w:tc>
          <w:tcPr>
            <w:tcW w:w="1260"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116.0</w:t>
            </w:r>
            <w:r w:rsidRPr="001F63BA">
              <w:rPr>
                <w:rFonts w:ascii="GHEA Grapalat" w:hAnsi="GHEA Grapalat" w:cs="Calibri"/>
                <w:sz w:val="18"/>
                <w:szCs w:val="18"/>
                <w:lang w:val="en-US"/>
              </w:rPr>
              <w:t>)</w:t>
            </w:r>
          </w:p>
        </w:tc>
        <w:tc>
          <w:tcPr>
            <w:tcW w:w="135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(101.5)</w:t>
            </w:r>
          </w:p>
        </w:tc>
        <w:tc>
          <w:tcPr>
            <w:tcW w:w="1261"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(99.6)</w:t>
            </w:r>
          </w:p>
        </w:tc>
        <w:tc>
          <w:tcPr>
            <w:tcW w:w="1609"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98.2</w:t>
            </w:r>
          </w:p>
        </w:tc>
        <w:tc>
          <w:tcPr>
            <w:tcW w:w="1417"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85.8</w:t>
            </w:r>
          </w:p>
        </w:tc>
      </w:tr>
      <w:tr w:rsidR="001C411D" w:rsidRPr="001F63BA" w:rsidTr="009D2FDC">
        <w:trPr>
          <w:trHeight w:val="431"/>
        </w:trPr>
        <w:tc>
          <w:tcPr>
            <w:tcW w:w="3416" w:type="dxa"/>
            <w:tcBorders>
              <w:top w:val="nil"/>
              <w:left w:val="single" w:sz="4" w:space="0" w:color="auto"/>
              <w:bottom w:val="single" w:sz="4" w:space="0" w:color="auto"/>
              <w:right w:val="single" w:sz="4" w:space="0" w:color="auto"/>
            </w:tcBorders>
            <w:noWrap/>
            <w:tcMar>
              <w:left w:w="170" w:type="dxa"/>
            </w:tcMar>
            <w:vAlign w:val="bottom"/>
          </w:tcPr>
          <w:p w:rsidR="001C411D" w:rsidRPr="001F63BA" w:rsidRDefault="001C411D" w:rsidP="009D2FDC">
            <w:pPr>
              <w:spacing w:line="256" w:lineRule="auto"/>
              <w:rPr>
                <w:rFonts w:ascii="GHEA Grapalat" w:hAnsi="GHEA Grapalat" w:cs="Calibri"/>
                <w:sz w:val="18"/>
                <w:szCs w:val="18"/>
              </w:rPr>
            </w:pPr>
            <w:r w:rsidRPr="001F63BA">
              <w:rPr>
                <w:rFonts w:ascii="GHEA Grapalat" w:hAnsi="GHEA Grapalat" w:cs="Calibri"/>
                <w:sz w:val="18"/>
                <w:szCs w:val="18"/>
              </w:rPr>
              <w:lastRenderedPageBreak/>
              <w:t>Արժեթղթերի (բացառությամբ բաժնետոմսերի և կապիտալում այլ մասնակցության) թողարկումից և տեղաբաշխումից զուտ մուտքեր</w:t>
            </w:r>
          </w:p>
        </w:tc>
        <w:tc>
          <w:tcPr>
            <w:tcW w:w="1260"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378.7</w:t>
            </w:r>
          </w:p>
        </w:tc>
        <w:tc>
          <w:tcPr>
            <w:tcW w:w="1351" w:type="dxa"/>
            <w:tcBorders>
              <w:top w:val="nil"/>
              <w:left w:val="single" w:sz="4" w:space="0" w:color="auto"/>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p>
        </w:tc>
        <w:tc>
          <w:tcPr>
            <w:tcW w:w="1261"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p>
        </w:tc>
        <w:tc>
          <w:tcPr>
            <w:tcW w:w="1609" w:type="dxa"/>
            <w:tcBorders>
              <w:top w:val="nil"/>
              <w:left w:val="nil"/>
              <w:bottom w:val="single" w:sz="4" w:space="0" w:color="auto"/>
              <w:right w:val="single" w:sz="4" w:space="0" w:color="auto"/>
            </w:tcBorders>
            <w:noWrap/>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p>
        </w:tc>
        <w:tc>
          <w:tcPr>
            <w:tcW w:w="1417" w:type="dxa"/>
            <w:tcBorders>
              <w:top w:val="nil"/>
              <w:left w:val="nil"/>
              <w:bottom w:val="single" w:sz="4" w:space="0" w:color="auto"/>
              <w:right w:val="single" w:sz="4" w:space="0" w:color="auto"/>
            </w:tcBorders>
            <w:vAlign w:val="bottom"/>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p>
        </w:tc>
      </w:tr>
    </w:tbl>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rPr>
      </w:pP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Արտաքին աղբյուրներից ստացված վարկերի ցածր ցուցանիշը </w:t>
      </w:r>
      <w:r w:rsidRPr="001F63BA">
        <w:rPr>
          <w:rFonts w:ascii="GHEA Grapalat" w:hAnsi="GHEA Grapalat" w:cs="GHEA Grapalat"/>
          <w:sz w:val="22"/>
          <w:szCs w:val="22"/>
          <w:lang w:val="en-US"/>
        </w:rPr>
        <w:t xml:space="preserve">հիմնականում </w:t>
      </w:r>
      <w:r w:rsidRPr="001F63BA">
        <w:rPr>
          <w:rFonts w:ascii="GHEA Grapalat" w:hAnsi="GHEA Grapalat" w:cs="GHEA Grapalat"/>
          <w:sz w:val="22"/>
          <w:szCs w:val="22"/>
        </w:rPr>
        <w:t>պայմանավորված է ՀՀ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w:t>
      </w:r>
      <w:r w:rsidRPr="001F63BA">
        <w:rPr>
          <w:rFonts w:ascii="GHEA Grapalat" w:hAnsi="GHEA Grapalat" w:cs="GHEA Grapalat"/>
          <w:sz w:val="22"/>
          <w:szCs w:val="22"/>
        </w:rPr>
        <w:t xml:space="preserve"> պետական բյուջեով նախատեսված և փաստացի ձևավորված փոխարժեքների տարբերությ</w:t>
      </w:r>
      <w:r w:rsidRPr="001F63BA">
        <w:rPr>
          <w:rFonts w:ascii="GHEA Grapalat" w:hAnsi="GHEA Grapalat" w:cs="GHEA Grapalat"/>
          <w:sz w:val="22"/>
          <w:szCs w:val="22"/>
          <w:lang w:val="en-US"/>
        </w:rPr>
        <w:t>ամբ, ինչպես նաև նպատակային ծրագրերի կատարողականով</w:t>
      </w:r>
      <w:r w:rsidRPr="001F63BA">
        <w:rPr>
          <w:rFonts w:ascii="GHEA Grapalat" w:hAnsi="GHEA Grapalat" w:cs="GHEA Grapalat"/>
          <w:sz w:val="22"/>
          <w:szCs w:val="22"/>
        </w:rPr>
        <w:t>: Մասնավորապես</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նպատակային վարկերի շրջանակներում ստացվել են 50.3</w:t>
      </w:r>
      <w:r w:rsidRPr="001F63BA">
        <w:rPr>
          <w:rFonts w:ascii="Courier New" w:hAnsi="Courier New" w:cs="Courier New"/>
          <w:sz w:val="22"/>
          <w:szCs w:val="22"/>
          <w:lang w:val="en-US"/>
        </w:rPr>
        <w:t> </w:t>
      </w:r>
      <w:r w:rsidRPr="001F63BA">
        <w:rPr>
          <w:rFonts w:ascii="GHEA Grapalat" w:hAnsi="GHEA Grapalat" w:cs="GHEA Grapalat"/>
          <w:sz w:val="22"/>
          <w:szCs w:val="22"/>
        </w:rPr>
        <w:t>մլրդ դրամ վարկային միջոցներ՝ կազմելով ծրագրված ցուցանիշի 81.1%-ը, և 115.5 մլրդ դրամ բյուջետային աջակցության վարկեր՝ ծրագրային ցուցանիշի 83.9%-ը:</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en-US"/>
        </w:rPr>
      </w:pPr>
    </w:p>
    <w:p w:rsidR="001C411D" w:rsidRPr="001F63BA" w:rsidRDefault="001C411D" w:rsidP="00D508BE">
      <w:pPr>
        <w:pStyle w:val="a"/>
      </w:pPr>
      <w:r w:rsidRPr="001F63BA">
        <w:t xml:space="preserve">Արտաքին աղբյուրներից նպատակային վարկերի ստացումն ըստ վարկատուների (մլրդ դրամ) </w:t>
      </w:r>
    </w:p>
    <w:p w:rsidR="001C411D" w:rsidRPr="001F63BA" w:rsidRDefault="009A358E" w:rsidP="00BA6025">
      <w:pPr>
        <w:autoSpaceDE w:val="0"/>
        <w:autoSpaceDN w:val="0"/>
        <w:adjustRightInd w:val="0"/>
        <w:spacing w:line="360" w:lineRule="auto"/>
        <w:jc w:val="both"/>
        <w:rPr>
          <w:rFonts w:ascii="GHEA Grapalat" w:hAnsi="GHEA Grapalat"/>
          <w:sz w:val="22"/>
          <w:szCs w:val="22"/>
          <w:lang w:val="en-US"/>
        </w:rPr>
      </w:pPr>
      <w:r w:rsidRPr="001F63BA">
        <w:rPr>
          <w:lang w:val="en-US"/>
        </w:rPr>
        <w:drawing>
          <wp:inline distT="0" distB="0" distL="0" distR="0" wp14:anchorId="3AAAD525" wp14:editId="46BFC981">
            <wp:extent cx="6219825" cy="3248025"/>
            <wp:effectExtent l="0" t="0" r="0" b="0"/>
            <wp:docPr id="63" name="Object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1C411D" w:rsidRPr="00676596" w:rsidRDefault="001C411D" w:rsidP="00676596">
      <w:pPr>
        <w:autoSpaceDE w:val="0"/>
        <w:autoSpaceDN w:val="0"/>
        <w:adjustRightInd w:val="0"/>
        <w:spacing w:line="360" w:lineRule="auto"/>
        <w:ind w:firstLine="567"/>
        <w:jc w:val="both"/>
        <w:rPr>
          <w:rFonts w:ascii="GHEA Grapalat" w:hAnsi="GHEA Grapalat"/>
          <w:sz w:val="22"/>
          <w:szCs w:val="22"/>
          <w:lang w:val="nb-NO"/>
        </w:rPr>
      </w:pP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nb-NO"/>
        </w:rPr>
      </w:pPr>
      <w:r w:rsidRPr="001F63BA">
        <w:rPr>
          <w:rFonts w:ascii="GHEA Grapalat" w:hAnsi="GHEA Grapalat"/>
          <w:sz w:val="22"/>
          <w:szCs w:val="22"/>
          <w:lang w:val="nb-NO"/>
        </w:rPr>
        <w:t>2022 թվականի ընթացքում վարկերի մարմանն ուղղվել է 99.6</w:t>
      </w:r>
      <w:r w:rsidRPr="001F63BA">
        <w:rPr>
          <w:rFonts w:ascii="Courier New" w:hAnsi="Courier New" w:cs="Courier New"/>
          <w:sz w:val="22"/>
          <w:szCs w:val="22"/>
          <w:lang w:val="nb-NO"/>
        </w:rPr>
        <w:t> </w:t>
      </w:r>
      <w:r w:rsidRPr="001F63BA">
        <w:rPr>
          <w:rFonts w:ascii="GHEA Grapalat" w:hAnsi="GHEA Grapalat" w:cs="GHEA Grapalat"/>
          <w:sz w:val="22"/>
          <w:szCs w:val="22"/>
          <w:lang w:val="nb-NO"/>
        </w:rPr>
        <w:t>մլրդ</w:t>
      </w:r>
      <w:r w:rsidRPr="001F63BA">
        <w:rPr>
          <w:rFonts w:ascii="GHEA Grapalat" w:hAnsi="GHEA Grapalat"/>
          <w:sz w:val="22"/>
          <w:szCs w:val="22"/>
          <w:lang w:val="nb-NO"/>
        </w:rPr>
        <w:t xml:space="preserve"> դրամ՝ կազմելով ծրագրի 98.2%-ը: Շեղումը պայմանավորված է հետևյալ գործոններով.</w:t>
      </w:r>
    </w:p>
    <w:p w:rsidR="001C411D" w:rsidRPr="001F63BA" w:rsidRDefault="001C411D" w:rsidP="00BB1B4B">
      <w:pPr>
        <w:numPr>
          <w:ilvl w:val="0"/>
          <w:numId w:val="33"/>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F63BA">
        <w:rPr>
          <w:rFonts w:ascii="GHEA Grapalat" w:hAnsi="GHEA Grapalat"/>
          <w:sz w:val="22"/>
          <w:szCs w:val="22"/>
          <w:lang w:val="nb-NO"/>
        </w:rPr>
        <w:t>2021 ու 2022 թվականների ընթացքում արտաքին վարկերի գծով ստացումների պլանի թերակատարմամբ ըստ առանձին վարկային ծրագրերի: Մասնավորապես մեծ ազդեցություն է թողել Գերմանիայի KfW «Ախուրյան գետի ջրային ռեսուրսների ինտեգրված կառավարման ծրագիր, I փուլ» վարկի գծով մասհանման պլանի թերակատարումը, ինչով պայմանավորված՝ պլանավորված 2.7</w:t>
      </w:r>
      <w:r w:rsidRPr="001F63BA">
        <w:rPr>
          <w:rFonts w:ascii="Courier New" w:hAnsi="Courier New" w:cs="Courier New"/>
          <w:sz w:val="22"/>
          <w:szCs w:val="22"/>
          <w:lang w:val="nb-NO"/>
        </w:rPr>
        <w:t> </w:t>
      </w:r>
      <w:r w:rsidRPr="001F63BA">
        <w:rPr>
          <w:rFonts w:ascii="GHEA Grapalat" w:hAnsi="GHEA Grapalat"/>
          <w:sz w:val="22"/>
          <w:szCs w:val="22"/>
          <w:lang w:val="nb-NO"/>
        </w:rPr>
        <w:t>մլրդ դրամ մարման փոխարեն փաստացի մարվել է վարկի գծով պարտքի մնացորդը՝ 194.9 մլն դրամ,</w:t>
      </w:r>
    </w:p>
    <w:p w:rsidR="001C411D" w:rsidRPr="001F63BA" w:rsidRDefault="001C411D" w:rsidP="00BB1B4B">
      <w:pPr>
        <w:numPr>
          <w:ilvl w:val="0"/>
          <w:numId w:val="33"/>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F63BA">
        <w:rPr>
          <w:rFonts w:ascii="GHEA Grapalat" w:hAnsi="GHEA Grapalat"/>
          <w:sz w:val="22"/>
          <w:szCs w:val="22"/>
          <w:lang w:val="nb-NO"/>
        </w:rPr>
        <w:lastRenderedPageBreak/>
        <w:t>SDR-ի ԱՄՆ դոլարի նկատմամբ կանխատեսումային և փաստացի ձևավորված փոխարժեքների տարբերությամբ,</w:t>
      </w:r>
    </w:p>
    <w:p w:rsidR="001C411D" w:rsidRPr="001F63BA" w:rsidRDefault="001C411D" w:rsidP="00BB1B4B">
      <w:pPr>
        <w:numPr>
          <w:ilvl w:val="0"/>
          <w:numId w:val="33"/>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F63BA">
        <w:rPr>
          <w:rFonts w:ascii="GHEA Grapalat" w:hAnsi="GHEA Grapalat"/>
          <w:sz w:val="22"/>
          <w:szCs w:val="22"/>
          <w:lang w:val="nb-NO"/>
        </w:rPr>
        <w:t>արտարժույթների նկատմամբ ՀՀ դրամի կանխատեսումային և փաստացի ձևավորված փոխարժեքների տարբերությամբ: Կառավարության արտարժութային պարտքի մարման գծով վճարումների համար 2022 թվականի ընթացքում կիրառված ԱՄՆ դոլար / ՀՀ դրամ միջին փոխարժեքը կազմել է 435.9, մինչդեռ 2022 թվականի պետական բյուջեի ծրագրավորման ընթացքում արտարժութային մուտքերի և ելքերի փոխարկման համար կիրառվել է 477.45 փոխարժեքը (01.11.2021թ. դրությամբ ՀՀ ԿԲ-ի կողմից հրապարակված միջին փոխարժեք):</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nb-NO"/>
        </w:rPr>
      </w:pPr>
      <w:r w:rsidRPr="001F63BA">
        <w:rPr>
          <w:rFonts w:ascii="GHEA Grapalat" w:hAnsi="GHEA Grapalat"/>
          <w:sz w:val="22"/>
          <w:szCs w:val="22"/>
        </w:rPr>
        <w:t xml:space="preserve">Նախորդ տարվա </w:t>
      </w:r>
      <w:r w:rsidRPr="001F63BA">
        <w:rPr>
          <w:rFonts w:ascii="GHEA Grapalat" w:hAnsi="GHEA Grapalat" w:cs="GHEA Grapalat"/>
          <w:sz w:val="22"/>
          <w:szCs w:val="22"/>
        </w:rPr>
        <w:t>համեմատ ստացված արտաքին վարկերի և փոխատվությունների մարմանն ուղղված փաստացի վճարումներ</w:t>
      </w:r>
      <w:r w:rsidRPr="001F63BA">
        <w:rPr>
          <w:rFonts w:ascii="GHEA Grapalat" w:hAnsi="GHEA Grapalat" w:cs="GHEA Grapalat"/>
          <w:sz w:val="22"/>
          <w:szCs w:val="22"/>
          <w:lang w:val="en-US"/>
        </w:rPr>
        <w:t>ը</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նվազ</w:t>
      </w:r>
      <w:r w:rsidRPr="001F63BA">
        <w:rPr>
          <w:rFonts w:ascii="GHEA Grapalat" w:hAnsi="GHEA Grapalat" w:cs="GHEA Grapalat"/>
          <w:sz w:val="22"/>
          <w:szCs w:val="22"/>
        </w:rPr>
        <w:t>ել են 1</w:t>
      </w:r>
      <w:r w:rsidRPr="001F63BA">
        <w:rPr>
          <w:rFonts w:ascii="GHEA Grapalat" w:hAnsi="GHEA Grapalat" w:cs="GHEA Grapalat"/>
          <w:sz w:val="22"/>
          <w:szCs w:val="22"/>
          <w:lang w:val="en-US"/>
        </w:rPr>
        <w:t>4</w:t>
      </w:r>
      <w:r w:rsidRPr="001F63BA">
        <w:rPr>
          <w:rFonts w:ascii="GHEA Grapalat" w:hAnsi="GHEA Grapalat" w:cs="GHEA Grapalat"/>
          <w:sz w:val="22"/>
          <w:szCs w:val="22"/>
        </w:rPr>
        <w:t>.</w:t>
      </w:r>
      <w:r w:rsidRPr="001F63BA">
        <w:rPr>
          <w:rFonts w:ascii="GHEA Grapalat" w:hAnsi="GHEA Grapalat" w:cs="GHEA Grapalat"/>
          <w:sz w:val="22"/>
          <w:szCs w:val="22"/>
          <w:lang w:val="en-US"/>
        </w:rPr>
        <w:t>2</w:t>
      </w:r>
      <w:r w:rsidRPr="001F63BA">
        <w:rPr>
          <w:rFonts w:ascii="GHEA Grapalat" w:hAnsi="GHEA Grapalat" w:cs="GHEA Grapalat"/>
          <w:sz w:val="22"/>
          <w:szCs w:val="22"/>
        </w:rPr>
        <w:t xml:space="preserve">%-ով կամ </w:t>
      </w:r>
      <w:r w:rsidRPr="001F63BA">
        <w:rPr>
          <w:rFonts w:ascii="GHEA Grapalat" w:hAnsi="GHEA Grapalat" w:cs="GHEA Grapalat"/>
          <w:sz w:val="22"/>
          <w:szCs w:val="22"/>
          <w:lang w:val="en-US"/>
        </w:rPr>
        <w:t>16.4</w:t>
      </w:r>
      <w:r w:rsidRPr="001F63BA">
        <w:rPr>
          <w:rFonts w:ascii="GHEA Grapalat" w:hAnsi="GHEA Grapalat" w:cs="GHEA Grapalat"/>
          <w:sz w:val="22"/>
          <w:szCs w:val="22"/>
        </w:rPr>
        <w:t xml:space="preserve"> մլրդ դրամով, որը հիմնականում պայմանավորված է ԱՄՀ-ի Extended Credit Facility վարկի առաջին եռամսյակում մարվող մասնաբաժնի ամբողջական մարմամբ 2021 թվականին, ինչպես նաև արտարժույթների նկատմամբ ՀՀ դրամի փոխարժեքների փոփոխությամբ: Այսպես</w:t>
      </w:r>
      <w:r w:rsidRPr="001F63BA">
        <w:rPr>
          <w:rFonts w:ascii="GHEA Grapalat" w:hAnsi="GHEA Grapalat" w:cs="GHEA Grapalat"/>
          <w:sz w:val="22"/>
          <w:szCs w:val="22"/>
          <w:lang w:val="en-US"/>
        </w:rPr>
        <w:t>,</w:t>
      </w:r>
      <w:r w:rsidRPr="001F63BA">
        <w:rPr>
          <w:rFonts w:ascii="GHEA Grapalat" w:hAnsi="GHEA Grapalat" w:cs="GHEA Grapalat"/>
          <w:sz w:val="22"/>
          <w:szCs w:val="22"/>
        </w:rPr>
        <w:t xml:space="preserve"> 2021</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 xml:space="preserve">վականի </w:t>
      </w:r>
      <w:r w:rsidRPr="001F63BA">
        <w:rPr>
          <w:rFonts w:ascii="GHEA Grapalat" w:hAnsi="GHEA Grapalat" w:cs="GHEA Grapalat"/>
          <w:sz w:val="22"/>
          <w:szCs w:val="22"/>
        </w:rPr>
        <w:t>ընթացքում կիրառված ԱՄՆ դոլար / ՀՀ դրամ միջին կշռված փաստացի փոխարժեքը կազմել էր 505.65՝ 2022</w:t>
      </w:r>
      <w:r w:rsidRPr="001F63BA">
        <w:rPr>
          <w:rFonts w:ascii="GHEA Grapalat" w:hAnsi="GHEA Grapalat" w:cs="GHEA Grapalat"/>
          <w:sz w:val="22"/>
          <w:szCs w:val="22"/>
          <w:lang w:val="en-US"/>
        </w:rPr>
        <w:t xml:space="preserve">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w:t>
      </w:r>
      <w:r w:rsidRPr="001F63BA">
        <w:rPr>
          <w:rFonts w:ascii="GHEA Grapalat" w:hAnsi="GHEA Grapalat" w:cs="GHEA Grapalat"/>
          <w:sz w:val="22"/>
          <w:szCs w:val="22"/>
        </w:rPr>
        <w:t xml:space="preserve"> 435.9 փոխարժեքի դիմաց: </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 xml:space="preserve">Կատարված մարումների </w:t>
      </w:r>
      <w:r w:rsidRPr="001F63BA">
        <w:rPr>
          <w:rFonts w:ascii="GHEA Grapalat" w:hAnsi="GHEA Grapalat" w:cs="GHEA Grapalat"/>
          <w:sz w:val="22"/>
          <w:szCs w:val="22"/>
          <w:lang w:val="en-US"/>
        </w:rPr>
        <w:t>85.1</w:t>
      </w:r>
      <w:r w:rsidRPr="001F63BA">
        <w:rPr>
          <w:rFonts w:ascii="GHEA Grapalat" w:hAnsi="GHEA Grapalat" w:cs="GHEA Grapalat"/>
          <w:sz w:val="22"/>
          <w:szCs w:val="22"/>
        </w:rPr>
        <w:t xml:space="preserve">%-ը բաժին է ընկնում թվով </w:t>
      </w:r>
      <w:r w:rsidRPr="001F63BA">
        <w:rPr>
          <w:rFonts w:ascii="GHEA Grapalat" w:hAnsi="GHEA Grapalat" w:cs="GHEA Grapalat"/>
          <w:sz w:val="22"/>
          <w:szCs w:val="22"/>
          <w:lang w:val="en-US"/>
        </w:rPr>
        <w:t>6</w:t>
      </w:r>
      <w:r w:rsidRPr="001F63BA">
        <w:rPr>
          <w:rFonts w:ascii="GHEA Grapalat" w:hAnsi="GHEA Grapalat" w:cs="GHEA Grapalat"/>
          <w:sz w:val="22"/>
          <w:szCs w:val="22"/>
        </w:rPr>
        <w:t xml:space="preserve"> վարկատուների՝ </w:t>
      </w:r>
      <w:r w:rsidRPr="001F63BA">
        <w:rPr>
          <w:rFonts w:ascii="GHEA Grapalat" w:hAnsi="GHEA Grapalat" w:cs="GHEA Grapalat"/>
          <w:sz w:val="22"/>
          <w:szCs w:val="22"/>
          <w:lang w:val="en-US"/>
        </w:rPr>
        <w:t>ԶՄԸ</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30.1</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ԱԶԲ</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20.0</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ՌԴ</w:t>
      </w:r>
      <w:r w:rsidRPr="001F63BA">
        <w:rPr>
          <w:rFonts w:ascii="GHEA Grapalat" w:hAnsi="GHEA Grapalat" w:cs="GHEA Grapalat"/>
          <w:sz w:val="22"/>
          <w:szCs w:val="22"/>
        </w:rPr>
        <w:t xml:space="preserve"> (16.</w:t>
      </w:r>
      <w:r w:rsidRPr="001F63BA">
        <w:rPr>
          <w:rFonts w:ascii="GHEA Grapalat" w:hAnsi="GHEA Grapalat" w:cs="GHEA Grapalat"/>
          <w:sz w:val="22"/>
          <w:szCs w:val="22"/>
          <w:lang w:val="en-US"/>
        </w:rPr>
        <w:t>6</w:t>
      </w:r>
      <w:r w:rsidRPr="001F63BA">
        <w:rPr>
          <w:rFonts w:ascii="GHEA Grapalat" w:hAnsi="GHEA Grapalat" w:cs="GHEA Grapalat"/>
          <w:sz w:val="22"/>
          <w:szCs w:val="22"/>
        </w:rPr>
        <w:t>%), Գերմանիա (</w:t>
      </w:r>
      <w:r w:rsidRPr="001F63BA">
        <w:rPr>
          <w:rFonts w:ascii="GHEA Grapalat" w:hAnsi="GHEA Grapalat" w:cs="GHEA Grapalat"/>
          <w:sz w:val="22"/>
          <w:szCs w:val="22"/>
          <w:lang w:val="en-US"/>
        </w:rPr>
        <w:t>7</w:t>
      </w:r>
      <w:r w:rsidRPr="001F63BA">
        <w:rPr>
          <w:rFonts w:ascii="GHEA Grapalat" w:hAnsi="GHEA Grapalat" w:cs="GHEA Grapalat"/>
          <w:sz w:val="22"/>
          <w:szCs w:val="22"/>
        </w:rPr>
        <w:t xml:space="preserve">.5%), </w:t>
      </w:r>
      <w:r w:rsidRPr="001F63BA">
        <w:rPr>
          <w:rFonts w:ascii="GHEA Grapalat" w:hAnsi="GHEA Grapalat" w:cs="GHEA Grapalat"/>
          <w:sz w:val="22"/>
          <w:szCs w:val="22"/>
          <w:lang w:val="en-US"/>
        </w:rPr>
        <w:t>ՎԶՄԲ</w:t>
      </w:r>
      <w:r w:rsidRPr="001F63BA">
        <w:rPr>
          <w:rFonts w:ascii="GHEA Grapalat" w:hAnsi="GHEA Grapalat" w:cs="GHEA Grapalat"/>
          <w:sz w:val="22"/>
          <w:szCs w:val="22"/>
        </w:rPr>
        <w:t xml:space="preserve"> (</w:t>
      </w:r>
      <w:r w:rsidRPr="001F63BA">
        <w:rPr>
          <w:rFonts w:ascii="GHEA Grapalat" w:hAnsi="GHEA Grapalat" w:cs="GHEA Grapalat"/>
          <w:sz w:val="22"/>
          <w:szCs w:val="22"/>
          <w:lang w:val="en-US"/>
        </w:rPr>
        <w:t>7.0</w:t>
      </w:r>
      <w:r w:rsidRPr="001F63BA">
        <w:rPr>
          <w:rFonts w:ascii="GHEA Grapalat" w:hAnsi="GHEA Grapalat" w:cs="GHEA Grapalat"/>
          <w:sz w:val="22"/>
          <w:szCs w:val="22"/>
        </w:rPr>
        <w:t>%), Ճապոնիա (4.</w:t>
      </w:r>
      <w:r w:rsidRPr="001F63BA">
        <w:rPr>
          <w:rFonts w:ascii="GHEA Grapalat" w:hAnsi="GHEA Grapalat" w:cs="GHEA Grapalat"/>
          <w:sz w:val="22"/>
          <w:szCs w:val="22"/>
          <w:lang w:val="en-US"/>
        </w:rPr>
        <w:t>0</w:t>
      </w:r>
      <w:r w:rsidRPr="001F63BA">
        <w:rPr>
          <w:rFonts w:ascii="GHEA Grapalat" w:hAnsi="GHEA Grapalat" w:cs="GHEA Grapalat"/>
          <w:sz w:val="22"/>
          <w:szCs w:val="22"/>
        </w:rPr>
        <w:t xml:space="preserve">%): </w:t>
      </w:r>
    </w:p>
    <w:p w:rsidR="001C411D" w:rsidRPr="001F63BA" w:rsidRDefault="001C411D" w:rsidP="00BA6025">
      <w:pPr>
        <w:autoSpaceDE w:val="0"/>
        <w:autoSpaceDN w:val="0"/>
        <w:adjustRightInd w:val="0"/>
        <w:spacing w:line="360" w:lineRule="auto"/>
        <w:ind w:firstLine="567"/>
        <w:jc w:val="both"/>
        <w:rPr>
          <w:rFonts w:ascii="GHEA Grapalat" w:hAnsi="GHEA Grapalat" w:cs="GHEA Grapalat"/>
          <w:sz w:val="22"/>
          <w:szCs w:val="22"/>
          <w:lang w:val="en-US"/>
        </w:rPr>
      </w:pPr>
      <w:r w:rsidRPr="001F63BA">
        <w:rPr>
          <w:rFonts w:ascii="GHEA Grapalat" w:hAnsi="GHEA Grapalat" w:cs="GHEA Grapalat"/>
          <w:sz w:val="22"/>
          <w:szCs w:val="22"/>
        </w:rPr>
        <w:t xml:space="preserve">Կատարված մարումների կառուցվածքում լողացող տոկոսադրույքով վարկերի գծով վճարումների տեսակարար կշիռը կազմել է </w:t>
      </w:r>
      <w:r w:rsidRPr="001F63BA">
        <w:rPr>
          <w:rFonts w:ascii="GHEA Grapalat" w:hAnsi="GHEA Grapalat" w:cs="GHEA Grapalat"/>
          <w:sz w:val="22"/>
          <w:szCs w:val="22"/>
          <w:lang w:val="en-US"/>
        </w:rPr>
        <w:t>19</w:t>
      </w:r>
      <w:r w:rsidRPr="001F63BA">
        <w:rPr>
          <w:rFonts w:ascii="GHEA Grapalat" w:hAnsi="GHEA Grapalat" w:cs="GHEA Grapalat"/>
          <w:sz w:val="22"/>
          <w:szCs w:val="22"/>
        </w:rPr>
        <w:t xml:space="preserve">%, ֆիքսված տոկոսադրույքով վարկերի գծով վճարումների տեսակարար կշիռը՝ </w:t>
      </w:r>
      <w:r w:rsidRPr="001F63BA">
        <w:rPr>
          <w:rFonts w:ascii="GHEA Grapalat" w:hAnsi="GHEA Grapalat" w:cs="GHEA Grapalat"/>
          <w:sz w:val="22"/>
          <w:szCs w:val="22"/>
          <w:lang w:val="en-US"/>
        </w:rPr>
        <w:t>81</w:t>
      </w:r>
      <w:r w:rsidRPr="001F63BA">
        <w:rPr>
          <w:rFonts w:ascii="GHEA Grapalat" w:hAnsi="GHEA Grapalat" w:cs="GHEA Grapalat"/>
          <w:sz w:val="22"/>
          <w:szCs w:val="22"/>
        </w:rPr>
        <w:t>%:</w:t>
      </w:r>
    </w:p>
    <w:p w:rsidR="001C411D" w:rsidRPr="001F63BA" w:rsidRDefault="001C411D" w:rsidP="00881875">
      <w:pPr>
        <w:autoSpaceDE w:val="0"/>
        <w:autoSpaceDN w:val="0"/>
        <w:adjustRightInd w:val="0"/>
        <w:ind w:firstLine="567"/>
        <w:jc w:val="both"/>
        <w:rPr>
          <w:rFonts w:ascii="GHEA Grapalat" w:hAnsi="GHEA Grapalat" w:cs="GHEA Grapalat"/>
          <w:sz w:val="22"/>
          <w:szCs w:val="22"/>
          <w:lang w:val="en-US"/>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ՀՀ պետական բյուջեից արտաքին վարկերի մարմանն ուղղված միջոցները (մլրդ դրամ)</w:t>
      </w:r>
    </w:p>
    <w:tbl>
      <w:tblPr>
        <w:tblW w:w="10173" w:type="dxa"/>
        <w:tblLayout w:type="fixed"/>
        <w:tblLook w:val="00A0" w:firstRow="1" w:lastRow="0" w:firstColumn="1" w:lastColumn="0" w:noHBand="0" w:noVBand="0"/>
      </w:tblPr>
      <w:tblGrid>
        <w:gridCol w:w="3936"/>
        <w:gridCol w:w="1559"/>
        <w:gridCol w:w="1559"/>
        <w:gridCol w:w="1559"/>
        <w:gridCol w:w="1560"/>
      </w:tblGrid>
      <w:tr w:rsidR="001C411D" w:rsidRPr="001F63BA" w:rsidTr="00512829">
        <w:trPr>
          <w:trHeight w:val="855"/>
        </w:trPr>
        <w:tc>
          <w:tcPr>
            <w:tcW w:w="393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rPr>
                <w:rFonts w:ascii="GHEA Grapalat" w:hAnsi="GHEA Grapalat" w:cs="Calibri"/>
                <w:sz w:val="18"/>
                <w:szCs w:val="18"/>
              </w:rPr>
            </w:pPr>
            <w:r w:rsidRPr="001F63BA">
              <w:rPr>
                <w:rFonts w:ascii="Courier New" w:hAnsi="Courier New" w:cs="Courier New"/>
                <w:sz w:val="18"/>
                <w:szCs w:val="18"/>
              </w:rPr>
              <w:t> </w:t>
            </w:r>
          </w:p>
        </w:tc>
        <w:tc>
          <w:tcPr>
            <w:tcW w:w="1559" w:type="dxa"/>
            <w:tcBorders>
              <w:top w:val="single" w:sz="4" w:space="0" w:color="auto"/>
              <w:left w:val="nil"/>
              <w:bottom w:val="single" w:sz="4" w:space="0" w:color="auto"/>
              <w:right w:val="single" w:sz="4" w:space="0" w:color="auto"/>
            </w:tcBorders>
            <w:vAlign w:val="center"/>
          </w:tcPr>
          <w:p w:rsidR="001C411D" w:rsidRPr="001F63BA" w:rsidRDefault="001C411D" w:rsidP="00512829">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փաստ</w:t>
            </w:r>
          </w:p>
        </w:tc>
        <w:tc>
          <w:tcPr>
            <w:tcW w:w="1559" w:type="dxa"/>
            <w:tcBorders>
              <w:top w:val="single" w:sz="4" w:space="0" w:color="auto"/>
              <w:left w:val="single" w:sz="4" w:space="0" w:color="auto"/>
              <w:bottom w:val="single" w:sz="4" w:space="0" w:color="auto"/>
              <w:right w:val="single" w:sz="4" w:space="0" w:color="auto"/>
            </w:tcBorders>
            <w:vAlign w:val="center"/>
          </w:tcPr>
          <w:p w:rsidR="001C411D" w:rsidRPr="001F63BA" w:rsidRDefault="001C411D" w:rsidP="00512829">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Կշիռն ընդամենը մարումներում</w:t>
            </w:r>
          </w:p>
        </w:tc>
        <w:tc>
          <w:tcPr>
            <w:tcW w:w="1559" w:type="dxa"/>
            <w:tcBorders>
              <w:top w:val="single" w:sz="4" w:space="0" w:color="auto"/>
              <w:left w:val="single" w:sz="4" w:space="0" w:color="auto"/>
              <w:bottom w:val="single" w:sz="4" w:space="0" w:color="auto"/>
              <w:right w:val="single" w:sz="4" w:space="0" w:color="auto"/>
            </w:tcBorders>
            <w:vAlign w:val="center"/>
          </w:tcPr>
          <w:p w:rsidR="001C411D" w:rsidRPr="001F63BA" w:rsidRDefault="001C411D" w:rsidP="00512829">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փաստ</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C411D" w:rsidRPr="001F63BA" w:rsidRDefault="001C411D" w:rsidP="00512829">
            <w:pPr>
              <w:spacing w:line="256" w:lineRule="auto"/>
              <w:jc w:val="center"/>
              <w:rPr>
                <w:rFonts w:ascii="GHEA Grapalat" w:hAnsi="GHEA Grapalat" w:cs="Calibri"/>
                <w:b/>
                <w:bCs/>
                <w:sz w:val="18"/>
                <w:szCs w:val="18"/>
                <w:lang w:val="en-US"/>
              </w:rPr>
            </w:pPr>
            <w:r w:rsidRPr="001F63BA">
              <w:rPr>
                <w:rFonts w:ascii="GHEA Grapalat" w:hAnsi="GHEA Grapalat" w:cs="Calibri"/>
                <w:b/>
                <w:bCs/>
                <w:sz w:val="18"/>
                <w:szCs w:val="18"/>
              </w:rPr>
              <w:t>Կշիռն ընդամենը մարումներում</w:t>
            </w:r>
            <w:r w:rsidRPr="001F63BA">
              <w:rPr>
                <w:rFonts w:ascii="GHEA Grapalat" w:hAnsi="GHEA Grapalat" w:cs="Calibri"/>
                <w:b/>
                <w:bCs/>
                <w:sz w:val="18"/>
                <w:szCs w:val="18"/>
                <w:lang w:val="en-US"/>
              </w:rPr>
              <w:t xml:space="preserve"> (%)</w:t>
            </w:r>
          </w:p>
        </w:tc>
      </w:tr>
      <w:tr w:rsidR="001C411D" w:rsidRPr="001F63BA" w:rsidTr="00512829">
        <w:trPr>
          <w:trHeight w:val="377"/>
        </w:trPr>
        <w:tc>
          <w:tcPr>
            <w:tcW w:w="3936"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rPr>
                <w:rFonts w:ascii="GHEA Grapalat" w:hAnsi="GHEA Grapalat" w:cs="Calibri"/>
                <w:b/>
                <w:bCs/>
                <w:sz w:val="18"/>
                <w:szCs w:val="18"/>
              </w:rPr>
            </w:pPr>
            <w:r w:rsidRPr="001F63BA">
              <w:rPr>
                <w:rFonts w:ascii="GHEA Grapalat" w:hAnsi="GHEA Grapalat"/>
                <w:b/>
                <w:sz w:val="18"/>
                <w:szCs w:val="18"/>
              </w:rPr>
              <w:t>Արտաքին վարկերի մարում</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b/>
                <w:bCs/>
                <w:sz w:val="18"/>
                <w:szCs w:val="18"/>
              </w:rPr>
            </w:pPr>
            <w:r w:rsidRPr="001F63BA">
              <w:rPr>
                <w:rFonts w:ascii="GHEA Grapalat" w:hAnsi="GHEA Grapalat" w:cs="Calibri"/>
                <w:b/>
                <w:bCs/>
                <w:sz w:val="18"/>
                <w:szCs w:val="18"/>
              </w:rPr>
              <w:t>116.0</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rPr>
              <w:t>100.0</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99.6</w:t>
            </w:r>
          </w:p>
        </w:tc>
        <w:tc>
          <w:tcPr>
            <w:tcW w:w="1560"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rPr>
              <w:t>100.0</w:t>
            </w:r>
          </w:p>
        </w:tc>
      </w:tr>
      <w:tr w:rsidR="001C411D" w:rsidRPr="001F63BA" w:rsidTr="00512829">
        <w:trPr>
          <w:trHeight w:val="431"/>
        </w:trPr>
        <w:tc>
          <w:tcPr>
            <w:tcW w:w="393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ind w:firstLineChars="71" w:firstLine="128"/>
              <w:rPr>
                <w:rFonts w:ascii="GHEA Grapalat" w:hAnsi="GHEA Grapalat" w:cs="Calibri"/>
                <w:sz w:val="18"/>
                <w:szCs w:val="18"/>
              </w:rPr>
            </w:pPr>
            <w:r w:rsidRPr="001F63BA">
              <w:rPr>
                <w:rFonts w:ascii="GHEA Grapalat" w:hAnsi="GHEA Grapalat" w:cs="Calibri"/>
                <w:sz w:val="18"/>
                <w:szCs w:val="18"/>
              </w:rPr>
              <w:t>Միջազգային կազմակերպություններ</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rPr>
            </w:pPr>
            <w:r w:rsidRPr="001F63BA">
              <w:rPr>
                <w:rFonts w:ascii="GHEA Grapalat" w:hAnsi="GHEA Grapalat" w:cs="Calibri"/>
                <w:sz w:val="18"/>
                <w:szCs w:val="18"/>
              </w:rPr>
              <w:t>81.4</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70.2</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66.4</w:t>
            </w:r>
          </w:p>
        </w:tc>
        <w:tc>
          <w:tcPr>
            <w:tcW w:w="1560"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66.7</w:t>
            </w:r>
          </w:p>
        </w:tc>
      </w:tr>
      <w:tr w:rsidR="001C411D" w:rsidRPr="001F63BA" w:rsidTr="00512829">
        <w:trPr>
          <w:trHeight w:val="431"/>
        </w:trPr>
        <w:tc>
          <w:tcPr>
            <w:tcW w:w="393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ind w:firstLine="142"/>
              <w:rPr>
                <w:rFonts w:ascii="GHEA Grapalat" w:hAnsi="GHEA Grapalat" w:cs="Calibri"/>
                <w:sz w:val="18"/>
                <w:szCs w:val="18"/>
              </w:rPr>
            </w:pPr>
            <w:r w:rsidRPr="001F63BA">
              <w:rPr>
                <w:rFonts w:ascii="GHEA Grapalat" w:hAnsi="GHEA Grapalat" w:cs="Calibri"/>
                <w:sz w:val="18"/>
                <w:szCs w:val="18"/>
              </w:rPr>
              <w:t>Օտարերկրյա պետություններ</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rPr>
            </w:pPr>
            <w:r w:rsidRPr="001F63BA">
              <w:rPr>
                <w:rFonts w:ascii="GHEA Grapalat" w:hAnsi="GHEA Grapalat" w:cs="Calibri"/>
                <w:sz w:val="18"/>
                <w:szCs w:val="18"/>
              </w:rPr>
              <w:t>65.8</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28.8</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32.3</w:t>
            </w:r>
          </w:p>
        </w:tc>
        <w:tc>
          <w:tcPr>
            <w:tcW w:w="1560"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32.4</w:t>
            </w:r>
          </w:p>
        </w:tc>
      </w:tr>
      <w:tr w:rsidR="001C411D" w:rsidRPr="001F63BA" w:rsidTr="00512829">
        <w:trPr>
          <w:trHeight w:val="431"/>
        </w:trPr>
        <w:tc>
          <w:tcPr>
            <w:tcW w:w="3936"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ind w:firstLine="142"/>
              <w:rPr>
                <w:rFonts w:ascii="GHEA Grapalat" w:hAnsi="GHEA Grapalat" w:cs="Calibri"/>
                <w:sz w:val="18"/>
                <w:szCs w:val="18"/>
              </w:rPr>
            </w:pPr>
            <w:r w:rsidRPr="001F63BA">
              <w:rPr>
                <w:rFonts w:ascii="GHEA Grapalat" w:hAnsi="GHEA Grapalat" w:cs="Calibri"/>
                <w:sz w:val="18"/>
                <w:szCs w:val="18"/>
              </w:rPr>
              <w:t>Առևտրային բանկեր</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rPr>
            </w:pPr>
            <w:r w:rsidRPr="001F63BA">
              <w:rPr>
                <w:rFonts w:ascii="GHEA Grapalat" w:hAnsi="GHEA Grapalat" w:cs="Calibri"/>
                <w:sz w:val="18"/>
                <w:szCs w:val="18"/>
              </w:rPr>
              <w:t>2.3</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1.0</w:t>
            </w:r>
          </w:p>
        </w:tc>
        <w:tc>
          <w:tcPr>
            <w:tcW w:w="1559" w:type="dxa"/>
            <w:tcBorders>
              <w:top w:val="single" w:sz="4" w:space="0" w:color="auto"/>
              <w:left w:val="single" w:sz="4" w:space="0" w:color="auto"/>
              <w:bottom w:val="single" w:sz="4" w:space="0" w:color="auto"/>
              <w:right w:val="single" w:sz="4" w:space="0" w:color="auto"/>
            </w:tcBorders>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0.9</w:t>
            </w:r>
          </w:p>
        </w:tc>
        <w:tc>
          <w:tcPr>
            <w:tcW w:w="1560"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512829">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0.9</w:t>
            </w:r>
          </w:p>
        </w:tc>
      </w:tr>
    </w:tbl>
    <w:p w:rsidR="001C411D" w:rsidRPr="001F63BA" w:rsidRDefault="001C411D" w:rsidP="007543CE">
      <w:pPr>
        <w:autoSpaceDE w:val="0"/>
        <w:autoSpaceDN w:val="0"/>
        <w:adjustRightInd w:val="0"/>
        <w:spacing w:line="360" w:lineRule="auto"/>
        <w:ind w:firstLine="567"/>
        <w:jc w:val="both"/>
        <w:rPr>
          <w:rFonts w:ascii="GHEA Grapalat" w:hAnsi="GHEA Grapalat"/>
          <w:sz w:val="22"/>
          <w:szCs w:val="22"/>
          <w:lang w:val="en-US"/>
        </w:rPr>
      </w:pP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Արտաքին ֆինանսական զուտ ակտիվների հաշվին պետական բյուջեի ֆինանսավորումը հաշվետու ժամանակահատվածում կազմել է </w:t>
      </w:r>
      <w:r w:rsidRPr="001F63BA">
        <w:rPr>
          <w:rFonts w:ascii="GHEA Grapalat" w:hAnsi="GHEA Grapalat"/>
          <w:sz w:val="22"/>
          <w:szCs w:val="22"/>
        </w:rPr>
        <w:noBreakHyphen/>
      </w:r>
      <w:r w:rsidRPr="001F63BA">
        <w:rPr>
          <w:rFonts w:ascii="GHEA Grapalat" w:hAnsi="GHEA Grapalat"/>
          <w:sz w:val="22"/>
          <w:szCs w:val="22"/>
          <w:lang w:val="en-US"/>
        </w:rPr>
        <w:t>174.8</w:t>
      </w:r>
      <w:r w:rsidRPr="001F63BA">
        <w:rPr>
          <w:rFonts w:ascii="GHEA Grapalat" w:hAnsi="GHEA Grapalat"/>
          <w:sz w:val="22"/>
          <w:szCs w:val="22"/>
        </w:rPr>
        <w:t xml:space="preserve"> մլրդ դրամ` </w:t>
      </w:r>
      <w:r w:rsidRPr="001F63BA">
        <w:rPr>
          <w:rFonts w:ascii="GHEA Grapalat" w:hAnsi="GHEA Grapalat"/>
          <w:sz w:val="22"/>
          <w:szCs w:val="22"/>
          <w:lang w:val="en-US"/>
        </w:rPr>
        <w:t>98</w:t>
      </w:r>
      <w:r w:rsidRPr="001F63BA">
        <w:rPr>
          <w:rFonts w:ascii="GHEA Grapalat" w:hAnsi="GHEA Grapalat"/>
          <w:sz w:val="22"/>
          <w:szCs w:val="22"/>
        </w:rPr>
        <w:t xml:space="preserve">.8%-ով ապահովելով </w:t>
      </w:r>
      <w:r w:rsidRPr="001F63BA">
        <w:rPr>
          <w:rFonts w:ascii="GHEA Grapalat" w:hAnsi="GHEA Grapalat"/>
          <w:sz w:val="22"/>
          <w:szCs w:val="22"/>
          <w:lang w:val="en-US"/>
        </w:rPr>
        <w:t>կան</w:t>
      </w:r>
      <w:r w:rsidRPr="001F63BA">
        <w:rPr>
          <w:rFonts w:ascii="GHEA Grapalat" w:hAnsi="GHEA Grapalat"/>
          <w:sz w:val="22"/>
          <w:szCs w:val="22"/>
        </w:rPr>
        <w:t xml:space="preserve">խատեսված ցուցանիշը: Շեղումը հիմնականում պայմանավորված է արտաքին աղբյուրներից </w:t>
      </w:r>
      <w:r w:rsidRPr="001F63BA">
        <w:rPr>
          <w:rFonts w:ascii="GHEA Grapalat" w:hAnsi="GHEA Grapalat"/>
          <w:sz w:val="22"/>
          <w:szCs w:val="22"/>
        </w:rPr>
        <w:lastRenderedPageBreak/>
        <w:t>ստացված վարկային և դրամաշնորհային միջոցների մնացորդի</w:t>
      </w:r>
      <w:r w:rsidRPr="001F63BA">
        <w:rPr>
          <w:rFonts w:ascii="GHEA Grapalat" w:hAnsi="GHEA Grapalat"/>
          <w:sz w:val="22"/>
          <w:szCs w:val="22"/>
          <w:lang w:val="en-US"/>
        </w:rPr>
        <w:t>ց</w:t>
      </w:r>
      <w:r w:rsidRPr="001F63BA">
        <w:rPr>
          <w:rFonts w:ascii="GHEA Grapalat" w:hAnsi="GHEA Grapalat"/>
          <w:sz w:val="22"/>
          <w:szCs w:val="22"/>
        </w:rPr>
        <w:t xml:space="preserve"> շուրջ </w:t>
      </w:r>
      <w:r w:rsidRPr="001F63BA">
        <w:rPr>
          <w:rFonts w:ascii="GHEA Grapalat" w:hAnsi="GHEA Grapalat"/>
          <w:sz w:val="22"/>
          <w:szCs w:val="22"/>
          <w:lang w:val="en-US"/>
        </w:rPr>
        <w:t>1.9</w:t>
      </w:r>
      <w:r w:rsidRPr="001F63BA">
        <w:rPr>
          <w:rFonts w:ascii="GHEA Grapalat" w:hAnsi="GHEA Grapalat"/>
          <w:sz w:val="22"/>
          <w:szCs w:val="22"/>
        </w:rPr>
        <w:t xml:space="preserve"> մլրդ դրամ</w:t>
      </w:r>
      <w:r w:rsidRPr="001F63BA">
        <w:rPr>
          <w:rFonts w:ascii="GHEA Grapalat" w:hAnsi="GHEA Grapalat"/>
          <w:sz w:val="22"/>
          <w:szCs w:val="22"/>
          <w:lang w:val="en-US"/>
        </w:rPr>
        <w:t>ի</w:t>
      </w:r>
      <w:r w:rsidRPr="001F63BA">
        <w:rPr>
          <w:rFonts w:ascii="GHEA Grapalat" w:hAnsi="GHEA Grapalat"/>
          <w:sz w:val="22"/>
          <w:szCs w:val="22"/>
        </w:rPr>
        <w:t xml:space="preserve"> </w:t>
      </w:r>
      <w:r w:rsidRPr="001F63BA">
        <w:rPr>
          <w:rFonts w:ascii="GHEA Grapalat" w:hAnsi="GHEA Grapalat"/>
          <w:sz w:val="22"/>
          <w:szCs w:val="22"/>
          <w:lang w:val="en-US"/>
        </w:rPr>
        <w:t>չնախատեսված օգտագործմամբ</w:t>
      </w:r>
      <w:r w:rsidRPr="001F63BA">
        <w:rPr>
          <w:rFonts w:ascii="GHEA Grapalat" w:hAnsi="GHEA Grapalat"/>
          <w:sz w:val="22"/>
          <w:szCs w:val="22"/>
        </w:rPr>
        <w:t>:</w:t>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lang w:val="en-US"/>
        </w:rPr>
      </w:pPr>
      <w:r w:rsidRPr="001F63BA">
        <w:rPr>
          <w:rFonts w:ascii="GHEA Grapalat" w:hAnsi="GHEA Grapalat"/>
          <w:sz w:val="22"/>
          <w:szCs w:val="22"/>
        </w:rPr>
        <w:t xml:space="preserve">Վրաստանի կողմից ՀՀ նկատմամբ ունեցած վարկային պարտավորությունների մարումը կազմել է </w:t>
      </w:r>
      <w:r w:rsidRPr="001F63BA">
        <w:rPr>
          <w:rFonts w:ascii="GHEA Grapalat" w:hAnsi="GHEA Grapalat"/>
          <w:sz w:val="22"/>
          <w:szCs w:val="22"/>
          <w:lang w:val="en-US"/>
        </w:rPr>
        <w:t>367.9</w:t>
      </w:r>
      <w:r w:rsidRPr="001F63BA">
        <w:rPr>
          <w:rFonts w:ascii="GHEA Grapalat" w:hAnsi="GHEA Grapalat"/>
          <w:sz w:val="22"/>
          <w:szCs w:val="22"/>
        </w:rPr>
        <w:t xml:space="preserve"> մլն դրամ կամ ծրագրային ցուցանիշի </w:t>
      </w:r>
      <w:r w:rsidRPr="001F63BA">
        <w:rPr>
          <w:rFonts w:ascii="GHEA Grapalat" w:hAnsi="GHEA Grapalat"/>
          <w:sz w:val="22"/>
          <w:szCs w:val="22"/>
          <w:lang w:val="en-US"/>
        </w:rPr>
        <w:t>92.3</w:t>
      </w:r>
      <w:r w:rsidRPr="001F63BA">
        <w:rPr>
          <w:rFonts w:ascii="GHEA Grapalat" w:hAnsi="GHEA Grapalat"/>
          <w:sz w:val="22"/>
          <w:szCs w:val="22"/>
        </w:rPr>
        <w:t>%-ը՝ պայմանավորված ԱՄՆ դոլարի նկատմամբ ՀՀ դրամի կանխատես</w:t>
      </w:r>
      <w:r w:rsidRPr="001F63BA">
        <w:rPr>
          <w:rFonts w:ascii="GHEA Grapalat" w:hAnsi="GHEA Grapalat"/>
          <w:sz w:val="22"/>
          <w:szCs w:val="22"/>
          <w:lang w:val="en-US"/>
        </w:rPr>
        <w:t>ված</w:t>
      </w:r>
      <w:r w:rsidRPr="001F63BA">
        <w:rPr>
          <w:rFonts w:ascii="GHEA Grapalat" w:hAnsi="GHEA Grapalat"/>
          <w:sz w:val="22"/>
          <w:szCs w:val="22"/>
        </w:rPr>
        <w:t xml:space="preserve"> և փաստացի փոխարժեքների տարբերությամբ: </w:t>
      </w:r>
    </w:p>
    <w:p w:rsidR="001C411D" w:rsidRPr="001F63BA" w:rsidRDefault="001C411D" w:rsidP="00BA6025">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lang w:val="en-US"/>
        </w:rPr>
        <w:t>Բ</w:t>
      </w:r>
      <w:r w:rsidRPr="001F63BA">
        <w:rPr>
          <w:rFonts w:ascii="GHEA Grapalat" w:hAnsi="GHEA Grapalat"/>
          <w:sz w:val="22"/>
          <w:szCs w:val="22"/>
        </w:rPr>
        <w:t xml:space="preserve">աժնետոմսերի և կապիտալում այլ մասնակցության ձեռքբերման </w:t>
      </w:r>
      <w:r w:rsidRPr="001F63BA">
        <w:rPr>
          <w:rFonts w:ascii="GHEA Grapalat" w:hAnsi="GHEA Grapalat"/>
          <w:sz w:val="22"/>
          <w:szCs w:val="22"/>
          <w:lang w:val="en-US"/>
        </w:rPr>
        <w:t xml:space="preserve">նպատակով օգտագործվել է շուրջ 1.1 </w:t>
      </w:r>
      <w:r w:rsidRPr="001F63BA">
        <w:rPr>
          <w:rFonts w:ascii="GHEA Grapalat" w:hAnsi="GHEA Grapalat"/>
          <w:sz w:val="22"/>
          <w:szCs w:val="22"/>
        </w:rPr>
        <w:t>մլրդ դրամ և ապահովել ծրագրի 79.9% կատարում: Շեղումը հիմնականում պայմանավորված է «ԵՄ-Հայաստան ՓՄՁ ֆոնդ» ներդրումային ֆոնդի փայերի ձեռքբերման նպատակով</w:t>
      </w:r>
      <w:r w:rsidRPr="001F63BA">
        <w:rPr>
          <w:rFonts w:ascii="GHEA Grapalat" w:hAnsi="GHEA Grapalat"/>
          <w:sz w:val="22"/>
          <w:szCs w:val="22"/>
          <w:lang w:val="en-US"/>
        </w:rPr>
        <w:t xml:space="preserve"> նախատեսվածից պակաս միջոցների օգտագործմամբ, որը կազմել է 200.2 մլն դրամ նախատեսված 424.8 մլն դրամի դիմաց: </w:t>
      </w:r>
      <w:r w:rsidRPr="001F63BA">
        <w:rPr>
          <w:rFonts w:ascii="GHEA Grapalat" w:hAnsi="GHEA Grapalat"/>
          <w:sz w:val="22"/>
          <w:szCs w:val="22"/>
        </w:rPr>
        <w:t>Միջոցառման նպատակն է տնտեսական երկարաժամկետ զարգաց</w:t>
      </w:r>
      <w:r w:rsidRPr="001F63BA">
        <w:rPr>
          <w:rFonts w:ascii="GHEA Grapalat" w:hAnsi="GHEA Grapalat"/>
          <w:sz w:val="22"/>
          <w:szCs w:val="22"/>
          <w:lang w:val="en-US"/>
        </w:rPr>
        <w:t>ման ապահովումը</w:t>
      </w:r>
      <w:r w:rsidRPr="001F63BA">
        <w:rPr>
          <w:rFonts w:ascii="GHEA Grapalat" w:hAnsi="GHEA Grapalat"/>
          <w:sz w:val="22"/>
          <w:szCs w:val="22"/>
        </w:rPr>
        <w:t xml:space="preserve">՝ թիրախային ընկերությունների հետ ներդրումային ծրագրերի իրականացման միջոցով առանձին ոլորտներում ներդրումներ կատարելով: </w:t>
      </w:r>
      <w:r w:rsidRPr="001F63BA">
        <w:rPr>
          <w:rFonts w:ascii="GHEA Grapalat" w:hAnsi="GHEA Grapalat"/>
          <w:sz w:val="22"/>
          <w:szCs w:val="22"/>
          <w:lang w:val="en-US"/>
        </w:rPr>
        <w:t xml:space="preserve">Ցածր ցուցանիշը պայմանավորված է նրանով, որ </w:t>
      </w:r>
      <w:r w:rsidRPr="001F63BA">
        <w:rPr>
          <w:rFonts w:ascii="GHEA Grapalat" w:hAnsi="GHEA Grapalat"/>
          <w:sz w:val="22"/>
          <w:szCs w:val="22"/>
        </w:rPr>
        <w:t>ներդրումներն իրականացվել են նախատեսվածից փոքր գումար</w:t>
      </w:r>
      <w:r w:rsidRPr="001F63BA">
        <w:rPr>
          <w:rFonts w:ascii="GHEA Grapalat" w:hAnsi="GHEA Grapalat"/>
          <w:sz w:val="22"/>
          <w:szCs w:val="22"/>
          <w:lang w:val="en-US"/>
        </w:rPr>
        <w:t>ներ</w:t>
      </w:r>
      <w:r w:rsidRPr="001F63BA">
        <w:rPr>
          <w:rFonts w:ascii="GHEA Grapalat" w:hAnsi="GHEA Grapalat"/>
          <w:sz w:val="22"/>
          <w:szCs w:val="22"/>
        </w:rPr>
        <w:t xml:space="preserve">ով: Միջոցառման շրջանակներում նախատեսվել էր 4 ընկերության կողմից 1-ական ներդրում, սակայն փաստացի </w:t>
      </w:r>
      <w:r w:rsidRPr="001F63BA">
        <w:rPr>
          <w:rFonts w:ascii="GHEA Grapalat" w:hAnsi="GHEA Grapalat"/>
          <w:sz w:val="22"/>
          <w:szCs w:val="22"/>
          <w:lang w:val="en-US"/>
        </w:rPr>
        <w:t>կատար</w:t>
      </w:r>
      <w:r w:rsidRPr="001F63BA">
        <w:rPr>
          <w:rFonts w:ascii="GHEA Grapalat" w:hAnsi="GHEA Grapalat"/>
          <w:sz w:val="22"/>
          <w:szCs w:val="22"/>
        </w:rPr>
        <w:t>վել է 5 ներդրո</w:t>
      </w:r>
      <w:r w:rsidRPr="001F63BA">
        <w:rPr>
          <w:rFonts w:ascii="GHEA Grapalat" w:hAnsi="GHEA Grapalat"/>
          <w:sz w:val="22"/>
          <w:szCs w:val="22"/>
          <w:lang w:val="en-US"/>
        </w:rPr>
        <w:t>ւ</w:t>
      </w:r>
      <w:r w:rsidRPr="001F63BA">
        <w:rPr>
          <w:rFonts w:ascii="GHEA Grapalat" w:hAnsi="GHEA Grapalat"/>
          <w:sz w:val="22"/>
          <w:szCs w:val="22"/>
        </w:rPr>
        <w:t>մ</w:t>
      </w:r>
      <w:r w:rsidRPr="001F63BA">
        <w:rPr>
          <w:rFonts w:ascii="GHEA Grapalat" w:hAnsi="GHEA Grapalat"/>
          <w:sz w:val="22"/>
          <w:szCs w:val="22"/>
          <w:lang w:val="en-US"/>
        </w:rPr>
        <w:t>, քանի որ</w:t>
      </w:r>
      <w:r w:rsidRPr="001F63BA">
        <w:rPr>
          <w:rFonts w:ascii="GHEA Grapalat" w:hAnsi="GHEA Grapalat"/>
          <w:sz w:val="22"/>
          <w:szCs w:val="22"/>
        </w:rPr>
        <w:t xml:space="preserve"> 1 ընկերության կողմից կատարվել է 2 ներդրու</w:t>
      </w:r>
      <w:r w:rsidRPr="001F63BA">
        <w:rPr>
          <w:rFonts w:ascii="GHEA Grapalat" w:hAnsi="GHEA Grapalat"/>
          <w:sz w:val="22"/>
          <w:szCs w:val="22"/>
          <w:lang w:val="en-US"/>
        </w:rPr>
        <w:t>մ</w:t>
      </w:r>
      <w:r w:rsidRPr="001F63BA">
        <w:rPr>
          <w:rFonts w:ascii="GHEA Grapalat" w:hAnsi="GHEA Grapalat"/>
          <w:sz w:val="22"/>
          <w:szCs w:val="22"/>
        </w:rPr>
        <w:t>:</w:t>
      </w:r>
    </w:p>
    <w:p w:rsidR="001C411D" w:rsidRPr="001F63BA" w:rsidRDefault="001C411D" w:rsidP="00881875">
      <w:pPr>
        <w:autoSpaceDE w:val="0"/>
        <w:autoSpaceDN w:val="0"/>
        <w:adjustRightInd w:val="0"/>
        <w:ind w:firstLine="567"/>
        <w:jc w:val="both"/>
        <w:rPr>
          <w:rFonts w:ascii="GHEA Grapalat" w:hAnsi="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 xml:space="preserve"> ՀՀ պետական բյուջեի պակասուրդի արտաքին ֆինանսական զուտ ակտիվները (մլրդ դրամ)</w:t>
      </w:r>
    </w:p>
    <w:tbl>
      <w:tblPr>
        <w:tblW w:w="10350" w:type="dxa"/>
        <w:tblLayout w:type="fixed"/>
        <w:tblLook w:val="00A0" w:firstRow="1" w:lastRow="0" w:firstColumn="1" w:lastColumn="0" w:noHBand="0" w:noVBand="0"/>
      </w:tblPr>
      <w:tblGrid>
        <w:gridCol w:w="4219"/>
        <w:gridCol w:w="1134"/>
        <w:gridCol w:w="1134"/>
        <w:gridCol w:w="1134"/>
        <w:gridCol w:w="1418"/>
        <w:gridCol w:w="1311"/>
      </w:tblGrid>
      <w:tr w:rsidR="001C411D" w:rsidRPr="001F63BA" w:rsidTr="009D2FDC">
        <w:trPr>
          <w:trHeight w:val="855"/>
        </w:trPr>
        <w:tc>
          <w:tcPr>
            <w:tcW w:w="4219"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spacing w:line="256" w:lineRule="auto"/>
              <w:rPr>
                <w:rFonts w:ascii="GHEA Grapalat" w:hAnsi="GHEA Grapalat" w:cs="Calibri"/>
                <w:sz w:val="18"/>
                <w:szCs w:val="18"/>
              </w:rPr>
            </w:pPr>
            <w:r w:rsidRPr="001F63BA">
              <w:rPr>
                <w:rFonts w:ascii="Courier New" w:hAnsi="Courier New" w:cs="Courier New"/>
                <w:sz w:val="18"/>
                <w:szCs w:val="18"/>
              </w:rPr>
              <w:t> </w:t>
            </w:r>
          </w:p>
        </w:tc>
        <w:tc>
          <w:tcPr>
            <w:tcW w:w="1134" w:type="dxa"/>
            <w:tcBorders>
              <w:top w:val="single" w:sz="4" w:space="0" w:color="auto"/>
              <w:left w:val="nil"/>
              <w:bottom w:val="single" w:sz="4" w:space="0" w:color="auto"/>
              <w:right w:val="single" w:sz="4" w:space="0" w:color="auto"/>
            </w:tcBorders>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1</w:t>
            </w:r>
            <w:r w:rsidRPr="001F63BA">
              <w:rPr>
                <w:rFonts w:ascii="GHEA Grapalat" w:hAnsi="GHEA Grapalat" w:cs="Calibri"/>
                <w:b/>
                <w:bCs/>
                <w:sz w:val="18"/>
                <w:szCs w:val="18"/>
              </w:rPr>
              <w:t>թ. փաստ</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ճշտված պլան</w:t>
            </w:r>
          </w:p>
        </w:tc>
        <w:tc>
          <w:tcPr>
            <w:tcW w:w="1134"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փաստ</w:t>
            </w:r>
          </w:p>
        </w:tc>
        <w:tc>
          <w:tcPr>
            <w:tcW w:w="1418"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rPr>
            </w:pPr>
            <w:r w:rsidRPr="001F63BA">
              <w:rPr>
                <w:rFonts w:ascii="GHEA Grapalat" w:hAnsi="GHEA Grapalat" w:cs="Calibri"/>
                <w:b/>
                <w:bCs/>
                <w:sz w:val="18"/>
                <w:szCs w:val="18"/>
              </w:rPr>
              <w:t>Կատարողա-կանը ճշտված պլանի նկատմամբ (%)</w:t>
            </w:r>
          </w:p>
        </w:tc>
        <w:tc>
          <w:tcPr>
            <w:tcW w:w="1311"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jc w:val="center"/>
              <w:rPr>
                <w:rFonts w:ascii="GHEA Grapalat" w:hAnsi="GHEA Grapalat" w:cs="Calibri"/>
                <w:b/>
                <w:bCs/>
                <w:sz w:val="18"/>
                <w:szCs w:val="18"/>
                <w:lang w:val="en-US"/>
              </w:rPr>
            </w:pPr>
            <w:r w:rsidRPr="001F63BA">
              <w:rPr>
                <w:rFonts w:ascii="GHEA Grapalat" w:hAnsi="GHEA Grapalat" w:cs="Calibri"/>
                <w:b/>
                <w:bCs/>
                <w:sz w:val="18"/>
                <w:szCs w:val="18"/>
              </w:rPr>
              <w:t>202</w:t>
            </w:r>
            <w:r w:rsidRPr="001F63BA">
              <w:rPr>
                <w:rFonts w:ascii="GHEA Grapalat" w:hAnsi="GHEA Grapalat" w:cs="Calibri"/>
                <w:b/>
                <w:bCs/>
                <w:sz w:val="18"/>
                <w:szCs w:val="18"/>
                <w:lang w:val="en-US"/>
              </w:rPr>
              <w:t>2</w:t>
            </w:r>
            <w:r w:rsidRPr="001F63BA">
              <w:rPr>
                <w:rFonts w:ascii="GHEA Grapalat" w:hAnsi="GHEA Grapalat" w:cs="Calibri"/>
                <w:b/>
                <w:bCs/>
                <w:sz w:val="18"/>
                <w:szCs w:val="18"/>
              </w:rPr>
              <w:t>թ. 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r w:rsidRPr="001F63BA">
              <w:rPr>
                <w:rFonts w:ascii="GHEA Grapalat" w:hAnsi="GHEA Grapalat" w:cs="Calibri"/>
                <w:b/>
                <w:bCs/>
                <w:sz w:val="18"/>
                <w:szCs w:val="18"/>
                <w:lang w:val="en-US"/>
              </w:rPr>
              <w:t>-</w:t>
            </w:r>
            <w:r w:rsidRPr="001F63BA">
              <w:rPr>
                <w:rFonts w:ascii="GHEA Grapalat" w:hAnsi="GHEA Grapalat" w:cs="Calibri"/>
                <w:b/>
                <w:bCs/>
                <w:sz w:val="18"/>
                <w:szCs w:val="18"/>
              </w:rPr>
              <w:t>ի նկատմամբ</w:t>
            </w:r>
            <w:r w:rsidRPr="001F63BA">
              <w:rPr>
                <w:rFonts w:ascii="GHEA Grapalat" w:hAnsi="GHEA Grapalat" w:cs="Calibri"/>
                <w:b/>
                <w:bCs/>
                <w:sz w:val="18"/>
                <w:szCs w:val="18"/>
                <w:lang w:val="en-US"/>
              </w:rPr>
              <w:t xml:space="preserve"> (%)</w:t>
            </w:r>
          </w:p>
        </w:tc>
      </w:tr>
      <w:tr w:rsidR="001C411D" w:rsidRPr="001F63BA" w:rsidTr="009D2FDC">
        <w:trPr>
          <w:trHeight w:val="377"/>
        </w:trPr>
        <w:tc>
          <w:tcPr>
            <w:tcW w:w="421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rPr>
                <w:rFonts w:ascii="GHEA Grapalat" w:hAnsi="GHEA Grapalat" w:cs="Calibri"/>
                <w:b/>
                <w:bCs/>
                <w:sz w:val="18"/>
                <w:szCs w:val="18"/>
              </w:rPr>
            </w:pPr>
            <w:r w:rsidRPr="001F63BA">
              <w:rPr>
                <w:rFonts w:ascii="GHEA Grapalat" w:hAnsi="GHEA Grapalat" w:cs="Calibri"/>
                <w:b/>
                <w:sz w:val="18"/>
                <w:szCs w:val="18"/>
              </w:rPr>
              <w:t>Ֆինանսական զուտ ակտիվներ, այդ թվում`</w:t>
            </w:r>
          </w:p>
        </w:tc>
        <w:tc>
          <w:tcPr>
            <w:tcW w:w="1134"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w:t>
            </w:r>
            <w:r w:rsidRPr="001F63BA">
              <w:rPr>
                <w:rFonts w:ascii="GHEA Grapalat" w:hAnsi="GHEA Grapalat" w:cs="Calibri"/>
                <w:b/>
                <w:bCs/>
                <w:sz w:val="18"/>
                <w:szCs w:val="18"/>
              </w:rPr>
              <w:t>131.7</w:t>
            </w:r>
            <w:r w:rsidRPr="001F63BA">
              <w:rPr>
                <w:rFonts w:ascii="GHEA Grapalat" w:hAnsi="GHEA Grapalat" w:cs="Calibri"/>
                <w:b/>
                <w:bCs/>
                <w:sz w:val="18"/>
                <w:szCs w:val="18"/>
                <w:lang w:val="en-US"/>
              </w:rPr>
              <w:t>)</w:t>
            </w:r>
          </w:p>
        </w:tc>
        <w:tc>
          <w:tcPr>
            <w:tcW w:w="1134"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(176.9)</w:t>
            </w:r>
          </w:p>
        </w:tc>
        <w:tc>
          <w:tcPr>
            <w:tcW w:w="1134"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(174.8)</w:t>
            </w:r>
          </w:p>
        </w:tc>
        <w:tc>
          <w:tcPr>
            <w:tcW w:w="1418"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98.8</w:t>
            </w:r>
          </w:p>
        </w:tc>
        <w:tc>
          <w:tcPr>
            <w:tcW w:w="1311"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132.8</w:t>
            </w:r>
          </w:p>
        </w:tc>
      </w:tr>
      <w:tr w:rsidR="001C411D" w:rsidRPr="001F63BA" w:rsidTr="009D2FDC">
        <w:trPr>
          <w:trHeight w:val="431"/>
        </w:trPr>
        <w:tc>
          <w:tcPr>
            <w:tcW w:w="421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rPr>
                <w:rFonts w:ascii="GHEA Grapalat" w:hAnsi="GHEA Grapalat" w:cs="Calibri"/>
                <w:sz w:val="18"/>
                <w:szCs w:val="18"/>
              </w:rPr>
            </w:pPr>
            <w:r w:rsidRPr="001F63BA">
              <w:rPr>
                <w:rFonts w:ascii="GHEA Grapalat" w:hAnsi="GHEA Grapalat" w:cs="Calibri"/>
                <w:sz w:val="18"/>
                <w:szCs w:val="18"/>
              </w:rPr>
              <w:t>Վարկերի և փոխատվությունների տրամադրում (Արցախի Հանրապետությանը)</w:t>
            </w:r>
          </w:p>
        </w:tc>
        <w:tc>
          <w:tcPr>
            <w:tcW w:w="1134"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128.8</w:t>
            </w:r>
            <w:r w:rsidRPr="001F63BA">
              <w:rPr>
                <w:rFonts w:ascii="GHEA Grapalat" w:hAnsi="GHEA Grapalat" w:cs="Calibri"/>
                <w:sz w:val="18"/>
                <w:szCs w:val="18"/>
                <w:lang w:val="en-US"/>
              </w:rPr>
              <w:t>)</w:t>
            </w:r>
          </w:p>
        </w:tc>
        <w:tc>
          <w:tcPr>
            <w:tcW w:w="1134"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(176.0)</w:t>
            </w:r>
          </w:p>
        </w:tc>
        <w:tc>
          <w:tcPr>
            <w:tcW w:w="1134"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(176.0)</w:t>
            </w:r>
          </w:p>
        </w:tc>
        <w:tc>
          <w:tcPr>
            <w:tcW w:w="1418"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100.0</w:t>
            </w:r>
          </w:p>
        </w:tc>
        <w:tc>
          <w:tcPr>
            <w:tcW w:w="1311"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136.7</w:t>
            </w:r>
          </w:p>
        </w:tc>
      </w:tr>
      <w:tr w:rsidR="001C411D" w:rsidRPr="001F63BA" w:rsidTr="009D2FDC">
        <w:trPr>
          <w:trHeight w:val="431"/>
        </w:trPr>
        <w:tc>
          <w:tcPr>
            <w:tcW w:w="421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ind w:firstLineChars="100" w:firstLine="180"/>
              <w:rPr>
                <w:rFonts w:ascii="GHEA Grapalat" w:hAnsi="GHEA Grapalat" w:cs="Calibri"/>
                <w:sz w:val="18"/>
                <w:szCs w:val="18"/>
              </w:rPr>
            </w:pPr>
            <w:r w:rsidRPr="001F63BA">
              <w:rPr>
                <w:rFonts w:ascii="GHEA Grapalat" w:hAnsi="GHEA Grapalat" w:cs="Calibri"/>
                <w:sz w:val="18"/>
                <w:szCs w:val="18"/>
              </w:rPr>
              <w:t>Տրամադրված վարկերի և փոխատվությունների վերադարձից մուտքեր (Վրաստանից)</w:t>
            </w:r>
          </w:p>
        </w:tc>
        <w:tc>
          <w:tcPr>
            <w:tcW w:w="1134"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0.9</w:t>
            </w:r>
          </w:p>
        </w:tc>
        <w:tc>
          <w:tcPr>
            <w:tcW w:w="1134"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0.</w:t>
            </w:r>
            <w:r w:rsidRPr="001F63BA">
              <w:rPr>
                <w:rFonts w:ascii="GHEA Grapalat" w:hAnsi="GHEA Grapalat" w:cs="Calibri"/>
                <w:sz w:val="18"/>
                <w:szCs w:val="18"/>
                <w:lang w:val="en-US"/>
              </w:rPr>
              <w:t>4</w:t>
            </w:r>
          </w:p>
        </w:tc>
        <w:tc>
          <w:tcPr>
            <w:tcW w:w="1134"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0.</w:t>
            </w:r>
            <w:r w:rsidRPr="001F63BA">
              <w:rPr>
                <w:rFonts w:ascii="GHEA Grapalat" w:hAnsi="GHEA Grapalat" w:cs="Calibri"/>
                <w:sz w:val="18"/>
                <w:szCs w:val="18"/>
                <w:lang w:val="en-US"/>
              </w:rPr>
              <w:t>4</w:t>
            </w:r>
          </w:p>
        </w:tc>
        <w:tc>
          <w:tcPr>
            <w:tcW w:w="1418"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92.3</w:t>
            </w:r>
          </w:p>
        </w:tc>
        <w:tc>
          <w:tcPr>
            <w:tcW w:w="1311"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41.5</w:t>
            </w:r>
          </w:p>
        </w:tc>
      </w:tr>
      <w:tr w:rsidR="001C411D" w:rsidRPr="001F63BA" w:rsidTr="009D2FDC">
        <w:trPr>
          <w:trHeight w:val="431"/>
        </w:trPr>
        <w:tc>
          <w:tcPr>
            <w:tcW w:w="421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ind w:firstLineChars="100" w:firstLine="180"/>
              <w:rPr>
                <w:rFonts w:ascii="GHEA Grapalat" w:hAnsi="GHEA Grapalat" w:cs="Calibri"/>
                <w:sz w:val="18"/>
                <w:szCs w:val="18"/>
              </w:rPr>
            </w:pPr>
            <w:r w:rsidRPr="001F63BA">
              <w:rPr>
                <w:rFonts w:ascii="GHEA Grapalat" w:hAnsi="GHEA Grapalat" w:cs="Calibri"/>
                <w:sz w:val="18"/>
                <w:szCs w:val="18"/>
              </w:rPr>
              <w:t>Բաժնետոմսերի և կապիտալում այլ մասնակցության ձեռքբերում</w:t>
            </w:r>
          </w:p>
        </w:tc>
        <w:tc>
          <w:tcPr>
            <w:tcW w:w="1134"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1.4</w:t>
            </w:r>
            <w:r w:rsidRPr="001F63BA">
              <w:rPr>
                <w:rFonts w:ascii="GHEA Grapalat" w:hAnsi="GHEA Grapalat" w:cs="Calibri"/>
                <w:sz w:val="18"/>
                <w:szCs w:val="18"/>
                <w:lang w:val="en-US"/>
              </w:rPr>
              <w:t>)</w:t>
            </w:r>
          </w:p>
        </w:tc>
        <w:tc>
          <w:tcPr>
            <w:tcW w:w="1134"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1.</w:t>
            </w:r>
            <w:r w:rsidRPr="001F63BA">
              <w:rPr>
                <w:rFonts w:ascii="GHEA Grapalat" w:hAnsi="GHEA Grapalat" w:cs="Calibri"/>
                <w:sz w:val="18"/>
                <w:szCs w:val="18"/>
                <w:lang w:val="en-US"/>
              </w:rPr>
              <w:t>3)</w:t>
            </w:r>
          </w:p>
        </w:tc>
        <w:tc>
          <w:tcPr>
            <w:tcW w:w="1134"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1.</w:t>
            </w:r>
            <w:r w:rsidRPr="001F63BA">
              <w:rPr>
                <w:rFonts w:ascii="GHEA Grapalat" w:hAnsi="GHEA Grapalat" w:cs="Calibri"/>
                <w:sz w:val="18"/>
                <w:szCs w:val="18"/>
                <w:lang w:val="en-US"/>
              </w:rPr>
              <w:t>1)</w:t>
            </w:r>
          </w:p>
        </w:tc>
        <w:tc>
          <w:tcPr>
            <w:tcW w:w="1418"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79.9</w:t>
            </w:r>
          </w:p>
        </w:tc>
        <w:tc>
          <w:tcPr>
            <w:tcW w:w="1311"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70.5</w:t>
            </w:r>
          </w:p>
        </w:tc>
      </w:tr>
      <w:tr w:rsidR="001C411D" w:rsidRPr="001F63BA" w:rsidTr="009D2FDC">
        <w:trPr>
          <w:trHeight w:val="300"/>
        </w:trPr>
        <w:tc>
          <w:tcPr>
            <w:tcW w:w="421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ind w:firstLineChars="100" w:firstLine="180"/>
              <w:rPr>
                <w:rFonts w:ascii="GHEA Grapalat" w:hAnsi="GHEA Grapalat" w:cs="Calibri"/>
                <w:sz w:val="18"/>
                <w:szCs w:val="18"/>
              </w:rPr>
            </w:pPr>
            <w:r w:rsidRPr="001F63BA">
              <w:rPr>
                <w:rFonts w:ascii="GHEA Grapalat" w:hAnsi="GHEA Grapalat" w:cs="Calibri"/>
                <w:sz w:val="18"/>
                <w:szCs w:val="18"/>
              </w:rPr>
              <w:t>Այլ</w:t>
            </w:r>
          </w:p>
        </w:tc>
        <w:tc>
          <w:tcPr>
            <w:tcW w:w="1134"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2.3</w:t>
            </w:r>
            <w:r w:rsidRPr="001F63BA">
              <w:rPr>
                <w:rFonts w:ascii="GHEA Grapalat" w:hAnsi="GHEA Grapalat" w:cs="Calibri"/>
                <w:sz w:val="18"/>
                <w:szCs w:val="18"/>
                <w:lang w:val="en-US"/>
              </w:rPr>
              <w:t>)</w:t>
            </w:r>
          </w:p>
        </w:tc>
        <w:tc>
          <w:tcPr>
            <w:tcW w:w="1134"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rPr>
            </w:pPr>
          </w:p>
        </w:tc>
        <w:tc>
          <w:tcPr>
            <w:tcW w:w="1134"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1.9</w:t>
            </w:r>
          </w:p>
        </w:tc>
        <w:tc>
          <w:tcPr>
            <w:tcW w:w="1418" w:type="dxa"/>
            <w:tcBorders>
              <w:top w:val="nil"/>
              <w:left w:val="nil"/>
              <w:bottom w:val="single" w:sz="4" w:space="0" w:color="auto"/>
              <w:right w:val="single" w:sz="4" w:space="0" w:color="auto"/>
            </w:tcBorders>
            <w:noWrap/>
          </w:tcPr>
          <w:p w:rsidR="001C411D" w:rsidRPr="001F63BA" w:rsidRDefault="001C411D" w:rsidP="009D2FDC">
            <w:pPr>
              <w:spacing w:line="360" w:lineRule="auto"/>
              <w:jc w:val="right"/>
              <w:rPr>
                <w:rFonts w:ascii="GHEA Grapalat" w:hAnsi="GHEA Grapalat" w:cs="Calibri"/>
                <w:sz w:val="18"/>
                <w:szCs w:val="18"/>
                <w:lang w:val="en-US"/>
              </w:rPr>
            </w:pPr>
          </w:p>
        </w:tc>
        <w:tc>
          <w:tcPr>
            <w:tcW w:w="1311" w:type="dxa"/>
            <w:tcBorders>
              <w:top w:val="nil"/>
              <w:left w:val="nil"/>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(81.5)</w:t>
            </w:r>
          </w:p>
        </w:tc>
      </w:tr>
    </w:tbl>
    <w:p w:rsidR="001C411D" w:rsidRPr="001F63BA" w:rsidRDefault="001C411D" w:rsidP="004B3007">
      <w:pPr>
        <w:rPr>
          <w:lang w:val="en-US"/>
        </w:rPr>
        <w:sectPr w:rsidR="001C411D" w:rsidRPr="001F63BA" w:rsidSect="00A41AD1">
          <w:headerReference w:type="default" r:id="rId87"/>
          <w:pgSz w:w="11909" w:h="16834" w:code="9"/>
          <w:pgMar w:top="1134" w:right="567" w:bottom="567" w:left="1134" w:header="720" w:footer="397" w:gutter="0"/>
          <w:cols w:space="720"/>
          <w:docGrid w:linePitch="360"/>
        </w:sectPr>
      </w:pPr>
    </w:p>
    <w:p w:rsidR="001C411D" w:rsidRPr="001F63BA" w:rsidRDefault="001C411D" w:rsidP="00DD39CD">
      <w:pPr>
        <w:pStyle w:val="Heading1"/>
        <w:spacing w:line="480" w:lineRule="auto"/>
        <w:rPr>
          <w:rFonts w:ascii="GHEA Grapalat" w:hAnsi="GHEA Grapalat" w:cs="Sylfaen"/>
          <w:sz w:val="22"/>
          <w:szCs w:val="22"/>
          <w:lang w:val="en-US"/>
        </w:rPr>
      </w:pPr>
      <w:bookmarkStart w:id="285" w:name="_Toc132204243"/>
      <w:r w:rsidRPr="001F63BA">
        <w:rPr>
          <w:rFonts w:ascii="GHEA Grapalat" w:hAnsi="GHEA Grapalat" w:cs="Sylfaen"/>
          <w:sz w:val="22"/>
          <w:szCs w:val="22"/>
        </w:rPr>
        <w:lastRenderedPageBreak/>
        <w:t>Հ</w:t>
      </w:r>
      <w:r w:rsidRPr="001F63BA">
        <w:rPr>
          <w:rFonts w:ascii="GHEA Grapalat" w:hAnsi="GHEA Grapalat" w:cs="Sylfaen"/>
          <w:sz w:val="22"/>
          <w:szCs w:val="22"/>
          <w:lang w:val="en-US"/>
        </w:rPr>
        <w:t xml:space="preserve">ԱՅԱՍՏԱՆԻ </w:t>
      </w:r>
      <w:r w:rsidRPr="001F63BA">
        <w:rPr>
          <w:rFonts w:ascii="GHEA Grapalat" w:hAnsi="GHEA Grapalat" w:cs="Sylfaen"/>
          <w:sz w:val="22"/>
          <w:szCs w:val="22"/>
        </w:rPr>
        <w:t>Հ</w:t>
      </w:r>
      <w:r w:rsidRPr="001F63BA">
        <w:rPr>
          <w:rFonts w:ascii="GHEA Grapalat" w:hAnsi="GHEA Grapalat" w:cs="Sylfaen"/>
          <w:sz w:val="22"/>
          <w:szCs w:val="22"/>
          <w:lang w:val="en-US"/>
        </w:rPr>
        <w:t>ԱՆՐԱՊԵՏՈՒԹՅԱՆ</w:t>
      </w:r>
      <w:r w:rsidRPr="001F63BA">
        <w:rPr>
          <w:rFonts w:ascii="GHEA Grapalat" w:hAnsi="GHEA Grapalat" w:cs="Sylfaen"/>
          <w:sz w:val="22"/>
          <w:szCs w:val="22"/>
        </w:rPr>
        <w:t xml:space="preserve"> ՊԵՏԱԿԱՆ ՊԱՐՏՔԸ</w:t>
      </w:r>
      <w:r w:rsidRPr="001F63BA">
        <w:rPr>
          <w:rStyle w:val="FootnoteReference"/>
          <w:rFonts w:ascii="GHEA Grapalat" w:hAnsi="GHEA Grapalat"/>
          <w:sz w:val="22"/>
          <w:szCs w:val="22"/>
        </w:rPr>
        <w:footnoteReference w:id="43"/>
      </w:r>
      <w:bookmarkEnd w:id="285"/>
    </w:p>
    <w:p w:rsidR="001C411D" w:rsidRPr="001F63BA" w:rsidRDefault="001C411D" w:rsidP="001D4583">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202</w:t>
      </w:r>
      <w:r w:rsidRPr="001F63BA">
        <w:rPr>
          <w:rFonts w:ascii="GHEA Grapalat" w:hAnsi="GHEA Grapalat"/>
          <w:sz w:val="22"/>
          <w:szCs w:val="22"/>
          <w:lang w:val="en-US"/>
        </w:rPr>
        <w:t>2</w:t>
      </w:r>
      <w:r w:rsidRPr="001F63BA">
        <w:rPr>
          <w:rFonts w:ascii="GHEA Grapalat" w:hAnsi="GHEA Grapalat"/>
          <w:sz w:val="22"/>
          <w:szCs w:val="22"/>
        </w:rPr>
        <w:t xml:space="preserve"> թվականի դեկտեմբերի 31-ի դրությամբ ՀՀ պետական պարտքը կազմել է 4,</w:t>
      </w:r>
      <w:r w:rsidRPr="001F63BA">
        <w:rPr>
          <w:rFonts w:ascii="GHEA Grapalat" w:hAnsi="GHEA Grapalat"/>
          <w:sz w:val="22"/>
          <w:szCs w:val="22"/>
          <w:lang w:val="en-US"/>
        </w:rPr>
        <w:t>186.7</w:t>
      </w:r>
      <w:r w:rsidRPr="001F63BA">
        <w:rPr>
          <w:rFonts w:ascii="GHEA Grapalat" w:hAnsi="GHEA Grapalat"/>
          <w:sz w:val="22"/>
          <w:szCs w:val="22"/>
        </w:rPr>
        <w:t xml:space="preserve"> մլրդ դրամ (</w:t>
      </w:r>
      <w:r w:rsidRPr="001F63BA">
        <w:rPr>
          <w:rFonts w:ascii="GHEA Grapalat" w:hAnsi="GHEA Grapalat"/>
          <w:sz w:val="22"/>
          <w:szCs w:val="22"/>
          <w:lang w:val="en-US"/>
        </w:rPr>
        <w:t>10,637.7</w:t>
      </w:r>
      <w:r w:rsidRPr="001F63BA">
        <w:rPr>
          <w:rFonts w:ascii="GHEA Grapalat" w:hAnsi="GHEA Grapalat"/>
          <w:sz w:val="22"/>
          <w:szCs w:val="22"/>
        </w:rPr>
        <w:t xml:space="preserve"> մլն ԱՄՆ դոլար): </w:t>
      </w:r>
      <w:r w:rsidRPr="001F63BA">
        <w:rPr>
          <w:rFonts w:ascii="GHEA Grapalat" w:hAnsi="GHEA Grapalat"/>
          <w:sz w:val="22"/>
          <w:szCs w:val="22"/>
          <w:lang w:val="en-US"/>
        </w:rPr>
        <w:t>ՀՀ դրամով և ԱՄՆ դոլարով արտահայտված` նախորդ տարեվերջի համեմատ ՀՀ պետական պարտքի ցուցանիշները փոփոխվել են անհամաչափորեն` համապատասխանաբար նվազել 5.5%-ով և աճել 15.3%-ով: Դա պայմանավորված է եղել 2021 թվականի տարեվերջի և 2022 թվականի տարեվերջի դրությամբ ձևավորված ԱՄՆ դոլար / ՀՀ դրամ փոխարժեքների տարբերությամբ, որը փոփոխվել է 18%-ով՝ 480.14-ից նվազելով մինչև 393.57:</w:t>
      </w:r>
      <w:r w:rsidRPr="001F63BA">
        <w:rPr>
          <w:rFonts w:ascii="GHEA Grapalat" w:hAnsi="GHEA Grapalat"/>
          <w:sz w:val="22"/>
          <w:szCs w:val="22"/>
        </w:rPr>
        <w:t xml:space="preserve"> </w:t>
      </w:r>
      <w:r w:rsidRPr="001F63BA">
        <w:rPr>
          <w:rFonts w:ascii="GHEA Grapalat" w:hAnsi="GHEA Grapalat"/>
          <w:sz w:val="22"/>
          <w:szCs w:val="22"/>
          <w:lang w:val="en-US"/>
        </w:rPr>
        <w:t>ՀՀ պետական պարտքում 2,536.7 մլրդ դրամը (6,445.4 մլն ԱՄՆ դոլարը) կազմել է արտաքին պարտքը, 1,650.0 մլրդ դրամը (4,192.3 մլն ԱՄՆ դոլարը)՝ ներքին պարտքը:</w:t>
      </w:r>
    </w:p>
    <w:p w:rsidR="001C411D" w:rsidRPr="001F63BA" w:rsidRDefault="001C411D" w:rsidP="001D4583">
      <w:pPr>
        <w:autoSpaceDE w:val="0"/>
        <w:autoSpaceDN w:val="0"/>
        <w:adjustRightInd w:val="0"/>
        <w:ind w:firstLine="567"/>
        <w:jc w:val="both"/>
        <w:rPr>
          <w:rFonts w:ascii="GHEA Grapalat" w:hAnsi="GHEA Grapalat"/>
          <w:sz w:val="22"/>
          <w:szCs w:val="22"/>
        </w:rPr>
      </w:pPr>
    </w:p>
    <w:p w:rsidR="001C411D" w:rsidRPr="001F63BA" w:rsidRDefault="001C411D" w:rsidP="00BB1B4B">
      <w:pPr>
        <w:pStyle w:val="Caption"/>
        <w:keepNext/>
        <w:numPr>
          <w:ilvl w:val="0"/>
          <w:numId w:val="34"/>
        </w:numPr>
        <w:tabs>
          <w:tab w:val="left" w:pos="1276"/>
        </w:tabs>
        <w:ind w:left="0" w:firstLine="0"/>
        <w:jc w:val="left"/>
        <w:rPr>
          <w:rFonts w:ascii="GHEA Grapalat" w:hAnsi="GHEA Grapalat"/>
          <w:i/>
          <w:sz w:val="18"/>
          <w:szCs w:val="18"/>
          <w:lang w:val="hy-AM"/>
        </w:rPr>
      </w:pPr>
      <w:r w:rsidRPr="001F63BA">
        <w:rPr>
          <w:rFonts w:ascii="GHEA Grapalat" w:hAnsi="GHEA Grapalat"/>
          <w:i/>
          <w:sz w:val="18"/>
          <w:szCs w:val="18"/>
          <w:lang w:val="hy-AM"/>
        </w:rPr>
        <w:t xml:space="preserve">ՀՀ պետական պարտքը </w:t>
      </w:r>
    </w:p>
    <w:tbl>
      <w:tblPr>
        <w:tblW w:w="10200" w:type="dxa"/>
        <w:tblInd w:w="108" w:type="dxa"/>
        <w:tblLayout w:type="fixed"/>
        <w:tblLook w:val="00A0" w:firstRow="1" w:lastRow="0" w:firstColumn="1" w:lastColumn="0" w:noHBand="0" w:noVBand="0"/>
      </w:tblPr>
      <w:tblGrid>
        <w:gridCol w:w="4251"/>
        <w:gridCol w:w="1349"/>
        <w:gridCol w:w="1439"/>
        <w:gridCol w:w="1619"/>
        <w:gridCol w:w="1542"/>
      </w:tblGrid>
      <w:tr w:rsidR="001C411D" w:rsidRPr="001F63BA" w:rsidTr="009D2FDC">
        <w:trPr>
          <w:trHeight w:val="513"/>
        </w:trPr>
        <w:tc>
          <w:tcPr>
            <w:tcW w:w="4251" w:type="dxa"/>
            <w:tcBorders>
              <w:top w:val="single" w:sz="4" w:space="0" w:color="auto"/>
              <w:left w:val="single" w:sz="4" w:space="0" w:color="auto"/>
              <w:bottom w:val="single" w:sz="4" w:space="0" w:color="auto"/>
              <w:right w:val="single" w:sz="4" w:space="0" w:color="auto"/>
            </w:tcBorders>
            <w:noWrap/>
            <w:vAlign w:val="bottom"/>
          </w:tcPr>
          <w:p w:rsidR="001C411D" w:rsidRPr="001F63BA" w:rsidRDefault="001C411D" w:rsidP="009D2FDC">
            <w:pPr>
              <w:pStyle w:val="ListParagraph"/>
              <w:spacing w:line="256" w:lineRule="auto"/>
              <w:ind w:left="2771"/>
              <w:rPr>
                <w:rFonts w:ascii="GHEA Grapalat" w:hAnsi="GHEA Grapalat"/>
                <w:sz w:val="18"/>
                <w:szCs w:val="18"/>
                <w:lang w:val="hy-AM"/>
              </w:rPr>
            </w:pPr>
            <w:r w:rsidRPr="001F63BA">
              <w:rPr>
                <w:rFonts w:ascii="Courier New" w:hAnsi="Courier New" w:cs="Courier New"/>
                <w:sz w:val="18"/>
                <w:szCs w:val="18"/>
                <w:lang w:val="hy-AM"/>
              </w:rPr>
              <w:t> </w:t>
            </w:r>
          </w:p>
        </w:tc>
        <w:tc>
          <w:tcPr>
            <w:tcW w:w="1349" w:type="dxa"/>
            <w:tcBorders>
              <w:top w:val="single" w:sz="4" w:space="0" w:color="auto"/>
              <w:left w:val="nil"/>
              <w:bottom w:val="single" w:sz="4" w:space="0" w:color="auto"/>
              <w:right w:val="single" w:sz="4" w:space="0" w:color="auto"/>
            </w:tcBorders>
            <w:vAlign w:val="center"/>
          </w:tcPr>
          <w:p w:rsidR="001C411D" w:rsidRPr="001F63BA" w:rsidRDefault="001C411D" w:rsidP="009D2FDC">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Առ 31.12.202</w:t>
            </w:r>
            <w:r w:rsidRPr="001F63BA">
              <w:rPr>
                <w:rFonts w:ascii="GHEA Grapalat" w:hAnsi="GHEA Grapalat" w:cs="Calibri"/>
                <w:b/>
                <w:bCs/>
                <w:sz w:val="18"/>
                <w:szCs w:val="18"/>
                <w:lang w:val="en-US"/>
              </w:rPr>
              <w:t>1</w:t>
            </w:r>
            <w:r w:rsidRPr="001F63BA">
              <w:rPr>
                <w:rFonts w:ascii="GHEA Grapalat" w:hAnsi="GHEA Grapalat" w:cs="Calibri"/>
                <w:b/>
                <w:bCs/>
                <w:sz w:val="18"/>
                <w:szCs w:val="18"/>
              </w:rPr>
              <w:t>թ.</w:t>
            </w:r>
          </w:p>
        </w:tc>
        <w:tc>
          <w:tcPr>
            <w:tcW w:w="1439" w:type="dxa"/>
            <w:tcBorders>
              <w:top w:val="single" w:sz="4" w:space="0" w:color="auto"/>
              <w:left w:val="single" w:sz="4" w:space="0" w:color="auto"/>
              <w:bottom w:val="single" w:sz="4" w:space="0" w:color="auto"/>
              <w:right w:val="single" w:sz="4" w:space="0" w:color="auto"/>
            </w:tcBorders>
            <w:shd w:val="clear" w:color="auto" w:fill="FFFFFF"/>
            <w:vAlign w:val="center"/>
          </w:tcPr>
          <w:p w:rsidR="001C411D" w:rsidRPr="001F63BA" w:rsidRDefault="001C411D" w:rsidP="009D2FDC">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Առ 31.12.202</w:t>
            </w:r>
            <w:r w:rsidRPr="001F63BA">
              <w:rPr>
                <w:rFonts w:ascii="GHEA Grapalat" w:hAnsi="GHEA Grapalat" w:cs="Calibri"/>
                <w:b/>
                <w:bCs/>
                <w:sz w:val="18"/>
                <w:szCs w:val="18"/>
                <w:lang w:val="en-US"/>
              </w:rPr>
              <w:t>2</w:t>
            </w:r>
            <w:r w:rsidRPr="001F63BA">
              <w:rPr>
                <w:rFonts w:ascii="GHEA Grapalat" w:hAnsi="GHEA Grapalat" w:cs="Calibri"/>
                <w:b/>
                <w:bCs/>
                <w:sz w:val="18"/>
                <w:szCs w:val="18"/>
              </w:rPr>
              <w:t>թ.</w:t>
            </w:r>
          </w:p>
        </w:tc>
        <w:tc>
          <w:tcPr>
            <w:tcW w:w="1619"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spacing w:line="256" w:lineRule="auto"/>
              <w:jc w:val="center"/>
              <w:rPr>
                <w:rFonts w:ascii="GHEA Grapalat" w:hAnsi="GHEA Grapalat" w:cs="Calibri"/>
                <w:b/>
                <w:bCs/>
                <w:sz w:val="18"/>
                <w:szCs w:val="18"/>
              </w:rPr>
            </w:pPr>
            <w:r w:rsidRPr="001F63BA">
              <w:rPr>
                <w:rFonts w:ascii="GHEA Grapalat" w:hAnsi="GHEA Grapalat" w:cs="Calibri"/>
                <w:b/>
                <w:bCs/>
                <w:sz w:val="18"/>
                <w:szCs w:val="18"/>
              </w:rPr>
              <w:t>Փոփոխություն, գումար</w:t>
            </w:r>
          </w:p>
        </w:tc>
        <w:tc>
          <w:tcPr>
            <w:tcW w:w="1542"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spacing w:line="256" w:lineRule="auto"/>
              <w:jc w:val="center"/>
              <w:rPr>
                <w:rFonts w:ascii="GHEA Grapalat" w:hAnsi="GHEA Grapalat" w:cs="Calibri"/>
                <w:b/>
                <w:bCs/>
                <w:sz w:val="18"/>
                <w:szCs w:val="18"/>
                <w:lang w:val="en-US"/>
              </w:rPr>
            </w:pPr>
            <w:r w:rsidRPr="001F63BA">
              <w:rPr>
                <w:rFonts w:ascii="GHEA Grapalat" w:hAnsi="GHEA Grapalat" w:cs="Calibri"/>
                <w:b/>
                <w:bCs/>
                <w:sz w:val="18"/>
                <w:szCs w:val="18"/>
              </w:rPr>
              <w:t>Փոփոխություն</w:t>
            </w:r>
            <w:r w:rsidRPr="001F63BA">
              <w:rPr>
                <w:rFonts w:ascii="GHEA Grapalat" w:hAnsi="GHEA Grapalat" w:cs="Calibri"/>
                <w:b/>
                <w:bCs/>
                <w:sz w:val="18"/>
                <w:szCs w:val="18"/>
                <w:lang w:val="en-US"/>
              </w:rPr>
              <w:t xml:space="preserve"> (%)</w:t>
            </w:r>
          </w:p>
        </w:tc>
      </w:tr>
      <w:tr w:rsidR="001C411D" w:rsidRPr="001F63BA" w:rsidTr="009D2FDC">
        <w:trPr>
          <w:trHeight w:val="272"/>
        </w:trPr>
        <w:tc>
          <w:tcPr>
            <w:tcW w:w="4251"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b/>
                <w:i/>
                <w:sz w:val="18"/>
                <w:szCs w:val="18"/>
              </w:rPr>
            </w:pPr>
            <w:r w:rsidRPr="001F63BA">
              <w:rPr>
                <w:rFonts w:ascii="GHEA Grapalat" w:hAnsi="GHEA Grapalat" w:cs="Calibri"/>
                <w:b/>
                <w:i/>
                <w:sz w:val="18"/>
                <w:szCs w:val="18"/>
              </w:rPr>
              <w:t>(մլրդ դրամ)</w:t>
            </w:r>
          </w:p>
        </w:tc>
        <w:tc>
          <w:tcPr>
            <w:tcW w:w="1349" w:type="dxa"/>
            <w:tcBorders>
              <w:top w:val="single" w:sz="4" w:space="0" w:color="auto"/>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b/>
                <w:bCs/>
                <w:sz w:val="18"/>
                <w:szCs w:val="18"/>
              </w:rPr>
            </w:pP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rPr>
            </w:pPr>
          </w:p>
        </w:tc>
        <w:tc>
          <w:tcPr>
            <w:tcW w:w="1619"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rPr>
            </w:pPr>
          </w:p>
        </w:tc>
        <w:tc>
          <w:tcPr>
            <w:tcW w:w="1542"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rPr>
            </w:pPr>
          </w:p>
        </w:tc>
      </w:tr>
      <w:tr w:rsidR="001C411D" w:rsidRPr="001F63BA" w:rsidTr="009D2FDC">
        <w:trPr>
          <w:trHeight w:val="217"/>
        </w:trPr>
        <w:tc>
          <w:tcPr>
            <w:tcW w:w="4251"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rPr>
                <w:rFonts w:ascii="GHEA Grapalat" w:hAnsi="GHEA Grapalat" w:cs="Calibri"/>
                <w:b/>
                <w:bCs/>
                <w:sz w:val="18"/>
                <w:szCs w:val="18"/>
                <w:lang w:val="en-US"/>
              </w:rPr>
            </w:pPr>
            <w:r w:rsidRPr="001F63BA">
              <w:rPr>
                <w:rFonts w:ascii="GHEA Grapalat" w:hAnsi="GHEA Grapalat" w:cs="Calibri"/>
                <w:b/>
                <w:sz w:val="18"/>
                <w:szCs w:val="18"/>
              </w:rPr>
              <w:t>ՀՀ պետական պարտք</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b/>
                <w:bCs/>
                <w:sz w:val="18"/>
                <w:szCs w:val="18"/>
              </w:rPr>
            </w:pPr>
            <w:r w:rsidRPr="001F63BA">
              <w:rPr>
                <w:rFonts w:ascii="GHEA Grapalat" w:hAnsi="GHEA Grapalat" w:cs="Calibri"/>
                <w:b/>
                <w:bCs/>
                <w:sz w:val="18"/>
                <w:szCs w:val="18"/>
              </w:rPr>
              <w:t>4,429.6</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rPr>
              <w:t>4,</w:t>
            </w:r>
            <w:r w:rsidRPr="001F63BA">
              <w:rPr>
                <w:rFonts w:ascii="GHEA Grapalat" w:hAnsi="GHEA Grapalat" w:cs="Calibri"/>
                <w:b/>
                <w:bCs/>
                <w:sz w:val="18"/>
                <w:szCs w:val="18"/>
                <w:lang w:val="en-US"/>
              </w:rPr>
              <w:t>186.7</w:t>
            </w:r>
          </w:p>
        </w:tc>
        <w:tc>
          <w:tcPr>
            <w:tcW w:w="1619"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rPr>
            </w:pPr>
            <w:r w:rsidRPr="001F63BA">
              <w:rPr>
                <w:rFonts w:ascii="GHEA Grapalat" w:hAnsi="GHEA Grapalat" w:cs="Calibri"/>
                <w:b/>
                <w:bCs/>
                <w:sz w:val="18"/>
                <w:szCs w:val="18"/>
                <w:lang w:val="en-US"/>
              </w:rPr>
              <w:t>(</w:t>
            </w:r>
            <w:r w:rsidRPr="001F63BA">
              <w:rPr>
                <w:rFonts w:ascii="GHEA Grapalat" w:hAnsi="GHEA Grapalat" w:cs="Calibri"/>
                <w:b/>
                <w:bCs/>
                <w:sz w:val="18"/>
                <w:szCs w:val="18"/>
              </w:rPr>
              <w:t>2</w:t>
            </w:r>
            <w:r w:rsidRPr="001F63BA">
              <w:rPr>
                <w:rFonts w:ascii="GHEA Grapalat" w:hAnsi="GHEA Grapalat" w:cs="Calibri"/>
                <w:b/>
                <w:bCs/>
                <w:sz w:val="18"/>
                <w:szCs w:val="18"/>
                <w:lang w:val="en-US"/>
              </w:rPr>
              <w:t>42.9)</w:t>
            </w:r>
          </w:p>
        </w:tc>
        <w:tc>
          <w:tcPr>
            <w:tcW w:w="1542"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(5.5)</w:t>
            </w:r>
          </w:p>
        </w:tc>
      </w:tr>
      <w:tr w:rsidR="001C411D" w:rsidRPr="001F63BA" w:rsidTr="009D2FDC">
        <w:trPr>
          <w:trHeight w:val="309"/>
        </w:trPr>
        <w:tc>
          <w:tcPr>
            <w:tcW w:w="4251"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rPr>
                <w:rFonts w:ascii="GHEA Grapalat" w:hAnsi="GHEA Grapalat" w:cs="Calibri"/>
                <w:sz w:val="18"/>
                <w:szCs w:val="18"/>
              </w:rPr>
            </w:pPr>
            <w:r w:rsidRPr="001F63BA">
              <w:rPr>
                <w:rFonts w:ascii="GHEA Grapalat" w:hAnsi="GHEA Grapalat" w:cs="Calibri"/>
                <w:sz w:val="18"/>
                <w:szCs w:val="18"/>
              </w:rPr>
              <w:t>ՀՀ կառավարության պարտք, այդ թվում՝</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4,209.8</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3,969.7</w:t>
            </w:r>
          </w:p>
        </w:tc>
        <w:tc>
          <w:tcPr>
            <w:tcW w:w="1619"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2</w:t>
            </w:r>
            <w:r w:rsidRPr="001F63BA">
              <w:rPr>
                <w:rFonts w:ascii="GHEA Grapalat" w:hAnsi="GHEA Grapalat" w:cs="Calibri"/>
                <w:sz w:val="18"/>
                <w:szCs w:val="18"/>
                <w:lang w:val="en-US"/>
              </w:rPr>
              <w:t>40.2)</w:t>
            </w:r>
          </w:p>
        </w:tc>
        <w:tc>
          <w:tcPr>
            <w:tcW w:w="1542"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(5.7)</w:t>
            </w:r>
          </w:p>
        </w:tc>
      </w:tr>
      <w:tr w:rsidR="001C411D" w:rsidRPr="001F63BA" w:rsidTr="009D2FDC">
        <w:trPr>
          <w:trHeight w:val="285"/>
        </w:trPr>
        <w:tc>
          <w:tcPr>
            <w:tcW w:w="4251" w:type="dxa"/>
            <w:tcBorders>
              <w:top w:val="nil"/>
              <w:left w:val="single" w:sz="4" w:space="0" w:color="auto"/>
              <w:bottom w:val="single" w:sz="4" w:space="0" w:color="auto"/>
              <w:right w:val="single" w:sz="4" w:space="0" w:color="auto"/>
            </w:tcBorders>
            <w:noWrap/>
          </w:tcPr>
          <w:p w:rsidR="001C411D" w:rsidRPr="001F63BA" w:rsidRDefault="001C411D" w:rsidP="00BB1B4B">
            <w:pPr>
              <w:pStyle w:val="ListParagraph"/>
              <w:numPr>
                <w:ilvl w:val="0"/>
                <w:numId w:val="27"/>
              </w:numPr>
              <w:tabs>
                <w:tab w:val="left" w:pos="459"/>
              </w:tabs>
              <w:spacing w:after="0" w:line="256" w:lineRule="auto"/>
              <w:ind w:left="34" w:firstLine="236"/>
              <w:rPr>
                <w:rFonts w:ascii="GHEA Grapalat" w:hAnsi="GHEA Grapalat"/>
                <w:sz w:val="18"/>
                <w:szCs w:val="18"/>
                <w:lang w:val="hy-AM"/>
              </w:rPr>
            </w:pPr>
            <w:r w:rsidRPr="001F63BA">
              <w:rPr>
                <w:rFonts w:ascii="GHEA Grapalat" w:hAnsi="GHEA Grapalat"/>
                <w:sz w:val="18"/>
                <w:szCs w:val="18"/>
                <w:lang w:val="hy-AM"/>
              </w:rPr>
              <w:t>ՀՀ կառավարության արտաքին պարտք</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2,972.4</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2,</w:t>
            </w:r>
            <w:r w:rsidRPr="001F63BA">
              <w:rPr>
                <w:rFonts w:ascii="GHEA Grapalat" w:hAnsi="GHEA Grapalat" w:cs="Calibri"/>
                <w:sz w:val="18"/>
                <w:szCs w:val="18"/>
                <w:lang w:val="en-US"/>
              </w:rPr>
              <w:t>319.7</w:t>
            </w:r>
          </w:p>
        </w:tc>
        <w:tc>
          <w:tcPr>
            <w:tcW w:w="1619"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rPr>
            </w:pPr>
            <w:r w:rsidRPr="001F63BA">
              <w:rPr>
                <w:rFonts w:ascii="GHEA Grapalat" w:hAnsi="GHEA Grapalat" w:cs="Calibri"/>
                <w:sz w:val="18"/>
                <w:szCs w:val="18"/>
                <w:lang w:val="en-US"/>
              </w:rPr>
              <w:t>(652.7)</w:t>
            </w:r>
          </w:p>
        </w:tc>
        <w:tc>
          <w:tcPr>
            <w:tcW w:w="1542"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(22.0)</w:t>
            </w:r>
          </w:p>
        </w:tc>
      </w:tr>
      <w:tr w:rsidR="001C411D" w:rsidRPr="001F63BA" w:rsidTr="009D2FDC">
        <w:trPr>
          <w:trHeight w:val="261"/>
        </w:trPr>
        <w:tc>
          <w:tcPr>
            <w:tcW w:w="4251" w:type="dxa"/>
            <w:tcBorders>
              <w:top w:val="nil"/>
              <w:left w:val="single" w:sz="4" w:space="0" w:color="auto"/>
              <w:bottom w:val="single" w:sz="4" w:space="0" w:color="auto"/>
              <w:right w:val="single" w:sz="4" w:space="0" w:color="auto"/>
            </w:tcBorders>
            <w:noWrap/>
          </w:tcPr>
          <w:p w:rsidR="001C411D" w:rsidRPr="001F63BA" w:rsidRDefault="001C411D" w:rsidP="00BB1B4B">
            <w:pPr>
              <w:pStyle w:val="ListParagraph"/>
              <w:numPr>
                <w:ilvl w:val="0"/>
                <w:numId w:val="27"/>
              </w:numPr>
              <w:tabs>
                <w:tab w:val="left" w:pos="459"/>
              </w:tabs>
              <w:spacing w:after="0" w:line="256" w:lineRule="auto"/>
              <w:ind w:left="34" w:firstLine="236"/>
              <w:rPr>
                <w:rFonts w:ascii="GHEA Grapalat" w:hAnsi="GHEA Grapalat"/>
                <w:sz w:val="18"/>
                <w:szCs w:val="18"/>
                <w:lang w:val="hy-AM"/>
              </w:rPr>
            </w:pPr>
            <w:r w:rsidRPr="001F63BA">
              <w:rPr>
                <w:rFonts w:ascii="GHEA Grapalat" w:hAnsi="GHEA Grapalat"/>
                <w:sz w:val="18"/>
                <w:szCs w:val="18"/>
                <w:lang w:val="hy-AM"/>
              </w:rPr>
              <w:t>ՀՀ կառավարության ներքին պարտք</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1,237.4</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650.0</w:t>
            </w:r>
          </w:p>
        </w:tc>
        <w:tc>
          <w:tcPr>
            <w:tcW w:w="1619" w:type="dxa"/>
            <w:tcBorders>
              <w:top w:val="nil"/>
              <w:left w:val="nil"/>
              <w:bottom w:val="single" w:sz="4" w:space="0" w:color="auto"/>
              <w:right w:val="single" w:sz="4" w:space="0" w:color="auto"/>
            </w:tcBorders>
            <w:noWrap/>
          </w:tcPr>
          <w:p w:rsidR="001C411D" w:rsidRPr="001F63BA" w:rsidRDefault="001C411D" w:rsidP="007E24FF">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412.5</w:t>
            </w:r>
          </w:p>
        </w:tc>
        <w:tc>
          <w:tcPr>
            <w:tcW w:w="1542"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33.3</w:t>
            </w:r>
          </w:p>
        </w:tc>
      </w:tr>
      <w:tr w:rsidR="001C411D" w:rsidRPr="001F63BA" w:rsidTr="009D2FDC">
        <w:trPr>
          <w:trHeight w:val="160"/>
        </w:trPr>
        <w:tc>
          <w:tcPr>
            <w:tcW w:w="4251"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rPr>
                <w:rFonts w:ascii="GHEA Grapalat" w:hAnsi="GHEA Grapalat" w:cs="Calibri"/>
                <w:sz w:val="18"/>
                <w:szCs w:val="18"/>
              </w:rPr>
            </w:pPr>
            <w:r w:rsidRPr="001F63BA">
              <w:rPr>
                <w:rFonts w:ascii="GHEA Grapalat" w:hAnsi="GHEA Grapalat" w:cs="Calibri"/>
                <w:sz w:val="18"/>
                <w:szCs w:val="18"/>
              </w:rPr>
              <w:t>ՀՀ կենտրոնական բանկի պարտք (արտաքին)</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219.8</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217.0</w:t>
            </w:r>
          </w:p>
        </w:tc>
        <w:tc>
          <w:tcPr>
            <w:tcW w:w="1619"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w:t>
            </w:r>
            <w:r w:rsidRPr="001F63BA">
              <w:rPr>
                <w:rFonts w:ascii="GHEA Grapalat" w:hAnsi="GHEA Grapalat" w:cs="Calibri"/>
                <w:sz w:val="18"/>
                <w:szCs w:val="18"/>
              </w:rPr>
              <w:t>2</w:t>
            </w:r>
            <w:r w:rsidRPr="001F63BA">
              <w:rPr>
                <w:rFonts w:ascii="GHEA Grapalat" w:hAnsi="GHEA Grapalat" w:cs="Calibri"/>
                <w:sz w:val="18"/>
                <w:szCs w:val="18"/>
                <w:lang w:val="en-US"/>
              </w:rPr>
              <w:t>.8)</w:t>
            </w:r>
          </w:p>
        </w:tc>
        <w:tc>
          <w:tcPr>
            <w:tcW w:w="1542"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(1.3)</w:t>
            </w:r>
          </w:p>
        </w:tc>
      </w:tr>
      <w:tr w:rsidR="001C411D" w:rsidRPr="001F63BA" w:rsidTr="009D2FDC">
        <w:trPr>
          <w:trHeight w:val="177"/>
        </w:trPr>
        <w:tc>
          <w:tcPr>
            <w:tcW w:w="4251" w:type="dxa"/>
            <w:tcBorders>
              <w:top w:val="single" w:sz="4" w:space="0" w:color="auto"/>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sz w:val="18"/>
                <w:szCs w:val="18"/>
              </w:rPr>
            </w:pPr>
            <w:r w:rsidRPr="001F63BA">
              <w:rPr>
                <w:rFonts w:ascii="GHEA Grapalat" w:hAnsi="GHEA Grapalat" w:cs="Calibri"/>
                <w:b/>
                <w:i/>
                <w:sz w:val="18"/>
                <w:szCs w:val="18"/>
              </w:rPr>
              <w:t>(մլն ԱՄՆ դոլար)</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center"/>
          </w:tcPr>
          <w:p w:rsidR="001C411D" w:rsidRPr="001F63BA" w:rsidRDefault="001C411D" w:rsidP="009D2FDC">
            <w:pPr>
              <w:spacing w:line="256" w:lineRule="auto"/>
              <w:jc w:val="center"/>
              <w:rPr>
                <w:rFonts w:ascii="GHEA Grapalat" w:hAnsi="GHEA Grapalat" w:cs="Calibri"/>
                <w:b/>
                <w:bCs/>
                <w:sz w:val="18"/>
                <w:szCs w:val="18"/>
              </w:rPr>
            </w:pPr>
          </w:p>
        </w:tc>
        <w:tc>
          <w:tcPr>
            <w:tcW w:w="1439" w:type="dxa"/>
            <w:tcBorders>
              <w:top w:val="single" w:sz="4" w:space="0" w:color="auto"/>
              <w:left w:val="single" w:sz="4" w:space="0" w:color="auto"/>
              <w:bottom w:val="single" w:sz="4" w:space="0" w:color="auto"/>
              <w:right w:val="single" w:sz="4" w:space="0" w:color="auto"/>
            </w:tcBorders>
            <w:shd w:val="clear" w:color="auto" w:fill="FFFFFF"/>
            <w:vAlign w:val="center"/>
          </w:tcPr>
          <w:p w:rsidR="001C411D" w:rsidRPr="001F63BA" w:rsidRDefault="001C411D" w:rsidP="009D2FDC">
            <w:pPr>
              <w:spacing w:line="256" w:lineRule="auto"/>
              <w:jc w:val="center"/>
              <w:rPr>
                <w:rFonts w:ascii="GHEA Grapalat" w:hAnsi="GHEA Grapalat" w:cs="Calibri"/>
                <w:b/>
                <w:bCs/>
                <w:sz w:val="18"/>
                <w:szCs w:val="18"/>
              </w:rPr>
            </w:pPr>
          </w:p>
        </w:tc>
        <w:tc>
          <w:tcPr>
            <w:tcW w:w="1619"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spacing w:line="256" w:lineRule="auto"/>
              <w:jc w:val="center"/>
              <w:rPr>
                <w:rFonts w:ascii="GHEA Grapalat" w:hAnsi="GHEA Grapalat" w:cs="Calibri"/>
                <w:b/>
                <w:bCs/>
                <w:sz w:val="18"/>
                <w:szCs w:val="18"/>
              </w:rPr>
            </w:pPr>
          </w:p>
        </w:tc>
        <w:tc>
          <w:tcPr>
            <w:tcW w:w="1542" w:type="dxa"/>
            <w:tcBorders>
              <w:top w:val="single" w:sz="4" w:space="0" w:color="auto"/>
              <w:left w:val="nil"/>
              <w:bottom w:val="single" w:sz="4" w:space="0" w:color="auto"/>
              <w:right w:val="single" w:sz="4" w:space="0" w:color="auto"/>
            </w:tcBorders>
            <w:shd w:val="clear" w:color="auto" w:fill="FFFFFF"/>
            <w:vAlign w:val="center"/>
          </w:tcPr>
          <w:p w:rsidR="001C411D" w:rsidRPr="001F63BA" w:rsidRDefault="001C411D" w:rsidP="009D2FDC">
            <w:pPr>
              <w:spacing w:line="256" w:lineRule="auto"/>
              <w:jc w:val="center"/>
              <w:rPr>
                <w:rFonts w:ascii="GHEA Grapalat" w:hAnsi="GHEA Grapalat" w:cs="Calibri"/>
                <w:b/>
                <w:bCs/>
                <w:sz w:val="18"/>
                <w:szCs w:val="18"/>
              </w:rPr>
            </w:pPr>
          </w:p>
        </w:tc>
      </w:tr>
      <w:tr w:rsidR="001C411D" w:rsidRPr="001F63BA" w:rsidTr="009D2FDC">
        <w:trPr>
          <w:trHeight w:val="271"/>
        </w:trPr>
        <w:tc>
          <w:tcPr>
            <w:tcW w:w="4251"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rPr>
                <w:rFonts w:ascii="GHEA Grapalat" w:hAnsi="GHEA Grapalat" w:cs="Calibri"/>
                <w:b/>
                <w:bCs/>
                <w:sz w:val="18"/>
                <w:szCs w:val="18"/>
              </w:rPr>
            </w:pPr>
            <w:r w:rsidRPr="001F63BA">
              <w:rPr>
                <w:rFonts w:ascii="GHEA Grapalat" w:hAnsi="GHEA Grapalat" w:cs="Calibri"/>
                <w:b/>
                <w:sz w:val="18"/>
                <w:szCs w:val="18"/>
              </w:rPr>
              <w:t>ՀՀ պետական պարտք</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b/>
                <w:bCs/>
                <w:sz w:val="18"/>
                <w:szCs w:val="18"/>
              </w:rPr>
            </w:pPr>
            <w:r w:rsidRPr="001F63BA">
              <w:rPr>
                <w:rFonts w:ascii="GHEA Grapalat" w:hAnsi="GHEA Grapalat" w:cs="Calibri"/>
                <w:b/>
                <w:bCs/>
                <w:sz w:val="18"/>
                <w:szCs w:val="18"/>
              </w:rPr>
              <w:t>9,225.6</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lang w:val="en-US"/>
              </w:rPr>
              <w:t>10,637.7</w:t>
            </w:r>
          </w:p>
        </w:tc>
        <w:tc>
          <w:tcPr>
            <w:tcW w:w="1619"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rPr>
              <w:t>1,</w:t>
            </w:r>
            <w:r w:rsidRPr="001F63BA">
              <w:rPr>
                <w:rFonts w:ascii="GHEA Grapalat" w:hAnsi="GHEA Grapalat" w:cs="Calibri"/>
                <w:b/>
                <w:bCs/>
                <w:sz w:val="18"/>
                <w:szCs w:val="18"/>
                <w:lang w:val="en-US"/>
              </w:rPr>
              <w:t>412.0</w:t>
            </w:r>
          </w:p>
        </w:tc>
        <w:tc>
          <w:tcPr>
            <w:tcW w:w="1542"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b/>
                <w:bCs/>
                <w:sz w:val="18"/>
                <w:szCs w:val="18"/>
                <w:lang w:val="en-US"/>
              </w:rPr>
            </w:pPr>
            <w:r w:rsidRPr="001F63BA">
              <w:rPr>
                <w:rFonts w:ascii="GHEA Grapalat" w:hAnsi="GHEA Grapalat" w:cs="Calibri"/>
                <w:b/>
                <w:bCs/>
                <w:sz w:val="18"/>
                <w:szCs w:val="18"/>
              </w:rPr>
              <w:t>15.</w:t>
            </w:r>
            <w:r w:rsidRPr="001F63BA">
              <w:rPr>
                <w:rFonts w:ascii="GHEA Grapalat" w:hAnsi="GHEA Grapalat" w:cs="Calibri"/>
                <w:b/>
                <w:bCs/>
                <w:sz w:val="18"/>
                <w:szCs w:val="18"/>
                <w:lang w:val="en-US"/>
              </w:rPr>
              <w:t>3</w:t>
            </w:r>
          </w:p>
        </w:tc>
      </w:tr>
      <w:tr w:rsidR="001C411D" w:rsidRPr="001F63BA" w:rsidTr="009D2FDC">
        <w:trPr>
          <w:trHeight w:val="262"/>
        </w:trPr>
        <w:tc>
          <w:tcPr>
            <w:tcW w:w="4251"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rPr>
                <w:rFonts w:ascii="GHEA Grapalat" w:hAnsi="GHEA Grapalat" w:cs="Calibri"/>
                <w:sz w:val="18"/>
                <w:szCs w:val="18"/>
              </w:rPr>
            </w:pPr>
            <w:r w:rsidRPr="001F63BA">
              <w:rPr>
                <w:rFonts w:ascii="GHEA Grapalat" w:hAnsi="GHEA Grapalat" w:cs="Calibri"/>
                <w:sz w:val="18"/>
                <w:szCs w:val="18"/>
              </w:rPr>
              <w:t>ՀՀ կառավարության պարտք, այդ թվում՝</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8,767.9</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10,086.4</w:t>
            </w:r>
          </w:p>
        </w:tc>
        <w:tc>
          <w:tcPr>
            <w:tcW w:w="1619"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rPr>
              <w:t>1,</w:t>
            </w:r>
            <w:r w:rsidRPr="001F63BA">
              <w:rPr>
                <w:rFonts w:ascii="GHEA Grapalat" w:hAnsi="GHEA Grapalat" w:cs="Calibri"/>
                <w:sz w:val="18"/>
                <w:szCs w:val="18"/>
                <w:lang w:val="en-US"/>
              </w:rPr>
              <w:t>318.4</w:t>
            </w:r>
          </w:p>
        </w:tc>
        <w:tc>
          <w:tcPr>
            <w:tcW w:w="1542"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15.0</w:t>
            </w:r>
          </w:p>
        </w:tc>
      </w:tr>
      <w:tr w:rsidR="001C411D" w:rsidRPr="001F63BA" w:rsidTr="009D2FDC">
        <w:trPr>
          <w:trHeight w:val="218"/>
        </w:trPr>
        <w:tc>
          <w:tcPr>
            <w:tcW w:w="4251" w:type="dxa"/>
            <w:tcBorders>
              <w:top w:val="nil"/>
              <w:left w:val="single" w:sz="4" w:space="0" w:color="auto"/>
              <w:bottom w:val="single" w:sz="4" w:space="0" w:color="auto"/>
              <w:right w:val="single" w:sz="4" w:space="0" w:color="auto"/>
            </w:tcBorders>
            <w:noWrap/>
          </w:tcPr>
          <w:p w:rsidR="001C411D" w:rsidRPr="001F63BA" w:rsidRDefault="001C411D" w:rsidP="00BB1B4B">
            <w:pPr>
              <w:pStyle w:val="ListParagraph"/>
              <w:numPr>
                <w:ilvl w:val="0"/>
                <w:numId w:val="27"/>
              </w:numPr>
              <w:tabs>
                <w:tab w:val="left" w:pos="459"/>
              </w:tabs>
              <w:spacing w:after="0" w:line="256" w:lineRule="auto"/>
              <w:ind w:left="34" w:firstLine="236"/>
              <w:rPr>
                <w:rFonts w:ascii="GHEA Grapalat" w:hAnsi="GHEA Grapalat"/>
                <w:sz w:val="18"/>
                <w:szCs w:val="18"/>
                <w:lang w:val="hy-AM"/>
              </w:rPr>
            </w:pPr>
            <w:r w:rsidRPr="001F63BA">
              <w:rPr>
                <w:rFonts w:ascii="GHEA Grapalat" w:hAnsi="GHEA Grapalat"/>
                <w:sz w:val="18"/>
                <w:szCs w:val="18"/>
                <w:lang w:val="hy-AM"/>
              </w:rPr>
              <w:t>ՀՀ կառավարության արտաքին պարտք</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6,190.7</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5,894.1</w:t>
            </w:r>
          </w:p>
        </w:tc>
        <w:tc>
          <w:tcPr>
            <w:tcW w:w="1619"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rPr>
            </w:pPr>
            <w:r w:rsidRPr="001F63BA">
              <w:rPr>
                <w:rFonts w:ascii="GHEA Grapalat" w:hAnsi="GHEA Grapalat" w:cs="Calibri"/>
                <w:sz w:val="18"/>
                <w:szCs w:val="18"/>
                <w:lang w:val="en-US"/>
              </w:rPr>
              <w:t>(296.6)</w:t>
            </w:r>
          </w:p>
        </w:tc>
        <w:tc>
          <w:tcPr>
            <w:tcW w:w="1542"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(4.8)</w:t>
            </w:r>
          </w:p>
        </w:tc>
      </w:tr>
      <w:tr w:rsidR="001C411D" w:rsidRPr="001F63BA" w:rsidTr="009D2FDC">
        <w:trPr>
          <w:trHeight w:val="207"/>
        </w:trPr>
        <w:tc>
          <w:tcPr>
            <w:tcW w:w="4251" w:type="dxa"/>
            <w:tcBorders>
              <w:top w:val="nil"/>
              <w:left w:val="single" w:sz="4" w:space="0" w:color="auto"/>
              <w:bottom w:val="single" w:sz="4" w:space="0" w:color="auto"/>
              <w:right w:val="single" w:sz="4" w:space="0" w:color="auto"/>
            </w:tcBorders>
            <w:noWrap/>
          </w:tcPr>
          <w:p w:rsidR="001C411D" w:rsidRPr="001F63BA" w:rsidRDefault="001C411D" w:rsidP="00BB1B4B">
            <w:pPr>
              <w:pStyle w:val="ListParagraph"/>
              <w:numPr>
                <w:ilvl w:val="0"/>
                <w:numId w:val="27"/>
              </w:numPr>
              <w:tabs>
                <w:tab w:val="left" w:pos="459"/>
              </w:tabs>
              <w:spacing w:after="0" w:line="256" w:lineRule="auto"/>
              <w:ind w:left="34" w:firstLine="236"/>
              <w:rPr>
                <w:rFonts w:ascii="GHEA Grapalat" w:hAnsi="GHEA Grapalat"/>
                <w:sz w:val="18"/>
                <w:szCs w:val="18"/>
                <w:lang w:val="hy-AM"/>
              </w:rPr>
            </w:pPr>
            <w:r w:rsidRPr="001F63BA">
              <w:rPr>
                <w:rFonts w:ascii="GHEA Grapalat" w:hAnsi="GHEA Grapalat"/>
                <w:sz w:val="18"/>
                <w:szCs w:val="18"/>
                <w:lang w:val="hy-AM"/>
              </w:rPr>
              <w:t>ՀՀ կառավարության ներքին պարտք</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2,577.2</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4,192.3</w:t>
            </w:r>
          </w:p>
        </w:tc>
        <w:tc>
          <w:tcPr>
            <w:tcW w:w="1619"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1,</w:t>
            </w:r>
            <w:r w:rsidRPr="001F63BA">
              <w:rPr>
                <w:rFonts w:ascii="GHEA Grapalat" w:hAnsi="GHEA Grapalat" w:cs="Calibri"/>
                <w:sz w:val="18"/>
                <w:szCs w:val="18"/>
              </w:rPr>
              <w:t>6</w:t>
            </w:r>
            <w:r w:rsidRPr="001F63BA">
              <w:rPr>
                <w:rFonts w:ascii="GHEA Grapalat" w:hAnsi="GHEA Grapalat" w:cs="Calibri"/>
                <w:sz w:val="18"/>
                <w:szCs w:val="18"/>
                <w:lang w:val="en-US"/>
              </w:rPr>
              <w:t>15.0</w:t>
            </w:r>
          </w:p>
        </w:tc>
        <w:tc>
          <w:tcPr>
            <w:tcW w:w="1542" w:type="dxa"/>
            <w:tcBorders>
              <w:top w:val="nil"/>
              <w:left w:val="nil"/>
              <w:bottom w:val="single" w:sz="4" w:space="0" w:color="auto"/>
              <w:right w:val="single" w:sz="4" w:space="0" w:color="auto"/>
            </w:tcBorders>
            <w:noWrap/>
          </w:tcPr>
          <w:p w:rsidR="001C411D" w:rsidRPr="001F63BA" w:rsidRDefault="001C411D" w:rsidP="002853C5">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62.7</w:t>
            </w:r>
          </w:p>
        </w:tc>
      </w:tr>
      <w:tr w:rsidR="001C411D" w:rsidRPr="001F63BA" w:rsidTr="009D2FDC">
        <w:trPr>
          <w:trHeight w:val="228"/>
        </w:trPr>
        <w:tc>
          <w:tcPr>
            <w:tcW w:w="4251"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rPr>
                <w:rFonts w:ascii="GHEA Grapalat" w:hAnsi="GHEA Grapalat" w:cs="Calibri"/>
                <w:sz w:val="18"/>
                <w:szCs w:val="18"/>
              </w:rPr>
            </w:pPr>
            <w:r w:rsidRPr="001F63BA">
              <w:rPr>
                <w:rFonts w:ascii="GHEA Grapalat" w:hAnsi="GHEA Grapalat" w:cs="Calibri"/>
                <w:sz w:val="18"/>
                <w:szCs w:val="18"/>
              </w:rPr>
              <w:t>ՀՀ կենտրոնական բանկի պարտք (արտաքին)</w:t>
            </w:r>
          </w:p>
        </w:tc>
        <w:tc>
          <w:tcPr>
            <w:tcW w:w="1349" w:type="dxa"/>
            <w:tcBorders>
              <w:top w:val="nil"/>
              <w:left w:val="single" w:sz="4" w:space="0" w:color="auto"/>
              <w:bottom w:val="single" w:sz="4" w:space="0" w:color="auto"/>
              <w:right w:val="single" w:sz="4" w:space="0" w:color="auto"/>
            </w:tcBorders>
          </w:tcPr>
          <w:p w:rsidR="001C411D" w:rsidRPr="001F63BA" w:rsidRDefault="001C411D" w:rsidP="009D2FDC">
            <w:pPr>
              <w:spacing w:line="256" w:lineRule="auto"/>
              <w:jc w:val="right"/>
              <w:rPr>
                <w:rFonts w:ascii="GHEA Grapalat" w:hAnsi="GHEA Grapalat" w:cs="Calibri"/>
                <w:sz w:val="18"/>
                <w:szCs w:val="18"/>
              </w:rPr>
            </w:pPr>
            <w:r w:rsidRPr="001F63BA">
              <w:rPr>
                <w:rFonts w:ascii="GHEA Grapalat" w:hAnsi="GHEA Grapalat" w:cs="Calibri"/>
                <w:sz w:val="18"/>
                <w:szCs w:val="18"/>
              </w:rPr>
              <w:t>457.7</w:t>
            </w:r>
          </w:p>
        </w:tc>
        <w:tc>
          <w:tcPr>
            <w:tcW w:w="1439" w:type="dxa"/>
            <w:tcBorders>
              <w:top w:val="nil"/>
              <w:left w:val="single" w:sz="4" w:space="0" w:color="auto"/>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551.3</w:t>
            </w:r>
          </w:p>
        </w:tc>
        <w:tc>
          <w:tcPr>
            <w:tcW w:w="1619"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93.6</w:t>
            </w:r>
          </w:p>
        </w:tc>
        <w:tc>
          <w:tcPr>
            <w:tcW w:w="1542" w:type="dxa"/>
            <w:tcBorders>
              <w:top w:val="nil"/>
              <w:left w:val="nil"/>
              <w:bottom w:val="single" w:sz="4" w:space="0" w:color="auto"/>
              <w:right w:val="single" w:sz="4" w:space="0" w:color="auto"/>
            </w:tcBorders>
            <w:noWrap/>
          </w:tcPr>
          <w:p w:rsidR="001C411D" w:rsidRPr="001F63BA" w:rsidRDefault="001C411D" w:rsidP="009D2FDC">
            <w:pPr>
              <w:spacing w:line="256" w:lineRule="auto"/>
              <w:jc w:val="right"/>
              <w:rPr>
                <w:rFonts w:ascii="GHEA Grapalat" w:hAnsi="GHEA Grapalat" w:cs="Calibri"/>
                <w:sz w:val="18"/>
                <w:szCs w:val="18"/>
                <w:lang w:val="en-US"/>
              </w:rPr>
            </w:pPr>
            <w:r w:rsidRPr="001F63BA">
              <w:rPr>
                <w:rFonts w:ascii="GHEA Grapalat" w:hAnsi="GHEA Grapalat" w:cs="Calibri"/>
                <w:sz w:val="18"/>
                <w:szCs w:val="18"/>
                <w:lang w:val="en-US"/>
              </w:rPr>
              <w:t>20.5</w:t>
            </w:r>
          </w:p>
        </w:tc>
      </w:tr>
    </w:tbl>
    <w:p w:rsidR="001C411D" w:rsidRPr="001F63BA" w:rsidRDefault="001C411D" w:rsidP="001D4583">
      <w:pPr>
        <w:autoSpaceDE w:val="0"/>
        <w:autoSpaceDN w:val="0"/>
        <w:adjustRightInd w:val="0"/>
        <w:spacing w:line="360" w:lineRule="auto"/>
        <w:ind w:firstLine="567"/>
        <w:jc w:val="both"/>
        <w:rPr>
          <w:rFonts w:ascii="GHEA Grapalat" w:hAnsi="GHEA Grapalat"/>
          <w:sz w:val="22"/>
          <w:szCs w:val="22"/>
          <w:lang w:val="en-US"/>
        </w:rPr>
      </w:pPr>
    </w:p>
    <w:p w:rsidR="001C411D" w:rsidRPr="001F63BA" w:rsidRDefault="001C411D" w:rsidP="0011717A">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202</w:t>
      </w:r>
      <w:r w:rsidRPr="001F63BA">
        <w:rPr>
          <w:rFonts w:ascii="GHEA Grapalat" w:hAnsi="GHEA Grapalat"/>
          <w:sz w:val="22"/>
          <w:szCs w:val="22"/>
          <w:lang w:val="en-US"/>
        </w:rPr>
        <w:t>2</w:t>
      </w:r>
      <w:r w:rsidRPr="001F63BA">
        <w:rPr>
          <w:rFonts w:ascii="GHEA Grapalat" w:hAnsi="GHEA Grapalat"/>
          <w:sz w:val="22"/>
          <w:szCs w:val="22"/>
        </w:rPr>
        <w:t xml:space="preserve"> թվականի դեկտեմբերի 31-ի դրությամբ ՀՀ պետական պարտքը նախորդ տարվա համեմատությամբ դրամային արտահայտությամբ նվազել է 242.9 մլրդ դրամով, իսկ դոլարային արտահայտությամբ աճել է 1,412.0 մլն ԱՄՆ դոլարով: Դոլարային արտահայտությամբ ՀՀ պետական պարտքի աճը հիմնականում պայմանավորված է </w:t>
      </w:r>
      <w:r w:rsidR="00166616" w:rsidRPr="001F63BA">
        <w:rPr>
          <w:rFonts w:ascii="GHEA Grapalat" w:hAnsi="GHEA Grapalat"/>
          <w:sz w:val="22"/>
          <w:szCs w:val="22"/>
        </w:rPr>
        <w:t>Կառավարությ</w:t>
      </w:r>
      <w:r w:rsidRPr="001F63BA">
        <w:rPr>
          <w:rFonts w:ascii="GHEA Grapalat" w:hAnsi="GHEA Grapalat"/>
          <w:sz w:val="22"/>
          <w:szCs w:val="22"/>
        </w:rPr>
        <w:t>ան պարտքի 1,318.4</w:t>
      </w:r>
      <w:r w:rsidRPr="001F63BA">
        <w:rPr>
          <w:rFonts w:ascii="Courier New" w:hAnsi="Courier New" w:cs="Courier New"/>
          <w:sz w:val="22"/>
          <w:szCs w:val="22"/>
          <w:lang w:val="en-US"/>
        </w:rPr>
        <w:t> </w:t>
      </w:r>
      <w:r w:rsidRPr="001F63BA">
        <w:rPr>
          <w:rFonts w:ascii="GHEA Grapalat" w:hAnsi="GHEA Grapalat"/>
          <w:sz w:val="22"/>
          <w:szCs w:val="22"/>
        </w:rPr>
        <w:t xml:space="preserve">մլն ԱՄՆ դոլար աճով: ՀՀ </w:t>
      </w:r>
      <w:r w:rsidRPr="001F63BA">
        <w:rPr>
          <w:rFonts w:ascii="GHEA Grapalat" w:hAnsi="GHEA Grapalat"/>
          <w:sz w:val="22"/>
          <w:szCs w:val="22"/>
          <w:lang w:val="en-US"/>
        </w:rPr>
        <w:t>ԿԲ</w:t>
      </w:r>
      <w:r w:rsidRPr="001F63BA">
        <w:rPr>
          <w:rFonts w:ascii="GHEA Grapalat" w:hAnsi="GHEA Grapalat"/>
          <w:sz w:val="22"/>
          <w:szCs w:val="22"/>
        </w:rPr>
        <w:t xml:space="preserve"> արտաքին պարտքի աճը կազմել է 93.6 մլն ԱՄՆ դոլար: </w:t>
      </w:r>
    </w:p>
    <w:p w:rsidR="001C411D" w:rsidRPr="001F63BA" w:rsidRDefault="001C411D" w:rsidP="0011717A">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2022 թվականի դեկտեմբերի 31-ի դրությամբ ՀՀ պետական պարտքը կազմել է ՀՆԱ-ի 49.3%</w:t>
      </w:r>
      <w:r w:rsidRPr="001F63BA">
        <w:rPr>
          <w:rFonts w:ascii="GHEA Grapalat" w:hAnsi="GHEA Grapalat"/>
          <w:sz w:val="22"/>
          <w:szCs w:val="22"/>
        </w:rPr>
        <w:noBreakHyphen/>
        <w:t>ը՝ նախորդ տարվա համեմատ նվազելով 14.2 տոկոսային կետով: Ընդ որում</w:t>
      </w:r>
      <w:r w:rsidRPr="001F63BA">
        <w:rPr>
          <w:rFonts w:ascii="GHEA Grapalat" w:hAnsi="GHEA Grapalat"/>
          <w:sz w:val="22"/>
          <w:szCs w:val="22"/>
          <w:lang w:val="en-US"/>
        </w:rPr>
        <w:t>,</w:t>
      </w:r>
      <w:r w:rsidRPr="001F63BA">
        <w:rPr>
          <w:rFonts w:ascii="GHEA Grapalat" w:hAnsi="GHEA Grapalat"/>
          <w:sz w:val="22"/>
          <w:szCs w:val="22"/>
        </w:rPr>
        <w:t xml:space="preserve"> </w:t>
      </w:r>
      <w:r w:rsidR="00166616" w:rsidRPr="001F63BA">
        <w:rPr>
          <w:rFonts w:ascii="GHEA Grapalat" w:hAnsi="GHEA Grapalat"/>
          <w:sz w:val="22"/>
          <w:szCs w:val="22"/>
        </w:rPr>
        <w:t>Կառավարությ</w:t>
      </w:r>
      <w:r w:rsidRPr="001F63BA">
        <w:rPr>
          <w:rFonts w:ascii="GHEA Grapalat" w:hAnsi="GHEA Grapalat"/>
          <w:sz w:val="22"/>
          <w:szCs w:val="22"/>
        </w:rPr>
        <w:t>ան պարտքը կազմել է ՀՆԱ-ի 46.7%-ը՝ նախորդ տարվա համեմատ նվազելով 13.6 տոկոսային կետով։</w:t>
      </w:r>
    </w:p>
    <w:p w:rsidR="001C411D" w:rsidRPr="001F63BA" w:rsidRDefault="001C411D" w:rsidP="001D4583">
      <w:pPr>
        <w:autoSpaceDE w:val="0"/>
        <w:autoSpaceDN w:val="0"/>
        <w:adjustRightInd w:val="0"/>
        <w:spacing w:line="360" w:lineRule="auto"/>
        <w:ind w:firstLine="567"/>
        <w:jc w:val="both"/>
        <w:rPr>
          <w:rFonts w:ascii="GHEA Grapalat" w:hAnsi="GHEA Grapalat"/>
          <w:sz w:val="22"/>
          <w:szCs w:val="22"/>
          <w:lang w:val="en-US"/>
        </w:rPr>
      </w:pPr>
    </w:p>
    <w:p w:rsidR="001C411D" w:rsidRPr="001F63BA" w:rsidRDefault="001C411D" w:rsidP="00D508BE">
      <w:pPr>
        <w:pStyle w:val="a"/>
      </w:pPr>
      <w:r w:rsidRPr="001F63BA">
        <w:lastRenderedPageBreak/>
        <w:t>ՀՀ պետական պարտքը 2020-2022թթ. (մլրդ դրամ)</w:t>
      </w:r>
    </w:p>
    <w:p w:rsidR="001C411D" w:rsidRPr="001F63BA" w:rsidRDefault="009A358E" w:rsidP="001D4583">
      <w:pPr>
        <w:autoSpaceDE w:val="0"/>
        <w:autoSpaceDN w:val="0"/>
        <w:adjustRightInd w:val="0"/>
        <w:spacing w:line="360" w:lineRule="auto"/>
        <w:jc w:val="both"/>
        <w:rPr>
          <w:rFonts w:ascii="GHEA Grapalat" w:hAnsi="GHEA Grapalat"/>
          <w:sz w:val="22"/>
          <w:szCs w:val="22"/>
          <w:lang w:val="en-US"/>
        </w:rPr>
      </w:pPr>
      <w:r w:rsidRPr="001F63BA">
        <w:rPr>
          <w:rFonts w:ascii="GHEA Grapalat" w:hAnsi="GHEA Grapalat"/>
          <w:sz w:val="22"/>
          <w:szCs w:val="22"/>
          <w:lang w:val="en-US"/>
        </w:rPr>
        <w:drawing>
          <wp:inline distT="0" distB="0" distL="0" distR="0" wp14:anchorId="46A22444" wp14:editId="55562CB4">
            <wp:extent cx="6591300" cy="3819525"/>
            <wp:effectExtent l="0" t="0" r="0" b="0"/>
            <wp:docPr id="64" name="Object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1C411D" w:rsidRPr="001F63BA" w:rsidRDefault="001C411D" w:rsidP="001D4583">
      <w:pPr>
        <w:autoSpaceDE w:val="0"/>
        <w:autoSpaceDN w:val="0"/>
        <w:adjustRightInd w:val="0"/>
        <w:spacing w:line="360" w:lineRule="auto"/>
        <w:ind w:firstLine="567"/>
        <w:jc w:val="both"/>
        <w:rPr>
          <w:rFonts w:ascii="GHEA Grapalat" w:hAnsi="GHEA Grapalat"/>
          <w:sz w:val="22"/>
          <w:szCs w:val="22"/>
          <w:lang w:val="en-US"/>
        </w:rPr>
      </w:pPr>
    </w:p>
    <w:p w:rsidR="001C411D" w:rsidRPr="001F63BA" w:rsidRDefault="001C411D" w:rsidP="00640EB7">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դեկտեմբերի 31-ի դրությամբ ՀՀ արտաքին պետական պարտքը նախորդ տարեվերջի համեմատությամբ նվազել է </w:t>
      </w:r>
      <w:r w:rsidRPr="001F63BA">
        <w:rPr>
          <w:rFonts w:ascii="GHEA Grapalat" w:hAnsi="GHEA Grapalat"/>
          <w:sz w:val="22"/>
          <w:szCs w:val="22"/>
          <w:lang w:val="en-US"/>
        </w:rPr>
        <w:t>203.0</w:t>
      </w:r>
      <w:r w:rsidRPr="001F63BA">
        <w:rPr>
          <w:rFonts w:ascii="GHEA Grapalat" w:hAnsi="GHEA Grapalat"/>
          <w:sz w:val="22"/>
          <w:szCs w:val="22"/>
        </w:rPr>
        <w:t xml:space="preserve"> մլն ԱՄՆ դոլարով (</w:t>
      </w:r>
      <w:r w:rsidRPr="001F63BA">
        <w:rPr>
          <w:rFonts w:ascii="GHEA Grapalat" w:hAnsi="GHEA Grapalat"/>
          <w:sz w:val="22"/>
          <w:szCs w:val="22"/>
          <w:lang w:val="en-US"/>
        </w:rPr>
        <w:t>3.1</w:t>
      </w:r>
      <w:r w:rsidRPr="001F63BA">
        <w:rPr>
          <w:rFonts w:ascii="GHEA Grapalat" w:hAnsi="GHEA Grapalat"/>
          <w:sz w:val="22"/>
          <w:szCs w:val="22"/>
        </w:rPr>
        <w:t>%-ով), և դրա տեսակարար կշիռը ՀՀ պետական պարտքի կառուցվածքում նվազել է՝ 72.1%-ից հասնելով 6</w:t>
      </w:r>
      <w:r w:rsidRPr="001F63BA">
        <w:rPr>
          <w:rFonts w:ascii="GHEA Grapalat" w:hAnsi="GHEA Grapalat"/>
          <w:sz w:val="22"/>
          <w:szCs w:val="22"/>
          <w:lang w:val="en-US"/>
        </w:rPr>
        <w:t>0.6</w:t>
      </w:r>
      <w:r w:rsidRPr="001F63BA">
        <w:rPr>
          <w:rFonts w:ascii="GHEA Grapalat" w:hAnsi="GHEA Grapalat"/>
          <w:sz w:val="22"/>
          <w:szCs w:val="22"/>
        </w:rPr>
        <w:t xml:space="preserve">%-ի: Ընդ որում, </w:t>
      </w:r>
      <w:r w:rsidR="00166616" w:rsidRPr="001F63BA">
        <w:rPr>
          <w:rFonts w:ascii="GHEA Grapalat" w:hAnsi="GHEA Grapalat"/>
          <w:sz w:val="22"/>
          <w:szCs w:val="22"/>
        </w:rPr>
        <w:t>Կառավարությ</w:t>
      </w:r>
      <w:r w:rsidRPr="001F63BA">
        <w:rPr>
          <w:rFonts w:ascii="GHEA Grapalat" w:hAnsi="GHEA Grapalat"/>
          <w:sz w:val="22"/>
          <w:szCs w:val="22"/>
        </w:rPr>
        <w:t>ան արտաքին պարտքը նվազել է</w:t>
      </w:r>
      <w:r w:rsidRPr="001F63BA">
        <w:rPr>
          <w:rFonts w:ascii="GHEA Grapalat" w:hAnsi="GHEA Grapalat"/>
          <w:sz w:val="22"/>
          <w:szCs w:val="22"/>
          <w:lang w:val="en-US"/>
        </w:rPr>
        <w:t xml:space="preserve"> 296.6</w:t>
      </w:r>
      <w:r w:rsidRPr="001F63BA">
        <w:rPr>
          <w:rFonts w:ascii="GHEA Grapalat" w:hAnsi="GHEA Grapalat"/>
          <w:sz w:val="22"/>
          <w:szCs w:val="22"/>
        </w:rPr>
        <w:t xml:space="preserve"> մլն ԱՄՆ դոլարով, իսկ ՀՀ </w:t>
      </w:r>
      <w:r w:rsidRPr="001F63BA">
        <w:rPr>
          <w:rFonts w:ascii="GHEA Grapalat" w:hAnsi="GHEA Grapalat"/>
          <w:sz w:val="22"/>
          <w:szCs w:val="22"/>
          <w:lang w:val="en-US"/>
        </w:rPr>
        <w:t>ԿԲ</w:t>
      </w:r>
      <w:r w:rsidRPr="001F63BA">
        <w:rPr>
          <w:rFonts w:ascii="GHEA Grapalat" w:hAnsi="GHEA Grapalat"/>
          <w:sz w:val="22"/>
          <w:szCs w:val="22"/>
        </w:rPr>
        <w:t xml:space="preserve"> արտաքին պարտքն աճել է </w:t>
      </w:r>
      <w:r w:rsidRPr="001F63BA">
        <w:rPr>
          <w:rFonts w:ascii="GHEA Grapalat" w:hAnsi="GHEA Grapalat"/>
          <w:sz w:val="22"/>
          <w:szCs w:val="22"/>
          <w:lang w:val="en-US"/>
        </w:rPr>
        <w:t>93.6</w:t>
      </w:r>
      <w:r w:rsidRPr="001F63BA">
        <w:rPr>
          <w:rFonts w:ascii="GHEA Grapalat" w:hAnsi="GHEA Grapalat"/>
          <w:sz w:val="22"/>
          <w:szCs w:val="22"/>
        </w:rPr>
        <w:t xml:space="preserve"> մլն ԱՄՆ դոլարով:</w:t>
      </w:r>
    </w:p>
    <w:p w:rsidR="001C411D" w:rsidRPr="001F63BA" w:rsidRDefault="001C411D" w:rsidP="001D4583">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Արտաքի</w:t>
      </w:r>
      <w:r w:rsidR="00166616" w:rsidRPr="001F63BA">
        <w:rPr>
          <w:rFonts w:ascii="GHEA Grapalat" w:hAnsi="GHEA Grapalat"/>
          <w:sz w:val="22"/>
          <w:szCs w:val="22"/>
        </w:rPr>
        <w:t>ն պետական պարտքի հիմնական մասը Կառավարությ</w:t>
      </w:r>
      <w:r w:rsidRPr="001F63BA">
        <w:rPr>
          <w:rFonts w:ascii="GHEA Grapalat" w:hAnsi="GHEA Grapalat"/>
          <w:sz w:val="22"/>
          <w:szCs w:val="22"/>
        </w:rPr>
        <w:t>ան պարտավորություններն են: Կառավարության արտաքին պարտքի բաղադրիչներն են՝</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 xml:space="preserve">արտաքին վարկերը և փոխառությունները, որոնց ծավալը կազմել է </w:t>
      </w:r>
      <w:r w:rsidRPr="001F63BA">
        <w:rPr>
          <w:rFonts w:ascii="GHEA Grapalat" w:hAnsi="GHEA Grapalat" w:cs="GHEA Grapalat"/>
          <w:sz w:val="22"/>
          <w:szCs w:val="22"/>
          <w:lang w:val="en-US"/>
        </w:rPr>
        <w:t>1,772.6</w:t>
      </w:r>
      <w:r w:rsidRPr="001F63BA">
        <w:rPr>
          <w:rFonts w:ascii="GHEA Grapalat" w:hAnsi="GHEA Grapalat" w:cs="GHEA Grapalat"/>
          <w:sz w:val="22"/>
          <w:szCs w:val="22"/>
        </w:rPr>
        <w:t xml:space="preserve"> մլրդ դրամ, </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 xml:space="preserve">ոչ ռեզիդենտների կողմից ձեռք բերված պետական գանձապետական պարտատոմսերը, որոնց ծավալը կազմել է </w:t>
      </w:r>
      <w:r w:rsidRPr="001F63BA">
        <w:rPr>
          <w:rFonts w:ascii="GHEA Grapalat" w:hAnsi="GHEA Grapalat" w:cs="GHEA Grapalat"/>
          <w:sz w:val="22"/>
          <w:szCs w:val="22"/>
          <w:lang w:val="en-US"/>
        </w:rPr>
        <w:t>44.0</w:t>
      </w:r>
      <w:r w:rsidRPr="001F63BA">
        <w:rPr>
          <w:rFonts w:ascii="GHEA Grapalat" w:hAnsi="GHEA Grapalat" w:cs="GHEA Grapalat"/>
          <w:sz w:val="22"/>
          <w:szCs w:val="22"/>
        </w:rPr>
        <w:t xml:space="preserve"> մլրդ դրամ, </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 xml:space="preserve">ոչ ռեզիդենտների կողմից ձեռք բերված արտարժութային պետական պարտատոմսերը, որոնց ծավալը կազմել է </w:t>
      </w:r>
      <w:r w:rsidRPr="001F63BA">
        <w:rPr>
          <w:rFonts w:ascii="GHEA Grapalat" w:hAnsi="GHEA Grapalat" w:cs="GHEA Grapalat"/>
          <w:sz w:val="22"/>
          <w:szCs w:val="22"/>
          <w:lang w:val="en-US"/>
        </w:rPr>
        <w:t>500.2</w:t>
      </w:r>
      <w:r w:rsidRPr="001F63BA">
        <w:rPr>
          <w:rFonts w:ascii="GHEA Grapalat" w:hAnsi="GHEA Grapalat" w:cs="GHEA Grapalat"/>
          <w:sz w:val="22"/>
          <w:szCs w:val="22"/>
        </w:rPr>
        <w:t xml:space="preserve"> մլրդ դրամ,</w:t>
      </w:r>
    </w:p>
    <w:p w:rsidR="001C411D" w:rsidRPr="001F63BA" w:rsidRDefault="00166616"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Կառավարությ</w:t>
      </w:r>
      <w:r w:rsidR="001C411D" w:rsidRPr="001F63BA">
        <w:rPr>
          <w:rFonts w:ascii="GHEA Grapalat" w:hAnsi="GHEA Grapalat" w:cs="GHEA Grapalat"/>
          <w:sz w:val="22"/>
          <w:szCs w:val="22"/>
        </w:rPr>
        <w:t xml:space="preserve">ան կողմից տրամադրված արտաքին երաշխիքները, որոնց ծավալը կազմել է </w:t>
      </w:r>
      <w:r w:rsidR="001C411D" w:rsidRPr="001F63BA">
        <w:rPr>
          <w:rFonts w:ascii="GHEA Grapalat" w:hAnsi="GHEA Grapalat" w:cs="GHEA Grapalat"/>
          <w:sz w:val="22"/>
          <w:szCs w:val="22"/>
          <w:lang w:val="en-US"/>
        </w:rPr>
        <w:t>2.9</w:t>
      </w:r>
      <w:r w:rsidR="001C411D" w:rsidRPr="001F63BA">
        <w:rPr>
          <w:rFonts w:ascii="Courier New" w:hAnsi="Courier New" w:cs="Courier New"/>
          <w:sz w:val="22"/>
          <w:szCs w:val="22"/>
        </w:rPr>
        <w:t> </w:t>
      </w:r>
      <w:r w:rsidR="001C411D" w:rsidRPr="001F63BA">
        <w:rPr>
          <w:rFonts w:ascii="GHEA Grapalat" w:hAnsi="GHEA Grapalat" w:cs="GHEA Grapalat"/>
          <w:sz w:val="22"/>
          <w:szCs w:val="22"/>
        </w:rPr>
        <w:t>մլրդ դրամ:</w:t>
      </w:r>
    </w:p>
    <w:p w:rsidR="001C411D" w:rsidRPr="001F63BA" w:rsidRDefault="001C411D" w:rsidP="001D4583">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վերջի դրությամբ արտաքին պետական պարտքի զուտ ներկա արժեքի ցուցանիշն (ԶՆԱ) աճել է` 2021 թվականի 5,687.8 մլն ԱՄՆ դոլարի դիմաց կազմելով 5,848.7 մլն ԱՄՆ </w:t>
      </w:r>
      <w:r w:rsidRPr="001F63BA">
        <w:rPr>
          <w:rFonts w:ascii="GHEA Grapalat" w:hAnsi="GHEA Grapalat"/>
          <w:sz w:val="22"/>
          <w:szCs w:val="22"/>
        </w:rPr>
        <w:lastRenderedPageBreak/>
        <w:t xml:space="preserve">դոլար: ԶՆԱ/ՀՆԱ հարաբերակցությունը նվազել է 11 տոկոսային կետով՝ կազմելով 30%, ԶՆԱ/արտահանում ցուցանիշը </w:t>
      </w:r>
      <w:r w:rsidRPr="001F63BA">
        <w:rPr>
          <w:rFonts w:ascii="GHEA Grapalat" w:hAnsi="GHEA Grapalat"/>
          <w:sz w:val="22"/>
          <w:szCs w:val="22"/>
          <w:lang w:val="en-US"/>
        </w:rPr>
        <w:t>նույնպես նվազել է՝ 53.2 տոկոսային կետով՝ կազմելով 60.3%</w:t>
      </w:r>
      <w:r w:rsidRPr="001F63BA">
        <w:rPr>
          <w:rFonts w:ascii="GHEA Grapalat" w:hAnsi="GHEA Grapalat"/>
          <w:sz w:val="22"/>
          <w:szCs w:val="22"/>
        </w:rPr>
        <w:t>:</w:t>
      </w:r>
    </w:p>
    <w:p w:rsidR="001C411D" w:rsidRPr="001F63BA" w:rsidRDefault="001C411D" w:rsidP="001D4583">
      <w:pPr>
        <w:autoSpaceDE w:val="0"/>
        <w:autoSpaceDN w:val="0"/>
        <w:adjustRightInd w:val="0"/>
        <w:spacing w:line="360" w:lineRule="auto"/>
        <w:ind w:firstLine="567"/>
        <w:jc w:val="both"/>
        <w:rPr>
          <w:rFonts w:ascii="GHEA Grapalat" w:hAnsi="GHEA Grapalat"/>
          <w:sz w:val="22"/>
          <w:szCs w:val="22"/>
        </w:rPr>
      </w:pPr>
      <w:r w:rsidRPr="001F63BA">
        <w:rPr>
          <w:rFonts w:ascii="GHEA Grapalat" w:hAnsi="GHEA Grapalat"/>
          <w:sz w:val="22"/>
          <w:szCs w:val="22"/>
        </w:rPr>
        <w:t>202</w:t>
      </w:r>
      <w:r w:rsidRPr="001F63BA">
        <w:rPr>
          <w:rFonts w:ascii="GHEA Grapalat" w:hAnsi="GHEA Grapalat"/>
          <w:sz w:val="22"/>
          <w:szCs w:val="22"/>
          <w:lang w:val="en-US"/>
        </w:rPr>
        <w:t>2</w:t>
      </w:r>
      <w:r w:rsidRPr="001F63BA">
        <w:rPr>
          <w:rFonts w:ascii="GHEA Grapalat" w:hAnsi="GHEA Grapalat"/>
          <w:sz w:val="22"/>
          <w:szCs w:val="22"/>
        </w:rPr>
        <w:t xml:space="preserve"> թվականի դեկտեմբերի 31-ի դրությամբ ՀՀ ներքին պետական պարտքը նախորդ տարեվերջի համեմատ աճել է 41</w:t>
      </w:r>
      <w:r w:rsidRPr="001F63BA">
        <w:rPr>
          <w:rFonts w:ascii="GHEA Grapalat" w:hAnsi="GHEA Grapalat"/>
          <w:sz w:val="22"/>
          <w:szCs w:val="22"/>
          <w:lang w:val="en-US"/>
        </w:rPr>
        <w:t>2.5</w:t>
      </w:r>
      <w:r w:rsidRPr="001F63BA">
        <w:rPr>
          <w:rFonts w:ascii="GHEA Grapalat" w:hAnsi="GHEA Grapalat"/>
          <w:sz w:val="22"/>
          <w:szCs w:val="22"/>
        </w:rPr>
        <w:t xml:space="preserve"> մլրդ դրամով (33.</w:t>
      </w:r>
      <w:r w:rsidRPr="001F63BA">
        <w:rPr>
          <w:rFonts w:ascii="GHEA Grapalat" w:hAnsi="GHEA Grapalat"/>
          <w:sz w:val="22"/>
          <w:szCs w:val="22"/>
          <w:lang w:val="en-US"/>
        </w:rPr>
        <w:t>3</w:t>
      </w:r>
      <w:r w:rsidRPr="001F63BA">
        <w:rPr>
          <w:rFonts w:ascii="GHEA Grapalat" w:hAnsi="GHEA Grapalat"/>
          <w:sz w:val="22"/>
          <w:szCs w:val="22"/>
        </w:rPr>
        <w:t>%-ով), և դրա տեսակարար կշիռը ՀՀ պետական պարտքի կառուցվածքում աճել է՝ 27.9%-ից հասնելով 39.4%-ի: Կառավարության ներքին պարտքի բաղադրիչներն են՝</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ռեզիդենտների կողմից ձեռք բերված պետական գանձապետական պարտատոմսերը, որոնց ծավալը կազմել է 1,</w:t>
      </w:r>
      <w:r w:rsidRPr="001F63BA">
        <w:rPr>
          <w:rFonts w:ascii="GHEA Grapalat" w:hAnsi="GHEA Grapalat" w:cs="GHEA Grapalat"/>
          <w:sz w:val="22"/>
          <w:szCs w:val="22"/>
          <w:lang w:val="en-US"/>
        </w:rPr>
        <w:t>452.3</w:t>
      </w:r>
      <w:r w:rsidRPr="001F63BA">
        <w:rPr>
          <w:rFonts w:ascii="GHEA Grapalat" w:hAnsi="GHEA Grapalat" w:cs="GHEA Grapalat"/>
          <w:sz w:val="22"/>
          <w:szCs w:val="22"/>
        </w:rPr>
        <w:t xml:space="preserve"> մլրդ դրամ, </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 xml:space="preserve">ռեզիդենտների կողմից ձեռք բերված արտարժութային պետական պարտատոմսերը, որոնց ծավալը կազմել է </w:t>
      </w:r>
      <w:r w:rsidRPr="001F63BA">
        <w:rPr>
          <w:rFonts w:ascii="GHEA Grapalat" w:hAnsi="GHEA Grapalat" w:cs="GHEA Grapalat"/>
          <w:iCs/>
          <w:sz w:val="22"/>
          <w:szCs w:val="22"/>
          <w:lang w:val="en-US"/>
        </w:rPr>
        <w:t>188.5</w:t>
      </w:r>
      <w:r w:rsidRPr="001F63BA">
        <w:rPr>
          <w:rFonts w:ascii="GHEA Grapalat" w:hAnsi="GHEA Grapalat" w:cs="GHEA Grapalat"/>
          <w:iCs/>
          <w:sz w:val="22"/>
          <w:szCs w:val="22"/>
        </w:rPr>
        <w:t xml:space="preserve"> </w:t>
      </w:r>
      <w:r w:rsidRPr="001F63BA">
        <w:rPr>
          <w:rFonts w:ascii="GHEA Grapalat" w:hAnsi="GHEA Grapalat" w:cs="GHEA Grapalat"/>
          <w:sz w:val="22"/>
          <w:szCs w:val="22"/>
        </w:rPr>
        <w:t>մլրդ դրամ,</w:t>
      </w:r>
    </w:p>
    <w:p w:rsidR="001C411D" w:rsidRPr="001F63BA" w:rsidRDefault="001C411D" w:rsidP="00BB1B4B">
      <w:pPr>
        <w:numPr>
          <w:ilvl w:val="0"/>
          <w:numId w:val="32"/>
        </w:numPr>
        <w:tabs>
          <w:tab w:val="left" w:pos="851"/>
        </w:tabs>
        <w:spacing w:line="360" w:lineRule="auto"/>
        <w:ind w:left="0" w:firstLine="567"/>
        <w:jc w:val="both"/>
        <w:rPr>
          <w:rFonts w:ascii="GHEA Grapalat" w:hAnsi="GHEA Grapalat" w:cs="GHEA Grapalat"/>
          <w:sz w:val="22"/>
          <w:szCs w:val="22"/>
        </w:rPr>
      </w:pPr>
      <w:r w:rsidRPr="001F63BA">
        <w:rPr>
          <w:rFonts w:ascii="GHEA Grapalat" w:hAnsi="GHEA Grapalat" w:cs="GHEA Grapalat"/>
          <w:sz w:val="22"/>
          <w:szCs w:val="22"/>
        </w:rPr>
        <w:t xml:space="preserve">ներքին երաշխիքներ, որոնց ծավալը կազմել է </w:t>
      </w:r>
      <w:r w:rsidRPr="001F63BA">
        <w:rPr>
          <w:rFonts w:ascii="GHEA Grapalat" w:hAnsi="GHEA Grapalat" w:cs="GHEA Grapalat"/>
          <w:sz w:val="22"/>
          <w:szCs w:val="22"/>
          <w:lang w:val="en-US"/>
        </w:rPr>
        <w:t>9.2</w:t>
      </w:r>
      <w:r w:rsidRPr="001F63BA">
        <w:rPr>
          <w:rFonts w:ascii="GHEA Grapalat" w:hAnsi="GHEA Grapalat" w:cs="GHEA Grapalat"/>
          <w:sz w:val="22"/>
          <w:szCs w:val="22"/>
        </w:rPr>
        <w:t xml:space="preserve"> մլրդ դրամ:</w:t>
      </w:r>
    </w:p>
    <w:p w:rsidR="001C411D" w:rsidRPr="001F63BA" w:rsidRDefault="001C411D" w:rsidP="004B7DF2">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 xml:space="preserve">2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w:t>
      </w:r>
      <w:r w:rsidRPr="001F63BA">
        <w:rPr>
          <w:rFonts w:ascii="GHEA Grapalat" w:hAnsi="GHEA Grapalat" w:cs="GHEA Grapalat"/>
          <w:sz w:val="22"/>
          <w:szCs w:val="22"/>
        </w:rPr>
        <w:t xml:space="preserve"> դեկտեմբերի 31-ի դրությամբ շրջանառության մեջ գտնվող արտարժութային պետական պարտատոմսերի ծավալ</w:t>
      </w:r>
      <w:r w:rsidRPr="001F63BA">
        <w:rPr>
          <w:rFonts w:ascii="GHEA Grapalat" w:hAnsi="GHEA Grapalat" w:cs="GHEA Grapalat"/>
          <w:sz w:val="22"/>
          <w:szCs w:val="22"/>
          <w:lang w:val="en-US"/>
        </w:rPr>
        <w:t>ը</w:t>
      </w:r>
      <w:r w:rsidRPr="001F63BA">
        <w:rPr>
          <w:rFonts w:ascii="GHEA Grapalat" w:hAnsi="GHEA Grapalat" w:cs="GHEA Grapalat"/>
          <w:sz w:val="22"/>
          <w:szCs w:val="22"/>
        </w:rPr>
        <w:t xml:space="preserve"> կազմել</w:t>
      </w:r>
      <w:r w:rsidRPr="001F63BA">
        <w:rPr>
          <w:rFonts w:ascii="GHEA Grapalat" w:hAnsi="GHEA Grapalat" w:cs="GHEA Grapalat"/>
          <w:sz w:val="22"/>
          <w:szCs w:val="22"/>
          <w:lang w:val="en-US"/>
        </w:rPr>
        <w:t xml:space="preserve"> է</w:t>
      </w:r>
      <w:r w:rsidRPr="001F63BA">
        <w:rPr>
          <w:rFonts w:ascii="GHEA Grapalat" w:hAnsi="GHEA Grapalat" w:cs="GHEA Grapalat"/>
          <w:sz w:val="22"/>
          <w:szCs w:val="22"/>
        </w:rPr>
        <w:t xml:space="preserve"> 1,750.000 մլն ԱՄՆ դոլար, որից`</w:t>
      </w:r>
    </w:p>
    <w:p w:rsidR="001C411D" w:rsidRPr="001F63BA" w:rsidRDefault="001C411D" w:rsidP="00BB1B4B">
      <w:pPr>
        <w:numPr>
          <w:ilvl w:val="0"/>
          <w:numId w:val="33"/>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F63BA">
        <w:rPr>
          <w:rFonts w:ascii="GHEA Grapalat" w:hAnsi="GHEA Grapalat"/>
          <w:sz w:val="22"/>
          <w:szCs w:val="22"/>
          <w:lang w:val="nb-NO"/>
        </w:rPr>
        <w:t>500 մլն ԱՄՆ դոլարը` 2025թ. մարման ենթակա 7.15% արժեկտրոնային եկամտաբերությամբ պարտատոմսերը,</w:t>
      </w:r>
    </w:p>
    <w:p w:rsidR="001C411D" w:rsidRPr="001F63BA" w:rsidRDefault="001C411D" w:rsidP="00BB1B4B">
      <w:pPr>
        <w:numPr>
          <w:ilvl w:val="0"/>
          <w:numId w:val="33"/>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F63BA">
        <w:rPr>
          <w:rFonts w:ascii="GHEA Grapalat" w:hAnsi="GHEA Grapalat"/>
          <w:sz w:val="22"/>
          <w:szCs w:val="22"/>
          <w:lang w:val="nb-NO"/>
        </w:rPr>
        <w:t>500 մլն ԱՄՆ դոլարը` 2029թ. մարման ենթակա 3.95% արժեկտրոնային եկամտաբերությամբ պարտատոմսերը,</w:t>
      </w:r>
    </w:p>
    <w:p w:rsidR="001C411D" w:rsidRPr="001F63BA" w:rsidRDefault="001C411D" w:rsidP="00BB1B4B">
      <w:pPr>
        <w:numPr>
          <w:ilvl w:val="0"/>
          <w:numId w:val="33"/>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1F63BA">
        <w:rPr>
          <w:rFonts w:ascii="GHEA Grapalat" w:hAnsi="GHEA Grapalat"/>
          <w:sz w:val="22"/>
          <w:szCs w:val="22"/>
          <w:lang w:val="nb-NO"/>
        </w:rPr>
        <w:t>750 մլն ԱՄՆ դոլարը` 2031թ. մարման ենթակա 3.60% արժեկտրոնային եկամտաբերությամբ պարտատոմսերը:</w:t>
      </w:r>
    </w:p>
    <w:p w:rsidR="001C411D" w:rsidRPr="001F63BA" w:rsidRDefault="001C411D" w:rsidP="004B7DF2">
      <w:pPr>
        <w:autoSpaceDE w:val="0"/>
        <w:autoSpaceDN w:val="0"/>
        <w:adjustRightInd w:val="0"/>
        <w:spacing w:line="360" w:lineRule="auto"/>
        <w:ind w:firstLine="567"/>
        <w:jc w:val="both"/>
        <w:rPr>
          <w:rFonts w:ascii="GHEA Grapalat" w:hAnsi="GHEA Grapalat" w:cs="GHEA Grapalat"/>
          <w:sz w:val="22"/>
          <w:szCs w:val="22"/>
        </w:rPr>
      </w:pPr>
      <w:r w:rsidRPr="001F63BA">
        <w:rPr>
          <w:rFonts w:ascii="GHEA Grapalat" w:hAnsi="GHEA Grapalat" w:cs="GHEA Grapalat"/>
          <w:sz w:val="22"/>
          <w:szCs w:val="22"/>
        </w:rPr>
        <w:t>202</w:t>
      </w:r>
      <w:r w:rsidRPr="001F63BA">
        <w:rPr>
          <w:rFonts w:ascii="GHEA Grapalat" w:hAnsi="GHEA Grapalat" w:cs="GHEA Grapalat"/>
          <w:sz w:val="22"/>
          <w:szCs w:val="22"/>
          <w:lang w:val="en-US"/>
        </w:rPr>
        <w:t xml:space="preserve">2 </w:t>
      </w:r>
      <w:r w:rsidRPr="001F63BA">
        <w:rPr>
          <w:rFonts w:ascii="GHEA Grapalat" w:hAnsi="GHEA Grapalat" w:cs="GHEA Grapalat"/>
          <w:sz w:val="22"/>
          <w:szCs w:val="22"/>
        </w:rPr>
        <w:t>թ</w:t>
      </w:r>
      <w:r w:rsidRPr="001F63BA">
        <w:rPr>
          <w:rFonts w:ascii="GHEA Grapalat" w:hAnsi="GHEA Grapalat" w:cs="GHEA Grapalat"/>
          <w:sz w:val="22"/>
          <w:szCs w:val="22"/>
          <w:lang w:val="en-US"/>
        </w:rPr>
        <w:t>վականի</w:t>
      </w:r>
      <w:r w:rsidRPr="001F63BA">
        <w:rPr>
          <w:rFonts w:ascii="GHEA Grapalat" w:hAnsi="GHEA Grapalat" w:cs="GHEA Grapalat"/>
          <w:sz w:val="22"/>
          <w:szCs w:val="22"/>
        </w:rPr>
        <w:t xml:space="preserve"> դեկտեմբերի 31-ի դրությամբ շրջանառության մեջ գտնվող արտարժութային պետական պարտատոմսերի </w:t>
      </w:r>
      <w:r w:rsidRPr="001F63BA">
        <w:rPr>
          <w:rFonts w:ascii="GHEA Grapalat" w:hAnsi="GHEA Grapalat" w:cs="GHEA Grapalat"/>
          <w:sz w:val="22"/>
          <w:szCs w:val="22"/>
          <w:lang w:val="en-US"/>
        </w:rPr>
        <w:t>27.4</w:t>
      </w:r>
      <w:r w:rsidRPr="001F63BA">
        <w:rPr>
          <w:rFonts w:ascii="GHEA Grapalat" w:hAnsi="GHEA Grapalat" w:cs="GHEA Grapalat"/>
          <w:sz w:val="22"/>
          <w:szCs w:val="22"/>
        </w:rPr>
        <w:t>%-ը (</w:t>
      </w:r>
      <w:r w:rsidRPr="001F63BA">
        <w:rPr>
          <w:rFonts w:ascii="GHEA Grapalat" w:hAnsi="GHEA Grapalat" w:cs="GHEA Grapalat"/>
          <w:sz w:val="22"/>
          <w:szCs w:val="22"/>
          <w:lang w:val="en-US"/>
        </w:rPr>
        <w:t>479.0</w:t>
      </w:r>
      <w:r w:rsidRPr="001F63BA">
        <w:rPr>
          <w:rFonts w:ascii="GHEA Grapalat" w:hAnsi="GHEA Grapalat" w:cs="GHEA Grapalat"/>
          <w:sz w:val="22"/>
          <w:szCs w:val="22"/>
        </w:rPr>
        <w:t xml:space="preserve"> մլն ԱՄՆ դոլար) գտնվել է ռեզիդենտների մոտ, և այս ցուցանիշը նախորդ տարվա համեմատությամբ աճել է </w:t>
      </w:r>
      <w:r w:rsidRPr="001F63BA">
        <w:rPr>
          <w:rFonts w:ascii="GHEA Grapalat" w:hAnsi="GHEA Grapalat" w:cs="GHEA Grapalat"/>
          <w:sz w:val="22"/>
          <w:szCs w:val="22"/>
          <w:lang w:val="en-US"/>
        </w:rPr>
        <w:t>18.2</w:t>
      </w:r>
      <w:r w:rsidRPr="001F63BA">
        <w:rPr>
          <w:rFonts w:ascii="GHEA Grapalat" w:hAnsi="GHEA Grapalat" w:cs="GHEA Grapalat"/>
          <w:sz w:val="22"/>
          <w:szCs w:val="22"/>
        </w:rPr>
        <w:t xml:space="preserve"> տոկոսային կետով:</w:t>
      </w:r>
      <w:bookmarkStart w:id="286" w:name="_GoBack"/>
      <w:bookmarkEnd w:id="286"/>
    </w:p>
    <w:sectPr w:rsidR="001C411D" w:rsidRPr="001F63BA" w:rsidSect="00A41AD1">
      <w:headerReference w:type="default" r:id="rId89"/>
      <w:pgSz w:w="11909" w:h="16834" w:code="9"/>
      <w:pgMar w:top="1134" w:right="567" w:bottom="567"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85D" w:rsidRDefault="00A6585D">
      <w:r>
        <w:separator/>
      </w:r>
    </w:p>
  </w:endnote>
  <w:endnote w:type="continuationSeparator" w:id="0">
    <w:p w:rsidR="00A6585D" w:rsidRDefault="00A6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Times New Roman"/>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Liberation Sans">
    <w:altName w:val="Arial"/>
    <w:charset w:val="01"/>
    <w:family w:val="roman"/>
    <w:pitch w:val="variable"/>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auto"/>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elvetica Neue">
    <w:altName w:val="Times New Roman"/>
    <w:charset w:val="00"/>
    <w:family w:val="auto"/>
    <w:pitch w:val="default"/>
  </w:font>
  <w:font w:name="Liberation Serif">
    <w:altName w:val="Times New Roman"/>
    <w:charset w:val="01"/>
    <w:family w:val="roman"/>
    <w:pitch w:val="variable"/>
  </w:font>
  <w:font w:name="Lohit Devanagari">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Browallia New">
    <w:charset w:val="00"/>
    <w:family w:val="swiss"/>
    <w:pitch w:val="variable"/>
    <w:sig w:usb0="81000003" w:usb1="00000000" w:usb2="00000000" w:usb3="00000000" w:csb0="00010001"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FB" w:rsidRPr="00EF1F9A" w:rsidRDefault="008333FB">
    <w:pPr>
      <w:pStyle w:val="Footer"/>
      <w:jc w:val="right"/>
      <w:rPr>
        <w:rFonts w:ascii="GHEA Grapalat" w:hAnsi="GHEA Grapalat"/>
        <w:sz w:val="22"/>
        <w:szCs w:val="22"/>
      </w:rPr>
    </w:pPr>
    <w:r w:rsidRPr="00EF1F9A">
      <w:rPr>
        <w:rFonts w:ascii="GHEA Grapalat" w:hAnsi="GHEA Grapalat"/>
        <w:sz w:val="22"/>
        <w:szCs w:val="22"/>
      </w:rPr>
      <w:fldChar w:fldCharType="begin"/>
    </w:r>
    <w:r w:rsidRPr="00EF1F9A">
      <w:rPr>
        <w:rFonts w:ascii="GHEA Grapalat" w:hAnsi="GHEA Grapalat"/>
        <w:sz w:val="22"/>
        <w:szCs w:val="22"/>
      </w:rPr>
      <w:instrText xml:space="preserve"> PAGE   \* MERGEFORMAT </w:instrText>
    </w:r>
    <w:r w:rsidRPr="00EF1F9A">
      <w:rPr>
        <w:rFonts w:ascii="GHEA Grapalat" w:hAnsi="GHEA Grapalat"/>
        <w:sz w:val="22"/>
        <w:szCs w:val="22"/>
      </w:rPr>
      <w:fldChar w:fldCharType="separate"/>
    </w:r>
    <w:r w:rsidR="00676596">
      <w:rPr>
        <w:rFonts w:ascii="GHEA Grapalat" w:hAnsi="GHEA Grapalat"/>
        <w:sz w:val="22"/>
        <w:szCs w:val="22"/>
      </w:rPr>
      <w:t>327</w:t>
    </w:r>
    <w:r w:rsidRPr="00EF1F9A">
      <w:rPr>
        <w:rFonts w:ascii="GHEA Grapalat" w:hAnsi="GHEA Grapalat"/>
        <w:sz w:val="22"/>
        <w:szCs w:val="22"/>
      </w:rPr>
      <w:fldChar w:fldCharType="end"/>
    </w:r>
  </w:p>
  <w:p w:rsidR="008333FB" w:rsidRDefault="008333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85D" w:rsidRDefault="00A6585D">
      <w:r>
        <w:separator/>
      </w:r>
    </w:p>
  </w:footnote>
  <w:footnote w:type="continuationSeparator" w:id="0">
    <w:p w:rsidR="00A6585D" w:rsidRDefault="00A6585D">
      <w:r>
        <w:continuationSeparator/>
      </w:r>
    </w:p>
  </w:footnote>
  <w:footnote w:id="1">
    <w:p w:rsidR="00AD7A3B" w:rsidRDefault="00AD7A3B" w:rsidP="00CF62B8">
      <w:pPr>
        <w:pStyle w:val="FootnoteText"/>
        <w:jc w:val="both"/>
      </w:pPr>
      <w:r w:rsidRPr="00CF62B8">
        <w:rPr>
          <w:rStyle w:val="FootnoteReference"/>
          <w:rFonts w:ascii="GHEA Grapalat" w:hAnsi="GHEA Grapalat"/>
          <w:sz w:val="18"/>
          <w:szCs w:val="18"/>
        </w:rPr>
        <w:footnoteRef/>
      </w:r>
      <w:r>
        <w:rPr>
          <w:rFonts w:ascii="GHEA Grapalat" w:hAnsi="GHEA Grapalat"/>
          <w:sz w:val="18"/>
          <w:szCs w:val="18"/>
        </w:rPr>
        <w:t xml:space="preserve"> </w:t>
      </w:r>
      <w:r w:rsidRPr="00CF62B8">
        <w:rPr>
          <w:rFonts w:ascii="GHEA Grapalat" w:hAnsi="GHEA Grapalat"/>
          <w:sz w:val="18"/>
          <w:szCs w:val="18"/>
          <w:lang w:val="en-US"/>
        </w:rPr>
        <w:t>Հաշվետվության մեջ ներկայացված ցուցանիշների հանրագումարների և դրանց բաղադրիչների</w:t>
      </w:r>
      <w:r>
        <w:rPr>
          <w:rFonts w:ascii="GHEA Grapalat" w:hAnsi="GHEA Grapalat"/>
          <w:sz w:val="18"/>
          <w:szCs w:val="18"/>
          <w:lang w:val="en-US"/>
        </w:rPr>
        <w:t xml:space="preserve"> միջև շեղում</w:t>
      </w:r>
      <w:r w:rsidRPr="00CF62B8">
        <w:rPr>
          <w:rFonts w:ascii="GHEA Grapalat" w:hAnsi="GHEA Grapalat"/>
          <w:sz w:val="18"/>
          <w:szCs w:val="18"/>
          <w:lang w:val="en-US"/>
        </w:rPr>
        <w:t>ները պայմանավորված են կլորացումներով:</w:t>
      </w:r>
    </w:p>
  </w:footnote>
  <w:footnote w:id="2">
    <w:p w:rsidR="00AD7A3B" w:rsidRDefault="00AD7A3B">
      <w:pPr>
        <w:pStyle w:val="FootnoteText"/>
      </w:pPr>
      <w:r w:rsidRPr="00CD3430">
        <w:rPr>
          <w:rStyle w:val="FootnoteReference"/>
          <w:rFonts w:ascii="GHEA Grapalat" w:hAnsi="GHEA Grapalat"/>
          <w:sz w:val="18"/>
          <w:szCs w:val="18"/>
        </w:rPr>
        <w:footnoteRef/>
      </w:r>
      <w:r w:rsidRPr="00CD3430">
        <w:rPr>
          <w:rFonts w:ascii="GHEA Grapalat" w:hAnsi="GHEA Grapalat"/>
          <w:sz w:val="18"/>
          <w:szCs w:val="18"/>
        </w:rPr>
        <w:t xml:space="preserve"> </w:t>
      </w:r>
      <w:r w:rsidRPr="00CD3430">
        <w:rPr>
          <w:rFonts w:ascii="GHEA Grapalat" w:hAnsi="GHEA Grapalat"/>
          <w:sz w:val="18"/>
          <w:szCs w:val="18"/>
          <w:lang w:val="en-US"/>
        </w:rPr>
        <w:t>2022 թվականի կանխատեսումների վերանայումները ներկայացված են հետևյալ տեղեկանքում՝</w:t>
      </w:r>
      <w:r>
        <w:rPr>
          <w:rFonts w:ascii="GHEA Grapalat" w:hAnsi="GHEA Grapalat"/>
          <w:sz w:val="18"/>
          <w:szCs w:val="18"/>
          <w:lang w:val="en-US"/>
        </w:rPr>
        <w:t xml:space="preserve"> </w:t>
      </w:r>
      <w:hyperlink r:id="rId1" w:history="1">
        <w:r w:rsidRPr="00CD3430">
          <w:rPr>
            <w:rStyle w:val="Hyperlink"/>
            <w:rFonts w:ascii="GHEA Grapalat" w:hAnsi="GHEA Grapalat"/>
            <w:sz w:val="18"/>
            <w:szCs w:val="18"/>
            <w:lang w:val="en-US"/>
          </w:rPr>
          <w:t>5.Տեղեկանքներ\19.Մակրոտնտեսական և հարկաբյուջետային ցուցանիշներ.docx</w:t>
        </w:r>
      </w:hyperlink>
    </w:p>
  </w:footnote>
  <w:footnote w:id="3">
    <w:p w:rsidR="00AD7A3B" w:rsidRDefault="00AD7A3B" w:rsidP="00B02330">
      <w:pPr>
        <w:pStyle w:val="FootnoteText"/>
        <w:jc w:val="both"/>
      </w:pPr>
      <w:r w:rsidRPr="00B02330">
        <w:rPr>
          <w:rStyle w:val="FootnoteReference"/>
          <w:rFonts w:ascii="GHEA Grapalat" w:hAnsi="GHEA Grapalat"/>
          <w:sz w:val="18"/>
          <w:szCs w:val="18"/>
        </w:rPr>
        <w:footnoteRef/>
      </w:r>
      <w:r w:rsidRPr="00B02330">
        <w:rPr>
          <w:rFonts w:ascii="GHEA Grapalat" w:hAnsi="GHEA Grapalat"/>
          <w:sz w:val="18"/>
          <w:szCs w:val="18"/>
        </w:rPr>
        <w:t xml:space="preserve"> Մեկ շնչին ընկնող ՀՆԱ-ն կանխատեսումներում հաշվարկվել է</w:t>
      </w:r>
      <w:r>
        <w:rPr>
          <w:rFonts w:ascii="GHEA Grapalat" w:hAnsi="GHEA Grapalat"/>
          <w:sz w:val="18"/>
          <w:szCs w:val="18"/>
          <w:lang w:val="en-US"/>
        </w:rPr>
        <w:t>՝</w:t>
      </w:r>
      <w:r w:rsidRPr="00B02330">
        <w:rPr>
          <w:rFonts w:ascii="GHEA Grapalat" w:hAnsi="GHEA Grapalat"/>
          <w:sz w:val="18"/>
          <w:szCs w:val="18"/>
        </w:rPr>
        <w:t xml:space="preserve"> հիմք ընդունելով տվյալ տարվա հունվարի 1-ի դրությամբ մշտական բնակչության թվաքանակը։</w:t>
      </w:r>
    </w:p>
  </w:footnote>
  <w:footnote w:id="4">
    <w:p w:rsidR="008333FB" w:rsidRDefault="008333FB" w:rsidP="00831FE6">
      <w:pPr>
        <w:pStyle w:val="FootnoteText"/>
        <w:jc w:val="both"/>
      </w:pPr>
      <w:r w:rsidRPr="00D326A2">
        <w:rPr>
          <w:rStyle w:val="FootnoteReference"/>
          <w:rFonts w:ascii="GHEA Grapalat" w:hAnsi="GHEA Grapalat"/>
          <w:sz w:val="18"/>
          <w:szCs w:val="18"/>
        </w:rPr>
        <w:footnoteRef/>
      </w:r>
      <w:r w:rsidRPr="00D326A2">
        <w:rPr>
          <w:rFonts w:ascii="GHEA Grapalat" w:hAnsi="GHEA Grapalat"/>
          <w:sz w:val="18"/>
          <w:szCs w:val="18"/>
        </w:rPr>
        <w:t xml:space="preserve"> </w:t>
      </w:r>
      <w:r w:rsidRPr="00D326A2">
        <w:rPr>
          <w:rFonts w:ascii="GHEA Grapalat" w:hAnsi="GHEA Grapalat"/>
          <w:sz w:val="18"/>
          <w:szCs w:val="18"/>
          <w:lang w:val="en-US"/>
        </w:rPr>
        <w:t>ՓՄՁ պետական աջակցության 2022թ. ծրագրի կատարման հաշվետվությունը ներկայացված է հետևյալ հավելվածում՝</w:t>
      </w:r>
      <w:r>
        <w:rPr>
          <w:rFonts w:ascii="GHEA Grapalat" w:hAnsi="GHEA Grapalat"/>
          <w:sz w:val="18"/>
          <w:szCs w:val="18"/>
          <w:lang w:val="en-US"/>
        </w:rPr>
        <w:t xml:space="preserve"> </w:t>
      </w:r>
      <w:hyperlink r:id="rId2" w:history="1">
        <w:r w:rsidRPr="00D326A2">
          <w:rPr>
            <w:rStyle w:val="Hyperlink"/>
            <w:rFonts w:ascii="GHEA Grapalat" w:hAnsi="GHEA Grapalat"/>
            <w:sz w:val="18"/>
            <w:szCs w:val="18"/>
            <w:lang w:val="en-US"/>
          </w:rPr>
          <w:t>4.Հավելվածներ\16.Հավելված N11_ՓՄՁ.doc</w:t>
        </w:r>
      </w:hyperlink>
      <w:r w:rsidRPr="00D326A2">
        <w:rPr>
          <w:rFonts w:ascii="GHEA Grapalat" w:hAnsi="GHEA Grapalat"/>
          <w:sz w:val="18"/>
          <w:szCs w:val="18"/>
          <w:lang w:val="en-US"/>
        </w:rPr>
        <w:t>:</w:t>
      </w:r>
    </w:p>
  </w:footnote>
  <w:footnote w:id="5">
    <w:p w:rsidR="008333FB" w:rsidRDefault="008333FB" w:rsidP="00F704F2">
      <w:pPr>
        <w:pStyle w:val="FootnoteText"/>
        <w:jc w:val="both"/>
      </w:pPr>
      <w:r w:rsidRPr="00D326A2">
        <w:rPr>
          <w:rStyle w:val="FootnoteReference"/>
          <w:rFonts w:ascii="GHEA Grapalat" w:hAnsi="GHEA Grapalat"/>
          <w:sz w:val="18"/>
          <w:szCs w:val="18"/>
        </w:rPr>
        <w:footnoteRef/>
      </w:r>
      <w:r w:rsidRPr="00D326A2">
        <w:rPr>
          <w:rFonts w:ascii="GHEA Grapalat" w:hAnsi="GHEA Grapalat"/>
          <w:sz w:val="18"/>
          <w:szCs w:val="18"/>
        </w:rPr>
        <w:t xml:space="preserve"> </w:t>
      </w:r>
      <w:r w:rsidRPr="00D326A2">
        <w:rPr>
          <w:rFonts w:ascii="GHEA Grapalat" w:hAnsi="GHEA Grapalat"/>
          <w:sz w:val="18"/>
          <w:szCs w:val="18"/>
          <w:lang w:val="en-US"/>
        </w:rPr>
        <w:t>ՀՀ 2022թ. զբոսաշրջության զարգացման պետական ծրագրի կատարման հաշվետվությունը ներկայացված է հետևյալ տեղեկանքում՝</w:t>
      </w:r>
      <w:r>
        <w:rPr>
          <w:rFonts w:ascii="GHEA Grapalat" w:hAnsi="GHEA Grapalat"/>
          <w:sz w:val="18"/>
          <w:szCs w:val="18"/>
          <w:lang w:val="en-US"/>
        </w:rPr>
        <w:t xml:space="preserve"> </w:t>
      </w:r>
      <w:hyperlink r:id="rId3" w:history="1">
        <w:r w:rsidRPr="00D326A2">
          <w:rPr>
            <w:rStyle w:val="Hyperlink"/>
            <w:rFonts w:ascii="GHEA Grapalat" w:hAnsi="GHEA Grapalat"/>
            <w:sz w:val="18"/>
            <w:szCs w:val="18"/>
            <w:lang w:val="en-US"/>
          </w:rPr>
          <w:t>5.Տեղեկանքներ\16.Զբոսաշրջություն.doc</w:t>
        </w:r>
      </w:hyperlink>
      <w:r>
        <w:rPr>
          <w:rFonts w:ascii="GHEA Grapalat" w:hAnsi="GHEA Grapalat"/>
          <w:sz w:val="18"/>
          <w:szCs w:val="18"/>
          <w:lang w:val="en-US"/>
        </w:rPr>
        <w:t>:</w:t>
      </w:r>
    </w:p>
  </w:footnote>
  <w:footnote w:id="6">
    <w:p w:rsidR="008333FB" w:rsidRDefault="008333FB" w:rsidP="00E61457">
      <w:pPr>
        <w:pStyle w:val="FootnoteText"/>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Աղբյուրը՝ Տնտեսական վերլուծությունների բյուրո, </w:t>
      </w:r>
      <w:hyperlink r:id="rId4" w:history="1">
        <w:r w:rsidRPr="00E309DA">
          <w:rPr>
            <w:rStyle w:val="Hyperlink"/>
            <w:rFonts w:ascii="GHEA Grapalat" w:hAnsi="GHEA Grapalat"/>
            <w:sz w:val="18"/>
            <w:szCs w:val="18"/>
          </w:rPr>
          <w:t>https://www.bea.gov/</w:t>
        </w:r>
      </w:hyperlink>
      <w:r w:rsidRPr="00E309DA">
        <w:rPr>
          <w:rFonts w:ascii="GHEA Grapalat" w:hAnsi="GHEA Grapalat"/>
          <w:sz w:val="18"/>
          <w:szCs w:val="18"/>
        </w:rPr>
        <w:t xml:space="preserve"> </w:t>
      </w:r>
    </w:p>
  </w:footnote>
  <w:footnote w:id="7">
    <w:p w:rsidR="008333FB" w:rsidRDefault="008333FB" w:rsidP="00E61457">
      <w:pPr>
        <w:pStyle w:val="FootnoteText"/>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Աղբյուրը՝ Եվրոստատ, </w:t>
      </w:r>
      <w:hyperlink r:id="rId5" w:history="1">
        <w:r w:rsidRPr="00E309DA">
          <w:rPr>
            <w:rStyle w:val="Hyperlink"/>
            <w:rFonts w:ascii="GHEA Grapalat" w:hAnsi="GHEA Grapalat"/>
            <w:sz w:val="18"/>
            <w:szCs w:val="18"/>
          </w:rPr>
          <w:t>https://ec.europa.eu/eurostat/</w:t>
        </w:r>
      </w:hyperlink>
      <w:r w:rsidRPr="00E309DA">
        <w:rPr>
          <w:rFonts w:ascii="GHEA Grapalat" w:hAnsi="GHEA Grapalat"/>
          <w:sz w:val="18"/>
          <w:szCs w:val="18"/>
        </w:rPr>
        <w:t xml:space="preserve"> </w:t>
      </w:r>
    </w:p>
  </w:footnote>
  <w:footnote w:id="8">
    <w:p w:rsidR="008333FB" w:rsidRDefault="008333FB" w:rsidP="00E61457">
      <w:pPr>
        <w:pStyle w:val="FootnoteText"/>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Աղբյուրը՝ Չինաստանի վիճակագրության ազգային բյուրո, </w:t>
      </w:r>
      <w:hyperlink r:id="rId6" w:history="1">
        <w:r w:rsidRPr="00E309DA">
          <w:rPr>
            <w:rStyle w:val="Hyperlink"/>
            <w:rFonts w:ascii="GHEA Grapalat" w:hAnsi="GHEA Grapalat"/>
            <w:sz w:val="18"/>
            <w:szCs w:val="18"/>
          </w:rPr>
          <w:t>http://www.stats.gov.cn/</w:t>
        </w:r>
      </w:hyperlink>
      <w:r w:rsidRPr="00E309DA">
        <w:rPr>
          <w:rFonts w:ascii="GHEA Grapalat" w:hAnsi="GHEA Grapalat"/>
          <w:sz w:val="18"/>
          <w:szCs w:val="18"/>
        </w:rPr>
        <w:t xml:space="preserve"> </w:t>
      </w:r>
    </w:p>
  </w:footnote>
  <w:footnote w:id="9">
    <w:p w:rsidR="008333FB" w:rsidRDefault="008333FB" w:rsidP="00E61457">
      <w:pPr>
        <w:pStyle w:val="FootnoteText"/>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Աղբյուրը՝ Պետական վիճակագրության դաշնային ծառայություն, </w:t>
      </w:r>
      <w:hyperlink r:id="rId7" w:history="1">
        <w:r w:rsidRPr="00E309DA">
          <w:rPr>
            <w:rStyle w:val="Hyperlink"/>
            <w:rFonts w:ascii="GHEA Grapalat" w:hAnsi="GHEA Grapalat"/>
            <w:sz w:val="18"/>
            <w:szCs w:val="18"/>
          </w:rPr>
          <w:t>https://rosstat.gov.ru/</w:t>
        </w:r>
      </w:hyperlink>
      <w:r w:rsidRPr="00E309DA">
        <w:rPr>
          <w:rFonts w:ascii="GHEA Grapalat" w:hAnsi="GHEA Grapalat"/>
          <w:sz w:val="18"/>
          <w:szCs w:val="18"/>
        </w:rPr>
        <w:t xml:space="preserve"> </w:t>
      </w:r>
    </w:p>
  </w:footnote>
  <w:footnote w:id="10">
    <w:p w:rsidR="008333FB" w:rsidRDefault="008333FB" w:rsidP="00E61457">
      <w:pPr>
        <w:pStyle w:val="FootnoteText"/>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ԱՄՆ համար դիտարկվել է դաշնային ֆոնդերի արդյունավետ տոկոսադրույքը, ԵԳ՝ հիմնական վերաֆինան</w:t>
      </w:r>
      <w:r w:rsidRPr="00E309DA">
        <w:rPr>
          <w:rFonts w:ascii="GHEA Grapalat" w:hAnsi="GHEA Grapalat"/>
          <w:sz w:val="18"/>
          <w:szCs w:val="18"/>
          <w:lang w:val="en-US"/>
        </w:rPr>
        <w:t>-</w:t>
      </w:r>
      <w:r w:rsidRPr="00E309DA">
        <w:rPr>
          <w:rFonts w:ascii="GHEA Grapalat" w:hAnsi="GHEA Grapalat"/>
          <w:sz w:val="18"/>
          <w:szCs w:val="18"/>
        </w:rPr>
        <w:t>սավորման տոկոսադրույքը, Չինաստան՝ վարկավորման մեկ տարվա տոկոսադրույք (</w:t>
      </w:r>
      <w:r w:rsidRPr="00E309DA">
        <w:rPr>
          <w:rFonts w:ascii="GHEA Grapalat" w:hAnsi="GHEA Grapalat" w:cs="Arial"/>
          <w:color w:val="000000"/>
          <w:sz w:val="18"/>
          <w:szCs w:val="18"/>
          <w:shd w:val="clear" w:color="auto" w:fill="FFFFFF"/>
        </w:rPr>
        <w:t>one-year loan prime rate</w:t>
      </w:r>
      <w:r w:rsidRPr="00E309DA">
        <w:rPr>
          <w:rFonts w:ascii="GHEA Grapalat" w:hAnsi="GHEA Grapalat"/>
          <w:sz w:val="18"/>
          <w:szCs w:val="18"/>
        </w:rPr>
        <w:t>), ՌԴ՝ հիմնական տոկոսադրույքը:</w:t>
      </w:r>
    </w:p>
  </w:footnote>
  <w:footnote w:id="11">
    <w:p w:rsidR="008333FB" w:rsidRDefault="008333FB" w:rsidP="00E61457">
      <w:pPr>
        <w:pStyle w:val="FootnoteText"/>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Աղբյուրը՝ Համաշխարհային բանկ, </w:t>
      </w:r>
      <w:hyperlink r:id="rId8" w:history="1">
        <w:r w:rsidRPr="00E309DA">
          <w:rPr>
            <w:rStyle w:val="Hyperlink"/>
            <w:rFonts w:ascii="GHEA Grapalat" w:hAnsi="GHEA Grapalat"/>
            <w:sz w:val="18"/>
            <w:szCs w:val="18"/>
          </w:rPr>
          <w:t>https://www.worldbank.org/en/research/commodity-markets</w:t>
        </w:r>
      </w:hyperlink>
      <w:r w:rsidRPr="00E309DA">
        <w:rPr>
          <w:rFonts w:ascii="GHEA Grapalat" w:hAnsi="GHEA Grapalat"/>
          <w:sz w:val="18"/>
          <w:szCs w:val="18"/>
        </w:rPr>
        <w:t xml:space="preserve"> </w:t>
      </w:r>
    </w:p>
  </w:footnote>
  <w:footnote w:id="12">
    <w:p w:rsidR="008333FB" w:rsidRPr="004821AA" w:rsidRDefault="008333FB" w:rsidP="00E71112">
      <w:pPr>
        <w:pStyle w:val="FootnoteText"/>
        <w:rPr>
          <w:rFonts w:ascii="GHEA Grapalat" w:hAnsi="GHEA Grapalat"/>
          <w:sz w:val="18"/>
          <w:szCs w:val="18"/>
        </w:rPr>
      </w:pPr>
      <w:r w:rsidRPr="004821AA">
        <w:rPr>
          <w:rStyle w:val="FootnoteReference"/>
          <w:rFonts w:ascii="GHEA Grapalat" w:hAnsi="GHEA Grapalat"/>
          <w:sz w:val="18"/>
          <w:szCs w:val="18"/>
        </w:rPr>
        <w:footnoteRef/>
      </w:r>
      <w:r w:rsidRPr="004821AA">
        <w:rPr>
          <w:rFonts w:ascii="GHEA Grapalat" w:hAnsi="GHEA Grapalat"/>
          <w:sz w:val="18"/>
          <w:szCs w:val="18"/>
        </w:rPr>
        <w:t xml:space="preserve"> Աղբյուրը՝ Համաշխարհային բանկ, </w:t>
      </w:r>
      <w:hyperlink r:id="rId9" w:history="1">
        <w:r w:rsidRPr="004821AA">
          <w:rPr>
            <w:rStyle w:val="Hyperlink"/>
            <w:rFonts w:ascii="GHEA Grapalat" w:hAnsi="GHEA Grapalat"/>
            <w:sz w:val="18"/>
            <w:szCs w:val="18"/>
          </w:rPr>
          <w:t>https://www.worldbank.org/en/research/commodity-markets</w:t>
        </w:r>
      </w:hyperlink>
      <w:r w:rsidRPr="004821AA">
        <w:rPr>
          <w:rFonts w:ascii="GHEA Grapalat" w:hAnsi="GHEA Grapalat"/>
          <w:sz w:val="18"/>
          <w:szCs w:val="18"/>
        </w:rPr>
        <w:t xml:space="preserve"> </w:t>
      </w:r>
    </w:p>
    <w:p w:rsidR="008333FB" w:rsidRPr="004821AA" w:rsidRDefault="008333FB" w:rsidP="00E71112">
      <w:pPr>
        <w:pStyle w:val="FootnoteText"/>
        <w:rPr>
          <w:rFonts w:ascii="GHEA Grapalat" w:hAnsi="GHEA Grapalat"/>
          <w:sz w:val="18"/>
          <w:szCs w:val="18"/>
        </w:rPr>
      </w:pPr>
      <w:r w:rsidRPr="004821AA">
        <w:rPr>
          <w:rFonts w:ascii="GHEA Grapalat" w:hAnsi="GHEA Grapalat"/>
          <w:sz w:val="18"/>
          <w:szCs w:val="18"/>
        </w:rPr>
        <w:t>ՄԱԿ – ի պարենի և գյուղատնտեսության կազմակերպություն</w:t>
      </w:r>
      <w:r w:rsidRPr="004821AA">
        <w:rPr>
          <w:rFonts w:ascii="GHEA Grapalat" w:hAnsi="GHEA Grapalat"/>
          <w:sz w:val="18"/>
          <w:szCs w:val="18"/>
          <w:lang w:val="en-US"/>
        </w:rPr>
        <w:t xml:space="preserve"> </w:t>
      </w:r>
      <w:hyperlink r:id="rId10" w:history="1">
        <w:r w:rsidRPr="004821AA">
          <w:rPr>
            <w:rStyle w:val="Hyperlink"/>
            <w:rFonts w:ascii="GHEA Grapalat" w:hAnsi="GHEA Grapalat"/>
            <w:sz w:val="18"/>
            <w:szCs w:val="18"/>
          </w:rPr>
          <w:t>https://www.fao.org/worldfoodsituation/foodpricesindex/en/</w:t>
        </w:r>
      </w:hyperlink>
    </w:p>
  </w:footnote>
  <w:footnote w:id="13">
    <w:p w:rsidR="008333FB" w:rsidRDefault="008333FB" w:rsidP="00E61457">
      <w:pPr>
        <w:pStyle w:val="FootnoteText"/>
      </w:pPr>
      <w:r w:rsidRPr="004821AA">
        <w:rPr>
          <w:rStyle w:val="FootnoteReference"/>
          <w:rFonts w:ascii="GHEA Grapalat" w:hAnsi="GHEA Grapalat"/>
          <w:sz w:val="18"/>
          <w:szCs w:val="18"/>
        </w:rPr>
        <w:footnoteRef/>
      </w:r>
      <w:r w:rsidRPr="004821AA">
        <w:rPr>
          <w:rFonts w:ascii="GHEA Grapalat" w:hAnsi="GHEA Grapalat"/>
          <w:sz w:val="18"/>
          <w:szCs w:val="18"/>
        </w:rPr>
        <w:t xml:space="preserve"> Աղբյուրը՝ ՄԱԿ – ի պարենի և գյուղատնտեսության կազմակերպություն </w:t>
      </w:r>
      <w:hyperlink r:id="rId11" w:history="1">
        <w:r w:rsidRPr="004821AA">
          <w:rPr>
            <w:rStyle w:val="Hyperlink"/>
            <w:rFonts w:ascii="GHEA Grapalat" w:hAnsi="GHEA Grapalat"/>
            <w:sz w:val="18"/>
            <w:szCs w:val="18"/>
          </w:rPr>
          <w:t>https://www.fao.org/worldfoodsituation/foodpricesindex/en/</w:t>
        </w:r>
      </w:hyperlink>
      <w:r w:rsidRPr="004821AA">
        <w:rPr>
          <w:rFonts w:ascii="GHEA Grapalat" w:hAnsi="GHEA Grapalat"/>
          <w:sz w:val="18"/>
          <w:szCs w:val="18"/>
        </w:rPr>
        <w:t xml:space="preserve"> </w:t>
      </w:r>
    </w:p>
  </w:footnote>
  <w:footnote w:id="14">
    <w:p w:rsidR="008333FB" w:rsidRDefault="008333FB" w:rsidP="003C01DF">
      <w:pPr>
        <w:tabs>
          <w:tab w:val="right" w:pos="0"/>
          <w:tab w:val="left" w:pos="270"/>
        </w:tabs>
        <w:spacing w:before="120"/>
        <w:jc w:val="both"/>
      </w:pPr>
      <w:r w:rsidRPr="004821AA">
        <w:rPr>
          <w:rStyle w:val="FootnoteReference"/>
          <w:rFonts w:ascii="GHEA Grapalat" w:hAnsi="GHEA Grapalat"/>
          <w:sz w:val="18"/>
          <w:szCs w:val="18"/>
        </w:rPr>
        <w:footnoteRef/>
      </w:r>
      <w:r w:rsidRPr="004821AA">
        <w:rPr>
          <w:rFonts w:ascii="GHEA Grapalat" w:hAnsi="GHEA Grapalat"/>
          <w:sz w:val="18"/>
          <w:szCs w:val="18"/>
        </w:rPr>
        <w:t xml:space="preserve"> Կ</w:t>
      </w:r>
      <w:r w:rsidRPr="004821AA">
        <w:rPr>
          <w:rFonts w:ascii="GHEA Grapalat" w:hAnsi="GHEA Grapalat" w:cs="Sylfaen"/>
          <w:bCs/>
          <w:sz w:val="18"/>
          <w:szCs w:val="18"/>
        </w:rPr>
        <w:t xml:space="preserve">որոնավիրուսի համավարակի տարածումը շարունակվեց նաև 2022 թվականին: </w:t>
      </w:r>
      <w:r w:rsidRPr="004821AA">
        <w:rPr>
          <w:rFonts w:ascii="GHEA Grapalat" w:hAnsi="GHEA Grapalat"/>
          <w:sz w:val="18"/>
          <w:szCs w:val="18"/>
        </w:rPr>
        <w:t>Հիվանդության հաստատված դեպքերի ընդհանուր թիվը 2022թ. դեկտեմբերի 25-ի դրությամբ կազմել է 445,976 մարդ։ 2022</w:t>
      </w:r>
      <w:r w:rsidRPr="004821AA">
        <w:rPr>
          <w:rFonts w:ascii="GHEA Grapalat" w:hAnsi="GHEA Grapalat"/>
          <w:sz w:val="18"/>
          <w:szCs w:val="18"/>
          <w:lang w:val="en-US"/>
        </w:rPr>
        <w:t>թ.</w:t>
      </w:r>
      <w:r w:rsidRPr="004821AA">
        <w:rPr>
          <w:rFonts w:ascii="GHEA Grapalat" w:hAnsi="GHEA Grapalat"/>
          <w:sz w:val="18"/>
          <w:szCs w:val="18"/>
        </w:rPr>
        <w:t xml:space="preserve"> դեկտեմբերի 25-ի դրությամբ կատարվել է 2,279,743 պատվաստում, որից` առաջին դեղաչափ` 1,156,287 (ՀՀ մշտական բնակչության 39.0%-ը), ամբողջական պատվաստված` 1,031,771 (ՀՀ մշտական բնակչության 34.8%</w:t>
      </w:r>
      <w:r w:rsidRPr="004821AA">
        <w:rPr>
          <w:rFonts w:ascii="GHEA Grapalat" w:hAnsi="GHEA Grapalat"/>
          <w:sz w:val="18"/>
          <w:szCs w:val="18"/>
          <w:lang w:val="en-US"/>
        </w:rPr>
        <w:noBreakHyphen/>
      </w:r>
      <w:r w:rsidRPr="004821AA">
        <w:rPr>
          <w:rFonts w:ascii="GHEA Grapalat" w:hAnsi="GHEA Grapalat"/>
          <w:sz w:val="18"/>
          <w:szCs w:val="18"/>
        </w:rPr>
        <w:t xml:space="preserve">ը), բուստեր՝ 85,459 (ՀՀ մշտական բնակչության 2.9%-ը): Հաշվարկներում կիրառվել է 2022թ. ՀՀ մշտական բնակչության միջին թիվը: </w:t>
      </w:r>
    </w:p>
  </w:footnote>
  <w:footnote w:id="15">
    <w:p w:rsidR="008333FB" w:rsidRDefault="008333FB" w:rsidP="003C01DF">
      <w:pPr>
        <w:pStyle w:val="FootnoteText"/>
        <w:jc w:val="both"/>
      </w:pPr>
      <w:r w:rsidRPr="004821AA">
        <w:rPr>
          <w:rStyle w:val="FootnoteReference"/>
          <w:rFonts w:ascii="GHEA Grapalat" w:hAnsi="GHEA Grapalat"/>
          <w:sz w:val="18"/>
          <w:szCs w:val="18"/>
        </w:rPr>
        <w:footnoteRef/>
      </w:r>
      <w:r w:rsidRPr="004821AA">
        <w:rPr>
          <w:rFonts w:ascii="GHEA Grapalat" w:hAnsi="GHEA Grapalat"/>
          <w:sz w:val="18"/>
          <w:szCs w:val="18"/>
        </w:rPr>
        <w:t xml:space="preserve"> Ճյուղերի մանրամասն ցուցանիշները ներկայացված</w:t>
      </w:r>
      <w:r w:rsidRPr="004821AA">
        <w:rPr>
          <w:rFonts w:ascii="GHEA Grapalat" w:hAnsi="GHEA Grapalat"/>
          <w:sz w:val="18"/>
          <w:szCs w:val="18"/>
          <w:lang w:val="en-US"/>
        </w:rPr>
        <w:t xml:space="preserve"> </w:t>
      </w:r>
      <w:r w:rsidRPr="004821AA">
        <w:rPr>
          <w:rFonts w:ascii="GHEA Grapalat" w:hAnsi="GHEA Grapalat"/>
          <w:sz w:val="18"/>
          <w:szCs w:val="18"/>
        </w:rPr>
        <w:t>են</w:t>
      </w:r>
      <w:r w:rsidRPr="004821AA">
        <w:rPr>
          <w:rFonts w:ascii="GHEA Grapalat" w:hAnsi="GHEA Grapalat"/>
          <w:sz w:val="18"/>
          <w:szCs w:val="18"/>
          <w:lang w:val="en-US"/>
        </w:rPr>
        <w:t xml:space="preserve"> Աղյուսակ </w:t>
      </w:r>
      <w:r>
        <w:rPr>
          <w:rFonts w:ascii="GHEA Grapalat" w:hAnsi="GHEA Grapalat"/>
          <w:sz w:val="18"/>
          <w:szCs w:val="18"/>
          <w:lang w:val="en-US"/>
        </w:rPr>
        <w:t>2</w:t>
      </w:r>
      <w:r w:rsidRPr="004821AA">
        <w:rPr>
          <w:rFonts w:ascii="GHEA Grapalat" w:hAnsi="GHEA Grapalat"/>
          <w:sz w:val="18"/>
          <w:szCs w:val="18"/>
          <w:lang w:val="en-US"/>
        </w:rPr>
        <w:t>-</w:t>
      </w:r>
      <w:r w:rsidRPr="004821AA">
        <w:rPr>
          <w:rFonts w:ascii="GHEA Grapalat" w:hAnsi="GHEA Grapalat"/>
          <w:sz w:val="18"/>
          <w:szCs w:val="18"/>
        </w:rPr>
        <w:t>ում:</w:t>
      </w:r>
    </w:p>
  </w:footnote>
  <w:footnote w:id="16">
    <w:p w:rsidR="008333FB" w:rsidRDefault="008333FB" w:rsidP="003C01DF">
      <w:pPr>
        <w:pStyle w:val="FootnoteText"/>
        <w:jc w:val="both"/>
      </w:pPr>
      <w:r w:rsidRPr="004821AA">
        <w:rPr>
          <w:rStyle w:val="FootnoteReference"/>
          <w:rFonts w:ascii="GHEA Grapalat" w:hAnsi="GHEA Grapalat"/>
          <w:sz w:val="18"/>
          <w:szCs w:val="18"/>
        </w:rPr>
        <w:footnoteRef/>
      </w:r>
      <w:r w:rsidRPr="004821AA">
        <w:rPr>
          <w:rFonts w:ascii="GHEA Grapalat" w:hAnsi="GHEA Grapalat"/>
          <w:sz w:val="18"/>
          <w:szCs w:val="18"/>
        </w:rPr>
        <w:t xml:space="preserve"> Չնայած գյուղատնտեսության համախառն արտադրանքի աճին՝ գյուղատնտեսության ավելացված արժեքը նվազում է: Վերջինս բացատրվում է գյուղատնտեսության թողարկման նկատմամբ վերջինիս միջանկյալ սպառման ավելի արագ աճով:</w:t>
      </w:r>
    </w:p>
  </w:footnote>
  <w:footnote w:id="17">
    <w:p w:rsidR="008333FB" w:rsidRPr="004821AA" w:rsidRDefault="008333FB" w:rsidP="005842B1">
      <w:pPr>
        <w:pStyle w:val="FootnoteText"/>
        <w:jc w:val="both"/>
        <w:rPr>
          <w:rFonts w:ascii="GHEA Grapalat" w:hAnsi="GHEA Grapalat"/>
          <w:sz w:val="18"/>
          <w:szCs w:val="18"/>
        </w:rPr>
      </w:pPr>
      <w:r w:rsidRPr="004821AA">
        <w:rPr>
          <w:rStyle w:val="FootnoteReference"/>
          <w:rFonts w:ascii="GHEA Grapalat" w:hAnsi="GHEA Grapalat"/>
          <w:sz w:val="18"/>
          <w:szCs w:val="18"/>
        </w:rPr>
        <w:footnoteRef/>
      </w:r>
      <w:r w:rsidRPr="004821AA">
        <w:rPr>
          <w:rFonts w:ascii="GHEA Grapalat" w:hAnsi="GHEA Grapalat"/>
          <w:sz w:val="18"/>
          <w:szCs w:val="18"/>
        </w:rPr>
        <w:t xml:space="preserve"> ՏԱՑ-ի աճին ճյուղերի նպաստումները ՀՀ ֆինանսների նախարարության գնահատականներն են: Գյուղատնտեսության ցուցանիշը ոչ բոլոր հաշվարկներում է ներկայացված, քանի որ այն հրապարակվում է եռամսյակային պարբերականությամբ՝ պայմանավորված գյուղատնտեսության սեզոնայնությամբ և բնակլիմայական ոչ կայուն պայմաններից կախված ամսական արտադրության տատանողականության հարթեցման անհրաժեշտությամբ:</w:t>
      </w:r>
    </w:p>
  </w:footnote>
  <w:footnote w:id="18">
    <w:p w:rsidR="008333FB" w:rsidRDefault="008333FB" w:rsidP="003C01DF">
      <w:pPr>
        <w:jc w:val="both"/>
      </w:pPr>
      <w:r w:rsidRPr="004821AA">
        <w:rPr>
          <w:rStyle w:val="FootnoteReference"/>
          <w:rFonts w:ascii="GHEA Grapalat" w:hAnsi="GHEA Grapalat"/>
          <w:sz w:val="18"/>
          <w:szCs w:val="18"/>
        </w:rPr>
        <w:footnoteRef/>
      </w:r>
      <w:r w:rsidRPr="004821AA">
        <w:rPr>
          <w:rFonts w:ascii="GHEA Grapalat" w:hAnsi="GHEA Grapalat" w:cs="GHEA Grapalat"/>
          <w:color w:val="000000"/>
          <w:sz w:val="18"/>
          <w:szCs w:val="18"/>
        </w:rPr>
        <w:t xml:space="preserve"> </w:t>
      </w:r>
      <w:r w:rsidRPr="004821AA">
        <w:rPr>
          <w:rFonts w:ascii="GHEA Grapalat" w:hAnsi="GHEA Grapalat"/>
          <w:color w:val="000000"/>
          <w:sz w:val="18"/>
          <w:szCs w:val="18"/>
        </w:rPr>
        <w:t>Այստեղ ներկայացված են հիմնական միջոցներում ներդրումները՝ հաշվի առնելով, որ 2019 թվականից ՀՀ ՎԿ-ի կողմից համախառն կուտակման մեջ հաշվառվող պաշարների փոփոխության մեջ ներառ</w:t>
      </w:r>
      <w:r w:rsidRPr="004821AA">
        <w:rPr>
          <w:rFonts w:ascii="GHEA Grapalat" w:hAnsi="GHEA Grapalat"/>
          <w:color w:val="000000"/>
          <w:sz w:val="18"/>
          <w:szCs w:val="18"/>
          <w:lang w:val="en-US"/>
        </w:rPr>
        <w:t>վ</w:t>
      </w:r>
      <w:r w:rsidRPr="004821AA">
        <w:rPr>
          <w:rFonts w:ascii="GHEA Grapalat" w:hAnsi="GHEA Grapalat"/>
          <w:color w:val="000000"/>
          <w:sz w:val="18"/>
          <w:szCs w:val="18"/>
        </w:rPr>
        <w:t>ում են նաև վիճակագրական շեղումները:</w:t>
      </w:r>
    </w:p>
  </w:footnote>
  <w:footnote w:id="19">
    <w:p w:rsidR="008333FB" w:rsidRDefault="008333FB" w:rsidP="003C01DF">
      <w:pPr>
        <w:jc w:val="both"/>
      </w:pPr>
      <w:r w:rsidRPr="004821AA">
        <w:rPr>
          <w:rFonts w:ascii="GHEA Grapalat" w:hAnsi="GHEA Grapalat"/>
          <w:color w:val="000000"/>
          <w:sz w:val="18"/>
          <w:szCs w:val="18"/>
          <w:vertAlign w:val="superscript"/>
        </w:rPr>
        <w:footnoteRef/>
      </w:r>
      <w:r w:rsidRPr="004821AA">
        <w:rPr>
          <w:rFonts w:ascii="GHEA Grapalat" w:hAnsi="GHEA Grapalat"/>
          <w:color w:val="000000"/>
          <w:sz w:val="18"/>
          <w:szCs w:val="18"/>
        </w:rPr>
        <w:t xml:space="preserve"> Ներդրումների ճյուղային կառուցվածքի ցուցանիշները վերաբերում են ներդրումների՝ կապիտալ շինարարությանն ուղղվող մասին: Ավելի մանրամասն տե՛ս Շինարարություն հատվածում:</w:t>
      </w:r>
    </w:p>
  </w:footnote>
  <w:footnote w:id="20">
    <w:p w:rsidR="008333FB" w:rsidRDefault="008333FB" w:rsidP="00952E30">
      <w:pPr>
        <w:jc w:val="both"/>
      </w:pPr>
      <w:r w:rsidRPr="004821AA">
        <w:rPr>
          <w:rStyle w:val="FootnoteReference"/>
          <w:rFonts w:ascii="GHEA Grapalat" w:hAnsi="GHEA Grapalat"/>
          <w:sz w:val="18"/>
          <w:szCs w:val="18"/>
        </w:rPr>
        <w:footnoteRef/>
      </w:r>
      <w:r w:rsidRPr="004821AA">
        <w:rPr>
          <w:rFonts w:ascii="GHEA Grapalat" w:hAnsi="GHEA Grapalat" w:cs="GHEA Grapalat"/>
          <w:color w:val="000000"/>
          <w:sz w:val="18"/>
          <w:szCs w:val="18"/>
        </w:rPr>
        <w:t xml:space="preserve"> </w:t>
      </w:r>
      <w:r w:rsidRPr="004821AA">
        <w:rPr>
          <w:rFonts w:ascii="GHEA Grapalat" w:hAnsi="GHEA Grapalat"/>
          <w:sz w:val="18"/>
          <w:szCs w:val="18"/>
        </w:rPr>
        <w:t xml:space="preserve">Ներմուծման տվյալները ներկայացված են ՍԻՖ գներով: </w:t>
      </w:r>
    </w:p>
  </w:footnote>
  <w:footnote w:id="21">
    <w:p w:rsidR="008333FB" w:rsidRDefault="008333FB" w:rsidP="00952E30">
      <w:pPr>
        <w:pStyle w:val="FootnoteText"/>
      </w:pPr>
      <w:r w:rsidRPr="004821AA">
        <w:rPr>
          <w:rStyle w:val="FootnoteReference"/>
          <w:rFonts w:ascii="GHEA Grapalat" w:hAnsi="GHEA Grapalat"/>
          <w:sz w:val="18"/>
          <w:szCs w:val="18"/>
        </w:rPr>
        <w:footnoteRef/>
      </w:r>
      <w:r w:rsidRPr="004821AA">
        <w:rPr>
          <w:rFonts w:ascii="GHEA Grapalat" w:hAnsi="GHEA Grapalat"/>
          <w:sz w:val="18"/>
          <w:szCs w:val="18"/>
        </w:rPr>
        <w:t xml:space="preserve"> </w:t>
      </w:r>
      <w:r w:rsidRPr="004821AA">
        <w:rPr>
          <w:rFonts w:ascii="GHEA Grapalat" w:hAnsi="GHEA Grapalat" w:cs="GHEA Grapalat"/>
          <w:color w:val="000000"/>
          <w:sz w:val="18"/>
          <w:szCs w:val="18"/>
        </w:rPr>
        <w:t xml:space="preserve">Մանրամասն ցուցանիշները ներկայացված են </w:t>
      </w:r>
      <w:r w:rsidRPr="004821AA">
        <w:rPr>
          <w:rFonts w:ascii="GHEA Grapalat" w:hAnsi="GHEA Grapalat"/>
          <w:sz w:val="18"/>
          <w:szCs w:val="18"/>
          <w:lang w:val="en-US"/>
        </w:rPr>
        <w:t xml:space="preserve">Աղյուսակ </w:t>
      </w:r>
      <w:r>
        <w:rPr>
          <w:rFonts w:ascii="GHEA Grapalat" w:hAnsi="GHEA Grapalat"/>
          <w:sz w:val="18"/>
          <w:szCs w:val="18"/>
          <w:lang w:val="en-US"/>
        </w:rPr>
        <w:t>2</w:t>
      </w:r>
      <w:r w:rsidRPr="004821AA">
        <w:rPr>
          <w:rFonts w:ascii="GHEA Grapalat" w:hAnsi="GHEA Grapalat"/>
          <w:sz w:val="18"/>
          <w:szCs w:val="18"/>
          <w:lang w:val="en-US"/>
        </w:rPr>
        <w:t>-</w:t>
      </w:r>
      <w:r w:rsidRPr="004821AA">
        <w:rPr>
          <w:rFonts w:ascii="GHEA Grapalat" w:hAnsi="GHEA Grapalat"/>
          <w:sz w:val="18"/>
          <w:szCs w:val="18"/>
        </w:rPr>
        <w:t>ում</w:t>
      </w:r>
      <w:r w:rsidRPr="004821AA">
        <w:rPr>
          <w:rFonts w:ascii="GHEA Grapalat" w:hAnsi="GHEA Grapalat" w:cs="GHEA Grapalat"/>
          <w:color w:val="000000"/>
          <w:sz w:val="18"/>
          <w:szCs w:val="18"/>
        </w:rPr>
        <w:t>:</w:t>
      </w:r>
    </w:p>
  </w:footnote>
  <w:footnote w:id="22">
    <w:p w:rsidR="008333FB" w:rsidRDefault="008333FB" w:rsidP="005B6789">
      <w:pPr>
        <w:pStyle w:val="FootnoteText"/>
        <w:jc w:val="both"/>
      </w:pPr>
      <w:r w:rsidRPr="004821AA">
        <w:rPr>
          <w:rStyle w:val="FootnoteReference"/>
          <w:rFonts w:ascii="GHEA Grapalat" w:hAnsi="GHEA Grapalat"/>
          <w:sz w:val="18"/>
          <w:szCs w:val="18"/>
        </w:rPr>
        <w:footnoteRef/>
      </w:r>
      <w:r w:rsidRPr="004821AA">
        <w:rPr>
          <w:rFonts w:ascii="GHEA Grapalat" w:hAnsi="GHEA Grapalat" w:cs="GHEA Grapalat"/>
          <w:iCs/>
          <w:color w:val="000000"/>
          <w:sz w:val="18"/>
          <w:szCs w:val="18"/>
        </w:rPr>
        <w:t xml:space="preserve">Մանրամասն ցուցանիշները ներկայացված են </w:t>
      </w:r>
      <w:r w:rsidRPr="004821AA">
        <w:rPr>
          <w:rFonts w:ascii="GHEA Grapalat" w:hAnsi="GHEA Grapalat"/>
          <w:sz w:val="18"/>
          <w:szCs w:val="18"/>
          <w:lang w:val="en-US"/>
        </w:rPr>
        <w:t xml:space="preserve">Աղյուսակ </w:t>
      </w:r>
      <w:r>
        <w:rPr>
          <w:rFonts w:ascii="GHEA Grapalat" w:hAnsi="GHEA Grapalat"/>
          <w:sz w:val="18"/>
          <w:szCs w:val="18"/>
          <w:lang w:val="en-US"/>
        </w:rPr>
        <w:t>2</w:t>
      </w:r>
      <w:r w:rsidRPr="004821AA">
        <w:rPr>
          <w:rFonts w:ascii="GHEA Grapalat" w:hAnsi="GHEA Grapalat"/>
          <w:sz w:val="18"/>
          <w:szCs w:val="18"/>
          <w:lang w:val="en-US"/>
        </w:rPr>
        <w:t>-</w:t>
      </w:r>
      <w:r w:rsidRPr="004821AA">
        <w:rPr>
          <w:rFonts w:ascii="GHEA Grapalat" w:hAnsi="GHEA Grapalat"/>
          <w:sz w:val="18"/>
          <w:szCs w:val="18"/>
        </w:rPr>
        <w:t>ում</w:t>
      </w:r>
      <w:r w:rsidRPr="004821AA">
        <w:rPr>
          <w:rFonts w:ascii="GHEA Grapalat" w:hAnsi="GHEA Grapalat" w:cs="GHEA Grapalat"/>
          <w:iCs/>
          <w:color w:val="000000"/>
          <w:sz w:val="18"/>
          <w:szCs w:val="18"/>
        </w:rPr>
        <w:t>:</w:t>
      </w:r>
    </w:p>
  </w:footnote>
  <w:footnote w:id="23">
    <w:p w:rsidR="008333FB" w:rsidRDefault="008333FB" w:rsidP="005B6789">
      <w:pPr>
        <w:jc w:val="both"/>
      </w:pPr>
      <w:r w:rsidRPr="004821AA">
        <w:rPr>
          <w:rStyle w:val="FootnoteReference"/>
          <w:rFonts w:ascii="GHEA Grapalat" w:hAnsi="GHEA Grapalat"/>
          <w:sz w:val="18"/>
          <w:szCs w:val="18"/>
        </w:rPr>
        <w:footnoteRef/>
      </w:r>
      <w:r w:rsidRPr="004821AA">
        <w:rPr>
          <w:rFonts w:ascii="GHEA Grapalat" w:hAnsi="GHEA Grapalat" w:cs="GHEA Grapalat"/>
          <w:iCs/>
          <w:color w:val="000000"/>
          <w:sz w:val="18"/>
          <w:szCs w:val="18"/>
        </w:rPr>
        <w:t>Ապրանքների լայն տնտեսական դասակարգմամբ (BEC) 202</w:t>
      </w:r>
      <w:r w:rsidRPr="004821AA">
        <w:rPr>
          <w:rFonts w:ascii="GHEA Grapalat" w:hAnsi="GHEA Grapalat" w:cs="GHEA Grapalat"/>
          <w:iCs/>
          <w:color w:val="000000"/>
          <w:sz w:val="18"/>
          <w:szCs w:val="18"/>
          <w:lang w:val="en-US"/>
        </w:rPr>
        <w:t>2</w:t>
      </w:r>
      <w:r w:rsidRPr="004821AA">
        <w:rPr>
          <w:rFonts w:ascii="GHEA Grapalat" w:hAnsi="GHEA Grapalat" w:cs="GHEA Grapalat"/>
          <w:iCs/>
          <w:color w:val="000000"/>
          <w:sz w:val="18"/>
          <w:szCs w:val="18"/>
        </w:rPr>
        <w:t xml:space="preserve"> թվականի պաշտոնական տվյալները կհրապարակվեն 202</w:t>
      </w:r>
      <w:r w:rsidRPr="004821AA">
        <w:rPr>
          <w:rFonts w:ascii="GHEA Grapalat" w:hAnsi="GHEA Grapalat" w:cs="GHEA Grapalat"/>
          <w:iCs/>
          <w:color w:val="000000"/>
          <w:sz w:val="18"/>
          <w:szCs w:val="18"/>
          <w:lang w:val="en-US"/>
        </w:rPr>
        <w:t>3</w:t>
      </w:r>
      <w:r w:rsidRPr="004821AA">
        <w:rPr>
          <w:rFonts w:ascii="GHEA Grapalat" w:hAnsi="GHEA Grapalat" w:cs="GHEA Grapalat"/>
          <w:iCs/>
          <w:color w:val="000000"/>
          <w:sz w:val="18"/>
          <w:szCs w:val="18"/>
        </w:rPr>
        <w:t xml:space="preserve"> թվականի վերջին, ուստի այս հատվածում ներկայացված են ՀՀ ՖՆ գնահատականները (կիրառվել են արտաքին առևտրի 4-անիշ վիճակագրությունից BEC-ին անցման միջազգային փորձում ընդունված անցումային բանալիներ):</w:t>
      </w:r>
    </w:p>
  </w:footnote>
  <w:footnote w:id="24">
    <w:p w:rsidR="008333FB" w:rsidRDefault="008333FB" w:rsidP="005B6789">
      <w:pPr>
        <w:pStyle w:val="FootnoteText"/>
        <w:jc w:val="both"/>
      </w:pPr>
      <w:r w:rsidRPr="004821AA">
        <w:rPr>
          <w:rStyle w:val="FootnoteReference"/>
          <w:rFonts w:ascii="GHEA Grapalat" w:hAnsi="GHEA Grapalat"/>
          <w:sz w:val="18"/>
          <w:szCs w:val="18"/>
        </w:rPr>
        <w:footnoteRef/>
      </w:r>
      <w:r w:rsidRPr="004821AA">
        <w:rPr>
          <w:rFonts w:ascii="GHEA Grapalat" w:hAnsi="GHEA Grapalat" w:cs="GHEA Grapalat"/>
          <w:iCs/>
          <w:color w:val="000000"/>
          <w:sz w:val="18"/>
          <w:szCs w:val="18"/>
        </w:rPr>
        <w:t xml:space="preserve">Մանրամասն ցուցանիշները ներկայացված են </w:t>
      </w:r>
      <w:r w:rsidRPr="004821AA">
        <w:rPr>
          <w:rFonts w:ascii="GHEA Grapalat" w:hAnsi="GHEA Grapalat"/>
          <w:sz w:val="18"/>
          <w:szCs w:val="18"/>
          <w:lang w:val="en-US"/>
        </w:rPr>
        <w:t xml:space="preserve">Աղյուսակ </w:t>
      </w:r>
      <w:r>
        <w:rPr>
          <w:rFonts w:ascii="GHEA Grapalat" w:hAnsi="GHEA Grapalat"/>
          <w:sz w:val="18"/>
          <w:szCs w:val="18"/>
          <w:lang w:val="en-US"/>
        </w:rPr>
        <w:t>2</w:t>
      </w:r>
      <w:r w:rsidRPr="004821AA">
        <w:rPr>
          <w:rFonts w:ascii="GHEA Grapalat" w:hAnsi="GHEA Grapalat"/>
          <w:sz w:val="18"/>
          <w:szCs w:val="18"/>
          <w:lang w:val="en-US"/>
        </w:rPr>
        <w:t>-</w:t>
      </w:r>
      <w:r w:rsidRPr="004821AA">
        <w:rPr>
          <w:rFonts w:ascii="GHEA Grapalat" w:hAnsi="GHEA Grapalat"/>
          <w:sz w:val="18"/>
          <w:szCs w:val="18"/>
        </w:rPr>
        <w:t>ում</w:t>
      </w:r>
      <w:r w:rsidRPr="004821AA">
        <w:rPr>
          <w:rFonts w:ascii="GHEA Grapalat" w:hAnsi="GHEA Grapalat" w:cs="GHEA Grapalat"/>
          <w:iCs/>
          <w:color w:val="000000"/>
          <w:sz w:val="18"/>
          <w:szCs w:val="18"/>
        </w:rPr>
        <w:t>:</w:t>
      </w:r>
    </w:p>
  </w:footnote>
  <w:footnote w:id="25">
    <w:p w:rsidR="008333FB" w:rsidRDefault="008333FB" w:rsidP="00D91493">
      <w:pPr>
        <w:pStyle w:val="FootnoteText"/>
        <w:jc w:val="both"/>
      </w:pPr>
      <w:r w:rsidRPr="004821AA">
        <w:rPr>
          <w:rStyle w:val="FootnoteReference"/>
          <w:rFonts w:ascii="GHEA Grapalat" w:hAnsi="GHEA Grapalat"/>
          <w:sz w:val="18"/>
          <w:szCs w:val="18"/>
        </w:rPr>
        <w:footnoteRef/>
      </w:r>
      <w:r w:rsidRPr="004821AA">
        <w:rPr>
          <w:rFonts w:ascii="GHEA Grapalat" w:hAnsi="GHEA Grapalat"/>
          <w:sz w:val="18"/>
          <w:szCs w:val="18"/>
        </w:rPr>
        <w:t xml:space="preserve"> </w:t>
      </w:r>
      <w:r w:rsidRPr="004821AA">
        <w:rPr>
          <w:rFonts w:ascii="GHEA Grapalat" w:hAnsi="GHEA Grapalat" w:cs="Sylfaen"/>
          <w:sz w:val="18"/>
          <w:szCs w:val="18"/>
        </w:rPr>
        <w:t>Աղբյուր՝ ՀՀ ԿԲ:</w:t>
      </w:r>
    </w:p>
  </w:footnote>
  <w:footnote w:id="26">
    <w:p w:rsidR="008333FB" w:rsidRDefault="008333FB" w:rsidP="00833581">
      <w:pPr>
        <w:pStyle w:val="FootnoteText"/>
        <w:tabs>
          <w:tab w:val="left" w:pos="142"/>
        </w:tabs>
        <w:jc w:val="both"/>
      </w:pPr>
      <w:r w:rsidRPr="004821AA">
        <w:rPr>
          <w:rStyle w:val="FootnoteReference"/>
          <w:rFonts w:ascii="GHEA Grapalat" w:hAnsi="GHEA Grapalat"/>
          <w:sz w:val="18"/>
          <w:szCs w:val="18"/>
        </w:rPr>
        <w:footnoteRef/>
      </w:r>
      <w:r w:rsidRPr="004821AA">
        <w:rPr>
          <w:rFonts w:ascii="GHEA Grapalat" w:hAnsi="GHEA Grapalat" w:cs="GHEA Grapalat"/>
          <w:color w:val="000000"/>
          <w:sz w:val="18"/>
          <w:szCs w:val="18"/>
        </w:rPr>
        <w:t xml:space="preserve"> Ընդգրկված չեն կուտակված տոկոսները: Վարկերի մեջ ներառված են նաև ֆակտորինգային, լիզինգային գործառնությունները և ռեպո համաձայնագրերը:</w:t>
      </w:r>
    </w:p>
  </w:footnote>
  <w:footnote w:id="27">
    <w:p w:rsidR="008333FB" w:rsidRPr="004821AA" w:rsidRDefault="008333FB" w:rsidP="000E04F6">
      <w:pPr>
        <w:pStyle w:val="FootnoteText"/>
        <w:jc w:val="both"/>
        <w:rPr>
          <w:rFonts w:ascii="GHEA Grapalat" w:hAnsi="GHEA Grapalat"/>
          <w:sz w:val="18"/>
          <w:szCs w:val="18"/>
        </w:rPr>
      </w:pPr>
      <w:r w:rsidRPr="004821AA">
        <w:rPr>
          <w:rStyle w:val="FootnoteReference"/>
          <w:rFonts w:ascii="GHEA Grapalat" w:hAnsi="GHEA Grapalat"/>
          <w:sz w:val="18"/>
          <w:szCs w:val="18"/>
        </w:rPr>
        <w:footnoteRef/>
      </w:r>
      <w:r w:rsidRPr="004821AA">
        <w:rPr>
          <w:rFonts w:ascii="GHEA Grapalat" w:hAnsi="GHEA Grapalat"/>
          <w:sz w:val="18"/>
          <w:szCs w:val="18"/>
        </w:rPr>
        <w:t xml:space="preserve"> Աղբյուրը՝ ՀՀ ԿԲ և ՀՀ ՖՆ հաշվարկներ: 2022</w:t>
      </w:r>
      <w:r w:rsidRPr="004821AA">
        <w:rPr>
          <w:rFonts w:ascii="GHEA Grapalat" w:hAnsi="GHEA Grapalat"/>
          <w:sz w:val="18"/>
          <w:szCs w:val="18"/>
          <w:lang w:val="en-US"/>
        </w:rPr>
        <w:t xml:space="preserve"> </w:t>
      </w:r>
      <w:r w:rsidRPr="004821AA">
        <w:rPr>
          <w:rFonts w:ascii="GHEA Grapalat" w:hAnsi="GHEA Grapalat"/>
          <w:sz w:val="18"/>
          <w:szCs w:val="18"/>
        </w:rPr>
        <w:t>թ</w:t>
      </w:r>
      <w:r w:rsidRPr="004821AA">
        <w:rPr>
          <w:rFonts w:ascii="GHEA Grapalat" w:hAnsi="GHEA Grapalat"/>
          <w:sz w:val="18"/>
          <w:szCs w:val="18"/>
          <w:lang w:val="en-US"/>
        </w:rPr>
        <w:t>վական</w:t>
      </w:r>
      <w:r w:rsidRPr="004821AA">
        <w:rPr>
          <w:rFonts w:ascii="GHEA Grapalat" w:hAnsi="GHEA Grapalat" w:cs="GHEA Grapalat"/>
          <w:sz w:val="18"/>
          <w:szCs w:val="18"/>
        </w:rPr>
        <w:t>ի</w:t>
      </w:r>
      <w:r w:rsidRPr="004821AA">
        <w:rPr>
          <w:rFonts w:ascii="GHEA Grapalat" w:hAnsi="GHEA Grapalat"/>
          <w:sz w:val="18"/>
          <w:szCs w:val="18"/>
        </w:rPr>
        <w:t xml:space="preserve"> համար առանց դրամի արժևորման վարկերի և ավանդների աճի տեմպերը ՀՀ ՖՆ գնահատականն են՝ արտարժութային վարկերի և ավանդների հաշվարկի համար հիմք ընդունելով 2022</w:t>
      </w:r>
      <w:r w:rsidRPr="004821AA">
        <w:rPr>
          <w:rFonts w:ascii="GHEA Grapalat" w:hAnsi="GHEA Grapalat"/>
          <w:sz w:val="18"/>
          <w:szCs w:val="18"/>
          <w:lang w:val="en-US"/>
        </w:rPr>
        <w:t xml:space="preserve"> </w:t>
      </w:r>
      <w:r w:rsidRPr="004821AA">
        <w:rPr>
          <w:rFonts w:ascii="GHEA Grapalat" w:hAnsi="GHEA Grapalat"/>
          <w:sz w:val="18"/>
          <w:szCs w:val="18"/>
        </w:rPr>
        <w:t>թ</w:t>
      </w:r>
      <w:r w:rsidRPr="004821AA">
        <w:rPr>
          <w:rFonts w:ascii="GHEA Grapalat" w:hAnsi="GHEA Grapalat"/>
          <w:sz w:val="18"/>
          <w:szCs w:val="18"/>
          <w:lang w:val="en-US"/>
        </w:rPr>
        <w:t>վական</w:t>
      </w:r>
      <w:r w:rsidRPr="004821AA">
        <w:rPr>
          <w:rFonts w:ascii="GHEA Grapalat" w:hAnsi="GHEA Grapalat" w:cs="GHEA Grapalat"/>
          <w:sz w:val="18"/>
          <w:szCs w:val="18"/>
        </w:rPr>
        <w:t>ի</w:t>
      </w:r>
      <w:r w:rsidRPr="004821AA">
        <w:rPr>
          <w:rFonts w:ascii="GHEA Grapalat" w:hAnsi="GHEA Grapalat"/>
          <w:sz w:val="18"/>
          <w:szCs w:val="18"/>
        </w:rPr>
        <w:t xml:space="preserve"> </w:t>
      </w:r>
      <w:r w:rsidRPr="004821AA">
        <w:rPr>
          <w:rFonts w:ascii="GHEA Grapalat" w:hAnsi="GHEA Grapalat" w:cs="GHEA Grapalat"/>
          <w:sz w:val="18"/>
          <w:szCs w:val="18"/>
        </w:rPr>
        <w:t>փետրվարի</w:t>
      </w:r>
      <w:r w:rsidRPr="004821AA">
        <w:rPr>
          <w:rFonts w:ascii="GHEA Grapalat" w:hAnsi="GHEA Grapalat"/>
          <w:sz w:val="18"/>
          <w:szCs w:val="18"/>
        </w:rPr>
        <w:t xml:space="preserve"> </w:t>
      </w:r>
      <w:r w:rsidRPr="004821AA">
        <w:rPr>
          <w:rFonts w:ascii="GHEA Grapalat" w:hAnsi="GHEA Grapalat" w:cs="GHEA Grapalat"/>
          <w:sz w:val="18"/>
          <w:szCs w:val="18"/>
        </w:rPr>
        <w:t>վերջի</w:t>
      </w:r>
      <w:r w:rsidRPr="004821AA">
        <w:rPr>
          <w:rFonts w:ascii="GHEA Grapalat" w:hAnsi="GHEA Grapalat"/>
          <w:sz w:val="18"/>
          <w:szCs w:val="18"/>
        </w:rPr>
        <w:t xml:space="preserve"> </w:t>
      </w:r>
      <w:r w:rsidRPr="004821AA">
        <w:rPr>
          <w:rFonts w:ascii="GHEA Grapalat" w:hAnsi="GHEA Grapalat" w:cs="GHEA Grapalat"/>
          <w:sz w:val="18"/>
          <w:szCs w:val="18"/>
        </w:rPr>
        <w:t>ԱՄՆ</w:t>
      </w:r>
      <w:r w:rsidRPr="004821AA">
        <w:rPr>
          <w:rFonts w:ascii="GHEA Grapalat" w:hAnsi="GHEA Grapalat"/>
          <w:sz w:val="18"/>
          <w:szCs w:val="18"/>
        </w:rPr>
        <w:t xml:space="preserve"> </w:t>
      </w:r>
      <w:r w:rsidRPr="004821AA">
        <w:rPr>
          <w:rFonts w:ascii="GHEA Grapalat" w:hAnsi="GHEA Grapalat" w:cs="GHEA Grapalat"/>
          <w:sz w:val="18"/>
          <w:szCs w:val="18"/>
        </w:rPr>
        <w:t>դոլար</w:t>
      </w:r>
      <w:r w:rsidRPr="004821AA">
        <w:rPr>
          <w:rFonts w:ascii="GHEA Grapalat" w:hAnsi="GHEA Grapalat"/>
          <w:sz w:val="18"/>
          <w:szCs w:val="18"/>
        </w:rPr>
        <w:t>/</w:t>
      </w:r>
      <w:r w:rsidRPr="004821AA">
        <w:rPr>
          <w:rFonts w:ascii="GHEA Grapalat" w:hAnsi="GHEA Grapalat" w:cs="GHEA Grapalat"/>
          <w:sz w:val="18"/>
          <w:szCs w:val="18"/>
        </w:rPr>
        <w:t>ՀՀ</w:t>
      </w:r>
      <w:r w:rsidRPr="004821AA">
        <w:rPr>
          <w:rFonts w:ascii="GHEA Grapalat" w:hAnsi="GHEA Grapalat"/>
          <w:sz w:val="18"/>
          <w:szCs w:val="18"/>
        </w:rPr>
        <w:t xml:space="preserve"> </w:t>
      </w:r>
      <w:r w:rsidRPr="004821AA">
        <w:rPr>
          <w:rFonts w:ascii="GHEA Grapalat" w:hAnsi="GHEA Grapalat" w:cs="GHEA Grapalat"/>
          <w:sz w:val="18"/>
          <w:szCs w:val="18"/>
        </w:rPr>
        <w:t>դրամ</w:t>
      </w:r>
      <w:r w:rsidRPr="004821AA">
        <w:rPr>
          <w:rFonts w:ascii="GHEA Grapalat" w:hAnsi="GHEA Grapalat"/>
          <w:sz w:val="18"/>
          <w:szCs w:val="18"/>
        </w:rPr>
        <w:t xml:space="preserve"> փոխարժեքը։</w:t>
      </w:r>
    </w:p>
  </w:footnote>
  <w:footnote w:id="28">
    <w:p w:rsidR="008333FB" w:rsidRDefault="008333FB" w:rsidP="00833581">
      <w:pPr>
        <w:pStyle w:val="FootnoteText"/>
        <w:jc w:val="both"/>
      </w:pPr>
      <w:r w:rsidRPr="004821AA">
        <w:rPr>
          <w:rStyle w:val="FootnoteReference"/>
          <w:rFonts w:ascii="GHEA Grapalat" w:hAnsi="GHEA Grapalat"/>
          <w:sz w:val="18"/>
          <w:szCs w:val="18"/>
        </w:rPr>
        <w:footnoteRef/>
      </w:r>
      <w:r w:rsidRPr="004821AA">
        <w:rPr>
          <w:rFonts w:ascii="GHEA Grapalat" w:hAnsi="GHEA Grapalat"/>
          <w:sz w:val="18"/>
          <w:szCs w:val="18"/>
        </w:rPr>
        <w:t xml:space="preserve"> Ըստ ՀՀ ՖՆ գնահատականների։ </w:t>
      </w:r>
    </w:p>
  </w:footnote>
  <w:footnote w:id="29">
    <w:p w:rsidR="008333FB" w:rsidRDefault="008333FB" w:rsidP="00A3340A">
      <w:pPr>
        <w:pStyle w:val="FootnoteText"/>
        <w:jc w:val="both"/>
      </w:pPr>
      <w:r w:rsidRPr="004821AA">
        <w:rPr>
          <w:rStyle w:val="FootnoteReference"/>
          <w:rFonts w:ascii="GHEA Grapalat" w:hAnsi="GHEA Grapalat"/>
          <w:sz w:val="18"/>
          <w:szCs w:val="18"/>
        </w:rPr>
        <w:footnoteRef/>
      </w:r>
      <w:r w:rsidRPr="004821AA">
        <w:rPr>
          <w:rFonts w:ascii="GHEA Grapalat" w:hAnsi="GHEA Grapalat"/>
          <w:iCs/>
          <w:sz w:val="18"/>
          <w:szCs w:val="18"/>
        </w:rPr>
        <w:t xml:space="preserve"> Աղբյուրը՝ ՀՀ ՖՆ:</w:t>
      </w:r>
    </w:p>
  </w:footnote>
  <w:footnote w:id="30">
    <w:p w:rsidR="008333FB" w:rsidRDefault="008333FB" w:rsidP="00A3340A">
      <w:pPr>
        <w:pStyle w:val="FootnoteText"/>
        <w:jc w:val="both"/>
      </w:pPr>
      <w:r w:rsidRPr="00B632AA">
        <w:rPr>
          <w:rStyle w:val="FootnoteReference"/>
          <w:rFonts w:ascii="GHEA Grapalat" w:hAnsi="GHEA Grapalat"/>
        </w:rPr>
        <w:footnoteRef/>
      </w:r>
      <w:r w:rsidRPr="00B632AA">
        <w:rPr>
          <w:rFonts w:ascii="GHEA Grapalat" w:hAnsi="GHEA Grapalat"/>
          <w:iCs/>
        </w:rPr>
        <w:t xml:space="preserve"> </w:t>
      </w:r>
      <w:r w:rsidRPr="00B632AA">
        <w:rPr>
          <w:rFonts w:ascii="GHEA Grapalat" w:hAnsi="GHEA Grapalat" w:cs="GHEA Grapalat"/>
          <w:iCs/>
          <w:color w:val="000000"/>
        </w:rPr>
        <w:t>Աղբյուրը՝ ՀՀ ՖՆ:</w:t>
      </w:r>
    </w:p>
  </w:footnote>
  <w:footnote w:id="31">
    <w:p w:rsidR="008333FB" w:rsidRPr="006E100B" w:rsidRDefault="008333FB" w:rsidP="00A3340A">
      <w:pPr>
        <w:pStyle w:val="FootnoteText"/>
        <w:jc w:val="both"/>
        <w:rPr>
          <w:rFonts w:ascii="GHEA Grapalat" w:hAnsi="GHEA Grapalat" w:cs="GHEA Grapalat"/>
          <w:iCs/>
          <w:color w:val="000000"/>
          <w:sz w:val="18"/>
          <w:szCs w:val="18"/>
        </w:rPr>
      </w:pPr>
      <w:r w:rsidRPr="006E100B">
        <w:rPr>
          <w:rStyle w:val="FootnoteReference"/>
          <w:rFonts w:ascii="GHEA Grapalat" w:hAnsi="GHEA Grapalat"/>
          <w:sz w:val="18"/>
          <w:szCs w:val="18"/>
        </w:rPr>
        <w:footnoteRef/>
      </w:r>
      <w:r w:rsidRPr="006E100B">
        <w:rPr>
          <w:rFonts w:ascii="GHEA Grapalat" w:hAnsi="GHEA Grapalat"/>
          <w:iCs/>
          <w:sz w:val="18"/>
          <w:szCs w:val="18"/>
        </w:rPr>
        <w:t xml:space="preserve"> </w:t>
      </w:r>
      <w:r w:rsidRPr="006E100B">
        <w:rPr>
          <w:rFonts w:ascii="GHEA Grapalat" w:hAnsi="GHEA Grapalat" w:cs="GHEA Grapalat"/>
          <w:iCs/>
          <w:color w:val="000000"/>
          <w:sz w:val="18"/>
          <w:szCs w:val="18"/>
        </w:rPr>
        <w:t>Աղբյուրը՝ ՀՀ ՖՆ գնահատական</w:t>
      </w:r>
    </w:p>
    <w:p w:rsidR="008333FB" w:rsidRDefault="008333FB" w:rsidP="00A3340A">
      <w:pPr>
        <w:pStyle w:val="FootnoteText"/>
        <w:jc w:val="both"/>
      </w:pPr>
      <w:r w:rsidRPr="006E100B">
        <w:rPr>
          <w:rFonts w:ascii="GHEA Grapalat" w:hAnsi="GHEA Grapalat" w:cs="GHEA Grapalat"/>
          <w:iCs/>
          <w:color w:val="000000"/>
          <w:sz w:val="18"/>
          <w:szCs w:val="18"/>
        </w:rPr>
        <w:t>Հարկաբյուջետային ազդակի հաշվարկներում ծախսերի ազդակը գնահատելիս ներառվել են նաև հակաճգնաժամային միջոցառումների կազմում տնտեսության վարկավորման (վարկերի համաֆինանսավոր</w:t>
      </w:r>
      <w:r w:rsidRPr="006E100B">
        <w:rPr>
          <w:rFonts w:ascii="GHEA Grapalat" w:hAnsi="GHEA Grapalat" w:cs="GHEA Grapalat"/>
          <w:iCs/>
          <w:color w:val="000000"/>
          <w:sz w:val="18"/>
          <w:szCs w:val="18"/>
          <w:lang w:val="en-US"/>
        </w:rPr>
        <w:t>-</w:t>
      </w:r>
      <w:r w:rsidRPr="006E100B">
        <w:rPr>
          <w:rFonts w:ascii="GHEA Grapalat" w:hAnsi="GHEA Grapalat" w:cs="GHEA Grapalat"/>
          <w:iCs/>
          <w:color w:val="000000"/>
          <w:sz w:val="18"/>
          <w:szCs w:val="18"/>
        </w:rPr>
        <w:t xml:space="preserve">ման) գծով վերևում նկարագրված գումարները: </w:t>
      </w:r>
    </w:p>
  </w:footnote>
  <w:footnote w:id="32">
    <w:p w:rsidR="008333FB" w:rsidRDefault="008333FB" w:rsidP="00400A22">
      <w:pPr>
        <w:pStyle w:val="FootnoteText"/>
      </w:pPr>
      <w:r w:rsidRPr="00202BA5">
        <w:rPr>
          <w:rStyle w:val="FootnoteReference"/>
        </w:rPr>
        <w:footnoteRef/>
      </w:r>
      <w:r w:rsidRPr="00202BA5">
        <w:t xml:space="preserve"> </w:t>
      </w:r>
      <w:r w:rsidRPr="00202BA5">
        <w:rPr>
          <w:rFonts w:ascii="GHEA Grapalat" w:hAnsi="GHEA Grapalat" w:cs="GHEA Grapalat"/>
          <w:i/>
          <w:color w:val="000000"/>
          <w:sz w:val="18"/>
          <w:szCs w:val="18"/>
        </w:rPr>
        <w:t>Աղյուսակներում նպաստումները հաշվարկվել են նախորդ տարվա կշիռների հիման վրա:</w:t>
      </w:r>
    </w:p>
  </w:footnote>
  <w:footnote w:id="33">
    <w:p w:rsidR="008333FB" w:rsidRDefault="008333FB" w:rsidP="00A35622">
      <w:pPr>
        <w:pStyle w:val="FootnoteText"/>
        <w:jc w:val="both"/>
      </w:pPr>
      <w:r w:rsidRPr="006E100B">
        <w:rPr>
          <w:rStyle w:val="FootnoteReference"/>
          <w:rFonts w:ascii="GHEA Grapalat" w:hAnsi="GHEA Grapalat"/>
          <w:sz w:val="18"/>
          <w:szCs w:val="18"/>
        </w:rPr>
        <w:footnoteRef/>
      </w:r>
      <w:r w:rsidRPr="006E100B">
        <w:rPr>
          <w:rFonts w:ascii="GHEA Grapalat" w:hAnsi="GHEA Grapalat"/>
          <w:sz w:val="18"/>
          <w:szCs w:val="18"/>
        </w:rPr>
        <w:t xml:space="preserve"> </w:t>
      </w:r>
      <w:r w:rsidRPr="006E100B">
        <w:rPr>
          <w:rFonts w:ascii="GHEA Grapalat" w:hAnsi="GHEA Grapalat" w:cs="GHEA Grapalat"/>
          <w:sz w:val="18"/>
          <w:szCs w:val="18"/>
        </w:rPr>
        <w:t xml:space="preserve">Այն օրենսդրական փոփոխությունները, որոնք կարող էին ազդեցություն ունենալ </w:t>
      </w:r>
      <w:r w:rsidRPr="006E100B">
        <w:rPr>
          <w:rFonts w:ascii="GHEA Grapalat" w:hAnsi="GHEA Grapalat" w:cs="GHEA Grapalat"/>
          <w:sz w:val="18"/>
          <w:szCs w:val="18"/>
          <w:lang w:val="en-US"/>
        </w:rPr>
        <w:t>հարկային եկամուտների և պետական տուրքերի</w:t>
      </w:r>
      <w:r w:rsidRPr="006E100B">
        <w:rPr>
          <w:rFonts w:ascii="GHEA Grapalat" w:hAnsi="GHEA Grapalat" w:cs="GHEA Grapalat"/>
          <w:sz w:val="18"/>
          <w:szCs w:val="18"/>
        </w:rPr>
        <w:t xml:space="preserve"> գծով 2022 թվականի պետական բյուջեի մուտքերի վրա, ներկայացված են առանձին տեղեկանքով</w:t>
      </w:r>
      <w:r w:rsidRPr="006E100B">
        <w:rPr>
          <w:rFonts w:ascii="GHEA Grapalat" w:hAnsi="GHEA Grapalat" w:cs="GHEA Grapalat"/>
          <w:sz w:val="18"/>
          <w:szCs w:val="18"/>
          <w:lang w:val="en-US"/>
        </w:rPr>
        <w:t xml:space="preserve">՝ </w:t>
      </w:r>
      <w:hyperlink r:id="rId12" w:history="1">
        <w:r w:rsidRPr="006E100B">
          <w:rPr>
            <w:rStyle w:val="Hyperlink"/>
            <w:rFonts w:ascii="GHEA Grapalat" w:hAnsi="GHEA Grapalat" w:cs="GHEA Grapalat"/>
            <w:sz w:val="18"/>
            <w:szCs w:val="18"/>
            <w:lang w:val="en-US"/>
          </w:rPr>
          <w:t>5.Տեղեկանքներ\18.Հարկային օրենսդրության փոփոխություններ.docx</w:t>
        </w:r>
      </w:hyperlink>
      <w:r w:rsidRPr="006E100B">
        <w:rPr>
          <w:rFonts w:ascii="GHEA Grapalat" w:hAnsi="GHEA Grapalat" w:cs="GHEA Grapalat"/>
          <w:sz w:val="18"/>
          <w:szCs w:val="18"/>
          <w:lang w:val="en-US"/>
        </w:rPr>
        <w:t>:</w:t>
      </w:r>
    </w:p>
  </w:footnote>
  <w:footnote w:id="34">
    <w:p w:rsidR="008333FB" w:rsidRDefault="008333FB">
      <w:pPr>
        <w:pStyle w:val="FootnoteText"/>
      </w:pPr>
      <w:r w:rsidRPr="006E100B">
        <w:rPr>
          <w:rStyle w:val="FootnoteReference"/>
          <w:rFonts w:ascii="GHEA Grapalat" w:hAnsi="GHEA Grapalat"/>
          <w:sz w:val="18"/>
          <w:szCs w:val="18"/>
        </w:rPr>
        <w:footnoteRef/>
      </w:r>
      <w:r w:rsidRPr="006E100B">
        <w:rPr>
          <w:rFonts w:ascii="GHEA Grapalat" w:hAnsi="GHEA Grapalat"/>
          <w:sz w:val="18"/>
          <w:szCs w:val="18"/>
        </w:rPr>
        <w:t xml:space="preserve"> </w:t>
      </w:r>
      <w:r w:rsidRPr="006E100B">
        <w:rPr>
          <w:rFonts w:ascii="GHEA Grapalat" w:hAnsi="GHEA Grapalat"/>
          <w:sz w:val="18"/>
          <w:szCs w:val="18"/>
          <w:lang w:val="en-US"/>
        </w:rPr>
        <w:t xml:space="preserve">Ըստ առանձին երկրների տեղեկատվությունը ներկայացված է հետևյալ տեղեկանքում՝ </w:t>
      </w:r>
      <w:hyperlink r:id="rId13" w:history="1">
        <w:r w:rsidRPr="006E100B">
          <w:rPr>
            <w:rStyle w:val="Hyperlink"/>
            <w:rFonts w:ascii="GHEA Grapalat" w:hAnsi="GHEA Grapalat"/>
            <w:sz w:val="18"/>
            <w:szCs w:val="18"/>
            <w:lang w:val="en-US"/>
          </w:rPr>
          <w:t>5.Տեղեկանքներ\17.Մաքսատուրք.doc</w:t>
        </w:r>
      </w:hyperlink>
      <w:r w:rsidRPr="006E100B">
        <w:rPr>
          <w:rFonts w:ascii="GHEA Grapalat" w:hAnsi="GHEA Grapalat"/>
          <w:sz w:val="18"/>
          <w:szCs w:val="18"/>
          <w:lang w:val="en-US"/>
        </w:rPr>
        <w:t>:</w:t>
      </w:r>
    </w:p>
  </w:footnote>
  <w:footnote w:id="35">
    <w:p w:rsidR="008333FB" w:rsidRDefault="008333FB" w:rsidP="002F7E29">
      <w:pPr>
        <w:pStyle w:val="FootnoteText"/>
        <w:jc w:val="both"/>
      </w:pPr>
      <w:r w:rsidRPr="00317C8F">
        <w:rPr>
          <w:rFonts w:ascii="GHEA Grapalat" w:hAnsi="GHEA Grapalat"/>
          <w:sz w:val="18"/>
          <w:szCs w:val="18"/>
          <w:vertAlign w:val="superscript"/>
        </w:rPr>
        <w:footnoteRef/>
      </w:r>
      <w:r w:rsidRPr="00317C8F">
        <w:rPr>
          <w:rFonts w:ascii="GHEA Grapalat" w:hAnsi="GHEA Grapalat"/>
          <w:sz w:val="18"/>
          <w:szCs w:val="18"/>
          <w:vertAlign w:val="superscript"/>
        </w:rPr>
        <w:t xml:space="preserve"> </w:t>
      </w:r>
      <w:r>
        <w:rPr>
          <w:rFonts w:ascii="GHEA Grapalat" w:hAnsi="GHEA Grapalat"/>
          <w:sz w:val="18"/>
          <w:szCs w:val="18"/>
        </w:rPr>
        <w:t xml:space="preserve">Ներառված են </w:t>
      </w:r>
      <w:r w:rsidRPr="00723B0B">
        <w:rPr>
          <w:rFonts w:ascii="GHEA Grapalat" w:hAnsi="GHEA Grapalat"/>
          <w:sz w:val="18"/>
          <w:szCs w:val="18"/>
        </w:rPr>
        <w:t xml:space="preserve">Հայաստանի Հանրապետությունում ամուսնության բացակայության մասին տեղեկանք տալու </w:t>
      </w:r>
      <w:r>
        <w:rPr>
          <w:rFonts w:ascii="GHEA Grapalat" w:hAnsi="GHEA Grapalat"/>
          <w:sz w:val="18"/>
          <w:szCs w:val="18"/>
        </w:rPr>
        <w:t>(6</w:t>
      </w:r>
      <w:r>
        <w:rPr>
          <w:rFonts w:ascii="GHEA Grapalat" w:hAnsi="GHEA Grapalat"/>
          <w:sz w:val="18"/>
          <w:szCs w:val="18"/>
          <w:lang w:val="en-US"/>
        </w:rPr>
        <w:t>5</w:t>
      </w:r>
      <w:r>
        <w:rPr>
          <w:rFonts w:ascii="GHEA Grapalat" w:hAnsi="GHEA Grapalat"/>
          <w:sz w:val="18"/>
          <w:szCs w:val="18"/>
        </w:rPr>
        <w:t>.</w:t>
      </w:r>
      <w:r>
        <w:rPr>
          <w:rFonts w:ascii="GHEA Grapalat" w:hAnsi="GHEA Grapalat"/>
          <w:sz w:val="18"/>
          <w:szCs w:val="18"/>
          <w:lang w:val="en-US"/>
        </w:rPr>
        <w:t>8</w:t>
      </w:r>
      <w:r>
        <w:rPr>
          <w:rFonts w:ascii="GHEA Grapalat" w:hAnsi="GHEA Grapalat"/>
          <w:sz w:val="18"/>
          <w:szCs w:val="18"/>
        </w:rPr>
        <w:t xml:space="preserve"> մլն դրամ),</w:t>
      </w:r>
      <w:r w:rsidRPr="0009350C">
        <w:rPr>
          <w:rFonts w:ascii="GHEA Grapalat" w:hAnsi="GHEA Grapalat" w:cs="Calibri"/>
          <w:bCs/>
          <w:sz w:val="22"/>
          <w:szCs w:val="22"/>
          <w:lang w:val="zu-ZA"/>
        </w:rPr>
        <w:t xml:space="preserve"> </w:t>
      </w:r>
      <w:r w:rsidRPr="00317C8F">
        <w:rPr>
          <w:rFonts w:ascii="GHEA Grapalat" w:hAnsi="GHEA Grapalat"/>
          <w:sz w:val="18"/>
          <w:szCs w:val="18"/>
        </w:rPr>
        <w:t>ՀՀ քաղաքացիություն ստանալու</w:t>
      </w:r>
      <w:r>
        <w:rPr>
          <w:rFonts w:ascii="GHEA Grapalat" w:hAnsi="GHEA Grapalat"/>
          <w:sz w:val="18"/>
          <w:szCs w:val="18"/>
        </w:rPr>
        <w:t xml:space="preserve"> (</w:t>
      </w:r>
      <w:r>
        <w:rPr>
          <w:rFonts w:ascii="GHEA Grapalat" w:hAnsi="GHEA Grapalat"/>
          <w:sz w:val="18"/>
          <w:szCs w:val="18"/>
          <w:lang w:val="en-US"/>
        </w:rPr>
        <w:t>9</w:t>
      </w:r>
      <w:r>
        <w:rPr>
          <w:rFonts w:ascii="GHEA Grapalat" w:hAnsi="GHEA Grapalat"/>
          <w:sz w:val="18"/>
          <w:szCs w:val="18"/>
        </w:rPr>
        <w:t>8.7 մլն դրամ)</w:t>
      </w:r>
      <w:r w:rsidRPr="00317C8F">
        <w:rPr>
          <w:rFonts w:ascii="GHEA Grapalat" w:hAnsi="GHEA Grapalat"/>
          <w:sz w:val="18"/>
          <w:szCs w:val="18"/>
        </w:rPr>
        <w:t>, Մշակութային արժեքների արտահանման կամ ժամանակավոր արտահանման իրավունքի վկայագիր տրամադրելու</w:t>
      </w:r>
      <w:r>
        <w:rPr>
          <w:rFonts w:ascii="GHEA Grapalat" w:hAnsi="GHEA Grapalat"/>
          <w:sz w:val="18"/>
          <w:szCs w:val="18"/>
        </w:rPr>
        <w:t xml:space="preserve"> (8</w:t>
      </w:r>
      <w:r>
        <w:rPr>
          <w:rFonts w:ascii="GHEA Grapalat" w:hAnsi="GHEA Grapalat"/>
          <w:sz w:val="18"/>
          <w:szCs w:val="18"/>
          <w:lang w:val="en-US"/>
        </w:rPr>
        <w:t>96</w:t>
      </w:r>
      <w:r>
        <w:rPr>
          <w:rFonts w:ascii="GHEA Grapalat" w:hAnsi="GHEA Grapalat"/>
          <w:sz w:val="18"/>
          <w:szCs w:val="18"/>
        </w:rPr>
        <w:t xml:space="preserve"> հազար դրամ) և</w:t>
      </w:r>
      <w:r w:rsidRPr="00317C8F">
        <w:rPr>
          <w:rFonts w:ascii="GHEA Grapalat" w:hAnsi="GHEA Grapalat"/>
          <w:sz w:val="18"/>
          <w:szCs w:val="18"/>
        </w:rPr>
        <w:t xml:space="preserve"> Գյուտերի, արդյունաբերական դիզայնների, բույսերի սորտերի, ապրանքային նշանների, աշխարհագրական նշումների, ծագման տեղանունների, երաշխավորված ավանդական արտադրանքի, ֆիրմային անվանումների, ինտեգրալ միկրոսխեմաների տոպոլոգիաների իրավական պահպանության հետ կապված իրավաբանական նշանակություն</w:t>
      </w:r>
      <w:r>
        <w:rPr>
          <w:rFonts w:ascii="GHEA Grapalat" w:hAnsi="GHEA Grapalat"/>
          <w:sz w:val="18"/>
          <w:szCs w:val="18"/>
        </w:rPr>
        <w:t xml:space="preserve"> ունեցող գործողությունների (3</w:t>
      </w:r>
      <w:r>
        <w:rPr>
          <w:rFonts w:ascii="GHEA Grapalat" w:hAnsi="GHEA Grapalat"/>
          <w:sz w:val="18"/>
          <w:szCs w:val="18"/>
          <w:lang w:val="en-US"/>
        </w:rPr>
        <w:t>33</w:t>
      </w:r>
      <w:r>
        <w:rPr>
          <w:rFonts w:ascii="GHEA Grapalat" w:hAnsi="GHEA Grapalat"/>
          <w:sz w:val="18"/>
          <w:szCs w:val="18"/>
        </w:rPr>
        <w:t>.</w:t>
      </w:r>
      <w:r>
        <w:rPr>
          <w:rFonts w:ascii="GHEA Grapalat" w:hAnsi="GHEA Grapalat"/>
          <w:sz w:val="18"/>
          <w:szCs w:val="18"/>
          <w:lang w:val="en-US"/>
        </w:rPr>
        <w:t>2</w:t>
      </w:r>
      <w:r>
        <w:rPr>
          <w:rFonts w:ascii="GHEA Grapalat" w:hAnsi="GHEA Grapalat"/>
          <w:sz w:val="18"/>
          <w:szCs w:val="18"/>
        </w:rPr>
        <w:t xml:space="preserve"> մլն դրամ) </w:t>
      </w:r>
      <w:r w:rsidRPr="00317C8F">
        <w:rPr>
          <w:rFonts w:ascii="GHEA Grapalat" w:hAnsi="GHEA Grapalat"/>
          <w:sz w:val="18"/>
          <w:szCs w:val="18"/>
        </w:rPr>
        <w:t xml:space="preserve">համար ՀՀ պետական բյուջե վճարվող պետական տուրքերը: </w:t>
      </w:r>
    </w:p>
  </w:footnote>
  <w:footnote w:id="36">
    <w:p w:rsidR="008333FB" w:rsidRDefault="008333FB" w:rsidP="00BC046A">
      <w:pPr>
        <w:ind w:right="9"/>
        <w:jc w:val="both"/>
      </w:pPr>
      <w:r w:rsidRPr="00637347">
        <w:rPr>
          <w:rStyle w:val="FootnoteReference"/>
          <w:sz w:val="18"/>
          <w:szCs w:val="18"/>
        </w:rPr>
        <w:footnoteRef/>
      </w:r>
      <w:r w:rsidRPr="00637347">
        <w:rPr>
          <w:rFonts w:ascii="GHEA Grapalat" w:hAnsi="GHEA Grapalat"/>
          <w:sz w:val="18"/>
          <w:szCs w:val="18"/>
        </w:rPr>
        <w:t xml:space="preserve"> </w:t>
      </w:r>
      <w:r w:rsidRPr="00637347">
        <w:rPr>
          <w:rFonts w:ascii="GHEA Grapalat" w:hAnsi="GHEA Grapalat" w:cs="Calibri"/>
          <w:bCs/>
          <w:sz w:val="18"/>
          <w:szCs w:val="18"/>
        </w:rPr>
        <w:t>Պետական բյուջե մուտքագրված դրամաշնորհների վերաբերյալ մանրամասն տեղեկատվությունը ներկայացված է հետևյալ տեղեկանքում՝</w:t>
      </w:r>
      <w:r>
        <w:rPr>
          <w:rFonts w:ascii="GHEA Grapalat" w:hAnsi="GHEA Grapalat" w:cs="Calibri"/>
          <w:bCs/>
          <w:sz w:val="18"/>
          <w:szCs w:val="18"/>
          <w:lang w:val="en-US"/>
        </w:rPr>
        <w:t xml:space="preserve"> </w:t>
      </w:r>
      <w:hyperlink r:id="rId14" w:history="1">
        <w:r w:rsidRPr="00637347">
          <w:rPr>
            <w:rStyle w:val="Hyperlink"/>
            <w:rFonts w:ascii="GHEA Grapalat" w:hAnsi="GHEA Grapalat" w:cs="Calibri"/>
            <w:bCs/>
            <w:sz w:val="18"/>
            <w:szCs w:val="18"/>
            <w:lang w:val="en-US"/>
          </w:rPr>
          <w:t>5.Տեղեկանքներ\11.Դրամաշնորհային մուտքեր.xls</w:t>
        </w:r>
      </w:hyperlink>
      <w:r w:rsidRPr="00637347">
        <w:rPr>
          <w:rFonts w:ascii="GHEA Grapalat" w:hAnsi="GHEA Grapalat" w:cs="Calibri"/>
          <w:bCs/>
          <w:sz w:val="18"/>
          <w:szCs w:val="18"/>
        </w:rPr>
        <w:t>:</w:t>
      </w:r>
    </w:p>
  </w:footnote>
  <w:footnote w:id="37">
    <w:p w:rsidR="008333FB" w:rsidRDefault="008333FB" w:rsidP="002C4D74">
      <w:pPr>
        <w:pStyle w:val="FootnoteText"/>
        <w:jc w:val="both"/>
      </w:pPr>
      <w:r w:rsidRPr="00637347">
        <w:rPr>
          <w:rStyle w:val="FootnoteReference"/>
          <w:rFonts w:ascii="GHEA Grapalat" w:hAnsi="GHEA Grapalat"/>
          <w:sz w:val="18"/>
          <w:szCs w:val="18"/>
        </w:rPr>
        <w:footnoteRef/>
      </w:r>
      <w:r w:rsidRPr="00637347">
        <w:rPr>
          <w:rFonts w:ascii="GHEA Grapalat" w:hAnsi="GHEA Grapalat"/>
          <w:sz w:val="18"/>
          <w:szCs w:val="18"/>
        </w:rPr>
        <w:t xml:space="preserve"> </w:t>
      </w:r>
      <w:r w:rsidRPr="00637347">
        <w:rPr>
          <w:rFonts w:ascii="GHEA Grapalat" w:hAnsi="GHEA Grapalat" w:cs="GHEA Grapalat"/>
          <w:sz w:val="18"/>
          <w:szCs w:val="18"/>
        </w:rPr>
        <w:t>ՀՀ պետական բյուջեի ծախսերն ըստ տնտեսագիտական դասակարգման ներկայացված են հետևյալ տեղեկանքում՝</w:t>
      </w:r>
      <w:r>
        <w:rPr>
          <w:rFonts w:ascii="GHEA Grapalat" w:hAnsi="GHEA Grapalat" w:cs="GHEA Grapalat"/>
          <w:sz w:val="18"/>
          <w:szCs w:val="18"/>
          <w:lang w:val="en-US"/>
        </w:rPr>
        <w:t xml:space="preserve"> </w:t>
      </w:r>
      <w:hyperlink r:id="rId15" w:history="1">
        <w:r w:rsidRPr="00637347">
          <w:rPr>
            <w:rStyle w:val="Hyperlink"/>
            <w:rFonts w:ascii="GHEA Grapalat" w:hAnsi="GHEA Grapalat" w:cs="GHEA Grapalat"/>
            <w:sz w:val="18"/>
            <w:szCs w:val="18"/>
            <w:lang w:val="en-US"/>
          </w:rPr>
          <w:t>5.Տեղեկանքներ\6.Ծախսեր_տնտեսագիտական դաս..xls</w:t>
        </w:r>
      </w:hyperlink>
      <w:r w:rsidRPr="00637347">
        <w:rPr>
          <w:rFonts w:ascii="GHEA Grapalat" w:hAnsi="GHEA Grapalat" w:cs="GHEA Grapalat"/>
          <w:sz w:val="18"/>
          <w:szCs w:val="18"/>
        </w:rPr>
        <w:t>:</w:t>
      </w:r>
    </w:p>
  </w:footnote>
  <w:footnote w:id="38">
    <w:p w:rsidR="008333FB" w:rsidRDefault="008333FB" w:rsidP="0000157A">
      <w:pPr>
        <w:pStyle w:val="FootnoteText"/>
        <w:jc w:val="both"/>
      </w:pPr>
      <w:r w:rsidRPr="00637347">
        <w:rPr>
          <w:rStyle w:val="FootnoteReference"/>
          <w:sz w:val="18"/>
          <w:szCs w:val="18"/>
        </w:rPr>
        <w:footnoteRef/>
      </w:r>
      <w:r w:rsidRPr="00637347">
        <w:rPr>
          <w:rFonts w:ascii="GHEA Grapalat" w:hAnsi="GHEA Grapalat"/>
          <w:sz w:val="18"/>
          <w:szCs w:val="18"/>
        </w:rPr>
        <w:t xml:space="preserve"> </w:t>
      </w:r>
      <w:r w:rsidRPr="00637347">
        <w:rPr>
          <w:rFonts w:ascii="GHEA Grapalat" w:hAnsi="GHEA Grapalat" w:cs="GHEA Grapalat"/>
          <w:sz w:val="18"/>
          <w:szCs w:val="18"/>
        </w:rPr>
        <w:t>Արտաքին աջակցությամբ իրականացվող</w:t>
      </w:r>
      <w:r w:rsidRPr="00637347">
        <w:rPr>
          <w:rFonts w:ascii="GHEA Grapalat" w:hAnsi="GHEA Grapalat" w:cs="Arial"/>
          <w:sz w:val="18"/>
          <w:szCs w:val="18"/>
        </w:rPr>
        <w:t xml:space="preserve"> վարկային և դրամաշնորհային ծրագրերի շրջանակներում կատարված ծախսերի վերաբերյալ տեղեկատվությունը ներկայացված է հետևյալ հավելվածներում՝</w:t>
      </w:r>
      <w:r>
        <w:rPr>
          <w:rFonts w:ascii="GHEA Grapalat" w:hAnsi="GHEA Grapalat" w:cs="Arial"/>
          <w:sz w:val="18"/>
          <w:szCs w:val="18"/>
          <w:lang w:val="en-US"/>
        </w:rPr>
        <w:t xml:space="preserve"> </w:t>
      </w:r>
      <w:hyperlink r:id="rId16" w:history="1">
        <w:r w:rsidRPr="00637347">
          <w:rPr>
            <w:rStyle w:val="Hyperlink"/>
            <w:rFonts w:ascii="GHEA Grapalat" w:hAnsi="GHEA Grapalat" w:cs="Arial"/>
            <w:sz w:val="18"/>
            <w:szCs w:val="18"/>
            <w:lang w:val="en-US"/>
          </w:rPr>
          <w:t>4.Հավելվածներ\5. Հավելված N1աղյուսակ N4 վարկային ծրագրեր.xls</w:t>
        </w:r>
      </w:hyperlink>
      <w:r>
        <w:rPr>
          <w:rFonts w:ascii="GHEA Grapalat" w:hAnsi="GHEA Grapalat" w:cs="Arial"/>
          <w:sz w:val="18"/>
          <w:szCs w:val="18"/>
          <w:lang w:val="en-US"/>
        </w:rPr>
        <w:t xml:space="preserve">, </w:t>
      </w:r>
      <w:hyperlink r:id="rId17" w:history="1">
        <w:r w:rsidRPr="00637347">
          <w:rPr>
            <w:rStyle w:val="Hyperlink"/>
            <w:rFonts w:ascii="GHEA Grapalat" w:hAnsi="GHEA Grapalat" w:cs="Arial"/>
            <w:sz w:val="18"/>
            <w:szCs w:val="18"/>
            <w:lang w:val="en-US"/>
          </w:rPr>
          <w:t>4.Հավելվածներ\6.Հավելված N1 աղյուսակ N5 դրամաշնորհային ծրագրեր.xls</w:t>
        </w:r>
      </w:hyperlink>
      <w:r>
        <w:rPr>
          <w:rFonts w:ascii="GHEA Grapalat" w:hAnsi="GHEA Grapalat" w:cs="Arial"/>
          <w:sz w:val="18"/>
          <w:szCs w:val="18"/>
          <w:lang w:val="en-US"/>
        </w:rPr>
        <w:t>:</w:t>
      </w:r>
    </w:p>
  </w:footnote>
  <w:footnote w:id="39">
    <w:p w:rsidR="008333FB" w:rsidRDefault="008333FB" w:rsidP="00DB57B3">
      <w:pPr>
        <w:autoSpaceDE w:val="0"/>
        <w:autoSpaceDN w:val="0"/>
        <w:adjustRightInd w:val="0"/>
        <w:jc w:val="both"/>
        <w:rPr>
          <w:rFonts w:ascii="GHEA Grapalat" w:hAnsi="GHEA Grapalat" w:cs="GHEA Grapalat"/>
          <w:sz w:val="18"/>
          <w:szCs w:val="18"/>
          <w:lang w:val="en-US"/>
        </w:rPr>
      </w:pPr>
      <w:r w:rsidRPr="00DB57B3">
        <w:rPr>
          <w:rStyle w:val="FootnoteReference"/>
          <w:sz w:val="18"/>
          <w:szCs w:val="18"/>
        </w:rPr>
        <w:footnoteRef/>
      </w:r>
      <w:r w:rsidRPr="00DB57B3">
        <w:rPr>
          <w:rFonts w:ascii="GHEA Grapalat" w:hAnsi="GHEA Grapalat"/>
          <w:sz w:val="18"/>
          <w:szCs w:val="18"/>
        </w:rPr>
        <w:t xml:space="preserve"> </w:t>
      </w:r>
      <w:r w:rsidRPr="00DB57B3">
        <w:rPr>
          <w:rFonts w:ascii="GHEA Grapalat" w:hAnsi="GHEA Grapalat" w:cs="GHEA Grapalat"/>
          <w:sz w:val="18"/>
          <w:szCs w:val="18"/>
        </w:rPr>
        <w:t xml:space="preserve">Բյուջետային </w:t>
      </w:r>
      <w:r w:rsidRPr="006E46AB">
        <w:rPr>
          <w:rFonts w:ascii="GHEA Grapalat" w:hAnsi="GHEA Grapalat" w:cs="GHEA Grapalat"/>
          <w:sz w:val="18"/>
          <w:szCs w:val="18"/>
        </w:rPr>
        <w:t>ծախս</w:t>
      </w:r>
      <w:r w:rsidRPr="00DB57B3">
        <w:rPr>
          <w:rFonts w:ascii="GHEA Grapalat" w:hAnsi="GHEA Grapalat" w:cs="GHEA Grapalat"/>
          <w:sz w:val="18"/>
          <w:szCs w:val="18"/>
        </w:rPr>
        <w:t xml:space="preserve">ային ծրագրերի </w:t>
      </w:r>
      <w:r w:rsidRPr="006E46AB">
        <w:rPr>
          <w:rFonts w:ascii="GHEA Grapalat" w:hAnsi="GHEA Grapalat" w:cs="GHEA Grapalat"/>
          <w:sz w:val="18"/>
          <w:szCs w:val="18"/>
        </w:rPr>
        <w:t>և</w:t>
      </w:r>
      <w:r w:rsidRPr="00DB57B3">
        <w:rPr>
          <w:rFonts w:ascii="GHEA Grapalat" w:hAnsi="GHEA Grapalat" w:cs="GHEA Grapalat"/>
          <w:sz w:val="18"/>
          <w:szCs w:val="18"/>
        </w:rPr>
        <w:t xml:space="preserve"> միջոցառումների գծով</w:t>
      </w:r>
      <w:r w:rsidRPr="006E46AB">
        <w:rPr>
          <w:rFonts w:ascii="GHEA Grapalat" w:hAnsi="GHEA Grapalat" w:cs="GHEA Grapalat"/>
          <w:sz w:val="18"/>
          <w:szCs w:val="18"/>
        </w:rPr>
        <w:t xml:space="preserve"> ֆինանսական և</w:t>
      </w:r>
      <w:r w:rsidRPr="00DB57B3">
        <w:rPr>
          <w:rFonts w:ascii="GHEA Grapalat" w:hAnsi="GHEA Grapalat" w:cs="GHEA Grapalat"/>
          <w:sz w:val="18"/>
          <w:szCs w:val="18"/>
        </w:rPr>
        <w:t xml:space="preserve"> արդյունքային</w:t>
      </w:r>
      <w:r w:rsidRPr="006E46AB">
        <w:rPr>
          <w:rFonts w:ascii="GHEA Grapalat" w:hAnsi="GHEA Grapalat" w:cs="GHEA Grapalat"/>
          <w:sz w:val="18"/>
          <w:szCs w:val="18"/>
        </w:rPr>
        <w:t xml:space="preserve"> </w:t>
      </w:r>
      <w:r w:rsidRPr="00DB57B3">
        <w:rPr>
          <w:rFonts w:ascii="GHEA Grapalat" w:hAnsi="GHEA Grapalat" w:cs="GHEA Grapalat"/>
          <w:sz w:val="18"/>
          <w:szCs w:val="18"/>
        </w:rPr>
        <w:t>(կատարողական) ցուցանիշներ</w:t>
      </w:r>
      <w:r w:rsidRPr="006E46AB">
        <w:rPr>
          <w:rFonts w:ascii="GHEA Grapalat" w:hAnsi="GHEA Grapalat" w:cs="GHEA Grapalat"/>
          <w:sz w:val="18"/>
          <w:szCs w:val="18"/>
        </w:rPr>
        <w:t xml:space="preserve">ի վերաբերյալ տեղեկատվությունը ներկայացված է հետևյալ հավելվածներում՝ </w:t>
      </w:r>
    </w:p>
    <w:p w:rsidR="008333FB" w:rsidRPr="00637347" w:rsidRDefault="008333FB" w:rsidP="00DB57B3">
      <w:pPr>
        <w:autoSpaceDE w:val="0"/>
        <w:autoSpaceDN w:val="0"/>
        <w:adjustRightInd w:val="0"/>
        <w:jc w:val="both"/>
        <w:rPr>
          <w:rFonts w:ascii="GHEA Grapalat" w:hAnsi="GHEA Grapalat" w:cs="GHEA Grapalat"/>
          <w:sz w:val="18"/>
          <w:szCs w:val="18"/>
          <w:lang w:val="en-US"/>
        </w:rPr>
      </w:pPr>
      <w:hyperlink r:id="rId18" w:history="1">
        <w:r w:rsidRPr="00637347">
          <w:rPr>
            <w:rStyle w:val="Hyperlink"/>
            <w:rFonts w:ascii="GHEA Grapalat" w:hAnsi="GHEA Grapalat" w:cs="GHEA Grapalat"/>
            <w:sz w:val="18"/>
            <w:szCs w:val="18"/>
          </w:rPr>
          <w:t>4.Հավելվածներ\2.Հավելված N1 աղյուսակ N1_ծախսերն ըստ ծրագրերի.xls</w:t>
        </w:r>
      </w:hyperlink>
      <w:r>
        <w:rPr>
          <w:rFonts w:ascii="GHEA Grapalat" w:hAnsi="GHEA Grapalat" w:cs="GHEA Grapalat"/>
          <w:sz w:val="18"/>
          <w:szCs w:val="18"/>
          <w:lang w:val="en-US"/>
        </w:rPr>
        <w:t>,</w:t>
      </w:r>
    </w:p>
    <w:p w:rsidR="008333FB" w:rsidRPr="00637347" w:rsidRDefault="008333FB" w:rsidP="00DB57B3">
      <w:pPr>
        <w:autoSpaceDE w:val="0"/>
        <w:autoSpaceDN w:val="0"/>
        <w:adjustRightInd w:val="0"/>
        <w:jc w:val="both"/>
        <w:rPr>
          <w:rStyle w:val="Hyperlink"/>
          <w:rFonts w:ascii="GHEA Grapalat" w:hAnsi="GHEA Grapalat" w:cs="GHEA Grapalat"/>
          <w:sz w:val="18"/>
          <w:szCs w:val="18"/>
          <w:lang w:val="en-US"/>
        </w:rPr>
      </w:pPr>
      <w:hyperlink r:id="rId19" w:history="1">
        <w:r w:rsidRPr="00637347">
          <w:rPr>
            <w:rStyle w:val="Hyperlink"/>
            <w:rFonts w:ascii="GHEA Grapalat" w:hAnsi="GHEA Grapalat" w:cs="GHEA Grapalat"/>
            <w:sz w:val="18"/>
            <w:szCs w:val="18"/>
            <w:lang w:val="en-US"/>
          </w:rPr>
          <w:t>4.Հավելվածներ\3.Հավելված N1 աղյուսակ N2_ծախսերն ըստ ծրագրերի և միջոցառումների.xls</w:t>
        </w:r>
      </w:hyperlink>
      <w:r>
        <w:rPr>
          <w:rStyle w:val="Hyperlink"/>
          <w:rFonts w:ascii="GHEA Grapalat" w:hAnsi="GHEA Grapalat" w:cs="GHEA Grapalat"/>
          <w:sz w:val="18"/>
          <w:szCs w:val="18"/>
          <w:lang w:val="en-US"/>
        </w:rPr>
        <w:t>,</w:t>
      </w:r>
    </w:p>
    <w:p w:rsidR="008333FB" w:rsidRPr="00637347" w:rsidRDefault="008333FB" w:rsidP="00DB57B3">
      <w:pPr>
        <w:autoSpaceDE w:val="0"/>
        <w:autoSpaceDN w:val="0"/>
        <w:adjustRightInd w:val="0"/>
        <w:jc w:val="both"/>
        <w:rPr>
          <w:rStyle w:val="Hyperlink"/>
          <w:rFonts w:ascii="GHEA Grapalat" w:hAnsi="GHEA Grapalat" w:cs="GHEA Grapalat"/>
          <w:sz w:val="18"/>
          <w:szCs w:val="18"/>
          <w:lang w:val="en-US"/>
        </w:rPr>
      </w:pPr>
      <w:hyperlink r:id="rId20" w:history="1">
        <w:r w:rsidRPr="00637347">
          <w:rPr>
            <w:rStyle w:val="Hyperlink"/>
            <w:rFonts w:ascii="GHEA Grapalat" w:hAnsi="GHEA Grapalat" w:cs="GHEA Grapalat"/>
            <w:sz w:val="18"/>
            <w:szCs w:val="18"/>
          </w:rPr>
          <w:t>5.Տեղեկանքներ\3.Ծախսեր_ըստ ՊԾՄԿՀ.xls</w:t>
        </w:r>
      </w:hyperlink>
      <w:r>
        <w:rPr>
          <w:rStyle w:val="Hyperlink"/>
          <w:rFonts w:ascii="GHEA Grapalat" w:hAnsi="GHEA Grapalat" w:cs="GHEA Grapalat"/>
          <w:sz w:val="18"/>
          <w:szCs w:val="18"/>
          <w:lang w:val="en-US"/>
        </w:rPr>
        <w:t>,</w:t>
      </w:r>
    </w:p>
    <w:p w:rsidR="008333FB" w:rsidRPr="00637347" w:rsidRDefault="008333FB" w:rsidP="00DB57B3">
      <w:pPr>
        <w:autoSpaceDE w:val="0"/>
        <w:autoSpaceDN w:val="0"/>
        <w:adjustRightInd w:val="0"/>
        <w:jc w:val="both"/>
        <w:rPr>
          <w:rStyle w:val="Hyperlink"/>
          <w:rFonts w:ascii="GHEA Grapalat" w:hAnsi="GHEA Grapalat" w:cs="GHEA Grapalat"/>
          <w:sz w:val="18"/>
          <w:szCs w:val="18"/>
          <w:lang w:val="en-US"/>
        </w:rPr>
      </w:pPr>
      <w:hyperlink r:id="rId21" w:history="1">
        <w:r w:rsidRPr="00637347">
          <w:rPr>
            <w:rStyle w:val="Hyperlink"/>
            <w:rFonts w:ascii="GHEA Grapalat" w:hAnsi="GHEA Grapalat" w:cs="GHEA Grapalat"/>
            <w:sz w:val="18"/>
            <w:szCs w:val="18"/>
          </w:rPr>
          <w:t>6.Արդյունքային ցուցանիշներ-հավելված 9\2.Արդյունքային ցուցանիշներ_ըստ պատասխանատուների.xls</w:t>
        </w:r>
      </w:hyperlink>
      <w:r>
        <w:rPr>
          <w:rStyle w:val="Hyperlink"/>
          <w:rFonts w:ascii="GHEA Grapalat" w:hAnsi="GHEA Grapalat" w:cs="GHEA Grapalat"/>
          <w:sz w:val="18"/>
          <w:szCs w:val="18"/>
          <w:lang w:val="en-US"/>
        </w:rPr>
        <w:t>,</w:t>
      </w:r>
    </w:p>
    <w:p w:rsidR="008333FB" w:rsidRDefault="008333FB" w:rsidP="00DB57B3">
      <w:pPr>
        <w:autoSpaceDE w:val="0"/>
        <w:autoSpaceDN w:val="0"/>
        <w:adjustRightInd w:val="0"/>
        <w:jc w:val="both"/>
      </w:pPr>
      <w:hyperlink r:id="rId22" w:history="1">
        <w:r w:rsidRPr="00637347">
          <w:rPr>
            <w:rStyle w:val="Hyperlink"/>
            <w:rFonts w:ascii="GHEA Grapalat" w:hAnsi="GHEA Grapalat" w:cs="GHEA Grapalat"/>
            <w:sz w:val="18"/>
            <w:szCs w:val="18"/>
          </w:rPr>
          <w:t>7.Արդյունքային ցուցանիշներ-հավելված 9.1\2.Արդյունքային ցուցանիշներ_ըստ կատարողների.xls</w:t>
        </w:r>
      </w:hyperlink>
      <w:r w:rsidRPr="006E46AB">
        <w:rPr>
          <w:rFonts w:ascii="GHEA Grapalat" w:hAnsi="GHEA Grapalat" w:cs="GHEA Grapalat"/>
          <w:sz w:val="18"/>
          <w:szCs w:val="18"/>
        </w:rPr>
        <w:t>:</w:t>
      </w:r>
    </w:p>
  </w:footnote>
  <w:footnote w:id="40">
    <w:p w:rsidR="008333FB" w:rsidRDefault="008333FB" w:rsidP="00056123">
      <w:pPr>
        <w:pStyle w:val="FootnoteText"/>
      </w:pPr>
      <w:r>
        <w:rPr>
          <w:rStyle w:val="FootnoteReference"/>
        </w:rPr>
        <w:footnoteRef/>
      </w:r>
      <w:r>
        <w:t xml:space="preserve"> </w:t>
      </w:r>
      <w:r>
        <w:rPr>
          <w:rFonts w:ascii="GHEA Grapalat" w:hAnsi="GHEA Grapalat"/>
        </w:rPr>
        <w:t>Պարտքի սպասարկման ծախսերի առավել մանրամասն վերլուծությունը ներկայացված է պետական բյուջեի ծախսերի տնտեսագիտական դասակարգման վերլուծության բաժնում:</w:t>
      </w:r>
    </w:p>
  </w:footnote>
  <w:footnote w:id="41">
    <w:p w:rsidR="008333FB" w:rsidRDefault="008333FB" w:rsidP="00422921">
      <w:pPr>
        <w:pStyle w:val="FootnoteText"/>
        <w:jc w:val="both"/>
      </w:pPr>
      <w:r w:rsidRPr="00E309DA">
        <w:rPr>
          <w:rStyle w:val="FootnoteReference"/>
          <w:rFonts w:ascii="GHEA Grapalat" w:hAnsi="GHEA Grapalat"/>
        </w:rPr>
        <w:footnoteRef/>
      </w:r>
      <w:r w:rsidRPr="00E309DA">
        <w:rPr>
          <w:rFonts w:ascii="GHEA Grapalat" w:hAnsi="GHEA Grapalat"/>
        </w:rPr>
        <w:t xml:space="preserve"> </w:t>
      </w:r>
      <w:r w:rsidRPr="00E309DA">
        <w:rPr>
          <w:rFonts w:ascii="GHEA Grapalat" w:hAnsi="GHEA Grapalat"/>
          <w:lang w:val="en-US"/>
        </w:rPr>
        <w:t>ՀՀ կառավարության պահուստային ֆոնդից կատարված վերաբաշխումների վերաբերյալ մանրամասն տեղեկատվությունը ներկայացված է հետևյալ տեղեկանքներում`</w:t>
      </w:r>
      <w:r>
        <w:rPr>
          <w:rFonts w:ascii="GHEA Grapalat" w:hAnsi="GHEA Grapalat"/>
          <w:lang w:val="en-US"/>
        </w:rPr>
        <w:t xml:space="preserve"> </w:t>
      </w:r>
      <w:hyperlink r:id="rId23" w:history="1">
        <w:r w:rsidRPr="00E309DA">
          <w:rPr>
            <w:rStyle w:val="Hyperlink"/>
            <w:rFonts w:ascii="GHEA Grapalat" w:hAnsi="GHEA Grapalat"/>
            <w:lang w:val="en-US"/>
          </w:rPr>
          <w:t>5.Տեղեկանքներ\14.Պահուստային ֆոնդ-ՊՈԾՄԿ.xls</w:t>
        </w:r>
      </w:hyperlink>
      <w:r>
        <w:rPr>
          <w:rFonts w:ascii="GHEA Grapalat" w:hAnsi="GHEA Grapalat"/>
          <w:lang w:val="en-US"/>
        </w:rPr>
        <w:t xml:space="preserve">, </w:t>
      </w:r>
      <w:hyperlink r:id="rId24" w:history="1">
        <w:r w:rsidRPr="00E309DA">
          <w:rPr>
            <w:rStyle w:val="Hyperlink"/>
            <w:rFonts w:ascii="GHEA Grapalat" w:hAnsi="GHEA Grapalat"/>
            <w:lang w:val="en-US"/>
          </w:rPr>
          <w:t>5.Տեղեկանքներ\15. Պահուստային ֆոնդ-ՈՊԾՄԿՀ.xls</w:t>
        </w:r>
      </w:hyperlink>
      <w:r>
        <w:rPr>
          <w:rFonts w:ascii="GHEA Grapalat" w:hAnsi="GHEA Grapalat"/>
          <w:lang w:val="en-US"/>
        </w:rPr>
        <w:t>:</w:t>
      </w:r>
      <w:r w:rsidRPr="00E309DA">
        <w:rPr>
          <w:rFonts w:ascii="GHEA Grapalat" w:hAnsi="GHEA Grapalat"/>
          <w:lang w:val="en-US"/>
        </w:rPr>
        <w:t xml:space="preserve"> </w:t>
      </w:r>
    </w:p>
  </w:footnote>
  <w:footnote w:id="42">
    <w:p w:rsidR="008333FB" w:rsidRDefault="008333FB" w:rsidP="00BA6025">
      <w:pPr>
        <w:autoSpaceDE w:val="0"/>
        <w:autoSpaceDN w:val="0"/>
        <w:adjustRightInd w:val="0"/>
        <w:jc w:val="both"/>
      </w:pPr>
      <w:r w:rsidRPr="001E58AB">
        <w:rPr>
          <w:rStyle w:val="FootnoteReference"/>
          <w:rFonts w:ascii="GHEA Grapalat" w:hAnsi="GHEA Grapalat"/>
          <w:sz w:val="18"/>
          <w:szCs w:val="18"/>
        </w:rPr>
        <w:footnoteRef/>
      </w:r>
      <w:r w:rsidRPr="001E58AB">
        <w:rPr>
          <w:rFonts w:ascii="GHEA Grapalat" w:hAnsi="GHEA Grapalat"/>
          <w:sz w:val="18"/>
          <w:szCs w:val="18"/>
        </w:rPr>
        <w:t xml:space="preserve"> </w:t>
      </w:r>
      <w:r w:rsidRPr="006E46AB">
        <w:rPr>
          <w:rFonts w:ascii="GHEA Grapalat" w:hAnsi="GHEA Grapalat"/>
          <w:sz w:val="18"/>
          <w:szCs w:val="18"/>
        </w:rPr>
        <w:t>Պակասուրդի ֆինանսավորման աղբյուրների մասին մանրամասն տեղեկատվությունը ներկայացված է հետևյալ հավելվածում՝</w:t>
      </w:r>
      <w:r>
        <w:rPr>
          <w:rFonts w:ascii="GHEA Grapalat" w:hAnsi="GHEA Grapalat"/>
          <w:sz w:val="18"/>
          <w:szCs w:val="18"/>
          <w:lang w:val="en-US"/>
        </w:rPr>
        <w:t xml:space="preserve"> </w:t>
      </w:r>
      <w:hyperlink r:id="rId25" w:history="1">
        <w:r w:rsidRPr="00E309DA">
          <w:rPr>
            <w:rStyle w:val="Hyperlink"/>
            <w:rFonts w:ascii="GHEA Grapalat" w:hAnsi="GHEA Grapalat"/>
            <w:sz w:val="18"/>
            <w:szCs w:val="18"/>
          </w:rPr>
          <w:t>4.Հավելվածներ\11.Հավելված 3_դեֆիցիտի ֆին. աղբյուրներ.xls</w:t>
        </w:r>
      </w:hyperlink>
      <w:r w:rsidRPr="006E46AB">
        <w:rPr>
          <w:rFonts w:ascii="GHEA Grapalat" w:hAnsi="GHEA Grapalat"/>
          <w:sz w:val="18"/>
          <w:szCs w:val="18"/>
        </w:rPr>
        <w:t xml:space="preserve">, իսկ ֆինանսական ակտիվների ձեռքբերման և ներգրավված փոխառու միջոցների մարման գծով ելքերի արդյունքային ցուցանիշները՝ հետևյալ </w:t>
      </w:r>
      <w:r w:rsidRPr="001E58AB">
        <w:rPr>
          <w:rFonts w:ascii="GHEA Grapalat" w:hAnsi="GHEA Grapalat"/>
          <w:sz w:val="18"/>
          <w:szCs w:val="18"/>
        </w:rPr>
        <w:t>տեղեկանքում</w:t>
      </w:r>
      <w:r w:rsidRPr="006E46AB">
        <w:rPr>
          <w:rFonts w:ascii="GHEA Grapalat" w:hAnsi="GHEA Grapalat"/>
          <w:sz w:val="18"/>
          <w:szCs w:val="18"/>
        </w:rPr>
        <w:t>՝</w:t>
      </w:r>
      <w:r>
        <w:rPr>
          <w:rFonts w:ascii="GHEA Grapalat" w:hAnsi="GHEA Grapalat"/>
          <w:sz w:val="18"/>
          <w:szCs w:val="18"/>
          <w:lang w:val="en-US"/>
        </w:rPr>
        <w:t xml:space="preserve"> </w:t>
      </w:r>
      <w:hyperlink r:id="rId26" w:history="1">
        <w:r w:rsidRPr="00E309DA">
          <w:rPr>
            <w:rStyle w:val="Hyperlink"/>
            <w:rFonts w:ascii="GHEA Grapalat" w:hAnsi="GHEA Grapalat"/>
            <w:sz w:val="18"/>
            <w:szCs w:val="18"/>
            <w:lang w:val="en-US"/>
          </w:rPr>
          <w:t>5.Տեղեկանքներ\7.Դեֆիցիտ_արդյունքային ցուցանիշներ.xlsx</w:t>
        </w:r>
      </w:hyperlink>
      <w:r w:rsidRPr="006E46AB">
        <w:rPr>
          <w:rFonts w:ascii="GHEA Grapalat" w:hAnsi="GHEA Grapalat"/>
          <w:sz w:val="18"/>
          <w:szCs w:val="18"/>
        </w:rPr>
        <w:t>:</w:t>
      </w:r>
    </w:p>
  </w:footnote>
  <w:footnote w:id="43">
    <w:p w:rsidR="008333FB" w:rsidRDefault="008333FB" w:rsidP="001E58AB">
      <w:pPr>
        <w:autoSpaceDE w:val="0"/>
        <w:autoSpaceDN w:val="0"/>
        <w:adjustRightInd w:val="0"/>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Պետական պարտքի վերաբերյալ առավել մանրամասն տեղեկատվությունը ներկայացված է հետևյալ տեղեկանքում՝</w:t>
      </w:r>
      <w:r>
        <w:rPr>
          <w:rStyle w:val="Hyperlink"/>
          <w:rFonts w:ascii="GHEA Grapalat" w:hAnsi="GHEA Grapalat"/>
          <w:sz w:val="18"/>
          <w:szCs w:val="18"/>
          <w:lang w:val="en-US"/>
        </w:rPr>
        <w:t xml:space="preserve"> </w:t>
      </w:r>
      <w:hyperlink r:id="rId27" w:history="1">
        <w:r w:rsidRPr="00175B65">
          <w:rPr>
            <w:rStyle w:val="Hyperlink"/>
            <w:rFonts w:ascii="GHEA Grapalat" w:hAnsi="GHEA Grapalat"/>
            <w:sz w:val="18"/>
            <w:szCs w:val="18"/>
            <w:lang w:val="en-US"/>
          </w:rPr>
          <w:t>5.Տեղեկանքներ\9.Պետական պարտք.xls</w:t>
        </w:r>
      </w:hyperlink>
      <w:r w:rsidRPr="00E309DA">
        <w:rPr>
          <w:rFonts w:ascii="GHEA Grapalat" w:hAnsi="GHEA Grapalat"/>
          <w:sz w:val="18"/>
          <w:szCs w:val="18"/>
          <w:lang w:val="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FB" w:rsidRDefault="008333FB">
    <w:pPr>
      <w:pStyle w:val="Header"/>
      <w:jc w:val="right"/>
    </w:pPr>
    <w:r>
      <w:rPr>
        <w:lang w:val="en-US"/>
      </w:rPr>
      <mc:AlternateContent>
        <mc:Choice Requires="wps">
          <w:drawing>
            <wp:anchor distT="4294967295" distB="4294967295" distL="114300" distR="114300" simplePos="0" relativeHeight="251658752" behindDoc="0" locked="0" layoutInCell="1" allowOverlap="1" wp14:anchorId="11E1B3FE" wp14:editId="1AC2E487">
              <wp:simplePos x="0" y="0"/>
              <wp:positionH relativeFrom="column">
                <wp:posOffset>0</wp:posOffset>
              </wp:positionH>
              <wp:positionV relativeFrom="paragraph">
                <wp:posOffset>73659</wp:posOffset>
              </wp:positionV>
              <wp:extent cx="6515100" cy="0"/>
              <wp:effectExtent l="0" t="19050" r="19050" b="19050"/>
              <wp:wrapNone/>
              <wp:docPr id="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C9B5D"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OHwIAADoEAAAOAAAAZHJzL2Uyb0RvYy54bWysU8uO2jAU3VfqP1jeQxIaGCYijKoEuqEd&#10;pGE+wNgOscaxLdsQUNV/77V5tHQ2VdUsHD/OPT73nuvZ07GT6MCtE1qVOBumGHFFNRNqV+LXzXIw&#10;xch5ohiRWvESn7jDT/OPH2a9KfhIt1oybhGQKFf0psSt96ZIEkdb3hE31IYrOGy07YiHpd0lzJIe&#10;2DuZjNJ0kvTaMmM15c7Bbn0+xPPI3zSc+uemcdwjWWLQ5uNo47gNYzKfkWJniWkFvcgg/6CiI0LB&#10;pTeqmniC9la8o+oEtdrpxg+p7hLdNILymANkk6V/ZPPSEsNjLlAcZ25lcv+Pln47rC0SrMRglCId&#10;WLQSiqMsVKY3rgBApdY25EaP6sWsNH1zSOmqJWrHo8LNyUBYjEjuQsLCGeDf9l81AwzZex3LdGxs&#10;FyihAOgY3Tjd3OBHjyhsTsbZOEvBNHo9S0hxDTTW+S9cdyhMSixBcyQmh5XzIB2gV0i4R+mlkDKa&#10;LRXqSzx+yMaBujOQum+F2kADvEUKp6VgAR4Cnd1tK2nRgYQGil+oDNDfwazeKxbpW07Y4jL3RMjz&#10;HPBSBT5IDgReZucO+f6YPi6mi2k+yEeTxSBP63rweVnlg8kyexjXn+qqqrMfQVqWF61gjKug7tqt&#10;Wf533XB5N+c+u/XrrTDJPXtMEcRe/1F0dDcYem6NrWantQ3VCEZDg0bw5TGFF/D7OqJ+Pfn5TwAA&#10;AP//AwBQSwMEFAAGAAgAAAAhAGct7K3dAAAABwEAAA8AAABkcnMvZG93bnJldi54bWxMj01PwzAM&#10;hu+T+A+RkbhMLN2Qqqo0ndAEFw5I+zjALWtMW9E4XZKthV+Ppx22o5/Xev24WI62Eyf0oXWkYD5L&#10;QCBVzrRUK9ht3x4zECFqMrpzhAp+McCyvJsUOjduoDWeNrEWXEIh1wqaGPtcylA1aHWYuR6Js2/n&#10;rY48+loarwcut51cJEkqrW6JLzS6x1WD1c/maBWYdQivqzH7e/rw74fDZzb9GrZTpR7ux5dnEBHH&#10;eF2Gsz6rQ8lOe3ckE0SngB+JTOcpiHOaLFIm+wuRZSFv/ct/AAAA//8DAFBLAQItABQABgAIAAAA&#10;IQC2gziS/gAAAOEBAAATAAAAAAAAAAAAAAAAAAAAAABbQ29udGVudF9UeXBlc10ueG1sUEsBAi0A&#10;FAAGAAgAAAAhADj9If/WAAAAlAEAAAsAAAAAAAAAAAAAAAAALwEAAF9yZWxzLy5yZWxzUEsBAi0A&#10;FAAGAAgAAAAhABLr5E4fAgAAOgQAAA4AAAAAAAAAAAAAAAAALgIAAGRycy9lMm9Eb2MueG1sUEsB&#10;Ai0AFAAGAAgAAAAhAGct7K3dAAAABwEAAA8AAAAAAAAAAAAAAAAAeQQAAGRycy9kb3ducmV2Lnht&#10;bFBLBQYAAAAABAAEAPMAAACDBQAAAAA=&#10;" strokeweight="4.5pt">
              <v:stroke linestyle="thinThick"/>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A3B" w:rsidRPr="001D1392" w:rsidRDefault="00AD7A3B" w:rsidP="002F4C8D">
    <w:pPr>
      <w:pStyle w:val="Header"/>
      <w:jc w:val="right"/>
      <w:rPr>
        <w:rFonts w:ascii="GHEA Grapalat" w:hAnsi="GHEA Grapalat"/>
        <w:b/>
        <w:bCs/>
        <w:i/>
        <w:iCs/>
        <w:sz w:val="18"/>
        <w:lang w:val="en-US"/>
      </w:rPr>
    </w:pPr>
    <w:r>
      <w:rPr>
        <w:rFonts w:ascii="GHEA Grapalat" w:hAnsi="GHEA Grapalat"/>
        <w:b/>
        <w:bCs/>
        <w:i/>
        <w:iCs/>
        <w:sz w:val="18"/>
        <w:lang w:val="en-US"/>
      </w:rPr>
      <w:t>ՕԳՏԱԳՈՐԾՎԱԾ ՀԱՊԱՎՈՒՄՆԵՐ</w:t>
    </w:r>
  </w:p>
  <w:p w:rsidR="00AD7A3B" w:rsidRDefault="00AD7A3B">
    <w:pPr>
      <w:pStyle w:val="Header"/>
      <w:jc w:val="right"/>
    </w:pPr>
    <w:r>
      <w:rPr>
        <w:lang w:val="en-US"/>
      </w:rPr>
      <mc:AlternateContent>
        <mc:Choice Requires="wps">
          <w:drawing>
            <wp:anchor distT="4294967295" distB="4294967295" distL="114300" distR="114300" simplePos="0" relativeHeight="251653632" behindDoc="0" locked="0" layoutInCell="1" allowOverlap="1" wp14:anchorId="41C5CCEF" wp14:editId="5C53C803">
              <wp:simplePos x="0" y="0"/>
              <wp:positionH relativeFrom="column">
                <wp:posOffset>0</wp:posOffset>
              </wp:positionH>
              <wp:positionV relativeFrom="paragraph">
                <wp:posOffset>73659</wp:posOffset>
              </wp:positionV>
              <wp:extent cx="6515100" cy="0"/>
              <wp:effectExtent l="0" t="19050" r="19050"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DF8AE" id="Line 2"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lCHQIAADoEAAAOAAAAZHJzL2Uyb0RvYy54bWysU02P2jAQvVfqf7B8hySUr40IqyqBXmgX&#10;aekPMLZDrHVsyzYEVPW/d2wIYttLVTUHZ2zPPL+ZebN4PrcSnbh1QqsCZ8MUI66oZkIdCvx9tx7M&#10;MXKeKEakVrzAF+7w8/Ljh0Vncj7SjZaMWwQgyuWdKXDjvcmTxNGGt8QNteEKLmttW+Jhaw8Js6QD&#10;9FYmozSdJp22zFhNuXNwWl0v8TLi1zWn/qWuHfdIFhi4+bjauO7DmiwXJD9YYhpBbzTIP7BoiVDw&#10;6B2qIp6goxV/QLWCWu107YdUt4mua0F5zAGyydLfsnltiOExFyiOM/cyuf8HS7+dthYJVuAZRoq0&#10;0KKNUByNQmU643JwKNXWhtzoWb2ajaZvDildNkQdeGS4uxgIy0JE8i4kbJwB/H33VTPwIUevY5nO&#10;tW0DJBQAnWM3Lvdu8LNHFA6nk2ySpdA02t8lJO8DjXX+C9ctCkaBJXCOwOS0cT4QIXnvEt5Rei2k&#10;jM2WCnUFnsyySYBuDaTuG6F2IIC3COG0FCy4h0BnD/tSWnQiQUDxi3nCzaOb1UfFInzDCVvdbE+E&#10;vNpAR6qAB8kBwZt1VciPp/RpNV/Nx4PxaLoajNOqGnxel+PBdJ3NJtWnqiyr7Geglo3zRjDGVWDX&#10;qzUb/50abnNz1dldr/fCJO/RYwWBbP+PpGN3Q0Ov0thrdtnavusg0Oh8G6YwAY97sB9HfvkLAAD/&#10;/wMAUEsDBBQABgAIAAAAIQBnLeyt3QAAAAcBAAAPAAAAZHJzL2Rvd25yZXYueG1sTI9NT8MwDIbv&#10;k/gPkZG4TCzdkKqqNJ3QBBcOSPs4wC1rTFvROF2SrYVfj6cdtqOf13r9uFiOthMn9KF1pGA+S0Ag&#10;Vc60VCvYbd8eMxAhajK6c4QKfjHAsrybFDo3bqA1njaxFlxCIdcKmhj7XMpQNWh1mLkeibNv562O&#10;PPpaGq8HLredXCRJKq1uiS80usdVg9XP5mgVmHUIr6sx+3v68O+Hw2c2/Rq2U6Ue7seXZxARx3hd&#10;hrM+q0PJTnt3JBNEp4AfiUznKYhzmixSJvsLkWUhb/3LfwAAAP//AwBQSwECLQAUAAYACAAAACEA&#10;toM4kv4AAADhAQAAEwAAAAAAAAAAAAAAAAAAAAAAW0NvbnRlbnRfVHlwZXNdLnhtbFBLAQItABQA&#10;BgAIAAAAIQA4/SH/1gAAAJQBAAALAAAAAAAAAAAAAAAAAC8BAABfcmVscy8ucmVsc1BLAQItABQA&#10;BgAIAAAAIQD3FDlCHQIAADoEAAAOAAAAAAAAAAAAAAAAAC4CAABkcnMvZTJvRG9jLnhtbFBLAQIt&#10;ABQABgAIAAAAIQBnLeyt3QAAAAcBAAAPAAAAAAAAAAAAAAAAAHcEAABkcnMvZG93bnJldi54bWxQ&#10;SwUGAAAAAAQABADzAAAAgQUAAAAA&#10;" strokeweight="4.5pt">
              <v:stroke linestyle="thinThick"/>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A3B" w:rsidRPr="001D1392" w:rsidRDefault="00AD7A3B" w:rsidP="002F4C8D">
    <w:pPr>
      <w:pStyle w:val="Header"/>
      <w:jc w:val="right"/>
      <w:rPr>
        <w:rFonts w:ascii="GHEA Grapalat" w:hAnsi="GHEA Grapalat"/>
        <w:b/>
        <w:bCs/>
        <w:i/>
        <w:iCs/>
        <w:sz w:val="18"/>
        <w:lang w:val="en-US"/>
      </w:rPr>
    </w:pPr>
    <w:r>
      <w:rPr>
        <w:rFonts w:ascii="GHEA Grapalat" w:hAnsi="GHEA Grapalat"/>
        <w:b/>
        <w:bCs/>
        <w:i/>
        <w:iCs/>
        <w:sz w:val="18"/>
        <w:lang w:val="en-US"/>
      </w:rPr>
      <w:t>ՀԱՅԱՍՏԱՆԻ ՀԱՆՐԱՊԵՏՈՒԹՅԱՆ 2022 ԹՎԱԿԱՆԻ ՊԵՏԱԿԱՆ ԲՅՈՒՋԵԻ ԿԱՏԱՐՄԱՆ ԱՄՓՈՓԱԳԻՐ</w:t>
    </w:r>
  </w:p>
  <w:p w:rsidR="00AD7A3B" w:rsidRDefault="00AD7A3B">
    <w:pPr>
      <w:pStyle w:val="Header"/>
      <w:jc w:val="right"/>
    </w:pPr>
    <w:r>
      <w:rPr>
        <w:lang w:val="en-US"/>
      </w:rPr>
      <mc:AlternateContent>
        <mc:Choice Requires="wps">
          <w:drawing>
            <wp:anchor distT="4294967295" distB="4294967295" distL="114300" distR="114300" simplePos="0" relativeHeight="251660800" behindDoc="0" locked="0" layoutInCell="1" allowOverlap="1" wp14:anchorId="152CF71B" wp14:editId="79107C61">
              <wp:simplePos x="0" y="0"/>
              <wp:positionH relativeFrom="column">
                <wp:posOffset>0</wp:posOffset>
              </wp:positionH>
              <wp:positionV relativeFrom="paragraph">
                <wp:posOffset>73659</wp:posOffset>
              </wp:positionV>
              <wp:extent cx="6515100" cy="0"/>
              <wp:effectExtent l="0" t="1905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40480"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is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l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2yQIrB4CAAA6BAAADgAAAAAAAAAAAAAAAAAuAgAAZHJzL2Uyb0RvYy54bWxQSwEC&#10;LQAUAAYACAAAACEAZy3srd0AAAAHAQAADwAAAAAAAAAAAAAAAAB4BAAAZHJzL2Rvd25yZXYueG1s&#10;UEsFBgAAAAAEAAQA8wAAAIIFAAAAAA==&#10;" strokeweight="4.5pt">
              <v:stroke linestyle="thinThick"/>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A3B" w:rsidRPr="001D1392" w:rsidRDefault="00AD7A3B" w:rsidP="002F4C8D">
    <w:pPr>
      <w:pStyle w:val="Header"/>
      <w:jc w:val="right"/>
      <w:rPr>
        <w:rFonts w:ascii="GHEA Grapalat" w:hAnsi="GHEA Grapalat"/>
        <w:b/>
        <w:bCs/>
        <w:i/>
        <w:iCs/>
        <w:sz w:val="18"/>
        <w:lang w:val="en-US"/>
      </w:rPr>
    </w:pPr>
    <w:r w:rsidRPr="001D1392">
      <w:rPr>
        <w:rFonts w:ascii="GHEA Grapalat" w:hAnsi="GHEA Grapalat"/>
        <w:b/>
        <w:bCs/>
        <w:i/>
        <w:iCs/>
        <w:sz w:val="18"/>
        <w:lang w:val="en-US"/>
      </w:rPr>
      <w:t>2</w:t>
    </w:r>
    <w:r>
      <w:rPr>
        <w:rFonts w:ascii="GHEA Grapalat" w:hAnsi="GHEA Grapalat"/>
        <w:b/>
        <w:bCs/>
        <w:i/>
        <w:iCs/>
        <w:sz w:val="18"/>
        <w:lang w:val="en-US"/>
      </w:rPr>
      <w:t xml:space="preserve">022 </w:t>
    </w:r>
    <w:r w:rsidRPr="001D1392">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ՍՈՑԻԱԼ</w:t>
    </w:r>
    <w:r w:rsidRPr="001D1392">
      <w:rPr>
        <w:rFonts w:ascii="GHEA Grapalat" w:hAnsi="GHEA Grapalat" w:cs="Times Armenian"/>
        <w:b/>
        <w:bCs/>
        <w:i/>
        <w:iCs/>
        <w:sz w:val="18"/>
        <w:lang w:val="en-US"/>
      </w:rPr>
      <w:t>-</w:t>
    </w:r>
    <w:r w:rsidRPr="001D1392">
      <w:rPr>
        <w:rFonts w:ascii="GHEA Grapalat" w:hAnsi="GHEA Grapalat" w:cs="Sylfaen"/>
        <w:b/>
        <w:bCs/>
        <w:i/>
        <w:iCs/>
        <w:sz w:val="18"/>
        <w:lang w:val="en-US"/>
      </w:rPr>
      <w:t>ՏՆՏԵՍԱԿԱՆ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ԶԱՐԳԱՑՄԱՆ</w:t>
    </w:r>
    <w:r>
      <w:rPr>
        <w:rFonts w:ascii="GHEA Grapalat" w:hAnsi="GHEA Grapalat" w:cs="Sylfaen"/>
        <w:b/>
        <w:bCs/>
        <w:i/>
        <w:iCs/>
        <w:sz w:val="18"/>
        <w:lang w:val="en-US"/>
      </w:rPr>
      <w:t xml:space="preserve"> ԵՎ ՀԱՐԿԱԲՅՈՒՋԵՏԱՅԻՆ</w:t>
    </w:r>
  </w:p>
  <w:p w:rsidR="00AD7A3B" w:rsidRPr="001D1392" w:rsidRDefault="00AD7A3B" w:rsidP="002F4C8D">
    <w:pPr>
      <w:pStyle w:val="Header"/>
      <w:jc w:val="right"/>
      <w:rPr>
        <w:rFonts w:ascii="GHEA Grapalat" w:hAnsi="GHEA Grapalat"/>
        <w:b/>
        <w:bCs/>
        <w:i/>
        <w:iCs/>
        <w:sz w:val="18"/>
        <w:lang w:val="en-US"/>
      </w:rPr>
    </w:pPr>
    <w:r w:rsidRPr="001D1392">
      <w:rPr>
        <w:rFonts w:ascii="GHEA Grapalat" w:hAnsi="GHEA Grapalat" w:cs="Sylfaen"/>
        <w:b/>
        <w:bCs/>
        <w:i/>
        <w:iCs/>
        <w:sz w:val="18"/>
        <w:lang w:val="en-US"/>
      </w:rPr>
      <w:t>ՔԱՂԱՔԱԿԱՆՈՒԹՅԱՆ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ՀԻՄՆԱԿԱՆ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ՈՒՂՂՈՒԹՅՈՒՆՆԵՐԸ</w:t>
    </w:r>
  </w:p>
  <w:p w:rsidR="00AD7A3B" w:rsidRDefault="00AD7A3B">
    <w:pPr>
      <w:pStyle w:val="Header"/>
      <w:jc w:val="right"/>
    </w:pPr>
    <w:r>
      <w:rPr>
        <w:lang w:val="en-US"/>
      </w:rPr>
      <mc:AlternateContent>
        <mc:Choice Requires="wps">
          <w:drawing>
            <wp:anchor distT="4294967295" distB="4294967295" distL="114300" distR="114300" simplePos="0" relativeHeight="251659776" behindDoc="0" locked="0" layoutInCell="1" allowOverlap="1" wp14:anchorId="08809093" wp14:editId="47370A47">
              <wp:simplePos x="0" y="0"/>
              <wp:positionH relativeFrom="column">
                <wp:posOffset>0</wp:posOffset>
              </wp:positionH>
              <wp:positionV relativeFrom="paragraph">
                <wp:posOffset>73659</wp:posOffset>
              </wp:positionV>
              <wp:extent cx="6515100" cy="0"/>
              <wp:effectExtent l="0" t="1905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7D498" id="Line 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9MHgIAADoEAAAOAAAAZHJzL2Uyb0RvYy54bWysU8GO2jAQvVfqP1i+QxI2sG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I/YKRI&#10;By16EYqjSahMb1wBDpXa2JAbPalX86Lpm0NKVy1Rex4Zbs8GwrIQkbwLCRtnAH/Xf9EMfMjB61im&#10;U2O7AAkFQKfYjfOtG/zkEYXD2TSbZik0jQ53CSmGQGOd/8x1h4JRYgmcIzA5vjgfiJBicAnvKL0W&#10;UsZmS4X6Ek8fs2mA7gyk7luhtiCAtwjhtBQsuIdAZ/e7Slp0JEFA8Yt5ws29m9UHxSJ8ywlbXW1P&#10;hLzYQEeqgAfJAcGrdVHIj6f0aTVfzfNRPpmtRnla16NP6yofzdbZ47R+qKuqzn4GalletIIxrgK7&#10;Qa1Z/ndquM7NRWc3vd4Kk7xHjxUEssM/ko7dDQ29SGOn2Xljh66DQKPzdZjCBNzvwb4f+eUv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xdgfTB4CAAA6BAAADgAAAAAAAAAAAAAAAAAuAgAAZHJzL2Uyb0RvYy54bWxQSwEC&#10;LQAUAAYACAAAACEAZy3srd0AAAAHAQAADwAAAAAAAAAAAAAAAAB4BAAAZHJzL2Rvd25yZXYueG1s&#10;UEsFBgAAAAAEAAQA8wAAAIIFAAAAAA==&#10;" strokeweight="4.5pt">
              <v:stroke linestyle="thinThick"/>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FB" w:rsidRDefault="008333FB" w:rsidP="002D4A3F">
    <w:pPr>
      <w:pStyle w:val="Header"/>
      <w:jc w:val="right"/>
      <w:rPr>
        <w:rFonts w:ascii="GHEA Grapalat" w:hAnsi="GHEA Grapalat" w:cs="Sylfaen"/>
        <w:b/>
        <w:bCs/>
        <w:i/>
        <w:iCs/>
        <w:sz w:val="18"/>
        <w:lang w:val="en-US"/>
      </w:rPr>
    </w:pPr>
    <w:r w:rsidRPr="00B179E6">
      <w:rPr>
        <w:rFonts w:ascii="GHEA Grapalat" w:hAnsi="GHEA Grapalat" w:cs="Sylfaen"/>
        <w:b/>
        <w:bCs/>
        <w:i/>
        <w:iCs/>
        <w:sz w:val="18"/>
      </w:rPr>
      <w:t>ՀԱՅԱՍՏԱՆԻ</w:t>
    </w:r>
    <w:r>
      <w:rPr>
        <w:rFonts w:ascii="GHEA Grapalat" w:hAnsi="GHEA Grapalat" w:cs="Sylfaen"/>
        <w:b/>
        <w:bCs/>
        <w:i/>
        <w:iCs/>
        <w:sz w:val="18"/>
        <w:lang w:val="en-US"/>
      </w:rPr>
      <w:t xml:space="preserve"> </w:t>
    </w:r>
    <w:r w:rsidRPr="00B179E6">
      <w:rPr>
        <w:rFonts w:ascii="GHEA Grapalat" w:hAnsi="GHEA Grapalat" w:cs="Sylfaen"/>
        <w:b/>
        <w:bCs/>
        <w:i/>
        <w:iCs/>
        <w:sz w:val="18"/>
      </w:rPr>
      <w:t>ՀԱՆՐԱՊԵՏՈՒԹՅԱՆ</w:t>
    </w:r>
    <w:r>
      <w:rPr>
        <w:rFonts w:ascii="GHEA Grapalat" w:hAnsi="GHEA Grapalat" w:cs="Sylfaen"/>
        <w:b/>
        <w:bCs/>
        <w:i/>
        <w:iCs/>
        <w:sz w:val="18"/>
        <w:lang w:val="en-US"/>
      </w:rPr>
      <w:t xml:space="preserve"> ՄԱԿՐՈՏՆՏԵՍԱԿԱՆ ԵՎ</w:t>
    </w:r>
  </w:p>
  <w:p w:rsidR="008333FB" w:rsidRPr="00B179E6" w:rsidRDefault="008333FB" w:rsidP="002D4A3F">
    <w:pPr>
      <w:pStyle w:val="Header"/>
      <w:jc w:val="right"/>
      <w:rPr>
        <w:rFonts w:ascii="GHEA Grapalat" w:hAnsi="GHEA Grapalat"/>
        <w:b/>
        <w:bCs/>
        <w:i/>
        <w:iCs/>
        <w:sz w:val="18"/>
        <w:lang w:val="en-US"/>
      </w:rPr>
    </w:pPr>
    <w:r>
      <w:rPr>
        <w:rFonts w:ascii="GHEA Grapalat" w:hAnsi="GHEA Grapalat" w:cs="Sylfaen"/>
        <w:b/>
        <w:bCs/>
        <w:i/>
        <w:iCs/>
        <w:sz w:val="18"/>
        <w:lang w:val="en-US"/>
      </w:rPr>
      <w:t xml:space="preserve"> ՀԱՐԿԱԲՅՈՒՋԵՏԱՅԻՆ ԶԱՐԳԱՑՈՒՄՆԵՐԸ</w:t>
    </w:r>
    <w:r w:rsidRPr="00B179E6">
      <w:rPr>
        <w:rFonts w:ascii="GHEA Grapalat" w:hAnsi="GHEA Grapalat" w:cs="Times Armenian"/>
        <w:b/>
        <w:bCs/>
        <w:i/>
        <w:iCs/>
        <w:sz w:val="18"/>
      </w:rPr>
      <w:t xml:space="preserve"> </w:t>
    </w:r>
    <w:r>
      <w:rPr>
        <w:rFonts w:ascii="GHEA Grapalat" w:hAnsi="GHEA Grapalat" w:cs="Times Armenian"/>
        <w:b/>
        <w:bCs/>
        <w:i/>
        <w:iCs/>
        <w:sz w:val="18"/>
      </w:rPr>
      <w:t>20</w:t>
    </w:r>
    <w:r>
      <w:rPr>
        <w:rFonts w:ascii="GHEA Grapalat" w:hAnsi="GHEA Grapalat" w:cs="Times Armenian"/>
        <w:b/>
        <w:bCs/>
        <w:i/>
        <w:iCs/>
        <w:sz w:val="18"/>
        <w:lang w:val="en-US"/>
      </w:rPr>
      <w:t>22</w:t>
    </w:r>
    <w:r>
      <w:rPr>
        <w:rFonts w:ascii="GHEA Grapalat" w:hAnsi="GHEA Grapalat" w:cs="Times Armenian"/>
        <w:b/>
        <w:bCs/>
        <w:i/>
        <w:iCs/>
        <w:sz w:val="18"/>
      </w:rPr>
      <w:t xml:space="preserve"> </w:t>
    </w:r>
    <w:r>
      <w:rPr>
        <w:rFonts w:ascii="GHEA Grapalat" w:hAnsi="GHEA Grapalat" w:cs="Times Armenian"/>
        <w:b/>
        <w:bCs/>
        <w:i/>
        <w:iCs/>
        <w:sz w:val="18"/>
        <w:lang w:val="en-US"/>
      </w:rPr>
      <w:t>ԹՎ</w:t>
    </w:r>
    <w:r w:rsidRPr="00B179E6">
      <w:rPr>
        <w:rFonts w:ascii="GHEA Grapalat" w:hAnsi="GHEA Grapalat" w:cs="Sylfaen"/>
        <w:b/>
        <w:bCs/>
        <w:i/>
        <w:iCs/>
        <w:sz w:val="18"/>
      </w:rPr>
      <w:t>ԱԿԱՆԻՆ</w:t>
    </w:r>
  </w:p>
  <w:p w:rsidR="008333FB" w:rsidRDefault="008333FB">
    <w:pPr>
      <w:pStyle w:val="Header"/>
      <w:jc w:val="right"/>
    </w:pPr>
    <w:r>
      <w:rPr>
        <w:lang w:val="en-US"/>
      </w:rPr>
      <mc:AlternateContent>
        <mc:Choice Requires="wps">
          <w:drawing>
            <wp:anchor distT="4294967295" distB="4294967295" distL="114300" distR="114300" simplePos="0" relativeHeight="251656704" behindDoc="0" locked="0" layoutInCell="1" allowOverlap="1" wp14:anchorId="6DE09AE3" wp14:editId="5CA2F0D2">
              <wp:simplePos x="0" y="0"/>
              <wp:positionH relativeFrom="column">
                <wp:posOffset>0</wp:posOffset>
              </wp:positionH>
              <wp:positionV relativeFrom="paragraph">
                <wp:posOffset>73659</wp:posOffset>
              </wp:positionV>
              <wp:extent cx="6515100" cy="0"/>
              <wp:effectExtent l="0" t="1905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0DE0A"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LwHgIAADoEAAAOAAAAZHJzL2Uyb0RvYy54bWysU8GO2jAQvVfqP1i+QxI2sG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JPMFKk&#10;gxa9CMXRQ6hMb1wBDpXa2JAbPalX86Lpm0NKVy1Rex4Zbs8GwrIQkbwLCRtnAH/Xf9EMfMjB61im&#10;U2O7AAkFQKfYjfOtG/zkEYXD2TSbZik0jQ53CSmGQGOd/8x1h4JRYgmcIzA5vjgfiJBicAnvKL0W&#10;UsZmS4X6Ek8fs2mA7gyk7luhtiCAtwjhtBQsuIdAZ/e7Slp0JEFA8Yt5ws29m9UHxSJ8ywlbXW1P&#10;hLzYQEeqgAfJAcGrdVHIj6f0aTVfzfNRPpmtRnla16NP6yofzdbZ47R+qKuqzn4GalletIIxrgK7&#10;Qa1Z/ndquM7NRWc3vd4Kk7xHjxUEssM/ko7dDQ29SGOn2Xljh66DQKPzdZjCBNzvwb4f+eUv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a7yi8B4CAAA6BAAADgAAAAAAAAAAAAAAAAAuAgAAZHJzL2Uyb0RvYy54bWxQSwEC&#10;LQAUAAYACAAAACEAZy3srd0AAAAHAQAADwAAAAAAAAAAAAAAAAB4BAAAZHJzL2Rvd25yZXYueG1s&#10;UEsFBgAAAAAEAAQA8wAAAIIFAAAAAA==&#10;" strokeweight="4.5pt">
              <v:stroke linestyle="thinThick"/>
            </v:lin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FB" w:rsidRPr="00B179E6" w:rsidRDefault="008333FB"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2022 ԹՎ</w:t>
    </w:r>
    <w:r w:rsidRPr="00B179E6">
      <w:rPr>
        <w:rFonts w:ascii="GHEA Grapalat" w:hAnsi="GHEA Grapalat" w:cs="Sylfaen"/>
        <w:b/>
        <w:bCs/>
        <w:i/>
        <w:iCs/>
        <w:sz w:val="18"/>
        <w:lang w:val="en-US"/>
      </w:rPr>
      <w:t>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ԵԿԱՄՈՒՏՆԵՐԸ</w:t>
    </w:r>
  </w:p>
  <w:p w:rsidR="008333FB" w:rsidRDefault="008333FB">
    <w:pPr>
      <w:pStyle w:val="Header"/>
      <w:jc w:val="right"/>
    </w:pPr>
    <w:r>
      <w:rPr>
        <w:lang w:val="en-US"/>
      </w:rPr>
      <mc:AlternateContent>
        <mc:Choice Requires="wps">
          <w:drawing>
            <wp:anchor distT="4294967294" distB="4294967294" distL="114300" distR="114300" simplePos="0" relativeHeight="251655680" behindDoc="0" locked="0" layoutInCell="1" allowOverlap="1" wp14:anchorId="71FD99F4" wp14:editId="29081489">
              <wp:simplePos x="0" y="0"/>
              <wp:positionH relativeFrom="column">
                <wp:posOffset>-33020</wp:posOffset>
              </wp:positionH>
              <wp:positionV relativeFrom="paragraph">
                <wp:posOffset>114299</wp:posOffset>
              </wp:positionV>
              <wp:extent cx="6515100" cy="0"/>
              <wp:effectExtent l="0" t="1905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2A3C9" id="Straight Connector 5"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pt,9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I5KAIAAEgEAAAOAAAAZHJzL2Uyb0RvYy54bWysVMGO2yAQvVfqPyDfs7ZTO5u14qwqO+ll&#10;242U9AMIYBstBgQkTlT13zuQOMq2l6qqD3iA4fnNm4cXz6deoCMzlitZRulDEiEmiaJctmX0fbee&#10;zCNkHZYUCyVZGZ2ZjZ6XHz8sBl2wqeqUoMwgAJG2GHQZdc7pIo4t6ViP7YPSTMJmo0yPHUxNG1OD&#10;B0DvRTxNklk8KEO1UYRZC6v1ZTNaBvymYcS9No1lDokyAm4ujCaMez/GywUuWoN1x8mVBv4HFj3m&#10;Ej56g6qxw+hg+B9QPSdGWdW4B6L6WDUNJyzUANWkyW/VbDusWagFxLH6JpP9f7Dk23FjEKdllEdI&#10;4h5atHUG87ZzqFJSgoDKoNzrNGhbQHolN8ZXSk5yq18UebNIqqrDsmWB7+6sAST1J+J3R/zEavja&#10;fviqKOTgg1NBtFNjeg8JcqBT6M351ht2cojA4ixP8zSBFpJxL8bFeFAb674w1SMflJHg0suGC3x8&#10;sc4TwcWY4pelWnMhQuuFRAPU/pjmHrrXIITruNyBHd4ChFWCU5/uD1rT7ith0BF7O4Un1Ak792lG&#10;HSQN8B3DdHWNHebiEgMdIT0eFAcEr9HFLz+ekqfVfDXPJtl0tppkSV1PPq+rbDJbp495/amuqjr9&#10;6amlWdFxSpn07EbvptnfeeN6iy6uu7n3Jkz8Hj0oCGTHdyAduusberHGXtHzxoxdB7uG5OvV8vfh&#10;fg7x/Q9g+QsAAP//AwBQSwMEFAAGAAgAAAAhAExMk/TeAAAACQEAAA8AAABkcnMvZG93bnJldi54&#10;bWxMj8FOwzAQRO9I/IO1SFyq1iYIFIU4FargwgGpLQe4ufGSRMTr1HabwNezFYdy3JnR7LxyOble&#10;HDHEzpOGm4UCgVR721Gj4W37PM9BxGTImt4TavjGCMvq8qI0hfUjrfG4SY3gEoqF0dCmNBRSxrpF&#10;Z+LCD0jsffrgTOIzNNIGM3K562Wm1L10piP+0JoBVy3WX5uD02DXMT6tpvzn9jW87Pfv+exj3M60&#10;vr6aHh9AJJzSOQyn+TwdKt608weyUfQa5ncZJ1nPGenkq0wxy+5PkVUp/xNUvwAAAP//AwBQSwEC&#10;LQAUAAYACAAAACEAtoM4kv4AAADhAQAAEwAAAAAAAAAAAAAAAAAAAAAAW0NvbnRlbnRfVHlwZXNd&#10;LnhtbFBLAQItABQABgAIAAAAIQA4/SH/1gAAAJQBAAALAAAAAAAAAAAAAAAAAC8BAABfcmVscy8u&#10;cmVsc1BLAQItABQABgAIAAAAIQCEfEI5KAIAAEgEAAAOAAAAAAAAAAAAAAAAAC4CAABkcnMvZTJv&#10;RG9jLnhtbFBLAQItABQABgAIAAAAIQBMTJP03gAAAAkBAAAPAAAAAAAAAAAAAAAAAIIEAABkcnMv&#10;ZG93bnJldi54bWxQSwUGAAAAAAQABADzAAAAjQUAAAAA&#10;" strokeweight="4.5pt">
              <v:stroke linestyle="thinThick"/>
            </v:lin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FB" w:rsidRPr="00B179E6" w:rsidRDefault="008333FB"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 xml:space="preserve">2022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ԾԱԽՍԵՐԸ</w:t>
    </w:r>
  </w:p>
  <w:p w:rsidR="008333FB" w:rsidRPr="00B179E6" w:rsidRDefault="008333FB">
    <w:pPr>
      <w:pStyle w:val="Header"/>
      <w:jc w:val="right"/>
      <w:rPr>
        <w:rFonts w:ascii="GHEA Grapalat" w:hAnsi="GHEA Grapalat"/>
      </w:rPr>
    </w:pPr>
    <w:r>
      <w:rPr>
        <w:lang w:val="en-US"/>
      </w:rPr>
      <mc:AlternateContent>
        <mc:Choice Requires="wps">
          <w:drawing>
            <wp:anchor distT="0" distB="0" distL="114300" distR="114300" simplePos="0" relativeHeight="251654656" behindDoc="0" locked="0" layoutInCell="1" allowOverlap="1" wp14:anchorId="6D15635A" wp14:editId="6891734C">
              <wp:simplePos x="0" y="0"/>
              <wp:positionH relativeFrom="column">
                <wp:posOffset>0</wp:posOffset>
              </wp:positionH>
              <wp:positionV relativeFrom="paragraph">
                <wp:posOffset>111125</wp:posOffset>
              </wp:positionV>
              <wp:extent cx="6482080" cy="3175"/>
              <wp:effectExtent l="0" t="19050" r="33020" b="349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2080" cy="317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02139" id="Straight Connector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5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rKwIAAEsEAAAOAAAAZHJzL2Uyb0RvYy54bWysVE2P2yAQvVfqf0Dcs7azTjZrxVlVdtLL&#10;to2U9AcQwDZaDAhInKjqf+9APrRpL1XVHMgAw+PNm4fnL8deogO3TmhV4uwhxYgrqplQbYm/b1ej&#10;GUbOE8WI1IqX+MQdfll8/DAfTMHHutOScYsARLliMCXuvDdFkjja8Z64B224gs1G2554mNo2YZYM&#10;gN7LZJym02TQlhmrKXcOVuvzJl5E/Kbh1H9rGsc9kiUGbj6ONo67MCaLOSlaS0wn6IUG+QcWPREK&#10;Lr1B1cQTtLfiD6heUKudbvwD1X2im0ZQHmuAarL0t2o2HTE81gLiOHOTyf0/WPr1sLZIsBLnGCnS&#10;Q4s23hLRdh5VWikQUFuUB50G4wpIr9TahkrpUW3Mq6ZvDilddUS1PPLdngyAZOFEcnckTJyB23bD&#10;F80gh+y9jqIdG9sHSJADHWNvTrfe8KNHFBan+WyczqCFFPYes6dJvIAU17PGOv+Z6x6FoMRSqKAc&#10;Kcjh1fnAhRTXlLCs9EpIGbsvFRpKPHnKJgG9N6CF74TagiPeIoTTUrCQHg462+4qadGBBEfF34XJ&#10;XZrVe8UifMcJW15iT4Q8x0BHqoAH9QHBS3S2zI/n9Hk5W87yUT6eLkd5WtejT6sqH01XUHf9WFdV&#10;nf0M1LK86ARjXAV2V/tm+d/Z4/KQzsa7GfgmTHKPHhUEstf/SDo2OPT07I6dZqe1vTYeHBuTL68r&#10;PIn3c4jffwMWvwAAAP//AwBQSwMEFAAGAAgAAAAhAOosA87eAAAABwEAAA8AAABkcnMvZG93bnJl&#10;di54bWxMj81OwzAQhO9IfQdrkbhU1KaIEoU4VVXBhQNSfw5wc+MliYjXqe02gadne4Lb7s5o9pti&#10;ObpOnDHE1pOGu5kCgVR521KtYb97uc1AxGTIms4TavjGCMtyclWY3PqBNnjeplpwCMXcaGhS6nMp&#10;Y9WgM3HmeyTWPn1wJvEaammDGTjcdXKu1EI60xJ/aEyP6warr+3JabCbGJ/XY/Zz/xZej8f3bPox&#10;7KZa31yPqycQCcf0Z4YLPqNDyUwHfyIbRaeBiyS+Pj6AuKhqrrjJgadMgSwL+Z+//AUAAP//AwBQ&#10;SwECLQAUAAYACAAAACEAtoM4kv4AAADhAQAAEwAAAAAAAAAAAAAAAAAAAAAAW0NvbnRlbnRfVHlw&#10;ZXNdLnhtbFBLAQItABQABgAIAAAAIQA4/SH/1gAAAJQBAAALAAAAAAAAAAAAAAAAAC8BAABfcmVs&#10;cy8ucmVsc1BLAQItABQABgAIAAAAIQCOSRerKwIAAEsEAAAOAAAAAAAAAAAAAAAAAC4CAABkcnMv&#10;ZTJvRG9jLnhtbFBLAQItABQABgAIAAAAIQDqLAPO3gAAAAcBAAAPAAAAAAAAAAAAAAAAAIUEAABk&#10;cnMvZG93bnJldi54bWxQSwUGAAAAAAQABADzAAAAkAUAAAAA&#10;" strokeweight="4.5pt">
              <v:stroke linestyle="thinThick"/>
            </v:lin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FB" w:rsidRDefault="008333FB" w:rsidP="00B41540">
    <w:pPr>
      <w:pStyle w:val="Header"/>
      <w:jc w:val="right"/>
      <w:rPr>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20</w:t>
    </w:r>
    <w:r>
      <w:rPr>
        <w:rFonts w:ascii="GHEA Grapalat" w:hAnsi="GHEA Grapalat" w:cs="Times Armenian"/>
        <w:b/>
        <w:bCs/>
        <w:i/>
        <w:iCs/>
        <w:sz w:val="18"/>
        <w:lang w:val="en-US"/>
      </w:rPr>
      <w:t xml:space="preserve">22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ՊԱԿԱՍՈՒՐԴԸ</w:t>
    </w:r>
  </w:p>
  <w:p w:rsidR="008333FB" w:rsidRDefault="008333FB">
    <w:pPr>
      <w:pStyle w:val="Header"/>
      <w:jc w:val="right"/>
    </w:pPr>
    <w:r>
      <w:rPr>
        <w:lang w:val="en-US"/>
      </w:rPr>
      <mc:AlternateContent>
        <mc:Choice Requires="wps">
          <w:drawing>
            <wp:anchor distT="4294967293" distB="4294967293" distL="114300" distR="114300" simplePos="0" relativeHeight="251657728" behindDoc="0" locked="0" layoutInCell="1" allowOverlap="1" wp14:anchorId="4ED2198D" wp14:editId="6D2B257D">
              <wp:simplePos x="0" y="0"/>
              <wp:positionH relativeFrom="column">
                <wp:posOffset>3810</wp:posOffset>
              </wp:positionH>
              <wp:positionV relativeFrom="paragraph">
                <wp:posOffset>38099</wp:posOffset>
              </wp:positionV>
              <wp:extent cx="6496050" cy="0"/>
              <wp:effectExtent l="0" t="19050" r="19050" b="19050"/>
              <wp:wrapNone/>
              <wp:docPr id="1"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85FD3" id="Straight Connector 38"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7KAIAAEkEAAAOAAAAZHJzL2Uyb0RvYy54bWysVMGO2jAQvVfqP1i5QxI2sBARVlUCvWxb&#10;JOgHGNtJrHVsyzYEVPXfOzYEse2lqpqDM7bHL2/eG2f5cu4EOjFjuZJFlI6TCDFJFOWyKaLv+81o&#10;HiHrsKRYKMmK6MJs9LL6+GHZ65xNVKsEZQYBiLR5r4uodU7ncWxJyzpsx0ozCZu1Mh12MDVNTA3u&#10;Ab0T8SRJZnGvDNVGEWYtrFbXzWgV8OuaEfetri1zSBQRcHNhNGE8+DFeLXHeGKxbTm408D+w6DCX&#10;8NE7VIUdRkfD/4DqODHKqtqNiepiVdecsFADVJMmv1Wza7FmoRYQx+q7TPb/wZKvp61BnIJ3EZK4&#10;A4t2zmDetA6VSkoQUBn0NPdC9drmkF/KrfGlkrPc6VdF3iySqmyxbFggvL9oQEn9ifjdET+xGj53&#10;6L8oCjn46FRQ7VybzkOCHugczLnczWFnhwgszrLFLJmCh2TYi3E+HNTGus9MdcgHRSS49LrhHJ9e&#10;rfNEcD6k+GWpNlyI4L2QqC+i6XMaoDsNSriWyz30w1uAsEpw6tP9QWuaQykMOmHfT+EJdcLOY5pR&#10;R0kDfMswXd9ih7m4xkBHSI8HxQHBW3RtmB+LZLGer+fZKJvM1qMsqarRp02ZjWab9HlaPVVlWaU/&#10;PbU0y1tOKZOe3dC8afZ3zXG7Rte2u7fvXZj4PXpQEMgO70A6uOsNvbbGQdHL1gyuQ7+G5Nvd8hfi&#10;cQ7x4x9g9QsAAP//AwBQSwMEFAAGAAgAAAAhAONOBijcAAAABQEAAA8AAABkcnMvZG93bnJldi54&#10;bWxMj09rwkAQxe+C32GZQi9SN1WQkGYjReylh4J/Du1tzY5JMDsbd1eT9tN37KVeBua9x5vf5MvB&#10;tuKKPjSOFDxPExBIpTMNVQr2u7enFESImoxuHaGCbwywLMajXGfG9bTB6zZWgksoZFpBHWOXSRnK&#10;Gq0OU9chsXd03urIq6+k8brnctvKWZIspNUN8YVad7iqsTxtL1aB2YSwXg3pz/zDv5/Pn+nkq99N&#10;lHp8GF5fQEQc4n8YbviMDgUzHdyFTBCtggXnePI/NzOZzVk4/AmyyOU9ffELAAD//wMAUEsBAi0A&#10;FAAGAAgAAAAhALaDOJL+AAAA4QEAABMAAAAAAAAAAAAAAAAAAAAAAFtDb250ZW50X1R5cGVzXS54&#10;bWxQSwECLQAUAAYACAAAACEAOP0h/9YAAACUAQAACwAAAAAAAAAAAAAAAAAvAQAAX3JlbHMvLnJl&#10;bHNQSwECLQAUAAYACAAAACEA6v51eygCAABJBAAADgAAAAAAAAAAAAAAAAAuAgAAZHJzL2Uyb0Rv&#10;Yy54bWxQSwECLQAUAAYACAAAACEA404GKNwAAAAFAQAADwAAAAAAAAAAAAAAAACCBAAAZHJzL2Rv&#10;d25yZXYueG1sUEsFBgAAAAAEAAQA8wAAAIsFAAAAAA==&#10;" strokeweight="4.5pt">
              <v:stroke linestyle="thinThick"/>
            </v:lin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FB" w:rsidRDefault="008333FB" w:rsidP="00B41540">
    <w:pPr>
      <w:pStyle w:val="Header"/>
      <w:jc w:val="right"/>
      <w:rPr>
        <w:lang w:val="en-US"/>
      </w:rPr>
    </w:pPr>
    <w:r w:rsidRPr="00B179E6">
      <w:rPr>
        <w:rFonts w:ascii="GHEA Grapalat" w:hAnsi="GHEA Grapalat" w:cs="Sylfaen"/>
        <w:b/>
        <w:bCs/>
        <w:i/>
        <w:iCs/>
        <w:sz w:val="18"/>
        <w:lang w:val="en-US"/>
      </w:rPr>
      <w:t>Հ</w:t>
    </w:r>
    <w:r>
      <w:rPr>
        <w:rFonts w:ascii="GHEA Grapalat" w:hAnsi="GHEA Grapalat" w:cs="Sylfaen"/>
        <w:b/>
        <w:bCs/>
        <w:i/>
        <w:iCs/>
        <w:sz w:val="18"/>
        <w:lang w:val="en-US"/>
      </w:rPr>
      <w:t xml:space="preserve">ԱՅԱՍՏԱՆԻ </w:t>
    </w:r>
    <w:r w:rsidRPr="00B179E6">
      <w:rPr>
        <w:rFonts w:ascii="GHEA Grapalat" w:hAnsi="GHEA Grapalat" w:cs="Sylfaen"/>
        <w:b/>
        <w:bCs/>
        <w:i/>
        <w:iCs/>
        <w:sz w:val="18"/>
        <w:lang w:val="en-US"/>
      </w:rPr>
      <w:t>Հ</w:t>
    </w:r>
    <w:r>
      <w:rPr>
        <w:rFonts w:ascii="GHEA Grapalat" w:hAnsi="GHEA Grapalat" w:cs="Sylfaen"/>
        <w:b/>
        <w:bCs/>
        <w:i/>
        <w:iCs/>
        <w:sz w:val="18"/>
        <w:lang w:val="en-US"/>
      </w:rPr>
      <w:t>ԱՆՐԱՊԵՏՈՒԹՅԱՆ</w:t>
    </w:r>
    <w:r w:rsidRPr="00B179E6">
      <w:rPr>
        <w:rFonts w:ascii="GHEA Grapalat" w:hAnsi="GHEA Grapalat" w:cs="Times Armenian"/>
        <w:b/>
        <w:bCs/>
        <w:i/>
        <w:iCs/>
        <w:sz w:val="18"/>
        <w:lang w:val="en-US"/>
      </w:rPr>
      <w:t xml:space="preserve"> </w:t>
    </w:r>
    <w:r>
      <w:rPr>
        <w:rFonts w:ascii="GHEA Grapalat" w:hAnsi="GHEA Grapalat" w:cs="Sylfaen"/>
        <w:b/>
        <w:bCs/>
        <w:i/>
        <w:iCs/>
        <w:sz w:val="18"/>
        <w:lang w:val="en-US"/>
      </w:rPr>
      <w:t>ՊԵՏԱԿԱՆ ՊԱՐՏՔԸ</w:t>
    </w:r>
  </w:p>
  <w:p w:rsidR="008333FB" w:rsidRDefault="008333FB">
    <w:pPr>
      <w:pStyle w:val="Header"/>
      <w:jc w:val="right"/>
    </w:pPr>
    <w:r>
      <w:rPr>
        <w:lang w:val="en-US"/>
      </w:rPr>
      <mc:AlternateContent>
        <mc:Choice Requires="wps">
          <w:drawing>
            <wp:anchor distT="4294967293" distB="4294967293" distL="114300" distR="114300" simplePos="0" relativeHeight="251661824" behindDoc="0" locked="0" layoutInCell="1" allowOverlap="1">
              <wp:simplePos x="0" y="0"/>
              <wp:positionH relativeFrom="column">
                <wp:posOffset>3810</wp:posOffset>
              </wp:positionH>
              <wp:positionV relativeFrom="paragraph">
                <wp:posOffset>38099</wp:posOffset>
              </wp:positionV>
              <wp:extent cx="6496050" cy="0"/>
              <wp:effectExtent l="0" t="19050" r="1905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96AE8" id="Straight Connector 38"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QR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voCTol&#10;cQc92jmDedM6VCopQUFlEDhBqV7bHBJKuTW+VnKWO/2qyJtFUpUtlg0LjPcXDSipz4jfpfiN1fC9&#10;Q/9FUYjBR6eCbOfadB4SBEHn0J3LvTvs7BCBw1m2mCVTaCIZfDHOh0RtrPvMVIe8UUSCSy8czvHp&#10;1TpPBOdDiD+WasOFCM0XEvVFNH1OA3SnQQrXcrmHgXgLEFYJTn24T7SmOZTCoBP2AxWeUCd4HsOM&#10;Okoa4FuG6fpmO8zF1QY6Qno8KA4I3qzrxPxYJIv1fD3PRtlkth5lSVWNPm3KbDTbpM/T6qkqyyr9&#10;6amlWd5ySpn07IbpTbO/m47bPbrO3X1+78LE79GDgkB2eAfSobu+odfROCh62Zqh6zCwIfh2ufyN&#10;eNyD/fgLWP0CAAD//wMAUEsDBBQABgAIAAAAIQDjTgYo3AAAAAUBAAAPAAAAZHJzL2Rvd25yZXYu&#10;eG1sTI9Pa8JAEMXvgt9hmUIvUjdVkJBmI0XspYeCfw7tbc2OSTA7G3dXk/bTd+ylXgbmvceb3+TL&#10;wbbiij40jhQ8TxMQSKUzDVUK9ru3pxREiJqMbh2hgm8MsCzGo1xnxvW0wes2VoJLKGRaQR1jl0kZ&#10;yhqtDlPXIbF3dN7qyKuvpPG653LbylmSLKTVDfGFWne4qrE8bS9WgdmEsF4N6c/8w7+fz5/p5Kvf&#10;TZR6fBheX0BEHOJ/GG74jA4FMx3chUwQrYIF53jyPzczmc1ZOPwJssjlPX3xCwAA//8DAFBLAQIt&#10;ABQABgAIAAAAIQC2gziS/gAAAOEBAAATAAAAAAAAAAAAAAAAAAAAAABbQ29udGVudF9UeXBlc10u&#10;eG1sUEsBAi0AFAAGAAgAAAAhADj9If/WAAAAlAEAAAsAAAAAAAAAAAAAAAAALwEAAF9yZWxzLy5y&#10;ZWxzUEsBAi0AFAAGAAgAAAAhAKng9BEpAgAASgQAAA4AAAAAAAAAAAAAAAAALgIAAGRycy9lMm9E&#10;b2MueG1sUEsBAi0AFAAGAAgAAAAhAONOBijcAAAABQEAAA8AAAAAAAAAAAAAAAAAgwQAAGRycy9k&#10;b3ducmV2LnhtbFBLBQYAAAAABAAEAPMAAACMBQAAAAA=&#10;" strokeweight="4.5pt">
              <v:stroke linestyle="thinThick"/>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18CBE7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EA8273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6930E93A"/>
    <w:lvl w:ilvl="0">
      <w:numFmt w:val="decimal"/>
      <w:pStyle w:val="Bullet"/>
      <w:lvlText w:val="*"/>
      <w:lvlJc w:val="left"/>
      <w:rPr>
        <w:rFonts w:cs="Times New Roman"/>
      </w:rPr>
    </w:lvl>
  </w:abstractNum>
  <w:abstractNum w:abstractNumId="3" w15:restartNumberingAfterBreak="0">
    <w:nsid w:val="032A11C3"/>
    <w:multiLevelType w:val="hybridMultilevel"/>
    <w:tmpl w:val="A8929828"/>
    <w:lvl w:ilvl="0" w:tplc="EB8871BC">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 w15:restartNumberingAfterBreak="0">
    <w:nsid w:val="0C3F6FE0"/>
    <w:multiLevelType w:val="multilevel"/>
    <w:tmpl w:val="AF5CF0EE"/>
    <w:lvl w:ilvl="0">
      <w:start w:val="1"/>
      <w:numFmt w:val="bullet"/>
      <w:pStyle w:val="Bulleted"/>
      <w:lvlText w:val=""/>
      <w:lvlJc w:val="left"/>
      <w:pPr>
        <w:ind w:left="1633"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hint="default"/>
      </w:rPr>
    </w:lvl>
    <w:lvl w:ilvl="8">
      <w:start w:val="1"/>
      <w:numFmt w:val="bullet"/>
      <w:lvlText w:val=""/>
      <w:lvlJc w:val="left"/>
      <w:pPr>
        <w:ind w:left="7064" w:hanging="360"/>
      </w:pPr>
      <w:rPr>
        <w:rFonts w:ascii="Wingdings" w:hAnsi="Wingdings" w:hint="default"/>
      </w:rPr>
    </w:lvl>
  </w:abstractNum>
  <w:abstractNum w:abstractNumId="5" w15:restartNumberingAfterBreak="0">
    <w:nsid w:val="134E55C0"/>
    <w:multiLevelType w:val="hybridMultilevel"/>
    <w:tmpl w:val="38B4AC5E"/>
    <w:lvl w:ilvl="0" w:tplc="1404407A">
      <w:start w:val="1"/>
      <w:numFmt w:val="decimal"/>
      <w:pStyle w:val="a"/>
      <w:lvlText w:val="Գծապատկեր %1."/>
      <w:lvlJc w:val="left"/>
      <w:pPr>
        <w:ind w:left="928" w:hanging="360"/>
      </w:pPr>
      <w:rPr>
        <w:rFonts w:ascii="GHEA Grapalat" w:hAnsi="GHEA Grapalat" w:cs="Times New Roman" w:hint="default"/>
        <w:b/>
        <w:i/>
        <w:sz w:val="22"/>
        <w:szCs w:val="22"/>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6" w15:restartNumberingAfterBreak="0">
    <w:nsid w:val="141100B8"/>
    <w:multiLevelType w:val="hybridMultilevel"/>
    <w:tmpl w:val="885A45B0"/>
    <w:lvl w:ilvl="0" w:tplc="E3A024A2">
      <w:start w:val="1"/>
      <w:numFmt w:val="decimal"/>
      <w:lvlText w:val="%1."/>
      <w:lvlJc w:val="left"/>
      <w:pPr>
        <w:ind w:left="1287" w:hanging="360"/>
      </w:pPr>
      <w:rPr>
        <w:rFonts w:ascii="GHEA Grapalat" w:hAnsi="GHEA Grapalat" w:cs="Times New Roman" w:hint="default"/>
        <w:b w:val="0"/>
        <w:i w:val="0"/>
        <w:sz w:val="24"/>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7" w15:restartNumberingAfterBreak="0">
    <w:nsid w:val="1A351095"/>
    <w:multiLevelType w:val="hybridMultilevel"/>
    <w:tmpl w:val="99782C06"/>
    <w:lvl w:ilvl="0" w:tplc="6ED20892">
      <w:start w:val="4"/>
      <w:numFmt w:val="decimal"/>
      <w:lvlText w:val="Աղյուսակ %1."/>
      <w:lvlJc w:val="left"/>
      <w:pPr>
        <w:ind w:left="928" w:hanging="360"/>
      </w:pPr>
      <w:rPr>
        <w:rFonts w:ascii="GHEA Grapalat" w:hAnsi="GHEA Grapalat" w:cs="Times New Roman" w:hint="default"/>
        <w:b/>
        <w:i/>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BA4147"/>
    <w:multiLevelType w:val="hybridMultilevel"/>
    <w:tmpl w:val="642438C4"/>
    <w:lvl w:ilvl="0" w:tplc="91281F7E">
      <w:start w:val="2020"/>
      <w:numFmt w:val="bullet"/>
      <w:lvlText w:val=""/>
      <w:lvlJc w:val="left"/>
      <w:pPr>
        <w:ind w:left="360" w:hanging="360"/>
      </w:pPr>
      <w:rPr>
        <w:rFonts w:ascii="Symbol" w:eastAsia="Times New Roman"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1ED57CB1"/>
    <w:multiLevelType w:val="hybridMultilevel"/>
    <w:tmpl w:val="A6B2A0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EE26EA1"/>
    <w:multiLevelType w:val="hybridMultilevel"/>
    <w:tmpl w:val="F968BBD2"/>
    <w:lvl w:ilvl="0" w:tplc="04090001">
      <w:start w:val="1"/>
      <w:numFmt w:val="bullet"/>
      <w:lvlText w:val=""/>
      <w:lvlJc w:val="left"/>
      <w:pPr>
        <w:ind w:left="928" w:hanging="360"/>
      </w:pPr>
      <w:rPr>
        <w:rFonts w:ascii="Symbol" w:hAnsi="Symbol" w:hint="default"/>
        <w:b w:val="0"/>
        <w:i w:val="0"/>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02B49C3"/>
    <w:multiLevelType w:val="hybridMultilevel"/>
    <w:tmpl w:val="49C8FF18"/>
    <w:lvl w:ilvl="0" w:tplc="5FDCFCF8">
      <w:start w:val="105"/>
      <w:numFmt w:val="bullet"/>
      <w:lvlText w:val="-"/>
      <w:lvlJc w:val="left"/>
      <w:pPr>
        <w:ind w:left="630" w:hanging="360"/>
      </w:pPr>
      <w:rPr>
        <w:rFonts w:ascii="GHEA Grapalat" w:eastAsia="Times New Roman" w:hAnsi="GHEA Grapalat"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12" w15:restartNumberingAfterBreak="0">
    <w:nsid w:val="215E5967"/>
    <w:multiLevelType w:val="hybridMultilevel"/>
    <w:tmpl w:val="01B25AD6"/>
    <w:lvl w:ilvl="0" w:tplc="9A1831B4">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22A6795"/>
    <w:multiLevelType w:val="hybridMultilevel"/>
    <w:tmpl w:val="3934F69E"/>
    <w:lvl w:ilvl="0" w:tplc="B7A01C68">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5AC6142"/>
    <w:multiLevelType w:val="hybridMultilevel"/>
    <w:tmpl w:val="E7624A12"/>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5" w15:restartNumberingAfterBreak="0">
    <w:nsid w:val="280172D7"/>
    <w:multiLevelType w:val="hybridMultilevel"/>
    <w:tmpl w:val="04381E30"/>
    <w:lvl w:ilvl="0" w:tplc="04090001">
      <w:start w:val="1"/>
      <w:numFmt w:val="bullet"/>
      <w:lvlText w:val=""/>
      <w:lvlJc w:val="left"/>
      <w:pPr>
        <w:ind w:left="1287" w:hanging="360"/>
      </w:pPr>
      <w:rPr>
        <w:rFonts w:ascii="Symbol" w:hAnsi="Symbol" w:hint="default"/>
        <w:b w:val="0"/>
        <w:i w:val="0"/>
        <w:sz w:val="24"/>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16" w15:restartNumberingAfterBreak="0">
    <w:nsid w:val="2A513057"/>
    <w:multiLevelType w:val="hybridMultilevel"/>
    <w:tmpl w:val="80409346"/>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7" w15:restartNumberingAfterBreak="0">
    <w:nsid w:val="2B8128A6"/>
    <w:multiLevelType w:val="hybridMultilevel"/>
    <w:tmpl w:val="5010E3F4"/>
    <w:lvl w:ilvl="0" w:tplc="91281F7E">
      <w:start w:val="2020"/>
      <w:numFmt w:val="bullet"/>
      <w:lvlText w:val=""/>
      <w:lvlJc w:val="left"/>
      <w:pPr>
        <w:ind w:left="1287" w:hanging="360"/>
      </w:pPr>
      <w:rPr>
        <w:rFonts w:ascii="Symbol" w:eastAsia="Times New Roman"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2D1407D4"/>
    <w:multiLevelType w:val="hybridMultilevel"/>
    <w:tmpl w:val="0A70BC62"/>
    <w:lvl w:ilvl="0" w:tplc="E0245586">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EE138E8"/>
    <w:multiLevelType w:val="hybridMultilevel"/>
    <w:tmpl w:val="A2D67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9C6136"/>
    <w:multiLevelType w:val="hybridMultilevel"/>
    <w:tmpl w:val="33DA7FD4"/>
    <w:lvl w:ilvl="0" w:tplc="B95A2612">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1" w15:restartNumberingAfterBreak="0">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7361863"/>
    <w:multiLevelType w:val="hybridMultilevel"/>
    <w:tmpl w:val="DD548040"/>
    <w:lvl w:ilvl="0" w:tplc="78E2FC20">
      <w:numFmt w:val="bullet"/>
      <w:lvlText w:val="-"/>
      <w:lvlJc w:val="left"/>
      <w:pPr>
        <w:ind w:left="927" w:hanging="360"/>
      </w:pPr>
      <w:rPr>
        <w:rFonts w:ascii="GHEA Grapalat" w:eastAsia="Times New Roman" w:hAnsi="GHEA Grapalat"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9F03B04"/>
    <w:multiLevelType w:val="hybridMultilevel"/>
    <w:tmpl w:val="AEE8A4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CE651FF"/>
    <w:multiLevelType w:val="multilevel"/>
    <w:tmpl w:val="3104EA06"/>
    <w:lvl w:ilvl="0">
      <w:start w:val="1"/>
      <w:numFmt w:val="decimal"/>
      <w:lvlText w:val="Գծապատկեր %1."/>
      <w:lvlJc w:val="left"/>
      <w:pPr>
        <w:ind w:left="928" w:hanging="360"/>
      </w:pPr>
      <w:rPr>
        <w:rFonts w:ascii="GHEA Grapalat" w:hAnsi="GHEA Grapalat" w:cs="Times New Roman" w:hint="default"/>
        <w:b/>
        <w:i/>
        <w:sz w:val="22"/>
        <w:szCs w:val="22"/>
      </w:rPr>
    </w:lvl>
    <w:lvl w:ilvl="1">
      <w:start w:val="1"/>
      <w:numFmt w:val="lowerLetter"/>
      <w:lvlText w:val="%2."/>
      <w:lvlJc w:val="left"/>
      <w:pPr>
        <w:ind w:left="1980" w:hanging="360"/>
      </w:pPr>
      <w:rPr>
        <w:rFonts w:cs="Times New Roman"/>
      </w:rPr>
    </w:lvl>
    <w:lvl w:ilvl="2">
      <w:start w:val="1"/>
      <w:numFmt w:val="lowerRoman"/>
      <w:lvlText w:val="%3."/>
      <w:lvlJc w:val="right"/>
      <w:pPr>
        <w:ind w:left="2700" w:hanging="18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4140" w:hanging="360"/>
      </w:pPr>
      <w:rPr>
        <w:rFonts w:cs="Times New Roman"/>
      </w:rPr>
    </w:lvl>
    <w:lvl w:ilvl="5">
      <w:start w:val="1"/>
      <w:numFmt w:val="lowerRoman"/>
      <w:lvlText w:val="%6."/>
      <w:lvlJc w:val="right"/>
      <w:pPr>
        <w:ind w:left="4860" w:hanging="180"/>
      </w:pPr>
      <w:rPr>
        <w:rFonts w:cs="Times New Roman"/>
      </w:rPr>
    </w:lvl>
    <w:lvl w:ilvl="6">
      <w:start w:val="1"/>
      <w:numFmt w:val="decimal"/>
      <w:lvlText w:val="%7."/>
      <w:lvlJc w:val="left"/>
      <w:pPr>
        <w:ind w:left="5580" w:hanging="360"/>
      </w:pPr>
      <w:rPr>
        <w:rFonts w:cs="Times New Roman"/>
      </w:rPr>
    </w:lvl>
    <w:lvl w:ilvl="7">
      <w:start w:val="1"/>
      <w:numFmt w:val="lowerLetter"/>
      <w:lvlText w:val="%8."/>
      <w:lvlJc w:val="left"/>
      <w:pPr>
        <w:ind w:left="6300" w:hanging="360"/>
      </w:pPr>
      <w:rPr>
        <w:rFonts w:cs="Times New Roman"/>
      </w:rPr>
    </w:lvl>
    <w:lvl w:ilvl="8">
      <w:start w:val="1"/>
      <w:numFmt w:val="lowerRoman"/>
      <w:lvlText w:val="%9."/>
      <w:lvlJc w:val="right"/>
      <w:pPr>
        <w:ind w:left="7020" w:hanging="180"/>
      </w:pPr>
      <w:rPr>
        <w:rFonts w:cs="Times New Roman"/>
      </w:rPr>
    </w:lvl>
  </w:abstractNum>
  <w:abstractNum w:abstractNumId="25" w15:restartNumberingAfterBreak="0">
    <w:nsid w:val="50911300"/>
    <w:multiLevelType w:val="hybridMultilevel"/>
    <w:tmpl w:val="8AAA28FA"/>
    <w:lvl w:ilvl="0" w:tplc="04090011">
      <w:start w:val="1"/>
      <w:numFmt w:val="decimal"/>
      <w:lvlText w:val="%1)"/>
      <w:lvlJc w:val="left"/>
      <w:pPr>
        <w:ind w:left="1267" w:hanging="360"/>
      </w:pPr>
      <w:rPr>
        <w:rFonts w:cs="Times New Roman"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15:restartNumberingAfterBreak="0">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27" w15:restartNumberingAfterBreak="0">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cs="Times New Roman" w:hint="default"/>
        <w:b/>
        <w:i w:val="0"/>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7A916F0"/>
    <w:multiLevelType w:val="hybridMultilevel"/>
    <w:tmpl w:val="C2A25E52"/>
    <w:lvl w:ilvl="0" w:tplc="DFBE0218">
      <w:start w:val="1"/>
      <w:numFmt w:val="bullet"/>
      <w:pStyle w:val="BU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9" w15:restartNumberingAfterBreak="0">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36A69FF"/>
    <w:multiLevelType w:val="hybridMultilevel"/>
    <w:tmpl w:val="7938EBBC"/>
    <w:lvl w:ilvl="0" w:tplc="7C4E2A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73B366DB"/>
    <w:multiLevelType w:val="hybridMultilevel"/>
    <w:tmpl w:val="4D64536C"/>
    <w:lvl w:ilvl="0" w:tplc="508ED326">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95D2BDB"/>
    <w:multiLevelType w:val="multilevel"/>
    <w:tmpl w:val="770ED810"/>
    <w:styleLink w:val="1"/>
    <w:lvl w:ilvl="0">
      <w:start w:val="1"/>
      <w:numFmt w:val="decimal"/>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num w:numId="1">
    <w:abstractNumId w:val="1"/>
  </w:num>
  <w:num w:numId="2">
    <w:abstractNumId w:val="0"/>
  </w:num>
  <w:num w:numId="3">
    <w:abstractNumId w:val="2"/>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4">
    <w:abstractNumId w:val="21"/>
  </w:num>
  <w:num w:numId="5">
    <w:abstractNumId w:val="28"/>
  </w:num>
  <w:num w:numId="6">
    <w:abstractNumId w:val="26"/>
  </w:num>
  <w:num w:numId="7">
    <w:abstractNumId w:val="27"/>
  </w:num>
  <w:num w:numId="8">
    <w:abstractNumId w:val="8"/>
  </w:num>
  <w:num w:numId="9">
    <w:abstractNumId w:val="30"/>
  </w:num>
  <w:num w:numId="10">
    <w:abstractNumId w:val="5"/>
  </w:num>
  <w:num w:numId="11">
    <w:abstractNumId w:val="32"/>
  </w:num>
  <w:num w:numId="12">
    <w:abstractNumId w:val="25"/>
  </w:num>
  <w:num w:numId="13">
    <w:abstractNumId w:val="16"/>
  </w:num>
  <w:num w:numId="14">
    <w:abstractNumId w:val="22"/>
  </w:num>
  <w:num w:numId="15">
    <w:abstractNumId w:val="20"/>
  </w:num>
  <w:num w:numId="16">
    <w:abstractNumId w:val="13"/>
  </w:num>
  <w:num w:numId="17">
    <w:abstractNumId w:val="31"/>
  </w:num>
  <w:num w:numId="18">
    <w:abstractNumId w:val="3"/>
  </w:num>
  <w:num w:numId="19">
    <w:abstractNumId w:val="6"/>
  </w:num>
  <w:num w:numId="20">
    <w:abstractNumId w:val="12"/>
  </w:num>
  <w:num w:numId="21">
    <w:abstractNumId w:val="18"/>
  </w:num>
  <w:num w:numId="22">
    <w:abstractNumId w:val="17"/>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1"/>
  </w:num>
  <w:num w:numId="28">
    <w:abstractNumId w:val="4"/>
  </w:num>
  <w:num w:numId="29">
    <w:abstractNumId w:val="11"/>
  </w:num>
  <w:num w:numId="30">
    <w:abstractNumId w:val="9"/>
  </w:num>
  <w:num w:numId="31">
    <w:abstractNumId w:val="19"/>
  </w:num>
  <w:num w:numId="32">
    <w:abstractNumId w:val="29"/>
  </w:num>
  <w:num w:numId="33">
    <w:abstractNumId w:val="23"/>
  </w:num>
  <w:num w:numId="34">
    <w:abstractNumId w:val="7"/>
  </w:num>
  <w:num w:numId="35">
    <w:abstractNumId w:val="5"/>
  </w:num>
  <w:num w:numId="36">
    <w:abstractNumId w:val="24"/>
  </w:num>
  <w:num w:numId="37">
    <w:abstractNumId w:val="5"/>
    <w:lvlOverride w:ilvl="0">
      <w:startOverride w:val="23"/>
    </w:lvlOverride>
  </w:num>
  <w:num w:numId="38">
    <w:abstractNumId w:val="5"/>
  </w:num>
  <w:num w:numId="3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3F"/>
    <w:rsid w:val="000001C8"/>
    <w:rsid w:val="00000201"/>
    <w:rsid w:val="000004F7"/>
    <w:rsid w:val="0000055D"/>
    <w:rsid w:val="0000077D"/>
    <w:rsid w:val="00000899"/>
    <w:rsid w:val="00000968"/>
    <w:rsid w:val="00000A98"/>
    <w:rsid w:val="00000D3B"/>
    <w:rsid w:val="00000F60"/>
    <w:rsid w:val="00001548"/>
    <w:rsid w:val="0000157A"/>
    <w:rsid w:val="00001589"/>
    <w:rsid w:val="00001645"/>
    <w:rsid w:val="0000170C"/>
    <w:rsid w:val="0000179A"/>
    <w:rsid w:val="000017C3"/>
    <w:rsid w:val="0000189D"/>
    <w:rsid w:val="00001BB9"/>
    <w:rsid w:val="00001BBF"/>
    <w:rsid w:val="00001ED3"/>
    <w:rsid w:val="00001F0B"/>
    <w:rsid w:val="000020A6"/>
    <w:rsid w:val="000020AE"/>
    <w:rsid w:val="000021AF"/>
    <w:rsid w:val="0000239B"/>
    <w:rsid w:val="0000249B"/>
    <w:rsid w:val="00002726"/>
    <w:rsid w:val="000027BA"/>
    <w:rsid w:val="0000288C"/>
    <w:rsid w:val="00002A60"/>
    <w:rsid w:val="00002C17"/>
    <w:rsid w:val="00002CDA"/>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3E9B"/>
    <w:rsid w:val="00004019"/>
    <w:rsid w:val="0000409B"/>
    <w:rsid w:val="00004165"/>
    <w:rsid w:val="00004224"/>
    <w:rsid w:val="00004272"/>
    <w:rsid w:val="0000459A"/>
    <w:rsid w:val="000045D6"/>
    <w:rsid w:val="000046B9"/>
    <w:rsid w:val="00004822"/>
    <w:rsid w:val="0000498F"/>
    <w:rsid w:val="00004BE0"/>
    <w:rsid w:val="00004C6A"/>
    <w:rsid w:val="00004E20"/>
    <w:rsid w:val="00004EC5"/>
    <w:rsid w:val="00005092"/>
    <w:rsid w:val="00005167"/>
    <w:rsid w:val="000057A4"/>
    <w:rsid w:val="00005997"/>
    <w:rsid w:val="00005A97"/>
    <w:rsid w:val="00005AC2"/>
    <w:rsid w:val="00005C80"/>
    <w:rsid w:val="00005D34"/>
    <w:rsid w:val="00005E58"/>
    <w:rsid w:val="00006096"/>
    <w:rsid w:val="000060BD"/>
    <w:rsid w:val="00006C68"/>
    <w:rsid w:val="00006FD6"/>
    <w:rsid w:val="00007270"/>
    <w:rsid w:val="00007399"/>
    <w:rsid w:val="00007463"/>
    <w:rsid w:val="00007575"/>
    <w:rsid w:val="0000762D"/>
    <w:rsid w:val="0000766F"/>
    <w:rsid w:val="000078BF"/>
    <w:rsid w:val="000079A0"/>
    <w:rsid w:val="00007A23"/>
    <w:rsid w:val="00007AA8"/>
    <w:rsid w:val="00007ABF"/>
    <w:rsid w:val="00007F76"/>
    <w:rsid w:val="00010289"/>
    <w:rsid w:val="0001045D"/>
    <w:rsid w:val="00010549"/>
    <w:rsid w:val="0001056E"/>
    <w:rsid w:val="000105DC"/>
    <w:rsid w:val="0001087C"/>
    <w:rsid w:val="0001098E"/>
    <w:rsid w:val="00010D32"/>
    <w:rsid w:val="00011363"/>
    <w:rsid w:val="000117CA"/>
    <w:rsid w:val="0001194E"/>
    <w:rsid w:val="00011A21"/>
    <w:rsid w:val="00011AAB"/>
    <w:rsid w:val="00011ACC"/>
    <w:rsid w:val="00011B39"/>
    <w:rsid w:val="00011B85"/>
    <w:rsid w:val="00011C5D"/>
    <w:rsid w:val="00011CC2"/>
    <w:rsid w:val="00011E94"/>
    <w:rsid w:val="00011F37"/>
    <w:rsid w:val="00011FC0"/>
    <w:rsid w:val="00012070"/>
    <w:rsid w:val="0001219F"/>
    <w:rsid w:val="00012255"/>
    <w:rsid w:val="000129E4"/>
    <w:rsid w:val="00012B31"/>
    <w:rsid w:val="00012D91"/>
    <w:rsid w:val="000130AE"/>
    <w:rsid w:val="000130B5"/>
    <w:rsid w:val="00013357"/>
    <w:rsid w:val="000133F2"/>
    <w:rsid w:val="0001340F"/>
    <w:rsid w:val="0001385D"/>
    <w:rsid w:val="0001386B"/>
    <w:rsid w:val="00013944"/>
    <w:rsid w:val="000139F1"/>
    <w:rsid w:val="00013ABE"/>
    <w:rsid w:val="00013D2C"/>
    <w:rsid w:val="00013D5A"/>
    <w:rsid w:val="0001421E"/>
    <w:rsid w:val="0001423F"/>
    <w:rsid w:val="000144FE"/>
    <w:rsid w:val="000145E3"/>
    <w:rsid w:val="000148F8"/>
    <w:rsid w:val="00015089"/>
    <w:rsid w:val="000152BB"/>
    <w:rsid w:val="000159B6"/>
    <w:rsid w:val="00015A31"/>
    <w:rsid w:val="00015AB1"/>
    <w:rsid w:val="00015ADA"/>
    <w:rsid w:val="00015BCC"/>
    <w:rsid w:val="00015ED0"/>
    <w:rsid w:val="00016109"/>
    <w:rsid w:val="0001616A"/>
    <w:rsid w:val="0001616F"/>
    <w:rsid w:val="0001642F"/>
    <w:rsid w:val="000164F5"/>
    <w:rsid w:val="0001673A"/>
    <w:rsid w:val="00016B8C"/>
    <w:rsid w:val="00017026"/>
    <w:rsid w:val="000170A9"/>
    <w:rsid w:val="0001725A"/>
    <w:rsid w:val="000176F9"/>
    <w:rsid w:val="0001780E"/>
    <w:rsid w:val="00017907"/>
    <w:rsid w:val="00017B66"/>
    <w:rsid w:val="00017C04"/>
    <w:rsid w:val="00017D27"/>
    <w:rsid w:val="00017FF7"/>
    <w:rsid w:val="0002002F"/>
    <w:rsid w:val="000201E8"/>
    <w:rsid w:val="000203E1"/>
    <w:rsid w:val="00020461"/>
    <w:rsid w:val="000207E6"/>
    <w:rsid w:val="000207EC"/>
    <w:rsid w:val="0002081D"/>
    <w:rsid w:val="00020AC9"/>
    <w:rsid w:val="00020E46"/>
    <w:rsid w:val="00020F5D"/>
    <w:rsid w:val="00021049"/>
    <w:rsid w:val="000210AF"/>
    <w:rsid w:val="000211EC"/>
    <w:rsid w:val="0002120C"/>
    <w:rsid w:val="000212D6"/>
    <w:rsid w:val="00021483"/>
    <w:rsid w:val="000215A7"/>
    <w:rsid w:val="0002180F"/>
    <w:rsid w:val="00021BB0"/>
    <w:rsid w:val="00021C82"/>
    <w:rsid w:val="00021DA1"/>
    <w:rsid w:val="0002212A"/>
    <w:rsid w:val="0002225C"/>
    <w:rsid w:val="0002238B"/>
    <w:rsid w:val="0002250B"/>
    <w:rsid w:val="0002251F"/>
    <w:rsid w:val="0002257C"/>
    <w:rsid w:val="0002276D"/>
    <w:rsid w:val="00022940"/>
    <w:rsid w:val="00022A0A"/>
    <w:rsid w:val="00022FB0"/>
    <w:rsid w:val="0002309C"/>
    <w:rsid w:val="000231F5"/>
    <w:rsid w:val="000232BA"/>
    <w:rsid w:val="0002339B"/>
    <w:rsid w:val="0002390E"/>
    <w:rsid w:val="000239D1"/>
    <w:rsid w:val="00023BB4"/>
    <w:rsid w:val="00023CB9"/>
    <w:rsid w:val="00023E1F"/>
    <w:rsid w:val="00023F28"/>
    <w:rsid w:val="00023F85"/>
    <w:rsid w:val="00023F8C"/>
    <w:rsid w:val="0002423F"/>
    <w:rsid w:val="00024472"/>
    <w:rsid w:val="000244A1"/>
    <w:rsid w:val="0002464A"/>
    <w:rsid w:val="000248C0"/>
    <w:rsid w:val="000248F0"/>
    <w:rsid w:val="0002495B"/>
    <w:rsid w:val="000249E0"/>
    <w:rsid w:val="00024A5F"/>
    <w:rsid w:val="00024CC7"/>
    <w:rsid w:val="00024EF6"/>
    <w:rsid w:val="000251DC"/>
    <w:rsid w:val="00025498"/>
    <w:rsid w:val="000255BC"/>
    <w:rsid w:val="000257AA"/>
    <w:rsid w:val="000259A6"/>
    <w:rsid w:val="00025C48"/>
    <w:rsid w:val="00025E32"/>
    <w:rsid w:val="00025E47"/>
    <w:rsid w:val="000260C2"/>
    <w:rsid w:val="000260D9"/>
    <w:rsid w:val="0002614E"/>
    <w:rsid w:val="000263B5"/>
    <w:rsid w:val="000263D5"/>
    <w:rsid w:val="00026500"/>
    <w:rsid w:val="000265A9"/>
    <w:rsid w:val="00026637"/>
    <w:rsid w:val="000266CA"/>
    <w:rsid w:val="00026797"/>
    <w:rsid w:val="00026B79"/>
    <w:rsid w:val="00026CE2"/>
    <w:rsid w:val="00026D8D"/>
    <w:rsid w:val="00026F8B"/>
    <w:rsid w:val="00027065"/>
    <w:rsid w:val="00027233"/>
    <w:rsid w:val="00027356"/>
    <w:rsid w:val="000274EF"/>
    <w:rsid w:val="000277EE"/>
    <w:rsid w:val="00027945"/>
    <w:rsid w:val="00027961"/>
    <w:rsid w:val="00027B33"/>
    <w:rsid w:val="0003005B"/>
    <w:rsid w:val="0003014C"/>
    <w:rsid w:val="000305EF"/>
    <w:rsid w:val="000307F1"/>
    <w:rsid w:val="00030AA1"/>
    <w:rsid w:val="00030C2B"/>
    <w:rsid w:val="00030CCC"/>
    <w:rsid w:val="00030D64"/>
    <w:rsid w:val="00030E9C"/>
    <w:rsid w:val="00030F29"/>
    <w:rsid w:val="00030FD4"/>
    <w:rsid w:val="0003179F"/>
    <w:rsid w:val="0003189C"/>
    <w:rsid w:val="0003190F"/>
    <w:rsid w:val="00031B77"/>
    <w:rsid w:val="00031C7A"/>
    <w:rsid w:val="00031CBE"/>
    <w:rsid w:val="00031E21"/>
    <w:rsid w:val="00031F76"/>
    <w:rsid w:val="00031FB0"/>
    <w:rsid w:val="00031FB5"/>
    <w:rsid w:val="00031FBE"/>
    <w:rsid w:val="00031FFD"/>
    <w:rsid w:val="00032005"/>
    <w:rsid w:val="00032093"/>
    <w:rsid w:val="00032120"/>
    <w:rsid w:val="000321A1"/>
    <w:rsid w:val="000326D5"/>
    <w:rsid w:val="0003274D"/>
    <w:rsid w:val="00032943"/>
    <w:rsid w:val="00032BA4"/>
    <w:rsid w:val="00032C3E"/>
    <w:rsid w:val="00032C90"/>
    <w:rsid w:val="00032E46"/>
    <w:rsid w:val="00033442"/>
    <w:rsid w:val="000336A2"/>
    <w:rsid w:val="00033705"/>
    <w:rsid w:val="0003398D"/>
    <w:rsid w:val="00033B82"/>
    <w:rsid w:val="00033C09"/>
    <w:rsid w:val="00033E77"/>
    <w:rsid w:val="00033E86"/>
    <w:rsid w:val="000340F2"/>
    <w:rsid w:val="00034509"/>
    <w:rsid w:val="00034523"/>
    <w:rsid w:val="000345E0"/>
    <w:rsid w:val="00034625"/>
    <w:rsid w:val="00034830"/>
    <w:rsid w:val="00034898"/>
    <w:rsid w:val="000348F5"/>
    <w:rsid w:val="00034B2C"/>
    <w:rsid w:val="00034B9C"/>
    <w:rsid w:val="00034C5E"/>
    <w:rsid w:val="00034CB9"/>
    <w:rsid w:val="00034CDB"/>
    <w:rsid w:val="00034DB5"/>
    <w:rsid w:val="0003558D"/>
    <w:rsid w:val="000356C9"/>
    <w:rsid w:val="00035754"/>
    <w:rsid w:val="00035C58"/>
    <w:rsid w:val="00035CED"/>
    <w:rsid w:val="00035DCA"/>
    <w:rsid w:val="00035E48"/>
    <w:rsid w:val="00035F54"/>
    <w:rsid w:val="000360D4"/>
    <w:rsid w:val="00036158"/>
    <w:rsid w:val="00036436"/>
    <w:rsid w:val="00036437"/>
    <w:rsid w:val="000364B7"/>
    <w:rsid w:val="00036BD3"/>
    <w:rsid w:val="00036BD7"/>
    <w:rsid w:val="00036D86"/>
    <w:rsid w:val="00036DA7"/>
    <w:rsid w:val="00036E08"/>
    <w:rsid w:val="00036E99"/>
    <w:rsid w:val="00036F02"/>
    <w:rsid w:val="00036F86"/>
    <w:rsid w:val="00036F92"/>
    <w:rsid w:val="00037062"/>
    <w:rsid w:val="00037178"/>
    <w:rsid w:val="000374A5"/>
    <w:rsid w:val="000375BF"/>
    <w:rsid w:val="00037658"/>
    <w:rsid w:val="00037896"/>
    <w:rsid w:val="00037A81"/>
    <w:rsid w:val="00037B6E"/>
    <w:rsid w:val="00037BB9"/>
    <w:rsid w:val="00037BF7"/>
    <w:rsid w:val="00037E80"/>
    <w:rsid w:val="00037F24"/>
    <w:rsid w:val="0004004B"/>
    <w:rsid w:val="000400D6"/>
    <w:rsid w:val="00040159"/>
    <w:rsid w:val="000402A0"/>
    <w:rsid w:val="000407BB"/>
    <w:rsid w:val="0004083B"/>
    <w:rsid w:val="00040A59"/>
    <w:rsid w:val="00040B1C"/>
    <w:rsid w:val="00040BD0"/>
    <w:rsid w:val="00040D21"/>
    <w:rsid w:val="00040D40"/>
    <w:rsid w:val="00040D86"/>
    <w:rsid w:val="00040ED8"/>
    <w:rsid w:val="00040F7F"/>
    <w:rsid w:val="00040F87"/>
    <w:rsid w:val="00040FF6"/>
    <w:rsid w:val="00041219"/>
    <w:rsid w:val="00041372"/>
    <w:rsid w:val="000413A7"/>
    <w:rsid w:val="000414D5"/>
    <w:rsid w:val="00041524"/>
    <w:rsid w:val="0004160D"/>
    <w:rsid w:val="000416C2"/>
    <w:rsid w:val="000416DA"/>
    <w:rsid w:val="00041797"/>
    <w:rsid w:val="0004195D"/>
    <w:rsid w:val="000421EA"/>
    <w:rsid w:val="00042334"/>
    <w:rsid w:val="00042442"/>
    <w:rsid w:val="00042508"/>
    <w:rsid w:val="000429A5"/>
    <w:rsid w:val="00042C8D"/>
    <w:rsid w:val="00042E35"/>
    <w:rsid w:val="00042F7D"/>
    <w:rsid w:val="00043011"/>
    <w:rsid w:val="0004311E"/>
    <w:rsid w:val="00043383"/>
    <w:rsid w:val="00043398"/>
    <w:rsid w:val="00043538"/>
    <w:rsid w:val="00043624"/>
    <w:rsid w:val="0004364C"/>
    <w:rsid w:val="000437A2"/>
    <w:rsid w:val="00043900"/>
    <w:rsid w:val="000439D8"/>
    <w:rsid w:val="000439DC"/>
    <w:rsid w:val="00043E5C"/>
    <w:rsid w:val="00044400"/>
    <w:rsid w:val="0004463F"/>
    <w:rsid w:val="00044681"/>
    <w:rsid w:val="000446D3"/>
    <w:rsid w:val="00044741"/>
    <w:rsid w:val="0004487F"/>
    <w:rsid w:val="000449D7"/>
    <w:rsid w:val="00044A33"/>
    <w:rsid w:val="00044D55"/>
    <w:rsid w:val="00044DE9"/>
    <w:rsid w:val="00044EDF"/>
    <w:rsid w:val="00045048"/>
    <w:rsid w:val="0004504F"/>
    <w:rsid w:val="0004507F"/>
    <w:rsid w:val="00045574"/>
    <w:rsid w:val="000456D0"/>
    <w:rsid w:val="000456F8"/>
    <w:rsid w:val="000458CA"/>
    <w:rsid w:val="00045D3D"/>
    <w:rsid w:val="00045D84"/>
    <w:rsid w:val="00045EAD"/>
    <w:rsid w:val="00045FA7"/>
    <w:rsid w:val="000463A3"/>
    <w:rsid w:val="00046700"/>
    <w:rsid w:val="00046899"/>
    <w:rsid w:val="00046A53"/>
    <w:rsid w:val="00046B4A"/>
    <w:rsid w:val="00046B7A"/>
    <w:rsid w:val="00047060"/>
    <w:rsid w:val="0004726C"/>
    <w:rsid w:val="000473B5"/>
    <w:rsid w:val="000474EF"/>
    <w:rsid w:val="0004776B"/>
    <w:rsid w:val="000477C5"/>
    <w:rsid w:val="00047926"/>
    <w:rsid w:val="00047FBF"/>
    <w:rsid w:val="0005002A"/>
    <w:rsid w:val="000500ED"/>
    <w:rsid w:val="00050518"/>
    <w:rsid w:val="00050538"/>
    <w:rsid w:val="00050581"/>
    <w:rsid w:val="00050B4E"/>
    <w:rsid w:val="00050C20"/>
    <w:rsid w:val="00050D45"/>
    <w:rsid w:val="00050EA5"/>
    <w:rsid w:val="00050F26"/>
    <w:rsid w:val="00050F65"/>
    <w:rsid w:val="0005107D"/>
    <w:rsid w:val="00051429"/>
    <w:rsid w:val="000514A6"/>
    <w:rsid w:val="0005176D"/>
    <w:rsid w:val="00051A47"/>
    <w:rsid w:val="00051B91"/>
    <w:rsid w:val="00051F57"/>
    <w:rsid w:val="00052155"/>
    <w:rsid w:val="00052260"/>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AB"/>
    <w:rsid w:val="00053464"/>
    <w:rsid w:val="00053980"/>
    <w:rsid w:val="00054112"/>
    <w:rsid w:val="00054625"/>
    <w:rsid w:val="00054722"/>
    <w:rsid w:val="000547F5"/>
    <w:rsid w:val="0005482D"/>
    <w:rsid w:val="00054932"/>
    <w:rsid w:val="00054AE9"/>
    <w:rsid w:val="00054B84"/>
    <w:rsid w:val="00054D31"/>
    <w:rsid w:val="00054DA3"/>
    <w:rsid w:val="00054F17"/>
    <w:rsid w:val="00054F72"/>
    <w:rsid w:val="000550A3"/>
    <w:rsid w:val="000550DF"/>
    <w:rsid w:val="00055179"/>
    <w:rsid w:val="00055703"/>
    <w:rsid w:val="000557C3"/>
    <w:rsid w:val="00055A38"/>
    <w:rsid w:val="00055BA5"/>
    <w:rsid w:val="000560DC"/>
    <w:rsid w:val="00056123"/>
    <w:rsid w:val="00056332"/>
    <w:rsid w:val="000563FD"/>
    <w:rsid w:val="00056679"/>
    <w:rsid w:val="0005674E"/>
    <w:rsid w:val="000567C9"/>
    <w:rsid w:val="00056C73"/>
    <w:rsid w:val="00056F52"/>
    <w:rsid w:val="00057011"/>
    <w:rsid w:val="000571D1"/>
    <w:rsid w:val="000572E3"/>
    <w:rsid w:val="00057471"/>
    <w:rsid w:val="0005793D"/>
    <w:rsid w:val="00057A29"/>
    <w:rsid w:val="00057AE1"/>
    <w:rsid w:val="00057B38"/>
    <w:rsid w:val="00057C7D"/>
    <w:rsid w:val="00057D79"/>
    <w:rsid w:val="00057DFB"/>
    <w:rsid w:val="00057E80"/>
    <w:rsid w:val="00057E8E"/>
    <w:rsid w:val="00060174"/>
    <w:rsid w:val="00060343"/>
    <w:rsid w:val="000603E6"/>
    <w:rsid w:val="00060495"/>
    <w:rsid w:val="000605DE"/>
    <w:rsid w:val="000606CB"/>
    <w:rsid w:val="0006091B"/>
    <w:rsid w:val="00060AB5"/>
    <w:rsid w:val="00060B69"/>
    <w:rsid w:val="00061140"/>
    <w:rsid w:val="00061182"/>
    <w:rsid w:val="000611AB"/>
    <w:rsid w:val="00061217"/>
    <w:rsid w:val="00061730"/>
    <w:rsid w:val="00061813"/>
    <w:rsid w:val="0006191E"/>
    <w:rsid w:val="00061940"/>
    <w:rsid w:val="00061A1E"/>
    <w:rsid w:val="00061C33"/>
    <w:rsid w:val="00061EC8"/>
    <w:rsid w:val="0006211B"/>
    <w:rsid w:val="0006213A"/>
    <w:rsid w:val="000622EC"/>
    <w:rsid w:val="00062319"/>
    <w:rsid w:val="00062413"/>
    <w:rsid w:val="00062495"/>
    <w:rsid w:val="00062637"/>
    <w:rsid w:val="000627E0"/>
    <w:rsid w:val="00062A57"/>
    <w:rsid w:val="00062A98"/>
    <w:rsid w:val="00062AA7"/>
    <w:rsid w:val="00062AFE"/>
    <w:rsid w:val="00062D68"/>
    <w:rsid w:val="00062E21"/>
    <w:rsid w:val="00062EE7"/>
    <w:rsid w:val="000631C7"/>
    <w:rsid w:val="000631E8"/>
    <w:rsid w:val="000632F5"/>
    <w:rsid w:val="000633EE"/>
    <w:rsid w:val="00063700"/>
    <w:rsid w:val="0006374B"/>
    <w:rsid w:val="00063844"/>
    <w:rsid w:val="00063B51"/>
    <w:rsid w:val="00063C40"/>
    <w:rsid w:val="00063C5C"/>
    <w:rsid w:val="00064156"/>
    <w:rsid w:val="000641AC"/>
    <w:rsid w:val="000646A8"/>
    <w:rsid w:val="00064AA8"/>
    <w:rsid w:val="00064C62"/>
    <w:rsid w:val="00064F9A"/>
    <w:rsid w:val="00064FA4"/>
    <w:rsid w:val="000651AA"/>
    <w:rsid w:val="000652F1"/>
    <w:rsid w:val="00065421"/>
    <w:rsid w:val="0006559D"/>
    <w:rsid w:val="000656BC"/>
    <w:rsid w:val="00065AE2"/>
    <w:rsid w:val="00065B24"/>
    <w:rsid w:val="00065D0A"/>
    <w:rsid w:val="00065E25"/>
    <w:rsid w:val="00065EE3"/>
    <w:rsid w:val="00065F71"/>
    <w:rsid w:val="000661C4"/>
    <w:rsid w:val="00066269"/>
    <w:rsid w:val="00066505"/>
    <w:rsid w:val="000666D5"/>
    <w:rsid w:val="00066827"/>
    <w:rsid w:val="00066909"/>
    <w:rsid w:val="00066948"/>
    <w:rsid w:val="00066E46"/>
    <w:rsid w:val="00066EA1"/>
    <w:rsid w:val="00066ED7"/>
    <w:rsid w:val="00067036"/>
    <w:rsid w:val="000670C7"/>
    <w:rsid w:val="000671F6"/>
    <w:rsid w:val="000672F4"/>
    <w:rsid w:val="0006759A"/>
    <w:rsid w:val="000675BA"/>
    <w:rsid w:val="000676C2"/>
    <w:rsid w:val="0006799A"/>
    <w:rsid w:val="000703A9"/>
    <w:rsid w:val="00070805"/>
    <w:rsid w:val="00070906"/>
    <w:rsid w:val="00070979"/>
    <w:rsid w:val="000709B5"/>
    <w:rsid w:val="000709D6"/>
    <w:rsid w:val="00070B61"/>
    <w:rsid w:val="00070DAB"/>
    <w:rsid w:val="00070FE5"/>
    <w:rsid w:val="0007124C"/>
    <w:rsid w:val="0007139D"/>
    <w:rsid w:val="000713DB"/>
    <w:rsid w:val="00071908"/>
    <w:rsid w:val="0007197F"/>
    <w:rsid w:val="00071A75"/>
    <w:rsid w:val="00071AF3"/>
    <w:rsid w:val="00071C16"/>
    <w:rsid w:val="00071C80"/>
    <w:rsid w:val="00071CCA"/>
    <w:rsid w:val="00071E2F"/>
    <w:rsid w:val="000720AF"/>
    <w:rsid w:val="0007228D"/>
    <w:rsid w:val="000723C6"/>
    <w:rsid w:val="00072615"/>
    <w:rsid w:val="0007273F"/>
    <w:rsid w:val="0007288D"/>
    <w:rsid w:val="00072B11"/>
    <w:rsid w:val="00072CD1"/>
    <w:rsid w:val="00073034"/>
    <w:rsid w:val="0007304C"/>
    <w:rsid w:val="00073364"/>
    <w:rsid w:val="000734B5"/>
    <w:rsid w:val="00073657"/>
    <w:rsid w:val="00073729"/>
    <w:rsid w:val="00073800"/>
    <w:rsid w:val="00073E05"/>
    <w:rsid w:val="00074016"/>
    <w:rsid w:val="000740CB"/>
    <w:rsid w:val="0007417E"/>
    <w:rsid w:val="0007453B"/>
    <w:rsid w:val="0007453F"/>
    <w:rsid w:val="000746FF"/>
    <w:rsid w:val="00074845"/>
    <w:rsid w:val="0007498D"/>
    <w:rsid w:val="00074AD7"/>
    <w:rsid w:val="00074D43"/>
    <w:rsid w:val="00074E1A"/>
    <w:rsid w:val="00074F11"/>
    <w:rsid w:val="000752A2"/>
    <w:rsid w:val="00075433"/>
    <w:rsid w:val="00075562"/>
    <w:rsid w:val="000755F2"/>
    <w:rsid w:val="000757C5"/>
    <w:rsid w:val="00075981"/>
    <w:rsid w:val="00075996"/>
    <w:rsid w:val="00075A8B"/>
    <w:rsid w:val="00075AB7"/>
    <w:rsid w:val="00075B1C"/>
    <w:rsid w:val="00075C88"/>
    <w:rsid w:val="00075FEB"/>
    <w:rsid w:val="000760B1"/>
    <w:rsid w:val="000761DC"/>
    <w:rsid w:val="00076317"/>
    <w:rsid w:val="0007649F"/>
    <w:rsid w:val="000764F4"/>
    <w:rsid w:val="000767C7"/>
    <w:rsid w:val="000768A7"/>
    <w:rsid w:val="00076ABA"/>
    <w:rsid w:val="00076DA7"/>
    <w:rsid w:val="00076EC8"/>
    <w:rsid w:val="00076F68"/>
    <w:rsid w:val="000772F8"/>
    <w:rsid w:val="000774EA"/>
    <w:rsid w:val="0007750A"/>
    <w:rsid w:val="0007764B"/>
    <w:rsid w:val="000778F8"/>
    <w:rsid w:val="00077952"/>
    <w:rsid w:val="00077A78"/>
    <w:rsid w:val="00077B94"/>
    <w:rsid w:val="00077C8F"/>
    <w:rsid w:val="00077E43"/>
    <w:rsid w:val="00077F9C"/>
    <w:rsid w:val="00080362"/>
    <w:rsid w:val="0008040B"/>
    <w:rsid w:val="00080797"/>
    <w:rsid w:val="000808EC"/>
    <w:rsid w:val="00080906"/>
    <w:rsid w:val="00080961"/>
    <w:rsid w:val="00080CC6"/>
    <w:rsid w:val="00080CE7"/>
    <w:rsid w:val="00080DE0"/>
    <w:rsid w:val="00081319"/>
    <w:rsid w:val="0008137A"/>
    <w:rsid w:val="000814A8"/>
    <w:rsid w:val="00081778"/>
    <w:rsid w:val="0008180F"/>
    <w:rsid w:val="000819D9"/>
    <w:rsid w:val="00081A60"/>
    <w:rsid w:val="00081A7D"/>
    <w:rsid w:val="00081B84"/>
    <w:rsid w:val="00081BCF"/>
    <w:rsid w:val="00081D10"/>
    <w:rsid w:val="00081D79"/>
    <w:rsid w:val="00081E27"/>
    <w:rsid w:val="00081E5A"/>
    <w:rsid w:val="00081EAA"/>
    <w:rsid w:val="0008245D"/>
    <w:rsid w:val="00082556"/>
    <w:rsid w:val="00082647"/>
    <w:rsid w:val="00082A15"/>
    <w:rsid w:val="00082BA2"/>
    <w:rsid w:val="00082BFE"/>
    <w:rsid w:val="00082C3F"/>
    <w:rsid w:val="00082CDF"/>
    <w:rsid w:val="000835AA"/>
    <w:rsid w:val="0008374E"/>
    <w:rsid w:val="000838CE"/>
    <w:rsid w:val="0008391A"/>
    <w:rsid w:val="00083928"/>
    <w:rsid w:val="00083AB1"/>
    <w:rsid w:val="00083AEA"/>
    <w:rsid w:val="00083C02"/>
    <w:rsid w:val="00083F8C"/>
    <w:rsid w:val="000841F5"/>
    <w:rsid w:val="00084433"/>
    <w:rsid w:val="00084475"/>
    <w:rsid w:val="0008471D"/>
    <w:rsid w:val="000848E2"/>
    <w:rsid w:val="00084C8E"/>
    <w:rsid w:val="00084D7B"/>
    <w:rsid w:val="0008542D"/>
    <w:rsid w:val="0008547C"/>
    <w:rsid w:val="000855B0"/>
    <w:rsid w:val="000858B2"/>
    <w:rsid w:val="00085903"/>
    <w:rsid w:val="00085A3C"/>
    <w:rsid w:val="00085A72"/>
    <w:rsid w:val="00085B50"/>
    <w:rsid w:val="00085C74"/>
    <w:rsid w:val="00085CF3"/>
    <w:rsid w:val="000861BE"/>
    <w:rsid w:val="000862F4"/>
    <w:rsid w:val="000863B5"/>
    <w:rsid w:val="00086547"/>
    <w:rsid w:val="000865BD"/>
    <w:rsid w:val="00086680"/>
    <w:rsid w:val="000868DA"/>
    <w:rsid w:val="000868DE"/>
    <w:rsid w:val="00086A35"/>
    <w:rsid w:val="00086C8C"/>
    <w:rsid w:val="00086D7E"/>
    <w:rsid w:val="00086F6F"/>
    <w:rsid w:val="00087078"/>
    <w:rsid w:val="00087391"/>
    <w:rsid w:val="0008750C"/>
    <w:rsid w:val="00087634"/>
    <w:rsid w:val="0008783E"/>
    <w:rsid w:val="00087E86"/>
    <w:rsid w:val="00087FC2"/>
    <w:rsid w:val="00090004"/>
    <w:rsid w:val="000900AA"/>
    <w:rsid w:val="0009013D"/>
    <w:rsid w:val="0009015D"/>
    <w:rsid w:val="0009028E"/>
    <w:rsid w:val="000902C8"/>
    <w:rsid w:val="000904AF"/>
    <w:rsid w:val="0009053B"/>
    <w:rsid w:val="000905BD"/>
    <w:rsid w:val="00090723"/>
    <w:rsid w:val="0009073D"/>
    <w:rsid w:val="0009094B"/>
    <w:rsid w:val="00090AD9"/>
    <w:rsid w:val="00090EAF"/>
    <w:rsid w:val="00090F43"/>
    <w:rsid w:val="0009126A"/>
    <w:rsid w:val="000912AD"/>
    <w:rsid w:val="00091529"/>
    <w:rsid w:val="000916DB"/>
    <w:rsid w:val="00091720"/>
    <w:rsid w:val="000917CD"/>
    <w:rsid w:val="00091824"/>
    <w:rsid w:val="000918F5"/>
    <w:rsid w:val="00091B84"/>
    <w:rsid w:val="00091BB0"/>
    <w:rsid w:val="00091DF2"/>
    <w:rsid w:val="00092213"/>
    <w:rsid w:val="00092371"/>
    <w:rsid w:val="000923D0"/>
    <w:rsid w:val="00092436"/>
    <w:rsid w:val="0009244C"/>
    <w:rsid w:val="00092AA0"/>
    <w:rsid w:val="00092C3B"/>
    <w:rsid w:val="00092DA2"/>
    <w:rsid w:val="00092DA3"/>
    <w:rsid w:val="00092DC5"/>
    <w:rsid w:val="00092F3D"/>
    <w:rsid w:val="0009350C"/>
    <w:rsid w:val="000937D6"/>
    <w:rsid w:val="00093961"/>
    <w:rsid w:val="000939CD"/>
    <w:rsid w:val="00093A35"/>
    <w:rsid w:val="00093F6B"/>
    <w:rsid w:val="00094045"/>
    <w:rsid w:val="0009407B"/>
    <w:rsid w:val="000940F9"/>
    <w:rsid w:val="00094392"/>
    <w:rsid w:val="00094631"/>
    <w:rsid w:val="0009474D"/>
    <w:rsid w:val="00094789"/>
    <w:rsid w:val="00094C98"/>
    <w:rsid w:val="00094DAB"/>
    <w:rsid w:val="00095186"/>
    <w:rsid w:val="000953DC"/>
    <w:rsid w:val="000953DE"/>
    <w:rsid w:val="00095555"/>
    <w:rsid w:val="00095732"/>
    <w:rsid w:val="00095A35"/>
    <w:rsid w:val="00095A3E"/>
    <w:rsid w:val="00095DB5"/>
    <w:rsid w:val="00095DCC"/>
    <w:rsid w:val="00095FF6"/>
    <w:rsid w:val="00096066"/>
    <w:rsid w:val="0009609A"/>
    <w:rsid w:val="000961A0"/>
    <w:rsid w:val="000961F6"/>
    <w:rsid w:val="000964D0"/>
    <w:rsid w:val="00096B44"/>
    <w:rsid w:val="00096BAB"/>
    <w:rsid w:val="00096CA4"/>
    <w:rsid w:val="00096D9B"/>
    <w:rsid w:val="00096FDC"/>
    <w:rsid w:val="00097074"/>
    <w:rsid w:val="00097228"/>
    <w:rsid w:val="000972D9"/>
    <w:rsid w:val="000974B8"/>
    <w:rsid w:val="000975AA"/>
    <w:rsid w:val="000976A2"/>
    <w:rsid w:val="0009770F"/>
    <w:rsid w:val="0009788D"/>
    <w:rsid w:val="000979D1"/>
    <w:rsid w:val="00097AC9"/>
    <w:rsid w:val="00097B7B"/>
    <w:rsid w:val="000A0380"/>
    <w:rsid w:val="000A05CF"/>
    <w:rsid w:val="000A0617"/>
    <w:rsid w:val="000A08BE"/>
    <w:rsid w:val="000A0B2B"/>
    <w:rsid w:val="000A0B6E"/>
    <w:rsid w:val="000A0C93"/>
    <w:rsid w:val="000A0CC6"/>
    <w:rsid w:val="000A0DC2"/>
    <w:rsid w:val="000A0E32"/>
    <w:rsid w:val="000A1224"/>
    <w:rsid w:val="000A1435"/>
    <w:rsid w:val="000A14D1"/>
    <w:rsid w:val="000A1974"/>
    <w:rsid w:val="000A1978"/>
    <w:rsid w:val="000A1E0B"/>
    <w:rsid w:val="000A1E71"/>
    <w:rsid w:val="000A1E95"/>
    <w:rsid w:val="000A1F03"/>
    <w:rsid w:val="000A1F92"/>
    <w:rsid w:val="000A203C"/>
    <w:rsid w:val="000A22E6"/>
    <w:rsid w:val="000A231D"/>
    <w:rsid w:val="000A2471"/>
    <w:rsid w:val="000A2476"/>
    <w:rsid w:val="000A24B2"/>
    <w:rsid w:val="000A24F4"/>
    <w:rsid w:val="000A2503"/>
    <w:rsid w:val="000A25FA"/>
    <w:rsid w:val="000A2921"/>
    <w:rsid w:val="000A2AAF"/>
    <w:rsid w:val="000A2BD0"/>
    <w:rsid w:val="000A2C9D"/>
    <w:rsid w:val="000A2DFD"/>
    <w:rsid w:val="000A2EED"/>
    <w:rsid w:val="000A2F7F"/>
    <w:rsid w:val="000A2FB6"/>
    <w:rsid w:val="000A32EC"/>
    <w:rsid w:val="000A3415"/>
    <w:rsid w:val="000A351E"/>
    <w:rsid w:val="000A3779"/>
    <w:rsid w:val="000A39D8"/>
    <w:rsid w:val="000A3B11"/>
    <w:rsid w:val="000A3B74"/>
    <w:rsid w:val="000A3BF5"/>
    <w:rsid w:val="000A3D8B"/>
    <w:rsid w:val="000A3DC9"/>
    <w:rsid w:val="000A3E98"/>
    <w:rsid w:val="000A3F02"/>
    <w:rsid w:val="000A4184"/>
    <w:rsid w:val="000A41E0"/>
    <w:rsid w:val="000A437E"/>
    <w:rsid w:val="000A446D"/>
    <w:rsid w:val="000A4978"/>
    <w:rsid w:val="000A49D4"/>
    <w:rsid w:val="000A4A22"/>
    <w:rsid w:val="000A4A7E"/>
    <w:rsid w:val="000A4DA3"/>
    <w:rsid w:val="000A4DEB"/>
    <w:rsid w:val="000A4FCE"/>
    <w:rsid w:val="000A4FE9"/>
    <w:rsid w:val="000A50C7"/>
    <w:rsid w:val="000A51CE"/>
    <w:rsid w:val="000A5256"/>
    <w:rsid w:val="000A52EF"/>
    <w:rsid w:val="000A5325"/>
    <w:rsid w:val="000A5640"/>
    <w:rsid w:val="000A5704"/>
    <w:rsid w:val="000A588B"/>
    <w:rsid w:val="000A592D"/>
    <w:rsid w:val="000A592E"/>
    <w:rsid w:val="000A597B"/>
    <w:rsid w:val="000A59A5"/>
    <w:rsid w:val="000A59BA"/>
    <w:rsid w:val="000A5B15"/>
    <w:rsid w:val="000A5D26"/>
    <w:rsid w:val="000A5D5E"/>
    <w:rsid w:val="000A60A8"/>
    <w:rsid w:val="000A638B"/>
    <w:rsid w:val="000A658C"/>
    <w:rsid w:val="000A6764"/>
    <w:rsid w:val="000A6809"/>
    <w:rsid w:val="000A6A2A"/>
    <w:rsid w:val="000A6B75"/>
    <w:rsid w:val="000A6BCC"/>
    <w:rsid w:val="000A6CC5"/>
    <w:rsid w:val="000A6E57"/>
    <w:rsid w:val="000A7209"/>
    <w:rsid w:val="000A756C"/>
    <w:rsid w:val="000A757E"/>
    <w:rsid w:val="000A786C"/>
    <w:rsid w:val="000A795C"/>
    <w:rsid w:val="000A7BDC"/>
    <w:rsid w:val="000A7CA8"/>
    <w:rsid w:val="000A7D2C"/>
    <w:rsid w:val="000B0060"/>
    <w:rsid w:val="000B05AF"/>
    <w:rsid w:val="000B0612"/>
    <w:rsid w:val="000B0778"/>
    <w:rsid w:val="000B08BE"/>
    <w:rsid w:val="000B0A5A"/>
    <w:rsid w:val="000B0B52"/>
    <w:rsid w:val="000B0E60"/>
    <w:rsid w:val="000B0EDF"/>
    <w:rsid w:val="000B0FB3"/>
    <w:rsid w:val="000B1249"/>
    <w:rsid w:val="000B12AF"/>
    <w:rsid w:val="000B13D4"/>
    <w:rsid w:val="000B1533"/>
    <w:rsid w:val="000B19E2"/>
    <w:rsid w:val="000B1A8E"/>
    <w:rsid w:val="000B1B6B"/>
    <w:rsid w:val="000B1CAD"/>
    <w:rsid w:val="000B1E3F"/>
    <w:rsid w:val="000B1FBB"/>
    <w:rsid w:val="000B22ED"/>
    <w:rsid w:val="000B242B"/>
    <w:rsid w:val="000B2803"/>
    <w:rsid w:val="000B28B1"/>
    <w:rsid w:val="000B29B6"/>
    <w:rsid w:val="000B2A28"/>
    <w:rsid w:val="000B2A93"/>
    <w:rsid w:val="000B2C89"/>
    <w:rsid w:val="000B2F0D"/>
    <w:rsid w:val="000B32ED"/>
    <w:rsid w:val="000B35E1"/>
    <w:rsid w:val="000B36CE"/>
    <w:rsid w:val="000B3720"/>
    <w:rsid w:val="000B37A3"/>
    <w:rsid w:val="000B3875"/>
    <w:rsid w:val="000B3A62"/>
    <w:rsid w:val="000B3C7A"/>
    <w:rsid w:val="000B3CCF"/>
    <w:rsid w:val="000B3D59"/>
    <w:rsid w:val="000B3DCF"/>
    <w:rsid w:val="000B4434"/>
    <w:rsid w:val="000B4723"/>
    <w:rsid w:val="000B482F"/>
    <w:rsid w:val="000B48E8"/>
    <w:rsid w:val="000B4930"/>
    <w:rsid w:val="000B4A4F"/>
    <w:rsid w:val="000B4A50"/>
    <w:rsid w:val="000B4E49"/>
    <w:rsid w:val="000B4E8C"/>
    <w:rsid w:val="000B4F78"/>
    <w:rsid w:val="000B52A1"/>
    <w:rsid w:val="000B5327"/>
    <w:rsid w:val="000B585A"/>
    <w:rsid w:val="000B5963"/>
    <w:rsid w:val="000B5966"/>
    <w:rsid w:val="000B59C3"/>
    <w:rsid w:val="000B5BDD"/>
    <w:rsid w:val="000B5DFA"/>
    <w:rsid w:val="000B5EA1"/>
    <w:rsid w:val="000B606D"/>
    <w:rsid w:val="000B60A4"/>
    <w:rsid w:val="000B6191"/>
    <w:rsid w:val="000B61A6"/>
    <w:rsid w:val="000B634F"/>
    <w:rsid w:val="000B6444"/>
    <w:rsid w:val="000B65DE"/>
    <w:rsid w:val="000B6865"/>
    <w:rsid w:val="000B6905"/>
    <w:rsid w:val="000B6963"/>
    <w:rsid w:val="000B6A41"/>
    <w:rsid w:val="000B6AC3"/>
    <w:rsid w:val="000B6B67"/>
    <w:rsid w:val="000B6B89"/>
    <w:rsid w:val="000B6C81"/>
    <w:rsid w:val="000B6CE0"/>
    <w:rsid w:val="000B6D4D"/>
    <w:rsid w:val="000B6FE1"/>
    <w:rsid w:val="000B70B5"/>
    <w:rsid w:val="000B72BE"/>
    <w:rsid w:val="000B732E"/>
    <w:rsid w:val="000B73B5"/>
    <w:rsid w:val="000B74AA"/>
    <w:rsid w:val="000B7B3F"/>
    <w:rsid w:val="000B7C3D"/>
    <w:rsid w:val="000B7F29"/>
    <w:rsid w:val="000C0002"/>
    <w:rsid w:val="000C0089"/>
    <w:rsid w:val="000C00A7"/>
    <w:rsid w:val="000C0514"/>
    <w:rsid w:val="000C0531"/>
    <w:rsid w:val="000C062A"/>
    <w:rsid w:val="000C0AA9"/>
    <w:rsid w:val="000C0B97"/>
    <w:rsid w:val="000C0C21"/>
    <w:rsid w:val="000C0CD3"/>
    <w:rsid w:val="000C0CD4"/>
    <w:rsid w:val="000C0D93"/>
    <w:rsid w:val="000C0DB9"/>
    <w:rsid w:val="000C0E44"/>
    <w:rsid w:val="000C0F9D"/>
    <w:rsid w:val="000C1239"/>
    <w:rsid w:val="000C1259"/>
    <w:rsid w:val="000C1518"/>
    <w:rsid w:val="000C17B1"/>
    <w:rsid w:val="000C1B8E"/>
    <w:rsid w:val="000C1ECD"/>
    <w:rsid w:val="000C1EFF"/>
    <w:rsid w:val="000C1F82"/>
    <w:rsid w:val="000C21A7"/>
    <w:rsid w:val="000C234D"/>
    <w:rsid w:val="000C24FB"/>
    <w:rsid w:val="000C266A"/>
    <w:rsid w:val="000C2783"/>
    <w:rsid w:val="000C29F4"/>
    <w:rsid w:val="000C2F40"/>
    <w:rsid w:val="000C3025"/>
    <w:rsid w:val="000C31D4"/>
    <w:rsid w:val="000C3331"/>
    <w:rsid w:val="000C3351"/>
    <w:rsid w:val="000C3407"/>
    <w:rsid w:val="000C35E8"/>
    <w:rsid w:val="000C363C"/>
    <w:rsid w:val="000C374F"/>
    <w:rsid w:val="000C38AB"/>
    <w:rsid w:val="000C38FE"/>
    <w:rsid w:val="000C395D"/>
    <w:rsid w:val="000C3A28"/>
    <w:rsid w:val="000C3B65"/>
    <w:rsid w:val="000C3CEA"/>
    <w:rsid w:val="000C3D5F"/>
    <w:rsid w:val="000C3D9C"/>
    <w:rsid w:val="000C3DEF"/>
    <w:rsid w:val="000C40F8"/>
    <w:rsid w:val="000C4136"/>
    <w:rsid w:val="000C474B"/>
    <w:rsid w:val="000C47A0"/>
    <w:rsid w:val="000C490A"/>
    <w:rsid w:val="000C4967"/>
    <w:rsid w:val="000C4C29"/>
    <w:rsid w:val="000C4CA9"/>
    <w:rsid w:val="000C4DC2"/>
    <w:rsid w:val="000C4FC9"/>
    <w:rsid w:val="000C4FE9"/>
    <w:rsid w:val="000C50C7"/>
    <w:rsid w:val="000C50DA"/>
    <w:rsid w:val="000C5323"/>
    <w:rsid w:val="000C5444"/>
    <w:rsid w:val="000C5B1B"/>
    <w:rsid w:val="000C5BA3"/>
    <w:rsid w:val="000C5E62"/>
    <w:rsid w:val="000C63A6"/>
    <w:rsid w:val="000C6408"/>
    <w:rsid w:val="000C648B"/>
    <w:rsid w:val="000C6491"/>
    <w:rsid w:val="000C64E4"/>
    <w:rsid w:val="000C664E"/>
    <w:rsid w:val="000C66C4"/>
    <w:rsid w:val="000C6A7E"/>
    <w:rsid w:val="000C6AEA"/>
    <w:rsid w:val="000C6AEF"/>
    <w:rsid w:val="000C6C0B"/>
    <w:rsid w:val="000C6C1C"/>
    <w:rsid w:val="000C6C32"/>
    <w:rsid w:val="000C6D10"/>
    <w:rsid w:val="000C6E4F"/>
    <w:rsid w:val="000C6F10"/>
    <w:rsid w:val="000C6F33"/>
    <w:rsid w:val="000C7277"/>
    <w:rsid w:val="000C728B"/>
    <w:rsid w:val="000C7292"/>
    <w:rsid w:val="000C762B"/>
    <w:rsid w:val="000C7635"/>
    <w:rsid w:val="000C7807"/>
    <w:rsid w:val="000C7A10"/>
    <w:rsid w:val="000C7B61"/>
    <w:rsid w:val="000C7D27"/>
    <w:rsid w:val="000C7FA9"/>
    <w:rsid w:val="000D008E"/>
    <w:rsid w:val="000D00BA"/>
    <w:rsid w:val="000D01FA"/>
    <w:rsid w:val="000D05CA"/>
    <w:rsid w:val="000D084F"/>
    <w:rsid w:val="000D0942"/>
    <w:rsid w:val="000D0988"/>
    <w:rsid w:val="000D0B87"/>
    <w:rsid w:val="000D0C47"/>
    <w:rsid w:val="000D0D98"/>
    <w:rsid w:val="000D0EE1"/>
    <w:rsid w:val="000D1131"/>
    <w:rsid w:val="000D12F1"/>
    <w:rsid w:val="000D1306"/>
    <w:rsid w:val="000D13AA"/>
    <w:rsid w:val="000D1401"/>
    <w:rsid w:val="000D154E"/>
    <w:rsid w:val="000D15B2"/>
    <w:rsid w:val="000D176F"/>
    <w:rsid w:val="000D194F"/>
    <w:rsid w:val="000D1961"/>
    <w:rsid w:val="000D1AB3"/>
    <w:rsid w:val="000D1BFC"/>
    <w:rsid w:val="000D1C27"/>
    <w:rsid w:val="000D1D0A"/>
    <w:rsid w:val="000D1D4D"/>
    <w:rsid w:val="000D1D5E"/>
    <w:rsid w:val="000D1D70"/>
    <w:rsid w:val="000D1FFA"/>
    <w:rsid w:val="000D2147"/>
    <w:rsid w:val="000D25A2"/>
    <w:rsid w:val="000D278C"/>
    <w:rsid w:val="000D279B"/>
    <w:rsid w:val="000D27EB"/>
    <w:rsid w:val="000D2871"/>
    <w:rsid w:val="000D2933"/>
    <w:rsid w:val="000D298F"/>
    <w:rsid w:val="000D2A97"/>
    <w:rsid w:val="000D2B32"/>
    <w:rsid w:val="000D2BEC"/>
    <w:rsid w:val="000D2D1A"/>
    <w:rsid w:val="000D2D82"/>
    <w:rsid w:val="000D33CD"/>
    <w:rsid w:val="000D352B"/>
    <w:rsid w:val="000D3573"/>
    <w:rsid w:val="000D35E5"/>
    <w:rsid w:val="000D362B"/>
    <w:rsid w:val="000D38C6"/>
    <w:rsid w:val="000D3A79"/>
    <w:rsid w:val="000D3AF3"/>
    <w:rsid w:val="000D40E3"/>
    <w:rsid w:val="000D420B"/>
    <w:rsid w:val="000D4581"/>
    <w:rsid w:val="000D4787"/>
    <w:rsid w:val="000D4945"/>
    <w:rsid w:val="000D4A3B"/>
    <w:rsid w:val="000D4C0B"/>
    <w:rsid w:val="000D4C4F"/>
    <w:rsid w:val="000D4FBA"/>
    <w:rsid w:val="000D50B5"/>
    <w:rsid w:val="000D525A"/>
    <w:rsid w:val="000D537C"/>
    <w:rsid w:val="000D56CC"/>
    <w:rsid w:val="000D589D"/>
    <w:rsid w:val="000D5931"/>
    <w:rsid w:val="000D5B17"/>
    <w:rsid w:val="000D5BD1"/>
    <w:rsid w:val="000D5DB3"/>
    <w:rsid w:val="000D5F96"/>
    <w:rsid w:val="000D6256"/>
    <w:rsid w:val="000D6521"/>
    <w:rsid w:val="000D664F"/>
    <w:rsid w:val="000D6930"/>
    <w:rsid w:val="000D695B"/>
    <w:rsid w:val="000D6C37"/>
    <w:rsid w:val="000D6D5F"/>
    <w:rsid w:val="000D6D7B"/>
    <w:rsid w:val="000D6E37"/>
    <w:rsid w:val="000D6F73"/>
    <w:rsid w:val="000D724D"/>
    <w:rsid w:val="000D72AE"/>
    <w:rsid w:val="000D74A5"/>
    <w:rsid w:val="000D7595"/>
    <w:rsid w:val="000D7AA4"/>
    <w:rsid w:val="000D7B91"/>
    <w:rsid w:val="000D7C14"/>
    <w:rsid w:val="000D7E9E"/>
    <w:rsid w:val="000D7EF4"/>
    <w:rsid w:val="000D7F0C"/>
    <w:rsid w:val="000D7F5E"/>
    <w:rsid w:val="000E00CC"/>
    <w:rsid w:val="000E02B5"/>
    <w:rsid w:val="000E04F6"/>
    <w:rsid w:val="000E05FE"/>
    <w:rsid w:val="000E09E1"/>
    <w:rsid w:val="000E0C09"/>
    <w:rsid w:val="000E0FD1"/>
    <w:rsid w:val="000E110C"/>
    <w:rsid w:val="000E1187"/>
    <w:rsid w:val="000E11B4"/>
    <w:rsid w:val="000E13C1"/>
    <w:rsid w:val="000E15B2"/>
    <w:rsid w:val="000E1642"/>
    <w:rsid w:val="000E173C"/>
    <w:rsid w:val="000E175B"/>
    <w:rsid w:val="000E1896"/>
    <w:rsid w:val="000E1995"/>
    <w:rsid w:val="000E1B2F"/>
    <w:rsid w:val="000E1BEA"/>
    <w:rsid w:val="000E22FB"/>
    <w:rsid w:val="000E23A8"/>
    <w:rsid w:val="000E2823"/>
    <w:rsid w:val="000E29DB"/>
    <w:rsid w:val="000E2BFA"/>
    <w:rsid w:val="000E2D12"/>
    <w:rsid w:val="000E2D22"/>
    <w:rsid w:val="000E2DBD"/>
    <w:rsid w:val="000E2DD5"/>
    <w:rsid w:val="000E2F52"/>
    <w:rsid w:val="000E3077"/>
    <w:rsid w:val="000E31F9"/>
    <w:rsid w:val="000E35C9"/>
    <w:rsid w:val="000E36DA"/>
    <w:rsid w:val="000E39B6"/>
    <w:rsid w:val="000E3C24"/>
    <w:rsid w:val="000E3C68"/>
    <w:rsid w:val="000E3C76"/>
    <w:rsid w:val="000E3D57"/>
    <w:rsid w:val="000E3D82"/>
    <w:rsid w:val="000E3F11"/>
    <w:rsid w:val="000E40AD"/>
    <w:rsid w:val="000E4194"/>
    <w:rsid w:val="000E4199"/>
    <w:rsid w:val="000E41F3"/>
    <w:rsid w:val="000E4511"/>
    <w:rsid w:val="000E45C4"/>
    <w:rsid w:val="000E4731"/>
    <w:rsid w:val="000E478D"/>
    <w:rsid w:val="000E4A4A"/>
    <w:rsid w:val="000E4A7B"/>
    <w:rsid w:val="000E4BAB"/>
    <w:rsid w:val="000E4BAC"/>
    <w:rsid w:val="000E4BFE"/>
    <w:rsid w:val="000E4E3F"/>
    <w:rsid w:val="000E4F1B"/>
    <w:rsid w:val="000E4FC6"/>
    <w:rsid w:val="000E5094"/>
    <w:rsid w:val="000E5230"/>
    <w:rsid w:val="000E53BE"/>
    <w:rsid w:val="000E5A66"/>
    <w:rsid w:val="000E5C22"/>
    <w:rsid w:val="000E5D88"/>
    <w:rsid w:val="000E5EAC"/>
    <w:rsid w:val="000E5F95"/>
    <w:rsid w:val="000E61B5"/>
    <w:rsid w:val="000E629D"/>
    <w:rsid w:val="000E63B4"/>
    <w:rsid w:val="000E6497"/>
    <w:rsid w:val="000E64A6"/>
    <w:rsid w:val="000E6745"/>
    <w:rsid w:val="000E675E"/>
    <w:rsid w:val="000E6822"/>
    <w:rsid w:val="000E6838"/>
    <w:rsid w:val="000E6CD2"/>
    <w:rsid w:val="000E6D40"/>
    <w:rsid w:val="000E6DDB"/>
    <w:rsid w:val="000E7190"/>
    <w:rsid w:val="000E7540"/>
    <w:rsid w:val="000E77EA"/>
    <w:rsid w:val="000E785B"/>
    <w:rsid w:val="000E7895"/>
    <w:rsid w:val="000E7945"/>
    <w:rsid w:val="000E7B11"/>
    <w:rsid w:val="000E7B80"/>
    <w:rsid w:val="000E7C22"/>
    <w:rsid w:val="000E7C2C"/>
    <w:rsid w:val="000E7E32"/>
    <w:rsid w:val="000F0106"/>
    <w:rsid w:val="000F0386"/>
    <w:rsid w:val="000F0649"/>
    <w:rsid w:val="000F075C"/>
    <w:rsid w:val="000F07AE"/>
    <w:rsid w:val="000F0803"/>
    <w:rsid w:val="000F0B15"/>
    <w:rsid w:val="000F0BD4"/>
    <w:rsid w:val="000F0C39"/>
    <w:rsid w:val="000F0D24"/>
    <w:rsid w:val="000F0E2B"/>
    <w:rsid w:val="000F0E2F"/>
    <w:rsid w:val="000F0F9B"/>
    <w:rsid w:val="000F1122"/>
    <w:rsid w:val="000F1147"/>
    <w:rsid w:val="000F1177"/>
    <w:rsid w:val="000F1258"/>
    <w:rsid w:val="000F137E"/>
    <w:rsid w:val="000F13AB"/>
    <w:rsid w:val="000F150D"/>
    <w:rsid w:val="000F184B"/>
    <w:rsid w:val="000F1871"/>
    <w:rsid w:val="000F1889"/>
    <w:rsid w:val="000F198C"/>
    <w:rsid w:val="000F19F2"/>
    <w:rsid w:val="000F1A09"/>
    <w:rsid w:val="000F1DC8"/>
    <w:rsid w:val="000F1F3D"/>
    <w:rsid w:val="000F1F5C"/>
    <w:rsid w:val="000F20A1"/>
    <w:rsid w:val="000F20F5"/>
    <w:rsid w:val="000F2442"/>
    <w:rsid w:val="000F25F7"/>
    <w:rsid w:val="000F2637"/>
    <w:rsid w:val="000F26DE"/>
    <w:rsid w:val="000F271C"/>
    <w:rsid w:val="000F28D1"/>
    <w:rsid w:val="000F2A13"/>
    <w:rsid w:val="000F2A8F"/>
    <w:rsid w:val="000F2D3B"/>
    <w:rsid w:val="000F2FA5"/>
    <w:rsid w:val="000F30B6"/>
    <w:rsid w:val="000F30C6"/>
    <w:rsid w:val="000F33A1"/>
    <w:rsid w:val="000F3917"/>
    <w:rsid w:val="000F3AA5"/>
    <w:rsid w:val="000F3B0C"/>
    <w:rsid w:val="000F3B95"/>
    <w:rsid w:val="000F3DDD"/>
    <w:rsid w:val="000F3E33"/>
    <w:rsid w:val="000F403A"/>
    <w:rsid w:val="000F4054"/>
    <w:rsid w:val="000F4072"/>
    <w:rsid w:val="000F428F"/>
    <w:rsid w:val="000F430C"/>
    <w:rsid w:val="000F4644"/>
    <w:rsid w:val="000F49BA"/>
    <w:rsid w:val="000F4EEB"/>
    <w:rsid w:val="000F511D"/>
    <w:rsid w:val="000F52B8"/>
    <w:rsid w:val="000F52F3"/>
    <w:rsid w:val="000F566C"/>
    <w:rsid w:val="000F5773"/>
    <w:rsid w:val="000F57D1"/>
    <w:rsid w:val="000F57E1"/>
    <w:rsid w:val="000F5919"/>
    <w:rsid w:val="000F5DC1"/>
    <w:rsid w:val="000F5E00"/>
    <w:rsid w:val="000F5E0E"/>
    <w:rsid w:val="000F5FE9"/>
    <w:rsid w:val="000F6081"/>
    <w:rsid w:val="000F61C0"/>
    <w:rsid w:val="000F6242"/>
    <w:rsid w:val="000F668B"/>
    <w:rsid w:val="000F68AF"/>
    <w:rsid w:val="000F6B45"/>
    <w:rsid w:val="000F6CAC"/>
    <w:rsid w:val="000F6FA3"/>
    <w:rsid w:val="000F712F"/>
    <w:rsid w:val="000F7434"/>
    <w:rsid w:val="000F74C6"/>
    <w:rsid w:val="000F75BF"/>
    <w:rsid w:val="000F763A"/>
    <w:rsid w:val="000F7964"/>
    <w:rsid w:val="000F7A40"/>
    <w:rsid w:val="001001BB"/>
    <w:rsid w:val="001001E3"/>
    <w:rsid w:val="001001ED"/>
    <w:rsid w:val="001004E4"/>
    <w:rsid w:val="001005E9"/>
    <w:rsid w:val="001005EF"/>
    <w:rsid w:val="0010083F"/>
    <w:rsid w:val="00100880"/>
    <w:rsid w:val="00100DF7"/>
    <w:rsid w:val="00100F1D"/>
    <w:rsid w:val="0010130A"/>
    <w:rsid w:val="00101320"/>
    <w:rsid w:val="00101376"/>
    <w:rsid w:val="00101558"/>
    <w:rsid w:val="0010162F"/>
    <w:rsid w:val="00101684"/>
    <w:rsid w:val="0010168D"/>
    <w:rsid w:val="001016DE"/>
    <w:rsid w:val="00101755"/>
    <w:rsid w:val="00101809"/>
    <w:rsid w:val="001019A6"/>
    <w:rsid w:val="0010205F"/>
    <w:rsid w:val="0010209C"/>
    <w:rsid w:val="00102464"/>
    <w:rsid w:val="0010254E"/>
    <w:rsid w:val="0010268E"/>
    <w:rsid w:val="001027BF"/>
    <w:rsid w:val="001028DD"/>
    <w:rsid w:val="00102B7C"/>
    <w:rsid w:val="00102EC7"/>
    <w:rsid w:val="001030EF"/>
    <w:rsid w:val="001031BD"/>
    <w:rsid w:val="001031E8"/>
    <w:rsid w:val="00103232"/>
    <w:rsid w:val="001033F3"/>
    <w:rsid w:val="0010345F"/>
    <w:rsid w:val="0010357C"/>
    <w:rsid w:val="0010369F"/>
    <w:rsid w:val="00103848"/>
    <w:rsid w:val="00103857"/>
    <w:rsid w:val="001039B0"/>
    <w:rsid w:val="00103A85"/>
    <w:rsid w:val="00103D41"/>
    <w:rsid w:val="0010412B"/>
    <w:rsid w:val="001042C3"/>
    <w:rsid w:val="001042F8"/>
    <w:rsid w:val="00104738"/>
    <w:rsid w:val="0010478A"/>
    <w:rsid w:val="00104896"/>
    <w:rsid w:val="001048C7"/>
    <w:rsid w:val="001049B5"/>
    <w:rsid w:val="00104C75"/>
    <w:rsid w:val="00104CBB"/>
    <w:rsid w:val="00104ED0"/>
    <w:rsid w:val="00104EEE"/>
    <w:rsid w:val="00104F2E"/>
    <w:rsid w:val="00104FE3"/>
    <w:rsid w:val="0010512A"/>
    <w:rsid w:val="00105180"/>
    <w:rsid w:val="001052C6"/>
    <w:rsid w:val="001052ED"/>
    <w:rsid w:val="00105327"/>
    <w:rsid w:val="0010532E"/>
    <w:rsid w:val="001053E8"/>
    <w:rsid w:val="00105674"/>
    <w:rsid w:val="001056FF"/>
    <w:rsid w:val="0010587B"/>
    <w:rsid w:val="001058F6"/>
    <w:rsid w:val="00105A8B"/>
    <w:rsid w:val="00105B39"/>
    <w:rsid w:val="00105D7F"/>
    <w:rsid w:val="00105E19"/>
    <w:rsid w:val="00106029"/>
    <w:rsid w:val="00106337"/>
    <w:rsid w:val="0010645B"/>
    <w:rsid w:val="001065A0"/>
    <w:rsid w:val="001067B5"/>
    <w:rsid w:val="00106A17"/>
    <w:rsid w:val="00106A92"/>
    <w:rsid w:val="00106D7D"/>
    <w:rsid w:val="001070F8"/>
    <w:rsid w:val="0010724D"/>
    <w:rsid w:val="001073C4"/>
    <w:rsid w:val="0010745F"/>
    <w:rsid w:val="00107720"/>
    <w:rsid w:val="00107802"/>
    <w:rsid w:val="001079C3"/>
    <w:rsid w:val="00107AEE"/>
    <w:rsid w:val="00107C6C"/>
    <w:rsid w:val="00107C72"/>
    <w:rsid w:val="00107D0A"/>
    <w:rsid w:val="00107D8B"/>
    <w:rsid w:val="00107DB9"/>
    <w:rsid w:val="001100E9"/>
    <w:rsid w:val="0011025C"/>
    <w:rsid w:val="00110467"/>
    <w:rsid w:val="00110735"/>
    <w:rsid w:val="0011086C"/>
    <w:rsid w:val="00110B55"/>
    <w:rsid w:val="00110D1E"/>
    <w:rsid w:val="00110F36"/>
    <w:rsid w:val="001112A1"/>
    <w:rsid w:val="001113CE"/>
    <w:rsid w:val="00111627"/>
    <w:rsid w:val="00111693"/>
    <w:rsid w:val="00111974"/>
    <w:rsid w:val="00111A08"/>
    <w:rsid w:val="00111ACF"/>
    <w:rsid w:val="00111BD7"/>
    <w:rsid w:val="00111CC2"/>
    <w:rsid w:val="00111E35"/>
    <w:rsid w:val="00111ED7"/>
    <w:rsid w:val="00111F08"/>
    <w:rsid w:val="00111F80"/>
    <w:rsid w:val="001121F2"/>
    <w:rsid w:val="00112463"/>
    <w:rsid w:val="001124F2"/>
    <w:rsid w:val="0011280B"/>
    <w:rsid w:val="0011285E"/>
    <w:rsid w:val="001128EA"/>
    <w:rsid w:val="00112B92"/>
    <w:rsid w:val="00112C49"/>
    <w:rsid w:val="00112D42"/>
    <w:rsid w:val="00112D85"/>
    <w:rsid w:val="00112DA0"/>
    <w:rsid w:val="00112DF1"/>
    <w:rsid w:val="00112E5B"/>
    <w:rsid w:val="00113731"/>
    <w:rsid w:val="001138E2"/>
    <w:rsid w:val="00113972"/>
    <w:rsid w:val="00113A05"/>
    <w:rsid w:val="00113A64"/>
    <w:rsid w:val="00113BF1"/>
    <w:rsid w:val="00113BF8"/>
    <w:rsid w:val="00113BFF"/>
    <w:rsid w:val="00113C7B"/>
    <w:rsid w:val="00113C9E"/>
    <w:rsid w:val="00114041"/>
    <w:rsid w:val="001141AA"/>
    <w:rsid w:val="001143DE"/>
    <w:rsid w:val="00114552"/>
    <w:rsid w:val="0011455B"/>
    <w:rsid w:val="00114663"/>
    <w:rsid w:val="00114847"/>
    <w:rsid w:val="0011484D"/>
    <w:rsid w:val="00114878"/>
    <w:rsid w:val="00114DAA"/>
    <w:rsid w:val="00115165"/>
    <w:rsid w:val="001152A7"/>
    <w:rsid w:val="001152E9"/>
    <w:rsid w:val="00115312"/>
    <w:rsid w:val="0011538B"/>
    <w:rsid w:val="00115695"/>
    <w:rsid w:val="001156C9"/>
    <w:rsid w:val="0011571B"/>
    <w:rsid w:val="00115828"/>
    <w:rsid w:val="00115834"/>
    <w:rsid w:val="00115882"/>
    <w:rsid w:val="0011589B"/>
    <w:rsid w:val="001158B7"/>
    <w:rsid w:val="00115B8F"/>
    <w:rsid w:val="00115FD5"/>
    <w:rsid w:val="00116143"/>
    <w:rsid w:val="00116217"/>
    <w:rsid w:val="00116266"/>
    <w:rsid w:val="0011659C"/>
    <w:rsid w:val="00116AB2"/>
    <w:rsid w:val="00116BDB"/>
    <w:rsid w:val="00116C02"/>
    <w:rsid w:val="00116C0E"/>
    <w:rsid w:val="00116F3F"/>
    <w:rsid w:val="0011717A"/>
    <w:rsid w:val="001171F0"/>
    <w:rsid w:val="00117252"/>
    <w:rsid w:val="00117450"/>
    <w:rsid w:val="00117947"/>
    <w:rsid w:val="00117BA4"/>
    <w:rsid w:val="00117E2F"/>
    <w:rsid w:val="00117E76"/>
    <w:rsid w:val="00117ED8"/>
    <w:rsid w:val="001201E8"/>
    <w:rsid w:val="00120399"/>
    <w:rsid w:val="001206B2"/>
    <w:rsid w:val="00120768"/>
    <w:rsid w:val="00120997"/>
    <w:rsid w:val="00120C68"/>
    <w:rsid w:val="00120CC1"/>
    <w:rsid w:val="00120EBF"/>
    <w:rsid w:val="00120EC1"/>
    <w:rsid w:val="00120F63"/>
    <w:rsid w:val="0012116A"/>
    <w:rsid w:val="0012120B"/>
    <w:rsid w:val="001213A4"/>
    <w:rsid w:val="0012143D"/>
    <w:rsid w:val="001219E1"/>
    <w:rsid w:val="00121AAB"/>
    <w:rsid w:val="00121B64"/>
    <w:rsid w:val="00121BAB"/>
    <w:rsid w:val="00121DB1"/>
    <w:rsid w:val="00121FB3"/>
    <w:rsid w:val="001221A7"/>
    <w:rsid w:val="00122592"/>
    <w:rsid w:val="001227B5"/>
    <w:rsid w:val="001229D6"/>
    <w:rsid w:val="00122C0D"/>
    <w:rsid w:val="00122C2C"/>
    <w:rsid w:val="00122D8F"/>
    <w:rsid w:val="0012301F"/>
    <w:rsid w:val="00123054"/>
    <w:rsid w:val="0012332E"/>
    <w:rsid w:val="0012351C"/>
    <w:rsid w:val="001235FF"/>
    <w:rsid w:val="00123895"/>
    <w:rsid w:val="00123B1F"/>
    <w:rsid w:val="00123F31"/>
    <w:rsid w:val="00124237"/>
    <w:rsid w:val="00124443"/>
    <w:rsid w:val="00124625"/>
    <w:rsid w:val="001249C0"/>
    <w:rsid w:val="00124BB1"/>
    <w:rsid w:val="00124FA8"/>
    <w:rsid w:val="00125161"/>
    <w:rsid w:val="0012529F"/>
    <w:rsid w:val="001252B2"/>
    <w:rsid w:val="001256E0"/>
    <w:rsid w:val="0012578A"/>
    <w:rsid w:val="00125865"/>
    <w:rsid w:val="00125BBF"/>
    <w:rsid w:val="00125F0F"/>
    <w:rsid w:val="00125F5F"/>
    <w:rsid w:val="001262C2"/>
    <w:rsid w:val="0012630B"/>
    <w:rsid w:val="00126333"/>
    <w:rsid w:val="00126478"/>
    <w:rsid w:val="001264DD"/>
    <w:rsid w:val="00126577"/>
    <w:rsid w:val="001265B2"/>
    <w:rsid w:val="001267DB"/>
    <w:rsid w:val="001268FF"/>
    <w:rsid w:val="00126E6C"/>
    <w:rsid w:val="00126FBC"/>
    <w:rsid w:val="00126FFB"/>
    <w:rsid w:val="001271B5"/>
    <w:rsid w:val="001273B6"/>
    <w:rsid w:val="0012750C"/>
    <w:rsid w:val="0012753A"/>
    <w:rsid w:val="00127741"/>
    <w:rsid w:val="001278D6"/>
    <w:rsid w:val="00127A01"/>
    <w:rsid w:val="00127AA0"/>
    <w:rsid w:val="00127AE7"/>
    <w:rsid w:val="00127B23"/>
    <w:rsid w:val="00127E8E"/>
    <w:rsid w:val="00127F3C"/>
    <w:rsid w:val="00127F8D"/>
    <w:rsid w:val="00127FD0"/>
    <w:rsid w:val="00130164"/>
    <w:rsid w:val="001305A3"/>
    <w:rsid w:val="00130867"/>
    <w:rsid w:val="00130A7D"/>
    <w:rsid w:val="00130AFB"/>
    <w:rsid w:val="00130DA1"/>
    <w:rsid w:val="00130E21"/>
    <w:rsid w:val="00131136"/>
    <w:rsid w:val="0013122D"/>
    <w:rsid w:val="001312B1"/>
    <w:rsid w:val="001313D0"/>
    <w:rsid w:val="001314BD"/>
    <w:rsid w:val="001317E3"/>
    <w:rsid w:val="001317E7"/>
    <w:rsid w:val="00132241"/>
    <w:rsid w:val="001322B6"/>
    <w:rsid w:val="00132591"/>
    <w:rsid w:val="001327FB"/>
    <w:rsid w:val="001329AD"/>
    <w:rsid w:val="00132DF3"/>
    <w:rsid w:val="0013312D"/>
    <w:rsid w:val="001331A2"/>
    <w:rsid w:val="00133299"/>
    <w:rsid w:val="00133775"/>
    <w:rsid w:val="001337BD"/>
    <w:rsid w:val="00133806"/>
    <w:rsid w:val="001338E9"/>
    <w:rsid w:val="00133B6D"/>
    <w:rsid w:val="00133E1F"/>
    <w:rsid w:val="0013488C"/>
    <w:rsid w:val="00134BC9"/>
    <w:rsid w:val="00134BDF"/>
    <w:rsid w:val="00134E05"/>
    <w:rsid w:val="00135089"/>
    <w:rsid w:val="0013519E"/>
    <w:rsid w:val="001351B0"/>
    <w:rsid w:val="001353E6"/>
    <w:rsid w:val="0013548E"/>
    <w:rsid w:val="00135580"/>
    <w:rsid w:val="00135AA3"/>
    <w:rsid w:val="00135EF4"/>
    <w:rsid w:val="00135FAD"/>
    <w:rsid w:val="00136079"/>
    <w:rsid w:val="00136108"/>
    <w:rsid w:val="00136115"/>
    <w:rsid w:val="001361BB"/>
    <w:rsid w:val="00136354"/>
    <w:rsid w:val="001365EC"/>
    <w:rsid w:val="001367A5"/>
    <w:rsid w:val="00136870"/>
    <w:rsid w:val="00136A62"/>
    <w:rsid w:val="00136BAE"/>
    <w:rsid w:val="00136BC9"/>
    <w:rsid w:val="00136FAA"/>
    <w:rsid w:val="00137128"/>
    <w:rsid w:val="0013733A"/>
    <w:rsid w:val="00137549"/>
    <w:rsid w:val="0013761A"/>
    <w:rsid w:val="00137640"/>
    <w:rsid w:val="00137715"/>
    <w:rsid w:val="00137776"/>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84E"/>
    <w:rsid w:val="00140AEA"/>
    <w:rsid w:val="00140B5F"/>
    <w:rsid w:val="00140CD8"/>
    <w:rsid w:val="00140EA2"/>
    <w:rsid w:val="001410B7"/>
    <w:rsid w:val="001410E6"/>
    <w:rsid w:val="001413F4"/>
    <w:rsid w:val="00141727"/>
    <w:rsid w:val="00141914"/>
    <w:rsid w:val="0014191A"/>
    <w:rsid w:val="00141A7C"/>
    <w:rsid w:val="00141B55"/>
    <w:rsid w:val="00141C9F"/>
    <w:rsid w:val="00141D5A"/>
    <w:rsid w:val="00141DDA"/>
    <w:rsid w:val="00141FF2"/>
    <w:rsid w:val="00142050"/>
    <w:rsid w:val="00142067"/>
    <w:rsid w:val="00142073"/>
    <w:rsid w:val="0014233D"/>
    <w:rsid w:val="001423A2"/>
    <w:rsid w:val="001424AA"/>
    <w:rsid w:val="0014252F"/>
    <w:rsid w:val="0014267A"/>
    <w:rsid w:val="001427A9"/>
    <w:rsid w:val="001428C0"/>
    <w:rsid w:val="0014293E"/>
    <w:rsid w:val="00142B74"/>
    <w:rsid w:val="00142BD8"/>
    <w:rsid w:val="00142C9C"/>
    <w:rsid w:val="00142F6C"/>
    <w:rsid w:val="00143205"/>
    <w:rsid w:val="001432C5"/>
    <w:rsid w:val="00143509"/>
    <w:rsid w:val="00143582"/>
    <w:rsid w:val="0014359E"/>
    <w:rsid w:val="001436AB"/>
    <w:rsid w:val="00143737"/>
    <w:rsid w:val="00143769"/>
    <w:rsid w:val="0014378C"/>
    <w:rsid w:val="001437BE"/>
    <w:rsid w:val="001439B6"/>
    <w:rsid w:val="00143E3D"/>
    <w:rsid w:val="00143EA9"/>
    <w:rsid w:val="00143ED0"/>
    <w:rsid w:val="00143F0B"/>
    <w:rsid w:val="001440CA"/>
    <w:rsid w:val="00144111"/>
    <w:rsid w:val="0014418A"/>
    <w:rsid w:val="001445FD"/>
    <w:rsid w:val="00144BCF"/>
    <w:rsid w:val="00144E10"/>
    <w:rsid w:val="0014530D"/>
    <w:rsid w:val="001456B5"/>
    <w:rsid w:val="0014585A"/>
    <w:rsid w:val="0014597A"/>
    <w:rsid w:val="00145986"/>
    <w:rsid w:val="001459D9"/>
    <w:rsid w:val="00145BC3"/>
    <w:rsid w:val="00145F35"/>
    <w:rsid w:val="00146156"/>
    <w:rsid w:val="001461E9"/>
    <w:rsid w:val="001463E5"/>
    <w:rsid w:val="00146574"/>
    <w:rsid w:val="0014659B"/>
    <w:rsid w:val="00146D77"/>
    <w:rsid w:val="00146DDC"/>
    <w:rsid w:val="00146EA6"/>
    <w:rsid w:val="00146F6B"/>
    <w:rsid w:val="001470CC"/>
    <w:rsid w:val="00147105"/>
    <w:rsid w:val="00147150"/>
    <w:rsid w:val="0014742F"/>
    <w:rsid w:val="0014772E"/>
    <w:rsid w:val="001478E9"/>
    <w:rsid w:val="00147A4F"/>
    <w:rsid w:val="00147C60"/>
    <w:rsid w:val="00147E3B"/>
    <w:rsid w:val="00147ECB"/>
    <w:rsid w:val="00147F2E"/>
    <w:rsid w:val="001500F8"/>
    <w:rsid w:val="001502F3"/>
    <w:rsid w:val="001503A6"/>
    <w:rsid w:val="001508B3"/>
    <w:rsid w:val="001508FD"/>
    <w:rsid w:val="0015091C"/>
    <w:rsid w:val="0015118F"/>
    <w:rsid w:val="001511F0"/>
    <w:rsid w:val="00151300"/>
    <w:rsid w:val="001513C4"/>
    <w:rsid w:val="00151710"/>
    <w:rsid w:val="00151748"/>
    <w:rsid w:val="001517DC"/>
    <w:rsid w:val="00151942"/>
    <w:rsid w:val="001519B1"/>
    <w:rsid w:val="00151C0C"/>
    <w:rsid w:val="001523A7"/>
    <w:rsid w:val="00152742"/>
    <w:rsid w:val="00152832"/>
    <w:rsid w:val="00152989"/>
    <w:rsid w:val="00152BD7"/>
    <w:rsid w:val="00152C7D"/>
    <w:rsid w:val="00152D2A"/>
    <w:rsid w:val="00152EDF"/>
    <w:rsid w:val="00152F1C"/>
    <w:rsid w:val="001530BD"/>
    <w:rsid w:val="00153256"/>
    <w:rsid w:val="001532A6"/>
    <w:rsid w:val="001532AB"/>
    <w:rsid w:val="001533E9"/>
    <w:rsid w:val="00153541"/>
    <w:rsid w:val="0015382F"/>
    <w:rsid w:val="00153A5C"/>
    <w:rsid w:val="00153A77"/>
    <w:rsid w:val="00153BF2"/>
    <w:rsid w:val="00153D09"/>
    <w:rsid w:val="00153D15"/>
    <w:rsid w:val="00153D29"/>
    <w:rsid w:val="00153DE0"/>
    <w:rsid w:val="00153F18"/>
    <w:rsid w:val="001541BD"/>
    <w:rsid w:val="001543E5"/>
    <w:rsid w:val="00154409"/>
    <w:rsid w:val="001544DC"/>
    <w:rsid w:val="001549EC"/>
    <w:rsid w:val="00154BFB"/>
    <w:rsid w:val="00154C0D"/>
    <w:rsid w:val="00154D75"/>
    <w:rsid w:val="00154DA3"/>
    <w:rsid w:val="001550A1"/>
    <w:rsid w:val="00155101"/>
    <w:rsid w:val="001551CC"/>
    <w:rsid w:val="00155618"/>
    <w:rsid w:val="001558BB"/>
    <w:rsid w:val="0015595C"/>
    <w:rsid w:val="00155A8F"/>
    <w:rsid w:val="00155DBB"/>
    <w:rsid w:val="001562CD"/>
    <w:rsid w:val="00156313"/>
    <w:rsid w:val="00156670"/>
    <w:rsid w:val="00156820"/>
    <w:rsid w:val="0015697F"/>
    <w:rsid w:val="00156B34"/>
    <w:rsid w:val="00156F1A"/>
    <w:rsid w:val="00157128"/>
    <w:rsid w:val="0015748F"/>
    <w:rsid w:val="001575F5"/>
    <w:rsid w:val="00157634"/>
    <w:rsid w:val="001577D0"/>
    <w:rsid w:val="00157878"/>
    <w:rsid w:val="00157908"/>
    <w:rsid w:val="0015791B"/>
    <w:rsid w:val="00157C74"/>
    <w:rsid w:val="00157F4C"/>
    <w:rsid w:val="00160069"/>
    <w:rsid w:val="00160335"/>
    <w:rsid w:val="0016033E"/>
    <w:rsid w:val="001603AB"/>
    <w:rsid w:val="001605CD"/>
    <w:rsid w:val="00160633"/>
    <w:rsid w:val="00160749"/>
    <w:rsid w:val="0016083D"/>
    <w:rsid w:val="0016091E"/>
    <w:rsid w:val="00160B09"/>
    <w:rsid w:val="00160B2A"/>
    <w:rsid w:val="00160CFE"/>
    <w:rsid w:val="00160D84"/>
    <w:rsid w:val="00160EC8"/>
    <w:rsid w:val="00160F5A"/>
    <w:rsid w:val="00161014"/>
    <w:rsid w:val="00161114"/>
    <w:rsid w:val="00161182"/>
    <w:rsid w:val="001612B7"/>
    <w:rsid w:val="0016155B"/>
    <w:rsid w:val="001616B8"/>
    <w:rsid w:val="0016195B"/>
    <w:rsid w:val="00161A02"/>
    <w:rsid w:val="00161D3C"/>
    <w:rsid w:val="00162077"/>
    <w:rsid w:val="00162303"/>
    <w:rsid w:val="0016256F"/>
    <w:rsid w:val="00162645"/>
    <w:rsid w:val="0016275C"/>
    <w:rsid w:val="00162856"/>
    <w:rsid w:val="00162B97"/>
    <w:rsid w:val="00162D87"/>
    <w:rsid w:val="00163005"/>
    <w:rsid w:val="001632DA"/>
    <w:rsid w:val="00163369"/>
    <w:rsid w:val="0016345A"/>
    <w:rsid w:val="001634B4"/>
    <w:rsid w:val="0016352D"/>
    <w:rsid w:val="00163553"/>
    <w:rsid w:val="0016356C"/>
    <w:rsid w:val="0016397E"/>
    <w:rsid w:val="00163C4E"/>
    <w:rsid w:val="00163F69"/>
    <w:rsid w:val="00163FE5"/>
    <w:rsid w:val="00164361"/>
    <w:rsid w:val="00164532"/>
    <w:rsid w:val="00164648"/>
    <w:rsid w:val="0016477F"/>
    <w:rsid w:val="001647C3"/>
    <w:rsid w:val="00164842"/>
    <w:rsid w:val="001648C6"/>
    <w:rsid w:val="00164B6C"/>
    <w:rsid w:val="00164BB8"/>
    <w:rsid w:val="00164FCC"/>
    <w:rsid w:val="00165148"/>
    <w:rsid w:val="001651BE"/>
    <w:rsid w:val="001651EE"/>
    <w:rsid w:val="00165271"/>
    <w:rsid w:val="0016547E"/>
    <w:rsid w:val="00165500"/>
    <w:rsid w:val="00165515"/>
    <w:rsid w:val="00165694"/>
    <w:rsid w:val="00165772"/>
    <w:rsid w:val="0016587E"/>
    <w:rsid w:val="001659C3"/>
    <w:rsid w:val="00165D70"/>
    <w:rsid w:val="00165E22"/>
    <w:rsid w:val="00165EC3"/>
    <w:rsid w:val="00165F40"/>
    <w:rsid w:val="00165FC0"/>
    <w:rsid w:val="00166166"/>
    <w:rsid w:val="001661B4"/>
    <w:rsid w:val="00166219"/>
    <w:rsid w:val="0016625C"/>
    <w:rsid w:val="001663E4"/>
    <w:rsid w:val="00166512"/>
    <w:rsid w:val="00166616"/>
    <w:rsid w:val="00166891"/>
    <w:rsid w:val="00166BE2"/>
    <w:rsid w:val="00166C7B"/>
    <w:rsid w:val="00166E96"/>
    <w:rsid w:val="0016705D"/>
    <w:rsid w:val="0016719D"/>
    <w:rsid w:val="0016738C"/>
    <w:rsid w:val="001676F9"/>
    <w:rsid w:val="0016775C"/>
    <w:rsid w:val="0016799A"/>
    <w:rsid w:val="00167B7C"/>
    <w:rsid w:val="00167C58"/>
    <w:rsid w:val="00167D09"/>
    <w:rsid w:val="00167EE9"/>
    <w:rsid w:val="00170328"/>
    <w:rsid w:val="00170399"/>
    <w:rsid w:val="001703DB"/>
    <w:rsid w:val="00170450"/>
    <w:rsid w:val="0017051D"/>
    <w:rsid w:val="00170783"/>
    <w:rsid w:val="0017098F"/>
    <w:rsid w:val="00170A41"/>
    <w:rsid w:val="00170B48"/>
    <w:rsid w:val="00170CA2"/>
    <w:rsid w:val="00170E81"/>
    <w:rsid w:val="00170F63"/>
    <w:rsid w:val="001714A0"/>
    <w:rsid w:val="00171819"/>
    <w:rsid w:val="00171B1E"/>
    <w:rsid w:val="00171CF7"/>
    <w:rsid w:val="00171EF6"/>
    <w:rsid w:val="00171F06"/>
    <w:rsid w:val="00171F8B"/>
    <w:rsid w:val="001720F9"/>
    <w:rsid w:val="00172466"/>
    <w:rsid w:val="001726F7"/>
    <w:rsid w:val="00172B2E"/>
    <w:rsid w:val="00172D99"/>
    <w:rsid w:val="00172DEA"/>
    <w:rsid w:val="00172E5B"/>
    <w:rsid w:val="00172E66"/>
    <w:rsid w:val="00172EA4"/>
    <w:rsid w:val="00173084"/>
    <w:rsid w:val="00173126"/>
    <w:rsid w:val="001733AA"/>
    <w:rsid w:val="0017340A"/>
    <w:rsid w:val="001736D4"/>
    <w:rsid w:val="00173AF4"/>
    <w:rsid w:val="00173E54"/>
    <w:rsid w:val="00173F69"/>
    <w:rsid w:val="00174011"/>
    <w:rsid w:val="0017415E"/>
    <w:rsid w:val="0017421B"/>
    <w:rsid w:val="00174557"/>
    <w:rsid w:val="0017461F"/>
    <w:rsid w:val="00174E97"/>
    <w:rsid w:val="00174FF0"/>
    <w:rsid w:val="00175215"/>
    <w:rsid w:val="001753F8"/>
    <w:rsid w:val="0017540E"/>
    <w:rsid w:val="001754BE"/>
    <w:rsid w:val="00175634"/>
    <w:rsid w:val="00175919"/>
    <w:rsid w:val="00175B60"/>
    <w:rsid w:val="00175B65"/>
    <w:rsid w:val="00175CCC"/>
    <w:rsid w:val="00175EB5"/>
    <w:rsid w:val="00175ECA"/>
    <w:rsid w:val="00176162"/>
    <w:rsid w:val="00176165"/>
    <w:rsid w:val="00176188"/>
    <w:rsid w:val="001761EA"/>
    <w:rsid w:val="001762C6"/>
    <w:rsid w:val="001762DE"/>
    <w:rsid w:val="00176370"/>
    <w:rsid w:val="001763B4"/>
    <w:rsid w:val="00176596"/>
    <w:rsid w:val="001765CB"/>
    <w:rsid w:val="00176614"/>
    <w:rsid w:val="001766BE"/>
    <w:rsid w:val="001769F1"/>
    <w:rsid w:val="00176B88"/>
    <w:rsid w:val="00176BBB"/>
    <w:rsid w:val="00176D3D"/>
    <w:rsid w:val="00176EB4"/>
    <w:rsid w:val="00176FC6"/>
    <w:rsid w:val="001771B3"/>
    <w:rsid w:val="00177679"/>
    <w:rsid w:val="0017767E"/>
    <w:rsid w:val="00177857"/>
    <w:rsid w:val="00177D21"/>
    <w:rsid w:val="00177F36"/>
    <w:rsid w:val="00177F5F"/>
    <w:rsid w:val="00180098"/>
    <w:rsid w:val="00180293"/>
    <w:rsid w:val="00180393"/>
    <w:rsid w:val="00180459"/>
    <w:rsid w:val="0018047D"/>
    <w:rsid w:val="0018068B"/>
    <w:rsid w:val="001808F9"/>
    <w:rsid w:val="0018094E"/>
    <w:rsid w:val="00180ACB"/>
    <w:rsid w:val="00180BE1"/>
    <w:rsid w:val="00180D3F"/>
    <w:rsid w:val="00180DEB"/>
    <w:rsid w:val="00180E08"/>
    <w:rsid w:val="00180EFF"/>
    <w:rsid w:val="0018102C"/>
    <w:rsid w:val="00181390"/>
    <w:rsid w:val="00181732"/>
    <w:rsid w:val="00181AD7"/>
    <w:rsid w:val="00181D14"/>
    <w:rsid w:val="00181D31"/>
    <w:rsid w:val="0018223B"/>
    <w:rsid w:val="00182281"/>
    <w:rsid w:val="001823BF"/>
    <w:rsid w:val="0018241A"/>
    <w:rsid w:val="0018255F"/>
    <w:rsid w:val="00182793"/>
    <w:rsid w:val="001828BC"/>
    <w:rsid w:val="001828F5"/>
    <w:rsid w:val="00182A01"/>
    <w:rsid w:val="00182ACC"/>
    <w:rsid w:val="00182CBD"/>
    <w:rsid w:val="00182E4C"/>
    <w:rsid w:val="00182EDD"/>
    <w:rsid w:val="00182F81"/>
    <w:rsid w:val="00183065"/>
    <w:rsid w:val="0018307A"/>
    <w:rsid w:val="001830F4"/>
    <w:rsid w:val="001832C1"/>
    <w:rsid w:val="001832DD"/>
    <w:rsid w:val="0018337B"/>
    <w:rsid w:val="001835D4"/>
    <w:rsid w:val="0018361B"/>
    <w:rsid w:val="00183622"/>
    <w:rsid w:val="0018375C"/>
    <w:rsid w:val="0018394D"/>
    <w:rsid w:val="00183ADA"/>
    <w:rsid w:val="00183BF5"/>
    <w:rsid w:val="00183C4A"/>
    <w:rsid w:val="00183F87"/>
    <w:rsid w:val="0018420E"/>
    <w:rsid w:val="001842A4"/>
    <w:rsid w:val="00184824"/>
    <w:rsid w:val="00184A35"/>
    <w:rsid w:val="00184AC4"/>
    <w:rsid w:val="00184AF9"/>
    <w:rsid w:val="00184E1D"/>
    <w:rsid w:val="00184EC2"/>
    <w:rsid w:val="00184FC2"/>
    <w:rsid w:val="00185071"/>
    <w:rsid w:val="001855F3"/>
    <w:rsid w:val="00185959"/>
    <w:rsid w:val="00185BE0"/>
    <w:rsid w:val="00185C21"/>
    <w:rsid w:val="00185D49"/>
    <w:rsid w:val="0018600B"/>
    <w:rsid w:val="001861BE"/>
    <w:rsid w:val="00186423"/>
    <w:rsid w:val="00186450"/>
    <w:rsid w:val="00186538"/>
    <w:rsid w:val="00186676"/>
    <w:rsid w:val="001869EA"/>
    <w:rsid w:val="00186A1F"/>
    <w:rsid w:val="00186AE2"/>
    <w:rsid w:val="00186B73"/>
    <w:rsid w:val="00186E10"/>
    <w:rsid w:val="00187273"/>
    <w:rsid w:val="0018738D"/>
    <w:rsid w:val="00187613"/>
    <w:rsid w:val="00187666"/>
    <w:rsid w:val="001876CF"/>
    <w:rsid w:val="0018774F"/>
    <w:rsid w:val="001877C9"/>
    <w:rsid w:val="00187870"/>
    <w:rsid w:val="00187903"/>
    <w:rsid w:val="00187922"/>
    <w:rsid w:val="00187982"/>
    <w:rsid w:val="00187987"/>
    <w:rsid w:val="001879C5"/>
    <w:rsid w:val="00187A9D"/>
    <w:rsid w:val="00187B83"/>
    <w:rsid w:val="00187B9A"/>
    <w:rsid w:val="00187BAE"/>
    <w:rsid w:val="00187C95"/>
    <w:rsid w:val="00187D74"/>
    <w:rsid w:val="00187E2C"/>
    <w:rsid w:val="00187E82"/>
    <w:rsid w:val="00187EA8"/>
    <w:rsid w:val="00187F88"/>
    <w:rsid w:val="00190279"/>
    <w:rsid w:val="00190481"/>
    <w:rsid w:val="001904BA"/>
    <w:rsid w:val="00190783"/>
    <w:rsid w:val="001908E1"/>
    <w:rsid w:val="001908F8"/>
    <w:rsid w:val="00190C21"/>
    <w:rsid w:val="00190DC4"/>
    <w:rsid w:val="00190DD7"/>
    <w:rsid w:val="00190E97"/>
    <w:rsid w:val="00190F0F"/>
    <w:rsid w:val="00190F6F"/>
    <w:rsid w:val="00190FA9"/>
    <w:rsid w:val="001910F4"/>
    <w:rsid w:val="00191184"/>
    <w:rsid w:val="001916A3"/>
    <w:rsid w:val="00191795"/>
    <w:rsid w:val="00191867"/>
    <w:rsid w:val="0019193A"/>
    <w:rsid w:val="00191E28"/>
    <w:rsid w:val="00191EE6"/>
    <w:rsid w:val="00192362"/>
    <w:rsid w:val="001923A1"/>
    <w:rsid w:val="001924A1"/>
    <w:rsid w:val="00192531"/>
    <w:rsid w:val="001928D7"/>
    <w:rsid w:val="00192A60"/>
    <w:rsid w:val="00192B96"/>
    <w:rsid w:val="00192FB5"/>
    <w:rsid w:val="00193321"/>
    <w:rsid w:val="00193685"/>
    <w:rsid w:val="00193706"/>
    <w:rsid w:val="00193AA0"/>
    <w:rsid w:val="00193E3D"/>
    <w:rsid w:val="00193E88"/>
    <w:rsid w:val="00194144"/>
    <w:rsid w:val="001943FA"/>
    <w:rsid w:val="001945D9"/>
    <w:rsid w:val="0019460C"/>
    <w:rsid w:val="00194649"/>
    <w:rsid w:val="0019465C"/>
    <w:rsid w:val="001946C5"/>
    <w:rsid w:val="001946EE"/>
    <w:rsid w:val="00194783"/>
    <w:rsid w:val="00194915"/>
    <w:rsid w:val="0019493C"/>
    <w:rsid w:val="00194953"/>
    <w:rsid w:val="0019497A"/>
    <w:rsid w:val="001949C2"/>
    <w:rsid w:val="00194BE0"/>
    <w:rsid w:val="00194C3D"/>
    <w:rsid w:val="00194E0B"/>
    <w:rsid w:val="00194F58"/>
    <w:rsid w:val="0019538C"/>
    <w:rsid w:val="001953AF"/>
    <w:rsid w:val="00195585"/>
    <w:rsid w:val="001957D9"/>
    <w:rsid w:val="001958D4"/>
    <w:rsid w:val="001959A1"/>
    <w:rsid w:val="00195C71"/>
    <w:rsid w:val="00195DDF"/>
    <w:rsid w:val="001960D2"/>
    <w:rsid w:val="001969C1"/>
    <w:rsid w:val="00196A55"/>
    <w:rsid w:val="00196B6E"/>
    <w:rsid w:val="00196C22"/>
    <w:rsid w:val="00196C66"/>
    <w:rsid w:val="00196DB4"/>
    <w:rsid w:val="00196EDB"/>
    <w:rsid w:val="00196F87"/>
    <w:rsid w:val="001970FC"/>
    <w:rsid w:val="001971D9"/>
    <w:rsid w:val="001972A5"/>
    <w:rsid w:val="001979C3"/>
    <w:rsid w:val="00197CFD"/>
    <w:rsid w:val="00197E48"/>
    <w:rsid w:val="00197F2D"/>
    <w:rsid w:val="00197FB4"/>
    <w:rsid w:val="001A0077"/>
    <w:rsid w:val="001A0224"/>
    <w:rsid w:val="001A03BD"/>
    <w:rsid w:val="001A051E"/>
    <w:rsid w:val="001A05C1"/>
    <w:rsid w:val="001A060E"/>
    <w:rsid w:val="001A061E"/>
    <w:rsid w:val="001A0656"/>
    <w:rsid w:val="001A06A4"/>
    <w:rsid w:val="001A0726"/>
    <w:rsid w:val="001A0799"/>
    <w:rsid w:val="001A0986"/>
    <w:rsid w:val="001A0B5D"/>
    <w:rsid w:val="001A0C3E"/>
    <w:rsid w:val="001A0CDC"/>
    <w:rsid w:val="001A0E84"/>
    <w:rsid w:val="001A110D"/>
    <w:rsid w:val="001A115E"/>
    <w:rsid w:val="001A1205"/>
    <w:rsid w:val="001A1313"/>
    <w:rsid w:val="001A144A"/>
    <w:rsid w:val="001A149F"/>
    <w:rsid w:val="001A16ED"/>
    <w:rsid w:val="001A17A1"/>
    <w:rsid w:val="001A17B4"/>
    <w:rsid w:val="001A191F"/>
    <w:rsid w:val="001A1BFE"/>
    <w:rsid w:val="001A1D68"/>
    <w:rsid w:val="001A1D94"/>
    <w:rsid w:val="001A1E10"/>
    <w:rsid w:val="001A215E"/>
    <w:rsid w:val="001A2657"/>
    <w:rsid w:val="001A270E"/>
    <w:rsid w:val="001A2863"/>
    <w:rsid w:val="001A2918"/>
    <w:rsid w:val="001A2955"/>
    <w:rsid w:val="001A2C79"/>
    <w:rsid w:val="001A2CBC"/>
    <w:rsid w:val="001A30C4"/>
    <w:rsid w:val="001A30D0"/>
    <w:rsid w:val="001A31A6"/>
    <w:rsid w:val="001A31D0"/>
    <w:rsid w:val="001A3646"/>
    <w:rsid w:val="001A36E6"/>
    <w:rsid w:val="001A378B"/>
    <w:rsid w:val="001A380B"/>
    <w:rsid w:val="001A386B"/>
    <w:rsid w:val="001A3A36"/>
    <w:rsid w:val="001A3C76"/>
    <w:rsid w:val="001A3DEA"/>
    <w:rsid w:val="001A3F51"/>
    <w:rsid w:val="001A40F3"/>
    <w:rsid w:val="001A4317"/>
    <w:rsid w:val="001A44C2"/>
    <w:rsid w:val="001A453A"/>
    <w:rsid w:val="001A4582"/>
    <w:rsid w:val="001A47AC"/>
    <w:rsid w:val="001A489A"/>
    <w:rsid w:val="001A4A16"/>
    <w:rsid w:val="001A4A3A"/>
    <w:rsid w:val="001A4ADF"/>
    <w:rsid w:val="001A4B20"/>
    <w:rsid w:val="001A4C52"/>
    <w:rsid w:val="001A4DE2"/>
    <w:rsid w:val="001A4EB1"/>
    <w:rsid w:val="001A4FC3"/>
    <w:rsid w:val="001A5011"/>
    <w:rsid w:val="001A501A"/>
    <w:rsid w:val="001A50E2"/>
    <w:rsid w:val="001A52B1"/>
    <w:rsid w:val="001A5372"/>
    <w:rsid w:val="001A5652"/>
    <w:rsid w:val="001A57A5"/>
    <w:rsid w:val="001A57AE"/>
    <w:rsid w:val="001A57C3"/>
    <w:rsid w:val="001A57F1"/>
    <w:rsid w:val="001A5924"/>
    <w:rsid w:val="001A5AF4"/>
    <w:rsid w:val="001A6157"/>
    <w:rsid w:val="001A61EB"/>
    <w:rsid w:val="001A624E"/>
    <w:rsid w:val="001A6490"/>
    <w:rsid w:val="001A677C"/>
    <w:rsid w:val="001A6F13"/>
    <w:rsid w:val="001A70B5"/>
    <w:rsid w:val="001A71CE"/>
    <w:rsid w:val="001A72F5"/>
    <w:rsid w:val="001A74E6"/>
    <w:rsid w:val="001A772B"/>
    <w:rsid w:val="001A77A3"/>
    <w:rsid w:val="001A77B8"/>
    <w:rsid w:val="001A7897"/>
    <w:rsid w:val="001A7ABD"/>
    <w:rsid w:val="001A7B46"/>
    <w:rsid w:val="001A7B99"/>
    <w:rsid w:val="001A7C93"/>
    <w:rsid w:val="001A7D30"/>
    <w:rsid w:val="001B02F0"/>
    <w:rsid w:val="001B081F"/>
    <w:rsid w:val="001B0F6A"/>
    <w:rsid w:val="001B10CD"/>
    <w:rsid w:val="001B116D"/>
    <w:rsid w:val="001B1249"/>
    <w:rsid w:val="001B12B7"/>
    <w:rsid w:val="001B136E"/>
    <w:rsid w:val="001B16E1"/>
    <w:rsid w:val="001B1A25"/>
    <w:rsid w:val="001B1C04"/>
    <w:rsid w:val="001B1DB3"/>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2CFE"/>
    <w:rsid w:val="001B32FA"/>
    <w:rsid w:val="001B349E"/>
    <w:rsid w:val="001B34AB"/>
    <w:rsid w:val="001B34B0"/>
    <w:rsid w:val="001B34DF"/>
    <w:rsid w:val="001B353C"/>
    <w:rsid w:val="001B3555"/>
    <w:rsid w:val="001B3562"/>
    <w:rsid w:val="001B3591"/>
    <w:rsid w:val="001B3754"/>
    <w:rsid w:val="001B376C"/>
    <w:rsid w:val="001B3865"/>
    <w:rsid w:val="001B3907"/>
    <w:rsid w:val="001B3C75"/>
    <w:rsid w:val="001B3C88"/>
    <w:rsid w:val="001B3DCC"/>
    <w:rsid w:val="001B4002"/>
    <w:rsid w:val="001B40B1"/>
    <w:rsid w:val="001B4653"/>
    <w:rsid w:val="001B495D"/>
    <w:rsid w:val="001B49A8"/>
    <w:rsid w:val="001B4AA8"/>
    <w:rsid w:val="001B4E05"/>
    <w:rsid w:val="001B53DD"/>
    <w:rsid w:val="001B56D1"/>
    <w:rsid w:val="001B573A"/>
    <w:rsid w:val="001B580D"/>
    <w:rsid w:val="001B59FB"/>
    <w:rsid w:val="001B5B88"/>
    <w:rsid w:val="001B5BCA"/>
    <w:rsid w:val="001B5C69"/>
    <w:rsid w:val="001B5E69"/>
    <w:rsid w:val="001B5ECD"/>
    <w:rsid w:val="001B5F6A"/>
    <w:rsid w:val="001B601F"/>
    <w:rsid w:val="001B61BB"/>
    <w:rsid w:val="001B644F"/>
    <w:rsid w:val="001B6513"/>
    <w:rsid w:val="001B699E"/>
    <w:rsid w:val="001B6F8B"/>
    <w:rsid w:val="001B71EC"/>
    <w:rsid w:val="001B722F"/>
    <w:rsid w:val="001B7275"/>
    <w:rsid w:val="001B72DD"/>
    <w:rsid w:val="001B72F7"/>
    <w:rsid w:val="001B74B6"/>
    <w:rsid w:val="001B793F"/>
    <w:rsid w:val="001B7B93"/>
    <w:rsid w:val="001B7BAE"/>
    <w:rsid w:val="001B7BE8"/>
    <w:rsid w:val="001B7D02"/>
    <w:rsid w:val="001B7D17"/>
    <w:rsid w:val="001B7D9C"/>
    <w:rsid w:val="001B7DB9"/>
    <w:rsid w:val="001B7E9D"/>
    <w:rsid w:val="001B7EF7"/>
    <w:rsid w:val="001C017F"/>
    <w:rsid w:val="001C01B6"/>
    <w:rsid w:val="001C027E"/>
    <w:rsid w:val="001C0369"/>
    <w:rsid w:val="001C0479"/>
    <w:rsid w:val="001C0566"/>
    <w:rsid w:val="001C0578"/>
    <w:rsid w:val="001C0603"/>
    <w:rsid w:val="001C06D0"/>
    <w:rsid w:val="001C0700"/>
    <w:rsid w:val="001C080F"/>
    <w:rsid w:val="001C0989"/>
    <w:rsid w:val="001C0A24"/>
    <w:rsid w:val="001C0BB5"/>
    <w:rsid w:val="001C0CC1"/>
    <w:rsid w:val="001C0E48"/>
    <w:rsid w:val="001C0EC9"/>
    <w:rsid w:val="001C0F3B"/>
    <w:rsid w:val="001C0F9F"/>
    <w:rsid w:val="001C1224"/>
    <w:rsid w:val="001C129E"/>
    <w:rsid w:val="001C1434"/>
    <w:rsid w:val="001C1449"/>
    <w:rsid w:val="001C14E9"/>
    <w:rsid w:val="001C15CE"/>
    <w:rsid w:val="001C15FE"/>
    <w:rsid w:val="001C172D"/>
    <w:rsid w:val="001C1788"/>
    <w:rsid w:val="001C1915"/>
    <w:rsid w:val="001C1B7B"/>
    <w:rsid w:val="001C1C09"/>
    <w:rsid w:val="001C1D5B"/>
    <w:rsid w:val="001C1E18"/>
    <w:rsid w:val="001C1E1F"/>
    <w:rsid w:val="001C1E5D"/>
    <w:rsid w:val="001C1EE6"/>
    <w:rsid w:val="001C22B5"/>
    <w:rsid w:val="001C22D3"/>
    <w:rsid w:val="001C253C"/>
    <w:rsid w:val="001C2806"/>
    <w:rsid w:val="001C28F7"/>
    <w:rsid w:val="001C2921"/>
    <w:rsid w:val="001C2995"/>
    <w:rsid w:val="001C2ABC"/>
    <w:rsid w:val="001C2B21"/>
    <w:rsid w:val="001C2C81"/>
    <w:rsid w:val="001C2E04"/>
    <w:rsid w:val="001C316E"/>
    <w:rsid w:val="001C31A3"/>
    <w:rsid w:val="001C3253"/>
    <w:rsid w:val="001C3290"/>
    <w:rsid w:val="001C3369"/>
    <w:rsid w:val="001C3490"/>
    <w:rsid w:val="001C3B6B"/>
    <w:rsid w:val="001C3CB1"/>
    <w:rsid w:val="001C3F49"/>
    <w:rsid w:val="001C3F8C"/>
    <w:rsid w:val="001C3FD2"/>
    <w:rsid w:val="001C411D"/>
    <w:rsid w:val="001C426E"/>
    <w:rsid w:val="001C4765"/>
    <w:rsid w:val="001C47EC"/>
    <w:rsid w:val="001C4A7F"/>
    <w:rsid w:val="001C4B10"/>
    <w:rsid w:val="001C4EEF"/>
    <w:rsid w:val="001C4F6E"/>
    <w:rsid w:val="001C5082"/>
    <w:rsid w:val="001C53E7"/>
    <w:rsid w:val="001C553D"/>
    <w:rsid w:val="001C557E"/>
    <w:rsid w:val="001C55D3"/>
    <w:rsid w:val="001C55EA"/>
    <w:rsid w:val="001C59D8"/>
    <w:rsid w:val="001C5B47"/>
    <w:rsid w:val="001C5E5B"/>
    <w:rsid w:val="001C6064"/>
    <w:rsid w:val="001C621F"/>
    <w:rsid w:val="001C623F"/>
    <w:rsid w:val="001C63AF"/>
    <w:rsid w:val="001C6794"/>
    <w:rsid w:val="001C6B95"/>
    <w:rsid w:val="001C6EB5"/>
    <w:rsid w:val="001C6ED0"/>
    <w:rsid w:val="001C708F"/>
    <w:rsid w:val="001C7093"/>
    <w:rsid w:val="001C7241"/>
    <w:rsid w:val="001C72F8"/>
    <w:rsid w:val="001C7353"/>
    <w:rsid w:val="001C73A0"/>
    <w:rsid w:val="001C752F"/>
    <w:rsid w:val="001C7A78"/>
    <w:rsid w:val="001C7B0A"/>
    <w:rsid w:val="001D0078"/>
    <w:rsid w:val="001D0086"/>
    <w:rsid w:val="001D0422"/>
    <w:rsid w:val="001D064A"/>
    <w:rsid w:val="001D0931"/>
    <w:rsid w:val="001D0979"/>
    <w:rsid w:val="001D0B82"/>
    <w:rsid w:val="001D0DF2"/>
    <w:rsid w:val="001D0DF4"/>
    <w:rsid w:val="001D0F01"/>
    <w:rsid w:val="001D0F56"/>
    <w:rsid w:val="001D10C5"/>
    <w:rsid w:val="001D1392"/>
    <w:rsid w:val="001D152E"/>
    <w:rsid w:val="001D1641"/>
    <w:rsid w:val="001D189C"/>
    <w:rsid w:val="001D1B41"/>
    <w:rsid w:val="001D1F41"/>
    <w:rsid w:val="001D2098"/>
    <w:rsid w:val="001D22DC"/>
    <w:rsid w:val="001D23D9"/>
    <w:rsid w:val="001D26A9"/>
    <w:rsid w:val="001D27A9"/>
    <w:rsid w:val="001D2DE1"/>
    <w:rsid w:val="001D2E99"/>
    <w:rsid w:val="001D3027"/>
    <w:rsid w:val="001D3081"/>
    <w:rsid w:val="001D3107"/>
    <w:rsid w:val="001D3334"/>
    <w:rsid w:val="001D33F4"/>
    <w:rsid w:val="001D33FB"/>
    <w:rsid w:val="001D37B5"/>
    <w:rsid w:val="001D37C8"/>
    <w:rsid w:val="001D3818"/>
    <w:rsid w:val="001D3AC7"/>
    <w:rsid w:val="001D3C06"/>
    <w:rsid w:val="001D3C43"/>
    <w:rsid w:val="001D3EF7"/>
    <w:rsid w:val="001D3FFA"/>
    <w:rsid w:val="001D4099"/>
    <w:rsid w:val="001D4136"/>
    <w:rsid w:val="001D4153"/>
    <w:rsid w:val="001D417C"/>
    <w:rsid w:val="001D42A6"/>
    <w:rsid w:val="001D4361"/>
    <w:rsid w:val="001D43DC"/>
    <w:rsid w:val="001D4583"/>
    <w:rsid w:val="001D47CB"/>
    <w:rsid w:val="001D48C2"/>
    <w:rsid w:val="001D49A4"/>
    <w:rsid w:val="001D4C36"/>
    <w:rsid w:val="001D4D64"/>
    <w:rsid w:val="001D4DA3"/>
    <w:rsid w:val="001D51E4"/>
    <w:rsid w:val="001D5B95"/>
    <w:rsid w:val="001D5D1F"/>
    <w:rsid w:val="001D5D9C"/>
    <w:rsid w:val="001D5F48"/>
    <w:rsid w:val="001D5F70"/>
    <w:rsid w:val="001D6039"/>
    <w:rsid w:val="001D61AD"/>
    <w:rsid w:val="001D61DE"/>
    <w:rsid w:val="001D6233"/>
    <w:rsid w:val="001D65C1"/>
    <w:rsid w:val="001D671C"/>
    <w:rsid w:val="001D6821"/>
    <w:rsid w:val="001D6824"/>
    <w:rsid w:val="001D6B4B"/>
    <w:rsid w:val="001D6D47"/>
    <w:rsid w:val="001D712F"/>
    <w:rsid w:val="001D713E"/>
    <w:rsid w:val="001D71DF"/>
    <w:rsid w:val="001D720E"/>
    <w:rsid w:val="001D72E0"/>
    <w:rsid w:val="001D7307"/>
    <w:rsid w:val="001D74A3"/>
    <w:rsid w:val="001D7690"/>
    <w:rsid w:val="001D7892"/>
    <w:rsid w:val="001D79D3"/>
    <w:rsid w:val="001D7B3D"/>
    <w:rsid w:val="001D7D4A"/>
    <w:rsid w:val="001D7D54"/>
    <w:rsid w:val="001D7DAD"/>
    <w:rsid w:val="001E0207"/>
    <w:rsid w:val="001E022B"/>
    <w:rsid w:val="001E08C1"/>
    <w:rsid w:val="001E098B"/>
    <w:rsid w:val="001E0A91"/>
    <w:rsid w:val="001E0CF1"/>
    <w:rsid w:val="001E0D04"/>
    <w:rsid w:val="001E11C5"/>
    <w:rsid w:val="001E12AA"/>
    <w:rsid w:val="001E12BA"/>
    <w:rsid w:val="001E1329"/>
    <w:rsid w:val="001E140D"/>
    <w:rsid w:val="001E14E8"/>
    <w:rsid w:val="001E19D0"/>
    <w:rsid w:val="001E1A15"/>
    <w:rsid w:val="001E1D86"/>
    <w:rsid w:val="001E2126"/>
    <w:rsid w:val="001E2222"/>
    <w:rsid w:val="001E2288"/>
    <w:rsid w:val="001E2352"/>
    <w:rsid w:val="001E237A"/>
    <w:rsid w:val="001E2821"/>
    <w:rsid w:val="001E2ADE"/>
    <w:rsid w:val="001E2DC0"/>
    <w:rsid w:val="001E2FE9"/>
    <w:rsid w:val="001E30E9"/>
    <w:rsid w:val="001E33A4"/>
    <w:rsid w:val="001E371E"/>
    <w:rsid w:val="001E37BA"/>
    <w:rsid w:val="001E3817"/>
    <w:rsid w:val="001E3905"/>
    <w:rsid w:val="001E39FC"/>
    <w:rsid w:val="001E3C0B"/>
    <w:rsid w:val="001E3CB0"/>
    <w:rsid w:val="001E3EC9"/>
    <w:rsid w:val="001E3FBC"/>
    <w:rsid w:val="001E4743"/>
    <w:rsid w:val="001E4780"/>
    <w:rsid w:val="001E489B"/>
    <w:rsid w:val="001E49A3"/>
    <w:rsid w:val="001E4B45"/>
    <w:rsid w:val="001E4B8D"/>
    <w:rsid w:val="001E4BE3"/>
    <w:rsid w:val="001E4CEB"/>
    <w:rsid w:val="001E4F7D"/>
    <w:rsid w:val="001E50C7"/>
    <w:rsid w:val="001E50F2"/>
    <w:rsid w:val="001E5230"/>
    <w:rsid w:val="001E5265"/>
    <w:rsid w:val="001E55E5"/>
    <w:rsid w:val="001E576B"/>
    <w:rsid w:val="001E582F"/>
    <w:rsid w:val="001E58AB"/>
    <w:rsid w:val="001E593A"/>
    <w:rsid w:val="001E596A"/>
    <w:rsid w:val="001E5B44"/>
    <w:rsid w:val="001E5C34"/>
    <w:rsid w:val="001E5DE0"/>
    <w:rsid w:val="001E5E33"/>
    <w:rsid w:val="001E5E88"/>
    <w:rsid w:val="001E5F19"/>
    <w:rsid w:val="001E60BD"/>
    <w:rsid w:val="001E60E9"/>
    <w:rsid w:val="001E6254"/>
    <w:rsid w:val="001E6274"/>
    <w:rsid w:val="001E64D4"/>
    <w:rsid w:val="001E660B"/>
    <w:rsid w:val="001E6638"/>
    <w:rsid w:val="001E683F"/>
    <w:rsid w:val="001E69A0"/>
    <w:rsid w:val="001E6BDC"/>
    <w:rsid w:val="001E6CCB"/>
    <w:rsid w:val="001E6D4B"/>
    <w:rsid w:val="001E70C7"/>
    <w:rsid w:val="001E70D4"/>
    <w:rsid w:val="001E71C3"/>
    <w:rsid w:val="001E7289"/>
    <w:rsid w:val="001E73FA"/>
    <w:rsid w:val="001E7474"/>
    <w:rsid w:val="001E76ED"/>
    <w:rsid w:val="001E78BC"/>
    <w:rsid w:val="001E78D6"/>
    <w:rsid w:val="001E78E6"/>
    <w:rsid w:val="001E791E"/>
    <w:rsid w:val="001E7B5B"/>
    <w:rsid w:val="001E7BF8"/>
    <w:rsid w:val="001E7D43"/>
    <w:rsid w:val="001E7D7E"/>
    <w:rsid w:val="001E7EA3"/>
    <w:rsid w:val="001F058B"/>
    <w:rsid w:val="001F086B"/>
    <w:rsid w:val="001F0C32"/>
    <w:rsid w:val="001F0CA0"/>
    <w:rsid w:val="001F0D66"/>
    <w:rsid w:val="001F1074"/>
    <w:rsid w:val="001F10E0"/>
    <w:rsid w:val="001F1161"/>
    <w:rsid w:val="001F1ABC"/>
    <w:rsid w:val="001F1B0E"/>
    <w:rsid w:val="001F1B1C"/>
    <w:rsid w:val="001F1BFD"/>
    <w:rsid w:val="001F1D14"/>
    <w:rsid w:val="001F1E99"/>
    <w:rsid w:val="001F1F29"/>
    <w:rsid w:val="001F203C"/>
    <w:rsid w:val="001F2153"/>
    <w:rsid w:val="001F22E0"/>
    <w:rsid w:val="001F23C3"/>
    <w:rsid w:val="001F25F0"/>
    <w:rsid w:val="001F26BE"/>
    <w:rsid w:val="001F2BCE"/>
    <w:rsid w:val="001F2C02"/>
    <w:rsid w:val="001F2C48"/>
    <w:rsid w:val="001F2DB8"/>
    <w:rsid w:val="001F2DE2"/>
    <w:rsid w:val="001F2DFC"/>
    <w:rsid w:val="001F2E20"/>
    <w:rsid w:val="001F2E33"/>
    <w:rsid w:val="001F318C"/>
    <w:rsid w:val="001F328B"/>
    <w:rsid w:val="001F32C3"/>
    <w:rsid w:val="001F3411"/>
    <w:rsid w:val="001F3606"/>
    <w:rsid w:val="001F3973"/>
    <w:rsid w:val="001F3A71"/>
    <w:rsid w:val="001F3AC4"/>
    <w:rsid w:val="001F3AEC"/>
    <w:rsid w:val="001F3B4D"/>
    <w:rsid w:val="001F3DAA"/>
    <w:rsid w:val="001F3F3B"/>
    <w:rsid w:val="001F3FDC"/>
    <w:rsid w:val="001F3FF7"/>
    <w:rsid w:val="001F40C0"/>
    <w:rsid w:val="001F4358"/>
    <w:rsid w:val="001F4454"/>
    <w:rsid w:val="001F44F4"/>
    <w:rsid w:val="001F4A29"/>
    <w:rsid w:val="001F4A3B"/>
    <w:rsid w:val="001F4B55"/>
    <w:rsid w:val="001F4C48"/>
    <w:rsid w:val="001F4C63"/>
    <w:rsid w:val="001F4D5F"/>
    <w:rsid w:val="001F4D80"/>
    <w:rsid w:val="001F4FAA"/>
    <w:rsid w:val="001F5003"/>
    <w:rsid w:val="001F541E"/>
    <w:rsid w:val="001F58A2"/>
    <w:rsid w:val="001F58F7"/>
    <w:rsid w:val="001F5953"/>
    <w:rsid w:val="001F5A24"/>
    <w:rsid w:val="001F5AC3"/>
    <w:rsid w:val="001F5B66"/>
    <w:rsid w:val="001F5C54"/>
    <w:rsid w:val="001F5DE2"/>
    <w:rsid w:val="001F5FBC"/>
    <w:rsid w:val="001F5FE2"/>
    <w:rsid w:val="001F6176"/>
    <w:rsid w:val="001F62A0"/>
    <w:rsid w:val="001F63BA"/>
    <w:rsid w:val="001F6434"/>
    <w:rsid w:val="001F6464"/>
    <w:rsid w:val="001F64C1"/>
    <w:rsid w:val="001F651E"/>
    <w:rsid w:val="001F689C"/>
    <w:rsid w:val="001F69EE"/>
    <w:rsid w:val="001F6B16"/>
    <w:rsid w:val="001F6CB3"/>
    <w:rsid w:val="001F6D30"/>
    <w:rsid w:val="001F7263"/>
    <w:rsid w:val="001F73B1"/>
    <w:rsid w:val="001F746C"/>
    <w:rsid w:val="001F76F8"/>
    <w:rsid w:val="001F77C4"/>
    <w:rsid w:val="001F77D2"/>
    <w:rsid w:val="001F77E3"/>
    <w:rsid w:val="001F7825"/>
    <w:rsid w:val="0020014B"/>
    <w:rsid w:val="0020071C"/>
    <w:rsid w:val="00200AE8"/>
    <w:rsid w:val="00200BAF"/>
    <w:rsid w:val="00200CE0"/>
    <w:rsid w:val="00200D3E"/>
    <w:rsid w:val="002011AA"/>
    <w:rsid w:val="002011E2"/>
    <w:rsid w:val="002012D7"/>
    <w:rsid w:val="00201642"/>
    <w:rsid w:val="00201C82"/>
    <w:rsid w:val="00201E71"/>
    <w:rsid w:val="002020B2"/>
    <w:rsid w:val="002024D2"/>
    <w:rsid w:val="00202561"/>
    <w:rsid w:val="0020259D"/>
    <w:rsid w:val="00202836"/>
    <w:rsid w:val="0020298E"/>
    <w:rsid w:val="00202A49"/>
    <w:rsid w:val="00202BA5"/>
    <w:rsid w:val="00202C5E"/>
    <w:rsid w:val="00202ECE"/>
    <w:rsid w:val="00202F26"/>
    <w:rsid w:val="00203454"/>
    <w:rsid w:val="0020346A"/>
    <w:rsid w:val="002034EF"/>
    <w:rsid w:val="002035CF"/>
    <w:rsid w:val="002036B7"/>
    <w:rsid w:val="00203A9B"/>
    <w:rsid w:val="00203DB6"/>
    <w:rsid w:val="0020435F"/>
    <w:rsid w:val="00204387"/>
    <w:rsid w:val="002043EA"/>
    <w:rsid w:val="002044BE"/>
    <w:rsid w:val="00204685"/>
    <w:rsid w:val="00204724"/>
    <w:rsid w:val="00204A1E"/>
    <w:rsid w:val="00204AF5"/>
    <w:rsid w:val="00204BC0"/>
    <w:rsid w:val="00204D82"/>
    <w:rsid w:val="00204F83"/>
    <w:rsid w:val="0020501E"/>
    <w:rsid w:val="0020516B"/>
    <w:rsid w:val="002054D7"/>
    <w:rsid w:val="002056C9"/>
    <w:rsid w:val="00205732"/>
    <w:rsid w:val="0020580C"/>
    <w:rsid w:val="0020586B"/>
    <w:rsid w:val="00205AD1"/>
    <w:rsid w:val="00205AFB"/>
    <w:rsid w:val="00205C57"/>
    <w:rsid w:val="00205CB3"/>
    <w:rsid w:val="00205CEE"/>
    <w:rsid w:val="00206113"/>
    <w:rsid w:val="002061D8"/>
    <w:rsid w:val="0020630E"/>
    <w:rsid w:val="00206332"/>
    <w:rsid w:val="002065A5"/>
    <w:rsid w:val="002066FE"/>
    <w:rsid w:val="00206A68"/>
    <w:rsid w:val="00206B5D"/>
    <w:rsid w:val="002072AE"/>
    <w:rsid w:val="002073E2"/>
    <w:rsid w:val="0020747C"/>
    <w:rsid w:val="002075B1"/>
    <w:rsid w:val="00207671"/>
    <w:rsid w:val="0020773D"/>
    <w:rsid w:val="002077B6"/>
    <w:rsid w:val="00207856"/>
    <w:rsid w:val="0020794A"/>
    <w:rsid w:val="00207CB0"/>
    <w:rsid w:val="00207EA5"/>
    <w:rsid w:val="00207EA9"/>
    <w:rsid w:val="00210221"/>
    <w:rsid w:val="0021022E"/>
    <w:rsid w:val="002102DF"/>
    <w:rsid w:val="00210415"/>
    <w:rsid w:val="00210490"/>
    <w:rsid w:val="002104B3"/>
    <w:rsid w:val="002105EE"/>
    <w:rsid w:val="002107A7"/>
    <w:rsid w:val="00210838"/>
    <w:rsid w:val="0021083F"/>
    <w:rsid w:val="00210851"/>
    <w:rsid w:val="00210CAF"/>
    <w:rsid w:val="00210D13"/>
    <w:rsid w:val="00210EAD"/>
    <w:rsid w:val="00210F3B"/>
    <w:rsid w:val="00211167"/>
    <w:rsid w:val="002111BC"/>
    <w:rsid w:val="00211247"/>
    <w:rsid w:val="00211282"/>
    <w:rsid w:val="00211901"/>
    <w:rsid w:val="00211A4D"/>
    <w:rsid w:val="00211ADB"/>
    <w:rsid w:val="00211B86"/>
    <w:rsid w:val="00211DFA"/>
    <w:rsid w:val="00211E42"/>
    <w:rsid w:val="00211EB1"/>
    <w:rsid w:val="00212122"/>
    <w:rsid w:val="0021218C"/>
    <w:rsid w:val="00212670"/>
    <w:rsid w:val="0021277A"/>
    <w:rsid w:val="00212BBA"/>
    <w:rsid w:val="00212EF8"/>
    <w:rsid w:val="00212F5D"/>
    <w:rsid w:val="002130FD"/>
    <w:rsid w:val="00213134"/>
    <w:rsid w:val="002131EF"/>
    <w:rsid w:val="00213211"/>
    <w:rsid w:val="0021323C"/>
    <w:rsid w:val="00213534"/>
    <w:rsid w:val="00213AF8"/>
    <w:rsid w:val="00213B7B"/>
    <w:rsid w:val="00213B9C"/>
    <w:rsid w:val="002146C2"/>
    <w:rsid w:val="002149D9"/>
    <w:rsid w:val="00214A8A"/>
    <w:rsid w:val="00214C2F"/>
    <w:rsid w:val="00214EC6"/>
    <w:rsid w:val="002150C2"/>
    <w:rsid w:val="002155F9"/>
    <w:rsid w:val="002157A9"/>
    <w:rsid w:val="002158B8"/>
    <w:rsid w:val="00215C3C"/>
    <w:rsid w:val="00215C80"/>
    <w:rsid w:val="00215CA5"/>
    <w:rsid w:val="00215DC8"/>
    <w:rsid w:val="00215F35"/>
    <w:rsid w:val="0021639D"/>
    <w:rsid w:val="00216435"/>
    <w:rsid w:val="00216439"/>
    <w:rsid w:val="00216455"/>
    <w:rsid w:val="0021649D"/>
    <w:rsid w:val="002164F5"/>
    <w:rsid w:val="002165B6"/>
    <w:rsid w:val="0021661F"/>
    <w:rsid w:val="002166B0"/>
    <w:rsid w:val="00216C1F"/>
    <w:rsid w:val="00216C6A"/>
    <w:rsid w:val="00216D46"/>
    <w:rsid w:val="00216E36"/>
    <w:rsid w:val="00217152"/>
    <w:rsid w:val="0021718E"/>
    <w:rsid w:val="002172B6"/>
    <w:rsid w:val="002172BC"/>
    <w:rsid w:val="00217333"/>
    <w:rsid w:val="00217348"/>
    <w:rsid w:val="00217585"/>
    <w:rsid w:val="0021764D"/>
    <w:rsid w:val="002177FE"/>
    <w:rsid w:val="00217802"/>
    <w:rsid w:val="00217816"/>
    <w:rsid w:val="002179C4"/>
    <w:rsid w:val="00217BF3"/>
    <w:rsid w:val="00217CD8"/>
    <w:rsid w:val="00217CF5"/>
    <w:rsid w:val="00217E84"/>
    <w:rsid w:val="00217E96"/>
    <w:rsid w:val="002201FC"/>
    <w:rsid w:val="00220995"/>
    <w:rsid w:val="00220A6B"/>
    <w:rsid w:val="00220B36"/>
    <w:rsid w:val="00220D77"/>
    <w:rsid w:val="00220E17"/>
    <w:rsid w:val="00220E1F"/>
    <w:rsid w:val="0022113E"/>
    <w:rsid w:val="00221226"/>
    <w:rsid w:val="0022146E"/>
    <w:rsid w:val="002214A6"/>
    <w:rsid w:val="0022162A"/>
    <w:rsid w:val="00221866"/>
    <w:rsid w:val="0022199A"/>
    <w:rsid w:val="00221A82"/>
    <w:rsid w:val="00221AB9"/>
    <w:rsid w:val="00221C1A"/>
    <w:rsid w:val="00221C1E"/>
    <w:rsid w:val="00221CAA"/>
    <w:rsid w:val="00221D62"/>
    <w:rsid w:val="00221F05"/>
    <w:rsid w:val="00222071"/>
    <w:rsid w:val="00222085"/>
    <w:rsid w:val="00222310"/>
    <w:rsid w:val="00222602"/>
    <w:rsid w:val="0022297E"/>
    <w:rsid w:val="00222C75"/>
    <w:rsid w:val="00222D20"/>
    <w:rsid w:val="00222D28"/>
    <w:rsid w:val="00222F5F"/>
    <w:rsid w:val="00223050"/>
    <w:rsid w:val="00223080"/>
    <w:rsid w:val="002232EF"/>
    <w:rsid w:val="002232F5"/>
    <w:rsid w:val="002233FD"/>
    <w:rsid w:val="0022353E"/>
    <w:rsid w:val="002236CB"/>
    <w:rsid w:val="002238A2"/>
    <w:rsid w:val="002239C5"/>
    <w:rsid w:val="00223A2C"/>
    <w:rsid w:val="00223BD4"/>
    <w:rsid w:val="00223C13"/>
    <w:rsid w:val="00223D07"/>
    <w:rsid w:val="00223EB3"/>
    <w:rsid w:val="00223FED"/>
    <w:rsid w:val="002240CD"/>
    <w:rsid w:val="00224143"/>
    <w:rsid w:val="00224195"/>
    <w:rsid w:val="00224389"/>
    <w:rsid w:val="002244C1"/>
    <w:rsid w:val="002247F9"/>
    <w:rsid w:val="00224861"/>
    <w:rsid w:val="00224983"/>
    <w:rsid w:val="00224AD4"/>
    <w:rsid w:val="00224D12"/>
    <w:rsid w:val="00224E51"/>
    <w:rsid w:val="0022500E"/>
    <w:rsid w:val="00225029"/>
    <w:rsid w:val="00225044"/>
    <w:rsid w:val="00225784"/>
    <w:rsid w:val="0022594E"/>
    <w:rsid w:val="00225E02"/>
    <w:rsid w:val="00225E26"/>
    <w:rsid w:val="002261A5"/>
    <w:rsid w:val="00226316"/>
    <w:rsid w:val="002264E9"/>
    <w:rsid w:val="00226521"/>
    <w:rsid w:val="0022664B"/>
    <w:rsid w:val="00226764"/>
    <w:rsid w:val="002267FC"/>
    <w:rsid w:val="00226BE1"/>
    <w:rsid w:val="00226D0C"/>
    <w:rsid w:val="00226E48"/>
    <w:rsid w:val="002270FC"/>
    <w:rsid w:val="0022710E"/>
    <w:rsid w:val="002271A0"/>
    <w:rsid w:val="00227206"/>
    <w:rsid w:val="0022766B"/>
    <w:rsid w:val="00227AF8"/>
    <w:rsid w:val="00227D91"/>
    <w:rsid w:val="002300A7"/>
    <w:rsid w:val="002301D5"/>
    <w:rsid w:val="0023054C"/>
    <w:rsid w:val="002305C6"/>
    <w:rsid w:val="0023074C"/>
    <w:rsid w:val="00230799"/>
    <w:rsid w:val="00230915"/>
    <w:rsid w:val="00230DC9"/>
    <w:rsid w:val="00230DD7"/>
    <w:rsid w:val="00230EA2"/>
    <w:rsid w:val="00230EC0"/>
    <w:rsid w:val="00230F7D"/>
    <w:rsid w:val="002313D1"/>
    <w:rsid w:val="0023158C"/>
    <w:rsid w:val="002317CE"/>
    <w:rsid w:val="002317F7"/>
    <w:rsid w:val="00231B9A"/>
    <w:rsid w:val="00231E8E"/>
    <w:rsid w:val="00231EB5"/>
    <w:rsid w:val="00232177"/>
    <w:rsid w:val="00232219"/>
    <w:rsid w:val="0023287C"/>
    <w:rsid w:val="0023293D"/>
    <w:rsid w:val="00232A43"/>
    <w:rsid w:val="00232C52"/>
    <w:rsid w:val="00232CA2"/>
    <w:rsid w:val="00232CC8"/>
    <w:rsid w:val="00232D55"/>
    <w:rsid w:val="00232F06"/>
    <w:rsid w:val="00232F36"/>
    <w:rsid w:val="002330CB"/>
    <w:rsid w:val="00233149"/>
    <w:rsid w:val="002332F0"/>
    <w:rsid w:val="0023347E"/>
    <w:rsid w:val="002336AB"/>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D0F"/>
    <w:rsid w:val="00235DE9"/>
    <w:rsid w:val="0023600B"/>
    <w:rsid w:val="002361FB"/>
    <w:rsid w:val="0023625B"/>
    <w:rsid w:val="00236428"/>
    <w:rsid w:val="00236460"/>
    <w:rsid w:val="00236461"/>
    <w:rsid w:val="002364CF"/>
    <w:rsid w:val="002364EE"/>
    <w:rsid w:val="0023662D"/>
    <w:rsid w:val="00236778"/>
    <w:rsid w:val="00236797"/>
    <w:rsid w:val="002367EC"/>
    <w:rsid w:val="00236918"/>
    <w:rsid w:val="002369A4"/>
    <w:rsid w:val="00236B22"/>
    <w:rsid w:val="00236B98"/>
    <w:rsid w:val="00236BFD"/>
    <w:rsid w:val="00236EEC"/>
    <w:rsid w:val="0023707C"/>
    <w:rsid w:val="002371F6"/>
    <w:rsid w:val="0023720B"/>
    <w:rsid w:val="0023735B"/>
    <w:rsid w:val="00237497"/>
    <w:rsid w:val="00237577"/>
    <w:rsid w:val="002375B2"/>
    <w:rsid w:val="002376F2"/>
    <w:rsid w:val="00237739"/>
    <w:rsid w:val="002377AB"/>
    <w:rsid w:val="002377EE"/>
    <w:rsid w:val="002377F1"/>
    <w:rsid w:val="00237A8A"/>
    <w:rsid w:val="00237C37"/>
    <w:rsid w:val="00237CCC"/>
    <w:rsid w:val="00237CF9"/>
    <w:rsid w:val="00237D9C"/>
    <w:rsid w:val="00237F21"/>
    <w:rsid w:val="00237FCF"/>
    <w:rsid w:val="00240100"/>
    <w:rsid w:val="002401E4"/>
    <w:rsid w:val="002402FC"/>
    <w:rsid w:val="0024034F"/>
    <w:rsid w:val="002405E2"/>
    <w:rsid w:val="002407FD"/>
    <w:rsid w:val="00240A0A"/>
    <w:rsid w:val="00240CED"/>
    <w:rsid w:val="00240D33"/>
    <w:rsid w:val="00240DEE"/>
    <w:rsid w:val="00240E10"/>
    <w:rsid w:val="00240F3C"/>
    <w:rsid w:val="00241191"/>
    <w:rsid w:val="002411D9"/>
    <w:rsid w:val="002411E9"/>
    <w:rsid w:val="00241282"/>
    <w:rsid w:val="002415B7"/>
    <w:rsid w:val="002415C6"/>
    <w:rsid w:val="00241709"/>
    <w:rsid w:val="00241807"/>
    <w:rsid w:val="00241A23"/>
    <w:rsid w:val="00241B36"/>
    <w:rsid w:val="00241C62"/>
    <w:rsid w:val="00241E55"/>
    <w:rsid w:val="00241E59"/>
    <w:rsid w:val="00241EE7"/>
    <w:rsid w:val="00241F3A"/>
    <w:rsid w:val="00241F64"/>
    <w:rsid w:val="00241FD6"/>
    <w:rsid w:val="00241FD9"/>
    <w:rsid w:val="00242163"/>
    <w:rsid w:val="0024224F"/>
    <w:rsid w:val="0024225D"/>
    <w:rsid w:val="00242403"/>
    <w:rsid w:val="0024292B"/>
    <w:rsid w:val="002429A7"/>
    <w:rsid w:val="00242A18"/>
    <w:rsid w:val="00242A39"/>
    <w:rsid w:val="00242A72"/>
    <w:rsid w:val="00243084"/>
    <w:rsid w:val="002430CE"/>
    <w:rsid w:val="00243120"/>
    <w:rsid w:val="00243151"/>
    <w:rsid w:val="00243314"/>
    <w:rsid w:val="002433F7"/>
    <w:rsid w:val="0024365E"/>
    <w:rsid w:val="0024391D"/>
    <w:rsid w:val="002439F7"/>
    <w:rsid w:val="00243B6A"/>
    <w:rsid w:val="00243C3B"/>
    <w:rsid w:val="00243ECC"/>
    <w:rsid w:val="00243F14"/>
    <w:rsid w:val="00244041"/>
    <w:rsid w:val="00244060"/>
    <w:rsid w:val="0024438B"/>
    <w:rsid w:val="00244698"/>
    <w:rsid w:val="002446B6"/>
    <w:rsid w:val="00244714"/>
    <w:rsid w:val="00244753"/>
    <w:rsid w:val="00244AC6"/>
    <w:rsid w:val="00244F4F"/>
    <w:rsid w:val="002450D4"/>
    <w:rsid w:val="002450F6"/>
    <w:rsid w:val="0024510F"/>
    <w:rsid w:val="0024511A"/>
    <w:rsid w:val="00245221"/>
    <w:rsid w:val="002452D1"/>
    <w:rsid w:val="002452EE"/>
    <w:rsid w:val="00245355"/>
    <w:rsid w:val="002453D4"/>
    <w:rsid w:val="002455E4"/>
    <w:rsid w:val="00245C13"/>
    <w:rsid w:val="00245CE3"/>
    <w:rsid w:val="00245D91"/>
    <w:rsid w:val="00245E33"/>
    <w:rsid w:val="00245EB7"/>
    <w:rsid w:val="0024611C"/>
    <w:rsid w:val="0024625E"/>
    <w:rsid w:val="002462F8"/>
    <w:rsid w:val="00246607"/>
    <w:rsid w:val="00246734"/>
    <w:rsid w:val="00246768"/>
    <w:rsid w:val="00246870"/>
    <w:rsid w:val="00246871"/>
    <w:rsid w:val="002468FD"/>
    <w:rsid w:val="00246AE7"/>
    <w:rsid w:val="00246D48"/>
    <w:rsid w:val="00246D8E"/>
    <w:rsid w:val="00246F3B"/>
    <w:rsid w:val="00247691"/>
    <w:rsid w:val="002477C7"/>
    <w:rsid w:val="002477D4"/>
    <w:rsid w:val="0024798B"/>
    <w:rsid w:val="00247B52"/>
    <w:rsid w:val="00247D76"/>
    <w:rsid w:val="00250184"/>
    <w:rsid w:val="002502CA"/>
    <w:rsid w:val="00250487"/>
    <w:rsid w:val="00250735"/>
    <w:rsid w:val="00250820"/>
    <w:rsid w:val="002508DA"/>
    <w:rsid w:val="00250934"/>
    <w:rsid w:val="00250EA3"/>
    <w:rsid w:val="00250F7B"/>
    <w:rsid w:val="00251080"/>
    <w:rsid w:val="00251741"/>
    <w:rsid w:val="0025187D"/>
    <w:rsid w:val="0025194C"/>
    <w:rsid w:val="00251A70"/>
    <w:rsid w:val="00251AB4"/>
    <w:rsid w:val="00251BB7"/>
    <w:rsid w:val="00251FB7"/>
    <w:rsid w:val="00252052"/>
    <w:rsid w:val="002520A3"/>
    <w:rsid w:val="002521CF"/>
    <w:rsid w:val="00252207"/>
    <w:rsid w:val="0025232F"/>
    <w:rsid w:val="00252476"/>
    <w:rsid w:val="0025272E"/>
    <w:rsid w:val="00252884"/>
    <w:rsid w:val="00252CDE"/>
    <w:rsid w:val="00252D6E"/>
    <w:rsid w:val="00252E59"/>
    <w:rsid w:val="00252E84"/>
    <w:rsid w:val="00252EC6"/>
    <w:rsid w:val="00253061"/>
    <w:rsid w:val="00253379"/>
    <w:rsid w:val="002537F9"/>
    <w:rsid w:val="002539C2"/>
    <w:rsid w:val="002539DA"/>
    <w:rsid w:val="002539E5"/>
    <w:rsid w:val="00253B7B"/>
    <w:rsid w:val="00253E5A"/>
    <w:rsid w:val="00253FF4"/>
    <w:rsid w:val="0025406B"/>
    <w:rsid w:val="0025416B"/>
    <w:rsid w:val="002542E8"/>
    <w:rsid w:val="0025437B"/>
    <w:rsid w:val="002543B8"/>
    <w:rsid w:val="00254458"/>
    <w:rsid w:val="0025470A"/>
    <w:rsid w:val="002547C2"/>
    <w:rsid w:val="00254A75"/>
    <w:rsid w:val="00254B14"/>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057"/>
    <w:rsid w:val="00257195"/>
    <w:rsid w:val="002571EE"/>
    <w:rsid w:val="0025729F"/>
    <w:rsid w:val="00257340"/>
    <w:rsid w:val="00257364"/>
    <w:rsid w:val="00257487"/>
    <w:rsid w:val="002575FD"/>
    <w:rsid w:val="0025774E"/>
    <w:rsid w:val="0025777A"/>
    <w:rsid w:val="00257868"/>
    <w:rsid w:val="002579BF"/>
    <w:rsid w:val="002579F1"/>
    <w:rsid w:val="00257D86"/>
    <w:rsid w:val="0026004F"/>
    <w:rsid w:val="002601B4"/>
    <w:rsid w:val="00260202"/>
    <w:rsid w:val="00260275"/>
    <w:rsid w:val="002603D6"/>
    <w:rsid w:val="002605F9"/>
    <w:rsid w:val="002608C3"/>
    <w:rsid w:val="00260A82"/>
    <w:rsid w:val="00260FA8"/>
    <w:rsid w:val="00261038"/>
    <w:rsid w:val="00261115"/>
    <w:rsid w:val="0026111B"/>
    <w:rsid w:val="0026116D"/>
    <w:rsid w:val="00261600"/>
    <w:rsid w:val="00261A3E"/>
    <w:rsid w:val="00261A99"/>
    <w:rsid w:val="00261B22"/>
    <w:rsid w:val="00261DB6"/>
    <w:rsid w:val="00261E98"/>
    <w:rsid w:val="00261FB3"/>
    <w:rsid w:val="0026205F"/>
    <w:rsid w:val="002620AC"/>
    <w:rsid w:val="00262105"/>
    <w:rsid w:val="002623C4"/>
    <w:rsid w:val="002623DE"/>
    <w:rsid w:val="00262615"/>
    <w:rsid w:val="0026276B"/>
    <w:rsid w:val="002627A6"/>
    <w:rsid w:val="002627A9"/>
    <w:rsid w:val="002627F8"/>
    <w:rsid w:val="002629EA"/>
    <w:rsid w:val="00262B51"/>
    <w:rsid w:val="00262BC7"/>
    <w:rsid w:val="00263165"/>
    <w:rsid w:val="0026344D"/>
    <w:rsid w:val="002635E2"/>
    <w:rsid w:val="0026381F"/>
    <w:rsid w:val="00263B74"/>
    <w:rsid w:val="00263CF9"/>
    <w:rsid w:val="00263E9A"/>
    <w:rsid w:val="00263FA2"/>
    <w:rsid w:val="002640FB"/>
    <w:rsid w:val="0026421D"/>
    <w:rsid w:val="00264387"/>
    <w:rsid w:val="002645B7"/>
    <w:rsid w:val="0026462D"/>
    <w:rsid w:val="0026469A"/>
    <w:rsid w:val="00264806"/>
    <w:rsid w:val="00264A81"/>
    <w:rsid w:val="00264AC4"/>
    <w:rsid w:val="00264C9A"/>
    <w:rsid w:val="00265031"/>
    <w:rsid w:val="00265208"/>
    <w:rsid w:val="00265223"/>
    <w:rsid w:val="002653F8"/>
    <w:rsid w:val="00265767"/>
    <w:rsid w:val="00265A37"/>
    <w:rsid w:val="00265C8B"/>
    <w:rsid w:val="00265DED"/>
    <w:rsid w:val="002660C9"/>
    <w:rsid w:val="002661E7"/>
    <w:rsid w:val="0026638E"/>
    <w:rsid w:val="0026694D"/>
    <w:rsid w:val="00266B6D"/>
    <w:rsid w:val="00266C72"/>
    <w:rsid w:val="00266E4E"/>
    <w:rsid w:val="00266FA9"/>
    <w:rsid w:val="00267000"/>
    <w:rsid w:val="00267191"/>
    <w:rsid w:val="0026719D"/>
    <w:rsid w:val="00267246"/>
    <w:rsid w:val="00267299"/>
    <w:rsid w:val="00267396"/>
    <w:rsid w:val="00267527"/>
    <w:rsid w:val="0026752B"/>
    <w:rsid w:val="00267756"/>
    <w:rsid w:val="002677DD"/>
    <w:rsid w:val="002677F3"/>
    <w:rsid w:val="00267AE7"/>
    <w:rsid w:val="00267D38"/>
    <w:rsid w:val="00267D4E"/>
    <w:rsid w:val="00267FE3"/>
    <w:rsid w:val="00267FF2"/>
    <w:rsid w:val="00270123"/>
    <w:rsid w:val="0027014A"/>
    <w:rsid w:val="0027029C"/>
    <w:rsid w:val="00270380"/>
    <w:rsid w:val="00270494"/>
    <w:rsid w:val="00270513"/>
    <w:rsid w:val="00270789"/>
    <w:rsid w:val="00270954"/>
    <w:rsid w:val="0027098C"/>
    <w:rsid w:val="00270A05"/>
    <w:rsid w:val="00270DE8"/>
    <w:rsid w:val="00270E04"/>
    <w:rsid w:val="00270EA0"/>
    <w:rsid w:val="00270F8F"/>
    <w:rsid w:val="0027123A"/>
    <w:rsid w:val="00271369"/>
    <w:rsid w:val="0027150E"/>
    <w:rsid w:val="00271558"/>
    <w:rsid w:val="002718EA"/>
    <w:rsid w:val="00271A03"/>
    <w:rsid w:val="00271A5D"/>
    <w:rsid w:val="00271AD8"/>
    <w:rsid w:val="00271E37"/>
    <w:rsid w:val="00271ED3"/>
    <w:rsid w:val="00271EED"/>
    <w:rsid w:val="00271F59"/>
    <w:rsid w:val="0027206F"/>
    <w:rsid w:val="002722AF"/>
    <w:rsid w:val="002722C4"/>
    <w:rsid w:val="002722CA"/>
    <w:rsid w:val="00272531"/>
    <w:rsid w:val="002725D0"/>
    <w:rsid w:val="00272815"/>
    <w:rsid w:val="0027287A"/>
    <w:rsid w:val="0027291F"/>
    <w:rsid w:val="00272934"/>
    <w:rsid w:val="00272B8F"/>
    <w:rsid w:val="00272C2C"/>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3CF0"/>
    <w:rsid w:val="00273DDD"/>
    <w:rsid w:val="00274003"/>
    <w:rsid w:val="002740B8"/>
    <w:rsid w:val="00274123"/>
    <w:rsid w:val="0027416A"/>
    <w:rsid w:val="002742AE"/>
    <w:rsid w:val="00274318"/>
    <w:rsid w:val="00274634"/>
    <w:rsid w:val="00274692"/>
    <w:rsid w:val="002746EB"/>
    <w:rsid w:val="00274AD4"/>
    <w:rsid w:val="00274AE7"/>
    <w:rsid w:val="00274BEF"/>
    <w:rsid w:val="00274D5D"/>
    <w:rsid w:val="00274EB5"/>
    <w:rsid w:val="002750E9"/>
    <w:rsid w:val="00275106"/>
    <w:rsid w:val="002752F7"/>
    <w:rsid w:val="00275600"/>
    <w:rsid w:val="00275651"/>
    <w:rsid w:val="0027577C"/>
    <w:rsid w:val="00275807"/>
    <w:rsid w:val="00275951"/>
    <w:rsid w:val="00275A90"/>
    <w:rsid w:val="00275B91"/>
    <w:rsid w:val="00275C11"/>
    <w:rsid w:val="00275DAC"/>
    <w:rsid w:val="00276012"/>
    <w:rsid w:val="002760B3"/>
    <w:rsid w:val="0027627C"/>
    <w:rsid w:val="002762D4"/>
    <w:rsid w:val="00276661"/>
    <w:rsid w:val="002768D2"/>
    <w:rsid w:val="00276AAA"/>
    <w:rsid w:val="00276BC9"/>
    <w:rsid w:val="00276D3C"/>
    <w:rsid w:val="00276D6F"/>
    <w:rsid w:val="00276E14"/>
    <w:rsid w:val="00276E72"/>
    <w:rsid w:val="00277132"/>
    <w:rsid w:val="002771CA"/>
    <w:rsid w:val="0027721D"/>
    <w:rsid w:val="0027733C"/>
    <w:rsid w:val="002775FA"/>
    <w:rsid w:val="00277788"/>
    <w:rsid w:val="002778E3"/>
    <w:rsid w:val="00277A97"/>
    <w:rsid w:val="00277B71"/>
    <w:rsid w:val="00277DE6"/>
    <w:rsid w:val="00277E58"/>
    <w:rsid w:val="00280121"/>
    <w:rsid w:val="00280276"/>
    <w:rsid w:val="002803D1"/>
    <w:rsid w:val="00280631"/>
    <w:rsid w:val="0028080F"/>
    <w:rsid w:val="00280835"/>
    <w:rsid w:val="0028085E"/>
    <w:rsid w:val="002808E2"/>
    <w:rsid w:val="00280ACF"/>
    <w:rsid w:val="00280BD7"/>
    <w:rsid w:val="00280C16"/>
    <w:rsid w:val="00280D49"/>
    <w:rsid w:val="00280E37"/>
    <w:rsid w:val="00280E5B"/>
    <w:rsid w:val="00281037"/>
    <w:rsid w:val="00281067"/>
    <w:rsid w:val="002810D5"/>
    <w:rsid w:val="0028129A"/>
    <w:rsid w:val="002815FB"/>
    <w:rsid w:val="002817E8"/>
    <w:rsid w:val="00281AAD"/>
    <w:rsid w:val="00281CEA"/>
    <w:rsid w:val="00281FC9"/>
    <w:rsid w:val="00282005"/>
    <w:rsid w:val="00282012"/>
    <w:rsid w:val="00282248"/>
    <w:rsid w:val="00282294"/>
    <w:rsid w:val="002826BB"/>
    <w:rsid w:val="002827E3"/>
    <w:rsid w:val="002829FC"/>
    <w:rsid w:val="00282BD4"/>
    <w:rsid w:val="00282BEB"/>
    <w:rsid w:val="00282C34"/>
    <w:rsid w:val="00282DF4"/>
    <w:rsid w:val="00283203"/>
    <w:rsid w:val="0028326B"/>
    <w:rsid w:val="002833B9"/>
    <w:rsid w:val="00283452"/>
    <w:rsid w:val="002836C5"/>
    <w:rsid w:val="00283905"/>
    <w:rsid w:val="002839A4"/>
    <w:rsid w:val="00283ACA"/>
    <w:rsid w:val="00283D21"/>
    <w:rsid w:val="00283D90"/>
    <w:rsid w:val="002840F4"/>
    <w:rsid w:val="00284193"/>
    <w:rsid w:val="0028424B"/>
    <w:rsid w:val="0028433E"/>
    <w:rsid w:val="002844FA"/>
    <w:rsid w:val="00284531"/>
    <w:rsid w:val="00284551"/>
    <w:rsid w:val="00284CBA"/>
    <w:rsid w:val="00284CD4"/>
    <w:rsid w:val="0028504B"/>
    <w:rsid w:val="00285068"/>
    <w:rsid w:val="00285173"/>
    <w:rsid w:val="00285365"/>
    <w:rsid w:val="002853C5"/>
    <w:rsid w:val="00285490"/>
    <w:rsid w:val="00285A01"/>
    <w:rsid w:val="00285ABF"/>
    <w:rsid w:val="00285BAE"/>
    <w:rsid w:val="00285BC3"/>
    <w:rsid w:val="00285D15"/>
    <w:rsid w:val="00285F4E"/>
    <w:rsid w:val="00285F67"/>
    <w:rsid w:val="0028617C"/>
    <w:rsid w:val="0028689A"/>
    <w:rsid w:val="002869DC"/>
    <w:rsid w:val="00286CE8"/>
    <w:rsid w:val="00286EED"/>
    <w:rsid w:val="00287004"/>
    <w:rsid w:val="00287034"/>
    <w:rsid w:val="002871BD"/>
    <w:rsid w:val="0028721B"/>
    <w:rsid w:val="0028726E"/>
    <w:rsid w:val="00287300"/>
    <w:rsid w:val="0028745B"/>
    <w:rsid w:val="002874FE"/>
    <w:rsid w:val="002877D4"/>
    <w:rsid w:val="00287A98"/>
    <w:rsid w:val="00287CB6"/>
    <w:rsid w:val="00287F39"/>
    <w:rsid w:val="00290117"/>
    <w:rsid w:val="00290161"/>
    <w:rsid w:val="00290314"/>
    <w:rsid w:val="00290473"/>
    <w:rsid w:val="002904DD"/>
    <w:rsid w:val="002905B0"/>
    <w:rsid w:val="002907F5"/>
    <w:rsid w:val="00290948"/>
    <w:rsid w:val="00290A77"/>
    <w:rsid w:val="00290CAA"/>
    <w:rsid w:val="00290EBD"/>
    <w:rsid w:val="00291164"/>
    <w:rsid w:val="002911DE"/>
    <w:rsid w:val="002912E1"/>
    <w:rsid w:val="00291402"/>
    <w:rsid w:val="0029167F"/>
    <w:rsid w:val="00291686"/>
    <w:rsid w:val="00291770"/>
    <w:rsid w:val="00291928"/>
    <w:rsid w:val="002919C7"/>
    <w:rsid w:val="00291A68"/>
    <w:rsid w:val="00291E80"/>
    <w:rsid w:val="00291F81"/>
    <w:rsid w:val="002921BA"/>
    <w:rsid w:val="00292461"/>
    <w:rsid w:val="002924A1"/>
    <w:rsid w:val="00292583"/>
    <w:rsid w:val="002925EA"/>
    <w:rsid w:val="00292644"/>
    <w:rsid w:val="002926AE"/>
    <w:rsid w:val="002927EE"/>
    <w:rsid w:val="002929FF"/>
    <w:rsid w:val="00292C59"/>
    <w:rsid w:val="00292CA2"/>
    <w:rsid w:val="00292EB9"/>
    <w:rsid w:val="00292EBF"/>
    <w:rsid w:val="0029350F"/>
    <w:rsid w:val="0029365A"/>
    <w:rsid w:val="002937D0"/>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FC"/>
    <w:rsid w:val="00295548"/>
    <w:rsid w:val="002955E2"/>
    <w:rsid w:val="002956C1"/>
    <w:rsid w:val="0029572F"/>
    <w:rsid w:val="002958B2"/>
    <w:rsid w:val="00295918"/>
    <w:rsid w:val="002959CE"/>
    <w:rsid w:val="00295B37"/>
    <w:rsid w:val="00295CEC"/>
    <w:rsid w:val="00295D44"/>
    <w:rsid w:val="00295D72"/>
    <w:rsid w:val="00295D7C"/>
    <w:rsid w:val="002960AB"/>
    <w:rsid w:val="00296487"/>
    <w:rsid w:val="002967CA"/>
    <w:rsid w:val="002968AF"/>
    <w:rsid w:val="002969C0"/>
    <w:rsid w:val="002969F9"/>
    <w:rsid w:val="00296B43"/>
    <w:rsid w:val="00296CFE"/>
    <w:rsid w:val="00296E4D"/>
    <w:rsid w:val="00296EA9"/>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E13"/>
    <w:rsid w:val="002A0F09"/>
    <w:rsid w:val="002A0FA4"/>
    <w:rsid w:val="002A114B"/>
    <w:rsid w:val="002A1189"/>
    <w:rsid w:val="002A120F"/>
    <w:rsid w:val="002A1281"/>
    <w:rsid w:val="002A1498"/>
    <w:rsid w:val="002A163C"/>
    <w:rsid w:val="002A17EC"/>
    <w:rsid w:val="002A199E"/>
    <w:rsid w:val="002A1B0F"/>
    <w:rsid w:val="002A1B36"/>
    <w:rsid w:val="002A1EBF"/>
    <w:rsid w:val="002A2058"/>
    <w:rsid w:val="002A2093"/>
    <w:rsid w:val="002A216E"/>
    <w:rsid w:val="002A249B"/>
    <w:rsid w:val="002A254F"/>
    <w:rsid w:val="002A2754"/>
    <w:rsid w:val="002A2A69"/>
    <w:rsid w:val="002A3063"/>
    <w:rsid w:val="002A309C"/>
    <w:rsid w:val="002A32B7"/>
    <w:rsid w:val="002A3350"/>
    <w:rsid w:val="002A3365"/>
    <w:rsid w:val="002A3802"/>
    <w:rsid w:val="002A3C71"/>
    <w:rsid w:val="002A3D7B"/>
    <w:rsid w:val="002A3E59"/>
    <w:rsid w:val="002A4006"/>
    <w:rsid w:val="002A4152"/>
    <w:rsid w:val="002A4208"/>
    <w:rsid w:val="002A43BA"/>
    <w:rsid w:val="002A44DE"/>
    <w:rsid w:val="002A455F"/>
    <w:rsid w:val="002A464E"/>
    <w:rsid w:val="002A4B19"/>
    <w:rsid w:val="002A4CED"/>
    <w:rsid w:val="002A4DE7"/>
    <w:rsid w:val="002A4E28"/>
    <w:rsid w:val="002A4EB9"/>
    <w:rsid w:val="002A4F2E"/>
    <w:rsid w:val="002A5086"/>
    <w:rsid w:val="002A5774"/>
    <w:rsid w:val="002A581A"/>
    <w:rsid w:val="002A58C2"/>
    <w:rsid w:val="002A5ACE"/>
    <w:rsid w:val="002A5C8F"/>
    <w:rsid w:val="002A5CA0"/>
    <w:rsid w:val="002A5D39"/>
    <w:rsid w:val="002A5D72"/>
    <w:rsid w:val="002A5F2D"/>
    <w:rsid w:val="002A6026"/>
    <w:rsid w:val="002A61B3"/>
    <w:rsid w:val="002A6277"/>
    <w:rsid w:val="002A63B7"/>
    <w:rsid w:val="002A6456"/>
    <w:rsid w:val="002A64F9"/>
    <w:rsid w:val="002A6708"/>
    <w:rsid w:val="002A67D5"/>
    <w:rsid w:val="002A68D5"/>
    <w:rsid w:val="002A6D9A"/>
    <w:rsid w:val="002A6EC2"/>
    <w:rsid w:val="002A6F45"/>
    <w:rsid w:val="002A6F85"/>
    <w:rsid w:val="002A70D0"/>
    <w:rsid w:val="002A739A"/>
    <w:rsid w:val="002A77BE"/>
    <w:rsid w:val="002A78AD"/>
    <w:rsid w:val="002A78AF"/>
    <w:rsid w:val="002A7B3F"/>
    <w:rsid w:val="002A7BC6"/>
    <w:rsid w:val="002A7C6E"/>
    <w:rsid w:val="002A7D16"/>
    <w:rsid w:val="002A7D49"/>
    <w:rsid w:val="002A7FF8"/>
    <w:rsid w:val="002B0756"/>
    <w:rsid w:val="002B07A3"/>
    <w:rsid w:val="002B085D"/>
    <w:rsid w:val="002B08A0"/>
    <w:rsid w:val="002B08F9"/>
    <w:rsid w:val="002B0A79"/>
    <w:rsid w:val="002B0B43"/>
    <w:rsid w:val="002B0E14"/>
    <w:rsid w:val="002B0E1A"/>
    <w:rsid w:val="002B1050"/>
    <w:rsid w:val="002B1133"/>
    <w:rsid w:val="002B122E"/>
    <w:rsid w:val="002B1272"/>
    <w:rsid w:val="002B143D"/>
    <w:rsid w:val="002B14E7"/>
    <w:rsid w:val="002B1536"/>
    <w:rsid w:val="002B159D"/>
    <w:rsid w:val="002B15AA"/>
    <w:rsid w:val="002B16DE"/>
    <w:rsid w:val="002B17C9"/>
    <w:rsid w:val="002B1827"/>
    <w:rsid w:val="002B1952"/>
    <w:rsid w:val="002B19D8"/>
    <w:rsid w:val="002B1A89"/>
    <w:rsid w:val="002B1F86"/>
    <w:rsid w:val="002B1F98"/>
    <w:rsid w:val="002B20E4"/>
    <w:rsid w:val="002B2202"/>
    <w:rsid w:val="002B2248"/>
    <w:rsid w:val="002B22CE"/>
    <w:rsid w:val="002B236E"/>
    <w:rsid w:val="002B239B"/>
    <w:rsid w:val="002B2641"/>
    <w:rsid w:val="002B26A6"/>
    <w:rsid w:val="002B26D8"/>
    <w:rsid w:val="002B2ACE"/>
    <w:rsid w:val="002B2C0B"/>
    <w:rsid w:val="002B2D4C"/>
    <w:rsid w:val="002B2F75"/>
    <w:rsid w:val="002B2F81"/>
    <w:rsid w:val="002B307D"/>
    <w:rsid w:val="002B310B"/>
    <w:rsid w:val="002B3168"/>
    <w:rsid w:val="002B3366"/>
    <w:rsid w:val="002B3371"/>
    <w:rsid w:val="002B348B"/>
    <w:rsid w:val="002B358D"/>
    <w:rsid w:val="002B3773"/>
    <w:rsid w:val="002B3947"/>
    <w:rsid w:val="002B398D"/>
    <w:rsid w:val="002B3D33"/>
    <w:rsid w:val="002B3D42"/>
    <w:rsid w:val="002B3DD9"/>
    <w:rsid w:val="002B3E80"/>
    <w:rsid w:val="002B3EE5"/>
    <w:rsid w:val="002B4223"/>
    <w:rsid w:val="002B43F8"/>
    <w:rsid w:val="002B44E5"/>
    <w:rsid w:val="002B4627"/>
    <w:rsid w:val="002B462B"/>
    <w:rsid w:val="002B4665"/>
    <w:rsid w:val="002B47BD"/>
    <w:rsid w:val="002B4870"/>
    <w:rsid w:val="002B4962"/>
    <w:rsid w:val="002B4963"/>
    <w:rsid w:val="002B4D2D"/>
    <w:rsid w:val="002B4F67"/>
    <w:rsid w:val="002B4F6E"/>
    <w:rsid w:val="002B50DA"/>
    <w:rsid w:val="002B5398"/>
    <w:rsid w:val="002B5595"/>
    <w:rsid w:val="002B56D9"/>
    <w:rsid w:val="002B59C7"/>
    <w:rsid w:val="002B5BE5"/>
    <w:rsid w:val="002B5D08"/>
    <w:rsid w:val="002B5D4C"/>
    <w:rsid w:val="002B5D93"/>
    <w:rsid w:val="002B5EB1"/>
    <w:rsid w:val="002B5F22"/>
    <w:rsid w:val="002B5F26"/>
    <w:rsid w:val="002B6070"/>
    <w:rsid w:val="002B6074"/>
    <w:rsid w:val="002B64EE"/>
    <w:rsid w:val="002B6530"/>
    <w:rsid w:val="002B66E5"/>
    <w:rsid w:val="002B6A8C"/>
    <w:rsid w:val="002B6CA5"/>
    <w:rsid w:val="002B7006"/>
    <w:rsid w:val="002B7046"/>
    <w:rsid w:val="002B7067"/>
    <w:rsid w:val="002B7247"/>
    <w:rsid w:val="002B729B"/>
    <w:rsid w:val="002B7508"/>
    <w:rsid w:val="002B7629"/>
    <w:rsid w:val="002B7641"/>
    <w:rsid w:val="002B76B5"/>
    <w:rsid w:val="002B7817"/>
    <w:rsid w:val="002B78B6"/>
    <w:rsid w:val="002B7F59"/>
    <w:rsid w:val="002C0140"/>
    <w:rsid w:val="002C023C"/>
    <w:rsid w:val="002C03C7"/>
    <w:rsid w:val="002C04E4"/>
    <w:rsid w:val="002C0599"/>
    <w:rsid w:val="002C06E6"/>
    <w:rsid w:val="002C092D"/>
    <w:rsid w:val="002C0AAF"/>
    <w:rsid w:val="002C0AD6"/>
    <w:rsid w:val="002C0B6E"/>
    <w:rsid w:val="002C0C00"/>
    <w:rsid w:val="002C0D7B"/>
    <w:rsid w:val="002C10D5"/>
    <w:rsid w:val="002C1168"/>
    <w:rsid w:val="002C1276"/>
    <w:rsid w:val="002C1280"/>
    <w:rsid w:val="002C150D"/>
    <w:rsid w:val="002C19ED"/>
    <w:rsid w:val="002C1BEA"/>
    <w:rsid w:val="002C1C5F"/>
    <w:rsid w:val="002C1DCA"/>
    <w:rsid w:val="002C1E49"/>
    <w:rsid w:val="002C2212"/>
    <w:rsid w:val="002C251D"/>
    <w:rsid w:val="002C2548"/>
    <w:rsid w:val="002C2675"/>
    <w:rsid w:val="002C27DD"/>
    <w:rsid w:val="002C283E"/>
    <w:rsid w:val="002C2881"/>
    <w:rsid w:val="002C297A"/>
    <w:rsid w:val="002C2EB3"/>
    <w:rsid w:val="002C2F26"/>
    <w:rsid w:val="002C2FC0"/>
    <w:rsid w:val="002C30CE"/>
    <w:rsid w:val="002C3190"/>
    <w:rsid w:val="002C334E"/>
    <w:rsid w:val="002C3C4F"/>
    <w:rsid w:val="002C3D05"/>
    <w:rsid w:val="002C434E"/>
    <w:rsid w:val="002C45DE"/>
    <w:rsid w:val="002C4697"/>
    <w:rsid w:val="002C4C66"/>
    <w:rsid w:val="002C4C83"/>
    <w:rsid w:val="002C4D74"/>
    <w:rsid w:val="002C4E1D"/>
    <w:rsid w:val="002C4E2E"/>
    <w:rsid w:val="002C4EC5"/>
    <w:rsid w:val="002C546F"/>
    <w:rsid w:val="002C5524"/>
    <w:rsid w:val="002C552F"/>
    <w:rsid w:val="002C5697"/>
    <w:rsid w:val="002C5908"/>
    <w:rsid w:val="002C5923"/>
    <w:rsid w:val="002C59D2"/>
    <w:rsid w:val="002C5EC1"/>
    <w:rsid w:val="002C5EE3"/>
    <w:rsid w:val="002C5EFD"/>
    <w:rsid w:val="002C6280"/>
    <w:rsid w:val="002C6305"/>
    <w:rsid w:val="002C6412"/>
    <w:rsid w:val="002C64F1"/>
    <w:rsid w:val="002C6648"/>
    <w:rsid w:val="002C681F"/>
    <w:rsid w:val="002C6990"/>
    <w:rsid w:val="002C69EC"/>
    <w:rsid w:val="002C6C49"/>
    <w:rsid w:val="002C6DD9"/>
    <w:rsid w:val="002C6EAD"/>
    <w:rsid w:val="002C6FC5"/>
    <w:rsid w:val="002C70F0"/>
    <w:rsid w:val="002C7266"/>
    <w:rsid w:val="002C75B6"/>
    <w:rsid w:val="002C7736"/>
    <w:rsid w:val="002C7B01"/>
    <w:rsid w:val="002C7B3F"/>
    <w:rsid w:val="002C7BBB"/>
    <w:rsid w:val="002C7C16"/>
    <w:rsid w:val="002C7D96"/>
    <w:rsid w:val="002C7ED7"/>
    <w:rsid w:val="002C7F13"/>
    <w:rsid w:val="002C7F5C"/>
    <w:rsid w:val="002D0043"/>
    <w:rsid w:val="002D0055"/>
    <w:rsid w:val="002D009E"/>
    <w:rsid w:val="002D0164"/>
    <w:rsid w:val="002D02C9"/>
    <w:rsid w:val="002D06A7"/>
    <w:rsid w:val="002D06F9"/>
    <w:rsid w:val="002D076D"/>
    <w:rsid w:val="002D096D"/>
    <w:rsid w:val="002D0AC6"/>
    <w:rsid w:val="002D0C6B"/>
    <w:rsid w:val="002D0D22"/>
    <w:rsid w:val="002D106C"/>
    <w:rsid w:val="002D14C9"/>
    <w:rsid w:val="002D14CF"/>
    <w:rsid w:val="002D17BC"/>
    <w:rsid w:val="002D196B"/>
    <w:rsid w:val="002D19C4"/>
    <w:rsid w:val="002D1A38"/>
    <w:rsid w:val="002D1F3D"/>
    <w:rsid w:val="002D201C"/>
    <w:rsid w:val="002D2095"/>
    <w:rsid w:val="002D214F"/>
    <w:rsid w:val="002D2256"/>
    <w:rsid w:val="002D24AC"/>
    <w:rsid w:val="002D26AE"/>
    <w:rsid w:val="002D2717"/>
    <w:rsid w:val="002D2A8B"/>
    <w:rsid w:val="002D2B6A"/>
    <w:rsid w:val="002D2CA6"/>
    <w:rsid w:val="002D2DC9"/>
    <w:rsid w:val="002D2DFE"/>
    <w:rsid w:val="002D2E53"/>
    <w:rsid w:val="002D305D"/>
    <w:rsid w:val="002D3144"/>
    <w:rsid w:val="002D34C9"/>
    <w:rsid w:val="002D3500"/>
    <w:rsid w:val="002D3947"/>
    <w:rsid w:val="002D3987"/>
    <w:rsid w:val="002D3A6C"/>
    <w:rsid w:val="002D3CD5"/>
    <w:rsid w:val="002D3D20"/>
    <w:rsid w:val="002D3E6B"/>
    <w:rsid w:val="002D425F"/>
    <w:rsid w:val="002D4261"/>
    <w:rsid w:val="002D44B5"/>
    <w:rsid w:val="002D47F1"/>
    <w:rsid w:val="002D4814"/>
    <w:rsid w:val="002D4880"/>
    <w:rsid w:val="002D48F0"/>
    <w:rsid w:val="002D4935"/>
    <w:rsid w:val="002D4A3F"/>
    <w:rsid w:val="002D4B33"/>
    <w:rsid w:val="002D4BA5"/>
    <w:rsid w:val="002D4BAC"/>
    <w:rsid w:val="002D4C27"/>
    <w:rsid w:val="002D4C79"/>
    <w:rsid w:val="002D4D47"/>
    <w:rsid w:val="002D4D5A"/>
    <w:rsid w:val="002D4ECA"/>
    <w:rsid w:val="002D5084"/>
    <w:rsid w:val="002D509C"/>
    <w:rsid w:val="002D51AE"/>
    <w:rsid w:val="002D560C"/>
    <w:rsid w:val="002D57C1"/>
    <w:rsid w:val="002D59CB"/>
    <w:rsid w:val="002D5ABA"/>
    <w:rsid w:val="002D5CB4"/>
    <w:rsid w:val="002D5F22"/>
    <w:rsid w:val="002D5F3A"/>
    <w:rsid w:val="002D5F79"/>
    <w:rsid w:val="002D624E"/>
    <w:rsid w:val="002D64F3"/>
    <w:rsid w:val="002D65F2"/>
    <w:rsid w:val="002D6A60"/>
    <w:rsid w:val="002D6F74"/>
    <w:rsid w:val="002D71CA"/>
    <w:rsid w:val="002D7440"/>
    <w:rsid w:val="002D7576"/>
    <w:rsid w:val="002D75B1"/>
    <w:rsid w:val="002D77F7"/>
    <w:rsid w:val="002D7A9F"/>
    <w:rsid w:val="002D7E0E"/>
    <w:rsid w:val="002D7E54"/>
    <w:rsid w:val="002D7EDB"/>
    <w:rsid w:val="002D7F48"/>
    <w:rsid w:val="002E01B2"/>
    <w:rsid w:val="002E01FB"/>
    <w:rsid w:val="002E032E"/>
    <w:rsid w:val="002E0432"/>
    <w:rsid w:val="002E0481"/>
    <w:rsid w:val="002E0690"/>
    <w:rsid w:val="002E07ED"/>
    <w:rsid w:val="002E0A8D"/>
    <w:rsid w:val="002E0E02"/>
    <w:rsid w:val="002E0E47"/>
    <w:rsid w:val="002E0F18"/>
    <w:rsid w:val="002E10AF"/>
    <w:rsid w:val="002E10CB"/>
    <w:rsid w:val="002E145F"/>
    <w:rsid w:val="002E14E7"/>
    <w:rsid w:val="002E15EE"/>
    <w:rsid w:val="002E17BE"/>
    <w:rsid w:val="002E188C"/>
    <w:rsid w:val="002E1890"/>
    <w:rsid w:val="002E1A63"/>
    <w:rsid w:val="002E1B7B"/>
    <w:rsid w:val="002E1C07"/>
    <w:rsid w:val="002E1F58"/>
    <w:rsid w:val="002E24DB"/>
    <w:rsid w:val="002E25FF"/>
    <w:rsid w:val="002E2671"/>
    <w:rsid w:val="002E295C"/>
    <w:rsid w:val="002E2DEC"/>
    <w:rsid w:val="002E2E79"/>
    <w:rsid w:val="002E32C2"/>
    <w:rsid w:val="002E3411"/>
    <w:rsid w:val="002E37D2"/>
    <w:rsid w:val="002E3A30"/>
    <w:rsid w:val="002E3AA8"/>
    <w:rsid w:val="002E3D73"/>
    <w:rsid w:val="002E3E45"/>
    <w:rsid w:val="002E3F15"/>
    <w:rsid w:val="002E4769"/>
    <w:rsid w:val="002E47BC"/>
    <w:rsid w:val="002E4856"/>
    <w:rsid w:val="002E48DF"/>
    <w:rsid w:val="002E4B1F"/>
    <w:rsid w:val="002E4C7E"/>
    <w:rsid w:val="002E4D0B"/>
    <w:rsid w:val="002E4E5C"/>
    <w:rsid w:val="002E5115"/>
    <w:rsid w:val="002E5208"/>
    <w:rsid w:val="002E5298"/>
    <w:rsid w:val="002E5343"/>
    <w:rsid w:val="002E546D"/>
    <w:rsid w:val="002E582C"/>
    <w:rsid w:val="002E5BB2"/>
    <w:rsid w:val="002E5C64"/>
    <w:rsid w:val="002E5CCE"/>
    <w:rsid w:val="002E5D46"/>
    <w:rsid w:val="002E5D9E"/>
    <w:rsid w:val="002E5E26"/>
    <w:rsid w:val="002E5FA1"/>
    <w:rsid w:val="002E6053"/>
    <w:rsid w:val="002E60A4"/>
    <w:rsid w:val="002E65F3"/>
    <w:rsid w:val="002E664D"/>
    <w:rsid w:val="002E676A"/>
    <w:rsid w:val="002E6957"/>
    <w:rsid w:val="002E6B7E"/>
    <w:rsid w:val="002E6E6A"/>
    <w:rsid w:val="002E7031"/>
    <w:rsid w:val="002E703C"/>
    <w:rsid w:val="002E705B"/>
    <w:rsid w:val="002E7225"/>
    <w:rsid w:val="002E7470"/>
    <w:rsid w:val="002E75DD"/>
    <w:rsid w:val="002E76E6"/>
    <w:rsid w:val="002E76FA"/>
    <w:rsid w:val="002E7A5E"/>
    <w:rsid w:val="002E7A7B"/>
    <w:rsid w:val="002E7C17"/>
    <w:rsid w:val="002E7CB3"/>
    <w:rsid w:val="002F05E4"/>
    <w:rsid w:val="002F06A8"/>
    <w:rsid w:val="002F06BE"/>
    <w:rsid w:val="002F070F"/>
    <w:rsid w:val="002F079F"/>
    <w:rsid w:val="002F0887"/>
    <w:rsid w:val="002F08BD"/>
    <w:rsid w:val="002F0A07"/>
    <w:rsid w:val="002F0CEE"/>
    <w:rsid w:val="002F0DAA"/>
    <w:rsid w:val="002F0E50"/>
    <w:rsid w:val="002F0E75"/>
    <w:rsid w:val="002F0FB2"/>
    <w:rsid w:val="002F12B5"/>
    <w:rsid w:val="002F12F2"/>
    <w:rsid w:val="002F14A9"/>
    <w:rsid w:val="002F15C1"/>
    <w:rsid w:val="002F15F2"/>
    <w:rsid w:val="002F15F9"/>
    <w:rsid w:val="002F16AC"/>
    <w:rsid w:val="002F1883"/>
    <w:rsid w:val="002F1C68"/>
    <w:rsid w:val="002F1C95"/>
    <w:rsid w:val="002F1F76"/>
    <w:rsid w:val="002F21C5"/>
    <w:rsid w:val="002F22B2"/>
    <w:rsid w:val="002F24C6"/>
    <w:rsid w:val="002F2551"/>
    <w:rsid w:val="002F268C"/>
    <w:rsid w:val="002F2B94"/>
    <w:rsid w:val="002F2CD0"/>
    <w:rsid w:val="002F2CE9"/>
    <w:rsid w:val="002F2E9D"/>
    <w:rsid w:val="002F3075"/>
    <w:rsid w:val="002F31C0"/>
    <w:rsid w:val="002F3223"/>
    <w:rsid w:val="002F334D"/>
    <w:rsid w:val="002F345A"/>
    <w:rsid w:val="002F34C4"/>
    <w:rsid w:val="002F36FF"/>
    <w:rsid w:val="002F372D"/>
    <w:rsid w:val="002F3846"/>
    <w:rsid w:val="002F3B77"/>
    <w:rsid w:val="002F3BEF"/>
    <w:rsid w:val="002F3C24"/>
    <w:rsid w:val="002F44FF"/>
    <w:rsid w:val="002F4559"/>
    <w:rsid w:val="002F4624"/>
    <w:rsid w:val="002F4704"/>
    <w:rsid w:val="002F47E1"/>
    <w:rsid w:val="002F482E"/>
    <w:rsid w:val="002F4889"/>
    <w:rsid w:val="002F4C8D"/>
    <w:rsid w:val="002F4FCD"/>
    <w:rsid w:val="002F50C8"/>
    <w:rsid w:val="002F5146"/>
    <w:rsid w:val="002F5312"/>
    <w:rsid w:val="002F5464"/>
    <w:rsid w:val="002F559D"/>
    <w:rsid w:val="002F55B1"/>
    <w:rsid w:val="002F57C6"/>
    <w:rsid w:val="002F584D"/>
    <w:rsid w:val="002F58E6"/>
    <w:rsid w:val="002F5953"/>
    <w:rsid w:val="002F595E"/>
    <w:rsid w:val="002F59A8"/>
    <w:rsid w:val="002F5B3C"/>
    <w:rsid w:val="002F5CA1"/>
    <w:rsid w:val="002F641F"/>
    <w:rsid w:val="002F68BB"/>
    <w:rsid w:val="002F6A72"/>
    <w:rsid w:val="002F6AC8"/>
    <w:rsid w:val="002F6C3B"/>
    <w:rsid w:val="002F6C5C"/>
    <w:rsid w:val="002F6C9B"/>
    <w:rsid w:val="002F7095"/>
    <w:rsid w:val="002F7174"/>
    <w:rsid w:val="002F71F5"/>
    <w:rsid w:val="002F74DA"/>
    <w:rsid w:val="002F7580"/>
    <w:rsid w:val="002F7647"/>
    <w:rsid w:val="002F785A"/>
    <w:rsid w:val="002F7896"/>
    <w:rsid w:val="002F7976"/>
    <w:rsid w:val="002F7A04"/>
    <w:rsid w:val="002F7B26"/>
    <w:rsid w:val="002F7E29"/>
    <w:rsid w:val="002F7EF4"/>
    <w:rsid w:val="003002BB"/>
    <w:rsid w:val="00300428"/>
    <w:rsid w:val="003005CC"/>
    <w:rsid w:val="0030083C"/>
    <w:rsid w:val="0030088C"/>
    <w:rsid w:val="00300A67"/>
    <w:rsid w:val="00300B89"/>
    <w:rsid w:val="00300B90"/>
    <w:rsid w:val="00300C0A"/>
    <w:rsid w:val="00300CA3"/>
    <w:rsid w:val="00300DA0"/>
    <w:rsid w:val="00300E69"/>
    <w:rsid w:val="00300F2A"/>
    <w:rsid w:val="003010AE"/>
    <w:rsid w:val="0030117A"/>
    <w:rsid w:val="0030134A"/>
    <w:rsid w:val="00301479"/>
    <w:rsid w:val="00301740"/>
    <w:rsid w:val="003018C5"/>
    <w:rsid w:val="003018E9"/>
    <w:rsid w:val="00301955"/>
    <w:rsid w:val="00301B2F"/>
    <w:rsid w:val="00301C52"/>
    <w:rsid w:val="00301C55"/>
    <w:rsid w:val="00301F54"/>
    <w:rsid w:val="00302194"/>
    <w:rsid w:val="0030224D"/>
    <w:rsid w:val="00302389"/>
    <w:rsid w:val="00302540"/>
    <w:rsid w:val="0030260D"/>
    <w:rsid w:val="00302767"/>
    <w:rsid w:val="00302A67"/>
    <w:rsid w:val="00302B1A"/>
    <w:rsid w:val="00302B63"/>
    <w:rsid w:val="00302CEF"/>
    <w:rsid w:val="00302E02"/>
    <w:rsid w:val="00302E2C"/>
    <w:rsid w:val="00302FBD"/>
    <w:rsid w:val="0030302E"/>
    <w:rsid w:val="0030319C"/>
    <w:rsid w:val="003031E8"/>
    <w:rsid w:val="0030333E"/>
    <w:rsid w:val="003034B3"/>
    <w:rsid w:val="00303755"/>
    <w:rsid w:val="00303843"/>
    <w:rsid w:val="003038D8"/>
    <w:rsid w:val="003038E7"/>
    <w:rsid w:val="0030395F"/>
    <w:rsid w:val="00303D8C"/>
    <w:rsid w:val="003044A4"/>
    <w:rsid w:val="003044EF"/>
    <w:rsid w:val="00304567"/>
    <w:rsid w:val="00304650"/>
    <w:rsid w:val="0030478A"/>
    <w:rsid w:val="00304845"/>
    <w:rsid w:val="003048AE"/>
    <w:rsid w:val="003048DB"/>
    <w:rsid w:val="0030495A"/>
    <w:rsid w:val="003049E7"/>
    <w:rsid w:val="00304BD1"/>
    <w:rsid w:val="00304C8D"/>
    <w:rsid w:val="00304D87"/>
    <w:rsid w:val="00304F7B"/>
    <w:rsid w:val="00305192"/>
    <w:rsid w:val="003051FB"/>
    <w:rsid w:val="0030522F"/>
    <w:rsid w:val="003052A0"/>
    <w:rsid w:val="00305395"/>
    <w:rsid w:val="00305458"/>
    <w:rsid w:val="00305638"/>
    <w:rsid w:val="003056AC"/>
    <w:rsid w:val="003056F7"/>
    <w:rsid w:val="00305976"/>
    <w:rsid w:val="00305984"/>
    <w:rsid w:val="003059E7"/>
    <w:rsid w:val="00305A29"/>
    <w:rsid w:val="00305B6D"/>
    <w:rsid w:val="00305B9A"/>
    <w:rsid w:val="00305BA0"/>
    <w:rsid w:val="00305C58"/>
    <w:rsid w:val="00306544"/>
    <w:rsid w:val="00306572"/>
    <w:rsid w:val="003065DB"/>
    <w:rsid w:val="003065E7"/>
    <w:rsid w:val="00306662"/>
    <w:rsid w:val="0030672A"/>
    <w:rsid w:val="00306988"/>
    <w:rsid w:val="003069E2"/>
    <w:rsid w:val="00306B3C"/>
    <w:rsid w:val="00306CA5"/>
    <w:rsid w:val="00306D09"/>
    <w:rsid w:val="00306E42"/>
    <w:rsid w:val="00306E88"/>
    <w:rsid w:val="00306F9C"/>
    <w:rsid w:val="003070FC"/>
    <w:rsid w:val="0030723B"/>
    <w:rsid w:val="00307701"/>
    <w:rsid w:val="00307854"/>
    <w:rsid w:val="00307A8F"/>
    <w:rsid w:val="00307B42"/>
    <w:rsid w:val="00307BF9"/>
    <w:rsid w:val="00307CA4"/>
    <w:rsid w:val="00307D45"/>
    <w:rsid w:val="00307DE4"/>
    <w:rsid w:val="00307F05"/>
    <w:rsid w:val="00310025"/>
    <w:rsid w:val="003103D9"/>
    <w:rsid w:val="0031046A"/>
    <w:rsid w:val="003104C1"/>
    <w:rsid w:val="003104D8"/>
    <w:rsid w:val="00310604"/>
    <w:rsid w:val="00310AF3"/>
    <w:rsid w:val="00310B57"/>
    <w:rsid w:val="00310CB2"/>
    <w:rsid w:val="00310FA8"/>
    <w:rsid w:val="0031110D"/>
    <w:rsid w:val="003111C2"/>
    <w:rsid w:val="003111C4"/>
    <w:rsid w:val="00311299"/>
    <w:rsid w:val="003113BD"/>
    <w:rsid w:val="00311557"/>
    <w:rsid w:val="0031170C"/>
    <w:rsid w:val="0031171E"/>
    <w:rsid w:val="00311C73"/>
    <w:rsid w:val="00311D67"/>
    <w:rsid w:val="00311E55"/>
    <w:rsid w:val="00311EF1"/>
    <w:rsid w:val="00311FC6"/>
    <w:rsid w:val="00312058"/>
    <w:rsid w:val="003123C5"/>
    <w:rsid w:val="00312551"/>
    <w:rsid w:val="003127AE"/>
    <w:rsid w:val="00312869"/>
    <w:rsid w:val="003128E9"/>
    <w:rsid w:val="0031291D"/>
    <w:rsid w:val="00312AEA"/>
    <w:rsid w:val="00312AED"/>
    <w:rsid w:val="00312C9B"/>
    <w:rsid w:val="0031327F"/>
    <w:rsid w:val="00313291"/>
    <w:rsid w:val="0031334D"/>
    <w:rsid w:val="0031367C"/>
    <w:rsid w:val="003138C3"/>
    <w:rsid w:val="003139DD"/>
    <w:rsid w:val="00313F0B"/>
    <w:rsid w:val="00314174"/>
    <w:rsid w:val="0031442E"/>
    <w:rsid w:val="0031460C"/>
    <w:rsid w:val="003146BD"/>
    <w:rsid w:val="00314911"/>
    <w:rsid w:val="00314AAF"/>
    <w:rsid w:val="00314B3C"/>
    <w:rsid w:val="00314D7B"/>
    <w:rsid w:val="00314FE1"/>
    <w:rsid w:val="00315158"/>
    <w:rsid w:val="00315E74"/>
    <w:rsid w:val="00316264"/>
    <w:rsid w:val="003163D1"/>
    <w:rsid w:val="003167AA"/>
    <w:rsid w:val="003167D3"/>
    <w:rsid w:val="0031680F"/>
    <w:rsid w:val="00316A46"/>
    <w:rsid w:val="00316A63"/>
    <w:rsid w:val="00316D2A"/>
    <w:rsid w:val="00316D7D"/>
    <w:rsid w:val="00316DA2"/>
    <w:rsid w:val="00316EC3"/>
    <w:rsid w:val="003170BD"/>
    <w:rsid w:val="0031714F"/>
    <w:rsid w:val="00317204"/>
    <w:rsid w:val="003172A0"/>
    <w:rsid w:val="003172E6"/>
    <w:rsid w:val="00317430"/>
    <w:rsid w:val="00317469"/>
    <w:rsid w:val="0031768F"/>
    <w:rsid w:val="003176A2"/>
    <w:rsid w:val="00317AF5"/>
    <w:rsid w:val="00317C8F"/>
    <w:rsid w:val="00317E70"/>
    <w:rsid w:val="00317F14"/>
    <w:rsid w:val="00317F22"/>
    <w:rsid w:val="00317F42"/>
    <w:rsid w:val="00317F52"/>
    <w:rsid w:val="00317F5C"/>
    <w:rsid w:val="00317FC1"/>
    <w:rsid w:val="00320065"/>
    <w:rsid w:val="003200DB"/>
    <w:rsid w:val="003200F2"/>
    <w:rsid w:val="003203AF"/>
    <w:rsid w:val="00320594"/>
    <w:rsid w:val="0032059E"/>
    <w:rsid w:val="003208F1"/>
    <w:rsid w:val="0032092F"/>
    <w:rsid w:val="00320955"/>
    <w:rsid w:val="00320959"/>
    <w:rsid w:val="00320962"/>
    <w:rsid w:val="00320B42"/>
    <w:rsid w:val="00320E20"/>
    <w:rsid w:val="00320EB4"/>
    <w:rsid w:val="00321050"/>
    <w:rsid w:val="0032139B"/>
    <w:rsid w:val="00321481"/>
    <w:rsid w:val="003214D7"/>
    <w:rsid w:val="00321777"/>
    <w:rsid w:val="00321E9D"/>
    <w:rsid w:val="003220B9"/>
    <w:rsid w:val="003222B4"/>
    <w:rsid w:val="003223E5"/>
    <w:rsid w:val="00322674"/>
    <w:rsid w:val="003228A8"/>
    <w:rsid w:val="003228D7"/>
    <w:rsid w:val="00322923"/>
    <w:rsid w:val="003229C0"/>
    <w:rsid w:val="003229FE"/>
    <w:rsid w:val="00322D34"/>
    <w:rsid w:val="00322D71"/>
    <w:rsid w:val="00322E31"/>
    <w:rsid w:val="00323298"/>
    <w:rsid w:val="003234D1"/>
    <w:rsid w:val="0032369D"/>
    <w:rsid w:val="003237D0"/>
    <w:rsid w:val="003239E5"/>
    <w:rsid w:val="00323B02"/>
    <w:rsid w:val="00323C06"/>
    <w:rsid w:val="00323D85"/>
    <w:rsid w:val="00323E9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18"/>
    <w:rsid w:val="003250ED"/>
    <w:rsid w:val="003251D1"/>
    <w:rsid w:val="00325239"/>
    <w:rsid w:val="003252F9"/>
    <w:rsid w:val="003253D4"/>
    <w:rsid w:val="00325495"/>
    <w:rsid w:val="003257B2"/>
    <w:rsid w:val="0032583F"/>
    <w:rsid w:val="0032593B"/>
    <w:rsid w:val="00325E5C"/>
    <w:rsid w:val="00325F55"/>
    <w:rsid w:val="003261A8"/>
    <w:rsid w:val="00326367"/>
    <w:rsid w:val="003263E2"/>
    <w:rsid w:val="00326A12"/>
    <w:rsid w:val="00326B29"/>
    <w:rsid w:val="00326B59"/>
    <w:rsid w:val="00326BB8"/>
    <w:rsid w:val="00326C61"/>
    <w:rsid w:val="00326D6A"/>
    <w:rsid w:val="00327052"/>
    <w:rsid w:val="0032714B"/>
    <w:rsid w:val="003273D3"/>
    <w:rsid w:val="00327693"/>
    <w:rsid w:val="0032784D"/>
    <w:rsid w:val="00327CD1"/>
    <w:rsid w:val="00327D83"/>
    <w:rsid w:val="00327DF3"/>
    <w:rsid w:val="00327E5E"/>
    <w:rsid w:val="00327EA6"/>
    <w:rsid w:val="00327ECC"/>
    <w:rsid w:val="00327EEC"/>
    <w:rsid w:val="0033017E"/>
    <w:rsid w:val="003302F4"/>
    <w:rsid w:val="003302FE"/>
    <w:rsid w:val="003303E2"/>
    <w:rsid w:val="00330531"/>
    <w:rsid w:val="0033054C"/>
    <w:rsid w:val="00330566"/>
    <w:rsid w:val="0033065A"/>
    <w:rsid w:val="00330820"/>
    <w:rsid w:val="00330B24"/>
    <w:rsid w:val="00330CEE"/>
    <w:rsid w:val="00330D44"/>
    <w:rsid w:val="00330F92"/>
    <w:rsid w:val="00330FEE"/>
    <w:rsid w:val="0033106D"/>
    <w:rsid w:val="0033133E"/>
    <w:rsid w:val="00331572"/>
    <w:rsid w:val="003316DB"/>
    <w:rsid w:val="003317D5"/>
    <w:rsid w:val="00331B38"/>
    <w:rsid w:val="00331D3F"/>
    <w:rsid w:val="00331EC5"/>
    <w:rsid w:val="00331FE2"/>
    <w:rsid w:val="00332008"/>
    <w:rsid w:val="00332106"/>
    <w:rsid w:val="003323D8"/>
    <w:rsid w:val="00332548"/>
    <w:rsid w:val="003325D4"/>
    <w:rsid w:val="003329C0"/>
    <w:rsid w:val="00332A14"/>
    <w:rsid w:val="00332BCA"/>
    <w:rsid w:val="00333237"/>
    <w:rsid w:val="00333265"/>
    <w:rsid w:val="003332C3"/>
    <w:rsid w:val="00333572"/>
    <w:rsid w:val="00333753"/>
    <w:rsid w:val="00333999"/>
    <w:rsid w:val="003339EE"/>
    <w:rsid w:val="00333AA6"/>
    <w:rsid w:val="00333CA5"/>
    <w:rsid w:val="00333D4A"/>
    <w:rsid w:val="00333D87"/>
    <w:rsid w:val="00333EE9"/>
    <w:rsid w:val="0033410A"/>
    <w:rsid w:val="00334606"/>
    <w:rsid w:val="003348A5"/>
    <w:rsid w:val="00334BF1"/>
    <w:rsid w:val="00334DD8"/>
    <w:rsid w:val="00334E8D"/>
    <w:rsid w:val="00334EA9"/>
    <w:rsid w:val="003350A1"/>
    <w:rsid w:val="00335227"/>
    <w:rsid w:val="003352D3"/>
    <w:rsid w:val="00335322"/>
    <w:rsid w:val="003353D8"/>
    <w:rsid w:val="003355A0"/>
    <w:rsid w:val="00335857"/>
    <w:rsid w:val="00335A41"/>
    <w:rsid w:val="00335A55"/>
    <w:rsid w:val="00335BA6"/>
    <w:rsid w:val="00335C65"/>
    <w:rsid w:val="00336496"/>
    <w:rsid w:val="00336608"/>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01"/>
    <w:rsid w:val="00337B6A"/>
    <w:rsid w:val="00337D7A"/>
    <w:rsid w:val="00337DDF"/>
    <w:rsid w:val="00337DEE"/>
    <w:rsid w:val="00337DFC"/>
    <w:rsid w:val="00337E73"/>
    <w:rsid w:val="003400BF"/>
    <w:rsid w:val="00340114"/>
    <w:rsid w:val="003402D2"/>
    <w:rsid w:val="00340366"/>
    <w:rsid w:val="003406D4"/>
    <w:rsid w:val="00340A44"/>
    <w:rsid w:val="00340A46"/>
    <w:rsid w:val="00340A9E"/>
    <w:rsid w:val="00340B71"/>
    <w:rsid w:val="00340BA1"/>
    <w:rsid w:val="00340C89"/>
    <w:rsid w:val="00340CDB"/>
    <w:rsid w:val="00340EDA"/>
    <w:rsid w:val="00341204"/>
    <w:rsid w:val="00341424"/>
    <w:rsid w:val="003419FD"/>
    <w:rsid w:val="00341A03"/>
    <w:rsid w:val="00341B64"/>
    <w:rsid w:val="00341C1E"/>
    <w:rsid w:val="00341CF3"/>
    <w:rsid w:val="00341CFD"/>
    <w:rsid w:val="00341D36"/>
    <w:rsid w:val="00341EC7"/>
    <w:rsid w:val="00341F5D"/>
    <w:rsid w:val="00342465"/>
    <w:rsid w:val="00342554"/>
    <w:rsid w:val="00342721"/>
    <w:rsid w:val="00342828"/>
    <w:rsid w:val="00342880"/>
    <w:rsid w:val="00342988"/>
    <w:rsid w:val="003429FC"/>
    <w:rsid w:val="00342B2D"/>
    <w:rsid w:val="00342B79"/>
    <w:rsid w:val="00342CB8"/>
    <w:rsid w:val="003430B3"/>
    <w:rsid w:val="003431AC"/>
    <w:rsid w:val="00343298"/>
    <w:rsid w:val="00343313"/>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AE9"/>
    <w:rsid w:val="00344C0F"/>
    <w:rsid w:val="00344C56"/>
    <w:rsid w:val="00344D2E"/>
    <w:rsid w:val="00344D54"/>
    <w:rsid w:val="00344E3F"/>
    <w:rsid w:val="00344FB9"/>
    <w:rsid w:val="003450D5"/>
    <w:rsid w:val="003451CC"/>
    <w:rsid w:val="003453B5"/>
    <w:rsid w:val="00345553"/>
    <w:rsid w:val="00345B38"/>
    <w:rsid w:val="00345C1B"/>
    <w:rsid w:val="00345DFE"/>
    <w:rsid w:val="00346047"/>
    <w:rsid w:val="003460B3"/>
    <w:rsid w:val="00346548"/>
    <w:rsid w:val="003465E5"/>
    <w:rsid w:val="003469A1"/>
    <w:rsid w:val="00346B09"/>
    <w:rsid w:val="00346E0C"/>
    <w:rsid w:val="00347236"/>
    <w:rsid w:val="00347389"/>
    <w:rsid w:val="003474D9"/>
    <w:rsid w:val="00347567"/>
    <w:rsid w:val="003475B9"/>
    <w:rsid w:val="00347770"/>
    <w:rsid w:val="00347A17"/>
    <w:rsid w:val="00347E60"/>
    <w:rsid w:val="003502E5"/>
    <w:rsid w:val="00350394"/>
    <w:rsid w:val="003503D2"/>
    <w:rsid w:val="00350424"/>
    <w:rsid w:val="003505D8"/>
    <w:rsid w:val="0035064F"/>
    <w:rsid w:val="00350A2E"/>
    <w:rsid w:val="00350A40"/>
    <w:rsid w:val="00350AF6"/>
    <w:rsid w:val="00350BC7"/>
    <w:rsid w:val="00350C8F"/>
    <w:rsid w:val="00350F2E"/>
    <w:rsid w:val="00350F35"/>
    <w:rsid w:val="00351114"/>
    <w:rsid w:val="00351144"/>
    <w:rsid w:val="003514B7"/>
    <w:rsid w:val="003514F9"/>
    <w:rsid w:val="0035150E"/>
    <w:rsid w:val="00351514"/>
    <w:rsid w:val="00351610"/>
    <w:rsid w:val="003516F0"/>
    <w:rsid w:val="0035178B"/>
    <w:rsid w:val="003519DA"/>
    <w:rsid w:val="00351E14"/>
    <w:rsid w:val="00351F12"/>
    <w:rsid w:val="00351F9D"/>
    <w:rsid w:val="00351FB7"/>
    <w:rsid w:val="0035207B"/>
    <w:rsid w:val="0035225C"/>
    <w:rsid w:val="003523AC"/>
    <w:rsid w:val="0035280B"/>
    <w:rsid w:val="00352964"/>
    <w:rsid w:val="00352A42"/>
    <w:rsid w:val="00352ACC"/>
    <w:rsid w:val="00352B8B"/>
    <w:rsid w:val="00352CB3"/>
    <w:rsid w:val="00352E86"/>
    <w:rsid w:val="00353149"/>
    <w:rsid w:val="003531FE"/>
    <w:rsid w:val="00353203"/>
    <w:rsid w:val="003533CC"/>
    <w:rsid w:val="00353724"/>
    <w:rsid w:val="00353A07"/>
    <w:rsid w:val="00353EAF"/>
    <w:rsid w:val="0035402C"/>
    <w:rsid w:val="00354090"/>
    <w:rsid w:val="0035411B"/>
    <w:rsid w:val="00354246"/>
    <w:rsid w:val="00354251"/>
    <w:rsid w:val="00354289"/>
    <w:rsid w:val="0035486E"/>
    <w:rsid w:val="00354A6C"/>
    <w:rsid w:val="00354E69"/>
    <w:rsid w:val="0035536F"/>
    <w:rsid w:val="003555C7"/>
    <w:rsid w:val="003555FF"/>
    <w:rsid w:val="0035594A"/>
    <w:rsid w:val="00355C64"/>
    <w:rsid w:val="00355DBD"/>
    <w:rsid w:val="00355E9E"/>
    <w:rsid w:val="0035638F"/>
    <w:rsid w:val="003565D2"/>
    <w:rsid w:val="00356734"/>
    <w:rsid w:val="0035678E"/>
    <w:rsid w:val="003567CE"/>
    <w:rsid w:val="00356875"/>
    <w:rsid w:val="00356935"/>
    <w:rsid w:val="00356980"/>
    <w:rsid w:val="00356AFF"/>
    <w:rsid w:val="00356E75"/>
    <w:rsid w:val="00356EDB"/>
    <w:rsid w:val="003570FB"/>
    <w:rsid w:val="003573A4"/>
    <w:rsid w:val="00357499"/>
    <w:rsid w:val="00357512"/>
    <w:rsid w:val="00357883"/>
    <w:rsid w:val="003578AF"/>
    <w:rsid w:val="00357AE0"/>
    <w:rsid w:val="00357CCB"/>
    <w:rsid w:val="00357E7C"/>
    <w:rsid w:val="0036009B"/>
    <w:rsid w:val="0036010B"/>
    <w:rsid w:val="0036013E"/>
    <w:rsid w:val="00360193"/>
    <w:rsid w:val="00360246"/>
    <w:rsid w:val="00360247"/>
    <w:rsid w:val="003602D7"/>
    <w:rsid w:val="003604CC"/>
    <w:rsid w:val="0036056D"/>
    <w:rsid w:val="00360D8D"/>
    <w:rsid w:val="00360E91"/>
    <w:rsid w:val="00360F74"/>
    <w:rsid w:val="00361230"/>
    <w:rsid w:val="003612CD"/>
    <w:rsid w:val="00361433"/>
    <w:rsid w:val="003614EA"/>
    <w:rsid w:val="0036163B"/>
    <w:rsid w:val="003616F4"/>
    <w:rsid w:val="00361787"/>
    <w:rsid w:val="00361821"/>
    <w:rsid w:val="00361B48"/>
    <w:rsid w:val="00361C83"/>
    <w:rsid w:val="00361D99"/>
    <w:rsid w:val="00361DF6"/>
    <w:rsid w:val="00361F7E"/>
    <w:rsid w:val="00362498"/>
    <w:rsid w:val="003625BB"/>
    <w:rsid w:val="00362C14"/>
    <w:rsid w:val="00362D8C"/>
    <w:rsid w:val="00362E10"/>
    <w:rsid w:val="003630CE"/>
    <w:rsid w:val="00363569"/>
    <w:rsid w:val="0036359D"/>
    <w:rsid w:val="00363639"/>
    <w:rsid w:val="00363676"/>
    <w:rsid w:val="00363769"/>
    <w:rsid w:val="00363899"/>
    <w:rsid w:val="003638AE"/>
    <w:rsid w:val="00363A0B"/>
    <w:rsid w:val="00363AB1"/>
    <w:rsid w:val="00363B74"/>
    <w:rsid w:val="00363DBE"/>
    <w:rsid w:val="00363E25"/>
    <w:rsid w:val="0036406B"/>
    <w:rsid w:val="003642D2"/>
    <w:rsid w:val="003647D6"/>
    <w:rsid w:val="003648E9"/>
    <w:rsid w:val="00364929"/>
    <w:rsid w:val="00364CB9"/>
    <w:rsid w:val="00364DF6"/>
    <w:rsid w:val="00364EBD"/>
    <w:rsid w:val="00364ED0"/>
    <w:rsid w:val="0036500D"/>
    <w:rsid w:val="0036503E"/>
    <w:rsid w:val="003651C5"/>
    <w:rsid w:val="003651DC"/>
    <w:rsid w:val="00365224"/>
    <w:rsid w:val="00365289"/>
    <w:rsid w:val="003652FA"/>
    <w:rsid w:val="00365317"/>
    <w:rsid w:val="0036533E"/>
    <w:rsid w:val="00365402"/>
    <w:rsid w:val="003654F8"/>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3E"/>
    <w:rsid w:val="0036779B"/>
    <w:rsid w:val="003677BB"/>
    <w:rsid w:val="003678A3"/>
    <w:rsid w:val="003679F3"/>
    <w:rsid w:val="00367BA9"/>
    <w:rsid w:val="00367DF8"/>
    <w:rsid w:val="00370093"/>
    <w:rsid w:val="003700EA"/>
    <w:rsid w:val="00370155"/>
    <w:rsid w:val="003702C3"/>
    <w:rsid w:val="0037038C"/>
    <w:rsid w:val="0037076D"/>
    <w:rsid w:val="00370967"/>
    <w:rsid w:val="00370BA0"/>
    <w:rsid w:val="00370BB6"/>
    <w:rsid w:val="00370BDD"/>
    <w:rsid w:val="00370F26"/>
    <w:rsid w:val="003711CC"/>
    <w:rsid w:val="00371233"/>
    <w:rsid w:val="003712CE"/>
    <w:rsid w:val="00371924"/>
    <w:rsid w:val="00371AF2"/>
    <w:rsid w:val="00371CA8"/>
    <w:rsid w:val="00371DDB"/>
    <w:rsid w:val="003721DE"/>
    <w:rsid w:val="00372365"/>
    <w:rsid w:val="00372765"/>
    <w:rsid w:val="003727C2"/>
    <w:rsid w:val="003728DB"/>
    <w:rsid w:val="003728F2"/>
    <w:rsid w:val="003728FC"/>
    <w:rsid w:val="003729C8"/>
    <w:rsid w:val="00372B28"/>
    <w:rsid w:val="00372C20"/>
    <w:rsid w:val="00372F99"/>
    <w:rsid w:val="00372FB4"/>
    <w:rsid w:val="003730E3"/>
    <w:rsid w:val="003730E4"/>
    <w:rsid w:val="003731D0"/>
    <w:rsid w:val="003731D2"/>
    <w:rsid w:val="0037345A"/>
    <w:rsid w:val="0037357C"/>
    <w:rsid w:val="003736BE"/>
    <w:rsid w:val="0037374E"/>
    <w:rsid w:val="00373891"/>
    <w:rsid w:val="003738FA"/>
    <w:rsid w:val="00373B7A"/>
    <w:rsid w:val="00373C40"/>
    <w:rsid w:val="00373DA4"/>
    <w:rsid w:val="00373E7F"/>
    <w:rsid w:val="00373EF0"/>
    <w:rsid w:val="00374053"/>
    <w:rsid w:val="003742F2"/>
    <w:rsid w:val="003743F4"/>
    <w:rsid w:val="0037457A"/>
    <w:rsid w:val="003745AD"/>
    <w:rsid w:val="0037493B"/>
    <w:rsid w:val="00374B42"/>
    <w:rsid w:val="00374D3D"/>
    <w:rsid w:val="00375001"/>
    <w:rsid w:val="003752C4"/>
    <w:rsid w:val="00375650"/>
    <w:rsid w:val="003757B2"/>
    <w:rsid w:val="003758C3"/>
    <w:rsid w:val="00375A67"/>
    <w:rsid w:val="00375EC5"/>
    <w:rsid w:val="0037600B"/>
    <w:rsid w:val="00376277"/>
    <w:rsid w:val="0037641A"/>
    <w:rsid w:val="00376625"/>
    <w:rsid w:val="003766FE"/>
    <w:rsid w:val="0037684C"/>
    <w:rsid w:val="00376B79"/>
    <w:rsid w:val="00376E5D"/>
    <w:rsid w:val="00376F32"/>
    <w:rsid w:val="00377175"/>
    <w:rsid w:val="003772FA"/>
    <w:rsid w:val="0037749C"/>
    <w:rsid w:val="00377639"/>
    <w:rsid w:val="003776F8"/>
    <w:rsid w:val="003777E3"/>
    <w:rsid w:val="00377943"/>
    <w:rsid w:val="00377A82"/>
    <w:rsid w:val="00377AA1"/>
    <w:rsid w:val="00377CB1"/>
    <w:rsid w:val="00377D1B"/>
    <w:rsid w:val="003801A3"/>
    <w:rsid w:val="003801C4"/>
    <w:rsid w:val="003803C2"/>
    <w:rsid w:val="0038085D"/>
    <w:rsid w:val="003808B6"/>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397"/>
    <w:rsid w:val="003824C9"/>
    <w:rsid w:val="003825D2"/>
    <w:rsid w:val="00382A94"/>
    <w:rsid w:val="00382BFC"/>
    <w:rsid w:val="00382F1C"/>
    <w:rsid w:val="003830CF"/>
    <w:rsid w:val="00383154"/>
    <w:rsid w:val="00383248"/>
    <w:rsid w:val="00383462"/>
    <w:rsid w:val="003836C8"/>
    <w:rsid w:val="00383771"/>
    <w:rsid w:val="00383D2B"/>
    <w:rsid w:val="00383D45"/>
    <w:rsid w:val="00384083"/>
    <w:rsid w:val="003840E7"/>
    <w:rsid w:val="0038411E"/>
    <w:rsid w:val="0038420E"/>
    <w:rsid w:val="0038424E"/>
    <w:rsid w:val="003842E7"/>
    <w:rsid w:val="003844F1"/>
    <w:rsid w:val="00384590"/>
    <w:rsid w:val="003848A4"/>
    <w:rsid w:val="00384A46"/>
    <w:rsid w:val="00384B69"/>
    <w:rsid w:val="00384C04"/>
    <w:rsid w:val="00384C10"/>
    <w:rsid w:val="00384C9A"/>
    <w:rsid w:val="00384D42"/>
    <w:rsid w:val="00384D8B"/>
    <w:rsid w:val="00384E0B"/>
    <w:rsid w:val="003850EF"/>
    <w:rsid w:val="0038534D"/>
    <w:rsid w:val="00385692"/>
    <w:rsid w:val="00385A45"/>
    <w:rsid w:val="00385CBB"/>
    <w:rsid w:val="00385CCC"/>
    <w:rsid w:val="00385DC7"/>
    <w:rsid w:val="00386001"/>
    <w:rsid w:val="0038636E"/>
    <w:rsid w:val="003864FF"/>
    <w:rsid w:val="003865A9"/>
    <w:rsid w:val="00386826"/>
    <w:rsid w:val="00386838"/>
    <w:rsid w:val="00386882"/>
    <w:rsid w:val="003868D5"/>
    <w:rsid w:val="00386908"/>
    <w:rsid w:val="00386B88"/>
    <w:rsid w:val="00386BA5"/>
    <w:rsid w:val="00386CA8"/>
    <w:rsid w:val="00386DB1"/>
    <w:rsid w:val="00386EA3"/>
    <w:rsid w:val="00387260"/>
    <w:rsid w:val="00387613"/>
    <w:rsid w:val="00387749"/>
    <w:rsid w:val="00387A37"/>
    <w:rsid w:val="00387DAC"/>
    <w:rsid w:val="00387F2F"/>
    <w:rsid w:val="00387FB5"/>
    <w:rsid w:val="0039002E"/>
    <w:rsid w:val="003904C1"/>
    <w:rsid w:val="00390A2C"/>
    <w:rsid w:val="00390AC7"/>
    <w:rsid w:val="00390C2F"/>
    <w:rsid w:val="00390E6F"/>
    <w:rsid w:val="00390FB3"/>
    <w:rsid w:val="00391151"/>
    <w:rsid w:val="003911A0"/>
    <w:rsid w:val="00391252"/>
    <w:rsid w:val="00391303"/>
    <w:rsid w:val="00391553"/>
    <w:rsid w:val="003916AA"/>
    <w:rsid w:val="0039184E"/>
    <w:rsid w:val="00391C0C"/>
    <w:rsid w:val="00391C7B"/>
    <w:rsid w:val="00391F6D"/>
    <w:rsid w:val="00391FF2"/>
    <w:rsid w:val="003920CD"/>
    <w:rsid w:val="003922B6"/>
    <w:rsid w:val="00392420"/>
    <w:rsid w:val="00392577"/>
    <w:rsid w:val="003926ED"/>
    <w:rsid w:val="003928AC"/>
    <w:rsid w:val="003928E0"/>
    <w:rsid w:val="00392984"/>
    <w:rsid w:val="00392A38"/>
    <w:rsid w:val="00392ABD"/>
    <w:rsid w:val="00392DCC"/>
    <w:rsid w:val="00392EA9"/>
    <w:rsid w:val="00392F20"/>
    <w:rsid w:val="00392F6F"/>
    <w:rsid w:val="00393704"/>
    <w:rsid w:val="003937AC"/>
    <w:rsid w:val="00393841"/>
    <w:rsid w:val="00393AA2"/>
    <w:rsid w:val="00393C16"/>
    <w:rsid w:val="00393C64"/>
    <w:rsid w:val="003940B2"/>
    <w:rsid w:val="003941E5"/>
    <w:rsid w:val="0039437E"/>
    <w:rsid w:val="003943DC"/>
    <w:rsid w:val="00394423"/>
    <w:rsid w:val="00394552"/>
    <w:rsid w:val="0039471E"/>
    <w:rsid w:val="00394B70"/>
    <w:rsid w:val="00394CC5"/>
    <w:rsid w:val="00394CD0"/>
    <w:rsid w:val="00394D54"/>
    <w:rsid w:val="00394E0D"/>
    <w:rsid w:val="003954BE"/>
    <w:rsid w:val="00395573"/>
    <w:rsid w:val="00395592"/>
    <w:rsid w:val="003955BA"/>
    <w:rsid w:val="003956ED"/>
    <w:rsid w:val="00395983"/>
    <w:rsid w:val="003959CE"/>
    <w:rsid w:val="003959D5"/>
    <w:rsid w:val="00395ACB"/>
    <w:rsid w:val="00395CD9"/>
    <w:rsid w:val="00395E05"/>
    <w:rsid w:val="0039610B"/>
    <w:rsid w:val="0039614F"/>
    <w:rsid w:val="003962B8"/>
    <w:rsid w:val="00396657"/>
    <w:rsid w:val="0039682A"/>
    <w:rsid w:val="0039682E"/>
    <w:rsid w:val="00396873"/>
    <w:rsid w:val="003969E6"/>
    <w:rsid w:val="003969FC"/>
    <w:rsid w:val="00396BED"/>
    <w:rsid w:val="00396D80"/>
    <w:rsid w:val="00396FDF"/>
    <w:rsid w:val="0039737C"/>
    <w:rsid w:val="0039788B"/>
    <w:rsid w:val="00397AB6"/>
    <w:rsid w:val="00397C07"/>
    <w:rsid w:val="00397C70"/>
    <w:rsid w:val="00397C87"/>
    <w:rsid w:val="00397D4F"/>
    <w:rsid w:val="00397F5F"/>
    <w:rsid w:val="003A01C8"/>
    <w:rsid w:val="003A01D6"/>
    <w:rsid w:val="003A031C"/>
    <w:rsid w:val="003A0562"/>
    <w:rsid w:val="003A06F1"/>
    <w:rsid w:val="003A0856"/>
    <w:rsid w:val="003A0875"/>
    <w:rsid w:val="003A0983"/>
    <w:rsid w:val="003A102E"/>
    <w:rsid w:val="003A1328"/>
    <w:rsid w:val="003A1726"/>
    <w:rsid w:val="003A18BF"/>
    <w:rsid w:val="003A18F2"/>
    <w:rsid w:val="003A1D6D"/>
    <w:rsid w:val="003A1D94"/>
    <w:rsid w:val="003A1E62"/>
    <w:rsid w:val="003A1EB5"/>
    <w:rsid w:val="003A1FB4"/>
    <w:rsid w:val="003A20A2"/>
    <w:rsid w:val="003A21A6"/>
    <w:rsid w:val="003A2384"/>
    <w:rsid w:val="003A24C9"/>
    <w:rsid w:val="003A2993"/>
    <w:rsid w:val="003A2AD0"/>
    <w:rsid w:val="003A2C22"/>
    <w:rsid w:val="003A2C59"/>
    <w:rsid w:val="003A2DDF"/>
    <w:rsid w:val="003A2F05"/>
    <w:rsid w:val="003A2F18"/>
    <w:rsid w:val="003A2FB0"/>
    <w:rsid w:val="003A3187"/>
    <w:rsid w:val="003A328D"/>
    <w:rsid w:val="003A3457"/>
    <w:rsid w:val="003A3552"/>
    <w:rsid w:val="003A36F6"/>
    <w:rsid w:val="003A384F"/>
    <w:rsid w:val="003A3F43"/>
    <w:rsid w:val="003A3FEE"/>
    <w:rsid w:val="003A4354"/>
    <w:rsid w:val="003A43F1"/>
    <w:rsid w:val="003A4436"/>
    <w:rsid w:val="003A456D"/>
    <w:rsid w:val="003A4575"/>
    <w:rsid w:val="003A45E0"/>
    <w:rsid w:val="003A4673"/>
    <w:rsid w:val="003A47B2"/>
    <w:rsid w:val="003A4A08"/>
    <w:rsid w:val="003A4A44"/>
    <w:rsid w:val="003A4BE1"/>
    <w:rsid w:val="003A4BF4"/>
    <w:rsid w:val="003A4E54"/>
    <w:rsid w:val="003A4FA3"/>
    <w:rsid w:val="003A50BA"/>
    <w:rsid w:val="003A5132"/>
    <w:rsid w:val="003A516A"/>
    <w:rsid w:val="003A53F3"/>
    <w:rsid w:val="003A57F4"/>
    <w:rsid w:val="003A59FA"/>
    <w:rsid w:val="003A5A75"/>
    <w:rsid w:val="003A5CE6"/>
    <w:rsid w:val="003A5DB9"/>
    <w:rsid w:val="003A5F17"/>
    <w:rsid w:val="003A5F1F"/>
    <w:rsid w:val="003A5FAC"/>
    <w:rsid w:val="003A6105"/>
    <w:rsid w:val="003A6217"/>
    <w:rsid w:val="003A65B2"/>
    <w:rsid w:val="003A65C3"/>
    <w:rsid w:val="003A6792"/>
    <w:rsid w:val="003A679E"/>
    <w:rsid w:val="003A68F2"/>
    <w:rsid w:val="003A6933"/>
    <w:rsid w:val="003A6936"/>
    <w:rsid w:val="003A6BE7"/>
    <w:rsid w:val="003A6F74"/>
    <w:rsid w:val="003A7035"/>
    <w:rsid w:val="003A72B4"/>
    <w:rsid w:val="003A750E"/>
    <w:rsid w:val="003A777A"/>
    <w:rsid w:val="003A784B"/>
    <w:rsid w:val="003A79F1"/>
    <w:rsid w:val="003A7AAA"/>
    <w:rsid w:val="003A7B6C"/>
    <w:rsid w:val="003A7CBE"/>
    <w:rsid w:val="003A7D9E"/>
    <w:rsid w:val="003A7DBA"/>
    <w:rsid w:val="003A7DCF"/>
    <w:rsid w:val="003A7EB2"/>
    <w:rsid w:val="003B0179"/>
    <w:rsid w:val="003B02C0"/>
    <w:rsid w:val="003B0570"/>
    <w:rsid w:val="003B0680"/>
    <w:rsid w:val="003B070D"/>
    <w:rsid w:val="003B0716"/>
    <w:rsid w:val="003B0976"/>
    <w:rsid w:val="003B0A0B"/>
    <w:rsid w:val="003B0A86"/>
    <w:rsid w:val="003B0A91"/>
    <w:rsid w:val="003B0D13"/>
    <w:rsid w:val="003B0DA5"/>
    <w:rsid w:val="003B0FA7"/>
    <w:rsid w:val="003B152C"/>
    <w:rsid w:val="003B15EE"/>
    <w:rsid w:val="003B1640"/>
    <w:rsid w:val="003B175F"/>
    <w:rsid w:val="003B1775"/>
    <w:rsid w:val="003B1894"/>
    <w:rsid w:val="003B18CC"/>
    <w:rsid w:val="003B1A44"/>
    <w:rsid w:val="003B1E46"/>
    <w:rsid w:val="003B20B4"/>
    <w:rsid w:val="003B2356"/>
    <w:rsid w:val="003B242F"/>
    <w:rsid w:val="003B2516"/>
    <w:rsid w:val="003B25B5"/>
    <w:rsid w:val="003B27E3"/>
    <w:rsid w:val="003B27E5"/>
    <w:rsid w:val="003B2C96"/>
    <w:rsid w:val="003B2D4E"/>
    <w:rsid w:val="003B2D6D"/>
    <w:rsid w:val="003B328A"/>
    <w:rsid w:val="003B33B1"/>
    <w:rsid w:val="003B37F4"/>
    <w:rsid w:val="003B39FB"/>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32E"/>
    <w:rsid w:val="003B5651"/>
    <w:rsid w:val="003B57A9"/>
    <w:rsid w:val="003B5A38"/>
    <w:rsid w:val="003B5B92"/>
    <w:rsid w:val="003B5BB6"/>
    <w:rsid w:val="003B5BB8"/>
    <w:rsid w:val="003B5E10"/>
    <w:rsid w:val="003B5E5E"/>
    <w:rsid w:val="003B5ED2"/>
    <w:rsid w:val="003B6170"/>
    <w:rsid w:val="003B641C"/>
    <w:rsid w:val="003B645D"/>
    <w:rsid w:val="003B6674"/>
    <w:rsid w:val="003B66DF"/>
    <w:rsid w:val="003B673B"/>
    <w:rsid w:val="003B68C0"/>
    <w:rsid w:val="003B693F"/>
    <w:rsid w:val="003B6A89"/>
    <w:rsid w:val="003B6AE2"/>
    <w:rsid w:val="003B6D56"/>
    <w:rsid w:val="003B6DFD"/>
    <w:rsid w:val="003B701D"/>
    <w:rsid w:val="003B7163"/>
    <w:rsid w:val="003B7352"/>
    <w:rsid w:val="003B7513"/>
    <w:rsid w:val="003B7551"/>
    <w:rsid w:val="003B75E4"/>
    <w:rsid w:val="003B7601"/>
    <w:rsid w:val="003B7749"/>
    <w:rsid w:val="003B7775"/>
    <w:rsid w:val="003B7837"/>
    <w:rsid w:val="003B7931"/>
    <w:rsid w:val="003B7A70"/>
    <w:rsid w:val="003B7B76"/>
    <w:rsid w:val="003C00DF"/>
    <w:rsid w:val="003C00EB"/>
    <w:rsid w:val="003C01DF"/>
    <w:rsid w:val="003C022C"/>
    <w:rsid w:val="003C03B7"/>
    <w:rsid w:val="003C0605"/>
    <w:rsid w:val="003C07E3"/>
    <w:rsid w:val="003C0955"/>
    <w:rsid w:val="003C0A80"/>
    <w:rsid w:val="003C0BF5"/>
    <w:rsid w:val="003C10E0"/>
    <w:rsid w:val="003C1147"/>
    <w:rsid w:val="003C11E0"/>
    <w:rsid w:val="003C12B6"/>
    <w:rsid w:val="003C12C7"/>
    <w:rsid w:val="003C13C8"/>
    <w:rsid w:val="003C13EB"/>
    <w:rsid w:val="003C1626"/>
    <w:rsid w:val="003C1903"/>
    <w:rsid w:val="003C1936"/>
    <w:rsid w:val="003C1B20"/>
    <w:rsid w:val="003C1BF3"/>
    <w:rsid w:val="003C1C10"/>
    <w:rsid w:val="003C1D48"/>
    <w:rsid w:val="003C1DFE"/>
    <w:rsid w:val="003C1F3D"/>
    <w:rsid w:val="003C21C7"/>
    <w:rsid w:val="003C2336"/>
    <w:rsid w:val="003C2518"/>
    <w:rsid w:val="003C272E"/>
    <w:rsid w:val="003C27A4"/>
    <w:rsid w:val="003C28F3"/>
    <w:rsid w:val="003C294E"/>
    <w:rsid w:val="003C2997"/>
    <w:rsid w:val="003C2CDE"/>
    <w:rsid w:val="003C2DAF"/>
    <w:rsid w:val="003C2F98"/>
    <w:rsid w:val="003C3001"/>
    <w:rsid w:val="003C3132"/>
    <w:rsid w:val="003C31D2"/>
    <w:rsid w:val="003C32A2"/>
    <w:rsid w:val="003C33A3"/>
    <w:rsid w:val="003C33AD"/>
    <w:rsid w:val="003C344B"/>
    <w:rsid w:val="003C3910"/>
    <w:rsid w:val="003C3958"/>
    <w:rsid w:val="003C3993"/>
    <w:rsid w:val="003C3EC3"/>
    <w:rsid w:val="003C4141"/>
    <w:rsid w:val="003C42E1"/>
    <w:rsid w:val="003C4323"/>
    <w:rsid w:val="003C460F"/>
    <w:rsid w:val="003C46F1"/>
    <w:rsid w:val="003C485C"/>
    <w:rsid w:val="003C4AA7"/>
    <w:rsid w:val="003C529C"/>
    <w:rsid w:val="003C52A0"/>
    <w:rsid w:val="003C5488"/>
    <w:rsid w:val="003C548C"/>
    <w:rsid w:val="003C59C5"/>
    <w:rsid w:val="003C5A50"/>
    <w:rsid w:val="003C5AE2"/>
    <w:rsid w:val="003C5BA9"/>
    <w:rsid w:val="003C5BBD"/>
    <w:rsid w:val="003C5C79"/>
    <w:rsid w:val="003C5CA7"/>
    <w:rsid w:val="003C5CBC"/>
    <w:rsid w:val="003C5CEA"/>
    <w:rsid w:val="003C5FF3"/>
    <w:rsid w:val="003C61AD"/>
    <w:rsid w:val="003C6473"/>
    <w:rsid w:val="003C6476"/>
    <w:rsid w:val="003C64A3"/>
    <w:rsid w:val="003C659B"/>
    <w:rsid w:val="003C65ED"/>
    <w:rsid w:val="003C6696"/>
    <w:rsid w:val="003C6709"/>
    <w:rsid w:val="003C672D"/>
    <w:rsid w:val="003C68C7"/>
    <w:rsid w:val="003C6A73"/>
    <w:rsid w:val="003C6ACC"/>
    <w:rsid w:val="003C6C63"/>
    <w:rsid w:val="003C6C7A"/>
    <w:rsid w:val="003C6C89"/>
    <w:rsid w:val="003C6EF7"/>
    <w:rsid w:val="003C707F"/>
    <w:rsid w:val="003C70AC"/>
    <w:rsid w:val="003C71E0"/>
    <w:rsid w:val="003C7209"/>
    <w:rsid w:val="003C72AD"/>
    <w:rsid w:val="003C7498"/>
    <w:rsid w:val="003C775E"/>
    <w:rsid w:val="003C7B47"/>
    <w:rsid w:val="003C7E08"/>
    <w:rsid w:val="003C7E16"/>
    <w:rsid w:val="003C7ED1"/>
    <w:rsid w:val="003D009B"/>
    <w:rsid w:val="003D026D"/>
    <w:rsid w:val="003D02E9"/>
    <w:rsid w:val="003D0820"/>
    <w:rsid w:val="003D08C1"/>
    <w:rsid w:val="003D0ACD"/>
    <w:rsid w:val="003D0D72"/>
    <w:rsid w:val="003D0F88"/>
    <w:rsid w:val="003D107C"/>
    <w:rsid w:val="003D10D5"/>
    <w:rsid w:val="003D1515"/>
    <w:rsid w:val="003D1AC5"/>
    <w:rsid w:val="003D1D55"/>
    <w:rsid w:val="003D1D7A"/>
    <w:rsid w:val="003D1DEA"/>
    <w:rsid w:val="003D24AA"/>
    <w:rsid w:val="003D2759"/>
    <w:rsid w:val="003D27A4"/>
    <w:rsid w:val="003D2C9C"/>
    <w:rsid w:val="003D2DC9"/>
    <w:rsid w:val="003D325C"/>
    <w:rsid w:val="003D327A"/>
    <w:rsid w:val="003D33C7"/>
    <w:rsid w:val="003D354D"/>
    <w:rsid w:val="003D368B"/>
    <w:rsid w:val="003D384F"/>
    <w:rsid w:val="003D38BB"/>
    <w:rsid w:val="003D3A7D"/>
    <w:rsid w:val="003D3E21"/>
    <w:rsid w:val="003D4190"/>
    <w:rsid w:val="003D44E5"/>
    <w:rsid w:val="003D49E1"/>
    <w:rsid w:val="003D4C0E"/>
    <w:rsid w:val="003D4C81"/>
    <w:rsid w:val="003D4E3D"/>
    <w:rsid w:val="003D4F83"/>
    <w:rsid w:val="003D5455"/>
    <w:rsid w:val="003D56A2"/>
    <w:rsid w:val="003D5854"/>
    <w:rsid w:val="003D5935"/>
    <w:rsid w:val="003D59A5"/>
    <w:rsid w:val="003D5A3E"/>
    <w:rsid w:val="003D5C6D"/>
    <w:rsid w:val="003D5D38"/>
    <w:rsid w:val="003D5E15"/>
    <w:rsid w:val="003D6045"/>
    <w:rsid w:val="003D605C"/>
    <w:rsid w:val="003D6092"/>
    <w:rsid w:val="003D60A5"/>
    <w:rsid w:val="003D65E8"/>
    <w:rsid w:val="003D69B7"/>
    <w:rsid w:val="003D69CD"/>
    <w:rsid w:val="003D6C59"/>
    <w:rsid w:val="003D6E47"/>
    <w:rsid w:val="003D6F90"/>
    <w:rsid w:val="003D7060"/>
    <w:rsid w:val="003D70F3"/>
    <w:rsid w:val="003D7283"/>
    <w:rsid w:val="003D72FE"/>
    <w:rsid w:val="003D7314"/>
    <w:rsid w:val="003D7378"/>
    <w:rsid w:val="003D7705"/>
    <w:rsid w:val="003D797A"/>
    <w:rsid w:val="003D7B03"/>
    <w:rsid w:val="003D7CED"/>
    <w:rsid w:val="003D7D55"/>
    <w:rsid w:val="003D7E4C"/>
    <w:rsid w:val="003D7F7D"/>
    <w:rsid w:val="003E0088"/>
    <w:rsid w:val="003E01D9"/>
    <w:rsid w:val="003E0360"/>
    <w:rsid w:val="003E04B3"/>
    <w:rsid w:val="003E06CB"/>
    <w:rsid w:val="003E0A5B"/>
    <w:rsid w:val="003E0A5D"/>
    <w:rsid w:val="003E0D12"/>
    <w:rsid w:val="003E0D81"/>
    <w:rsid w:val="003E0DCE"/>
    <w:rsid w:val="003E0F2A"/>
    <w:rsid w:val="003E1145"/>
    <w:rsid w:val="003E11AF"/>
    <w:rsid w:val="003E145C"/>
    <w:rsid w:val="003E14DD"/>
    <w:rsid w:val="003E15B2"/>
    <w:rsid w:val="003E1671"/>
    <w:rsid w:val="003E16E5"/>
    <w:rsid w:val="003E1768"/>
    <w:rsid w:val="003E18D7"/>
    <w:rsid w:val="003E1A8C"/>
    <w:rsid w:val="003E1C0E"/>
    <w:rsid w:val="003E1E1E"/>
    <w:rsid w:val="003E225A"/>
    <w:rsid w:val="003E24C5"/>
    <w:rsid w:val="003E24F2"/>
    <w:rsid w:val="003E264E"/>
    <w:rsid w:val="003E285E"/>
    <w:rsid w:val="003E290D"/>
    <w:rsid w:val="003E29CF"/>
    <w:rsid w:val="003E2D24"/>
    <w:rsid w:val="003E2F73"/>
    <w:rsid w:val="003E318D"/>
    <w:rsid w:val="003E32F5"/>
    <w:rsid w:val="003E3389"/>
    <w:rsid w:val="003E3479"/>
    <w:rsid w:val="003E34B5"/>
    <w:rsid w:val="003E3653"/>
    <w:rsid w:val="003E39CF"/>
    <w:rsid w:val="003E3BB4"/>
    <w:rsid w:val="003E3D3B"/>
    <w:rsid w:val="003E4166"/>
    <w:rsid w:val="003E4611"/>
    <w:rsid w:val="003E47D9"/>
    <w:rsid w:val="003E48A6"/>
    <w:rsid w:val="003E48BF"/>
    <w:rsid w:val="003E4ABB"/>
    <w:rsid w:val="003E52DD"/>
    <w:rsid w:val="003E5381"/>
    <w:rsid w:val="003E551F"/>
    <w:rsid w:val="003E574E"/>
    <w:rsid w:val="003E57D9"/>
    <w:rsid w:val="003E5859"/>
    <w:rsid w:val="003E5886"/>
    <w:rsid w:val="003E5C52"/>
    <w:rsid w:val="003E5D48"/>
    <w:rsid w:val="003E5E54"/>
    <w:rsid w:val="003E5FD6"/>
    <w:rsid w:val="003E6221"/>
    <w:rsid w:val="003E6321"/>
    <w:rsid w:val="003E6471"/>
    <w:rsid w:val="003E683B"/>
    <w:rsid w:val="003E6CD5"/>
    <w:rsid w:val="003E6CEB"/>
    <w:rsid w:val="003E6CF1"/>
    <w:rsid w:val="003E6E9C"/>
    <w:rsid w:val="003E7077"/>
    <w:rsid w:val="003E71B5"/>
    <w:rsid w:val="003E7495"/>
    <w:rsid w:val="003E75D5"/>
    <w:rsid w:val="003E76CB"/>
    <w:rsid w:val="003E77CF"/>
    <w:rsid w:val="003E78F1"/>
    <w:rsid w:val="003E790E"/>
    <w:rsid w:val="003E7C69"/>
    <w:rsid w:val="003E7DA4"/>
    <w:rsid w:val="003E7DE2"/>
    <w:rsid w:val="003E7F11"/>
    <w:rsid w:val="003E7FD7"/>
    <w:rsid w:val="003F06DC"/>
    <w:rsid w:val="003F0738"/>
    <w:rsid w:val="003F0758"/>
    <w:rsid w:val="003F08DB"/>
    <w:rsid w:val="003F08F7"/>
    <w:rsid w:val="003F0A5C"/>
    <w:rsid w:val="003F0A75"/>
    <w:rsid w:val="003F0A92"/>
    <w:rsid w:val="003F0B11"/>
    <w:rsid w:val="003F0B31"/>
    <w:rsid w:val="003F0D40"/>
    <w:rsid w:val="003F0E08"/>
    <w:rsid w:val="003F1019"/>
    <w:rsid w:val="003F102C"/>
    <w:rsid w:val="003F1088"/>
    <w:rsid w:val="003F1136"/>
    <w:rsid w:val="003F13B4"/>
    <w:rsid w:val="003F13DE"/>
    <w:rsid w:val="003F15AE"/>
    <w:rsid w:val="003F17CE"/>
    <w:rsid w:val="003F1A02"/>
    <w:rsid w:val="003F1B0D"/>
    <w:rsid w:val="003F1BDF"/>
    <w:rsid w:val="003F1FBA"/>
    <w:rsid w:val="003F203C"/>
    <w:rsid w:val="003F2276"/>
    <w:rsid w:val="003F2355"/>
    <w:rsid w:val="003F26FC"/>
    <w:rsid w:val="003F281E"/>
    <w:rsid w:val="003F28B1"/>
    <w:rsid w:val="003F2A54"/>
    <w:rsid w:val="003F2B53"/>
    <w:rsid w:val="003F2E21"/>
    <w:rsid w:val="003F35D6"/>
    <w:rsid w:val="003F370E"/>
    <w:rsid w:val="003F3762"/>
    <w:rsid w:val="003F386F"/>
    <w:rsid w:val="003F3AA2"/>
    <w:rsid w:val="003F3AAB"/>
    <w:rsid w:val="003F3C03"/>
    <w:rsid w:val="003F3FF4"/>
    <w:rsid w:val="003F4024"/>
    <w:rsid w:val="003F4133"/>
    <w:rsid w:val="003F4206"/>
    <w:rsid w:val="003F4254"/>
    <w:rsid w:val="003F4351"/>
    <w:rsid w:val="003F487B"/>
    <w:rsid w:val="003F48E2"/>
    <w:rsid w:val="003F4DA9"/>
    <w:rsid w:val="003F4DDE"/>
    <w:rsid w:val="003F5319"/>
    <w:rsid w:val="003F5412"/>
    <w:rsid w:val="003F576B"/>
    <w:rsid w:val="003F57DE"/>
    <w:rsid w:val="003F58BA"/>
    <w:rsid w:val="003F5BEC"/>
    <w:rsid w:val="003F5BF6"/>
    <w:rsid w:val="003F5D30"/>
    <w:rsid w:val="003F5E2E"/>
    <w:rsid w:val="003F5EB6"/>
    <w:rsid w:val="003F648D"/>
    <w:rsid w:val="003F67F2"/>
    <w:rsid w:val="003F6CCA"/>
    <w:rsid w:val="003F6EC1"/>
    <w:rsid w:val="003F7107"/>
    <w:rsid w:val="003F74E9"/>
    <w:rsid w:val="003F7717"/>
    <w:rsid w:val="003F777A"/>
    <w:rsid w:val="003F7902"/>
    <w:rsid w:val="003F7AE5"/>
    <w:rsid w:val="003F7CDF"/>
    <w:rsid w:val="003F7E03"/>
    <w:rsid w:val="003F7FC0"/>
    <w:rsid w:val="003F7FDA"/>
    <w:rsid w:val="00400097"/>
    <w:rsid w:val="00400362"/>
    <w:rsid w:val="004003B0"/>
    <w:rsid w:val="00400592"/>
    <w:rsid w:val="00400645"/>
    <w:rsid w:val="0040068E"/>
    <w:rsid w:val="004006C9"/>
    <w:rsid w:val="00400957"/>
    <w:rsid w:val="004009B9"/>
    <w:rsid w:val="00400A22"/>
    <w:rsid w:val="00400B1A"/>
    <w:rsid w:val="00400E7B"/>
    <w:rsid w:val="00400F08"/>
    <w:rsid w:val="004014DF"/>
    <w:rsid w:val="0040157E"/>
    <w:rsid w:val="004015F9"/>
    <w:rsid w:val="00401618"/>
    <w:rsid w:val="00401A48"/>
    <w:rsid w:val="00401C54"/>
    <w:rsid w:val="00401D9E"/>
    <w:rsid w:val="00401E66"/>
    <w:rsid w:val="00401F21"/>
    <w:rsid w:val="00401F7C"/>
    <w:rsid w:val="0040205C"/>
    <w:rsid w:val="004020A9"/>
    <w:rsid w:val="00402536"/>
    <w:rsid w:val="00402768"/>
    <w:rsid w:val="004027C1"/>
    <w:rsid w:val="004027E2"/>
    <w:rsid w:val="0040280C"/>
    <w:rsid w:val="00402860"/>
    <w:rsid w:val="004029AE"/>
    <w:rsid w:val="00402AC0"/>
    <w:rsid w:val="00402B0F"/>
    <w:rsid w:val="00402BC7"/>
    <w:rsid w:val="00402CDD"/>
    <w:rsid w:val="00402FF0"/>
    <w:rsid w:val="00403065"/>
    <w:rsid w:val="004033AE"/>
    <w:rsid w:val="004033D6"/>
    <w:rsid w:val="0040365A"/>
    <w:rsid w:val="0040373D"/>
    <w:rsid w:val="004038EB"/>
    <w:rsid w:val="00403926"/>
    <w:rsid w:val="00403A29"/>
    <w:rsid w:val="00403B39"/>
    <w:rsid w:val="00403B43"/>
    <w:rsid w:val="00403BFE"/>
    <w:rsid w:val="00403CD8"/>
    <w:rsid w:val="00403CE5"/>
    <w:rsid w:val="00403E4F"/>
    <w:rsid w:val="00403F5E"/>
    <w:rsid w:val="00404250"/>
    <w:rsid w:val="0040431A"/>
    <w:rsid w:val="00404565"/>
    <w:rsid w:val="0040464D"/>
    <w:rsid w:val="004047ED"/>
    <w:rsid w:val="00404981"/>
    <w:rsid w:val="00404B4D"/>
    <w:rsid w:val="00404BFE"/>
    <w:rsid w:val="00404D40"/>
    <w:rsid w:val="00404E69"/>
    <w:rsid w:val="00404E8E"/>
    <w:rsid w:val="00404F22"/>
    <w:rsid w:val="00404FF5"/>
    <w:rsid w:val="004055AA"/>
    <w:rsid w:val="004055DE"/>
    <w:rsid w:val="00405603"/>
    <w:rsid w:val="00405615"/>
    <w:rsid w:val="00405727"/>
    <w:rsid w:val="004057C3"/>
    <w:rsid w:val="00405A68"/>
    <w:rsid w:val="00405B8A"/>
    <w:rsid w:val="00405F25"/>
    <w:rsid w:val="00405F2B"/>
    <w:rsid w:val="00405F72"/>
    <w:rsid w:val="004061E9"/>
    <w:rsid w:val="0040629F"/>
    <w:rsid w:val="00406309"/>
    <w:rsid w:val="00406428"/>
    <w:rsid w:val="004065DB"/>
    <w:rsid w:val="004065E9"/>
    <w:rsid w:val="0040663E"/>
    <w:rsid w:val="00406706"/>
    <w:rsid w:val="004068D1"/>
    <w:rsid w:val="00406CB7"/>
    <w:rsid w:val="00406CFF"/>
    <w:rsid w:val="00406D89"/>
    <w:rsid w:val="00406FCF"/>
    <w:rsid w:val="004070C5"/>
    <w:rsid w:val="0040720D"/>
    <w:rsid w:val="004074FF"/>
    <w:rsid w:val="00407596"/>
    <w:rsid w:val="004075DC"/>
    <w:rsid w:val="004079DD"/>
    <w:rsid w:val="004079EE"/>
    <w:rsid w:val="00407CBD"/>
    <w:rsid w:val="00407DDB"/>
    <w:rsid w:val="00410017"/>
    <w:rsid w:val="00410224"/>
    <w:rsid w:val="00410365"/>
    <w:rsid w:val="00410588"/>
    <w:rsid w:val="004107CB"/>
    <w:rsid w:val="00410A6E"/>
    <w:rsid w:val="00410E28"/>
    <w:rsid w:val="00410E8D"/>
    <w:rsid w:val="0041104D"/>
    <w:rsid w:val="00411323"/>
    <w:rsid w:val="004116AE"/>
    <w:rsid w:val="00411731"/>
    <w:rsid w:val="004117D2"/>
    <w:rsid w:val="004119B1"/>
    <w:rsid w:val="00411A0E"/>
    <w:rsid w:val="00411A44"/>
    <w:rsid w:val="00411AC5"/>
    <w:rsid w:val="00411DFF"/>
    <w:rsid w:val="00411FFB"/>
    <w:rsid w:val="0041200E"/>
    <w:rsid w:val="0041204B"/>
    <w:rsid w:val="004122DE"/>
    <w:rsid w:val="004123AC"/>
    <w:rsid w:val="0041252C"/>
    <w:rsid w:val="00412963"/>
    <w:rsid w:val="00412A80"/>
    <w:rsid w:val="00412BCF"/>
    <w:rsid w:val="00412ED4"/>
    <w:rsid w:val="00412F5C"/>
    <w:rsid w:val="00412FFC"/>
    <w:rsid w:val="00413039"/>
    <w:rsid w:val="0041310A"/>
    <w:rsid w:val="00413575"/>
    <w:rsid w:val="004135F0"/>
    <w:rsid w:val="004137FD"/>
    <w:rsid w:val="0041389E"/>
    <w:rsid w:val="004138B4"/>
    <w:rsid w:val="00413926"/>
    <w:rsid w:val="00413B55"/>
    <w:rsid w:val="00413E77"/>
    <w:rsid w:val="00414073"/>
    <w:rsid w:val="004142CB"/>
    <w:rsid w:val="00414481"/>
    <w:rsid w:val="0041474A"/>
    <w:rsid w:val="0041479E"/>
    <w:rsid w:val="00414AEC"/>
    <w:rsid w:val="00415445"/>
    <w:rsid w:val="00415554"/>
    <w:rsid w:val="00415653"/>
    <w:rsid w:val="00415878"/>
    <w:rsid w:val="004158DC"/>
    <w:rsid w:val="00415E6F"/>
    <w:rsid w:val="00415FFD"/>
    <w:rsid w:val="0041602A"/>
    <w:rsid w:val="00416157"/>
    <w:rsid w:val="0041620F"/>
    <w:rsid w:val="00416393"/>
    <w:rsid w:val="0041655F"/>
    <w:rsid w:val="00416828"/>
    <w:rsid w:val="00416957"/>
    <w:rsid w:val="00416A3C"/>
    <w:rsid w:val="00416B5B"/>
    <w:rsid w:val="00416B7A"/>
    <w:rsid w:val="00416E54"/>
    <w:rsid w:val="004170B7"/>
    <w:rsid w:val="00417173"/>
    <w:rsid w:val="00417579"/>
    <w:rsid w:val="004175D5"/>
    <w:rsid w:val="0041763F"/>
    <w:rsid w:val="0041789F"/>
    <w:rsid w:val="00417B5A"/>
    <w:rsid w:val="00417C8A"/>
    <w:rsid w:val="00420433"/>
    <w:rsid w:val="004204A2"/>
    <w:rsid w:val="004206E5"/>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0F9"/>
    <w:rsid w:val="004224C5"/>
    <w:rsid w:val="0042252C"/>
    <w:rsid w:val="004225C5"/>
    <w:rsid w:val="004225E2"/>
    <w:rsid w:val="00422921"/>
    <w:rsid w:val="0042313D"/>
    <w:rsid w:val="00423315"/>
    <w:rsid w:val="004234F2"/>
    <w:rsid w:val="00423592"/>
    <w:rsid w:val="004235BA"/>
    <w:rsid w:val="004236D1"/>
    <w:rsid w:val="004236EE"/>
    <w:rsid w:val="00423895"/>
    <w:rsid w:val="004239B9"/>
    <w:rsid w:val="00423CE2"/>
    <w:rsid w:val="00423D2D"/>
    <w:rsid w:val="00423D4A"/>
    <w:rsid w:val="00423D7A"/>
    <w:rsid w:val="00423E09"/>
    <w:rsid w:val="00423E24"/>
    <w:rsid w:val="0042408E"/>
    <w:rsid w:val="00424187"/>
    <w:rsid w:val="00424219"/>
    <w:rsid w:val="0042421C"/>
    <w:rsid w:val="004242B1"/>
    <w:rsid w:val="004242C1"/>
    <w:rsid w:val="0042449E"/>
    <w:rsid w:val="00424733"/>
    <w:rsid w:val="00424814"/>
    <w:rsid w:val="0042485D"/>
    <w:rsid w:val="0042493D"/>
    <w:rsid w:val="004249E0"/>
    <w:rsid w:val="00424A0B"/>
    <w:rsid w:val="00424B4A"/>
    <w:rsid w:val="00424D69"/>
    <w:rsid w:val="00424DC5"/>
    <w:rsid w:val="004252DA"/>
    <w:rsid w:val="004252DD"/>
    <w:rsid w:val="004253EF"/>
    <w:rsid w:val="004254E3"/>
    <w:rsid w:val="00425ADC"/>
    <w:rsid w:val="00425F82"/>
    <w:rsid w:val="00426211"/>
    <w:rsid w:val="004262DC"/>
    <w:rsid w:val="0042668C"/>
    <w:rsid w:val="0042674B"/>
    <w:rsid w:val="0042674F"/>
    <w:rsid w:val="00426754"/>
    <w:rsid w:val="00426878"/>
    <w:rsid w:val="004269D2"/>
    <w:rsid w:val="00426B14"/>
    <w:rsid w:val="00426D74"/>
    <w:rsid w:val="00426FCC"/>
    <w:rsid w:val="00427091"/>
    <w:rsid w:val="00427134"/>
    <w:rsid w:val="00427190"/>
    <w:rsid w:val="0042743A"/>
    <w:rsid w:val="0042748F"/>
    <w:rsid w:val="004274B4"/>
    <w:rsid w:val="004275BC"/>
    <w:rsid w:val="004275CD"/>
    <w:rsid w:val="004275D0"/>
    <w:rsid w:val="00427880"/>
    <w:rsid w:val="00427898"/>
    <w:rsid w:val="004278A3"/>
    <w:rsid w:val="0043031B"/>
    <w:rsid w:val="0043059C"/>
    <w:rsid w:val="00430617"/>
    <w:rsid w:val="004307B9"/>
    <w:rsid w:val="004307EB"/>
    <w:rsid w:val="004307F2"/>
    <w:rsid w:val="00430BB4"/>
    <w:rsid w:val="00430C49"/>
    <w:rsid w:val="0043107A"/>
    <w:rsid w:val="004310B1"/>
    <w:rsid w:val="004310BB"/>
    <w:rsid w:val="00431238"/>
    <w:rsid w:val="00431657"/>
    <w:rsid w:val="004317EB"/>
    <w:rsid w:val="004318B9"/>
    <w:rsid w:val="00431CA2"/>
    <w:rsid w:val="00431CC5"/>
    <w:rsid w:val="00431DD8"/>
    <w:rsid w:val="00431E06"/>
    <w:rsid w:val="00431EBE"/>
    <w:rsid w:val="00432012"/>
    <w:rsid w:val="004323E4"/>
    <w:rsid w:val="004323EA"/>
    <w:rsid w:val="004325BE"/>
    <w:rsid w:val="004326AB"/>
    <w:rsid w:val="0043283C"/>
    <w:rsid w:val="0043289F"/>
    <w:rsid w:val="00432ABE"/>
    <w:rsid w:val="00432C70"/>
    <w:rsid w:val="00432C84"/>
    <w:rsid w:val="00432CD6"/>
    <w:rsid w:val="00432EE5"/>
    <w:rsid w:val="00432EF2"/>
    <w:rsid w:val="00432F05"/>
    <w:rsid w:val="00432FE3"/>
    <w:rsid w:val="004330A7"/>
    <w:rsid w:val="004333AB"/>
    <w:rsid w:val="00433461"/>
    <w:rsid w:val="004335A8"/>
    <w:rsid w:val="0043365C"/>
    <w:rsid w:val="0043373F"/>
    <w:rsid w:val="0043378D"/>
    <w:rsid w:val="00433804"/>
    <w:rsid w:val="00433B8A"/>
    <w:rsid w:val="0043427D"/>
    <w:rsid w:val="004343CB"/>
    <w:rsid w:val="004345AF"/>
    <w:rsid w:val="00434828"/>
    <w:rsid w:val="004349FF"/>
    <w:rsid w:val="00434A27"/>
    <w:rsid w:val="00434ABA"/>
    <w:rsid w:val="00434B71"/>
    <w:rsid w:val="00434D70"/>
    <w:rsid w:val="00434D7C"/>
    <w:rsid w:val="004352BD"/>
    <w:rsid w:val="004353CB"/>
    <w:rsid w:val="0043565B"/>
    <w:rsid w:val="0043580D"/>
    <w:rsid w:val="00435919"/>
    <w:rsid w:val="00435992"/>
    <w:rsid w:val="00435D70"/>
    <w:rsid w:val="00435EFE"/>
    <w:rsid w:val="00436159"/>
    <w:rsid w:val="004361C8"/>
    <w:rsid w:val="004363CC"/>
    <w:rsid w:val="00436423"/>
    <w:rsid w:val="00436960"/>
    <w:rsid w:val="00436CCF"/>
    <w:rsid w:val="00436DFF"/>
    <w:rsid w:val="00436EFB"/>
    <w:rsid w:val="00436FFC"/>
    <w:rsid w:val="004371F3"/>
    <w:rsid w:val="00437211"/>
    <w:rsid w:val="004374A4"/>
    <w:rsid w:val="004374DC"/>
    <w:rsid w:val="0043750D"/>
    <w:rsid w:val="00437680"/>
    <w:rsid w:val="00437826"/>
    <w:rsid w:val="00437AEB"/>
    <w:rsid w:val="00437B15"/>
    <w:rsid w:val="00437CD5"/>
    <w:rsid w:val="0044039F"/>
    <w:rsid w:val="0044048A"/>
    <w:rsid w:val="0044065C"/>
    <w:rsid w:val="0044068F"/>
    <w:rsid w:val="004408B5"/>
    <w:rsid w:val="00440A24"/>
    <w:rsid w:val="00440A56"/>
    <w:rsid w:val="00440B33"/>
    <w:rsid w:val="00440B4D"/>
    <w:rsid w:val="00440C98"/>
    <w:rsid w:val="00440C9F"/>
    <w:rsid w:val="00440D5D"/>
    <w:rsid w:val="00440DFF"/>
    <w:rsid w:val="00440E44"/>
    <w:rsid w:val="00440FA3"/>
    <w:rsid w:val="00441141"/>
    <w:rsid w:val="00441277"/>
    <w:rsid w:val="004412B4"/>
    <w:rsid w:val="004412D7"/>
    <w:rsid w:val="00441373"/>
    <w:rsid w:val="004414A9"/>
    <w:rsid w:val="004418E9"/>
    <w:rsid w:val="00441A0D"/>
    <w:rsid w:val="00441A72"/>
    <w:rsid w:val="00441B06"/>
    <w:rsid w:val="00441D79"/>
    <w:rsid w:val="00441E07"/>
    <w:rsid w:val="00442021"/>
    <w:rsid w:val="00442456"/>
    <w:rsid w:val="00442532"/>
    <w:rsid w:val="00442892"/>
    <w:rsid w:val="00442C43"/>
    <w:rsid w:val="00442D40"/>
    <w:rsid w:val="00442D75"/>
    <w:rsid w:val="00442DA7"/>
    <w:rsid w:val="00442DE6"/>
    <w:rsid w:val="00442F7B"/>
    <w:rsid w:val="00442FAC"/>
    <w:rsid w:val="00443084"/>
    <w:rsid w:val="00443090"/>
    <w:rsid w:val="00443146"/>
    <w:rsid w:val="0044314E"/>
    <w:rsid w:val="00443242"/>
    <w:rsid w:val="00443281"/>
    <w:rsid w:val="00443452"/>
    <w:rsid w:val="00443471"/>
    <w:rsid w:val="00443580"/>
    <w:rsid w:val="004435C4"/>
    <w:rsid w:val="004437A8"/>
    <w:rsid w:val="004437E6"/>
    <w:rsid w:val="00443B43"/>
    <w:rsid w:val="00443B63"/>
    <w:rsid w:val="00443BAD"/>
    <w:rsid w:val="00443C30"/>
    <w:rsid w:val="00443ECC"/>
    <w:rsid w:val="004441CE"/>
    <w:rsid w:val="004441D9"/>
    <w:rsid w:val="0044467B"/>
    <w:rsid w:val="00444720"/>
    <w:rsid w:val="00444815"/>
    <w:rsid w:val="004448FD"/>
    <w:rsid w:val="00444AC9"/>
    <w:rsid w:val="00444AEB"/>
    <w:rsid w:val="00444CD0"/>
    <w:rsid w:val="00444F7E"/>
    <w:rsid w:val="00445014"/>
    <w:rsid w:val="004451C0"/>
    <w:rsid w:val="0044525F"/>
    <w:rsid w:val="004455E6"/>
    <w:rsid w:val="00445989"/>
    <w:rsid w:val="00445ADB"/>
    <w:rsid w:val="00445BFD"/>
    <w:rsid w:val="00445D3B"/>
    <w:rsid w:val="0044625E"/>
    <w:rsid w:val="004464BF"/>
    <w:rsid w:val="004466E4"/>
    <w:rsid w:val="0044691E"/>
    <w:rsid w:val="00446CE7"/>
    <w:rsid w:val="00446E91"/>
    <w:rsid w:val="00446EC5"/>
    <w:rsid w:val="00446F71"/>
    <w:rsid w:val="0044719F"/>
    <w:rsid w:val="00447231"/>
    <w:rsid w:val="004473F5"/>
    <w:rsid w:val="0044770B"/>
    <w:rsid w:val="00447763"/>
    <w:rsid w:val="004479CB"/>
    <w:rsid w:val="00447B44"/>
    <w:rsid w:val="00447CB3"/>
    <w:rsid w:val="00447DFC"/>
    <w:rsid w:val="00447FFD"/>
    <w:rsid w:val="00450159"/>
    <w:rsid w:val="0045049A"/>
    <w:rsid w:val="0045051F"/>
    <w:rsid w:val="00450559"/>
    <w:rsid w:val="0045077C"/>
    <w:rsid w:val="004507E3"/>
    <w:rsid w:val="0045088A"/>
    <w:rsid w:val="0045088C"/>
    <w:rsid w:val="00450A83"/>
    <w:rsid w:val="00450AB9"/>
    <w:rsid w:val="00450C4C"/>
    <w:rsid w:val="00450CB3"/>
    <w:rsid w:val="00450CEF"/>
    <w:rsid w:val="00450D10"/>
    <w:rsid w:val="00450DB3"/>
    <w:rsid w:val="00450F37"/>
    <w:rsid w:val="00450FD2"/>
    <w:rsid w:val="004512ED"/>
    <w:rsid w:val="00451324"/>
    <w:rsid w:val="00451354"/>
    <w:rsid w:val="00451382"/>
    <w:rsid w:val="00451A5A"/>
    <w:rsid w:val="00451C94"/>
    <w:rsid w:val="00451FE8"/>
    <w:rsid w:val="0045225A"/>
    <w:rsid w:val="00452271"/>
    <w:rsid w:val="00452323"/>
    <w:rsid w:val="004523BB"/>
    <w:rsid w:val="0045255E"/>
    <w:rsid w:val="0045262F"/>
    <w:rsid w:val="004526A0"/>
    <w:rsid w:val="00452987"/>
    <w:rsid w:val="00452C83"/>
    <w:rsid w:val="00452E6D"/>
    <w:rsid w:val="00453109"/>
    <w:rsid w:val="004532D7"/>
    <w:rsid w:val="004533F0"/>
    <w:rsid w:val="0045364D"/>
    <w:rsid w:val="0045399E"/>
    <w:rsid w:val="00453DB4"/>
    <w:rsid w:val="00453F3A"/>
    <w:rsid w:val="00453F62"/>
    <w:rsid w:val="00453FE5"/>
    <w:rsid w:val="00454149"/>
    <w:rsid w:val="0045415F"/>
    <w:rsid w:val="00454C30"/>
    <w:rsid w:val="00454CE7"/>
    <w:rsid w:val="00454D86"/>
    <w:rsid w:val="00455009"/>
    <w:rsid w:val="0045515D"/>
    <w:rsid w:val="00455243"/>
    <w:rsid w:val="00455337"/>
    <w:rsid w:val="0045586B"/>
    <w:rsid w:val="00455A14"/>
    <w:rsid w:val="00455D75"/>
    <w:rsid w:val="00455E86"/>
    <w:rsid w:val="00455F04"/>
    <w:rsid w:val="00455F5F"/>
    <w:rsid w:val="00455F6A"/>
    <w:rsid w:val="00456101"/>
    <w:rsid w:val="004562B3"/>
    <w:rsid w:val="00456342"/>
    <w:rsid w:val="00456364"/>
    <w:rsid w:val="004563E3"/>
    <w:rsid w:val="004565DC"/>
    <w:rsid w:val="004566D1"/>
    <w:rsid w:val="00456948"/>
    <w:rsid w:val="004569D1"/>
    <w:rsid w:val="004569DA"/>
    <w:rsid w:val="00456A73"/>
    <w:rsid w:val="00456B9B"/>
    <w:rsid w:val="00456E33"/>
    <w:rsid w:val="0045712A"/>
    <w:rsid w:val="004574F7"/>
    <w:rsid w:val="00457580"/>
    <w:rsid w:val="004575E6"/>
    <w:rsid w:val="00457857"/>
    <w:rsid w:val="00457A26"/>
    <w:rsid w:val="00457BF2"/>
    <w:rsid w:val="00457F3F"/>
    <w:rsid w:val="004601BD"/>
    <w:rsid w:val="00460383"/>
    <w:rsid w:val="00460BB8"/>
    <w:rsid w:val="00460BEF"/>
    <w:rsid w:val="00460C27"/>
    <w:rsid w:val="00460D2C"/>
    <w:rsid w:val="00460EF5"/>
    <w:rsid w:val="00460F4E"/>
    <w:rsid w:val="00460FAB"/>
    <w:rsid w:val="00460FDB"/>
    <w:rsid w:val="0046108A"/>
    <w:rsid w:val="004610D5"/>
    <w:rsid w:val="004611C4"/>
    <w:rsid w:val="00461412"/>
    <w:rsid w:val="004614D7"/>
    <w:rsid w:val="00461880"/>
    <w:rsid w:val="004619F5"/>
    <w:rsid w:val="00461B44"/>
    <w:rsid w:val="00461C3C"/>
    <w:rsid w:val="00461D61"/>
    <w:rsid w:val="00461E64"/>
    <w:rsid w:val="00461F25"/>
    <w:rsid w:val="00462381"/>
    <w:rsid w:val="00462568"/>
    <w:rsid w:val="00462586"/>
    <w:rsid w:val="00462895"/>
    <w:rsid w:val="004628A7"/>
    <w:rsid w:val="00462971"/>
    <w:rsid w:val="00462AF6"/>
    <w:rsid w:val="00462B9C"/>
    <w:rsid w:val="00462BA3"/>
    <w:rsid w:val="00462E0A"/>
    <w:rsid w:val="00462E4E"/>
    <w:rsid w:val="00462E57"/>
    <w:rsid w:val="0046305F"/>
    <w:rsid w:val="004634D7"/>
    <w:rsid w:val="00463565"/>
    <w:rsid w:val="0046366E"/>
    <w:rsid w:val="0046371F"/>
    <w:rsid w:val="00463779"/>
    <w:rsid w:val="00463891"/>
    <w:rsid w:val="00463A94"/>
    <w:rsid w:val="00463D8B"/>
    <w:rsid w:val="0046403C"/>
    <w:rsid w:val="0046419E"/>
    <w:rsid w:val="004644CC"/>
    <w:rsid w:val="00464582"/>
    <w:rsid w:val="004646C5"/>
    <w:rsid w:val="004646C7"/>
    <w:rsid w:val="0046476B"/>
    <w:rsid w:val="00464843"/>
    <w:rsid w:val="00464961"/>
    <w:rsid w:val="00464B8D"/>
    <w:rsid w:val="00464E1D"/>
    <w:rsid w:val="00464E34"/>
    <w:rsid w:val="00465052"/>
    <w:rsid w:val="00465058"/>
    <w:rsid w:val="004652C7"/>
    <w:rsid w:val="0046545B"/>
    <w:rsid w:val="0046546A"/>
    <w:rsid w:val="00465489"/>
    <w:rsid w:val="0046550A"/>
    <w:rsid w:val="0046569A"/>
    <w:rsid w:val="004656E7"/>
    <w:rsid w:val="00465839"/>
    <w:rsid w:val="00465A30"/>
    <w:rsid w:val="00465A68"/>
    <w:rsid w:val="00465A75"/>
    <w:rsid w:val="00465EFF"/>
    <w:rsid w:val="004661BA"/>
    <w:rsid w:val="004662D9"/>
    <w:rsid w:val="0046680E"/>
    <w:rsid w:val="00466855"/>
    <w:rsid w:val="00466DF9"/>
    <w:rsid w:val="00466E96"/>
    <w:rsid w:val="00466F27"/>
    <w:rsid w:val="004670DA"/>
    <w:rsid w:val="00467202"/>
    <w:rsid w:val="004675A6"/>
    <w:rsid w:val="004675C1"/>
    <w:rsid w:val="0046789A"/>
    <w:rsid w:val="00467B18"/>
    <w:rsid w:val="00467C0E"/>
    <w:rsid w:val="00467D15"/>
    <w:rsid w:val="00467E4E"/>
    <w:rsid w:val="00467F0D"/>
    <w:rsid w:val="00467F29"/>
    <w:rsid w:val="00470002"/>
    <w:rsid w:val="0047018C"/>
    <w:rsid w:val="0047019F"/>
    <w:rsid w:val="0047020F"/>
    <w:rsid w:val="004708E1"/>
    <w:rsid w:val="00470924"/>
    <w:rsid w:val="0047097F"/>
    <w:rsid w:val="00470A02"/>
    <w:rsid w:val="00470BA1"/>
    <w:rsid w:val="00470D94"/>
    <w:rsid w:val="00470F04"/>
    <w:rsid w:val="0047102A"/>
    <w:rsid w:val="0047103C"/>
    <w:rsid w:val="004711AD"/>
    <w:rsid w:val="00471454"/>
    <w:rsid w:val="00471568"/>
    <w:rsid w:val="004715E9"/>
    <w:rsid w:val="00471954"/>
    <w:rsid w:val="00471ACA"/>
    <w:rsid w:val="00471C02"/>
    <w:rsid w:val="00471C14"/>
    <w:rsid w:val="00471D1C"/>
    <w:rsid w:val="00471DA8"/>
    <w:rsid w:val="00471E6F"/>
    <w:rsid w:val="004720BD"/>
    <w:rsid w:val="00472270"/>
    <w:rsid w:val="00472277"/>
    <w:rsid w:val="00472292"/>
    <w:rsid w:val="00472606"/>
    <w:rsid w:val="0047273F"/>
    <w:rsid w:val="00472776"/>
    <w:rsid w:val="00472ADC"/>
    <w:rsid w:val="00472F10"/>
    <w:rsid w:val="00472F13"/>
    <w:rsid w:val="00472F7B"/>
    <w:rsid w:val="00472FCB"/>
    <w:rsid w:val="004732E0"/>
    <w:rsid w:val="00473364"/>
    <w:rsid w:val="004734CD"/>
    <w:rsid w:val="00473813"/>
    <w:rsid w:val="0047395A"/>
    <w:rsid w:val="00473B30"/>
    <w:rsid w:val="00473BA2"/>
    <w:rsid w:val="00473BBD"/>
    <w:rsid w:val="00473C74"/>
    <w:rsid w:val="00473CF1"/>
    <w:rsid w:val="00473EC1"/>
    <w:rsid w:val="00473FCE"/>
    <w:rsid w:val="00474304"/>
    <w:rsid w:val="00474574"/>
    <w:rsid w:val="004748E9"/>
    <w:rsid w:val="00474B9F"/>
    <w:rsid w:val="00474C58"/>
    <w:rsid w:val="00475306"/>
    <w:rsid w:val="00475373"/>
    <w:rsid w:val="00475418"/>
    <w:rsid w:val="00475630"/>
    <w:rsid w:val="004757B7"/>
    <w:rsid w:val="0047589C"/>
    <w:rsid w:val="004758B6"/>
    <w:rsid w:val="00475940"/>
    <w:rsid w:val="0047597D"/>
    <w:rsid w:val="00475C15"/>
    <w:rsid w:val="00475F95"/>
    <w:rsid w:val="0047608B"/>
    <w:rsid w:val="00476098"/>
    <w:rsid w:val="00476196"/>
    <w:rsid w:val="004761EF"/>
    <w:rsid w:val="004762FC"/>
    <w:rsid w:val="00476301"/>
    <w:rsid w:val="004764B7"/>
    <w:rsid w:val="004764F5"/>
    <w:rsid w:val="004765A3"/>
    <w:rsid w:val="004766D1"/>
    <w:rsid w:val="0047698A"/>
    <w:rsid w:val="00476A9E"/>
    <w:rsid w:val="00476ADB"/>
    <w:rsid w:val="00476BB9"/>
    <w:rsid w:val="00476D4D"/>
    <w:rsid w:val="00476F3F"/>
    <w:rsid w:val="00476FBA"/>
    <w:rsid w:val="004771B0"/>
    <w:rsid w:val="004772BA"/>
    <w:rsid w:val="00477327"/>
    <w:rsid w:val="00477427"/>
    <w:rsid w:val="004775C4"/>
    <w:rsid w:val="004776C9"/>
    <w:rsid w:val="004776E8"/>
    <w:rsid w:val="00477818"/>
    <w:rsid w:val="00477831"/>
    <w:rsid w:val="00477898"/>
    <w:rsid w:val="004778BE"/>
    <w:rsid w:val="00477AF0"/>
    <w:rsid w:val="00477C5B"/>
    <w:rsid w:val="00477D81"/>
    <w:rsid w:val="00477D8C"/>
    <w:rsid w:val="00477DB0"/>
    <w:rsid w:val="004800CE"/>
    <w:rsid w:val="004803B7"/>
    <w:rsid w:val="0048055D"/>
    <w:rsid w:val="0048059B"/>
    <w:rsid w:val="00480ABA"/>
    <w:rsid w:val="00480D64"/>
    <w:rsid w:val="00480F68"/>
    <w:rsid w:val="004811F3"/>
    <w:rsid w:val="00481218"/>
    <w:rsid w:val="00481378"/>
    <w:rsid w:val="004813F4"/>
    <w:rsid w:val="004815A2"/>
    <w:rsid w:val="004815B7"/>
    <w:rsid w:val="00481638"/>
    <w:rsid w:val="0048190B"/>
    <w:rsid w:val="00481A42"/>
    <w:rsid w:val="00481B1D"/>
    <w:rsid w:val="00481B63"/>
    <w:rsid w:val="00481C9D"/>
    <w:rsid w:val="00481E80"/>
    <w:rsid w:val="00481E9C"/>
    <w:rsid w:val="00482041"/>
    <w:rsid w:val="0048206C"/>
    <w:rsid w:val="00482181"/>
    <w:rsid w:val="004821AA"/>
    <w:rsid w:val="004821CA"/>
    <w:rsid w:val="00482454"/>
    <w:rsid w:val="004825C7"/>
    <w:rsid w:val="004827E0"/>
    <w:rsid w:val="004828E7"/>
    <w:rsid w:val="00482A58"/>
    <w:rsid w:val="00482B1C"/>
    <w:rsid w:val="00482C2D"/>
    <w:rsid w:val="00482C83"/>
    <w:rsid w:val="00482D00"/>
    <w:rsid w:val="0048323C"/>
    <w:rsid w:val="00483264"/>
    <w:rsid w:val="00483324"/>
    <w:rsid w:val="0048339B"/>
    <w:rsid w:val="0048347E"/>
    <w:rsid w:val="004836FE"/>
    <w:rsid w:val="00483822"/>
    <w:rsid w:val="00483A69"/>
    <w:rsid w:val="00483D71"/>
    <w:rsid w:val="00483E1D"/>
    <w:rsid w:val="00483F39"/>
    <w:rsid w:val="004840CE"/>
    <w:rsid w:val="004841DE"/>
    <w:rsid w:val="00484357"/>
    <w:rsid w:val="0048439E"/>
    <w:rsid w:val="0048445F"/>
    <w:rsid w:val="00484491"/>
    <w:rsid w:val="004844FC"/>
    <w:rsid w:val="00484537"/>
    <w:rsid w:val="00484539"/>
    <w:rsid w:val="004847B0"/>
    <w:rsid w:val="00484832"/>
    <w:rsid w:val="00484877"/>
    <w:rsid w:val="00484A3D"/>
    <w:rsid w:val="00484AC6"/>
    <w:rsid w:val="00484B75"/>
    <w:rsid w:val="00484CAB"/>
    <w:rsid w:val="00484D34"/>
    <w:rsid w:val="00484F0E"/>
    <w:rsid w:val="0048511E"/>
    <w:rsid w:val="004852DC"/>
    <w:rsid w:val="00485334"/>
    <w:rsid w:val="00485703"/>
    <w:rsid w:val="004857BC"/>
    <w:rsid w:val="00485882"/>
    <w:rsid w:val="00485A38"/>
    <w:rsid w:val="00485ACA"/>
    <w:rsid w:val="00485C51"/>
    <w:rsid w:val="00485EE3"/>
    <w:rsid w:val="00485F32"/>
    <w:rsid w:val="00486058"/>
    <w:rsid w:val="0048614C"/>
    <w:rsid w:val="004861E3"/>
    <w:rsid w:val="0048630A"/>
    <w:rsid w:val="004863E9"/>
    <w:rsid w:val="0048662D"/>
    <w:rsid w:val="00486653"/>
    <w:rsid w:val="00486832"/>
    <w:rsid w:val="004868D6"/>
    <w:rsid w:val="00486932"/>
    <w:rsid w:val="00486B08"/>
    <w:rsid w:val="00486B93"/>
    <w:rsid w:val="00487092"/>
    <w:rsid w:val="00487122"/>
    <w:rsid w:val="004871A8"/>
    <w:rsid w:val="004872C5"/>
    <w:rsid w:val="00487413"/>
    <w:rsid w:val="00487478"/>
    <w:rsid w:val="0048759A"/>
    <w:rsid w:val="00487724"/>
    <w:rsid w:val="00487726"/>
    <w:rsid w:val="00487A6F"/>
    <w:rsid w:val="00487CC4"/>
    <w:rsid w:val="00487EA0"/>
    <w:rsid w:val="00487EB6"/>
    <w:rsid w:val="0049007B"/>
    <w:rsid w:val="004904EC"/>
    <w:rsid w:val="00490530"/>
    <w:rsid w:val="00490624"/>
    <w:rsid w:val="004909E7"/>
    <w:rsid w:val="00490C58"/>
    <w:rsid w:val="00490C64"/>
    <w:rsid w:val="00490F56"/>
    <w:rsid w:val="0049115D"/>
    <w:rsid w:val="00491195"/>
    <w:rsid w:val="0049122F"/>
    <w:rsid w:val="0049127E"/>
    <w:rsid w:val="004914F2"/>
    <w:rsid w:val="00491630"/>
    <w:rsid w:val="00491670"/>
    <w:rsid w:val="004916F5"/>
    <w:rsid w:val="00491B43"/>
    <w:rsid w:val="00491CB0"/>
    <w:rsid w:val="00491F19"/>
    <w:rsid w:val="00492011"/>
    <w:rsid w:val="0049218B"/>
    <w:rsid w:val="00492241"/>
    <w:rsid w:val="00492245"/>
    <w:rsid w:val="0049225D"/>
    <w:rsid w:val="004923C4"/>
    <w:rsid w:val="004924C6"/>
    <w:rsid w:val="00492799"/>
    <w:rsid w:val="00492828"/>
    <w:rsid w:val="00492954"/>
    <w:rsid w:val="004929D8"/>
    <w:rsid w:val="00492B3D"/>
    <w:rsid w:val="00492C19"/>
    <w:rsid w:val="00492C69"/>
    <w:rsid w:val="00492D0D"/>
    <w:rsid w:val="00492DD1"/>
    <w:rsid w:val="00492EAB"/>
    <w:rsid w:val="00492F98"/>
    <w:rsid w:val="004930C7"/>
    <w:rsid w:val="0049311E"/>
    <w:rsid w:val="00493133"/>
    <w:rsid w:val="00493187"/>
    <w:rsid w:val="0049369F"/>
    <w:rsid w:val="00493ABC"/>
    <w:rsid w:val="00493D1B"/>
    <w:rsid w:val="00493ED8"/>
    <w:rsid w:val="00493FA1"/>
    <w:rsid w:val="00493FCC"/>
    <w:rsid w:val="0049406D"/>
    <w:rsid w:val="00494217"/>
    <w:rsid w:val="00494478"/>
    <w:rsid w:val="004944A6"/>
    <w:rsid w:val="004947B1"/>
    <w:rsid w:val="00494922"/>
    <w:rsid w:val="00494BE0"/>
    <w:rsid w:val="00494CCB"/>
    <w:rsid w:val="00495300"/>
    <w:rsid w:val="00495418"/>
    <w:rsid w:val="00495594"/>
    <w:rsid w:val="004957AF"/>
    <w:rsid w:val="004959BA"/>
    <w:rsid w:val="00495A2D"/>
    <w:rsid w:val="00495AB4"/>
    <w:rsid w:val="00495AD3"/>
    <w:rsid w:val="00495AE3"/>
    <w:rsid w:val="00495C5B"/>
    <w:rsid w:val="00495D3F"/>
    <w:rsid w:val="00495EE6"/>
    <w:rsid w:val="0049613D"/>
    <w:rsid w:val="0049617B"/>
    <w:rsid w:val="004961C1"/>
    <w:rsid w:val="004961DC"/>
    <w:rsid w:val="00496290"/>
    <w:rsid w:val="004963F1"/>
    <w:rsid w:val="0049652B"/>
    <w:rsid w:val="00496549"/>
    <w:rsid w:val="0049655F"/>
    <w:rsid w:val="00496C61"/>
    <w:rsid w:val="00496CC3"/>
    <w:rsid w:val="00497033"/>
    <w:rsid w:val="00497087"/>
    <w:rsid w:val="00497097"/>
    <w:rsid w:val="004971D7"/>
    <w:rsid w:val="00497382"/>
    <w:rsid w:val="004973EE"/>
    <w:rsid w:val="004974BB"/>
    <w:rsid w:val="00497556"/>
    <w:rsid w:val="00497764"/>
    <w:rsid w:val="00497961"/>
    <w:rsid w:val="00497979"/>
    <w:rsid w:val="00497ABB"/>
    <w:rsid w:val="00497DF5"/>
    <w:rsid w:val="00497E4D"/>
    <w:rsid w:val="00497EF4"/>
    <w:rsid w:val="00497F4B"/>
    <w:rsid w:val="00497F78"/>
    <w:rsid w:val="004A004D"/>
    <w:rsid w:val="004A0164"/>
    <w:rsid w:val="004A0348"/>
    <w:rsid w:val="004A061A"/>
    <w:rsid w:val="004A0722"/>
    <w:rsid w:val="004A0725"/>
    <w:rsid w:val="004A0927"/>
    <w:rsid w:val="004A0C23"/>
    <w:rsid w:val="004A0F8E"/>
    <w:rsid w:val="004A0F92"/>
    <w:rsid w:val="004A110D"/>
    <w:rsid w:val="004A119D"/>
    <w:rsid w:val="004A11C8"/>
    <w:rsid w:val="004A12A4"/>
    <w:rsid w:val="004A1486"/>
    <w:rsid w:val="004A14CC"/>
    <w:rsid w:val="004A153B"/>
    <w:rsid w:val="004A16D0"/>
    <w:rsid w:val="004A1867"/>
    <w:rsid w:val="004A1C24"/>
    <w:rsid w:val="004A222A"/>
    <w:rsid w:val="004A2253"/>
    <w:rsid w:val="004A22A8"/>
    <w:rsid w:val="004A239B"/>
    <w:rsid w:val="004A251B"/>
    <w:rsid w:val="004A276D"/>
    <w:rsid w:val="004A2790"/>
    <w:rsid w:val="004A288E"/>
    <w:rsid w:val="004A2CE0"/>
    <w:rsid w:val="004A2E32"/>
    <w:rsid w:val="004A2EF0"/>
    <w:rsid w:val="004A311C"/>
    <w:rsid w:val="004A3210"/>
    <w:rsid w:val="004A3287"/>
    <w:rsid w:val="004A328D"/>
    <w:rsid w:val="004A3552"/>
    <w:rsid w:val="004A37A5"/>
    <w:rsid w:val="004A38E4"/>
    <w:rsid w:val="004A3A57"/>
    <w:rsid w:val="004A3C7E"/>
    <w:rsid w:val="004A40EC"/>
    <w:rsid w:val="004A425F"/>
    <w:rsid w:val="004A445D"/>
    <w:rsid w:val="004A45CC"/>
    <w:rsid w:val="004A4731"/>
    <w:rsid w:val="004A473A"/>
    <w:rsid w:val="004A48AD"/>
    <w:rsid w:val="004A492E"/>
    <w:rsid w:val="004A4DD4"/>
    <w:rsid w:val="004A4F25"/>
    <w:rsid w:val="004A4F38"/>
    <w:rsid w:val="004A4FDA"/>
    <w:rsid w:val="004A5202"/>
    <w:rsid w:val="004A5485"/>
    <w:rsid w:val="004A561D"/>
    <w:rsid w:val="004A56A5"/>
    <w:rsid w:val="004A56F9"/>
    <w:rsid w:val="004A57C9"/>
    <w:rsid w:val="004A5E48"/>
    <w:rsid w:val="004A5EF8"/>
    <w:rsid w:val="004A6124"/>
    <w:rsid w:val="004A624E"/>
    <w:rsid w:val="004A633E"/>
    <w:rsid w:val="004A6372"/>
    <w:rsid w:val="004A67EA"/>
    <w:rsid w:val="004A67F8"/>
    <w:rsid w:val="004A6E2E"/>
    <w:rsid w:val="004A6E88"/>
    <w:rsid w:val="004A6EC7"/>
    <w:rsid w:val="004A7393"/>
    <w:rsid w:val="004A73E7"/>
    <w:rsid w:val="004A7681"/>
    <w:rsid w:val="004A780A"/>
    <w:rsid w:val="004A7C5D"/>
    <w:rsid w:val="004A7C9E"/>
    <w:rsid w:val="004A7CED"/>
    <w:rsid w:val="004A7D85"/>
    <w:rsid w:val="004A7DC2"/>
    <w:rsid w:val="004A7F59"/>
    <w:rsid w:val="004B0063"/>
    <w:rsid w:val="004B015A"/>
    <w:rsid w:val="004B01B3"/>
    <w:rsid w:val="004B0416"/>
    <w:rsid w:val="004B044B"/>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C8B"/>
    <w:rsid w:val="004B1CB8"/>
    <w:rsid w:val="004B1CCB"/>
    <w:rsid w:val="004B1F21"/>
    <w:rsid w:val="004B2673"/>
    <w:rsid w:val="004B273D"/>
    <w:rsid w:val="004B278A"/>
    <w:rsid w:val="004B2A08"/>
    <w:rsid w:val="004B2BC3"/>
    <w:rsid w:val="004B2E03"/>
    <w:rsid w:val="004B2ECA"/>
    <w:rsid w:val="004B3007"/>
    <w:rsid w:val="004B3081"/>
    <w:rsid w:val="004B3166"/>
    <w:rsid w:val="004B3433"/>
    <w:rsid w:val="004B369C"/>
    <w:rsid w:val="004B3705"/>
    <w:rsid w:val="004B3758"/>
    <w:rsid w:val="004B381E"/>
    <w:rsid w:val="004B396E"/>
    <w:rsid w:val="004B3CE5"/>
    <w:rsid w:val="004B4026"/>
    <w:rsid w:val="004B414A"/>
    <w:rsid w:val="004B41DE"/>
    <w:rsid w:val="004B464C"/>
    <w:rsid w:val="004B47D4"/>
    <w:rsid w:val="004B493A"/>
    <w:rsid w:val="004B4989"/>
    <w:rsid w:val="004B4F6D"/>
    <w:rsid w:val="004B4FDC"/>
    <w:rsid w:val="004B4FEB"/>
    <w:rsid w:val="004B50CC"/>
    <w:rsid w:val="004B514D"/>
    <w:rsid w:val="004B520B"/>
    <w:rsid w:val="004B5279"/>
    <w:rsid w:val="004B529A"/>
    <w:rsid w:val="004B53A5"/>
    <w:rsid w:val="004B5512"/>
    <w:rsid w:val="004B58F4"/>
    <w:rsid w:val="004B5A4E"/>
    <w:rsid w:val="004B5B98"/>
    <w:rsid w:val="004B5CA7"/>
    <w:rsid w:val="004B5CE2"/>
    <w:rsid w:val="004B610C"/>
    <w:rsid w:val="004B6278"/>
    <w:rsid w:val="004B637D"/>
    <w:rsid w:val="004B64A4"/>
    <w:rsid w:val="004B6644"/>
    <w:rsid w:val="004B67FD"/>
    <w:rsid w:val="004B6959"/>
    <w:rsid w:val="004B6A81"/>
    <w:rsid w:val="004B6C6B"/>
    <w:rsid w:val="004B6F66"/>
    <w:rsid w:val="004B71A8"/>
    <w:rsid w:val="004B723F"/>
    <w:rsid w:val="004B766E"/>
    <w:rsid w:val="004B76CE"/>
    <w:rsid w:val="004B780A"/>
    <w:rsid w:val="004B78D5"/>
    <w:rsid w:val="004B7902"/>
    <w:rsid w:val="004B7AAB"/>
    <w:rsid w:val="004B7B7A"/>
    <w:rsid w:val="004B7C5E"/>
    <w:rsid w:val="004B7D4B"/>
    <w:rsid w:val="004B7DF2"/>
    <w:rsid w:val="004C014C"/>
    <w:rsid w:val="004C01A1"/>
    <w:rsid w:val="004C01C3"/>
    <w:rsid w:val="004C0274"/>
    <w:rsid w:val="004C02B9"/>
    <w:rsid w:val="004C02E4"/>
    <w:rsid w:val="004C051D"/>
    <w:rsid w:val="004C062D"/>
    <w:rsid w:val="004C07E4"/>
    <w:rsid w:val="004C0A07"/>
    <w:rsid w:val="004C0A5B"/>
    <w:rsid w:val="004C0BC0"/>
    <w:rsid w:val="004C0C68"/>
    <w:rsid w:val="004C134F"/>
    <w:rsid w:val="004C1382"/>
    <w:rsid w:val="004C160D"/>
    <w:rsid w:val="004C1680"/>
    <w:rsid w:val="004C17AB"/>
    <w:rsid w:val="004C1A52"/>
    <w:rsid w:val="004C1BC0"/>
    <w:rsid w:val="004C1CEB"/>
    <w:rsid w:val="004C1D63"/>
    <w:rsid w:val="004C1DA9"/>
    <w:rsid w:val="004C1E09"/>
    <w:rsid w:val="004C20A3"/>
    <w:rsid w:val="004C20C0"/>
    <w:rsid w:val="004C212E"/>
    <w:rsid w:val="004C214E"/>
    <w:rsid w:val="004C2197"/>
    <w:rsid w:val="004C22C8"/>
    <w:rsid w:val="004C2487"/>
    <w:rsid w:val="004C25CA"/>
    <w:rsid w:val="004C26B3"/>
    <w:rsid w:val="004C26CE"/>
    <w:rsid w:val="004C2899"/>
    <w:rsid w:val="004C2C00"/>
    <w:rsid w:val="004C2DE0"/>
    <w:rsid w:val="004C31A6"/>
    <w:rsid w:val="004C32F8"/>
    <w:rsid w:val="004C3537"/>
    <w:rsid w:val="004C3728"/>
    <w:rsid w:val="004C3950"/>
    <w:rsid w:val="004C3985"/>
    <w:rsid w:val="004C3992"/>
    <w:rsid w:val="004C3AA5"/>
    <w:rsid w:val="004C3C7D"/>
    <w:rsid w:val="004C3D23"/>
    <w:rsid w:val="004C4066"/>
    <w:rsid w:val="004C40A5"/>
    <w:rsid w:val="004C44D0"/>
    <w:rsid w:val="004C469C"/>
    <w:rsid w:val="004C47E8"/>
    <w:rsid w:val="004C4913"/>
    <w:rsid w:val="004C49CD"/>
    <w:rsid w:val="004C4B3A"/>
    <w:rsid w:val="004C4BD5"/>
    <w:rsid w:val="004C4D64"/>
    <w:rsid w:val="004C4F74"/>
    <w:rsid w:val="004C5682"/>
    <w:rsid w:val="004C59D7"/>
    <w:rsid w:val="004C5BC0"/>
    <w:rsid w:val="004C60AF"/>
    <w:rsid w:val="004C6132"/>
    <w:rsid w:val="004C6208"/>
    <w:rsid w:val="004C623C"/>
    <w:rsid w:val="004C6481"/>
    <w:rsid w:val="004C65F0"/>
    <w:rsid w:val="004C6AF2"/>
    <w:rsid w:val="004C6B0F"/>
    <w:rsid w:val="004C6C10"/>
    <w:rsid w:val="004C6C4D"/>
    <w:rsid w:val="004C6E2F"/>
    <w:rsid w:val="004C6F94"/>
    <w:rsid w:val="004C70C9"/>
    <w:rsid w:val="004C70CE"/>
    <w:rsid w:val="004C712B"/>
    <w:rsid w:val="004C7372"/>
    <w:rsid w:val="004C7426"/>
    <w:rsid w:val="004C75B2"/>
    <w:rsid w:val="004C7671"/>
    <w:rsid w:val="004C76BD"/>
    <w:rsid w:val="004C7868"/>
    <w:rsid w:val="004C787B"/>
    <w:rsid w:val="004C7AF0"/>
    <w:rsid w:val="004C7D69"/>
    <w:rsid w:val="004C7D71"/>
    <w:rsid w:val="004C7EED"/>
    <w:rsid w:val="004C7F83"/>
    <w:rsid w:val="004D0150"/>
    <w:rsid w:val="004D079D"/>
    <w:rsid w:val="004D07DB"/>
    <w:rsid w:val="004D0965"/>
    <w:rsid w:val="004D0C08"/>
    <w:rsid w:val="004D0C61"/>
    <w:rsid w:val="004D0C8B"/>
    <w:rsid w:val="004D0CC0"/>
    <w:rsid w:val="004D0CEA"/>
    <w:rsid w:val="004D0DA6"/>
    <w:rsid w:val="004D0E36"/>
    <w:rsid w:val="004D0EB8"/>
    <w:rsid w:val="004D0FA1"/>
    <w:rsid w:val="004D0FA5"/>
    <w:rsid w:val="004D12BD"/>
    <w:rsid w:val="004D13EE"/>
    <w:rsid w:val="004D15C9"/>
    <w:rsid w:val="004D18F2"/>
    <w:rsid w:val="004D1A65"/>
    <w:rsid w:val="004D1B50"/>
    <w:rsid w:val="004D1F26"/>
    <w:rsid w:val="004D210D"/>
    <w:rsid w:val="004D21A4"/>
    <w:rsid w:val="004D25FF"/>
    <w:rsid w:val="004D2874"/>
    <w:rsid w:val="004D28A3"/>
    <w:rsid w:val="004D2B12"/>
    <w:rsid w:val="004D2C48"/>
    <w:rsid w:val="004D2C7C"/>
    <w:rsid w:val="004D2E64"/>
    <w:rsid w:val="004D2FED"/>
    <w:rsid w:val="004D30B5"/>
    <w:rsid w:val="004D31C6"/>
    <w:rsid w:val="004D3476"/>
    <w:rsid w:val="004D3A33"/>
    <w:rsid w:val="004D3A66"/>
    <w:rsid w:val="004D3C52"/>
    <w:rsid w:val="004D3EA2"/>
    <w:rsid w:val="004D3FFA"/>
    <w:rsid w:val="004D4109"/>
    <w:rsid w:val="004D419A"/>
    <w:rsid w:val="004D43A0"/>
    <w:rsid w:val="004D45AF"/>
    <w:rsid w:val="004D4B0E"/>
    <w:rsid w:val="004D4C37"/>
    <w:rsid w:val="004D4E0D"/>
    <w:rsid w:val="004D5047"/>
    <w:rsid w:val="004D51A3"/>
    <w:rsid w:val="004D537D"/>
    <w:rsid w:val="004D53BC"/>
    <w:rsid w:val="004D5714"/>
    <w:rsid w:val="004D57C1"/>
    <w:rsid w:val="004D598E"/>
    <w:rsid w:val="004D5B0E"/>
    <w:rsid w:val="004D5C4F"/>
    <w:rsid w:val="004D5E4C"/>
    <w:rsid w:val="004D5EC1"/>
    <w:rsid w:val="004D600D"/>
    <w:rsid w:val="004D617F"/>
    <w:rsid w:val="004D61E6"/>
    <w:rsid w:val="004D6484"/>
    <w:rsid w:val="004D6759"/>
    <w:rsid w:val="004D6776"/>
    <w:rsid w:val="004D6A63"/>
    <w:rsid w:val="004D6CF7"/>
    <w:rsid w:val="004D6D59"/>
    <w:rsid w:val="004D6EBF"/>
    <w:rsid w:val="004D729D"/>
    <w:rsid w:val="004D73A4"/>
    <w:rsid w:val="004D7423"/>
    <w:rsid w:val="004D7A8D"/>
    <w:rsid w:val="004D7E1D"/>
    <w:rsid w:val="004D7F1A"/>
    <w:rsid w:val="004E002C"/>
    <w:rsid w:val="004E0290"/>
    <w:rsid w:val="004E030E"/>
    <w:rsid w:val="004E072A"/>
    <w:rsid w:val="004E093E"/>
    <w:rsid w:val="004E0BC8"/>
    <w:rsid w:val="004E0DDA"/>
    <w:rsid w:val="004E10F7"/>
    <w:rsid w:val="004E1397"/>
    <w:rsid w:val="004E14EE"/>
    <w:rsid w:val="004E1520"/>
    <w:rsid w:val="004E1682"/>
    <w:rsid w:val="004E1A52"/>
    <w:rsid w:val="004E1A87"/>
    <w:rsid w:val="004E1B10"/>
    <w:rsid w:val="004E1B68"/>
    <w:rsid w:val="004E1C1F"/>
    <w:rsid w:val="004E1C51"/>
    <w:rsid w:val="004E1D59"/>
    <w:rsid w:val="004E1E94"/>
    <w:rsid w:val="004E1FE7"/>
    <w:rsid w:val="004E1FF6"/>
    <w:rsid w:val="004E2023"/>
    <w:rsid w:val="004E20CB"/>
    <w:rsid w:val="004E2237"/>
    <w:rsid w:val="004E22B6"/>
    <w:rsid w:val="004E2414"/>
    <w:rsid w:val="004E243D"/>
    <w:rsid w:val="004E248A"/>
    <w:rsid w:val="004E2514"/>
    <w:rsid w:val="004E25D9"/>
    <w:rsid w:val="004E28E9"/>
    <w:rsid w:val="004E299C"/>
    <w:rsid w:val="004E29EB"/>
    <w:rsid w:val="004E2B86"/>
    <w:rsid w:val="004E2C78"/>
    <w:rsid w:val="004E2C9E"/>
    <w:rsid w:val="004E2D2A"/>
    <w:rsid w:val="004E30A3"/>
    <w:rsid w:val="004E31F2"/>
    <w:rsid w:val="004E34FF"/>
    <w:rsid w:val="004E35E1"/>
    <w:rsid w:val="004E3679"/>
    <w:rsid w:val="004E3A8B"/>
    <w:rsid w:val="004E3B66"/>
    <w:rsid w:val="004E3DCB"/>
    <w:rsid w:val="004E3EFE"/>
    <w:rsid w:val="004E3F98"/>
    <w:rsid w:val="004E3FAF"/>
    <w:rsid w:val="004E41BD"/>
    <w:rsid w:val="004E4716"/>
    <w:rsid w:val="004E4739"/>
    <w:rsid w:val="004E4882"/>
    <w:rsid w:val="004E4ECA"/>
    <w:rsid w:val="004E558F"/>
    <w:rsid w:val="004E5809"/>
    <w:rsid w:val="004E5903"/>
    <w:rsid w:val="004E5B91"/>
    <w:rsid w:val="004E5C8C"/>
    <w:rsid w:val="004E5D10"/>
    <w:rsid w:val="004E5E01"/>
    <w:rsid w:val="004E5FC7"/>
    <w:rsid w:val="004E5FDD"/>
    <w:rsid w:val="004E5FF0"/>
    <w:rsid w:val="004E635C"/>
    <w:rsid w:val="004E6539"/>
    <w:rsid w:val="004E69B2"/>
    <w:rsid w:val="004E6B3B"/>
    <w:rsid w:val="004E6BBF"/>
    <w:rsid w:val="004E6DB3"/>
    <w:rsid w:val="004E6DE9"/>
    <w:rsid w:val="004E6EA2"/>
    <w:rsid w:val="004E7592"/>
    <w:rsid w:val="004E7782"/>
    <w:rsid w:val="004E7B11"/>
    <w:rsid w:val="004E7F08"/>
    <w:rsid w:val="004E7F74"/>
    <w:rsid w:val="004F0050"/>
    <w:rsid w:val="004F03F3"/>
    <w:rsid w:val="004F03FE"/>
    <w:rsid w:val="004F06F2"/>
    <w:rsid w:val="004F0C1D"/>
    <w:rsid w:val="004F0EB9"/>
    <w:rsid w:val="004F124E"/>
    <w:rsid w:val="004F1532"/>
    <w:rsid w:val="004F16A4"/>
    <w:rsid w:val="004F1878"/>
    <w:rsid w:val="004F19EC"/>
    <w:rsid w:val="004F1BE6"/>
    <w:rsid w:val="004F1D0F"/>
    <w:rsid w:val="004F1D1F"/>
    <w:rsid w:val="004F1D67"/>
    <w:rsid w:val="004F1D7F"/>
    <w:rsid w:val="004F1DD5"/>
    <w:rsid w:val="004F1E67"/>
    <w:rsid w:val="004F1EC8"/>
    <w:rsid w:val="004F208F"/>
    <w:rsid w:val="004F21BC"/>
    <w:rsid w:val="004F223B"/>
    <w:rsid w:val="004F228C"/>
    <w:rsid w:val="004F2301"/>
    <w:rsid w:val="004F233B"/>
    <w:rsid w:val="004F23F5"/>
    <w:rsid w:val="004F23FB"/>
    <w:rsid w:val="004F242E"/>
    <w:rsid w:val="004F2AC4"/>
    <w:rsid w:val="004F2BCC"/>
    <w:rsid w:val="004F2D0D"/>
    <w:rsid w:val="004F2D20"/>
    <w:rsid w:val="004F3083"/>
    <w:rsid w:val="004F3084"/>
    <w:rsid w:val="004F3100"/>
    <w:rsid w:val="004F33EF"/>
    <w:rsid w:val="004F35E4"/>
    <w:rsid w:val="004F39D2"/>
    <w:rsid w:val="004F3A51"/>
    <w:rsid w:val="004F3B73"/>
    <w:rsid w:val="004F3B90"/>
    <w:rsid w:val="004F3E30"/>
    <w:rsid w:val="004F3EF7"/>
    <w:rsid w:val="004F42E6"/>
    <w:rsid w:val="004F4476"/>
    <w:rsid w:val="004F4617"/>
    <w:rsid w:val="004F463C"/>
    <w:rsid w:val="004F46B2"/>
    <w:rsid w:val="004F47D6"/>
    <w:rsid w:val="004F4C39"/>
    <w:rsid w:val="004F4DB8"/>
    <w:rsid w:val="004F4F6C"/>
    <w:rsid w:val="004F4FB2"/>
    <w:rsid w:val="004F5070"/>
    <w:rsid w:val="004F5126"/>
    <w:rsid w:val="004F5136"/>
    <w:rsid w:val="004F51DD"/>
    <w:rsid w:val="004F5229"/>
    <w:rsid w:val="004F537F"/>
    <w:rsid w:val="004F547D"/>
    <w:rsid w:val="004F552B"/>
    <w:rsid w:val="004F55F9"/>
    <w:rsid w:val="004F5712"/>
    <w:rsid w:val="004F5787"/>
    <w:rsid w:val="004F5B42"/>
    <w:rsid w:val="004F5D23"/>
    <w:rsid w:val="004F5D5A"/>
    <w:rsid w:val="004F5D88"/>
    <w:rsid w:val="004F5F89"/>
    <w:rsid w:val="004F607E"/>
    <w:rsid w:val="004F60F3"/>
    <w:rsid w:val="004F6248"/>
    <w:rsid w:val="004F62B5"/>
    <w:rsid w:val="004F6307"/>
    <w:rsid w:val="004F6328"/>
    <w:rsid w:val="004F6505"/>
    <w:rsid w:val="004F69C7"/>
    <w:rsid w:val="004F6A2D"/>
    <w:rsid w:val="004F6C5B"/>
    <w:rsid w:val="004F6D01"/>
    <w:rsid w:val="004F6D26"/>
    <w:rsid w:val="004F6ED1"/>
    <w:rsid w:val="004F75AB"/>
    <w:rsid w:val="004F75D3"/>
    <w:rsid w:val="004F77AA"/>
    <w:rsid w:val="004F780A"/>
    <w:rsid w:val="004F7A45"/>
    <w:rsid w:val="004F7B37"/>
    <w:rsid w:val="004F7E33"/>
    <w:rsid w:val="004F7E76"/>
    <w:rsid w:val="004F7EF6"/>
    <w:rsid w:val="004F7FAF"/>
    <w:rsid w:val="005000F0"/>
    <w:rsid w:val="00500169"/>
    <w:rsid w:val="00500544"/>
    <w:rsid w:val="005005F7"/>
    <w:rsid w:val="005006F5"/>
    <w:rsid w:val="00500817"/>
    <w:rsid w:val="00500895"/>
    <w:rsid w:val="00500971"/>
    <w:rsid w:val="00500A94"/>
    <w:rsid w:val="00500B95"/>
    <w:rsid w:val="00500C3A"/>
    <w:rsid w:val="0050110C"/>
    <w:rsid w:val="005012F7"/>
    <w:rsid w:val="005013B7"/>
    <w:rsid w:val="00501686"/>
    <w:rsid w:val="0050173B"/>
    <w:rsid w:val="00501771"/>
    <w:rsid w:val="005017CA"/>
    <w:rsid w:val="00501870"/>
    <w:rsid w:val="005018D7"/>
    <w:rsid w:val="00501961"/>
    <w:rsid w:val="00501A3B"/>
    <w:rsid w:val="00501A6F"/>
    <w:rsid w:val="00501C65"/>
    <w:rsid w:val="00501DDD"/>
    <w:rsid w:val="005021A9"/>
    <w:rsid w:val="00502744"/>
    <w:rsid w:val="00502899"/>
    <w:rsid w:val="00502901"/>
    <w:rsid w:val="00502A86"/>
    <w:rsid w:val="00502AFC"/>
    <w:rsid w:val="00502EFE"/>
    <w:rsid w:val="00502F5A"/>
    <w:rsid w:val="00502FB4"/>
    <w:rsid w:val="00503160"/>
    <w:rsid w:val="0050338B"/>
    <w:rsid w:val="005033F7"/>
    <w:rsid w:val="005034EB"/>
    <w:rsid w:val="005035EA"/>
    <w:rsid w:val="0050364A"/>
    <w:rsid w:val="0050372A"/>
    <w:rsid w:val="00503768"/>
    <w:rsid w:val="00503BAA"/>
    <w:rsid w:val="00503C24"/>
    <w:rsid w:val="00503D95"/>
    <w:rsid w:val="00503F70"/>
    <w:rsid w:val="00504102"/>
    <w:rsid w:val="005042A8"/>
    <w:rsid w:val="005047C1"/>
    <w:rsid w:val="00504828"/>
    <w:rsid w:val="005048B1"/>
    <w:rsid w:val="0050494A"/>
    <w:rsid w:val="00504B3B"/>
    <w:rsid w:val="00504E9C"/>
    <w:rsid w:val="00504EBE"/>
    <w:rsid w:val="00504F9D"/>
    <w:rsid w:val="005055C4"/>
    <w:rsid w:val="00505774"/>
    <w:rsid w:val="00505805"/>
    <w:rsid w:val="0050584D"/>
    <w:rsid w:val="00506293"/>
    <w:rsid w:val="00506295"/>
    <w:rsid w:val="0050631A"/>
    <w:rsid w:val="005066B4"/>
    <w:rsid w:val="005066CF"/>
    <w:rsid w:val="0050678E"/>
    <w:rsid w:val="00506908"/>
    <w:rsid w:val="00506B4A"/>
    <w:rsid w:val="00506CF9"/>
    <w:rsid w:val="00506DA7"/>
    <w:rsid w:val="00506DCF"/>
    <w:rsid w:val="0050708C"/>
    <w:rsid w:val="005070C8"/>
    <w:rsid w:val="00507182"/>
    <w:rsid w:val="005071E9"/>
    <w:rsid w:val="00507218"/>
    <w:rsid w:val="005073A1"/>
    <w:rsid w:val="00507784"/>
    <w:rsid w:val="00507795"/>
    <w:rsid w:val="0050794C"/>
    <w:rsid w:val="00507987"/>
    <w:rsid w:val="005079B7"/>
    <w:rsid w:val="00507AA7"/>
    <w:rsid w:val="00507C63"/>
    <w:rsid w:val="00507D13"/>
    <w:rsid w:val="00507D2F"/>
    <w:rsid w:val="00507DAA"/>
    <w:rsid w:val="005101F4"/>
    <w:rsid w:val="00510418"/>
    <w:rsid w:val="00510476"/>
    <w:rsid w:val="0051057F"/>
    <w:rsid w:val="00510591"/>
    <w:rsid w:val="00510744"/>
    <w:rsid w:val="0051098A"/>
    <w:rsid w:val="00510A03"/>
    <w:rsid w:val="00510F5F"/>
    <w:rsid w:val="0051104C"/>
    <w:rsid w:val="00511257"/>
    <w:rsid w:val="0051132E"/>
    <w:rsid w:val="00511389"/>
    <w:rsid w:val="00511431"/>
    <w:rsid w:val="005114E7"/>
    <w:rsid w:val="00511630"/>
    <w:rsid w:val="00511704"/>
    <w:rsid w:val="005117E5"/>
    <w:rsid w:val="00511851"/>
    <w:rsid w:val="00511A81"/>
    <w:rsid w:val="00511BD1"/>
    <w:rsid w:val="00511FA3"/>
    <w:rsid w:val="00512024"/>
    <w:rsid w:val="00512356"/>
    <w:rsid w:val="0051241C"/>
    <w:rsid w:val="005125F5"/>
    <w:rsid w:val="005127F6"/>
    <w:rsid w:val="00512829"/>
    <w:rsid w:val="00512D70"/>
    <w:rsid w:val="00512D98"/>
    <w:rsid w:val="00512DEF"/>
    <w:rsid w:val="00512F6B"/>
    <w:rsid w:val="005135E9"/>
    <w:rsid w:val="00513763"/>
    <w:rsid w:val="00513B28"/>
    <w:rsid w:val="00513BF4"/>
    <w:rsid w:val="00513F34"/>
    <w:rsid w:val="00513F40"/>
    <w:rsid w:val="005142B7"/>
    <w:rsid w:val="005145B8"/>
    <w:rsid w:val="00514679"/>
    <w:rsid w:val="00514AF5"/>
    <w:rsid w:val="00514B33"/>
    <w:rsid w:val="00514CBA"/>
    <w:rsid w:val="00514E0C"/>
    <w:rsid w:val="00514F32"/>
    <w:rsid w:val="00514FCF"/>
    <w:rsid w:val="0051504A"/>
    <w:rsid w:val="00515099"/>
    <w:rsid w:val="0051513A"/>
    <w:rsid w:val="00515199"/>
    <w:rsid w:val="0051556D"/>
    <w:rsid w:val="005155A5"/>
    <w:rsid w:val="005156D1"/>
    <w:rsid w:val="005156DA"/>
    <w:rsid w:val="005157A6"/>
    <w:rsid w:val="005157EB"/>
    <w:rsid w:val="005157EF"/>
    <w:rsid w:val="00515B0B"/>
    <w:rsid w:val="00515B7F"/>
    <w:rsid w:val="00515C4F"/>
    <w:rsid w:val="00515C7E"/>
    <w:rsid w:val="00515F34"/>
    <w:rsid w:val="00515FAF"/>
    <w:rsid w:val="00516055"/>
    <w:rsid w:val="00516268"/>
    <w:rsid w:val="005162D3"/>
    <w:rsid w:val="005162D7"/>
    <w:rsid w:val="0051635C"/>
    <w:rsid w:val="00516531"/>
    <w:rsid w:val="005166C2"/>
    <w:rsid w:val="00516A91"/>
    <w:rsid w:val="00516ACE"/>
    <w:rsid w:val="00516ADA"/>
    <w:rsid w:val="00516AFF"/>
    <w:rsid w:val="00516CD7"/>
    <w:rsid w:val="00516D7A"/>
    <w:rsid w:val="00516DF2"/>
    <w:rsid w:val="00516E98"/>
    <w:rsid w:val="00516EA5"/>
    <w:rsid w:val="00516FF3"/>
    <w:rsid w:val="005172DC"/>
    <w:rsid w:val="00517583"/>
    <w:rsid w:val="0051763B"/>
    <w:rsid w:val="00517830"/>
    <w:rsid w:val="00517AE4"/>
    <w:rsid w:val="00517B99"/>
    <w:rsid w:val="00517BA9"/>
    <w:rsid w:val="00517CE1"/>
    <w:rsid w:val="00517DA8"/>
    <w:rsid w:val="00520178"/>
    <w:rsid w:val="0052020A"/>
    <w:rsid w:val="00520224"/>
    <w:rsid w:val="0052027D"/>
    <w:rsid w:val="00520336"/>
    <w:rsid w:val="00520396"/>
    <w:rsid w:val="005203DC"/>
    <w:rsid w:val="005206D7"/>
    <w:rsid w:val="00520C8C"/>
    <w:rsid w:val="00521057"/>
    <w:rsid w:val="005210C7"/>
    <w:rsid w:val="005211C7"/>
    <w:rsid w:val="0052125E"/>
    <w:rsid w:val="00521277"/>
    <w:rsid w:val="0052132A"/>
    <w:rsid w:val="00521476"/>
    <w:rsid w:val="005214A2"/>
    <w:rsid w:val="005214E0"/>
    <w:rsid w:val="005216D8"/>
    <w:rsid w:val="00521AB2"/>
    <w:rsid w:val="00521D85"/>
    <w:rsid w:val="00521F5B"/>
    <w:rsid w:val="00522059"/>
    <w:rsid w:val="005221BB"/>
    <w:rsid w:val="00522340"/>
    <w:rsid w:val="005225BE"/>
    <w:rsid w:val="00522654"/>
    <w:rsid w:val="00522AB4"/>
    <w:rsid w:val="00522C20"/>
    <w:rsid w:val="00522F80"/>
    <w:rsid w:val="0052319D"/>
    <w:rsid w:val="005233EB"/>
    <w:rsid w:val="0052381F"/>
    <w:rsid w:val="00523A26"/>
    <w:rsid w:val="00523CCA"/>
    <w:rsid w:val="00524517"/>
    <w:rsid w:val="0052461F"/>
    <w:rsid w:val="00524691"/>
    <w:rsid w:val="0052490A"/>
    <w:rsid w:val="00524920"/>
    <w:rsid w:val="00524A5B"/>
    <w:rsid w:val="00524A7E"/>
    <w:rsid w:val="00524AD4"/>
    <w:rsid w:val="00524AFE"/>
    <w:rsid w:val="00524C15"/>
    <w:rsid w:val="00524CBC"/>
    <w:rsid w:val="00524CD6"/>
    <w:rsid w:val="00524E6F"/>
    <w:rsid w:val="00524F29"/>
    <w:rsid w:val="00525401"/>
    <w:rsid w:val="005255BC"/>
    <w:rsid w:val="00525602"/>
    <w:rsid w:val="005258D2"/>
    <w:rsid w:val="00525ACF"/>
    <w:rsid w:val="00525B23"/>
    <w:rsid w:val="00525CFE"/>
    <w:rsid w:val="00525D0F"/>
    <w:rsid w:val="0052652D"/>
    <w:rsid w:val="00526870"/>
    <w:rsid w:val="00526A20"/>
    <w:rsid w:val="00526A35"/>
    <w:rsid w:val="00526A46"/>
    <w:rsid w:val="00526A9F"/>
    <w:rsid w:val="00526C1C"/>
    <w:rsid w:val="00526C39"/>
    <w:rsid w:val="00526C91"/>
    <w:rsid w:val="00526CDB"/>
    <w:rsid w:val="00526D5B"/>
    <w:rsid w:val="00526E83"/>
    <w:rsid w:val="0052726A"/>
    <w:rsid w:val="005273B7"/>
    <w:rsid w:val="00527454"/>
    <w:rsid w:val="005275AB"/>
    <w:rsid w:val="0052771F"/>
    <w:rsid w:val="005277F8"/>
    <w:rsid w:val="00527895"/>
    <w:rsid w:val="00527990"/>
    <w:rsid w:val="00527AC0"/>
    <w:rsid w:val="00527B48"/>
    <w:rsid w:val="00527BD3"/>
    <w:rsid w:val="00527C04"/>
    <w:rsid w:val="005301AA"/>
    <w:rsid w:val="005301DC"/>
    <w:rsid w:val="00530238"/>
    <w:rsid w:val="00530603"/>
    <w:rsid w:val="00530815"/>
    <w:rsid w:val="00530843"/>
    <w:rsid w:val="0053091F"/>
    <w:rsid w:val="005309E2"/>
    <w:rsid w:val="005309F5"/>
    <w:rsid w:val="00530A69"/>
    <w:rsid w:val="00530B73"/>
    <w:rsid w:val="00530BD3"/>
    <w:rsid w:val="00530DB0"/>
    <w:rsid w:val="00530FFC"/>
    <w:rsid w:val="00531159"/>
    <w:rsid w:val="005311AD"/>
    <w:rsid w:val="005313A3"/>
    <w:rsid w:val="005313CB"/>
    <w:rsid w:val="005313DC"/>
    <w:rsid w:val="00531529"/>
    <w:rsid w:val="00531615"/>
    <w:rsid w:val="00531629"/>
    <w:rsid w:val="00531639"/>
    <w:rsid w:val="005317DC"/>
    <w:rsid w:val="00531A1F"/>
    <w:rsid w:val="00531A32"/>
    <w:rsid w:val="00531C43"/>
    <w:rsid w:val="00531D42"/>
    <w:rsid w:val="00531DE3"/>
    <w:rsid w:val="005320AD"/>
    <w:rsid w:val="005320C3"/>
    <w:rsid w:val="005320D1"/>
    <w:rsid w:val="00532119"/>
    <w:rsid w:val="0053229A"/>
    <w:rsid w:val="00532588"/>
    <w:rsid w:val="0053259E"/>
    <w:rsid w:val="005325A3"/>
    <w:rsid w:val="00532642"/>
    <w:rsid w:val="0053264B"/>
    <w:rsid w:val="00532685"/>
    <w:rsid w:val="00532809"/>
    <w:rsid w:val="005328AF"/>
    <w:rsid w:val="005328F8"/>
    <w:rsid w:val="00532965"/>
    <w:rsid w:val="00532AB3"/>
    <w:rsid w:val="00532C3F"/>
    <w:rsid w:val="00532C4A"/>
    <w:rsid w:val="00532F20"/>
    <w:rsid w:val="0053307F"/>
    <w:rsid w:val="005333CC"/>
    <w:rsid w:val="005335AB"/>
    <w:rsid w:val="00533A48"/>
    <w:rsid w:val="00533A54"/>
    <w:rsid w:val="00533C81"/>
    <w:rsid w:val="00533E20"/>
    <w:rsid w:val="00533F0A"/>
    <w:rsid w:val="00533F97"/>
    <w:rsid w:val="0053411A"/>
    <w:rsid w:val="0053417A"/>
    <w:rsid w:val="005341CD"/>
    <w:rsid w:val="0053436C"/>
    <w:rsid w:val="005343AD"/>
    <w:rsid w:val="005347FC"/>
    <w:rsid w:val="00534A86"/>
    <w:rsid w:val="00534ADF"/>
    <w:rsid w:val="00534BF3"/>
    <w:rsid w:val="00534E6F"/>
    <w:rsid w:val="00535183"/>
    <w:rsid w:val="005353DF"/>
    <w:rsid w:val="005357F8"/>
    <w:rsid w:val="00535831"/>
    <w:rsid w:val="005358BA"/>
    <w:rsid w:val="0053592A"/>
    <w:rsid w:val="005359BE"/>
    <w:rsid w:val="00535C5C"/>
    <w:rsid w:val="00535E7F"/>
    <w:rsid w:val="00535E87"/>
    <w:rsid w:val="00535E8E"/>
    <w:rsid w:val="00535F73"/>
    <w:rsid w:val="00536261"/>
    <w:rsid w:val="00536400"/>
    <w:rsid w:val="00536927"/>
    <w:rsid w:val="005369D1"/>
    <w:rsid w:val="00536B50"/>
    <w:rsid w:val="00536B70"/>
    <w:rsid w:val="00536C00"/>
    <w:rsid w:val="00536F16"/>
    <w:rsid w:val="00536F4D"/>
    <w:rsid w:val="00537055"/>
    <w:rsid w:val="005370A9"/>
    <w:rsid w:val="005371D1"/>
    <w:rsid w:val="0053721D"/>
    <w:rsid w:val="00537357"/>
    <w:rsid w:val="0053753C"/>
    <w:rsid w:val="00537992"/>
    <w:rsid w:val="005379EE"/>
    <w:rsid w:val="00537B13"/>
    <w:rsid w:val="00537B7D"/>
    <w:rsid w:val="00537C2A"/>
    <w:rsid w:val="00537DFE"/>
    <w:rsid w:val="00537EB0"/>
    <w:rsid w:val="00537EC7"/>
    <w:rsid w:val="005401CE"/>
    <w:rsid w:val="00540477"/>
    <w:rsid w:val="0054057B"/>
    <w:rsid w:val="0054057D"/>
    <w:rsid w:val="005406DF"/>
    <w:rsid w:val="0054073E"/>
    <w:rsid w:val="00540886"/>
    <w:rsid w:val="00540D96"/>
    <w:rsid w:val="00540EAA"/>
    <w:rsid w:val="00541296"/>
    <w:rsid w:val="005415F2"/>
    <w:rsid w:val="00541719"/>
    <w:rsid w:val="00541906"/>
    <w:rsid w:val="00541A4B"/>
    <w:rsid w:val="00541ACC"/>
    <w:rsid w:val="00541B0D"/>
    <w:rsid w:val="00541CB3"/>
    <w:rsid w:val="00541D57"/>
    <w:rsid w:val="00541E48"/>
    <w:rsid w:val="00541E8B"/>
    <w:rsid w:val="00541FA1"/>
    <w:rsid w:val="00541FD8"/>
    <w:rsid w:val="00542047"/>
    <w:rsid w:val="0054216B"/>
    <w:rsid w:val="0054233A"/>
    <w:rsid w:val="00542380"/>
    <w:rsid w:val="005424D8"/>
    <w:rsid w:val="00542502"/>
    <w:rsid w:val="0054256A"/>
    <w:rsid w:val="005428C1"/>
    <w:rsid w:val="005428D0"/>
    <w:rsid w:val="00542C50"/>
    <w:rsid w:val="00542DE8"/>
    <w:rsid w:val="00542EC6"/>
    <w:rsid w:val="00543333"/>
    <w:rsid w:val="005435B0"/>
    <w:rsid w:val="005435B3"/>
    <w:rsid w:val="0054380D"/>
    <w:rsid w:val="00543855"/>
    <w:rsid w:val="005438AC"/>
    <w:rsid w:val="00543999"/>
    <w:rsid w:val="005439C9"/>
    <w:rsid w:val="00543A48"/>
    <w:rsid w:val="00543ABC"/>
    <w:rsid w:val="00543C4C"/>
    <w:rsid w:val="00543E7D"/>
    <w:rsid w:val="00544020"/>
    <w:rsid w:val="0054406B"/>
    <w:rsid w:val="005440C7"/>
    <w:rsid w:val="005440E3"/>
    <w:rsid w:val="00544727"/>
    <w:rsid w:val="00544769"/>
    <w:rsid w:val="005447DC"/>
    <w:rsid w:val="0054480E"/>
    <w:rsid w:val="00544996"/>
    <w:rsid w:val="00544B01"/>
    <w:rsid w:val="00544CA4"/>
    <w:rsid w:val="0054500E"/>
    <w:rsid w:val="005451C8"/>
    <w:rsid w:val="005451DE"/>
    <w:rsid w:val="00545252"/>
    <w:rsid w:val="00545253"/>
    <w:rsid w:val="0054530C"/>
    <w:rsid w:val="0054556A"/>
    <w:rsid w:val="00545675"/>
    <w:rsid w:val="005457AE"/>
    <w:rsid w:val="00545896"/>
    <w:rsid w:val="005458EA"/>
    <w:rsid w:val="00545979"/>
    <w:rsid w:val="00545C71"/>
    <w:rsid w:val="00545EE7"/>
    <w:rsid w:val="005465D7"/>
    <w:rsid w:val="00546679"/>
    <w:rsid w:val="0054679C"/>
    <w:rsid w:val="0054693B"/>
    <w:rsid w:val="00546AF3"/>
    <w:rsid w:val="00546B9E"/>
    <w:rsid w:val="00546D8F"/>
    <w:rsid w:val="00546E04"/>
    <w:rsid w:val="00546EFC"/>
    <w:rsid w:val="00547074"/>
    <w:rsid w:val="00547098"/>
    <w:rsid w:val="00547117"/>
    <w:rsid w:val="00547131"/>
    <w:rsid w:val="005471F1"/>
    <w:rsid w:val="005473CC"/>
    <w:rsid w:val="00547475"/>
    <w:rsid w:val="00547603"/>
    <w:rsid w:val="0054782E"/>
    <w:rsid w:val="00547872"/>
    <w:rsid w:val="0054788D"/>
    <w:rsid w:val="005478F6"/>
    <w:rsid w:val="00547948"/>
    <w:rsid w:val="005479BD"/>
    <w:rsid w:val="00547B29"/>
    <w:rsid w:val="00547CEE"/>
    <w:rsid w:val="00547DBC"/>
    <w:rsid w:val="00547DFF"/>
    <w:rsid w:val="00547F05"/>
    <w:rsid w:val="00550137"/>
    <w:rsid w:val="0055045B"/>
    <w:rsid w:val="005507C9"/>
    <w:rsid w:val="005508A8"/>
    <w:rsid w:val="005509A0"/>
    <w:rsid w:val="005509D2"/>
    <w:rsid w:val="005509F4"/>
    <w:rsid w:val="00550BDA"/>
    <w:rsid w:val="00550D81"/>
    <w:rsid w:val="00550F23"/>
    <w:rsid w:val="005510ED"/>
    <w:rsid w:val="005511A1"/>
    <w:rsid w:val="00551310"/>
    <w:rsid w:val="005513B3"/>
    <w:rsid w:val="00551654"/>
    <w:rsid w:val="005516D4"/>
    <w:rsid w:val="005518DE"/>
    <w:rsid w:val="005519DC"/>
    <w:rsid w:val="005519EF"/>
    <w:rsid w:val="00551A60"/>
    <w:rsid w:val="00551B0E"/>
    <w:rsid w:val="00551B68"/>
    <w:rsid w:val="005524D1"/>
    <w:rsid w:val="005525CF"/>
    <w:rsid w:val="00552804"/>
    <w:rsid w:val="005528F0"/>
    <w:rsid w:val="00552B20"/>
    <w:rsid w:val="00552B49"/>
    <w:rsid w:val="00552D44"/>
    <w:rsid w:val="00552E0B"/>
    <w:rsid w:val="00553007"/>
    <w:rsid w:val="00553030"/>
    <w:rsid w:val="0055321F"/>
    <w:rsid w:val="005532DB"/>
    <w:rsid w:val="00553475"/>
    <w:rsid w:val="005536B4"/>
    <w:rsid w:val="005537B5"/>
    <w:rsid w:val="005538C1"/>
    <w:rsid w:val="005538FF"/>
    <w:rsid w:val="005539FD"/>
    <w:rsid w:val="00553B2B"/>
    <w:rsid w:val="00553BC5"/>
    <w:rsid w:val="00553D2A"/>
    <w:rsid w:val="00553DA4"/>
    <w:rsid w:val="00553DC1"/>
    <w:rsid w:val="00553F88"/>
    <w:rsid w:val="0055410A"/>
    <w:rsid w:val="00554207"/>
    <w:rsid w:val="00554488"/>
    <w:rsid w:val="00554559"/>
    <w:rsid w:val="0055458C"/>
    <w:rsid w:val="00554723"/>
    <w:rsid w:val="00554E1E"/>
    <w:rsid w:val="00554FF7"/>
    <w:rsid w:val="00555095"/>
    <w:rsid w:val="005550AF"/>
    <w:rsid w:val="005552F5"/>
    <w:rsid w:val="005552F7"/>
    <w:rsid w:val="005553BF"/>
    <w:rsid w:val="0055546B"/>
    <w:rsid w:val="00555621"/>
    <w:rsid w:val="005557D9"/>
    <w:rsid w:val="00555C25"/>
    <w:rsid w:val="00555E50"/>
    <w:rsid w:val="00555FF2"/>
    <w:rsid w:val="00556015"/>
    <w:rsid w:val="00556350"/>
    <w:rsid w:val="0055639E"/>
    <w:rsid w:val="00556439"/>
    <w:rsid w:val="0055661B"/>
    <w:rsid w:val="0055663D"/>
    <w:rsid w:val="00556AF5"/>
    <w:rsid w:val="00556C1C"/>
    <w:rsid w:val="00556D45"/>
    <w:rsid w:val="00556D80"/>
    <w:rsid w:val="00557238"/>
    <w:rsid w:val="00557758"/>
    <w:rsid w:val="00557780"/>
    <w:rsid w:val="005578B0"/>
    <w:rsid w:val="00557CE2"/>
    <w:rsid w:val="00557E1E"/>
    <w:rsid w:val="00557FCB"/>
    <w:rsid w:val="00560086"/>
    <w:rsid w:val="00560369"/>
    <w:rsid w:val="0056047A"/>
    <w:rsid w:val="00560571"/>
    <w:rsid w:val="005605C4"/>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21"/>
    <w:rsid w:val="00561D83"/>
    <w:rsid w:val="0056206F"/>
    <w:rsid w:val="0056216D"/>
    <w:rsid w:val="005622F0"/>
    <w:rsid w:val="00562671"/>
    <w:rsid w:val="00562730"/>
    <w:rsid w:val="005628B4"/>
    <w:rsid w:val="005628D8"/>
    <w:rsid w:val="00562C33"/>
    <w:rsid w:val="00562F8B"/>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579"/>
    <w:rsid w:val="0056469A"/>
    <w:rsid w:val="00564DEC"/>
    <w:rsid w:val="00564F68"/>
    <w:rsid w:val="0056507E"/>
    <w:rsid w:val="00565186"/>
    <w:rsid w:val="00565207"/>
    <w:rsid w:val="00565421"/>
    <w:rsid w:val="00565640"/>
    <w:rsid w:val="00565729"/>
    <w:rsid w:val="005659FA"/>
    <w:rsid w:val="0056607A"/>
    <w:rsid w:val="005662D8"/>
    <w:rsid w:val="0056645F"/>
    <w:rsid w:val="005664D5"/>
    <w:rsid w:val="00566728"/>
    <w:rsid w:val="00566829"/>
    <w:rsid w:val="00566878"/>
    <w:rsid w:val="005668DF"/>
    <w:rsid w:val="00566968"/>
    <w:rsid w:val="00566A19"/>
    <w:rsid w:val="00566BC4"/>
    <w:rsid w:val="00566CA6"/>
    <w:rsid w:val="00566E7E"/>
    <w:rsid w:val="00566EFD"/>
    <w:rsid w:val="00567043"/>
    <w:rsid w:val="005670EA"/>
    <w:rsid w:val="005672CF"/>
    <w:rsid w:val="005672F6"/>
    <w:rsid w:val="00567409"/>
    <w:rsid w:val="005674C1"/>
    <w:rsid w:val="00567722"/>
    <w:rsid w:val="00567819"/>
    <w:rsid w:val="005678BE"/>
    <w:rsid w:val="005678E0"/>
    <w:rsid w:val="0056791D"/>
    <w:rsid w:val="00567A0A"/>
    <w:rsid w:val="00567A57"/>
    <w:rsid w:val="00567B4B"/>
    <w:rsid w:val="00567C69"/>
    <w:rsid w:val="00567DBD"/>
    <w:rsid w:val="00567EC9"/>
    <w:rsid w:val="0057000B"/>
    <w:rsid w:val="005701FA"/>
    <w:rsid w:val="0057051D"/>
    <w:rsid w:val="00570766"/>
    <w:rsid w:val="005707A9"/>
    <w:rsid w:val="005707BC"/>
    <w:rsid w:val="00570816"/>
    <w:rsid w:val="0057087D"/>
    <w:rsid w:val="0057093C"/>
    <w:rsid w:val="005709F7"/>
    <w:rsid w:val="00570ADA"/>
    <w:rsid w:val="00570BAD"/>
    <w:rsid w:val="00570C20"/>
    <w:rsid w:val="00570C3E"/>
    <w:rsid w:val="00570FDC"/>
    <w:rsid w:val="00571114"/>
    <w:rsid w:val="00571121"/>
    <w:rsid w:val="005711BB"/>
    <w:rsid w:val="005712F4"/>
    <w:rsid w:val="005714A0"/>
    <w:rsid w:val="00571513"/>
    <w:rsid w:val="0057155E"/>
    <w:rsid w:val="005715AD"/>
    <w:rsid w:val="00571F05"/>
    <w:rsid w:val="005720A4"/>
    <w:rsid w:val="0057239B"/>
    <w:rsid w:val="005727EF"/>
    <w:rsid w:val="0057284B"/>
    <w:rsid w:val="0057296D"/>
    <w:rsid w:val="00572A59"/>
    <w:rsid w:val="00572C86"/>
    <w:rsid w:val="00572D01"/>
    <w:rsid w:val="00572D45"/>
    <w:rsid w:val="00572E34"/>
    <w:rsid w:val="00572ED4"/>
    <w:rsid w:val="00572F13"/>
    <w:rsid w:val="00572F4B"/>
    <w:rsid w:val="00573204"/>
    <w:rsid w:val="00573221"/>
    <w:rsid w:val="0057353F"/>
    <w:rsid w:val="0057363F"/>
    <w:rsid w:val="00573784"/>
    <w:rsid w:val="00573B3E"/>
    <w:rsid w:val="00573C12"/>
    <w:rsid w:val="00573D74"/>
    <w:rsid w:val="00573DF6"/>
    <w:rsid w:val="005744ED"/>
    <w:rsid w:val="005745AA"/>
    <w:rsid w:val="00574691"/>
    <w:rsid w:val="00574AEF"/>
    <w:rsid w:val="00574C0F"/>
    <w:rsid w:val="00574E09"/>
    <w:rsid w:val="00574E6B"/>
    <w:rsid w:val="00574EAF"/>
    <w:rsid w:val="00574F79"/>
    <w:rsid w:val="00574F96"/>
    <w:rsid w:val="0057505D"/>
    <w:rsid w:val="005750A6"/>
    <w:rsid w:val="00575160"/>
    <w:rsid w:val="005754C2"/>
    <w:rsid w:val="005754F1"/>
    <w:rsid w:val="0057570D"/>
    <w:rsid w:val="005757AE"/>
    <w:rsid w:val="00575876"/>
    <w:rsid w:val="005759CC"/>
    <w:rsid w:val="00575AFC"/>
    <w:rsid w:val="00575B4D"/>
    <w:rsid w:val="00575CED"/>
    <w:rsid w:val="00575E9F"/>
    <w:rsid w:val="005761B8"/>
    <w:rsid w:val="00576526"/>
    <w:rsid w:val="00576564"/>
    <w:rsid w:val="0057686C"/>
    <w:rsid w:val="005768B7"/>
    <w:rsid w:val="005768DD"/>
    <w:rsid w:val="0057699F"/>
    <w:rsid w:val="00576A74"/>
    <w:rsid w:val="00576E27"/>
    <w:rsid w:val="00576E7F"/>
    <w:rsid w:val="005773B3"/>
    <w:rsid w:val="005774B7"/>
    <w:rsid w:val="005776CA"/>
    <w:rsid w:val="0057770A"/>
    <w:rsid w:val="00577786"/>
    <w:rsid w:val="005777B4"/>
    <w:rsid w:val="005777BA"/>
    <w:rsid w:val="005779E6"/>
    <w:rsid w:val="00577B42"/>
    <w:rsid w:val="00577C18"/>
    <w:rsid w:val="00577D58"/>
    <w:rsid w:val="00577EDA"/>
    <w:rsid w:val="005802B5"/>
    <w:rsid w:val="005803F8"/>
    <w:rsid w:val="0058044D"/>
    <w:rsid w:val="0058047F"/>
    <w:rsid w:val="005804A9"/>
    <w:rsid w:val="00580619"/>
    <w:rsid w:val="005806C5"/>
    <w:rsid w:val="005809C5"/>
    <w:rsid w:val="00580B7D"/>
    <w:rsid w:val="00580C0E"/>
    <w:rsid w:val="00580D2C"/>
    <w:rsid w:val="00580ED8"/>
    <w:rsid w:val="005811DB"/>
    <w:rsid w:val="00581590"/>
    <w:rsid w:val="005819B9"/>
    <w:rsid w:val="00581E7C"/>
    <w:rsid w:val="00581FFB"/>
    <w:rsid w:val="00582AE8"/>
    <w:rsid w:val="00582C35"/>
    <w:rsid w:val="00582DAD"/>
    <w:rsid w:val="00582DCD"/>
    <w:rsid w:val="00582E37"/>
    <w:rsid w:val="00582EAE"/>
    <w:rsid w:val="00582F51"/>
    <w:rsid w:val="00583039"/>
    <w:rsid w:val="005831EA"/>
    <w:rsid w:val="005832EE"/>
    <w:rsid w:val="00583610"/>
    <w:rsid w:val="0058375C"/>
    <w:rsid w:val="00583767"/>
    <w:rsid w:val="00583811"/>
    <w:rsid w:val="0058383D"/>
    <w:rsid w:val="005838F1"/>
    <w:rsid w:val="00583A45"/>
    <w:rsid w:val="00583B58"/>
    <w:rsid w:val="00583CD5"/>
    <w:rsid w:val="00583E65"/>
    <w:rsid w:val="00583F57"/>
    <w:rsid w:val="00583FB0"/>
    <w:rsid w:val="0058404C"/>
    <w:rsid w:val="0058424B"/>
    <w:rsid w:val="005842B1"/>
    <w:rsid w:val="0058438F"/>
    <w:rsid w:val="0058442D"/>
    <w:rsid w:val="005846A3"/>
    <w:rsid w:val="00584986"/>
    <w:rsid w:val="00584A39"/>
    <w:rsid w:val="00584BB1"/>
    <w:rsid w:val="00584D0F"/>
    <w:rsid w:val="00584D1F"/>
    <w:rsid w:val="00584E72"/>
    <w:rsid w:val="00584E88"/>
    <w:rsid w:val="005850B3"/>
    <w:rsid w:val="0058536F"/>
    <w:rsid w:val="00585449"/>
    <w:rsid w:val="0058544D"/>
    <w:rsid w:val="005854F3"/>
    <w:rsid w:val="005856DB"/>
    <w:rsid w:val="005856EC"/>
    <w:rsid w:val="0058577B"/>
    <w:rsid w:val="00585ABF"/>
    <w:rsid w:val="00585DD6"/>
    <w:rsid w:val="00585E57"/>
    <w:rsid w:val="00585FA8"/>
    <w:rsid w:val="00586156"/>
    <w:rsid w:val="00586195"/>
    <w:rsid w:val="005861F3"/>
    <w:rsid w:val="00586239"/>
    <w:rsid w:val="005863B7"/>
    <w:rsid w:val="005864FD"/>
    <w:rsid w:val="00586519"/>
    <w:rsid w:val="00586638"/>
    <w:rsid w:val="00586655"/>
    <w:rsid w:val="00586A3F"/>
    <w:rsid w:val="00586A43"/>
    <w:rsid w:val="00586ABC"/>
    <w:rsid w:val="00586C92"/>
    <w:rsid w:val="00586D07"/>
    <w:rsid w:val="00586EAA"/>
    <w:rsid w:val="0058707F"/>
    <w:rsid w:val="00587321"/>
    <w:rsid w:val="00587432"/>
    <w:rsid w:val="005879BC"/>
    <w:rsid w:val="00587A12"/>
    <w:rsid w:val="00587B4A"/>
    <w:rsid w:val="00587C65"/>
    <w:rsid w:val="00587EAB"/>
    <w:rsid w:val="00587F62"/>
    <w:rsid w:val="00587FE5"/>
    <w:rsid w:val="005900F3"/>
    <w:rsid w:val="0059028B"/>
    <w:rsid w:val="00590321"/>
    <w:rsid w:val="00590668"/>
    <w:rsid w:val="005906FE"/>
    <w:rsid w:val="0059084D"/>
    <w:rsid w:val="00590895"/>
    <w:rsid w:val="00590937"/>
    <w:rsid w:val="00590A5E"/>
    <w:rsid w:val="00590B03"/>
    <w:rsid w:val="00590E52"/>
    <w:rsid w:val="005910D5"/>
    <w:rsid w:val="0059120E"/>
    <w:rsid w:val="00591303"/>
    <w:rsid w:val="00591364"/>
    <w:rsid w:val="005913AC"/>
    <w:rsid w:val="00591578"/>
    <w:rsid w:val="0059157D"/>
    <w:rsid w:val="005915E7"/>
    <w:rsid w:val="00591762"/>
    <w:rsid w:val="00591779"/>
    <w:rsid w:val="005917FB"/>
    <w:rsid w:val="00591A2A"/>
    <w:rsid w:val="00591CA5"/>
    <w:rsid w:val="00591D5C"/>
    <w:rsid w:val="00592041"/>
    <w:rsid w:val="00592169"/>
    <w:rsid w:val="005923AD"/>
    <w:rsid w:val="0059240B"/>
    <w:rsid w:val="0059248C"/>
    <w:rsid w:val="0059258E"/>
    <w:rsid w:val="0059267D"/>
    <w:rsid w:val="005926A9"/>
    <w:rsid w:val="005926FA"/>
    <w:rsid w:val="005927CA"/>
    <w:rsid w:val="00592809"/>
    <w:rsid w:val="00592A4B"/>
    <w:rsid w:val="00592AEA"/>
    <w:rsid w:val="00592B45"/>
    <w:rsid w:val="00592B82"/>
    <w:rsid w:val="005930B8"/>
    <w:rsid w:val="00593142"/>
    <w:rsid w:val="00593274"/>
    <w:rsid w:val="005932A7"/>
    <w:rsid w:val="005933AC"/>
    <w:rsid w:val="0059374C"/>
    <w:rsid w:val="00593789"/>
    <w:rsid w:val="00593898"/>
    <w:rsid w:val="00593964"/>
    <w:rsid w:val="00593975"/>
    <w:rsid w:val="00593996"/>
    <w:rsid w:val="005939C2"/>
    <w:rsid w:val="00593AB2"/>
    <w:rsid w:val="00593ABA"/>
    <w:rsid w:val="00593B87"/>
    <w:rsid w:val="00593BA4"/>
    <w:rsid w:val="00593BF8"/>
    <w:rsid w:val="00593D34"/>
    <w:rsid w:val="00593E05"/>
    <w:rsid w:val="005942B5"/>
    <w:rsid w:val="005943E8"/>
    <w:rsid w:val="00594444"/>
    <w:rsid w:val="00594557"/>
    <w:rsid w:val="00594742"/>
    <w:rsid w:val="005947C5"/>
    <w:rsid w:val="00594837"/>
    <w:rsid w:val="00594867"/>
    <w:rsid w:val="005948F3"/>
    <w:rsid w:val="00594AD2"/>
    <w:rsid w:val="00594E2C"/>
    <w:rsid w:val="00594E4F"/>
    <w:rsid w:val="00594F61"/>
    <w:rsid w:val="0059500D"/>
    <w:rsid w:val="005952AE"/>
    <w:rsid w:val="005952ED"/>
    <w:rsid w:val="00595311"/>
    <w:rsid w:val="0059556D"/>
    <w:rsid w:val="00595701"/>
    <w:rsid w:val="00595924"/>
    <w:rsid w:val="00595AEF"/>
    <w:rsid w:val="00595B2B"/>
    <w:rsid w:val="00595BA2"/>
    <w:rsid w:val="00595BFF"/>
    <w:rsid w:val="00595F59"/>
    <w:rsid w:val="0059602C"/>
    <w:rsid w:val="00596489"/>
    <w:rsid w:val="005965DA"/>
    <w:rsid w:val="00596666"/>
    <w:rsid w:val="00596959"/>
    <w:rsid w:val="00596A42"/>
    <w:rsid w:val="00596A7A"/>
    <w:rsid w:val="00596D3A"/>
    <w:rsid w:val="00596E16"/>
    <w:rsid w:val="00597037"/>
    <w:rsid w:val="00597039"/>
    <w:rsid w:val="00597055"/>
    <w:rsid w:val="00597294"/>
    <w:rsid w:val="0059731E"/>
    <w:rsid w:val="0059770E"/>
    <w:rsid w:val="00597A3B"/>
    <w:rsid w:val="00597C0D"/>
    <w:rsid w:val="00597CC6"/>
    <w:rsid w:val="00597D63"/>
    <w:rsid w:val="00597F61"/>
    <w:rsid w:val="00597F72"/>
    <w:rsid w:val="00597F99"/>
    <w:rsid w:val="005A0488"/>
    <w:rsid w:val="005A09F8"/>
    <w:rsid w:val="005A0C85"/>
    <w:rsid w:val="005A0CBA"/>
    <w:rsid w:val="005A0E5C"/>
    <w:rsid w:val="005A12E8"/>
    <w:rsid w:val="005A13EB"/>
    <w:rsid w:val="005A15B3"/>
    <w:rsid w:val="005A15B4"/>
    <w:rsid w:val="005A15EB"/>
    <w:rsid w:val="005A171C"/>
    <w:rsid w:val="005A173F"/>
    <w:rsid w:val="005A18C3"/>
    <w:rsid w:val="005A196B"/>
    <w:rsid w:val="005A1A8B"/>
    <w:rsid w:val="005A1AFC"/>
    <w:rsid w:val="005A1B7C"/>
    <w:rsid w:val="005A1C17"/>
    <w:rsid w:val="005A1D13"/>
    <w:rsid w:val="005A1D41"/>
    <w:rsid w:val="005A1D56"/>
    <w:rsid w:val="005A1D86"/>
    <w:rsid w:val="005A1DB5"/>
    <w:rsid w:val="005A1EEC"/>
    <w:rsid w:val="005A233B"/>
    <w:rsid w:val="005A2352"/>
    <w:rsid w:val="005A2437"/>
    <w:rsid w:val="005A26A5"/>
    <w:rsid w:val="005A2727"/>
    <w:rsid w:val="005A285B"/>
    <w:rsid w:val="005A2897"/>
    <w:rsid w:val="005A2969"/>
    <w:rsid w:val="005A2A7C"/>
    <w:rsid w:val="005A2AA8"/>
    <w:rsid w:val="005A2B6A"/>
    <w:rsid w:val="005A2BD3"/>
    <w:rsid w:val="005A2C00"/>
    <w:rsid w:val="005A2D31"/>
    <w:rsid w:val="005A2DD8"/>
    <w:rsid w:val="005A31B5"/>
    <w:rsid w:val="005A3263"/>
    <w:rsid w:val="005A32D5"/>
    <w:rsid w:val="005A341C"/>
    <w:rsid w:val="005A3562"/>
    <w:rsid w:val="005A35D9"/>
    <w:rsid w:val="005A36AD"/>
    <w:rsid w:val="005A37B6"/>
    <w:rsid w:val="005A3830"/>
    <w:rsid w:val="005A39F0"/>
    <w:rsid w:val="005A3AE5"/>
    <w:rsid w:val="005A3AEE"/>
    <w:rsid w:val="005A3C4C"/>
    <w:rsid w:val="005A4395"/>
    <w:rsid w:val="005A485C"/>
    <w:rsid w:val="005A4A64"/>
    <w:rsid w:val="005A4A68"/>
    <w:rsid w:val="005A5108"/>
    <w:rsid w:val="005A5110"/>
    <w:rsid w:val="005A5276"/>
    <w:rsid w:val="005A53B1"/>
    <w:rsid w:val="005A5599"/>
    <w:rsid w:val="005A55F1"/>
    <w:rsid w:val="005A5A2E"/>
    <w:rsid w:val="005A5A33"/>
    <w:rsid w:val="005A5A61"/>
    <w:rsid w:val="005A5AE9"/>
    <w:rsid w:val="005A5C31"/>
    <w:rsid w:val="005A5D46"/>
    <w:rsid w:val="005A5E7F"/>
    <w:rsid w:val="005A62AD"/>
    <w:rsid w:val="005A62CD"/>
    <w:rsid w:val="005A6461"/>
    <w:rsid w:val="005A66C0"/>
    <w:rsid w:val="005A67DB"/>
    <w:rsid w:val="005A68DE"/>
    <w:rsid w:val="005A6AAD"/>
    <w:rsid w:val="005A6B8F"/>
    <w:rsid w:val="005A6BAE"/>
    <w:rsid w:val="005A6F04"/>
    <w:rsid w:val="005A7323"/>
    <w:rsid w:val="005A7556"/>
    <w:rsid w:val="005A75B7"/>
    <w:rsid w:val="005B0362"/>
    <w:rsid w:val="005B03AF"/>
    <w:rsid w:val="005B03EF"/>
    <w:rsid w:val="005B044C"/>
    <w:rsid w:val="005B0562"/>
    <w:rsid w:val="005B0572"/>
    <w:rsid w:val="005B08B9"/>
    <w:rsid w:val="005B1272"/>
    <w:rsid w:val="005B138D"/>
    <w:rsid w:val="005B164F"/>
    <w:rsid w:val="005B16D2"/>
    <w:rsid w:val="005B1A35"/>
    <w:rsid w:val="005B1DFA"/>
    <w:rsid w:val="005B1FD9"/>
    <w:rsid w:val="005B1FF0"/>
    <w:rsid w:val="005B2100"/>
    <w:rsid w:val="005B2214"/>
    <w:rsid w:val="005B22DE"/>
    <w:rsid w:val="005B25F9"/>
    <w:rsid w:val="005B27C2"/>
    <w:rsid w:val="005B2A14"/>
    <w:rsid w:val="005B2A60"/>
    <w:rsid w:val="005B2B28"/>
    <w:rsid w:val="005B2B5B"/>
    <w:rsid w:val="005B2E1F"/>
    <w:rsid w:val="005B2E72"/>
    <w:rsid w:val="005B2EA0"/>
    <w:rsid w:val="005B2FCD"/>
    <w:rsid w:val="005B3041"/>
    <w:rsid w:val="005B309F"/>
    <w:rsid w:val="005B3138"/>
    <w:rsid w:val="005B3202"/>
    <w:rsid w:val="005B323B"/>
    <w:rsid w:val="005B3259"/>
    <w:rsid w:val="005B32D4"/>
    <w:rsid w:val="005B358B"/>
    <w:rsid w:val="005B35E1"/>
    <w:rsid w:val="005B3818"/>
    <w:rsid w:val="005B388E"/>
    <w:rsid w:val="005B3934"/>
    <w:rsid w:val="005B3C81"/>
    <w:rsid w:val="005B3C8A"/>
    <w:rsid w:val="005B3D88"/>
    <w:rsid w:val="005B410D"/>
    <w:rsid w:val="005B42C4"/>
    <w:rsid w:val="005B42CC"/>
    <w:rsid w:val="005B4436"/>
    <w:rsid w:val="005B4472"/>
    <w:rsid w:val="005B46C6"/>
    <w:rsid w:val="005B4B41"/>
    <w:rsid w:val="005B5093"/>
    <w:rsid w:val="005B52C7"/>
    <w:rsid w:val="005B52E2"/>
    <w:rsid w:val="005B5303"/>
    <w:rsid w:val="005B538D"/>
    <w:rsid w:val="005B5463"/>
    <w:rsid w:val="005B54A7"/>
    <w:rsid w:val="005B55C4"/>
    <w:rsid w:val="005B5761"/>
    <w:rsid w:val="005B58A4"/>
    <w:rsid w:val="005B5972"/>
    <w:rsid w:val="005B5A44"/>
    <w:rsid w:val="005B5D1F"/>
    <w:rsid w:val="005B5E63"/>
    <w:rsid w:val="005B6046"/>
    <w:rsid w:val="005B61C2"/>
    <w:rsid w:val="005B6277"/>
    <w:rsid w:val="005B649B"/>
    <w:rsid w:val="005B653B"/>
    <w:rsid w:val="005B674A"/>
    <w:rsid w:val="005B6789"/>
    <w:rsid w:val="005B68D3"/>
    <w:rsid w:val="005B69EA"/>
    <w:rsid w:val="005B6BDE"/>
    <w:rsid w:val="005B6CC7"/>
    <w:rsid w:val="005B6E17"/>
    <w:rsid w:val="005B6F80"/>
    <w:rsid w:val="005B71FE"/>
    <w:rsid w:val="005B761B"/>
    <w:rsid w:val="005B7680"/>
    <w:rsid w:val="005B76E8"/>
    <w:rsid w:val="005B794A"/>
    <w:rsid w:val="005B79ED"/>
    <w:rsid w:val="005B7DD7"/>
    <w:rsid w:val="005C007A"/>
    <w:rsid w:val="005C0186"/>
    <w:rsid w:val="005C0264"/>
    <w:rsid w:val="005C0319"/>
    <w:rsid w:val="005C048D"/>
    <w:rsid w:val="005C0542"/>
    <w:rsid w:val="005C055F"/>
    <w:rsid w:val="005C0690"/>
    <w:rsid w:val="005C076F"/>
    <w:rsid w:val="005C0A0A"/>
    <w:rsid w:val="005C0C83"/>
    <w:rsid w:val="005C0CB4"/>
    <w:rsid w:val="005C0D7F"/>
    <w:rsid w:val="005C0EB8"/>
    <w:rsid w:val="005C0FD9"/>
    <w:rsid w:val="005C1631"/>
    <w:rsid w:val="005C1949"/>
    <w:rsid w:val="005C19AB"/>
    <w:rsid w:val="005C1A93"/>
    <w:rsid w:val="005C1BD5"/>
    <w:rsid w:val="005C1C75"/>
    <w:rsid w:val="005C1D5F"/>
    <w:rsid w:val="005C1FA1"/>
    <w:rsid w:val="005C2067"/>
    <w:rsid w:val="005C2256"/>
    <w:rsid w:val="005C2350"/>
    <w:rsid w:val="005C243B"/>
    <w:rsid w:val="005C2701"/>
    <w:rsid w:val="005C2704"/>
    <w:rsid w:val="005C270C"/>
    <w:rsid w:val="005C2858"/>
    <w:rsid w:val="005C29DE"/>
    <w:rsid w:val="005C2C92"/>
    <w:rsid w:val="005C2CA5"/>
    <w:rsid w:val="005C2DC0"/>
    <w:rsid w:val="005C2DCE"/>
    <w:rsid w:val="005C2DD5"/>
    <w:rsid w:val="005C2E97"/>
    <w:rsid w:val="005C302C"/>
    <w:rsid w:val="005C3174"/>
    <w:rsid w:val="005C3600"/>
    <w:rsid w:val="005C38CC"/>
    <w:rsid w:val="005C3956"/>
    <w:rsid w:val="005C3CA8"/>
    <w:rsid w:val="005C3D5D"/>
    <w:rsid w:val="005C40BB"/>
    <w:rsid w:val="005C41AF"/>
    <w:rsid w:val="005C41E8"/>
    <w:rsid w:val="005C42A0"/>
    <w:rsid w:val="005C454D"/>
    <w:rsid w:val="005C45D7"/>
    <w:rsid w:val="005C45E7"/>
    <w:rsid w:val="005C462A"/>
    <w:rsid w:val="005C46CD"/>
    <w:rsid w:val="005C4818"/>
    <w:rsid w:val="005C4A24"/>
    <w:rsid w:val="005C4FF1"/>
    <w:rsid w:val="005C50CB"/>
    <w:rsid w:val="005C547C"/>
    <w:rsid w:val="005C5614"/>
    <w:rsid w:val="005C5738"/>
    <w:rsid w:val="005C583F"/>
    <w:rsid w:val="005C5914"/>
    <w:rsid w:val="005C5DC6"/>
    <w:rsid w:val="005C5E99"/>
    <w:rsid w:val="005C6043"/>
    <w:rsid w:val="005C60CB"/>
    <w:rsid w:val="005C6160"/>
    <w:rsid w:val="005C6264"/>
    <w:rsid w:val="005C6353"/>
    <w:rsid w:val="005C6363"/>
    <w:rsid w:val="005C6784"/>
    <w:rsid w:val="005C679C"/>
    <w:rsid w:val="005C68AC"/>
    <w:rsid w:val="005C68FB"/>
    <w:rsid w:val="005C6967"/>
    <w:rsid w:val="005C6A1E"/>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6E"/>
    <w:rsid w:val="005D05BD"/>
    <w:rsid w:val="005D0A2A"/>
    <w:rsid w:val="005D0BF6"/>
    <w:rsid w:val="005D0E52"/>
    <w:rsid w:val="005D0E6E"/>
    <w:rsid w:val="005D0F01"/>
    <w:rsid w:val="005D101E"/>
    <w:rsid w:val="005D10FA"/>
    <w:rsid w:val="005D1166"/>
    <w:rsid w:val="005D11F9"/>
    <w:rsid w:val="005D139F"/>
    <w:rsid w:val="005D13F0"/>
    <w:rsid w:val="005D1816"/>
    <w:rsid w:val="005D1857"/>
    <w:rsid w:val="005D1A54"/>
    <w:rsid w:val="005D1AA4"/>
    <w:rsid w:val="005D1ABD"/>
    <w:rsid w:val="005D1B28"/>
    <w:rsid w:val="005D1C40"/>
    <w:rsid w:val="005D1F9B"/>
    <w:rsid w:val="005D21D9"/>
    <w:rsid w:val="005D22E0"/>
    <w:rsid w:val="005D2412"/>
    <w:rsid w:val="005D248D"/>
    <w:rsid w:val="005D2918"/>
    <w:rsid w:val="005D2957"/>
    <w:rsid w:val="005D29C8"/>
    <w:rsid w:val="005D2A53"/>
    <w:rsid w:val="005D2A5B"/>
    <w:rsid w:val="005D2A85"/>
    <w:rsid w:val="005D2B41"/>
    <w:rsid w:val="005D2B80"/>
    <w:rsid w:val="005D2B9D"/>
    <w:rsid w:val="005D2DF2"/>
    <w:rsid w:val="005D2EBA"/>
    <w:rsid w:val="005D2EC4"/>
    <w:rsid w:val="005D3144"/>
    <w:rsid w:val="005D315E"/>
    <w:rsid w:val="005D32A3"/>
    <w:rsid w:val="005D32F6"/>
    <w:rsid w:val="005D354A"/>
    <w:rsid w:val="005D35AA"/>
    <w:rsid w:val="005D3608"/>
    <w:rsid w:val="005D37EE"/>
    <w:rsid w:val="005D3803"/>
    <w:rsid w:val="005D3AA0"/>
    <w:rsid w:val="005D3B66"/>
    <w:rsid w:val="005D3CF7"/>
    <w:rsid w:val="005D3D2D"/>
    <w:rsid w:val="005D4230"/>
    <w:rsid w:val="005D432C"/>
    <w:rsid w:val="005D4496"/>
    <w:rsid w:val="005D44DB"/>
    <w:rsid w:val="005D47B4"/>
    <w:rsid w:val="005D4970"/>
    <w:rsid w:val="005D4A9D"/>
    <w:rsid w:val="005D4AEF"/>
    <w:rsid w:val="005D4B3D"/>
    <w:rsid w:val="005D4F3F"/>
    <w:rsid w:val="005D52DF"/>
    <w:rsid w:val="005D52F8"/>
    <w:rsid w:val="005D5330"/>
    <w:rsid w:val="005D54D5"/>
    <w:rsid w:val="005D5596"/>
    <w:rsid w:val="005D5643"/>
    <w:rsid w:val="005D573F"/>
    <w:rsid w:val="005D5757"/>
    <w:rsid w:val="005D5785"/>
    <w:rsid w:val="005D57B4"/>
    <w:rsid w:val="005D57DC"/>
    <w:rsid w:val="005D58DC"/>
    <w:rsid w:val="005D5A5D"/>
    <w:rsid w:val="005D5A62"/>
    <w:rsid w:val="005D5AC2"/>
    <w:rsid w:val="005D5D9F"/>
    <w:rsid w:val="005D5E65"/>
    <w:rsid w:val="005D5F1C"/>
    <w:rsid w:val="005D6017"/>
    <w:rsid w:val="005D6488"/>
    <w:rsid w:val="005D6700"/>
    <w:rsid w:val="005D68EE"/>
    <w:rsid w:val="005D6BBA"/>
    <w:rsid w:val="005D6BCF"/>
    <w:rsid w:val="005D6C1F"/>
    <w:rsid w:val="005D6C4C"/>
    <w:rsid w:val="005D6DF5"/>
    <w:rsid w:val="005D6F27"/>
    <w:rsid w:val="005D6F45"/>
    <w:rsid w:val="005D6F8E"/>
    <w:rsid w:val="005D7014"/>
    <w:rsid w:val="005D721D"/>
    <w:rsid w:val="005D7314"/>
    <w:rsid w:val="005D7373"/>
    <w:rsid w:val="005D75B6"/>
    <w:rsid w:val="005D7698"/>
    <w:rsid w:val="005D7741"/>
    <w:rsid w:val="005D7A75"/>
    <w:rsid w:val="005D7B34"/>
    <w:rsid w:val="005D7C8E"/>
    <w:rsid w:val="005D7DBF"/>
    <w:rsid w:val="005E0135"/>
    <w:rsid w:val="005E02D0"/>
    <w:rsid w:val="005E05CB"/>
    <w:rsid w:val="005E0956"/>
    <w:rsid w:val="005E0A09"/>
    <w:rsid w:val="005E0C1F"/>
    <w:rsid w:val="005E0CB9"/>
    <w:rsid w:val="005E1094"/>
    <w:rsid w:val="005E1158"/>
    <w:rsid w:val="005E11F3"/>
    <w:rsid w:val="005E1310"/>
    <w:rsid w:val="005E139C"/>
    <w:rsid w:val="005E13A1"/>
    <w:rsid w:val="005E160B"/>
    <w:rsid w:val="005E16A0"/>
    <w:rsid w:val="005E181B"/>
    <w:rsid w:val="005E1ADD"/>
    <w:rsid w:val="005E1B94"/>
    <w:rsid w:val="005E1D98"/>
    <w:rsid w:val="005E1DFE"/>
    <w:rsid w:val="005E1E18"/>
    <w:rsid w:val="005E1FDB"/>
    <w:rsid w:val="005E2104"/>
    <w:rsid w:val="005E226D"/>
    <w:rsid w:val="005E22B2"/>
    <w:rsid w:val="005E2442"/>
    <w:rsid w:val="005E26E6"/>
    <w:rsid w:val="005E2917"/>
    <w:rsid w:val="005E298F"/>
    <w:rsid w:val="005E2A79"/>
    <w:rsid w:val="005E2BAD"/>
    <w:rsid w:val="005E2CF0"/>
    <w:rsid w:val="005E2D6B"/>
    <w:rsid w:val="005E2D92"/>
    <w:rsid w:val="005E2E3D"/>
    <w:rsid w:val="005E2EDA"/>
    <w:rsid w:val="005E3000"/>
    <w:rsid w:val="005E39AE"/>
    <w:rsid w:val="005E3C3C"/>
    <w:rsid w:val="005E3C6A"/>
    <w:rsid w:val="005E456A"/>
    <w:rsid w:val="005E4593"/>
    <w:rsid w:val="005E45B1"/>
    <w:rsid w:val="005E460D"/>
    <w:rsid w:val="005E480F"/>
    <w:rsid w:val="005E481D"/>
    <w:rsid w:val="005E4A11"/>
    <w:rsid w:val="005E4AAC"/>
    <w:rsid w:val="005E51C3"/>
    <w:rsid w:val="005E5346"/>
    <w:rsid w:val="005E53AE"/>
    <w:rsid w:val="005E59A8"/>
    <w:rsid w:val="005E59E6"/>
    <w:rsid w:val="005E5AE5"/>
    <w:rsid w:val="005E5AEE"/>
    <w:rsid w:val="005E5F71"/>
    <w:rsid w:val="005E61A5"/>
    <w:rsid w:val="005E6305"/>
    <w:rsid w:val="005E653D"/>
    <w:rsid w:val="005E68FC"/>
    <w:rsid w:val="005E698C"/>
    <w:rsid w:val="005E6BB7"/>
    <w:rsid w:val="005E6C4B"/>
    <w:rsid w:val="005E6CDE"/>
    <w:rsid w:val="005E6CF7"/>
    <w:rsid w:val="005E73A7"/>
    <w:rsid w:val="005E741F"/>
    <w:rsid w:val="005E7434"/>
    <w:rsid w:val="005E7534"/>
    <w:rsid w:val="005E7614"/>
    <w:rsid w:val="005E776B"/>
    <w:rsid w:val="005E78A3"/>
    <w:rsid w:val="005E791A"/>
    <w:rsid w:val="005E7B53"/>
    <w:rsid w:val="005E7DFE"/>
    <w:rsid w:val="005E7EB6"/>
    <w:rsid w:val="005E7F15"/>
    <w:rsid w:val="005E7F4F"/>
    <w:rsid w:val="005F0124"/>
    <w:rsid w:val="005F01D2"/>
    <w:rsid w:val="005F029E"/>
    <w:rsid w:val="005F02E3"/>
    <w:rsid w:val="005F035A"/>
    <w:rsid w:val="005F046E"/>
    <w:rsid w:val="005F049A"/>
    <w:rsid w:val="005F0641"/>
    <w:rsid w:val="005F0768"/>
    <w:rsid w:val="005F085A"/>
    <w:rsid w:val="005F098C"/>
    <w:rsid w:val="005F0B72"/>
    <w:rsid w:val="005F0EE7"/>
    <w:rsid w:val="005F1265"/>
    <w:rsid w:val="005F149C"/>
    <w:rsid w:val="005F14B0"/>
    <w:rsid w:val="005F157C"/>
    <w:rsid w:val="005F16A7"/>
    <w:rsid w:val="005F1A73"/>
    <w:rsid w:val="005F1E1C"/>
    <w:rsid w:val="005F2011"/>
    <w:rsid w:val="005F20F6"/>
    <w:rsid w:val="005F2646"/>
    <w:rsid w:val="005F26FD"/>
    <w:rsid w:val="005F282D"/>
    <w:rsid w:val="005F2C35"/>
    <w:rsid w:val="005F2E58"/>
    <w:rsid w:val="005F31BD"/>
    <w:rsid w:val="005F31F4"/>
    <w:rsid w:val="005F325A"/>
    <w:rsid w:val="005F3603"/>
    <w:rsid w:val="005F364B"/>
    <w:rsid w:val="005F3D83"/>
    <w:rsid w:val="005F3FD4"/>
    <w:rsid w:val="005F40E3"/>
    <w:rsid w:val="005F4117"/>
    <w:rsid w:val="005F4236"/>
    <w:rsid w:val="005F46CD"/>
    <w:rsid w:val="005F4839"/>
    <w:rsid w:val="005F4AD6"/>
    <w:rsid w:val="005F4AF0"/>
    <w:rsid w:val="005F4B5C"/>
    <w:rsid w:val="005F4B69"/>
    <w:rsid w:val="005F4BE8"/>
    <w:rsid w:val="005F4BF1"/>
    <w:rsid w:val="005F4C1F"/>
    <w:rsid w:val="005F4C34"/>
    <w:rsid w:val="005F4CC3"/>
    <w:rsid w:val="005F4CCF"/>
    <w:rsid w:val="005F4E4F"/>
    <w:rsid w:val="005F502E"/>
    <w:rsid w:val="005F5085"/>
    <w:rsid w:val="005F50DE"/>
    <w:rsid w:val="005F519E"/>
    <w:rsid w:val="005F55EA"/>
    <w:rsid w:val="005F5774"/>
    <w:rsid w:val="005F58FB"/>
    <w:rsid w:val="005F59A2"/>
    <w:rsid w:val="005F59A3"/>
    <w:rsid w:val="005F59C1"/>
    <w:rsid w:val="005F5AAE"/>
    <w:rsid w:val="005F5BFF"/>
    <w:rsid w:val="005F63E5"/>
    <w:rsid w:val="005F65F6"/>
    <w:rsid w:val="005F6748"/>
    <w:rsid w:val="005F6771"/>
    <w:rsid w:val="005F67D2"/>
    <w:rsid w:val="005F68BE"/>
    <w:rsid w:val="005F6996"/>
    <w:rsid w:val="005F69D7"/>
    <w:rsid w:val="005F6A8C"/>
    <w:rsid w:val="005F6BB8"/>
    <w:rsid w:val="005F6F09"/>
    <w:rsid w:val="005F7089"/>
    <w:rsid w:val="005F71AC"/>
    <w:rsid w:val="005F7356"/>
    <w:rsid w:val="005F74F0"/>
    <w:rsid w:val="005F778F"/>
    <w:rsid w:val="005F781E"/>
    <w:rsid w:val="005F7886"/>
    <w:rsid w:val="005F7938"/>
    <w:rsid w:val="005F798D"/>
    <w:rsid w:val="005F79CC"/>
    <w:rsid w:val="005F79DD"/>
    <w:rsid w:val="005F7AF5"/>
    <w:rsid w:val="005F7CEE"/>
    <w:rsid w:val="005F7D67"/>
    <w:rsid w:val="00600004"/>
    <w:rsid w:val="0060049A"/>
    <w:rsid w:val="006005A5"/>
    <w:rsid w:val="0060067E"/>
    <w:rsid w:val="006008D3"/>
    <w:rsid w:val="006009C1"/>
    <w:rsid w:val="00600D72"/>
    <w:rsid w:val="00600DA3"/>
    <w:rsid w:val="00600E2A"/>
    <w:rsid w:val="00600EF6"/>
    <w:rsid w:val="00600F17"/>
    <w:rsid w:val="00601246"/>
    <w:rsid w:val="0060147C"/>
    <w:rsid w:val="006015D6"/>
    <w:rsid w:val="006016B0"/>
    <w:rsid w:val="0060177D"/>
    <w:rsid w:val="00601DF7"/>
    <w:rsid w:val="00602145"/>
    <w:rsid w:val="006023DE"/>
    <w:rsid w:val="00602544"/>
    <w:rsid w:val="00602B48"/>
    <w:rsid w:val="00602C1B"/>
    <w:rsid w:val="00602CB5"/>
    <w:rsid w:val="00602CCA"/>
    <w:rsid w:val="00602E6F"/>
    <w:rsid w:val="006031E2"/>
    <w:rsid w:val="006032AD"/>
    <w:rsid w:val="006032EB"/>
    <w:rsid w:val="00603402"/>
    <w:rsid w:val="006034B7"/>
    <w:rsid w:val="0060351E"/>
    <w:rsid w:val="006035D8"/>
    <w:rsid w:val="0060360D"/>
    <w:rsid w:val="00603707"/>
    <w:rsid w:val="00603ABE"/>
    <w:rsid w:val="00603B51"/>
    <w:rsid w:val="00603C91"/>
    <w:rsid w:val="00603DDE"/>
    <w:rsid w:val="00603DF6"/>
    <w:rsid w:val="00603F83"/>
    <w:rsid w:val="00603FAE"/>
    <w:rsid w:val="00604479"/>
    <w:rsid w:val="006045E2"/>
    <w:rsid w:val="0060477B"/>
    <w:rsid w:val="0060491E"/>
    <w:rsid w:val="00604920"/>
    <w:rsid w:val="00604982"/>
    <w:rsid w:val="00604AFE"/>
    <w:rsid w:val="00604BFE"/>
    <w:rsid w:val="006052CF"/>
    <w:rsid w:val="006053DF"/>
    <w:rsid w:val="006054F0"/>
    <w:rsid w:val="00605560"/>
    <w:rsid w:val="00605727"/>
    <w:rsid w:val="00605921"/>
    <w:rsid w:val="006059BE"/>
    <w:rsid w:val="00605AA7"/>
    <w:rsid w:val="00605BA3"/>
    <w:rsid w:val="00605C9F"/>
    <w:rsid w:val="00605E02"/>
    <w:rsid w:val="00605EE9"/>
    <w:rsid w:val="00605FE5"/>
    <w:rsid w:val="00606090"/>
    <w:rsid w:val="006061BD"/>
    <w:rsid w:val="00606252"/>
    <w:rsid w:val="0060629B"/>
    <w:rsid w:val="006066A4"/>
    <w:rsid w:val="00606704"/>
    <w:rsid w:val="00606BEB"/>
    <w:rsid w:val="00606DB0"/>
    <w:rsid w:val="00606DBD"/>
    <w:rsid w:val="00606E37"/>
    <w:rsid w:val="00606EBB"/>
    <w:rsid w:val="00606F03"/>
    <w:rsid w:val="00607197"/>
    <w:rsid w:val="0060719C"/>
    <w:rsid w:val="006071CF"/>
    <w:rsid w:val="0060730F"/>
    <w:rsid w:val="00607595"/>
    <w:rsid w:val="006076DA"/>
    <w:rsid w:val="00607773"/>
    <w:rsid w:val="006077CF"/>
    <w:rsid w:val="00607943"/>
    <w:rsid w:val="00607BFE"/>
    <w:rsid w:val="00607D7C"/>
    <w:rsid w:val="00607EBD"/>
    <w:rsid w:val="00607ED4"/>
    <w:rsid w:val="00607FD1"/>
    <w:rsid w:val="00610058"/>
    <w:rsid w:val="00610087"/>
    <w:rsid w:val="006101C1"/>
    <w:rsid w:val="0061021C"/>
    <w:rsid w:val="00610551"/>
    <w:rsid w:val="00610678"/>
    <w:rsid w:val="00610AFB"/>
    <w:rsid w:val="00610B8D"/>
    <w:rsid w:val="00611287"/>
    <w:rsid w:val="0061131B"/>
    <w:rsid w:val="00611366"/>
    <w:rsid w:val="006113CF"/>
    <w:rsid w:val="006115D2"/>
    <w:rsid w:val="00611601"/>
    <w:rsid w:val="0061187F"/>
    <w:rsid w:val="00611AC9"/>
    <w:rsid w:val="00611BFB"/>
    <w:rsid w:val="00611C1C"/>
    <w:rsid w:val="00611CBD"/>
    <w:rsid w:val="00611CED"/>
    <w:rsid w:val="00611DD4"/>
    <w:rsid w:val="00611E85"/>
    <w:rsid w:val="0061251D"/>
    <w:rsid w:val="006125E8"/>
    <w:rsid w:val="00612779"/>
    <w:rsid w:val="006128D5"/>
    <w:rsid w:val="00612929"/>
    <w:rsid w:val="00612C7D"/>
    <w:rsid w:val="00612DB3"/>
    <w:rsid w:val="00612F8C"/>
    <w:rsid w:val="00612FCA"/>
    <w:rsid w:val="00613145"/>
    <w:rsid w:val="006131C2"/>
    <w:rsid w:val="00613255"/>
    <w:rsid w:val="006133D3"/>
    <w:rsid w:val="00613425"/>
    <w:rsid w:val="006134F1"/>
    <w:rsid w:val="00613670"/>
    <w:rsid w:val="006136E5"/>
    <w:rsid w:val="00613907"/>
    <w:rsid w:val="006139CC"/>
    <w:rsid w:val="00613A31"/>
    <w:rsid w:val="00613B91"/>
    <w:rsid w:val="00613F72"/>
    <w:rsid w:val="00614086"/>
    <w:rsid w:val="0061418E"/>
    <w:rsid w:val="006141BE"/>
    <w:rsid w:val="00614319"/>
    <w:rsid w:val="006144C3"/>
    <w:rsid w:val="0061474B"/>
    <w:rsid w:val="006147C0"/>
    <w:rsid w:val="00614864"/>
    <w:rsid w:val="00614B65"/>
    <w:rsid w:val="00614BCB"/>
    <w:rsid w:val="00614CDC"/>
    <w:rsid w:val="00614F30"/>
    <w:rsid w:val="006150F9"/>
    <w:rsid w:val="006152BB"/>
    <w:rsid w:val="00615378"/>
    <w:rsid w:val="00615873"/>
    <w:rsid w:val="006159CE"/>
    <w:rsid w:val="00615DD0"/>
    <w:rsid w:val="00615EAB"/>
    <w:rsid w:val="006162B8"/>
    <w:rsid w:val="006162E0"/>
    <w:rsid w:val="00616335"/>
    <w:rsid w:val="006164F2"/>
    <w:rsid w:val="006165BB"/>
    <w:rsid w:val="00616767"/>
    <w:rsid w:val="006168CE"/>
    <w:rsid w:val="00616D81"/>
    <w:rsid w:val="00616F3C"/>
    <w:rsid w:val="00617021"/>
    <w:rsid w:val="0061711D"/>
    <w:rsid w:val="006171D4"/>
    <w:rsid w:val="006173AC"/>
    <w:rsid w:val="00617514"/>
    <w:rsid w:val="0061757E"/>
    <w:rsid w:val="0061796F"/>
    <w:rsid w:val="00617C60"/>
    <w:rsid w:val="00617D27"/>
    <w:rsid w:val="00617E3F"/>
    <w:rsid w:val="0062009F"/>
    <w:rsid w:val="006201AE"/>
    <w:rsid w:val="006205D1"/>
    <w:rsid w:val="00620669"/>
    <w:rsid w:val="00620770"/>
    <w:rsid w:val="0062088A"/>
    <w:rsid w:val="00620901"/>
    <w:rsid w:val="00620A58"/>
    <w:rsid w:val="00620BCF"/>
    <w:rsid w:val="00620CD2"/>
    <w:rsid w:val="00620D1F"/>
    <w:rsid w:val="00620DC6"/>
    <w:rsid w:val="00621096"/>
    <w:rsid w:val="006211A8"/>
    <w:rsid w:val="0062120D"/>
    <w:rsid w:val="0062157F"/>
    <w:rsid w:val="00621859"/>
    <w:rsid w:val="006218B5"/>
    <w:rsid w:val="00621903"/>
    <w:rsid w:val="00621BE0"/>
    <w:rsid w:val="00621CAC"/>
    <w:rsid w:val="00621DA6"/>
    <w:rsid w:val="00621E3F"/>
    <w:rsid w:val="00621FE7"/>
    <w:rsid w:val="0062210D"/>
    <w:rsid w:val="00622113"/>
    <w:rsid w:val="0062230D"/>
    <w:rsid w:val="006223A3"/>
    <w:rsid w:val="00622868"/>
    <w:rsid w:val="00622A17"/>
    <w:rsid w:val="00622A80"/>
    <w:rsid w:val="006231BF"/>
    <w:rsid w:val="00623577"/>
    <w:rsid w:val="006238D9"/>
    <w:rsid w:val="006239BD"/>
    <w:rsid w:val="00623AF8"/>
    <w:rsid w:val="00623BD1"/>
    <w:rsid w:val="00623C79"/>
    <w:rsid w:val="00623CF3"/>
    <w:rsid w:val="00623D82"/>
    <w:rsid w:val="00624530"/>
    <w:rsid w:val="00624AD8"/>
    <w:rsid w:val="00624B25"/>
    <w:rsid w:val="00624C49"/>
    <w:rsid w:val="00624C70"/>
    <w:rsid w:val="00624D48"/>
    <w:rsid w:val="00624DCD"/>
    <w:rsid w:val="00624E77"/>
    <w:rsid w:val="0062520B"/>
    <w:rsid w:val="006253A9"/>
    <w:rsid w:val="006256EB"/>
    <w:rsid w:val="0062572C"/>
    <w:rsid w:val="00625791"/>
    <w:rsid w:val="00625810"/>
    <w:rsid w:val="00625868"/>
    <w:rsid w:val="0062594D"/>
    <w:rsid w:val="00625C4C"/>
    <w:rsid w:val="00625CBF"/>
    <w:rsid w:val="006261B1"/>
    <w:rsid w:val="00626284"/>
    <w:rsid w:val="0062646A"/>
    <w:rsid w:val="00626508"/>
    <w:rsid w:val="006267C9"/>
    <w:rsid w:val="00626885"/>
    <w:rsid w:val="00626BA5"/>
    <w:rsid w:val="00626C7D"/>
    <w:rsid w:val="00626E09"/>
    <w:rsid w:val="00626E45"/>
    <w:rsid w:val="00626E81"/>
    <w:rsid w:val="00626F85"/>
    <w:rsid w:val="00626FCB"/>
    <w:rsid w:val="00627077"/>
    <w:rsid w:val="006271CF"/>
    <w:rsid w:val="00627266"/>
    <w:rsid w:val="006274A0"/>
    <w:rsid w:val="00627552"/>
    <w:rsid w:val="00627686"/>
    <w:rsid w:val="006276B3"/>
    <w:rsid w:val="00627D52"/>
    <w:rsid w:val="00627E38"/>
    <w:rsid w:val="00627FB6"/>
    <w:rsid w:val="00627FCE"/>
    <w:rsid w:val="00630048"/>
    <w:rsid w:val="006300A7"/>
    <w:rsid w:val="0063018F"/>
    <w:rsid w:val="006302E8"/>
    <w:rsid w:val="006302F0"/>
    <w:rsid w:val="00630731"/>
    <w:rsid w:val="00630C17"/>
    <w:rsid w:val="00630C38"/>
    <w:rsid w:val="00630E89"/>
    <w:rsid w:val="00630F4F"/>
    <w:rsid w:val="006310C1"/>
    <w:rsid w:val="006311CF"/>
    <w:rsid w:val="006313B4"/>
    <w:rsid w:val="00631593"/>
    <w:rsid w:val="0063169C"/>
    <w:rsid w:val="00631D57"/>
    <w:rsid w:val="00631F9F"/>
    <w:rsid w:val="00632092"/>
    <w:rsid w:val="006321BC"/>
    <w:rsid w:val="0063226A"/>
    <w:rsid w:val="00632750"/>
    <w:rsid w:val="00632872"/>
    <w:rsid w:val="00632884"/>
    <w:rsid w:val="00632969"/>
    <w:rsid w:val="00632A2F"/>
    <w:rsid w:val="00632A3B"/>
    <w:rsid w:val="00632ACB"/>
    <w:rsid w:val="00632C7B"/>
    <w:rsid w:val="00632D1A"/>
    <w:rsid w:val="00632E5E"/>
    <w:rsid w:val="006331B8"/>
    <w:rsid w:val="00633270"/>
    <w:rsid w:val="0063327B"/>
    <w:rsid w:val="0063330D"/>
    <w:rsid w:val="0063331A"/>
    <w:rsid w:val="006333C4"/>
    <w:rsid w:val="006333F6"/>
    <w:rsid w:val="006333FF"/>
    <w:rsid w:val="006335A2"/>
    <w:rsid w:val="006335A3"/>
    <w:rsid w:val="00633637"/>
    <w:rsid w:val="006337AA"/>
    <w:rsid w:val="00633973"/>
    <w:rsid w:val="00633CA1"/>
    <w:rsid w:val="00633CA4"/>
    <w:rsid w:val="00633D89"/>
    <w:rsid w:val="00633DDA"/>
    <w:rsid w:val="00633E3F"/>
    <w:rsid w:val="00633ED3"/>
    <w:rsid w:val="00634141"/>
    <w:rsid w:val="0063423D"/>
    <w:rsid w:val="0063429B"/>
    <w:rsid w:val="00634999"/>
    <w:rsid w:val="006349BD"/>
    <w:rsid w:val="006349C6"/>
    <w:rsid w:val="00634ABC"/>
    <w:rsid w:val="00634C89"/>
    <w:rsid w:val="00634F6A"/>
    <w:rsid w:val="00634F9B"/>
    <w:rsid w:val="006350A1"/>
    <w:rsid w:val="00635459"/>
    <w:rsid w:val="00635494"/>
    <w:rsid w:val="006356AA"/>
    <w:rsid w:val="00635979"/>
    <w:rsid w:val="00635B6E"/>
    <w:rsid w:val="00635D7A"/>
    <w:rsid w:val="00635F5E"/>
    <w:rsid w:val="00636086"/>
    <w:rsid w:val="00636109"/>
    <w:rsid w:val="0063623D"/>
    <w:rsid w:val="00636597"/>
    <w:rsid w:val="00636767"/>
    <w:rsid w:val="00636774"/>
    <w:rsid w:val="00636870"/>
    <w:rsid w:val="00636E04"/>
    <w:rsid w:val="00637004"/>
    <w:rsid w:val="00637227"/>
    <w:rsid w:val="00637347"/>
    <w:rsid w:val="00637512"/>
    <w:rsid w:val="00637659"/>
    <w:rsid w:val="00637678"/>
    <w:rsid w:val="00637812"/>
    <w:rsid w:val="00637C11"/>
    <w:rsid w:val="00637E1C"/>
    <w:rsid w:val="00637F8B"/>
    <w:rsid w:val="00640071"/>
    <w:rsid w:val="006400B9"/>
    <w:rsid w:val="006405E8"/>
    <w:rsid w:val="00640726"/>
    <w:rsid w:val="006407E8"/>
    <w:rsid w:val="00640A89"/>
    <w:rsid w:val="00640BC0"/>
    <w:rsid w:val="00640CC3"/>
    <w:rsid w:val="00640E81"/>
    <w:rsid w:val="00640EB7"/>
    <w:rsid w:val="00640F4F"/>
    <w:rsid w:val="0064108C"/>
    <w:rsid w:val="006410B6"/>
    <w:rsid w:val="00641126"/>
    <w:rsid w:val="00641161"/>
    <w:rsid w:val="00641162"/>
    <w:rsid w:val="006411ED"/>
    <w:rsid w:val="00641263"/>
    <w:rsid w:val="00641469"/>
    <w:rsid w:val="0064174B"/>
    <w:rsid w:val="00641760"/>
    <w:rsid w:val="006417C8"/>
    <w:rsid w:val="0064192E"/>
    <w:rsid w:val="00641AE3"/>
    <w:rsid w:val="00641C7A"/>
    <w:rsid w:val="00641D0A"/>
    <w:rsid w:val="00641DAC"/>
    <w:rsid w:val="00641F2D"/>
    <w:rsid w:val="00641F6C"/>
    <w:rsid w:val="0064233D"/>
    <w:rsid w:val="00642801"/>
    <w:rsid w:val="00642886"/>
    <w:rsid w:val="00642AC1"/>
    <w:rsid w:val="00642BA6"/>
    <w:rsid w:val="00642BAB"/>
    <w:rsid w:val="00642C15"/>
    <w:rsid w:val="00642CA4"/>
    <w:rsid w:val="00642D7D"/>
    <w:rsid w:val="00642E96"/>
    <w:rsid w:val="00642ED4"/>
    <w:rsid w:val="00642F1E"/>
    <w:rsid w:val="006437B4"/>
    <w:rsid w:val="00643827"/>
    <w:rsid w:val="0064384F"/>
    <w:rsid w:val="0064388C"/>
    <w:rsid w:val="0064389B"/>
    <w:rsid w:val="006438BC"/>
    <w:rsid w:val="00643AF2"/>
    <w:rsid w:val="00643D21"/>
    <w:rsid w:val="00643E23"/>
    <w:rsid w:val="0064407A"/>
    <w:rsid w:val="0064433C"/>
    <w:rsid w:val="00644355"/>
    <w:rsid w:val="00644457"/>
    <w:rsid w:val="006445D4"/>
    <w:rsid w:val="006447F4"/>
    <w:rsid w:val="00644AB9"/>
    <w:rsid w:val="00644CE1"/>
    <w:rsid w:val="00644D77"/>
    <w:rsid w:val="00644E08"/>
    <w:rsid w:val="00644E18"/>
    <w:rsid w:val="00644ECC"/>
    <w:rsid w:val="0064524C"/>
    <w:rsid w:val="006452C7"/>
    <w:rsid w:val="006453E5"/>
    <w:rsid w:val="00645655"/>
    <w:rsid w:val="00645698"/>
    <w:rsid w:val="006456F2"/>
    <w:rsid w:val="0064582A"/>
    <w:rsid w:val="00645AD6"/>
    <w:rsid w:val="00645B61"/>
    <w:rsid w:val="00645E70"/>
    <w:rsid w:val="00645F39"/>
    <w:rsid w:val="00645F72"/>
    <w:rsid w:val="006460A9"/>
    <w:rsid w:val="006460DD"/>
    <w:rsid w:val="00646183"/>
    <w:rsid w:val="00646243"/>
    <w:rsid w:val="00646BC9"/>
    <w:rsid w:val="00646C16"/>
    <w:rsid w:val="00646F3D"/>
    <w:rsid w:val="00646FB0"/>
    <w:rsid w:val="00647120"/>
    <w:rsid w:val="00647368"/>
    <w:rsid w:val="006473F6"/>
    <w:rsid w:val="0064744F"/>
    <w:rsid w:val="006474D7"/>
    <w:rsid w:val="00647C0A"/>
    <w:rsid w:val="00647D18"/>
    <w:rsid w:val="00647EFD"/>
    <w:rsid w:val="00650075"/>
    <w:rsid w:val="006502B5"/>
    <w:rsid w:val="0065037A"/>
    <w:rsid w:val="0065058A"/>
    <w:rsid w:val="006505B6"/>
    <w:rsid w:val="0065065F"/>
    <w:rsid w:val="00650807"/>
    <w:rsid w:val="00650820"/>
    <w:rsid w:val="0065088B"/>
    <w:rsid w:val="00650A2B"/>
    <w:rsid w:val="00650A64"/>
    <w:rsid w:val="00650AA1"/>
    <w:rsid w:val="00650CCA"/>
    <w:rsid w:val="00650D13"/>
    <w:rsid w:val="00650E79"/>
    <w:rsid w:val="0065102B"/>
    <w:rsid w:val="0065114D"/>
    <w:rsid w:val="0065138D"/>
    <w:rsid w:val="00651413"/>
    <w:rsid w:val="00651450"/>
    <w:rsid w:val="0065146E"/>
    <w:rsid w:val="006517DD"/>
    <w:rsid w:val="0065180A"/>
    <w:rsid w:val="006518AD"/>
    <w:rsid w:val="00651C11"/>
    <w:rsid w:val="00651C7A"/>
    <w:rsid w:val="00651FB2"/>
    <w:rsid w:val="006521AD"/>
    <w:rsid w:val="0065241F"/>
    <w:rsid w:val="006524C3"/>
    <w:rsid w:val="00652577"/>
    <w:rsid w:val="006527A9"/>
    <w:rsid w:val="00652900"/>
    <w:rsid w:val="00652A33"/>
    <w:rsid w:val="00652C89"/>
    <w:rsid w:val="00652D4B"/>
    <w:rsid w:val="00652E18"/>
    <w:rsid w:val="0065348D"/>
    <w:rsid w:val="00653684"/>
    <w:rsid w:val="0065370D"/>
    <w:rsid w:val="00653722"/>
    <w:rsid w:val="0065389F"/>
    <w:rsid w:val="00653A89"/>
    <w:rsid w:val="00653D59"/>
    <w:rsid w:val="00653ECC"/>
    <w:rsid w:val="006540F7"/>
    <w:rsid w:val="00654353"/>
    <w:rsid w:val="0065442F"/>
    <w:rsid w:val="00654830"/>
    <w:rsid w:val="00654B2E"/>
    <w:rsid w:val="00654D35"/>
    <w:rsid w:val="00654DBD"/>
    <w:rsid w:val="00655030"/>
    <w:rsid w:val="0065507C"/>
    <w:rsid w:val="006550BD"/>
    <w:rsid w:val="0065518B"/>
    <w:rsid w:val="006553E4"/>
    <w:rsid w:val="006555E7"/>
    <w:rsid w:val="00655614"/>
    <w:rsid w:val="00655646"/>
    <w:rsid w:val="00655841"/>
    <w:rsid w:val="0065596E"/>
    <w:rsid w:val="006559D8"/>
    <w:rsid w:val="00655A41"/>
    <w:rsid w:val="00655A7A"/>
    <w:rsid w:val="00655D09"/>
    <w:rsid w:val="00655EA0"/>
    <w:rsid w:val="0065613E"/>
    <w:rsid w:val="0065616B"/>
    <w:rsid w:val="00656516"/>
    <w:rsid w:val="0065659E"/>
    <w:rsid w:val="0065678C"/>
    <w:rsid w:val="00656828"/>
    <w:rsid w:val="00656931"/>
    <w:rsid w:val="00656B39"/>
    <w:rsid w:val="00656CCB"/>
    <w:rsid w:val="00656D11"/>
    <w:rsid w:val="00656FE0"/>
    <w:rsid w:val="00657361"/>
    <w:rsid w:val="006573D7"/>
    <w:rsid w:val="00657403"/>
    <w:rsid w:val="00657575"/>
    <w:rsid w:val="006577E9"/>
    <w:rsid w:val="00657C85"/>
    <w:rsid w:val="00657D2F"/>
    <w:rsid w:val="00657FE8"/>
    <w:rsid w:val="006600EA"/>
    <w:rsid w:val="00660127"/>
    <w:rsid w:val="006601FA"/>
    <w:rsid w:val="00660362"/>
    <w:rsid w:val="00660387"/>
    <w:rsid w:val="00660872"/>
    <w:rsid w:val="006608A8"/>
    <w:rsid w:val="006608B6"/>
    <w:rsid w:val="006609B6"/>
    <w:rsid w:val="00660A0D"/>
    <w:rsid w:val="00660B49"/>
    <w:rsid w:val="00660B5B"/>
    <w:rsid w:val="00660CFD"/>
    <w:rsid w:val="00660E55"/>
    <w:rsid w:val="00660F92"/>
    <w:rsid w:val="006611DB"/>
    <w:rsid w:val="006611EC"/>
    <w:rsid w:val="006614D8"/>
    <w:rsid w:val="00661619"/>
    <w:rsid w:val="006618B2"/>
    <w:rsid w:val="00661A3F"/>
    <w:rsid w:val="00661A72"/>
    <w:rsid w:val="00661D5B"/>
    <w:rsid w:val="00661E1C"/>
    <w:rsid w:val="00661F8A"/>
    <w:rsid w:val="0066224B"/>
    <w:rsid w:val="00662765"/>
    <w:rsid w:val="006629CD"/>
    <w:rsid w:val="00662A6E"/>
    <w:rsid w:val="00662ABE"/>
    <w:rsid w:val="00662BA1"/>
    <w:rsid w:val="00662BA7"/>
    <w:rsid w:val="00662CB9"/>
    <w:rsid w:val="00662D31"/>
    <w:rsid w:val="00662DB3"/>
    <w:rsid w:val="00662E59"/>
    <w:rsid w:val="00662F0A"/>
    <w:rsid w:val="00663069"/>
    <w:rsid w:val="00663542"/>
    <w:rsid w:val="00663562"/>
    <w:rsid w:val="00663843"/>
    <w:rsid w:val="00663910"/>
    <w:rsid w:val="006639C7"/>
    <w:rsid w:val="006639D7"/>
    <w:rsid w:val="00663A1A"/>
    <w:rsid w:val="00663AFF"/>
    <w:rsid w:val="00663C41"/>
    <w:rsid w:val="00664260"/>
    <w:rsid w:val="00664634"/>
    <w:rsid w:val="00664CC6"/>
    <w:rsid w:val="00664E14"/>
    <w:rsid w:val="006651D8"/>
    <w:rsid w:val="0066567D"/>
    <w:rsid w:val="006656BC"/>
    <w:rsid w:val="00665732"/>
    <w:rsid w:val="006658A8"/>
    <w:rsid w:val="006659A0"/>
    <w:rsid w:val="00665AB5"/>
    <w:rsid w:val="00665C1C"/>
    <w:rsid w:val="00665DAE"/>
    <w:rsid w:val="00665EC9"/>
    <w:rsid w:val="00665EE9"/>
    <w:rsid w:val="00665FF5"/>
    <w:rsid w:val="0066603E"/>
    <w:rsid w:val="00666C7C"/>
    <w:rsid w:val="00666DE3"/>
    <w:rsid w:val="00666E7E"/>
    <w:rsid w:val="0066708D"/>
    <w:rsid w:val="0066714A"/>
    <w:rsid w:val="00667225"/>
    <w:rsid w:val="006673BF"/>
    <w:rsid w:val="0066748E"/>
    <w:rsid w:val="006675C2"/>
    <w:rsid w:val="0066774F"/>
    <w:rsid w:val="00667912"/>
    <w:rsid w:val="00667A5D"/>
    <w:rsid w:val="00667CC3"/>
    <w:rsid w:val="00667F87"/>
    <w:rsid w:val="006700A2"/>
    <w:rsid w:val="006700CD"/>
    <w:rsid w:val="0067027C"/>
    <w:rsid w:val="0067031B"/>
    <w:rsid w:val="006708D3"/>
    <w:rsid w:val="00670BCD"/>
    <w:rsid w:val="00670E09"/>
    <w:rsid w:val="00670EA2"/>
    <w:rsid w:val="00670FC9"/>
    <w:rsid w:val="00671035"/>
    <w:rsid w:val="006710C8"/>
    <w:rsid w:val="006712BC"/>
    <w:rsid w:val="006712E0"/>
    <w:rsid w:val="006713E4"/>
    <w:rsid w:val="0067156E"/>
    <w:rsid w:val="006716D1"/>
    <w:rsid w:val="006716DD"/>
    <w:rsid w:val="006716FC"/>
    <w:rsid w:val="0067193A"/>
    <w:rsid w:val="00671ABE"/>
    <w:rsid w:val="00671AC3"/>
    <w:rsid w:val="00671B4E"/>
    <w:rsid w:val="00671C4D"/>
    <w:rsid w:val="00671ECB"/>
    <w:rsid w:val="00671F13"/>
    <w:rsid w:val="00671F7E"/>
    <w:rsid w:val="006721C0"/>
    <w:rsid w:val="00672226"/>
    <w:rsid w:val="006723CC"/>
    <w:rsid w:val="00672976"/>
    <w:rsid w:val="0067297C"/>
    <w:rsid w:val="00672A17"/>
    <w:rsid w:val="00672A5D"/>
    <w:rsid w:val="00672F26"/>
    <w:rsid w:val="00673176"/>
    <w:rsid w:val="0067346A"/>
    <w:rsid w:val="00673656"/>
    <w:rsid w:val="0067371B"/>
    <w:rsid w:val="0067383E"/>
    <w:rsid w:val="00673A74"/>
    <w:rsid w:val="00673C6A"/>
    <w:rsid w:val="00673C92"/>
    <w:rsid w:val="00673D32"/>
    <w:rsid w:val="00673DF8"/>
    <w:rsid w:val="00673E5E"/>
    <w:rsid w:val="006740BC"/>
    <w:rsid w:val="00674190"/>
    <w:rsid w:val="00674235"/>
    <w:rsid w:val="006746BC"/>
    <w:rsid w:val="00674A3F"/>
    <w:rsid w:val="00674E5B"/>
    <w:rsid w:val="00674E9C"/>
    <w:rsid w:val="00674F8A"/>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025"/>
    <w:rsid w:val="00676107"/>
    <w:rsid w:val="006761A4"/>
    <w:rsid w:val="006761CC"/>
    <w:rsid w:val="006761E1"/>
    <w:rsid w:val="0067639B"/>
    <w:rsid w:val="00676596"/>
    <w:rsid w:val="00676686"/>
    <w:rsid w:val="0067678F"/>
    <w:rsid w:val="00676AA2"/>
    <w:rsid w:val="00676AF6"/>
    <w:rsid w:val="00676BEF"/>
    <w:rsid w:val="00676C8B"/>
    <w:rsid w:val="006770D0"/>
    <w:rsid w:val="0067726D"/>
    <w:rsid w:val="006773EC"/>
    <w:rsid w:val="00677449"/>
    <w:rsid w:val="0067747E"/>
    <w:rsid w:val="0067794F"/>
    <w:rsid w:val="00677B6E"/>
    <w:rsid w:val="00677CA7"/>
    <w:rsid w:val="00677D2D"/>
    <w:rsid w:val="00677F96"/>
    <w:rsid w:val="006801AB"/>
    <w:rsid w:val="00680363"/>
    <w:rsid w:val="00680433"/>
    <w:rsid w:val="0068067B"/>
    <w:rsid w:val="006806B6"/>
    <w:rsid w:val="006807B4"/>
    <w:rsid w:val="006808BB"/>
    <w:rsid w:val="006808F1"/>
    <w:rsid w:val="00680964"/>
    <w:rsid w:val="00680AA9"/>
    <w:rsid w:val="00680E2B"/>
    <w:rsid w:val="00681265"/>
    <w:rsid w:val="00681309"/>
    <w:rsid w:val="006813B9"/>
    <w:rsid w:val="0068140C"/>
    <w:rsid w:val="00681414"/>
    <w:rsid w:val="0068167C"/>
    <w:rsid w:val="00681919"/>
    <w:rsid w:val="00681A5B"/>
    <w:rsid w:val="00681B05"/>
    <w:rsid w:val="00681B9C"/>
    <w:rsid w:val="00681C00"/>
    <w:rsid w:val="00681C73"/>
    <w:rsid w:val="00681CB7"/>
    <w:rsid w:val="00682301"/>
    <w:rsid w:val="006823F6"/>
    <w:rsid w:val="006824C5"/>
    <w:rsid w:val="00682807"/>
    <w:rsid w:val="00682960"/>
    <w:rsid w:val="00682A5B"/>
    <w:rsid w:val="00682B5C"/>
    <w:rsid w:val="00682FB6"/>
    <w:rsid w:val="0068320B"/>
    <w:rsid w:val="0068344F"/>
    <w:rsid w:val="00683D21"/>
    <w:rsid w:val="00683D4C"/>
    <w:rsid w:val="00683DA5"/>
    <w:rsid w:val="00683E17"/>
    <w:rsid w:val="00683FB5"/>
    <w:rsid w:val="00683FFF"/>
    <w:rsid w:val="00684464"/>
    <w:rsid w:val="00684718"/>
    <w:rsid w:val="00684B16"/>
    <w:rsid w:val="00684BC6"/>
    <w:rsid w:val="00684C00"/>
    <w:rsid w:val="00684CB7"/>
    <w:rsid w:val="00684F57"/>
    <w:rsid w:val="00684F9C"/>
    <w:rsid w:val="00684FC1"/>
    <w:rsid w:val="0068505D"/>
    <w:rsid w:val="006852CA"/>
    <w:rsid w:val="006853FC"/>
    <w:rsid w:val="0068546A"/>
    <w:rsid w:val="00685609"/>
    <w:rsid w:val="006856BC"/>
    <w:rsid w:val="00685C79"/>
    <w:rsid w:val="00685F1C"/>
    <w:rsid w:val="00685F87"/>
    <w:rsid w:val="00685FC9"/>
    <w:rsid w:val="00685FD0"/>
    <w:rsid w:val="00685FE9"/>
    <w:rsid w:val="00686041"/>
    <w:rsid w:val="00686204"/>
    <w:rsid w:val="00686356"/>
    <w:rsid w:val="0068683C"/>
    <w:rsid w:val="0068686D"/>
    <w:rsid w:val="00686972"/>
    <w:rsid w:val="00686B84"/>
    <w:rsid w:val="00686D45"/>
    <w:rsid w:val="00686D9D"/>
    <w:rsid w:val="00686E25"/>
    <w:rsid w:val="00687176"/>
    <w:rsid w:val="006872CC"/>
    <w:rsid w:val="0068731F"/>
    <w:rsid w:val="006873B9"/>
    <w:rsid w:val="006873CE"/>
    <w:rsid w:val="0068763F"/>
    <w:rsid w:val="0068772D"/>
    <w:rsid w:val="00687A08"/>
    <w:rsid w:val="00687FEF"/>
    <w:rsid w:val="006901E0"/>
    <w:rsid w:val="006901EC"/>
    <w:rsid w:val="00690257"/>
    <w:rsid w:val="0069050C"/>
    <w:rsid w:val="006905A9"/>
    <w:rsid w:val="006906AB"/>
    <w:rsid w:val="006906D9"/>
    <w:rsid w:val="00690772"/>
    <w:rsid w:val="00690869"/>
    <w:rsid w:val="006908C8"/>
    <w:rsid w:val="006909A5"/>
    <w:rsid w:val="00690A8E"/>
    <w:rsid w:val="00690B58"/>
    <w:rsid w:val="00690D23"/>
    <w:rsid w:val="00690FD5"/>
    <w:rsid w:val="00691330"/>
    <w:rsid w:val="00691531"/>
    <w:rsid w:val="00691555"/>
    <w:rsid w:val="0069155D"/>
    <w:rsid w:val="00691704"/>
    <w:rsid w:val="006918B9"/>
    <w:rsid w:val="00691A92"/>
    <w:rsid w:val="00691B99"/>
    <w:rsid w:val="00691CF3"/>
    <w:rsid w:val="00691E29"/>
    <w:rsid w:val="00691F34"/>
    <w:rsid w:val="00692098"/>
    <w:rsid w:val="0069220A"/>
    <w:rsid w:val="0069225A"/>
    <w:rsid w:val="00692352"/>
    <w:rsid w:val="0069265E"/>
    <w:rsid w:val="006927AF"/>
    <w:rsid w:val="00692822"/>
    <w:rsid w:val="0069285B"/>
    <w:rsid w:val="00692A0A"/>
    <w:rsid w:val="00692B95"/>
    <w:rsid w:val="00692FF6"/>
    <w:rsid w:val="0069314B"/>
    <w:rsid w:val="006931A8"/>
    <w:rsid w:val="0069326D"/>
    <w:rsid w:val="00693613"/>
    <w:rsid w:val="0069368D"/>
    <w:rsid w:val="00693715"/>
    <w:rsid w:val="0069382B"/>
    <w:rsid w:val="00693A96"/>
    <w:rsid w:val="00693B68"/>
    <w:rsid w:val="00693E59"/>
    <w:rsid w:val="00693F6B"/>
    <w:rsid w:val="006941A3"/>
    <w:rsid w:val="006941EB"/>
    <w:rsid w:val="0069424A"/>
    <w:rsid w:val="00694276"/>
    <w:rsid w:val="006943B7"/>
    <w:rsid w:val="006943EF"/>
    <w:rsid w:val="00694558"/>
    <w:rsid w:val="0069455E"/>
    <w:rsid w:val="0069461E"/>
    <w:rsid w:val="00694660"/>
    <w:rsid w:val="006946E4"/>
    <w:rsid w:val="00694930"/>
    <w:rsid w:val="00694CB4"/>
    <w:rsid w:val="00694EE5"/>
    <w:rsid w:val="00694EF4"/>
    <w:rsid w:val="0069528D"/>
    <w:rsid w:val="00695331"/>
    <w:rsid w:val="0069533E"/>
    <w:rsid w:val="006954F2"/>
    <w:rsid w:val="006956F0"/>
    <w:rsid w:val="00695932"/>
    <w:rsid w:val="00695DF2"/>
    <w:rsid w:val="00695F26"/>
    <w:rsid w:val="00696059"/>
    <w:rsid w:val="00696065"/>
    <w:rsid w:val="00696072"/>
    <w:rsid w:val="006960E9"/>
    <w:rsid w:val="00696138"/>
    <w:rsid w:val="006961CF"/>
    <w:rsid w:val="00696531"/>
    <w:rsid w:val="00696A40"/>
    <w:rsid w:val="00696C5A"/>
    <w:rsid w:val="00696C8D"/>
    <w:rsid w:val="00696CD4"/>
    <w:rsid w:val="00696E00"/>
    <w:rsid w:val="0069710D"/>
    <w:rsid w:val="0069714D"/>
    <w:rsid w:val="006971E2"/>
    <w:rsid w:val="006972FD"/>
    <w:rsid w:val="006974FB"/>
    <w:rsid w:val="006976E7"/>
    <w:rsid w:val="00697781"/>
    <w:rsid w:val="00697B44"/>
    <w:rsid w:val="00697D25"/>
    <w:rsid w:val="00697D73"/>
    <w:rsid w:val="00697DB1"/>
    <w:rsid w:val="00697DD3"/>
    <w:rsid w:val="00697E41"/>
    <w:rsid w:val="00697FFC"/>
    <w:rsid w:val="006A055A"/>
    <w:rsid w:val="006A0606"/>
    <w:rsid w:val="006A0957"/>
    <w:rsid w:val="006A0AF6"/>
    <w:rsid w:val="006A0D10"/>
    <w:rsid w:val="006A0F56"/>
    <w:rsid w:val="006A10D7"/>
    <w:rsid w:val="006A1300"/>
    <w:rsid w:val="006A165A"/>
    <w:rsid w:val="006A16D0"/>
    <w:rsid w:val="006A17AE"/>
    <w:rsid w:val="006A1888"/>
    <w:rsid w:val="006A1AE1"/>
    <w:rsid w:val="006A1BA3"/>
    <w:rsid w:val="006A1E2B"/>
    <w:rsid w:val="006A1EC1"/>
    <w:rsid w:val="006A26BD"/>
    <w:rsid w:val="006A27EC"/>
    <w:rsid w:val="006A286B"/>
    <w:rsid w:val="006A299C"/>
    <w:rsid w:val="006A29E3"/>
    <w:rsid w:val="006A2D85"/>
    <w:rsid w:val="006A2E7E"/>
    <w:rsid w:val="006A2EFC"/>
    <w:rsid w:val="006A303A"/>
    <w:rsid w:val="006A3277"/>
    <w:rsid w:val="006A38DE"/>
    <w:rsid w:val="006A3A52"/>
    <w:rsid w:val="006A3D4C"/>
    <w:rsid w:val="006A3DF0"/>
    <w:rsid w:val="006A41D1"/>
    <w:rsid w:val="006A43A4"/>
    <w:rsid w:val="006A458F"/>
    <w:rsid w:val="006A45B0"/>
    <w:rsid w:val="006A481D"/>
    <w:rsid w:val="006A49EC"/>
    <w:rsid w:val="006A4AA0"/>
    <w:rsid w:val="006A4CD1"/>
    <w:rsid w:val="006A4D7B"/>
    <w:rsid w:val="006A4D8E"/>
    <w:rsid w:val="006A4F03"/>
    <w:rsid w:val="006A517A"/>
    <w:rsid w:val="006A55DB"/>
    <w:rsid w:val="006A566B"/>
    <w:rsid w:val="006A57F1"/>
    <w:rsid w:val="006A588C"/>
    <w:rsid w:val="006A59B0"/>
    <w:rsid w:val="006A59BD"/>
    <w:rsid w:val="006A5B4A"/>
    <w:rsid w:val="006A5C4A"/>
    <w:rsid w:val="006A5C86"/>
    <w:rsid w:val="006A5E2E"/>
    <w:rsid w:val="006A5E4C"/>
    <w:rsid w:val="006A5EFF"/>
    <w:rsid w:val="006A5F9F"/>
    <w:rsid w:val="006A6561"/>
    <w:rsid w:val="006A660B"/>
    <w:rsid w:val="006A667F"/>
    <w:rsid w:val="006A6765"/>
    <w:rsid w:val="006A6843"/>
    <w:rsid w:val="006A6B8C"/>
    <w:rsid w:val="006A6C7C"/>
    <w:rsid w:val="006A6D05"/>
    <w:rsid w:val="006A6E77"/>
    <w:rsid w:val="006A6EE7"/>
    <w:rsid w:val="006A7029"/>
    <w:rsid w:val="006A717F"/>
    <w:rsid w:val="006A71D8"/>
    <w:rsid w:val="006A722A"/>
    <w:rsid w:val="006A72DE"/>
    <w:rsid w:val="006A7948"/>
    <w:rsid w:val="006A7A53"/>
    <w:rsid w:val="006A7A85"/>
    <w:rsid w:val="006A7C03"/>
    <w:rsid w:val="006A7C21"/>
    <w:rsid w:val="006B0029"/>
    <w:rsid w:val="006B026D"/>
    <w:rsid w:val="006B03E4"/>
    <w:rsid w:val="006B0402"/>
    <w:rsid w:val="006B0419"/>
    <w:rsid w:val="006B05B1"/>
    <w:rsid w:val="006B069E"/>
    <w:rsid w:val="006B082A"/>
    <w:rsid w:val="006B0985"/>
    <w:rsid w:val="006B09FE"/>
    <w:rsid w:val="006B0CB6"/>
    <w:rsid w:val="006B0F91"/>
    <w:rsid w:val="006B0F98"/>
    <w:rsid w:val="006B0FAF"/>
    <w:rsid w:val="006B117A"/>
    <w:rsid w:val="006B141E"/>
    <w:rsid w:val="006B1568"/>
    <w:rsid w:val="006B1611"/>
    <w:rsid w:val="006B1809"/>
    <w:rsid w:val="006B18C7"/>
    <w:rsid w:val="006B196E"/>
    <w:rsid w:val="006B19BD"/>
    <w:rsid w:val="006B1B2A"/>
    <w:rsid w:val="006B1B68"/>
    <w:rsid w:val="006B1BDB"/>
    <w:rsid w:val="006B1C6C"/>
    <w:rsid w:val="006B1D22"/>
    <w:rsid w:val="006B1DB6"/>
    <w:rsid w:val="006B1DE2"/>
    <w:rsid w:val="006B20E5"/>
    <w:rsid w:val="006B213A"/>
    <w:rsid w:val="006B250A"/>
    <w:rsid w:val="006B2518"/>
    <w:rsid w:val="006B256D"/>
    <w:rsid w:val="006B27BD"/>
    <w:rsid w:val="006B2854"/>
    <w:rsid w:val="006B29E5"/>
    <w:rsid w:val="006B2BC3"/>
    <w:rsid w:val="006B2C06"/>
    <w:rsid w:val="006B2CDE"/>
    <w:rsid w:val="006B2F0C"/>
    <w:rsid w:val="006B2FD0"/>
    <w:rsid w:val="006B306F"/>
    <w:rsid w:val="006B3179"/>
    <w:rsid w:val="006B3720"/>
    <w:rsid w:val="006B397F"/>
    <w:rsid w:val="006B3A20"/>
    <w:rsid w:val="006B3E3C"/>
    <w:rsid w:val="006B3F4F"/>
    <w:rsid w:val="006B4136"/>
    <w:rsid w:val="006B4335"/>
    <w:rsid w:val="006B43D2"/>
    <w:rsid w:val="006B4441"/>
    <w:rsid w:val="006B44F8"/>
    <w:rsid w:val="006B4696"/>
    <w:rsid w:val="006B4B9F"/>
    <w:rsid w:val="006B4C52"/>
    <w:rsid w:val="006B4E0D"/>
    <w:rsid w:val="006B4E1E"/>
    <w:rsid w:val="006B503B"/>
    <w:rsid w:val="006B52A7"/>
    <w:rsid w:val="006B5378"/>
    <w:rsid w:val="006B53C4"/>
    <w:rsid w:val="006B55D3"/>
    <w:rsid w:val="006B56DF"/>
    <w:rsid w:val="006B56E4"/>
    <w:rsid w:val="006B56E7"/>
    <w:rsid w:val="006B5727"/>
    <w:rsid w:val="006B59CE"/>
    <w:rsid w:val="006B5B94"/>
    <w:rsid w:val="006B5E12"/>
    <w:rsid w:val="006B5E17"/>
    <w:rsid w:val="006B5F09"/>
    <w:rsid w:val="006B60D6"/>
    <w:rsid w:val="006B6200"/>
    <w:rsid w:val="006B6392"/>
    <w:rsid w:val="006B63ED"/>
    <w:rsid w:val="006B6540"/>
    <w:rsid w:val="006B6546"/>
    <w:rsid w:val="006B6731"/>
    <w:rsid w:val="006B6759"/>
    <w:rsid w:val="006B6A1A"/>
    <w:rsid w:val="006B6ED0"/>
    <w:rsid w:val="006B7082"/>
    <w:rsid w:val="006B716C"/>
    <w:rsid w:val="006B754A"/>
    <w:rsid w:val="006B76A2"/>
    <w:rsid w:val="006B771B"/>
    <w:rsid w:val="006B7873"/>
    <w:rsid w:val="006B799D"/>
    <w:rsid w:val="006B79B8"/>
    <w:rsid w:val="006B7A87"/>
    <w:rsid w:val="006B7CAF"/>
    <w:rsid w:val="006B7CC9"/>
    <w:rsid w:val="006B7DCB"/>
    <w:rsid w:val="006C0246"/>
    <w:rsid w:val="006C0620"/>
    <w:rsid w:val="006C0813"/>
    <w:rsid w:val="006C081B"/>
    <w:rsid w:val="006C08EC"/>
    <w:rsid w:val="006C0A02"/>
    <w:rsid w:val="006C0A82"/>
    <w:rsid w:val="006C0B0E"/>
    <w:rsid w:val="006C12A8"/>
    <w:rsid w:val="006C12EC"/>
    <w:rsid w:val="006C1320"/>
    <w:rsid w:val="006C1416"/>
    <w:rsid w:val="006C14C9"/>
    <w:rsid w:val="006C1654"/>
    <w:rsid w:val="006C165F"/>
    <w:rsid w:val="006C16EB"/>
    <w:rsid w:val="006C17A7"/>
    <w:rsid w:val="006C1916"/>
    <w:rsid w:val="006C1A12"/>
    <w:rsid w:val="006C1A70"/>
    <w:rsid w:val="006C1CCF"/>
    <w:rsid w:val="006C1EFB"/>
    <w:rsid w:val="006C2283"/>
    <w:rsid w:val="006C2381"/>
    <w:rsid w:val="006C246A"/>
    <w:rsid w:val="006C2528"/>
    <w:rsid w:val="006C2739"/>
    <w:rsid w:val="006C27C7"/>
    <w:rsid w:val="006C28CA"/>
    <w:rsid w:val="006C29CA"/>
    <w:rsid w:val="006C2CB3"/>
    <w:rsid w:val="006C2E06"/>
    <w:rsid w:val="006C2E88"/>
    <w:rsid w:val="006C3181"/>
    <w:rsid w:val="006C31C6"/>
    <w:rsid w:val="006C339C"/>
    <w:rsid w:val="006C39B0"/>
    <w:rsid w:val="006C3AA9"/>
    <w:rsid w:val="006C3BA0"/>
    <w:rsid w:val="006C3C82"/>
    <w:rsid w:val="006C3CF3"/>
    <w:rsid w:val="006C406A"/>
    <w:rsid w:val="006C4202"/>
    <w:rsid w:val="006C436F"/>
    <w:rsid w:val="006C443B"/>
    <w:rsid w:val="006C444D"/>
    <w:rsid w:val="006C4607"/>
    <w:rsid w:val="006C4816"/>
    <w:rsid w:val="006C4952"/>
    <w:rsid w:val="006C4A51"/>
    <w:rsid w:val="006C50D0"/>
    <w:rsid w:val="006C528F"/>
    <w:rsid w:val="006C54D2"/>
    <w:rsid w:val="006C563D"/>
    <w:rsid w:val="006C564B"/>
    <w:rsid w:val="006C56BC"/>
    <w:rsid w:val="006C5881"/>
    <w:rsid w:val="006C59B1"/>
    <w:rsid w:val="006C5B65"/>
    <w:rsid w:val="006C5C5A"/>
    <w:rsid w:val="006C5E36"/>
    <w:rsid w:val="006C6097"/>
    <w:rsid w:val="006C644D"/>
    <w:rsid w:val="006C65FB"/>
    <w:rsid w:val="006C66AA"/>
    <w:rsid w:val="006C673D"/>
    <w:rsid w:val="006C6B85"/>
    <w:rsid w:val="006C6F4D"/>
    <w:rsid w:val="006C6FEC"/>
    <w:rsid w:val="006C7047"/>
    <w:rsid w:val="006C7051"/>
    <w:rsid w:val="006C7156"/>
    <w:rsid w:val="006C71A3"/>
    <w:rsid w:val="006C727B"/>
    <w:rsid w:val="006C72F5"/>
    <w:rsid w:val="006C73AE"/>
    <w:rsid w:val="006C75D3"/>
    <w:rsid w:val="006C75F0"/>
    <w:rsid w:val="006C773E"/>
    <w:rsid w:val="006C7754"/>
    <w:rsid w:val="006C779C"/>
    <w:rsid w:val="006C7A58"/>
    <w:rsid w:val="006C7B35"/>
    <w:rsid w:val="006C7E4F"/>
    <w:rsid w:val="006D0195"/>
    <w:rsid w:val="006D055A"/>
    <w:rsid w:val="006D06B8"/>
    <w:rsid w:val="006D0891"/>
    <w:rsid w:val="006D0A3D"/>
    <w:rsid w:val="006D0BFA"/>
    <w:rsid w:val="006D0F1C"/>
    <w:rsid w:val="006D13BA"/>
    <w:rsid w:val="006D13CF"/>
    <w:rsid w:val="006D145D"/>
    <w:rsid w:val="006D156D"/>
    <w:rsid w:val="006D175D"/>
    <w:rsid w:val="006D1835"/>
    <w:rsid w:val="006D18BC"/>
    <w:rsid w:val="006D1972"/>
    <w:rsid w:val="006D1CB7"/>
    <w:rsid w:val="006D1E30"/>
    <w:rsid w:val="006D1ECF"/>
    <w:rsid w:val="006D2195"/>
    <w:rsid w:val="006D243C"/>
    <w:rsid w:val="006D2472"/>
    <w:rsid w:val="006D2486"/>
    <w:rsid w:val="006D259C"/>
    <w:rsid w:val="006D26F3"/>
    <w:rsid w:val="006D2A00"/>
    <w:rsid w:val="006D2D11"/>
    <w:rsid w:val="006D2E30"/>
    <w:rsid w:val="006D2F79"/>
    <w:rsid w:val="006D3056"/>
    <w:rsid w:val="006D308B"/>
    <w:rsid w:val="006D3291"/>
    <w:rsid w:val="006D32A1"/>
    <w:rsid w:val="006D33A8"/>
    <w:rsid w:val="006D33D8"/>
    <w:rsid w:val="006D364D"/>
    <w:rsid w:val="006D366D"/>
    <w:rsid w:val="006D36BF"/>
    <w:rsid w:val="006D36C5"/>
    <w:rsid w:val="006D3965"/>
    <w:rsid w:val="006D3966"/>
    <w:rsid w:val="006D39C6"/>
    <w:rsid w:val="006D3CE2"/>
    <w:rsid w:val="006D3E78"/>
    <w:rsid w:val="006D3EB6"/>
    <w:rsid w:val="006D4263"/>
    <w:rsid w:val="006D4357"/>
    <w:rsid w:val="006D4454"/>
    <w:rsid w:val="006D44C5"/>
    <w:rsid w:val="006D450E"/>
    <w:rsid w:val="006D47DF"/>
    <w:rsid w:val="006D4826"/>
    <w:rsid w:val="006D4D48"/>
    <w:rsid w:val="006D4F8C"/>
    <w:rsid w:val="006D502D"/>
    <w:rsid w:val="006D5207"/>
    <w:rsid w:val="006D5351"/>
    <w:rsid w:val="006D5391"/>
    <w:rsid w:val="006D53C5"/>
    <w:rsid w:val="006D5529"/>
    <w:rsid w:val="006D5726"/>
    <w:rsid w:val="006D57CA"/>
    <w:rsid w:val="006D5A6F"/>
    <w:rsid w:val="006D5AC8"/>
    <w:rsid w:val="006D5BC5"/>
    <w:rsid w:val="006D5C55"/>
    <w:rsid w:val="006D5DA3"/>
    <w:rsid w:val="006D600D"/>
    <w:rsid w:val="006D6446"/>
    <w:rsid w:val="006D6583"/>
    <w:rsid w:val="006D65A8"/>
    <w:rsid w:val="006D6694"/>
    <w:rsid w:val="006D67D9"/>
    <w:rsid w:val="006D680F"/>
    <w:rsid w:val="006D69D8"/>
    <w:rsid w:val="006D6A2C"/>
    <w:rsid w:val="006D6A49"/>
    <w:rsid w:val="006D6AEA"/>
    <w:rsid w:val="006D6B20"/>
    <w:rsid w:val="006D6BD2"/>
    <w:rsid w:val="006D6C8A"/>
    <w:rsid w:val="006D6C94"/>
    <w:rsid w:val="006D6D0C"/>
    <w:rsid w:val="006D6F1B"/>
    <w:rsid w:val="006D70CA"/>
    <w:rsid w:val="006D70DF"/>
    <w:rsid w:val="006D721C"/>
    <w:rsid w:val="006D72A6"/>
    <w:rsid w:val="006D7513"/>
    <w:rsid w:val="006D7743"/>
    <w:rsid w:val="006D777B"/>
    <w:rsid w:val="006D77F0"/>
    <w:rsid w:val="006D78C1"/>
    <w:rsid w:val="006D7949"/>
    <w:rsid w:val="006D7A35"/>
    <w:rsid w:val="006D7BEB"/>
    <w:rsid w:val="006D7D62"/>
    <w:rsid w:val="006D7E0A"/>
    <w:rsid w:val="006E00C0"/>
    <w:rsid w:val="006E03AD"/>
    <w:rsid w:val="006E0422"/>
    <w:rsid w:val="006E0802"/>
    <w:rsid w:val="006E08A2"/>
    <w:rsid w:val="006E0A8B"/>
    <w:rsid w:val="006E0B20"/>
    <w:rsid w:val="006E0C95"/>
    <w:rsid w:val="006E0CB9"/>
    <w:rsid w:val="006E0D15"/>
    <w:rsid w:val="006E0D55"/>
    <w:rsid w:val="006E0D8D"/>
    <w:rsid w:val="006E100B"/>
    <w:rsid w:val="006E1071"/>
    <w:rsid w:val="006E1295"/>
    <w:rsid w:val="006E140E"/>
    <w:rsid w:val="006E141C"/>
    <w:rsid w:val="006E163A"/>
    <w:rsid w:val="006E16BC"/>
    <w:rsid w:val="006E1737"/>
    <w:rsid w:val="006E1B0F"/>
    <w:rsid w:val="006E1B5A"/>
    <w:rsid w:val="006E1D80"/>
    <w:rsid w:val="006E1E22"/>
    <w:rsid w:val="006E1E80"/>
    <w:rsid w:val="006E1F7B"/>
    <w:rsid w:val="006E2002"/>
    <w:rsid w:val="006E2244"/>
    <w:rsid w:val="006E234A"/>
    <w:rsid w:val="006E2459"/>
    <w:rsid w:val="006E2523"/>
    <w:rsid w:val="006E2A01"/>
    <w:rsid w:val="006E2A43"/>
    <w:rsid w:val="006E2B76"/>
    <w:rsid w:val="006E2D8A"/>
    <w:rsid w:val="006E2E07"/>
    <w:rsid w:val="006E2F58"/>
    <w:rsid w:val="006E3045"/>
    <w:rsid w:val="006E31D4"/>
    <w:rsid w:val="006E3295"/>
    <w:rsid w:val="006E32E7"/>
    <w:rsid w:val="006E34A9"/>
    <w:rsid w:val="006E382A"/>
    <w:rsid w:val="006E3C56"/>
    <w:rsid w:val="006E3CE7"/>
    <w:rsid w:val="006E3D9A"/>
    <w:rsid w:val="006E3EE9"/>
    <w:rsid w:val="006E408C"/>
    <w:rsid w:val="006E42F1"/>
    <w:rsid w:val="006E44A4"/>
    <w:rsid w:val="006E4548"/>
    <w:rsid w:val="006E458D"/>
    <w:rsid w:val="006E46AB"/>
    <w:rsid w:val="006E4706"/>
    <w:rsid w:val="006E47B6"/>
    <w:rsid w:val="006E48CB"/>
    <w:rsid w:val="006E4977"/>
    <w:rsid w:val="006E49C8"/>
    <w:rsid w:val="006E4A2D"/>
    <w:rsid w:val="006E4A9D"/>
    <w:rsid w:val="006E4AF4"/>
    <w:rsid w:val="006E4C4A"/>
    <w:rsid w:val="006E4CC6"/>
    <w:rsid w:val="006E502C"/>
    <w:rsid w:val="006E50FB"/>
    <w:rsid w:val="006E524B"/>
    <w:rsid w:val="006E55A4"/>
    <w:rsid w:val="006E56AC"/>
    <w:rsid w:val="006E584F"/>
    <w:rsid w:val="006E597D"/>
    <w:rsid w:val="006E59D9"/>
    <w:rsid w:val="006E5A10"/>
    <w:rsid w:val="006E5A16"/>
    <w:rsid w:val="006E5BF6"/>
    <w:rsid w:val="006E5D7F"/>
    <w:rsid w:val="006E5E42"/>
    <w:rsid w:val="006E5F22"/>
    <w:rsid w:val="006E5F58"/>
    <w:rsid w:val="006E60D5"/>
    <w:rsid w:val="006E631F"/>
    <w:rsid w:val="006E6418"/>
    <w:rsid w:val="006E6670"/>
    <w:rsid w:val="006E67B2"/>
    <w:rsid w:val="006E6988"/>
    <w:rsid w:val="006E6BAA"/>
    <w:rsid w:val="006E6D51"/>
    <w:rsid w:val="006E6FED"/>
    <w:rsid w:val="006E709A"/>
    <w:rsid w:val="006E73C6"/>
    <w:rsid w:val="006E752C"/>
    <w:rsid w:val="006E7556"/>
    <w:rsid w:val="006E76D1"/>
    <w:rsid w:val="006E7746"/>
    <w:rsid w:val="006E777D"/>
    <w:rsid w:val="006E77AD"/>
    <w:rsid w:val="006E77EE"/>
    <w:rsid w:val="006E7DAE"/>
    <w:rsid w:val="006E7FC0"/>
    <w:rsid w:val="006F022A"/>
    <w:rsid w:val="006F0311"/>
    <w:rsid w:val="006F0373"/>
    <w:rsid w:val="006F0443"/>
    <w:rsid w:val="006F045C"/>
    <w:rsid w:val="006F0650"/>
    <w:rsid w:val="006F06CE"/>
    <w:rsid w:val="006F0841"/>
    <w:rsid w:val="006F0A63"/>
    <w:rsid w:val="006F0C4C"/>
    <w:rsid w:val="006F0C70"/>
    <w:rsid w:val="006F0D28"/>
    <w:rsid w:val="006F0D5E"/>
    <w:rsid w:val="006F0DE2"/>
    <w:rsid w:val="006F0DE3"/>
    <w:rsid w:val="006F0E9F"/>
    <w:rsid w:val="006F10DF"/>
    <w:rsid w:val="006F12A8"/>
    <w:rsid w:val="006F131B"/>
    <w:rsid w:val="006F14C0"/>
    <w:rsid w:val="006F1589"/>
    <w:rsid w:val="006F1723"/>
    <w:rsid w:val="006F1BF8"/>
    <w:rsid w:val="006F1FAB"/>
    <w:rsid w:val="006F21D3"/>
    <w:rsid w:val="006F2330"/>
    <w:rsid w:val="006F27D6"/>
    <w:rsid w:val="006F2AEB"/>
    <w:rsid w:val="006F2B7F"/>
    <w:rsid w:val="006F2D26"/>
    <w:rsid w:val="006F2D5B"/>
    <w:rsid w:val="006F2F40"/>
    <w:rsid w:val="006F3108"/>
    <w:rsid w:val="006F32BD"/>
    <w:rsid w:val="006F3350"/>
    <w:rsid w:val="006F3387"/>
    <w:rsid w:val="006F3523"/>
    <w:rsid w:val="006F3546"/>
    <w:rsid w:val="006F3559"/>
    <w:rsid w:val="006F364B"/>
    <w:rsid w:val="006F3A20"/>
    <w:rsid w:val="006F3A84"/>
    <w:rsid w:val="006F3F4A"/>
    <w:rsid w:val="006F413E"/>
    <w:rsid w:val="006F431B"/>
    <w:rsid w:val="006F46E7"/>
    <w:rsid w:val="006F4A5C"/>
    <w:rsid w:val="006F4B6A"/>
    <w:rsid w:val="006F4BDA"/>
    <w:rsid w:val="006F4CC9"/>
    <w:rsid w:val="006F4E42"/>
    <w:rsid w:val="006F5305"/>
    <w:rsid w:val="006F543B"/>
    <w:rsid w:val="006F551F"/>
    <w:rsid w:val="006F5521"/>
    <w:rsid w:val="006F59F9"/>
    <w:rsid w:val="006F5CEF"/>
    <w:rsid w:val="006F5D54"/>
    <w:rsid w:val="006F5E20"/>
    <w:rsid w:val="006F5F07"/>
    <w:rsid w:val="006F601C"/>
    <w:rsid w:val="006F60A9"/>
    <w:rsid w:val="006F60DE"/>
    <w:rsid w:val="006F6326"/>
    <w:rsid w:val="006F63B2"/>
    <w:rsid w:val="006F6632"/>
    <w:rsid w:val="006F6D20"/>
    <w:rsid w:val="006F6E14"/>
    <w:rsid w:val="006F6EF7"/>
    <w:rsid w:val="006F6F16"/>
    <w:rsid w:val="006F6F22"/>
    <w:rsid w:val="006F70C6"/>
    <w:rsid w:val="006F7115"/>
    <w:rsid w:val="006F7167"/>
    <w:rsid w:val="006F7244"/>
    <w:rsid w:val="006F72E1"/>
    <w:rsid w:val="006F7342"/>
    <w:rsid w:val="006F743F"/>
    <w:rsid w:val="006F7587"/>
    <w:rsid w:val="006F75D6"/>
    <w:rsid w:val="006F7915"/>
    <w:rsid w:val="006F7981"/>
    <w:rsid w:val="006F7A55"/>
    <w:rsid w:val="006F7E53"/>
    <w:rsid w:val="006F7F8A"/>
    <w:rsid w:val="0070000B"/>
    <w:rsid w:val="007001DC"/>
    <w:rsid w:val="00700298"/>
    <w:rsid w:val="00700321"/>
    <w:rsid w:val="0070037A"/>
    <w:rsid w:val="007003C2"/>
    <w:rsid w:val="00700451"/>
    <w:rsid w:val="007009A7"/>
    <w:rsid w:val="00700AAC"/>
    <w:rsid w:val="00700B67"/>
    <w:rsid w:val="00700E71"/>
    <w:rsid w:val="00700FF8"/>
    <w:rsid w:val="0070110E"/>
    <w:rsid w:val="00701189"/>
    <w:rsid w:val="007011E2"/>
    <w:rsid w:val="00701290"/>
    <w:rsid w:val="00701674"/>
    <w:rsid w:val="007016E0"/>
    <w:rsid w:val="00701702"/>
    <w:rsid w:val="00701886"/>
    <w:rsid w:val="00701912"/>
    <w:rsid w:val="00701C18"/>
    <w:rsid w:val="00701DA1"/>
    <w:rsid w:val="00701DD3"/>
    <w:rsid w:val="00701E1E"/>
    <w:rsid w:val="00701EC3"/>
    <w:rsid w:val="00702081"/>
    <w:rsid w:val="007022BB"/>
    <w:rsid w:val="007022D0"/>
    <w:rsid w:val="00702439"/>
    <w:rsid w:val="0070246C"/>
    <w:rsid w:val="00702767"/>
    <w:rsid w:val="00702996"/>
    <w:rsid w:val="00702B11"/>
    <w:rsid w:val="00702E84"/>
    <w:rsid w:val="00703049"/>
    <w:rsid w:val="0070337D"/>
    <w:rsid w:val="007034C4"/>
    <w:rsid w:val="007035EC"/>
    <w:rsid w:val="007036C2"/>
    <w:rsid w:val="007037DB"/>
    <w:rsid w:val="00703A8D"/>
    <w:rsid w:val="00703B2F"/>
    <w:rsid w:val="00703D54"/>
    <w:rsid w:val="00703E47"/>
    <w:rsid w:val="00703F6E"/>
    <w:rsid w:val="00703FEE"/>
    <w:rsid w:val="00704036"/>
    <w:rsid w:val="0070431D"/>
    <w:rsid w:val="0070439D"/>
    <w:rsid w:val="007043E7"/>
    <w:rsid w:val="007044BC"/>
    <w:rsid w:val="0070484D"/>
    <w:rsid w:val="00704953"/>
    <w:rsid w:val="007049CC"/>
    <w:rsid w:val="00704ABF"/>
    <w:rsid w:val="00704ADE"/>
    <w:rsid w:val="00704B76"/>
    <w:rsid w:val="0070527B"/>
    <w:rsid w:val="007056D3"/>
    <w:rsid w:val="0070582A"/>
    <w:rsid w:val="0070585E"/>
    <w:rsid w:val="007058A7"/>
    <w:rsid w:val="007058C9"/>
    <w:rsid w:val="00705C8E"/>
    <w:rsid w:val="00705DE8"/>
    <w:rsid w:val="00706074"/>
    <w:rsid w:val="00706078"/>
    <w:rsid w:val="007061EE"/>
    <w:rsid w:val="007062EF"/>
    <w:rsid w:val="007062F3"/>
    <w:rsid w:val="00706347"/>
    <w:rsid w:val="00706363"/>
    <w:rsid w:val="0070636A"/>
    <w:rsid w:val="00706373"/>
    <w:rsid w:val="00706597"/>
    <w:rsid w:val="00706611"/>
    <w:rsid w:val="0070675A"/>
    <w:rsid w:val="007067F0"/>
    <w:rsid w:val="00706A70"/>
    <w:rsid w:val="00706AAF"/>
    <w:rsid w:val="00706F03"/>
    <w:rsid w:val="0070700E"/>
    <w:rsid w:val="0070737F"/>
    <w:rsid w:val="00707492"/>
    <w:rsid w:val="0070756A"/>
    <w:rsid w:val="007075A3"/>
    <w:rsid w:val="007075B3"/>
    <w:rsid w:val="007075CF"/>
    <w:rsid w:val="00707635"/>
    <w:rsid w:val="007076FC"/>
    <w:rsid w:val="0070783E"/>
    <w:rsid w:val="00707B1A"/>
    <w:rsid w:val="00707BD9"/>
    <w:rsid w:val="00707C6B"/>
    <w:rsid w:val="00707DAA"/>
    <w:rsid w:val="00707E27"/>
    <w:rsid w:val="00707E60"/>
    <w:rsid w:val="00707F08"/>
    <w:rsid w:val="00707FA7"/>
    <w:rsid w:val="00710006"/>
    <w:rsid w:val="00710064"/>
    <w:rsid w:val="0071011C"/>
    <w:rsid w:val="00710145"/>
    <w:rsid w:val="00710384"/>
    <w:rsid w:val="00710386"/>
    <w:rsid w:val="00710479"/>
    <w:rsid w:val="007105EE"/>
    <w:rsid w:val="0071062B"/>
    <w:rsid w:val="007107BE"/>
    <w:rsid w:val="0071085C"/>
    <w:rsid w:val="00710A4A"/>
    <w:rsid w:val="00710BDC"/>
    <w:rsid w:val="00710CFC"/>
    <w:rsid w:val="00710DF0"/>
    <w:rsid w:val="00711035"/>
    <w:rsid w:val="00711232"/>
    <w:rsid w:val="0071124F"/>
    <w:rsid w:val="0071131B"/>
    <w:rsid w:val="007113A4"/>
    <w:rsid w:val="007113E5"/>
    <w:rsid w:val="007117EA"/>
    <w:rsid w:val="00711886"/>
    <w:rsid w:val="007118BB"/>
    <w:rsid w:val="00711A8E"/>
    <w:rsid w:val="00711B1A"/>
    <w:rsid w:val="00711F1B"/>
    <w:rsid w:val="00711F9D"/>
    <w:rsid w:val="00711FA4"/>
    <w:rsid w:val="0071220C"/>
    <w:rsid w:val="0071234C"/>
    <w:rsid w:val="0071255D"/>
    <w:rsid w:val="0071266C"/>
    <w:rsid w:val="00712897"/>
    <w:rsid w:val="007128D6"/>
    <w:rsid w:val="007128E9"/>
    <w:rsid w:val="007128EA"/>
    <w:rsid w:val="007129CC"/>
    <w:rsid w:val="007129EA"/>
    <w:rsid w:val="00712B61"/>
    <w:rsid w:val="00712C75"/>
    <w:rsid w:val="00712C97"/>
    <w:rsid w:val="00712CC3"/>
    <w:rsid w:val="00712E8A"/>
    <w:rsid w:val="00712F9D"/>
    <w:rsid w:val="00712FB9"/>
    <w:rsid w:val="00713040"/>
    <w:rsid w:val="00713116"/>
    <w:rsid w:val="007132B2"/>
    <w:rsid w:val="007132BF"/>
    <w:rsid w:val="007133BB"/>
    <w:rsid w:val="00713533"/>
    <w:rsid w:val="00713721"/>
    <w:rsid w:val="00713755"/>
    <w:rsid w:val="007138F7"/>
    <w:rsid w:val="0071396E"/>
    <w:rsid w:val="00713A02"/>
    <w:rsid w:val="00713A25"/>
    <w:rsid w:val="00713A45"/>
    <w:rsid w:val="00713BDE"/>
    <w:rsid w:val="00713D55"/>
    <w:rsid w:val="00713F78"/>
    <w:rsid w:val="00714150"/>
    <w:rsid w:val="00714780"/>
    <w:rsid w:val="00714804"/>
    <w:rsid w:val="0071483E"/>
    <w:rsid w:val="007149BC"/>
    <w:rsid w:val="007149C0"/>
    <w:rsid w:val="007149E1"/>
    <w:rsid w:val="00714A2D"/>
    <w:rsid w:val="00714B04"/>
    <w:rsid w:val="00714E70"/>
    <w:rsid w:val="00715007"/>
    <w:rsid w:val="007151CB"/>
    <w:rsid w:val="0071537E"/>
    <w:rsid w:val="00715410"/>
    <w:rsid w:val="0071554B"/>
    <w:rsid w:val="00715782"/>
    <w:rsid w:val="007157D4"/>
    <w:rsid w:val="007158D1"/>
    <w:rsid w:val="00715A30"/>
    <w:rsid w:val="00715A85"/>
    <w:rsid w:val="00715C94"/>
    <w:rsid w:val="00715DBD"/>
    <w:rsid w:val="00715EC4"/>
    <w:rsid w:val="00715F07"/>
    <w:rsid w:val="00715F45"/>
    <w:rsid w:val="00716036"/>
    <w:rsid w:val="0071605D"/>
    <w:rsid w:val="0071606A"/>
    <w:rsid w:val="00716308"/>
    <w:rsid w:val="007163FE"/>
    <w:rsid w:val="00716777"/>
    <w:rsid w:val="007167DD"/>
    <w:rsid w:val="00716BC7"/>
    <w:rsid w:val="00716DB0"/>
    <w:rsid w:val="00716E08"/>
    <w:rsid w:val="00716F95"/>
    <w:rsid w:val="00717011"/>
    <w:rsid w:val="007170E5"/>
    <w:rsid w:val="00717167"/>
    <w:rsid w:val="00717356"/>
    <w:rsid w:val="00717544"/>
    <w:rsid w:val="007176C2"/>
    <w:rsid w:val="0071798B"/>
    <w:rsid w:val="007179EB"/>
    <w:rsid w:val="00717BB1"/>
    <w:rsid w:val="00717E4B"/>
    <w:rsid w:val="00717E7E"/>
    <w:rsid w:val="00717EE5"/>
    <w:rsid w:val="00717FA0"/>
    <w:rsid w:val="007201A0"/>
    <w:rsid w:val="007203A2"/>
    <w:rsid w:val="007203A5"/>
    <w:rsid w:val="00720447"/>
    <w:rsid w:val="007204A7"/>
    <w:rsid w:val="00720659"/>
    <w:rsid w:val="00720736"/>
    <w:rsid w:val="00720773"/>
    <w:rsid w:val="00720775"/>
    <w:rsid w:val="00720839"/>
    <w:rsid w:val="0072083E"/>
    <w:rsid w:val="00720E0E"/>
    <w:rsid w:val="007210DC"/>
    <w:rsid w:val="00721235"/>
    <w:rsid w:val="007212B2"/>
    <w:rsid w:val="007217C9"/>
    <w:rsid w:val="00721BCF"/>
    <w:rsid w:val="00721C96"/>
    <w:rsid w:val="00722005"/>
    <w:rsid w:val="00722015"/>
    <w:rsid w:val="0072218B"/>
    <w:rsid w:val="00722663"/>
    <w:rsid w:val="0072275F"/>
    <w:rsid w:val="00722802"/>
    <w:rsid w:val="007228D7"/>
    <w:rsid w:val="0072298C"/>
    <w:rsid w:val="00722EFD"/>
    <w:rsid w:val="00722F0D"/>
    <w:rsid w:val="00723567"/>
    <w:rsid w:val="007235EC"/>
    <w:rsid w:val="007237A1"/>
    <w:rsid w:val="007237B5"/>
    <w:rsid w:val="00723B0B"/>
    <w:rsid w:val="00723B2C"/>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D2"/>
    <w:rsid w:val="007250ED"/>
    <w:rsid w:val="0072525B"/>
    <w:rsid w:val="007252FF"/>
    <w:rsid w:val="0072546D"/>
    <w:rsid w:val="007255B5"/>
    <w:rsid w:val="007255C0"/>
    <w:rsid w:val="00725664"/>
    <w:rsid w:val="007256B7"/>
    <w:rsid w:val="007259D6"/>
    <w:rsid w:val="00725A9B"/>
    <w:rsid w:val="00725AEF"/>
    <w:rsid w:val="00725CEB"/>
    <w:rsid w:val="00725E73"/>
    <w:rsid w:val="00725F60"/>
    <w:rsid w:val="00726458"/>
    <w:rsid w:val="00726483"/>
    <w:rsid w:val="00726488"/>
    <w:rsid w:val="0072654E"/>
    <w:rsid w:val="0072657D"/>
    <w:rsid w:val="00726BCE"/>
    <w:rsid w:val="00726E5C"/>
    <w:rsid w:val="00726ED6"/>
    <w:rsid w:val="00726EFA"/>
    <w:rsid w:val="00726EFB"/>
    <w:rsid w:val="00726FDD"/>
    <w:rsid w:val="00727065"/>
    <w:rsid w:val="00727307"/>
    <w:rsid w:val="007274D2"/>
    <w:rsid w:val="007275B7"/>
    <w:rsid w:val="00727712"/>
    <w:rsid w:val="00727911"/>
    <w:rsid w:val="00727B19"/>
    <w:rsid w:val="00727B76"/>
    <w:rsid w:val="00727C83"/>
    <w:rsid w:val="00727E24"/>
    <w:rsid w:val="00727E8D"/>
    <w:rsid w:val="00727F62"/>
    <w:rsid w:val="0073046C"/>
    <w:rsid w:val="007305B7"/>
    <w:rsid w:val="007307AE"/>
    <w:rsid w:val="007308EE"/>
    <w:rsid w:val="00730933"/>
    <w:rsid w:val="00730CBB"/>
    <w:rsid w:val="00730DE1"/>
    <w:rsid w:val="00730EE8"/>
    <w:rsid w:val="00731003"/>
    <w:rsid w:val="0073104E"/>
    <w:rsid w:val="00731067"/>
    <w:rsid w:val="007312FE"/>
    <w:rsid w:val="00731307"/>
    <w:rsid w:val="00731369"/>
    <w:rsid w:val="007317DA"/>
    <w:rsid w:val="00731911"/>
    <w:rsid w:val="00731BE5"/>
    <w:rsid w:val="00731C85"/>
    <w:rsid w:val="00731DBF"/>
    <w:rsid w:val="0073208E"/>
    <w:rsid w:val="00732293"/>
    <w:rsid w:val="007323F9"/>
    <w:rsid w:val="00732488"/>
    <w:rsid w:val="0073252D"/>
    <w:rsid w:val="007326B4"/>
    <w:rsid w:val="00732C18"/>
    <w:rsid w:val="00732F18"/>
    <w:rsid w:val="00732F32"/>
    <w:rsid w:val="0073301A"/>
    <w:rsid w:val="00733060"/>
    <w:rsid w:val="00733162"/>
    <w:rsid w:val="00733380"/>
    <w:rsid w:val="007333A7"/>
    <w:rsid w:val="007333AD"/>
    <w:rsid w:val="007333C0"/>
    <w:rsid w:val="007335CB"/>
    <w:rsid w:val="00733618"/>
    <w:rsid w:val="007339D8"/>
    <w:rsid w:val="00733AC9"/>
    <w:rsid w:val="00733CF2"/>
    <w:rsid w:val="00733D1B"/>
    <w:rsid w:val="00733DE3"/>
    <w:rsid w:val="00733E76"/>
    <w:rsid w:val="00733F20"/>
    <w:rsid w:val="00733F37"/>
    <w:rsid w:val="00733F84"/>
    <w:rsid w:val="00734038"/>
    <w:rsid w:val="007341DD"/>
    <w:rsid w:val="00734292"/>
    <w:rsid w:val="0073476C"/>
    <w:rsid w:val="0073479C"/>
    <w:rsid w:val="007348BA"/>
    <w:rsid w:val="007349AE"/>
    <w:rsid w:val="00734BBD"/>
    <w:rsid w:val="00734D28"/>
    <w:rsid w:val="00734E14"/>
    <w:rsid w:val="007350FB"/>
    <w:rsid w:val="0073518E"/>
    <w:rsid w:val="007352C6"/>
    <w:rsid w:val="007354C9"/>
    <w:rsid w:val="007354E4"/>
    <w:rsid w:val="007359A9"/>
    <w:rsid w:val="00735E18"/>
    <w:rsid w:val="00735F71"/>
    <w:rsid w:val="00735FFE"/>
    <w:rsid w:val="00736012"/>
    <w:rsid w:val="0073619B"/>
    <w:rsid w:val="007362F4"/>
    <w:rsid w:val="007363C1"/>
    <w:rsid w:val="00736469"/>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6B6"/>
    <w:rsid w:val="00737B23"/>
    <w:rsid w:val="00737C95"/>
    <w:rsid w:val="00737E39"/>
    <w:rsid w:val="00737EC1"/>
    <w:rsid w:val="00737F58"/>
    <w:rsid w:val="007402D5"/>
    <w:rsid w:val="007405E8"/>
    <w:rsid w:val="0074079C"/>
    <w:rsid w:val="00740893"/>
    <w:rsid w:val="0074099E"/>
    <w:rsid w:val="00740A41"/>
    <w:rsid w:val="00740B5A"/>
    <w:rsid w:val="00740B82"/>
    <w:rsid w:val="00740BD3"/>
    <w:rsid w:val="00740E0C"/>
    <w:rsid w:val="00740F25"/>
    <w:rsid w:val="0074108D"/>
    <w:rsid w:val="00741235"/>
    <w:rsid w:val="0074127A"/>
    <w:rsid w:val="007414C8"/>
    <w:rsid w:val="007416BF"/>
    <w:rsid w:val="0074187C"/>
    <w:rsid w:val="007418D5"/>
    <w:rsid w:val="007418E7"/>
    <w:rsid w:val="007420F0"/>
    <w:rsid w:val="00742502"/>
    <w:rsid w:val="007426F3"/>
    <w:rsid w:val="007427E4"/>
    <w:rsid w:val="00742A42"/>
    <w:rsid w:val="00742B51"/>
    <w:rsid w:val="00742D6B"/>
    <w:rsid w:val="00742DC2"/>
    <w:rsid w:val="00742E32"/>
    <w:rsid w:val="00742E80"/>
    <w:rsid w:val="00743202"/>
    <w:rsid w:val="0074365E"/>
    <w:rsid w:val="00743717"/>
    <w:rsid w:val="0074399C"/>
    <w:rsid w:val="007439D9"/>
    <w:rsid w:val="00743C53"/>
    <w:rsid w:val="00743CB4"/>
    <w:rsid w:val="00743CD6"/>
    <w:rsid w:val="00743E6A"/>
    <w:rsid w:val="00744004"/>
    <w:rsid w:val="00744007"/>
    <w:rsid w:val="0074408C"/>
    <w:rsid w:val="0074434E"/>
    <w:rsid w:val="00744AE6"/>
    <w:rsid w:val="00744E7A"/>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C96"/>
    <w:rsid w:val="00746D6B"/>
    <w:rsid w:val="007470CF"/>
    <w:rsid w:val="00747290"/>
    <w:rsid w:val="0074738D"/>
    <w:rsid w:val="0074747B"/>
    <w:rsid w:val="007474AB"/>
    <w:rsid w:val="00747663"/>
    <w:rsid w:val="00747888"/>
    <w:rsid w:val="007478BB"/>
    <w:rsid w:val="00747B1A"/>
    <w:rsid w:val="00747CB0"/>
    <w:rsid w:val="00747CD3"/>
    <w:rsid w:val="00747F0D"/>
    <w:rsid w:val="00747F2B"/>
    <w:rsid w:val="0075019D"/>
    <w:rsid w:val="007505BC"/>
    <w:rsid w:val="0075061A"/>
    <w:rsid w:val="00750779"/>
    <w:rsid w:val="007508EA"/>
    <w:rsid w:val="00750926"/>
    <w:rsid w:val="00750B75"/>
    <w:rsid w:val="00750BE5"/>
    <w:rsid w:val="00750C1F"/>
    <w:rsid w:val="00750C7D"/>
    <w:rsid w:val="00750F0B"/>
    <w:rsid w:val="00750F8B"/>
    <w:rsid w:val="007513D0"/>
    <w:rsid w:val="00751543"/>
    <w:rsid w:val="007515AD"/>
    <w:rsid w:val="0075181F"/>
    <w:rsid w:val="00751F92"/>
    <w:rsid w:val="007521CC"/>
    <w:rsid w:val="007522D9"/>
    <w:rsid w:val="00752720"/>
    <w:rsid w:val="007527BC"/>
    <w:rsid w:val="007527E9"/>
    <w:rsid w:val="00752855"/>
    <w:rsid w:val="007529CC"/>
    <w:rsid w:val="00752B6A"/>
    <w:rsid w:val="00752CCC"/>
    <w:rsid w:val="00752D60"/>
    <w:rsid w:val="00752D86"/>
    <w:rsid w:val="00752E0D"/>
    <w:rsid w:val="0075303B"/>
    <w:rsid w:val="00753066"/>
    <w:rsid w:val="007531C7"/>
    <w:rsid w:val="007532E8"/>
    <w:rsid w:val="007535B0"/>
    <w:rsid w:val="007535B8"/>
    <w:rsid w:val="00753A35"/>
    <w:rsid w:val="00753D9D"/>
    <w:rsid w:val="00753E68"/>
    <w:rsid w:val="00753EBA"/>
    <w:rsid w:val="00753EEF"/>
    <w:rsid w:val="00753F16"/>
    <w:rsid w:val="0075413F"/>
    <w:rsid w:val="007543CE"/>
    <w:rsid w:val="0075450F"/>
    <w:rsid w:val="0075465C"/>
    <w:rsid w:val="00754ACB"/>
    <w:rsid w:val="00754AD3"/>
    <w:rsid w:val="00754D99"/>
    <w:rsid w:val="00754ED0"/>
    <w:rsid w:val="0075505F"/>
    <w:rsid w:val="00755114"/>
    <w:rsid w:val="0075514B"/>
    <w:rsid w:val="0075514C"/>
    <w:rsid w:val="007551CD"/>
    <w:rsid w:val="0075529C"/>
    <w:rsid w:val="007552A9"/>
    <w:rsid w:val="007556CB"/>
    <w:rsid w:val="00755A43"/>
    <w:rsid w:val="00755BA2"/>
    <w:rsid w:val="00755CFF"/>
    <w:rsid w:val="00755D64"/>
    <w:rsid w:val="00755E25"/>
    <w:rsid w:val="00755FF6"/>
    <w:rsid w:val="00756019"/>
    <w:rsid w:val="007560EA"/>
    <w:rsid w:val="007561DA"/>
    <w:rsid w:val="00756245"/>
    <w:rsid w:val="007563C8"/>
    <w:rsid w:val="0075669B"/>
    <w:rsid w:val="007567C8"/>
    <w:rsid w:val="0075687C"/>
    <w:rsid w:val="00756945"/>
    <w:rsid w:val="00756B3B"/>
    <w:rsid w:val="00756B8A"/>
    <w:rsid w:val="00756C8C"/>
    <w:rsid w:val="00756CA0"/>
    <w:rsid w:val="00756D61"/>
    <w:rsid w:val="00756FE4"/>
    <w:rsid w:val="0075705D"/>
    <w:rsid w:val="007571EB"/>
    <w:rsid w:val="0075724E"/>
    <w:rsid w:val="007572C7"/>
    <w:rsid w:val="0075737B"/>
    <w:rsid w:val="007573C9"/>
    <w:rsid w:val="007579D1"/>
    <w:rsid w:val="00757A2D"/>
    <w:rsid w:val="00757C23"/>
    <w:rsid w:val="00757C90"/>
    <w:rsid w:val="00757D27"/>
    <w:rsid w:val="00757DFD"/>
    <w:rsid w:val="007600AB"/>
    <w:rsid w:val="00760228"/>
    <w:rsid w:val="0076032D"/>
    <w:rsid w:val="00760442"/>
    <w:rsid w:val="00760452"/>
    <w:rsid w:val="007604E5"/>
    <w:rsid w:val="00760533"/>
    <w:rsid w:val="00760627"/>
    <w:rsid w:val="00760637"/>
    <w:rsid w:val="007606CA"/>
    <w:rsid w:val="0076082A"/>
    <w:rsid w:val="007608D2"/>
    <w:rsid w:val="007612D7"/>
    <w:rsid w:val="007615F3"/>
    <w:rsid w:val="007616CB"/>
    <w:rsid w:val="00761765"/>
    <w:rsid w:val="00761807"/>
    <w:rsid w:val="00761844"/>
    <w:rsid w:val="00761BA7"/>
    <w:rsid w:val="00761BEB"/>
    <w:rsid w:val="00761CC1"/>
    <w:rsid w:val="00761D87"/>
    <w:rsid w:val="00761E7F"/>
    <w:rsid w:val="00761EDC"/>
    <w:rsid w:val="00762034"/>
    <w:rsid w:val="007621B8"/>
    <w:rsid w:val="007622EB"/>
    <w:rsid w:val="0076232D"/>
    <w:rsid w:val="007623CC"/>
    <w:rsid w:val="00762490"/>
    <w:rsid w:val="0076264D"/>
    <w:rsid w:val="00762890"/>
    <w:rsid w:val="00762A1B"/>
    <w:rsid w:val="00762A4F"/>
    <w:rsid w:val="00762B96"/>
    <w:rsid w:val="00762DA3"/>
    <w:rsid w:val="00762F08"/>
    <w:rsid w:val="00762F4E"/>
    <w:rsid w:val="00762FE4"/>
    <w:rsid w:val="00763291"/>
    <w:rsid w:val="007639BF"/>
    <w:rsid w:val="00763B81"/>
    <w:rsid w:val="00763D39"/>
    <w:rsid w:val="0076435B"/>
    <w:rsid w:val="007644FA"/>
    <w:rsid w:val="00764A26"/>
    <w:rsid w:val="00764C09"/>
    <w:rsid w:val="00764C89"/>
    <w:rsid w:val="00764C8F"/>
    <w:rsid w:val="00764D9F"/>
    <w:rsid w:val="00764F2E"/>
    <w:rsid w:val="00765047"/>
    <w:rsid w:val="00765087"/>
    <w:rsid w:val="007655D0"/>
    <w:rsid w:val="00765882"/>
    <w:rsid w:val="00765D2A"/>
    <w:rsid w:val="00765F35"/>
    <w:rsid w:val="00766156"/>
    <w:rsid w:val="00766300"/>
    <w:rsid w:val="00766304"/>
    <w:rsid w:val="0076653F"/>
    <w:rsid w:val="0076656C"/>
    <w:rsid w:val="007666AC"/>
    <w:rsid w:val="00766765"/>
    <w:rsid w:val="00766945"/>
    <w:rsid w:val="00766A0E"/>
    <w:rsid w:val="00766AA7"/>
    <w:rsid w:val="00766B38"/>
    <w:rsid w:val="00766B5E"/>
    <w:rsid w:val="00766C4F"/>
    <w:rsid w:val="00766D22"/>
    <w:rsid w:val="00766D3A"/>
    <w:rsid w:val="00767018"/>
    <w:rsid w:val="00767244"/>
    <w:rsid w:val="00767566"/>
    <w:rsid w:val="0076781F"/>
    <w:rsid w:val="0076787A"/>
    <w:rsid w:val="0076794C"/>
    <w:rsid w:val="00767B62"/>
    <w:rsid w:val="00767CCE"/>
    <w:rsid w:val="00767ED4"/>
    <w:rsid w:val="00767F68"/>
    <w:rsid w:val="007701FF"/>
    <w:rsid w:val="00770329"/>
    <w:rsid w:val="0077049B"/>
    <w:rsid w:val="00770742"/>
    <w:rsid w:val="0077089B"/>
    <w:rsid w:val="00770CE5"/>
    <w:rsid w:val="00770E85"/>
    <w:rsid w:val="00770EEC"/>
    <w:rsid w:val="007711B5"/>
    <w:rsid w:val="007713B8"/>
    <w:rsid w:val="0077140B"/>
    <w:rsid w:val="007714D4"/>
    <w:rsid w:val="00771537"/>
    <w:rsid w:val="0077175E"/>
    <w:rsid w:val="007718EE"/>
    <w:rsid w:val="00771A69"/>
    <w:rsid w:val="00771BE7"/>
    <w:rsid w:val="00771C2F"/>
    <w:rsid w:val="00771D67"/>
    <w:rsid w:val="007720DB"/>
    <w:rsid w:val="007721AC"/>
    <w:rsid w:val="00772250"/>
    <w:rsid w:val="0077226E"/>
    <w:rsid w:val="007723C0"/>
    <w:rsid w:val="007726E6"/>
    <w:rsid w:val="00772850"/>
    <w:rsid w:val="007728F4"/>
    <w:rsid w:val="00772A70"/>
    <w:rsid w:val="00772CF5"/>
    <w:rsid w:val="00772EC5"/>
    <w:rsid w:val="007738B2"/>
    <w:rsid w:val="0077415E"/>
    <w:rsid w:val="0077428B"/>
    <w:rsid w:val="0077429B"/>
    <w:rsid w:val="0077447A"/>
    <w:rsid w:val="0077450B"/>
    <w:rsid w:val="00774601"/>
    <w:rsid w:val="00774841"/>
    <w:rsid w:val="00774AC3"/>
    <w:rsid w:val="00774C1A"/>
    <w:rsid w:val="00774D93"/>
    <w:rsid w:val="00775029"/>
    <w:rsid w:val="00775137"/>
    <w:rsid w:val="0077527A"/>
    <w:rsid w:val="007752DE"/>
    <w:rsid w:val="0077537A"/>
    <w:rsid w:val="007754C6"/>
    <w:rsid w:val="007755BB"/>
    <w:rsid w:val="007755E2"/>
    <w:rsid w:val="0077560B"/>
    <w:rsid w:val="007756AE"/>
    <w:rsid w:val="00775848"/>
    <w:rsid w:val="007759DE"/>
    <w:rsid w:val="00775B3D"/>
    <w:rsid w:val="00775B53"/>
    <w:rsid w:val="00775E6A"/>
    <w:rsid w:val="00775FB7"/>
    <w:rsid w:val="00776006"/>
    <w:rsid w:val="007761C8"/>
    <w:rsid w:val="00776291"/>
    <w:rsid w:val="0077644E"/>
    <w:rsid w:val="007765E4"/>
    <w:rsid w:val="007766FA"/>
    <w:rsid w:val="00776937"/>
    <w:rsid w:val="007769F3"/>
    <w:rsid w:val="00776C20"/>
    <w:rsid w:val="00776F68"/>
    <w:rsid w:val="00776FC1"/>
    <w:rsid w:val="00777052"/>
    <w:rsid w:val="00777055"/>
    <w:rsid w:val="0077732D"/>
    <w:rsid w:val="007774DE"/>
    <w:rsid w:val="0077772A"/>
    <w:rsid w:val="00777853"/>
    <w:rsid w:val="00777874"/>
    <w:rsid w:val="0077791B"/>
    <w:rsid w:val="00777ABF"/>
    <w:rsid w:val="00777CC6"/>
    <w:rsid w:val="00777CE2"/>
    <w:rsid w:val="00777EE1"/>
    <w:rsid w:val="00777F9F"/>
    <w:rsid w:val="007804C6"/>
    <w:rsid w:val="00780612"/>
    <w:rsid w:val="00780654"/>
    <w:rsid w:val="00780660"/>
    <w:rsid w:val="00780708"/>
    <w:rsid w:val="00780D1E"/>
    <w:rsid w:val="00780E86"/>
    <w:rsid w:val="00780E9C"/>
    <w:rsid w:val="00781047"/>
    <w:rsid w:val="0078107F"/>
    <w:rsid w:val="00781234"/>
    <w:rsid w:val="00781264"/>
    <w:rsid w:val="00781351"/>
    <w:rsid w:val="007814E1"/>
    <w:rsid w:val="00781505"/>
    <w:rsid w:val="00781552"/>
    <w:rsid w:val="00781701"/>
    <w:rsid w:val="007817EB"/>
    <w:rsid w:val="00781821"/>
    <w:rsid w:val="00781A24"/>
    <w:rsid w:val="00781C1C"/>
    <w:rsid w:val="00781F33"/>
    <w:rsid w:val="00781F68"/>
    <w:rsid w:val="00782015"/>
    <w:rsid w:val="007821B6"/>
    <w:rsid w:val="0078292B"/>
    <w:rsid w:val="00782EA6"/>
    <w:rsid w:val="00782EFC"/>
    <w:rsid w:val="00783107"/>
    <w:rsid w:val="007831E5"/>
    <w:rsid w:val="007834A4"/>
    <w:rsid w:val="0078350E"/>
    <w:rsid w:val="0078360F"/>
    <w:rsid w:val="007837E1"/>
    <w:rsid w:val="007838A7"/>
    <w:rsid w:val="00783A04"/>
    <w:rsid w:val="00783A47"/>
    <w:rsid w:val="00783AFC"/>
    <w:rsid w:val="00783CC3"/>
    <w:rsid w:val="0078448A"/>
    <w:rsid w:val="007844F5"/>
    <w:rsid w:val="0078454B"/>
    <w:rsid w:val="00784613"/>
    <w:rsid w:val="007846BC"/>
    <w:rsid w:val="007847E9"/>
    <w:rsid w:val="007847F8"/>
    <w:rsid w:val="007848D9"/>
    <w:rsid w:val="00784A55"/>
    <w:rsid w:val="00784C22"/>
    <w:rsid w:val="00784F2D"/>
    <w:rsid w:val="00784F31"/>
    <w:rsid w:val="007853CA"/>
    <w:rsid w:val="00785548"/>
    <w:rsid w:val="007855E3"/>
    <w:rsid w:val="00785696"/>
    <w:rsid w:val="0078584B"/>
    <w:rsid w:val="0078596F"/>
    <w:rsid w:val="00785973"/>
    <w:rsid w:val="00785998"/>
    <w:rsid w:val="00785BE7"/>
    <w:rsid w:val="00785C55"/>
    <w:rsid w:val="00785CD2"/>
    <w:rsid w:val="00785E07"/>
    <w:rsid w:val="00785E0E"/>
    <w:rsid w:val="00786029"/>
    <w:rsid w:val="00786281"/>
    <w:rsid w:val="007862F4"/>
    <w:rsid w:val="007863A6"/>
    <w:rsid w:val="007863C5"/>
    <w:rsid w:val="007864D5"/>
    <w:rsid w:val="0078654B"/>
    <w:rsid w:val="007869CB"/>
    <w:rsid w:val="00786AB5"/>
    <w:rsid w:val="00786C0A"/>
    <w:rsid w:val="00786C20"/>
    <w:rsid w:val="00786C83"/>
    <w:rsid w:val="00786D10"/>
    <w:rsid w:val="00786F60"/>
    <w:rsid w:val="0078707E"/>
    <w:rsid w:val="0078747E"/>
    <w:rsid w:val="00787487"/>
    <w:rsid w:val="007874E9"/>
    <w:rsid w:val="007874EC"/>
    <w:rsid w:val="00787663"/>
    <w:rsid w:val="00787667"/>
    <w:rsid w:val="007876C8"/>
    <w:rsid w:val="00787C2E"/>
    <w:rsid w:val="00787CFC"/>
    <w:rsid w:val="00787D5F"/>
    <w:rsid w:val="00787DD3"/>
    <w:rsid w:val="00787F17"/>
    <w:rsid w:val="00790190"/>
    <w:rsid w:val="0079019B"/>
    <w:rsid w:val="00790782"/>
    <w:rsid w:val="00790FD9"/>
    <w:rsid w:val="007911D1"/>
    <w:rsid w:val="00791259"/>
    <w:rsid w:val="0079127C"/>
    <w:rsid w:val="00791305"/>
    <w:rsid w:val="00791325"/>
    <w:rsid w:val="0079171D"/>
    <w:rsid w:val="0079177E"/>
    <w:rsid w:val="00791B36"/>
    <w:rsid w:val="00791E4D"/>
    <w:rsid w:val="00791E60"/>
    <w:rsid w:val="007920FF"/>
    <w:rsid w:val="007924E0"/>
    <w:rsid w:val="0079292F"/>
    <w:rsid w:val="00792990"/>
    <w:rsid w:val="00792B93"/>
    <w:rsid w:val="00792C76"/>
    <w:rsid w:val="00792D31"/>
    <w:rsid w:val="00792F77"/>
    <w:rsid w:val="00793553"/>
    <w:rsid w:val="007935A8"/>
    <w:rsid w:val="00793818"/>
    <w:rsid w:val="007938B1"/>
    <w:rsid w:val="007938F3"/>
    <w:rsid w:val="0079392E"/>
    <w:rsid w:val="00793996"/>
    <w:rsid w:val="00793B04"/>
    <w:rsid w:val="00793C57"/>
    <w:rsid w:val="00793CA0"/>
    <w:rsid w:val="0079406C"/>
    <w:rsid w:val="007940F4"/>
    <w:rsid w:val="0079414C"/>
    <w:rsid w:val="0079415E"/>
    <w:rsid w:val="0079418E"/>
    <w:rsid w:val="007941B0"/>
    <w:rsid w:val="007943B1"/>
    <w:rsid w:val="007945DD"/>
    <w:rsid w:val="007946B0"/>
    <w:rsid w:val="00794700"/>
    <w:rsid w:val="007948D9"/>
    <w:rsid w:val="00794901"/>
    <w:rsid w:val="00794B0D"/>
    <w:rsid w:val="00794B91"/>
    <w:rsid w:val="00794C42"/>
    <w:rsid w:val="00794ED8"/>
    <w:rsid w:val="007950AB"/>
    <w:rsid w:val="007955C1"/>
    <w:rsid w:val="00795718"/>
    <w:rsid w:val="00795AB5"/>
    <w:rsid w:val="00795E06"/>
    <w:rsid w:val="007960E8"/>
    <w:rsid w:val="00796494"/>
    <w:rsid w:val="00796991"/>
    <w:rsid w:val="00796A40"/>
    <w:rsid w:val="00796BA0"/>
    <w:rsid w:val="00796C28"/>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35"/>
    <w:rsid w:val="00797A57"/>
    <w:rsid w:val="00797B10"/>
    <w:rsid w:val="00797DE6"/>
    <w:rsid w:val="00797EA6"/>
    <w:rsid w:val="00797EEE"/>
    <w:rsid w:val="007A0110"/>
    <w:rsid w:val="007A016C"/>
    <w:rsid w:val="007A02CA"/>
    <w:rsid w:val="007A0468"/>
    <w:rsid w:val="007A053D"/>
    <w:rsid w:val="007A054F"/>
    <w:rsid w:val="007A0611"/>
    <w:rsid w:val="007A083A"/>
    <w:rsid w:val="007A08E5"/>
    <w:rsid w:val="007A0C6B"/>
    <w:rsid w:val="007A0F8C"/>
    <w:rsid w:val="007A100D"/>
    <w:rsid w:val="007A108A"/>
    <w:rsid w:val="007A116D"/>
    <w:rsid w:val="007A11B3"/>
    <w:rsid w:val="007A1200"/>
    <w:rsid w:val="007A128B"/>
    <w:rsid w:val="007A13FB"/>
    <w:rsid w:val="007A13FE"/>
    <w:rsid w:val="007A147B"/>
    <w:rsid w:val="007A149D"/>
    <w:rsid w:val="007A15FB"/>
    <w:rsid w:val="007A1703"/>
    <w:rsid w:val="007A17CE"/>
    <w:rsid w:val="007A188A"/>
    <w:rsid w:val="007A1994"/>
    <w:rsid w:val="007A1B66"/>
    <w:rsid w:val="007A1F21"/>
    <w:rsid w:val="007A2014"/>
    <w:rsid w:val="007A233C"/>
    <w:rsid w:val="007A2509"/>
    <w:rsid w:val="007A2596"/>
    <w:rsid w:val="007A26FB"/>
    <w:rsid w:val="007A2756"/>
    <w:rsid w:val="007A2A1D"/>
    <w:rsid w:val="007A2AAA"/>
    <w:rsid w:val="007A2AE1"/>
    <w:rsid w:val="007A2B39"/>
    <w:rsid w:val="007A2F36"/>
    <w:rsid w:val="007A2F70"/>
    <w:rsid w:val="007A3082"/>
    <w:rsid w:val="007A30A0"/>
    <w:rsid w:val="007A32CF"/>
    <w:rsid w:val="007A3341"/>
    <w:rsid w:val="007A34E6"/>
    <w:rsid w:val="007A358A"/>
    <w:rsid w:val="007A35C3"/>
    <w:rsid w:val="007A391B"/>
    <w:rsid w:val="007A3EB0"/>
    <w:rsid w:val="007A3ECB"/>
    <w:rsid w:val="007A3EE0"/>
    <w:rsid w:val="007A4426"/>
    <w:rsid w:val="007A4AAC"/>
    <w:rsid w:val="007A4B6E"/>
    <w:rsid w:val="007A4D24"/>
    <w:rsid w:val="007A4DB9"/>
    <w:rsid w:val="007A4F81"/>
    <w:rsid w:val="007A506F"/>
    <w:rsid w:val="007A50D3"/>
    <w:rsid w:val="007A5176"/>
    <w:rsid w:val="007A51C7"/>
    <w:rsid w:val="007A56D2"/>
    <w:rsid w:val="007A578F"/>
    <w:rsid w:val="007A5967"/>
    <w:rsid w:val="007A5B60"/>
    <w:rsid w:val="007A5BE7"/>
    <w:rsid w:val="007A5CB1"/>
    <w:rsid w:val="007A5DE2"/>
    <w:rsid w:val="007A5E7B"/>
    <w:rsid w:val="007A5EA5"/>
    <w:rsid w:val="007A5EB1"/>
    <w:rsid w:val="007A5F26"/>
    <w:rsid w:val="007A61FC"/>
    <w:rsid w:val="007A62A0"/>
    <w:rsid w:val="007A6384"/>
    <w:rsid w:val="007A650C"/>
    <w:rsid w:val="007A6635"/>
    <w:rsid w:val="007A6809"/>
    <w:rsid w:val="007A69AA"/>
    <w:rsid w:val="007A6B97"/>
    <w:rsid w:val="007A6C9D"/>
    <w:rsid w:val="007A6D89"/>
    <w:rsid w:val="007A6E1F"/>
    <w:rsid w:val="007A6E2C"/>
    <w:rsid w:val="007A6E64"/>
    <w:rsid w:val="007A6EFE"/>
    <w:rsid w:val="007A71FF"/>
    <w:rsid w:val="007A724F"/>
    <w:rsid w:val="007A7355"/>
    <w:rsid w:val="007A7455"/>
    <w:rsid w:val="007A7577"/>
    <w:rsid w:val="007A75DA"/>
    <w:rsid w:val="007A7763"/>
    <w:rsid w:val="007A7793"/>
    <w:rsid w:val="007A7796"/>
    <w:rsid w:val="007A77B5"/>
    <w:rsid w:val="007A7893"/>
    <w:rsid w:val="007A7ACA"/>
    <w:rsid w:val="007A7CFB"/>
    <w:rsid w:val="007A7F89"/>
    <w:rsid w:val="007B0053"/>
    <w:rsid w:val="007B024B"/>
    <w:rsid w:val="007B0290"/>
    <w:rsid w:val="007B0BCF"/>
    <w:rsid w:val="007B0C64"/>
    <w:rsid w:val="007B0E68"/>
    <w:rsid w:val="007B0EB3"/>
    <w:rsid w:val="007B0FB3"/>
    <w:rsid w:val="007B106A"/>
    <w:rsid w:val="007B1074"/>
    <w:rsid w:val="007B138C"/>
    <w:rsid w:val="007B13F3"/>
    <w:rsid w:val="007B1420"/>
    <w:rsid w:val="007B1489"/>
    <w:rsid w:val="007B15C2"/>
    <w:rsid w:val="007B17D2"/>
    <w:rsid w:val="007B1941"/>
    <w:rsid w:val="007B1A61"/>
    <w:rsid w:val="007B1BDD"/>
    <w:rsid w:val="007B1C09"/>
    <w:rsid w:val="007B204C"/>
    <w:rsid w:val="007B22B2"/>
    <w:rsid w:val="007B2319"/>
    <w:rsid w:val="007B2358"/>
    <w:rsid w:val="007B237E"/>
    <w:rsid w:val="007B2418"/>
    <w:rsid w:val="007B2496"/>
    <w:rsid w:val="007B2598"/>
    <w:rsid w:val="007B26BA"/>
    <w:rsid w:val="007B2892"/>
    <w:rsid w:val="007B2904"/>
    <w:rsid w:val="007B292C"/>
    <w:rsid w:val="007B3061"/>
    <w:rsid w:val="007B332F"/>
    <w:rsid w:val="007B33C0"/>
    <w:rsid w:val="007B3B28"/>
    <w:rsid w:val="007B3BC9"/>
    <w:rsid w:val="007B3D86"/>
    <w:rsid w:val="007B3F88"/>
    <w:rsid w:val="007B3FC7"/>
    <w:rsid w:val="007B4107"/>
    <w:rsid w:val="007B428D"/>
    <w:rsid w:val="007B4329"/>
    <w:rsid w:val="007B4390"/>
    <w:rsid w:val="007B43CF"/>
    <w:rsid w:val="007B43E0"/>
    <w:rsid w:val="007B4750"/>
    <w:rsid w:val="007B47E5"/>
    <w:rsid w:val="007B48A9"/>
    <w:rsid w:val="007B4A54"/>
    <w:rsid w:val="007B4A81"/>
    <w:rsid w:val="007B4A85"/>
    <w:rsid w:val="007B4B30"/>
    <w:rsid w:val="007B4C02"/>
    <w:rsid w:val="007B4C68"/>
    <w:rsid w:val="007B4CD1"/>
    <w:rsid w:val="007B4D1C"/>
    <w:rsid w:val="007B506E"/>
    <w:rsid w:val="007B50CB"/>
    <w:rsid w:val="007B5150"/>
    <w:rsid w:val="007B525C"/>
    <w:rsid w:val="007B5270"/>
    <w:rsid w:val="007B52A6"/>
    <w:rsid w:val="007B53EB"/>
    <w:rsid w:val="007B547F"/>
    <w:rsid w:val="007B54A9"/>
    <w:rsid w:val="007B5681"/>
    <w:rsid w:val="007B5897"/>
    <w:rsid w:val="007B595A"/>
    <w:rsid w:val="007B5963"/>
    <w:rsid w:val="007B596A"/>
    <w:rsid w:val="007B5AFD"/>
    <w:rsid w:val="007B5B3A"/>
    <w:rsid w:val="007B5C65"/>
    <w:rsid w:val="007B5D40"/>
    <w:rsid w:val="007B6008"/>
    <w:rsid w:val="007B62F6"/>
    <w:rsid w:val="007B6397"/>
    <w:rsid w:val="007B6684"/>
    <w:rsid w:val="007B67FF"/>
    <w:rsid w:val="007B6872"/>
    <w:rsid w:val="007B69A0"/>
    <w:rsid w:val="007B6A9E"/>
    <w:rsid w:val="007B6B33"/>
    <w:rsid w:val="007B6C05"/>
    <w:rsid w:val="007B7041"/>
    <w:rsid w:val="007B70EB"/>
    <w:rsid w:val="007B70FD"/>
    <w:rsid w:val="007B721D"/>
    <w:rsid w:val="007B7221"/>
    <w:rsid w:val="007B7345"/>
    <w:rsid w:val="007B772B"/>
    <w:rsid w:val="007B7984"/>
    <w:rsid w:val="007B7A85"/>
    <w:rsid w:val="007B7C1A"/>
    <w:rsid w:val="007B7C8D"/>
    <w:rsid w:val="007B7CC6"/>
    <w:rsid w:val="007B7DD6"/>
    <w:rsid w:val="007C04AD"/>
    <w:rsid w:val="007C0561"/>
    <w:rsid w:val="007C05DA"/>
    <w:rsid w:val="007C07FE"/>
    <w:rsid w:val="007C09A4"/>
    <w:rsid w:val="007C0E06"/>
    <w:rsid w:val="007C0E4E"/>
    <w:rsid w:val="007C0F61"/>
    <w:rsid w:val="007C1108"/>
    <w:rsid w:val="007C11BE"/>
    <w:rsid w:val="007C12BB"/>
    <w:rsid w:val="007C1C04"/>
    <w:rsid w:val="007C1D43"/>
    <w:rsid w:val="007C1F65"/>
    <w:rsid w:val="007C2065"/>
    <w:rsid w:val="007C2214"/>
    <w:rsid w:val="007C259E"/>
    <w:rsid w:val="007C26C9"/>
    <w:rsid w:val="007C283A"/>
    <w:rsid w:val="007C297D"/>
    <w:rsid w:val="007C2AEF"/>
    <w:rsid w:val="007C2BB4"/>
    <w:rsid w:val="007C3458"/>
    <w:rsid w:val="007C3564"/>
    <w:rsid w:val="007C37FF"/>
    <w:rsid w:val="007C3A7A"/>
    <w:rsid w:val="007C3B83"/>
    <w:rsid w:val="007C3E23"/>
    <w:rsid w:val="007C3F5E"/>
    <w:rsid w:val="007C4017"/>
    <w:rsid w:val="007C44F5"/>
    <w:rsid w:val="007C4676"/>
    <w:rsid w:val="007C46E5"/>
    <w:rsid w:val="007C47A7"/>
    <w:rsid w:val="007C49C3"/>
    <w:rsid w:val="007C4C96"/>
    <w:rsid w:val="007C4D65"/>
    <w:rsid w:val="007C5243"/>
    <w:rsid w:val="007C52D5"/>
    <w:rsid w:val="007C551E"/>
    <w:rsid w:val="007C5AF4"/>
    <w:rsid w:val="007C5D77"/>
    <w:rsid w:val="007C5ECC"/>
    <w:rsid w:val="007C62F2"/>
    <w:rsid w:val="007C644F"/>
    <w:rsid w:val="007C6465"/>
    <w:rsid w:val="007C69EA"/>
    <w:rsid w:val="007C6CEC"/>
    <w:rsid w:val="007C6D52"/>
    <w:rsid w:val="007C6DA5"/>
    <w:rsid w:val="007C6DAC"/>
    <w:rsid w:val="007C6F0E"/>
    <w:rsid w:val="007C7008"/>
    <w:rsid w:val="007C73D4"/>
    <w:rsid w:val="007C7455"/>
    <w:rsid w:val="007C7500"/>
    <w:rsid w:val="007C75F7"/>
    <w:rsid w:val="007C76BD"/>
    <w:rsid w:val="007C781D"/>
    <w:rsid w:val="007C7B83"/>
    <w:rsid w:val="007C7BDA"/>
    <w:rsid w:val="007C7BF5"/>
    <w:rsid w:val="007C7CC1"/>
    <w:rsid w:val="007C7DA0"/>
    <w:rsid w:val="007C7F40"/>
    <w:rsid w:val="007D012B"/>
    <w:rsid w:val="007D06C1"/>
    <w:rsid w:val="007D07D7"/>
    <w:rsid w:val="007D0BC1"/>
    <w:rsid w:val="007D0C3D"/>
    <w:rsid w:val="007D0D58"/>
    <w:rsid w:val="007D0D74"/>
    <w:rsid w:val="007D0D85"/>
    <w:rsid w:val="007D1000"/>
    <w:rsid w:val="007D106D"/>
    <w:rsid w:val="007D121E"/>
    <w:rsid w:val="007D133D"/>
    <w:rsid w:val="007D15B8"/>
    <w:rsid w:val="007D17EE"/>
    <w:rsid w:val="007D189A"/>
    <w:rsid w:val="007D18BE"/>
    <w:rsid w:val="007D18D3"/>
    <w:rsid w:val="007D1B30"/>
    <w:rsid w:val="007D1D7B"/>
    <w:rsid w:val="007D1E20"/>
    <w:rsid w:val="007D1E4D"/>
    <w:rsid w:val="007D2072"/>
    <w:rsid w:val="007D2234"/>
    <w:rsid w:val="007D229C"/>
    <w:rsid w:val="007D22BC"/>
    <w:rsid w:val="007D23D5"/>
    <w:rsid w:val="007D244D"/>
    <w:rsid w:val="007D25E4"/>
    <w:rsid w:val="007D2605"/>
    <w:rsid w:val="007D2739"/>
    <w:rsid w:val="007D2967"/>
    <w:rsid w:val="007D2D20"/>
    <w:rsid w:val="007D2DA1"/>
    <w:rsid w:val="007D3044"/>
    <w:rsid w:val="007D3298"/>
    <w:rsid w:val="007D3350"/>
    <w:rsid w:val="007D375B"/>
    <w:rsid w:val="007D37BE"/>
    <w:rsid w:val="007D3865"/>
    <w:rsid w:val="007D3A1A"/>
    <w:rsid w:val="007D3A5E"/>
    <w:rsid w:val="007D3ABB"/>
    <w:rsid w:val="007D3C43"/>
    <w:rsid w:val="007D3E9C"/>
    <w:rsid w:val="007D3F3B"/>
    <w:rsid w:val="007D3FBB"/>
    <w:rsid w:val="007D40BB"/>
    <w:rsid w:val="007D4673"/>
    <w:rsid w:val="007D46E4"/>
    <w:rsid w:val="007D4724"/>
    <w:rsid w:val="007D4842"/>
    <w:rsid w:val="007D488E"/>
    <w:rsid w:val="007D4A15"/>
    <w:rsid w:val="007D4AAD"/>
    <w:rsid w:val="007D4C39"/>
    <w:rsid w:val="007D516E"/>
    <w:rsid w:val="007D54BA"/>
    <w:rsid w:val="007D5612"/>
    <w:rsid w:val="007D56D1"/>
    <w:rsid w:val="007D571E"/>
    <w:rsid w:val="007D5A9E"/>
    <w:rsid w:val="007D5ADB"/>
    <w:rsid w:val="007D5C3E"/>
    <w:rsid w:val="007D5CE0"/>
    <w:rsid w:val="007D5E1C"/>
    <w:rsid w:val="007D5EE8"/>
    <w:rsid w:val="007D603D"/>
    <w:rsid w:val="007D612F"/>
    <w:rsid w:val="007D6260"/>
    <w:rsid w:val="007D628C"/>
    <w:rsid w:val="007D63A8"/>
    <w:rsid w:val="007D64F4"/>
    <w:rsid w:val="007D6555"/>
    <w:rsid w:val="007D6675"/>
    <w:rsid w:val="007D6BAE"/>
    <w:rsid w:val="007D6BEE"/>
    <w:rsid w:val="007D6D4F"/>
    <w:rsid w:val="007D6ECC"/>
    <w:rsid w:val="007D6EE2"/>
    <w:rsid w:val="007D7127"/>
    <w:rsid w:val="007D726C"/>
    <w:rsid w:val="007D72B8"/>
    <w:rsid w:val="007D73C6"/>
    <w:rsid w:val="007D756B"/>
    <w:rsid w:val="007D7669"/>
    <w:rsid w:val="007D76C2"/>
    <w:rsid w:val="007D7CD4"/>
    <w:rsid w:val="007D7D3F"/>
    <w:rsid w:val="007D7EE8"/>
    <w:rsid w:val="007E0085"/>
    <w:rsid w:val="007E00AF"/>
    <w:rsid w:val="007E0290"/>
    <w:rsid w:val="007E0795"/>
    <w:rsid w:val="007E0832"/>
    <w:rsid w:val="007E0859"/>
    <w:rsid w:val="007E096A"/>
    <w:rsid w:val="007E0A4B"/>
    <w:rsid w:val="007E0AB1"/>
    <w:rsid w:val="007E0B19"/>
    <w:rsid w:val="007E0BF6"/>
    <w:rsid w:val="007E0C06"/>
    <w:rsid w:val="007E0C74"/>
    <w:rsid w:val="007E0F0C"/>
    <w:rsid w:val="007E1139"/>
    <w:rsid w:val="007E134D"/>
    <w:rsid w:val="007E16E8"/>
    <w:rsid w:val="007E1747"/>
    <w:rsid w:val="007E1840"/>
    <w:rsid w:val="007E1BD1"/>
    <w:rsid w:val="007E1C17"/>
    <w:rsid w:val="007E1CAA"/>
    <w:rsid w:val="007E1D1B"/>
    <w:rsid w:val="007E1DE1"/>
    <w:rsid w:val="007E1F11"/>
    <w:rsid w:val="007E21D8"/>
    <w:rsid w:val="007E21F8"/>
    <w:rsid w:val="007E222B"/>
    <w:rsid w:val="007E24FF"/>
    <w:rsid w:val="007E298B"/>
    <w:rsid w:val="007E29E5"/>
    <w:rsid w:val="007E2AA9"/>
    <w:rsid w:val="007E2EA1"/>
    <w:rsid w:val="007E2F70"/>
    <w:rsid w:val="007E302A"/>
    <w:rsid w:val="007E3054"/>
    <w:rsid w:val="007E316C"/>
    <w:rsid w:val="007E3227"/>
    <w:rsid w:val="007E3492"/>
    <w:rsid w:val="007E390A"/>
    <w:rsid w:val="007E3A0C"/>
    <w:rsid w:val="007E3D06"/>
    <w:rsid w:val="007E3D49"/>
    <w:rsid w:val="007E3E7B"/>
    <w:rsid w:val="007E3F9C"/>
    <w:rsid w:val="007E4069"/>
    <w:rsid w:val="007E40BB"/>
    <w:rsid w:val="007E410F"/>
    <w:rsid w:val="007E41F8"/>
    <w:rsid w:val="007E4449"/>
    <w:rsid w:val="007E44A9"/>
    <w:rsid w:val="007E465D"/>
    <w:rsid w:val="007E46AE"/>
    <w:rsid w:val="007E4701"/>
    <w:rsid w:val="007E4864"/>
    <w:rsid w:val="007E4A62"/>
    <w:rsid w:val="007E4AFB"/>
    <w:rsid w:val="007E4B7E"/>
    <w:rsid w:val="007E4D91"/>
    <w:rsid w:val="007E4E4B"/>
    <w:rsid w:val="007E4F03"/>
    <w:rsid w:val="007E50F2"/>
    <w:rsid w:val="007E5279"/>
    <w:rsid w:val="007E55EF"/>
    <w:rsid w:val="007E5729"/>
    <w:rsid w:val="007E5A5B"/>
    <w:rsid w:val="007E5AD3"/>
    <w:rsid w:val="007E5BC6"/>
    <w:rsid w:val="007E5BF9"/>
    <w:rsid w:val="007E5CA6"/>
    <w:rsid w:val="007E5E55"/>
    <w:rsid w:val="007E5EB6"/>
    <w:rsid w:val="007E6039"/>
    <w:rsid w:val="007E6222"/>
    <w:rsid w:val="007E6311"/>
    <w:rsid w:val="007E64B9"/>
    <w:rsid w:val="007E6664"/>
    <w:rsid w:val="007E667E"/>
    <w:rsid w:val="007E682B"/>
    <w:rsid w:val="007E6C0D"/>
    <w:rsid w:val="007E6E48"/>
    <w:rsid w:val="007E6E4D"/>
    <w:rsid w:val="007E6E79"/>
    <w:rsid w:val="007E70B4"/>
    <w:rsid w:val="007E70F4"/>
    <w:rsid w:val="007E72B4"/>
    <w:rsid w:val="007E7316"/>
    <w:rsid w:val="007E738D"/>
    <w:rsid w:val="007E743F"/>
    <w:rsid w:val="007E7470"/>
    <w:rsid w:val="007E7616"/>
    <w:rsid w:val="007E77E6"/>
    <w:rsid w:val="007E7B25"/>
    <w:rsid w:val="007E7BEB"/>
    <w:rsid w:val="007E7BEE"/>
    <w:rsid w:val="007E7DA0"/>
    <w:rsid w:val="007E7DC2"/>
    <w:rsid w:val="007E7E54"/>
    <w:rsid w:val="007E7E59"/>
    <w:rsid w:val="007F0337"/>
    <w:rsid w:val="007F0379"/>
    <w:rsid w:val="007F03D1"/>
    <w:rsid w:val="007F0462"/>
    <w:rsid w:val="007F070B"/>
    <w:rsid w:val="007F0853"/>
    <w:rsid w:val="007F08DE"/>
    <w:rsid w:val="007F09E3"/>
    <w:rsid w:val="007F09F2"/>
    <w:rsid w:val="007F0B0D"/>
    <w:rsid w:val="007F0CEE"/>
    <w:rsid w:val="007F0D95"/>
    <w:rsid w:val="007F0DBE"/>
    <w:rsid w:val="007F0F53"/>
    <w:rsid w:val="007F0F87"/>
    <w:rsid w:val="007F1113"/>
    <w:rsid w:val="007F1189"/>
    <w:rsid w:val="007F1329"/>
    <w:rsid w:val="007F1367"/>
    <w:rsid w:val="007F14A8"/>
    <w:rsid w:val="007F14F1"/>
    <w:rsid w:val="007F1548"/>
    <w:rsid w:val="007F1686"/>
    <w:rsid w:val="007F174D"/>
    <w:rsid w:val="007F17EA"/>
    <w:rsid w:val="007F181E"/>
    <w:rsid w:val="007F193C"/>
    <w:rsid w:val="007F195D"/>
    <w:rsid w:val="007F19DE"/>
    <w:rsid w:val="007F1AAE"/>
    <w:rsid w:val="007F1BD1"/>
    <w:rsid w:val="007F1BE4"/>
    <w:rsid w:val="007F1F2F"/>
    <w:rsid w:val="007F2319"/>
    <w:rsid w:val="007F23B1"/>
    <w:rsid w:val="007F2471"/>
    <w:rsid w:val="007F2488"/>
    <w:rsid w:val="007F25DC"/>
    <w:rsid w:val="007F2600"/>
    <w:rsid w:val="007F26E8"/>
    <w:rsid w:val="007F271C"/>
    <w:rsid w:val="007F2750"/>
    <w:rsid w:val="007F2B80"/>
    <w:rsid w:val="007F2C5C"/>
    <w:rsid w:val="007F3044"/>
    <w:rsid w:val="007F365E"/>
    <w:rsid w:val="007F3822"/>
    <w:rsid w:val="007F3A5F"/>
    <w:rsid w:val="007F3BCD"/>
    <w:rsid w:val="007F40E8"/>
    <w:rsid w:val="007F40EA"/>
    <w:rsid w:val="007F453B"/>
    <w:rsid w:val="007F458D"/>
    <w:rsid w:val="007F4594"/>
    <w:rsid w:val="007F48CF"/>
    <w:rsid w:val="007F4C7D"/>
    <w:rsid w:val="007F4C94"/>
    <w:rsid w:val="007F4FB2"/>
    <w:rsid w:val="007F5086"/>
    <w:rsid w:val="007F50DC"/>
    <w:rsid w:val="007F512B"/>
    <w:rsid w:val="007F53BF"/>
    <w:rsid w:val="007F54ED"/>
    <w:rsid w:val="007F56BD"/>
    <w:rsid w:val="007F57F1"/>
    <w:rsid w:val="007F588D"/>
    <w:rsid w:val="007F58BA"/>
    <w:rsid w:val="007F5AF3"/>
    <w:rsid w:val="007F5B52"/>
    <w:rsid w:val="007F5DD0"/>
    <w:rsid w:val="007F5E7D"/>
    <w:rsid w:val="007F60AC"/>
    <w:rsid w:val="007F6261"/>
    <w:rsid w:val="007F62BD"/>
    <w:rsid w:val="007F6628"/>
    <w:rsid w:val="007F668C"/>
    <w:rsid w:val="007F673A"/>
    <w:rsid w:val="007F689E"/>
    <w:rsid w:val="007F69F9"/>
    <w:rsid w:val="007F6CF3"/>
    <w:rsid w:val="007F6D87"/>
    <w:rsid w:val="007F6D98"/>
    <w:rsid w:val="007F6EE9"/>
    <w:rsid w:val="007F700E"/>
    <w:rsid w:val="007F738D"/>
    <w:rsid w:val="007F73E8"/>
    <w:rsid w:val="007F7419"/>
    <w:rsid w:val="007F773D"/>
    <w:rsid w:val="007F7BFA"/>
    <w:rsid w:val="007F7D36"/>
    <w:rsid w:val="007F7E5C"/>
    <w:rsid w:val="007F7E69"/>
    <w:rsid w:val="007F7EFE"/>
    <w:rsid w:val="007F7F88"/>
    <w:rsid w:val="007F7F9F"/>
    <w:rsid w:val="008001A8"/>
    <w:rsid w:val="008004E9"/>
    <w:rsid w:val="0080061F"/>
    <w:rsid w:val="00800961"/>
    <w:rsid w:val="00800AF7"/>
    <w:rsid w:val="00800B57"/>
    <w:rsid w:val="00800C77"/>
    <w:rsid w:val="00800CEB"/>
    <w:rsid w:val="00800CF2"/>
    <w:rsid w:val="00800D91"/>
    <w:rsid w:val="0080109C"/>
    <w:rsid w:val="00801289"/>
    <w:rsid w:val="008014AB"/>
    <w:rsid w:val="008014CD"/>
    <w:rsid w:val="008017E8"/>
    <w:rsid w:val="008018F8"/>
    <w:rsid w:val="00801E65"/>
    <w:rsid w:val="00802316"/>
    <w:rsid w:val="0080236E"/>
    <w:rsid w:val="00802675"/>
    <w:rsid w:val="008026C7"/>
    <w:rsid w:val="008026FD"/>
    <w:rsid w:val="00802825"/>
    <w:rsid w:val="008029BD"/>
    <w:rsid w:val="00802A92"/>
    <w:rsid w:val="00802C4A"/>
    <w:rsid w:val="00802D86"/>
    <w:rsid w:val="00802EAC"/>
    <w:rsid w:val="00802FD8"/>
    <w:rsid w:val="008031BA"/>
    <w:rsid w:val="00803418"/>
    <w:rsid w:val="0080359E"/>
    <w:rsid w:val="00803930"/>
    <w:rsid w:val="00803ADE"/>
    <w:rsid w:val="00803D6F"/>
    <w:rsid w:val="00803D77"/>
    <w:rsid w:val="008040AA"/>
    <w:rsid w:val="00804228"/>
    <w:rsid w:val="0080424A"/>
    <w:rsid w:val="00804376"/>
    <w:rsid w:val="0080462E"/>
    <w:rsid w:val="0080467A"/>
    <w:rsid w:val="0080473F"/>
    <w:rsid w:val="00804997"/>
    <w:rsid w:val="00804BA1"/>
    <w:rsid w:val="00804E35"/>
    <w:rsid w:val="00805275"/>
    <w:rsid w:val="008056D3"/>
    <w:rsid w:val="008057A6"/>
    <w:rsid w:val="00805952"/>
    <w:rsid w:val="00805A13"/>
    <w:rsid w:val="00805A5D"/>
    <w:rsid w:val="00805B38"/>
    <w:rsid w:val="00805B6E"/>
    <w:rsid w:val="00805C06"/>
    <w:rsid w:val="00805C4B"/>
    <w:rsid w:val="00805C7A"/>
    <w:rsid w:val="00805CB0"/>
    <w:rsid w:val="00806048"/>
    <w:rsid w:val="0080608C"/>
    <w:rsid w:val="00806115"/>
    <w:rsid w:val="00806313"/>
    <w:rsid w:val="00806484"/>
    <w:rsid w:val="00806596"/>
    <w:rsid w:val="0080671D"/>
    <w:rsid w:val="0080696E"/>
    <w:rsid w:val="00806B0F"/>
    <w:rsid w:val="00806BD2"/>
    <w:rsid w:val="00806D6D"/>
    <w:rsid w:val="00806F01"/>
    <w:rsid w:val="008070EF"/>
    <w:rsid w:val="00807255"/>
    <w:rsid w:val="00807633"/>
    <w:rsid w:val="008076DA"/>
    <w:rsid w:val="008077DE"/>
    <w:rsid w:val="00807B21"/>
    <w:rsid w:val="00807B53"/>
    <w:rsid w:val="00807B5F"/>
    <w:rsid w:val="00807E25"/>
    <w:rsid w:val="00810402"/>
    <w:rsid w:val="00810500"/>
    <w:rsid w:val="0081066C"/>
    <w:rsid w:val="00810745"/>
    <w:rsid w:val="0081078F"/>
    <w:rsid w:val="00810C45"/>
    <w:rsid w:val="00810C8C"/>
    <w:rsid w:val="00810DC8"/>
    <w:rsid w:val="00810E3C"/>
    <w:rsid w:val="00810FDA"/>
    <w:rsid w:val="0081100F"/>
    <w:rsid w:val="008110AC"/>
    <w:rsid w:val="0081112C"/>
    <w:rsid w:val="008111CB"/>
    <w:rsid w:val="008112E1"/>
    <w:rsid w:val="008114CC"/>
    <w:rsid w:val="008115C5"/>
    <w:rsid w:val="0081193C"/>
    <w:rsid w:val="00811B90"/>
    <w:rsid w:val="00811DE0"/>
    <w:rsid w:val="00811E2F"/>
    <w:rsid w:val="00811F4B"/>
    <w:rsid w:val="00811F6B"/>
    <w:rsid w:val="00812070"/>
    <w:rsid w:val="00812125"/>
    <w:rsid w:val="008124DF"/>
    <w:rsid w:val="0081254D"/>
    <w:rsid w:val="00812681"/>
    <w:rsid w:val="0081274D"/>
    <w:rsid w:val="00812823"/>
    <w:rsid w:val="0081286C"/>
    <w:rsid w:val="00812904"/>
    <w:rsid w:val="0081296B"/>
    <w:rsid w:val="00812A73"/>
    <w:rsid w:val="00812AF5"/>
    <w:rsid w:val="00812BE8"/>
    <w:rsid w:val="00812D0D"/>
    <w:rsid w:val="00812DE3"/>
    <w:rsid w:val="00812FDE"/>
    <w:rsid w:val="0081302D"/>
    <w:rsid w:val="00813089"/>
    <w:rsid w:val="00813204"/>
    <w:rsid w:val="0081330E"/>
    <w:rsid w:val="00813420"/>
    <w:rsid w:val="008134C1"/>
    <w:rsid w:val="008135F9"/>
    <w:rsid w:val="00813D64"/>
    <w:rsid w:val="00813EC9"/>
    <w:rsid w:val="00813F6B"/>
    <w:rsid w:val="00814093"/>
    <w:rsid w:val="008142C8"/>
    <w:rsid w:val="008144BA"/>
    <w:rsid w:val="00814605"/>
    <w:rsid w:val="0081488D"/>
    <w:rsid w:val="0081492F"/>
    <w:rsid w:val="00814C80"/>
    <w:rsid w:val="00814D15"/>
    <w:rsid w:val="00814EF9"/>
    <w:rsid w:val="00814F9E"/>
    <w:rsid w:val="00815022"/>
    <w:rsid w:val="00815209"/>
    <w:rsid w:val="008152F3"/>
    <w:rsid w:val="0081545A"/>
    <w:rsid w:val="00815E07"/>
    <w:rsid w:val="00815E1D"/>
    <w:rsid w:val="00815FC7"/>
    <w:rsid w:val="008161A5"/>
    <w:rsid w:val="00816200"/>
    <w:rsid w:val="00816589"/>
    <w:rsid w:val="008167B3"/>
    <w:rsid w:val="00816862"/>
    <w:rsid w:val="008168A4"/>
    <w:rsid w:val="00816C93"/>
    <w:rsid w:val="00816F65"/>
    <w:rsid w:val="0081731E"/>
    <w:rsid w:val="00817635"/>
    <w:rsid w:val="0081765E"/>
    <w:rsid w:val="00817B4A"/>
    <w:rsid w:val="00817C2A"/>
    <w:rsid w:val="00817C9C"/>
    <w:rsid w:val="00817D87"/>
    <w:rsid w:val="00820072"/>
    <w:rsid w:val="008203DD"/>
    <w:rsid w:val="00820481"/>
    <w:rsid w:val="008204B7"/>
    <w:rsid w:val="0082057D"/>
    <w:rsid w:val="0082082F"/>
    <w:rsid w:val="00820836"/>
    <w:rsid w:val="008209D4"/>
    <w:rsid w:val="00820A30"/>
    <w:rsid w:val="00820BA8"/>
    <w:rsid w:val="00820E08"/>
    <w:rsid w:val="00820FC7"/>
    <w:rsid w:val="0082102B"/>
    <w:rsid w:val="00821044"/>
    <w:rsid w:val="00821515"/>
    <w:rsid w:val="008218E8"/>
    <w:rsid w:val="00821A77"/>
    <w:rsid w:val="00821F6C"/>
    <w:rsid w:val="0082214D"/>
    <w:rsid w:val="008221E8"/>
    <w:rsid w:val="0082223F"/>
    <w:rsid w:val="00822245"/>
    <w:rsid w:val="00822544"/>
    <w:rsid w:val="00822650"/>
    <w:rsid w:val="0082267F"/>
    <w:rsid w:val="0082278D"/>
    <w:rsid w:val="008227BE"/>
    <w:rsid w:val="00822906"/>
    <w:rsid w:val="00822A4F"/>
    <w:rsid w:val="00822C83"/>
    <w:rsid w:val="00822D72"/>
    <w:rsid w:val="00822FD7"/>
    <w:rsid w:val="00823228"/>
    <w:rsid w:val="00823422"/>
    <w:rsid w:val="0082364E"/>
    <w:rsid w:val="00823654"/>
    <w:rsid w:val="0082370A"/>
    <w:rsid w:val="00823777"/>
    <w:rsid w:val="00823D3B"/>
    <w:rsid w:val="00824050"/>
    <w:rsid w:val="00824350"/>
    <w:rsid w:val="008245E7"/>
    <w:rsid w:val="008247E2"/>
    <w:rsid w:val="00824A7B"/>
    <w:rsid w:val="00824BA8"/>
    <w:rsid w:val="00824DD4"/>
    <w:rsid w:val="00824EC9"/>
    <w:rsid w:val="0082520A"/>
    <w:rsid w:val="0082543F"/>
    <w:rsid w:val="008254CA"/>
    <w:rsid w:val="008256A3"/>
    <w:rsid w:val="008256E5"/>
    <w:rsid w:val="00825789"/>
    <w:rsid w:val="00825A1D"/>
    <w:rsid w:val="00825B2A"/>
    <w:rsid w:val="00825CA7"/>
    <w:rsid w:val="00825E31"/>
    <w:rsid w:val="00826017"/>
    <w:rsid w:val="0082612E"/>
    <w:rsid w:val="00826209"/>
    <w:rsid w:val="00826321"/>
    <w:rsid w:val="008263FA"/>
    <w:rsid w:val="00826497"/>
    <w:rsid w:val="008265BE"/>
    <w:rsid w:val="008267DC"/>
    <w:rsid w:val="00826841"/>
    <w:rsid w:val="008268D4"/>
    <w:rsid w:val="00826F3D"/>
    <w:rsid w:val="008270E9"/>
    <w:rsid w:val="008270F2"/>
    <w:rsid w:val="0082719B"/>
    <w:rsid w:val="008272C3"/>
    <w:rsid w:val="008274DE"/>
    <w:rsid w:val="008276C0"/>
    <w:rsid w:val="0082780C"/>
    <w:rsid w:val="00827871"/>
    <w:rsid w:val="0082793F"/>
    <w:rsid w:val="00827A64"/>
    <w:rsid w:val="00827A9E"/>
    <w:rsid w:val="00827BE6"/>
    <w:rsid w:val="00827D12"/>
    <w:rsid w:val="00827DC5"/>
    <w:rsid w:val="00827DDF"/>
    <w:rsid w:val="00827EDC"/>
    <w:rsid w:val="008300A7"/>
    <w:rsid w:val="00830111"/>
    <w:rsid w:val="0083015E"/>
    <w:rsid w:val="00830353"/>
    <w:rsid w:val="008304E4"/>
    <w:rsid w:val="00830524"/>
    <w:rsid w:val="00830535"/>
    <w:rsid w:val="008305FF"/>
    <w:rsid w:val="0083061F"/>
    <w:rsid w:val="008306C3"/>
    <w:rsid w:val="00830A80"/>
    <w:rsid w:val="0083116F"/>
    <w:rsid w:val="008313AF"/>
    <w:rsid w:val="008313BE"/>
    <w:rsid w:val="0083165E"/>
    <w:rsid w:val="008316AE"/>
    <w:rsid w:val="008316E4"/>
    <w:rsid w:val="008317EA"/>
    <w:rsid w:val="00831895"/>
    <w:rsid w:val="00831C07"/>
    <w:rsid w:val="00831EE1"/>
    <w:rsid w:val="00831F87"/>
    <w:rsid w:val="00831FE6"/>
    <w:rsid w:val="00832093"/>
    <w:rsid w:val="0083212A"/>
    <w:rsid w:val="008321A2"/>
    <w:rsid w:val="0083264A"/>
    <w:rsid w:val="00832782"/>
    <w:rsid w:val="00832826"/>
    <w:rsid w:val="00832833"/>
    <w:rsid w:val="00832CE2"/>
    <w:rsid w:val="0083311E"/>
    <w:rsid w:val="008333FB"/>
    <w:rsid w:val="00833581"/>
    <w:rsid w:val="00834205"/>
    <w:rsid w:val="0083426C"/>
    <w:rsid w:val="00834371"/>
    <w:rsid w:val="00834561"/>
    <w:rsid w:val="00834997"/>
    <w:rsid w:val="00834AB2"/>
    <w:rsid w:val="00834CC0"/>
    <w:rsid w:val="00834FAC"/>
    <w:rsid w:val="008350DE"/>
    <w:rsid w:val="008351B3"/>
    <w:rsid w:val="00835655"/>
    <w:rsid w:val="0083573D"/>
    <w:rsid w:val="00835814"/>
    <w:rsid w:val="00835848"/>
    <w:rsid w:val="00835871"/>
    <w:rsid w:val="00835ADC"/>
    <w:rsid w:val="00835BB9"/>
    <w:rsid w:val="00835DF4"/>
    <w:rsid w:val="00835FEC"/>
    <w:rsid w:val="0083628D"/>
    <w:rsid w:val="008363EC"/>
    <w:rsid w:val="00836560"/>
    <w:rsid w:val="008365D8"/>
    <w:rsid w:val="00836726"/>
    <w:rsid w:val="0083679F"/>
    <w:rsid w:val="008367E6"/>
    <w:rsid w:val="00836804"/>
    <w:rsid w:val="00836AE3"/>
    <w:rsid w:val="00836AE7"/>
    <w:rsid w:val="00836B72"/>
    <w:rsid w:val="00836C13"/>
    <w:rsid w:val="00836CAE"/>
    <w:rsid w:val="00836DA3"/>
    <w:rsid w:val="00836FC5"/>
    <w:rsid w:val="008370D5"/>
    <w:rsid w:val="00837252"/>
    <w:rsid w:val="008373D7"/>
    <w:rsid w:val="00837423"/>
    <w:rsid w:val="008378FE"/>
    <w:rsid w:val="00837910"/>
    <w:rsid w:val="00837A1E"/>
    <w:rsid w:val="00837BC2"/>
    <w:rsid w:val="00837D03"/>
    <w:rsid w:val="00837E91"/>
    <w:rsid w:val="00837EEA"/>
    <w:rsid w:val="00840245"/>
    <w:rsid w:val="008407E3"/>
    <w:rsid w:val="0084084E"/>
    <w:rsid w:val="008408E9"/>
    <w:rsid w:val="008408FD"/>
    <w:rsid w:val="00840C36"/>
    <w:rsid w:val="00840C60"/>
    <w:rsid w:val="00840DB1"/>
    <w:rsid w:val="00840FC5"/>
    <w:rsid w:val="00840FCC"/>
    <w:rsid w:val="008410E7"/>
    <w:rsid w:val="0084127B"/>
    <w:rsid w:val="008413A2"/>
    <w:rsid w:val="0084141E"/>
    <w:rsid w:val="0084141F"/>
    <w:rsid w:val="008415D5"/>
    <w:rsid w:val="00841787"/>
    <w:rsid w:val="00841816"/>
    <w:rsid w:val="008418FD"/>
    <w:rsid w:val="0084198D"/>
    <w:rsid w:val="00841BB2"/>
    <w:rsid w:val="00841C78"/>
    <w:rsid w:val="00842049"/>
    <w:rsid w:val="0084225E"/>
    <w:rsid w:val="008423F3"/>
    <w:rsid w:val="0084243F"/>
    <w:rsid w:val="00842452"/>
    <w:rsid w:val="00842500"/>
    <w:rsid w:val="00842537"/>
    <w:rsid w:val="008425FE"/>
    <w:rsid w:val="0084269A"/>
    <w:rsid w:val="008428A5"/>
    <w:rsid w:val="008428A9"/>
    <w:rsid w:val="008429D4"/>
    <w:rsid w:val="00842BF1"/>
    <w:rsid w:val="00842D4E"/>
    <w:rsid w:val="00842DAC"/>
    <w:rsid w:val="00842DCD"/>
    <w:rsid w:val="00842E99"/>
    <w:rsid w:val="0084300D"/>
    <w:rsid w:val="008431BA"/>
    <w:rsid w:val="008431CC"/>
    <w:rsid w:val="008432F0"/>
    <w:rsid w:val="008437B8"/>
    <w:rsid w:val="008437DA"/>
    <w:rsid w:val="00843A43"/>
    <w:rsid w:val="00843B94"/>
    <w:rsid w:val="00843BBB"/>
    <w:rsid w:val="00843F65"/>
    <w:rsid w:val="00843FE9"/>
    <w:rsid w:val="008443D0"/>
    <w:rsid w:val="008444CC"/>
    <w:rsid w:val="00844724"/>
    <w:rsid w:val="00844828"/>
    <w:rsid w:val="00844857"/>
    <w:rsid w:val="0084495B"/>
    <w:rsid w:val="008449B7"/>
    <w:rsid w:val="00844A03"/>
    <w:rsid w:val="00844B15"/>
    <w:rsid w:val="00844D6B"/>
    <w:rsid w:val="00844F23"/>
    <w:rsid w:val="00844F74"/>
    <w:rsid w:val="00844FB9"/>
    <w:rsid w:val="00845101"/>
    <w:rsid w:val="00845157"/>
    <w:rsid w:val="008454AF"/>
    <w:rsid w:val="008454EA"/>
    <w:rsid w:val="008455EB"/>
    <w:rsid w:val="008456A3"/>
    <w:rsid w:val="008457AF"/>
    <w:rsid w:val="00845C6C"/>
    <w:rsid w:val="00845D79"/>
    <w:rsid w:val="00845DA4"/>
    <w:rsid w:val="00845EB2"/>
    <w:rsid w:val="00845F43"/>
    <w:rsid w:val="00846383"/>
    <w:rsid w:val="008464A2"/>
    <w:rsid w:val="008464A5"/>
    <w:rsid w:val="00846637"/>
    <w:rsid w:val="008468A3"/>
    <w:rsid w:val="00846D28"/>
    <w:rsid w:val="00846D36"/>
    <w:rsid w:val="00846DA9"/>
    <w:rsid w:val="00846F27"/>
    <w:rsid w:val="00846F5F"/>
    <w:rsid w:val="00847042"/>
    <w:rsid w:val="00847180"/>
    <w:rsid w:val="00847475"/>
    <w:rsid w:val="0084754A"/>
    <w:rsid w:val="00847611"/>
    <w:rsid w:val="00847AF5"/>
    <w:rsid w:val="00847DF6"/>
    <w:rsid w:val="00847E27"/>
    <w:rsid w:val="0085037E"/>
    <w:rsid w:val="00850441"/>
    <w:rsid w:val="00850642"/>
    <w:rsid w:val="008506BD"/>
    <w:rsid w:val="008506F8"/>
    <w:rsid w:val="008507CE"/>
    <w:rsid w:val="00850A2A"/>
    <w:rsid w:val="00850A2E"/>
    <w:rsid w:val="00850B0C"/>
    <w:rsid w:val="00850DEF"/>
    <w:rsid w:val="0085101C"/>
    <w:rsid w:val="0085115E"/>
    <w:rsid w:val="0085123F"/>
    <w:rsid w:val="00851341"/>
    <w:rsid w:val="008519AE"/>
    <w:rsid w:val="00851D23"/>
    <w:rsid w:val="00852090"/>
    <w:rsid w:val="008520F8"/>
    <w:rsid w:val="00852293"/>
    <w:rsid w:val="008522E7"/>
    <w:rsid w:val="00852322"/>
    <w:rsid w:val="00852583"/>
    <w:rsid w:val="008525CA"/>
    <w:rsid w:val="00852642"/>
    <w:rsid w:val="008527BD"/>
    <w:rsid w:val="00852AA8"/>
    <w:rsid w:val="00852D5F"/>
    <w:rsid w:val="00852DF8"/>
    <w:rsid w:val="00852E0F"/>
    <w:rsid w:val="00852E25"/>
    <w:rsid w:val="00852F23"/>
    <w:rsid w:val="00852FB2"/>
    <w:rsid w:val="0085301D"/>
    <w:rsid w:val="00853191"/>
    <w:rsid w:val="0085352E"/>
    <w:rsid w:val="00853603"/>
    <w:rsid w:val="00853756"/>
    <w:rsid w:val="00853959"/>
    <w:rsid w:val="00853ABA"/>
    <w:rsid w:val="00853C48"/>
    <w:rsid w:val="00853D50"/>
    <w:rsid w:val="00853D54"/>
    <w:rsid w:val="00853DA2"/>
    <w:rsid w:val="00853DDC"/>
    <w:rsid w:val="00853FCB"/>
    <w:rsid w:val="008543E8"/>
    <w:rsid w:val="0085487C"/>
    <w:rsid w:val="00854986"/>
    <w:rsid w:val="008549A5"/>
    <w:rsid w:val="00854D3D"/>
    <w:rsid w:val="00854DE0"/>
    <w:rsid w:val="008550AD"/>
    <w:rsid w:val="0085517F"/>
    <w:rsid w:val="00855608"/>
    <w:rsid w:val="008559C9"/>
    <w:rsid w:val="00855B00"/>
    <w:rsid w:val="00855C68"/>
    <w:rsid w:val="00855C8A"/>
    <w:rsid w:val="00855E0A"/>
    <w:rsid w:val="00855E4D"/>
    <w:rsid w:val="00856002"/>
    <w:rsid w:val="008560D0"/>
    <w:rsid w:val="008560F5"/>
    <w:rsid w:val="0085642A"/>
    <w:rsid w:val="008564B2"/>
    <w:rsid w:val="008564F7"/>
    <w:rsid w:val="00856625"/>
    <w:rsid w:val="0085664C"/>
    <w:rsid w:val="00856912"/>
    <w:rsid w:val="00856B7D"/>
    <w:rsid w:val="00856FB0"/>
    <w:rsid w:val="008570AE"/>
    <w:rsid w:val="008570B2"/>
    <w:rsid w:val="008570C4"/>
    <w:rsid w:val="00857520"/>
    <w:rsid w:val="00857649"/>
    <w:rsid w:val="008576B2"/>
    <w:rsid w:val="0085784D"/>
    <w:rsid w:val="00857865"/>
    <w:rsid w:val="00857913"/>
    <w:rsid w:val="0085792C"/>
    <w:rsid w:val="00857984"/>
    <w:rsid w:val="00857A5F"/>
    <w:rsid w:val="00857B73"/>
    <w:rsid w:val="00857D22"/>
    <w:rsid w:val="00857D4F"/>
    <w:rsid w:val="00857F50"/>
    <w:rsid w:val="008600CA"/>
    <w:rsid w:val="0086010E"/>
    <w:rsid w:val="00860312"/>
    <w:rsid w:val="0086039E"/>
    <w:rsid w:val="0086045A"/>
    <w:rsid w:val="008604E1"/>
    <w:rsid w:val="00860553"/>
    <w:rsid w:val="00860641"/>
    <w:rsid w:val="0086092C"/>
    <w:rsid w:val="00860962"/>
    <w:rsid w:val="008609E8"/>
    <w:rsid w:val="00860A1E"/>
    <w:rsid w:val="00860AC3"/>
    <w:rsid w:val="00860BA2"/>
    <w:rsid w:val="00860BAD"/>
    <w:rsid w:val="00860D05"/>
    <w:rsid w:val="00860DB2"/>
    <w:rsid w:val="00860E43"/>
    <w:rsid w:val="0086104E"/>
    <w:rsid w:val="00861177"/>
    <w:rsid w:val="0086117B"/>
    <w:rsid w:val="00861193"/>
    <w:rsid w:val="0086122E"/>
    <w:rsid w:val="00861BFE"/>
    <w:rsid w:val="00861D78"/>
    <w:rsid w:val="0086202A"/>
    <w:rsid w:val="00862311"/>
    <w:rsid w:val="008628EB"/>
    <w:rsid w:val="00862A41"/>
    <w:rsid w:val="00862AF9"/>
    <w:rsid w:val="00862B06"/>
    <w:rsid w:val="00862FEB"/>
    <w:rsid w:val="00862FF6"/>
    <w:rsid w:val="0086338E"/>
    <w:rsid w:val="008633BB"/>
    <w:rsid w:val="0086345C"/>
    <w:rsid w:val="008634C0"/>
    <w:rsid w:val="00863518"/>
    <w:rsid w:val="00863542"/>
    <w:rsid w:val="00863565"/>
    <w:rsid w:val="0086372D"/>
    <w:rsid w:val="008637C8"/>
    <w:rsid w:val="0086386A"/>
    <w:rsid w:val="008639CC"/>
    <w:rsid w:val="00863C7C"/>
    <w:rsid w:val="00863CFD"/>
    <w:rsid w:val="0086444F"/>
    <w:rsid w:val="00864565"/>
    <w:rsid w:val="00864B3D"/>
    <w:rsid w:val="00864C2E"/>
    <w:rsid w:val="00864CAA"/>
    <w:rsid w:val="00864E97"/>
    <w:rsid w:val="00864EBF"/>
    <w:rsid w:val="00865097"/>
    <w:rsid w:val="00865153"/>
    <w:rsid w:val="0086516C"/>
    <w:rsid w:val="00865286"/>
    <w:rsid w:val="0086532F"/>
    <w:rsid w:val="00865491"/>
    <w:rsid w:val="00865581"/>
    <w:rsid w:val="00865851"/>
    <w:rsid w:val="00865DE9"/>
    <w:rsid w:val="00865E10"/>
    <w:rsid w:val="00865EAC"/>
    <w:rsid w:val="00865F07"/>
    <w:rsid w:val="008660A6"/>
    <w:rsid w:val="0086627A"/>
    <w:rsid w:val="00866493"/>
    <w:rsid w:val="008665F1"/>
    <w:rsid w:val="0086690E"/>
    <w:rsid w:val="00866A60"/>
    <w:rsid w:val="00866BAC"/>
    <w:rsid w:val="00866D90"/>
    <w:rsid w:val="00866E17"/>
    <w:rsid w:val="00866F32"/>
    <w:rsid w:val="00867158"/>
    <w:rsid w:val="008674C6"/>
    <w:rsid w:val="0086762C"/>
    <w:rsid w:val="008676AD"/>
    <w:rsid w:val="008676DB"/>
    <w:rsid w:val="00867A32"/>
    <w:rsid w:val="00867AA0"/>
    <w:rsid w:val="00867CBA"/>
    <w:rsid w:val="00867D36"/>
    <w:rsid w:val="00870228"/>
    <w:rsid w:val="00870380"/>
    <w:rsid w:val="008703FC"/>
    <w:rsid w:val="00870403"/>
    <w:rsid w:val="008704A1"/>
    <w:rsid w:val="008704E8"/>
    <w:rsid w:val="00870640"/>
    <w:rsid w:val="008706FC"/>
    <w:rsid w:val="00870750"/>
    <w:rsid w:val="0087085B"/>
    <w:rsid w:val="0087098E"/>
    <w:rsid w:val="00870B45"/>
    <w:rsid w:val="00870E9F"/>
    <w:rsid w:val="00870F14"/>
    <w:rsid w:val="0087113E"/>
    <w:rsid w:val="00871212"/>
    <w:rsid w:val="00871434"/>
    <w:rsid w:val="00871520"/>
    <w:rsid w:val="0087158D"/>
    <w:rsid w:val="0087160B"/>
    <w:rsid w:val="008718B3"/>
    <w:rsid w:val="008719E3"/>
    <w:rsid w:val="00871C05"/>
    <w:rsid w:val="00871D12"/>
    <w:rsid w:val="00871DEF"/>
    <w:rsid w:val="00871EE6"/>
    <w:rsid w:val="00872230"/>
    <w:rsid w:val="0087228B"/>
    <w:rsid w:val="008725A3"/>
    <w:rsid w:val="0087269F"/>
    <w:rsid w:val="0087271D"/>
    <w:rsid w:val="0087285F"/>
    <w:rsid w:val="0087293D"/>
    <w:rsid w:val="008729DA"/>
    <w:rsid w:val="00872AD8"/>
    <w:rsid w:val="00872D69"/>
    <w:rsid w:val="008730D8"/>
    <w:rsid w:val="00873126"/>
    <w:rsid w:val="00873361"/>
    <w:rsid w:val="008733A4"/>
    <w:rsid w:val="00873480"/>
    <w:rsid w:val="0087351E"/>
    <w:rsid w:val="00873636"/>
    <w:rsid w:val="00873720"/>
    <w:rsid w:val="00873741"/>
    <w:rsid w:val="00873913"/>
    <w:rsid w:val="00873B16"/>
    <w:rsid w:val="00873C38"/>
    <w:rsid w:val="00874114"/>
    <w:rsid w:val="00874192"/>
    <w:rsid w:val="0087421C"/>
    <w:rsid w:val="008745AB"/>
    <w:rsid w:val="00874872"/>
    <w:rsid w:val="008748E3"/>
    <w:rsid w:val="00874D0F"/>
    <w:rsid w:val="00874D1D"/>
    <w:rsid w:val="00874FF1"/>
    <w:rsid w:val="008751DA"/>
    <w:rsid w:val="008751EC"/>
    <w:rsid w:val="00875413"/>
    <w:rsid w:val="00875419"/>
    <w:rsid w:val="00875657"/>
    <w:rsid w:val="00875705"/>
    <w:rsid w:val="0087575F"/>
    <w:rsid w:val="00875817"/>
    <w:rsid w:val="00875899"/>
    <w:rsid w:val="0087591B"/>
    <w:rsid w:val="00875AE5"/>
    <w:rsid w:val="00875BF1"/>
    <w:rsid w:val="00875E56"/>
    <w:rsid w:val="0087606C"/>
    <w:rsid w:val="0087627B"/>
    <w:rsid w:val="00876495"/>
    <w:rsid w:val="008766CD"/>
    <w:rsid w:val="00876759"/>
    <w:rsid w:val="0087686F"/>
    <w:rsid w:val="00876972"/>
    <w:rsid w:val="00876A2B"/>
    <w:rsid w:val="00876A71"/>
    <w:rsid w:val="00876AB9"/>
    <w:rsid w:val="00876B9C"/>
    <w:rsid w:val="00876CDD"/>
    <w:rsid w:val="00876DE8"/>
    <w:rsid w:val="00876F7E"/>
    <w:rsid w:val="008772BA"/>
    <w:rsid w:val="008774BD"/>
    <w:rsid w:val="00877704"/>
    <w:rsid w:val="0087775A"/>
    <w:rsid w:val="0088013D"/>
    <w:rsid w:val="008803C2"/>
    <w:rsid w:val="008803C7"/>
    <w:rsid w:val="00880757"/>
    <w:rsid w:val="00880862"/>
    <w:rsid w:val="00880871"/>
    <w:rsid w:val="00880A52"/>
    <w:rsid w:val="00880B58"/>
    <w:rsid w:val="00880E5E"/>
    <w:rsid w:val="00880E6E"/>
    <w:rsid w:val="00881085"/>
    <w:rsid w:val="008812CC"/>
    <w:rsid w:val="0088155A"/>
    <w:rsid w:val="0088157C"/>
    <w:rsid w:val="0088162E"/>
    <w:rsid w:val="00881848"/>
    <w:rsid w:val="00881875"/>
    <w:rsid w:val="00881E60"/>
    <w:rsid w:val="00881F81"/>
    <w:rsid w:val="00882262"/>
    <w:rsid w:val="008823E6"/>
    <w:rsid w:val="00882426"/>
    <w:rsid w:val="00882477"/>
    <w:rsid w:val="008824CD"/>
    <w:rsid w:val="00882672"/>
    <w:rsid w:val="00883253"/>
    <w:rsid w:val="008835E4"/>
    <w:rsid w:val="0088375E"/>
    <w:rsid w:val="00883816"/>
    <w:rsid w:val="00883BAA"/>
    <w:rsid w:val="00883C76"/>
    <w:rsid w:val="00883CC2"/>
    <w:rsid w:val="00883E42"/>
    <w:rsid w:val="00883FC1"/>
    <w:rsid w:val="00884260"/>
    <w:rsid w:val="008842C2"/>
    <w:rsid w:val="00884362"/>
    <w:rsid w:val="0088442C"/>
    <w:rsid w:val="008845A9"/>
    <w:rsid w:val="008849AB"/>
    <w:rsid w:val="00884C1D"/>
    <w:rsid w:val="00884CCA"/>
    <w:rsid w:val="00884E3D"/>
    <w:rsid w:val="00884F4E"/>
    <w:rsid w:val="00884F9E"/>
    <w:rsid w:val="00885009"/>
    <w:rsid w:val="0088504F"/>
    <w:rsid w:val="0088510D"/>
    <w:rsid w:val="008853D7"/>
    <w:rsid w:val="00885405"/>
    <w:rsid w:val="00885469"/>
    <w:rsid w:val="00885781"/>
    <w:rsid w:val="008858D1"/>
    <w:rsid w:val="00885A33"/>
    <w:rsid w:val="00885B4C"/>
    <w:rsid w:val="00885D1F"/>
    <w:rsid w:val="00885E38"/>
    <w:rsid w:val="00885F97"/>
    <w:rsid w:val="00886251"/>
    <w:rsid w:val="008863A0"/>
    <w:rsid w:val="008864B8"/>
    <w:rsid w:val="00886565"/>
    <w:rsid w:val="0088682B"/>
    <w:rsid w:val="008868FE"/>
    <w:rsid w:val="00886B06"/>
    <w:rsid w:val="00886B2E"/>
    <w:rsid w:val="00886D42"/>
    <w:rsid w:val="00886E5B"/>
    <w:rsid w:val="00886F9C"/>
    <w:rsid w:val="00887013"/>
    <w:rsid w:val="008870CA"/>
    <w:rsid w:val="0088738E"/>
    <w:rsid w:val="008877A2"/>
    <w:rsid w:val="008877C6"/>
    <w:rsid w:val="008879D8"/>
    <w:rsid w:val="008879F6"/>
    <w:rsid w:val="008879FB"/>
    <w:rsid w:val="00887CB4"/>
    <w:rsid w:val="00887E02"/>
    <w:rsid w:val="00887E75"/>
    <w:rsid w:val="008900B7"/>
    <w:rsid w:val="00890292"/>
    <w:rsid w:val="008902C6"/>
    <w:rsid w:val="00890339"/>
    <w:rsid w:val="0089072E"/>
    <w:rsid w:val="00890761"/>
    <w:rsid w:val="00890AF6"/>
    <w:rsid w:val="00890F54"/>
    <w:rsid w:val="0089103A"/>
    <w:rsid w:val="0089106D"/>
    <w:rsid w:val="008914CB"/>
    <w:rsid w:val="008915F1"/>
    <w:rsid w:val="00891A5F"/>
    <w:rsid w:val="00891B84"/>
    <w:rsid w:val="00891C54"/>
    <w:rsid w:val="00891DB8"/>
    <w:rsid w:val="00891FFF"/>
    <w:rsid w:val="0089264F"/>
    <w:rsid w:val="008926E2"/>
    <w:rsid w:val="00892770"/>
    <w:rsid w:val="00892886"/>
    <w:rsid w:val="0089293E"/>
    <w:rsid w:val="00892980"/>
    <w:rsid w:val="008929F4"/>
    <w:rsid w:val="00892DB4"/>
    <w:rsid w:val="00892EAB"/>
    <w:rsid w:val="00893389"/>
    <w:rsid w:val="008934F0"/>
    <w:rsid w:val="00893735"/>
    <w:rsid w:val="008937E3"/>
    <w:rsid w:val="008938AF"/>
    <w:rsid w:val="00893961"/>
    <w:rsid w:val="008939BC"/>
    <w:rsid w:val="00893B88"/>
    <w:rsid w:val="00893DAE"/>
    <w:rsid w:val="00893DDF"/>
    <w:rsid w:val="0089417E"/>
    <w:rsid w:val="0089430A"/>
    <w:rsid w:val="008944DF"/>
    <w:rsid w:val="008945F0"/>
    <w:rsid w:val="008947DD"/>
    <w:rsid w:val="008948BF"/>
    <w:rsid w:val="0089495B"/>
    <w:rsid w:val="00894A54"/>
    <w:rsid w:val="00894BC6"/>
    <w:rsid w:val="00894F4B"/>
    <w:rsid w:val="008951DB"/>
    <w:rsid w:val="008952BF"/>
    <w:rsid w:val="008952D0"/>
    <w:rsid w:val="0089554A"/>
    <w:rsid w:val="008956B8"/>
    <w:rsid w:val="008956C7"/>
    <w:rsid w:val="008958A4"/>
    <w:rsid w:val="008958DD"/>
    <w:rsid w:val="008959F8"/>
    <w:rsid w:val="00895C2E"/>
    <w:rsid w:val="00895CF1"/>
    <w:rsid w:val="00895D75"/>
    <w:rsid w:val="00895F1D"/>
    <w:rsid w:val="00895F78"/>
    <w:rsid w:val="00895FD6"/>
    <w:rsid w:val="0089613C"/>
    <w:rsid w:val="008961E6"/>
    <w:rsid w:val="0089624E"/>
    <w:rsid w:val="00896383"/>
    <w:rsid w:val="008965F9"/>
    <w:rsid w:val="008965FA"/>
    <w:rsid w:val="00896831"/>
    <w:rsid w:val="008968D7"/>
    <w:rsid w:val="00896A88"/>
    <w:rsid w:val="00896A94"/>
    <w:rsid w:val="00896B3B"/>
    <w:rsid w:val="00896C3E"/>
    <w:rsid w:val="00896E9B"/>
    <w:rsid w:val="00897074"/>
    <w:rsid w:val="0089717B"/>
    <w:rsid w:val="0089750A"/>
    <w:rsid w:val="008975A8"/>
    <w:rsid w:val="00897833"/>
    <w:rsid w:val="008978C4"/>
    <w:rsid w:val="0089793D"/>
    <w:rsid w:val="00897968"/>
    <w:rsid w:val="00897D52"/>
    <w:rsid w:val="00897DB8"/>
    <w:rsid w:val="00897E29"/>
    <w:rsid w:val="00897FAF"/>
    <w:rsid w:val="008A0066"/>
    <w:rsid w:val="008A0089"/>
    <w:rsid w:val="008A043D"/>
    <w:rsid w:val="008A0534"/>
    <w:rsid w:val="008A05C4"/>
    <w:rsid w:val="008A06F8"/>
    <w:rsid w:val="008A0B4F"/>
    <w:rsid w:val="008A0BB4"/>
    <w:rsid w:val="008A0E6B"/>
    <w:rsid w:val="008A105A"/>
    <w:rsid w:val="008A1218"/>
    <w:rsid w:val="008A13C6"/>
    <w:rsid w:val="008A1571"/>
    <w:rsid w:val="008A1865"/>
    <w:rsid w:val="008A18DF"/>
    <w:rsid w:val="008A1D19"/>
    <w:rsid w:val="008A1E47"/>
    <w:rsid w:val="008A1EAB"/>
    <w:rsid w:val="008A1F6C"/>
    <w:rsid w:val="008A1FB3"/>
    <w:rsid w:val="008A20A2"/>
    <w:rsid w:val="008A20D7"/>
    <w:rsid w:val="008A21C0"/>
    <w:rsid w:val="008A220F"/>
    <w:rsid w:val="008A2245"/>
    <w:rsid w:val="008A2308"/>
    <w:rsid w:val="008A24EC"/>
    <w:rsid w:val="008A25C7"/>
    <w:rsid w:val="008A2791"/>
    <w:rsid w:val="008A28F3"/>
    <w:rsid w:val="008A2AF8"/>
    <w:rsid w:val="008A2C5B"/>
    <w:rsid w:val="008A2CED"/>
    <w:rsid w:val="008A2D76"/>
    <w:rsid w:val="008A2F41"/>
    <w:rsid w:val="008A2FE8"/>
    <w:rsid w:val="008A31AE"/>
    <w:rsid w:val="008A3358"/>
    <w:rsid w:val="008A34A7"/>
    <w:rsid w:val="008A37EC"/>
    <w:rsid w:val="008A389D"/>
    <w:rsid w:val="008A38D7"/>
    <w:rsid w:val="008A3C9D"/>
    <w:rsid w:val="008A3D85"/>
    <w:rsid w:val="008A3F6E"/>
    <w:rsid w:val="008A4016"/>
    <w:rsid w:val="008A4117"/>
    <w:rsid w:val="008A4136"/>
    <w:rsid w:val="008A4438"/>
    <w:rsid w:val="008A4568"/>
    <w:rsid w:val="008A45B5"/>
    <w:rsid w:val="008A4727"/>
    <w:rsid w:val="008A4739"/>
    <w:rsid w:val="008A4E04"/>
    <w:rsid w:val="008A4EB6"/>
    <w:rsid w:val="008A4F2A"/>
    <w:rsid w:val="008A51E6"/>
    <w:rsid w:val="008A52FE"/>
    <w:rsid w:val="008A543F"/>
    <w:rsid w:val="008A563E"/>
    <w:rsid w:val="008A56FC"/>
    <w:rsid w:val="008A5D46"/>
    <w:rsid w:val="008A5D63"/>
    <w:rsid w:val="008A5E8A"/>
    <w:rsid w:val="008A5F03"/>
    <w:rsid w:val="008A6272"/>
    <w:rsid w:val="008A6365"/>
    <w:rsid w:val="008A6404"/>
    <w:rsid w:val="008A643E"/>
    <w:rsid w:val="008A6479"/>
    <w:rsid w:val="008A6788"/>
    <w:rsid w:val="008A69D0"/>
    <w:rsid w:val="008A6A33"/>
    <w:rsid w:val="008A6B3D"/>
    <w:rsid w:val="008A6B4F"/>
    <w:rsid w:val="008A6B5C"/>
    <w:rsid w:val="008A6DD2"/>
    <w:rsid w:val="008A6E5B"/>
    <w:rsid w:val="008A705D"/>
    <w:rsid w:val="008A725A"/>
    <w:rsid w:val="008A72C4"/>
    <w:rsid w:val="008A76C1"/>
    <w:rsid w:val="008A77C0"/>
    <w:rsid w:val="008A77EC"/>
    <w:rsid w:val="008A78DD"/>
    <w:rsid w:val="008A7FFE"/>
    <w:rsid w:val="008B04AC"/>
    <w:rsid w:val="008B04F1"/>
    <w:rsid w:val="008B0596"/>
    <w:rsid w:val="008B07A8"/>
    <w:rsid w:val="008B0827"/>
    <w:rsid w:val="008B0A4A"/>
    <w:rsid w:val="008B0B5E"/>
    <w:rsid w:val="008B0F0B"/>
    <w:rsid w:val="008B0F55"/>
    <w:rsid w:val="008B1251"/>
    <w:rsid w:val="008B12AF"/>
    <w:rsid w:val="008B13F9"/>
    <w:rsid w:val="008B1538"/>
    <w:rsid w:val="008B15EE"/>
    <w:rsid w:val="008B16FB"/>
    <w:rsid w:val="008B1901"/>
    <w:rsid w:val="008B1A24"/>
    <w:rsid w:val="008B1AFF"/>
    <w:rsid w:val="008B1B35"/>
    <w:rsid w:val="008B1F5C"/>
    <w:rsid w:val="008B204F"/>
    <w:rsid w:val="008B20F1"/>
    <w:rsid w:val="008B2326"/>
    <w:rsid w:val="008B2504"/>
    <w:rsid w:val="008B27CC"/>
    <w:rsid w:val="008B2848"/>
    <w:rsid w:val="008B28E3"/>
    <w:rsid w:val="008B2BE1"/>
    <w:rsid w:val="008B2BE6"/>
    <w:rsid w:val="008B2DAC"/>
    <w:rsid w:val="008B2E13"/>
    <w:rsid w:val="008B2F0F"/>
    <w:rsid w:val="008B302C"/>
    <w:rsid w:val="008B31FF"/>
    <w:rsid w:val="008B34B8"/>
    <w:rsid w:val="008B34C9"/>
    <w:rsid w:val="008B34ED"/>
    <w:rsid w:val="008B36A5"/>
    <w:rsid w:val="008B3801"/>
    <w:rsid w:val="008B39BB"/>
    <w:rsid w:val="008B3BEB"/>
    <w:rsid w:val="008B3BED"/>
    <w:rsid w:val="008B3C85"/>
    <w:rsid w:val="008B3CD8"/>
    <w:rsid w:val="008B3DB5"/>
    <w:rsid w:val="008B3EBD"/>
    <w:rsid w:val="008B407E"/>
    <w:rsid w:val="008B4318"/>
    <w:rsid w:val="008B452E"/>
    <w:rsid w:val="008B45D6"/>
    <w:rsid w:val="008B46A1"/>
    <w:rsid w:val="008B47C1"/>
    <w:rsid w:val="008B47E6"/>
    <w:rsid w:val="008B47F3"/>
    <w:rsid w:val="008B4A0C"/>
    <w:rsid w:val="008B4A16"/>
    <w:rsid w:val="008B4B2B"/>
    <w:rsid w:val="008B4B71"/>
    <w:rsid w:val="008B4B79"/>
    <w:rsid w:val="008B4DD1"/>
    <w:rsid w:val="008B5158"/>
    <w:rsid w:val="008B51D5"/>
    <w:rsid w:val="008B51FA"/>
    <w:rsid w:val="008B521F"/>
    <w:rsid w:val="008B577D"/>
    <w:rsid w:val="008B585D"/>
    <w:rsid w:val="008B5896"/>
    <w:rsid w:val="008B5901"/>
    <w:rsid w:val="008B592D"/>
    <w:rsid w:val="008B5C91"/>
    <w:rsid w:val="008B5EB9"/>
    <w:rsid w:val="008B5F46"/>
    <w:rsid w:val="008B630D"/>
    <w:rsid w:val="008B694A"/>
    <w:rsid w:val="008B6B33"/>
    <w:rsid w:val="008B6C1B"/>
    <w:rsid w:val="008B6C8B"/>
    <w:rsid w:val="008B6EBB"/>
    <w:rsid w:val="008B74A9"/>
    <w:rsid w:val="008B74F7"/>
    <w:rsid w:val="008B7A29"/>
    <w:rsid w:val="008B7D30"/>
    <w:rsid w:val="008B7F45"/>
    <w:rsid w:val="008B7F80"/>
    <w:rsid w:val="008C001F"/>
    <w:rsid w:val="008C008E"/>
    <w:rsid w:val="008C0384"/>
    <w:rsid w:val="008C0543"/>
    <w:rsid w:val="008C0601"/>
    <w:rsid w:val="008C06F2"/>
    <w:rsid w:val="008C08C2"/>
    <w:rsid w:val="008C0902"/>
    <w:rsid w:val="008C0A5C"/>
    <w:rsid w:val="008C0BD5"/>
    <w:rsid w:val="008C0C1C"/>
    <w:rsid w:val="008C0C65"/>
    <w:rsid w:val="008C0D76"/>
    <w:rsid w:val="008C0D9D"/>
    <w:rsid w:val="008C0EDE"/>
    <w:rsid w:val="008C0FEB"/>
    <w:rsid w:val="008C12D5"/>
    <w:rsid w:val="008C13FB"/>
    <w:rsid w:val="008C149B"/>
    <w:rsid w:val="008C14C6"/>
    <w:rsid w:val="008C1632"/>
    <w:rsid w:val="008C186B"/>
    <w:rsid w:val="008C1ADE"/>
    <w:rsid w:val="008C1DF7"/>
    <w:rsid w:val="008C229D"/>
    <w:rsid w:val="008C2494"/>
    <w:rsid w:val="008C2835"/>
    <w:rsid w:val="008C29FF"/>
    <w:rsid w:val="008C2A64"/>
    <w:rsid w:val="008C2B6B"/>
    <w:rsid w:val="008C2C21"/>
    <w:rsid w:val="008C308D"/>
    <w:rsid w:val="008C313F"/>
    <w:rsid w:val="008C328C"/>
    <w:rsid w:val="008C3346"/>
    <w:rsid w:val="008C33CE"/>
    <w:rsid w:val="008C3602"/>
    <w:rsid w:val="008C3C12"/>
    <w:rsid w:val="008C3CA7"/>
    <w:rsid w:val="008C3F52"/>
    <w:rsid w:val="008C435B"/>
    <w:rsid w:val="008C4547"/>
    <w:rsid w:val="008C47C6"/>
    <w:rsid w:val="008C4EA0"/>
    <w:rsid w:val="008C4EBF"/>
    <w:rsid w:val="008C5093"/>
    <w:rsid w:val="008C51D1"/>
    <w:rsid w:val="008C5310"/>
    <w:rsid w:val="008C5349"/>
    <w:rsid w:val="008C53A1"/>
    <w:rsid w:val="008C53A6"/>
    <w:rsid w:val="008C56FC"/>
    <w:rsid w:val="008C5861"/>
    <w:rsid w:val="008C5895"/>
    <w:rsid w:val="008C5B24"/>
    <w:rsid w:val="008C5B66"/>
    <w:rsid w:val="008C5BBE"/>
    <w:rsid w:val="008C5C78"/>
    <w:rsid w:val="008C5E0E"/>
    <w:rsid w:val="008C5EF2"/>
    <w:rsid w:val="008C607F"/>
    <w:rsid w:val="008C61C6"/>
    <w:rsid w:val="008C6233"/>
    <w:rsid w:val="008C6559"/>
    <w:rsid w:val="008C657E"/>
    <w:rsid w:val="008C65FC"/>
    <w:rsid w:val="008C6AEC"/>
    <w:rsid w:val="008C6B19"/>
    <w:rsid w:val="008C6EBA"/>
    <w:rsid w:val="008C7346"/>
    <w:rsid w:val="008C736B"/>
    <w:rsid w:val="008C762B"/>
    <w:rsid w:val="008C77DB"/>
    <w:rsid w:val="008C77F6"/>
    <w:rsid w:val="008C7B80"/>
    <w:rsid w:val="008C7CCE"/>
    <w:rsid w:val="008C7DB4"/>
    <w:rsid w:val="008C7DBA"/>
    <w:rsid w:val="008C7E40"/>
    <w:rsid w:val="008C7FC7"/>
    <w:rsid w:val="008C7FF3"/>
    <w:rsid w:val="008D01A4"/>
    <w:rsid w:val="008D026A"/>
    <w:rsid w:val="008D030F"/>
    <w:rsid w:val="008D03E1"/>
    <w:rsid w:val="008D0844"/>
    <w:rsid w:val="008D08E5"/>
    <w:rsid w:val="008D0AFC"/>
    <w:rsid w:val="008D0CAE"/>
    <w:rsid w:val="008D0DD6"/>
    <w:rsid w:val="008D0EC6"/>
    <w:rsid w:val="008D1333"/>
    <w:rsid w:val="008D133F"/>
    <w:rsid w:val="008D183C"/>
    <w:rsid w:val="008D19B0"/>
    <w:rsid w:val="008D1AC3"/>
    <w:rsid w:val="008D1B62"/>
    <w:rsid w:val="008D1BA5"/>
    <w:rsid w:val="008D1BF1"/>
    <w:rsid w:val="008D1D65"/>
    <w:rsid w:val="008D1D7F"/>
    <w:rsid w:val="008D1DDE"/>
    <w:rsid w:val="008D1EE3"/>
    <w:rsid w:val="008D1FA9"/>
    <w:rsid w:val="008D1FF5"/>
    <w:rsid w:val="008D204E"/>
    <w:rsid w:val="008D20CB"/>
    <w:rsid w:val="008D20D4"/>
    <w:rsid w:val="008D2386"/>
    <w:rsid w:val="008D2657"/>
    <w:rsid w:val="008D2670"/>
    <w:rsid w:val="008D26B7"/>
    <w:rsid w:val="008D299B"/>
    <w:rsid w:val="008D29FF"/>
    <w:rsid w:val="008D2AB4"/>
    <w:rsid w:val="008D2B79"/>
    <w:rsid w:val="008D2BAB"/>
    <w:rsid w:val="008D2E78"/>
    <w:rsid w:val="008D2FB8"/>
    <w:rsid w:val="008D309E"/>
    <w:rsid w:val="008D3123"/>
    <w:rsid w:val="008D339D"/>
    <w:rsid w:val="008D33E3"/>
    <w:rsid w:val="008D343D"/>
    <w:rsid w:val="008D3531"/>
    <w:rsid w:val="008D35F7"/>
    <w:rsid w:val="008D3B0A"/>
    <w:rsid w:val="008D3B86"/>
    <w:rsid w:val="008D3BC9"/>
    <w:rsid w:val="008D3CF5"/>
    <w:rsid w:val="008D3DAD"/>
    <w:rsid w:val="008D3DBE"/>
    <w:rsid w:val="008D3DEE"/>
    <w:rsid w:val="008D4153"/>
    <w:rsid w:val="008D41FF"/>
    <w:rsid w:val="008D4343"/>
    <w:rsid w:val="008D4373"/>
    <w:rsid w:val="008D46E4"/>
    <w:rsid w:val="008D4887"/>
    <w:rsid w:val="008D4A52"/>
    <w:rsid w:val="008D4BC8"/>
    <w:rsid w:val="008D4DD5"/>
    <w:rsid w:val="008D4FDE"/>
    <w:rsid w:val="008D5062"/>
    <w:rsid w:val="008D5436"/>
    <w:rsid w:val="008D55A7"/>
    <w:rsid w:val="008D57A6"/>
    <w:rsid w:val="008D5819"/>
    <w:rsid w:val="008D5974"/>
    <w:rsid w:val="008D5B37"/>
    <w:rsid w:val="008D5B96"/>
    <w:rsid w:val="008D5C03"/>
    <w:rsid w:val="008D5FF5"/>
    <w:rsid w:val="008D6045"/>
    <w:rsid w:val="008D625C"/>
    <w:rsid w:val="008D638A"/>
    <w:rsid w:val="008D6406"/>
    <w:rsid w:val="008D679E"/>
    <w:rsid w:val="008D683B"/>
    <w:rsid w:val="008D6BE1"/>
    <w:rsid w:val="008D6BFF"/>
    <w:rsid w:val="008D6E08"/>
    <w:rsid w:val="008D7002"/>
    <w:rsid w:val="008D7010"/>
    <w:rsid w:val="008D7282"/>
    <w:rsid w:val="008D7566"/>
    <w:rsid w:val="008D7776"/>
    <w:rsid w:val="008D77E2"/>
    <w:rsid w:val="008D7A3F"/>
    <w:rsid w:val="008D7A54"/>
    <w:rsid w:val="008D7D04"/>
    <w:rsid w:val="008D7EB5"/>
    <w:rsid w:val="008E036B"/>
    <w:rsid w:val="008E0553"/>
    <w:rsid w:val="008E0620"/>
    <w:rsid w:val="008E0799"/>
    <w:rsid w:val="008E0BD1"/>
    <w:rsid w:val="008E0DE7"/>
    <w:rsid w:val="008E102C"/>
    <w:rsid w:val="008E1163"/>
    <w:rsid w:val="008E1236"/>
    <w:rsid w:val="008E13A8"/>
    <w:rsid w:val="008E1582"/>
    <w:rsid w:val="008E15D6"/>
    <w:rsid w:val="008E1634"/>
    <w:rsid w:val="008E16CB"/>
    <w:rsid w:val="008E1795"/>
    <w:rsid w:val="008E18A3"/>
    <w:rsid w:val="008E19C8"/>
    <w:rsid w:val="008E219C"/>
    <w:rsid w:val="008E21CF"/>
    <w:rsid w:val="008E2442"/>
    <w:rsid w:val="008E2501"/>
    <w:rsid w:val="008E2538"/>
    <w:rsid w:val="008E258A"/>
    <w:rsid w:val="008E27C4"/>
    <w:rsid w:val="008E2A59"/>
    <w:rsid w:val="008E2C44"/>
    <w:rsid w:val="008E2C66"/>
    <w:rsid w:val="008E2E27"/>
    <w:rsid w:val="008E2F33"/>
    <w:rsid w:val="008E3309"/>
    <w:rsid w:val="008E3530"/>
    <w:rsid w:val="008E3641"/>
    <w:rsid w:val="008E367A"/>
    <w:rsid w:val="008E37CD"/>
    <w:rsid w:val="008E3B95"/>
    <w:rsid w:val="008E3B9A"/>
    <w:rsid w:val="008E3BC4"/>
    <w:rsid w:val="008E3C7D"/>
    <w:rsid w:val="008E3DF4"/>
    <w:rsid w:val="008E3F3C"/>
    <w:rsid w:val="008E3F83"/>
    <w:rsid w:val="008E3F96"/>
    <w:rsid w:val="008E42A4"/>
    <w:rsid w:val="008E438A"/>
    <w:rsid w:val="008E44F3"/>
    <w:rsid w:val="008E453B"/>
    <w:rsid w:val="008E45F8"/>
    <w:rsid w:val="008E4644"/>
    <w:rsid w:val="008E49C5"/>
    <w:rsid w:val="008E4C48"/>
    <w:rsid w:val="008E4CE5"/>
    <w:rsid w:val="008E4FBB"/>
    <w:rsid w:val="008E5045"/>
    <w:rsid w:val="008E5127"/>
    <w:rsid w:val="008E5486"/>
    <w:rsid w:val="008E54C8"/>
    <w:rsid w:val="008E5525"/>
    <w:rsid w:val="008E55DE"/>
    <w:rsid w:val="008E560B"/>
    <w:rsid w:val="008E5957"/>
    <w:rsid w:val="008E5A43"/>
    <w:rsid w:val="008E5A77"/>
    <w:rsid w:val="008E5B45"/>
    <w:rsid w:val="008E5BB1"/>
    <w:rsid w:val="008E5CBA"/>
    <w:rsid w:val="008E5DB2"/>
    <w:rsid w:val="008E5E8D"/>
    <w:rsid w:val="008E6458"/>
    <w:rsid w:val="008E65E9"/>
    <w:rsid w:val="008E66BF"/>
    <w:rsid w:val="008E698D"/>
    <w:rsid w:val="008E69AF"/>
    <w:rsid w:val="008E6B00"/>
    <w:rsid w:val="008E6E44"/>
    <w:rsid w:val="008E734E"/>
    <w:rsid w:val="008E736F"/>
    <w:rsid w:val="008E73F1"/>
    <w:rsid w:val="008E7761"/>
    <w:rsid w:val="008E79E4"/>
    <w:rsid w:val="008E7E33"/>
    <w:rsid w:val="008F005C"/>
    <w:rsid w:val="008F03D7"/>
    <w:rsid w:val="008F03DF"/>
    <w:rsid w:val="008F03E4"/>
    <w:rsid w:val="008F042C"/>
    <w:rsid w:val="008F04DC"/>
    <w:rsid w:val="008F0B84"/>
    <w:rsid w:val="008F0BAA"/>
    <w:rsid w:val="008F0C2A"/>
    <w:rsid w:val="008F0C5A"/>
    <w:rsid w:val="008F0CAF"/>
    <w:rsid w:val="008F0DFE"/>
    <w:rsid w:val="008F0E8E"/>
    <w:rsid w:val="008F0F3A"/>
    <w:rsid w:val="008F0F3D"/>
    <w:rsid w:val="008F1349"/>
    <w:rsid w:val="008F1399"/>
    <w:rsid w:val="008F166E"/>
    <w:rsid w:val="008F187C"/>
    <w:rsid w:val="008F1A93"/>
    <w:rsid w:val="008F1ABB"/>
    <w:rsid w:val="008F1CEC"/>
    <w:rsid w:val="008F1D6B"/>
    <w:rsid w:val="008F1DEB"/>
    <w:rsid w:val="008F1EEC"/>
    <w:rsid w:val="008F2006"/>
    <w:rsid w:val="008F2468"/>
    <w:rsid w:val="008F26E3"/>
    <w:rsid w:val="008F2829"/>
    <w:rsid w:val="008F2B1D"/>
    <w:rsid w:val="008F2D2B"/>
    <w:rsid w:val="008F2D4D"/>
    <w:rsid w:val="008F2E7D"/>
    <w:rsid w:val="008F2E96"/>
    <w:rsid w:val="008F3012"/>
    <w:rsid w:val="008F30C7"/>
    <w:rsid w:val="008F33BA"/>
    <w:rsid w:val="008F34C2"/>
    <w:rsid w:val="008F357B"/>
    <w:rsid w:val="008F36B2"/>
    <w:rsid w:val="008F3727"/>
    <w:rsid w:val="008F3A4F"/>
    <w:rsid w:val="008F3DA5"/>
    <w:rsid w:val="008F40E8"/>
    <w:rsid w:val="008F4229"/>
    <w:rsid w:val="008F44F1"/>
    <w:rsid w:val="008F483B"/>
    <w:rsid w:val="008F4955"/>
    <w:rsid w:val="008F4C02"/>
    <w:rsid w:val="008F4D12"/>
    <w:rsid w:val="008F5289"/>
    <w:rsid w:val="008F52F1"/>
    <w:rsid w:val="008F53FB"/>
    <w:rsid w:val="008F5438"/>
    <w:rsid w:val="008F56B6"/>
    <w:rsid w:val="008F5C2D"/>
    <w:rsid w:val="008F5CCB"/>
    <w:rsid w:val="008F5DB9"/>
    <w:rsid w:val="008F5DFD"/>
    <w:rsid w:val="008F5F11"/>
    <w:rsid w:val="008F615A"/>
    <w:rsid w:val="008F61C9"/>
    <w:rsid w:val="008F62C4"/>
    <w:rsid w:val="008F67E3"/>
    <w:rsid w:val="008F682A"/>
    <w:rsid w:val="008F6842"/>
    <w:rsid w:val="008F68BD"/>
    <w:rsid w:val="008F68C0"/>
    <w:rsid w:val="008F6BF4"/>
    <w:rsid w:val="008F6CA2"/>
    <w:rsid w:val="008F6D75"/>
    <w:rsid w:val="008F70B4"/>
    <w:rsid w:val="008F75CC"/>
    <w:rsid w:val="008F78DB"/>
    <w:rsid w:val="008F7927"/>
    <w:rsid w:val="008F7C90"/>
    <w:rsid w:val="008F7E63"/>
    <w:rsid w:val="008F7FA3"/>
    <w:rsid w:val="008F7FD1"/>
    <w:rsid w:val="0090028D"/>
    <w:rsid w:val="0090033F"/>
    <w:rsid w:val="00900692"/>
    <w:rsid w:val="0090087E"/>
    <w:rsid w:val="00900898"/>
    <w:rsid w:val="009008BC"/>
    <w:rsid w:val="00900B0E"/>
    <w:rsid w:val="00900C80"/>
    <w:rsid w:val="009011C6"/>
    <w:rsid w:val="00901263"/>
    <w:rsid w:val="009012E8"/>
    <w:rsid w:val="00901366"/>
    <w:rsid w:val="0090156C"/>
    <w:rsid w:val="0090161F"/>
    <w:rsid w:val="0090175C"/>
    <w:rsid w:val="009018FD"/>
    <w:rsid w:val="00901D09"/>
    <w:rsid w:val="00901ECD"/>
    <w:rsid w:val="00901F77"/>
    <w:rsid w:val="0090221C"/>
    <w:rsid w:val="00902250"/>
    <w:rsid w:val="0090237B"/>
    <w:rsid w:val="0090292F"/>
    <w:rsid w:val="009029FE"/>
    <w:rsid w:val="00902A7B"/>
    <w:rsid w:val="00902AC6"/>
    <w:rsid w:val="00902B72"/>
    <w:rsid w:val="00902BCF"/>
    <w:rsid w:val="00902BE5"/>
    <w:rsid w:val="00902BF3"/>
    <w:rsid w:val="00902C19"/>
    <w:rsid w:val="00902D0F"/>
    <w:rsid w:val="00902D18"/>
    <w:rsid w:val="00902DB2"/>
    <w:rsid w:val="00902EA4"/>
    <w:rsid w:val="00903210"/>
    <w:rsid w:val="0090321C"/>
    <w:rsid w:val="009032F0"/>
    <w:rsid w:val="009034C2"/>
    <w:rsid w:val="0090359A"/>
    <w:rsid w:val="00903658"/>
    <w:rsid w:val="00903A82"/>
    <w:rsid w:val="00903A9A"/>
    <w:rsid w:val="00903AA7"/>
    <w:rsid w:val="0090414D"/>
    <w:rsid w:val="009042AE"/>
    <w:rsid w:val="0090466B"/>
    <w:rsid w:val="00904878"/>
    <w:rsid w:val="009048DF"/>
    <w:rsid w:val="0090492D"/>
    <w:rsid w:val="00904B15"/>
    <w:rsid w:val="00904B82"/>
    <w:rsid w:val="00904DEF"/>
    <w:rsid w:val="0090508C"/>
    <w:rsid w:val="00905300"/>
    <w:rsid w:val="00905435"/>
    <w:rsid w:val="0090573B"/>
    <w:rsid w:val="009059B2"/>
    <w:rsid w:val="00905B1B"/>
    <w:rsid w:val="00905CCB"/>
    <w:rsid w:val="00905CE9"/>
    <w:rsid w:val="00905DF8"/>
    <w:rsid w:val="009061DD"/>
    <w:rsid w:val="009063A5"/>
    <w:rsid w:val="00906412"/>
    <w:rsid w:val="009065A2"/>
    <w:rsid w:val="00906614"/>
    <w:rsid w:val="00906676"/>
    <w:rsid w:val="00906692"/>
    <w:rsid w:val="00906838"/>
    <w:rsid w:val="00906B63"/>
    <w:rsid w:val="00906B95"/>
    <w:rsid w:val="00906EE1"/>
    <w:rsid w:val="00906F2B"/>
    <w:rsid w:val="00907145"/>
    <w:rsid w:val="00907831"/>
    <w:rsid w:val="009078A9"/>
    <w:rsid w:val="00907960"/>
    <w:rsid w:val="00907A2D"/>
    <w:rsid w:val="00907A52"/>
    <w:rsid w:val="00907B0F"/>
    <w:rsid w:val="00907EE6"/>
    <w:rsid w:val="0091000E"/>
    <w:rsid w:val="009100DA"/>
    <w:rsid w:val="00910195"/>
    <w:rsid w:val="00910336"/>
    <w:rsid w:val="0091038F"/>
    <w:rsid w:val="00910411"/>
    <w:rsid w:val="00910419"/>
    <w:rsid w:val="00910439"/>
    <w:rsid w:val="009106AD"/>
    <w:rsid w:val="0091082E"/>
    <w:rsid w:val="00910924"/>
    <w:rsid w:val="00910974"/>
    <w:rsid w:val="0091098D"/>
    <w:rsid w:val="00910B74"/>
    <w:rsid w:val="00910D4B"/>
    <w:rsid w:val="00910E8C"/>
    <w:rsid w:val="00910EE8"/>
    <w:rsid w:val="00910EEC"/>
    <w:rsid w:val="00910F10"/>
    <w:rsid w:val="00911268"/>
    <w:rsid w:val="009112BE"/>
    <w:rsid w:val="0091145C"/>
    <w:rsid w:val="00911461"/>
    <w:rsid w:val="0091158C"/>
    <w:rsid w:val="009115A3"/>
    <w:rsid w:val="00911676"/>
    <w:rsid w:val="009118B7"/>
    <w:rsid w:val="00911C8A"/>
    <w:rsid w:val="00911E56"/>
    <w:rsid w:val="0091221F"/>
    <w:rsid w:val="00912409"/>
    <w:rsid w:val="00912646"/>
    <w:rsid w:val="00912650"/>
    <w:rsid w:val="00912830"/>
    <w:rsid w:val="00912AAA"/>
    <w:rsid w:val="00912B0B"/>
    <w:rsid w:val="00912CC9"/>
    <w:rsid w:val="009134B5"/>
    <w:rsid w:val="0091368A"/>
    <w:rsid w:val="00913788"/>
    <w:rsid w:val="00913831"/>
    <w:rsid w:val="009138CA"/>
    <w:rsid w:val="00913929"/>
    <w:rsid w:val="00913B2D"/>
    <w:rsid w:val="00913B53"/>
    <w:rsid w:val="00913CA7"/>
    <w:rsid w:val="00913D18"/>
    <w:rsid w:val="00913DC7"/>
    <w:rsid w:val="00913DF0"/>
    <w:rsid w:val="00913E30"/>
    <w:rsid w:val="00913E4F"/>
    <w:rsid w:val="00913E55"/>
    <w:rsid w:val="009140E4"/>
    <w:rsid w:val="0091427D"/>
    <w:rsid w:val="00914480"/>
    <w:rsid w:val="00914550"/>
    <w:rsid w:val="00914645"/>
    <w:rsid w:val="00914844"/>
    <w:rsid w:val="00914A78"/>
    <w:rsid w:val="00914CD1"/>
    <w:rsid w:val="00914EDC"/>
    <w:rsid w:val="00914F14"/>
    <w:rsid w:val="0091535E"/>
    <w:rsid w:val="009157A6"/>
    <w:rsid w:val="00915AAD"/>
    <w:rsid w:val="00915B19"/>
    <w:rsid w:val="00916222"/>
    <w:rsid w:val="00916304"/>
    <w:rsid w:val="009163E4"/>
    <w:rsid w:val="0091651A"/>
    <w:rsid w:val="009165F9"/>
    <w:rsid w:val="0091687C"/>
    <w:rsid w:val="009169C4"/>
    <w:rsid w:val="00916A5D"/>
    <w:rsid w:val="00916B24"/>
    <w:rsid w:val="00916C2D"/>
    <w:rsid w:val="00916FA6"/>
    <w:rsid w:val="00917623"/>
    <w:rsid w:val="00917751"/>
    <w:rsid w:val="00917974"/>
    <w:rsid w:val="00917CBD"/>
    <w:rsid w:val="00917F7D"/>
    <w:rsid w:val="00920008"/>
    <w:rsid w:val="0092013B"/>
    <w:rsid w:val="009204D7"/>
    <w:rsid w:val="009205EF"/>
    <w:rsid w:val="00920610"/>
    <w:rsid w:val="009206FF"/>
    <w:rsid w:val="0092095D"/>
    <w:rsid w:val="009209C3"/>
    <w:rsid w:val="00920C95"/>
    <w:rsid w:val="00921207"/>
    <w:rsid w:val="00921282"/>
    <w:rsid w:val="009212D3"/>
    <w:rsid w:val="0092136E"/>
    <w:rsid w:val="00921736"/>
    <w:rsid w:val="00921A03"/>
    <w:rsid w:val="00921F5E"/>
    <w:rsid w:val="00922984"/>
    <w:rsid w:val="00922A20"/>
    <w:rsid w:val="00922AA5"/>
    <w:rsid w:val="00922D6A"/>
    <w:rsid w:val="00922F4A"/>
    <w:rsid w:val="00922F61"/>
    <w:rsid w:val="00922FA2"/>
    <w:rsid w:val="009234BE"/>
    <w:rsid w:val="00923575"/>
    <w:rsid w:val="009238F4"/>
    <w:rsid w:val="00923A8B"/>
    <w:rsid w:val="00923B39"/>
    <w:rsid w:val="00923B5A"/>
    <w:rsid w:val="00923C56"/>
    <w:rsid w:val="00923CB0"/>
    <w:rsid w:val="0092410D"/>
    <w:rsid w:val="009242D9"/>
    <w:rsid w:val="00924312"/>
    <w:rsid w:val="00924421"/>
    <w:rsid w:val="00924429"/>
    <w:rsid w:val="00924475"/>
    <w:rsid w:val="009246EC"/>
    <w:rsid w:val="00924755"/>
    <w:rsid w:val="00924792"/>
    <w:rsid w:val="00924801"/>
    <w:rsid w:val="00924829"/>
    <w:rsid w:val="009248A7"/>
    <w:rsid w:val="009248FC"/>
    <w:rsid w:val="00924916"/>
    <w:rsid w:val="0092499E"/>
    <w:rsid w:val="009249D2"/>
    <w:rsid w:val="00924C63"/>
    <w:rsid w:val="00924F85"/>
    <w:rsid w:val="009252E4"/>
    <w:rsid w:val="00925330"/>
    <w:rsid w:val="00925498"/>
    <w:rsid w:val="009254BD"/>
    <w:rsid w:val="009256C2"/>
    <w:rsid w:val="00925804"/>
    <w:rsid w:val="00925B06"/>
    <w:rsid w:val="00925DC7"/>
    <w:rsid w:val="00925DD2"/>
    <w:rsid w:val="00925EF4"/>
    <w:rsid w:val="00925F1B"/>
    <w:rsid w:val="009263F1"/>
    <w:rsid w:val="00926A0E"/>
    <w:rsid w:val="00926AA2"/>
    <w:rsid w:val="00926BC1"/>
    <w:rsid w:val="00926C7B"/>
    <w:rsid w:val="009270A0"/>
    <w:rsid w:val="00927161"/>
    <w:rsid w:val="00927236"/>
    <w:rsid w:val="00927795"/>
    <w:rsid w:val="009278CD"/>
    <w:rsid w:val="0092790B"/>
    <w:rsid w:val="009279FE"/>
    <w:rsid w:val="00927B3A"/>
    <w:rsid w:val="00930170"/>
    <w:rsid w:val="00930359"/>
    <w:rsid w:val="009303BC"/>
    <w:rsid w:val="009305B5"/>
    <w:rsid w:val="00930676"/>
    <w:rsid w:val="009306E5"/>
    <w:rsid w:val="0093072A"/>
    <w:rsid w:val="00930AA2"/>
    <w:rsid w:val="00930AE4"/>
    <w:rsid w:val="00930DE6"/>
    <w:rsid w:val="00930F7C"/>
    <w:rsid w:val="00931036"/>
    <w:rsid w:val="0093122A"/>
    <w:rsid w:val="009313B3"/>
    <w:rsid w:val="00931747"/>
    <w:rsid w:val="00931832"/>
    <w:rsid w:val="0093196C"/>
    <w:rsid w:val="00931EE0"/>
    <w:rsid w:val="009320E6"/>
    <w:rsid w:val="0093214F"/>
    <w:rsid w:val="00932175"/>
    <w:rsid w:val="00932A33"/>
    <w:rsid w:val="00932AFF"/>
    <w:rsid w:val="009330DD"/>
    <w:rsid w:val="009331B4"/>
    <w:rsid w:val="0093339B"/>
    <w:rsid w:val="009333DC"/>
    <w:rsid w:val="009336D0"/>
    <w:rsid w:val="00933762"/>
    <w:rsid w:val="00933821"/>
    <w:rsid w:val="009339AA"/>
    <w:rsid w:val="00933D68"/>
    <w:rsid w:val="00933E7C"/>
    <w:rsid w:val="00933F90"/>
    <w:rsid w:val="00933FE2"/>
    <w:rsid w:val="00933FE9"/>
    <w:rsid w:val="00934123"/>
    <w:rsid w:val="0093430F"/>
    <w:rsid w:val="0093446F"/>
    <w:rsid w:val="00934745"/>
    <w:rsid w:val="00934856"/>
    <w:rsid w:val="00934875"/>
    <w:rsid w:val="009349A5"/>
    <w:rsid w:val="00934B0B"/>
    <w:rsid w:val="00934D51"/>
    <w:rsid w:val="00934D6F"/>
    <w:rsid w:val="00934DBA"/>
    <w:rsid w:val="00934E71"/>
    <w:rsid w:val="00934ECC"/>
    <w:rsid w:val="00935170"/>
    <w:rsid w:val="00935271"/>
    <w:rsid w:val="00935358"/>
    <w:rsid w:val="0093539D"/>
    <w:rsid w:val="00935535"/>
    <w:rsid w:val="00935611"/>
    <w:rsid w:val="00935FD9"/>
    <w:rsid w:val="00936211"/>
    <w:rsid w:val="009367A6"/>
    <w:rsid w:val="00936843"/>
    <w:rsid w:val="00936862"/>
    <w:rsid w:val="00936AC5"/>
    <w:rsid w:val="00936D3B"/>
    <w:rsid w:val="00936DB2"/>
    <w:rsid w:val="009373AE"/>
    <w:rsid w:val="009373D5"/>
    <w:rsid w:val="00937522"/>
    <w:rsid w:val="00937542"/>
    <w:rsid w:val="00937552"/>
    <w:rsid w:val="009379EC"/>
    <w:rsid w:val="00937A2A"/>
    <w:rsid w:val="00937A99"/>
    <w:rsid w:val="00937B9F"/>
    <w:rsid w:val="00937E63"/>
    <w:rsid w:val="009400CE"/>
    <w:rsid w:val="00940179"/>
    <w:rsid w:val="0094030A"/>
    <w:rsid w:val="00940396"/>
    <w:rsid w:val="0094048F"/>
    <w:rsid w:val="009404D4"/>
    <w:rsid w:val="00940550"/>
    <w:rsid w:val="0094075A"/>
    <w:rsid w:val="0094080E"/>
    <w:rsid w:val="00940B21"/>
    <w:rsid w:val="00940CE1"/>
    <w:rsid w:val="00940D49"/>
    <w:rsid w:val="00941087"/>
    <w:rsid w:val="009410DB"/>
    <w:rsid w:val="00941136"/>
    <w:rsid w:val="0094119F"/>
    <w:rsid w:val="00941224"/>
    <w:rsid w:val="0094146A"/>
    <w:rsid w:val="009415B6"/>
    <w:rsid w:val="009415F1"/>
    <w:rsid w:val="009416C0"/>
    <w:rsid w:val="00941C5C"/>
    <w:rsid w:val="00941FAD"/>
    <w:rsid w:val="009421DC"/>
    <w:rsid w:val="0094222C"/>
    <w:rsid w:val="00942241"/>
    <w:rsid w:val="0094224E"/>
    <w:rsid w:val="009423AD"/>
    <w:rsid w:val="00942509"/>
    <w:rsid w:val="00942579"/>
    <w:rsid w:val="009425EA"/>
    <w:rsid w:val="009426E2"/>
    <w:rsid w:val="00942AD2"/>
    <w:rsid w:val="00942C9C"/>
    <w:rsid w:val="00942CBC"/>
    <w:rsid w:val="00942E91"/>
    <w:rsid w:val="00942FC9"/>
    <w:rsid w:val="0094312A"/>
    <w:rsid w:val="00943532"/>
    <w:rsid w:val="00943591"/>
    <w:rsid w:val="00943702"/>
    <w:rsid w:val="00943761"/>
    <w:rsid w:val="0094390C"/>
    <w:rsid w:val="00943924"/>
    <w:rsid w:val="00943C49"/>
    <w:rsid w:val="00943DE8"/>
    <w:rsid w:val="00943E7F"/>
    <w:rsid w:val="00943EFA"/>
    <w:rsid w:val="00944009"/>
    <w:rsid w:val="0094409D"/>
    <w:rsid w:val="0094418B"/>
    <w:rsid w:val="00944279"/>
    <w:rsid w:val="0094441C"/>
    <w:rsid w:val="00944456"/>
    <w:rsid w:val="0094471B"/>
    <w:rsid w:val="0094487B"/>
    <w:rsid w:val="0094489F"/>
    <w:rsid w:val="00944D34"/>
    <w:rsid w:val="00944E10"/>
    <w:rsid w:val="00944F28"/>
    <w:rsid w:val="00944FB0"/>
    <w:rsid w:val="009453FF"/>
    <w:rsid w:val="00945401"/>
    <w:rsid w:val="00945433"/>
    <w:rsid w:val="00945834"/>
    <w:rsid w:val="009459B5"/>
    <w:rsid w:val="00945ADB"/>
    <w:rsid w:val="00945CD1"/>
    <w:rsid w:val="00945CF2"/>
    <w:rsid w:val="009462D4"/>
    <w:rsid w:val="009462F4"/>
    <w:rsid w:val="00946598"/>
    <w:rsid w:val="0094662A"/>
    <w:rsid w:val="0094675F"/>
    <w:rsid w:val="00946822"/>
    <w:rsid w:val="00946B22"/>
    <w:rsid w:val="00946D17"/>
    <w:rsid w:val="00946D6A"/>
    <w:rsid w:val="00946E57"/>
    <w:rsid w:val="00947114"/>
    <w:rsid w:val="0094715C"/>
    <w:rsid w:val="009473CE"/>
    <w:rsid w:val="00947585"/>
    <w:rsid w:val="009475E8"/>
    <w:rsid w:val="009476DB"/>
    <w:rsid w:val="00947805"/>
    <w:rsid w:val="009479C1"/>
    <w:rsid w:val="009479CC"/>
    <w:rsid w:val="00947A44"/>
    <w:rsid w:val="00947B97"/>
    <w:rsid w:val="00947D83"/>
    <w:rsid w:val="00947DE1"/>
    <w:rsid w:val="00947F55"/>
    <w:rsid w:val="0095012F"/>
    <w:rsid w:val="009502F5"/>
    <w:rsid w:val="009503F2"/>
    <w:rsid w:val="00950449"/>
    <w:rsid w:val="009504E7"/>
    <w:rsid w:val="009505A3"/>
    <w:rsid w:val="00950D9A"/>
    <w:rsid w:val="00950EE1"/>
    <w:rsid w:val="00951070"/>
    <w:rsid w:val="009511F4"/>
    <w:rsid w:val="0095148F"/>
    <w:rsid w:val="009516F1"/>
    <w:rsid w:val="0095170A"/>
    <w:rsid w:val="00951777"/>
    <w:rsid w:val="0095184E"/>
    <w:rsid w:val="0095194A"/>
    <w:rsid w:val="00951A6C"/>
    <w:rsid w:val="00951C83"/>
    <w:rsid w:val="00951F22"/>
    <w:rsid w:val="009523E9"/>
    <w:rsid w:val="00952440"/>
    <w:rsid w:val="009524E5"/>
    <w:rsid w:val="009526C9"/>
    <w:rsid w:val="00952941"/>
    <w:rsid w:val="0095299D"/>
    <w:rsid w:val="00952CFE"/>
    <w:rsid w:val="00952E30"/>
    <w:rsid w:val="00952FDD"/>
    <w:rsid w:val="0095309F"/>
    <w:rsid w:val="00953B26"/>
    <w:rsid w:val="00953FC8"/>
    <w:rsid w:val="009540D1"/>
    <w:rsid w:val="009541E0"/>
    <w:rsid w:val="00954373"/>
    <w:rsid w:val="009544F5"/>
    <w:rsid w:val="00954537"/>
    <w:rsid w:val="00954783"/>
    <w:rsid w:val="009548A2"/>
    <w:rsid w:val="009549E3"/>
    <w:rsid w:val="0095515C"/>
    <w:rsid w:val="00955588"/>
    <w:rsid w:val="00955768"/>
    <w:rsid w:val="00955B06"/>
    <w:rsid w:val="00955DA0"/>
    <w:rsid w:val="00955E3F"/>
    <w:rsid w:val="00955E7D"/>
    <w:rsid w:val="00956179"/>
    <w:rsid w:val="009561A2"/>
    <w:rsid w:val="009561A5"/>
    <w:rsid w:val="009562D7"/>
    <w:rsid w:val="00956369"/>
    <w:rsid w:val="00956560"/>
    <w:rsid w:val="009565CE"/>
    <w:rsid w:val="00956702"/>
    <w:rsid w:val="00956929"/>
    <w:rsid w:val="009569E4"/>
    <w:rsid w:val="00956CD7"/>
    <w:rsid w:val="00956D7A"/>
    <w:rsid w:val="00956FEC"/>
    <w:rsid w:val="00957263"/>
    <w:rsid w:val="0095748E"/>
    <w:rsid w:val="0095749D"/>
    <w:rsid w:val="009574D1"/>
    <w:rsid w:val="00957B67"/>
    <w:rsid w:val="00957BA5"/>
    <w:rsid w:val="00957C8D"/>
    <w:rsid w:val="00957D68"/>
    <w:rsid w:val="00957DE1"/>
    <w:rsid w:val="00957F5B"/>
    <w:rsid w:val="00957FE5"/>
    <w:rsid w:val="009601E7"/>
    <w:rsid w:val="0096027F"/>
    <w:rsid w:val="009602D8"/>
    <w:rsid w:val="0096073E"/>
    <w:rsid w:val="00960975"/>
    <w:rsid w:val="00960ABE"/>
    <w:rsid w:val="00960C90"/>
    <w:rsid w:val="0096102D"/>
    <w:rsid w:val="00961298"/>
    <w:rsid w:val="009612B7"/>
    <w:rsid w:val="00961371"/>
    <w:rsid w:val="0096143D"/>
    <w:rsid w:val="0096169E"/>
    <w:rsid w:val="009619F0"/>
    <w:rsid w:val="00961B4B"/>
    <w:rsid w:val="00961CBE"/>
    <w:rsid w:val="00961D61"/>
    <w:rsid w:val="00961DDD"/>
    <w:rsid w:val="00961ED7"/>
    <w:rsid w:val="00961F22"/>
    <w:rsid w:val="00961F85"/>
    <w:rsid w:val="00962006"/>
    <w:rsid w:val="009620EC"/>
    <w:rsid w:val="00962283"/>
    <w:rsid w:val="009622DA"/>
    <w:rsid w:val="009623BD"/>
    <w:rsid w:val="00962423"/>
    <w:rsid w:val="00962531"/>
    <w:rsid w:val="009626CA"/>
    <w:rsid w:val="00962790"/>
    <w:rsid w:val="00962A32"/>
    <w:rsid w:val="00962B6A"/>
    <w:rsid w:val="00962C06"/>
    <w:rsid w:val="00962C4A"/>
    <w:rsid w:val="00962C61"/>
    <w:rsid w:val="00962D81"/>
    <w:rsid w:val="009630D2"/>
    <w:rsid w:val="0096323D"/>
    <w:rsid w:val="00963435"/>
    <w:rsid w:val="0096358B"/>
    <w:rsid w:val="00963809"/>
    <w:rsid w:val="00963946"/>
    <w:rsid w:val="00963B6A"/>
    <w:rsid w:val="00963D45"/>
    <w:rsid w:val="00963FAF"/>
    <w:rsid w:val="009643A9"/>
    <w:rsid w:val="00964440"/>
    <w:rsid w:val="00964466"/>
    <w:rsid w:val="00964A90"/>
    <w:rsid w:val="00964BB2"/>
    <w:rsid w:val="00964F49"/>
    <w:rsid w:val="009650A5"/>
    <w:rsid w:val="009650E7"/>
    <w:rsid w:val="0096549F"/>
    <w:rsid w:val="009655EF"/>
    <w:rsid w:val="009657DE"/>
    <w:rsid w:val="009657DF"/>
    <w:rsid w:val="0096588B"/>
    <w:rsid w:val="00965AF9"/>
    <w:rsid w:val="00965C37"/>
    <w:rsid w:val="00965C58"/>
    <w:rsid w:val="00965CD5"/>
    <w:rsid w:val="00965CE0"/>
    <w:rsid w:val="00965CFC"/>
    <w:rsid w:val="00966132"/>
    <w:rsid w:val="009664BC"/>
    <w:rsid w:val="0096663B"/>
    <w:rsid w:val="009667B7"/>
    <w:rsid w:val="0096694E"/>
    <w:rsid w:val="00966956"/>
    <w:rsid w:val="00966969"/>
    <w:rsid w:val="00966A1F"/>
    <w:rsid w:val="00966ACA"/>
    <w:rsid w:val="00966D76"/>
    <w:rsid w:val="00966F11"/>
    <w:rsid w:val="0096721B"/>
    <w:rsid w:val="00967310"/>
    <w:rsid w:val="00967349"/>
    <w:rsid w:val="00967597"/>
    <w:rsid w:val="009675B3"/>
    <w:rsid w:val="00967783"/>
    <w:rsid w:val="00967D82"/>
    <w:rsid w:val="00967ECD"/>
    <w:rsid w:val="009700AD"/>
    <w:rsid w:val="009701B0"/>
    <w:rsid w:val="009704F6"/>
    <w:rsid w:val="00970684"/>
    <w:rsid w:val="00970767"/>
    <w:rsid w:val="009707F4"/>
    <w:rsid w:val="00970927"/>
    <w:rsid w:val="00970C0E"/>
    <w:rsid w:val="00970C8A"/>
    <w:rsid w:val="00970F3A"/>
    <w:rsid w:val="00970F6E"/>
    <w:rsid w:val="0097123B"/>
    <w:rsid w:val="009712C0"/>
    <w:rsid w:val="0097173A"/>
    <w:rsid w:val="00971851"/>
    <w:rsid w:val="009718D3"/>
    <w:rsid w:val="009719D3"/>
    <w:rsid w:val="009719D6"/>
    <w:rsid w:val="00971D62"/>
    <w:rsid w:val="00971D9C"/>
    <w:rsid w:val="00971EBA"/>
    <w:rsid w:val="0097223D"/>
    <w:rsid w:val="00972281"/>
    <w:rsid w:val="009726C4"/>
    <w:rsid w:val="00972786"/>
    <w:rsid w:val="00972867"/>
    <w:rsid w:val="00972A39"/>
    <w:rsid w:val="00972D38"/>
    <w:rsid w:val="00972E11"/>
    <w:rsid w:val="00972F15"/>
    <w:rsid w:val="00973037"/>
    <w:rsid w:val="00973203"/>
    <w:rsid w:val="00973344"/>
    <w:rsid w:val="00973692"/>
    <w:rsid w:val="009736F5"/>
    <w:rsid w:val="009737E3"/>
    <w:rsid w:val="00973C70"/>
    <w:rsid w:val="00973EB6"/>
    <w:rsid w:val="009741A6"/>
    <w:rsid w:val="00974292"/>
    <w:rsid w:val="009742C9"/>
    <w:rsid w:val="00974388"/>
    <w:rsid w:val="00974573"/>
    <w:rsid w:val="009745F8"/>
    <w:rsid w:val="00974688"/>
    <w:rsid w:val="009749B2"/>
    <w:rsid w:val="00974A08"/>
    <w:rsid w:val="00974A78"/>
    <w:rsid w:val="00974D38"/>
    <w:rsid w:val="0097502B"/>
    <w:rsid w:val="0097516D"/>
    <w:rsid w:val="009754FE"/>
    <w:rsid w:val="00975A11"/>
    <w:rsid w:val="00975A39"/>
    <w:rsid w:val="00975AE7"/>
    <w:rsid w:val="00975B28"/>
    <w:rsid w:val="00975D38"/>
    <w:rsid w:val="00975D40"/>
    <w:rsid w:val="00975E1D"/>
    <w:rsid w:val="00975E1F"/>
    <w:rsid w:val="00975E50"/>
    <w:rsid w:val="00975ED5"/>
    <w:rsid w:val="0097691B"/>
    <w:rsid w:val="00976980"/>
    <w:rsid w:val="00976E33"/>
    <w:rsid w:val="0097707F"/>
    <w:rsid w:val="009771B5"/>
    <w:rsid w:val="00977325"/>
    <w:rsid w:val="00977373"/>
    <w:rsid w:val="00977463"/>
    <w:rsid w:val="009777F8"/>
    <w:rsid w:val="00977F8E"/>
    <w:rsid w:val="00977FB2"/>
    <w:rsid w:val="00980217"/>
    <w:rsid w:val="00980329"/>
    <w:rsid w:val="0098040D"/>
    <w:rsid w:val="0098077A"/>
    <w:rsid w:val="0098099E"/>
    <w:rsid w:val="00980BBD"/>
    <w:rsid w:val="00980C12"/>
    <w:rsid w:val="00980CA3"/>
    <w:rsid w:val="00980DA5"/>
    <w:rsid w:val="00980DC2"/>
    <w:rsid w:val="00980FEF"/>
    <w:rsid w:val="009810C9"/>
    <w:rsid w:val="0098124C"/>
    <w:rsid w:val="009814E4"/>
    <w:rsid w:val="00981CB2"/>
    <w:rsid w:val="00981E64"/>
    <w:rsid w:val="00981FF6"/>
    <w:rsid w:val="0098205B"/>
    <w:rsid w:val="0098205E"/>
    <w:rsid w:val="00982099"/>
    <w:rsid w:val="009821DC"/>
    <w:rsid w:val="009821F5"/>
    <w:rsid w:val="009823F6"/>
    <w:rsid w:val="00982531"/>
    <w:rsid w:val="0098273F"/>
    <w:rsid w:val="009829E8"/>
    <w:rsid w:val="00982A61"/>
    <w:rsid w:val="00982B98"/>
    <w:rsid w:val="00982C6C"/>
    <w:rsid w:val="00982C99"/>
    <w:rsid w:val="00982CFA"/>
    <w:rsid w:val="00982EB5"/>
    <w:rsid w:val="00983136"/>
    <w:rsid w:val="00983302"/>
    <w:rsid w:val="0098356C"/>
    <w:rsid w:val="00983869"/>
    <w:rsid w:val="009838FA"/>
    <w:rsid w:val="00983C65"/>
    <w:rsid w:val="00983D17"/>
    <w:rsid w:val="00983DDA"/>
    <w:rsid w:val="009840F9"/>
    <w:rsid w:val="009840FA"/>
    <w:rsid w:val="00984104"/>
    <w:rsid w:val="009843F5"/>
    <w:rsid w:val="009844E2"/>
    <w:rsid w:val="00984712"/>
    <w:rsid w:val="0098472C"/>
    <w:rsid w:val="00984973"/>
    <w:rsid w:val="00984983"/>
    <w:rsid w:val="00984CE3"/>
    <w:rsid w:val="00984D0D"/>
    <w:rsid w:val="00984FCC"/>
    <w:rsid w:val="0098505B"/>
    <w:rsid w:val="009850C1"/>
    <w:rsid w:val="0098511F"/>
    <w:rsid w:val="00985442"/>
    <w:rsid w:val="00985492"/>
    <w:rsid w:val="00985499"/>
    <w:rsid w:val="00985587"/>
    <w:rsid w:val="00985655"/>
    <w:rsid w:val="00985682"/>
    <w:rsid w:val="009858D9"/>
    <w:rsid w:val="00985AA4"/>
    <w:rsid w:val="00985B43"/>
    <w:rsid w:val="00985C97"/>
    <w:rsid w:val="00985D2D"/>
    <w:rsid w:val="00986049"/>
    <w:rsid w:val="009860A9"/>
    <w:rsid w:val="009861B1"/>
    <w:rsid w:val="00986805"/>
    <w:rsid w:val="00986954"/>
    <w:rsid w:val="00986A91"/>
    <w:rsid w:val="00986B48"/>
    <w:rsid w:val="00986B74"/>
    <w:rsid w:val="00986C2E"/>
    <w:rsid w:val="00986F1B"/>
    <w:rsid w:val="00987278"/>
    <w:rsid w:val="009876DF"/>
    <w:rsid w:val="0098785F"/>
    <w:rsid w:val="009879D9"/>
    <w:rsid w:val="00987A6B"/>
    <w:rsid w:val="00987AA5"/>
    <w:rsid w:val="00987B60"/>
    <w:rsid w:val="00987D34"/>
    <w:rsid w:val="00987DEF"/>
    <w:rsid w:val="009900F2"/>
    <w:rsid w:val="009900FC"/>
    <w:rsid w:val="009902AB"/>
    <w:rsid w:val="009904AE"/>
    <w:rsid w:val="00990686"/>
    <w:rsid w:val="0099083D"/>
    <w:rsid w:val="00990BA7"/>
    <w:rsid w:val="00990C1E"/>
    <w:rsid w:val="00990D34"/>
    <w:rsid w:val="00990DB5"/>
    <w:rsid w:val="00990EB5"/>
    <w:rsid w:val="00990EF8"/>
    <w:rsid w:val="00990EFB"/>
    <w:rsid w:val="009911BB"/>
    <w:rsid w:val="00991432"/>
    <w:rsid w:val="009914A1"/>
    <w:rsid w:val="00991539"/>
    <w:rsid w:val="009916A1"/>
    <w:rsid w:val="0099189E"/>
    <w:rsid w:val="00991981"/>
    <w:rsid w:val="00991DBC"/>
    <w:rsid w:val="00991EC5"/>
    <w:rsid w:val="00991EEE"/>
    <w:rsid w:val="0099260C"/>
    <w:rsid w:val="0099288C"/>
    <w:rsid w:val="00992989"/>
    <w:rsid w:val="009929F4"/>
    <w:rsid w:val="00992A34"/>
    <w:rsid w:val="00992AEE"/>
    <w:rsid w:val="00992F56"/>
    <w:rsid w:val="009930D4"/>
    <w:rsid w:val="0099335A"/>
    <w:rsid w:val="00993393"/>
    <w:rsid w:val="00993947"/>
    <w:rsid w:val="00993A10"/>
    <w:rsid w:val="00993CC1"/>
    <w:rsid w:val="00993F6D"/>
    <w:rsid w:val="00994000"/>
    <w:rsid w:val="0099419C"/>
    <w:rsid w:val="00994243"/>
    <w:rsid w:val="0099427B"/>
    <w:rsid w:val="009946B5"/>
    <w:rsid w:val="009946E7"/>
    <w:rsid w:val="009948D7"/>
    <w:rsid w:val="00994CF2"/>
    <w:rsid w:val="00994D57"/>
    <w:rsid w:val="00994D97"/>
    <w:rsid w:val="00994E68"/>
    <w:rsid w:val="00994E90"/>
    <w:rsid w:val="00995125"/>
    <w:rsid w:val="0099542B"/>
    <w:rsid w:val="0099548B"/>
    <w:rsid w:val="009955E8"/>
    <w:rsid w:val="00995B60"/>
    <w:rsid w:val="00995C47"/>
    <w:rsid w:val="00995CEF"/>
    <w:rsid w:val="00995E91"/>
    <w:rsid w:val="00995F1D"/>
    <w:rsid w:val="00995F33"/>
    <w:rsid w:val="00995FA8"/>
    <w:rsid w:val="00996392"/>
    <w:rsid w:val="009966EB"/>
    <w:rsid w:val="00996728"/>
    <w:rsid w:val="009967B0"/>
    <w:rsid w:val="00996999"/>
    <w:rsid w:val="00996B4A"/>
    <w:rsid w:val="00996BB6"/>
    <w:rsid w:val="00996CEB"/>
    <w:rsid w:val="00996DAA"/>
    <w:rsid w:val="00996E61"/>
    <w:rsid w:val="00996FF4"/>
    <w:rsid w:val="009970C7"/>
    <w:rsid w:val="00997289"/>
    <w:rsid w:val="0099761A"/>
    <w:rsid w:val="009977EB"/>
    <w:rsid w:val="00997848"/>
    <w:rsid w:val="00997909"/>
    <w:rsid w:val="009979CD"/>
    <w:rsid w:val="009979DE"/>
    <w:rsid w:val="00997A58"/>
    <w:rsid w:val="00997B16"/>
    <w:rsid w:val="00997B43"/>
    <w:rsid w:val="00997B6D"/>
    <w:rsid w:val="00997E2C"/>
    <w:rsid w:val="00997EDC"/>
    <w:rsid w:val="00997FF6"/>
    <w:rsid w:val="009A01AE"/>
    <w:rsid w:val="009A01B3"/>
    <w:rsid w:val="009A02E6"/>
    <w:rsid w:val="009A05F8"/>
    <w:rsid w:val="009A0977"/>
    <w:rsid w:val="009A09E7"/>
    <w:rsid w:val="009A0B66"/>
    <w:rsid w:val="009A0B91"/>
    <w:rsid w:val="009A0BCC"/>
    <w:rsid w:val="009A0CCB"/>
    <w:rsid w:val="009A0CD8"/>
    <w:rsid w:val="009A0E17"/>
    <w:rsid w:val="009A1154"/>
    <w:rsid w:val="009A116A"/>
    <w:rsid w:val="009A11B4"/>
    <w:rsid w:val="009A12E5"/>
    <w:rsid w:val="009A1386"/>
    <w:rsid w:val="009A1732"/>
    <w:rsid w:val="009A1B10"/>
    <w:rsid w:val="009A1B2D"/>
    <w:rsid w:val="009A1DB4"/>
    <w:rsid w:val="009A1E78"/>
    <w:rsid w:val="009A1EA4"/>
    <w:rsid w:val="009A1F92"/>
    <w:rsid w:val="009A201A"/>
    <w:rsid w:val="009A20CE"/>
    <w:rsid w:val="009A2392"/>
    <w:rsid w:val="009A24A8"/>
    <w:rsid w:val="009A25B4"/>
    <w:rsid w:val="009A2604"/>
    <w:rsid w:val="009A27DE"/>
    <w:rsid w:val="009A27E8"/>
    <w:rsid w:val="009A2838"/>
    <w:rsid w:val="009A28EA"/>
    <w:rsid w:val="009A2A26"/>
    <w:rsid w:val="009A2A33"/>
    <w:rsid w:val="009A2AC4"/>
    <w:rsid w:val="009A2B41"/>
    <w:rsid w:val="009A2BEC"/>
    <w:rsid w:val="009A2D19"/>
    <w:rsid w:val="009A2D38"/>
    <w:rsid w:val="009A2E0C"/>
    <w:rsid w:val="009A2F76"/>
    <w:rsid w:val="009A3288"/>
    <w:rsid w:val="009A32BA"/>
    <w:rsid w:val="009A34FB"/>
    <w:rsid w:val="009A358E"/>
    <w:rsid w:val="009A35D5"/>
    <w:rsid w:val="009A3884"/>
    <w:rsid w:val="009A3963"/>
    <w:rsid w:val="009A3A9A"/>
    <w:rsid w:val="009A3AFB"/>
    <w:rsid w:val="009A3C97"/>
    <w:rsid w:val="009A3D2F"/>
    <w:rsid w:val="009A3DB2"/>
    <w:rsid w:val="009A3EF5"/>
    <w:rsid w:val="009A3F93"/>
    <w:rsid w:val="009A40E3"/>
    <w:rsid w:val="009A4192"/>
    <w:rsid w:val="009A45E3"/>
    <w:rsid w:val="009A4765"/>
    <w:rsid w:val="009A47D8"/>
    <w:rsid w:val="009A4881"/>
    <w:rsid w:val="009A4ADE"/>
    <w:rsid w:val="009A52F1"/>
    <w:rsid w:val="009A540C"/>
    <w:rsid w:val="009A5611"/>
    <w:rsid w:val="009A5685"/>
    <w:rsid w:val="009A56AD"/>
    <w:rsid w:val="009A576D"/>
    <w:rsid w:val="009A576E"/>
    <w:rsid w:val="009A58EA"/>
    <w:rsid w:val="009A5901"/>
    <w:rsid w:val="009A595D"/>
    <w:rsid w:val="009A5A0A"/>
    <w:rsid w:val="009A5A93"/>
    <w:rsid w:val="009A5A9A"/>
    <w:rsid w:val="009A5BFF"/>
    <w:rsid w:val="009A5D8B"/>
    <w:rsid w:val="009A6023"/>
    <w:rsid w:val="009A618D"/>
    <w:rsid w:val="009A62F0"/>
    <w:rsid w:val="009A65AA"/>
    <w:rsid w:val="009A65B1"/>
    <w:rsid w:val="009A66F2"/>
    <w:rsid w:val="009A684A"/>
    <w:rsid w:val="009A6852"/>
    <w:rsid w:val="009A68D3"/>
    <w:rsid w:val="009A695A"/>
    <w:rsid w:val="009A6A4B"/>
    <w:rsid w:val="009A6A7B"/>
    <w:rsid w:val="009A6C76"/>
    <w:rsid w:val="009A6CD5"/>
    <w:rsid w:val="009A6E04"/>
    <w:rsid w:val="009A7170"/>
    <w:rsid w:val="009A71D4"/>
    <w:rsid w:val="009A7522"/>
    <w:rsid w:val="009A7628"/>
    <w:rsid w:val="009A780B"/>
    <w:rsid w:val="009A781E"/>
    <w:rsid w:val="009A785E"/>
    <w:rsid w:val="009A7E10"/>
    <w:rsid w:val="009A7F08"/>
    <w:rsid w:val="009B00AB"/>
    <w:rsid w:val="009B054C"/>
    <w:rsid w:val="009B055C"/>
    <w:rsid w:val="009B05A8"/>
    <w:rsid w:val="009B09A9"/>
    <w:rsid w:val="009B0AE6"/>
    <w:rsid w:val="009B0D0A"/>
    <w:rsid w:val="009B103C"/>
    <w:rsid w:val="009B128B"/>
    <w:rsid w:val="009B13C3"/>
    <w:rsid w:val="009B1776"/>
    <w:rsid w:val="009B1851"/>
    <w:rsid w:val="009B19D5"/>
    <w:rsid w:val="009B1C2E"/>
    <w:rsid w:val="009B1E8E"/>
    <w:rsid w:val="009B1F7D"/>
    <w:rsid w:val="009B1F87"/>
    <w:rsid w:val="009B20F2"/>
    <w:rsid w:val="009B2158"/>
    <w:rsid w:val="009B23F1"/>
    <w:rsid w:val="009B242E"/>
    <w:rsid w:val="009B24A7"/>
    <w:rsid w:val="009B25CE"/>
    <w:rsid w:val="009B2714"/>
    <w:rsid w:val="009B2808"/>
    <w:rsid w:val="009B2830"/>
    <w:rsid w:val="009B294B"/>
    <w:rsid w:val="009B29DC"/>
    <w:rsid w:val="009B2A4D"/>
    <w:rsid w:val="009B2AEE"/>
    <w:rsid w:val="009B2B61"/>
    <w:rsid w:val="009B358A"/>
    <w:rsid w:val="009B36BC"/>
    <w:rsid w:val="009B3710"/>
    <w:rsid w:val="009B3857"/>
    <w:rsid w:val="009B3C27"/>
    <w:rsid w:val="009B3D26"/>
    <w:rsid w:val="009B3D9C"/>
    <w:rsid w:val="009B3F53"/>
    <w:rsid w:val="009B401F"/>
    <w:rsid w:val="009B4273"/>
    <w:rsid w:val="009B432D"/>
    <w:rsid w:val="009B43AF"/>
    <w:rsid w:val="009B43EE"/>
    <w:rsid w:val="009B445F"/>
    <w:rsid w:val="009B447B"/>
    <w:rsid w:val="009B4488"/>
    <w:rsid w:val="009B4539"/>
    <w:rsid w:val="009B45D8"/>
    <w:rsid w:val="009B469C"/>
    <w:rsid w:val="009B474A"/>
    <w:rsid w:val="009B4881"/>
    <w:rsid w:val="009B48AB"/>
    <w:rsid w:val="009B494E"/>
    <w:rsid w:val="009B499E"/>
    <w:rsid w:val="009B4A51"/>
    <w:rsid w:val="009B4B11"/>
    <w:rsid w:val="009B4C13"/>
    <w:rsid w:val="009B4C71"/>
    <w:rsid w:val="009B4D47"/>
    <w:rsid w:val="009B4E7A"/>
    <w:rsid w:val="009B559B"/>
    <w:rsid w:val="009B5E2F"/>
    <w:rsid w:val="009B5E8A"/>
    <w:rsid w:val="009B6100"/>
    <w:rsid w:val="009B641D"/>
    <w:rsid w:val="009B64B7"/>
    <w:rsid w:val="009B6501"/>
    <w:rsid w:val="009B66D7"/>
    <w:rsid w:val="009B66ED"/>
    <w:rsid w:val="009B6AA2"/>
    <w:rsid w:val="009B6AE3"/>
    <w:rsid w:val="009B6B43"/>
    <w:rsid w:val="009B6BCC"/>
    <w:rsid w:val="009B6C53"/>
    <w:rsid w:val="009B6DBF"/>
    <w:rsid w:val="009B7061"/>
    <w:rsid w:val="009B70DF"/>
    <w:rsid w:val="009B7201"/>
    <w:rsid w:val="009B73B4"/>
    <w:rsid w:val="009B74BE"/>
    <w:rsid w:val="009B7523"/>
    <w:rsid w:val="009B75DB"/>
    <w:rsid w:val="009B7614"/>
    <w:rsid w:val="009B76A8"/>
    <w:rsid w:val="009B76E8"/>
    <w:rsid w:val="009B791E"/>
    <w:rsid w:val="009B7959"/>
    <w:rsid w:val="009B79AD"/>
    <w:rsid w:val="009B7C82"/>
    <w:rsid w:val="009B7CBF"/>
    <w:rsid w:val="009B7F38"/>
    <w:rsid w:val="009C01FA"/>
    <w:rsid w:val="009C0390"/>
    <w:rsid w:val="009C047D"/>
    <w:rsid w:val="009C04E0"/>
    <w:rsid w:val="009C0642"/>
    <w:rsid w:val="009C0850"/>
    <w:rsid w:val="009C0A67"/>
    <w:rsid w:val="009C0D01"/>
    <w:rsid w:val="009C0DEC"/>
    <w:rsid w:val="009C1350"/>
    <w:rsid w:val="009C1B71"/>
    <w:rsid w:val="009C1C04"/>
    <w:rsid w:val="009C1D2B"/>
    <w:rsid w:val="009C1FB9"/>
    <w:rsid w:val="009C20C7"/>
    <w:rsid w:val="009C2314"/>
    <w:rsid w:val="009C2319"/>
    <w:rsid w:val="009C26F6"/>
    <w:rsid w:val="009C2832"/>
    <w:rsid w:val="009C2A03"/>
    <w:rsid w:val="009C2B49"/>
    <w:rsid w:val="009C2BF1"/>
    <w:rsid w:val="009C2BF3"/>
    <w:rsid w:val="009C2D3D"/>
    <w:rsid w:val="009C3114"/>
    <w:rsid w:val="009C3279"/>
    <w:rsid w:val="009C3341"/>
    <w:rsid w:val="009C33BE"/>
    <w:rsid w:val="009C33DF"/>
    <w:rsid w:val="009C34A2"/>
    <w:rsid w:val="009C3612"/>
    <w:rsid w:val="009C3771"/>
    <w:rsid w:val="009C3A16"/>
    <w:rsid w:val="009C3AC6"/>
    <w:rsid w:val="009C3BEE"/>
    <w:rsid w:val="009C3D1F"/>
    <w:rsid w:val="009C4081"/>
    <w:rsid w:val="009C4139"/>
    <w:rsid w:val="009C4156"/>
    <w:rsid w:val="009C47C8"/>
    <w:rsid w:val="009C49A7"/>
    <w:rsid w:val="009C49AD"/>
    <w:rsid w:val="009C4A08"/>
    <w:rsid w:val="009C4A40"/>
    <w:rsid w:val="009C4A4F"/>
    <w:rsid w:val="009C4C8B"/>
    <w:rsid w:val="009C4C98"/>
    <w:rsid w:val="009C4E3F"/>
    <w:rsid w:val="009C4E71"/>
    <w:rsid w:val="009C4ED2"/>
    <w:rsid w:val="009C5227"/>
    <w:rsid w:val="009C56D2"/>
    <w:rsid w:val="009C5753"/>
    <w:rsid w:val="009C578D"/>
    <w:rsid w:val="009C58D8"/>
    <w:rsid w:val="009C5943"/>
    <w:rsid w:val="009C5AB8"/>
    <w:rsid w:val="009C5AC0"/>
    <w:rsid w:val="009C5C09"/>
    <w:rsid w:val="009C5C29"/>
    <w:rsid w:val="009C5FA4"/>
    <w:rsid w:val="009C632D"/>
    <w:rsid w:val="009C6422"/>
    <w:rsid w:val="009C6449"/>
    <w:rsid w:val="009C6997"/>
    <w:rsid w:val="009C6A65"/>
    <w:rsid w:val="009C6F65"/>
    <w:rsid w:val="009C7338"/>
    <w:rsid w:val="009C737B"/>
    <w:rsid w:val="009C741A"/>
    <w:rsid w:val="009C74A2"/>
    <w:rsid w:val="009C761C"/>
    <w:rsid w:val="009C763E"/>
    <w:rsid w:val="009C76A8"/>
    <w:rsid w:val="009C79D2"/>
    <w:rsid w:val="009C7A47"/>
    <w:rsid w:val="009C7AFD"/>
    <w:rsid w:val="009C7B3A"/>
    <w:rsid w:val="009C7C64"/>
    <w:rsid w:val="009C7DEA"/>
    <w:rsid w:val="009C7EB9"/>
    <w:rsid w:val="009D0028"/>
    <w:rsid w:val="009D002D"/>
    <w:rsid w:val="009D0158"/>
    <w:rsid w:val="009D01C7"/>
    <w:rsid w:val="009D02D0"/>
    <w:rsid w:val="009D064F"/>
    <w:rsid w:val="009D093E"/>
    <w:rsid w:val="009D0C14"/>
    <w:rsid w:val="009D0E91"/>
    <w:rsid w:val="009D0EC3"/>
    <w:rsid w:val="009D1026"/>
    <w:rsid w:val="009D1138"/>
    <w:rsid w:val="009D12C1"/>
    <w:rsid w:val="009D1596"/>
    <w:rsid w:val="009D1669"/>
    <w:rsid w:val="009D17FF"/>
    <w:rsid w:val="009D18C3"/>
    <w:rsid w:val="009D1989"/>
    <w:rsid w:val="009D1BAE"/>
    <w:rsid w:val="009D1BCA"/>
    <w:rsid w:val="009D20AD"/>
    <w:rsid w:val="009D2227"/>
    <w:rsid w:val="009D23AA"/>
    <w:rsid w:val="009D247B"/>
    <w:rsid w:val="009D2998"/>
    <w:rsid w:val="009D2A83"/>
    <w:rsid w:val="009D2ADA"/>
    <w:rsid w:val="009D2E37"/>
    <w:rsid w:val="009D2F99"/>
    <w:rsid w:val="009D2FDC"/>
    <w:rsid w:val="009D3077"/>
    <w:rsid w:val="009D309D"/>
    <w:rsid w:val="009D319E"/>
    <w:rsid w:val="009D3262"/>
    <w:rsid w:val="009D3780"/>
    <w:rsid w:val="009D3801"/>
    <w:rsid w:val="009D396A"/>
    <w:rsid w:val="009D3BAA"/>
    <w:rsid w:val="009D3C9A"/>
    <w:rsid w:val="009D3CA7"/>
    <w:rsid w:val="009D3D8C"/>
    <w:rsid w:val="009D3DDD"/>
    <w:rsid w:val="009D3F70"/>
    <w:rsid w:val="009D43D7"/>
    <w:rsid w:val="009D44B7"/>
    <w:rsid w:val="009D46EC"/>
    <w:rsid w:val="009D46EF"/>
    <w:rsid w:val="009D4798"/>
    <w:rsid w:val="009D47C3"/>
    <w:rsid w:val="009D488D"/>
    <w:rsid w:val="009D48E6"/>
    <w:rsid w:val="009D4B6D"/>
    <w:rsid w:val="009D519A"/>
    <w:rsid w:val="009D53B9"/>
    <w:rsid w:val="009D543D"/>
    <w:rsid w:val="009D54AF"/>
    <w:rsid w:val="009D5799"/>
    <w:rsid w:val="009D57D1"/>
    <w:rsid w:val="009D59A6"/>
    <w:rsid w:val="009D59DE"/>
    <w:rsid w:val="009D5A42"/>
    <w:rsid w:val="009D5AB0"/>
    <w:rsid w:val="009D5C15"/>
    <w:rsid w:val="009D5FEA"/>
    <w:rsid w:val="009D60F5"/>
    <w:rsid w:val="009D6145"/>
    <w:rsid w:val="009D6225"/>
    <w:rsid w:val="009D6620"/>
    <w:rsid w:val="009D669D"/>
    <w:rsid w:val="009D673C"/>
    <w:rsid w:val="009D6C5A"/>
    <w:rsid w:val="009D702A"/>
    <w:rsid w:val="009D7143"/>
    <w:rsid w:val="009D732A"/>
    <w:rsid w:val="009D75C9"/>
    <w:rsid w:val="009D7761"/>
    <w:rsid w:val="009D7936"/>
    <w:rsid w:val="009D7B38"/>
    <w:rsid w:val="009D7BE5"/>
    <w:rsid w:val="009E0016"/>
    <w:rsid w:val="009E01B3"/>
    <w:rsid w:val="009E05C6"/>
    <w:rsid w:val="009E0638"/>
    <w:rsid w:val="009E065A"/>
    <w:rsid w:val="009E0662"/>
    <w:rsid w:val="009E093F"/>
    <w:rsid w:val="009E0A12"/>
    <w:rsid w:val="009E1016"/>
    <w:rsid w:val="009E1079"/>
    <w:rsid w:val="009E1365"/>
    <w:rsid w:val="009E13F8"/>
    <w:rsid w:val="009E1420"/>
    <w:rsid w:val="009E1679"/>
    <w:rsid w:val="009E1757"/>
    <w:rsid w:val="009E1B03"/>
    <w:rsid w:val="009E1B50"/>
    <w:rsid w:val="009E1B82"/>
    <w:rsid w:val="009E1E6C"/>
    <w:rsid w:val="009E1EAB"/>
    <w:rsid w:val="009E2329"/>
    <w:rsid w:val="009E2397"/>
    <w:rsid w:val="009E2407"/>
    <w:rsid w:val="009E2B85"/>
    <w:rsid w:val="009E321C"/>
    <w:rsid w:val="009E349C"/>
    <w:rsid w:val="009E34A7"/>
    <w:rsid w:val="009E35C0"/>
    <w:rsid w:val="009E3793"/>
    <w:rsid w:val="009E3886"/>
    <w:rsid w:val="009E39E7"/>
    <w:rsid w:val="009E3AEA"/>
    <w:rsid w:val="009E3DF8"/>
    <w:rsid w:val="009E3F59"/>
    <w:rsid w:val="009E3F87"/>
    <w:rsid w:val="009E3FEB"/>
    <w:rsid w:val="009E4225"/>
    <w:rsid w:val="009E42E9"/>
    <w:rsid w:val="009E43F0"/>
    <w:rsid w:val="009E49CE"/>
    <w:rsid w:val="009E4CA3"/>
    <w:rsid w:val="009E4DCE"/>
    <w:rsid w:val="009E4EDF"/>
    <w:rsid w:val="009E4FFE"/>
    <w:rsid w:val="009E5049"/>
    <w:rsid w:val="009E51B4"/>
    <w:rsid w:val="009E51BA"/>
    <w:rsid w:val="009E536D"/>
    <w:rsid w:val="009E545C"/>
    <w:rsid w:val="009E54AF"/>
    <w:rsid w:val="009E572E"/>
    <w:rsid w:val="009E58C9"/>
    <w:rsid w:val="009E5915"/>
    <w:rsid w:val="009E5C51"/>
    <w:rsid w:val="009E5DBD"/>
    <w:rsid w:val="009E5EC9"/>
    <w:rsid w:val="009E635B"/>
    <w:rsid w:val="009E63F6"/>
    <w:rsid w:val="009E64B6"/>
    <w:rsid w:val="009E6738"/>
    <w:rsid w:val="009E6833"/>
    <w:rsid w:val="009E6A07"/>
    <w:rsid w:val="009E6A7D"/>
    <w:rsid w:val="009E6AF9"/>
    <w:rsid w:val="009E6B6D"/>
    <w:rsid w:val="009E6BF8"/>
    <w:rsid w:val="009E6C7E"/>
    <w:rsid w:val="009E6CB8"/>
    <w:rsid w:val="009E6D63"/>
    <w:rsid w:val="009E6D64"/>
    <w:rsid w:val="009E7002"/>
    <w:rsid w:val="009E714B"/>
    <w:rsid w:val="009E7359"/>
    <w:rsid w:val="009E7689"/>
    <w:rsid w:val="009E7692"/>
    <w:rsid w:val="009E7A48"/>
    <w:rsid w:val="009E7D59"/>
    <w:rsid w:val="009F043B"/>
    <w:rsid w:val="009F0AEC"/>
    <w:rsid w:val="009F0D2F"/>
    <w:rsid w:val="009F0E7A"/>
    <w:rsid w:val="009F0F68"/>
    <w:rsid w:val="009F12E4"/>
    <w:rsid w:val="009F1346"/>
    <w:rsid w:val="009F153B"/>
    <w:rsid w:val="009F1933"/>
    <w:rsid w:val="009F1984"/>
    <w:rsid w:val="009F1A83"/>
    <w:rsid w:val="009F1ABF"/>
    <w:rsid w:val="009F1DD1"/>
    <w:rsid w:val="009F2088"/>
    <w:rsid w:val="009F22DA"/>
    <w:rsid w:val="009F250C"/>
    <w:rsid w:val="009F2646"/>
    <w:rsid w:val="009F2716"/>
    <w:rsid w:val="009F277E"/>
    <w:rsid w:val="009F2B32"/>
    <w:rsid w:val="009F2BF7"/>
    <w:rsid w:val="009F2DA1"/>
    <w:rsid w:val="009F2DFE"/>
    <w:rsid w:val="009F2EFD"/>
    <w:rsid w:val="009F3029"/>
    <w:rsid w:val="009F34BB"/>
    <w:rsid w:val="009F3686"/>
    <w:rsid w:val="009F37B5"/>
    <w:rsid w:val="009F38A7"/>
    <w:rsid w:val="009F3B71"/>
    <w:rsid w:val="009F3BD8"/>
    <w:rsid w:val="009F3C28"/>
    <w:rsid w:val="009F3E2E"/>
    <w:rsid w:val="009F4172"/>
    <w:rsid w:val="009F41E5"/>
    <w:rsid w:val="009F45B7"/>
    <w:rsid w:val="009F463E"/>
    <w:rsid w:val="009F4660"/>
    <w:rsid w:val="009F4662"/>
    <w:rsid w:val="009F4668"/>
    <w:rsid w:val="009F475F"/>
    <w:rsid w:val="009F4AA4"/>
    <w:rsid w:val="009F4D29"/>
    <w:rsid w:val="009F4EF7"/>
    <w:rsid w:val="009F5067"/>
    <w:rsid w:val="009F515B"/>
    <w:rsid w:val="009F5338"/>
    <w:rsid w:val="009F547C"/>
    <w:rsid w:val="009F551A"/>
    <w:rsid w:val="009F565A"/>
    <w:rsid w:val="009F594A"/>
    <w:rsid w:val="009F5CB5"/>
    <w:rsid w:val="009F5D5D"/>
    <w:rsid w:val="009F5EC1"/>
    <w:rsid w:val="009F6066"/>
    <w:rsid w:val="009F637C"/>
    <w:rsid w:val="009F6415"/>
    <w:rsid w:val="009F6512"/>
    <w:rsid w:val="009F6557"/>
    <w:rsid w:val="009F66AD"/>
    <w:rsid w:val="009F6AA6"/>
    <w:rsid w:val="009F6AB6"/>
    <w:rsid w:val="009F6B2A"/>
    <w:rsid w:val="009F6DD9"/>
    <w:rsid w:val="009F6F46"/>
    <w:rsid w:val="009F7080"/>
    <w:rsid w:val="009F70A4"/>
    <w:rsid w:val="009F70AF"/>
    <w:rsid w:val="009F7434"/>
    <w:rsid w:val="009F756E"/>
    <w:rsid w:val="009F7590"/>
    <w:rsid w:val="009F794A"/>
    <w:rsid w:val="009F7A3D"/>
    <w:rsid w:val="009F7BBC"/>
    <w:rsid w:val="009F7BF7"/>
    <w:rsid w:val="00A00030"/>
    <w:rsid w:val="00A00039"/>
    <w:rsid w:val="00A00509"/>
    <w:rsid w:val="00A0068E"/>
    <w:rsid w:val="00A0074C"/>
    <w:rsid w:val="00A00902"/>
    <w:rsid w:val="00A00BCB"/>
    <w:rsid w:val="00A00BE1"/>
    <w:rsid w:val="00A00D5D"/>
    <w:rsid w:val="00A00DC2"/>
    <w:rsid w:val="00A0103D"/>
    <w:rsid w:val="00A01045"/>
    <w:rsid w:val="00A01491"/>
    <w:rsid w:val="00A01550"/>
    <w:rsid w:val="00A01647"/>
    <w:rsid w:val="00A01769"/>
    <w:rsid w:val="00A01774"/>
    <w:rsid w:val="00A0179B"/>
    <w:rsid w:val="00A01857"/>
    <w:rsid w:val="00A01ADC"/>
    <w:rsid w:val="00A01C2F"/>
    <w:rsid w:val="00A01E18"/>
    <w:rsid w:val="00A020AA"/>
    <w:rsid w:val="00A020FC"/>
    <w:rsid w:val="00A026D7"/>
    <w:rsid w:val="00A027CD"/>
    <w:rsid w:val="00A029FC"/>
    <w:rsid w:val="00A02C87"/>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739"/>
    <w:rsid w:val="00A04817"/>
    <w:rsid w:val="00A0493B"/>
    <w:rsid w:val="00A049E8"/>
    <w:rsid w:val="00A04A69"/>
    <w:rsid w:val="00A04A73"/>
    <w:rsid w:val="00A04C13"/>
    <w:rsid w:val="00A04C2C"/>
    <w:rsid w:val="00A04C9F"/>
    <w:rsid w:val="00A04F6A"/>
    <w:rsid w:val="00A0507C"/>
    <w:rsid w:val="00A05174"/>
    <w:rsid w:val="00A054AD"/>
    <w:rsid w:val="00A054C5"/>
    <w:rsid w:val="00A0568E"/>
    <w:rsid w:val="00A056DC"/>
    <w:rsid w:val="00A05819"/>
    <w:rsid w:val="00A05A66"/>
    <w:rsid w:val="00A05B1E"/>
    <w:rsid w:val="00A05B61"/>
    <w:rsid w:val="00A062A2"/>
    <w:rsid w:val="00A062C4"/>
    <w:rsid w:val="00A0634B"/>
    <w:rsid w:val="00A06944"/>
    <w:rsid w:val="00A06B8A"/>
    <w:rsid w:val="00A06D36"/>
    <w:rsid w:val="00A070D7"/>
    <w:rsid w:val="00A073F5"/>
    <w:rsid w:val="00A0758F"/>
    <w:rsid w:val="00A0787B"/>
    <w:rsid w:val="00A0797A"/>
    <w:rsid w:val="00A07A4A"/>
    <w:rsid w:val="00A07A6E"/>
    <w:rsid w:val="00A07A73"/>
    <w:rsid w:val="00A07C5C"/>
    <w:rsid w:val="00A07C62"/>
    <w:rsid w:val="00A07C72"/>
    <w:rsid w:val="00A07D4C"/>
    <w:rsid w:val="00A07DCC"/>
    <w:rsid w:val="00A07F68"/>
    <w:rsid w:val="00A1000C"/>
    <w:rsid w:val="00A10198"/>
    <w:rsid w:val="00A10307"/>
    <w:rsid w:val="00A10353"/>
    <w:rsid w:val="00A103B9"/>
    <w:rsid w:val="00A1069E"/>
    <w:rsid w:val="00A1086E"/>
    <w:rsid w:val="00A1099C"/>
    <w:rsid w:val="00A10C3F"/>
    <w:rsid w:val="00A10D7A"/>
    <w:rsid w:val="00A10DD4"/>
    <w:rsid w:val="00A10F43"/>
    <w:rsid w:val="00A113E8"/>
    <w:rsid w:val="00A11493"/>
    <w:rsid w:val="00A1149D"/>
    <w:rsid w:val="00A11731"/>
    <w:rsid w:val="00A1192D"/>
    <w:rsid w:val="00A11B40"/>
    <w:rsid w:val="00A11B59"/>
    <w:rsid w:val="00A11B8D"/>
    <w:rsid w:val="00A11C19"/>
    <w:rsid w:val="00A12358"/>
    <w:rsid w:val="00A12563"/>
    <w:rsid w:val="00A126B4"/>
    <w:rsid w:val="00A12BC5"/>
    <w:rsid w:val="00A12C15"/>
    <w:rsid w:val="00A12DB6"/>
    <w:rsid w:val="00A1302C"/>
    <w:rsid w:val="00A13486"/>
    <w:rsid w:val="00A137EE"/>
    <w:rsid w:val="00A13920"/>
    <w:rsid w:val="00A13E68"/>
    <w:rsid w:val="00A13FBB"/>
    <w:rsid w:val="00A1410C"/>
    <w:rsid w:val="00A14396"/>
    <w:rsid w:val="00A14522"/>
    <w:rsid w:val="00A147D6"/>
    <w:rsid w:val="00A147EA"/>
    <w:rsid w:val="00A148C6"/>
    <w:rsid w:val="00A149FF"/>
    <w:rsid w:val="00A14C0A"/>
    <w:rsid w:val="00A14DF4"/>
    <w:rsid w:val="00A14E36"/>
    <w:rsid w:val="00A152AF"/>
    <w:rsid w:val="00A15396"/>
    <w:rsid w:val="00A15505"/>
    <w:rsid w:val="00A15660"/>
    <w:rsid w:val="00A1578B"/>
    <w:rsid w:val="00A159D4"/>
    <w:rsid w:val="00A15A32"/>
    <w:rsid w:val="00A15BF8"/>
    <w:rsid w:val="00A15CCC"/>
    <w:rsid w:val="00A15D89"/>
    <w:rsid w:val="00A15DCE"/>
    <w:rsid w:val="00A15F3F"/>
    <w:rsid w:val="00A16190"/>
    <w:rsid w:val="00A161D2"/>
    <w:rsid w:val="00A16288"/>
    <w:rsid w:val="00A16414"/>
    <w:rsid w:val="00A166A6"/>
    <w:rsid w:val="00A1697B"/>
    <w:rsid w:val="00A16AE8"/>
    <w:rsid w:val="00A16D43"/>
    <w:rsid w:val="00A17040"/>
    <w:rsid w:val="00A170DC"/>
    <w:rsid w:val="00A171E0"/>
    <w:rsid w:val="00A171E5"/>
    <w:rsid w:val="00A172CC"/>
    <w:rsid w:val="00A173EC"/>
    <w:rsid w:val="00A17495"/>
    <w:rsid w:val="00A1768F"/>
    <w:rsid w:val="00A176B7"/>
    <w:rsid w:val="00A1787B"/>
    <w:rsid w:val="00A1799E"/>
    <w:rsid w:val="00A17AAC"/>
    <w:rsid w:val="00A17C0F"/>
    <w:rsid w:val="00A17C68"/>
    <w:rsid w:val="00A17C9C"/>
    <w:rsid w:val="00A17E04"/>
    <w:rsid w:val="00A17E05"/>
    <w:rsid w:val="00A17E43"/>
    <w:rsid w:val="00A17EEB"/>
    <w:rsid w:val="00A20104"/>
    <w:rsid w:val="00A20694"/>
    <w:rsid w:val="00A208A9"/>
    <w:rsid w:val="00A20A4A"/>
    <w:rsid w:val="00A20E10"/>
    <w:rsid w:val="00A20E2E"/>
    <w:rsid w:val="00A20F8B"/>
    <w:rsid w:val="00A21429"/>
    <w:rsid w:val="00A2172A"/>
    <w:rsid w:val="00A217B5"/>
    <w:rsid w:val="00A21B01"/>
    <w:rsid w:val="00A21D9A"/>
    <w:rsid w:val="00A21DAC"/>
    <w:rsid w:val="00A22146"/>
    <w:rsid w:val="00A2244B"/>
    <w:rsid w:val="00A2268A"/>
    <w:rsid w:val="00A226F3"/>
    <w:rsid w:val="00A22758"/>
    <w:rsid w:val="00A227DD"/>
    <w:rsid w:val="00A2285C"/>
    <w:rsid w:val="00A22864"/>
    <w:rsid w:val="00A228BD"/>
    <w:rsid w:val="00A229A1"/>
    <w:rsid w:val="00A22B29"/>
    <w:rsid w:val="00A22F76"/>
    <w:rsid w:val="00A23184"/>
    <w:rsid w:val="00A23367"/>
    <w:rsid w:val="00A236AA"/>
    <w:rsid w:val="00A23909"/>
    <w:rsid w:val="00A23BDD"/>
    <w:rsid w:val="00A23EA4"/>
    <w:rsid w:val="00A23F7F"/>
    <w:rsid w:val="00A24521"/>
    <w:rsid w:val="00A245C8"/>
    <w:rsid w:val="00A24839"/>
    <w:rsid w:val="00A24BBE"/>
    <w:rsid w:val="00A24BDC"/>
    <w:rsid w:val="00A24DF6"/>
    <w:rsid w:val="00A24E69"/>
    <w:rsid w:val="00A24FB9"/>
    <w:rsid w:val="00A250F6"/>
    <w:rsid w:val="00A2539C"/>
    <w:rsid w:val="00A2544D"/>
    <w:rsid w:val="00A25854"/>
    <w:rsid w:val="00A2592E"/>
    <w:rsid w:val="00A25BAA"/>
    <w:rsid w:val="00A25BFE"/>
    <w:rsid w:val="00A25CFA"/>
    <w:rsid w:val="00A25DF2"/>
    <w:rsid w:val="00A25ED9"/>
    <w:rsid w:val="00A25EED"/>
    <w:rsid w:val="00A260FE"/>
    <w:rsid w:val="00A26187"/>
    <w:rsid w:val="00A261BD"/>
    <w:rsid w:val="00A26472"/>
    <w:rsid w:val="00A266AA"/>
    <w:rsid w:val="00A269A7"/>
    <w:rsid w:val="00A269AD"/>
    <w:rsid w:val="00A26ADA"/>
    <w:rsid w:val="00A26BB4"/>
    <w:rsid w:val="00A26C8B"/>
    <w:rsid w:val="00A26DE0"/>
    <w:rsid w:val="00A26F46"/>
    <w:rsid w:val="00A26FE8"/>
    <w:rsid w:val="00A2719E"/>
    <w:rsid w:val="00A27344"/>
    <w:rsid w:val="00A2736D"/>
    <w:rsid w:val="00A273A8"/>
    <w:rsid w:val="00A27CC1"/>
    <w:rsid w:val="00A27EE6"/>
    <w:rsid w:val="00A30082"/>
    <w:rsid w:val="00A3034D"/>
    <w:rsid w:val="00A3058E"/>
    <w:rsid w:val="00A3066D"/>
    <w:rsid w:val="00A307DC"/>
    <w:rsid w:val="00A30847"/>
    <w:rsid w:val="00A30952"/>
    <w:rsid w:val="00A30A7B"/>
    <w:rsid w:val="00A30B75"/>
    <w:rsid w:val="00A30E39"/>
    <w:rsid w:val="00A30E40"/>
    <w:rsid w:val="00A30E5F"/>
    <w:rsid w:val="00A30F26"/>
    <w:rsid w:val="00A3107C"/>
    <w:rsid w:val="00A31477"/>
    <w:rsid w:val="00A31693"/>
    <w:rsid w:val="00A316A5"/>
    <w:rsid w:val="00A317BE"/>
    <w:rsid w:val="00A318D1"/>
    <w:rsid w:val="00A31AEE"/>
    <w:rsid w:val="00A31C34"/>
    <w:rsid w:val="00A31C67"/>
    <w:rsid w:val="00A31EF9"/>
    <w:rsid w:val="00A31F63"/>
    <w:rsid w:val="00A32050"/>
    <w:rsid w:val="00A320AE"/>
    <w:rsid w:val="00A322E7"/>
    <w:rsid w:val="00A3233B"/>
    <w:rsid w:val="00A32387"/>
    <w:rsid w:val="00A323B4"/>
    <w:rsid w:val="00A323F2"/>
    <w:rsid w:val="00A32568"/>
    <w:rsid w:val="00A3270F"/>
    <w:rsid w:val="00A32754"/>
    <w:rsid w:val="00A3276C"/>
    <w:rsid w:val="00A327DF"/>
    <w:rsid w:val="00A32F7D"/>
    <w:rsid w:val="00A33075"/>
    <w:rsid w:val="00A330B6"/>
    <w:rsid w:val="00A330F7"/>
    <w:rsid w:val="00A331B5"/>
    <w:rsid w:val="00A33295"/>
    <w:rsid w:val="00A33334"/>
    <w:rsid w:val="00A33341"/>
    <w:rsid w:val="00A3340A"/>
    <w:rsid w:val="00A33436"/>
    <w:rsid w:val="00A3359B"/>
    <w:rsid w:val="00A335CD"/>
    <w:rsid w:val="00A3363B"/>
    <w:rsid w:val="00A336A8"/>
    <w:rsid w:val="00A339C8"/>
    <w:rsid w:val="00A339F2"/>
    <w:rsid w:val="00A33BA9"/>
    <w:rsid w:val="00A33C7E"/>
    <w:rsid w:val="00A33F27"/>
    <w:rsid w:val="00A3424D"/>
    <w:rsid w:val="00A34340"/>
    <w:rsid w:val="00A3473B"/>
    <w:rsid w:val="00A34828"/>
    <w:rsid w:val="00A34891"/>
    <w:rsid w:val="00A348A5"/>
    <w:rsid w:val="00A349D8"/>
    <w:rsid w:val="00A34A8D"/>
    <w:rsid w:val="00A34C10"/>
    <w:rsid w:val="00A34DCD"/>
    <w:rsid w:val="00A34EB0"/>
    <w:rsid w:val="00A35048"/>
    <w:rsid w:val="00A351AC"/>
    <w:rsid w:val="00A351F3"/>
    <w:rsid w:val="00A352C6"/>
    <w:rsid w:val="00A35622"/>
    <w:rsid w:val="00A356C1"/>
    <w:rsid w:val="00A356FF"/>
    <w:rsid w:val="00A3573A"/>
    <w:rsid w:val="00A358BF"/>
    <w:rsid w:val="00A35AB1"/>
    <w:rsid w:val="00A35B87"/>
    <w:rsid w:val="00A35CA1"/>
    <w:rsid w:val="00A35F4A"/>
    <w:rsid w:val="00A35F66"/>
    <w:rsid w:val="00A363DA"/>
    <w:rsid w:val="00A36702"/>
    <w:rsid w:val="00A3672D"/>
    <w:rsid w:val="00A36748"/>
    <w:rsid w:val="00A36951"/>
    <w:rsid w:val="00A36957"/>
    <w:rsid w:val="00A3698F"/>
    <w:rsid w:val="00A36C91"/>
    <w:rsid w:val="00A36DE3"/>
    <w:rsid w:val="00A36EC6"/>
    <w:rsid w:val="00A3713F"/>
    <w:rsid w:val="00A37334"/>
    <w:rsid w:val="00A3742A"/>
    <w:rsid w:val="00A37436"/>
    <w:rsid w:val="00A374E6"/>
    <w:rsid w:val="00A37830"/>
    <w:rsid w:val="00A37836"/>
    <w:rsid w:val="00A37CBC"/>
    <w:rsid w:val="00A37E1D"/>
    <w:rsid w:val="00A37FC7"/>
    <w:rsid w:val="00A40014"/>
    <w:rsid w:val="00A403A5"/>
    <w:rsid w:val="00A40735"/>
    <w:rsid w:val="00A40C3B"/>
    <w:rsid w:val="00A40FA8"/>
    <w:rsid w:val="00A40FBA"/>
    <w:rsid w:val="00A410ED"/>
    <w:rsid w:val="00A41363"/>
    <w:rsid w:val="00A4149B"/>
    <w:rsid w:val="00A41573"/>
    <w:rsid w:val="00A41636"/>
    <w:rsid w:val="00A416C8"/>
    <w:rsid w:val="00A41711"/>
    <w:rsid w:val="00A41A0A"/>
    <w:rsid w:val="00A41AD1"/>
    <w:rsid w:val="00A41B1A"/>
    <w:rsid w:val="00A41C0B"/>
    <w:rsid w:val="00A42020"/>
    <w:rsid w:val="00A420BA"/>
    <w:rsid w:val="00A4227F"/>
    <w:rsid w:val="00A42314"/>
    <w:rsid w:val="00A42636"/>
    <w:rsid w:val="00A42864"/>
    <w:rsid w:val="00A4299A"/>
    <w:rsid w:val="00A429A0"/>
    <w:rsid w:val="00A42CD4"/>
    <w:rsid w:val="00A42F44"/>
    <w:rsid w:val="00A43295"/>
    <w:rsid w:val="00A433E7"/>
    <w:rsid w:val="00A436F7"/>
    <w:rsid w:val="00A4399D"/>
    <w:rsid w:val="00A43B5D"/>
    <w:rsid w:val="00A43C63"/>
    <w:rsid w:val="00A43D65"/>
    <w:rsid w:val="00A44048"/>
    <w:rsid w:val="00A4407A"/>
    <w:rsid w:val="00A4416F"/>
    <w:rsid w:val="00A441D9"/>
    <w:rsid w:val="00A44201"/>
    <w:rsid w:val="00A44415"/>
    <w:rsid w:val="00A444EC"/>
    <w:rsid w:val="00A449BA"/>
    <w:rsid w:val="00A449F8"/>
    <w:rsid w:val="00A44BEF"/>
    <w:rsid w:val="00A44C8C"/>
    <w:rsid w:val="00A44CA5"/>
    <w:rsid w:val="00A44DA7"/>
    <w:rsid w:val="00A45083"/>
    <w:rsid w:val="00A45234"/>
    <w:rsid w:val="00A454FD"/>
    <w:rsid w:val="00A45538"/>
    <w:rsid w:val="00A45636"/>
    <w:rsid w:val="00A4573F"/>
    <w:rsid w:val="00A4575B"/>
    <w:rsid w:val="00A45B7C"/>
    <w:rsid w:val="00A45CB4"/>
    <w:rsid w:val="00A45F47"/>
    <w:rsid w:val="00A45FCD"/>
    <w:rsid w:val="00A4609D"/>
    <w:rsid w:val="00A460BD"/>
    <w:rsid w:val="00A460BE"/>
    <w:rsid w:val="00A46208"/>
    <w:rsid w:val="00A4648A"/>
    <w:rsid w:val="00A4672F"/>
    <w:rsid w:val="00A46A3C"/>
    <w:rsid w:val="00A46A9D"/>
    <w:rsid w:val="00A46BC1"/>
    <w:rsid w:val="00A46CBC"/>
    <w:rsid w:val="00A46EDD"/>
    <w:rsid w:val="00A46F35"/>
    <w:rsid w:val="00A471FD"/>
    <w:rsid w:val="00A473AA"/>
    <w:rsid w:val="00A47537"/>
    <w:rsid w:val="00A476FB"/>
    <w:rsid w:val="00A4778D"/>
    <w:rsid w:val="00A47D3F"/>
    <w:rsid w:val="00A47F1E"/>
    <w:rsid w:val="00A5028B"/>
    <w:rsid w:val="00A502AC"/>
    <w:rsid w:val="00A503AD"/>
    <w:rsid w:val="00A504FF"/>
    <w:rsid w:val="00A5058E"/>
    <w:rsid w:val="00A50751"/>
    <w:rsid w:val="00A50867"/>
    <w:rsid w:val="00A50B44"/>
    <w:rsid w:val="00A50BC9"/>
    <w:rsid w:val="00A51034"/>
    <w:rsid w:val="00A512F9"/>
    <w:rsid w:val="00A515DE"/>
    <w:rsid w:val="00A51609"/>
    <w:rsid w:val="00A5168B"/>
    <w:rsid w:val="00A517DE"/>
    <w:rsid w:val="00A51AD8"/>
    <w:rsid w:val="00A51FBD"/>
    <w:rsid w:val="00A52039"/>
    <w:rsid w:val="00A52126"/>
    <w:rsid w:val="00A52245"/>
    <w:rsid w:val="00A524D2"/>
    <w:rsid w:val="00A528A5"/>
    <w:rsid w:val="00A52F37"/>
    <w:rsid w:val="00A5318B"/>
    <w:rsid w:val="00A53260"/>
    <w:rsid w:val="00A53293"/>
    <w:rsid w:val="00A5343C"/>
    <w:rsid w:val="00A534DA"/>
    <w:rsid w:val="00A5374D"/>
    <w:rsid w:val="00A5378C"/>
    <w:rsid w:val="00A5398E"/>
    <w:rsid w:val="00A53B0A"/>
    <w:rsid w:val="00A53B0D"/>
    <w:rsid w:val="00A53B3F"/>
    <w:rsid w:val="00A53EB4"/>
    <w:rsid w:val="00A53EEE"/>
    <w:rsid w:val="00A541B3"/>
    <w:rsid w:val="00A541FC"/>
    <w:rsid w:val="00A54348"/>
    <w:rsid w:val="00A54574"/>
    <w:rsid w:val="00A546D1"/>
    <w:rsid w:val="00A54A2F"/>
    <w:rsid w:val="00A54F1B"/>
    <w:rsid w:val="00A55857"/>
    <w:rsid w:val="00A55A0C"/>
    <w:rsid w:val="00A55D21"/>
    <w:rsid w:val="00A55D5A"/>
    <w:rsid w:val="00A55DDB"/>
    <w:rsid w:val="00A55EAD"/>
    <w:rsid w:val="00A560BE"/>
    <w:rsid w:val="00A561B5"/>
    <w:rsid w:val="00A56458"/>
    <w:rsid w:val="00A56537"/>
    <w:rsid w:val="00A5654F"/>
    <w:rsid w:val="00A5668C"/>
    <w:rsid w:val="00A566C7"/>
    <w:rsid w:val="00A56728"/>
    <w:rsid w:val="00A56B85"/>
    <w:rsid w:val="00A56CE4"/>
    <w:rsid w:val="00A56D1B"/>
    <w:rsid w:val="00A56D5B"/>
    <w:rsid w:val="00A56EC5"/>
    <w:rsid w:val="00A56F2C"/>
    <w:rsid w:val="00A56FD9"/>
    <w:rsid w:val="00A572AC"/>
    <w:rsid w:val="00A5735B"/>
    <w:rsid w:val="00A573B7"/>
    <w:rsid w:val="00A57486"/>
    <w:rsid w:val="00A57BEC"/>
    <w:rsid w:val="00A600DC"/>
    <w:rsid w:val="00A601AA"/>
    <w:rsid w:val="00A60BE5"/>
    <w:rsid w:val="00A60C9C"/>
    <w:rsid w:val="00A60CA8"/>
    <w:rsid w:val="00A60CD5"/>
    <w:rsid w:val="00A60D4B"/>
    <w:rsid w:val="00A60DA4"/>
    <w:rsid w:val="00A60EC0"/>
    <w:rsid w:val="00A60F2C"/>
    <w:rsid w:val="00A60FEB"/>
    <w:rsid w:val="00A6153E"/>
    <w:rsid w:val="00A61A45"/>
    <w:rsid w:val="00A61AB0"/>
    <w:rsid w:val="00A61BA7"/>
    <w:rsid w:val="00A61BFD"/>
    <w:rsid w:val="00A61C0F"/>
    <w:rsid w:val="00A61DBF"/>
    <w:rsid w:val="00A61E72"/>
    <w:rsid w:val="00A6206F"/>
    <w:rsid w:val="00A6219C"/>
    <w:rsid w:val="00A622E8"/>
    <w:rsid w:val="00A62604"/>
    <w:rsid w:val="00A6275E"/>
    <w:rsid w:val="00A62973"/>
    <w:rsid w:val="00A62A60"/>
    <w:rsid w:val="00A6316F"/>
    <w:rsid w:val="00A633A5"/>
    <w:rsid w:val="00A634AC"/>
    <w:rsid w:val="00A63649"/>
    <w:rsid w:val="00A63A6F"/>
    <w:rsid w:val="00A63B1F"/>
    <w:rsid w:val="00A63F1D"/>
    <w:rsid w:val="00A640C0"/>
    <w:rsid w:val="00A642C4"/>
    <w:rsid w:val="00A6442A"/>
    <w:rsid w:val="00A6456D"/>
    <w:rsid w:val="00A64850"/>
    <w:rsid w:val="00A64AF1"/>
    <w:rsid w:val="00A64BFB"/>
    <w:rsid w:val="00A64E0B"/>
    <w:rsid w:val="00A650A5"/>
    <w:rsid w:val="00A650D5"/>
    <w:rsid w:val="00A65121"/>
    <w:rsid w:val="00A652D7"/>
    <w:rsid w:val="00A654C7"/>
    <w:rsid w:val="00A654CA"/>
    <w:rsid w:val="00A65602"/>
    <w:rsid w:val="00A65776"/>
    <w:rsid w:val="00A6580F"/>
    <w:rsid w:val="00A6582C"/>
    <w:rsid w:val="00A6585D"/>
    <w:rsid w:val="00A65AF8"/>
    <w:rsid w:val="00A65C1B"/>
    <w:rsid w:val="00A65E07"/>
    <w:rsid w:val="00A65EE5"/>
    <w:rsid w:val="00A660BF"/>
    <w:rsid w:val="00A662E0"/>
    <w:rsid w:val="00A663BB"/>
    <w:rsid w:val="00A663FD"/>
    <w:rsid w:val="00A66865"/>
    <w:rsid w:val="00A66D99"/>
    <w:rsid w:val="00A66E7C"/>
    <w:rsid w:val="00A66EB6"/>
    <w:rsid w:val="00A672A5"/>
    <w:rsid w:val="00A6734C"/>
    <w:rsid w:val="00A6774E"/>
    <w:rsid w:val="00A67851"/>
    <w:rsid w:val="00A67873"/>
    <w:rsid w:val="00A6798D"/>
    <w:rsid w:val="00A67A41"/>
    <w:rsid w:val="00A67BEF"/>
    <w:rsid w:val="00A67DC6"/>
    <w:rsid w:val="00A67EED"/>
    <w:rsid w:val="00A67FAA"/>
    <w:rsid w:val="00A700F6"/>
    <w:rsid w:val="00A70241"/>
    <w:rsid w:val="00A703F6"/>
    <w:rsid w:val="00A705A7"/>
    <w:rsid w:val="00A7061F"/>
    <w:rsid w:val="00A706E7"/>
    <w:rsid w:val="00A706FB"/>
    <w:rsid w:val="00A7091B"/>
    <w:rsid w:val="00A7092B"/>
    <w:rsid w:val="00A70BA6"/>
    <w:rsid w:val="00A70FB0"/>
    <w:rsid w:val="00A71064"/>
    <w:rsid w:val="00A710A9"/>
    <w:rsid w:val="00A710AF"/>
    <w:rsid w:val="00A710B7"/>
    <w:rsid w:val="00A710EE"/>
    <w:rsid w:val="00A71310"/>
    <w:rsid w:val="00A7139B"/>
    <w:rsid w:val="00A713F9"/>
    <w:rsid w:val="00A716D7"/>
    <w:rsid w:val="00A7177F"/>
    <w:rsid w:val="00A71961"/>
    <w:rsid w:val="00A71AB9"/>
    <w:rsid w:val="00A71B1C"/>
    <w:rsid w:val="00A71E7E"/>
    <w:rsid w:val="00A71FC3"/>
    <w:rsid w:val="00A724E5"/>
    <w:rsid w:val="00A725D4"/>
    <w:rsid w:val="00A7267E"/>
    <w:rsid w:val="00A72864"/>
    <w:rsid w:val="00A729AE"/>
    <w:rsid w:val="00A72A61"/>
    <w:rsid w:val="00A72A7A"/>
    <w:rsid w:val="00A72AB8"/>
    <w:rsid w:val="00A72DC4"/>
    <w:rsid w:val="00A72F19"/>
    <w:rsid w:val="00A73151"/>
    <w:rsid w:val="00A731CA"/>
    <w:rsid w:val="00A732FD"/>
    <w:rsid w:val="00A734EE"/>
    <w:rsid w:val="00A7353D"/>
    <w:rsid w:val="00A736AC"/>
    <w:rsid w:val="00A73735"/>
    <w:rsid w:val="00A7390F"/>
    <w:rsid w:val="00A739A9"/>
    <w:rsid w:val="00A73A12"/>
    <w:rsid w:val="00A73C05"/>
    <w:rsid w:val="00A73C14"/>
    <w:rsid w:val="00A73ECD"/>
    <w:rsid w:val="00A741B8"/>
    <w:rsid w:val="00A7442C"/>
    <w:rsid w:val="00A74444"/>
    <w:rsid w:val="00A7458D"/>
    <w:rsid w:val="00A7467C"/>
    <w:rsid w:val="00A74747"/>
    <w:rsid w:val="00A74950"/>
    <w:rsid w:val="00A74CDB"/>
    <w:rsid w:val="00A75492"/>
    <w:rsid w:val="00A7549A"/>
    <w:rsid w:val="00A75542"/>
    <w:rsid w:val="00A75588"/>
    <w:rsid w:val="00A75618"/>
    <w:rsid w:val="00A75818"/>
    <w:rsid w:val="00A75A1C"/>
    <w:rsid w:val="00A75CB9"/>
    <w:rsid w:val="00A75DF7"/>
    <w:rsid w:val="00A760F2"/>
    <w:rsid w:val="00A761C8"/>
    <w:rsid w:val="00A763C7"/>
    <w:rsid w:val="00A765DD"/>
    <w:rsid w:val="00A76685"/>
    <w:rsid w:val="00A76A07"/>
    <w:rsid w:val="00A76A13"/>
    <w:rsid w:val="00A76A56"/>
    <w:rsid w:val="00A76C06"/>
    <w:rsid w:val="00A76C80"/>
    <w:rsid w:val="00A76E6D"/>
    <w:rsid w:val="00A770E0"/>
    <w:rsid w:val="00A77124"/>
    <w:rsid w:val="00A773F4"/>
    <w:rsid w:val="00A7743D"/>
    <w:rsid w:val="00A77A5A"/>
    <w:rsid w:val="00A77B6C"/>
    <w:rsid w:val="00A77C85"/>
    <w:rsid w:val="00A77D8B"/>
    <w:rsid w:val="00A77D92"/>
    <w:rsid w:val="00A77DB6"/>
    <w:rsid w:val="00A77E83"/>
    <w:rsid w:val="00A80088"/>
    <w:rsid w:val="00A8012F"/>
    <w:rsid w:val="00A8025D"/>
    <w:rsid w:val="00A80434"/>
    <w:rsid w:val="00A804C3"/>
    <w:rsid w:val="00A8068F"/>
    <w:rsid w:val="00A807DE"/>
    <w:rsid w:val="00A80819"/>
    <w:rsid w:val="00A80952"/>
    <w:rsid w:val="00A80B62"/>
    <w:rsid w:val="00A80B79"/>
    <w:rsid w:val="00A80B86"/>
    <w:rsid w:val="00A80C3F"/>
    <w:rsid w:val="00A81054"/>
    <w:rsid w:val="00A81369"/>
    <w:rsid w:val="00A81439"/>
    <w:rsid w:val="00A815C4"/>
    <w:rsid w:val="00A81612"/>
    <w:rsid w:val="00A81699"/>
    <w:rsid w:val="00A817E9"/>
    <w:rsid w:val="00A818BB"/>
    <w:rsid w:val="00A8197F"/>
    <w:rsid w:val="00A81B1B"/>
    <w:rsid w:val="00A81B44"/>
    <w:rsid w:val="00A81B45"/>
    <w:rsid w:val="00A81BF5"/>
    <w:rsid w:val="00A81E81"/>
    <w:rsid w:val="00A81ECF"/>
    <w:rsid w:val="00A81EEE"/>
    <w:rsid w:val="00A8204B"/>
    <w:rsid w:val="00A82111"/>
    <w:rsid w:val="00A8218B"/>
    <w:rsid w:val="00A825AE"/>
    <w:rsid w:val="00A825C9"/>
    <w:rsid w:val="00A82741"/>
    <w:rsid w:val="00A827C9"/>
    <w:rsid w:val="00A82AB6"/>
    <w:rsid w:val="00A82F7A"/>
    <w:rsid w:val="00A830C9"/>
    <w:rsid w:val="00A832D2"/>
    <w:rsid w:val="00A832FA"/>
    <w:rsid w:val="00A836D5"/>
    <w:rsid w:val="00A836E2"/>
    <w:rsid w:val="00A83919"/>
    <w:rsid w:val="00A839A5"/>
    <w:rsid w:val="00A83C0E"/>
    <w:rsid w:val="00A8400D"/>
    <w:rsid w:val="00A84409"/>
    <w:rsid w:val="00A84465"/>
    <w:rsid w:val="00A84610"/>
    <w:rsid w:val="00A84680"/>
    <w:rsid w:val="00A84CA6"/>
    <w:rsid w:val="00A84D16"/>
    <w:rsid w:val="00A84E6A"/>
    <w:rsid w:val="00A8519A"/>
    <w:rsid w:val="00A85248"/>
    <w:rsid w:val="00A85346"/>
    <w:rsid w:val="00A853E4"/>
    <w:rsid w:val="00A8545C"/>
    <w:rsid w:val="00A85A60"/>
    <w:rsid w:val="00A85B2F"/>
    <w:rsid w:val="00A85D24"/>
    <w:rsid w:val="00A85E53"/>
    <w:rsid w:val="00A85EA2"/>
    <w:rsid w:val="00A85F31"/>
    <w:rsid w:val="00A85FD6"/>
    <w:rsid w:val="00A85FE4"/>
    <w:rsid w:val="00A86293"/>
    <w:rsid w:val="00A86316"/>
    <w:rsid w:val="00A8636C"/>
    <w:rsid w:val="00A8642D"/>
    <w:rsid w:val="00A864F3"/>
    <w:rsid w:val="00A86807"/>
    <w:rsid w:val="00A86A44"/>
    <w:rsid w:val="00A86B87"/>
    <w:rsid w:val="00A86B92"/>
    <w:rsid w:val="00A86BAE"/>
    <w:rsid w:val="00A86D47"/>
    <w:rsid w:val="00A86EB0"/>
    <w:rsid w:val="00A87568"/>
    <w:rsid w:val="00A87742"/>
    <w:rsid w:val="00A878AC"/>
    <w:rsid w:val="00A87938"/>
    <w:rsid w:val="00A879EB"/>
    <w:rsid w:val="00A87A4C"/>
    <w:rsid w:val="00A87B66"/>
    <w:rsid w:val="00A87D33"/>
    <w:rsid w:val="00A87EB5"/>
    <w:rsid w:val="00A90616"/>
    <w:rsid w:val="00A906FF"/>
    <w:rsid w:val="00A908FF"/>
    <w:rsid w:val="00A90A08"/>
    <w:rsid w:val="00A90B43"/>
    <w:rsid w:val="00A90B7B"/>
    <w:rsid w:val="00A90E51"/>
    <w:rsid w:val="00A91005"/>
    <w:rsid w:val="00A910B4"/>
    <w:rsid w:val="00A91184"/>
    <w:rsid w:val="00A9150F"/>
    <w:rsid w:val="00A916E0"/>
    <w:rsid w:val="00A91796"/>
    <w:rsid w:val="00A9181D"/>
    <w:rsid w:val="00A918FB"/>
    <w:rsid w:val="00A919A1"/>
    <w:rsid w:val="00A91AEE"/>
    <w:rsid w:val="00A91B8A"/>
    <w:rsid w:val="00A91E8C"/>
    <w:rsid w:val="00A92295"/>
    <w:rsid w:val="00A925F3"/>
    <w:rsid w:val="00A92602"/>
    <w:rsid w:val="00A92891"/>
    <w:rsid w:val="00A92C3D"/>
    <w:rsid w:val="00A92CAD"/>
    <w:rsid w:val="00A92D83"/>
    <w:rsid w:val="00A92E66"/>
    <w:rsid w:val="00A92EA8"/>
    <w:rsid w:val="00A92F91"/>
    <w:rsid w:val="00A92FCF"/>
    <w:rsid w:val="00A9349E"/>
    <w:rsid w:val="00A935B1"/>
    <w:rsid w:val="00A93609"/>
    <w:rsid w:val="00A9362A"/>
    <w:rsid w:val="00A9378B"/>
    <w:rsid w:val="00A93822"/>
    <w:rsid w:val="00A93850"/>
    <w:rsid w:val="00A9388A"/>
    <w:rsid w:val="00A9393C"/>
    <w:rsid w:val="00A93AC9"/>
    <w:rsid w:val="00A93DAA"/>
    <w:rsid w:val="00A93E96"/>
    <w:rsid w:val="00A9408B"/>
    <w:rsid w:val="00A940EC"/>
    <w:rsid w:val="00A9410C"/>
    <w:rsid w:val="00A941A9"/>
    <w:rsid w:val="00A941BE"/>
    <w:rsid w:val="00A946C7"/>
    <w:rsid w:val="00A9482D"/>
    <w:rsid w:val="00A9484B"/>
    <w:rsid w:val="00A948C6"/>
    <w:rsid w:val="00A94AFF"/>
    <w:rsid w:val="00A94FFD"/>
    <w:rsid w:val="00A95084"/>
    <w:rsid w:val="00A95099"/>
    <w:rsid w:val="00A950E9"/>
    <w:rsid w:val="00A95104"/>
    <w:rsid w:val="00A9531B"/>
    <w:rsid w:val="00A95375"/>
    <w:rsid w:val="00A95386"/>
    <w:rsid w:val="00A95649"/>
    <w:rsid w:val="00A95BDA"/>
    <w:rsid w:val="00A95C09"/>
    <w:rsid w:val="00A95CAD"/>
    <w:rsid w:val="00A95E2C"/>
    <w:rsid w:val="00A95FF3"/>
    <w:rsid w:val="00A96067"/>
    <w:rsid w:val="00A960BF"/>
    <w:rsid w:val="00A96103"/>
    <w:rsid w:val="00A965E8"/>
    <w:rsid w:val="00A968B6"/>
    <w:rsid w:val="00A968C2"/>
    <w:rsid w:val="00A969DE"/>
    <w:rsid w:val="00A96DD9"/>
    <w:rsid w:val="00A96EB9"/>
    <w:rsid w:val="00A9700A"/>
    <w:rsid w:val="00A9701E"/>
    <w:rsid w:val="00A97118"/>
    <w:rsid w:val="00A9753D"/>
    <w:rsid w:val="00A979A8"/>
    <w:rsid w:val="00A97B31"/>
    <w:rsid w:val="00A97B61"/>
    <w:rsid w:val="00A97F61"/>
    <w:rsid w:val="00AA00C7"/>
    <w:rsid w:val="00AA060F"/>
    <w:rsid w:val="00AA06EB"/>
    <w:rsid w:val="00AA07C9"/>
    <w:rsid w:val="00AA07DE"/>
    <w:rsid w:val="00AA0E4E"/>
    <w:rsid w:val="00AA0FAE"/>
    <w:rsid w:val="00AA0FB4"/>
    <w:rsid w:val="00AA0FDC"/>
    <w:rsid w:val="00AA111A"/>
    <w:rsid w:val="00AA119B"/>
    <w:rsid w:val="00AA1387"/>
    <w:rsid w:val="00AA1481"/>
    <w:rsid w:val="00AA17BF"/>
    <w:rsid w:val="00AA17E3"/>
    <w:rsid w:val="00AA1861"/>
    <w:rsid w:val="00AA1A9F"/>
    <w:rsid w:val="00AA1AE2"/>
    <w:rsid w:val="00AA1B7F"/>
    <w:rsid w:val="00AA1E75"/>
    <w:rsid w:val="00AA1FC5"/>
    <w:rsid w:val="00AA1FD8"/>
    <w:rsid w:val="00AA2101"/>
    <w:rsid w:val="00AA2331"/>
    <w:rsid w:val="00AA2414"/>
    <w:rsid w:val="00AA25B9"/>
    <w:rsid w:val="00AA25E0"/>
    <w:rsid w:val="00AA2622"/>
    <w:rsid w:val="00AA2744"/>
    <w:rsid w:val="00AA278F"/>
    <w:rsid w:val="00AA289D"/>
    <w:rsid w:val="00AA28E1"/>
    <w:rsid w:val="00AA2D35"/>
    <w:rsid w:val="00AA2E3E"/>
    <w:rsid w:val="00AA2F46"/>
    <w:rsid w:val="00AA2FB7"/>
    <w:rsid w:val="00AA3206"/>
    <w:rsid w:val="00AA32E4"/>
    <w:rsid w:val="00AA3416"/>
    <w:rsid w:val="00AA3451"/>
    <w:rsid w:val="00AA35A4"/>
    <w:rsid w:val="00AA37F1"/>
    <w:rsid w:val="00AA3807"/>
    <w:rsid w:val="00AA3847"/>
    <w:rsid w:val="00AA3AC5"/>
    <w:rsid w:val="00AA3B8A"/>
    <w:rsid w:val="00AA3BE8"/>
    <w:rsid w:val="00AA41EC"/>
    <w:rsid w:val="00AA44A4"/>
    <w:rsid w:val="00AA4684"/>
    <w:rsid w:val="00AA47FE"/>
    <w:rsid w:val="00AA4A44"/>
    <w:rsid w:val="00AA4B95"/>
    <w:rsid w:val="00AA4F64"/>
    <w:rsid w:val="00AA4FC6"/>
    <w:rsid w:val="00AA5060"/>
    <w:rsid w:val="00AA53A0"/>
    <w:rsid w:val="00AA53D2"/>
    <w:rsid w:val="00AA53EF"/>
    <w:rsid w:val="00AA557A"/>
    <w:rsid w:val="00AA564B"/>
    <w:rsid w:val="00AA5B1A"/>
    <w:rsid w:val="00AA5B7D"/>
    <w:rsid w:val="00AA5F3D"/>
    <w:rsid w:val="00AA5F5A"/>
    <w:rsid w:val="00AA5F5D"/>
    <w:rsid w:val="00AA5F96"/>
    <w:rsid w:val="00AA6220"/>
    <w:rsid w:val="00AA63CA"/>
    <w:rsid w:val="00AA665D"/>
    <w:rsid w:val="00AA66C3"/>
    <w:rsid w:val="00AA6C37"/>
    <w:rsid w:val="00AA6E08"/>
    <w:rsid w:val="00AA6EF1"/>
    <w:rsid w:val="00AA6F5B"/>
    <w:rsid w:val="00AA7007"/>
    <w:rsid w:val="00AA70FE"/>
    <w:rsid w:val="00AA7211"/>
    <w:rsid w:val="00AA72B9"/>
    <w:rsid w:val="00AA7490"/>
    <w:rsid w:val="00AA7867"/>
    <w:rsid w:val="00AA79D0"/>
    <w:rsid w:val="00AA79DC"/>
    <w:rsid w:val="00AA7C4A"/>
    <w:rsid w:val="00AA7E1D"/>
    <w:rsid w:val="00AA7F3B"/>
    <w:rsid w:val="00AB06AF"/>
    <w:rsid w:val="00AB0745"/>
    <w:rsid w:val="00AB0BE8"/>
    <w:rsid w:val="00AB0F11"/>
    <w:rsid w:val="00AB0FB6"/>
    <w:rsid w:val="00AB1249"/>
    <w:rsid w:val="00AB13CE"/>
    <w:rsid w:val="00AB15AA"/>
    <w:rsid w:val="00AB15FA"/>
    <w:rsid w:val="00AB17B0"/>
    <w:rsid w:val="00AB1933"/>
    <w:rsid w:val="00AB1AF2"/>
    <w:rsid w:val="00AB1C77"/>
    <w:rsid w:val="00AB1F15"/>
    <w:rsid w:val="00AB1F4B"/>
    <w:rsid w:val="00AB1F5C"/>
    <w:rsid w:val="00AB1F66"/>
    <w:rsid w:val="00AB1FDD"/>
    <w:rsid w:val="00AB1FE6"/>
    <w:rsid w:val="00AB2348"/>
    <w:rsid w:val="00AB244F"/>
    <w:rsid w:val="00AB2540"/>
    <w:rsid w:val="00AB28B9"/>
    <w:rsid w:val="00AB29C1"/>
    <w:rsid w:val="00AB2A8F"/>
    <w:rsid w:val="00AB2AD0"/>
    <w:rsid w:val="00AB2E1C"/>
    <w:rsid w:val="00AB3046"/>
    <w:rsid w:val="00AB35F9"/>
    <w:rsid w:val="00AB35FD"/>
    <w:rsid w:val="00AB367C"/>
    <w:rsid w:val="00AB38E0"/>
    <w:rsid w:val="00AB3993"/>
    <w:rsid w:val="00AB3B38"/>
    <w:rsid w:val="00AB4022"/>
    <w:rsid w:val="00AB4024"/>
    <w:rsid w:val="00AB4052"/>
    <w:rsid w:val="00AB40B6"/>
    <w:rsid w:val="00AB4237"/>
    <w:rsid w:val="00AB428D"/>
    <w:rsid w:val="00AB43A1"/>
    <w:rsid w:val="00AB45DC"/>
    <w:rsid w:val="00AB46E6"/>
    <w:rsid w:val="00AB47A2"/>
    <w:rsid w:val="00AB4918"/>
    <w:rsid w:val="00AB49DB"/>
    <w:rsid w:val="00AB4C03"/>
    <w:rsid w:val="00AB4CC2"/>
    <w:rsid w:val="00AB4E5A"/>
    <w:rsid w:val="00AB4E67"/>
    <w:rsid w:val="00AB4EE0"/>
    <w:rsid w:val="00AB5318"/>
    <w:rsid w:val="00AB55B3"/>
    <w:rsid w:val="00AB567A"/>
    <w:rsid w:val="00AB5698"/>
    <w:rsid w:val="00AB59F0"/>
    <w:rsid w:val="00AB5AA1"/>
    <w:rsid w:val="00AB5B91"/>
    <w:rsid w:val="00AB5CB9"/>
    <w:rsid w:val="00AB5D98"/>
    <w:rsid w:val="00AB5FAA"/>
    <w:rsid w:val="00AB6312"/>
    <w:rsid w:val="00AB64D2"/>
    <w:rsid w:val="00AB665F"/>
    <w:rsid w:val="00AB66AD"/>
    <w:rsid w:val="00AB67ED"/>
    <w:rsid w:val="00AB680E"/>
    <w:rsid w:val="00AB6D62"/>
    <w:rsid w:val="00AB7141"/>
    <w:rsid w:val="00AB71D0"/>
    <w:rsid w:val="00AB72AB"/>
    <w:rsid w:val="00AB76EF"/>
    <w:rsid w:val="00AB785E"/>
    <w:rsid w:val="00AB7908"/>
    <w:rsid w:val="00AB7A38"/>
    <w:rsid w:val="00AB7F05"/>
    <w:rsid w:val="00AC0015"/>
    <w:rsid w:val="00AC0078"/>
    <w:rsid w:val="00AC0160"/>
    <w:rsid w:val="00AC01A4"/>
    <w:rsid w:val="00AC01DF"/>
    <w:rsid w:val="00AC02B2"/>
    <w:rsid w:val="00AC02DB"/>
    <w:rsid w:val="00AC0572"/>
    <w:rsid w:val="00AC0682"/>
    <w:rsid w:val="00AC0B28"/>
    <w:rsid w:val="00AC0C8C"/>
    <w:rsid w:val="00AC0CC6"/>
    <w:rsid w:val="00AC11B0"/>
    <w:rsid w:val="00AC1495"/>
    <w:rsid w:val="00AC1804"/>
    <w:rsid w:val="00AC193A"/>
    <w:rsid w:val="00AC199C"/>
    <w:rsid w:val="00AC1A72"/>
    <w:rsid w:val="00AC1D74"/>
    <w:rsid w:val="00AC1E0C"/>
    <w:rsid w:val="00AC1EDA"/>
    <w:rsid w:val="00AC2349"/>
    <w:rsid w:val="00AC2381"/>
    <w:rsid w:val="00AC2480"/>
    <w:rsid w:val="00AC24B1"/>
    <w:rsid w:val="00AC2502"/>
    <w:rsid w:val="00AC2BB3"/>
    <w:rsid w:val="00AC2D89"/>
    <w:rsid w:val="00AC30CB"/>
    <w:rsid w:val="00AC30F3"/>
    <w:rsid w:val="00AC3329"/>
    <w:rsid w:val="00AC3342"/>
    <w:rsid w:val="00AC3356"/>
    <w:rsid w:val="00AC33F9"/>
    <w:rsid w:val="00AC3408"/>
    <w:rsid w:val="00AC34A9"/>
    <w:rsid w:val="00AC3714"/>
    <w:rsid w:val="00AC3C8C"/>
    <w:rsid w:val="00AC3EF6"/>
    <w:rsid w:val="00AC3F36"/>
    <w:rsid w:val="00AC4064"/>
    <w:rsid w:val="00AC40D3"/>
    <w:rsid w:val="00AC41FF"/>
    <w:rsid w:val="00AC421B"/>
    <w:rsid w:val="00AC4290"/>
    <w:rsid w:val="00AC4295"/>
    <w:rsid w:val="00AC462A"/>
    <w:rsid w:val="00AC4798"/>
    <w:rsid w:val="00AC4813"/>
    <w:rsid w:val="00AC4888"/>
    <w:rsid w:val="00AC48D4"/>
    <w:rsid w:val="00AC4993"/>
    <w:rsid w:val="00AC4B17"/>
    <w:rsid w:val="00AC5202"/>
    <w:rsid w:val="00AC529F"/>
    <w:rsid w:val="00AC55F6"/>
    <w:rsid w:val="00AC5632"/>
    <w:rsid w:val="00AC56E5"/>
    <w:rsid w:val="00AC597B"/>
    <w:rsid w:val="00AC5A0D"/>
    <w:rsid w:val="00AC5BFD"/>
    <w:rsid w:val="00AC5CCF"/>
    <w:rsid w:val="00AC5D69"/>
    <w:rsid w:val="00AC60AE"/>
    <w:rsid w:val="00AC60B3"/>
    <w:rsid w:val="00AC61B8"/>
    <w:rsid w:val="00AC6671"/>
    <w:rsid w:val="00AC6844"/>
    <w:rsid w:val="00AC68F7"/>
    <w:rsid w:val="00AC6926"/>
    <w:rsid w:val="00AC6A01"/>
    <w:rsid w:val="00AC6F04"/>
    <w:rsid w:val="00AC7036"/>
    <w:rsid w:val="00AC7310"/>
    <w:rsid w:val="00AC74D6"/>
    <w:rsid w:val="00AC7783"/>
    <w:rsid w:val="00AC77B8"/>
    <w:rsid w:val="00AC78E5"/>
    <w:rsid w:val="00AC7964"/>
    <w:rsid w:val="00AC7B44"/>
    <w:rsid w:val="00AC7C85"/>
    <w:rsid w:val="00AC7E44"/>
    <w:rsid w:val="00AC7F54"/>
    <w:rsid w:val="00AD00EE"/>
    <w:rsid w:val="00AD0155"/>
    <w:rsid w:val="00AD024A"/>
    <w:rsid w:val="00AD0319"/>
    <w:rsid w:val="00AD032E"/>
    <w:rsid w:val="00AD03FA"/>
    <w:rsid w:val="00AD0577"/>
    <w:rsid w:val="00AD0733"/>
    <w:rsid w:val="00AD07F2"/>
    <w:rsid w:val="00AD0B09"/>
    <w:rsid w:val="00AD0B23"/>
    <w:rsid w:val="00AD0CED"/>
    <w:rsid w:val="00AD0E4F"/>
    <w:rsid w:val="00AD0E8B"/>
    <w:rsid w:val="00AD0ED2"/>
    <w:rsid w:val="00AD104F"/>
    <w:rsid w:val="00AD1112"/>
    <w:rsid w:val="00AD113E"/>
    <w:rsid w:val="00AD11D1"/>
    <w:rsid w:val="00AD139E"/>
    <w:rsid w:val="00AD1552"/>
    <w:rsid w:val="00AD1712"/>
    <w:rsid w:val="00AD17CB"/>
    <w:rsid w:val="00AD185A"/>
    <w:rsid w:val="00AD1A6A"/>
    <w:rsid w:val="00AD1AA9"/>
    <w:rsid w:val="00AD1F7D"/>
    <w:rsid w:val="00AD1FF2"/>
    <w:rsid w:val="00AD222D"/>
    <w:rsid w:val="00AD2244"/>
    <w:rsid w:val="00AD238A"/>
    <w:rsid w:val="00AD2447"/>
    <w:rsid w:val="00AD249E"/>
    <w:rsid w:val="00AD27F6"/>
    <w:rsid w:val="00AD296D"/>
    <w:rsid w:val="00AD2D93"/>
    <w:rsid w:val="00AD304B"/>
    <w:rsid w:val="00AD308F"/>
    <w:rsid w:val="00AD31A0"/>
    <w:rsid w:val="00AD320C"/>
    <w:rsid w:val="00AD32C4"/>
    <w:rsid w:val="00AD3421"/>
    <w:rsid w:val="00AD3489"/>
    <w:rsid w:val="00AD349B"/>
    <w:rsid w:val="00AD356E"/>
    <w:rsid w:val="00AD37BE"/>
    <w:rsid w:val="00AD3804"/>
    <w:rsid w:val="00AD3946"/>
    <w:rsid w:val="00AD3A5E"/>
    <w:rsid w:val="00AD3AF2"/>
    <w:rsid w:val="00AD3B23"/>
    <w:rsid w:val="00AD3BCE"/>
    <w:rsid w:val="00AD3CA8"/>
    <w:rsid w:val="00AD3E1D"/>
    <w:rsid w:val="00AD3EF8"/>
    <w:rsid w:val="00AD4194"/>
    <w:rsid w:val="00AD41F4"/>
    <w:rsid w:val="00AD42A7"/>
    <w:rsid w:val="00AD431F"/>
    <w:rsid w:val="00AD46A7"/>
    <w:rsid w:val="00AD47FB"/>
    <w:rsid w:val="00AD4937"/>
    <w:rsid w:val="00AD496A"/>
    <w:rsid w:val="00AD4A02"/>
    <w:rsid w:val="00AD4E10"/>
    <w:rsid w:val="00AD5336"/>
    <w:rsid w:val="00AD552F"/>
    <w:rsid w:val="00AD5546"/>
    <w:rsid w:val="00AD5573"/>
    <w:rsid w:val="00AD5774"/>
    <w:rsid w:val="00AD57B6"/>
    <w:rsid w:val="00AD594E"/>
    <w:rsid w:val="00AD5A2D"/>
    <w:rsid w:val="00AD5AA6"/>
    <w:rsid w:val="00AD5C76"/>
    <w:rsid w:val="00AD5CBE"/>
    <w:rsid w:val="00AD5E54"/>
    <w:rsid w:val="00AD5F9E"/>
    <w:rsid w:val="00AD6710"/>
    <w:rsid w:val="00AD6BB2"/>
    <w:rsid w:val="00AD6D37"/>
    <w:rsid w:val="00AD6EA0"/>
    <w:rsid w:val="00AD7254"/>
    <w:rsid w:val="00AD729B"/>
    <w:rsid w:val="00AD729E"/>
    <w:rsid w:val="00AD72CD"/>
    <w:rsid w:val="00AD7336"/>
    <w:rsid w:val="00AD74E2"/>
    <w:rsid w:val="00AD762C"/>
    <w:rsid w:val="00AD764A"/>
    <w:rsid w:val="00AD7A3B"/>
    <w:rsid w:val="00AD7D3B"/>
    <w:rsid w:val="00AD7D8F"/>
    <w:rsid w:val="00AE0039"/>
    <w:rsid w:val="00AE0051"/>
    <w:rsid w:val="00AE00AF"/>
    <w:rsid w:val="00AE00F0"/>
    <w:rsid w:val="00AE0148"/>
    <w:rsid w:val="00AE08A6"/>
    <w:rsid w:val="00AE09B2"/>
    <w:rsid w:val="00AE0AEB"/>
    <w:rsid w:val="00AE0E74"/>
    <w:rsid w:val="00AE0F1F"/>
    <w:rsid w:val="00AE0F35"/>
    <w:rsid w:val="00AE0FD2"/>
    <w:rsid w:val="00AE113F"/>
    <w:rsid w:val="00AE152D"/>
    <w:rsid w:val="00AE1629"/>
    <w:rsid w:val="00AE16C6"/>
    <w:rsid w:val="00AE1865"/>
    <w:rsid w:val="00AE1953"/>
    <w:rsid w:val="00AE19D7"/>
    <w:rsid w:val="00AE1A49"/>
    <w:rsid w:val="00AE1A67"/>
    <w:rsid w:val="00AE1C66"/>
    <w:rsid w:val="00AE1D9E"/>
    <w:rsid w:val="00AE1F01"/>
    <w:rsid w:val="00AE1F92"/>
    <w:rsid w:val="00AE215B"/>
    <w:rsid w:val="00AE24A4"/>
    <w:rsid w:val="00AE24D8"/>
    <w:rsid w:val="00AE252D"/>
    <w:rsid w:val="00AE2685"/>
    <w:rsid w:val="00AE26A3"/>
    <w:rsid w:val="00AE2771"/>
    <w:rsid w:val="00AE3059"/>
    <w:rsid w:val="00AE3096"/>
    <w:rsid w:val="00AE3206"/>
    <w:rsid w:val="00AE32A2"/>
    <w:rsid w:val="00AE3377"/>
    <w:rsid w:val="00AE33F1"/>
    <w:rsid w:val="00AE340F"/>
    <w:rsid w:val="00AE344C"/>
    <w:rsid w:val="00AE3485"/>
    <w:rsid w:val="00AE35F3"/>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9A5"/>
    <w:rsid w:val="00AE4A77"/>
    <w:rsid w:val="00AE4B45"/>
    <w:rsid w:val="00AE4B86"/>
    <w:rsid w:val="00AE4C59"/>
    <w:rsid w:val="00AE5176"/>
    <w:rsid w:val="00AE55EF"/>
    <w:rsid w:val="00AE561C"/>
    <w:rsid w:val="00AE56B7"/>
    <w:rsid w:val="00AE5793"/>
    <w:rsid w:val="00AE5C80"/>
    <w:rsid w:val="00AE5F34"/>
    <w:rsid w:val="00AE5FA7"/>
    <w:rsid w:val="00AE6018"/>
    <w:rsid w:val="00AE60AF"/>
    <w:rsid w:val="00AE61B5"/>
    <w:rsid w:val="00AE6265"/>
    <w:rsid w:val="00AE6524"/>
    <w:rsid w:val="00AE67BF"/>
    <w:rsid w:val="00AE6A03"/>
    <w:rsid w:val="00AE6C62"/>
    <w:rsid w:val="00AE6C7B"/>
    <w:rsid w:val="00AE6D14"/>
    <w:rsid w:val="00AE6F32"/>
    <w:rsid w:val="00AE7802"/>
    <w:rsid w:val="00AE7A5F"/>
    <w:rsid w:val="00AE7B13"/>
    <w:rsid w:val="00AE7B20"/>
    <w:rsid w:val="00AE7B7E"/>
    <w:rsid w:val="00AE7D69"/>
    <w:rsid w:val="00AE7DA6"/>
    <w:rsid w:val="00AE7DBE"/>
    <w:rsid w:val="00AE7E44"/>
    <w:rsid w:val="00AE7E51"/>
    <w:rsid w:val="00AE7ECE"/>
    <w:rsid w:val="00AE7FD7"/>
    <w:rsid w:val="00AE7FFC"/>
    <w:rsid w:val="00AF000C"/>
    <w:rsid w:val="00AF00E2"/>
    <w:rsid w:val="00AF0268"/>
    <w:rsid w:val="00AF050B"/>
    <w:rsid w:val="00AF05C3"/>
    <w:rsid w:val="00AF05D1"/>
    <w:rsid w:val="00AF0D73"/>
    <w:rsid w:val="00AF0DD7"/>
    <w:rsid w:val="00AF0EB9"/>
    <w:rsid w:val="00AF0F15"/>
    <w:rsid w:val="00AF0F16"/>
    <w:rsid w:val="00AF128C"/>
    <w:rsid w:val="00AF13A1"/>
    <w:rsid w:val="00AF17DF"/>
    <w:rsid w:val="00AF181D"/>
    <w:rsid w:val="00AF1885"/>
    <w:rsid w:val="00AF1968"/>
    <w:rsid w:val="00AF19DF"/>
    <w:rsid w:val="00AF1B25"/>
    <w:rsid w:val="00AF1B73"/>
    <w:rsid w:val="00AF1EEC"/>
    <w:rsid w:val="00AF2198"/>
    <w:rsid w:val="00AF27A5"/>
    <w:rsid w:val="00AF27DE"/>
    <w:rsid w:val="00AF288B"/>
    <w:rsid w:val="00AF2A84"/>
    <w:rsid w:val="00AF2C9D"/>
    <w:rsid w:val="00AF2DAE"/>
    <w:rsid w:val="00AF30E2"/>
    <w:rsid w:val="00AF3167"/>
    <w:rsid w:val="00AF3367"/>
    <w:rsid w:val="00AF3543"/>
    <w:rsid w:val="00AF3715"/>
    <w:rsid w:val="00AF3768"/>
    <w:rsid w:val="00AF37DE"/>
    <w:rsid w:val="00AF3867"/>
    <w:rsid w:val="00AF3A7C"/>
    <w:rsid w:val="00AF3BC5"/>
    <w:rsid w:val="00AF3BCC"/>
    <w:rsid w:val="00AF3EF6"/>
    <w:rsid w:val="00AF436B"/>
    <w:rsid w:val="00AF4438"/>
    <w:rsid w:val="00AF4501"/>
    <w:rsid w:val="00AF4709"/>
    <w:rsid w:val="00AF47B2"/>
    <w:rsid w:val="00AF4866"/>
    <w:rsid w:val="00AF488A"/>
    <w:rsid w:val="00AF4B9B"/>
    <w:rsid w:val="00AF4BF7"/>
    <w:rsid w:val="00AF4DB9"/>
    <w:rsid w:val="00AF4E03"/>
    <w:rsid w:val="00AF4E22"/>
    <w:rsid w:val="00AF514B"/>
    <w:rsid w:val="00AF51D5"/>
    <w:rsid w:val="00AF52FB"/>
    <w:rsid w:val="00AF560A"/>
    <w:rsid w:val="00AF57DD"/>
    <w:rsid w:val="00AF59C4"/>
    <w:rsid w:val="00AF5E36"/>
    <w:rsid w:val="00AF6184"/>
    <w:rsid w:val="00AF6356"/>
    <w:rsid w:val="00AF63A2"/>
    <w:rsid w:val="00AF63BB"/>
    <w:rsid w:val="00AF6463"/>
    <w:rsid w:val="00AF670A"/>
    <w:rsid w:val="00AF6796"/>
    <w:rsid w:val="00AF71B8"/>
    <w:rsid w:val="00AF742A"/>
    <w:rsid w:val="00AF7689"/>
    <w:rsid w:val="00AF76DB"/>
    <w:rsid w:val="00AF7869"/>
    <w:rsid w:val="00AF7A84"/>
    <w:rsid w:val="00AF7A98"/>
    <w:rsid w:val="00AF7CB8"/>
    <w:rsid w:val="00AF7D84"/>
    <w:rsid w:val="00AF7EB9"/>
    <w:rsid w:val="00AF7F02"/>
    <w:rsid w:val="00AF7F2E"/>
    <w:rsid w:val="00B00311"/>
    <w:rsid w:val="00B0035D"/>
    <w:rsid w:val="00B003BB"/>
    <w:rsid w:val="00B00496"/>
    <w:rsid w:val="00B00574"/>
    <w:rsid w:val="00B00730"/>
    <w:rsid w:val="00B00AAA"/>
    <w:rsid w:val="00B0108B"/>
    <w:rsid w:val="00B011E9"/>
    <w:rsid w:val="00B01282"/>
    <w:rsid w:val="00B01287"/>
    <w:rsid w:val="00B0155B"/>
    <w:rsid w:val="00B01630"/>
    <w:rsid w:val="00B0165F"/>
    <w:rsid w:val="00B01A14"/>
    <w:rsid w:val="00B01A25"/>
    <w:rsid w:val="00B01C07"/>
    <w:rsid w:val="00B01C4D"/>
    <w:rsid w:val="00B01CDE"/>
    <w:rsid w:val="00B01D69"/>
    <w:rsid w:val="00B01DC9"/>
    <w:rsid w:val="00B02127"/>
    <w:rsid w:val="00B02139"/>
    <w:rsid w:val="00B0217B"/>
    <w:rsid w:val="00B021EF"/>
    <w:rsid w:val="00B02330"/>
    <w:rsid w:val="00B02614"/>
    <w:rsid w:val="00B027E9"/>
    <w:rsid w:val="00B02978"/>
    <w:rsid w:val="00B02B0E"/>
    <w:rsid w:val="00B02C53"/>
    <w:rsid w:val="00B02C57"/>
    <w:rsid w:val="00B02C8D"/>
    <w:rsid w:val="00B02CAF"/>
    <w:rsid w:val="00B02DB0"/>
    <w:rsid w:val="00B031A4"/>
    <w:rsid w:val="00B031F9"/>
    <w:rsid w:val="00B0340E"/>
    <w:rsid w:val="00B036E3"/>
    <w:rsid w:val="00B037A1"/>
    <w:rsid w:val="00B037C7"/>
    <w:rsid w:val="00B03A17"/>
    <w:rsid w:val="00B03DAE"/>
    <w:rsid w:val="00B03DD9"/>
    <w:rsid w:val="00B03F94"/>
    <w:rsid w:val="00B04026"/>
    <w:rsid w:val="00B040A8"/>
    <w:rsid w:val="00B0412B"/>
    <w:rsid w:val="00B043A6"/>
    <w:rsid w:val="00B047CE"/>
    <w:rsid w:val="00B049AF"/>
    <w:rsid w:val="00B04B0F"/>
    <w:rsid w:val="00B04BD8"/>
    <w:rsid w:val="00B04BD9"/>
    <w:rsid w:val="00B05073"/>
    <w:rsid w:val="00B0526B"/>
    <w:rsid w:val="00B05341"/>
    <w:rsid w:val="00B05513"/>
    <w:rsid w:val="00B0558D"/>
    <w:rsid w:val="00B0567D"/>
    <w:rsid w:val="00B05A2C"/>
    <w:rsid w:val="00B05F39"/>
    <w:rsid w:val="00B06025"/>
    <w:rsid w:val="00B060E3"/>
    <w:rsid w:val="00B065DD"/>
    <w:rsid w:val="00B065F3"/>
    <w:rsid w:val="00B06774"/>
    <w:rsid w:val="00B0681E"/>
    <w:rsid w:val="00B06BC9"/>
    <w:rsid w:val="00B06C06"/>
    <w:rsid w:val="00B06DED"/>
    <w:rsid w:val="00B06DEE"/>
    <w:rsid w:val="00B06F1F"/>
    <w:rsid w:val="00B06F31"/>
    <w:rsid w:val="00B07309"/>
    <w:rsid w:val="00B0744F"/>
    <w:rsid w:val="00B07497"/>
    <w:rsid w:val="00B07504"/>
    <w:rsid w:val="00B0754C"/>
    <w:rsid w:val="00B0774D"/>
    <w:rsid w:val="00B07875"/>
    <w:rsid w:val="00B07B46"/>
    <w:rsid w:val="00B07D21"/>
    <w:rsid w:val="00B07EBC"/>
    <w:rsid w:val="00B07F88"/>
    <w:rsid w:val="00B07FFA"/>
    <w:rsid w:val="00B07FFE"/>
    <w:rsid w:val="00B10001"/>
    <w:rsid w:val="00B1002C"/>
    <w:rsid w:val="00B1021D"/>
    <w:rsid w:val="00B10341"/>
    <w:rsid w:val="00B107C2"/>
    <w:rsid w:val="00B108E3"/>
    <w:rsid w:val="00B10CA9"/>
    <w:rsid w:val="00B11051"/>
    <w:rsid w:val="00B1135B"/>
    <w:rsid w:val="00B11561"/>
    <w:rsid w:val="00B118D0"/>
    <w:rsid w:val="00B11907"/>
    <w:rsid w:val="00B11971"/>
    <w:rsid w:val="00B11AAF"/>
    <w:rsid w:val="00B11CCB"/>
    <w:rsid w:val="00B11DD0"/>
    <w:rsid w:val="00B126EF"/>
    <w:rsid w:val="00B127BA"/>
    <w:rsid w:val="00B12885"/>
    <w:rsid w:val="00B12EAD"/>
    <w:rsid w:val="00B12F63"/>
    <w:rsid w:val="00B13035"/>
    <w:rsid w:val="00B13257"/>
    <w:rsid w:val="00B1347B"/>
    <w:rsid w:val="00B134CD"/>
    <w:rsid w:val="00B137DE"/>
    <w:rsid w:val="00B137F4"/>
    <w:rsid w:val="00B1381E"/>
    <w:rsid w:val="00B13824"/>
    <w:rsid w:val="00B13A5C"/>
    <w:rsid w:val="00B13B49"/>
    <w:rsid w:val="00B13C3F"/>
    <w:rsid w:val="00B13C59"/>
    <w:rsid w:val="00B13ED2"/>
    <w:rsid w:val="00B13F50"/>
    <w:rsid w:val="00B1405A"/>
    <w:rsid w:val="00B141C7"/>
    <w:rsid w:val="00B1467A"/>
    <w:rsid w:val="00B14760"/>
    <w:rsid w:val="00B14E0C"/>
    <w:rsid w:val="00B152F8"/>
    <w:rsid w:val="00B154C4"/>
    <w:rsid w:val="00B155D3"/>
    <w:rsid w:val="00B157DC"/>
    <w:rsid w:val="00B15933"/>
    <w:rsid w:val="00B159AE"/>
    <w:rsid w:val="00B159DC"/>
    <w:rsid w:val="00B15ACD"/>
    <w:rsid w:val="00B15B35"/>
    <w:rsid w:val="00B15D09"/>
    <w:rsid w:val="00B15D5D"/>
    <w:rsid w:val="00B15EEB"/>
    <w:rsid w:val="00B160D5"/>
    <w:rsid w:val="00B160DD"/>
    <w:rsid w:val="00B161BD"/>
    <w:rsid w:val="00B1639B"/>
    <w:rsid w:val="00B1651B"/>
    <w:rsid w:val="00B1678D"/>
    <w:rsid w:val="00B16823"/>
    <w:rsid w:val="00B16BC8"/>
    <w:rsid w:val="00B16D51"/>
    <w:rsid w:val="00B16ED0"/>
    <w:rsid w:val="00B1708D"/>
    <w:rsid w:val="00B17195"/>
    <w:rsid w:val="00B17375"/>
    <w:rsid w:val="00B17522"/>
    <w:rsid w:val="00B17571"/>
    <w:rsid w:val="00B17716"/>
    <w:rsid w:val="00B178B6"/>
    <w:rsid w:val="00B179E6"/>
    <w:rsid w:val="00B17B06"/>
    <w:rsid w:val="00B17B55"/>
    <w:rsid w:val="00B17BA2"/>
    <w:rsid w:val="00B17CBB"/>
    <w:rsid w:val="00B17FD9"/>
    <w:rsid w:val="00B20103"/>
    <w:rsid w:val="00B201BD"/>
    <w:rsid w:val="00B2066F"/>
    <w:rsid w:val="00B20675"/>
    <w:rsid w:val="00B20982"/>
    <w:rsid w:val="00B20A30"/>
    <w:rsid w:val="00B20ABA"/>
    <w:rsid w:val="00B20ACB"/>
    <w:rsid w:val="00B20BF3"/>
    <w:rsid w:val="00B20F29"/>
    <w:rsid w:val="00B21237"/>
    <w:rsid w:val="00B21493"/>
    <w:rsid w:val="00B21498"/>
    <w:rsid w:val="00B2164E"/>
    <w:rsid w:val="00B21849"/>
    <w:rsid w:val="00B218AE"/>
    <w:rsid w:val="00B2192D"/>
    <w:rsid w:val="00B2196A"/>
    <w:rsid w:val="00B21B0E"/>
    <w:rsid w:val="00B21CCC"/>
    <w:rsid w:val="00B21CE6"/>
    <w:rsid w:val="00B21DAA"/>
    <w:rsid w:val="00B21FEE"/>
    <w:rsid w:val="00B221EC"/>
    <w:rsid w:val="00B2254A"/>
    <w:rsid w:val="00B226FD"/>
    <w:rsid w:val="00B227DF"/>
    <w:rsid w:val="00B22C8F"/>
    <w:rsid w:val="00B22D9C"/>
    <w:rsid w:val="00B23014"/>
    <w:rsid w:val="00B230C3"/>
    <w:rsid w:val="00B230F2"/>
    <w:rsid w:val="00B23186"/>
    <w:rsid w:val="00B232D8"/>
    <w:rsid w:val="00B233A8"/>
    <w:rsid w:val="00B233BA"/>
    <w:rsid w:val="00B23483"/>
    <w:rsid w:val="00B235B6"/>
    <w:rsid w:val="00B23738"/>
    <w:rsid w:val="00B238D2"/>
    <w:rsid w:val="00B239C9"/>
    <w:rsid w:val="00B23A31"/>
    <w:rsid w:val="00B23AB6"/>
    <w:rsid w:val="00B23BFC"/>
    <w:rsid w:val="00B23CBE"/>
    <w:rsid w:val="00B2446B"/>
    <w:rsid w:val="00B245B1"/>
    <w:rsid w:val="00B245BA"/>
    <w:rsid w:val="00B245D9"/>
    <w:rsid w:val="00B24A71"/>
    <w:rsid w:val="00B24ABC"/>
    <w:rsid w:val="00B24D09"/>
    <w:rsid w:val="00B24DFF"/>
    <w:rsid w:val="00B2538D"/>
    <w:rsid w:val="00B25398"/>
    <w:rsid w:val="00B2561E"/>
    <w:rsid w:val="00B25770"/>
    <w:rsid w:val="00B25924"/>
    <w:rsid w:val="00B25AA2"/>
    <w:rsid w:val="00B26002"/>
    <w:rsid w:val="00B26078"/>
    <w:rsid w:val="00B260E6"/>
    <w:rsid w:val="00B26172"/>
    <w:rsid w:val="00B261B1"/>
    <w:rsid w:val="00B26632"/>
    <w:rsid w:val="00B26A5F"/>
    <w:rsid w:val="00B26A69"/>
    <w:rsid w:val="00B26AA2"/>
    <w:rsid w:val="00B26B8E"/>
    <w:rsid w:val="00B26C25"/>
    <w:rsid w:val="00B26CB8"/>
    <w:rsid w:val="00B26CE2"/>
    <w:rsid w:val="00B26DCF"/>
    <w:rsid w:val="00B26FC0"/>
    <w:rsid w:val="00B270D4"/>
    <w:rsid w:val="00B27413"/>
    <w:rsid w:val="00B27426"/>
    <w:rsid w:val="00B274CB"/>
    <w:rsid w:val="00B2786A"/>
    <w:rsid w:val="00B278C9"/>
    <w:rsid w:val="00B27924"/>
    <w:rsid w:val="00B27AC5"/>
    <w:rsid w:val="00B27F25"/>
    <w:rsid w:val="00B27FEC"/>
    <w:rsid w:val="00B30120"/>
    <w:rsid w:val="00B3032A"/>
    <w:rsid w:val="00B304E9"/>
    <w:rsid w:val="00B30844"/>
    <w:rsid w:val="00B30C51"/>
    <w:rsid w:val="00B30D86"/>
    <w:rsid w:val="00B30F6A"/>
    <w:rsid w:val="00B310B3"/>
    <w:rsid w:val="00B3125C"/>
    <w:rsid w:val="00B31289"/>
    <w:rsid w:val="00B31530"/>
    <w:rsid w:val="00B318DC"/>
    <w:rsid w:val="00B31955"/>
    <w:rsid w:val="00B31A3E"/>
    <w:rsid w:val="00B31BA3"/>
    <w:rsid w:val="00B32112"/>
    <w:rsid w:val="00B323DA"/>
    <w:rsid w:val="00B3253D"/>
    <w:rsid w:val="00B325BD"/>
    <w:rsid w:val="00B32627"/>
    <w:rsid w:val="00B3291D"/>
    <w:rsid w:val="00B32A68"/>
    <w:rsid w:val="00B32E9C"/>
    <w:rsid w:val="00B331C9"/>
    <w:rsid w:val="00B33360"/>
    <w:rsid w:val="00B33484"/>
    <w:rsid w:val="00B335DE"/>
    <w:rsid w:val="00B3366F"/>
    <w:rsid w:val="00B336A7"/>
    <w:rsid w:val="00B336B0"/>
    <w:rsid w:val="00B33745"/>
    <w:rsid w:val="00B33919"/>
    <w:rsid w:val="00B33DA0"/>
    <w:rsid w:val="00B3418D"/>
    <w:rsid w:val="00B341B8"/>
    <w:rsid w:val="00B342CF"/>
    <w:rsid w:val="00B3443D"/>
    <w:rsid w:val="00B34701"/>
    <w:rsid w:val="00B34804"/>
    <w:rsid w:val="00B3495C"/>
    <w:rsid w:val="00B34BFC"/>
    <w:rsid w:val="00B34CF7"/>
    <w:rsid w:val="00B34E22"/>
    <w:rsid w:val="00B34E67"/>
    <w:rsid w:val="00B34EB8"/>
    <w:rsid w:val="00B34EBA"/>
    <w:rsid w:val="00B34EEF"/>
    <w:rsid w:val="00B34F4C"/>
    <w:rsid w:val="00B35018"/>
    <w:rsid w:val="00B3527E"/>
    <w:rsid w:val="00B354F5"/>
    <w:rsid w:val="00B35612"/>
    <w:rsid w:val="00B3574F"/>
    <w:rsid w:val="00B35905"/>
    <w:rsid w:val="00B35A9F"/>
    <w:rsid w:val="00B35B5D"/>
    <w:rsid w:val="00B35FED"/>
    <w:rsid w:val="00B360C0"/>
    <w:rsid w:val="00B3620C"/>
    <w:rsid w:val="00B36290"/>
    <w:rsid w:val="00B366E3"/>
    <w:rsid w:val="00B36C38"/>
    <w:rsid w:val="00B36CC5"/>
    <w:rsid w:val="00B36D3B"/>
    <w:rsid w:val="00B36D48"/>
    <w:rsid w:val="00B37028"/>
    <w:rsid w:val="00B3728B"/>
    <w:rsid w:val="00B373B6"/>
    <w:rsid w:val="00B379A4"/>
    <w:rsid w:val="00B37BAC"/>
    <w:rsid w:val="00B37C1F"/>
    <w:rsid w:val="00B37C91"/>
    <w:rsid w:val="00B37E06"/>
    <w:rsid w:val="00B37EA1"/>
    <w:rsid w:val="00B37F0E"/>
    <w:rsid w:val="00B400D6"/>
    <w:rsid w:val="00B40222"/>
    <w:rsid w:val="00B403FD"/>
    <w:rsid w:val="00B406BF"/>
    <w:rsid w:val="00B406FA"/>
    <w:rsid w:val="00B40859"/>
    <w:rsid w:val="00B409C6"/>
    <w:rsid w:val="00B409FB"/>
    <w:rsid w:val="00B40AE0"/>
    <w:rsid w:val="00B40EA9"/>
    <w:rsid w:val="00B41504"/>
    <w:rsid w:val="00B41540"/>
    <w:rsid w:val="00B416E3"/>
    <w:rsid w:val="00B41780"/>
    <w:rsid w:val="00B41948"/>
    <w:rsid w:val="00B419FE"/>
    <w:rsid w:val="00B41D0D"/>
    <w:rsid w:val="00B4202D"/>
    <w:rsid w:val="00B42230"/>
    <w:rsid w:val="00B4276C"/>
    <w:rsid w:val="00B427AA"/>
    <w:rsid w:val="00B42874"/>
    <w:rsid w:val="00B42905"/>
    <w:rsid w:val="00B42910"/>
    <w:rsid w:val="00B429A6"/>
    <w:rsid w:val="00B429D5"/>
    <w:rsid w:val="00B430A8"/>
    <w:rsid w:val="00B431F9"/>
    <w:rsid w:val="00B43268"/>
    <w:rsid w:val="00B4331F"/>
    <w:rsid w:val="00B43423"/>
    <w:rsid w:val="00B435BC"/>
    <w:rsid w:val="00B435D5"/>
    <w:rsid w:val="00B435F2"/>
    <w:rsid w:val="00B4372B"/>
    <w:rsid w:val="00B43A35"/>
    <w:rsid w:val="00B43CB7"/>
    <w:rsid w:val="00B43FD6"/>
    <w:rsid w:val="00B441A1"/>
    <w:rsid w:val="00B4420A"/>
    <w:rsid w:val="00B44265"/>
    <w:rsid w:val="00B4429A"/>
    <w:rsid w:val="00B442B0"/>
    <w:rsid w:val="00B4434F"/>
    <w:rsid w:val="00B44364"/>
    <w:rsid w:val="00B44483"/>
    <w:rsid w:val="00B445E1"/>
    <w:rsid w:val="00B445E5"/>
    <w:rsid w:val="00B44607"/>
    <w:rsid w:val="00B4460A"/>
    <w:rsid w:val="00B44656"/>
    <w:rsid w:val="00B44738"/>
    <w:rsid w:val="00B44808"/>
    <w:rsid w:val="00B44C5D"/>
    <w:rsid w:val="00B44D1A"/>
    <w:rsid w:val="00B44E2E"/>
    <w:rsid w:val="00B451E1"/>
    <w:rsid w:val="00B453B0"/>
    <w:rsid w:val="00B4542D"/>
    <w:rsid w:val="00B45500"/>
    <w:rsid w:val="00B45532"/>
    <w:rsid w:val="00B455FF"/>
    <w:rsid w:val="00B4576E"/>
    <w:rsid w:val="00B4577A"/>
    <w:rsid w:val="00B45A03"/>
    <w:rsid w:val="00B45C92"/>
    <w:rsid w:val="00B45CF6"/>
    <w:rsid w:val="00B45D70"/>
    <w:rsid w:val="00B45F81"/>
    <w:rsid w:val="00B4614D"/>
    <w:rsid w:val="00B46324"/>
    <w:rsid w:val="00B463BE"/>
    <w:rsid w:val="00B464A3"/>
    <w:rsid w:val="00B464E7"/>
    <w:rsid w:val="00B465A9"/>
    <w:rsid w:val="00B4679C"/>
    <w:rsid w:val="00B467F7"/>
    <w:rsid w:val="00B469EB"/>
    <w:rsid w:val="00B46B68"/>
    <w:rsid w:val="00B46B77"/>
    <w:rsid w:val="00B46DAF"/>
    <w:rsid w:val="00B46E36"/>
    <w:rsid w:val="00B46F36"/>
    <w:rsid w:val="00B46F71"/>
    <w:rsid w:val="00B4719F"/>
    <w:rsid w:val="00B471E1"/>
    <w:rsid w:val="00B472BE"/>
    <w:rsid w:val="00B4759B"/>
    <w:rsid w:val="00B476A6"/>
    <w:rsid w:val="00B47757"/>
    <w:rsid w:val="00B47774"/>
    <w:rsid w:val="00B477F7"/>
    <w:rsid w:val="00B4782E"/>
    <w:rsid w:val="00B47835"/>
    <w:rsid w:val="00B479BA"/>
    <w:rsid w:val="00B47B15"/>
    <w:rsid w:val="00B47C02"/>
    <w:rsid w:val="00B47CF5"/>
    <w:rsid w:val="00B47E10"/>
    <w:rsid w:val="00B47FC9"/>
    <w:rsid w:val="00B5018E"/>
    <w:rsid w:val="00B50210"/>
    <w:rsid w:val="00B50313"/>
    <w:rsid w:val="00B5048B"/>
    <w:rsid w:val="00B504F3"/>
    <w:rsid w:val="00B50547"/>
    <w:rsid w:val="00B5059C"/>
    <w:rsid w:val="00B506A3"/>
    <w:rsid w:val="00B5074C"/>
    <w:rsid w:val="00B5081F"/>
    <w:rsid w:val="00B50B22"/>
    <w:rsid w:val="00B50C52"/>
    <w:rsid w:val="00B50CC5"/>
    <w:rsid w:val="00B50DD2"/>
    <w:rsid w:val="00B50E45"/>
    <w:rsid w:val="00B50FA6"/>
    <w:rsid w:val="00B510E3"/>
    <w:rsid w:val="00B51164"/>
    <w:rsid w:val="00B5149A"/>
    <w:rsid w:val="00B514CE"/>
    <w:rsid w:val="00B51705"/>
    <w:rsid w:val="00B5195E"/>
    <w:rsid w:val="00B51C50"/>
    <w:rsid w:val="00B51EE2"/>
    <w:rsid w:val="00B51F38"/>
    <w:rsid w:val="00B52661"/>
    <w:rsid w:val="00B526D5"/>
    <w:rsid w:val="00B52728"/>
    <w:rsid w:val="00B52803"/>
    <w:rsid w:val="00B52817"/>
    <w:rsid w:val="00B52982"/>
    <w:rsid w:val="00B52ABC"/>
    <w:rsid w:val="00B52AF5"/>
    <w:rsid w:val="00B52C7E"/>
    <w:rsid w:val="00B52EAF"/>
    <w:rsid w:val="00B530AE"/>
    <w:rsid w:val="00B531A1"/>
    <w:rsid w:val="00B53608"/>
    <w:rsid w:val="00B536AF"/>
    <w:rsid w:val="00B53755"/>
    <w:rsid w:val="00B53770"/>
    <w:rsid w:val="00B537C7"/>
    <w:rsid w:val="00B537DB"/>
    <w:rsid w:val="00B53832"/>
    <w:rsid w:val="00B53C68"/>
    <w:rsid w:val="00B53CB1"/>
    <w:rsid w:val="00B53D15"/>
    <w:rsid w:val="00B5425E"/>
    <w:rsid w:val="00B542E5"/>
    <w:rsid w:val="00B54433"/>
    <w:rsid w:val="00B5448C"/>
    <w:rsid w:val="00B546E1"/>
    <w:rsid w:val="00B548A3"/>
    <w:rsid w:val="00B54BFC"/>
    <w:rsid w:val="00B54D5F"/>
    <w:rsid w:val="00B54F7E"/>
    <w:rsid w:val="00B55095"/>
    <w:rsid w:val="00B553C4"/>
    <w:rsid w:val="00B55A82"/>
    <w:rsid w:val="00B55D36"/>
    <w:rsid w:val="00B55D92"/>
    <w:rsid w:val="00B55E5A"/>
    <w:rsid w:val="00B55ED7"/>
    <w:rsid w:val="00B56312"/>
    <w:rsid w:val="00B56471"/>
    <w:rsid w:val="00B56641"/>
    <w:rsid w:val="00B56B0A"/>
    <w:rsid w:val="00B56C38"/>
    <w:rsid w:val="00B56FAF"/>
    <w:rsid w:val="00B570A3"/>
    <w:rsid w:val="00B57681"/>
    <w:rsid w:val="00B577B6"/>
    <w:rsid w:val="00B57874"/>
    <w:rsid w:val="00B57895"/>
    <w:rsid w:val="00B57A99"/>
    <w:rsid w:val="00B57C59"/>
    <w:rsid w:val="00B57CBD"/>
    <w:rsid w:val="00B57FF4"/>
    <w:rsid w:val="00B6043F"/>
    <w:rsid w:val="00B605F8"/>
    <w:rsid w:val="00B606F1"/>
    <w:rsid w:val="00B606FF"/>
    <w:rsid w:val="00B607F7"/>
    <w:rsid w:val="00B60AC9"/>
    <w:rsid w:val="00B60D38"/>
    <w:rsid w:val="00B60DFB"/>
    <w:rsid w:val="00B6137C"/>
    <w:rsid w:val="00B614AA"/>
    <w:rsid w:val="00B614CF"/>
    <w:rsid w:val="00B61580"/>
    <w:rsid w:val="00B61645"/>
    <w:rsid w:val="00B618C7"/>
    <w:rsid w:val="00B61946"/>
    <w:rsid w:val="00B61A46"/>
    <w:rsid w:val="00B61AD7"/>
    <w:rsid w:val="00B61AFD"/>
    <w:rsid w:val="00B61C7E"/>
    <w:rsid w:val="00B61C94"/>
    <w:rsid w:val="00B61CBA"/>
    <w:rsid w:val="00B61D23"/>
    <w:rsid w:val="00B61E4B"/>
    <w:rsid w:val="00B61F09"/>
    <w:rsid w:val="00B62108"/>
    <w:rsid w:val="00B62145"/>
    <w:rsid w:val="00B62192"/>
    <w:rsid w:val="00B6223C"/>
    <w:rsid w:val="00B623B3"/>
    <w:rsid w:val="00B62417"/>
    <w:rsid w:val="00B625CD"/>
    <w:rsid w:val="00B6270E"/>
    <w:rsid w:val="00B6296B"/>
    <w:rsid w:val="00B62FCA"/>
    <w:rsid w:val="00B631EA"/>
    <w:rsid w:val="00B632AA"/>
    <w:rsid w:val="00B632B6"/>
    <w:rsid w:val="00B6333A"/>
    <w:rsid w:val="00B6335C"/>
    <w:rsid w:val="00B634BE"/>
    <w:rsid w:val="00B634F2"/>
    <w:rsid w:val="00B6352B"/>
    <w:rsid w:val="00B63565"/>
    <w:rsid w:val="00B63640"/>
    <w:rsid w:val="00B63642"/>
    <w:rsid w:val="00B637E6"/>
    <w:rsid w:val="00B638B1"/>
    <w:rsid w:val="00B638B9"/>
    <w:rsid w:val="00B63BB5"/>
    <w:rsid w:val="00B63FEF"/>
    <w:rsid w:val="00B64181"/>
    <w:rsid w:val="00B642F9"/>
    <w:rsid w:val="00B64465"/>
    <w:rsid w:val="00B648A1"/>
    <w:rsid w:val="00B648EC"/>
    <w:rsid w:val="00B64977"/>
    <w:rsid w:val="00B649D2"/>
    <w:rsid w:val="00B64B97"/>
    <w:rsid w:val="00B64D89"/>
    <w:rsid w:val="00B64DBC"/>
    <w:rsid w:val="00B64E8C"/>
    <w:rsid w:val="00B650F4"/>
    <w:rsid w:val="00B652EF"/>
    <w:rsid w:val="00B6535B"/>
    <w:rsid w:val="00B6536A"/>
    <w:rsid w:val="00B65378"/>
    <w:rsid w:val="00B6538E"/>
    <w:rsid w:val="00B655CA"/>
    <w:rsid w:val="00B657B6"/>
    <w:rsid w:val="00B6580C"/>
    <w:rsid w:val="00B658E2"/>
    <w:rsid w:val="00B659FF"/>
    <w:rsid w:val="00B65ABB"/>
    <w:rsid w:val="00B65BC9"/>
    <w:rsid w:val="00B65DC9"/>
    <w:rsid w:val="00B66041"/>
    <w:rsid w:val="00B66112"/>
    <w:rsid w:val="00B666C7"/>
    <w:rsid w:val="00B66769"/>
    <w:rsid w:val="00B667A5"/>
    <w:rsid w:val="00B66D46"/>
    <w:rsid w:val="00B66F55"/>
    <w:rsid w:val="00B67009"/>
    <w:rsid w:val="00B67110"/>
    <w:rsid w:val="00B6711B"/>
    <w:rsid w:val="00B671A0"/>
    <w:rsid w:val="00B6725C"/>
    <w:rsid w:val="00B6728A"/>
    <w:rsid w:val="00B67535"/>
    <w:rsid w:val="00B67678"/>
    <w:rsid w:val="00B6769E"/>
    <w:rsid w:val="00B6789C"/>
    <w:rsid w:val="00B67ABA"/>
    <w:rsid w:val="00B67CA6"/>
    <w:rsid w:val="00B67D20"/>
    <w:rsid w:val="00B67E69"/>
    <w:rsid w:val="00B67F79"/>
    <w:rsid w:val="00B7006B"/>
    <w:rsid w:val="00B70297"/>
    <w:rsid w:val="00B703B7"/>
    <w:rsid w:val="00B704A6"/>
    <w:rsid w:val="00B70616"/>
    <w:rsid w:val="00B70852"/>
    <w:rsid w:val="00B7089A"/>
    <w:rsid w:val="00B708CA"/>
    <w:rsid w:val="00B70AFF"/>
    <w:rsid w:val="00B70C72"/>
    <w:rsid w:val="00B70E1D"/>
    <w:rsid w:val="00B70F46"/>
    <w:rsid w:val="00B710D5"/>
    <w:rsid w:val="00B71196"/>
    <w:rsid w:val="00B712E9"/>
    <w:rsid w:val="00B71B1D"/>
    <w:rsid w:val="00B71FCD"/>
    <w:rsid w:val="00B72076"/>
    <w:rsid w:val="00B72096"/>
    <w:rsid w:val="00B721E5"/>
    <w:rsid w:val="00B722DE"/>
    <w:rsid w:val="00B722EE"/>
    <w:rsid w:val="00B7250A"/>
    <w:rsid w:val="00B7253D"/>
    <w:rsid w:val="00B7286D"/>
    <w:rsid w:val="00B729AD"/>
    <w:rsid w:val="00B72A18"/>
    <w:rsid w:val="00B72B4E"/>
    <w:rsid w:val="00B72BE6"/>
    <w:rsid w:val="00B72BEC"/>
    <w:rsid w:val="00B72D37"/>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E7"/>
    <w:rsid w:val="00B7468B"/>
    <w:rsid w:val="00B748C2"/>
    <w:rsid w:val="00B748FB"/>
    <w:rsid w:val="00B74BCD"/>
    <w:rsid w:val="00B75007"/>
    <w:rsid w:val="00B75349"/>
    <w:rsid w:val="00B755ED"/>
    <w:rsid w:val="00B755F1"/>
    <w:rsid w:val="00B75671"/>
    <w:rsid w:val="00B7568C"/>
    <w:rsid w:val="00B75997"/>
    <w:rsid w:val="00B75A2A"/>
    <w:rsid w:val="00B75B0B"/>
    <w:rsid w:val="00B75B4D"/>
    <w:rsid w:val="00B75D4D"/>
    <w:rsid w:val="00B75E9F"/>
    <w:rsid w:val="00B75EB2"/>
    <w:rsid w:val="00B75F19"/>
    <w:rsid w:val="00B75F73"/>
    <w:rsid w:val="00B761FF"/>
    <w:rsid w:val="00B7675D"/>
    <w:rsid w:val="00B76992"/>
    <w:rsid w:val="00B76A31"/>
    <w:rsid w:val="00B76A62"/>
    <w:rsid w:val="00B76B5C"/>
    <w:rsid w:val="00B76BAA"/>
    <w:rsid w:val="00B76C3B"/>
    <w:rsid w:val="00B76D95"/>
    <w:rsid w:val="00B77100"/>
    <w:rsid w:val="00B7713E"/>
    <w:rsid w:val="00B7718A"/>
    <w:rsid w:val="00B772B2"/>
    <w:rsid w:val="00B77514"/>
    <w:rsid w:val="00B7758E"/>
    <w:rsid w:val="00B77B20"/>
    <w:rsid w:val="00B77BB5"/>
    <w:rsid w:val="00B77D99"/>
    <w:rsid w:val="00B77EE3"/>
    <w:rsid w:val="00B77F29"/>
    <w:rsid w:val="00B801AF"/>
    <w:rsid w:val="00B802BC"/>
    <w:rsid w:val="00B8047B"/>
    <w:rsid w:val="00B808A3"/>
    <w:rsid w:val="00B80A11"/>
    <w:rsid w:val="00B80CFA"/>
    <w:rsid w:val="00B80EC4"/>
    <w:rsid w:val="00B80FC0"/>
    <w:rsid w:val="00B810C3"/>
    <w:rsid w:val="00B810FB"/>
    <w:rsid w:val="00B812AE"/>
    <w:rsid w:val="00B81334"/>
    <w:rsid w:val="00B8143E"/>
    <w:rsid w:val="00B8184E"/>
    <w:rsid w:val="00B81C51"/>
    <w:rsid w:val="00B81ECA"/>
    <w:rsid w:val="00B82039"/>
    <w:rsid w:val="00B820D0"/>
    <w:rsid w:val="00B82197"/>
    <w:rsid w:val="00B823E9"/>
    <w:rsid w:val="00B82491"/>
    <w:rsid w:val="00B827E0"/>
    <w:rsid w:val="00B827F8"/>
    <w:rsid w:val="00B82843"/>
    <w:rsid w:val="00B8290B"/>
    <w:rsid w:val="00B829A6"/>
    <w:rsid w:val="00B82A63"/>
    <w:rsid w:val="00B82D9A"/>
    <w:rsid w:val="00B82DFD"/>
    <w:rsid w:val="00B82E4F"/>
    <w:rsid w:val="00B82FE6"/>
    <w:rsid w:val="00B83114"/>
    <w:rsid w:val="00B83123"/>
    <w:rsid w:val="00B8319E"/>
    <w:rsid w:val="00B8328F"/>
    <w:rsid w:val="00B832B8"/>
    <w:rsid w:val="00B83378"/>
    <w:rsid w:val="00B8340F"/>
    <w:rsid w:val="00B839DD"/>
    <w:rsid w:val="00B83B66"/>
    <w:rsid w:val="00B83C2C"/>
    <w:rsid w:val="00B83E1E"/>
    <w:rsid w:val="00B8413E"/>
    <w:rsid w:val="00B8419D"/>
    <w:rsid w:val="00B84201"/>
    <w:rsid w:val="00B845E5"/>
    <w:rsid w:val="00B848F2"/>
    <w:rsid w:val="00B849F1"/>
    <w:rsid w:val="00B849FB"/>
    <w:rsid w:val="00B84A27"/>
    <w:rsid w:val="00B84A31"/>
    <w:rsid w:val="00B84B72"/>
    <w:rsid w:val="00B84BF8"/>
    <w:rsid w:val="00B84C29"/>
    <w:rsid w:val="00B84FC0"/>
    <w:rsid w:val="00B851F7"/>
    <w:rsid w:val="00B85341"/>
    <w:rsid w:val="00B85443"/>
    <w:rsid w:val="00B855F0"/>
    <w:rsid w:val="00B8560C"/>
    <w:rsid w:val="00B85A6D"/>
    <w:rsid w:val="00B85A9E"/>
    <w:rsid w:val="00B85DE4"/>
    <w:rsid w:val="00B85F8F"/>
    <w:rsid w:val="00B86012"/>
    <w:rsid w:val="00B86026"/>
    <w:rsid w:val="00B86059"/>
    <w:rsid w:val="00B8613D"/>
    <w:rsid w:val="00B8640F"/>
    <w:rsid w:val="00B86624"/>
    <w:rsid w:val="00B86A8D"/>
    <w:rsid w:val="00B86F7E"/>
    <w:rsid w:val="00B871A7"/>
    <w:rsid w:val="00B872E2"/>
    <w:rsid w:val="00B87391"/>
    <w:rsid w:val="00B87603"/>
    <w:rsid w:val="00B876ED"/>
    <w:rsid w:val="00B87949"/>
    <w:rsid w:val="00B87A05"/>
    <w:rsid w:val="00B87B58"/>
    <w:rsid w:val="00B87C1D"/>
    <w:rsid w:val="00B87E30"/>
    <w:rsid w:val="00B87F94"/>
    <w:rsid w:val="00B9001E"/>
    <w:rsid w:val="00B900D3"/>
    <w:rsid w:val="00B90188"/>
    <w:rsid w:val="00B9022A"/>
    <w:rsid w:val="00B9044A"/>
    <w:rsid w:val="00B904CC"/>
    <w:rsid w:val="00B905E7"/>
    <w:rsid w:val="00B906D6"/>
    <w:rsid w:val="00B90856"/>
    <w:rsid w:val="00B90A3C"/>
    <w:rsid w:val="00B90D38"/>
    <w:rsid w:val="00B910F3"/>
    <w:rsid w:val="00B911A6"/>
    <w:rsid w:val="00B91252"/>
    <w:rsid w:val="00B912D9"/>
    <w:rsid w:val="00B913E8"/>
    <w:rsid w:val="00B913FC"/>
    <w:rsid w:val="00B91626"/>
    <w:rsid w:val="00B9195B"/>
    <w:rsid w:val="00B91AFB"/>
    <w:rsid w:val="00B91B1F"/>
    <w:rsid w:val="00B91EDA"/>
    <w:rsid w:val="00B921A7"/>
    <w:rsid w:val="00B924ED"/>
    <w:rsid w:val="00B9254B"/>
    <w:rsid w:val="00B9259F"/>
    <w:rsid w:val="00B926EA"/>
    <w:rsid w:val="00B92741"/>
    <w:rsid w:val="00B92745"/>
    <w:rsid w:val="00B929A3"/>
    <w:rsid w:val="00B92A3D"/>
    <w:rsid w:val="00B92B86"/>
    <w:rsid w:val="00B92D1E"/>
    <w:rsid w:val="00B92D96"/>
    <w:rsid w:val="00B92DC9"/>
    <w:rsid w:val="00B92DE5"/>
    <w:rsid w:val="00B931FB"/>
    <w:rsid w:val="00B93377"/>
    <w:rsid w:val="00B93413"/>
    <w:rsid w:val="00B93484"/>
    <w:rsid w:val="00B93569"/>
    <w:rsid w:val="00B935BD"/>
    <w:rsid w:val="00B936D6"/>
    <w:rsid w:val="00B938B7"/>
    <w:rsid w:val="00B93966"/>
    <w:rsid w:val="00B93A7A"/>
    <w:rsid w:val="00B93D5D"/>
    <w:rsid w:val="00B93D96"/>
    <w:rsid w:val="00B93DF5"/>
    <w:rsid w:val="00B94205"/>
    <w:rsid w:val="00B94554"/>
    <w:rsid w:val="00B945C3"/>
    <w:rsid w:val="00B94690"/>
    <w:rsid w:val="00B9477C"/>
    <w:rsid w:val="00B9488F"/>
    <w:rsid w:val="00B94942"/>
    <w:rsid w:val="00B94AA6"/>
    <w:rsid w:val="00B94C4B"/>
    <w:rsid w:val="00B94DB3"/>
    <w:rsid w:val="00B94F97"/>
    <w:rsid w:val="00B9545D"/>
    <w:rsid w:val="00B95654"/>
    <w:rsid w:val="00B95686"/>
    <w:rsid w:val="00B956AC"/>
    <w:rsid w:val="00B95763"/>
    <w:rsid w:val="00B957BF"/>
    <w:rsid w:val="00B95C53"/>
    <w:rsid w:val="00B95E67"/>
    <w:rsid w:val="00B96266"/>
    <w:rsid w:val="00B96503"/>
    <w:rsid w:val="00B965A1"/>
    <w:rsid w:val="00B96798"/>
    <w:rsid w:val="00B9679E"/>
    <w:rsid w:val="00B9688F"/>
    <w:rsid w:val="00B96B48"/>
    <w:rsid w:val="00B97119"/>
    <w:rsid w:val="00B97195"/>
    <w:rsid w:val="00B9727E"/>
    <w:rsid w:val="00B9743E"/>
    <w:rsid w:val="00B97709"/>
    <w:rsid w:val="00B97777"/>
    <w:rsid w:val="00B9789D"/>
    <w:rsid w:val="00B979B2"/>
    <w:rsid w:val="00B97AD3"/>
    <w:rsid w:val="00B97AF6"/>
    <w:rsid w:val="00B97C1B"/>
    <w:rsid w:val="00B97E74"/>
    <w:rsid w:val="00B97EE2"/>
    <w:rsid w:val="00B97F18"/>
    <w:rsid w:val="00B97F2D"/>
    <w:rsid w:val="00B97FBA"/>
    <w:rsid w:val="00BA0077"/>
    <w:rsid w:val="00BA008B"/>
    <w:rsid w:val="00BA00F5"/>
    <w:rsid w:val="00BA0123"/>
    <w:rsid w:val="00BA04FD"/>
    <w:rsid w:val="00BA06ED"/>
    <w:rsid w:val="00BA0789"/>
    <w:rsid w:val="00BA0861"/>
    <w:rsid w:val="00BA090E"/>
    <w:rsid w:val="00BA0A67"/>
    <w:rsid w:val="00BA0B31"/>
    <w:rsid w:val="00BA0D36"/>
    <w:rsid w:val="00BA0D93"/>
    <w:rsid w:val="00BA0DC4"/>
    <w:rsid w:val="00BA0E99"/>
    <w:rsid w:val="00BA0FED"/>
    <w:rsid w:val="00BA1055"/>
    <w:rsid w:val="00BA10EB"/>
    <w:rsid w:val="00BA121C"/>
    <w:rsid w:val="00BA1325"/>
    <w:rsid w:val="00BA137E"/>
    <w:rsid w:val="00BA1B2E"/>
    <w:rsid w:val="00BA1B7D"/>
    <w:rsid w:val="00BA1C21"/>
    <w:rsid w:val="00BA200D"/>
    <w:rsid w:val="00BA2071"/>
    <w:rsid w:val="00BA20BB"/>
    <w:rsid w:val="00BA2105"/>
    <w:rsid w:val="00BA2163"/>
    <w:rsid w:val="00BA234B"/>
    <w:rsid w:val="00BA2668"/>
    <w:rsid w:val="00BA28A0"/>
    <w:rsid w:val="00BA28A7"/>
    <w:rsid w:val="00BA2C9A"/>
    <w:rsid w:val="00BA2C9C"/>
    <w:rsid w:val="00BA2E1A"/>
    <w:rsid w:val="00BA2E47"/>
    <w:rsid w:val="00BA2FA1"/>
    <w:rsid w:val="00BA319A"/>
    <w:rsid w:val="00BA3244"/>
    <w:rsid w:val="00BA3262"/>
    <w:rsid w:val="00BA36A1"/>
    <w:rsid w:val="00BA3979"/>
    <w:rsid w:val="00BA39D8"/>
    <w:rsid w:val="00BA3BE5"/>
    <w:rsid w:val="00BA413F"/>
    <w:rsid w:val="00BA440F"/>
    <w:rsid w:val="00BA44AA"/>
    <w:rsid w:val="00BA475C"/>
    <w:rsid w:val="00BA4791"/>
    <w:rsid w:val="00BA4852"/>
    <w:rsid w:val="00BA4CD8"/>
    <w:rsid w:val="00BA4DBE"/>
    <w:rsid w:val="00BA4F2B"/>
    <w:rsid w:val="00BA5147"/>
    <w:rsid w:val="00BA51DD"/>
    <w:rsid w:val="00BA520F"/>
    <w:rsid w:val="00BA52B5"/>
    <w:rsid w:val="00BA5346"/>
    <w:rsid w:val="00BA5521"/>
    <w:rsid w:val="00BA5607"/>
    <w:rsid w:val="00BA5750"/>
    <w:rsid w:val="00BA5A02"/>
    <w:rsid w:val="00BA5C56"/>
    <w:rsid w:val="00BA5DFF"/>
    <w:rsid w:val="00BA5ECA"/>
    <w:rsid w:val="00BA5F3B"/>
    <w:rsid w:val="00BA600E"/>
    <w:rsid w:val="00BA6025"/>
    <w:rsid w:val="00BA60A4"/>
    <w:rsid w:val="00BA60F7"/>
    <w:rsid w:val="00BA632E"/>
    <w:rsid w:val="00BA66A6"/>
    <w:rsid w:val="00BA6A84"/>
    <w:rsid w:val="00BA6BC2"/>
    <w:rsid w:val="00BA6DD7"/>
    <w:rsid w:val="00BA7013"/>
    <w:rsid w:val="00BA7047"/>
    <w:rsid w:val="00BA71D7"/>
    <w:rsid w:val="00BA7879"/>
    <w:rsid w:val="00BA7AC6"/>
    <w:rsid w:val="00BA7AEA"/>
    <w:rsid w:val="00BA7D01"/>
    <w:rsid w:val="00BA7D31"/>
    <w:rsid w:val="00BA7EF4"/>
    <w:rsid w:val="00BB0159"/>
    <w:rsid w:val="00BB027B"/>
    <w:rsid w:val="00BB076C"/>
    <w:rsid w:val="00BB0778"/>
    <w:rsid w:val="00BB0A1E"/>
    <w:rsid w:val="00BB0B3A"/>
    <w:rsid w:val="00BB0D69"/>
    <w:rsid w:val="00BB0F6E"/>
    <w:rsid w:val="00BB0FB0"/>
    <w:rsid w:val="00BB117D"/>
    <w:rsid w:val="00BB11A1"/>
    <w:rsid w:val="00BB13EE"/>
    <w:rsid w:val="00BB1589"/>
    <w:rsid w:val="00BB1670"/>
    <w:rsid w:val="00BB182D"/>
    <w:rsid w:val="00BB1B4B"/>
    <w:rsid w:val="00BB200C"/>
    <w:rsid w:val="00BB2113"/>
    <w:rsid w:val="00BB2177"/>
    <w:rsid w:val="00BB238A"/>
    <w:rsid w:val="00BB23F8"/>
    <w:rsid w:val="00BB2457"/>
    <w:rsid w:val="00BB27DB"/>
    <w:rsid w:val="00BB2B4B"/>
    <w:rsid w:val="00BB2BD9"/>
    <w:rsid w:val="00BB2D2F"/>
    <w:rsid w:val="00BB2F87"/>
    <w:rsid w:val="00BB2FB4"/>
    <w:rsid w:val="00BB31F4"/>
    <w:rsid w:val="00BB3203"/>
    <w:rsid w:val="00BB325F"/>
    <w:rsid w:val="00BB3318"/>
    <w:rsid w:val="00BB33A5"/>
    <w:rsid w:val="00BB364E"/>
    <w:rsid w:val="00BB37B5"/>
    <w:rsid w:val="00BB3939"/>
    <w:rsid w:val="00BB3A79"/>
    <w:rsid w:val="00BB3E5F"/>
    <w:rsid w:val="00BB40B6"/>
    <w:rsid w:val="00BB42CB"/>
    <w:rsid w:val="00BB44C9"/>
    <w:rsid w:val="00BB477E"/>
    <w:rsid w:val="00BB482C"/>
    <w:rsid w:val="00BB4944"/>
    <w:rsid w:val="00BB4C07"/>
    <w:rsid w:val="00BB4CDF"/>
    <w:rsid w:val="00BB4F67"/>
    <w:rsid w:val="00BB51A8"/>
    <w:rsid w:val="00BB55BF"/>
    <w:rsid w:val="00BB560C"/>
    <w:rsid w:val="00BB574A"/>
    <w:rsid w:val="00BB5AE0"/>
    <w:rsid w:val="00BB5B1A"/>
    <w:rsid w:val="00BB5DB0"/>
    <w:rsid w:val="00BB6035"/>
    <w:rsid w:val="00BB6043"/>
    <w:rsid w:val="00BB6070"/>
    <w:rsid w:val="00BB609B"/>
    <w:rsid w:val="00BB6254"/>
    <w:rsid w:val="00BB6266"/>
    <w:rsid w:val="00BB62A6"/>
    <w:rsid w:val="00BB6406"/>
    <w:rsid w:val="00BB6425"/>
    <w:rsid w:val="00BB644E"/>
    <w:rsid w:val="00BB64B2"/>
    <w:rsid w:val="00BB64DA"/>
    <w:rsid w:val="00BB6594"/>
    <w:rsid w:val="00BB66EE"/>
    <w:rsid w:val="00BB6748"/>
    <w:rsid w:val="00BB6A8D"/>
    <w:rsid w:val="00BB6AE4"/>
    <w:rsid w:val="00BB6B57"/>
    <w:rsid w:val="00BB6F3B"/>
    <w:rsid w:val="00BB73AD"/>
    <w:rsid w:val="00BB74B9"/>
    <w:rsid w:val="00BB757D"/>
    <w:rsid w:val="00BB75B4"/>
    <w:rsid w:val="00BB7996"/>
    <w:rsid w:val="00BB79C9"/>
    <w:rsid w:val="00BB79D4"/>
    <w:rsid w:val="00BB7B74"/>
    <w:rsid w:val="00BB7CE6"/>
    <w:rsid w:val="00BB7D90"/>
    <w:rsid w:val="00BC0061"/>
    <w:rsid w:val="00BC00F1"/>
    <w:rsid w:val="00BC01C6"/>
    <w:rsid w:val="00BC02D9"/>
    <w:rsid w:val="00BC046A"/>
    <w:rsid w:val="00BC082C"/>
    <w:rsid w:val="00BC082D"/>
    <w:rsid w:val="00BC0946"/>
    <w:rsid w:val="00BC0A1C"/>
    <w:rsid w:val="00BC0A1F"/>
    <w:rsid w:val="00BC0A2B"/>
    <w:rsid w:val="00BC0B37"/>
    <w:rsid w:val="00BC0C63"/>
    <w:rsid w:val="00BC0E1E"/>
    <w:rsid w:val="00BC0EFC"/>
    <w:rsid w:val="00BC0F9A"/>
    <w:rsid w:val="00BC0FE5"/>
    <w:rsid w:val="00BC155F"/>
    <w:rsid w:val="00BC17BC"/>
    <w:rsid w:val="00BC19A5"/>
    <w:rsid w:val="00BC1A6C"/>
    <w:rsid w:val="00BC1B69"/>
    <w:rsid w:val="00BC1C74"/>
    <w:rsid w:val="00BC2101"/>
    <w:rsid w:val="00BC2333"/>
    <w:rsid w:val="00BC2877"/>
    <w:rsid w:val="00BC2A1E"/>
    <w:rsid w:val="00BC2EE4"/>
    <w:rsid w:val="00BC2F06"/>
    <w:rsid w:val="00BC3233"/>
    <w:rsid w:val="00BC3301"/>
    <w:rsid w:val="00BC3309"/>
    <w:rsid w:val="00BC34DB"/>
    <w:rsid w:val="00BC351B"/>
    <w:rsid w:val="00BC3644"/>
    <w:rsid w:val="00BC3701"/>
    <w:rsid w:val="00BC3A03"/>
    <w:rsid w:val="00BC3CA6"/>
    <w:rsid w:val="00BC3DFC"/>
    <w:rsid w:val="00BC3E10"/>
    <w:rsid w:val="00BC47E8"/>
    <w:rsid w:val="00BC481C"/>
    <w:rsid w:val="00BC49DA"/>
    <w:rsid w:val="00BC4B34"/>
    <w:rsid w:val="00BC4B3C"/>
    <w:rsid w:val="00BC4E2A"/>
    <w:rsid w:val="00BC510B"/>
    <w:rsid w:val="00BC510E"/>
    <w:rsid w:val="00BC535B"/>
    <w:rsid w:val="00BC5370"/>
    <w:rsid w:val="00BC5499"/>
    <w:rsid w:val="00BC5540"/>
    <w:rsid w:val="00BC55C7"/>
    <w:rsid w:val="00BC59CA"/>
    <w:rsid w:val="00BC5A2D"/>
    <w:rsid w:val="00BC5D59"/>
    <w:rsid w:val="00BC5EE3"/>
    <w:rsid w:val="00BC5EEA"/>
    <w:rsid w:val="00BC5F85"/>
    <w:rsid w:val="00BC60C6"/>
    <w:rsid w:val="00BC615D"/>
    <w:rsid w:val="00BC63A5"/>
    <w:rsid w:val="00BC654A"/>
    <w:rsid w:val="00BC6573"/>
    <w:rsid w:val="00BC670A"/>
    <w:rsid w:val="00BC6716"/>
    <w:rsid w:val="00BC67D6"/>
    <w:rsid w:val="00BC6DD7"/>
    <w:rsid w:val="00BC6F19"/>
    <w:rsid w:val="00BC6FC4"/>
    <w:rsid w:val="00BC71A9"/>
    <w:rsid w:val="00BC7475"/>
    <w:rsid w:val="00BC791E"/>
    <w:rsid w:val="00BC79A8"/>
    <w:rsid w:val="00BC7AE9"/>
    <w:rsid w:val="00BC7CCC"/>
    <w:rsid w:val="00BD000F"/>
    <w:rsid w:val="00BD00E5"/>
    <w:rsid w:val="00BD0319"/>
    <w:rsid w:val="00BD052B"/>
    <w:rsid w:val="00BD081A"/>
    <w:rsid w:val="00BD0B62"/>
    <w:rsid w:val="00BD0F9B"/>
    <w:rsid w:val="00BD0FF6"/>
    <w:rsid w:val="00BD10C3"/>
    <w:rsid w:val="00BD1170"/>
    <w:rsid w:val="00BD11B3"/>
    <w:rsid w:val="00BD152C"/>
    <w:rsid w:val="00BD1631"/>
    <w:rsid w:val="00BD1775"/>
    <w:rsid w:val="00BD1ADF"/>
    <w:rsid w:val="00BD1D65"/>
    <w:rsid w:val="00BD1D88"/>
    <w:rsid w:val="00BD1E5C"/>
    <w:rsid w:val="00BD2014"/>
    <w:rsid w:val="00BD2133"/>
    <w:rsid w:val="00BD2215"/>
    <w:rsid w:val="00BD23EE"/>
    <w:rsid w:val="00BD2527"/>
    <w:rsid w:val="00BD2696"/>
    <w:rsid w:val="00BD2AC5"/>
    <w:rsid w:val="00BD2AD5"/>
    <w:rsid w:val="00BD2DFD"/>
    <w:rsid w:val="00BD355A"/>
    <w:rsid w:val="00BD359D"/>
    <w:rsid w:val="00BD3B1D"/>
    <w:rsid w:val="00BD3C23"/>
    <w:rsid w:val="00BD3CE0"/>
    <w:rsid w:val="00BD3F52"/>
    <w:rsid w:val="00BD3FA9"/>
    <w:rsid w:val="00BD4047"/>
    <w:rsid w:val="00BD411A"/>
    <w:rsid w:val="00BD42CE"/>
    <w:rsid w:val="00BD433C"/>
    <w:rsid w:val="00BD451A"/>
    <w:rsid w:val="00BD4520"/>
    <w:rsid w:val="00BD48B8"/>
    <w:rsid w:val="00BD4A41"/>
    <w:rsid w:val="00BD4B47"/>
    <w:rsid w:val="00BD5207"/>
    <w:rsid w:val="00BD522B"/>
    <w:rsid w:val="00BD53D0"/>
    <w:rsid w:val="00BD56F3"/>
    <w:rsid w:val="00BD599C"/>
    <w:rsid w:val="00BD5A24"/>
    <w:rsid w:val="00BD5A72"/>
    <w:rsid w:val="00BD5B86"/>
    <w:rsid w:val="00BD5BCC"/>
    <w:rsid w:val="00BD5EA0"/>
    <w:rsid w:val="00BD5F97"/>
    <w:rsid w:val="00BD60AB"/>
    <w:rsid w:val="00BD60E0"/>
    <w:rsid w:val="00BD60FD"/>
    <w:rsid w:val="00BD6145"/>
    <w:rsid w:val="00BD641B"/>
    <w:rsid w:val="00BD6769"/>
    <w:rsid w:val="00BD67BB"/>
    <w:rsid w:val="00BD68D0"/>
    <w:rsid w:val="00BD6A52"/>
    <w:rsid w:val="00BD6C6D"/>
    <w:rsid w:val="00BD6DF2"/>
    <w:rsid w:val="00BD6F2A"/>
    <w:rsid w:val="00BD704D"/>
    <w:rsid w:val="00BD70B6"/>
    <w:rsid w:val="00BD716D"/>
    <w:rsid w:val="00BD7170"/>
    <w:rsid w:val="00BD71DF"/>
    <w:rsid w:val="00BD736C"/>
    <w:rsid w:val="00BD746B"/>
    <w:rsid w:val="00BD74DF"/>
    <w:rsid w:val="00BD7739"/>
    <w:rsid w:val="00BD7877"/>
    <w:rsid w:val="00BD787C"/>
    <w:rsid w:val="00BD7918"/>
    <w:rsid w:val="00BD79EE"/>
    <w:rsid w:val="00BD7B58"/>
    <w:rsid w:val="00BD7C74"/>
    <w:rsid w:val="00BD7EE4"/>
    <w:rsid w:val="00BD7F19"/>
    <w:rsid w:val="00BD7F60"/>
    <w:rsid w:val="00BD7F61"/>
    <w:rsid w:val="00BD7FCA"/>
    <w:rsid w:val="00BE0025"/>
    <w:rsid w:val="00BE02C9"/>
    <w:rsid w:val="00BE03A6"/>
    <w:rsid w:val="00BE042C"/>
    <w:rsid w:val="00BE04B0"/>
    <w:rsid w:val="00BE04C6"/>
    <w:rsid w:val="00BE052A"/>
    <w:rsid w:val="00BE06B0"/>
    <w:rsid w:val="00BE07FF"/>
    <w:rsid w:val="00BE0923"/>
    <w:rsid w:val="00BE0A26"/>
    <w:rsid w:val="00BE0A7F"/>
    <w:rsid w:val="00BE0D59"/>
    <w:rsid w:val="00BE0D6F"/>
    <w:rsid w:val="00BE0F30"/>
    <w:rsid w:val="00BE10B4"/>
    <w:rsid w:val="00BE1145"/>
    <w:rsid w:val="00BE13A4"/>
    <w:rsid w:val="00BE1499"/>
    <w:rsid w:val="00BE1753"/>
    <w:rsid w:val="00BE1823"/>
    <w:rsid w:val="00BE1A40"/>
    <w:rsid w:val="00BE1AFE"/>
    <w:rsid w:val="00BE1C46"/>
    <w:rsid w:val="00BE1D03"/>
    <w:rsid w:val="00BE20B9"/>
    <w:rsid w:val="00BE2358"/>
    <w:rsid w:val="00BE2414"/>
    <w:rsid w:val="00BE2615"/>
    <w:rsid w:val="00BE2B5F"/>
    <w:rsid w:val="00BE2B62"/>
    <w:rsid w:val="00BE2C31"/>
    <w:rsid w:val="00BE2D83"/>
    <w:rsid w:val="00BE2F74"/>
    <w:rsid w:val="00BE2FAB"/>
    <w:rsid w:val="00BE3079"/>
    <w:rsid w:val="00BE3307"/>
    <w:rsid w:val="00BE3400"/>
    <w:rsid w:val="00BE3756"/>
    <w:rsid w:val="00BE37EA"/>
    <w:rsid w:val="00BE3ACC"/>
    <w:rsid w:val="00BE3B32"/>
    <w:rsid w:val="00BE3BDB"/>
    <w:rsid w:val="00BE3DD5"/>
    <w:rsid w:val="00BE3F62"/>
    <w:rsid w:val="00BE406C"/>
    <w:rsid w:val="00BE407B"/>
    <w:rsid w:val="00BE4494"/>
    <w:rsid w:val="00BE48DE"/>
    <w:rsid w:val="00BE4910"/>
    <w:rsid w:val="00BE4C5C"/>
    <w:rsid w:val="00BE4C90"/>
    <w:rsid w:val="00BE4C9C"/>
    <w:rsid w:val="00BE4D2F"/>
    <w:rsid w:val="00BE4E03"/>
    <w:rsid w:val="00BE4EC4"/>
    <w:rsid w:val="00BE50BB"/>
    <w:rsid w:val="00BE5212"/>
    <w:rsid w:val="00BE52C5"/>
    <w:rsid w:val="00BE539D"/>
    <w:rsid w:val="00BE53C3"/>
    <w:rsid w:val="00BE5646"/>
    <w:rsid w:val="00BE57B0"/>
    <w:rsid w:val="00BE59EA"/>
    <w:rsid w:val="00BE5D41"/>
    <w:rsid w:val="00BE5E19"/>
    <w:rsid w:val="00BE61D9"/>
    <w:rsid w:val="00BE6253"/>
    <w:rsid w:val="00BE6315"/>
    <w:rsid w:val="00BE64BF"/>
    <w:rsid w:val="00BE64C9"/>
    <w:rsid w:val="00BE659E"/>
    <w:rsid w:val="00BE6BB2"/>
    <w:rsid w:val="00BE6C99"/>
    <w:rsid w:val="00BE6DB3"/>
    <w:rsid w:val="00BE6DBA"/>
    <w:rsid w:val="00BE6E1B"/>
    <w:rsid w:val="00BE6EF0"/>
    <w:rsid w:val="00BE6EF5"/>
    <w:rsid w:val="00BE6FC2"/>
    <w:rsid w:val="00BE6FEB"/>
    <w:rsid w:val="00BE702E"/>
    <w:rsid w:val="00BE730D"/>
    <w:rsid w:val="00BE75F8"/>
    <w:rsid w:val="00BE78BB"/>
    <w:rsid w:val="00BE795D"/>
    <w:rsid w:val="00BE7C46"/>
    <w:rsid w:val="00BE7F58"/>
    <w:rsid w:val="00BF02B6"/>
    <w:rsid w:val="00BF067C"/>
    <w:rsid w:val="00BF0A58"/>
    <w:rsid w:val="00BF0AF6"/>
    <w:rsid w:val="00BF0C53"/>
    <w:rsid w:val="00BF0D6E"/>
    <w:rsid w:val="00BF0F3E"/>
    <w:rsid w:val="00BF125F"/>
    <w:rsid w:val="00BF1565"/>
    <w:rsid w:val="00BF172D"/>
    <w:rsid w:val="00BF1793"/>
    <w:rsid w:val="00BF1821"/>
    <w:rsid w:val="00BF19B9"/>
    <w:rsid w:val="00BF1A37"/>
    <w:rsid w:val="00BF1A7D"/>
    <w:rsid w:val="00BF1B4B"/>
    <w:rsid w:val="00BF1BEE"/>
    <w:rsid w:val="00BF1C14"/>
    <w:rsid w:val="00BF1DEF"/>
    <w:rsid w:val="00BF1EAC"/>
    <w:rsid w:val="00BF1F80"/>
    <w:rsid w:val="00BF20E2"/>
    <w:rsid w:val="00BF230B"/>
    <w:rsid w:val="00BF2543"/>
    <w:rsid w:val="00BF2817"/>
    <w:rsid w:val="00BF2A4B"/>
    <w:rsid w:val="00BF31B9"/>
    <w:rsid w:val="00BF32DE"/>
    <w:rsid w:val="00BF34AF"/>
    <w:rsid w:val="00BF34B1"/>
    <w:rsid w:val="00BF34F9"/>
    <w:rsid w:val="00BF3747"/>
    <w:rsid w:val="00BF37DC"/>
    <w:rsid w:val="00BF38B2"/>
    <w:rsid w:val="00BF39BB"/>
    <w:rsid w:val="00BF3D1C"/>
    <w:rsid w:val="00BF3D62"/>
    <w:rsid w:val="00BF3DEF"/>
    <w:rsid w:val="00BF3E6C"/>
    <w:rsid w:val="00BF3EF8"/>
    <w:rsid w:val="00BF4050"/>
    <w:rsid w:val="00BF4143"/>
    <w:rsid w:val="00BF42FE"/>
    <w:rsid w:val="00BF4606"/>
    <w:rsid w:val="00BF47DA"/>
    <w:rsid w:val="00BF4827"/>
    <w:rsid w:val="00BF4841"/>
    <w:rsid w:val="00BF4AC5"/>
    <w:rsid w:val="00BF4AF7"/>
    <w:rsid w:val="00BF4D4E"/>
    <w:rsid w:val="00BF4E38"/>
    <w:rsid w:val="00BF4E7E"/>
    <w:rsid w:val="00BF4ECA"/>
    <w:rsid w:val="00BF5008"/>
    <w:rsid w:val="00BF51F9"/>
    <w:rsid w:val="00BF52AA"/>
    <w:rsid w:val="00BF539E"/>
    <w:rsid w:val="00BF5408"/>
    <w:rsid w:val="00BF574F"/>
    <w:rsid w:val="00BF57C4"/>
    <w:rsid w:val="00BF5B2C"/>
    <w:rsid w:val="00BF5C8A"/>
    <w:rsid w:val="00BF5CEC"/>
    <w:rsid w:val="00BF5D19"/>
    <w:rsid w:val="00BF5D23"/>
    <w:rsid w:val="00BF5F14"/>
    <w:rsid w:val="00BF5FF5"/>
    <w:rsid w:val="00BF6065"/>
    <w:rsid w:val="00BF6277"/>
    <w:rsid w:val="00BF64B7"/>
    <w:rsid w:val="00BF654C"/>
    <w:rsid w:val="00BF687A"/>
    <w:rsid w:val="00BF68B3"/>
    <w:rsid w:val="00BF68BE"/>
    <w:rsid w:val="00BF69B4"/>
    <w:rsid w:val="00BF6A65"/>
    <w:rsid w:val="00BF6B46"/>
    <w:rsid w:val="00BF7049"/>
    <w:rsid w:val="00BF713D"/>
    <w:rsid w:val="00BF73C3"/>
    <w:rsid w:val="00BF750F"/>
    <w:rsid w:val="00BF75D0"/>
    <w:rsid w:val="00BF762E"/>
    <w:rsid w:val="00BF791F"/>
    <w:rsid w:val="00BF797D"/>
    <w:rsid w:val="00BF7D9F"/>
    <w:rsid w:val="00BF7DBD"/>
    <w:rsid w:val="00C00277"/>
    <w:rsid w:val="00C00843"/>
    <w:rsid w:val="00C00923"/>
    <w:rsid w:val="00C00C50"/>
    <w:rsid w:val="00C00DBD"/>
    <w:rsid w:val="00C011FB"/>
    <w:rsid w:val="00C01240"/>
    <w:rsid w:val="00C0150E"/>
    <w:rsid w:val="00C0180A"/>
    <w:rsid w:val="00C01B11"/>
    <w:rsid w:val="00C01B18"/>
    <w:rsid w:val="00C01C40"/>
    <w:rsid w:val="00C01D0F"/>
    <w:rsid w:val="00C01D74"/>
    <w:rsid w:val="00C01F4A"/>
    <w:rsid w:val="00C02250"/>
    <w:rsid w:val="00C025E7"/>
    <w:rsid w:val="00C028C1"/>
    <w:rsid w:val="00C02CE2"/>
    <w:rsid w:val="00C02E8A"/>
    <w:rsid w:val="00C02F46"/>
    <w:rsid w:val="00C02FCB"/>
    <w:rsid w:val="00C02FE0"/>
    <w:rsid w:val="00C033E0"/>
    <w:rsid w:val="00C03477"/>
    <w:rsid w:val="00C03522"/>
    <w:rsid w:val="00C036B6"/>
    <w:rsid w:val="00C0394D"/>
    <w:rsid w:val="00C039D3"/>
    <w:rsid w:val="00C03B5C"/>
    <w:rsid w:val="00C03BAA"/>
    <w:rsid w:val="00C03BC1"/>
    <w:rsid w:val="00C03D05"/>
    <w:rsid w:val="00C03E8D"/>
    <w:rsid w:val="00C03FCF"/>
    <w:rsid w:val="00C04067"/>
    <w:rsid w:val="00C040D7"/>
    <w:rsid w:val="00C041CF"/>
    <w:rsid w:val="00C0433B"/>
    <w:rsid w:val="00C0438C"/>
    <w:rsid w:val="00C04440"/>
    <w:rsid w:val="00C04444"/>
    <w:rsid w:val="00C044C8"/>
    <w:rsid w:val="00C047B9"/>
    <w:rsid w:val="00C048C3"/>
    <w:rsid w:val="00C04ACD"/>
    <w:rsid w:val="00C04AD3"/>
    <w:rsid w:val="00C04B0B"/>
    <w:rsid w:val="00C04D75"/>
    <w:rsid w:val="00C04E6F"/>
    <w:rsid w:val="00C04F2C"/>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D88"/>
    <w:rsid w:val="00C05DA7"/>
    <w:rsid w:val="00C05FEB"/>
    <w:rsid w:val="00C06491"/>
    <w:rsid w:val="00C06516"/>
    <w:rsid w:val="00C06582"/>
    <w:rsid w:val="00C065F6"/>
    <w:rsid w:val="00C06661"/>
    <w:rsid w:val="00C0673A"/>
    <w:rsid w:val="00C069A0"/>
    <w:rsid w:val="00C06AD2"/>
    <w:rsid w:val="00C06AEC"/>
    <w:rsid w:val="00C06D55"/>
    <w:rsid w:val="00C06DF3"/>
    <w:rsid w:val="00C06FC3"/>
    <w:rsid w:val="00C07182"/>
    <w:rsid w:val="00C07326"/>
    <w:rsid w:val="00C074AC"/>
    <w:rsid w:val="00C074BC"/>
    <w:rsid w:val="00C075C2"/>
    <w:rsid w:val="00C07702"/>
    <w:rsid w:val="00C0775B"/>
    <w:rsid w:val="00C0783F"/>
    <w:rsid w:val="00C078CA"/>
    <w:rsid w:val="00C0791E"/>
    <w:rsid w:val="00C07BF9"/>
    <w:rsid w:val="00C07E5B"/>
    <w:rsid w:val="00C07F29"/>
    <w:rsid w:val="00C07FF5"/>
    <w:rsid w:val="00C10428"/>
    <w:rsid w:val="00C104B0"/>
    <w:rsid w:val="00C10557"/>
    <w:rsid w:val="00C107F3"/>
    <w:rsid w:val="00C10800"/>
    <w:rsid w:val="00C109EE"/>
    <w:rsid w:val="00C10D32"/>
    <w:rsid w:val="00C10E52"/>
    <w:rsid w:val="00C111D2"/>
    <w:rsid w:val="00C114D8"/>
    <w:rsid w:val="00C116D4"/>
    <w:rsid w:val="00C117F7"/>
    <w:rsid w:val="00C11D63"/>
    <w:rsid w:val="00C11EED"/>
    <w:rsid w:val="00C120EB"/>
    <w:rsid w:val="00C12238"/>
    <w:rsid w:val="00C12541"/>
    <w:rsid w:val="00C125C4"/>
    <w:rsid w:val="00C12616"/>
    <w:rsid w:val="00C126D3"/>
    <w:rsid w:val="00C128A1"/>
    <w:rsid w:val="00C1295F"/>
    <w:rsid w:val="00C12A2E"/>
    <w:rsid w:val="00C12A76"/>
    <w:rsid w:val="00C12EC2"/>
    <w:rsid w:val="00C13128"/>
    <w:rsid w:val="00C1328D"/>
    <w:rsid w:val="00C13291"/>
    <w:rsid w:val="00C13522"/>
    <w:rsid w:val="00C13817"/>
    <w:rsid w:val="00C13870"/>
    <w:rsid w:val="00C13CB3"/>
    <w:rsid w:val="00C13DC6"/>
    <w:rsid w:val="00C13DDC"/>
    <w:rsid w:val="00C13DED"/>
    <w:rsid w:val="00C14267"/>
    <w:rsid w:val="00C142A5"/>
    <w:rsid w:val="00C14773"/>
    <w:rsid w:val="00C147FF"/>
    <w:rsid w:val="00C14962"/>
    <w:rsid w:val="00C14984"/>
    <w:rsid w:val="00C14BEA"/>
    <w:rsid w:val="00C14D1B"/>
    <w:rsid w:val="00C14FC7"/>
    <w:rsid w:val="00C15459"/>
    <w:rsid w:val="00C1557C"/>
    <w:rsid w:val="00C15580"/>
    <w:rsid w:val="00C15699"/>
    <w:rsid w:val="00C15708"/>
    <w:rsid w:val="00C1571A"/>
    <w:rsid w:val="00C157AE"/>
    <w:rsid w:val="00C157B0"/>
    <w:rsid w:val="00C1597E"/>
    <w:rsid w:val="00C1599C"/>
    <w:rsid w:val="00C15A35"/>
    <w:rsid w:val="00C15CAC"/>
    <w:rsid w:val="00C15DC1"/>
    <w:rsid w:val="00C15F73"/>
    <w:rsid w:val="00C160BD"/>
    <w:rsid w:val="00C160FF"/>
    <w:rsid w:val="00C1630E"/>
    <w:rsid w:val="00C16604"/>
    <w:rsid w:val="00C16710"/>
    <w:rsid w:val="00C16BE9"/>
    <w:rsid w:val="00C16CDC"/>
    <w:rsid w:val="00C16D94"/>
    <w:rsid w:val="00C16FCD"/>
    <w:rsid w:val="00C170B1"/>
    <w:rsid w:val="00C170DB"/>
    <w:rsid w:val="00C170E9"/>
    <w:rsid w:val="00C170EA"/>
    <w:rsid w:val="00C17171"/>
    <w:rsid w:val="00C172D3"/>
    <w:rsid w:val="00C17417"/>
    <w:rsid w:val="00C174F2"/>
    <w:rsid w:val="00C175C9"/>
    <w:rsid w:val="00C177BC"/>
    <w:rsid w:val="00C177C0"/>
    <w:rsid w:val="00C177CF"/>
    <w:rsid w:val="00C17855"/>
    <w:rsid w:val="00C1790F"/>
    <w:rsid w:val="00C17CC8"/>
    <w:rsid w:val="00C17D30"/>
    <w:rsid w:val="00C17ED1"/>
    <w:rsid w:val="00C17F0C"/>
    <w:rsid w:val="00C20275"/>
    <w:rsid w:val="00C2038F"/>
    <w:rsid w:val="00C204EF"/>
    <w:rsid w:val="00C2053C"/>
    <w:rsid w:val="00C20550"/>
    <w:rsid w:val="00C20842"/>
    <w:rsid w:val="00C20881"/>
    <w:rsid w:val="00C20903"/>
    <w:rsid w:val="00C20932"/>
    <w:rsid w:val="00C20933"/>
    <w:rsid w:val="00C2098A"/>
    <w:rsid w:val="00C20A3B"/>
    <w:rsid w:val="00C20DC8"/>
    <w:rsid w:val="00C20DEF"/>
    <w:rsid w:val="00C20E6A"/>
    <w:rsid w:val="00C21615"/>
    <w:rsid w:val="00C21783"/>
    <w:rsid w:val="00C2192D"/>
    <w:rsid w:val="00C21A5D"/>
    <w:rsid w:val="00C21B3C"/>
    <w:rsid w:val="00C21C5D"/>
    <w:rsid w:val="00C21D7A"/>
    <w:rsid w:val="00C21FB5"/>
    <w:rsid w:val="00C220E6"/>
    <w:rsid w:val="00C22104"/>
    <w:rsid w:val="00C22336"/>
    <w:rsid w:val="00C22443"/>
    <w:rsid w:val="00C224B0"/>
    <w:rsid w:val="00C224DE"/>
    <w:rsid w:val="00C2257B"/>
    <w:rsid w:val="00C22636"/>
    <w:rsid w:val="00C2272C"/>
    <w:rsid w:val="00C2272E"/>
    <w:rsid w:val="00C2274B"/>
    <w:rsid w:val="00C22A20"/>
    <w:rsid w:val="00C22B89"/>
    <w:rsid w:val="00C22C8B"/>
    <w:rsid w:val="00C22EBC"/>
    <w:rsid w:val="00C22FBA"/>
    <w:rsid w:val="00C2304B"/>
    <w:rsid w:val="00C23145"/>
    <w:rsid w:val="00C231CD"/>
    <w:rsid w:val="00C231D0"/>
    <w:rsid w:val="00C23530"/>
    <w:rsid w:val="00C235A0"/>
    <w:rsid w:val="00C238D0"/>
    <w:rsid w:val="00C23958"/>
    <w:rsid w:val="00C23996"/>
    <w:rsid w:val="00C23A1A"/>
    <w:rsid w:val="00C23A34"/>
    <w:rsid w:val="00C23F38"/>
    <w:rsid w:val="00C23F72"/>
    <w:rsid w:val="00C24032"/>
    <w:rsid w:val="00C241B8"/>
    <w:rsid w:val="00C2424B"/>
    <w:rsid w:val="00C245EA"/>
    <w:rsid w:val="00C2466D"/>
    <w:rsid w:val="00C24836"/>
    <w:rsid w:val="00C24AC1"/>
    <w:rsid w:val="00C24B2E"/>
    <w:rsid w:val="00C24B8F"/>
    <w:rsid w:val="00C2514F"/>
    <w:rsid w:val="00C25783"/>
    <w:rsid w:val="00C25784"/>
    <w:rsid w:val="00C2584C"/>
    <w:rsid w:val="00C25A62"/>
    <w:rsid w:val="00C25A68"/>
    <w:rsid w:val="00C25BD9"/>
    <w:rsid w:val="00C25D03"/>
    <w:rsid w:val="00C25E96"/>
    <w:rsid w:val="00C25EC6"/>
    <w:rsid w:val="00C25F37"/>
    <w:rsid w:val="00C260B2"/>
    <w:rsid w:val="00C263FA"/>
    <w:rsid w:val="00C263FC"/>
    <w:rsid w:val="00C266F4"/>
    <w:rsid w:val="00C26803"/>
    <w:rsid w:val="00C2695E"/>
    <w:rsid w:val="00C269EB"/>
    <w:rsid w:val="00C26A0E"/>
    <w:rsid w:val="00C26B54"/>
    <w:rsid w:val="00C26BD1"/>
    <w:rsid w:val="00C26CC2"/>
    <w:rsid w:val="00C26E7D"/>
    <w:rsid w:val="00C26F8E"/>
    <w:rsid w:val="00C2700F"/>
    <w:rsid w:val="00C27013"/>
    <w:rsid w:val="00C270E6"/>
    <w:rsid w:val="00C272AE"/>
    <w:rsid w:val="00C27430"/>
    <w:rsid w:val="00C27639"/>
    <w:rsid w:val="00C2778B"/>
    <w:rsid w:val="00C27819"/>
    <w:rsid w:val="00C27A84"/>
    <w:rsid w:val="00C27AB6"/>
    <w:rsid w:val="00C27B48"/>
    <w:rsid w:val="00C27E01"/>
    <w:rsid w:val="00C27EAB"/>
    <w:rsid w:val="00C27EB7"/>
    <w:rsid w:val="00C30184"/>
    <w:rsid w:val="00C30212"/>
    <w:rsid w:val="00C305ED"/>
    <w:rsid w:val="00C3072C"/>
    <w:rsid w:val="00C30831"/>
    <w:rsid w:val="00C30AA4"/>
    <w:rsid w:val="00C30CC3"/>
    <w:rsid w:val="00C30E85"/>
    <w:rsid w:val="00C30F4F"/>
    <w:rsid w:val="00C30F50"/>
    <w:rsid w:val="00C30FA3"/>
    <w:rsid w:val="00C311AF"/>
    <w:rsid w:val="00C311EB"/>
    <w:rsid w:val="00C31946"/>
    <w:rsid w:val="00C31B75"/>
    <w:rsid w:val="00C31F12"/>
    <w:rsid w:val="00C3250E"/>
    <w:rsid w:val="00C32539"/>
    <w:rsid w:val="00C32A0D"/>
    <w:rsid w:val="00C32A86"/>
    <w:rsid w:val="00C32BFB"/>
    <w:rsid w:val="00C32CAF"/>
    <w:rsid w:val="00C32DE8"/>
    <w:rsid w:val="00C32E65"/>
    <w:rsid w:val="00C32FD0"/>
    <w:rsid w:val="00C33132"/>
    <w:rsid w:val="00C33335"/>
    <w:rsid w:val="00C334EA"/>
    <w:rsid w:val="00C33572"/>
    <w:rsid w:val="00C33579"/>
    <w:rsid w:val="00C335BD"/>
    <w:rsid w:val="00C33866"/>
    <w:rsid w:val="00C33991"/>
    <w:rsid w:val="00C346B5"/>
    <w:rsid w:val="00C348A3"/>
    <w:rsid w:val="00C34968"/>
    <w:rsid w:val="00C349E2"/>
    <w:rsid w:val="00C34CE6"/>
    <w:rsid w:val="00C34D39"/>
    <w:rsid w:val="00C34F71"/>
    <w:rsid w:val="00C35603"/>
    <w:rsid w:val="00C35611"/>
    <w:rsid w:val="00C356D4"/>
    <w:rsid w:val="00C35764"/>
    <w:rsid w:val="00C357E4"/>
    <w:rsid w:val="00C358EA"/>
    <w:rsid w:val="00C3591D"/>
    <w:rsid w:val="00C35957"/>
    <w:rsid w:val="00C35958"/>
    <w:rsid w:val="00C35C6C"/>
    <w:rsid w:val="00C35D32"/>
    <w:rsid w:val="00C36343"/>
    <w:rsid w:val="00C363AB"/>
    <w:rsid w:val="00C36535"/>
    <w:rsid w:val="00C368E7"/>
    <w:rsid w:val="00C36AF2"/>
    <w:rsid w:val="00C36B46"/>
    <w:rsid w:val="00C36B4B"/>
    <w:rsid w:val="00C36C1E"/>
    <w:rsid w:val="00C36CAB"/>
    <w:rsid w:val="00C36F75"/>
    <w:rsid w:val="00C37064"/>
    <w:rsid w:val="00C372A7"/>
    <w:rsid w:val="00C3753E"/>
    <w:rsid w:val="00C375CF"/>
    <w:rsid w:val="00C37727"/>
    <w:rsid w:val="00C379AF"/>
    <w:rsid w:val="00C37B63"/>
    <w:rsid w:val="00C37C4B"/>
    <w:rsid w:val="00C37D63"/>
    <w:rsid w:val="00C4025B"/>
    <w:rsid w:val="00C4028A"/>
    <w:rsid w:val="00C402E0"/>
    <w:rsid w:val="00C4054B"/>
    <w:rsid w:val="00C406EC"/>
    <w:rsid w:val="00C40954"/>
    <w:rsid w:val="00C4097E"/>
    <w:rsid w:val="00C40BA6"/>
    <w:rsid w:val="00C40BD9"/>
    <w:rsid w:val="00C40DD4"/>
    <w:rsid w:val="00C411C2"/>
    <w:rsid w:val="00C412A9"/>
    <w:rsid w:val="00C41418"/>
    <w:rsid w:val="00C414D3"/>
    <w:rsid w:val="00C416BF"/>
    <w:rsid w:val="00C41C22"/>
    <w:rsid w:val="00C41DF8"/>
    <w:rsid w:val="00C42096"/>
    <w:rsid w:val="00C420F9"/>
    <w:rsid w:val="00C421B7"/>
    <w:rsid w:val="00C4280B"/>
    <w:rsid w:val="00C42AEA"/>
    <w:rsid w:val="00C42B6D"/>
    <w:rsid w:val="00C42EB5"/>
    <w:rsid w:val="00C42EF2"/>
    <w:rsid w:val="00C42F73"/>
    <w:rsid w:val="00C4317F"/>
    <w:rsid w:val="00C43190"/>
    <w:rsid w:val="00C431F8"/>
    <w:rsid w:val="00C432D2"/>
    <w:rsid w:val="00C43522"/>
    <w:rsid w:val="00C435EE"/>
    <w:rsid w:val="00C43815"/>
    <w:rsid w:val="00C4384C"/>
    <w:rsid w:val="00C43B43"/>
    <w:rsid w:val="00C43D4D"/>
    <w:rsid w:val="00C43E8E"/>
    <w:rsid w:val="00C4430D"/>
    <w:rsid w:val="00C44907"/>
    <w:rsid w:val="00C44B12"/>
    <w:rsid w:val="00C44E38"/>
    <w:rsid w:val="00C44F06"/>
    <w:rsid w:val="00C45033"/>
    <w:rsid w:val="00C450CB"/>
    <w:rsid w:val="00C45365"/>
    <w:rsid w:val="00C45660"/>
    <w:rsid w:val="00C457A0"/>
    <w:rsid w:val="00C458FC"/>
    <w:rsid w:val="00C45980"/>
    <w:rsid w:val="00C45BF0"/>
    <w:rsid w:val="00C45C2A"/>
    <w:rsid w:val="00C45D64"/>
    <w:rsid w:val="00C45F32"/>
    <w:rsid w:val="00C4641B"/>
    <w:rsid w:val="00C4674B"/>
    <w:rsid w:val="00C46995"/>
    <w:rsid w:val="00C469A7"/>
    <w:rsid w:val="00C46B54"/>
    <w:rsid w:val="00C46D0D"/>
    <w:rsid w:val="00C46F7C"/>
    <w:rsid w:val="00C46FF5"/>
    <w:rsid w:val="00C47043"/>
    <w:rsid w:val="00C472A0"/>
    <w:rsid w:val="00C47446"/>
    <w:rsid w:val="00C474BF"/>
    <w:rsid w:val="00C47B8D"/>
    <w:rsid w:val="00C47CD1"/>
    <w:rsid w:val="00C47EE8"/>
    <w:rsid w:val="00C47F4D"/>
    <w:rsid w:val="00C500F4"/>
    <w:rsid w:val="00C501BD"/>
    <w:rsid w:val="00C50327"/>
    <w:rsid w:val="00C5035A"/>
    <w:rsid w:val="00C5040A"/>
    <w:rsid w:val="00C506DF"/>
    <w:rsid w:val="00C5070C"/>
    <w:rsid w:val="00C50756"/>
    <w:rsid w:val="00C50BA9"/>
    <w:rsid w:val="00C50D82"/>
    <w:rsid w:val="00C50F81"/>
    <w:rsid w:val="00C50F95"/>
    <w:rsid w:val="00C51020"/>
    <w:rsid w:val="00C51081"/>
    <w:rsid w:val="00C510F1"/>
    <w:rsid w:val="00C51331"/>
    <w:rsid w:val="00C51705"/>
    <w:rsid w:val="00C517E9"/>
    <w:rsid w:val="00C517F3"/>
    <w:rsid w:val="00C51F5A"/>
    <w:rsid w:val="00C5201D"/>
    <w:rsid w:val="00C520A8"/>
    <w:rsid w:val="00C52432"/>
    <w:rsid w:val="00C524C2"/>
    <w:rsid w:val="00C52507"/>
    <w:rsid w:val="00C52651"/>
    <w:rsid w:val="00C527A6"/>
    <w:rsid w:val="00C5289E"/>
    <w:rsid w:val="00C529A2"/>
    <w:rsid w:val="00C529C2"/>
    <w:rsid w:val="00C52A62"/>
    <w:rsid w:val="00C52CDE"/>
    <w:rsid w:val="00C52CE3"/>
    <w:rsid w:val="00C52ECE"/>
    <w:rsid w:val="00C5310D"/>
    <w:rsid w:val="00C53112"/>
    <w:rsid w:val="00C53201"/>
    <w:rsid w:val="00C53268"/>
    <w:rsid w:val="00C532ED"/>
    <w:rsid w:val="00C53316"/>
    <w:rsid w:val="00C53509"/>
    <w:rsid w:val="00C53640"/>
    <w:rsid w:val="00C538E6"/>
    <w:rsid w:val="00C53A40"/>
    <w:rsid w:val="00C53B4D"/>
    <w:rsid w:val="00C53D36"/>
    <w:rsid w:val="00C53D78"/>
    <w:rsid w:val="00C53DCA"/>
    <w:rsid w:val="00C53EFD"/>
    <w:rsid w:val="00C5445A"/>
    <w:rsid w:val="00C5448F"/>
    <w:rsid w:val="00C544C6"/>
    <w:rsid w:val="00C544C8"/>
    <w:rsid w:val="00C54899"/>
    <w:rsid w:val="00C54997"/>
    <w:rsid w:val="00C54A0A"/>
    <w:rsid w:val="00C54C53"/>
    <w:rsid w:val="00C54CD2"/>
    <w:rsid w:val="00C54CDD"/>
    <w:rsid w:val="00C54D17"/>
    <w:rsid w:val="00C55196"/>
    <w:rsid w:val="00C55370"/>
    <w:rsid w:val="00C55624"/>
    <w:rsid w:val="00C556F2"/>
    <w:rsid w:val="00C55890"/>
    <w:rsid w:val="00C55984"/>
    <w:rsid w:val="00C55A2D"/>
    <w:rsid w:val="00C55B75"/>
    <w:rsid w:val="00C55BF8"/>
    <w:rsid w:val="00C55CAF"/>
    <w:rsid w:val="00C55DCC"/>
    <w:rsid w:val="00C5600F"/>
    <w:rsid w:val="00C56043"/>
    <w:rsid w:val="00C563D6"/>
    <w:rsid w:val="00C5644A"/>
    <w:rsid w:val="00C56863"/>
    <w:rsid w:val="00C568E5"/>
    <w:rsid w:val="00C569C9"/>
    <w:rsid w:val="00C56ABE"/>
    <w:rsid w:val="00C56CAC"/>
    <w:rsid w:val="00C56D1C"/>
    <w:rsid w:val="00C56E37"/>
    <w:rsid w:val="00C56FB9"/>
    <w:rsid w:val="00C57088"/>
    <w:rsid w:val="00C57274"/>
    <w:rsid w:val="00C57320"/>
    <w:rsid w:val="00C5739C"/>
    <w:rsid w:val="00C575BE"/>
    <w:rsid w:val="00C57913"/>
    <w:rsid w:val="00C57A3F"/>
    <w:rsid w:val="00C57CF7"/>
    <w:rsid w:val="00C57D0F"/>
    <w:rsid w:val="00C57EA0"/>
    <w:rsid w:val="00C57F7D"/>
    <w:rsid w:val="00C57FD0"/>
    <w:rsid w:val="00C601B8"/>
    <w:rsid w:val="00C6025E"/>
    <w:rsid w:val="00C603C8"/>
    <w:rsid w:val="00C60433"/>
    <w:rsid w:val="00C606FF"/>
    <w:rsid w:val="00C60817"/>
    <w:rsid w:val="00C60994"/>
    <w:rsid w:val="00C609B9"/>
    <w:rsid w:val="00C60AA4"/>
    <w:rsid w:val="00C60F79"/>
    <w:rsid w:val="00C611BA"/>
    <w:rsid w:val="00C616BC"/>
    <w:rsid w:val="00C6177A"/>
    <w:rsid w:val="00C61AB4"/>
    <w:rsid w:val="00C61EC7"/>
    <w:rsid w:val="00C61F32"/>
    <w:rsid w:val="00C620DC"/>
    <w:rsid w:val="00C62120"/>
    <w:rsid w:val="00C621D5"/>
    <w:rsid w:val="00C621ED"/>
    <w:rsid w:val="00C621F4"/>
    <w:rsid w:val="00C62211"/>
    <w:rsid w:val="00C622C2"/>
    <w:rsid w:val="00C624AA"/>
    <w:rsid w:val="00C624C3"/>
    <w:rsid w:val="00C6260A"/>
    <w:rsid w:val="00C629A9"/>
    <w:rsid w:val="00C62AE6"/>
    <w:rsid w:val="00C62C16"/>
    <w:rsid w:val="00C62C59"/>
    <w:rsid w:val="00C62CCB"/>
    <w:rsid w:val="00C63022"/>
    <w:rsid w:val="00C630A9"/>
    <w:rsid w:val="00C63208"/>
    <w:rsid w:val="00C63363"/>
    <w:rsid w:val="00C63391"/>
    <w:rsid w:val="00C634F3"/>
    <w:rsid w:val="00C635AE"/>
    <w:rsid w:val="00C635C1"/>
    <w:rsid w:val="00C63758"/>
    <w:rsid w:val="00C63B7A"/>
    <w:rsid w:val="00C63BB9"/>
    <w:rsid w:val="00C63E13"/>
    <w:rsid w:val="00C63E48"/>
    <w:rsid w:val="00C6400B"/>
    <w:rsid w:val="00C64230"/>
    <w:rsid w:val="00C643AF"/>
    <w:rsid w:val="00C6446B"/>
    <w:rsid w:val="00C64551"/>
    <w:rsid w:val="00C6461D"/>
    <w:rsid w:val="00C647C6"/>
    <w:rsid w:val="00C6485D"/>
    <w:rsid w:val="00C64AA2"/>
    <w:rsid w:val="00C64E8D"/>
    <w:rsid w:val="00C65089"/>
    <w:rsid w:val="00C652CD"/>
    <w:rsid w:val="00C6531C"/>
    <w:rsid w:val="00C65491"/>
    <w:rsid w:val="00C65894"/>
    <w:rsid w:val="00C65B2B"/>
    <w:rsid w:val="00C65B48"/>
    <w:rsid w:val="00C65CCF"/>
    <w:rsid w:val="00C65D22"/>
    <w:rsid w:val="00C65EAE"/>
    <w:rsid w:val="00C6645B"/>
    <w:rsid w:val="00C6679E"/>
    <w:rsid w:val="00C667A2"/>
    <w:rsid w:val="00C667FF"/>
    <w:rsid w:val="00C6694B"/>
    <w:rsid w:val="00C66A20"/>
    <w:rsid w:val="00C66B25"/>
    <w:rsid w:val="00C66B99"/>
    <w:rsid w:val="00C66EE8"/>
    <w:rsid w:val="00C66F39"/>
    <w:rsid w:val="00C67100"/>
    <w:rsid w:val="00C6737A"/>
    <w:rsid w:val="00C6769C"/>
    <w:rsid w:val="00C67943"/>
    <w:rsid w:val="00C6799E"/>
    <w:rsid w:val="00C67BCE"/>
    <w:rsid w:val="00C67D08"/>
    <w:rsid w:val="00C67D49"/>
    <w:rsid w:val="00C67D9E"/>
    <w:rsid w:val="00C67DBC"/>
    <w:rsid w:val="00C67E2B"/>
    <w:rsid w:val="00C7009E"/>
    <w:rsid w:val="00C701A2"/>
    <w:rsid w:val="00C7041C"/>
    <w:rsid w:val="00C704B8"/>
    <w:rsid w:val="00C7063A"/>
    <w:rsid w:val="00C7076D"/>
    <w:rsid w:val="00C70AB7"/>
    <w:rsid w:val="00C70BAF"/>
    <w:rsid w:val="00C70DEF"/>
    <w:rsid w:val="00C70EBF"/>
    <w:rsid w:val="00C70F1B"/>
    <w:rsid w:val="00C70FC5"/>
    <w:rsid w:val="00C71021"/>
    <w:rsid w:val="00C7104D"/>
    <w:rsid w:val="00C710B5"/>
    <w:rsid w:val="00C7118D"/>
    <w:rsid w:val="00C71195"/>
    <w:rsid w:val="00C7134B"/>
    <w:rsid w:val="00C7155F"/>
    <w:rsid w:val="00C71605"/>
    <w:rsid w:val="00C71A6D"/>
    <w:rsid w:val="00C71C72"/>
    <w:rsid w:val="00C71D87"/>
    <w:rsid w:val="00C7228E"/>
    <w:rsid w:val="00C7240F"/>
    <w:rsid w:val="00C727B5"/>
    <w:rsid w:val="00C72893"/>
    <w:rsid w:val="00C72B71"/>
    <w:rsid w:val="00C72C64"/>
    <w:rsid w:val="00C72E42"/>
    <w:rsid w:val="00C72F3D"/>
    <w:rsid w:val="00C730CA"/>
    <w:rsid w:val="00C732F8"/>
    <w:rsid w:val="00C7337A"/>
    <w:rsid w:val="00C734EB"/>
    <w:rsid w:val="00C73607"/>
    <w:rsid w:val="00C7372B"/>
    <w:rsid w:val="00C73A78"/>
    <w:rsid w:val="00C73B88"/>
    <w:rsid w:val="00C73BC0"/>
    <w:rsid w:val="00C73BC1"/>
    <w:rsid w:val="00C73D56"/>
    <w:rsid w:val="00C74056"/>
    <w:rsid w:val="00C74112"/>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95"/>
    <w:rsid w:val="00C752B6"/>
    <w:rsid w:val="00C7532A"/>
    <w:rsid w:val="00C75351"/>
    <w:rsid w:val="00C755A0"/>
    <w:rsid w:val="00C75854"/>
    <w:rsid w:val="00C75ECB"/>
    <w:rsid w:val="00C76004"/>
    <w:rsid w:val="00C76170"/>
    <w:rsid w:val="00C762B5"/>
    <w:rsid w:val="00C76604"/>
    <w:rsid w:val="00C7670C"/>
    <w:rsid w:val="00C767E9"/>
    <w:rsid w:val="00C7683E"/>
    <w:rsid w:val="00C76941"/>
    <w:rsid w:val="00C769CA"/>
    <w:rsid w:val="00C76A44"/>
    <w:rsid w:val="00C76B6A"/>
    <w:rsid w:val="00C76BA4"/>
    <w:rsid w:val="00C76D28"/>
    <w:rsid w:val="00C76E0B"/>
    <w:rsid w:val="00C76EA9"/>
    <w:rsid w:val="00C76EDC"/>
    <w:rsid w:val="00C76FD8"/>
    <w:rsid w:val="00C77068"/>
    <w:rsid w:val="00C770C4"/>
    <w:rsid w:val="00C7724C"/>
    <w:rsid w:val="00C77281"/>
    <w:rsid w:val="00C77308"/>
    <w:rsid w:val="00C7742D"/>
    <w:rsid w:val="00C7755C"/>
    <w:rsid w:val="00C77CBE"/>
    <w:rsid w:val="00C77DE8"/>
    <w:rsid w:val="00C77FC2"/>
    <w:rsid w:val="00C80102"/>
    <w:rsid w:val="00C80163"/>
    <w:rsid w:val="00C801FF"/>
    <w:rsid w:val="00C80201"/>
    <w:rsid w:val="00C80373"/>
    <w:rsid w:val="00C8039C"/>
    <w:rsid w:val="00C80625"/>
    <w:rsid w:val="00C807A2"/>
    <w:rsid w:val="00C80A90"/>
    <w:rsid w:val="00C80AF7"/>
    <w:rsid w:val="00C80C33"/>
    <w:rsid w:val="00C80D0C"/>
    <w:rsid w:val="00C80E60"/>
    <w:rsid w:val="00C80EEC"/>
    <w:rsid w:val="00C810B5"/>
    <w:rsid w:val="00C812C0"/>
    <w:rsid w:val="00C814D1"/>
    <w:rsid w:val="00C81C9F"/>
    <w:rsid w:val="00C81D03"/>
    <w:rsid w:val="00C82166"/>
    <w:rsid w:val="00C822D2"/>
    <w:rsid w:val="00C8246B"/>
    <w:rsid w:val="00C82932"/>
    <w:rsid w:val="00C82C2F"/>
    <w:rsid w:val="00C82CF9"/>
    <w:rsid w:val="00C82E59"/>
    <w:rsid w:val="00C82F5F"/>
    <w:rsid w:val="00C8349B"/>
    <w:rsid w:val="00C83543"/>
    <w:rsid w:val="00C83587"/>
    <w:rsid w:val="00C835FC"/>
    <w:rsid w:val="00C83BA2"/>
    <w:rsid w:val="00C83DCC"/>
    <w:rsid w:val="00C84208"/>
    <w:rsid w:val="00C843EF"/>
    <w:rsid w:val="00C8447F"/>
    <w:rsid w:val="00C84729"/>
    <w:rsid w:val="00C84989"/>
    <w:rsid w:val="00C84C66"/>
    <w:rsid w:val="00C84C70"/>
    <w:rsid w:val="00C84CE0"/>
    <w:rsid w:val="00C84DE7"/>
    <w:rsid w:val="00C851E9"/>
    <w:rsid w:val="00C8521E"/>
    <w:rsid w:val="00C8537D"/>
    <w:rsid w:val="00C8537E"/>
    <w:rsid w:val="00C85559"/>
    <w:rsid w:val="00C85A4D"/>
    <w:rsid w:val="00C85B63"/>
    <w:rsid w:val="00C85C57"/>
    <w:rsid w:val="00C85EF2"/>
    <w:rsid w:val="00C85F29"/>
    <w:rsid w:val="00C86022"/>
    <w:rsid w:val="00C862EF"/>
    <w:rsid w:val="00C867FE"/>
    <w:rsid w:val="00C86A72"/>
    <w:rsid w:val="00C86C97"/>
    <w:rsid w:val="00C86E6C"/>
    <w:rsid w:val="00C8701B"/>
    <w:rsid w:val="00C870D8"/>
    <w:rsid w:val="00C87301"/>
    <w:rsid w:val="00C8753D"/>
    <w:rsid w:val="00C875A2"/>
    <w:rsid w:val="00C87700"/>
    <w:rsid w:val="00C87878"/>
    <w:rsid w:val="00C87B00"/>
    <w:rsid w:val="00C87B3D"/>
    <w:rsid w:val="00C87ED7"/>
    <w:rsid w:val="00C87F93"/>
    <w:rsid w:val="00C9024C"/>
    <w:rsid w:val="00C903AF"/>
    <w:rsid w:val="00C90463"/>
    <w:rsid w:val="00C904F1"/>
    <w:rsid w:val="00C90660"/>
    <w:rsid w:val="00C90801"/>
    <w:rsid w:val="00C90892"/>
    <w:rsid w:val="00C90B47"/>
    <w:rsid w:val="00C90B63"/>
    <w:rsid w:val="00C90C41"/>
    <w:rsid w:val="00C90D68"/>
    <w:rsid w:val="00C90DBC"/>
    <w:rsid w:val="00C90F40"/>
    <w:rsid w:val="00C90F59"/>
    <w:rsid w:val="00C90F9B"/>
    <w:rsid w:val="00C90FAF"/>
    <w:rsid w:val="00C9101E"/>
    <w:rsid w:val="00C91098"/>
    <w:rsid w:val="00C910EC"/>
    <w:rsid w:val="00C9131C"/>
    <w:rsid w:val="00C9164F"/>
    <w:rsid w:val="00C91B04"/>
    <w:rsid w:val="00C91C16"/>
    <w:rsid w:val="00C91F96"/>
    <w:rsid w:val="00C92271"/>
    <w:rsid w:val="00C924A4"/>
    <w:rsid w:val="00C925B4"/>
    <w:rsid w:val="00C9270F"/>
    <w:rsid w:val="00C927FE"/>
    <w:rsid w:val="00C928C2"/>
    <w:rsid w:val="00C92A36"/>
    <w:rsid w:val="00C92C80"/>
    <w:rsid w:val="00C92FDA"/>
    <w:rsid w:val="00C93210"/>
    <w:rsid w:val="00C935B3"/>
    <w:rsid w:val="00C938D5"/>
    <w:rsid w:val="00C9398B"/>
    <w:rsid w:val="00C93A24"/>
    <w:rsid w:val="00C93B8B"/>
    <w:rsid w:val="00C93D0B"/>
    <w:rsid w:val="00C93E0C"/>
    <w:rsid w:val="00C93F9F"/>
    <w:rsid w:val="00C94385"/>
    <w:rsid w:val="00C9442C"/>
    <w:rsid w:val="00C94567"/>
    <w:rsid w:val="00C94677"/>
    <w:rsid w:val="00C94691"/>
    <w:rsid w:val="00C94741"/>
    <w:rsid w:val="00C94817"/>
    <w:rsid w:val="00C94AE8"/>
    <w:rsid w:val="00C94CF1"/>
    <w:rsid w:val="00C94D63"/>
    <w:rsid w:val="00C94FDC"/>
    <w:rsid w:val="00C951D4"/>
    <w:rsid w:val="00C9540E"/>
    <w:rsid w:val="00C95525"/>
    <w:rsid w:val="00C9552E"/>
    <w:rsid w:val="00C95541"/>
    <w:rsid w:val="00C9569A"/>
    <w:rsid w:val="00C9596D"/>
    <w:rsid w:val="00C95A0B"/>
    <w:rsid w:val="00C95CAF"/>
    <w:rsid w:val="00C95D18"/>
    <w:rsid w:val="00C95E9F"/>
    <w:rsid w:val="00C960BB"/>
    <w:rsid w:val="00C960BD"/>
    <w:rsid w:val="00C960D6"/>
    <w:rsid w:val="00C966CE"/>
    <w:rsid w:val="00C967A1"/>
    <w:rsid w:val="00C967BD"/>
    <w:rsid w:val="00C967FF"/>
    <w:rsid w:val="00C969E0"/>
    <w:rsid w:val="00C96A29"/>
    <w:rsid w:val="00C96A70"/>
    <w:rsid w:val="00C96AEE"/>
    <w:rsid w:val="00C96E08"/>
    <w:rsid w:val="00C96F0B"/>
    <w:rsid w:val="00C972C1"/>
    <w:rsid w:val="00C9730F"/>
    <w:rsid w:val="00C97698"/>
    <w:rsid w:val="00C9778F"/>
    <w:rsid w:val="00C97939"/>
    <w:rsid w:val="00C9796A"/>
    <w:rsid w:val="00C97978"/>
    <w:rsid w:val="00C97AC1"/>
    <w:rsid w:val="00C97B88"/>
    <w:rsid w:val="00C97E7F"/>
    <w:rsid w:val="00C97EEE"/>
    <w:rsid w:val="00CA00AD"/>
    <w:rsid w:val="00CA01FE"/>
    <w:rsid w:val="00CA0243"/>
    <w:rsid w:val="00CA02BC"/>
    <w:rsid w:val="00CA043E"/>
    <w:rsid w:val="00CA0552"/>
    <w:rsid w:val="00CA06E8"/>
    <w:rsid w:val="00CA0872"/>
    <w:rsid w:val="00CA0910"/>
    <w:rsid w:val="00CA095F"/>
    <w:rsid w:val="00CA0A2E"/>
    <w:rsid w:val="00CA0A49"/>
    <w:rsid w:val="00CA0B08"/>
    <w:rsid w:val="00CA0DA9"/>
    <w:rsid w:val="00CA0FA8"/>
    <w:rsid w:val="00CA1553"/>
    <w:rsid w:val="00CA16EC"/>
    <w:rsid w:val="00CA171D"/>
    <w:rsid w:val="00CA1BF7"/>
    <w:rsid w:val="00CA1FC6"/>
    <w:rsid w:val="00CA23A0"/>
    <w:rsid w:val="00CA2789"/>
    <w:rsid w:val="00CA278A"/>
    <w:rsid w:val="00CA2832"/>
    <w:rsid w:val="00CA294B"/>
    <w:rsid w:val="00CA2C7B"/>
    <w:rsid w:val="00CA3088"/>
    <w:rsid w:val="00CA3290"/>
    <w:rsid w:val="00CA3292"/>
    <w:rsid w:val="00CA346B"/>
    <w:rsid w:val="00CA360A"/>
    <w:rsid w:val="00CA368C"/>
    <w:rsid w:val="00CA377C"/>
    <w:rsid w:val="00CA38D3"/>
    <w:rsid w:val="00CA3B10"/>
    <w:rsid w:val="00CA3C08"/>
    <w:rsid w:val="00CA3C48"/>
    <w:rsid w:val="00CA3F42"/>
    <w:rsid w:val="00CA3FBC"/>
    <w:rsid w:val="00CA3FC6"/>
    <w:rsid w:val="00CA4052"/>
    <w:rsid w:val="00CA40E2"/>
    <w:rsid w:val="00CA41C3"/>
    <w:rsid w:val="00CA4314"/>
    <w:rsid w:val="00CA435B"/>
    <w:rsid w:val="00CA4573"/>
    <w:rsid w:val="00CA47D1"/>
    <w:rsid w:val="00CA481D"/>
    <w:rsid w:val="00CA488A"/>
    <w:rsid w:val="00CA5007"/>
    <w:rsid w:val="00CA50CA"/>
    <w:rsid w:val="00CA536D"/>
    <w:rsid w:val="00CA5723"/>
    <w:rsid w:val="00CA5781"/>
    <w:rsid w:val="00CA5A01"/>
    <w:rsid w:val="00CA5A07"/>
    <w:rsid w:val="00CA5B31"/>
    <w:rsid w:val="00CA5BE9"/>
    <w:rsid w:val="00CA5BF1"/>
    <w:rsid w:val="00CA5C4E"/>
    <w:rsid w:val="00CA5C97"/>
    <w:rsid w:val="00CA5CF4"/>
    <w:rsid w:val="00CA5E8B"/>
    <w:rsid w:val="00CA61B8"/>
    <w:rsid w:val="00CA63B2"/>
    <w:rsid w:val="00CA645C"/>
    <w:rsid w:val="00CA694A"/>
    <w:rsid w:val="00CA6955"/>
    <w:rsid w:val="00CA69C4"/>
    <w:rsid w:val="00CA6D88"/>
    <w:rsid w:val="00CA6F99"/>
    <w:rsid w:val="00CA6F9C"/>
    <w:rsid w:val="00CA72E1"/>
    <w:rsid w:val="00CA7397"/>
    <w:rsid w:val="00CA748B"/>
    <w:rsid w:val="00CA781C"/>
    <w:rsid w:val="00CA7912"/>
    <w:rsid w:val="00CA799F"/>
    <w:rsid w:val="00CA7A39"/>
    <w:rsid w:val="00CA7A3A"/>
    <w:rsid w:val="00CA7A64"/>
    <w:rsid w:val="00CA7A75"/>
    <w:rsid w:val="00CA7A8E"/>
    <w:rsid w:val="00CA7B86"/>
    <w:rsid w:val="00CA7BCC"/>
    <w:rsid w:val="00CA7C76"/>
    <w:rsid w:val="00CA7E54"/>
    <w:rsid w:val="00CA7F15"/>
    <w:rsid w:val="00CB0129"/>
    <w:rsid w:val="00CB0157"/>
    <w:rsid w:val="00CB046F"/>
    <w:rsid w:val="00CB0504"/>
    <w:rsid w:val="00CB083E"/>
    <w:rsid w:val="00CB09EB"/>
    <w:rsid w:val="00CB0C83"/>
    <w:rsid w:val="00CB0CBC"/>
    <w:rsid w:val="00CB0D2B"/>
    <w:rsid w:val="00CB0FDE"/>
    <w:rsid w:val="00CB101F"/>
    <w:rsid w:val="00CB1152"/>
    <w:rsid w:val="00CB1360"/>
    <w:rsid w:val="00CB13F8"/>
    <w:rsid w:val="00CB1644"/>
    <w:rsid w:val="00CB1AA7"/>
    <w:rsid w:val="00CB1CE6"/>
    <w:rsid w:val="00CB1CEF"/>
    <w:rsid w:val="00CB1F34"/>
    <w:rsid w:val="00CB203A"/>
    <w:rsid w:val="00CB2209"/>
    <w:rsid w:val="00CB23EC"/>
    <w:rsid w:val="00CB24A7"/>
    <w:rsid w:val="00CB25FA"/>
    <w:rsid w:val="00CB276B"/>
    <w:rsid w:val="00CB27E4"/>
    <w:rsid w:val="00CB294A"/>
    <w:rsid w:val="00CB2A62"/>
    <w:rsid w:val="00CB2B6D"/>
    <w:rsid w:val="00CB2B95"/>
    <w:rsid w:val="00CB2CF9"/>
    <w:rsid w:val="00CB30C9"/>
    <w:rsid w:val="00CB30F9"/>
    <w:rsid w:val="00CB3269"/>
    <w:rsid w:val="00CB330D"/>
    <w:rsid w:val="00CB3347"/>
    <w:rsid w:val="00CB34E2"/>
    <w:rsid w:val="00CB3707"/>
    <w:rsid w:val="00CB385E"/>
    <w:rsid w:val="00CB3912"/>
    <w:rsid w:val="00CB3A39"/>
    <w:rsid w:val="00CB3D4F"/>
    <w:rsid w:val="00CB3FC3"/>
    <w:rsid w:val="00CB3FF3"/>
    <w:rsid w:val="00CB4067"/>
    <w:rsid w:val="00CB42C2"/>
    <w:rsid w:val="00CB42F5"/>
    <w:rsid w:val="00CB43F9"/>
    <w:rsid w:val="00CB45FA"/>
    <w:rsid w:val="00CB4A5F"/>
    <w:rsid w:val="00CB4B13"/>
    <w:rsid w:val="00CB4BE6"/>
    <w:rsid w:val="00CB4C2E"/>
    <w:rsid w:val="00CB4DC3"/>
    <w:rsid w:val="00CB4E16"/>
    <w:rsid w:val="00CB4EF2"/>
    <w:rsid w:val="00CB50C3"/>
    <w:rsid w:val="00CB514B"/>
    <w:rsid w:val="00CB5199"/>
    <w:rsid w:val="00CB51C3"/>
    <w:rsid w:val="00CB5212"/>
    <w:rsid w:val="00CB54A9"/>
    <w:rsid w:val="00CB591E"/>
    <w:rsid w:val="00CB59BB"/>
    <w:rsid w:val="00CB5BA8"/>
    <w:rsid w:val="00CB5F3C"/>
    <w:rsid w:val="00CB5F92"/>
    <w:rsid w:val="00CB6090"/>
    <w:rsid w:val="00CB6113"/>
    <w:rsid w:val="00CB6225"/>
    <w:rsid w:val="00CB62A2"/>
    <w:rsid w:val="00CB6348"/>
    <w:rsid w:val="00CB63CF"/>
    <w:rsid w:val="00CB6447"/>
    <w:rsid w:val="00CB651C"/>
    <w:rsid w:val="00CB6694"/>
    <w:rsid w:val="00CB6855"/>
    <w:rsid w:val="00CB6944"/>
    <w:rsid w:val="00CB6A78"/>
    <w:rsid w:val="00CB6C7F"/>
    <w:rsid w:val="00CB6C85"/>
    <w:rsid w:val="00CB6C97"/>
    <w:rsid w:val="00CB6F82"/>
    <w:rsid w:val="00CB70EB"/>
    <w:rsid w:val="00CB73D0"/>
    <w:rsid w:val="00CB74F1"/>
    <w:rsid w:val="00CB7609"/>
    <w:rsid w:val="00CB7719"/>
    <w:rsid w:val="00CB7935"/>
    <w:rsid w:val="00CB7B5A"/>
    <w:rsid w:val="00CB7C11"/>
    <w:rsid w:val="00CB7DE4"/>
    <w:rsid w:val="00CC003F"/>
    <w:rsid w:val="00CC00C1"/>
    <w:rsid w:val="00CC0190"/>
    <w:rsid w:val="00CC0211"/>
    <w:rsid w:val="00CC021A"/>
    <w:rsid w:val="00CC0320"/>
    <w:rsid w:val="00CC040D"/>
    <w:rsid w:val="00CC060F"/>
    <w:rsid w:val="00CC0676"/>
    <w:rsid w:val="00CC07AC"/>
    <w:rsid w:val="00CC0950"/>
    <w:rsid w:val="00CC0998"/>
    <w:rsid w:val="00CC0A14"/>
    <w:rsid w:val="00CC0B63"/>
    <w:rsid w:val="00CC0BA9"/>
    <w:rsid w:val="00CC0E4D"/>
    <w:rsid w:val="00CC0ECA"/>
    <w:rsid w:val="00CC0FF0"/>
    <w:rsid w:val="00CC1443"/>
    <w:rsid w:val="00CC165F"/>
    <w:rsid w:val="00CC171A"/>
    <w:rsid w:val="00CC1A7F"/>
    <w:rsid w:val="00CC1C21"/>
    <w:rsid w:val="00CC1E95"/>
    <w:rsid w:val="00CC1E99"/>
    <w:rsid w:val="00CC22F0"/>
    <w:rsid w:val="00CC24B6"/>
    <w:rsid w:val="00CC2785"/>
    <w:rsid w:val="00CC2A9D"/>
    <w:rsid w:val="00CC2C71"/>
    <w:rsid w:val="00CC2CA1"/>
    <w:rsid w:val="00CC2CE8"/>
    <w:rsid w:val="00CC2E7D"/>
    <w:rsid w:val="00CC2FF9"/>
    <w:rsid w:val="00CC30B9"/>
    <w:rsid w:val="00CC310B"/>
    <w:rsid w:val="00CC32D9"/>
    <w:rsid w:val="00CC3319"/>
    <w:rsid w:val="00CC35D9"/>
    <w:rsid w:val="00CC3664"/>
    <w:rsid w:val="00CC38D8"/>
    <w:rsid w:val="00CC3ADB"/>
    <w:rsid w:val="00CC3EB9"/>
    <w:rsid w:val="00CC4047"/>
    <w:rsid w:val="00CC45AC"/>
    <w:rsid w:val="00CC46B9"/>
    <w:rsid w:val="00CC4797"/>
    <w:rsid w:val="00CC49C8"/>
    <w:rsid w:val="00CC4AA5"/>
    <w:rsid w:val="00CC4CD7"/>
    <w:rsid w:val="00CC4E21"/>
    <w:rsid w:val="00CC4FC9"/>
    <w:rsid w:val="00CC503E"/>
    <w:rsid w:val="00CC513E"/>
    <w:rsid w:val="00CC51A8"/>
    <w:rsid w:val="00CC5275"/>
    <w:rsid w:val="00CC5431"/>
    <w:rsid w:val="00CC5710"/>
    <w:rsid w:val="00CC5A8C"/>
    <w:rsid w:val="00CC5BE3"/>
    <w:rsid w:val="00CC5CE6"/>
    <w:rsid w:val="00CC5D66"/>
    <w:rsid w:val="00CC5D6A"/>
    <w:rsid w:val="00CC5F17"/>
    <w:rsid w:val="00CC60AE"/>
    <w:rsid w:val="00CC6208"/>
    <w:rsid w:val="00CC62A2"/>
    <w:rsid w:val="00CC64F3"/>
    <w:rsid w:val="00CC653C"/>
    <w:rsid w:val="00CC6754"/>
    <w:rsid w:val="00CC69DA"/>
    <w:rsid w:val="00CC6B15"/>
    <w:rsid w:val="00CC6B6E"/>
    <w:rsid w:val="00CC6C1C"/>
    <w:rsid w:val="00CC722F"/>
    <w:rsid w:val="00CC72A2"/>
    <w:rsid w:val="00CC736E"/>
    <w:rsid w:val="00CC7376"/>
    <w:rsid w:val="00CC757F"/>
    <w:rsid w:val="00CC782E"/>
    <w:rsid w:val="00CC79A1"/>
    <w:rsid w:val="00CC79D3"/>
    <w:rsid w:val="00CC7A8B"/>
    <w:rsid w:val="00CC7D33"/>
    <w:rsid w:val="00CC7F2E"/>
    <w:rsid w:val="00CC7F41"/>
    <w:rsid w:val="00CD004E"/>
    <w:rsid w:val="00CD038B"/>
    <w:rsid w:val="00CD0588"/>
    <w:rsid w:val="00CD0637"/>
    <w:rsid w:val="00CD06ED"/>
    <w:rsid w:val="00CD0706"/>
    <w:rsid w:val="00CD08DC"/>
    <w:rsid w:val="00CD090D"/>
    <w:rsid w:val="00CD094F"/>
    <w:rsid w:val="00CD09DF"/>
    <w:rsid w:val="00CD0B04"/>
    <w:rsid w:val="00CD0CAE"/>
    <w:rsid w:val="00CD0D23"/>
    <w:rsid w:val="00CD0D86"/>
    <w:rsid w:val="00CD0EFA"/>
    <w:rsid w:val="00CD0F7F"/>
    <w:rsid w:val="00CD100E"/>
    <w:rsid w:val="00CD128C"/>
    <w:rsid w:val="00CD12FE"/>
    <w:rsid w:val="00CD135E"/>
    <w:rsid w:val="00CD13DD"/>
    <w:rsid w:val="00CD1601"/>
    <w:rsid w:val="00CD1750"/>
    <w:rsid w:val="00CD1854"/>
    <w:rsid w:val="00CD18FC"/>
    <w:rsid w:val="00CD19C3"/>
    <w:rsid w:val="00CD1B20"/>
    <w:rsid w:val="00CD1C39"/>
    <w:rsid w:val="00CD1E57"/>
    <w:rsid w:val="00CD1F4B"/>
    <w:rsid w:val="00CD1FB8"/>
    <w:rsid w:val="00CD2399"/>
    <w:rsid w:val="00CD2698"/>
    <w:rsid w:val="00CD27A2"/>
    <w:rsid w:val="00CD281C"/>
    <w:rsid w:val="00CD2BA1"/>
    <w:rsid w:val="00CD2D31"/>
    <w:rsid w:val="00CD3229"/>
    <w:rsid w:val="00CD3250"/>
    <w:rsid w:val="00CD3430"/>
    <w:rsid w:val="00CD35DD"/>
    <w:rsid w:val="00CD36E8"/>
    <w:rsid w:val="00CD372F"/>
    <w:rsid w:val="00CD3775"/>
    <w:rsid w:val="00CD3AC9"/>
    <w:rsid w:val="00CD3B42"/>
    <w:rsid w:val="00CD3CA1"/>
    <w:rsid w:val="00CD3D77"/>
    <w:rsid w:val="00CD4290"/>
    <w:rsid w:val="00CD42E2"/>
    <w:rsid w:val="00CD4327"/>
    <w:rsid w:val="00CD4732"/>
    <w:rsid w:val="00CD48E9"/>
    <w:rsid w:val="00CD4A70"/>
    <w:rsid w:val="00CD4AAC"/>
    <w:rsid w:val="00CD4CD2"/>
    <w:rsid w:val="00CD4D34"/>
    <w:rsid w:val="00CD4E5F"/>
    <w:rsid w:val="00CD4E84"/>
    <w:rsid w:val="00CD5417"/>
    <w:rsid w:val="00CD556F"/>
    <w:rsid w:val="00CD55E8"/>
    <w:rsid w:val="00CD563D"/>
    <w:rsid w:val="00CD585E"/>
    <w:rsid w:val="00CD5DE6"/>
    <w:rsid w:val="00CD5E06"/>
    <w:rsid w:val="00CD605D"/>
    <w:rsid w:val="00CD61E6"/>
    <w:rsid w:val="00CD62A9"/>
    <w:rsid w:val="00CD6345"/>
    <w:rsid w:val="00CD63FF"/>
    <w:rsid w:val="00CD655F"/>
    <w:rsid w:val="00CD6673"/>
    <w:rsid w:val="00CD6797"/>
    <w:rsid w:val="00CD684D"/>
    <w:rsid w:val="00CD68F4"/>
    <w:rsid w:val="00CD6910"/>
    <w:rsid w:val="00CD6AAC"/>
    <w:rsid w:val="00CD6B81"/>
    <w:rsid w:val="00CD6FA9"/>
    <w:rsid w:val="00CD755C"/>
    <w:rsid w:val="00CD76B8"/>
    <w:rsid w:val="00CD7999"/>
    <w:rsid w:val="00CD7E70"/>
    <w:rsid w:val="00CE0029"/>
    <w:rsid w:val="00CE004B"/>
    <w:rsid w:val="00CE0059"/>
    <w:rsid w:val="00CE00A9"/>
    <w:rsid w:val="00CE02AA"/>
    <w:rsid w:val="00CE02AF"/>
    <w:rsid w:val="00CE0437"/>
    <w:rsid w:val="00CE0666"/>
    <w:rsid w:val="00CE0968"/>
    <w:rsid w:val="00CE0CAD"/>
    <w:rsid w:val="00CE10DF"/>
    <w:rsid w:val="00CE115E"/>
    <w:rsid w:val="00CE116A"/>
    <w:rsid w:val="00CE1189"/>
    <w:rsid w:val="00CE11EE"/>
    <w:rsid w:val="00CE1237"/>
    <w:rsid w:val="00CE12B9"/>
    <w:rsid w:val="00CE1324"/>
    <w:rsid w:val="00CE1A7A"/>
    <w:rsid w:val="00CE1E64"/>
    <w:rsid w:val="00CE1E88"/>
    <w:rsid w:val="00CE1F49"/>
    <w:rsid w:val="00CE1F78"/>
    <w:rsid w:val="00CE2010"/>
    <w:rsid w:val="00CE208F"/>
    <w:rsid w:val="00CE2118"/>
    <w:rsid w:val="00CE2250"/>
    <w:rsid w:val="00CE2473"/>
    <w:rsid w:val="00CE25E6"/>
    <w:rsid w:val="00CE264C"/>
    <w:rsid w:val="00CE2665"/>
    <w:rsid w:val="00CE275F"/>
    <w:rsid w:val="00CE280A"/>
    <w:rsid w:val="00CE28D1"/>
    <w:rsid w:val="00CE2A38"/>
    <w:rsid w:val="00CE2A6F"/>
    <w:rsid w:val="00CE2BD5"/>
    <w:rsid w:val="00CE2C19"/>
    <w:rsid w:val="00CE2EA8"/>
    <w:rsid w:val="00CE2F39"/>
    <w:rsid w:val="00CE2F4F"/>
    <w:rsid w:val="00CE3085"/>
    <w:rsid w:val="00CE3185"/>
    <w:rsid w:val="00CE3226"/>
    <w:rsid w:val="00CE32E7"/>
    <w:rsid w:val="00CE3418"/>
    <w:rsid w:val="00CE3423"/>
    <w:rsid w:val="00CE370A"/>
    <w:rsid w:val="00CE3A74"/>
    <w:rsid w:val="00CE3C32"/>
    <w:rsid w:val="00CE3C74"/>
    <w:rsid w:val="00CE3DBC"/>
    <w:rsid w:val="00CE411A"/>
    <w:rsid w:val="00CE42A6"/>
    <w:rsid w:val="00CE438D"/>
    <w:rsid w:val="00CE438E"/>
    <w:rsid w:val="00CE475B"/>
    <w:rsid w:val="00CE4986"/>
    <w:rsid w:val="00CE49C8"/>
    <w:rsid w:val="00CE4ACC"/>
    <w:rsid w:val="00CE4B2E"/>
    <w:rsid w:val="00CE4CFB"/>
    <w:rsid w:val="00CE4D17"/>
    <w:rsid w:val="00CE503A"/>
    <w:rsid w:val="00CE50C1"/>
    <w:rsid w:val="00CE5259"/>
    <w:rsid w:val="00CE5270"/>
    <w:rsid w:val="00CE52DB"/>
    <w:rsid w:val="00CE5696"/>
    <w:rsid w:val="00CE58A4"/>
    <w:rsid w:val="00CE5BF8"/>
    <w:rsid w:val="00CE5C67"/>
    <w:rsid w:val="00CE5F46"/>
    <w:rsid w:val="00CE639B"/>
    <w:rsid w:val="00CE63A6"/>
    <w:rsid w:val="00CE645E"/>
    <w:rsid w:val="00CE65A7"/>
    <w:rsid w:val="00CE6733"/>
    <w:rsid w:val="00CE683C"/>
    <w:rsid w:val="00CE6897"/>
    <w:rsid w:val="00CE6ADE"/>
    <w:rsid w:val="00CE6B92"/>
    <w:rsid w:val="00CE6D06"/>
    <w:rsid w:val="00CE7159"/>
    <w:rsid w:val="00CE71BA"/>
    <w:rsid w:val="00CE72FC"/>
    <w:rsid w:val="00CE7436"/>
    <w:rsid w:val="00CE78BC"/>
    <w:rsid w:val="00CE78EF"/>
    <w:rsid w:val="00CE7A0D"/>
    <w:rsid w:val="00CE7A6E"/>
    <w:rsid w:val="00CE7B5A"/>
    <w:rsid w:val="00CE7F55"/>
    <w:rsid w:val="00CF013B"/>
    <w:rsid w:val="00CF0203"/>
    <w:rsid w:val="00CF028B"/>
    <w:rsid w:val="00CF035D"/>
    <w:rsid w:val="00CF04B8"/>
    <w:rsid w:val="00CF0737"/>
    <w:rsid w:val="00CF07ED"/>
    <w:rsid w:val="00CF0866"/>
    <w:rsid w:val="00CF091B"/>
    <w:rsid w:val="00CF0B07"/>
    <w:rsid w:val="00CF0C01"/>
    <w:rsid w:val="00CF0C1E"/>
    <w:rsid w:val="00CF0DC5"/>
    <w:rsid w:val="00CF1073"/>
    <w:rsid w:val="00CF10EA"/>
    <w:rsid w:val="00CF119B"/>
    <w:rsid w:val="00CF12B0"/>
    <w:rsid w:val="00CF1357"/>
    <w:rsid w:val="00CF1433"/>
    <w:rsid w:val="00CF1B5F"/>
    <w:rsid w:val="00CF1B76"/>
    <w:rsid w:val="00CF1CAC"/>
    <w:rsid w:val="00CF1D29"/>
    <w:rsid w:val="00CF1FC9"/>
    <w:rsid w:val="00CF200A"/>
    <w:rsid w:val="00CF217F"/>
    <w:rsid w:val="00CF21FC"/>
    <w:rsid w:val="00CF22C1"/>
    <w:rsid w:val="00CF23D1"/>
    <w:rsid w:val="00CF2652"/>
    <w:rsid w:val="00CF298C"/>
    <w:rsid w:val="00CF29F8"/>
    <w:rsid w:val="00CF2BB1"/>
    <w:rsid w:val="00CF2D3B"/>
    <w:rsid w:val="00CF2F84"/>
    <w:rsid w:val="00CF2FDD"/>
    <w:rsid w:val="00CF318C"/>
    <w:rsid w:val="00CF3872"/>
    <w:rsid w:val="00CF392C"/>
    <w:rsid w:val="00CF3940"/>
    <w:rsid w:val="00CF3B3C"/>
    <w:rsid w:val="00CF3C7C"/>
    <w:rsid w:val="00CF3CF9"/>
    <w:rsid w:val="00CF3D07"/>
    <w:rsid w:val="00CF3DA5"/>
    <w:rsid w:val="00CF3FE9"/>
    <w:rsid w:val="00CF4197"/>
    <w:rsid w:val="00CF441B"/>
    <w:rsid w:val="00CF46A1"/>
    <w:rsid w:val="00CF48D2"/>
    <w:rsid w:val="00CF4A72"/>
    <w:rsid w:val="00CF500A"/>
    <w:rsid w:val="00CF523C"/>
    <w:rsid w:val="00CF5256"/>
    <w:rsid w:val="00CF5263"/>
    <w:rsid w:val="00CF5436"/>
    <w:rsid w:val="00CF55EC"/>
    <w:rsid w:val="00CF56F5"/>
    <w:rsid w:val="00CF592E"/>
    <w:rsid w:val="00CF5D73"/>
    <w:rsid w:val="00CF6033"/>
    <w:rsid w:val="00CF609B"/>
    <w:rsid w:val="00CF6229"/>
    <w:rsid w:val="00CF62B8"/>
    <w:rsid w:val="00CF63A4"/>
    <w:rsid w:val="00CF63B2"/>
    <w:rsid w:val="00CF65D4"/>
    <w:rsid w:val="00CF66A5"/>
    <w:rsid w:val="00CF68E4"/>
    <w:rsid w:val="00CF6CE8"/>
    <w:rsid w:val="00CF6E00"/>
    <w:rsid w:val="00CF6F96"/>
    <w:rsid w:val="00CF71A5"/>
    <w:rsid w:val="00CF7765"/>
    <w:rsid w:val="00CF7B2E"/>
    <w:rsid w:val="00CF7BC7"/>
    <w:rsid w:val="00CF7E80"/>
    <w:rsid w:val="00CF7ECB"/>
    <w:rsid w:val="00D000B8"/>
    <w:rsid w:val="00D0038D"/>
    <w:rsid w:val="00D0060A"/>
    <w:rsid w:val="00D008BA"/>
    <w:rsid w:val="00D00980"/>
    <w:rsid w:val="00D00C95"/>
    <w:rsid w:val="00D00F19"/>
    <w:rsid w:val="00D0108C"/>
    <w:rsid w:val="00D011C2"/>
    <w:rsid w:val="00D01255"/>
    <w:rsid w:val="00D014AC"/>
    <w:rsid w:val="00D01524"/>
    <w:rsid w:val="00D01686"/>
    <w:rsid w:val="00D0171B"/>
    <w:rsid w:val="00D01B8E"/>
    <w:rsid w:val="00D01E00"/>
    <w:rsid w:val="00D021D6"/>
    <w:rsid w:val="00D02331"/>
    <w:rsid w:val="00D02374"/>
    <w:rsid w:val="00D024B3"/>
    <w:rsid w:val="00D02546"/>
    <w:rsid w:val="00D0272B"/>
    <w:rsid w:val="00D029C3"/>
    <w:rsid w:val="00D029C4"/>
    <w:rsid w:val="00D029FC"/>
    <w:rsid w:val="00D02C68"/>
    <w:rsid w:val="00D0305E"/>
    <w:rsid w:val="00D030D8"/>
    <w:rsid w:val="00D030F5"/>
    <w:rsid w:val="00D03238"/>
    <w:rsid w:val="00D032AC"/>
    <w:rsid w:val="00D03478"/>
    <w:rsid w:val="00D036CE"/>
    <w:rsid w:val="00D03796"/>
    <w:rsid w:val="00D037D1"/>
    <w:rsid w:val="00D0381C"/>
    <w:rsid w:val="00D039B4"/>
    <w:rsid w:val="00D03A2C"/>
    <w:rsid w:val="00D03AD0"/>
    <w:rsid w:val="00D03CC8"/>
    <w:rsid w:val="00D03D60"/>
    <w:rsid w:val="00D0400E"/>
    <w:rsid w:val="00D041A6"/>
    <w:rsid w:val="00D04549"/>
    <w:rsid w:val="00D04688"/>
    <w:rsid w:val="00D0475B"/>
    <w:rsid w:val="00D0506B"/>
    <w:rsid w:val="00D05077"/>
    <w:rsid w:val="00D052B4"/>
    <w:rsid w:val="00D05374"/>
    <w:rsid w:val="00D0555D"/>
    <w:rsid w:val="00D056D8"/>
    <w:rsid w:val="00D0579C"/>
    <w:rsid w:val="00D058FA"/>
    <w:rsid w:val="00D05935"/>
    <w:rsid w:val="00D059F7"/>
    <w:rsid w:val="00D05EC1"/>
    <w:rsid w:val="00D062F7"/>
    <w:rsid w:val="00D063A3"/>
    <w:rsid w:val="00D0646E"/>
    <w:rsid w:val="00D064A5"/>
    <w:rsid w:val="00D0656F"/>
    <w:rsid w:val="00D065A2"/>
    <w:rsid w:val="00D06735"/>
    <w:rsid w:val="00D06780"/>
    <w:rsid w:val="00D0683F"/>
    <w:rsid w:val="00D069B1"/>
    <w:rsid w:val="00D06AD7"/>
    <w:rsid w:val="00D06C3C"/>
    <w:rsid w:val="00D0709C"/>
    <w:rsid w:val="00D0710B"/>
    <w:rsid w:val="00D071A6"/>
    <w:rsid w:val="00D072E9"/>
    <w:rsid w:val="00D074CC"/>
    <w:rsid w:val="00D0752A"/>
    <w:rsid w:val="00D075FA"/>
    <w:rsid w:val="00D07710"/>
    <w:rsid w:val="00D07759"/>
    <w:rsid w:val="00D0793A"/>
    <w:rsid w:val="00D07995"/>
    <w:rsid w:val="00D07D32"/>
    <w:rsid w:val="00D07D48"/>
    <w:rsid w:val="00D07FAF"/>
    <w:rsid w:val="00D10046"/>
    <w:rsid w:val="00D10236"/>
    <w:rsid w:val="00D1036E"/>
    <w:rsid w:val="00D10637"/>
    <w:rsid w:val="00D106F3"/>
    <w:rsid w:val="00D10736"/>
    <w:rsid w:val="00D1073A"/>
    <w:rsid w:val="00D108A0"/>
    <w:rsid w:val="00D10A29"/>
    <w:rsid w:val="00D10CE7"/>
    <w:rsid w:val="00D10F00"/>
    <w:rsid w:val="00D10F0F"/>
    <w:rsid w:val="00D10FBB"/>
    <w:rsid w:val="00D10FCB"/>
    <w:rsid w:val="00D111CD"/>
    <w:rsid w:val="00D112DE"/>
    <w:rsid w:val="00D11468"/>
    <w:rsid w:val="00D11539"/>
    <w:rsid w:val="00D1160E"/>
    <w:rsid w:val="00D11A79"/>
    <w:rsid w:val="00D11DC7"/>
    <w:rsid w:val="00D11F2D"/>
    <w:rsid w:val="00D1211A"/>
    <w:rsid w:val="00D1235A"/>
    <w:rsid w:val="00D1246A"/>
    <w:rsid w:val="00D125A4"/>
    <w:rsid w:val="00D12897"/>
    <w:rsid w:val="00D128B7"/>
    <w:rsid w:val="00D12A5F"/>
    <w:rsid w:val="00D12B9A"/>
    <w:rsid w:val="00D12D08"/>
    <w:rsid w:val="00D12E38"/>
    <w:rsid w:val="00D13066"/>
    <w:rsid w:val="00D1334C"/>
    <w:rsid w:val="00D13624"/>
    <w:rsid w:val="00D13637"/>
    <w:rsid w:val="00D137A5"/>
    <w:rsid w:val="00D138D7"/>
    <w:rsid w:val="00D13990"/>
    <w:rsid w:val="00D13A87"/>
    <w:rsid w:val="00D13BE7"/>
    <w:rsid w:val="00D13D35"/>
    <w:rsid w:val="00D13EBF"/>
    <w:rsid w:val="00D13FE1"/>
    <w:rsid w:val="00D14232"/>
    <w:rsid w:val="00D143FA"/>
    <w:rsid w:val="00D14827"/>
    <w:rsid w:val="00D14833"/>
    <w:rsid w:val="00D14852"/>
    <w:rsid w:val="00D14AE3"/>
    <w:rsid w:val="00D14C14"/>
    <w:rsid w:val="00D14CA5"/>
    <w:rsid w:val="00D14EDC"/>
    <w:rsid w:val="00D151CC"/>
    <w:rsid w:val="00D15278"/>
    <w:rsid w:val="00D1547B"/>
    <w:rsid w:val="00D1565D"/>
    <w:rsid w:val="00D157D8"/>
    <w:rsid w:val="00D15E2D"/>
    <w:rsid w:val="00D15E76"/>
    <w:rsid w:val="00D15FCD"/>
    <w:rsid w:val="00D161FC"/>
    <w:rsid w:val="00D1644E"/>
    <w:rsid w:val="00D1675D"/>
    <w:rsid w:val="00D1696B"/>
    <w:rsid w:val="00D16995"/>
    <w:rsid w:val="00D169B7"/>
    <w:rsid w:val="00D16AA2"/>
    <w:rsid w:val="00D16D1B"/>
    <w:rsid w:val="00D16DB3"/>
    <w:rsid w:val="00D16DF1"/>
    <w:rsid w:val="00D1740A"/>
    <w:rsid w:val="00D175D4"/>
    <w:rsid w:val="00D1780C"/>
    <w:rsid w:val="00D17895"/>
    <w:rsid w:val="00D17B65"/>
    <w:rsid w:val="00D17D41"/>
    <w:rsid w:val="00D17E0B"/>
    <w:rsid w:val="00D201E9"/>
    <w:rsid w:val="00D20700"/>
    <w:rsid w:val="00D20714"/>
    <w:rsid w:val="00D20762"/>
    <w:rsid w:val="00D207BA"/>
    <w:rsid w:val="00D20822"/>
    <w:rsid w:val="00D20827"/>
    <w:rsid w:val="00D2087E"/>
    <w:rsid w:val="00D20ABB"/>
    <w:rsid w:val="00D20C5C"/>
    <w:rsid w:val="00D20CA4"/>
    <w:rsid w:val="00D20D43"/>
    <w:rsid w:val="00D20DAC"/>
    <w:rsid w:val="00D20EC2"/>
    <w:rsid w:val="00D20FC5"/>
    <w:rsid w:val="00D21195"/>
    <w:rsid w:val="00D21464"/>
    <w:rsid w:val="00D214C4"/>
    <w:rsid w:val="00D2150B"/>
    <w:rsid w:val="00D2151C"/>
    <w:rsid w:val="00D21700"/>
    <w:rsid w:val="00D21830"/>
    <w:rsid w:val="00D21853"/>
    <w:rsid w:val="00D21A44"/>
    <w:rsid w:val="00D21B26"/>
    <w:rsid w:val="00D21C7D"/>
    <w:rsid w:val="00D21E84"/>
    <w:rsid w:val="00D21FA6"/>
    <w:rsid w:val="00D22138"/>
    <w:rsid w:val="00D22274"/>
    <w:rsid w:val="00D222A6"/>
    <w:rsid w:val="00D22512"/>
    <w:rsid w:val="00D22601"/>
    <w:rsid w:val="00D226C4"/>
    <w:rsid w:val="00D22755"/>
    <w:rsid w:val="00D22A02"/>
    <w:rsid w:val="00D22A08"/>
    <w:rsid w:val="00D22D9E"/>
    <w:rsid w:val="00D22DF6"/>
    <w:rsid w:val="00D22E7B"/>
    <w:rsid w:val="00D22EA3"/>
    <w:rsid w:val="00D22EE4"/>
    <w:rsid w:val="00D23174"/>
    <w:rsid w:val="00D2324D"/>
    <w:rsid w:val="00D233BF"/>
    <w:rsid w:val="00D23446"/>
    <w:rsid w:val="00D23721"/>
    <w:rsid w:val="00D23751"/>
    <w:rsid w:val="00D2381C"/>
    <w:rsid w:val="00D23A0C"/>
    <w:rsid w:val="00D23B5E"/>
    <w:rsid w:val="00D23EBD"/>
    <w:rsid w:val="00D2406A"/>
    <w:rsid w:val="00D240B6"/>
    <w:rsid w:val="00D24106"/>
    <w:rsid w:val="00D2414D"/>
    <w:rsid w:val="00D244D1"/>
    <w:rsid w:val="00D244EA"/>
    <w:rsid w:val="00D245FC"/>
    <w:rsid w:val="00D2469E"/>
    <w:rsid w:val="00D246C9"/>
    <w:rsid w:val="00D2474B"/>
    <w:rsid w:val="00D24847"/>
    <w:rsid w:val="00D2486C"/>
    <w:rsid w:val="00D24AE4"/>
    <w:rsid w:val="00D24B99"/>
    <w:rsid w:val="00D24C1F"/>
    <w:rsid w:val="00D24D6E"/>
    <w:rsid w:val="00D24D80"/>
    <w:rsid w:val="00D24FD3"/>
    <w:rsid w:val="00D2517A"/>
    <w:rsid w:val="00D25203"/>
    <w:rsid w:val="00D25238"/>
    <w:rsid w:val="00D2532A"/>
    <w:rsid w:val="00D25456"/>
    <w:rsid w:val="00D255E2"/>
    <w:rsid w:val="00D25811"/>
    <w:rsid w:val="00D259C3"/>
    <w:rsid w:val="00D25B44"/>
    <w:rsid w:val="00D25B86"/>
    <w:rsid w:val="00D25E02"/>
    <w:rsid w:val="00D25E71"/>
    <w:rsid w:val="00D260E2"/>
    <w:rsid w:val="00D263D1"/>
    <w:rsid w:val="00D265CB"/>
    <w:rsid w:val="00D26626"/>
    <w:rsid w:val="00D267C8"/>
    <w:rsid w:val="00D26868"/>
    <w:rsid w:val="00D26AE0"/>
    <w:rsid w:val="00D26BED"/>
    <w:rsid w:val="00D26C96"/>
    <w:rsid w:val="00D26CD8"/>
    <w:rsid w:val="00D26DD9"/>
    <w:rsid w:val="00D276E4"/>
    <w:rsid w:val="00D276F4"/>
    <w:rsid w:val="00D27721"/>
    <w:rsid w:val="00D27831"/>
    <w:rsid w:val="00D27A01"/>
    <w:rsid w:val="00D27A98"/>
    <w:rsid w:val="00D27B25"/>
    <w:rsid w:val="00D27CAB"/>
    <w:rsid w:val="00D27F17"/>
    <w:rsid w:val="00D30005"/>
    <w:rsid w:val="00D30064"/>
    <w:rsid w:val="00D3035B"/>
    <w:rsid w:val="00D30373"/>
    <w:rsid w:val="00D30537"/>
    <w:rsid w:val="00D306AB"/>
    <w:rsid w:val="00D30929"/>
    <w:rsid w:val="00D30AF5"/>
    <w:rsid w:val="00D30BA1"/>
    <w:rsid w:val="00D30BC0"/>
    <w:rsid w:val="00D30C1B"/>
    <w:rsid w:val="00D30C57"/>
    <w:rsid w:val="00D30DFC"/>
    <w:rsid w:val="00D30E11"/>
    <w:rsid w:val="00D30F86"/>
    <w:rsid w:val="00D30FCF"/>
    <w:rsid w:val="00D3111D"/>
    <w:rsid w:val="00D31176"/>
    <w:rsid w:val="00D31263"/>
    <w:rsid w:val="00D312A8"/>
    <w:rsid w:val="00D3135C"/>
    <w:rsid w:val="00D313CD"/>
    <w:rsid w:val="00D314B5"/>
    <w:rsid w:val="00D3181E"/>
    <w:rsid w:val="00D318C8"/>
    <w:rsid w:val="00D3195A"/>
    <w:rsid w:val="00D31B11"/>
    <w:rsid w:val="00D31CE3"/>
    <w:rsid w:val="00D321DF"/>
    <w:rsid w:val="00D32284"/>
    <w:rsid w:val="00D32337"/>
    <w:rsid w:val="00D3251E"/>
    <w:rsid w:val="00D32651"/>
    <w:rsid w:val="00D32679"/>
    <w:rsid w:val="00D326A2"/>
    <w:rsid w:val="00D327A6"/>
    <w:rsid w:val="00D327E6"/>
    <w:rsid w:val="00D32AD3"/>
    <w:rsid w:val="00D32FEC"/>
    <w:rsid w:val="00D3318D"/>
    <w:rsid w:val="00D33361"/>
    <w:rsid w:val="00D33477"/>
    <w:rsid w:val="00D334D0"/>
    <w:rsid w:val="00D3350C"/>
    <w:rsid w:val="00D336CD"/>
    <w:rsid w:val="00D336E2"/>
    <w:rsid w:val="00D33BCD"/>
    <w:rsid w:val="00D33DF7"/>
    <w:rsid w:val="00D33F7D"/>
    <w:rsid w:val="00D33F88"/>
    <w:rsid w:val="00D33FE7"/>
    <w:rsid w:val="00D34095"/>
    <w:rsid w:val="00D340B8"/>
    <w:rsid w:val="00D342E1"/>
    <w:rsid w:val="00D343B9"/>
    <w:rsid w:val="00D346F9"/>
    <w:rsid w:val="00D347EF"/>
    <w:rsid w:val="00D34875"/>
    <w:rsid w:val="00D348CD"/>
    <w:rsid w:val="00D34964"/>
    <w:rsid w:val="00D34974"/>
    <w:rsid w:val="00D349A2"/>
    <w:rsid w:val="00D34DAC"/>
    <w:rsid w:val="00D34E06"/>
    <w:rsid w:val="00D34F68"/>
    <w:rsid w:val="00D34FD8"/>
    <w:rsid w:val="00D35012"/>
    <w:rsid w:val="00D350A2"/>
    <w:rsid w:val="00D350C4"/>
    <w:rsid w:val="00D3538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03"/>
    <w:rsid w:val="00D366CE"/>
    <w:rsid w:val="00D366E0"/>
    <w:rsid w:val="00D36896"/>
    <w:rsid w:val="00D36983"/>
    <w:rsid w:val="00D3699C"/>
    <w:rsid w:val="00D36BB1"/>
    <w:rsid w:val="00D36CCE"/>
    <w:rsid w:val="00D36CD7"/>
    <w:rsid w:val="00D36E5D"/>
    <w:rsid w:val="00D37706"/>
    <w:rsid w:val="00D377C7"/>
    <w:rsid w:val="00D37844"/>
    <w:rsid w:val="00D37AE3"/>
    <w:rsid w:val="00D37EBF"/>
    <w:rsid w:val="00D40026"/>
    <w:rsid w:val="00D40272"/>
    <w:rsid w:val="00D403ED"/>
    <w:rsid w:val="00D40748"/>
    <w:rsid w:val="00D4078B"/>
    <w:rsid w:val="00D407B9"/>
    <w:rsid w:val="00D40839"/>
    <w:rsid w:val="00D408B3"/>
    <w:rsid w:val="00D40BE7"/>
    <w:rsid w:val="00D40CF5"/>
    <w:rsid w:val="00D40E47"/>
    <w:rsid w:val="00D40F82"/>
    <w:rsid w:val="00D410D3"/>
    <w:rsid w:val="00D412D4"/>
    <w:rsid w:val="00D41435"/>
    <w:rsid w:val="00D416D4"/>
    <w:rsid w:val="00D417DB"/>
    <w:rsid w:val="00D41A25"/>
    <w:rsid w:val="00D41B6D"/>
    <w:rsid w:val="00D41CA9"/>
    <w:rsid w:val="00D41D1B"/>
    <w:rsid w:val="00D41E00"/>
    <w:rsid w:val="00D4208A"/>
    <w:rsid w:val="00D422D4"/>
    <w:rsid w:val="00D42307"/>
    <w:rsid w:val="00D4246C"/>
    <w:rsid w:val="00D424B4"/>
    <w:rsid w:val="00D42567"/>
    <w:rsid w:val="00D425AD"/>
    <w:rsid w:val="00D42658"/>
    <w:rsid w:val="00D42A5B"/>
    <w:rsid w:val="00D42CC5"/>
    <w:rsid w:val="00D43064"/>
    <w:rsid w:val="00D4309D"/>
    <w:rsid w:val="00D4320D"/>
    <w:rsid w:val="00D435F3"/>
    <w:rsid w:val="00D4369D"/>
    <w:rsid w:val="00D436FB"/>
    <w:rsid w:val="00D4380B"/>
    <w:rsid w:val="00D4394E"/>
    <w:rsid w:val="00D43BA1"/>
    <w:rsid w:val="00D43D57"/>
    <w:rsid w:val="00D43FEE"/>
    <w:rsid w:val="00D441CD"/>
    <w:rsid w:val="00D4424B"/>
    <w:rsid w:val="00D4426A"/>
    <w:rsid w:val="00D444D7"/>
    <w:rsid w:val="00D445D4"/>
    <w:rsid w:val="00D44765"/>
    <w:rsid w:val="00D447AF"/>
    <w:rsid w:val="00D44A85"/>
    <w:rsid w:val="00D44AB3"/>
    <w:rsid w:val="00D44C47"/>
    <w:rsid w:val="00D44C94"/>
    <w:rsid w:val="00D44D4E"/>
    <w:rsid w:val="00D44EC5"/>
    <w:rsid w:val="00D45065"/>
    <w:rsid w:val="00D45140"/>
    <w:rsid w:val="00D45529"/>
    <w:rsid w:val="00D45869"/>
    <w:rsid w:val="00D4593D"/>
    <w:rsid w:val="00D45AD7"/>
    <w:rsid w:val="00D45BF4"/>
    <w:rsid w:val="00D45C95"/>
    <w:rsid w:val="00D45E72"/>
    <w:rsid w:val="00D45F49"/>
    <w:rsid w:val="00D46056"/>
    <w:rsid w:val="00D46097"/>
    <w:rsid w:val="00D46122"/>
    <w:rsid w:val="00D4630B"/>
    <w:rsid w:val="00D464D9"/>
    <w:rsid w:val="00D4690A"/>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93C"/>
    <w:rsid w:val="00D47C14"/>
    <w:rsid w:val="00D47C7D"/>
    <w:rsid w:val="00D47DAB"/>
    <w:rsid w:val="00D47E48"/>
    <w:rsid w:val="00D47F78"/>
    <w:rsid w:val="00D50131"/>
    <w:rsid w:val="00D50168"/>
    <w:rsid w:val="00D50198"/>
    <w:rsid w:val="00D503E8"/>
    <w:rsid w:val="00D504BE"/>
    <w:rsid w:val="00D5051A"/>
    <w:rsid w:val="00D5067A"/>
    <w:rsid w:val="00D50721"/>
    <w:rsid w:val="00D507AC"/>
    <w:rsid w:val="00D508BE"/>
    <w:rsid w:val="00D508D4"/>
    <w:rsid w:val="00D50ADC"/>
    <w:rsid w:val="00D50B9D"/>
    <w:rsid w:val="00D50C40"/>
    <w:rsid w:val="00D50CD9"/>
    <w:rsid w:val="00D50DEA"/>
    <w:rsid w:val="00D510DD"/>
    <w:rsid w:val="00D5124F"/>
    <w:rsid w:val="00D51453"/>
    <w:rsid w:val="00D51483"/>
    <w:rsid w:val="00D514E9"/>
    <w:rsid w:val="00D51842"/>
    <w:rsid w:val="00D5193A"/>
    <w:rsid w:val="00D51AAF"/>
    <w:rsid w:val="00D51BAD"/>
    <w:rsid w:val="00D51D4E"/>
    <w:rsid w:val="00D51D97"/>
    <w:rsid w:val="00D51DA0"/>
    <w:rsid w:val="00D51DA7"/>
    <w:rsid w:val="00D520B5"/>
    <w:rsid w:val="00D52251"/>
    <w:rsid w:val="00D522F9"/>
    <w:rsid w:val="00D52447"/>
    <w:rsid w:val="00D524BC"/>
    <w:rsid w:val="00D524E6"/>
    <w:rsid w:val="00D52605"/>
    <w:rsid w:val="00D526A6"/>
    <w:rsid w:val="00D5282F"/>
    <w:rsid w:val="00D528AF"/>
    <w:rsid w:val="00D52D6B"/>
    <w:rsid w:val="00D52D7E"/>
    <w:rsid w:val="00D52DEC"/>
    <w:rsid w:val="00D52F8D"/>
    <w:rsid w:val="00D53459"/>
    <w:rsid w:val="00D537BC"/>
    <w:rsid w:val="00D53851"/>
    <w:rsid w:val="00D538EC"/>
    <w:rsid w:val="00D539E0"/>
    <w:rsid w:val="00D539ED"/>
    <w:rsid w:val="00D53A11"/>
    <w:rsid w:val="00D53B73"/>
    <w:rsid w:val="00D53C1D"/>
    <w:rsid w:val="00D53F17"/>
    <w:rsid w:val="00D53F53"/>
    <w:rsid w:val="00D54340"/>
    <w:rsid w:val="00D5449A"/>
    <w:rsid w:val="00D544E3"/>
    <w:rsid w:val="00D54858"/>
    <w:rsid w:val="00D54875"/>
    <w:rsid w:val="00D548E1"/>
    <w:rsid w:val="00D54C16"/>
    <w:rsid w:val="00D54C5B"/>
    <w:rsid w:val="00D54DD7"/>
    <w:rsid w:val="00D54E3F"/>
    <w:rsid w:val="00D54EDE"/>
    <w:rsid w:val="00D54FEC"/>
    <w:rsid w:val="00D55086"/>
    <w:rsid w:val="00D55167"/>
    <w:rsid w:val="00D551FE"/>
    <w:rsid w:val="00D556EA"/>
    <w:rsid w:val="00D55786"/>
    <w:rsid w:val="00D558A9"/>
    <w:rsid w:val="00D55AB0"/>
    <w:rsid w:val="00D55AB7"/>
    <w:rsid w:val="00D55B09"/>
    <w:rsid w:val="00D55DF2"/>
    <w:rsid w:val="00D56032"/>
    <w:rsid w:val="00D56049"/>
    <w:rsid w:val="00D560AA"/>
    <w:rsid w:val="00D560EC"/>
    <w:rsid w:val="00D56146"/>
    <w:rsid w:val="00D56197"/>
    <w:rsid w:val="00D563B8"/>
    <w:rsid w:val="00D564CA"/>
    <w:rsid w:val="00D56523"/>
    <w:rsid w:val="00D5655B"/>
    <w:rsid w:val="00D56632"/>
    <w:rsid w:val="00D56A33"/>
    <w:rsid w:val="00D56B99"/>
    <w:rsid w:val="00D56DB4"/>
    <w:rsid w:val="00D56DD6"/>
    <w:rsid w:val="00D56EAA"/>
    <w:rsid w:val="00D5730F"/>
    <w:rsid w:val="00D57371"/>
    <w:rsid w:val="00D5740D"/>
    <w:rsid w:val="00D574DC"/>
    <w:rsid w:val="00D576DC"/>
    <w:rsid w:val="00D57DA9"/>
    <w:rsid w:val="00D57FB4"/>
    <w:rsid w:val="00D60051"/>
    <w:rsid w:val="00D60093"/>
    <w:rsid w:val="00D601BC"/>
    <w:rsid w:val="00D6028A"/>
    <w:rsid w:val="00D60380"/>
    <w:rsid w:val="00D60506"/>
    <w:rsid w:val="00D60646"/>
    <w:rsid w:val="00D607B0"/>
    <w:rsid w:val="00D608DF"/>
    <w:rsid w:val="00D608F0"/>
    <w:rsid w:val="00D608F7"/>
    <w:rsid w:val="00D6095A"/>
    <w:rsid w:val="00D609B0"/>
    <w:rsid w:val="00D60DCB"/>
    <w:rsid w:val="00D60E18"/>
    <w:rsid w:val="00D60E2A"/>
    <w:rsid w:val="00D60F33"/>
    <w:rsid w:val="00D6101B"/>
    <w:rsid w:val="00D611C9"/>
    <w:rsid w:val="00D6123C"/>
    <w:rsid w:val="00D61277"/>
    <w:rsid w:val="00D61392"/>
    <w:rsid w:val="00D61399"/>
    <w:rsid w:val="00D61508"/>
    <w:rsid w:val="00D61718"/>
    <w:rsid w:val="00D6175C"/>
    <w:rsid w:val="00D61895"/>
    <w:rsid w:val="00D6190D"/>
    <w:rsid w:val="00D61AA9"/>
    <w:rsid w:val="00D61BAF"/>
    <w:rsid w:val="00D61BE0"/>
    <w:rsid w:val="00D61D53"/>
    <w:rsid w:val="00D61E1B"/>
    <w:rsid w:val="00D6200F"/>
    <w:rsid w:val="00D62128"/>
    <w:rsid w:val="00D62184"/>
    <w:rsid w:val="00D622B5"/>
    <w:rsid w:val="00D62652"/>
    <w:rsid w:val="00D626C0"/>
    <w:rsid w:val="00D6282C"/>
    <w:rsid w:val="00D6283A"/>
    <w:rsid w:val="00D62932"/>
    <w:rsid w:val="00D62958"/>
    <w:rsid w:val="00D629BF"/>
    <w:rsid w:val="00D62B52"/>
    <w:rsid w:val="00D62D05"/>
    <w:rsid w:val="00D62DD3"/>
    <w:rsid w:val="00D6301D"/>
    <w:rsid w:val="00D6304E"/>
    <w:rsid w:val="00D63140"/>
    <w:rsid w:val="00D632C4"/>
    <w:rsid w:val="00D63400"/>
    <w:rsid w:val="00D63679"/>
    <w:rsid w:val="00D63884"/>
    <w:rsid w:val="00D63948"/>
    <w:rsid w:val="00D63ADB"/>
    <w:rsid w:val="00D63AFA"/>
    <w:rsid w:val="00D63B77"/>
    <w:rsid w:val="00D63BD4"/>
    <w:rsid w:val="00D63C03"/>
    <w:rsid w:val="00D63E61"/>
    <w:rsid w:val="00D64244"/>
    <w:rsid w:val="00D6436D"/>
    <w:rsid w:val="00D6444F"/>
    <w:rsid w:val="00D6451B"/>
    <w:rsid w:val="00D646D4"/>
    <w:rsid w:val="00D6477E"/>
    <w:rsid w:val="00D647F5"/>
    <w:rsid w:val="00D64E32"/>
    <w:rsid w:val="00D64F54"/>
    <w:rsid w:val="00D64FFA"/>
    <w:rsid w:val="00D6507C"/>
    <w:rsid w:val="00D6508C"/>
    <w:rsid w:val="00D65452"/>
    <w:rsid w:val="00D65520"/>
    <w:rsid w:val="00D65538"/>
    <w:rsid w:val="00D655BD"/>
    <w:rsid w:val="00D65704"/>
    <w:rsid w:val="00D6593A"/>
    <w:rsid w:val="00D65960"/>
    <w:rsid w:val="00D65993"/>
    <w:rsid w:val="00D65C14"/>
    <w:rsid w:val="00D65D37"/>
    <w:rsid w:val="00D65E53"/>
    <w:rsid w:val="00D65F2D"/>
    <w:rsid w:val="00D65FD1"/>
    <w:rsid w:val="00D6610D"/>
    <w:rsid w:val="00D66807"/>
    <w:rsid w:val="00D66907"/>
    <w:rsid w:val="00D6699B"/>
    <w:rsid w:val="00D66A89"/>
    <w:rsid w:val="00D66C4B"/>
    <w:rsid w:val="00D66DD1"/>
    <w:rsid w:val="00D66F05"/>
    <w:rsid w:val="00D6711A"/>
    <w:rsid w:val="00D6724E"/>
    <w:rsid w:val="00D67401"/>
    <w:rsid w:val="00D67442"/>
    <w:rsid w:val="00D67460"/>
    <w:rsid w:val="00D678BD"/>
    <w:rsid w:val="00D67C7D"/>
    <w:rsid w:val="00D67CAB"/>
    <w:rsid w:val="00D67CBA"/>
    <w:rsid w:val="00D67EDA"/>
    <w:rsid w:val="00D67F2C"/>
    <w:rsid w:val="00D67F8C"/>
    <w:rsid w:val="00D7028B"/>
    <w:rsid w:val="00D70550"/>
    <w:rsid w:val="00D705C1"/>
    <w:rsid w:val="00D706B3"/>
    <w:rsid w:val="00D70A45"/>
    <w:rsid w:val="00D70B6C"/>
    <w:rsid w:val="00D70CCA"/>
    <w:rsid w:val="00D710A9"/>
    <w:rsid w:val="00D710D8"/>
    <w:rsid w:val="00D712F4"/>
    <w:rsid w:val="00D713D6"/>
    <w:rsid w:val="00D714A5"/>
    <w:rsid w:val="00D71629"/>
    <w:rsid w:val="00D71681"/>
    <w:rsid w:val="00D716CE"/>
    <w:rsid w:val="00D719E5"/>
    <w:rsid w:val="00D71BF1"/>
    <w:rsid w:val="00D71EA3"/>
    <w:rsid w:val="00D71F12"/>
    <w:rsid w:val="00D71F93"/>
    <w:rsid w:val="00D721D3"/>
    <w:rsid w:val="00D723C3"/>
    <w:rsid w:val="00D725EA"/>
    <w:rsid w:val="00D72623"/>
    <w:rsid w:val="00D727A0"/>
    <w:rsid w:val="00D72898"/>
    <w:rsid w:val="00D7298C"/>
    <w:rsid w:val="00D729AF"/>
    <w:rsid w:val="00D72BBA"/>
    <w:rsid w:val="00D72CB2"/>
    <w:rsid w:val="00D72E70"/>
    <w:rsid w:val="00D7333C"/>
    <w:rsid w:val="00D73665"/>
    <w:rsid w:val="00D7379F"/>
    <w:rsid w:val="00D737F4"/>
    <w:rsid w:val="00D73BE5"/>
    <w:rsid w:val="00D73CEF"/>
    <w:rsid w:val="00D73F98"/>
    <w:rsid w:val="00D7476C"/>
    <w:rsid w:val="00D747AD"/>
    <w:rsid w:val="00D74A66"/>
    <w:rsid w:val="00D74AD7"/>
    <w:rsid w:val="00D74CA4"/>
    <w:rsid w:val="00D74D39"/>
    <w:rsid w:val="00D74EF2"/>
    <w:rsid w:val="00D75056"/>
    <w:rsid w:val="00D7535F"/>
    <w:rsid w:val="00D75460"/>
    <w:rsid w:val="00D754BA"/>
    <w:rsid w:val="00D7565A"/>
    <w:rsid w:val="00D7579B"/>
    <w:rsid w:val="00D75807"/>
    <w:rsid w:val="00D75DD2"/>
    <w:rsid w:val="00D76185"/>
    <w:rsid w:val="00D7620D"/>
    <w:rsid w:val="00D76283"/>
    <w:rsid w:val="00D762C0"/>
    <w:rsid w:val="00D7653D"/>
    <w:rsid w:val="00D765EF"/>
    <w:rsid w:val="00D7689E"/>
    <w:rsid w:val="00D768CB"/>
    <w:rsid w:val="00D76D2C"/>
    <w:rsid w:val="00D76D74"/>
    <w:rsid w:val="00D76DF1"/>
    <w:rsid w:val="00D76E50"/>
    <w:rsid w:val="00D771C2"/>
    <w:rsid w:val="00D77392"/>
    <w:rsid w:val="00D773E8"/>
    <w:rsid w:val="00D7743D"/>
    <w:rsid w:val="00D774BE"/>
    <w:rsid w:val="00D77641"/>
    <w:rsid w:val="00D77642"/>
    <w:rsid w:val="00D77656"/>
    <w:rsid w:val="00D779E5"/>
    <w:rsid w:val="00D77ABC"/>
    <w:rsid w:val="00D77AE8"/>
    <w:rsid w:val="00D77CA8"/>
    <w:rsid w:val="00D800BA"/>
    <w:rsid w:val="00D8011F"/>
    <w:rsid w:val="00D8012A"/>
    <w:rsid w:val="00D801F2"/>
    <w:rsid w:val="00D802C3"/>
    <w:rsid w:val="00D80507"/>
    <w:rsid w:val="00D808A1"/>
    <w:rsid w:val="00D808DE"/>
    <w:rsid w:val="00D80ADB"/>
    <w:rsid w:val="00D80B38"/>
    <w:rsid w:val="00D80B98"/>
    <w:rsid w:val="00D80EC7"/>
    <w:rsid w:val="00D8102C"/>
    <w:rsid w:val="00D81367"/>
    <w:rsid w:val="00D816AF"/>
    <w:rsid w:val="00D81924"/>
    <w:rsid w:val="00D81A14"/>
    <w:rsid w:val="00D81CEA"/>
    <w:rsid w:val="00D81FC1"/>
    <w:rsid w:val="00D81FF2"/>
    <w:rsid w:val="00D8218C"/>
    <w:rsid w:val="00D8228F"/>
    <w:rsid w:val="00D822E8"/>
    <w:rsid w:val="00D82312"/>
    <w:rsid w:val="00D825D6"/>
    <w:rsid w:val="00D82603"/>
    <w:rsid w:val="00D82731"/>
    <w:rsid w:val="00D82DEA"/>
    <w:rsid w:val="00D82E77"/>
    <w:rsid w:val="00D82EA9"/>
    <w:rsid w:val="00D82EC0"/>
    <w:rsid w:val="00D83015"/>
    <w:rsid w:val="00D83130"/>
    <w:rsid w:val="00D831A1"/>
    <w:rsid w:val="00D831F5"/>
    <w:rsid w:val="00D83362"/>
    <w:rsid w:val="00D833F8"/>
    <w:rsid w:val="00D83A1B"/>
    <w:rsid w:val="00D83C58"/>
    <w:rsid w:val="00D83D22"/>
    <w:rsid w:val="00D83FA0"/>
    <w:rsid w:val="00D83FFE"/>
    <w:rsid w:val="00D8424A"/>
    <w:rsid w:val="00D8459E"/>
    <w:rsid w:val="00D845BB"/>
    <w:rsid w:val="00D8488D"/>
    <w:rsid w:val="00D84A8D"/>
    <w:rsid w:val="00D84F7E"/>
    <w:rsid w:val="00D85286"/>
    <w:rsid w:val="00D8539A"/>
    <w:rsid w:val="00D853FF"/>
    <w:rsid w:val="00D858EE"/>
    <w:rsid w:val="00D85922"/>
    <w:rsid w:val="00D85946"/>
    <w:rsid w:val="00D85968"/>
    <w:rsid w:val="00D85A19"/>
    <w:rsid w:val="00D85C69"/>
    <w:rsid w:val="00D85E81"/>
    <w:rsid w:val="00D85EE3"/>
    <w:rsid w:val="00D85F77"/>
    <w:rsid w:val="00D86050"/>
    <w:rsid w:val="00D861F4"/>
    <w:rsid w:val="00D862B2"/>
    <w:rsid w:val="00D864AD"/>
    <w:rsid w:val="00D866A3"/>
    <w:rsid w:val="00D86C3C"/>
    <w:rsid w:val="00D86DC1"/>
    <w:rsid w:val="00D86DCA"/>
    <w:rsid w:val="00D86E1C"/>
    <w:rsid w:val="00D86EC6"/>
    <w:rsid w:val="00D870B2"/>
    <w:rsid w:val="00D8724C"/>
    <w:rsid w:val="00D873ED"/>
    <w:rsid w:val="00D8748A"/>
    <w:rsid w:val="00D874C5"/>
    <w:rsid w:val="00D87601"/>
    <w:rsid w:val="00D878D3"/>
    <w:rsid w:val="00D87919"/>
    <w:rsid w:val="00D87B2E"/>
    <w:rsid w:val="00D87B3F"/>
    <w:rsid w:val="00D87B75"/>
    <w:rsid w:val="00D87CF5"/>
    <w:rsid w:val="00D87E9A"/>
    <w:rsid w:val="00D900A8"/>
    <w:rsid w:val="00D9012B"/>
    <w:rsid w:val="00D905F9"/>
    <w:rsid w:val="00D90750"/>
    <w:rsid w:val="00D9088C"/>
    <w:rsid w:val="00D90905"/>
    <w:rsid w:val="00D909F4"/>
    <w:rsid w:val="00D90B9C"/>
    <w:rsid w:val="00D90C27"/>
    <w:rsid w:val="00D90DB7"/>
    <w:rsid w:val="00D90EB5"/>
    <w:rsid w:val="00D9145D"/>
    <w:rsid w:val="00D91493"/>
    <w:rsid w:val="00D9164C"/>
    <w:rsid w:val="00D91787"/>
    <w:rsid w:val="00D918A9"/>
    <w:rsid w:val="00D91D00"/>
    <w:rsid w:val="00D91D36"/>
    <w:rsid w:val="00D91DC9"/>
    <w:rsid w:val="00D91E2A"/>
    <w:rsid w:val="00D91E7D"/>
    <w:rsid w:val="00D9200F"/>
    <w:rsid w:val="00D922E1"/>
    <w:rsid w:val="00D9253C"/>
    <w:rsid w:val="00D9256F"/>
    <w:rsid w:val="00D92652"/>
    <w:rsid w:val="00D9273B"/>
    <w:rsid w:val="00D92A02"/>
    <w:rsid w:val="00D92C31"/>
    <w:rsid w:val="00D92DCE"/>
    <w:rsid w:val="00D92EE9"/>
    <w:rsid w:val="00D92F1E"/>
    <w:rsid w:val="00D92F2E"/>
    <w:rsid w:val="00D92F74"/>
    <w:rsid w:val="00D930B4"/>
    <w:rsid w:val="00D932B7"/>
    <w:rsid w:val="00D93681"/>
    <w:rsid w:val="00D936B9"/>
    <w:rsid w:val="00D9383B"/>
    <w:rsid w:val="00D93910"/>
    <w:rsid w:val="00D93B3A"/>
    <w:rsid w:val="00D93E0C"/>
    <w:rsid w:val="00D93F08"/>
    <w:rsid w:val="00D9443E"/>
    <w:rsid w:val="00D944D9"/>
    <w:rsid w:val="00D94540"/>
    <w:rsid w:val="00D945A8"/>
    <w:rsid w:val="00D94680"/>
    <w:rsid w:val="00D9476C"/>
    <w:rsid w:val="00D94A18"/>
    <w:rsid w:val="00D94EB8"/>
    <w:rsid w:val="00D94F03"/>
    <w:rsid w:val="00D94F0A"/>
    <w:rsid w:val="00D9506E"/>
    <w:rsid w:val="00D9530E"/>
    <w:rsid w:val="00D954FF"/>
    <w:rsid w:val="00D955CD"/>
    <w:rsid w:val="00D9564A"/>
    <w:rsid w:val="00D956FE"/>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50B"/>
    <w:rsid w:val="00D977C6"/>
    <w:rsid w:val="00D9781C"/>
    <w:rsid w:val="00D9784A"/>
    <w:rsid w:val="00D978A5"/>
    <w:rsid w:val="00D978EF"/>
    <w:rsid w:val="00D979C9"/>
    <w:rsid w:val="00DA00B4"/>
    <w:rsid w:val="00DA054A"/>
    <w:rsid w:val="00DA05B1"/>
    <w:rsid w:val="00DA05E2"/>
    <w:rsid w:val="00DA069E"/>
    <w:rsid w:val="00DA0760"/>
    <w:rsid w:val="00DA0A13"/>
    <w:rsid w:val="00DA0A1E"/>
    <w:rsid w:val="00DA0C49"/>
    <w:rsid w:val="00DA0CD2"/>
    <w:rsid w:val="00DA109F"/>
    <w:rsid w:val="00DA11B8"/>
    <w:rsid w:val="00DA1234"/>
    <w:rsid w:val="00DA12E9"/>
    <w:rsid w:val="00DA146E"/>
    <w:rsid w:val="00DA14A4"/>
    <w:rsid w:val="00DA15F5"/>
    <w:rsid w:val="00DA16ED"/>
    <w:rsid w:val="00DA1950"/>
    <w:rsid w:val="00DA1A5F"/>
    <w:rsid w:val="00DA1BF8"/>
    <w:rsid w:val="00DA1EC4"/>
    <w:rsid w:val="00DA2047"/>
    <w:rsid w:val="00DA2195"/>
    <w:rsid w:val="00DA22AF"/>
    <w:rsid w:val="00DA23DC"/>
    <w:rsid w:val="00DA25A4"/>
    <w:rsid w:val="00DA27A7"/>
    <w:rsid w:val="00DA2992"/>
    <w:rsid w:val="00DA29F8"/>
    <w:rsid w:val="00DA2FF4"/>
    <w:rsid w:val="00DA30C6"/>
    <w:rsid w:val="00DA3199"/>
    <w:rsid w:val="00DA3243"/>
    <w:rsid w:val="00DA329F"/>
    <w:rsid w:val="00DA3336"/>
    <w:rsid w:val="00DA35E5"/>
    <w:rsid w:val="00DA382E"/>
    <w:rsid w:val="00DA38A4"/>
    <w:rsid w:val="00DA3A39"/>
    <w:rsid w:val="00DA3D9B"/>
    <w:rsid w:val="00DA3E7B"/>
    <w:rsid w:val="00DA3F4A"/>
    <w:rsid w:val="00DA3FE4"/>
    <w:rsid w:val="00DA425D"/>
    <w:rsid w:val="00DA4336"/>
    <w:rsid w:val="00DA43E1"/>
    <w:rsid w:val="00DA446C"/>
    <w:rsid w:val="00DA4522"/>
    <w:rsid w:val="00DA456D"/>
    <w:rsid w:val="00DA471B"/>
    <w:rsid w:val="00DA480F"/>
    <w:rsid w:val="00DA488D"/>
    <w:rsid w:val="00DA48FE"/>
    <w:rsid w:val="00DA4BE1"/>
    <w:rsid w:val="00DA4C7B"/>
    <w:rsid w:val="00DA4DA1"/>
    <w:rsid w:val="00DA4F01"/>
    <w:rsid w:val="00DA4F27"/>
    <w:rsid w:val="00DA5075"/>
    <w:rsid w:val="00DA5104"/>
    <w:rsid w:val="00DA529E"/>
    <w:rsid w:val="00DA5348"/>
    <w:rsid w:val="00DA5723"/>
    <w:rsid w:val="00DA583F"/>
    <w:rsid w:val="00DA58E2"/>
    <w:rsid w:val="00DA5B7D"/>
    <w:rsid w:val="00DA5C39"/>
    <w:rsid w:val="00DA5DCF"/>
    <w:rsid w:val="00DA5DEA"/>
    <w:rsid w:val="00DA5E6A"/>
    <w:rsid w:val="00DA5F0F"/>
    <w:rsid w:val="00DA60A7"/>
    <w:rsid w:val="00DA634F"/>
    <w:rsid w:val="00DA675E"/>
    <w:rsid w:val="00DA6774"/>
    <w:rsid w:val="00DA6C6E"/>
    <w:rsid w:val="00DA6F61"/>
    <w:rsid w:val="00DA7299"/>
    <w:rsid w:val="00DA7318"/>
    <w:rsid w:val="00DA759F"/>
    <w:rsid w:val="00DA7905"/>
    <w:rsid w:val="00DA79A6"/>
    <w:rsid w:val="00DA7A77"/>
    <w:rsid w:val="00DA7CF7"/>
    <w:rsid w:val="00DA7E2A"/>
    <w:rsid w:val="00DA7EB8"/>
    <w:rsid w:val="00DB0033"/>
    <w:rsid w:val="00DB005B"/>
    <w:rsid w:val="00DB0076"/>
    <w:rsid w:val="00DB01B2"/>
    <w:rsid w:val="00DB0445"/>
    <w:rsid w:val="00DB04EA"/>
    <w:rsid w:val="00DB0673"/>
    <w:rsid w:val="00DB085B"/>
    <w:rsid w:val="00DB0938"/>
    <w:rsid w:val="00DB0999"/>
    <w:rsid w:val="00DB09B0"/>
    <w:rsid w:val="00DB0D46"/>
    <w:rsid w:val="00DB0F43"/>
    <w:rsid w:val="00DB0F5B"/>
    <w:rsid w:val="00DB0F8C"/>
    <w:rsid w:val="00DB103A"/>
    <w:rsid w:val="00DB110C"/>
    <w:rsid w:val="00DB1189"/>
    <w:rsid w:val="00DB13CC"/>
    <w:rsid w:val="00DB1540"/>
    <w:rsid w:val="00DB15BC"/>
    <w:rsid w:val="00DB1779"/>
    <w:rsid w:val="00DB19BF"/>
    <w:rsid w:val="00DB1B2E"/>
    <w:rsid w:val="00DB1DBE"/>
    <w:rsid w:val="00DB1F1C"/>
    <w:rsid w:val="00DB2003"/>
    <w:rsid w:val="00DB21F2"/>
    <w:rsid w:val="00DB23B8"/>
    <w:rsid w:val="00DB2554"/>
    <w:rsid w:val="00DB2C67"/>
    <w:rsid w:val="00DB2FB7"/>
    <w:rsid w:val="00DB31EE"/>
    <w:rsid w:val="00DB3A14"/>
    <w:rsid w:val="00DB3C4E"/>
    <w:rsid w:val="00DB3D2A"/>
    <w:rsid w:val="00DB3F03"/>
    <w:rsid w:val="00DB3F36"/>
    <w:rsid w:val="00DB4164"/>
    <w:rsid w:val="00DB42A8"/>
    <w:rsid w:val="00DB45A9"/>
    <w:rsid w:val="00DB4679"/>
    <w:rsid w:val="00DB4834"/>
    <w:rsid w:val="00DB4968"/>
    <w:rsid w:val="00DB4A1A"/>
    <w:rsid w:val="00DB4A99"/>
    <w:rsid w:val="00DB4BFF"/>
    <w:rsid w:val="00DB4C02"/>
    <w:rsid w:val="00DB4F4B"/>
    <w:rsid w:val="00DB4FEA"/>
    <w:rsid w:val="00DB51DC"/>
    <w:rsid w:val="00DB554B"/>
    <w:rsid w:val="00DB5563"/>
    <w:rsid w:val="00DB5745"/>
    <w:rsid w:val="00DB57B3"/>
    <w:rsid w:val="00DB57C4"/>
    <w:rsid w:val="00DB5B0C"/>
    <w:rsid w:val="00DB5B84"/>
    <w:rsid w:val="00DB5C0E"/>
    <w:rsid w:val="00DB5F33"/>
    <w:rsid w:val="00DB5FC4"/>
    <w:rsid w:val="00DB608B"/>
    <w:rsid w:val="00DB6111"/>
    <w:rsid w:val="00DB6203"/>
    <w:rsid w:val="00DB6606"/>
    <w:rsid w:val="00DB67F3"/>
    <w:rsid w:val="00DB69BA"/>
    <w:rsid w:val="00DB6F19"/>
    <w:rsid w:val="00DB6F4E"/>
    <w:rsid w:val="00DB6FD9"/>
    <w:rsid w:val="00DB7001"/>
    <w:rsid w:val="00DB7058"/>
    <w:rsid w:val="00DB708B"/>
    <w:rsid w:val="00DB70A6"/>
    <w:rsid w:val="00DB7177"/>
    <w:rsid w:val="00DB72D4"/>
    <w:rsid w:val="00DB75B4"/>
    <w:rsid w:val="00DB7775"/>
    <w:rsid w:val="00DB7865"/>
    <w:rsid w:val="00DB78ED"/>
    <w:rsid w:val="00DB79AA"/>
    <w:rsid w:val="00DB7BF1"/>
    <w:rsid w:val="00DB7C19"/>
    <w:rsid w:val="00DB7EFE"/>
    <w:rsid w:val="00DC0130"/>
    <w:rsid w:val="00DC09B9"/>
    <w:rsid w:val="00DC0BE6"/>
    <w:rsid w:val="00DC0D9F"/>
    <w:rsid w:val="00DC0DFF"/>
    <w:rsid w:val="00DC102F"/>
    <w:rsid w:val="00DC10BE"/>
    <w:rsid w:val="00DC1280"/>
    <w:rsid w:val="00DC14C9"/>
    <w:rsid w:val="00DC1568"/>
    <w:rsid w:val="00DC1580"/>
    <w:rsid w:val="00DC162F"/>
    <w:rsid w:val="00DC1B8A"/>
    <w:rsid w:val="00DC1D79"/>
    <w:rsid w:val="00DC1E9E"/>
    <w:rsid w:val="00DC1F10"/>
    <w:rsid w:val="00DC20CF"/>
    <w:rsid w:val="00DC224B"/>
    <w:rsid w:val="00DC22A2"/>
    <w:rsid w:val="00DC2624"/>
    <w:rsid w:val="00DC2C64"/>
    <w:rsid w:val="00DC2D29"/>
    <w:rsid w:val="00DC2E18"/>
    <w:rsid w:val="00DC2FD4"/>
    <w:rsid w:val="00DC304B"/>
    <w:rsid w:val="00DC30BB"/>
    <w:rsid w:val="00DC31B2"/>
    <w:rsid w:val="00DC31FD"/>
    <w:rsid w:val="00DC3276"/>
    <w:rsid w:val="00DC341B"/>
    <w:rsid w:val="00DC34AA"/>
    <w:rsid w:val="00DC3920"/>
    <w:rsid w:val="00DC3A9B"/>
    <w:rsid w:val="00DC3C5E"/>
    <w:rsid w:val="00DC4027"/>
    <w:rsid w:val="00DC40C9"/>
    <w:rsid w:val="00DC4274"/>
    <w:rsid w:val="00DC45D2"/>
    <w:rsid w:val="00DC4629"/>
    <w:rsid w:val="00DC486A"/>
    <w:rsid w:val="00DC4AB5"/>
    <w:rsid w:val="00DC4D7E"/>
    <w:rsid w:val="00DC529B"/>
    <w:rsid w:val="00DC54FC"/>
    <w:rsid w:val="00DC5506"/>
    <w:rsid w:val="00DC5C95"/>
    <w:rsid w:val="00DC5D78"/>
    <w:rsid w:val="00DC5EDF"/>
    <w:rsid w:val="00DC5F03"/>
    <w:rsid w:val="00DC6081"/>
    <w:rsid w:val="00DC6111"/>
    <w:rsid w:val="00DC620B"/>
    <w:rsid w:val="00DC6232"/>
    <w:rsid w:val="00DC6314"/>
    <w:rsid w:val="00DC649A"/>
    <w:rsid w:val="00DC64D0"/>
    <w:rsid w:val="00DC65AF"/>
    <w:rsid w:val="00DC65F3"/>
    <w:rsid w:val="00DC66B4"/>
    <w:rsid w:val="00DC66F1"/>
    <w:rsid w:val="00DC692E"/>
    <w:rsid w:val="00DC6AE5"/>
    <w:rsid w:val="00DC6B01"/>
    <w:rsid w:val="00DC7176"/>
    <w:rsid w:val="00DC718C"/>
    <w:rsid w:val="00DC732A"/>
    <w:rsid w:val="00DC7666"/>
    <w:rsid w:val="00DC7685"/>
    <w:rsid w:val="00DC76BC"/>
    <w:rsid w:val="00DC77EA"/>
    <w:rsid w:val="00DC7BD5"/>
    <w:rsid w:val="00DC7C47"/>
    <w:rsid w:val="00DD0341"/>
    <w:rsid w:val="00DD04F3"/>
    <w:rsid w:val="00DD070A"/>
    <w:rsid w:val="00DD0AB7"/>
    <w:rsid w:val="00DD0B6B"/>
    <w:rsid w:val="00DD0D4A"/>
    <w:rsid w:val="00DD0D5E"/>
    <w:rsid w:val="00DD0F71"/>
    <w:rsid w:val="00DD11AD"/>
    <w:rsid w:val="00DD135D"/>
    <w:rsid w:val="00DD13C0"/>
    <w:rsid w:val="00DD172B"/>
    <w:rsid w:val="00DD177B"/>
    <w:rsid w:val="00DD17F2"/>
    <w:rsid w:val="00DD192C"/>
    <w:rsid w:val="00DD193F"/>
    <w:rsid w:val="00DD1A13"/>
    <w:rsid w:val="00DD1BC0"/>
    <w:rsid w:val="00DD1BFC"/>
    <w:rsid w:val="00DD1C09"/>
    <w:rsid w:val="00DD1C0D"/>
    <w:rsid w:val="00DD1C87"/>
    <w:rsid w:val="00DD1EA5"/>
    <w:rsid w:val="00DD1F32"/>
    <w:rsid w:val="00DD1F76"/>
    <w:rsid w:val="00DD1FE1"/>
    <w:rsid w:val="00DD208E"/>
    <w:rsid w:val="00DD227F"/>
    <w:rsid w:val="00DD22D8"/>
    <w:rsid w:val="00DD23C5"/>
    <w:rsid w:val="00DD23C6"/>
    <w:rsid w:val="00DD23C7"/>
    <w:rsid w:val="00DD24E3"/>
    <w:rsid w:val="00DD267F"/>
    <w:rsid w:val="00DD26DF"/>
    <w:rsid w:val="00DD27C8"/>
    <w:rsid w:val="00DD28CF"/>
    <w:rsid w:val="00DD2A77"/>
    <w:rsid w:val="00DD2DA8"/>
    <w:rsid w:val="00DD2EC6"/>
    <w:rsid w:val="00DD30AF"/>
    <w:rsid w:val="00DD317C"/>
    <w:rsid w:val="00DD333E"/>
    <w:rsid w:val="00DD3620"/>
    <w:rsid w:val="00DD36E4"/>
    <w:rsid w:val="00DD3752"/>
    <w:rsid w:val="00DD39CD"/>
    <w:rsid w:val="00DD3A10"/>
    <w:rsid w:val="00DD3D08"/>
    <w:rsid w:val="00DD411A"/>
    <w:rsid w:val="00DD4129"/>
    <w:rsid w:val="00DD425B"/>
    <w:rsid w:val="00DD42AC"/>
    <w:rsid w:val="00DD49F9"/>
    <w:rsid w:val="00DD4A67"/>
    <w:rsid w:val="00DD4AB1"/>
    <w:rsid w:val="00DD4B07"/>
    <w:rsid w:val="00DD4CBA"/>
    <w:rsid w:val="00DD4DD2"/>
    <w:rsid w:val="00DD4E12"/>
    <w:rsid w:val="00DD5275"/>
    <w:rsid w:val="00DD5612"/>
    <w:rsid w:val="00DD5A11"/>
    <w:rsid w:val="00DD5A1C"/>
    <w:rsid w:val="00DD5B50"/>
    <w:rsid w:val="00DD5D4B"/>
    <w:rsid w:val="00DD5DE5"/>
    <w:rsid w:val="00DD6245"/>
    <w:rsid w:val="00DD62C5"/>
    <w:rsid w:val="00DD6303"/>
    <w:rsid w:val="00DD6304"/>
    <w:rsid w:val="00DD64E4"/>
    <w:rsid w:val="00DD6532"/>
    <w:rsid w:val="00DD66EF"/>
    <w:rsid w:val="00DD6789"/>
    <w:rsid w:val="00DD67BB"/>
    <w:rsid w:val="00DD6910"/>
    <w:rsid w:val="00DD69D9"/>
    <w:rsid w:val="00DD7038"/>
    <w:rsid w:val="00DD7077"/>
    <w:rsid w:val="00DD7202"/>
    <w:rsid w:val="00DD721A"/>
    <w:rsid w:val="00DD72A8"/>
    <w:rsid w:val="00DD74A4"/>
    <w:rsid w:val="00DD772F"/>
    <w:rsid w:val="00DD774A"/>
    <w:rsid w:val="00DD7AE5"/>
    <w:rsid w:val="00DD7B1A"/>
    <w:rsid w:val="00DD7D5D"/>
    <w:rsid w:val="00DD7DD1"/>
    <w:rsid w:val="00DD7E7F"/>
    <w:rsid w:val="00DD7F17"/>
    <w:rsid w:val="00DE0011"/>
    <w:rsid w:val="00DE010F"/>
    <w:rsid w:val="00DE02EB"/>
    <w:rsid w:val="00DE04ED"/>
    <w:rsid w:val="00DE07D2"/>
    <w:rsid w:val="00DE07F0"/>
    <w:rsid w:val="00DE0853"/>
    <w:rsid w:val="00DE0880"/>
    <w:rsid w:val="00DE0947"/>
    <w:rsid w:val="00DE0C4B"/>
    <w:rsid w:val="00DE0CC9"/>
    <w:rsid w:val="00DE0E79"/>
    <w:rsid w:val="00DE10E2"/>
    <w:rsid w:val="00DE1336"/>
    <w:rsid w:val="00DE17A1"/>
    <w:rsid w:val="00DE196B"/>
    <w:rsid w:val="00DE1D17"/>
    <w:rsid w:val="00DE1E1F"/>
    <w:rsid w:val="00DE1F48"/>
    <w:rsid w:val="00DE1F70"/>
    <w:rsid w:val="00DE2093"/>
    <w:rsid w:val="00DE2200"/>
    <w:rsid w:val="00DE22D0"/>
    <w:rsid w:val="00DE26FF"/>
    <w:rsid w:val="00DE2721"/>
    <w:rsid w:val="00DE2749"/>
    <w:rsid w:val="00DE2756"/>
    <w:rsid w:val="00DE28C9"/>
    <w:rsid w:val="00DE2A31"/>
    <w:rsid w:val="00DE2C4D"/>
    <w:rsid w:val="00DE2CD3"/>
    <w:rsid w:val="00DE2E06"/>
    <w:rsid w:val="00DE2E68"/>
    <w:rsid w:val="00DE2E8A"/>
    <w:rsid w:val="00DE3001"/>
    <w:rsid w:val="00DE300D"/>
    <w:rsid w:val="00DE3544"/>
    <w:rsid w:val="00DE3A26"/>
    <w:rsid w:val="00DE3D2F"/>
    <w:rsid w:val="00DE3FA6"/>
    <w:rsid w:val="00DE42DB"/>
    <w:rsid w:val="00DE4402"/>
    <w:rsid w:val="00DE4677"/>
    <w:rsid w:val="00DE46C9"/>
    <w:rsid w:val="00DE4722"/>
    <w:rsid w:val="00DE47FC"/>
    <w:rsid w:val="00DE486B"/>
    <w:rsid w:val="00DE4968"/>
    <w:rsid w:val="00DE4BFA"/>
    <w:rsid w:val="00DE4C84"/>
    <w:rsid w:val="00DE4EFB"/>
    <w:rsid w:val="00DE5059"/>
    <w:rsid w:val="00DE53C3"/>
    <w:rsid w:val="00DE5480"/>
    <w:rsid w:val="00DE5601"/>
    <w:rsid w:val="00DE577A"/>
    <w:rsid w:val="00DE5959"/>
    <w:rsid w:val="00DE596B"/>
    <w:rsid w:val="00DE5A82"/>
    <w:rsid w:val="00DE5EF9"/>
    <w:rsid w:val="00DE5FE9"/>
    <w:rsid w:val="00DE5FF8"/>
    <w:rsid w:val="00DE641B"/>
    <w:rsid w:val="00DE64DD"/>
    <w:rsid w:val="00DE6560"/>
    <w:rsid w:val="00DE6590"/>
    <w:rsid w:val="00DE65D6"/>
    <w:rsid w:val="00DE66DD"/>
    <w:rsid w:val="00DE686F"/>
    <w:rsid w:val="00DE6885"/>
    <w:rsid w:val="00DE6A3D"/>
    <w:rsid w:val="00DE6A97"/>
    <w:rsid w:val="00DE6F2A"/>
    <w:rsid w:val="00DE709A"/>
    <w:rsid w:val="00DE724C"/>
    <w:rsid w:val="00DE72D7"/>
    <w:rsid w:val="00DE74BA"/>
    <w:rsid w:val="00DE7537"/>
    <w:rsid w:val="00DE7A92"/>
    <w:rsid w:val="00DE7B61"/>
    <w:rsid w:val="00DE7C16"/>
    <w:rsid w:val="00DE7DE3"/>
    <w:rsid w:val="00DF005A"/>
    <w:rsid w:val="00DF0340"/>
    <w:rsid w:val="00DF0502"/>
    <w:rsid w:val="00DF061A"/>
    <w:rsid w:val="00DF09B1"/>
    <w:rsid w:val="00DF0B98"/>
    <w:rsid w:val="00DF0BB2"/>
    <w:rsid w:val="00DF0CDF"/>
    <w:rsid w:val="00DF0D49"/>
    <w:rsid w:val="00DF10A3"/>
    <w:rsid w:val="00DF13FD"/>
    <w:rsid w:val="00DF1465"/>
    <w:rsid w:val="00DF1575"/>
    <w:rsid w:val="00DF18D9"/>
    <w:rsid w:val="00DF1903"/>
    <w:rsid w:val="00DF1BB2"/>
    <w:rsid w:val="00DF1D0B"/>
    <w:rsid w:val="00DF1E71"/>
    <w:rsid w:val="00DF2127"/>
    <w:rsid w:val="00DF21D5"/>
    <w:rsid w:val="00DF28F8"/>
    <w:rsid w:val="00DF2BD1"/>
    <w:rsid w:val="00DF2C0A"/>
    <w:rsid w:val="00DF2CEC"/>
    <w:rsid w:val="00DF2D96"/>
    <w:rsid w:val="00DF2DAF"/>
    <w:rsid w:val="00DF2E41"/>
    <w:rsid w:val="00DF30A0"/>
    <w:rsid w:val="00DF3285"/>
    <w:rsid w:val="00DF32DA"/>
    <w:rsid w:val="00DF341A"/>
    <w:rsid w:val="00DF3471"/>
    <w:rsid w:val="00DF3534"/>
    <w:rsid w:val="00DF35C0"/>
    <w:rsid w:val="00DF3891"/>
    <w:rsid w:val="00DF4099"/>
    <w:rsid w:val="00DF4163"/>
    <w:rsid w:val="00DF4288"/>
    <w:rsid w:val="00DF42EF"/>
    <w:rsid w:val="00DF447B"/>
    <w:rsid w:val="00DF47CA"/>
    <w:rsid w:val="00DF47E8"/>
    <w:rsid w:val="00DF4AE0"/>
    <w:rsid w:val="00DF4DAE"/>
    <w:rsid w:val="00DF4EE7"/>
    <w:rsid w:val="00DF517D"/>
    <w:rsid w:val="00DF53D3"/>
    <w:rsid w:val="00DF53E1"/>
    <w:rsid w:val="00DF54E7"/>
    <w:rsid w:val="00DF58BD"/>
    <w:rsid w:val="00DF59BD"/>
    <w:rsid w:val="00DF5B49"/>
    <w:rsid w:val="00DF5F7B"/>
    <w:rsid w:val="00DF60B1"/>
    <w:rsid w:val="00DF60B7"/>
    <w:rsid w:val="00DF619D"/>
    <w:rsid w:val="00DF62EB"/>
    <w:rsid w:val="00DF6310"/>
    <w:rsid w:val="00DF631F"/>
    <w:rsid w:val="00DF64C5"/>
    <w:rsid w:val="00DF6566"/>
    <w:rsid w:val="00DF6640"/>
    <w:rsid w:val="00DF6670"/>
    <w:rsid w:val="00DF66D9"/>
    <w:rsid w:val="00DF69F0"/>
    <w:rsid w:val="00DF6F56"/>
    <w:rsid w:val="00DF7110"/>
    <w:rsid w:val="00DF7382"/>
    <w:rsid w:val="00DF741D"/>
    <w:rsid w:val="00DF748D"/>
    <w:rsid w:val="00DF750A"/>
    <w:rsid w:val="00DF757C"/>
    <w:rsid w:val="00DF79C3"/>
    <w:rsid w:val="00DF7A5A"/>
    <w:rsid w:val="00DF7A92"/>
    <w:rsid w:val="00DF7B51"/>
    <w:rsid w:val="00DF7C96"/>
    <w:rsid w:val="00DF7CA2"/>
    <w:rsid w:val="00DF7CE2"/>
    <w:rsid w:val="00DF7E6C"/>
    <w:rsid w:val="00E001F6"/>
    <w:rsid w:val="00E0025F"/>
    <w:rsid w:val="00E002E4"/>
    <w:rsid w:val="00E0036C"/>
    <w:rsid w:val="00E003CB"/>
    <w:rsid w:val="00E006DD"/>
    <w:rsid w:val="00E0074E"/>
    <w:rsid w:val="00E00801"/>
    <w:rsid w:val="00E009E1"/>
    <w:rsid w:val="00E00AA2"/>
    <w:rsid w:val="00E00B0F"/>
    <w:rsid w:val="00E00BBD"/>
    <w:rsid w:val="00E00D1D"/>
    <w:rsid w:val="00E00D38"/>
    <w:rsid w:val="00E00DAB"/>
    <w:rsid w:val="00E00ECF"/>
    <w:rsid w:val="00E00F52"/>
    <w:rsid w:val="00E0104B"/>
    <w:rsid w:val="00E012D8"/>
    <w:rsid w:val="00E012F4"/>
    <w:rsid w:val="00E0174A"/>
    <w:rsid w:val="00E01DF2"/>
    <w:rsid w:val="00E01FEA"/>
    <w:rsid w:val="00E02271"/>
    <w:rsid w:val="00E022C5"/>
    <w:rsid w:val="00E022D9"/>
    <w:rsid w:val="00E02376"/>
    <w:rsid w:val="00E0241E"/>
    <w:rsid w:val="00E0267A"/>
    <w:rsid w:val="00E02DF0"/>
    <w:rsid w:val="00E03055"/>
    <w:rsid w:val="00E033F7"/>
    <w:rsid w:val="00E034C3"/>
    <w:rsid w:val="00E03558"/>
    <w:rsid w:val="00E03562"/>
    <w:rsid w:val="00E037EC"/>
    <w:rsid w:val="00E03A1F"/>
    <w:rsid w:val="00E03A3B"/>
    <w:rsid w:val="00E03AED"/>
    <w:rsid w:val="00E03BAC"/>
    <w:rsid w:val="00E03C24"/>
    <w:rsid w:val="00E03D66"/>
    <w:rsid w:val="00E03E4A"/>
    <w:rsid w:val="00E0400F"/>
    <w:rsid w:val="00E04287"/>
    <w:rsid w:val="00E04338"/>
    <w:rsid w:val="00E0434E"/>
    <w:rsid w:val="00E04381"/>
    <w:rsid w:val="00E04591"/>
    <w:rsid w:val="00E04917"/>
    <w:rsid w:val="00E04A32"/>
    <w:rsid w:val="00E04ADC"/>
    <w:rsid w:val="00E04AE6"/>
    <w:rsid w:val="00E04C77"/>
    <w:rsid w:val="00E04E36"/>
    <w:rsid w:val="00E04E75"/>
    <w:rsid w:val="00E0509B"/>
    <w:rsid w:val="00E052A2"/>
    <w:rsid w:val="00E05397"/>
    <w:rsid w:val="00E054BC"/>
    <w:rsid w:val="00E05B8C"/>
    <w:rsid w:val="00E05D0D"/>
    <w:rsid w:val="00E05DE4"/>
    <w:rsid w:val="00E05E53"/>
    <w:rsid w:val="00E05E67"/>
    <w:rsid w:val="00E05FFF"/>
    <w:rsid w:val="00E0613F"/>
    <w:rsid w:val="00E0639A"/>
    <w:rsid w:val="00E065F3"/>
    <w:rsid w:val="00E06603"/>
    <w:rsid w:val="00E06D78"/>
    <w:rsid w:val="00E06E30"/>
    <w:rsid w:val="00E06F8E"/>
    <w:rsid w:val="00E07169"/>
    <w:rsid w:val="00E07244"/>
    <w:rsid w:val="00E0724A"/>
    <w:rsid w:val="00E0726E"/>
    <w:rsid w:val="00E07271"/>
    <w:rsid w:val="00E072D8"/>
    <w:rsid w:val="00E075F5"/>
    <w:rsid w:val="00E076F1"/>
    <w:rsid w:val="00E07913"/>
    <w:rsid w:val="00E07AF5"/>
    <w:rsid w:val="00E07D12"/>
    <w:rsid w:val="00E07E2D"/>
    <w:rsid w:val="00E07F0E"/>
    <w:rsid w:val="00E10351"/>
    <w:rsid w:val="00E10703"/>
    <w:rsid w:val="00E108C0"/>
    <w:rsid w:val="00E109F4"/>
    <w:rsid w:val="00E10C62"/>
    <w:rsid w:val="00E10E24"/>
    <w:rsid w:val="00E10FA8"/>
    <w:rsid w:val="00E11030"/>
    <w:rsid w:val="00E11378"/>
    <w:rsid w:val="00E113F2"/>
    <w:rsid w:val="00E1162A"/>
    <w:rsid w:val="00E11741"/>
    <w:rsid w:val="00E11743"/>
    <w:rsid w:val="00E11767"/>
    <w:rsid w:val="00E11A40"/>
    <w:rsid w:val="00E11A95"/>
    <w:rsid w:val="00E11E09"/>
    <w:rsid w:val="00E11F4C"/>
    <w:rsid w:val="00E11F55"/>
    <w:rsid w:val="00E1202D"/>
    <w:rsid w:val="00E122F1"/>
    <w:rsid w:val="00E122F9"/>
    <w:rsid w:val="00E12814"/>
    <w:rsid w:val="00E128FC"/>
    <w:rsid w:val="00E12D4D"/>
    <w:rsid w:val="00E12F21"/>
    <w:rsid w:val="00E12FD9"/>
    <w:rsid w:val="00E131F9"/>
    <w:rsid w:val="00E1322A"/>
    <w:rsid w:val="00E1330B"/>
    <w:rsid w:val="00E1355F"/>
    <w:rsid w:val="00E135F4"/>
    <w:rsid w:val="00E1381B"/>
    <w:rsid w:val="00E13A76"/>
    <w:rsid w:val="00E13AEB"/>
    <w:rsid w:val="00E13B4F"/>
    <w:rsid w:val="00E13C51"/>
    <w:rsid w:val="00E13F3F"/>
    <w:rsid w:val="00E13FAF"/>
    <w:rsid w:val="00E1430C"/>
    <w:rsid w:val="00E143E7"/>
    <w:rsid w:val="00E1456F"/>
    <w:rsid w:val="00E1479E"/>
    <w:rsid w:val="00E14824"/>
    <w:rsid w:val="00E1484A"/>
    <w:rsid w:val="00E14C4C"/>
    <w:rsid w:val="00E14D7B"/>
    <w:rsid w:val="00E14E60"/>
    <w:rsid w:val="00E14F5D"/>
    <w:rsid w:val="00E150AD"/>
    <w:rsid w:val="00E150EF"/>
    <w:rsid w:val="00E153AE"/>
    <w:rsid w:val="00E15438"/>
    <w:rsid w:val="00E15532"/>
    <w:rsid w:val="00E15AB7"/>
    <w:rsid w:val="00E15B0F"/>
    <w:rsid w:val="00E15C09"/>
    <w:rsid w:val="00E15C19"/>
    <w:rsid w:val="00E15CF5"/>
    <w:rsid w:val="00E1633F"/>
    <w:rsid w:val="00E163B7"/>
    <w:rsid w:val="00E16423"/>
    <w:rsid w:val="00E1644D"/>
    <w:rsid w:val="00E1651E"/>
    <w:rsid w:val="00E165F0"/>
    <w:rsid w:val="00E16693"/>
    <w:rsid w:val="00E16744"/>
    <w:rsid w:val="00E1683C"/>
    <w:rsid w:val="00E16D30"/>
    <w:rsid w:val="00E16E0F"/>
    <w:rsid w:val="00E16EF6"/>
    <w:rsid w:val="00E1702B"/>
    <w:rsid w:val="00E17059"/>
    <w:rsid w:val="00E1707A"/>
    <w:rsid w:val="00E17616"/>
    <w:rsid w:val="00E17667"/>
    <w:rsid w:val="00E17765"/>
    <w:rsid w:val="00E17776"/>
    <w:rsid w:val="00E178DA"/>
    <w:rsid w:val="00E17B84"/>
    <w:rsid w:val="00E17DFE"/>
    <w:rsid w:val="00E203F2"/>
    <w:rsid w:val="00E204AA"/>
    <w:rsid w:val="00E2084F"/>
    <w:rsid w:val="00E20B7D"/>
    <w:rsid w:val="00E20C8D"/>
    <w:rsid w:val="00E20DC3"/>
    <w:rsid w:val="00E20FAB"/>
    <w:rsid w:val="00E2102A"/>
    <w:rsid w:val="00E2118A"/>
    <w:rsid w:val="00E213C3"/>
    <w:rsid w:val="00E2149D"/>
    <w:rsid w:val="00E214E3"/>
    <w:rsid w:val="00E2154A"/>
    <w:rsid w:val="00E2160D"/>
    <w:rsid w:val="00E2191B"/>
    <w:rsid w:val="00E219BF"/>
    <w:rsid w:val="00E21AB0"/>
    <w:rsid w:val="00E21B24"/>
    <w:rsid w:val="00E21EDF"/>
    <w:rsid w:val="00E21F77"/>
    <w:rsid w:val="00E22003"/>
    <w:rsid w:val="00E2213A"/>
    <w:rsid w:val="00E22304"/>
    <w:rsid w:val="00E225E9"/>
    <w:rsid w:val="00E22795"/>
    <w:rsid w:val="00E22797"/>
    <w:rsid w:val="00E2279D"/>
    <w:rsid w:val="00E228B5"/>
    <w:rsid w:val="00E228BA"/>
    <w:rsid w:val="00E229FD"/>
    <w:rsid w:val="00E22A6E"/>
    <w:rsid w:val="00E22C35"/>
    <w:rsid w:val="00E22CB6"/>
    <w:rsid w:val="00E22D30"/>
    <w:rsid w:val="00E22DC7"/>
    <w:rsid w:val="00E22EA2"/>
    <w:rsid w:val="00E22F7B"/>
    <w:rsid w:val="00E22F97"/>
    <w:rsid w:val="00E232EF"/>
    <w:rsid w:val="00E235FD"/>
    <w:rsid w:val="00E236BA"/>
    <w:rsid w:val="00E2393E"/>
    <w:rsid w:val="00E23DE6"/>
    <w:rsid w:val="00E23F4C"/>
    <w:rsid w:val="00E246DC"/>
    <w:rsid w:val="00E247A1"/>
    <w:rsid w:val="00E24870"/>
    <w:rsid w:val="00E2489A"/>
    <w:rsid w:val="00E248EB"/>
    <w:rsid w:val="00E24A4B"/>
    <w:rsid w:val="00E24AD0"/>
    <w:rsid w:val="00E24B38"/>
    <w:rsid w:val="00E24E9E"/>
    <w:rsid w:val="00E25066"/>
    <w:rsid w:val="00E25250"/>
    <w:rsid w:val="00E25291"/>
    <w:rsid w:val="00E2548D"/>
    <w:rsid w:val="00E258DC"/>
    <w:rsid w:val="00E259C5"/>
    <w:rsid w:val="00E25C0A"/>
    <w:rsid w:val="00E25CE8"/>
    <w:rsid w:val="00E25E51"/>
    <w:rsid w:val="00E260AE"/>
    <w:rsid w:val="00E260ED"/>
    <w:rsid w:val="00E26132"/>
    <w:rsid w:val="00E2620E"/>
    <w:rsid w:val="00E26280"/>
    <w:rsid w:val="00E26452"/>
    <w:rsid w:val="00E266F9"/>
    <w:rsid w:val="00E26813"/>
    <w:rsid w:val="00E2681A"/>
    <w:rsid w:val="00E269B4"/>
    <w:rsid w:val="00E26AE2"/>
    <w:rsid w:val="00E26C50"/>
    <w:rsid w:val="00E26EF8"/>
    <w:rsid w:val="00E27101"/>
    <w:rsid w:val="00E27129"/>
    <w:rsid w:val="00E273F1"/>
    <w:rsid w:val="00E2771F"/>
    <w:rsid w:val="00E27C7F"/>
    <w:rsid w:val="00E27CD7"/>
    <w:rsid w:val="00E300AE"/>
    <w:rsid w:val="00E3030D"/>
    <w:rsid w:val="00E3077B"/>
    <w:rsid w:val="00E30876"/>
    <w:rsid w:val="00E308C8"/>
    <w:rsid w:val="00E30976"/>
    <w:rsid w:val="00E309DA"/>
    <w:rsid w:val="00E30C88"/>
    <w:rsid w:val="00E30D64"/>
    <w:rsid w:val="00E30E78"/>
    <w:rsid w:val="00E30FF7"/>
    <w:rsid w:val="00E31037"/>
    <w:rsid w:val="00E310BF"/>
    <w:rsid w:val="00E310E3"/>
    <w:rsid w:val="00E3119D"/>
    <w:rsid w:val="00E3124E"/>
    <w:rsid w:val="00E31301"/>
    <w:rsid w:val="00E31375"/>
    <w:rsid w:val="00E31464"/>
    <w:rsid w:val="00E314E6"/>
    <w:rsid w:val="00E3158A"/>
    <w:rsid w:val="00E316A9"/>
    <w:rsid w:val="00E317A0"/>
    <w:rsid w:val="00E3194D"/>
    <w:rsid w:val="00E31AF2"/>
    <w:rsid w:val="00E31EC7"/>
    <w:rsid w:val="00E31F46"/>
    <w:rsid w:val="00E31F92"/>
    <w:rsid w:val="00E320C1"/>
    <w:rsid w:val="00E3221D"/>
    <w:rsid w:val="00E3233A"/>
    <w:rsid w:val="00E323C1"/>
    <w:rsid w:val="00E324AB"/>
    <w:rsid w:val="00E325E8"/>
    <w:rsid w:val="00E32777"/>
    <w:rsid w:val="00E329C7"/>
    <w:rsid w:val="00E32AA0"/>
    <w:rsid w:val="00E32B1C"/>
    <w:rsid w:val="00E32BBB"/>
    <w:rsid w:val="00E32C28"/>
    <w:rsid w:val="00E32C3D"/>
    <w:rsid w:val="00E32D0D"/>
    <w:rsid w:val="00E32D6F"/>
    <w:rsid w:val="00E32DB7"/>
    <w:rsid w:val="00E32DEC"/>
    <w:rsid w:val="00E32E2F"/>
    <w:rsid w:val="00E32EDA"/>
    <w:rsid w:val="00E33227"/>
    <w:rsid w:val="00E33659"/>
    <w:rsid w:val="00E337E8"/>
    <w:rsid w:val="00E33965"/>
    <w:rsid w:val="00E33ACF"/>
    <w:rsid w:val="00E33D0F"/>
    <w:rsid w:val="00E33D3D"/>
    <w:rsid w:val="00E33D4D"/>
    <w:rsid w:val="00E34049"/>
    <w:rsid w:val="00E340BB"/>
    <w:rsid w:val="00E34217"/>
    <w:rsid w:val="00E34266"/>
    <w:rsid w:val="00E34288"/>
    <w:rsid w:val="00E34452"/>
    <w:rsid w:val="00E34520"/>
    <w:rsid w:val="00E346EB"/>
    <w:rsid w:val="00E34CF0"/>
    <w:rsid w:val="00E34D1E"/>
    <w:rsid w:val="00E35340"/>
    <w:rsid w:val="00E35424"/>
    <w:rsid w:val="00E355C3"/>
    <w:rsid w:val="00E35C1C"/>
    <w:rsid w:val="00E36008"/>
    <w:rsid w:val="00E3631C"/>
    <w:rsid w:val="00E363B3"/>
    <w:rsid w:val="00E36D0F"/>
    <w:rsid w:val="00E36D75"/>
    <w:rsid w:val="00E36EA8"/>
    <w:rsid w:val="00E37073"/>
    <w:rsid w:val="00E37223"/>
    <w:rsid w:val="00E3730D"/>
    <w:rsid w:val="00E37325"/>
    <w:rsid w:val="00E3772C"/>
    <w:rsid w:val="00E3793A"/>
    <w:rsid w:val="00E37948"/>
    <w:rsid w:val="00E379D7"/>
    <w:rsid w:val="00E37A19"/>
    <w:rsid w:val="00E37A95"/>
    <w:rsid w:val="00E37AE4"/>
    <w:rsid w:val="00E37BA9"/>
    <w:rsid w:val="00E37F64"/>
    <w:rsid w:val="00E37F79"/>
    <w:rsid w:val="00E37FBA"/>
    <w:rsid w:val="00E400D5"/>
    <w:rsid w:val="00E402A7"/>
    <w:rsid w:val="00E403AA"/>
    <w:rsid w:val="00E40409"/>
    <w:rsid w:val="00E4040D"/>
    <w:rsid w:val="00E40AFF"/>
    <w:rsid w:val="00E40B42"/>
    <w:rsid w:val="00E40B67"/>
    <w:rsid w:val="00E40B68"/>
    <w:rsid w:val="00E40D97"/>
    <w:rsid w:val="00E414FF"/>
    <w:rsid w:val="00E41514"/>
    <w:rsid w:val="00E41749"/>
    <w:rsid w:val="00E417C2"/>
    <w:rsid w:val="00E41D23"/>
    <w:rsid w:val="00E41ED1"/>
    <w:rsid w:val="00E42050"/>
    <w:rsid w:val="00E42202"/>
    <w:rsid w:val="00E42312"/>
    <w:rsid w:val="00E42444"/>
    <w:rsid w:val="00E424D3"/>
    <w:rsid w:val="00E42656"/>
    <w:rsid w:val="00E42709"/>
    <w:rsid w:val="00E427A0"/>
    <w:rsid w:val="00E42836"/>
    <w:rsid w:val="00E428FE"/>
    <w:rsid w:val="00E4296F"/>
    <w:rsid w:val="00E429BE"/>
    <w:rsid w:val="00E42A43"/>
    <w:rsid w:val="00E42BF2"/>
    <w:rsid w:val="00E42BF4"/>
    <w:rsid w:val="00E42CD3"/>
    <w:rsid w:val="00E42E1A"/>
    <w:rsid w:val="00E42E3C"/>
    <w:rsid w:val="00E43352"/>
    <w:rsid w:val="00E4337E"/>
    <w:rsid w:val="00E4355C"/>
    <w:rsid w:val="00E4360C"/>
    <w:rsid w:val="00E437B8"/>
    <w:rsid w:val="00E438A6"/>
    <w:rsid w:val="00E439E5"/>
    <w:rsid w:val="00E43C11"/>
    <w:rsid w:val="00E43DDA"/>
    <w:rsid w:val="00E43E1C"/>
    <w:rsid w:val="00E44199"/>
    <w:rsid w:val="00E442B8"/>
    <w:rsid w:val="00E443EF"/>
    <w:rsid w:val="00E4446D"/>
    <w:rsid w:val="00E4450F"/>
    <w:rsid w:val="00E4454D"/>
    <w:rsid w:val="00E44633"/>
    <w:rsid w:val="00E44657"/>
    <w:rsid w:val="00E4474C"/>
    <w:rsid w:val="00E447FF"/>
    <w:rsid w:val="00E44BE8"/>
    <w:rsid w:val="00E44C8B"/>
    <w:rsid w:val="00E44CB0"/>
    <w:rsid w:val="00E44DF5"/>
    <w:rsid w:val="00E4503E"/>
    <w:rsid w:val="00E45252"/>
    <w:rsid w:val="00E452FD"/>
    <w:rsid w:val="00E453FF"/>
    <w:rsid w:val="00E45419"/>
    <w:rsid w:val="00E45636"/>
    <w:rsid w:val="00E45AC5"/>
    <w:rsid w:val="00E45B7F"/>
    <w:rsid w:val="00E45C1E"/>
    <w:rsid w:val="00E45C7A"/>
    <w:rsid w:val="00E45E00"/>
    <w:rsid w:val="00E45EB1"/>
    <w:rsid w:val="00E45EE6"/>
    <w:rsid w:val="00E460D1"/>
    <w:rsid w:val="00E460ED"/>
    <w:rsid w:val="00E46278"/>
    <w:rsid w:val="00E462EC"/>
    <w:rsid w:val="00E46401"/>
    <w:rsid w:val="00E4680F"/>
    <w:rsid w:val="00E46C96"/>
    <w:rsid w:val="00E46F70"/>
    <w:rsid w:val="00E47183"/>
    <w:rsid w:val="00E47238"/>
    <w:rsid w:val="00E478C5"/>
    <w:rsid w:val="00E479D3"/>
    <w:rsid w:val="00E479D8"/>
    <w:rsid w:val="00E47C6D"/>
    <w:rsid w:val="00E47D01"/>
    <w:rsid w:val="00E47D5D"/>
    <w:rsid w:val="00E47E4E"/>
    <w:rsid w:val="00E47E5E"/>
    <w:rsid w:val="00E50092"/>
    <w:rsid w:val="00E501FB"/>
    <w:rsid w:val="00E50258"/>
    <w:rsid w:val="00E502CF"/>
    <w:rsid w:val="00E50407"/>
    <w:rsid w:val="00E50669"/>
    <w:rsid w:val="00E50726"/>
    <w:rsid w:val="00E50960"/>
    <w:rsid w:val="00E50B54"/>
    <w:rsid w:val="00E50CE7"/>
    <w:rsid w:val="00E50D19"/>
    <w:rsid w:val="00E51059"/>
    <w:rsid w:val="00E510A1"/>
    <w:rsid w:val="00E51183"/>
    <w:rsid w:val="00E5128D"/>
    <w:rsid w:val="00E512C0"/>
    <w:rsid w:val="00E513CC"/>
    <w:rsid w:val="00E51560"/>
    <w:rsid w:val="00E5156B"/>
    <w:rsid w:val="00E516D4"/>
    <w:rsid w:val="00E519E8"/>
    <w:rsid w:val="00E51A3A"/>
    <w:rsid w:val="00E51AA6"/>
    <w:rsid w:val="00E51C87"/>
    <w:rsid w:val="00E51E15"/>
    <w:rsid w:val="00E51E40"/>
    <w:rsid w:val="00E51E47"/>
    <w:rsid w:val="00E520DB"/>
    <w:rsid w:val="00E5228F"/>
    <w:rsid w:val="00E524AB"/>
    <w:rsid w:val="00E524F7"/>
    <w:rsid w:val="00E5257B"/>
    <w:rsid w:val="00E525AE"/>
    <w:rsid w:val="00E52644"/>
    <w:rsid w:val="00E52775"/>
    <w:rsid w:val="00E52B79"/>
    <w:rsid w:val="00E52BB8"/>
    <w:rsid w:val="00E52CAC"/>
    <w:rsid w:val="00E52F83"/>
    <w:rsid w:val="00E5300A"/>
    <w:rsid w:val="00E534B1"/>
    <w:rsid w:val="00E5364E"/>
    <w:rsid w:val="00E536CB"/>
    <w:rsid w:val="00E53774"/>
    <w:rsid w:val="00E537C8"/>
    <w:rsid w:val="00E537D6"/>
    <w:rsid w:val="00E537D8"/>
    <w:rsid w:val="00E53846"/>
    <w:rsid w:val="00E53918"/>
    <w:rsid w:val="00E53A9E"/>
    <w:rsid w:val="00E53BDB"/>
    <w:rsid w:val="00E53EA2"/>
    <w:rsid w:val="00E540CC"/>
    <w:rsid w:val="00E54203"/>
    <w:rsid w:val="00E543DF"/>
    <w:rsid w:val="00E5442D"/>
    <w:rsid w:val="00E544E7"/>
    <w:rsid w:val="00E54673"/>
    <w:rsid w:val="00E54705"/>
    <w:rsid w:val="00E54770"/>
    <w:rsid w:val="00E548E4"/>
    <w:rsid w:val="00E54CA0"/>
    <w:rsid w:val="00E54D06"/>
    <w:rsid w:val="00E54D07"/>
    <w:rsid w:val="00E54D12"/>
    <w:rsid w:val="00E54D39"/>
    <w:rsid w:val="00E54DDF"/>
    <w:rsid w:val="00E54E17"/>
    <w:rsid w:val="00E54E38"/>
    <w:rsid w:val="00E54F27"/>
    <w:rsid w:val="00E551A9"/>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3BC"/>
    <w:rsid w:val="00E5656B"/>
    <w:rsid w:val="00E56A29"/>
    <w:rsid w:val="00E56B60"/>
    <w:rsid w:val="00E57076"/>
    <w:rsid w:val="00E570FC"/>
    <w:rsid w:val="00E5721C"/>
    <w:rsid w:val="00E5738D"/>
    <w:rsid w:val="00E573EF"/>
    <w:rsid w:val="00E576CA"/>
    <w:rsid w:val="00E577AE"/>
    <w:rsid w:val="00E57824"/>
    <w:rsid w:val="00E578E8"/>
    <w:rsid w:val="00E57A25"/>
    <w:rsid w:val="00E57C47"/>
    <w:rsid w:val="00E57CBA"/>
    <w:rsid w:val="00E57CE6"/>
    <w:rsid w:val="00E57D98"/>
    <w:rsid w:val="00E57FEE"/>
    <w:rsid w:val="00E6020F"/>
    <w:rsid w:val="00E60516"/>
    <w:rsid w:val="00E605F7"/>
    <w:rsid w:val="00E605FE"/>
    <w:rsid w:val="00E6062C"/>
    <w:rsid w:val="00E60A16"/>
    <w:rsid w:val="00E60BB8"/>
    <w:rsid w:val="00E60C74"/>
    <w:rsid w:val="00E60EC7"/>
    <w:rsid w:val="00E60F1F"/>
    <w:rsid w:val="00E61069"/>
    <w:rsid w:val="00E6106E"/>
    <w:rsid w:val="00E61118"/>
    <w:rsid w:val="00E61457"/>
    <w:rsid w:val="00E616CB"/>
    <w:rsid w:val="00E617B8"/>
    <w:rsid w:val="00E61D5B"/>
    <w:rsid w:val="00E61EB1"/>
    <w:rsid w:val="00E620DA"/>
    <w:rsid w:val="00E6221E"/>
    <w:rsid w:val="00E6223E"/>
    <w:rsid w:val="00E62439"/>
    <w:rsid w:val="00E62488"/>
    <w:rsid w:val="00E624BE"/>
    <w:rsid w:val="00E624E3"/>
    <w:rsid w:val="00E625BD"/>
    <w:rsid w:val="00E625F1"/>
    <w:rsid w:val="00E627D7"/>
    <w:rsid w:val="00E627F3"/>
    <w:rsid w:val="00E62CBF"/>
    <w:rsid w:val="00E62E2A"/>
    <w:rsid w:val="00E62E87"/>
    <w:rsid w:val="00E62F2A"/>
    <w:rsid w:val="00E631E9"/>
    <w:rsid w:val="00E63584"/>
    <w:rsid w:val="00E635C4"/>
    <w:rsid w:val="00E63633"/>
    <w:rsid w:val="00E637AE"/>
    <w:rsid w:val="00E6385F"/>
    <w:rsid w:val="00E63EDF"/>
    <w:rsid w:val="00E63F03"/>
    <w:rsid w:val="00E6401D"/>
    <w:rsid w:val="00E641D3"/>
    <w:rsid w:val="00E64457"/>
    <w:rsid w:val="00E64491"/>
    <w:rsid w:val="00E644FF"/>
    <w:rsid w:val="00E6452D"/>
    <w:rsid w:val="00E64557"/>
    <w:rsid w:val="00E64772"/>
    <w:rsid w:val="00E6477D"/>
    <w:rsid w:val="00E648B9"/>
    <w:rsid w:val="00E64AA6"/>
    <w:rsid w:val="00E64CCC"/>
    <w:rsid w:val="00E64E70"/>
    <w:rsid w:val="00E64F88"/>
    <w:rsid w:val="00E652EC"/>
    <w:rsid w:val="00E652F1"/>
    <w:rsid w:val="00E6536C"/>
    <w:rsid w:val="00E65550"/>
    <w:rsid w:val="00E6563B"/>
    <w:rsid w:val="00E65897"/>
    <w:rsid w:val="00E65B80"/>
    <w:rsid w:val="00E65F50"/>
    <w:rsid w:val="00E65FCE"/>
    <w:rsid w:val="00E65FE0"/>
    <w:rsid w:val="00E6637E"/>
    <w:rsid w:val="00E66459"/>
    <w:rsid w:val="00E664CA"/>
    <w:rsid w:val="00E66679"/>
    <w:rsid w:val="00E66754"/>
    <w:rsid w:val="00E6679B"/>
    <w:rsid w:val="00E66887"/>
    <w:rsid w:val="00E66939"/>
    <w:rsid w:val="00E66A28"/>
    <w:rsid w:val="00E66ADD"/>
    <w:rsid w:val="00E66B53"/>
    <w:rsid w:val="00E66C49"/>
    <w:rsid w:val="00E672EA"/>
    <w:rsid w:val="00E6741A"/>
    <w:rsid w:val="00E67460"/>
    <w:rsid w:val="00E6772A"/>
    <w:rsid w:val="00E677EC"/>
    <w:rsid w:val="00E678E3"/>
    <w:rsid w:val="00E67A4B"/>
    <w:rsid w:val="00E67D2F"/>
    <w:rsid w:val="00E67F66"/>
    <w:rsid w:val="00E700DE"/>
    <w:rsid w:val="00E702FF"/>
    <w:rsid w:val="00E706A6"/>
    <w:rsid w:val="00E70779"/>
    <w:rsid w:val="00E70844"/>
    <w:rsid w:val="00E708AF"/>
    <w:rsid w:val="00E709BF"/>
    <w:rsid w:val="00E70ED8"/>
    <w:rsid w:val="00E70F58"/>
    <w:rsid w:val="00E7101F"/>
    <w:rsid w:val="00E71112"/>
    <w:rsid w:val="00E711B6"/>
    <w:rsid w:val="00E7125E"/>
    <w:rsid w:val="00E716C5"/>
    <w:rsid w:val="00E7171C"/>
    <w:rsid w:val="00E719D6"/>
    <w:rsid w:val="00E71A38"/>
    <w:rsid w:val="00E71F42"/>
    <w:rsid w:val="00E72272"/>
    <w:rsid w:val="00E72337"/>
    <w:rsid w:val="00E72342"/>
    <w:rsid w:val="00E7256C"/>
    <w:rsid w:val="00E7280E"/>
    <w:rsid w:val="00E72AB0"/>
    <w:rsid w:val="00E72B3C"/>
    <w:rsid w:val="00E72FBE"/>
    <w:rsid w:val="00E73006"/>
    <w:rsid w:val="00E73584"/>
    <w:rsid w:val="00E737BC"/>
    <w:rsid w:val="00E739A5"/>
    <w:rsid w:val="00E73C83"/>
    <w:rsid w:val="00E73CAE"/>
    <w:rsid w:val="00E73D86"/>
    <w:rsid w:val="00E74038"/>
    <w:rsid w:val="00E7406B"/>
    <w:rsid w:val="00E74144"/>
    <w:rsid w:val="00E74166"/>
    <w:rsid w:val="00E741E4"/>
    <w:rsid w:val="00E7430B"/>
    <w:rsid w:val="00E7451C"/>
    <w:rsid w:val="00E745AD"/>
    <w:rsid w:val="00E74863"/>
    <w:rsid w:val="00E748D0"/>
    <w:rsid w:val="00E7492C"/>
    <w:rsid w:val="00E74AF0"/>
    <w:rsid w:val="00E74B78"/>
    <w:rsid w:val="00E74BE5"/>
    <w:rsid w:val="00E74CC0"/>
    <w:rsid w:val="00E7500C"/>
    <w:rsid w:val="00E752F5"/>
    <w:rsid w:val="00E7535A"/>
    <w:rsid w:val="00E7537A"/>
    <w:rsid w:val="00E7538E"/>
    <w:rsid w:val="00E757F6"/>
    <w:rsid w:val="00E75917"/>
    <w:rsid w:val="00E75B70"/>
    <w:rsid w:val="00E75DF0"/>
    <w:rsid w:val="00E76015"/>
    <w:rsid w:val="00E76105"/>
    <w:rsid w:val="00E763A7"/>
    <w:rsid w:val="00E7648C"/>
    <w:rsid w:val="00E7663B"/>
    <w:rsid w:val="00E76871"/>
    <w:rsid w:val="00E76992"/>
    <w:rsid w:val="00E769DC"/>
    <w:rsid w:val="00E76A9C"/>
    <w:rsid w:val="00E76AE4"/>
    <w:rsid w:val="00E76E71"/>
    <w:rsid w:val="00E76F32"/>
    <w:rsid w:val="00E77068"/>
    <w:rsid w:val="00E77124"/>
    <w:rsid w:val="00E7712E"/>
    <w:rsid w:val="00E771D3"/>
    <w:rsid w:val="00E775AE"/>
    <w:rsid w:val="00E77693"/>
    <w:rsid w:val="00E7775C"/>
    <w:rsid w:val="00E778D5"/>
    <w:rsid w:val="00E77AB4"/>
    <w:rsid w:val="00E77AC9"/>
    <w:rsid w:val="00E77DBD"/>
    <w:rsid w:val="00E77E47"/>
    <w:rsid w:val="00E77E79"/>
    <w:rsid w:val="00E77F68"/>
    <w:rsid w:val="00E80029"/>
    <w:rsid w:val="00E8012D"/>
    <w:rsid w:val="00E80270"/>
    <w:rsid w:val="00E802B0"/>
    <w:rsid w:val="00E80366"/>
    <w:rsid w:val="00E804CC"/>
    <w:rsid w:val="00E8059B"/>
    <w:rsid w:val="00E805A2"/>
    <w:rsid w:val="00E805B9"/>
    <w:rsid w:val="00E8070A"/>
    <w:rsid w:val="00E807D2"/>
    <w:rsid w:val="00E8091D"/>
    <w:rsid w:val="00E80CA6"/>
    <w:rsid w:val="00E80EEC"/>
    <w:rsid w:val="00E81053"/>
    <w:rsid w:val="00E81072"/>
    <w:rsid w:val="00E811FE"/>
    <w:rsid w:val="00E81273"/>
    <w:rsid w:val="00E8127D"/>
    <w:rsid w:val="00E81395"/>
    <w:rsid w:val="00E81495"/>
    <w:rsid w:val="00E814B4"/>
    <w:rsid w:val="00E8178C"/>
    <w:rsid w:val="00E817A0"/>
    <w:rsid w:val="00E81879"/>
    <w:rsid w:val="00E819B4"/>
    <w:rsid w:val="00E81AA3"/>
    <w:rsid w:val="00E81AD2"/>
    <w:rsid w:val="00E81BD9"/>
    <w:rsid w:val="00E81D3A"/>
    <w:rsid w:val="00E820E0"/>
    <w:rsid w:val="00E8218B"/>
    <w:rsid w:val="00E823CB"/>
    <w:rsid w:val="00E82411"/>
    <w:rsid w:val="00E8251D"/>
    <w:rsid w:val="00E8263A"/>
    <w:rsid w:val="00E826A5"/>
    <w:rsid w:val="00E8271D"/>
    <w:rsid w:val="00E82740"/>
    <w:rsid w:val="00E82B24"/>
    <w:rsid w:val="00E82C5B"/>
    <w:rsid w:val="00E82D6A"/>
    <w:rsid w:val="00E82E23"/>
    <w:rsid w:val="00E82E7D"/>
    <w:rsid w:val="00E8329F"/>
    <w:rsid w:val="00E83304"/>
    <w:rsid w:val="00E83473"/>
    <w:rsid w:val="00E83675"/>
    <w:rsid w:val="00E83770"/>
    <w:rsid w:val="00E8384F"/>
    <w:rsid w:val="00E83863"/>
    <w:rsid w:val="00E83904"/>
    <w:rsid w:val="00E83961"/>
    <w:rsid w:val="00E839D7"/>
    <w:rsid w:val="00E83B7E"/>
    <w:rsid w:val="00E83B81"/>
    <w:rsid w:val="00E83BD5"/>
    <w:rsid w:val="00E83C2E"/>
    <w:rsid w:val="00E83CCF"/>
    <w:rsid w:val="00E83CF9"/>
    <w:rsid w:val="00E83E74"/>
    <w:rsid w:val="00E8409B"/>
    <w:rsid w:val="00E841CE"/>
    <w:rsid w:val="00E842A8"/>
    <w:rsid w:val="00E8431C"/>
    <w:rsid w:val="00E84537"/>
    <w:rsid w:val="00E845BE"/>
    <w:rsid w:val="00E84871"/>
    <w:rsid w:val="00E8488A"/>
    <w:rsid w:val="00E84A60"/>
    <w:rsid w:val="00E84AF6"/>
    <w:rsid w:val="00E84BCD"/>
    <w:rsid w:val="00E84E4D"/>
    <w:rsid w:val="00E84F07"/>
    <w:rsid w:val="00E85029"/>
    <w:rsid w:val="00E85176"/>
    <w:rsid w:val="00E852E1"/>
    <w:rsid w:val="00E8559A"/>
    <w:rsid w:val="00E855C0"/>
    <w:rsid w:val="00E85670"/>
    <w:rsid w:val="00E8577A"/>
    <w:rsid w:val="00E85802"/>
    <w:rsid w:val="00E858D6"/>
    <w:rsid w:val="00E859F9"/>
    <w:rsid w:val="00E85C21"/>
    <w:rsid w:val="00E85DA3"/>
    <w:rsid w:val="00E85E09"/>
    <w:rsid w:val="00E86067"/>
    <w:rsid w:val="00E86470"/>
    <w:rsid w:val="00E86520"/>
    <w:rsid w:val="00E8687A"/>
    <w:rsid w:val="00E86925"/>
    <w:rsid w:val="00E86956"/>
    <w:rsid w:val="00E86D48"/>
    <w:rsid w:val="00E870BE"/>
    <w:rsid w:val="00E87181"/>
    <w:rsid w:val="00E87498"/>
    <w:rsid w:val="00E875E0"/>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CE"/>
    <w:rsid w:val="00E909D1"/>
    <w:rsid w:val="00E909F9"/>
    <w:rsid w:val="00E90C5B"/>
    <w:rsid w:val="00E90ECE"/>
    <w:rsid w:val="00E91034"/>
    <w:rsid w:val="00E913B0"/>
    <w:rsid w:val="00E9143C"/>
    <w:rsid w:val="00E915A7"/>
    <w:rsid w:val="00E91743"/>
    <w:rsid w:val="00E91758"/>
    <w:rsid w:val="00E9177D"/>
    <w:rsid w:val="00E9186C"/>
    <w:rsid w:val="00E91994"/>
    <w:rsid w:val="00E91B0F"/>
    <w:rsid w:val="00E91D46"/>
    <w:rsid w:val="00E91F6A"/>
    <w:rsid w:val="00E9208B"/>
    <w:rsid w:val="00E920F9"/>
    <w:rsid w:val="00E92198"/>
    <w:rsid w:val="00E921A1"/>
    <w:rsid w:val="00E9259E"/>
    <w:rsid w:val="00E9273D"/>
    <w:rsid w:val="00E92795"/>
    <w:rsid w:val="00E9283F"/>
    <w:rsid w:val="00E92A30"/>
    <w:rsid w:val="00E92B44"/>
    <w:rsid w:val="00E92DFD"/>
    <w:rsid w:val="00E92E0E"/>
    <w:rsid w:val="00E93229"/>
    <w:rsid w:val="00E93254"/>
    <w:rsid w:val="00E9330F"/>
    <w:rsid w:val="00E93733"/>
    <w:rsid w:val="00E938AB"/>
    <w:rsid w:val="00E93DC6"/>
    <w:rsid w:val="00E93F27"/>
    <w:rsid w:val="00E940F5"/>
    <w:rsid w:val="00E94130"/>
    <w:rsid w:val="00E942E7"/>
    <w:rsid w:val="00E94364"/>
    <w:rsid w:val="00E9470D"/>
    <w:rsid w:val="00E94BA5"/>
    <w:rsid w:val="00E94D32"/>
    <w:rsid w:val="00E94E0C"/>
    <w:rsid w:val="00E94F9D"/>
    <w:rsid w:val="00E9502B"/>
    <w:rsid w:val="00E9525C"/>
    <w:rsid w:val="00E9529A"/>
    <w:rsid w:val="00E954BE"/>
    <w:rsid w:val="00E9551D"/>
    <w:rsid w:val="00E95961"/>
    <w:rsid w:val="00E95DD1"/>
    <w:rsid w:val="00E95EA2"/>
    <w:rsid w:val="00E95F63"/>
    <w:rsid w:val="00E95FA4"/>
    <w:rsid w:val="00E9606C"/>
    <w:rsid w:val="00E96074"/>
    <w:rsid w:val="00E96218"/>
    <w:rsid w:val="00E9625E"/>
    <w:rsid w:val="00E96343"/>
    <w:rsid w:val="00E963B6"/>
    <w:rsid w:val="00E9640C"/>
    <w:rsid w:val="00E96533"/>
    <w:rsid w:val="00E96583"/>
    <w:rsid w:val="00E967BE"/>
    <w:rsid w:val="00E96977"/>
    <w:rsid w:val="00E96A1E"/>
    <w:rsid w:val="00E96AF3"/>
    <w:rsid w:val="00E96B80"/>
    <w:rsid w:val="00E96C02"/>
    <w:rsid w:val="00E96E38"/>
    <w:rsid w:val="00E96F21"/>
    <w:rsid w:val="00E9719F"/>
    <w:rsid w:val="00E9736E"/>
    <w:rsid w:val="00E973D4"/>
    <w:rsid w:val="00E97489"/>
    <w:rsid w:val="00E974F7"/>
    <w:rsid w:val="00E97702"/>
    <w:rsid w:val="00E977A1"/>
    <w:rsid w:val="00E977E5"/>
    <w:rsid w:val="00E97AAE"/>
    <w:rsid w:val="00E97BD0"/>
    <w:rsid w:val="00E97BF2"/>
    <w:rsid w:val="00E97C79"/>
    <w:rsid w:val="00E97ECD"/>
    <w:rsid w:val="00E97FBD"/>
    <w:rsid w:val="00EA00A2"/>
    <w:rsid w:val="00EA013A"/>
    <w:rsid w:val="00EA04FC"/>
    <w:rsid w:val="00EA0505"/>
    <w:rsid w:val="00EA053A"/>
    <w:rsid w:val="00EA0668"/>
    <w:rsid w:val="00EA06AA"/>
    <w:rsid w:val="00EA0772"/>
    <w:rsid w:val="00EA07AD"/>
    <w:rsid w:val="00EA08EE"/>
    <w:rsid w:val="00EA08F2"/>
    <w:rsid w:val="00EA0A08"/>
    <w:rsid w:val="00EA0AE3"/>
    <w:rsid w:val="00EA0B72"/>
    <w:rsid w:val="00EA0D0C"/>
    <w:rsid w:val="00EA0DD6"/>
    <w:rsid w:val="00EA0E37"/>
    <w:rsid w:val="00EA11EA"/>
    <w:rsid w:val="00EA16B3"/>
    <w:rsid w:val="00EA1AF2"/>
    <w:rsid w:val="00EA1E1B"/>
    <w:rsid w:val="00EA2738"/>
    <w:rsid w:val="00EA273F"/>
    <w:rsid w:val="00EA28D3"/>
    <w:rsid w:val="00EA2995"/>
    <w:rsid w:val="00EA2BE0"/>
    <w:rsid w:val="00EA2E18"/>
    <w:rsid w:val="00EA2E6B"/>
    <w:rsid w:val="00EA2EA3"/>
    <w:rsid w:val="00EA2EF8"/>
    <w:rsid w:val="00EA3233"/>
    <w:rsid w:val="00EA32BC"/>
    <w:rsid w:val="00EA35EF"/>
    <w:rsid w:val="00EA38AF"/>
    <w:rsid w:val="00EA394C"/>
    <w:rsid w:val="00EA41F9"/>
    <w:rsid w:val="00EA4210"/>
    <w:rsid w:val="00EA4349"/>
    <w:rsid w:val="00EA439D"/>
    <w:rsid w:val="00EA43CC"/>
    <w:rsid w:val="00EA43CD"/>
    <w:rsid w:val="00EA46BA"/>
    <w:rsid w:val="00EA46CB"/>
    <w:rsid w:val="00EA46DE"/>
    <w:rsid w:val="00EA4AA3"/>
    <w:rsid w:val="00EA4AAD"/>
    <w:rsid w:val="00EA4D99"/>
    <w:rsid w:val="00EA4DA3"/>
    <w:rsid w:val="00EA4DCB"/>
    <w:rsid w:val="00EA4DFC"/>
    <w:rsid w:val="00EA4E20"/>
    <w:rsid w:val="00EA5290"/>
    <w:rsid w:val="00EA530F"/>
    <w:rsid w:val="00EA5564"/>
    <w:rsid w:val="00EA55E8"/>
    <w:rsid w:val="00EA590E"/>
    <w:rsid w:val="00EA5C1C"/>
    <w:rsid w:val="00EA5D19"/>
    <w:rsid w:val="00EA5E57"/>
    <w:rsid w:val="00EA6088"/>
    <w:rsid w:val="00EA616B"/>
    <w:rsid w:val="00EA61BB"/>
    <w:rsid w:val="00EA62D0"/>
    <w:rsid w:val="00EA62EC"/>
    <w:rsid w:val="00EA6325"/>
    <w:rsid w:val="00EA647F"/>
    <w:rsid w:val="00EA664C"/>
    <w:rsid w:val="00EA6721"/>
    <w:rsid w:val="00EA6728"/>
    <w:rsid w:val="00EA7109"/>
    <w:rsid w:val="00EA713F"/>
    <w:rsid w:val="00EA7348"/>
    <w:rsid w:val="00EA739C"/>
    <w:rsid w:val="00EA73BF"/>
    <w:rsid w:val="00EA7459"/>
    <w:rsid w:val="00EA765A"/>
    <w:rsid w:val="00EA76A9"/>
    <w:rsid w:val="00EA7A56"/>
    <w:rsid w:val="00EA7BD6"/>
    <w:rsid w:val="00EA7BFC"/>
    <w:rsid w:val="00EA7D75"/>
    <w:rsid w:val="00EA7D9E"/>
    <w:rsid w:val="00EA7DD7"/>
    <w:rsid w:val="00EA7F4A"/>
    <w:rsid w:val="00EB00FA"/>
    <w:rsid w:val="00EB03C5"/>
    <w:rsid w:val="00EB0595"/>
    <w:rsid w:val="00EB07A9"/>
    <w:rsid w:val="00EB08E8"/>
    <w:rsid w:val="00EB0A00"/>
    <w:rsid w:val="00EB0A51"/>
    <w:rsid w:val="00EB0BC6"/>
    <w:rsid w:val="00EB0FE0"/>
    <w:rsid w:val="00EB0FF7"/>
    <w:rsid w:val="00EB100B"/>
    <w:rsid w:val="00EB103A"/>
    <w:rsid w:val="00EB11ED"/>
    <w:rsid w:val="00EB1223"/>
    <w:rsid w:val="00EB148C"/>
    <w:rsid w:val="00EB14ED"/>
    <w:rsid w:val="00EB158D"/>
    <w:rsid w:val="00EB1608"/>
    <w:rsid w:val="00EB16D3"/>
    <w:rsid w:val="00EB18C3"/>
    <w:rsid w:val="00EB1B01"/>
    <w:rsid w:val="00EB1C15"/>
    <w:rsid w:val="00EB1E4D"/>
    <w:rsid w:val="00EB1E86"/>
    <w:rsid w:val="00EB2109"/>
    <w:rsid w:val="00EB22F1"/>
    <w:rsid w:val="00EB2445"/>
    <w:rsid w:val="00EB2583"/>
    <w:rsid w:val="00EB26B1"/>
    <w:rsid w:val="00EB2725"/>
    <w:rsid w:val="00EB28A5"/>
    <w:rsid w:val="00EB28C3"/>
    <w:rsid w:val="00EB2CE8"/>
    <w:rsid w:val="00EB2E2B"/>
    <w:rsid w:val="00EB2E67"/>
    <w:rsid w:val="00EB2E7D"/>
    <w:rsid w:val="00EB2F73"/>
    <w:rsid w:val="00EB30B8"/>
    <w:rsid w:val="00EB314A"/>
    <w:rsid w:val="00EB32C7"/>
    <w:rsid w:val="00EB3A9A"/>
    <w:rsid w:val="00EB3C4D"/>
    <w:rsid w:val="00EB3C5E"/>
    <w:rsid w:val="00EB4034"/>
    <w:rsid w:val="00EB409C"/>
    <w:rsid w:val="00EB411E"/>
    <w:rsid w:val="00EB41CA"/>
    <w:rsid w:val="00EB425C"/>
    <w:rsid w:val="00EB42F7"/>
    <w:rsid w:val="00EB468E"/>
    <w:rsid w:val="00EB46F8"/>
    <w:rsid w:val="00EB4877"/>
    <w:rsid w:val="00EB489A"/>
    <w:rsid w:val="00EB4A6C"/>
    <w:rsid w:val="00EB4D62"/>
    <w:rsid w:val="00EB4F11"/>
    <w:rsid w:val="00EB4F7C"/>
    <w:rsid w:val="00EB514A"/>
    <w:rsid w:val="00EB5247"/>
    <w:rsid w:val="00EB538C"/>
    <w:rsid w:val="00EB572C"/>
    <w:rsid w:val="00EB574A"/>
    <w:rsid w:val="00EB5940"/>
    <w:rsid w:val="00EB5C3C"/>
    <w:rsid w:val="00EB5D6B"/>
    <w:rsid w:val="00EB5E0C"/>
    <w:rsid w:val="00EB60B1"/>
    <w:rsid w:val="00EB6275"/>
    <w:rsid w:val="00EB64FB"/>
    <w:rsid w:val="00EB665C"/>
    <w:rsid w:val="00EB6850"/>
    <w:rsid w:val="00EB6A8F"/>
    <w:rsid w:val="00EB6BFF"/>
    <w:rsid w:val="00EB6CC7"/>
    <w:rsid w:val="00EB6D2D"/>
    <w:rsid w:val="00EB6FC2"/>
    <w:rsid w:val="00EB70DB"/>
    <w:rsid w:val="00EB7189"/>
    <w:rsid w:val="00EB7295"/>
    <w:rsid w:val="00EB7318"/>
    <w:rsid w:val="00EB7725"/>
    <w:rsid w:val="00EC01F2"/>
    <w:rsid w:val="00EC05AD"/>
    <w:rsid w:val="00EC05FF"/>
    <w:rsid w:val="00EC077D"/>
    <w:rsid w:val="00EC0824"/>
    <w:rsid w:val="00EC0984"/>
    <w:rsid w:val="00EC09D6"/>
    <w:rsid w:val="00EC0A51"/>
    <w:rsid w:val="00EC0C64"/>
    <w:rsid w:val="00EC0DA1"/>
    <w:rsid w:val="00EC0DB6"/>
    <w:rsid w:val="00EC0E7E"/>
    <w:rsid w:val="00EC0F59"/>
    <w:rsid w:val="00EC0F5C"/>
    <w:rsid w:val="00EC106D"/>
    <w:rsid w:val="00EC10E2"/>
    <w:rsid w:val="00EC1141"/>
    <w:rsid w:val="00EC13A3"/>
    <w:rsid w:val="00EC1403"/>
    <w:rsid w:val="00EC14C3"/>
    <w:rsid w:val="00EC1648"/>
    <w:rsid w:val="00EC1715"/>
    <w:rsid w:val="00EC180D"/>
    <w:rsid w:val="00EC1814"/>
    <w:rsid w:val="00EC1943"/>
    <w:rsid w:val="00EC1A15"/>
    <w:rsid w:val="00EC1CDE"/>
    <w:rsid w:val="00EC1DB3"/>
    <w:rsid w:val="00EC1DF4"/>
    <w:rsid w:val="00EC1FBC"/>
    <w:rsid w:val="00EC22EF"/>
    <w:rsid w:val="00EC2354"/>
    <w:rsid w:val="00EC25EA"/>
    <w:rsid w:val="00EC2603"/>
    <w:rsid w:val="00EC27B4"/>
    <w:rsid w:val="00EC281F"/>
    <w:rsid w:val="00EC2933"/>
    <w:rsid w:val="00EC2A00"/>
    <w:rsid w:val="00EC2C39"/>
    <w:rsid w:val="00EC2C74"/>
    <w:rsid w:val="00EC2E7C"/>
    <w:rsid w:val="00EC2F66"/>
    <w:rsid w:val="00EC30DD"/>
    <w:rsid w:val="00EC3218"/>
    <w:rsid w:val="00EC3521"/>
    <w:rsid w:val="00EC36BF"/>
    <w:rsid w:val="00EC3859"/>
    <w:rsid w:val="00EC38BD"/>
    <w:rsid w:val="00EC3A06"/>
    <w:rsid w:val="00EC3B01"/>
    <w:rsid w:val="00EC3BE3"/>
    <w:rsid w:val="00EC3C38"/>
    <w:rsid w:val="00EC3C3A"/>
    <w:rsid w:val="00EC3F14"/>
    <w:rsid w:val="00EC4038"/>
    <w:rsid w:val="00EC4648"/>
    <w:rsid w:val="00EC47D2"/>
    <w:rsid w:val="00EC4A85"/>
    <w:rsid w:val="00EC4B6C"/>
    <w:rsid w:val="00EC4D4D"/>
    <w:rsid w:val="00EC4FFD"/>
    <w:rsid w:val="00EC524F"/>
    <w:rsid w:val="00EC53B8"/>
    <w:rsid w:val="00EC5435"/>
    <w:rsid w:val="00EC54D0"/>
    <w:rsid w:val="00EC57F4"/>
    <w:rsid w:val="00EC5897"/>
    <w:rsid w:val="00EC5B5E"/>
    <w:rsid w:val="00EC5CBE"/>
    <w:rsid w:val="00EC5EEA"/>
    <w:rsid w:val="00EC6101"/>
    <w:rsid w:val="00EC623A"/>
    <w:rsid w:val="00EC6294"/>
    <w:rsid w:val="00EC62F0"/>
    <w:rsid w:val="00EC643A"/>
    <w:rsid w:val="00EC6453"/>
    <w:rsid w:val="00EC664A"/>
    <w:rsid w:val="00EC6A01"/>
    <w:rsid w:val="00EC6A65"/>
    <w:rsid w:val="00EC6BD9"/>
    <w:rsid w:val="00EC6C3B"/>
    <w:rsid w:val="00EC6C90"/>
    <w:rsid w:val="00EC6D83"/>
    <w:rsid w:val="00EC706E"/>
    <w:rsid w:val="00EC7166"/>
    <w:rsid w:val="00EC72A7"/>
    <w:rsid w:val="00EC73F1"/>
    <w:rsid w:val="00EC7447"/>
    <w:rsid w:val="00EC74F1"/>
    <w:rsid w:val="00EC79B2"/>
    <w:rsid w:val="00EC7C8B"/>
    <w:rsid w:val="00EC7CFA"/>
    <w:rsid w:val="00EC7F07"/>
    <w:rsid w:val="00ED023D"/>
    <w:rsid w:val="00ED02A0"/>
    <w:rsid w:val="00ED0336"/>
    <w:rsid w:val="00ED034D"/>
    <w:rsid w:val="00ED0356"/>
    <w:rsid w:val="00ED05A4"/>
    <w:rsid w:val="00ED0660"/>
    <w:rsid w:val="00ED0685"/>
    <w:rsid w:val="00ED075F"/>
    <w:rsid w:val="00ED09F7"/>
    <w:rsid w:val="00ED0B2D"/>
    <w:rsid w:val="00ED0C69"/>
    <w:rsid w:val="00ED0DD3"/>
    <w:rsid w:val="00ED0EED"/>
    <w:rsid w:val="00ED0F76"/>
    <w:rsid w:val="00ED1195"/>
    <w:rsid w:val="00ED11CE"/>
    <w:rsid w:val="00ED1213"/>
    <w:rsid w:val="00ED1491"/>
    <w:rsid w:val="00ED159C"/>
    <w:rsid w:val="00ED176C"/>
    <w:rsid w:val="00ED1836"/>
    <w:rsid w:val="00ED1946"/>
    <w:rsid w:val="00ED1948"/>
    <w:rsid w:val="00ED194C"/>
    <w:rsid w:val="00ED19C1"/>
    <w:rsid w:val="00ED1A42"/>
    <w:rsid w:val="00ED1B27"/>
    <w:rsid w:val="00ED1BA1"/>
    <w:rsid w:val="00ED1D2A"/>
    <w:rsid w:val="00ED1E0A"/>
    <w:rsid w:val="00ED2305"/>
    <w:rsid w:val="00ED2703"/>
    <w:rsid w:val="00ED27BB"/>
    <w:rsid w:val="00ED2ABD"/>
    <w:rsid w:val="00ED2B2A"/>
    <w:rsid w:val="00ED2B6E"/>
    <w:rsid w:val="00ED2C81"/>
    <w:rsid w:val="00ED318A"/>
    <w:rsid w:val="00ED31E6"/>
    <w:rsid w:val="00ED32EC"/>
    <w:rsid w:val="00ED33EC"/>
    <w:rsid w:val="00ED350E"/>
    <w:rsid w:val="00ED36DD"/>
    <w:rsid w:val="00ED36FA"/>
    <w:rsid w:val="00ED3BBF"/>
    <w:rsid w:val="00ED3C43"/>
    <w:rsid w:val="00ED3CD3"/>
    <w:rsid w:val="00ED3D44"/>
    <w:rsid w:val="00ED3E62"/>
    <w:rsid w:val="00ED3F59"/>
    <w:rsid w:val="00ED3FAE"/>
    <w:rsid w:val="00ED3FC9"/>
    <w:rsid w:val="00ED3FE8"/>
    <w:rsid w:val="00ED4282"/>
    <w:rsid w:val="00ED4324"/>
    <w:rsid w:val="00ED441D"/>
    <w:rsid w:val="00ED452D"/>
    <w:rsid w:val="00ED460F"/>
    <w:rsid w:val="00ED474A"/>
    <w:rsid w:val="00ED47C4"/>
    <w:rsid w:val="00ED4858"/>
    <w:rsid w:val="00ED4B32"/>
    <w:rsid w:val="00ED52DC"/>
    <w:rsid w:val="00ED5303"/>
    <w:rsid w:val="00ED53C0"/>
    <w:rsid w:val="00ED5547"/>
    <w:rsid w:val="00ED5613"/>
    <w:rsid w:val="00ED561B"/>
    <w:rsid w:val="00ED56D1"/>
    <w:rsid w:val="00ED5A3B"/>
    <w:rsid w:val="00ED5C5B"/>
    <w:rsid w:val="00ED5E6D"/>
    <w:rsid w:val="00ED5E95"/>
    <w:rsid w:val="00ED6019"/>
    <w:rsid w:val="00ED609F"/>
    <w:rsid w:val="00ED61D0"/>
    <w:rsid w:val="00ED626D"/>
    <w:rsid w:val="00ED62E6"/>
    <w:rsid w:val="00ED6325"/>
    <w:rsid w:val="00ED64A1"/>
    <w:rsid w:val="00ED6504"/>
    <w:rsid w:val="00ED6680"/>
    <w:rsid w:val="00ED684B"/>
    <w:rsid w:val="00ED6AB0"/>
    <w:rsid w:val="00ED6B47"/>
    <w:rsid w:val="00ED6C12"/>
    <w:rsid w:val="00ED7202"/>
    <w:rsid w:val="00ED722E"/>
    <w:rsid w:val="00ED788A"/>
    <w:rsid w:val="00ED78AB"/>
    <w:rsid w:val="00ED7911"/>
    <w:rsid w:val="00ED7F23"/>
    <w:rsid w:val="00EE00D2"/>
    <w:rsid w:val="00EE01D3"/>
    <w:rsid w:val="00EE04F3"/>
    <w:rsid w:val="00EE08BD"/>
    <w:rsid w:val="00EE08C0"/>
    <w:rsid w:val="00EE09C8"/>
    <w:rsid w:val="00EE0CB8"/>
    <w:rsid w:val="00EE0DB3"/>
    <w:rsid w:val="00EE1184"/>
    <w:rsid w:val="00EE195E"/>
    <w:rsid w:val="00EE1B8E"/>
    <w:rsid w:val="00EE1B91"/>
    <w:rsid w:val="00EE1D89"/>
    <w:rsid w:val="00EE1EBB"/>
    <w:rsid w:val="00EE20AE"/>
    <w:rsid w:val="00EE221E"/>
    <w:rsid w:val="00EE2480"/>
    <w:rsid w:val="00EE25D7"/>
    <w:rsid w:val="00EE2613"/>
    <w:rsid w:val="00EE26F4"/>
    <w:rsid w:val="00EE275B"/>
    <w:rsid w:val="00EE27CA"/>
    <w:rsid w:val="00EE28CF"/>
    <w:rsid w:val="00EE2A17"/>
    <w:rsid w:val="00EE2AAF"/>
    <w:rsid w:val="00EE2B29"/>
    <w:rsid w:val="00EE2CDB"/>
    <w:rsid w:val="00EE2D1B"/>
    <w:rsid w:val="00EE2FE4"/>
    <w:rsid w:val="00EE3041"/>
    <w:rsid w:val="00EE3095"/>
    <w:rsid w:val="00EE3220"/>
    <w:rsid w:val="00EE33AC"/>
    <w:rsid w:val="00EE3533"/>
    <w:rsid w:val="00EE3632"/>
    <w:rsid w:val="00EE3684"/>
    <w:rsid w:val="00EE388C"/>
    <w:rsid w:val="00EE3BBF"/>
    <w:rsid w:val="00EE3C58"/>
    <w:rsid w:val="00EE3E9A"/>
    <w:rsid w:val="00EE432B"/>
    <w:rsid w:val="00EE436B"/>
    <w:rsid w:val="00EE44C3"/>
    <w:rsid w:val="00EE476E"/>
    <w:rsid w:val="00EE47CE"/>
    <w:rsid w:val="00EE4806"/>
    <w:rsid w:val="00EE4918"/>
    <w:rsid w:val="00EE494E"/>
    <w:rsid w:val="00EE49C2"/>
    <w:rsid w:val="00EE4AD4"/>
    <w:rsid w:val="00EE4F20"/>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73A"/>
    <w:rsid w:val="00EE69E9"/>
    <w:rsid w:val="00EE6A32"/>
    <w:rsid w:val="00EE6B43"/>
    <w:rsid w:val="00EE6C99"/>
    <w:rsid w:val="00EE6CA5"/>
    <w:rsid w:val="00EE6CD7"/>
    <w:rsid w:val="00EE6D9F"/>
    <w:rsid w:val="00EE6DB8"/>
    <w:rsid w:val="00EE6E55"/>
    <w:rsid w:val="00EE6E77"/>
    <w:rsid w:val="00EE71AB"/>
    <w:rsid w:val="00EE73CF"/>
    <w:rsid w:val="00EE755A"/>
    <w:rsid w:val="00EE76F7"/>
    <w:rsid w:val="00EE7848"/>
    <w:rsid w:val="00EE7B11"/>
    <w:rsid w:val="00EE7C63"/>
    <w:rsid w:val="00EE7FAC"/>
    <w:rsid w:val="00EF0236"/>
    <w:rsid w:val="00EF02E5"/>
    <w:rsid w:val="00EF0430"/>
    <w:rsid w:val="00EF056E"/>
    <w:rsid w:val="00EF05CF"/>
    <w:rsid w:val="00EF094A"/>
    <w:rsid w:val="00EF0AE2"/>
    <w:rsid w:val="00EF0C30"/>
    <w:rsid w:val="00EF0CE5"/>
    <w:rsid w:val="00EF0E57"/>
    <w:rsid w:val="00EF1291"/>
    <w:rsid w:val="00EF1517"/>
    <w:rsid w:val="00EF155A"/>
    <w:rsid w:val="00EF158C"/>
    <w:rsid w:val="00EF17B4"/>
    <w:rsid w:val="00EF1BE9"/>
    <w:rsid w:val="00EF1CA3"/>
    <w:rsid w:val="00EF1D04"/>
    <w:rsid w:val="00EF1DA8"/>
    <w:rsid w:val="00EF1E21"/>
    <w:rsid w:val="00EF1F8C"/>
    <w:rsid w:val="00EF1F9A"/>
    <w:rsid w:val="00EF2247"/>
    <w:rsid w:val="00EF24BA"/>
    <w:rsid w:val="00EF2610"/>
    <w:rsid w:val="00EF268B"/>
    <w:rsid w:val="00EF276B"/>
    <w:rsid w:val="00EF2903"/>
    <w:rsid w:val="00EF2E93"/>
    <w:rsid w:val="00EF2F0A"/>
    <w:rsid w:val="00EF348B"/>
    <w:rsid w:val="00EF351A"/>
    <w:rsid w:val="00EF35E6"/>
    <w:rsid w:val="00EF35F4"/>
    <w:rsid w:val="00EF37E1"/>
    <w:rsid w:val="00EF39C0"/>
    <w:rsid w:val="00EF39EB"/>
    <w:rsid w:val="00EF39F6"/>
    <w:rsid w:val="00EF3B24"/>
    <w:rsid w:val="00EF3B97"/>
    <w:rsid w:val="00EF3C09"/>
    <w:rsid w:val="00EF3CF4"/>
    <w:rsid w:val="00EF4028"/>
    <w:rsid w:val="00EF4114"/>
    <w:rsid w:val="00EF4208"/>
    <w:rsid w:val="00EF4362"/>
    <w:rsid w:val="00EF436A"/>
    <w:rsid w:val="00EF44AD"/>
    <w:rsid w:val="00EF450F"/>
    <w:rsid w:val="00EF458D"/>
    <w:rsid w:val="00EF45E7"/>
    <w:rsid w:val="00EF46A9"/>
    <w:rsid w:val="00EF46D0"/>
    <w:rsid w:val="00EF47CE"/>
    <w:rsid w:val="00EF4814"/>
    <w:rsid w:val="00EF4816"/>
    <w:rsid w:val="00EF48AC"/>
    <w:rsid w:val="00EF4968"/>
    <w:rsid w:val="00EF4BE2"/>
    <w:rsid w:val="00EF4C26"/>
    <w:rsid w:val="00EF4F20"/>
    <w:rsid w:val="00EF4FE0"/>
    <w:rsid w:val="00EF5057"/>
    <w:rsid w:val="00EF52AC"/>
    <w:rsid w:val="00EF5376"/>
    <w:rsid w:val="00EF53C0"/>
    <w:rsid w:val="00EF5478"/>
    <w:rsid w:val="00EF55FF"/>
    <w:rsid w:val="00EF5A3F"/>
    <w:rsid w:val="00EF5A7D"/>
    <w:rsid w:val="00EF5AA2"/>
    <w:rsid w:val="00EF5AA3"/>
    <w:rsid w:val="00EF5B69"/>
    <w:rsid w:val="00EF5D32"/>
    <w:rsid w:val="00EF5DEC"/>
    <w:rsid w:val="00EF5FC3"/>
    <w:rsid w:val="00EF6050"/>
    <w:rsid w:val="00EF613D"/>
    <w:rsid w:val="00EF6218"/>
    <w:rsid w:val="00EF624D"/>
    <w:rsid w:val="00EF63D5"/>
    <w:rsid w:val="00EF6637"/>
    <w:rsid w:val="00EF6674"/>
    <w:rsid w:val="00EF670E"/>
    <w:rsid w:val="00EF67AC"/>
    <w:rsid w:val="00EF6DC1"/>
    <w:rsid w:val="00EF6E05"/>
    <w:rsid w:val="00EF6F98"/>
    <w:rsid w:val="00EF7517"/>
    <w:rsid w:val="00EF75A3"/>
    <w:rsid w:val="00EF769F"/>
    <w:rsid w:val="00EF77F6"/>
    <w:rsid w:val="00EF79AB"/>
    <w:rsid w:val="00EF7A6E"/>
    <w:rsid w:val="00EF7A9F"/>
    <w:rsid w:val="00EF7AA2"/>
    <w:rsid w:val="00EF7AAC"/>
    <w:rsid w:val="00EF7B20"/>
    <w:rsid w:val="00EF7BFF"/>
    <w:rsid w:val="00EF7CD1"/>
    <w:rsid w:val="00EF7DB0"/>
    <w:rsid w:val="00F003AF"/>
    <w:rsid w:val="00F003CD"/>
    <w:rsid w:val="00F0077C"/>
    <w:rsid w:val="00F00898"/>
    <w:rsid w:val="00F008F9"/>
    <w:rsid w:val="00F00912"/>
    <w:rsid w:val="00F00995"/>
    <w:rsid w:val="00F00ACC"/>
    <w:rsid w:val="00F00E55"/>
    <w:rsid w:val="00F0108C"/>
    <w:rsid w:val="00F01164"/>
    <w:rsid w:val="00F0116F"/>
    <w:rsid w:val="00F011AC"/>
    <w:rsid w:val="00F01401"/>
    <w:rsid w:val="00F01741"/>
    <w:rsid w:val="00F01DCF"/>
    <w:rsid w:val="00F01DD3"/>
    <w:rsid w:val="00F01F88"/>
    <w:rsid w:val="00F021B4"/>
    <w:rsid w:val="00F021DD"/>
    <w:rsid w:val="00F023DC"/>
    <w:rsid w:val="00F0248A"/>
    <w:rsid w:val="00F024C1"/>
    <w:rsid w:val="00F0266C"/>
    <w:rsid w:val="00F026C3"/>
    <w:rsid w:val="00F02802"/>
    <w:rsid w:val="00F02A6C"/>
    <w:rsid w:val="00F02B27"/>
    <w:rsid w:val="00F02D1A"/>
    <w:rsid w:val="00F02E03"/>
    <w:rsid w:val="00F02E8C"/>
    <w:rsid w:val="00F02E9D"/>
    <w:rsid w:val="00F02EAC"/>
    <w:rsid w:val="00F02F71"/>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2F"/>
    <w:rsid w:val="00F04BCB"/>
    <w:rsid w:val="00F04BDB"/>
    <w:rsid w:val="00F04BFA"/>
    <w:rsid w:val="00F04E4B"/>
    <w:rsid w:val="00F04E7E"/>
    <w:rsid w:val="00F04EFF"/>
    <w:rsid w:val="00F04F7F"/>
    <w:rsid w:val="00F05015"/>
    <w:rsid w:val="00F05038"/>
    <w:rsid w:val="00F05109"/>
    <w:rsid w:val="00F05341"/>
    <w:rsid w:val="00F05534"/>
    <w:rsid w:val="00F055B9"/>
    <w:rsid w:val="00F0576D"/>
    <w:rsid w:val="00F05B49"/>
    <w:rsid w:val="00F05CC9"/>
    <w:rsid w:val="00F05D26"/>
    <w:rsid w:val="00F05E77"/>
    <w:rsid w:val="00F05EAC"/>
    <w:rsid w:val="00F05F7E"/>
    <w:rsid w:val="00F06230"/>
    <w:rsid w:val="00F06590"/>
    <w:rsid w:val="00F0677E"/>
    <w:rsid w:val="00F0679E"/>
    <w:rsid w:val="00F06858"/>
    <w:rsid w:val="00F06884"/>
    <w:rsid w:val="00F06E7A"/>
    <w:rsid w:val="00F070E9"/>
    <w:rsid w:val="00F0749F"/>
    <w:rsid w:val="00F074B0"/>
    <w:rsid w:val="00F0751A"/>
    <w:rsid w:val="00F075CC"/>
    <w:rsid w:val="00F076BB"/>
    <w:rsid w:val="00F079A5"/>
    <w:rsid w:val="00F07A9F"/>
    <w:rsid w:val="00F07F61"/>
    <w:rsid w:val="00F10519"/>
    <w:rsid w:val="00F1054D"/>
    <w:rsid w:val="00F10703"/>
    <w:rsid w:val="00F1091D"/>
    <w:rsid w:val="00F10AE1"/>
    <w:rsid w:val="00F10B8F"/>
    <w:rsid w:val="00F11409"/>
    <w:rsid w:val="00F115C0"/>
    <w:rsid w:val="00F1163F"/>
    <w:rsid w:val="00F116FD"/>
    <w:rsid w:val="00F11D2A"/>
    <w:rsid w:val="00F11DFD"/>
    <w:rsid w:val="00F11E2C"/>
    <w:rsid w:val="00F11E37"/>
    <w:rsid w:val="00F122CB"/>
    <w:rsid w:val="00F124B5"/>
    <w:rsid w:val="00F12867"/>
    <w:rsid w:val="00F129FB"/>
    <w:rsid w:val="00F12D0C"/>
    <w:rsid w:val="00F131D0"/>
    <w:rsid w:val="00F135B9"/>
    <w:rsid w:val="00F138F3"/>
    <w:rsid w:val="00F13939"/>
    <w:rsid w:val="00F13977"/>
    <w:rsid w:val="00F13A6A"/>
    <w:rsid w:val="00F13F8F"/>
    <w:rsid w:val="00F140A0"/>
    <w:rsid w:val="00F14238"/>
    <w:rsid w:val="00F14387"/>
    <w:rsid w:val="00F14430"/>
    <w:rsid w:val="00F1448E"/>
    <w:rsid w:val="00F14719"/>
    <w:rsid w:val="00F148C3"/>
    <w:rsid w:val="00F14CF9"/>
    <w:rsid w:val="00F14DAE"/>
    <w:rsid w:val="00F14E2C"/>
    <w:rsid w:val="00F14EF9"/>
    <w:rsid w:val="00F150F6"/>
    <w:rsid w:val="00F15164"/>
    <w:rsid w:val="00F152DB"/>
    <w:rsid w:val="00F1540D"/>
    <w:rsid w:val="00F1555E"/>
    <w:rsid w:val="00F155B0"/>
    <w:rsid w:val="00F1580D"/>
    <w:rsid w:val="00F15920"/>
    <w:rsid w:val="00F15982"/>
    <w:rsid w:val="00F159FD"/>
    <w:rsid w:val="00F159FE"/>
    <w:rsid w:val="00F15F6F"/>
    <w:rsid w:val="00F1616A"/>
    <w:rsid w:val="00F16193"/>
    <w:rsid w:val="00F16293"/>
    <w:rsid w:val="00F16552"/>
    <w:rsid w:val="00F16A14"/>
    <w:rsid w:val="00F16A76"/>
    <w:rsid w:val="00F16B4E"/>
    <w:rsid w:val="00F16E67"/>
    <w:rsid w:val="00F16F3C"/>
    <w:rsid w:val="00F16F70"/>
    <w:rsid w:val="00F16F7A"/>
    <w:rsid w:val="00F1708C"/>
    <w:rsid w:val="00F172B7"/>
    <w:rsid w:val="00F172E2"/>
    <w:rsid w:val="00F174D6"/>
    <w:rsid w:val="00F1773A"/>
    <w:rsid w:val="00F17769"/>
    <w:rsid w:val="00F17C47"/>
    <w:rsid w:val="00F17E3F"/>
    <w:rsid w:val="00F17F67"/>
    <w:rsid w:val="00F2012A"/>
    <w:rsid w:val="00F2021A"/>
    <w:rsid w:val="00F20299"/>
    <w:rsid w:val="00F206AE"/>
    <w:rsid w:val="00F207DB"/>
    <w:rsid w:val="00F20834"/>
    <w:rsid w:val="00F20A1B"/>
    <w:rsid w:val="00F20AA8"/>
    <w:rsid w:val="00F20F96"/>
    <w:rsid w:val="00F21021"/>
    <w:rsid w:val="00F211D3"/>
    <w:rsid w:val="00F21213"/>
    <w:rsid w:val="00F2127E"/>
    <w:rsid w:val="00F212A4"/>
    <w:rsid w:val="00F2135A"/>
    <w:rsid w:val="00F21395"/>
    <w:rsid w:val="00F213DA"/>
    <w:rsid w:val="00F2143D"/>
    <w:rsid w:val="00F21463"/>
    <w:rsid w:val="00F214A4"/>
    <w:rsid w:val="00F2154D"/>
    <w:rsid w:val="00F215E9"/>
    <w:rsid w:val="00F21631"/>
    <w:rsid w:val="00F21705"/>
    <w:rsid w:val="00F21796"/>
    <w:rsid w:val="00F219D2"/>
    <w:rsid w:val="00F21C0E"/>
    <w:rsid w:val="00F21EA2"/>
    <w:rsid w:val="00F21EF7"/>
    <w:rsid w:val="00F21FB4"/>
    <w:rsid w:val="00F2202B"/>
    <w:rsid w:val="00F2209A"/>
    <w:rsid w:val="00F226FC"/>
    <w:rsid w:val="00F227CD"/>
    <w:rsid w:val="00F234A8"/>
    <w:rsid w:val="00F23530"/>
    <w:rsid w:val="00F237DD"/>
    <w:rsid w:val="00F23A27"/>
    <w:rsid w:val="00F23B89"/>
    <w:rsid w:val="00F23D13"/>
    <w:rsid w:val="00F23D89"/>
    <w:rsid w:val="00F23DEA"/>
    <w:rsid w:val="00F24183"/>
    <w:rsid w:val="00F24316"/>
    <w:rsid w:val="00F244D1"/>
    <w:rsid w:val="00F24538"/>
    <w:rsid w:val="00F24554"/>
    <w:rsid w:val="00F24686"/>
    <w:rsid w:val="00F24782"/>
    <w:rsid w:val="00F2478B"/>
    <w:rsid w:val="00F2482C"/>
    <w:rsid w:val="00F24B11"/>
    <w:rsid w:val="00F24D9B"/>
    <w:rsid w:val="00F24E02"/>
    <w:rsid w:val="00F24EA1"/>
    <w:rsid w:val="00F24EF8"/>
    <w:rsid w:val="00F25299"/>
    <w:rsid w:val="00F2534D"/>
    <w:rsid w:val="00F25525"/>
    <w:rsid w:val="00F25614"/>
    <w:rsid w:val="00F25668"/>
    <w:rsid w:val="00F25A26"/>
    <w:rsid w:val="00F25A3A"/>
    <w:rsid w:val="00F25A97"/>
    <w:rsid w:val="00F25AE1"/>
    <w:rsid w:val="00F25B1E"/>
    <w:rsid w:val="00F25C26"/>
    <w:rsid w:val="00F2608F"/>
    <w:rsid w:val="00F26172"/>
    <w:rsid w:val="00F26218"/>
    <w:rsid w:val="00F263C4"/>
    <w:rsid w:val="00F266B5"/>
    <w:rsid w:val="00F268D4"/>
    <w:rsid w:val="00F26B5C"/>
    <w:rsid w:val="00F26BF6"/>
    <w:rsid w:val="00F26D6D"/>
    <w:rsid w:val="00F26F58"/>
    <w:rsid w:val="00F26F7F"/>
    <w:rsid w:val="00F27095"/>
    <w:rsid w:val="00F270B9"/>
    <w:rsid w:val="00F2714D"/>
    <w:rsid w:val="00F271B1"/>
    <w:rsid w:val="00F273AB"/>
    <w:rsid w:val="00F27493"/>
    <w:rsid w:val="00F27541"/>
    <w:rsid w:val="00F279D6"/>
    <w:rsid w:val="00F27A78"/>
    <w:rsid w:val="00F27D5F"/>
    <w:rsid w:val="00F27D8D"/>
    <w:rsid w:val="00F27ECD"/>
    <w:rsid w:val="00F305F9"/>
    <w:rsid w:val="00F306C8"/>
    <w:rsid w:val="00F30938"/>
    <w:rsid w:val="00F30C23"/>
    <w:rsid w:val="00F30F49"/>
    <w:rsid w:val="00F311CA"/>
    <w:rsid w:val="00F31479"/>
    <w:rsid w:val="00F314C3"/>
    <w:rsid w:val="00F31581"/>
    <w:rsid w:val="00F316F5"/>
    <w:rsid w:val="00F31735"/>
    <w:rsid w:val="00F31A15"/>
    <w:rsid w:val="00F31B2D"/>
    <w:rsid w:val="00F31C67"/>
    <w:rsid w:val="00F31CA6"/>
    <w:rsid w:val="00F31D94"/>
    <w:rsid w:val="00F31DEF"/>
    <w:rsid w:val="00F3209B"/>
    <w:rsid w:val="00F32117"/>
    <w:rsid w:val="00F321DD"/>
    <w:rsid w:val="00F328D4"/>
    <w:rsid w:val="00F32CDD"/>
    <w:rsid w:val="00F32DCC"/>
    <w:rsid w:val="00F32E28"/>
    <w:rsid w:val="00F32E39"/>
    <w:rsid w:val="00F33017"/>
    <w:rsid w:val="00F3330A"/>
    <w:rsid w:val="00F33360"/>
    <w:rsid w:val="00F333DC"/>
    <w:rsid w:val="00F3347C"/>
    <w:rsid w:val="00F334A9"/>
    <w:rsid w:val="00F335D3"/>
    <w:rsid w:val="00F3365A"/>
    <w:rsid w:val="00F336A3"/>
    <w:rsid w:val="00F33812"/>
    <w:rsid w:val="00F33814"/>
    <w:rsid w:val="00F33968"/>
    <w:rsid w:val="00F33B2F"/>
    <w:rsid w:val="00F33BAB"/>
    <w:rsid w:val="00F340F6"/>
    <w:rsid w:val="00F34220"/>
    <w:rsid w:val="00F3423A"/>
    <w:rsid w:val="00F34409"/>
    <w:rsid w:val="00F344DE"/>
    <w:rsid w:val="00F34595"/>
    <w:rsid w:val="00F345D4"/>
    <w:rsid w:val="00F34767"/>
    <w:rsid w:val="00F347C0"/>
    <w:rsid w:val="00F34AB5"/>
    <w:rsid w:val="00F34C3E"/>
    <w:rsid w:val="00F34D92"/>
    <w:rsid w:val="00F34DF9"/>
    <w:rsid w:val="00F34E7D"/>
    <w:rsid w:val="00F34EF5"/>
    <w:rsid w:val="00F34F9A"/>
    <w:rsid w:val="00F3514B"/>
    <w:rsid w:val="00F35208"/>
    <w:rsid w:val="00F35435"/>
    <w:rsid w:val="00F356D7"/>
    <w:rsid w:val="00F3578A"/>
    <w:rsid w:val="00F357E4"/>
    <w:rsid w:val="00F3594F"/>
    <w:rsid w:val="00F35954"/>
    <w:rsid w:val="00F35C35"/>
    <w:rsid w:val="00F35D2B"/>
    <w:rsid w:val="00F35D30"/>
    <w:rsid w:val="00F35E8A"/>
    <w:rsid w:val="00F3626B"/>
    <w:rsid w:val="00F362B5"/>
    <w:rsid w:val="00F36341"/>
    <w:rsid w:val="00F3655A"/>
    <w:rsid w:val="00F36727"/>
    <w:rsid w:val="00F36757"/>
    <w:rsid w:val="00F36B75"/>
    <w:rsid w:val="00F36FF2"/>
    <w:rsid w:val="00F3706D"/>
    <w:rsid w:val="00F371EC"/>
    <w:rsid w:val="00F3734F"/>
    <w:rsid w:val="00F3752B"/>
    <w:rsid w:val="00F37895"/>
    <w:rsid w:val="00F378C7"/>
    <w:rsid w:val="00F37910"/>
    <w:rsid w:val="00F37AEE"/>
    <w:rsid w:val="00F37C94"/>
    <w:rsid w:val="00F37CE4"/>
    <w:rsid w:val="00F37DED"/>
    <w:rsid w:val="00F37E70"/>
    <w:rsid w:val="00F37F7E"/>
    <w:rsid w:val="00F40077"/>
    <w:rsid w:val="00F40102"/>
    <w:rsid w:val="00F40170"/>
    <w:rsid w:val="00F401A0"/>
    <w:rsid w:val="00F40239"/>
    <w:rsid w:val="00F4032D"/>
    <w:rsid w:val="00F403F7"/>
    <w:rsid w:val="00F405C8"/>
    <w:rsid w:val="00F4064A"/>
    <w:rsid w:val="00F40772"/>
    <w:rsid w:val="00F407A0"/>
    <w:rsid w:val="00F40BB4"/>
    <w:rsid w:val="00F411E3"/>
    <w:rsid w:val="00F41202"/>
    <w:rsid w:val="00F41471"/>
    <w:rsid w:val="00F41530"/>
    <w:rsid w:val="00F415F5"/>
    <w:rsid w:val="00F416C7"/>
    <w:rsid w:val="00F4183D"/>
    <w:rsid w:val="00F418EB"/>
    <w:rsid w:val="00F418EE"/>
    <w:rsid w:val="00F419CE"/>
    <w:rsid w:val="00F41A4D"/>
    <w:rsid w:val="00F41B81"/>
    <w:rsid w:val="00F41BE2"/>
    <w:rsid w:val="00F41D0A"/>
    <w:rsid w:val="00F41D19"/>
    <w:rsid w:val="00F41DB0"/>
    <w:rsid w:val="00F42172"/>
    <w:rsid w:val="00F42205"/>
    <w:rsid w:val="00F4234E"/>
    <w:rsid w:val="00F4250F"/>
    <w:rsid w:val="00F42555"/>
    <w:rsid w:val="00F42582"/>
    <w:rsid w:val="00F4284F"/>
    <w:rsid w:val="00F42A34"/>
    <w:rsid w:val="00F42A64"/>
    <w:rsid w:val="00F42AAA"/>
    <w:rsid w:val="00F42DFF"/>
    <w:rsid w:val="00F43081"/>
    <w:rsid w:val="00F430D2"/>
    <w:rsid w:val="00F43166"/>
    <w:rsid w:val="00F431B4"/>
    <w:rsid w:val="00F4325A"/>
    <w:rsid w:val="00F434A1"/>
    <w:rsid w:val="00F43516"/>
    <w:rsid w:val="00F43691"/>
    <w:rsid w:val="00F43861"/>
    <w:rsid w:val="00F43999"/>
    <w:rsid w:val="00F439B1"/>
    <w:rsid w:val="00F43B65"/>
    <w:rsid w:val="00F43B68"/>
    <w:rsid w:val="00F43BEA"/>
    <w:rsid w:val="00F43E9B"/>
    <w:rsid w:val="00F440A1"/>
    <w:rsid w:val="00F440B8"/>
    <w:rsid w:val="00F4420D"/>
    <w:rsid w:val="00F4449C"/>
    <w:rsid w:val="00F44632"/>
    <w:rsid w:val="00F44715"/>
    <w:rsid w:val="00F447BD"/>
    <w:rsid w:val="00F447D0"/>
    <w:rsid w:val="00F44B90"/>
    <w:rsid w:val="00F44B9F"/>
    <w:rsid w:val="00F44BD9"/>
    <w:rsid w:val="00F44D6F"/>
    <w:rsid w:val="00F45075"/>
    <w:rsid w:val="00F45118"/>
    <w:rsid w:val="00F451C2"/>
    <w:rsid w:val="00F453F6"/>
    <w:rsid w:val="00F454BE"/>
    <w:rsid w:val="00F45707"/>
    <w:rsid w:val="00F459BF"/>
    <w:rsid w:val="00F45A36"/>
    <w:rsid w:val="00F45A81"/>
    <w:rsid w:val="00F45BDE"/>
    <w:rsid w:val="00F45CA2"/>
    <w:rsid w:val="00F45CE4"/>
    <w:rsid w:val="00F45DD1"/>
    <w:rsid w:val="00F45EA3"/>
    <w:rsid w:val="00F45F7E"/>
    <w:rsid w:val="00F46312"/>
    <w:rsid w:val="00F46423"/>
    <w:rsid w:val="00F464D8"/>
    <w:rsid w:val="00F466F2"/>
    <w:rsid w:val="00F466F5"/>
    <w:rsid w:val="00F466FF"/>
    <w:rsid w:val="00F467D3"/>
    <w:rsid w:val="00F46E50"/>
    <w:rsid w:val="00F471DE"/>
    <w:rsid w:val="00F473C7"/>
    <w:rsid w:val="00F47454"/>
    <w:rsid w:val="00F477DA"/>
    <w:rsid w:val="00F478CA"/>
    <w:rsid w:val="00F47A3C"/>
    <w:rsid w:val="00F47B90"/>
    <w:rsid w:val="00F47E62"/>
    <w:rsid w:val="00F47F60"/>
    <w:rsid w:val="00F47FD3"/>
    <w:rsid w:val="00F5002D"/>
    <w:rsid w:val="00F500DE"/>
    <w:rsid w:val="00F501F0"/>
    <w:rsid w:val="00F50572"/>
    <w:rsid w:val="00F506A8"/>
    <w:rsid w:val="00F508BC"/>
    <w:rsid w:val="00F50B97"/>
    <w:rsid w:val="00F50C4C"/>
    <w:rsid w:val="00F50C86"/>
    <w:rsid w:val="00F50D62"/>
    <w:rsid w:val="00F50DCB"/>
    <w:rsid w:val="00F50DCE"/>
    <w:rsid w:val="00F50F44"/>
    <w:rsid w:val="00F51119"/>
    <w:rsid w:val="00F51149"/>
    <w:rsid w:val="00F5133E"/>
    <w:rsid w:val="00F51457"/>
    <w:rsid w:val="00F5145C"/>
    <w:rsid w:val="00F518F2"/>
    <w:rsid w:val="00F51C19"/>
    <w:rsid w:val="00F51CD0"/>
    <w:rsid w:val="00F51D83"/>
    <w:rsid w:val="00F51DE8"/>
    <w:rsid w:val="00F51F73"/>
    <w:rsid w:val="00F520A3"/>
    <w:rsid w:val="00F52141"/>
    <w:rsid w:val="00F522CD"/>
    <w:rsid w:val="00F523CC"/>
    <w:rsid w:val="00F525D1"/>
    <w:rsid w:val="00F525F9"/>
    <w:rsid w:val="00F52689"/>
    <w:rsid w:val="00F527BC"/>
    <w:rsid w:val="00F52895"/>
    <w:rsid w:val="00F52995"/>
    <w:rsid w:val="00F52BC9"/>
    <w:rsid w:val="00F52C4E"/>
    <w:rsid w:val="00F52DD1"/>
    <w:rsid w:val="00F52DF8"/>
    <w:rsid w:val="00F5320E"/>
    <w:rsid w:val="00F533A8"/>
    <w:rsid w:val="00F5373E"/>
    <w:rsid w:val="00F539CA"/>
    <w:rsid w:val="00F53B9D"/>
    <w:rsid w:val="00F53BD6"/>
    <w:rsid w:val="00F53C98"/>
    <w:rsid w:val="00F53D17"/>
    <w:rsid w:val="00F540AA"/>
    <w:rsid w:val="00F54217"/>
    <w:rsid w:val="00F542C1"/>
    <w:rsid w:val="00F544CC"/>
    <w:rsid w:val="00F545AE"/>
    <w:rsid w:val="00F546D7"/>
    <w:rsid w:val="00F54763"/>
    <w:rsid w:val="00F5478A"/>
    <w:rsid w:val="00F548C7"/>
    <w:rsid w:val="00F54B94"/>
    <w:rsid w:val="00F54E69"/>
    <w:rsid w:val="00F55002"/>
    <w:rsid w:val="00F5520A"/>
    <w:rsid w:val="00F5523F"/>
    <w:rsid w:val="00F55252"/>
    <w:rsid w:val="00F5544B"/>
    <w:rsid w:val="00F556D6"/>
    <w:rsid w:val="00F55701"/>
    <w:rsid w:val="00F557FD"/>
    <w:rsid w:val="00F55906"/>
    <w:rsid w:val="00F55AA8"/>
    <w:rsid w:val="00F55B80"/>
    <w:rsid w:val="00F55B98"/>
    <w:rsid w:val="00F55BA8"/>
    <w:rsid w:val="00F560FC"/>
    <w:rsid w:val="00F56363"/>
    <w:rsid w:val="00F563CA"/>
    <w:rsid w:val="00F565C9"/>
    <w:rsid w:val="00F566C2"/>
    <w:rsid w:val="00F5670B"/>
    <w:rsid w:val="00F56A06"/>
    <w:rsid w:val="00F56A7E"/>
    <w:rsid w:val="00F56CFC"/>
    <w:rsid w:val="00F56D81"/>
    <w:rsid w:val="00F56E2C"/>
    <w:rsid w:val="00F56E4B"/>
    <w:rsid w:val="00F56F4C"/>
    <w:rsid w:val="00F56F53"/>
    <w:rsid w:val="00F571A1"/>
    <w:rsid w:val="00F57243"/>
    <w:rsid w:val="00F57615"/>
    <w:rsid w:val="00F57713"/>
    <w:rsid w:val="00F57810"/>
    <w:rsid w:val="00F5797C"/>
    <w:rsid w:val="00F57B6F"/>
    <w:rsid w:val="00F57C3E"/>
    <w:rsid w:val="00F57CF0"/>
    <w:rsid w:val="00F57DF8"/>
    <w:rsid w:val="00F600C4"/>
    <w:rsid w:val="00F600C6"/>
    <w:rsid w:val="00F60177"/>
    <w:rsid w:val="00F602CD"/>
    <w:rsid w:val="00F60405"/>
    <w:rsid w:val="00F60751"/>
    <w:rsid w:val="00F61103"/>
    <w:rsid w:val="00F61893"/>
    <w:rsid w:val="00F61932"/>
    <w:rsid w:val="00F61B8D"/>
    <w:rsid w:val="00F61CC5"/>
    <w:rsid w:val="00F61D95"/>
    <w:rsid w:val="00F61EAD"/>
    <w:rsid w:val="00F61F7C"/>
    <w:rsid w:val="00F621E7"/>
    <w:rsid w:val="00F622A0"/>
    <w:rsid w:val="00F623B1"/>
    <w:rsid w:val="00F623FD"/>
    <w:rsid w:val="00F627A4"/>
    <w:rsid w:val="00F62B10"/>
    <w:rsid w:val="00F62B7F"/>
    <w:rsid w:val="00F631BB"/>
    <w:rsid w:val="00F631D1"/>
    <w:rsid w:val="00F632FF"/>
    <w:rsid w:val="00F634DF"/>
    <w:rsid w:val="00F635C5"/>
    <w:rsid w:val="00F6374C"/>
    <w:rsid w:val="00F637DA"/>
    <w:rsid w:val="00F6388B"/>
    <w:rsid w:val="00F638DE"/>
    <w:rsid w:val="00F63B7D"/>
    <w:rsid w:val="00F63C62"/>
    <w:rsid w:val="00F63D87"/>
    <w:rsid w:val="00F63F5D"/>
    <w:rsid w:val="00F64009"/>
    <w:rsid w:val="00F64349"/>
    <w:rsid w:val="00F643E3"/>
    <w:rsid w:val="00F64419"/>
    <w:rsid w:val="00F6480C"/>
    <w:rsid w:val="00F648D1"/>
    <w:rsid w:val="00F64957"/>
    <w:rsid w:val="00F64B31"/>
    <w:rsid w:val="00F64B42"/>
    <w:rsid w:val="00F64D67"/>
    <w:rsid w:val="00F65094"/>
    <w:rsid w:val="00F653B0"/>
    <w:rsid w:val="00F654EE"/>
    <w:rsid w:val="00F6550F"/>
    <w:rsid w:val="00F655DF"/>
    <w:rsid w:val="00F655FD"/>
    <w:rsid w:val="00F6574F"/>
    <w:rsid w:val="00F657E5"/>
    <w:rsid w:val="00F6586D"/>
    <w:rsid w:val="00F65996"/>
    <w:rsid w:val="00F6599D"/>
    <w:rsid w:val="00F65B6B"/>
    <w:rsid w:val="00F65BE8"/>
    <w:rsid w:val="00F65C1C"/>
    <w:rsid w:val="00F65DA3"/>
    <w:rsid w:val="00F65EA5"/>
    <w:rsid w:val="00F65EAD"/>
    <w:rsid w:val="00F65F87"/>
    <w:rsid w:val="00F66015"/>
    <w:rsid w:val="00F6605C"/>
    <w:rsid w:val="00F66064"/>
    <w:rsid w:val="00F660FA"/>
    <w:rsid w:val="00F66178"/>
    <w:rsid w:val="00F661E7"/>
    <w:rsid w:val="00F66246"/>
    <w:rsid w:val="00F663F4"/>
    <w:rsid w:val="00F667BB"/>
    <w:rsid w:val="00F6683C"/>
    <w:rsid w:val="00F6689C"/>
    <w:rsid w:val="00F66C43"/>
    <w:rsid w:val="00F66DB9"/>
    <w:rsid w:val="00F66F85"/>
    <w:rsid w:val="00F670B9"/>
    <w:rsid w:val="00F6727D"/>
    <w:rsid w:val="00F672B3"/>
    <w:rsid w:val="00F67452"/>
    <w:rsid w:val="00F67494"/>
    <w:rsid w:val="00F674D7"/>
    <w:rsid w:val="00F676EC"/>
    <w:rsid w:val="00F676EF"/>
    <w:rsid w:val="00F6782A"/>
    <w:rsid w:val="00F67922"/>
    <w:rsid w:val="00F67986"/>
    <w:rsid w:val="00F67A48"/>
    <w:rsid w:val="00F67B75"/>
    <w:rsid w:val="00F67CD7"/>
    <w:rsid w:val="00F67EBD"/>
    <w:rsid w:val="00F7004B"/>
    <w:rsid w:val="00F702D5"/>
    <w:rsid w:val="00F70385"/>
    <w:rsid w:val="00F704B9"/>
    <w:rsid w:val="00F704F2"/>
    <w:rsid w:val="00F70533"/>
    <w:rsid w:val="00F70578"/>
    <w:rsid w:val="00F707CF"/>
    <w:rsid w:val="00F7095F"/>
    <w:rsid w:val="00F70AED"/>
    <w:rsid w:val="00F70B65"/>
    <w:rsid w:val="00F70CD8"/>
    <w:rsid w:val="00F70D4A"/>
    <w:rsid w:val="00F70EC3"/>
    <w:rsid w:val="00F70ED5"/>
    <w:rsid w:val="00F70FCA"/>
    <w:rsid w:val="00F71345"/>
    <w:rsid w:val="00F71492"/>
    <w:rsid w:val="00F714AE"/>
    <w:rsid w:val="00F7157D"/>
    <w:rsid w:val="00F71826"/>
    <w:rsid w:val="00F71836"/>
    <w:rsid w:val="00F71A6B"/>
    <w:rsid w:val="00F71ACC"/>
    <w:rsid w:val="00F71B89"/>
    <w:rsid w:val="00F71BF2"/>
    <w:rsid w:val="00F71CCC"/>
    <w:rsid w:val="00F71CD0"/>
    <w:rsid w:val="00F723B0"/>
    <w:rsid w:val="00F72400"/>
    <w:rsid w:val="00F724E9"/>
    <w:rsid w:val="00F72A5A"/>
    <w:rsid w:val="00F72BAB"/>
    <w:rsid w:val="00F72C5A"/>
    <w:rsid w:val="00F72CF9"/>
    <w:rsid w:val="00F72CFF"/>
    <w:rsid w:val="00F73071"/>
    <w:rsid w:val="00F73321"/>
    <w:rsid w:val="00F7355E"/>
    <w:rsid w:val="00F73574"/>
    <w:rsid w:val="00F736EB"/>
    <w:rsid w:val="00F7379A"/>
    <w:rsid w:val="00F73955"/>
    <w:rsid w:val="00F73C95"/>
    <w:rsid w:val="00F73C9C"/>
    <w:rsid w:val="00F73D12"/>
    <w:rsid w:val="00F73F71"/>
    <w:rsid w:val="00F73F75"/>
    <w:rsid w:val="00F74633"/>
    <w:rsid w:val="00F74757"/>
    <w:rsid w:val="00F7481E"/>
    <w:rsid w:val="00F74912"/>
    <w:rsid w:val="00F74BAC"/>
    <w:rsid w:val="00F74D02"/>
    <w:rsid w:val="00F74F3B"/>
    <w:rsid w:val="00F75031"/>
    <w:rsid w:val="00F7522B"/>
    <w:rsid w:val="00F75655"/>
    <w:rsid w:val="00F75832"/>
    <w:rsid w:val="00F75B37"/>
    <w:rsid w:val="00F76186"/>
    <w:rsid w:val="00F7641D"/>
    <w:rsid w:val="00F764E4"/>
    <w:rsid w:val="00F76574"/>
    <w:rsid w:val="00F765FE"/>
    <w:rsid w:val="00F7662A"/>
    <w:rsid w:val="00F767DE"/>
    <w:rsid w:val="00F768BF"/>
    <w:rsid w:val="00F768EC"/>
    <w:rsid w:val="00F769DE"/>
    <w:rsid w:val="00F76A8D"/>
    <w:rsid w:val="00F76BB0"/>
    <w:rsid w:val="00F76E6E"/>
    <w:rsid w:val="00F76FAF"/>
    <w:rsid w:val="00F77065"/>
    <w:rsid w:val="00F77283"/>
    <w:rsid w:val="00F77897"/>
    <w:rsid w:val="00F77928"/>
    <w:rsid w:val="00F77A76"/>
    <w:rsid w:val="00F77C4C"/>
    <w:rsid w:val="00F77D73"/>
    <w:rsid w:val="00F77DB9"/>
    <w:rsid w:val="00F77E77"/>
    <w:rsid w:val="00F77F23"/>
    <w:rsid w:val="00F77FEF"/>
    <w:rsid w:val="00F80075"/>
    <w:rsid w:val="00F80255"/>
    <w:rsid w:val="00F8030F"/>
    <w:rsid w:val="00F80328"/>
    <w:rsid w:val="00F80590"/>
    <w:rsid w:val="00F8061A"/>
    <w:rsid w:val="00F8069E"/>
    <w:rsid w:val="00F806BC"/>
    <w:rsid w:val="00F807A9"/>
    <w:rsid w:val="00F808A8"/>
    <w:rsid w:val="00F8090A"/>
    <w:rsid w:val="00F8092F"/>
    <w:rsid w:val="00F80CD0"/>
    <w:rsid w:val="00F80E39"/>
    <w:rsid w:val="00F80F5F"/>
    <w:rsid w:val="00F811D5"/>
    <w:rsid w:val="00F812C8"/>
    <w:rsid w:val="00F8161E"/>
    <w:rsid w:val="00F8167C"/>
    <w:rsid w:val="00F81716"/>
    <w:rsid w:val="00F81B36"/>
    <w:rsid w:val="00F81D8D"/>
    <w:rsid w:val="00F81E50"/>
    <w:rsid w:val="00F81F38"/>
    <w:rsid w:val="00F81F5A"/>
    <w:rsid w:val="00F82365"/>
    <w:rsid w:val="00F825E2"/>
    <w:rsid w:val="00F8268A"/>
    <w:rsid w:val="00F82741"/>
    <w:rsid w:val="00F82827"/>
    <w:rsid w:val="00F828D8"/>
    <w:rsid w:val="00F82A20"/>
    <w:rsid w:val="00F82A84"/>
    <w:rsid w:val="00F82A95"/>
    <w:rsid w:val="00F82E7C"/>
    <w:rsid w:val="00F8312A"/>
    <w:rsid w:val="00F8316E"/>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938"/>
    <w:rsid w:val="00F84984"/>
    <w:rsid w:val="00F84A84"/>
    <w:rsid w:val="00F84AC9"/>
    <w:rsid w:val="00F84AFF"/>
    <w:rsid w:val="00F84DC5"/>
    <w:rsid w:val="00F84DF3"/>
    <w:rsid w:val="00F8500D"/>
    <w:rsid w:val="00F850DF"/>
    <w:rsid w:val="00F854B3"/>
    <w:rsid w:val="00F854F4"/>
    <w:rsid w:val="00F85730"/>
    <w:rsid w:val="00F85736"/>
    <w:rsid w:val="00F857D7"/>
    <w:rsid w:val="00F8583B"/>
    <w:rsid w:val="00F85CD4"/>
    <w:rsid w:val="00F85D59"/>
    <w:rsid w:val="00F85D6D"/>
    <w:rsid w:val="00F86199"/>
    <w:rsid w:val="00F86247"/>
    <w:rsid w:val="00F8627F"/>
    <w:rsid w:val="00F8652C"/>
    <w:rsid w:val="00F86947"/>
    <w:rsid w:val="00F86AAD"/>
    <w:rsid w:val="00F870C9"/>
    <w:rsid w:val="00F87261"/>
    <w:rsid w:val="00F8740D"/>
    <w:rsid w:val="00F87917"/>
    <w:rsid w:val="00F87A30"/>
    <w:rsid w:val="00F87B67"/>
    <w:rsid w:val="00F87F09"/>
    <w:rsid w:val="00F9000E"/>
    <w:rsid w:val="00F90395"/>
    <w:rsid w:val="00F903D4"/>
    <w:rsid w:val="00F907B1"/>
    <w:rsid w:val="00F90A6A"/>
    <w:rsid w:val="00F90AD0"/>
    <w:rsid w:val="00F90CB3"/>
    <w:rsid w:val="00F90CF0"/>
    <w:rsid w:val="00F90E82"/>
    <w:rsid w:val="00F90EC6"/>
    <w:rsid w:val="00F9115B"/>
    <w:rsid w:val="00F91188"/>
    <w:rsid w:val="00F91213"/>
    <w:rsid w:val="00F912A4"/>
    <w:rsid w:val="00F915AD"/>
    <w:rsid w:val="00F91884"/>
    <w:rsid w:val="00F91C29"/>
    <w:rsid w:val="00F91CAA"/>
    <w:rsid w:val="00F91DB0"/>
    <w:rsid w:val="00F920D1"/>
    <w:rsid w:val="00F921F5"/>
    <w:rsid w:val="00F922CC"/>
    <w:rsid w:val="00F92372"/>
    <w:rsid w:val="00F92421"/>
    <w:rsid w:val="00F924CE"/>
    <w:rsid w:val="00F924D8"/>
    <w:rsid w:val="00F92504"/>
    <w:rsid w:val="00F92964"/>
    <w:rsid w:val="00F92BBE"/>
    <w:rsid w:val="00F92CC4"/>
    <w:rsid w:val="00F92CCC"/>
    <w:rsid w:val="00F92D31"/>
    <w:rsid w:val="00F92E6D"/>
    <w:rsid w:val="00F92EA4"/>
    <w:rsid w:val="00F92F9B"/>
    <w:rsid w:val="00F93115"/>
    <w:rsid w:val="00F934FA"/>
    <w:rsid w:val="00F9375D"/>
    <w:rsid w:val="00F93764"/>
    <w:rsid w:val="00F93774"/>
    <w:rsid w:val="00F93B8F"/>
    <w:rsid w:val="00F93BB8"/>
    <w:rsid w:val="00F93E95"/>
    <w:rsid w:val="00F93ED3"/>
    <w:rsid w:val="00F93F0B"/>
    <w:rsid w:val="00F94275"/>
    <w:rsid w:val="00F94752"/>
    <w:rsid w:val="00F94846"/>
    <w:rsid w:val="00F948F4"/>
    <w:rsid w:val="00F94A15"/>
    <w:rsid w:val="00F94D15"/>
    <w:rsid w:val="00F94D84"/>
    <w:rsid w:val="00F94DB5"/>
    <w:rsid w:val="00F94E05"/>
    <w:rsid w:val="00F94E24"/>
    <w:rsid w:val="00F95050"/>
    <w:rsid w:val="00F952F3"/>
    <w:rsid w:val="00F954CE"/>
    <w:rsid w:val="00F9563F"/>
    <w:rsid w:val="00F9595C"/>
    <w:rsid w:val="00F95C50"/>
    <w:rsid w:val="00F962F8"/>
    <w:rsid w:val="00F96357"/>
    <w:rsid w:val="00F9636E"/>
    <w:rsid w:val="00F963B3"/>
    <w:rsid w:val="00F9683F"/>
    <w:rsid w:val="00F9697B"/>
    <w:rsid w:val="00F96A08"/>
    <w:rsid w:val="00F96A4D"/>
    <w:rsid w:val="00F96AC3"/>
    <w:rsid w:val="00F96B32"/>
    <w:rsid w:val="00F96BF8"/>
    <w:rsid w:val="00F96ECB"/>
    <w:rsid w:val="00F96F26"/>
    <w:rsid w:val="00F97036"/>
    <w:rsid w:val="00F972EF"/>
    <w:rsid w:val="00F9748F"/>
    <w:rsid w:val="00F97566"/>
    <w:rsid w:val="00F97871"/>
    <w:rsid w:val="00F97963"/>
    <w:rsid w:val="00F97A26"/>
    <w:rsid w:val="00F97AAF"/>
    <w:rsid w:val="00FA023B"/>
    <w:rsid w:val="00FA05E9"/>
    <w:rsid w:val="00FA070F"/>
    <w:rsid w:val="00FA0B84"/>
    <w:rsid w:val="00FA0FD0"/>
    <w:rsid w:val="00FA1015"/>
    <w:rsid w:val="00FA10D4"/>
    <w:rsid w:val="00FA1305"/>
    <w:rsid w:val="00FA13E4"/>
    <w:rsid w:val="00FA13EF"/>
    <w:rsid w:val="00FA14AE"/>
    <w:rsid w:val="00FA14E3"/>
    <w:rsid w:val="00FA179E"/>
    <w:rsid w:val="00FA1815"/>
    <w:rsid w:val="00FA18B1"/>
    <w:rsid w:val="00FA18BC"/>
    <w:rsid w:val="00FA194B"/>
    <w:rsid w:val="00FA19CA"/>
    <w:rsid w:val="00FA1B41"/>
    <w:rsid w:val="00FA1E16"/>
    <w:rsid w:val="00FA1E73"/>
    <w:rsid w:val="00FA22EA"/>
    <w:rsid w:val="00FA237C"/>
    <w:rsid w:val="00FA2385"/>
    <w:rsid w:val="00FA23E4"/>
    <w:rsid w:val="00FA275B"/>
    <w:rsid w:val="00FA2843"/>
    <w:rsid w:val="00FA2932"/>
    <w:rsid w:val="00FA2D62"/>
    <w:rsid w:val="00FA2F43"/>
    <w:rsid w:val="00FA3065"/>
    <w:rsid w:val="00FA32F5"/>
    <w:rsid w:val="00FA3367"/>
    <w:rsid w:val="00FA337B"/>
    <w:rsid w:val="00FA3469"/>
    <w:rsid w:val="00FA38C8"/>
    <w:rsid w:val="00FA39B6"/>
    <w:rsid w:val="00FA39DF"/>
    <w:rsid w:val="00FA3A0D"/>
    <w:rsid w:val="00FA3AD1"/>
    <w:rsid w:val="00FA3FFF"/>
    <w:rsid w:val="00FA4322"/>
    <w:rsid w:val="00FA452C"/>
    <w:rsid w:val="00FA4C27"/>
    <w:rsid w:val="00FA4C6C"/>
    <w:rsid w:val="00FA4C80"/>
    <w:rsid w:val="00FA4E31"/>
    <w:rsid w:val="00FA4F39"/>
    <w:rsid w:val="00FA4FE8"/>
    <w:rsid w:val="00FA508A"/>
    <w:rsid w:val="00FA5330"/>
    <w:rsid w:val="00FA5392"/>
    <w:rsid w:val="00FA53EB"/>
    <w:rsid w:val="00FA54E4"/>
    <w:rsid w:val="00FA5B1E"/>
    <w:rsid w:val="00FA5B69"/>
    <w:rsid w:val="00FA6285"/>
    <w:rsid w:val="00FA638F"/>
    <w:rsid w:val="00FA63E9"/>
    <w:rsid w:val="00FA65D6"/>
    <w:rsid w:val="00FA6808"/>
    <w:rsid w:val="00FA687F"/>
    <w:rsid w:val="00FA69F4"/>
    <w:rsid w:val="00FA6BFE"/>
    <w:rsid w:val="00FA6D2B"/>
    <w:rsid w:val="00FA6DC2"/>
    <w:rsid w:val="00FA7018"/>
    <w:rsid w:val="00FA7071"/>
    <w:rsid w:val="00FA70D3"/>
    <w:rsid w:val="00FA70EE"/>
    <w:rsid w:val="00FA7134"/>
    <w:rsid w:val="00FA7387"/>
    <w:rsid w:val="00FA78FB"/>
    <w:rsid w:val="00FA79CA"/>
    <w:rsid w:val="00FA7BD2"/>
    <w:rsid w:val="00FA7D1B"/>
    <w:rsid w:val="00FA7E40"/>
    <w:rsid w:val="00FA7F21"/>
    <w:rsid w:val="00FB0059"/>
    <w:rsid w:val="00FB00C6"/>
    <w:rsid w:val="00FB021B"/>
    <w:rsid w:val="00FB03F5"/>
    <w:rsid w:val="00FB042F"/>
    <w:rsid w:val="00FB071E"/>
    <w:rsid w:val="00FB0BBC"/>
    <w:rsid w:val="00FB0CA9"/>
    <w:rsid w:val="00FB0FB4"/>
    <w:rsid w:val="00FB105C"/>
    <w:rsid w:val="00FB13BE"/>
    <w:rsid w:val="00FB15FB"/>
    <w:rsid w:val="00FB16FA"/>
    <w:rsid w:val="00FB18D5"/>
    <w:rsid w:val="00FB1A66"/>
    <w:rsid w:val="00FB1ADE"/>
    <w:rsid w:val="00FB203D"/>
    <w:rsid w:val="00FB241B"/>
    <w:rsid w:val="00FB24E1"/>
    <w:rsid w:val="00FB25D8"/>
    <w:rsid w:val="00FB262E"/>
    <w:rsid w:val="00FB268E"/>
    <w:rsid w:val="00FB27DD"/>
    <w:rsid w:val="00FB28CA"/>
    <w:rsid w:val="00FB29A6"/>
    <w:rsid w:val="00FB29A8"/>
    <w:rsid w:val="00FB29E7"/>
    <w:rsid w:val="00FB2D61"/>
    <w:rsid w:val="00FB2E39"/>
    <w:rsid w:val="00FB2E77"/>
    <w:rsid w:val="00FB2FD3"/>
    <w:rsid w:val="00FB2FF2"/>
    <w:rsid w:val="00FB308C"/>
    <w:rsid w:val="00FB32F1"/>
    <w:rsid w:val="00FB3389"/>
    <w:rsid w:val="00FB39BF"/>
    <w:rsid w:val="00FB3B73"/>
    <w:rsid w:val="00FB3C75"/>
    <w:rsid w:val="00FB3D81"/>
    <w:rsid w:val="00FB3F12"/>
    <w:rsid w:val="00FB401D"/>
    <w:rsid w:val="00FB4192"/>
    <w:rsid w:val="00FB421E"/>
    <w:rsid w:val="00FB43B7"/>
    <w:rsid w:val="00FB451C"/>
    <w:rsid w:val="00FB4569"/>
    <w:rsid w:val="00FB45F2"/>
    <w:rsid w:val="00FB46C8"/>
    <w:rsid w:val="00FB4892"/>
    <w:rsid w:val="00FB4921"/>
    <w:rsid w:val="00FB4932"/>
    <w:rsid w:val="00FB49E4"/>
    <w:rsid w:val="00FB4D49"/>
    <w:rsid w:val="00FB4E9C"/>
    <w:rsid w:val="00FB4F50"/>
    <w:rsid w:val="00FB4F66"/>
    <w:rsid w:val="00FB5172"/>
    <w:rsid w:val="00FB53E2"/>
    <w:rsid w:val="00FB53F5"/>
    <w:rsid w:val="00FB54CF"/>
    <w:rsid w:val="00FB5643"/>
    <w:rsid w:val="00FB57DF"/>
    <w:rsid w:val="00FB5BD9"/>
    <w:rsid w:val="00FB5C25"/>
    <w:rsid w:val="00FB5CE9"/>
    <w:rsid w:val="00FB5DED"/>
    <w:rsid w:val="00FB5EBD"/>
    <w:rsid w:val="00FB5F42"/>
    <w:rsid w:val="00FB5F6E"/>
    <w:rsid w:val="00FB5FCE"/>
    <w:rsid w:val="00FB6430"/>
    <w:rsid w:val="00FB6580"/>
    <w:rsid w:val="00FB6663"/>
    <w:rsid w:val="00FB6868"/>
    <w:rsid w:val="00FB68CE"/>
    <w:rsid w:val="00FB6936"/>
    <w:rsid w:val="00FB6AAD"/>
    <w:rsid w:val="00FB72B1"/>
    <w:rsid w:val="00FB72FC"/>
    <w:rsid w:val="00FB736E"/>
    <w:rsid w:val="00FB7451"/>
    <w:rsid w:val="00FB76B7"/>
    <w:rsid w:val="00FB7793"/>
    <w:rsid w:val="00FB7880"/>
    <w:rsid w:val="00FB7891"/>
    <w:rsid w:val="00FB799A"/>
    <w:rsid w:val="00FB7AED"/>
    <w:rsid w:val="00FB7B68"/>
    <w:rsid w:val="00FB7C24"/>
    <w:rsid w:val="00FB7C97"/>
    <w:rsid w:val="00FC016F"/>
    <w:rsid w:val="00FC0374"/>
    <w:rsid w:val="00FC094C"/>
    <w:rsid w:val="00FC0AAD"/>
    <w:rsid w:val="00FC0FFF"/>
    <w:rsid w:val="00FC106E"/>
    <w:rsid w:val="00FC1141"/>
    <w:rsid w:val="00FC14E0"/>
    <w:rsid w:val="00FC1551"/>
    <w:rsid w:val="00FC15D9"/>
    <w:rsid w:val="00FC1873"/>
    <w:rsid w:val="00FC18D2"/>
    <w:rsid w:val="00FC192B"/>
    <w:rsid w:val="00FC19CA"/>
    <w:rsid w:val="00FC1B2B"/>
    <w:rsid w:val="00FC1DF2"/>
    <w:rsid w:val="00FC1E28"/>
    <w:rsid w:val="00FC1EE7"/>
    <w:rsid w:val="00FC21FE"/>
    <w:rsid w:val="00FC221D"/>
    <w:rsid w:val="00FC22C5"/>
    <w:rsid w:val="00FC22EC"/>
    <w:rsid w:val="00FC22F5"/>
    <w:rsid w:val="00FC23D5"/>
    <w:rsid w:val="00FC241D"/>
    <w:rsid w:val="00FC248C"/>
    <w:rsid w:val="00FC24FC"/>
    <w:rsid w:val="00FC27FE"/>
    <w:rsid w:val="00FC281F"/>
    <w:rsid w:val="00FC28AA"/>
    <w:rsid w:val="00FC2BD8"/>
    <w:rsid w:val="00FC2CE2"/>
    <w:rsid w:val="00FC2F12"/>
    <w:rsid w:val="00FC2F7D"/>
    <w:rsid w:val="00FC303F"/>
    <w:rsid w:val="00FC3056"/>
    <w:rsid w:val="00FC316C"/>
    <w:rsid w:val="00FC3176"/>
    <w:rsid w:val="00FC33EB"/>
    <w:rsid w:val="00FC3475"/>
    <w:rsid w:val="00FC34BD"/>
    <w:rsid w:val="00FC3798"/>
    <w:rsid w:val="00FC37E4"/>
    <w:rsid w:val="00FC3801"/>
    <w:rsid w:val="00FC3812"/>
    <w:rsid w:val="00FC3849"/>
    <w:rsid w:val="00FC38A2"/>
    <w:rsid w:val="00FC38D3"/>
    <w:rsid w:val="00FC393C"/>
    <w:rsid w:val="00FC3B1D"/>
    <w:rsid w:val="00FC3C8F"/>
    <w:rsid w:val="00FC3ECC"/>
    <w:rsid w:val="00FC3F79"/>
    <w:rsid w:val="00FC405C"/>
    <w:rsid w:val="00FC4417"/>
    <w:rsid w:val="00FC44F9"/>
    <w:rsid w:val="00FC45E3"/>
    <w:rsid w:val="00FC48CC"/>
    <w:rsid w:val="00FC4946"/>
    <w:rsid w:val="00FC4BEC"/>
    <w:rsid w:val="00FC4D5F"/>
    <w:rsid w:val="00FC4D88"/>
    <w:rsid w:val="00FC4DBF"/>
    <w:rsid w:val="00FC4E19"/>
    <w:rsid w:val="00FC4EE4"/>
    <w:rsid w:val="00FC5033"/>
    <w:rsid w:val="00FC50FE"/>
    <w:rsid w:val="00FC5132"/>
    <w:rsid w:val="00FC5283"/>
    <w:rsid w:val="00FC53D2"/>
    <w:rsid w:val="00FC5469"/>
    <w:rsid w:val="00FC555F"/>
    <w:rsid w:val="00FC5816"/>
    <w:rsid w:val="00FC58FF"/>
    <w:rsid w:val="00FC5E7F"/>
    <w:rsid w:val="00FC6007"/>
    <w:rsid w:val="00FC62CF"/>
    <w:rsid w:val="00FC63A1"/>
    <w:rsid w:val="00FC66F2"/>
    <w:rsid w:val="00FC6C17"/>
    <w:rsid w:val="00FC6C87"/>
    <w:rsid w:val="00FC6D20"/>
    <w:rsid w:val="00FC711D"/>
    <w:rsid w:val="00FC7257"/>
    <w:rsid w:val="00FC7269"/>
    <w:rsid w:val="00FC72FA"/>
    <w:rsid w:val="00FC748D"/>
    <w:rsid w:val="00FC765C"/>
    <w:rsid w:val="00FC7708"/>
    <w:rsid w:val="00FC770B"/>
    <w:rsid w:val="00FC79C3"/>
    <w:rsid w:val="00FC7A95"/>
    <w:rsid w:val="00FC7A9D"/>
    <w:rsid w:val="00FC7D60"/>
    <w:rsid w:val="00FC7F0C"/>
    <w:rsid w:val="00FD01A8"/>
    <w:rsid w:val="00FD03BD"/>
    <w:rsid w:val="00FD03CE"/>
    <w:rsid w:val="00FD05EF"/>
    <w:rsid w:val="00FD05FE"/>
    <w:rsid w:val="00FD066A"/>
    <w:rsid w:val="00FD06F0"/>
    <w:rsid w:val="00FD07BD"/>
    <w:rsid w:val="00FD0A4F"/>
    <w:rsid w:val="00FD0A8A"/>
    <w:rsid w:val="00FD0CC0"/>
    <w:rsid w:val="00FD0F60"/>
    <w:rsid w:val="00FD10F9"/>
    <w:rsid w:val="00FD111F"/>
    <w:rsid w:val="00FD147F"/>
    <w:rsid w:val="00FD18F5"/>
    <w:rsid w:val="00FD18F9"/>
    <w:rsid w:val="00FD1C44"/>
    <w:rsid w:val="00FD1D1D"/>
    <w:rsid w:val="00FD1F25"/>
    <w:rsid w:val="00FD2030"/>
    <w:rsid w:val="00FD204C"/>
    <w:rsid w:val="00FD2096"/>
    <w:rsid w:val="00FD214A"/>
    <w:rsid w:val="00FD23A3"/>
    <w:rsid w:val="00FD254C"/>
    <w:rsid w:val="00FD2830"/>
    <w:rsid w:val="00FD2897"/>
    <w:rsid w:val="00FD29E9"/>
    <w:rsid w:val="00FD2AB2"/>
    <w:rsid w:val="00FD2BFE"/>
    <w:rsid w:val="00FD2D93"/>
    <w:rsid w:val="00FD2EC0"/>
    <w:rsid w:val="00FD2F25"/>
    <w:rsid w:val="00FD3025"/>
    <w:rsid w:val="00FD30C1"/>
    <w:rsid w:val="00FD30D7"/>
    <w:rsid w:val="00FD30FE"/>
    <w:rsid w:val="00FD322D"/>
    <w:rsid w:val="00FD3236"/>
    <w:rsid w:val="00FD33BB"/>
    <w:rsid w:val="00FD354C"/>
    <w:rsid w:val="00FD3661"/>
    <w:rsid w:val="00FD36DE"/>
    <w:rsid w:val="00FD374E"/>
    <w:rsid w:val="00FD38DB"/>
    <w:rsid w:val="00FD39E3"/>
    <w:rsid w:val="00FD3B0F"/>
    <w:rsid w:val="00FD3B19"/>
    <w:rsid w:val="00FD3B44"/>
    <w:rsid w:val="00FD3DB9"/>
    <w:rsid w:val="00FD3DE6"/>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52F6"/>
    <w:rsid w:val="00FD5535"/>
    <w:rsid w:val="00FD56AC"/>
    <w:rsid w:val="00FD59D7"/>
    <w:rsid w:val="00FD5A63"/>
    <w:rsid w:val="00FD5A71"/>
    <w:rsid w:val="00FD5AF4"/>
    <w:rsid w:val="00FD5C12"/>
    <w:rsid w:val="00FD5DF7"/>
    <w:rsid w:val="00FD63D1"/>
    <w:rsid w:val="00FD648C"/>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AB"/>
    <w:rsid w:val="00FD7AB3"/>
    <w:rsid w:val="00FD7B51"/>
    <w:rsid w:val="00FD7C32"/>
    <w:rsid w:val="00FD7E61"/>
    <w:rsid w:val="00FE0122"/>
    <w:rsid w:val="00FE03CA"/>
    <w:rsid w:val="00FE0441"/>
    <w:rsid w:val="00FE0500"/>
    <w:rsid w:val="00FE05A0"/>
    <w:rsid w:val="00FE0970"/>
    <w:rsid w:val="00FE0A96"/>
    <w:rsid w:val="00FE0B91"/>
    <w:rsid w:val="00FE0C5F"/>
    <w:rsid w:val="00FE0C73"/>
    <w:rsid w:val="00FE0E43"/>
    <w:rsid w:val="00FE0E86"/>
    <w:rsid w:val="00FE0F57"/>
    <w:rsid w:val="00FE0FDA"/>
    <w:rsid w:val="00FE1295"/>
    <w:rsid w:val="00FE185A"/>
    <w:rsid w:val="00FE1938"/>
    <w:rsid w:val="00FE1999"/>
    <w:rsid w:val="00FE19B5"/>
    <w:rsid w:val="00FE1B5A"/>
    <w:rsid w:val="00FE1C13"/>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1D"/>
    <w:rsid w:val="00FE3890"/>
    <w:rsid w:val="00FE3947"/>
    <w:rsid w:val="00FE3C32"/>
    <w:rsid w:val="00FE3DE9"/>
    <w:rsid w:val="00FE3F22"/>
    <w:rsid w:val="00FE41E8"/>
    <w:rsid w:val="00FE42D5"/>
    <w:rsid w:val="00FE44B7"/>
    <w:rsid w:val="00FE4502"/>
    <w:rsid w:val="00FE46FB"/>
    <w:rsid w:val="00FE4EBB"/>
    <w:rsid w:val="00FE4EDE"/>
    <w:rsid w:val="00FE5116"/>
    <w:rsid w:val="00FE51B0"/>
    <w:rsid w:val="00FE54AE"/>
    <w:rsid w:val="00FE56F4"/>
    <w:rsid w:val="00FE5754"/>
    <w:rsid w:val="00FE57DC"/>
    <w:rsid w:val="00FE59D3"/>
    <w:rsid w:val="00FE5BE9"/>
    <w:rsid w:val="00FE5CF4"/>
    <w:rsid w:val="00FE5DE0"/>
    <w:rsid w:val="00FE5F78"/>
    <w:rsid w:val="00FE63EC"/>
    <w:rsid w:val="00FE6466"/>
    <w:rsid w:val="00FE6680"/>
    <w:rsid w:val="00FE669D"/>
    <w:rsid w:val="00FE689E"/>
    <w:rsid w:val="00FE68AE"/>
    <w:rsid w:val="00FE6BF7"/>
    <w:rsid w:val="00FE6C4C"/>
    <w:rsid w:val="00FE6D91"/>
    <w:rsid w:val="00FE6DBA"/>
    <w:rsid w:val="00FE6DC1"/>
    <w:rsid w:val="00FE6E43"/>
    <w:rsid w:val="00FE7196"/>
    <w:rsid w:val="00FE73A7"/>
    <w:rsid w:val="00FE7452"/>
    <w:rsid w:val="00FE7530"/>
    <w:rsid w:val="00FE77F6"/>
    <w:rsid w:val="00FE7A0A"/>
    <w:rsid w:val="00FE7A0F"/>
    <w:rsid w:val="00FE7CB0"/>
    <w:rsid w:val="00FE7D37"/>
    <w:rsid w:val="00FE7D93"/>
    <w:rsid w:val="00FF0146"/>
    <w:rsid w:val="00FF01CF"/>
    <w:rsid w:val="00FF04AA"/>
    <w:rsid w:val="00FF07C5"/>
    <w:rsid w:val="00FF09BC"/>
    <w:rsid w:val="00FF0A9C"/>
    <w:rsid w:val="00FF0B52"/>
    <w:rsid w:val="00FF10C3"/>
    <w:rsid w:val="00FF12CD"/>
    <w:rsid w:val="00FF1353"/>
    <w:rsid w:val="00FF1403"/>
    <w:rsid w:val="00FF1507"/>
    <w:rsid w:val="00FF1788"/>
    <w:rsid w:val="00FF1838"/>
    <w:rsid w:val="00FF189A"/>
    <w:rsid w:val="00FF1B11"/>
    <w:rsid w:val="00FF1D69"/>
    <w:rsid w:val="00FF1DE5"/>
    <w:rsid w:val="00FF1E28"/>
    <w:rsid w:val="00FF1FE1"/>
    <w:rsid w:val="00FF2252"/>
    <w:rsid w:val="00FF22C2"/>
    <w:rsid w:val="00FF23F7"/>
    <w:rsid w:val="00FF249C"/>
    <w:rsid w:val="00FF25C5"/>
    <w:rsid w:val="00FF2612"/>
    <w:rsid w:val="00FF26DB"/>
    <w:rsid w:val="00FF27C0"/>
    <w:rsid w:val="00FF2821"/>
    <w:rsid w:val="00FF2DC9"/>
    <w:rsid w:val="00FF2E36"/>
    <w:rsid w:val="00FF3022"/>
    <w:rsid w:val="00FF3027"/>
    <w:rsid w:val="00FF30FA"/>
    <w:rsid w:val="00FF31CA"/>
    <w:rsid w:val="00FF3285"/>
    <w:rsid w:val="00FF3347"/>
    <w:rsid w:val="00FF341F"/>
    <w:rsid w:val="00FF36A4"/>
    <w:rsid w:val="00FF3908"/>
    <w:rsid w:val="00FF3920"/>
    <w:rsid w:val="00FF3C3E"/>
    <w:rsid w:val="00FF3E9F"/>
    <w:rsid w:val="00FF3EF6"/>
    <w:rsid w:val="00FF405C"/>
    <w:rsid w:val="00FF4094"/>
    <w:rsid w:val="00FF40B3"/>
    <w:rsid w:val="00FF440A"/>
    <w:rsid w:val="00FF4916"/>
    <w:rsid w:val="00FF4943"/>
    <w:rsid w:val="00FF49A8"/>
    <w:rsid w:val="00FF4F2B"/>
    <w:rsid w:val="00FF4FA2"/>
    <w:rsid w:val="00FF52BA"/>
    <w:rsid w:val="00FF52D6"/>
    <w:rsid w:val="00FF52DF"/>
    <w:rsid w:val="00FF52F8"/>
    <w:rsid w:val="00FF549C"/>
    <w:rsid w:val="00FF55EC"/>
    <w:rsid w:val="00FF5897"/>
    <w:rsid w:val="00FF5A68"/>
    <w:rsid w:val="00FF5E68"/>
    <w:rsid w:val="00FF5EA9"/>
    <w:rsid w:val="00FF5F43"/>
    <w:rsid w:val="00FF6067"/>
    <w:rsid w:val="00FF60D4"/>
    <w:rsid w:val="00FF6164"/>
    <w:rsid w:val="00FF61E3"/>
    <w:rsid w:val="00FF62EC"/>
    <w:rsid w:val="00FF639B"/>
    <w:rsid w:val="00FF6519"/>
    <w:rsid w:val="00FF6555"/>
    <w:rsid w:val="00FF6977"/>
    <w:rsid w:val="00FF6AC7"/>
    <w:rsid w:val="00FF6B07"/>
    <w:rsid w:val="00FF6E08"/>
    <w:rsid w:val="00FF716E"/>
    <w:rsid w:val="00FF726F"/>
    <w:rsid w:val="00FF74FE"/>
    <w:rsid w:val="00FF7560"/>
    <w:rsid w:val="00FF7698"/>
    <w:rsid w:val="00FF7944"/>
    <w:rsid w:val="00FF7A9F"/>
    <w:rsid w:val="00FF7BCA"/>
    <w:rsid w:val="00FF7CF4"/>
    <w:rsid w:val="00FF7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6DF7AC"/>
  <w15:docId w15:val="{ECA91A9B-F2CE-4A1D-A293-1C9AAF78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uiPriority w:val="99"/>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uiPriority w:val="99"/>
    <w:qFormat/>
    <w:rsid w:val="00DF6640"/>
    <w:pPr>
      <w:keepNext/>
      <w:spacing w:before="360" w:after="240"/>
      <w:ind w:firstLine="567"/>
      <w:jc w:val="both"/>
      <w:outlineLvl w:val="1"/>
    </w:pPr>
    <w:rPr>
      <w:rFonts w:ascii="GHEA Grapalat" w:hAnsi="GHEA Grapalat"/>
      <w:b/>
      <w:sz w:val="22"/>
      <w:szCs w:val="20"/>
      <w:lang w:val="de-AT"/>
    </w:rPr>
  </w:style>
  <w:style w:type="paragraph" w:styleId="Heading3">
    <w:name w:val="heading 3"/>
    <w:aliases w:val="Centered,(text),(Sub-Chapter),Heading 3 Char Char Char Char Char Char"/>
    <w:basedOn w:val="Normal"/>
    <w:next w:val="Normal"/>
    <w:link w:val="Heading3Char1"/>
    <w:uiPriority w:val="99"/>
    <w:qFormat/>
    <w:rsid w:val="002D4A3F"/>
    <w:pPr>
      <w:keepNext/>
      <w:spacing w:before="240" w:after="240"/>
      <w:ind w:firstLine="720"/>
      <w:outlineLvl w:val="2"/>
    </w:pPr>
    <w:rPr>
      <w:rFonts w:ascii="Times Armenian" w:hAnsi="Times Armenian"/>
      <w:b/>
      <w:i/>
      <w:sz w:val="26"/>
      <w:szCs w:val="20"/>
      <w:u w:val="single"/>
    </w:rPr>
  </w:style>
  <w:style w:type="paragraph" w:styleId="Heading4">
    <w:name w:val="heading 4"/>
    <w:aliases w:val="Абзац списка2,List Paragraph5,PDP DOCUMENT SUBTITLE,Table no. List Paragraph,Абзац списка3,Bullet Points,List Paragraph111,Bullet paras,OBC Bullet,Normal numbered,Titulo 2,Report Para,Number Bullets,Resume Title,Citation List,Centre"/>
    <w:basedOn w:val="CM4"/>
    <w:next w:val="Normal"/>
    <w:link w:val="Heading4Char2"/>
    <w:uiPriority w:val="99"/>
    <w:qFormat/>
    <w:rsid w:val="00532AB3"/>
    <w:pPr>
      <w:widowControl/>
      <w:autoSpaceDE/>
      <w:autoSpaceDN/>
      <w:adjustRightInd/>
      <w:spacing w:after="200" w:line="276" w:lineRule="auto"/>
      <w:ind w:left="720"/>
      <w:outlineLvl w:val="3"/>
    </w:pPr>
    <w:rPr>
      <w:rFonts w:ascii="GHEA Grapalat" w:hAnsi="GHEA Grapalat"/>
      <w:b/>
      <w:i/>
      <w:lang w:val="de-AT"/>
    </w:rPr>
  </w:style>
  <w:style w:type="paragraph" w:styleId="Heading5">
    <w:name w:val="heading 5"/>
    <w:aliases w:val="Side"/>
    <w:basedOn w:val="Normal"/>
    <w:next w:val="Normal"/>
    <w:link w:val="Heading5Char2"/>
    <w:uiPriority w:val="99"/>
    <w:qFormat/>
    <w:rsid w:val="002D4A3F"/>
    <w:pPr>
      <w:keepNext/>
      <w:spacing w:line="360" w:lineRule="auto"/>
      <w:ind w:firstLine="720"/>
      <w:jc w:val="both"/>
      <w:outlineLvl w:val="4"/>
    </w:pPr>
    <w:rPr>
      <w:rFonts w:ascii="Times Armenian" w:hAnsi="Times Armenian"/>
      <w:b/>
      <w:noProof w:val="0"/>
      <w:szCs w:val="20"/>
      <w:lang w:val="en-US"/>
    </w:rPr>
  </w:style>
  <w:style w:type="paragraph" w:styleId="Heading6">
    <w:name w:val="heading 6"/>
    <w:basedOn w:val="Normal"/>
    <w:next w:val="Normal"/>
    <w:link w:val="Heading6Char"/>
    <w:uiPriority w:val="99"/>
    <w:qFormat/>
    <w:rsid w:val="002D4A3F"/>
    <w:pPr>
      <w:keepNext/>
      <w:spacing w:line="360" w:lineRule="auto"/>
      <w:ind w:left="720"/>
      <w:jc w:val="both"/>
      <w:outlineLvl w:val="5"/>
    </w:pPr>
    <w:rPr>
      <w:rFonts w:ascii="Times Armenian" w:hAnsi="Times Armenian"/>
      <w:szCs w:val="20"/>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szCs w:val="20"/>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szCs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2D4A3F"/>
    <w:rPr>
      <w:rFonts w:ascii="Times Armenian" w:hAnsi="Times Armenian" w:cs="Times New Roman"/>
      <w:b/>
      <w:i/>
      <w:noProof/>
      <w:sz w:val="28"/>
      <w:lang w:val="hy-AM" w:eastAsia="en-US"/>
    </w:rPr>
  </w:style>
  <w:style w:type="character" w:customStyle="1" w:styleId="Heading2Char">
    <w:name w:val="Heading 2 Char"/>
    <w:aliases w:val="Paranum Char"/>
    <w:basedOn w:val="DefaultParagraphFont"/>
    <w:link w:val="Heading2"/>
    <w:uiPriority w:val="99"/>
    <w:locked/>
    <w:rsid w:val="00DF6640"/>
    <w:rPr>
      <w:rFonts w:ascii="GHEA Grapalat" w:hAnsi="GHEA Grapalat" w:cs="Times New Roman"/>
      <w:b/>
      <w:noProof/>
      <w:sz w:val="22"/>
      <w:lang w:val="de-AT"/>
    </w:rPr>
  </w:style>
  <w:style w:type="character" w:customStyle="1" w:styleId="Heading3Char">
    <w:name w:val="Heading 3 Char"/>
    <w:aliases w:val="Centered Char,(text) Char,(Sub-Chapter) Char,Heading 3 Char Char Char Char Char Char Char"/>
    <w:basedOn w:val="DefaultParagraphFont"/>
    <w:uiPriority w:val="99"/>
    <w:locked/>
    <w:rsid w:val="002D4A3F"/>
    <w:rPr>
      <w:rFonts w:ascii="Times Armenian" w:hAnsi="Times Armenian" w:cs="Times New Roman"/>
      <w:b/>
      <w:sz w:val="24"/>
      <w:lang w:val="en-GB" w:eastAsia="en-US"/>
    </w:rPr>
  </w:style>
  <w:style w:type="character" w:customStyle="1" w:styleId="Heading4Char">
    <w:name w:val="Heading 4 Char"/>
    <w:aliases w:val="Абзац списка2 Char,List Paragraph5 Char,PDP DOCUMENT SUBTITLE Char,Table no. List Paragraph Char,Абзац списка3 Char,Bullet Points Char,List Paragraph111 Char,Bullet paras Char,OBC Bullet Char,Normal numbered Char,Titulo 2 Char,Centre Char"/>
    <w:basedOn w:val="DefaultParagraphFont"/>
    <w:uiPriority w:val="9"/>
    <w:semiHidden/>
    <w:rsid w:val="00ED754B"/>
    <w:rPr>
      <w:rFonts w:asciiTheme="minorHAnsi" w:eastAsiaTheme="minorEastAsia" w:hAnsiTheme="minorHAnsi" w:cstheme="minorBidi"/>
      <w:b/>
      <w:bCs/>
      <w:noProof/>
      <w:sz w:val="28"/>
      <w:szCs w:val="28"/>
      <w:lang w:val="hy-AM"/>
    </w:rPr>
  </w:style>
  <w:style w:type="character" w:customStyle="1" w:styleId="Heading5Char">
    <w:name w:val="Heading 5 Char"/>
    <w:aliases w:val="Side Char"/>
    <w:basedOn w:val="DefaultParagraphFont"/>
    <w:uiPriority w:val="99"/>
    <w:locked/>
    <w:rsid w:val="006F0D28"/>
    <w:rPr>
      <w:rFonts w:ascii="Calibri" w:hAnsi="Calibri" w:cs="Times New Roman"/>
      <w:b/>
      <w:i/>
      <w:noProof/>
      <w:sz w:val="26"/>
      <w:lang w:val="hy-AM"/>
    </w:rPr>
  </w:style>
  <w:style w:type="character" w:customStyle="1" w:styleId="Heading6Char">
    <w:name w:val="Heading 6 Char"/>
    <w:basedOn w:val="DefaultParagraphFont"/>
    <w:link w:val="Heading6"/>
    <w:uiPriority w:val="99"/>
    <w:locked/>
    <w:rsid w:val="002D4A3F"/>
    <w:rPr>
      <w:rFonts w:ascii="Times Armenian" w:hAnsi="Times Armenian" w:cs="Times New Roman"/>
      <w:noProof/>
      <w:sz w:val="24"/>
      <w:u w:val="single"/>
      <w:lang w:val="hy-AM" w:eastAsia="en-US"/>
    </w:rPr>
  </w:style>
  <w:style w:type="character" w:customStyle="1" w:styleId="Heading7Char">
    <w:name w:val="Heading 7 Char"/>
    <w:basedOn w:val="DefaultParagraphFont"/>
    <w:link w:val="Heading7"/>
    <w:uiPriority w:val="99"/>
    <w:locked/>
    <w:rsid w:val="002D4A3F"/>
    <w:rPr>
      <w:rFonts w:ascii="Times Armenian" w:hAnsi="Times Armenian" w:cs="Times New Roman"/>
      <w:b/>
      <w:noProof/>
      <w:sz w:val="24"/>
      <w:u w:val="single"/>
      <w:lang w:val="hy-AM" w:eastAsia="en-US"/>
    </w:rPr>
  </w:style>
  <w:style w:type="character" w:customStyle="1" w:styleId="Heading8Char">
    <w:name w:val="Heading 8 Char"/>
    <w:basedOn w:val="DefaultParagraphFont"/>
    <w:link w:val="Heading8"/>
    <w:uiPriority w:val="99"/>
    <w:locked/>
    <w:rsid w:val="002D4A3F"/>
    <w:rPr>
      <w:rFonts w:ascii="Times Armenian" w:hAnsi="Times Armenian" w:cs="Times New Roman"/>
      <w:b/>
      <w:noProof/>
      <w:sz w:val="24"/>
      <w:lang w:val="hy-AM" w:eastAsia="en-US"/>
    </w:rPr>
  </w:style>
  <w:style w:type="character" w:customStyle="1" w:styleId="Heading9Char">
    <w:name w:val="Heading 9 Char"/>
    <w:basedOn w:val="DefaultParagraphFont"/>
    <w:link w:val="Heading9"/>
    <w:uiPriority w:val="99"/>
    <w:locked/>
    <w:rsid w:val="002D4A3F"/>
    <w:rPr>
      <w:rFonts w:cs="Times New Roman"/>
      <w:sz w:val="22"/>
      <w:lang w:val="en-GB" w:eastAsia="en-US"/>
    </w:rPr>
  </w:style>
  <w:style w:type="character" w:customStyle="1" w:styleId="Heading4Char7">
    <w:name w:val="Heading 4 Char7"/>
    <w:aliases w:val="Абзац списка2 Char6,List Paragraph5 Char6,PDP DOCUMENT SUBTITLE Char6,Table no. List Paragraph Char6,Абзац списка3 Char6,Bullet Points Char6,List Paragraph111 Char6,Bullet paras Char6,OBC Bullet Char6,Normal numbered Char6,Titulo 2 Char6"/>
    <w:basedOn w:val="DefaultParagraphFont"/>
    <w:uiPriority w:val="99"/>
    <w:semiHidden/>
    <w:locked/>
    <w:rPr>
      <w:rFonts w:ascii="Calibri" w:hAnsi="Calibri" w:cs="Times New Roman"/>
      <w:b/>
      <w:bCs/>
      <w:noProof/>
      <w:sz w:val="28"/>
      <w:szCs w:val="28"/>
      <w:lang w:val="hy-AM"/>
    </w:rPr>
  </w:style>
  <w:style w:type="character" w:customStyle="1" w:styleId="Heading4Char6">
    <w:name w:val="Heading 4 Char6"/>
    <w:aliases w:val="Абзац списка2 Char5,List Paragraph5 Char5,PDP DOCUMENT SUBTITLE Char5,Table no. List Paragraph Char5,Абзац списка3 Char5,Bullet Points Char5,List Paragraph111 Char5,Bullet paras Char5,OBC Bullet Char5,Normal numbered Char5,Titulo 2 Char5"/>
    <w:basedOn w:val="DefaultParagraphFont"/>
    <w:uiPriority w:val="99"/>
    <w:semiHidden/>
    <w:locked/>
    <w:rsid w:val="00EE436B"/>
    <w:rPr>
      <w:rFonts w:ascii="Calibri" w:hAnsi="Calibri" w:cs="Times New Roman"/>
      <w:b/>
      <w:bCs/>
      <w:noProof/>
      <w:sz w:val="28"/>
      <w:szCs w:val="28"/>
      <w:lang w:val="hy-AM"/>
    </w:rPr>
  </w:style>
  <w:style w:type="character" w:customStyle="1" w:styleId="Heading4Char5">
    <w:name w:val="Heading 4 Char5"/>
    <w:aliases w:val="Абзац списка2 Char4,List Paragraph5 Char4,PDP DOCUMENT SUBTITLE Char4,Table no. List Paragraph Char4,Абзац списка3 Char4,Bullet Points Char4,List Paragraph111 Char4,Bullet paras Char4,OBC Bullet Char4,Normal numbered Char4,Titulo 2 Char4"/>
    <w:basedOn w:val="DefaultParagraphFont"/>
    <w:uiPriority w:val="99"/>
    <w:semiHidden/>
    <w:locked/>
    <w:rsid w:val="00157128"/>
    <w:rPr>
      <w:rFonts w:ascii="Calibri" w:hAnsi="Calibri" w:cs="Times New Roman"/>
      <w:b/>
      <w:bCs/>
      <w:noProof/>
      <w:sz w:val="28"/>
      <w:szCs w:val="28"/>
      <w:lang w:val="hy-AM"/>
    </w:rPr>
  </w:style>
  <w:style w:type="character" w:customStyle="1" w:styleId="Heading4Char4">
    <w:name w:val="Heading 4 Char4"/>
    <w:aliases w:val="Абзац списка2 Char3,List Paragraph5 Char3,PDP DOCUMENT SUBTITLE Char3,Table no. List Paragraph Char3,Абзац списка3 Char3,Bullet Points Char3,List Paragraph111 Char3,Bullet paras Char3,OBC Bullet Char3,Normal numbered Char3,Titulo 2 Char3"/>
    <w:basedOn w:val="DefaultParagraphFont"/>
    <w:uiPriority w:val="99"/>
    <w:semiHidden/>
    <w:locked/>
    <w:rsid w:val="00800C77"/>
    <w:rPr>
      <w:rFonts w:ascii="Calibri" w:hAnsi="Calibri" w:cs="Times New Roman"/>
      <w:b/>
      <w:bCs/>
      <w:noProof/>
      <w:sz w:val="28"/>
      <w:szCs w:val="28"/>
      <w:lang w:val="hy-AM"/>
    </w:rPr>
  </w:style>
  <w:style w:type="character" w:customStyle="1" w:styleId="Heading4Char3">
    <w:name w:val="Heading 4 Char3"/>
    <w:aliases w:val="Абзац списка2 Char2,List Paragraph5 Char2,Centred Char1,PDP DOCUMENT SUBTITLE Char1,Table no. List Paragraph Char1,Абзац списка3 Char1,Bullet Points Char1,List Paragraph111 Char1,Bullet paras Char1,OBC Bullet Char1"/>
    <w:uiPriority w:val="99"/>
    <w:locked/>
    <w:rsid w:val="006F0D28"/>
    <w:rPr>
      <w:rFonts w:ascii="Calibri" w:hAnsi="Calibri"/>
      <w:b/>
      <w:noProof/>
      <w:sz w:val="28"/>
      <w:lang w:val="hy-AM"/>
    </w:rPr>
  </w:style>
  <w:style w:type="character" w:customStyle="1" w:styleId="Heading3Char1">
    <w:name w:val="Heading 3 Char1"/>
    <w:aliases w:val="Centered Char1,(text) Char1,(Sub-Chapter) Char1,Heading 3 Char Char Char Char Char Char Char1"/>
    <w:link w:val="Heading3"/>
    <w:uiPriority w:val="99"/>
    <w:locked/>
    <w:rsid w:val="002D4A3F"/>
    <w:rPr>
      <w:rFonts w:ascii="Times Armenian" w:hAnsi="Times Armenian"/>
      <w:b/>
      <w:i/>
      <w:noProof/>
      <w:sz w:val="26"/>
      <w:u w:val="single"/>
      <w:lang w:val="hy-AM" w:eastAsia="en-US"/>
    </w:rPr>
  </w:style>
  <w:style w:type="paragraph" w:customStyle="1" w:styleId="CharCharCharCharCharCharCharCharCharChar">
    <w:name w:val="Char Char Char Char Char Char Char Char Char Char"/>
    <w:basedOn w:val="Normal"/>
    <w:uiPriority w:val="99"/>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rsid w:val="002D4A3F"/>
    <w:pPr>
      <w:tabs>
        <w:tab w:val="center" w:pos="4320"/>
        <w:tab w:val="right" w:pos="8640"/>
      </w:tabs>
    </w:pPr>
    <w:rPr>
      <w:szCs w:val="20"/>
    </w:rPr>
  </w:style>
  <w:style w:type="character" w:customStyle="1" w:styleId="HeaderChar">
    <w:name w:val="Header Char"/>
    <w:aliases w:val="Header Char Char Char Char Char Char Char Char Char Char Char,Header Char Char Char Char Char Char Char Char Char Char Char Char Char,h Char,Header Char Char Char Char Char,Header Char Char Char Char1,Header Char Char Char1"/>
    <w:basedOn w:val="DefaultParagraphFont"/>
    <w:uiPriority w:val="99"/>
    <w:locked/>
    <w:rsid w:val="006F0D28"/>
    <w:rPr>
      <w:rFonts w:cs="Times New Roman"/>
      <w:noProof/>
      <w:sz w:val="24"/>
      <w:lang w:val="hy-AM"/>
    </w:rPr>
  </w:style>
  <w:style w:type="paragraph" w:styleId="BodyText2">
    <w:name w:val="Body Text 2"/>
    <w:basedOn w:val="Normal"/>
    <w:link w:val="BodyText2Char1"/>
    <w:uiPriority w:val="99"/>
    <w:rsid w:val="002D4A3F"/>
    <w:pPr>
      <w:spacing w:line="360" w:lineRule="auto"/>
      <w:jc w:val="both"/>
    </w:pPr>
    <w:rPr>
      <w:rFonts w:ascii="Times Armenian" w:hAnsi="Times Armenian"/>
      <w:szCs w:val="20"/>
    </w:rPr>
  </w:style>
  <w:style w:type="character" w:customStyle="1" w:styleId="BodyText2Char">
    <w:name w:val="Body Text 2 Char"/>
    <w:basedOn w:val="DefaultParagraphFont"/>
    <w:uiPriority w:val="99"/>
    <w:locked/>
    <w:rsid w:val="002D4A3F"/>
    <w:rPr>
      <w:rFonts w:ascii="Times Armenian" w:hAnsi="Times Armenian" w:cs="Times New Roman"/>
      <w:sz w:val="24"/>
      <w:lang w:val="en-US" w:eastAsia="en-US"/>
    </w:rPr>
  </w:style>
  <w:style w:type="character" w:customStyle="1" w:styleId="BodyText2Char1">
    <w:name w:val="Body Text 2 Char1"/>
    <w:link w:val="BodyText2"/>
    <w:uiPriority w:val="99"/>
    <w:locked/>
    <w:rsid w:val="002D4A3F"/>
    <w:rPr>
      <w:rFonts w:ascii="Times Armenian" w:hAnsi="Times Armenian"/>
      <w:noProof/>
      <w:sz w:val="24"/>
      <w:lang w:val="hy-AM" w:eastAsia="en-US"/>
    </w:rPr>
  </w:style>
  <w:style w:type="paragraph" w:styleId="BodyTextIndent">
    <w:name w:val="Body Text Indent"/>
    <w:aliases w:val="Body Text Indent Char,Body Text Indent Char2 Char,(Table Source) Char Char,(Table Source) Char2 Char,(Table Source) Char Char1 Char,Body Text Indent Char Char Char,(Table Source) Char3,(Table Source) Char"/>
    <w:basedOn w:val="Normal"/>
    <w:link w:val="BodyTextIndentChar1"/>
    <w:uiPriority w:val="99"/>
    <w:rsid w:val="002D4A3F"/>
    <w:pPr>
      <w:spacing w:line="360" w:lineRule="auto"/>
      <w:ind w:firstLine="720"/>
      <w:jc w:val="both"/>
    </w:pPr>
  </w:style>
  <w:style w:type="character" w:customStyle="1" w:styleId="BodyTextIndentChar1">
    <w:name w:val="Body Text Indent Char1"/>
    <w:aliases w:val="Body Text Indent Char Char,Body Text Indent Char2 Char Char,(Table Source) Char Char Char,(Table Source) Char2 Char Char,(Table Source) Char Char1 Char Char,Body Text Indent Char Char Char Char,(Table Source) Char3 Char"/>
    <w:basedOn w:val="DefaultParagraphFont"/>
    <w:link w:val="BodyTextIndent"/>
    <w:uiPriority w:val="99"/>
    <w:semiHidden/>
    <w:locked/>
    <w:rsid w:val="00800C77"/>
    <w:rPr>
      <w:rFonts w:cs="Times New Roman"/>
      <w:noProof/>
      <w:sz w:val="24"/>
      <w:szCs w:val="24"/>
      <w:lang w:val="hy-AM"/>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footnote text"/>
    <w:basedOn w:val="Normal"/>
    <w:link w:val="FootnoteTextChar2"/>
    <w:uiPriority w:val="99"/>
    <w:qFormat/>
    <w:rsid w:val="002D4A3F"/>
    <w:rPr>
      <w:sz w:val="20"/>
      <w:szCs w:val="20"/>
    </w:rPr>
  </w:style>
  <w:style w:type="character" w:customStyle="1" w:styleId="FootnoteTextChar">
    <w:name w:val="Footnote Text Char"/>
    <w:aliases w:val="fn Char1,ADB Char1,single space Char,footnote text Char Char,fn Char Char,ADB Char Char,single space Char Char Char,FOOTNOTES Char Char,FOOTNOTES Char Char Char Char,FOOTNOTES Char1,Footnote Text Char2 Char Char,f Char"/>
    <w:basedOn w:val="DefaultParagraphFont"/>
    <w:uiPriority w:val="99"/>
    <w:locked/>
    <w:rsid w:val="006F0D28"/>
    <w:rPr>
      <w:rFonts w:cs="Times New Roman"/>
      <w:noProof/>
      <w:sz w:val="20"/>
      <w:lang w:val="hy-AM"/>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link w:val="FootnoteText"/>
    <w:uiPriority w:val="99"/>
    <w:locked/>
    <w:rsid w:val="002D4A3F"/>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basedOn w:val="DefaultParagraphFont"/>
    <w:link w:val="BVIfnr1"/>
    <w:uiPriority w:val="99"/>
    <w:qFormat/>
    <w:locked/>
    <w:rsid w:val="002D4A3F"/>
    <w:rPr>
      <w:rFonts w:cs="Times New Roman"/>
      <w:vertAlign w:val="superscript"/>
    </w:rPr>
  </w:style>
  <w:style w:type="paragraph" w:styleId="Footer">
    <w:name w:val="footer"/>
    <w:basedOn w:val="Normal"/>
    <w:link w:val="FooterChar1"/>
    <w:uiPriority w:val="99"/>
    <w:rsid w:val="002D4A3F"/>
    <w:pPr>
      <w:tabs>
        <w:tab w:val="center" w:pos="4320"/>
        <w:tab w:val="right" w:pos="8640"/>
      </w:tabs>
    </w:pPr>
    <w:rPr>
      <w:szCs w:val="20"/>
    </w:rPr>
  </w:style>
  <w:style w:type="character" w:customStyle="1" w:styleId="FooterChar">
    <w:name w:val="Footer Char"/>
    <w:basedOn w:val="DefaultParagraphFont"/>
    <w:uiPriority w:val="99"/>
    <w:locked/>
    <w:rsid w:val="002D4A3F"/>
    <w:rPr>
      <w:rFonts w:cs="Times New Roman"/>
      <w:noProof/>
      <w:sz w:val="24"/>
      <w:lang w:val="hy-AM" w:eastAsia="en-US"/>
    </w:rPr>
  </w:style>
  <w:style w:type="character" w:customStyle="1" w:styleId="FooterChar1">
    <w:name w:val="Footer Char1"/>
    <w:link w:val="Footer"/>
    <w:uiPriority w:val="99"/>
    <w:locked/>
    <w:rsid w:val="002D4A3F"/>
    <w:rPr>
      <w:noProof/>
      <w:sz w:val="24"/>
      <w:lang w:val="hy-AM" w:eastAsia="en-US"/>
    </w:rPr>
  </w:style>
  <w:style w:type="paragraph" w:styleId="BodyTextIndent2">
    <w:name w:val="Body Text Indent 2"/>
    <w:basedOn w:val="Normal"/>
    <w:link w:val="BodyTextIndent2Char"/>
    <w:uiPriority w:val="99"/>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character" w:customStyle="1" w:styleId="BodyTextIndent2Char">
    <w:name w:val="Body Text Indent 2 Char"/>
    <w:basedOn w:val="DefaultParagraphFont"/>
    <w:link w:val="BodyTextIndent2"/>
    <w:uiPriority w:val="99"/>
    <w:locked/>
    <w:rsid w:val="00461412"/>
    <w:rPr>
      <w:rFonts w:ascii="Times Armenian" w:hAnsi="Times Armenian" w:cs="Times New Roman"/>
      <w:noProof/>
      <w:lang w:val="hy-AM"/>
    </w:rPr>
  </w:style>
  <w:style w:type="paragraph" w:styleId="BodyText3">
    <w:name w:val="Body Text 3"/>
    <w:basedOn w:val="Normal"/>
    <w:link w:val="BodyText3Char"/>
    <w:uiPriority w:val="99"/>
    <w:rsid w:val="002D4A3F"/>
    <w:pPr>
      <w:jc w:val="both"/>
    </w:pPr>
    <w:rPr>
      <w:rFonts w:ascii="Times Armenian" w:hAnsi="Times Armenian"/>
      <w:sz w:val="22"/>
      <w:szCs w:val="20"/>
      <w:lang w:val="en-GB"/>
    </w:rPr>
  </w:style>
  <w:style w:type="character" w:customStyle="1" w:styleId="BodyText3Char">
    <w:name w:val="Body Text 3 Char"/>
    <w:basedOn w:val="DefaultParagraphFont"/>
    <w:link w:val="BodyText3"/>
    <w:uiPriority w:val="99"/>
    <w:locked/>
    <w:rsid w:val="00461412"/>
    <w:rPr>
      <w:rFonts w:ascii="Times Armenian" w:hAnsi="Times Armenian" w:cs="Times New Roman"/>
      <w:noProof/>
      <w:sz w:val="22"/>
      <w:lang w:val="en-GB"/>
    </w:rPr>
  </w:style>
  <w:style w:type="character" w:styleId="PageNumber">
    <w:name w:val="page number"/>
    <w:basedOn w:val="DefaultParagraphFont"/>
    <w:uiPriority w:val="99"/>
    <w:rsid w:val="002D4A3F"/>
    <w:rPr>
      <w:rFonts w:cs="Times New Roman"/>
    </w:rPr>
  </w:style>
  <w:style w:type="paragraph" w:styleId="TOC1">
    <w:name w:val="toc 1"/>
    <w:basedOn w:val="Normal"/>
    <w:next w:val="Normal"/>
    <w:autoRedefine/>
    <w:uiPriority w:val="99"/>
    <w:rsid w:val="00EA4DFC"/>
    <w:pPr>
      <w:tabs>
        <w:tab w:val="right" w:leader="dot" w:pos="10198"/>
      </w:tabs>
    </w:pPr>
    <w:rPr>
      <w:rFonts w:ascii="GHEA Grapalat" w:hAnsi="GHEA Grapalat" w:cs="Sylfaen"/>
      <w:b/>
      <w:bCs/>
      <w:caps/>
      <w:color w:val="000000"/>
      <w:sz w:val="20"/>
      <w:szCs w:val="20"/>
      <w:lang w:val="en-US"/>
    </w:rPr>
  </w:style>
  <w:style w:type="paragraph" w:styleId="TOC2">
    <w:name w:val="toc 2"/>
    <w:basedOn w:val="Normal"/>
    <w:next w:val="Normal"/>
    <w:autoRedefine/>
    <w:uiPriority w:val="99"/>
    <w:rsid w:val="00913B53"/>
    <w:pPr>
      <w:tabs>
        <w:tab w:val="right" w:leader="dot" w:pos="10198"/>
      </w:tabs>
      <w:spacing w:line="276" w:lineRule="auto"/>
      <w:ind w:left="240"/>
      <w:jc w:val="center"/>
    </w:pPr>
    <w:rPr>
      <w:rFonts w:ascii="GHEA Grapalat" w:hAnsi="GHEA Grapalat"/>
      <w:bCs/>
      <w:sz w:val="20"/>
      <w:szCs w:val="20"/>
    </w:rPr>
  </w:style>
  <w:style w:type="paragraph" w:styleId="TOC3">
    <w:name w:val="toc 3"/>
    <w:basedOn w:val="Normal"/>
    <w:next w:val="Normal"/>
    <w:autoRedefine/>
    <w:uiPriority w:val="99"/>
    <w:rsid w:val="002D4A3F"/>
    <w:pPr>
      <w:ind w:left="480"/>
    </w:pPr>
    <w:rPr>
      <w:i/>
      <w:iCs/>
      <w:sz w:val="20"/>
      <w:szCs w:val="20"/>
    </w:rPr>
  </w:style>
  <w:style w:type="character" w:styleId="Hyperlink">
    <w:name w:val="Hyperlink"/>
    <w:basedOn w:val="DefaultParagraphFont"/>
    <w:uiPriority w:val="99"/>
    <w:rsid w:val="002D4A3F"/>
    <w:rPr>
      <w:rFonts w:cs="Times New Roman"/>
      <w:color w:val="0000FF"/>
      <w:u w:val="single"/>
    </w:rPr>
  </w:style>
  <w:style w:type="paragraph" w:styleId="BodyText">
    <w:name w:val="Body Text"/>
    <w:aliases w:val="(Main Text),date,Body Text (Main text)"/>
    <w:basedOn w:val="Normal"/>
    <w:link w:val="BodyTextChar2"/>
    <w:uiPriority w:val="99"/>
    <w:rsid w:val="002D4A3F"/>
    <w:pPr>
      <w:spacing w:after="120"/>
    </w:pPr>
    <w:rPr>
      <w:szCs w:val="20"/>
    </w:rPr>
  </w:style>
  <w:style w:type="character" w:customStyle="1" w:styleId="BodyTextChar">
    <w:name w:val="Body Text Char"/>
    <w:aliases w:val="(Main Text) Char,date Char,Body Text (Main text) Char"/>
    <w:basedOn w:val="DefaultParagraphFont"/>
    <w:uiPriority w:val="99"/>
    <w:locked/>
    <w:rsid w:val="006F0D28"/>
    <w:rPr>
      <w:rFonts w:cs="Times New Roman"/>
      <w:noProof/>
      <w:sz w:val="24"/>
      <w:lang w:val="hy-AM"/>
    </w:rPr>
  </w:style>
  <w:style w:type="character" w:customStyle="1" w:styleId="BodyTextChar2">
    <w:name w:val="Body Text Char2"/>
    <w:aliases w:val="(Main Text) Char1,date Char1,Body Text (Main text) Char1"/>
    <w:link w:val="BodyText"/>
    <w:uiPriority w:val="99"/>
    <w:locked/>
    <w:rsid w:val="002D4A3F"/>
    <w:rPr>
      <w:noProof/>
      <w:sz w:val="24"/>
      <w:lang w:val="hy-AM" w:eastAsia="en-US"/>
    </w:rPr>
  </w:style>
  <w:style w:type="paragraph" w:customStyle="1" w:styleId="a1">
    <w:name w:val="???????"/>
    <w:uiPriority w:val="99"/>
    <w:rsid w:val="002D4A3F"/>
    <w:rPr>
      <w:sz w:val="24"/>
      <w:szCs w:val="20"/>
      <w:lang w:eastAsia="ru-RU"/>
    </w:rPr>
  </w:style>
  <w:style w:type="paragraph" w:customStyle="1" w:styleId="10">
    <w:name w:val="???????1"/>
    <w:uiPriority w:val="99"/>
    <w:rsid w:val="002D4A3F"/>
    <w:rPr>
      <w:sz w:val="20"/>
      <w:szCs w:val="20"/>
      <w:lang w:val="ru-RU" w:eastAsia="ru-RU"/>
    </w:rPr>
  </w:style>
  <w:style w:type="paragraph" w:customStyle="1" w:styleId="3">
    <w:name w:val="???????? ????? ? ????????3"/>
    <w:basedOn w:val="a1"/>
    <w:uiPriority w:val="99"/>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uiPriority w:val="99"/>
    <w:rsid w:val="002D4A3F"/>
    <w:pPr>
      <w:spacing w:after="160" w:line="240" w:lineRule="exact"/>
    </w:pPr>
    <w:rPr>
      <w:rFonts w:ascii="Arial" w:hAnsi="Arial" w:cs="Arial"/>
      <w:sz w:val="20"/>
      <w:szCs w:val="20"/>
    </w:rPr>
  </w:style>
  <w:style w:type="paragraph" w:customStyle="1" w:styleId="Armenian">
    <w:name w:val="Armenian"/>
    <w:basedOn w:val="Normal"/>
    <w:uiPriority w:val="99"/>
    <w:rsid w:val="002D4A3F"/>
    <w:rPr>
      <w:rFonts w:ascii="Agg_Times1" w:hAnsi="Agg_Times1"/>
      <w:szCs w:val="20"/>
      <w:lang w:val="en-GB"/>
    </w:rPr>
  </w:style>
  <w:style w:type="paragraph" w:styleId="Title">
    <w:name w:val="Title"/>
    <w:basedOn w:val="Normal"/>
    <w:link w:val="TitleChar1"/>
    <w:uiPriority w:val="99"/>
    <w:qFormat/>
    <w:rsid w:val="002D4A3F"/>
    <w:pPr>
      <w:jc w:val="center"/>
    </w:pPr>
    <w:rPr>
      <w:rFonts w:ascii="Arial Armenian" w:hAnsi="Arial Armenian"/>
      <w:b/>
      <w:sz w:val="28"/>
      <w:szCs w:val="20"/>
    </w:rPr>
  </w:style>
  <w:style w:type="character" w:customStyle="1" w:styleId="TitleChar">
    <w:name w:val="Title Char"/>
    <w:basedOn w:val="DefaultParagraphFont"/>
    <w:uiPriority w:val="99"/>
    <w:locked/>
    <w:rsid w:val="002D4A3F"/>
    <w:rPr>
      <w:rFonts w:ascii="Arial Armenian" w:hAnsi="Arial Armenian" w:cs="Times New Roman"/>
      <w:b/>
      <w:noProof/>
      <w:sz w:val="28"/>
      <w:lang w:val="hy-AM" w:eastAsia="en-US"/>
    </w:rPr>
  </w:style>
  <w:style w:type="paragraph" w:styleId="BlockText">
    <w:name w:val="Block Text"/>
    <w:basedOn w:val="Normal"/>
    <w:uiPriority w:val="99"/>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Char,Char Char Char Char"/>
    <w:basedOn w:val="Normal"/>
    <w:link w:val="NormalWebChar"/>
    <w:uiPriority w:val="99"/>
    <w:rsid w:val="002D4A3F"/>
    <w:pPr>
      <w:spacing w:after="160" w:line="240" w:lineRule="exact"/>
    </w:pPr>
    <w:rPr>
      <w:szCs w:val="20"/>
    </w:rPr>
  </w:style>
  <w:style w:type="paragraph" w:styleId="BodyTextIndent3">
    <w:name w:val="Body Text Indent 3"/>
    <w:basedOn w:val="Normal"/>
    <w:link w:val="BodyTextIndent3Char"/>
    <w:uiPriority w:val="99"/>
    <w:rsid w:val="002D4A3F"/>
    <w:pPr>
      <w:spacing w:after="120"/>
      <w:ind w:left="360"/>
    </w:pPr>
    <w:rPr>
      <w:sz w:val="16"/>
      <w:szCs w:val="20"/>
    </w:rPr>
  </w:style>
  <w:style w:type="character" w:customStyle="1" w:styleId="BodyTextIndent3Char">
    <w:name w:val="Body Text Indent 3 Char"/>
    <w:basedOn w:val="DefaultParagraphFont"/>
    <w:link w:val="BodyTextIndent3"/>
    <w:uiPriority w:val="99"/>
    <w:locked/>
    <w:rsid w:val="00461412"/>
    <w:rPr>
      <w:rFonts w:cs="Times New Roman"/>
      <w:noProof/>
      <w:sz w:val="16"/>
      <w:lang w:val="hy-AM"/>
    </w:rPr>
  </w:style>
  <w:style w:type="table" w:styleId="TableGrid">
    <w:name w:val="Table Grid"/>
    <w:basedOn w:val="TableNormal"/>
    <w:uiPriority w:val="99"/>
    <w:rsid w:val="002D4A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rsid w:val="002D4A3F"/>
    <w:rPr>
      <w:rFonts w:ascii="Tahoma" w:hAnsi="Tahoma"/>
      <w:sz w:val="16"/>
      <w:szCs w:val="20"/>
    </w:rPr>
  </w:style>
  <w:style w:type="character" w:customStyle="1" w:styleId="BalloonTextChar">
    <w:name w:val="Balloon Text Char"/>
    <w:basedOn w:val="DefaultParagraphFont"/>
    <w:uiPriority w:val="99"/>
    <w:locked/>
    <w:rsid w:val="002D4A3F"/>
    <w:rPr>
      <w:rFonts w:ascii="Tahoma" w:hAnsi="Tahoma" w:cs="Times New Roman"/>
      <w:noProof/>
      <w:sz w:val="16"/>
      <w:lang w:val="hy-AM" w:eastAsia="en-US"/>
    </w:rPr>
  </w:style>
  <w:style w:type="paragraph" w:customStyle="1" w:styleId="11">
    <w:name w:val="????????1"/>
    <w:basedOn w:val="a1"/>
    <w:uiPriority w:val="99"/>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uiPriority w:val="99"/>
    <w:rsid w:val="002D4A3F"/>
    <w:pPr>
      <w:spacing w:after="200" w:line="276" w:lineRule="auto"/>
      <w:ind w:left="720"/>
      <w:contextualSpacing/>
    </w:pPr>
    <w:rPr>
      <w:rFonts w:ascii="Calibri" w:hAnsi="Calibri"/>
      <w:noProof w:val="0"/>
      <w:sz w:val="22"/>
      <w:szCs w:val="20"/>
      <w:lang w:val="ru-RU"/>
    </w:rPr>
  </w:style>
  <w:style w:type="paragraph" w:customStyle="1" w:styleId="CharCharCharCharCharCharCharCharCharCharCharCharCharCharChar">
    <w:name w:val="Char Char Char Char Знак Char Знак Char Char Char Char Char Char Char Char Char Char"/>
    <w:basedOn w:val="Normal"/>
    <w:uiPriority w:val="99"/>
    <w:rsid w:val="002D4A3F"/>
    <w:pPr>
      <w:tabs>
        <w:tab w:val="left" w:pos="709"/>
      </w:tabs>
    </w:pPr>
    <w:rPr>
      <w:rFonts w:ascii="Tahoma" w:hAnsi="Tahoma"/>
      <w:noProof w:val="0"/>
      <w:lang w:val="pl-PL" w:eastAsia="pl-PL"/>
    </w:rPr>
  </w:style>
  <w:style w:type="paragraph" w:customStyle="1" w:styleId="CharCharCharCharChar">
    <w:name w:val="Char Char Char Char Char"/>
    <w:basedOn w:val="Normal"/>
    <w:uiPriority w:val="99"/>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uiPriority w:val="99"/>
    <w:rsid w:val="002D4A3F"/>
    <w:pPr>
      <w:spacing w:after="160" w:line="240" w:lineRule="exact"/>
    </w:pPr>
    <w:rPr>
      <w:rFonts w:ascii="Verdana" w:hAnsi="Verdana"/>
      <w:noProof w:val="0"/>
      <w:sz w:val="20"/>
      <w:szCs w:val="20"/>
      <w:lang w:val="en-GB"/>
    </w:rPr>
  </w:style>
  <w:style w:type="paragraph" w:customStyle="1" w:styleId="Znak">
    <w:name w:val="Znak"/>
    <w:basedOn w:val="Normal"/>
    <w:uiPriority w:val="99"/>
    <w:rsid w:val="002D4A3F"/>
    <w:pPr>
      <w:tabs>
        <w:tab w:val="left" w:pos="709"/>
      </w:tabs>
    </w:pPr>
    <w:rPr>
      <w:rFonts w:ascii="Tahoma" w:hAnsi="Tahoma"/>
      <w:noProof w:val="0"/>
      <w:lang w:val="pl-PL" w:eastAsia="pl-PL"/>
    </w:rPr>
  </w:style>
  <w:style w:type="paragraph" w:customStyle="1" w:styleId="a2">
    <w:name w:val="Знак Знак"/>
    <w:basedOn w:val="Normal"/>
    <w:uiPriority w:val="99"/>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locked/>
    <w:rsid w:val="002D4A3F"/>
    <w:pPr>
      <w:spacing w:after="160"/>
    </w:pPr>
    <w:rPr>
      <w:rFonts w:ascii="Verdana" w:eastAsia="Batang" w:hAnsi="Verdana" w:cs="Verdana"/>
      <w:noProof w:val="0"/>
      <w:lang w:val="en-US"/>
    </w:rPr>
  </w:style>
  <w:style w:type="paragraph" w:customStyle="1" w:styleId="30">
    <w:name w:val="???????? ????? ? ???????? 3"/>
    <w:basedOn w:val="a1"/>
    <w:uiPriority w:val="99"/>
    <w:rsid w:val="002D4A3F"/>
    <w:pPr>
      <w:ind w:firstLine="360"/>
      <w:jc w:val="both"/>
    </w:pPr>
    <w:rPr>
      <w:rFonts w:ascii="Times Armenian" w:hAnsi="Times Armenian"/>
      <w:lang w:val="af-ZA"/>
    </w:rPr>
  </w:style>
  <w:style w:type="paragraph" w:customStyle="1" w:styleId="a3">
    <w:name w:val="???????? ????? ? ????????"/>
    <w:basedOn w:val="10"/>
    <w:uiPriority w:val="99"/>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rsid w:val="002D4A3F"/>
    <w:pPr>
      <w:tabs>
        <w:tab w:val="left" w:pos="709"/>
      </w:tabs>
    </w:pPr>
    <w:rPr>
      <w:rFonts w:ascii="Tahoma" w:hAnsi="Tahoma"/>
      <w:noProof w:val="0"/>
      <w:lang w:val="pl-PL" w:eastAsia="pl-PL"/>
    </w:rPr>
  </w:style>
  <w:style w:type="paragraph" w:customStyle="1" w:styleId="norm">
    <w:name w:val="norm"/>
    <w:basedOn w:val="Normal"/>
    <w:link w:val="normChar"/>
    <w:uiPriority w:val="99"/>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uiPriority w:val="99"/>
    <w:locked/>
    <w:rsid w:val="002D4A3F"/>
    <w:rPr>
      <w:rFonts w:ascii="Arial Armenian" w:hAnsi="Arial Armenian"/>
      <w:sz w:val="22"/>
      <w:lang w:val="en-US" w:eastAsia="ru-RU"/>
    </w:rPr>
  </w:style>
  <w:style w:type="character" w:styleId="Strong">
    <w:name w:val="Strong"/>
    <w:basedOn w:val="DefaultParagraphFont"/>
    <w:uiPriority w:val="99"/>
    <w:qFormat/>
    <w:rsid w:val="002D4A3F"/>
    <w:rPr>
      <w:rFonts w:cs="Times New Roman"/>
      <w:b/>
    </w:rPr>
  </w:style>
  <w:style w:type="paragraph" w:customStyle="1" w:styleId="Char1">
    <w:name w:val="Char1"/>
    <w:basedOn w:val="Normal"/>
    <w:next w:val="Normal"/>
    <w:uiPriority w:val="99"/>
    <w:rsid w:val="002D4A3F"/>
    <w:pPr>
      <w:spacing w:after="160" w:line="240" w:lineRule="exact"/>
    </w:pPr>
    <w:rPr>
      <w:rFonts w:ascii="Tahoma" w:hAnsi="Tahoma"/>
      <w:noProof w:val="0"/>
      <w:szCs w:val="20"/>
      <w:lang w:val="en-US"/>
    </w:rPr>
  </w:style>
  <w:style w:type="paragraph" w:customStyle="1" w:styleId="BodyText21">
    <w:name w:val="Body Text 21"/>
    <w:basedOn w:val="Normal"/>
    <w:uiPriority w:val="99"/>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3">
    <w:name w:val="Footnote Text Char3"/>
    <w:aliases w:val="FOOTNOTES Char2,Footnote Text Char1 Char,Footnote Text Char2 Char Char2,Footnote Text Char1 Char Char Char,Footnote Text Char2 Char Char Char Char,Footnote Text Char1 Char Char Char Char Char,Footnote Text Char31"/>
    <w:uiPriority w:val="99"/>
    <w:rsid w:val="002D4A3F"/>
    <w:rPr>
      <w:noProof/>
      <w:lang w:val="hy-AM" w:eastAsia="en-US"/>
    </w:rPr>
  </w:style>
  <w:style w:type="paragraph" w:customStyle="1" w:styleId="2">
    <w:name w:val="???????? ????? 2"/>
    <w:basedOn w:val="a1"/>
    <w:uiPriority w:val="99"/>
    <w:rsid w:val="002D4A3F"/>
    <w:pPr>
      <w:jc w:val="center"/>
    </w:pPr>
    <w:rPr>
      <w:rFonts w:ascii="Times Armenian" w:hAnsi="Times Armenian"/>
      <w:i/>
      <w:sz w:val="28"/>
    </w:rPr>
  </w:style>
  <w:style w:type="paragraph" w:customStyle="1" w:styleId="Default">
    <w:name w:val="Default"/>
    <w:link w:val="DefaultChar"/>
    <w:uiPriority w:val="99"/>
    <w:rsid w:val="002D4A3F"/>
    <w:pPr>
      <w:autoSpaceDE w:val="0"/>
      <w:autoSpaceDN w:val="0"/>
      <w:adjustRightInd w:val="0"/>
    </w:pPr>
    <w:rPr>
      <w:rFonts w:ascii="Warnock Pro" w:hAnsi="Warnock Pro"/>
      <w:color w:val="000000"/>
    </w:rPr>
  </w:style>
  <w:style w:type="paragraph" w:styleId="TOCHeading">
    <w:name w:val="TOC Heading"/>
    <w:basedOn w:val="Heading1"/>
    <w:next w:val="Normal"/>
    <w:uiPriority w:val="9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basedOn w:val="DefaultParagraphFont"/>
    <w:uiPriority w:val="99"/>
    <w:qFormat/>
    <w:rsid w:val="002D4A3F"/>
    <w:rPr>
      <w:rFonts w:cs="Times New Roman"/>
      <w:i/>
    </w:rPr>
  </w:style>
  <w:style w:type="character" w:styleId="CommentReference">
    <w:name w:val="annotation reference"/>
    <w:basedOn w:val="DefaultParagraphFont"/>
    <w:uiPriority w:val="99"/>
    <w:rsid w:val="002D4A3F"/>
    <w:rPr>
      <w:rFonts w:cs="Times New Roman"/>
      <w:sz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basedOn w:val="DefaultParagraphFont"/>
    <w:link w:val="CommentText"/>
    <w:uiPriority w:val="99"/>
    <w:locked/>
    <w:rsid w:val="0094390C"/>
    <w:rPr>
      <w:rFonts w:cs="Times New Roman"/>
      <w:noProof/>
      <w:lang w:val="hy-AM"/>
    </w:rPr>
  </w:style>
  <w:style w:type="paragraph" w:styleId="CommentSubject">
    <w:name w:val="annotation subject"/>
    <w:basedOn w:val="CommentText"/>
    <w:next w:val="CommentText"/>
    <w:link w:val="CommentSubjectChar"/>
    <w:uiPriority w:val="99"/>
    <w:rsid w:val="002D4A3F"/>
    <w:rPr>
      <w:b/>
    </w:rPr>
  </w:style>
  <w:style w:type="character" w:customStyle="1" w:styleId="CommentSubjectChar">
    <w:name w:val="Comment Subject Char"/>
    <w:basedOn w:val="CommentTextChar"/>
    <w:link w:val="CommentSubject"/>
    <w:uiPriority w:val="99"/>
    <w:locked/>
    <w:rsid w:val="002D4A3F"/>
    <w:rPr>
      <w:rFonts w:cs="Times New Roman"/>
      <w:b/>
      <w:noProof/>
      <w:lang w:val="hy-AM" w:eastAsia="en-US"/>
    </w:rPr>
  </w:style>
  <w:style w:type="paragraph" w:customStyle="1" w:styleId="CharCharCharCharCharCharCharCharCharChar4">
    <w:name w:val="Char Char Char Char Char Char Char Char Char Char4"/>
    <w:basedOn w:val="Normal"/>
    <w:uiPriority w:val="99"/>
    <w:rsid w:val="002D4A3F"/>
    <w:pPr>
      <w:spacing w:after="160" w:line="240" w:lineRule="exact"/>
    </w:pPr>
    <w:rPr>
      <w:rFonts w:ascii="Arial" w:hAnsi="Arial" w:cs="Arial"/>
      <w:noProof w:val="0"/>
      <w:sz w:val="20"/>
      <w:szCs w:val="20"/>
      <w:lang w:val="en-US"/>
    </w:rPr>
  </w:style>
  <w:style w:type="character" w:styleId="FollowedHyperlink">
    <w:name w:val="FollowedHyperlink"/>
    <w:basedOn w:val="DefaultParagraphFont"/>
    <w:uiPriority w:val="99"/>
    <w:rsid w:val="002D4A3F"/>
    <w:rPr>
      <w:rFonts w:cs="Times New Roman"/>
      <w:color w:val="800080"/>
      <w:u w:val="single"/>
    </w:rPr>
  </w:style>
  <w:style w:type="paragraph" w:customStyle="1" w:styleId="Char3CharCharChar">
    <w:name w:val="Char3 Char Char Char"/>
    <w:basedOn w:val="Normal"/>
    <w:next w:val="Normal"/>
    <w:uiPriority w:val="99"/>
    <w:semiHidden/>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Paragraphe de liste PBLH"/>
    <w:basedOn w:val="Normal"/>
    <w:uiPriority w:val="99"/>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uiPriority w:val="99"/>
    <w:rsid w:val="002D4A3F"/>
    <w:rPr>
      <w:rFonts w:eastAsia="SimSun"/>
      <w:noProof w:val="0"/>
      <w:sz w:val="20"/>
      <w:szCs w:val="20"/>
      <w:lang w:val="en-US" w:eastAsia="ru-RU"/>
    </w:rPr>
  </w:style>
  <w:style w:type="paragraph" w:customStyle="1" w:styleId="mechtex">
    <w:name w:val="mechtex"/>
    <w:basedOn w:val="Normal"/>
    <w:link w:val="mechtexChar"/>
    <w:uiPriority w:val="99"/>
    <w:rsid w:val="002D4A3F"/>
    <w:pPr>
      <w:jc w:val="center"/>
    </w:pPr>
    <w:rPr>
      <w:rFonts w:ascii="Arial Armenian" w:hAnsi="Arial Armenian"/>
      <w:noProof w:val="0"/>
      <w:sz w:val="22"/>
      <w:szCs w:val="20"/>
      <w:lang w:val="en-US" w:eastAsia="ru-RU"/>
    </w:rPr>
  </w:style>
  <w:style w:type="character" w:customStyle="1" w:styleId="mechtexChar">
    <w:name w:val="mechtex Char"/>
    <w:link w:val="mechtex"/>
    <w:uiPriority w:val="99"/>
    <w:locked/>
    <w:rsid w:val="002D4A3F"/>
    <w:rPr>
      <w:rFonts w:ascii="Arial Armenian" w:hAnsi="Arial Armenian"/>
      <w:sz w:val="22"/>
      <w:lang w:val="en-US" w:eastAsia="ru-RU"/>
    </w:rPr>
  </w:style>
  <w:style w:type="paragraph" w:customStyle="1" w:styleId="6">
    <w:name w:val="Знак Знак6"/>
    <w:basedOn w:val="Normal"/>
    <w:autoRedefine/>
    <w:uiPriority w:val="99"/>
    <w:rsid w:val="002D4A3F"/>
    <w:rPr>
      <w:rFonts w:eastAsia="SimSun"/>
      <w:noProof w:val="0"/>
      <w:sz w:val="20"/>
      <w:szCs w:val="20"/>
      <w:lang w:val="en-US" w:eastAsia="ru-RU"/>
    </w:rPr>
  </w:style>
  <w:style w:type="paragraph" w:customStyle="1" w:styleId="Znak4">
    <w:name w:val="Znak4"/>
    <w:basedOn w:val="Normal"/>
    <w:uiPriority w:val="99"/>
    <w:rsid w:val="002D4A3F"/>
    <w:pPr>
      <w:tabs>
        <w:tab w:val="left" w:pos="709"/>
      </w:tabs>
    </w:pPr>
    <w:rPr>
      <w:rFonts w:ascii="Tahoma" w:hAnsi="Tahoma"/>
      <w:noProof w:val="0"/>
      <w:lang w:val="pl-PL" w:eastAsia="pl-PL"/>
    </w:rPr>
  </w:style>
  <w:style w:type="paragraph" w:styleId="EndnoteText">
    <w:name w:val="endnote text"/>
    <w:basedOn w:val="Normal"/>
    <w:link w:val="EndnoteTextChar"/>
    <w:uiPriority w:val="99"/>
    <w:rsid w:val="002D4A3F"/>
    <w:rPr>
      <w:noProof w:val="0"/>
      <w:sz w:val="20"/>
      <w:szCs w:val="20"/>
      <w:lang w:val="en-US"/>
    </w:rPr>
  </w:style>
  <w:style w:type="character" w:customStyle="1" w:styleId="EndnoteTextChar">
    <w:name w:val="Endnote Text Char"/>
    <w:basedOn w:val="DefaultParagraphFont"/>
    <w:link w:val="EndnoteText"/>
    <w:uiPriority w:val="99"/>
    <w:locked/>
    <w:rsid w:val="002D4A3F"/>
    <w:rPr>
      <w:rFonts w:cs="Times New Roman"/>
      <w:lang w:val="en-US" w:eastAsia="en-US"/>
    </w:rPr>
  </w:style>
  <w:style w:type="character" w:customStyle="1" w:styleId="t101">
    <w:name w:val="t101"/>
    <w:uiPriority w:val="99"/>
    <w:rsid w:val="002D4A3F"/>
    <w:rPr>
      <w:b/>
      <w:color w:val="0000FF"/>
    </w:rPr>
  </w:style>
  <w:style w:type="paragraph" w:styleId="Caption">
    <w:name w:val="caption"/>
    <w:basedOn w:val="Normal"/>
    <w:next w:val="Normal"/>
    <w:uiPriority w:val="99"/>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uiPriority w:val="99"/>
    <w:rsid w:val="002D4A3F"/>
    <w:pPr>
      <w:spacing w:after="120"/>
      <w:ind w:left="360"/>
    </w:pPr>
    <w:rPr>
      <w:noProof w:val="0"/>
      <w:sz w:val="20"/>
      <w:lang w:val="en-US"/>
    </w:rPr>
  </w:style>
  <w:style w:type="table" w:styleId="TableColumns2">
    <w:name w:val="Table Columns 2"/>
    <w:basedOn w:val="TableNormal"/>
    <w:uiPriority w:val="99"/>
    <w:rsid w:val="002D4A3F"/>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2D4A3F"/>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rsid w:val="002D4A3F"/>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uiPriority w:val="99"/>
    <w:rsid w:val="002D4A3F"/>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uiPriority w:val="99"/>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uiPriority w:val="99"/>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locked/>
    <w:rsid w:val="002D4A3F"/>
    <w:pPr>
      <w:spacing w:after="160"/>
    </w:pPr>
    <w:rPr>
      <w:rFonts w:ascii="Verdana" w:eastAsia="Batang" w:hAnsi="Verdana" w:cs="Verdana"/>
      <w:noProof w:val="0"/>
      <w:lang w:val="en-US"/>
    </w:rPr>
  </w:style>
  <w:style w:type="paragraph" w:customStyle="1" w:styleId="12">
    <w:name w:val="Знак Знак1"/>
    <w:basedOn w:val="Normal"/>
    <w:uiPriority w:val="99"/>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uiPriority w:val="99"/>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uiPriority w:val="99"/>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rsid w:val="002D4A3F"/>
    <w:rPr>
      <w:rFonts w:ascii="Sylfaen" w:hAnsi="Sylfaen"/>
      <w:color w:val="auto"/>
    </w:rPr>
  </w:style>
  <w:style w:type="paragraph" w:customStyle="1" w:styleId="StyleHeading2ChapterParanumTextSylfaen1">
    <w:name w:val="Style Heading 2.(Chapter).Paranum.Text + Sylfaen1"/>
    <w:basedOn w:val="Default"/>
    <w:next w:val="Default"/>
    <w:uiPriority w:val="99"/>
    <w:rsid w:val="002D4A3F"/>
    <w:rPr>
      <w:rFonts w:ascii="Sylfaen" w:hAnsi="Sylfaen"/>
      <w:color w:val="auto"/>
    </w:rPr>
  </w:style>
  <w:style w:type="paragraph" w:customStyle="1" w:styleId="BodyText1">
    <w:name w:val="Body Text1"/>
    <w:basedOn w:val="Default"/>
    <w:next w:val="Default"/>
    <w:uiPriority w:val="99"/>
    <w:rsid w:val="002D4A3F"/>
    <w:rPr>
      <w:rFonts w:ascii="Sylfaen" w:hAnsi="Sylfaen"/>
      <w:color w:val="auto"/>
    </w:rPr>
  </w:style>
  <w:style w:type="paragraph" w:customStyle="1" w:styleId="20">
    <w:name w:val="Знак Знак2"/>
    <w:basedOn w:val="Normal"/>
    <w:uiPriority w:val="99"/>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rsid w:val="002D4A3F"/>
    <w:pPr>
      <w:overflowPunct w:val="0"/>
      <w:autoSpaceDE w:val="0"/>
      <w:autoSpaceDN w:val="0"/>
      <w:adjustRightInd w:val="0"/>
      <w:spacing w:after="220"/>
      <w:jc w:val="both"/>
      <w:textAlignment w:val="baseline"/>
    </w:pPr>
    <w:rPr>
      <w:noProof w:val="0"/>
      <w:sz w:val="22"/>
      <w:szCs w:val="20"/>
      <w:lang w:val="en-GB"/>
    </w:rPr>
  </w:style>
  <w:style w:type="paragraph" w:styleId="ListBullet">
    <w:name w:val="List Bullet"/>
    <w:basedOn w:val="Normal"/>
    <w:autoRedefine/>
    <w:uiPriority w:val="99"/>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2">
    <w:name w:val="(Main Text) Char2"/>
    <w:aliases w:val="date Char2,Body Text (Main text) Char Char,Body Text Char3,Body Text (Main text) Char2,Body Text Char31,(Main Text) Char21,date Char21,Body Text (Main text) Char21"/>
    <w:uiPriority w:val="99"/>
    <w:locked/>
    <w:rsid w:val="002D4A3F"/>
    <w:rPr>
      <w:rFonts w:ascii="Times LatArm" w:hAnsi="Times LatArm"/>
      <w:b/>
      <w:sz w:val="40"/>
      <w:lang w:val="en-GB" w:eastAsia="en-US"/>
    </w:rPr>
  </w:style>
  <w:style w:type="paragraph" w:styleId="PlainText">
    <w:name w:val="Plain Text"/>
    <w:basedOn w:val="Normal"/>
    <w:link w:val="PlainTextChar1"/>
    <w:uiPriority w:val="99"/>
    <w:rsid w:val="002D4A3F"/>
    <w:rPr>
      <w:rFonts w:ascii="Courier New" w:hAnsi="Courier New"/>
      <w:noProof w:val="0"/>
      <w:sz w:val="20"/>
      <w:szCs w:val="20"/>
      <w:lang w:val="en-US"/>
    </w:rPr>
  </w:style>
  <w:style w:type="character" w:customStyle="1" w:styleId="PlainTextChar">
    <w:name w:val="Plain Text Char"/>
    <w:basedOn w:val="DefaultParagraphFont"/>
    <w:uiPriority w:val="99"/>
    <w:locked/>
    <w:rsid w:val="003263E2"/>
    <w:rPr>
      <w:rFonts w:ascii="Consolas" w:hAnsi="Consolas" w:cs="Times New Roman"/>
      <w:sz w:val="21"/>
    </w:rPr>
  </w:style>
  <w:style w:type="paragraph" w:customStyle="1" w:styleId="Tabletext">
    <w:name w:val="Tabletext"/>
    <w:basedOn w:val="Normal"/>
    <w:uiPriority w:val="99"/>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rsid w:val="002D4A3F"/>
    <w:pPr>
      <w:keepNext/>
      <w:spacing w:after="130"/>
      <w:jc w:val="center"/>
    </w:pPr>
  </w:style>
  <w:style w:type="paragraph" w:customStyle="1" w:styleId="Bullet">
    <w:name w:val="Bullet"/>
    <w:aliases w:val="bl,Bullet L1,bl1"/>
    <w:basedOn w:val="Normal"/>
    <w:uiPriority w:val="99"/>
    <w:rsid w:val="002D4A3F"/>
    <w:pPr>
      <w:numPr>
        <w:numId w:val="3"/>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tabs>
        <w:tab w:val="num" w:pos="643"/>
      </w:tabs>
      <w:ind w:left="643" w:hanging="360"/>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rsid w:val="002D4A3F"/>
    <w:pPr>
      <w:pageBreakBefore/>
      <w:overflowPunct w:val="0"/>
      <w:autoSpaceDE w:val="0"/>
      <w:autoSpaceDN w:val="0"/>
      <w:adjustRightInd w:val="0"/>
      <w:textAlignment w:val="baseline"/>
    </w:pPr>
    <w:rPr>
      <w:noProof/>
      <w:sz w:val="36"/>
      <w:szCs w:val="20"/>
      <w:lang w:val="en-GB"/>
    </w:rPr>
  </w:style>
  <w:style w:type="paragraph" w:customStyle="1" w:styleId="CaptionSubtitle">
    <w:name w:val="Caption: Subtitle"/>
    <w:uiPriority w:val="99"/>
    <w:rsid w:val="002D4A3F"/>
    <w:rPr>
      <w:rFonts w:ascii="Arial" w:hAnsi="Arial"/>
      <w:noProof/>
      <w:sz w:val="18"/>
      <w:szCs w:val="20"/>
    </w:rPr>
  </w:style>
  <w:style w:type="paragraph" w:customStyle="1" w:styleId="KLegalHeading3">
    <w:name w:val="KLegal Heading 3"/>
    <w:basedOn w:val="Normal"/>
    <w:next w:val="Text"/>
    <w:uiPriority w:val="99"/>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paragraph" w:customStyle="1" w:styleId="font5">
    <w:name w:val="font5"/>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rsid w:val="002D4A3F"/>
    <w:pPr>
      <w:spacing w:before="100" w:beforeAutospacing="1" w:after="100" w:afterAutospacing="1"/>
      <w:textAlignment w:val="center"/>
    </w:pPr>
    <w:rPr>
      <w:noProof w:val="0"/>
      <w:lang w:val="en-US"/>
    </w:rPr>
  </w:style>
  <w:style w:type="paragraph" w:customStyle="1" w:styleId="xl66">
    <w:name w:val="xl66"/>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uiPriority w:val="99"/>
    <w:qFormat/>
    <w:rsid w:val="002D4A3F"/>
    <w:pPr>
      <w:jc w:val="center"/>
    </w:pPr>
    <w:rPr>
      <w:rFonts w:ascii="Times LatArm" w:hAnsi="Times LatArm"/>
      <w:b/>
      <w:noProof w:val="0"/>
      <w:szCs w:val="20"/>
      <w:lang w:val="en-US"/>
    </w:rPr>
  </w:style>
  <w:style w:type="character" w:customStyle="1" w:styleId="SubtitleChar">
    <w:name w:val="Subtitle Char"/>
    <w:basedOn w:val="DefaultParagraphFont"/>
    <w:uiPriority w:val="99"/>
    <w:locked/>
    <w:rsid w:val="00FD33BB"/>
    <w:rPr>
      <w:rFonts w:ascii="Times LatArm" w:hAnsi="Times LatArm" w:cs="Times New Roman"/>
      <w:b/>
      <w:sz w:val="24"/>
      <w:lang w:val="en-US" w:eastAsia="en-US"/>
    </w:rPr>
  </w:style>
  <w:style w:type="paragraph" w:customStyle="1" w:styleId="xl24">
    <w:name w:val="xl24"/>
    <w:basedOn w:val="Normal"/>
    <w:uiPriority w:val="99"/>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rsid w:val="002D4A3F"/>
    <w:pPr>
      <w:spacing w:after="240"/>
      <w:jc w:val="both"/>
    </w:pPr>
    <w:rPr>
      <w:rFonts w:ascii="Arial AM" w:hAnsi="Arial AM"/>
      <w:noProof w:val="0"/>
      <w:spacing w:val="-5"/>
      <w:lang w:val="en-GB"/>
    </w:rPr>
  </w:style>
  <w:style w:type="paragraph" w:customStyle="1" w:styleId="CoverSubTitle">
    <w:name w:val="Cover SubTitle"/>
    <w:basedOn w:val="Normal"/>
    <w:uiPriority w:val="99"/>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0">
    <w:name w:val="Char Char Char Знак Знак"/>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uiPriority w:val="99"/>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rsid w:val="002D4A3F"/>
    <w:pPr>
      <w:spacing w:after="200" w:line="276" w:lineRule="auto"/>
      <w:ind w:left="720"/>
      <w:contextualSpacing/>
    </w:pPr>
    <w:rPr>
      <w:rFonts w:ascii="Calibri" w:hAnsi="Calibri"/>
      <w:noProof w:val="0"/>
      <w:sz w:val="22"/>
      <w:szCs w:val="22"/>
      <w:lang w:val="ru-RU"/>
    </w:rPr>
  </w:style>
  <w:style w:type="paragraph" w:styleId="NoSpacing">
    <w:name w:val="No Spacing"/>
    <w:link w:val="NoSpacingChar"/>
    <w:uiPriority w:val="99"/>
    <w:qFormat/>
    <w:rsid w:val="002D4A3F"/>
    <w:rPr>
      <w:rFonts w:ascii="Calibri" w:hAnsi="Calibri"/>
    </w:rPr>
  </w:style>
  <w:style w:type="paragraph" w:styleId="DocumentMap">
    <w:name w:val="Document Map"/>
    <w:basedOn w:val="Normal"/>
    <w:link w:val="DocumentMapChar"/>
    <w:uiPriority w:val="99"/>
    <w:rsid w:val="002D4A3F"/>
    <w:pPr>
      <w:shd w:val="clear" w:color="auto" w:fill="000080"/>
    </w:pPr>
    <w:rPr>
      <w:rFonts w:ascii="Tahoma" w:hAnsi="Tahoma"/>
      <w:noProof w:val="0"/>
      <w:sz w:val="20"/>
      <w:szCs w:val="20"/>
      <w:lang w:val="en-US"/>
    </w:rPr>
  </w:style>
  <w:style w:type="character" w:customStyle="1" w:styleId="DocumentMapChar">
    <w:name w:val="Document Map Char"/>
    <w:basedOn w:val="DefaultParagraphFont"/>
    <w:link w:val="DocumentMap"/>
    <w:uiPriority w:val="99"/>
    <w:locked/>
    <w:rsid w:val="00797239"/>
    <w:rPr>
      <w:rFonts w:ascii="Tahoma" w:hAnsi="Tahoma" w:cs="Times New Roman"/>
      <w:shd w:val="clear" w:color="auto" w:fill="000080"/>
    </w:rPr>
  </w:style>
  <w:style w:type="character" w:customStyle="1" w:styleId="CharChar6">
    <w:name w:val="Char Char6"/>
    <w:uiPriority w:val="99"/>
    <w:rsid w:val="002D4A3F"/>
    <w:rPr>
      <w:rFonts w:ascii="Times Armenian" w:hAnsi="Times Armenian"/>
      <w:b/>
      <w:i/>
      <w:noProof/>
      <w:sz w:val="26"/>
      <w:u w:val="single"/>
      <w:lang w:val="hy-AM" w:eastAsia="en-US"/>
    </w:rPr>
  </w:style>
  <w:style w:type="character" w:customStyle="1" w:styleId="CharChar5">
    <w:name w:val="Char Char5"/>
    <w:uiPriority w:val="99"/>
    <w:rsid w:val="002D4A3F"/>
    <w:rPr>
      <w:rFonts w:ascii="Times Armenian" w:hAnsi="Times Armenian"/>
      <w:noProof/>
      <w:sz w:val="24"/>
      <w:lang w:val="hy-AM" w:eastAsia="en-US"/>
    </w:rPr>
  </w:style>
  <w:style w:type="character" w:customStyle="1" w:styleId="CharChar4">
    <w:name w:val="Char Char4"/>
    <w:uiPriority w:val="99"/>
    <w:rsid w:val="002D4A3F"/>
    <w:rPr>
      <w:noProof/>
      <w:lang w:val="hy-AM" w:eastAsia="en-US"/>
    </w:rPr>
  </w:style>
  <w:style w:type="paragraph" w:styleId="BodyTextFirstIndent">
    <w:name w:val="Body Text First Indent"/>
    <w:basedOn w:val="BodyText"/>
    <w:link w:val="BodyTextFirstIndentChar"/>
    <w:uiPriority w:val="99"/>
    <w:rsid w:val="002D4A3F"/>
    <w:pPr>
      <w:spacing w:line="360" w:lineRule="auto"/>
      <w:ind w:firstLine="210"/>
      <w:jc w:val="both"/>
    </w:pPr>
    <w:rPr>
      <w:rFonts w:ascii="Calibri" w:hAnsi="Calibri"/>
      <w:sz w:val="22"/>
    </w:rPr>
  </w:style>
  <w:style w:type="character" w:customStyle="1" w:styleId="BodyTextFirstIndentChar">
    <w:name w:val="Body Text First Indent Char"/>
    <w:basedOn w:val="BodyTextChar2"/>
    <w:link w:val="BodyTextFirstIndent"/>
    <w:uiPriority w:val="99"/>
    <w:locked/>
    <w:rsid w:val="00797239"/>
    <w:rPr>
      <w:rFonts w:ascii="Calibri" w:hAnsi="Calibri" w:cs="Times New Roman"/>
      <w:noProof/>
      <w:sz w:val="22"/>
      <w:lang w:val="hy-AM" w:eastAsia="en-US"/>
    </w:rPr>
  </w:style>
  <w:style w:type="character" w:customStyle="1" w:styleId="apple-style-span">
    <w:name w:val="apple-style-span"/>
    <w:uiPriority w:val="99"/>
    <w:rsid w:val="002D4A3F"/>
  </w:style>
  <w:style w:type="paragraph" w:styleId="TOC4">
    <w:name w:val="toc 4"/>
    <w:basedOn w:val="Normal"/>
    <w:next w:val="Normal"/>
    <w:autoRedefine/>
    <w:uiPriority w:val="99"/>
    <w:rsid w:val="002D4A3F"/>
    <w:pPr>
      <w:ind w:left="720"/>
    </w:pPr>
    <w:rPr>
      <w:sz w:val="18"/>
      <w:szCs w:val="18"/>
    </w:rPr>
  </w:style>
  <w:style w:type="paragraph" w:styleId="TOC5">
    <w:name w:val="toc 5"/>
    <w:basedOn w:val="Normal"/>
    <w:next w:val="Normal"/>
    <w:autoRedefine/>
    <w:uiPriority w:val="99"/>
    <w:rsid w:val="002D4A3F"/>
    <w:pPr>
      <w:ind w:left="960"/>
    </w:pPr>
    <w:rPr>
      <w:sz w:val="18"/>
      <w:szCs w:val="18"/>
    </w:rPr>
  </w:style>
  <w:style w:type="paragraph" w:styleId="TOC6">
    <w:name w:val="toc 6"/>
    <w:basedOn w:val="Normal"/>
    <w:next w:val="Normal"/>
    <w:autoRedefine/>
    <w:uiPriority w:val="99"/>
    <w:rsid w:val="002D4A3F"/>
    <w:pPr>
      <w:ind w:left="1200"/>
    </w:pPr>
    <w:rPr>
      <w:sz w:val="18"/>
      <w:szCs w:val="18"/>
    </w:rPr>
  </w:style>
  <w:style w:type="paragraph" w:styleId="TOC7">
    <w:name w:val="toc 7"/>
    <w:basedOn w:val="Normal"/>
    <w:next w:val="Normal"/>
    <w:autoRedefine/>
    <w:uiPriority w:val="99"/>
    <w:rsid w:val="002D4A3F"/>
    <w:pPr>
      <w:ind w:left="1440"/>
    </w:pPr>
    <w:rPr>
      <w:sz w:val="18"/>
      <w:szCs w:val="18"/>
    </w:rPr>
  </w:style>
  <w:style w:type="paragraph" w:styleId="TOC8">
    <w:name w:val="toc 8"/>
    <w:basedOn w:val="Normal"/>
    <w:next w:val="Normal"/>
    <w:autoRedefine/>
    <w:uiPriority w:val="99"/>
    <w:rsid w:val="002D4A3F"/>
    <w:pPr>
      <w:ind w:left="1680"/>
    </w:pPr>
    <w:rPr>
      <w:sz w:val="18"/>
      <w:szCs w:val="18"/>
    </w:rPr>
  </w:style>
  <w:style w:type="paragraph" w:styleId="TOC9">
    <w:name w:val="toc 9"/>
    <w:basedOn w:val="Normal"/>
    <w:next w:val="Normal"/>
    <w:autoRedefine/>
    <w:uiPriority w:val="99"/>
    <w:rsid w:val="002D4A3F"/>
    <w:pPr>
      <w:ind w:left="1920"/>
    </w:pPr>
    <w:rPr>
      <w:sz w:val="18"/>
      <w:szCs w:val="18"/>
    </w:rPr>
  </w:style>
  <w:style w:type="paragraph" w:customStyle="1" w:styleId="book-title">
    <w:name w:val="book-title"/>
    <w:basedOn w:val="Normal"/>
    <w:uiPriority w:val="99"/>
    <w:rsid w:val="002D4A3F"/>
    <w:pPr>
      <w:spacing w:before="100" w:beforeAutospacing="1" w:after="100" w:afterAutospacing="1"/>
    </w:pPr>
    <w:rPr>
      <w:noProof w:val="0"/>
      <w:lang w:val="en-US"/>
    </w:rPr>
  </w:style>
  <w:style w:type="character" w:customStyle="1" w:styleId="BalloonTextChar1">
    <w:name w:val="Balloon Text Char1"/>
    <w:link w:val="BalloonText"/>
    <w:uiPriority w:val="99"/>
    <w:locked/>
    <w:rsid w:val="002D4A3F"/>
    <w:rPr>
      <w:rFonts w:ascii="Tahoma" w:hAnsi="Tahoma"/>
      <w:noProof/>
      <w:sz w:val="16"/>
      <w:lang w:val="hy-AM"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uiPriority w:val="99"/>
    <w:rsid w:val="002D4A3F"/>
  </w:style>
  <w:style w:type="character" w:customStyle="1" w:styleId="a5">
    <w:name w:val="Основной текст_"/>
    <w:link w:val="13"/>
    <w:uiPriority w:val="99"/>
    <w:locked/>
    <w:rsid w:val="002D4A3F"/>
    <w:rPr>
      <w:rFonts w:ascii="Tahoma" w:hAnsi="Tahoma"/>
      <w:sz w:val="19"/>
      <w:shd w:val="clear" w:color="auto" w:fill="FFFFFF"/>
    </w:rPr>
  </w:style>
  <w:style w:type="paragraph" w:customStyle="1" w:styleId="13">
    <w:name w:val="Основной текст1"/>
    <w:basedOn w:val="Normal"/>
    <w:link w:val="a5"/>
    <w:uiPriority w:val="99"/>
    <w:rsid w:val="002D4A3F"/>
    <w:pPr>
      <w:shd w:val="clear" w:color="auto" w:fill="FFFFFF"/>
      <w:spacing w:line="240" w:lineRule="atLeast"/>
      <w:ind w:hanging="360"/>
    </w:pPr>
    <w:rPr>
      <w:rFonts w:ascii="Tahoma" w:hAnsi="Tahoma"/>
      <w:noProof w:val="0"/>
      <w:sz w:val="19"/>
      <w:szCs w:val="20"/>
      <w:shd w:val="clear" w:color="auto" w:fill="FFFFFF"/>
      <w:lang w:val="en-US"/>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uiPriority w:val="99"/>
    <w:rsid w:val="002D4A3F"/>
    <w:rPr>
      <w:noProof/>
      <w:lang w:val="hy-AM" w:eastAsia="en-US"/>
    </w:rPr>
  </w:style>
  <w:style w:type="paragraph" w:customStyle="1" w:styleId="yiv1819130750msonormal">
    <w:name w:val="yiv1819130750msonormal"/>
    <w:basedOn w:val="Normal"/>
    <w:uiPriority w:val="99"/>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rsid w:val="002D4A3F"/>
    <w:rPr>
      <w:sz w:val="24"/>
      <w:szCs w:val="24"/>
      <w:lang w:eastAsia="en-GB"/>
    </w:rPr>
  </w:style>
  <w:style w:type="character" w:customStyle="1" w:styleId="NoSpacingChar">
    <w:name w:val="No Spacing Char"/>
    <w:link w:val="NoSpacing"/>
    <w:uiPriority w:val="99"/>
    <w:locked/>
    <w:rsid w:val="002D4A3F"/>
    <w:rPr>
      <w:rFonts w:ascii="Calibri" w:hAnsi="Calibri"/>
      <w:sz w:val="22"/>
    </w:rPr>
  </w:style>
  <w:style w:type="paragraph" w:styleId="Index1">
    <w:name w:val="index 1"/>
    <w:basedOn w:val="Normal"/>
    <w:next w:val="Normal"/>
    <w:autoRedefine/>
    <w:uiPriority w:val="99"/>
    <w:rsid w:val="002D4A3F"/>
    <w:pPr>
      <w:ind w:left="240" w:hanging="240"/>
    </w:pPr>
    <w:rPr>
      <w:sz w:val="20"/>
      <w:szCs w:val="20"/>
    </w:rPr>
  </w:style>
  <w:style w:type="paragraph" w:styleId="Index2">
    <w:name w:val="index 2"/>
    <w:basedOn w:val="Normal"/>
    <w:next w:val="Normal"/>
    <w:autoRedefine/>
    <w:uiPriority w:val="99"/>
    <w:rsid w:val="002D4A3F"/>
    <w:pPr>
      <w:ind w:left="480" w:hanging="240"/>
    </w:pPr>
    <w:rPr>
      <w:sz w:val="20"/>
      <w:szCs w:val="20"/>
    </w:rPr>
  </w:style>
  <w:style w:type="paragraph" w:styleId="Index3">
    <w:name w:val="index 3"/>
    <w:basedOn w:val="Normal"/>
    <w:next w:val="Normal"/>
    <w:autoRedefine/>
    <w:uiPriority w:val="99"/>
    <w:rsid w:val="002D4A3F"/>
    <w:pPr>
      <w:ind w:left="720" w:hanging="240"/>
    </w:pPr>
    <w:rPr>
      <w:sz w:val="20"/>
      <w:szCs w:val="20"/>
    </w:rPr>
  </w:style>
  <w:style w:type="paragraph" w:styleId="Index4">
    <w:name w:val="index 4"/>
    <w:basedOn w:val="Normal"/>
    <w:next w:val="Normal"/>
    <w:autoRedefine/>
    <w:uiPriority w:val="99"/>
    <w:rsid w:val="002D4A3F"/>
    <w:pPr>
      <w:ind w:left="960" w:hanging="240"/>
    </w:pPr>
    <w:rPr>
      <w:sz w:val="20"/>
      <w:szCs w:val="20"/>
    </w:rPr>
  </w:style>
  <w:style w:type="paragraph" w:styleId="Index5">
    <w:name w:val="index 5"/>
    <w:basedOn w:val="Normal"/>
    <w:next w:val="Normal"/>
    <w:autoRedefine/>
    <w:uiPriority w:val="99"/>
    <w:rsid w:val="002D4A3F"/>
    <w:pPr>
      <w:ind w:left="1200" w:hanging="240"/>
    </w:pPr>
    <w:rPr>
      <w:sz w:val="20"/>
      <w:szCs w:val="20"/>
    </w:rPr>
  </w:style>
  <w:style w:type="paragraph" w:styleId="Index6">
    <w:name w:val="index 6"/>
    <w:basedOn w:val="Normal"/>
    <w:next w:val="Normal"/>
    <w:autoRedefine/>
    <w:uiPriority w:val="99"/>
    <w:rsid w:val="002D4A3F"/>
    <w:pPr>
      <w:ind w:left="1440" w:hanging="240"/>
    </w:pPr>
    <w:rPr>
      <w:sz w:val="20"/>
      <w:szCs w:val="20"/>
    </w:rPr>
  </w:style>
  <w:style w:type="paragraph" w:styleId="Index7">
    <w:name w:val="index 7"/>
    <w:basedOn w:val="Normal"/>
    <w:next w:val="Normal"/>
    <w:autoRedefine/>
    <w:uiPriority w:val="99"/>
    <w:rsid w:val="002D4A3F"/>
    <w:pPr>
      <w:ind w:left="1680" w:hanging="240"/>
    </w:pPr>
    <w:rPr>
      <w:sz w:val="20"/>
      <w:szCs w:val="20"/>
    </w:rPr>
  </w:style>
  <w:style w:type="paragraph" w:styleId="Index8">
    <w:name w:val="index 8"/>
    <w:basedOn w:val="Normal"/>
    <w:next w:val="Normal"/>
    <w:autoRedefine/>
    <w:uiPriority w:val="99"/>
    <w:rsid w:val="002D4A3F"/>
    <w:pPr>
      <w:ind w:left="1920" w:hanging="240"/>
    </w:pPr>
    <w:rPr>
      <w:sz w:val="20"/>
      <w:szCs w:val="20"/>
    </w:rPr>
  </w:style>
  <w:style w:type="paragraph" w:styleId="Index9">
    <w:name w:val="index 9"/>
    <w:basedOn w:val="Normal"/>
    <w:next w:val="Normal"/>
    <w:autoRedefine/>
    <w:uiPriority w:val="99"/>
    <w:rsid w:val="002D4A3F"/>
    <w:pPr>
      <w:ind w:left="2160" w:hanging="240"/>
    </w:pPr>
    <w:rPr>
      <w:sz w:val="20"/>
      <w:szCs w:val="20"/>
    </w:rPr>
  </w:style>
  <w:style w:type="paragraph" w:styleId="IndexHeading">
    <w:name w:val="index heading"/>
    <w:basedOn w:val="Normal"/>
    <w:next w:val="Index1"/>
    <w:uiPriority w:val="99"/>
    <w:rsid w:val="002D4A3F"/>
    <w:pPr>
      <w:spacing w:before="120" w:after="120"/>
    </w:pPr>
    <w:rPr>
      <w:b/>
      <w:bCs/>
      <w:i/>
      <w:iCs/>
      <w:sz w:val="20"/>
      <w:szCs w:val="20"/>
    </w:rPr>
  </w:style>
  <w:style w:type="character" w:customStyle="1" w:styleId="Heading1Char1">
    <w:name w:val="Heading 1 Char1"/>
    <w:link w:val="Heading1"/>
    <w:uiPriority w:val="99"/>
    <w:locked/>
    <w:rsid w:val="002D4A3F"/>
    <w:rPr>
      <w:rFonts w:ascii="Times Armenian" w:hAnsi="Times Armenian"/>
      <w:b/>
      <w:i/>
      <w:noProof/>
      <w:sz w:val="28"/>
      <w:lang w:val="hy-AM" w:eastAsia="en-US"/>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i/>
      <w:noProof w:val="0"/>
      <w:color w:val="244061"/>
      <w:sz w:val="22"/>
      <w:szCs w:val="20"/>
      <w:lang w:val="en-US"/>
    </w:rPr>
  </w:style>
  <w:style w:type="character" w:customStyle="1" w:styleId="IntenseQuoteChar">
    <w:name w:val="Intense Quote Char"/>
    <w:basedOn w:val="DefaultParagraphFont"/>
    <w:link w:val="IntenseQuote"/>
    <w:uiPriority w:val="99"/>
    <w:locked/>
    <w:rsid w:val="002D4A3F"/>
    <w:rPr>
      <w:rFonts w:ascii="Calibri" w:hAnsi="Calibri" w:cs="Times New Roman"/>
      <w:b/>
      <w:i/>
      <w:color w:val="244061"/>
      <w:sz w:val="22"/>
      <w:lang w:val="en-US" w:eastAsia="en-US"/>
    </w:rPr>
  </w:style>
  <w:style w:type="character" w:customStyle="1" w:styleId="st">
    <w:name w:val="st"/>
    <w:uiPriority w:val="99"/>
    <w:rsid w:val="002D4A3F"/>
  </w:style>
  <w:style w:type="table" w:customStyle="1" w:styleId="MediumShading1-Accent11">
    <w:name w:val="Medium Shading 1 - Accent 11"/>
    <w:uiPriority w:val="99"/>
    <w:rsid w:val="002D4A3F"/>
    <w:rPr>
      <w:rFonts w:ascii="Calibri" w:hAnsi="Calibri"/>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lang w:val="en-US" w:eastAsia="en-US"/>
    </w:rPr>
  </w:style>
  <w:style w:type="paragraph" w:customStyle="1" w:styleId="yiv5976168221msonormal">
    <w:name w:val="yiv5976168221msonormal"/>
    <w:basedOn w:val="Normal"/>
    <w:uiPriority w:val="99"/>
    <w:rsid w:val="002D4A3F"/>
    <w:pPr>
      <w:spacing w:before="100" w:beforeAutospacing="1" w:after="100" w:afterAutospacing="1"/>
    </w:pPr>
    <w:rPr>
      <w:noProof w:val="0"/>
      <w:lang w:val="en-US"/>
    </w:rPr>
  </w:style>
  <w:style w:type="character" w:customStyle="1" w:styleId="HeaderChar1">
    <w:name w:val="Header Char1"/>
    <w:aliases w:val="Header Char Char Char Char Char Char Char Char Char Char Char2,Header Char Char Char Char Char Char Char Char Char Char Char Char Char2,h Char2,Header Char Char Char Char Char1,Header Char Char Char Char2,Header Char Char Char2"/>
    <w:link w:val="Header"/>
    <w:uiPriority w:val="99"/>
    <w:locked/>
    <w:rsid w:val="002D4A3F"/>
    <w:rPr>
      <w:noProof/>
      <w:sz w:val="24"/>
      <w:lang w:val="hy-AM" w:eastAsia="en-US"/>
    </w:rPr>
  </w:style>
  <w:style w:type="character" w:customStyle="1" w:styleId="BodyTextChar1">
    <w:name w:val="Body Text Char1"/>
    <w:uiPriority w:val="99"/>
    <w:locked/>
    <w:rsid w:val="002D4A3F"/>
    <w:rPr>
      <w:rFonts w:ascii="Arial Armenian" w:hAnsi="Arial Armenian"/>
      <w:sz w:val="20"/>
    </w:rPr>
  </w:style>
  <w:style w:type="paragraph" w:customStyle="1" w:styleId="21">
    <w:name w:val="???????? ????? ? ???????? 2"/>
    <w:basedOn w:val="a1"/>
    <w:uiPriority w:val="99"/>
    <w:rsid w:val="002D4A3F"/>
    <w:pPr>
      <w:ind w:right="-141" w:firstLine="567"/>
      <w:jc w:val="both"/>
    </w:pPr>
    <w:rPr>
      <w:rFonts w:ascii="Times Armenian" w:hAnsi="Times Armenian"/>
      <w:lang w:val="ru-RU"/>
    </w:rPr>
  </w:style>
  <w:style w:type="paragraph" w:customStyle="1" w:styleId="BankNormal">
    <w:name w:val="BankNormal"/>
    <w:basedOn w:val="Normal"/>
    <w:uiPriority w:val="99"/>
    <w:rsid w:val="002D4A3F"/>
    <w:pPr>
      <w:spacing w:after="240"/>
    </w:pPr>
    <w:rPr>
      <w:noProof w:val="0"/>
      <w:szCs w:val="20"/>
      <w:lang w:val="en-US"/>
    </w:rPr>
  </w:style>
  <w:style w:type="paragraph" w:customStyle="1" w:styleId="Einrckung1">
    <w:name w:val="Einrückung 1"/>
    <w:basedOn w:val="Normal"/>
    <w:uiPriority w:val="99"/>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uiPriority w:val="99"/>
    <w:rsid w:val="002D4A3F"/>
    <w:rPr>
      <w:rFonts w:ascii="Times Armenian" w:hAnsi="Times Armenian"/>
      <w:b/>
      <w:i/>
      <w:noProof/>
      <w:sz w:val="20"/>
      <w:lang w:val="hy-AM"/>
    </w:rPr>
  </w:style>
  <w:style w:type="character" w:customStyle="1" w:styleId="Heading4Char2">
    <w:name w:val="Heading 4 Char2"/>
    <w:aliases w:val="Абзац списка2 Char1,List Paragraph5 Char1,PDP DOCUMENT SUBTITLE Char2,Table no. List Paragraph Char2,Абзац списка3 Char2,Bullet Points Char2,List Paragraph111 Char2,Bullet paras Char2,OBC Bullet Char2,Normal numbered Char2,Titulo 2 Char2"/>
    <w:link w:val="Heading4"/>
    <w:uiPriority w:val="99"/>
    <w:locked/>
    <w:rsid w:val="0084243F"/>
    <w:rPr>
      <w:rFonts w:ascii="GHEA Grapalat" w:hAnsi="GHEA Grapalat"/>
      <w:b/>
      <w:i/>
      <w:sz w:val="22"/>
      <w:lang w:val="de-AT"/>
    </w:rPr>
  </w:style>
  <w:style w:type="character" w:customStyle="1" w:styleId="Heading5Char2">
    <w:name w:val="Heading 5 Char2"/>
    <w:aliases w:val="Side Char1"/>
    <w:link w:val="Heading5"/>
    <w:uiPriority w:val="99"/>
    <w:locked/>
    <w:rsid w:val="002D4A3F"/>
    <w:rPr>
      <w:rFonts w:ascii="Times Armenian" w:hAnsi="Times Armenian"/>
      <w:b/>
      <w:sz w:val="24"/>
      <w:lang w:val="en-US" w:eastAsia="en-US"/>
    </w:rPr>
  </w:style>
  <w:style w:type="character" w:customStyle="1" w:styleId="Heading2Char1">
    <w:name w:val="Heading 2 Char1"/>
    <w:aliases w:val="Paranum Char1"/>
    <w:uiPriority w:val="99"/>
    <w:semiHidden/>
    <w:rsid w:val="002D4A3F"/>
    <w:rPr>
      <w:rFonts w:ascii="Cambria" w:hAnsi="Cambria"/>
      <w:b/>
      <w:noProof/>
      <w:color w:val="4F81BD"/>
      <w:sz w:val="26"/>
      <w:lang w:val="hy-AM"/>
    </w:rPr>
  </w:style>
  <w:style w:type="character" w:customStyle="1" w:styleId="Heading4Char1">
    <w:name w:val="Heading 4 Char1"/>
    <w:aliases w:val="Centred Char,Centred Char2,Normal numbered Char1,Titulo 2 Char1,heading 4 Char"/>
    <w:uiPriority w:val="99"/>
    <w:rsid w:val="002D4A3F"/>
    <w:rPr>
      <w:rFonts w:ascii="Cambria" w:hAnsi="Cambria"/>
      <w:b/>
      <w:i/>
      <w:noProof/>
      <w:color w:val="4F81BD"/>
      <w:sz w:val="24"/>
      <w:lang w:val="hy-AM"/>
    </w:rPr>
  </w:style>
  <w:style w:type="character" w:customStyle="1" w:styleId="Heading5Char1">
    <w:name w:val="Heading 5 Char1"/>
    <w:aliases w:val="Side Char2,Side Char21"/>
    <w:uiPriority w:val="99"/>
    <w:semiHidden/>
    <w:rsid w:val="002D4A3F"/>
    <w:rPr>
      <w:rFonts w:ascii="Cambria" w:hAnsi="Cambria"/>
      <w:noProof/>
      <w:color w:val="243F60"/>
      <w:sz w:val="24"/>
      <w:lang w:val="hy-AM"/>
    </w:rPr>
  </w:style>
  <w:style w:type="character" w:customStyle="1" w:styleId="CharChar13">
    <w:name w:val="Char Char13"/>
    <w:uiPriority w:val="99"/>
    <w:semiHidden/>
    <w:rsid w:val="002D4A3F"/>
    <w:rPr>
      <w:rFonts w:ascii="Times New Roman" w:hAnsi="Times New Roman"/>
      <w:noProof/>
      <w:sz w:val="20"/>
      <w:lang w:val="hy-AM"/>
    </w:rPr>
  </w:style>
  <w:style w:type="character" w:customStyle="1" w:styleId="TitleChar1">
    <w:name w:val="Title Char1"/>
    <w:link w:val="Title"/>
    <w:uiPriority w:val="99"/>
    <w:locked/>
    <w:rsid w:val="002D4A3F"/>
    <w:rPr>
      <w:rFonts w:ascii="Arial Armenian" w:hAnsi="Arial Armenian"/>
      <w:b/>
      <w:noProof/>
      <w:sz w:val="28"/>
      <w:lang w:val="hy-AM" w:eastAsia="en-US"/>
    </w:rPr>
  </w:style>
  <w:style w:type="character" w:customStyle="1" w:styleId="BodyTextIndentChar11">
    <w:name w:val="Body Text Indent Char11"/>
    <w:aliases w:val="(Table Source) Char1,(Table Source) Char Char2,Body Text Indent Char2 Char1,(Table Source) Char2 Char1,(Table Source) Char Char1 Char1,(Table Source) Char Char21,Body Text Indent Char2 Char11,(Table Source) Char2 Char11"/>
    <w:uiPriority w:val="99"/>
    <w:rsid w:val="002D4A3F"/>
    <w:rPr>
      <w:rFonts w:ascii="Times New Roman" w:hAnsi="Times New Roman"/>
      <w:noProof/>
      <w:sz w:val="24"/>
      <w:lang w:val="hy-AM"/>
    </w:rPr>
  </w:style>
  <w:style w:type="paragraph" w:customStyle="1" w:styleId="CharCharCharCharChar4">
    <w:name w:val="Char Char Char Char Char4"/>
    <w:basedOn w:val="Normal"/>
    <w:uiPriority w:val="99"/>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rsid w:val="002D4A3F"/>
    <w:rPr>
      <w:rFonts w:eastAsia="SimSun"/>
      <w:noProof w:val="0"/>
      <w:sz w:val="20"/>
      <w:szCs w:val="20"/>
      <w:lang w:val="en-US" w:eastAsia="ru-RU"/>
    </w:rPr>
  </w:style>
  <w:style w:type="paragraph" w:customStyle="1" w:styleId="CharCharChar4">
    <w:name w:val="Char Char Char Знак4"/>
    <w:basedOn w:val="Normal"/>
    <w:next w:val="Normal"/>
    <w:uiPriority w:val="99"/>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rsid w:val="002D4A3F"/>
    <w:rPr>
      <w:rFonts w:ascii="Sylfaen" w:hAnsi="Sylfaen"/>
      <w:color w:val="auto"/>
    </w:rPr>
  </w:style>
  <w:style w:type="paragraph" w:customStyle="1" w:styleId="24">
    <w:name w:val="Знак Знак2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rsid w:val="002D4A3F"/>
    <w:pPr>
      <w:spacing w:after="160" w:line="240" w:lineRule="exact"/>
    </w:pPr>
    <w:rPr>
      <w:rFonts w:ascii="Arial" w:hAnsi="Arial" w:cs="Arial"/>
      <w:noProof w:val="0"/>
      <w:sz w:val="20"/>
      <w:szCs w:val="20"/>
      <w:lang w:val="en-US"/>
    </w:rPr>
  </w:style>
  <w:style w:type="character" w:customStyle="1" w:styleId="CharChar12">
    <w:name w:val="Char Char12"/>
    <w:uiPriority w:val="99"/>
    <w:semiHidden/>
    <w:locked/>
    <w:rsid w:val="002D4A3F"/>
    <w:rPr>
      <w:rFonts w:ascii="Times New Roman" w:hAnsi="Times New Roman"/>
      <w:noProof/>
      <w:sz w:val="24"/>
      <w:lang w:val="hy-AM"/>
    </w:rPr>
  </w:style>
  <w:style w:type="character" w:customStyle="1" w:styleId="Char2">
    <w:name w:val="Char2"/>
    <w:uiPriority w:val="99"/>
    <w:rsid w:val="002D4A3F"/>
    <w:rPr>
      <w:rFonts w:ascii="Times Armenian" w:hAnsi="Times Armenian"/>
      <w:sz w:val="22"/>
      <w:lang w:val="en-GB" w:eastAsia="en-US"/>
    </w:rPr>
  </w:style>
  <w:style w:type="character" w:customStyle="1" w:styleId="CharChar64">
    <w:name w:val="Char Char64"/>
    <w:uiPriority w:val="99"/>
    <w:rsid w:val="002D4A3F"/>
    <w:rPr>
      <w:rFonts w:ascii="Times Armenian" w:hAnsi="Times Armenian"/>
      <w:b/>
      <w:i/>
      <w:noProof/>
      <w:sz w:val="26"/>
      <w:u w:val="single"/>
      <w:lang w:val="hy-AM" w:eastAsia="en-US"/>
    </w:rPr>
  </w:style>
  <w:style w:type="character" w:customStyle="1" w:styleId="CharChar54">
    <w:name w:val="Char Char54"/>
    <w:uiPriority w:val="99"/>
    <w:rsid w:val="002D4A3F"/>
    <w:rPr>
      <w:rFonts w:ascii="Times Armenian" w:hAnsi="Times Armenian"/>
      <w:noProof/>
      <w:sz w:val="24"/>
      <w:lang w:val="hy-AM" w:eastAsia="en-US"/>
    </w:rPr>
  </w:style>
  <w:style w:type="character" w:customStyle="1" w:styleId="CharChar44">
    <w:name w:val="Char Char44"/>
    <w:uiPriority w:val="99"/>
    <w:rsid w:val="002D4A3F"/>
    <w:rPr>
      <w:noProof/>
      <w:lang w:val="hy-AM" w:eastAsia="en-US"/>
    </w:rPr>
  </w:style>
  <w:style w:type="character" w:customStyle="1" w:styleId="DefaultChar">
    <w:name w:val="Default Char"/>
    <w:link w:val="Default"/>
    <w:uiPriority w:val="99"/>
    <w:locked/>
    <w:rsid w:val="002D4A3F"/>
    <w:rPr>
      <w:rFonts w:ascii="Warnock Pro" w:hAnsi="Warnock Pro"/>
      <w:color w:val="000000"/>
      <w:sz w:val="22"/>
      <w:lang w:val="en-US" w:eastAsia="en-US"/>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
    <w:link w:val="ListParagraph2"/>
    <w:uiPriority w:val="99"/>
    <w:locked/>
    <w:rsid w:val="002D4A3F"/>
    <w:rPr>
      <w:rFonts w:ascii="Calibri" w:hAnsi="Calibri"/>
      <w:sz w:val="22"/>
      <w:lang w:val="ru-RU" w:eastAsia="en-US"/>
    </w:rPr>
  </w:style>
  <w:style w:type="character" w:customStyle="1" w:styleId="HeaderChar2">
    <w:name w:val="Header Char2"/>
    <w:aliases w:val="Header Char Char Char Char Char2,Header Char Char Char Char11,Header Char Char Char11,Header Char Char Char Char Char Char Char Char Char Char Char1,Header Char Char Char Char Char Char Char Char Char Char Char Char Char1,h Char1"/>
    <w:uiPriority w:val="99"/>
    <w:locked/>
    <w:rsid w:val="002D4A3F"/>
    <w:rPr>
      <w:noProof/>
      <w:sz w:val="24"/>
      <w:lang w:val="hy-AM" w:eastAsia="en-US"/>
    </w:rPr>
  </w:style>
  <w:style w:type="character" w:customStyle="1" w:styleId="SubtitleChar1">
    <w:name w:val="Subtitle Char1"/>
    <w:link w:val="Subtitle"/>
    <w:uiPriority w:val="99"/>
    <w:locked/>
    <w:rsid w:val="002D4A3F"/>
    <w:rPr>
      <w:rFonts w:ascii="Times LatArm" w:hAnsi="Times LatArm"/>
      <w:b/>
      <w:sz w:val="24"/>
      <w:lang w:val="en-US" w:eastAsia="en-US"/>
    </w:rPr>
  </w:style>
  <w:style w:type="character" w:styleId="EndnoteReference">
    <w:name w:val="endnote reference"/>
    <w:basedOn w:val="DefaultParagraphFont"/>
    <w:uiPriority w:val="99"/>
    <w:rsid w:val="002D4A3F"/>
    <w:rPr>
      <w:rFonts w:cs="Times New Roman"/>
      <w:vertAlign w:val="superscript"/>
    </w:rPr>
  </w:style>
  <w:style w:type="paragraph" w:styleId="Revision">
    <w:name w:val="Revision"/>
    <w:hidden/>
    <w:uiPriority w:val="99"/>
    <w:semiHidden/>
    <w:rsid w:val="002D4A3F"/>
    <w:rPr>
      <w:noProof/>
      <w:sz w:val="24"/>
      <w:szCs w:val="24"/>
      <w:lang w:val="hy-AM"/>
    </w:rPr>
  </w:style>
  <w:style w:type="paragraph" w:customStyle="1" w:styleId="CharCharCharChar4">
    <w:name w:val="Char Char Char Char4"/>
    <w:basedOn w:val="Normal"/>
    <w:uiPriority w:val="99"/>
    <w:rsid w:val="00461412"/>
    <w:pPr>
      <w:spacing w:after="160" w:line="240" w:lineRule="exact"/>
    </w:pPr>
    <w:rPr>
      <w:rFonts w:ascii="Arial" w:hAnsi="Arial" w:cs="Arial"/>
      <w:noProof w:val="0"/>
      <w:sz w:val="20"/>
      <w:szCs w:val="20"/>
      <w:lang w:val="en-US"/>
    </w:rPr>
  </w:style>
  <w:style w:type="paragraph" w:customStyle="1" w:styleId="HD1">
    <w:name w:val="HD1"/>
    <w:basedOn w:val="Normal"/>
    <w:uiPriority w:val="99"/>
    <w:rsid w:val="006639D7"/>
    <w:rPr>
      <w:rFonts w:ascii="Trebuchet MS" w:eastAsia="MS Mincho" w:hAnsi="Trebuchet MS"/>
      <w:b/>
      <w:noProof w:val="0"/>
      <w:color w:val="003776"/>
      <w:lang w:val="en-US"/>
    </w:rPr>
  </w:style>
  <w:style w:type="paragraph" w:customStyle="1" w:styleId="rmcvptur">
    <w:name w:val="rmcvptur"/>
    <w:basedOn w:val="Normal"/>
    <w:uiPriority w:val="99"/>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rsid w:val="006639D7"/>
    <w:pPr>
      <w:spacing w:before="100" w:beforeAutospacing="1" w:after="100" w:afterAutospacing="1"/>
    </w:pPr>
    <w:rPr>
      <w:rFonts w:eastAsia="MS Mincho"/>
      <w:noProof w:val="0"/>
      <w:lang w:val="en-US"/>
    </w:rPr>
  </w:style>
  <w:style w:type="character" w:customStyle="1" w:styleId="CharChar23">
    <w:name w:val="Char Char23"/>
    <w:uiPriority w:val="99"/>
    <w:rsid w:val="00856625"/>
    <w:rPr>
      <w:rFonts w:ascii="Times Armenian" w:hAnsi="Times Armenian"/>
      <w:noProof/>
      <w:sz w:val="24"/>
      <w:u w:val="single"/>
      <w:lang w:val="hy-AM"/>
    </w:rPr>
  </w:style>
  <w:style w:type="character" w:customStyle="1" w:styleId="CharChar24">
    <w:name w:val="Char Char24"/>
    <w:uiPriority w:val="99"/>
    <w:locked/>
    <w:rsid w:val="00856625"/>
    <w:rPr>
      <w:rFonts w:ascii="Times Armenian" w:hAnsi="Times Armenian"/>
      <w:b/>
      <w:i/>
      <w:noProof/>
      <w:sz w:val="20"/>
      <w:lang w:val="hy-AM"/>
    </w:rPr>
  </w:style>
  <w:style w:type="paragraph" w:customStyle="1" w:styleId="CharChar2">
    <w:name w:val="Char Char2 Знак Знак"/>
    <w:basedOn w:val="Normal"/>
    <w:uiPriority w:val="99"/>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rsid w:val="00A339F2"/>
    <w:pPr>
      <w:spacing w:after="200" w:line="276" w:lineRule="auto"/>
      <w:ind w:left="720"/>
      <w:contextualSpacing/>
    </w:pPr>
    <w:rPr>
      <w:rFonts w:ascii="Calibri" w:hAnsi="Calibri"/>
      <w:noProof w:val="0"/>
      <w:sz w:val="22"/>
      <w:szCs w:val="22"/>
      <w:lang w:val="ru-RU"/>
    </w:rPr>
  </w:style>
  <w:style w:type="paragraph" w:styleId="HTMLPreformatted">
    <w:name w:val="HTML Preformatted"/>
    <w:basedOn w:val="Normal"/>
    <w:link w:val="HTMLPreformattedChar"/>
    <w:uiPriority w:val="99"/>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basedOn w:val="DefaultParagraphFont"/>
    <w:link w:val="HTMLPreformatted"/>
    <w:uiPriority w:val="99"/>
    <w:locked/>
    <w:rsid w:val="0065613E"/>
    <w:rPr>
      <w:rFonts w:ascii="Courier New" w:hAnsi="Courier New" w:cs="Times New Roman"/>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
    <w:uiPriority w:val="99"/>
    <w:locked/>
    <w:rsid w:val="009619F0"/>
    <w:rPr>
      <w:rFonts w:eastAsia="Times New Roman"/>
      <w:sz w:val="24"/>
      <w:lang w:val="ru-RU" w:eastAsia="ru-RU"/>
    </w:rPr>
  </w:style>
  <w:style w:type="paragraph" w:customStyle="1" w:styleId="ListParagraph3">
    <w:name w:val="List Paragraph3"/>
    <w:aliases w:val="List Paragraph-ExecSummary"/>
    <w:basedOn w:val="Normal"/>
    <w:uiPriority w:val="99"/>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rsid w:val="00D21853"/>
    <w:pPr>
      <w:ind w:left="720"/>
      <w:contextualSpacing/>
    </w:pPr>
    <w:rPr>
      <w:noProof w:val="0"/>
      <w:sz w:val="20"/>
      <w:szCs w:val="20"/>
      <w:lang w:val="en-AU" w:eastAsia="ru-RU"/>
    </w:rPr>
  </w:style>
  <w:style w:type="paragraph" w:customStyle="1" w:styleId="31">
    <w:name w:val="Знак Знак3"/>
    <w:basedOn w:val="Normal"/>
    <w:autoRedefine/>
    <w:uiPriority w:val="99"/>
    <w:rsid w:val="00D21853"/>
    <w:rPr>
      <w:rFonts w:eastAsia="SimSun"/>
      <w:noProof w:val="0"/>
      <w:sz w:val="20"/>
      <w:szCs w:val="20"/>
      <w:lang w:val="en-US" w:eastAsia="ru-RU"/>
    </w:rPr>
  </w:style>
  <w:style w:type="paragraph" w:customStyle="1" w:styleId="Znak1">
    <w:name w:val="Znak1"/>
    <w:basedOn w:val="Normal"/>
    <w:uiPriority w:val="99"/>
    <w:rsid w:val="00D21853"/>
    <w:pPr>
      <w:tabs>
        <w:tab w:val="left" w:pos="709"/>
      </w:tabs>
    </w:pPr>
    <w:rPr>
      <w:rFonts w:ascii="Tahoma" w:hAnsi="Tahoma"/>
      <w:noProof w:val="0"/>
      <w:lang w:val="pl-PL" w:eastAsia="pl-PL"/>
    </w:rPr>
  </w:style>
  <w:style w:type="paragraph" w:customStyle="1" w:styleId="Char3">
    <w:name w:val="Char3"/>
    <w:basedOn w:val="Normal"/>
    <w:uiPriority w:val="99"/>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hAnsi="Times Armenian"/>
      <w:b/>
      <w:i/>
      <w:noProof/>
      <w:sz w:val="20"/>
      <w:lang w:val="hy-AM"/>
    </w:rPr>
  </w:style>
  <w:style w:type="character" w:customStyle="1" w:styleId="CharChar133">
    <w:name w:val="Char Char133"/>
    <w:uiPriority w:val="99"/>
    <w:semiHidden/>
    <w:rsid w:val="00D21853"/>
    <w:rPr>
      <w:rFonts w:ascii="Times New Roman" w:hAnsi="Times New Roman"/>
      <w:noProof/>
      <w:sz w:val="20"/>
      <w:lang w:val="hy-AM"/>
    </w:rPr>
  </w:style>
  <w:style w:type="paragraph" w:customStyle="1" w:styleId="CharCharCharCharChar1">
    <w:name w:val="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rsid w:val="00D21853"/>
    <w:rPr>
      <w:rFonts w:eastAsia="SimSun"/>
      <w:noProof w:val="0"/>
      <w:sz w:val="20"/>
      <w:szCs w:val="20"/>
      <w:lang w:val="en-US" w:eastAsia="ru-RU"/>
    </w:rPr>
  </w:style>
  <w:style w:type="paragraph" w:customStyle="1" w:styleId="CharCharChar1">
    <w:name w:val="Char Char Char Знак1"/>
    <w:basedOn w:val="Normal"/>
    <w:next w:val="Normal"/>
    <w:uiPriority w:val="99"/>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rsid w:val="00D21853"/>
    <w:rPr>
      <w:rFonts w:ascii="Sylfaen" w:hAnsi="Sylfaen"/>
      <w:color w:val="auto"/>
    </w:rPr>
  </w:style>
  <w:style w:type="paragraph" w:customStyle="1" w:styleId="210">
    <w:name w:val="Знак Знак2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hAnsi="Times New Roman"/>
      <w:noProof/>
      <w:sz w:val="24"/>
      <w:lang w:val="hy-AM"/>
    </w:rPr>
  </w:style>
  <w:style w:type="character" w:customStyle="1" w:styleId="CharChar61">
    <w:name w:val="Char Char61"/>
    <w:uiPriority w:val="99"/>
    <w:rsid w:val="00D21853"/>
    <w:rPr>
      <w:rFonts w:ascii="Times Armenian" w:hAnsi="Times Armenian"/>
      <w:b/>
      <w:i/>
      <w:noProof/>
      <w:sz w:val="26"/>
      <w:u w:val="single"/>
      <w:lang w:val="hy-AM" w:eastAsia="en-US"/>
    </w:rPr>
  </w:style>
  <w:style w:type="character" w:customStyle="1" w:styleId="CharChar51">
    <w:name w:val="Char Char51"/>
    <w:uiPriority w:val="99"/>
    <w:rsid w:val="00D21853"/>
    <w:rPr>
      <w:rFonts w:ascii="Times Armenian" w:hAnsi="Times Armenian"/>
      <w:noProof/>
      <w:sz w:val="24"/>
      <w:lang w:val="hy-AM" w:eastAsia="en-US"/>
    </w:rPr>
  </w:style>
  <w:style w:type="character" w:customStyle="1" w:styleId="CharChar41">
    <w:name w:val="Char Char41"/>
    <w:uiPriority w:val="99"/>
    <w:rsid w:val="00D21853"/>
    <w:rPr>
      <w:noProof/>
      <w:lang w:val="hy-AM" w:eastAsia="en-US"/>
    </w:rPr>
  </w:style>
  <w:style w:type="paragraph" w:customStyle="1" w:styleId="CharCharCharChar1">
    <w:name w:val="Char Char Char Char1"/>
    <w:basedOn w:val="Normal"/>
    <w:uiPriority w:val="99"/>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hAnsi="Times Armenian"/>
      <w:noProof/>
      <w:sz w:val="24"/>
      <w:u w:val="single"/>
      <w:lang w:val="hy-AM"/>
    </w:rPr>
  </w:style>
  <w:style w:type="character" w:customStyle="1" w:styleId="CharChar243">
    <w:name w:val="Char Char243"/>
    <w:uiPriority w:val="99"/>
    <w:locked/>
    <w:rsid w:val="00D21853"/>
    <w:rPr>
      <w:rFonts w:ascii="Times Armenian" w:hAnsi="Times Armenian"/>
      <w:b/>
      <w:i/>
      <w:noProof/>
      <w:sz w:val="20"/>
      <w:lang w:val="hy-AM"/>
    </w:rPr>
  </w:style>
  <w:style w:type="paragraph" w:customStyle="1" w:styleId="CM4">
    <w:name w:val="CM4"/>
    <w:basedOn w:val="Default"/>
    <w:next w:val="Default"/>
    <w:uiPriority w:val="99"/>
    <w:rsid w:val="00240100"/>
    <w:pPr>
      <w:widowControl w:val="0"/>
      <w:spacing w:line="248" w:lineRule="atLeast"/>
    </w:pPr>
    <w:rPr>
      <w:rFonts w:ascii="Arial Armenian" w:hAnsi="Arial Armenian"/>
      <w:color w:val="auto"/>
    </w:rPr>
  </w:style>
  <w:style w:type="character" w:customStyle="1" w:styleId="FontStyle37">
    <w:name w:val="Font Style37"/>
    <w:uiPriority w:val="99"/>
    <w:rsid w:val="00D412D4"/>
    <w:rPr>
      <w:rFonts w:ascii="Sylfaen" w:hAnsi="Sylfaen"/>
      <w:sz w:val="22"/>
    </w:rPr>
  </w:style>
  <w:style w:type="character" w:customStyle="1" w:styleId="apple-tab-span">
    <w:name w:val="apple-tab-span"/>
    <w:uiPriority w:val="99"/>
    <w:rsid w:val="001616B8"/>
  </w:style>
  <w:style w:type="paragraph" w:customStyle="1" w:styleId="Style10">
    <w:name w:val="Style10"/>
    <w:basedOn w:val="Normal"/>
    <w:uiPriority w:val="99"/>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locked/>
    <w:rsid w:val="00234A5F"/>
    <w:rPr>
      <w:rFonts w:ascii="Sylfaen" w:hAnsi="Sylfaen"/>
      <w:spacing w:val="20"/>
      <w:sz w:val="22"/>
      <w:shd w:val="clear" w:color="auto" w:fill="FFFFFF"/>
    </w:rPr>
  </w:style>
  <w:style w:type="paragraph" w:customStyle="1" w:styleId="Bodytext22">
    <w:name w:val="Body text (2)"/>
    <w:basedOn w:val="Normal"/>
    <w:link w:val="Bodytext20"/>
    <w:uiPriority w:val="99"/>
    <w:rsid w:val="00234A5F"/>
    <w:pPr>
      <w:widowControl w:val="0"/>
      <w:shd w:val="clear" w:color="auto" w:fill="FFFFFF"/>
      <w:spacing w:before="220" w:after="220" w:line="370" w:lineRule="exact"/>
      <w:ind w:hanging="360"/>
      <w:jc w:val="both"/>
    </w:pPr>
    <w:rPr>
      <w:rFonts w:ascii="Sylfaen" w:hAnsi="Sylfaen"/>
      <w:noProof w:val="0"/>
      <w:spacing w:val="20"/>
      <w:sz w:val="22"/>
      <w:szCs w:val="20"/>
      <w:lang w:val="en-US"/>
    </w:rPr>
  </w:style>
  <w:style w:type="character" w:customStyle="1" w:styleId="22">
    <w:name w:val="Основной текст (2)"/>
    <w:uiPriority w:val="99"/>
    <w:rsid w:val="00E97ECD"/>
    <w:rPr>
      <w:rFonts w:ascii="Tahoma" w:hAnsi="Tahoma"/>
      <w:color w:val="000000"/>
      <w:spacing w:val="0"/>
      <w:w w:val="100"/>
      <w:position w:val="0"/>
      <w:sz w:val="24"/>
      <w:u w:val="none"/>
      <w:lang w:val="hy-AM" w:eastAsia="hy-AM"/>
    </w:rPr>
  </w:style>
  <w:style w:type="character" w:customStyle="1" w:styleId="32ptExact">
    <w:name w:val="Основной текст (3) + Интервал 2 pt Exact"/>
    <w:uiPriority w:val="99"/>
    <w:rsid w:val="00532AB3"/>
    <w:rPr>
      <w:rFonts w:ascii="Sylfaen" w:hAnsi="Sylfaen"/>
      <w:spacing w:val="40"/>
      <w:sz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i/>
      <w:shd w:val="clear" w:color="auto" w:fill="FFFFFF"/>
    </w:rPr>
  </w:style>
  <w:style w:type="character" w:customStyle="1" w:styleId="32">
    <w:name w:val="Основной текст (3)_"/>
    <w:uiPriority w:val="99"/>
    <w:rsid w:val="00532AB3"/>
    <w:rPr>
      <w:rFonts w:ascii="Sylfaen" w:hAnsi="Sylfaen"/>
      <w:spacing w:val="20"/>
      <w:w w:val="80"/>
      <w:sz w:val="21"/>
      <w:shd w:val="clear" w:color="auto" w:fill="FFFFFF"/>
    </w:rPr>
  </w:style>
  <w:style w:type="character" w:customStyle="1" w:styleId="311pt">
    <w:name w:val="Основной текст (3) + 11 pt"/>
    <w:uiPriority w:val="99"/>
    <w:rsid w:val="00532AB3"/>
    <w:rPr>
      <w:rFonts w:ascii="Sylfaen" w:hAnsi="Sylfaen"/>
      <w:i/>
      <w:spacing w:val="0"/>
      <w:w w:val="100"/>
      <w:sz w:val="22"/>
      <w:shd w:val="clear" w:color="auto" w:fill="FFFFFF"/>
    </w:rPr>
  </w:style>
  <w:style w:type="character" w:customStyle="1" w:styleId="311pt1">
    <w:name w:val="Основной текст (3) + 11 pt1"/>
    <w:uiPriority w:val="99"/>
    <w:rsid w:val="00532AB3"/>
    <w:rPr>
      <w:rFonts w:ascii="Sylfaen" w:hAnsi="Sylfaen"/>
      <w:spacing w:val="0"/>
      <w:w w:val="100"/>
      <w:sz w:val="22"/>
      <w:shd w:val="clear" w:color="auto" w:fill="FFFFFF"/>
    </w:rPr>
  </w:style>
  <w:style w:type="character" w:customStyle="1" w:styleId="4">
    <w:name w:val="Основной текст (4)_"/>
    <w:uiPriority w:val="99"/>
    <w:rsid w:val="00532AB3"/>
    <w:rPr>
      <w:rFonts w:ascii="Sylfaen" w:hAnsi="Sylfaen"/>
      <w:spacing w:val="20"/>
      <w:w w:val="80"/>
      <w:shd w:val="clear" w:color="auto" w:fill="FFFFFF"/>
    </w:rPr>
  </w:style>
  <w:style w:type="character" w:customStyle="1" w:styleId="4pt">
    <w:name w:val="Основной текст + 4 pt"/>
    <w:uiPriority w:val="99"/>
    <w:rsid w:val="00532AB3"/>
    <w:rPr>
      <w:rFonts w:ascii="Sylfaen" w:hAnsi="Sylfaen"/>
      <w:i/>
      <w:spacing w:val="0"/>
      <w:w w:val="100"/>
      <w:sz w:val="8"/>
      <w:shd w:val="clear" w:color="auto" w:fill="FFFFFF"/>
    </w:rPr>
  </w:style>
  <w:style w:type="character" w:customStyle="1" w:styleId="15">
    <w:name w:val="Заголовок №1_"/>
    <w:uiPriority w:val="99"/>
    <w:rsid w:val="00532AB3"/>
    <w:rPr>
      <w:rFonts w:ascii="Sylfaen" w:hAnsi="Sylfaen"/>
      <w:i/>
      <w:spacing w:val="-30"/>
      <w:sz w:val="31"/>
      <w:shd w:val="clear" w:color="auto" w:fill="FFFFFF"/>
    </w:rPr>
  </w:style>
  <w:style w:type="character" w:customStyle="1" w:styleId="111">
    <w:name w:val="Заголовок №1 + 11"/>
    <w:uiPriority w:val="99"/>
    <w:rsid w:val="00532AB3"/>
    <w:rPr>
      <w:rFonts w:ascii="Sylfaen" w:hAnsi="Sylfaen"/>
      <w:i/>
      <w:spacing w:val="-20"/>
      <w:sz w:val="23"/>
      <w:shd w:val="clear" w:color="auto" w:fill="FFFFFF"/>
    </w:rPr>
  </w:style>
  <w:style w:type="character" w:customStyle="1" w:styleId="Sylfaen2">
    <w:name w:val="Основной текст + Sylfaen2"/>
    <w:uiPriority w:val="99"/>
    <w:rsid w:val="00532AB3"/>
    <w:rPr>
      <w:rFonts w:ascii="Sylfaen" w:hAnsi="Sylfaen"/>
      <w:spacing w:val="20"/>
      <w:w w:val="80"/>
      <w:sz w:val="22"/>
      <w:u w:val="none"/>
      <w:shd w:val="clear" w:color="auto" w:fill="FFFFFF"/>
    </w:rPr>
  </w:style>
  <w:style w:type="character" w:customStyle="1" w:styleId="Sylfaen1">
    <w:name w:val="Основной текст + Sylfaen1"/>
    <w:uiPriority w:val="99"/>
    <w:rsid w:val="00532AB3"/>
    <w:rPr>
      <w:rFonts w:ascii="Sylfaen" w:hAnsi="Sylfaen"/>
      <w:spacing w:val="20"/>
      <w:w w:val="80"/>
      <w:sz w:val="20"/>
      <w:u w:val="none"/>
      <w:shd w:val="clear" w:color="auto" w:fill="FFFFFF"/>
    </w:rPr>
  </w:style>
  <w:style w:type="character" w:customStyle="1" w:styleId="a7">
    <w:name w:val="Основной текст + Полужирный"/>
    <w:uiPriority w:val="99"/>
    <w:rsid w:val="00532AB3"/>
    <w:rPr>
      <w:rFonts w:ascii="Sylfaen" w:hAnsi="Sylfaen"/>
      <w:b/>
      <w:spacing w:val="20"/>
      <w:w w:val="80"/>
      <w:sz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i/>
    </w:rPr>
  </w:style>
  <w:style w:type="character" w:customStyle="1" w:styleId="ListLabel7">
    <w:name w:val="ListLabel 7"/>
    <w:uiPriority w:val="99"/>
    <w:rsid w:val="00532AB3"/>
    <w:rPr>
      <w:sz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hAnsi="Calibri"/>
      <w:kern w:val="1"/>
      <w:sz w:val="16"/>
    </w:rPr>
  </w:style>
  <w:style w:type="paragraph" w:customStyle="1" w:styleId="a8">
    <w:name w:val="Стиль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16">
    <w:name w:val="Без интервала1"/>
    <w:uiPriority w:val="99"/>
    <w:rsid w:val="00532AB3"/>
    <w:pPr>
      <w:suppressAutoHyphens/>
    </w:pPr>
    <w:rPr>
      <w:rFonts w:ascii="GHEA Grapalat" w:hAnsi="GHEA Grapalat" w:cs="GHEA Grapalat"/>
      <w:kern w:val="1"/>
    </w:rPr>
  </w:style>
  <w:style w:type="paragraph" w:customStyle="1" w:styleId="112">
    <w:name w:val="Без интервала11"/>
    <w:uiPriority w:val="99"/>
    <w:rsid w:val="00532AB3"/>
    <w:pPr>
      <w:suppressAutoHyphens/>
    </w:pPr>
    <w:rPr>
      <w:rFonts w:ascii="GHEA Grapalat" w:hAnsi="GHEA Grapalat" w:cs="GHEA Grapalat"/>
      <w:kern w:val="1"/>
    </w:rPr>
  </w:style>
  <w:style w:type="paragraph" w:customStyle="1" w:styleId="Iacaaiea">
    <w:name w:val="Iacaaiea"/>
    <w:basedOn w:val="Normal"/>
    <w:uiPriority w:val="99"/>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hAnsi="Calibri"/>
      <w:kern w:val="1"/>
      <w:sz w:val="16"/>
    </w:rPr>
  </w:style>
  <w:style w:type="paragraph" w:customStyle="1" w:styleId="17">
    <w:name w:val="Заголовок №1"/>
    <w:basedOn w:val="Normal"/>
    <w:uiPriority w:val="99"/>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lang w:val="en-GB" w:eastAsia="ru-RU"/>
    </w:rPr>
  </w:style>
  <w:style w:type="paragraph" w:customStyle="1" w:styleId="BULET">
    <w:name w:val="BULET"/>
    <w:basedOn w:val="text0"/>
    <w:uiPriority w:val="99"/>
    <w:rsid w:val="00532AB3"/>
    <w:pPr>
      <w:numPr>
        <w:numId w:val="5"/>
      </w:numPr>
      <w:tabs>
        <w:tab w:val="num" w:pos="540"/>
        <w:tab w:val="num" w:pos="643"/>
        <w:tab w:val="num" w:pos="720"/>
      </w:tabs>
      <w:ind w:left="568" w:hanging="284"/>
    </w:pPr>
    <w:rPr>
      <w:color w:val="000000"/>
      <w:lang w:val="af-ZA"/>
    </w:rPr>
  </w:style>
  <w:style w:type="paragraph" w:customStyle="1" w:styleId="Char6">
    <w:name w:val="Char6"/>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
    <w:name w:val="Знак Знак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rsid w:val="00532AB3"/>
    <w:pPr>
      <w:spacing w:line="312" w:lineRule="auto"/>
      <w:jc w:val="both"/>
    </w:pPr>
    <w:rPr>
      <w:rFonts w:ascii="Bookman Old Style" w:hAnsi="Bookman Old Style" w:cs="Bookman Old Style"/>
      <w:noProof w:val="0"/>
      <w:sz w:val="22"/>
      <w:szCs w:val="22"/>
      <w:lang w:val="en-US"/>
    </w:rPr>
  </w:style>
  <w:style w:type="paragraph" w:customStyle="1" w:styleId="CharChar">
    <w:name w:val="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rsid w:val="00532AB3"/>
    <w:rPr>
      <w:rFonts w:ascii="Arial Armenian" w:hAnsi="Arial Armenian" w:cs="Arial Armenian"/>
      <w:sz w:val="24"/>
      <w:szCs w:val="24"/>
      <w:lang w:val="ru-RU"/>
    </w:rPr>
  </w:style>
  <w:style w:type="paragraph" w:customStyle="1" w:styleId="Standard">
    <w:name w:val="Standard"/>
    <w:uiPriority w:val="99"/>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rsid w:val="00532AB3"/>
    <w:rPr>
      <w:i/>
      <w:color w:val="808080"/>
    </w:rPr>
  </w:style>
  <w:style w:type="paragraph" w:customStyle="1" w:styleId="IntenseQuote1">
    <w:name w:val="Intense Quote1"/>
    <w:basedOn w:val="Normal"/>
    <w:next w:val="Normal"/>
    <w:uiPriority w:val="99"/>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25">
    <w:name w:val="Без интервала2"/>
    <w:uiPriority w:val="99"/>
    <w:rsid w:val="00532AB3"/>
    <w:pPr>
      <w:suppressAutoHyphens/>
    </w:pPr>
    <w:rPr>
      <w:rFonts w:ascii="GHEA Grapalat" w:hAnsi="GHEA Grapalat" w:cs="GHEA Grapalat"/>
      <w:kern w:val="1"/>
    </w:rPr>
  </w:style>
  <w:style w:type="character" w:customStyle="1" w:styleId="5yl5">
    <w:name w:val="_5yl5"/>
    <w:uiPriority w:val="99"/>
    <w:rsid w:val="00532AB3"/>
  </w:style>
  <w:style w:type="character" w:customStyle="1" w:styleId="18">
    <w:name w:val="Номер страницы1"/>
    <w:uiPriority w:val="99"/>
    <w:rsid w:val="00532AB3"/>
  </w:style>
  <w:style w:type="character" w:customStyle="1" w:styleId="26">
    <w:name w:val="Основной текст2"/>
    <w:uiPriority w:val="99"/>
    <w:rsid w:val="00532AB3"/>
    <w:rPr>
      <w:rFonts w:ascii="Sylfaen" w:hAnsi="Sylfaen"/>
      <w:spacing w:val="20"/>
      <w:w w:val="80"/>
      <w:sz w:val="19"/>
      <w:shd w:val="clear" w:color="auto" w:fill="FFFFFF"/>
    </w:rPr>
  </w:style>
  <w:style w:type="paragraph" w:customStyle="1" w:styleId="Revision1">
    <w:name w:val="Revision1"/>
    <w:hidden/>
    <w:uiPriority w:val="99"/>
    <w:semiHidden/>
    <w:rsid w:val="00532AB3"/>
    <w:rPr>
      <w:sz w:val="24"/>
      <w:szCs w:val="24"/>
      <w:lang w:val="ru-RU" w:eastAsia="ru-RU"/>
    </w:rPr>
  </w:style>
  <w:style w:type="table" w:styleId="TableWeb1">
    <w:name w:val="Table Web 1"/>
    <w:basedOn w:val="TableNormal"/>
    <w:uiPriority w:val="99"/>
    <w:rsid w:val="00532AB3"/>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LineNumber">
    <w:name w:val="line number"/>
    <w:basedOn w:val="DefaultParagraphFont"/>
    <w:uiPriority w:val="99"/>
    <w:rsid w:val="00532AB3"/>
    <w:rPr>
      <w:rFonts w:cs="Times New Roman"/>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2,Обычный (веб) Char,Char Char7"/>
    <w:link w:val="NormalWeb"/>
    <w:uiPriority w:val="99"/>
    <w:locked/>
    <w:rsid w:val="00E0726E"/>
    <w:rPr>
      <w:noProof/>
      <w:sz w:val="24"/>
      <w:lang w:val="hy-AM"/>
    </w:rPr>
  </w:style>
  <w:style w:type="paragraph" w:customStyle="1" w:styleId="ModelNrmlSingle">
    <w:name w:val="ModelNrmlSingle"/>
    <w:basedOn w:val="Normal"/>
    <w:uiPriority w:val="99"/>
    <w:rsid w:val="002D5F79"/>
    <w:pPr>
      <w:spacing w:after="240"/>
      <w:ind w:firstLine="720"/>
      <w:jc w:val="both"/>
    </w:pPr>
    <w:rPr>
      <w:noProof w:val="0"/>
      <w:sz w:val="22"/>
      <w:szCs w:val="20"/>
      <w:lang w:val="en-US"/>
    </w:rPr>
  </w:style>
  <w:style w:type="paragraph" w:customStyle="1" w:styleId="rmcbsepg">
    <w:name w:val="rmcbsepg"/>
    <w:basedOn w:val="Normal"/>
    <w:uiPriority w:val="99"/>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rsid w:val="009F7080"/>
    <w:rPr>
      <w:rFonts w:eastAsia="SimSun"/>
      <w:noProof w:val="0"/>
      <w:sz w:val="20"/>
      <w:szCs w:val="20"/>
      <w:lang w:val="en-US" w:eastAsia="ru-RU"/>
    </w:rPr>
  </w:style>
  <w:style w:type="paragraph" w:customStyle="1" w:styleId="Znak2">
    <w:name w:val="Znak2"/>
    <w:basedOn w:val="Normal"/>
    <w:uiPriority w:val="99"/>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rsid w:val="009F7080"/>
    <w:rPr>
      <w:rFonts w:ascii="Sylfaen" w:hAnsi="Sylfaen"/>
      <w:color w:val="auto"/>
    </w:rPr>
  </w:style>
  <w:style w:type="paragraph" w:customStyle="1" w:styleId="220">
    <w:name w:val="Знак Знак2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b/>
      <w:i/>
      <w:noProof/>
      <w:sz w:val="26"/>
      <w:u w:val="single"/>
      <w:lang w:val="hy-AM" w:eastAsia="en-US"/>
    </w:rPr>
  </w:style>
  <w:style w:type="character" w:customStyle="1" w:styleId="CharChar52">
    <w:name w:val="Char Char52"/>
    <w:uiPriority w:val="99"/>
    <w:rsid w:val="009F7080"/>
    <w:rPr>
      <w:rFonts w:ascii="Times Armenian" w:hAnsi="Times Armenian"/>
      <w:noProof/>
      <w:sz w:val="24"/>
      <w:lang w:val="hy-AM" w:eastAsia="en-US"/>
    </w:rPr>
  </w:style>
  <w:style w:type="character" w:customStyle="1" w:styleId="CharChar42">
    <w:name w:val="Char Char42"/>
    <w:uiPriority w:val="99"/>
    <w:rsid w:val="009F7080"/>
    <w:rPr>
      <w:noProof/>
      <w:lang w:val="hy-AM" w:eastAsia="en-US"/>
    </w:rPr>
  </w:style>
  <w:style w:type="paragraph" w:customStyle="1" w:styleId="CharCharCharChar2">
    <w:name w:val="Char Char Char Char2"/>
    <w:basedOn w:val="Normal"/>
    <w:uiPriority w:val="99"/>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hAnsi="Times Armenian"/>
      <w:b/>
      <w:i/>
      <w:noProof/>
      <w:sz w:val="20"/>
      <w:lang w:val="hy-AM"/>
    </w:rPr>
  </w:style>
  <w:style w:type="character" w:customStyle="1" w:styleId="CharChar131">
    <w:name w:val="Char Char131"/>
    <w:uiPriority w:val="99"/>
    <w:semiHidden/>
    <w:rsid w:val="009F7080"/>
    <w:rPr>
      <w:rFonts w:ascii="Times New Roman" w:hAnsi="Times New Roman"/>
      <w:noProof/>
      <w:sz w:val="20"/>
      <w:lang w:val="hy-AM"/>
    </w:rPr>
  </w:style>
  <w:style w:type="character" w:customStyle="1" w:styleId="CharChar121">
    <w:name w:val="Char Char121"/>
    <w:uiPriority w:val="99"/>
    <w:semiHidden/>
    <w:locked/>
    <w:rsid w:val="009F7080"/>
    <w:rPr>
      <w:rFonts w:ascii="Times New Roman" w:hAnsi="Times New Roman"/>
      <w:noProof/>
      <w:sz w:val="24"/>
      <w:lang w:val="hy-AM"/>
    </w:rPr>
  </w:style>
  <w:style w:type="character" w:customStyle="1" w:styleId="CharChar231">
    <w:name w:val="Char Char231"/>
    <w:uiPriority w:val="99"/>
    <w:rsid w:val="009F7080"/>
    <w:rPr>
      <w:rFonts w:ascii="Times Armenian" w:hAnsi="Times Armenian"/>
      <w:noProof/>
      <w:sz w:val="24"/>
      <w:u w:val="single"/>
      <w:lang w:val="hy-AM"/>
    </w:rPr>
  </w:style>
  <w:style w:type="character" w:customStyle="1" w:styleId="CharChar241">
    <w:name w:val="Char Char241"/>
    <w:uiPriority w:val="99"/>
    <w:locked/>
    <w:rsid w:val="009F7080"/>
    <w:rPr>
      <w:rFonts w:ascii="Times Armenian" w:hAnsi="Times Armenian"/>
      <w:b/>
      <w:i/>
      <w:noProof/>
      <w:sz w:val="20"/>
      <w:lang w:val="hy-AM"/>
    </w:rPr>
  </w:style>
  <w:style w:type="paragraph" w:customStyle="1" w:styleId="Bullet2">
    <w:name w:val="Bullet 2"/>
    <w:basedOn w:val="Normal"/>
    <w:autoRedefine/>
    <w:uiPriority w:val="99"/>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rsid w:val="00330B24"/>
    <w:pPr>
      <w:spacing w:before="100" w:beforeAutospacing="1" w:after="100" w:afterAutospacing="1"/>
    </w:pPr>
    <w:rPr>
      <w:noProof w:val="0"/>
      <w:lang w:val="en-US"/>
    </w:rPr>
  </w:style>
  <w:style w:type="paragraph" w:customStyle="1" w:styleId="paragraph">
    <w:name w:val="paragraph"/>
    <w:basedOn w:val="Normal"/>
    <w:uiPriority w:val="99"/>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olor w:val="000000"/>
      <w:sz w:val="16"/>
    </w:rPr>
  </w:style>
  <w:style w:type="character" w:customStyle="1" w:styleId="accent">
    <w:name w:val="accent"/>
    <w:uiPriority w:val="99"/>
    <w:rsid w:val="00486832"/>
  </w:style>
  <w:style w:type="character" w:customStyle="1" w:styleId="null">
    <w:name w:val="null"/>
    <w:uiPriority w:val="99"/>
    <w:rsid w:val="00486832"/>
  </w:style>
  <w:style w:type="character" w:customStyle="1" w:styleId="a9">
    <w:name w:val="_"/>
    <w:uiPriority w:val="99"/>
    <w:rsid w:val="00486832"/>
  </w:style>
  <w:style w:type="character" w:customStyle="1" w:styleId="FontStyle19">
    <w:name w:val="Font Style19"/>
    <w:uiPriority w:val="99"/>
    <w:rsid w:val="00A53260"/>
    <w:rPr>
      <w:rFonts w:ascii="Tahoma" w:hAnsi="Tahoma"/>
      <w:sz w:val="20"/>
    </w:rPr>
  </w:style>
  <w:style w:type="character" w:customStyle="1" w:styleId="FontStyle22">
    <w:name w:val="Font Style22"/>
    <w:uiPriority w:val="99"/>
    <w:rsid w:val="00A53260"/>
    <w:rPr>
      <w:rFonts w:ascii="Tahoma" w:hAnsi="Tahoma"/>
      <w:sz w:val="20"/>
    </w:rPr>
  </w:style>
  <w:style w:type="paragraph" w:customStyle="1" w:styleId="100">
    <w:name w:val="Основной текст10"/>
    <w:basedOn w:val="Normal"/>
    <w:uiPriority w:val="99"/>
    <w:rsid w:val="00F51F73"/>
    <w:pPr>
      <w:shd w:val="clear" w:color="auto" w:fill="FFFFFF"/>
      <w:spacing w:before="420" w:line="470" w:lineRule="exact"/>
      <w:jc w:val="both"/>
    </w:pPr>
    <w:rPr>
      <w:rFonts w:ascii="Sylfaen" w:hAnsi="Sylfaen" w:cs="Sylfaen"/>
      <w:noProof w:val="0"/>
      <w:sz w:val="22"/>
      <w:szCs w:val="22"/>
      <w:lang w:val="en-US"/>
    </w:rPr>
  </w:style>
  <w:style w:type="character" w:customStyle="1" w:styleId="34">
    <w:name w:val="Основной текст3"/>
    <w:uiPriority w:val="99"/>
    <w:rsid w:val="00F51F73"/>
    <w:rPr>
      <w:rFonts w:ascii="Sylfaen" w:hAnsi="Sylfaen"/>
      <w:sz w:val="19"/>
      <w:shd w:val="clear" w:color="auto" w:fill="FFFFFF"/>
    </w:rPr>
  </w:style>
  <w:style w:type="character" w:customStyle="1" w:styleId="1pt">
    <w:name w:val="Основной текст + Интервал 1 pt"/>
    <w:uiPriority w:val="99"/>
    <w:rsid w:val="00F51F73"/>
    <w:rPr>
      <w:rFonts w:ascii="Sylfaen" w:hAnsi="Sylfaen"/>
      <w:spacing w:val="30"/>
      <w:sz w:val="19"/>
      <w:shd w:val="clear" w:color="auto" w:fill="FFFFFF"/>
    </w:rPr>
  </w:style>
  <w:style w:type="character" w:customStyle="1" w:styleId="42">
    <w:name w:val="Основной текст4"/>
    <w:uiPriority w:val="99"/>
    <w:rsid w:val="00F51F73"/>
    <w:rPr>
      <w:rFonts w:ascii="Sylfaen" w:hAnsi="Sylfaen"/>
      <w:sz w:val="19"/>
      <w:shd w:val="clear" w:color="auto" w:fill="FFFFFF"/>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hAnsi="Tahoma"/>
      <w:color w:val="000000"/>
      <w:spacing w:val="0"/>
      <w:w w:val="100"/>
      <w:position w:val="0"/>
      <w:sz w:val="17"/>
      <w:shd w:val="clear" w:color="auto" w:fill="FFFFFF"/>
      <w:lang w:val="hy-AM"/>
    </w:rPr>
  </w:style>
  <w:style w:type="character" w:customStyle="1" w:styleId="Bodytext7">
    <w:name w:val="Body text (7)"/>
    <w:uiPriority w:val="99"/>
    <w:rsid w:val="00F51F73"/>
    <w:rPr>
      <w:rFonts w:ascii="Tahoma" w:hAnsi="Tahoma"/>
      <w:b/>
      <w:color w:val="000000"/>
      <w:spacing w:val="0"/>
      <w:w w:val="100"/>
      <w:position w:val="0"/>
      <w:sz w:val="18"/>
      <w:u w:val="none"/>
      <w:effect w:val="none"/>
      <w:lang w:val="hy-AM"/>
    </w:rPr>
  </w:style>
  <w:style w:type="character" w:customStyle="1" w:styleId="Bodytext213pt">
    <w:name w:val="Body text (2) + 13 pt"/>
    <w:uiPriority w:val="99"/>
    <w:rsid w:val="00F51F73"/>
    <w:rPr>
      <w:rFonts w:ascii="Sylfaen" w:hAnsi="Sylfaen"/>
      <w:spacing w:val="20"/>
      <w:sz w:val="26"/>
      <w:u w:val="none"/>
      <w:shd w:val="clear" w:color="auto" w:fill="FFFFFF"/>
    </w:rPr>
  </w:style>
  <w:style w:type="paragraph" w:customStyle="1" w:styleId="WW-Default">
    <w:name w:val="WW-Default"/>
    <w:uiPriority w:val="99"/>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rsid w:val="00F51F73"/>
    <w:pPr>
      <w:spacing w:before="100" w:beforeAutospacing="1" w:after="100" w:afterAutospacing="1"/>
    </w:pPr>
    <w:rPr>
      <w:noProof w:val="0"/>
      <w:lang w:val="en-US"/>
    </w:rPr>
  </w:style>
  <w:style w:type="paragraph" w:customStyle="1" w:styleId="intro">
    <w:name w:val="intro"/>
    <w:basedOn w:val="Normal"/>
    <w:uiPriority w:val="99"/>
    <w:rsid w:val="00F51F73"/>
    <w:pPr>
      <w:spacing w:before="100" w:beforeAutospacing="1" w:after="100" w:afterAutospacing="1"/>
    </w:pPr>
    <w:rPr>
      <w:noProof w:val="0"/>
      <w:lang w:val="en-US"/>
    </w:rPr>
  </w:style>
  <w:style w:type="paragraph" w:customStyle="1" w:styleId="newstimeplace">
    <w:name w:val="news_time_place"/>
    <w:basedOn w:val="Normal"/>
    <w:uiPriority w:val="99"/>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i/>
      <w:spacing w:val="-20"/>
      <w:sz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i/>
      <w:color w:val="2949AD"/>
      <w:spacing w:val="-20"/>
      <w:sz w:val="32"/>
      <w:u w:val="none"/>
      <w:shd w:val="clear" w:color="auto" w:fill="FFFFFF"/>
    </w:rPr>
  </w:style>
  <w:style w:type="character" w:customStyle="1" w:styleId="Bodytext31">
    <w:name w:val="Body text (3)_"/>
    <w:link w:val="Bodytext32"/>
    <w:uiPriority w:val="99"/>
    <w:locked/>
    <w:rsid w:val="00F51F73"/>
    <w:rPr>
      <w:rFonts w:ascii="Arial Unicode MS" w:eastAsia="Arial Unicode MS"/>
      <w:b/>
      <w:sz w:val="32"/>
      <w:shd w:val="clear" w:color="auto" w:fill="FFFFFF"/>
    </w:rPr>
  </w:style>
  <w:style w:type="paragraph" w:customStyle="1" w:styleId="Bodytext32">
    <w:name w:val="Body text (3)"/>
    <w:basedOn w:val="Normal"/>
    <w:link w:val="Bodytext31"/>
    <w:uiPriority w:val="99"/>
    <w:rsid w:val="00F51F73"/>
    <w:pPr>
      <w:widowControl w:val="0"/>
      <w:shd w:val="clear" w:color="auto" w:fill="FFFFFF"/>
      <w:spacing w:after="720" w:line="367" w:lineRule="exact"/>
      <w:jc w:val="center"/>
    </w:pPr>
    <w:rPr>
      <w:rFonts w:ascii="Arial Unicode MS" w:eastAsia="Arial Unicode MS"/>
      <w:b/>
      <w:noProof w:val="0"/>
      <w:sz w:val="32"/>
      <w:szCs w:val="20"/>
      <w:lang w:val="en-US"/>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smallCaps/>
      <w:spacing w:val="-10"/>
      <w:w w:val="150"/>
      <w:sz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spacing w:val="-10"/>
      <w:w w:val="150"/>
      <w:sz w:val="21"/>
      <w:u w:val="none"/>
      <w:shd w:val="clear" w:color="auto" w:fill="FFFFFF"/>
    </w:rPr>
  </w:style>
  <w:style w:type="character" w:customStyle="1" w:styleId="Bodytext4">
    <w:name w:val="Body text (4)_"/>
    <w:link w:val="Bodytext40"/>
    <w:uiPriority w:val="99"/>
    <w:locked/>
    <w:rsid w:val="00F51F73"/>
    <w:rPr>
      <w:rFonts w:ascii="Arial Unicode MS" w:eastAsia="Arial Unicode MS"/>
      <w:i/>
      <w:spacing w:val="-20"/>
      <w:sz w:val="28"/>
      <w:shd w:val="clear" w:color="auto" w:fill="FFFFFF"/>
    </w:rPr>
  </w:style>
  <w:style w:type="paragraph" w:customStyle="1" w:styleId="Bodytext40">
    <w:name w:val="Body text (4)"/>
    <w:basedOn w:val="Normal"/>
    <w:link w:val="Bodytext4"/>
    <w:uiPriority w:val="99"/>
    <w:rsid w:val="00F51F73"/>
    <w:pPr>
      <w:widowControl w:val="0"/>
      <w:shd w:val="clear" w:color="auto" w:fill="FFFFFF"/>
      <w:spacing w:before="480" w:after="360" w:line="370" w:lineRule="exact"/>
      <w:ind w:firstLine="84"/>
    </w:pPr>
    <w:rPr>
      <w:rFonts w:ascii="Arial Unicode MS" w:eastAsia="Arial Unicode MS"/>
      <w:i/>
      <w:noProof w:val="0"/>
      <w:spacing w:val="-20"/>
      <w:sz w:val="28"/>
      <w:szCs w:val="20"/>
      <w:lang w:val="en-US"/>
    </w:rPr>
  </w:style>
  <w:style w:type="character" w:customStyle="1" w:styleId="Bodytext4Bold">
    <w:name w:val="Body text (4) + Bold"/>
    <w:aliases w:val="Spacing 0 pt"/>
    <w:uiPriority w:val="99"/>
    <w:rsid w:val="00F51F73"/>
    <w:rPr>
      <w:rFonts w:ascii="Arial Unicode MS" w:eastAsia="Arial Unicode MS"/>
      <w:b/>
      <w:i/>
      <w:spacing w:val="-10"/>
      <w:sz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b/>
      <w:sz w:val="22"/>
      <w:u w:val="none"/>
      <w:shd w:val="clear" w:color="auto" w:fill="FFFFFF"/>
    </w:rPr>
  </w:style>
  <w:style w:type="character" w:customStyle="1" w:styleId="Headerorfooter">
    <w:name w:val="Header or footer_"/>
    <w:link w:val="Headerorfooter1"/>
    <w:uiPriority w:val="99"/>
    <w:locked/>
    <w:rsid w:val="00F51F73"/>
    <w:rPr>
      <w:rFonts w:ascii="Arial Unicode MS" w:eastAsia="Arial Unicode MS"/>
      <w:sz w:val="24"/>
      <w:shd w:val="clear" w:color="auto" w:fill="FFFFFF"/>
    </w:rPr>
  </w:style>
  <w:style w:type="paragraph" w:customStyle="1" w:styleId="Headerorfooter1">
    <w:name w:val="Header or footer1"/>
    <w:basedOn w:val="Normal"/>
    <w:link w:val="Headerorfooter"/>
    <w:uiPriority w:val="99"/>
    <w:rsid w:val="00F51F73"/>
    <w:pPr>
      <w:widowControl w:val="0"/>
      <w:shd w:val="clear" w:color="auto" w:fill="FFFFFF"/>
      <w:spacing w:line="240" w:lineRule="atLeast"/>
      <w:ind w:firstLine="77"/>
    </w:pPr>
    <w:rPr>
      <w:rFonts w:ascii="Arial Unicode MS" w:eastAsia="Arial Unicode MS"/>
      <w:noProof w:val="0"/>
      <w:szCs w:val="20"/>
      <w:lang w:val="en-US"/>
    </w:rPr>
  </w:style>
  <w:style w:type="character" w:customStyle="1" w:styleId="HeaderorfooterSylfaen">
    <w:name w:val="Header or footer + Sylfaen"/>
    <w:aliases w:val="13 pt,Scaling 66%"/>
    <w:uiPriority w:val="99"/>
    <w:rsid w:val="00F51F73"/>
    <w:rPr>
      <w:rFonts w:ascii="Sylfaen" w:eastAsia="Arial Unicode MS" w:hAnsi="Sylfaen"/>
      <w:w w:val="66"/>
      <w:sz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spacing w:val="-30"/>
      <w:sz w:val="30"/>
      <w:u w:val="none"/>
      <w:shd w:val="clear" w:color="auto" w:fill="FFFFFF"/>
    </w:rPr>
  </w:style>
  <w:style w:type="character" w:customStyle="1" w:styleId="Bodytext211pt">
    <w:name w:val="Body text (2) + 11 pt"/>
    <w:uiPriority w:val="99"/>
    <w:rsid w:val="00F51F73"/>
    <w:rPr>
      <w:rFonts w:ascii="Arial Unicode MS" w:eastAsia="Arial Unicode MS" w:hAnsi="Sylfaen"/>
      <w:spacing w:val="20"/>
      <w:sz w:val="22"/>
      <w:u w:val="none"/>
      <w:shd w:val="clear" w:color="auto" w:fill="FFFFFF"/>
    </w:rPr>
  </w:style>
  <w:style w:type="character" w:customStyle="1" w:styleId="Footnote2">
    <w:name w:val="Footnote (2)_"/>
    <w:link w:val="Footnote21"/>
    <w:uiPriority w:val="99"/>
    <w:locked/>
    <w:rsid w:val="00F51F73"/>
    <w:rPr>
      <w:rFonts w:ascii="Arial Unicode MS" w:eastAsia="Arial Unicode MS"/>
      <w:shd w:val="clear" w:color="auto" w:fill="FFFFFF"/>
    </w:rPr>
  </w:style>
  <w:style w:type="paragraph" w:customStyle="1" w:styleId="Footnote21">
    <w:name w:val="Footnote (2)1"/>
    <w:basedOn w:val="Normal"/>
    <w:link w:val="Footnote2"/>
    <w:uiPriority w:val="99"/>
    <w:rsid w:val="00F51F73"/>
    <w:pPr>
      <w:widowControl w:val="0"/>
      <w:shd w:val="clear" w:color="auto" w:fill="FFFFFF"/>
      <w:spacing w:line="240" w:lineRule="atLeast"/>
      <w:ind w:firstLine="36"/>
      <w:jc w:val="both"/>
    </w:pPr>
    <w:rPr>
      <w:rFonts w:ascii="Arial Unicode MS" w:eastAsia="Arial Unicode MS"/>
      <w:noProof w:val="0"/>
      <w:sz w:val="20"/>
      <w:szCs w:val="20"/>
      <w:lang w:val="en-US"/>
    </w:rPr>
  </w:style>
  <w:style w:type="character" w:customStyle="1" w:styleId="Footnote20">
    <w:name w:val="Footnote (2)"/>
    <w:uiPriority w:val="99"/>
    <w:rsid w:val="00F51F73"/>
    <w:rPr>
      <w:rFonts w:ascii="Arial Unicode MS" w:eastAsia="Arial Unicode MS"/>
      <w:color w:val="78AAC6"/>
      <w:u w:val="single"/>
      <w:shd w:val="clear" w:color="auto" w:fill="FFFFFF"/>
    </w:rPr>
  </w:style>
  <w:style w:type="character" w:customStyle="1" w:styleId="Footnote22">
    <w:name w:val="Footnote (2)2"/>
    <w:uiPriority w:val="99"/>
    <w:rsid w:val="00F51F73"/>
    <w:rPr>
      <w:rFonts w:ascii="Arial Unicode MS" w:eastAsia="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b/>
      <w:sz w:val="8"/>
      <w:u w:val="none"/>
      <w:shd w:val="clear" w:color="auto" w:fill="FFFFFF"/>
    </w:rPr>
  </w:style>
  <w:style w:type="paragraph" w:customStyle="1" w:styleId="Bodytext210">
    <w:name w:val="Body text (2)1"/>
    <w:basedOn w:val="Normal"/>
    <w:uiPriority w:val="99"/>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olor w:val="6B6B6B"/>
      <w:spacing w:val="20"/>
      <w:sz w:val="30"/>
      <w:u w:val="none"/>
      <w:shd w:val="clear" w:color="auto" w:fill="FFFFFF"/>
    </w:rPr>
  </w:style>
  <w:style w:type="character" w:customStyle="1" w:styleId="Bodytext220">
    <w:name w:val="Body text (2)2"/>
    <w:uiPriority w:val="99"/>
    <w:rsid w:val="00F51F73"/>
    <w:rPr>
      <w:rFonts w:ascii="Arial Unicode MS" w:eastAsia="Arial Unicode MS" w:hAnsi="Sylfaen"/>
      <w:color w:val="464646"/>
      <w:spacing w:val="20"/>
      <w:sz w:val="30"/>
      <w:u w:val="none"/>
      <w:shd w:val="clear" w:color="auto" w:fill="FFFFFF"/>
    </w:rPr>
  </w:style>
  <w:style w:type="character" w:customStyle="1" w:styleId="HTMLPreformattedChar1">
    <w:name w:val="HTML Preformatted Char1"/>
    <w:uiPriority w:val="99"/>
    <w:semiHidden/>
    <w:rsid w:val="00F51F73"/>
    <w:rPr>
      <w:rFonts w:ascii="Consolas" w:hAnsi="Consolas"/>
      <w:sz w:val="20"/>
    </w:rPr>
  </w:style>
  <w:style w:type="character" w:customStyle="1" w:styleId="FontStyle32">
    <w:name w:val="Font Style32"/>
    <w:uiPriority w:val="99"/>
    <w:rsid w:val="00F51F73"/>
    <w:rPr>
      <w:rFonts w:ascii="Tahoma" w:hAnsi="Tahoma"/>
      <w:sz w:val="20"/>
    </w:rPr>
  </w:style>
  <w:style w:type="character" w:customStyle="1" w:styleId="Bodytext42">
    <w:name w:val="Body text (4)2"/>
    <w:uiPriority w:val="99"/>
    <w:rsid w:val="00F51F73"/>
    <w:rPr>
      <w:rFonts w:ascii="Sylfaen" w:eastAsia="Arial Unicode MS" w:hAnsi="Sylfaen"/>
      <w:i/>
      <w:color w:val="43476D"/>
      <w:spacing w:val="20"/>
      <w:w w:val="80"/>
      <w:sz w:val="24"/>
      <w:u w:val="none"/>
      <w:shd w:val="clear" w:color="auto" w:fill="FFFFFF"/>
    </w:rPr>
  </w:style>
  <w:style w:type="paragraph" w:customStyle="1" w:styleId="Bodytext41">
    <w:name w:val="Body text (4)1"/>
    <w:basedOn w:val="Normal"/>
    <w:uiPriority w:val="99"/>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uiPriority w:val="99"/>
    <w:rsid w:val="00F51F7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Quote">
    <w:name w:val="Quote"/>
    <w:basedOn w:val="Normal"/>
    <w:next w:val="Normal"/>
    <w:link w:val="QuoteChar"/>
    <w:uiPriority w:val="99"/>
    <w:qFormat/>
    <w:rsid w:val="00F51F73"/>
    <w:pPr>
      <w:spacing w:before="200" w:line="276" w:lineRule="auto"/>
      <w:ind w:left="360" w:right="360"/>
    </w:pPr>
    <w:rPr>
      <w:rFonts w:ascii="Calibri" w:hAnsi="Calibri"/>
      <w:i/>
      <w:noProof w:val="0"/>
      <w:sz w:val="22"/>
      <w:szCs w:val="20"/>
      <w:lang w:val="en-US"/>
    </w:rPr>
  </w:style>
  <w:style w:type="character" w:customStyle="1" w:styleId="QuoteChar">
    <w:name w:val="Quote Char"/>
    <w:basedOn w:val="DefaultParagraphFont"/>
    <w:link w:val="Quote"/>
    <w:uiPriority w:val="99"/>
    <w:locked/>
    <w:rsid w:val="00F51F73"/>
    <w:rPr>
      <w:rFonts w:ascii="Calibri" w:hAnsi="Calibri" w:cs="Times New Roman"/>
      <w:i/>
      <w:sz w:val="22"/>
    </w:rPr>
  </w:style>
  <w:style w:type="character" w:styleId="SubtleEmphasis">
    <w:name w:val="Subtle Emphasis"/>
    <w:basedOn w:val="DefaultParagraphFont"/>
    <w:uiPriority w:val="99"/>
    <w:qFormat/>
    <w:rsid w:val="00F51F73"/>
    <w:rPr>
      <w:rFonts w:cs="Times New Roman"/>
      <w:i/>
    </w:rPr>
  </w:style>
  <w:style w:type="character" w:styleId="IntenseEmphasis">
    <w:name w:val="Intense Emphasis"/>
    <w:basedOn w:val="DefaultParagraphFont"/>
    <w:uiPriority w:val="99"/>
    <w:qFormat/>
    <w:rsid w:val="00F51F73"/>
    <w:rPr>
      <w:rFonts w:cs="Times New Roman"/>
      <w:b/>
    </w:rPr>
  </w:style>
  <w:style w:type="character" w:styleId="SubtleReference">
    <w:name w:val="Subtle Reference"/>
    <w:basedOn w:val="DefaultParagraphFont"/>
    <w:uiPriority w:val="99"/>
    <w:qFormat/>
    <w:rsid w:val="00F51F73"/>
    <w:rPr>
      <w:rFonts w:cs="Times New Roman"/>
      <w:smallCaps/>
    </w:rPr>
  </w:style>
  <w:style w:type="character" w:styleId="IntenseReference">
    <w:name w:val="Intense Reference"/>
    <w:basedOn w:val="DefaultParagraphFont"/>
    <w:uiPriority w:val="99"/>
    <w:qFormat/>
    <w:rsid w:val="00F51F73"/>
    <w:rPr>
      <w:rFonts w:cs="Times New Roman"/>
      <w:smallCaps/>
      <w:spacing w:val="5"/>
      <w:u w:val="single"/>
    </w:rPr>
  </w:style>
  <w:style w:type="character" w:styleId="BookTitle">
    <w:name w:val="Book Title"/>
    <w:basedOn w:val="DefaultParagraphFont"/>
    <w:uiPriority w:val="99"/>
    <w:qFormat/>
    <w:rsid w:val="00F51F73"/>
    <w:rPr>
      <w:rFonts w:cs="Times New Roman"/>
      <w:i/>
      <w:smallCaps/>
      <w:spacing w:val="5"/>
    </w:rPr>
  </w:style>
  <w:style w:type="character" w:customStyle="1" w:styleId="Normal1">
    <w:name w:val="Normal1"/>
    <w:uiPriority w:val="99"/>
    <w:rsid w:val="00F51F73"/>
    <w:rPr>
      <w:rFonts w:ascii="Arial" w:hAnsi="Arial"/>
      <w:sz w:val="24"/>
    </w:rPr>
  </w:style>
  <w:style w:type="table" w:styleId="MediumShading1-Accent5">
    <w:name w:val="Medium Shading 1 Accent 5"/>
    <w:basedOn w:val="TableNormal"/>
    <w:uiPriority w:val="99"/>
    <w:rsid w:val="00686972"/>
    <w:rPr>
      <w:rFonts w:ascii="Calibri" w:hAnsi="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aa">
    <w:name w:val="Без интервала"/>
    <w:uiPriority w:val="99"/>
    <w:rsid w:val="00686972"/>
    <w:rPr>
      <w:rFonts w:ascii="Calibri" w:hAnsi="Calibri" w:cs="Calibri"/>
    </w:rPr>
  </w:style>
  <w:style w:type="character" w:customStyle="1" w:styleId="spellingerror">
    <w:name w:val="spellingerror"/>
    <w:uiPriority w:val="99"/>
    <w:rsid w:val="00686972"/>
  </w:style>
  <w:style w:type="character" w:customStyle="1" w:styleId="s2">
    <w:name w:val="s2"/>
    <w:uiPriority w:val="99"/>
    <w:rsid w:val="00686972"/>
  </w:style>
  <w:style w:type="character" w:customStyle="1" w:styleId="s4">
    <w:name w:val="s4"/>
    <w:uiPriority w:val="99"/>
    <w:rsid w:val="00686972"/>
  </w:style>
  <w:style w:type="paragraph" w:customStyle="1" w:styleId="p12">
    <w:name w:val="p12"/>
    <w:basedOn w:val="Normal"/>
    <w:uiPriority w:val="99"/>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olor w:val="000000"/>
      <w:spacing w:val="3"/>
      <w:w w:val="100"/>
      <w:position w:val="0"/>
      <w:sz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hAnsi="Impact"/>
      <w:i/>
      <w:color w:val="000000"/>
      <w:spacing w:val="0"/>
      <w:w w:val="100"/>
      <w:position w:val="0"/>
      <w:sz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b/>
      <w:color w:val="000000"/>
      <w:spacing w:val="7"/>
      <w:w w:val="100"/>
      <w:position w:val="0"/>
      <w:sz w:val="22"/>
      <w:u w:val="none"/>
      <w:shd w:val="clear" w:color="auto" w:fill="FFFFFF"/>
      <w:lang w:val="ru-RU"/>
    </w:rPr>
  </w:style>
  <w:style w:type="table" w:styleId="LightShading-Accent5">
    <w:name w:val="Light Shading Accent 5"/>
    <w:basedOn w:val="TableNormal"/>
    <w:uiPriority w:val="99"/>
    <w:rsid w:val="00686972"/>
    <w:rPr>
      <w:rFonts w:ascii="Calibri" w:hAnsi="Calibri"/>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hAnsi="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hAnsi="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LightShading-Accent11">
    <w:name w:val="Light Shading - Accent 11"/>
    <w:uiPriority w:val="99"/>
    <w:rsid w:val="00686972"/>
    <w:rPr>
      <w:rFonts w:ascii="Calibri" w:hAnsi="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27">
    <w:name w:val="Заголовок №2_"/>
    <w:link w:val="28"/>
    <w:uiPriority w:val="99"/>
    <w:locked/>
    <w:rsid w:val="00686972"/>
    <w:rPr>
      <w:rFonts w:ascii="Arial Unicode MS" w:eastAsia="Arial Unicode MS" w:hAnsi="Arial Unicode MS"/>
      <w:spacing w:val="3"/>
      <w:sz w:val="33"/>
      <w:shd w:val="clear" w:color="auto" w:fill="FFFFFF"/>
    </w:rPr>
  </w:style>
  <w:style w:type="paragraph" w:customStyle="1" w:styleId="28">
    <w:name w:val="Заголовок №2"/>
    <w:basedOn w:val="Normal"/>
    <w:link w:val="27"/>
    <w:uiPriority w:val="99"/>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20"/>
      <w:lang w:val="en-US"/>
    </w:rPr>
  </w:style>
  <w:style w:type="paragraph" w:customStyle="1" w:styleId="CharCharCharCharCharCharCharCharCharChar3">
    <w:name w:val="Char Char Char Char Char 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rsid w:val="0078654B"/>
    <w:pPr>
      <w:tabs>
        <w:tab w:val="left" w:pos="709"/>
      </w:tabs>
    </w:pPr>
    <w:rPr>
      <w:rFonts w:ascii="Tahoma" w:hAnsi="Tahoma"/>
      <w:noProof w:val="0"/>
      <w:lang w:val="pl-PL" w:eastAsia="pl-PL"/>
    </w:rPr>
  </w:style>
  <w:style w:type="paragraph" w:customStyle="1" w:styleId="5">
    <w:name w:val="Знак Знак5"/>
    <w:basedOn w:val="Normal"/>
    <w:uiPriority w:val="99"/>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rPr>
  </w:style>
  <w:style w:type="paragraph" w:customStyle="1" w:styleId="CharCharChar3">
    <w:name w:val="Char Char Char Знак3"/>
    <w:basedOn w:val="Normal"/>
    <w:next w:val="Normal"/>
    <w:uiPriority w:val="99"/>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rsid w:val="0078654B"/>
    <w:rPr>
      <w:rFonts w:ascii="Sylfaen" w:hAnsi="Sylfaen"/>
      <w:color w:val="auto"/>
    </w:rPr>
  </w:style>
  <w:style w:type="paragraph" w:customStyle="1" w:styleId="230">
    <w:name w:val="Знак Знак2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b/>
      <w:i/>
      <w:noProof/>
      <w:sz w:val="26"/>
      <w:u w:val="single"/>
      <w:lang w:val="hy-AM" w:eastAsia="en-US"/>
    </w:rPr>
  </w:style>
  <w:style w:type="character" w:customStyle="1" w:styleId="CharChar53">
    <w:name w:val="Char Char53"/>
    <w:uiPriority w:val="99"/>
    <w:rsid w:val="0078654B"/>
    <w:rPr>
      <w:rFonts w:ascii="Times Armenian" w:hAnsi="Times Armenian"/>
      <w:noProof/>
      <w:sz w:val="24"/>
      <w:lang w:val="hy-AM" w:eastAsia="en-US"/>
    </w:rPr>
  </w:style>
  <w:style w:type="character" w:customStyle="1" w:styleId="CharChar43">
    <w:name w:val="Char Char43"/>
    <w:uiPriority w:val="99"/>
    <w:rsid w:val="0078654B"/>
    <w:rPr>
      <w:noProof/>
      <w:lang w:val="hy-AM" w:eastAsia="en-US"/>
    </w:rPr>
  </w:style>
  <w:style w:type="character" w:customStyle="1" w:styleId="CharChar182">
    <w:name w:val="Char Char182"/>
    <w:uiPriority w:val="99"/>
    <w:rsid w:val="0078654B"/>
    <w:rPr>
      <w:rFonts w:ascii="Times Armenian" w:hAnsi="Times Armenian"/>
      <w:b/>
      <w:i/>
      <w:noProof/>
      <w:sz w:val="20"/>
      <w:lang w:val="hy-AM"/>
    </w:rPr>
  </w:style>
  <w:style w:type="character" w:customStyle="1" w:styleId="CharChar132">
    <w:name w:val="Char Char132"/>
    <w:uiPriority w:val="99"/>
    <w:semiHidden/>
    <w:rsid w:val="0078654B"/>
    <w:rPr>
      <w:rFonts w:ascii="Times New Roman" w:hAnsi="Times New Roman"/>
      <w:noProof/>
      <w:sz w:val="20"/>
      <w:lang w:val="hy-AM"/>
    </w:rPr>
  </w:style>
  <w:style w:type="character" w:customStyle="1" w:styleId="CharChar122">
    <w:name w:val="Char Char122"/>
    <w:uiPriority w:val="99"/>
    <w:semiHidden/>
    <w:locked/>
    <w:rsid w:val="0078654B"/>
    <w:rPr>
      <w:rFonts w:ascii="Times New Roman" w:hAnsi="Times New Roman"/>
      <w:noProof/>
      <w:sz w:val="24"/>
      <w:lang w:val="hy-AM"/>
    </w:rPr>
  </w:style>
  <w:style w:type="paragraph" w:customStyle="1" w:styleId="CharCharCharChar3">
    <w:name w:val="Char Char Char Char3"/>
    <w:basedOn w:val="Normal"/>
    <w:uiPriority w:val="99"/>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hAnsi="Times Armenian"/>
      <w:noProof/>
      <w:sz w:val="24"/>
      <w:u w:val="single"/>
      <w:lang w:val="hy-AM"/>
    </w:rPr>
  </w:style>
  <w:style w:type="character" w:customStyle="1" w:styleId="CharChar242">
    <w:name w:val="Char Char242"/>
    <w:uiPriority w:val="99"/>
    <w:locked/>
    <w:rsid w:val="0078654B"/>
    <w:rPr>
      <w:rFonts w:ascii="Times Armenian" w:hAnsi="Times Armenian"/>
      <w:b/>
      <w:i/>
      <w:noProof/>
      <w:sz w:val="20"/>
      <w:lang w:val="hy-AM"/>
    </w:rPr>
  </w:style>
  <w:style w:type="paragraph" w:customStyle="1" w:styleId="CharCharCharCharCharCharCharCharCharChar7">
    <w:name w:val="Char Char Char Char Char Char Char Char Char Char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uiPriority w:val="99"/>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uiPriority w:val="99"/>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uiPriority w:val="99"/>
    <w:rsid w:val="00702996"/>
    <w:pPr>
      <w:spacing w:after="160" w:line="240" w:lineRule="exact"/>
    </w:pPr>
    <w:rPr>
      <w:rFonts w:ascii="Verdana" w:hAnsi="Verdana"/>
      <w:noProof w:val="0"/>
      <w:sz w:val="20"/>
      <w:szCs w:val="20"/>
      <w:lang w:val="en-GB"/>
    </w:rPr>
  </w:style>
  <w:style w:type="paragraph" w:customStyle="1" w:styleId="Znak7">
    <w:name w:val="Znak7"/>
    <w:basedOn w:val="Normal"/>
    <w:uiPriority w:val="99"/>
    <w:rsid w:val="00702996"/>
    <w:pPr>
      <w:tabs>
        <w:tab w:val="left" w:pos="709"/>
      </w:tabs>
    </w:pPr>
    <w:rPr>
      <w:rFonts w:ascii="Tahoma" w:hAnsi="Tahoma"/>
      <w:noProof w:val="0"/>
      <w:lang w:val="pl-PL" w:eastAsia="pl-PL"/>
    </w:rPr>
  </w:style>
  <w:style w:type="paragraph" w:customStyle="1" w:styleId="9">
    <w:name w:val="Знак Знак9"/>
    <w:basedOn w:val="Normal"/>
    <w:uiPriority w:val="99"/>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uiPriority w:val="99"/>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uiPriority w:val="99"/>
    <w:semiHidden/>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uiPriority w:val="99"/>
    <w:rsid w:val="00702996"/>
    <w:rPr>
      <w:rFonts w:eastAsia="SimSun"/>
      <w:noProof w:val="0"/>
      <w:sz w:val="20"/>
      <w:szCs w:val="20"/>
      <w:lang w:val="en-US" w:eastAsia="ru-RU"/>
    </w:rPr>
  </w:style>
  <w:style w:type="character" w:customStyle="1" w:styleId="Char17">
    <w:name w:val="Char17"/>
    <w:uiPriority w:val="99"/>
    <w:rsid w:val="00702996"/>
    <w:rPr>
      <w:rFonts w:ascii="Times Armenian" w:hAnsi="Times Armenian"/>
      <w:sz w:val="22"/>
      <w:lang w:val="en-GB" w:eastAsia="en-US"/>
    </w:rPr>
  </w:style>
  <w:style w:type="paragraph" w:customStyle="1" w:styleId="CharCharChar7">
    <w:name w:val="Char Char Char Знак7"/>
    <w:basedOn w:val="Normal"/>
    <w:next w:val="Normal"/>
    <w:uiPriority w:val="99"/>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uiPriority w:val="99"/>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uiPriority w:val="99"/>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rsid w:val="00702996"/>
    <w:rPr>
      <w:rFonts w:ascii="Sylfaen" w:hAnsi="Sylfaen"/>
      <w:color w:val="auto"/>
    </w:rPr>
  </w:style>
  <w:style w:type="paragraph" w:customStyle="1" w:styleId="270">
    <w:name w:val="Знак Знак2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uiPriority w:val="99"/>
    <w:rsid w:val="00702996"/>
    <w:pPr>
      <w:spacing w:after="160" w:line="240" w:lineRule="exact"/>
    </w:pPr>
    <w:rPr>
      <w:rFonts w:ascii="Arial" w:hAnsi="Arial" w:cs="Arial"/>
      <w:noProof w:val="0"/>
      <w:sz w:val="20"/>
      <w:szCs w:val="20"/>
      <w:lang w:val="en-US"/>
    </w:rPr>
  </w:style>
  <w:style w:type="character" w:customStyle="1" w:styleId="CharChar67">
    <w:name w:val="Char Char67"/>
    <w:uiPriority w:val="99"/>
    <w:rsid w:val="00702996"/>
    <w:rPr>
      <w:rFonts w:ascii="Times Armenian" w:hAnsi="Times Armenian"/>
      <w:b/>
      <w:i/>
      <w:noProof/>
      <w:sz w:val="26"/>
      <w:u w:val="single"/>
      <w:lang w:val="hy-AM" w:eastAsia="en-US"/>
    </w:rPr>
  </w:style>
  <w:style w:type="character" w:customStyle="1" w:styleId="CharChar57">
    <w:name w:val="Char Char57"/>
    <w:uiPriority w:val="99"/>
    <w:rsid w:val="00702996"/>
    <w:rPr>
      <w:rFonts w:ascii="Times Armenian" w:hAnsi="Times Armenian"/>
      <w:noProof/>
      <w:sz w:val="24"/>
      <w:lang w:val="hy-AM" w:eastAsia="en-US"/>
    </w:rPr>
  </w:style>
  <w:style w:type="character" w:customStyle="1" w:styleId="CharChar47">
    <w:name w:val="Char Char47"/>
    <w:uiPriority w:val="99"/>
    <w:rsid w:val="00702996"/>
    <w:rPr>
      <w:noProof/>
      <w:lang w:val="hy-AM" w:eastAsia="en-US"/>
    </w:rPr>
  </w:style>
  <w:style w:type="character" w:customStyle="1" w:styleId="CharChar186">
    <w:name w:val="Char Char186"/>
    <w:uiPriority w:val="99"/>
    <w:rsid w:val="00702996"/>
    <w:rPr>
      <w:rFonts w:ascii="Times Armenian" w:hAnsi="Times Armenian"/>
      <w:b/>
      <w:i/>
      <w:noProof/>
      <w:sz w:val="20"/>
      <w:lang w:val="hy-AM"/>
    </w:rPr>
  </w:style>
  <w:style w:type="character" w:customStyle="1" w:styleId="CharChar136">
    <w:name w:val="Char Char136"/>
    <w:uiPriority w:val="99"/>
    <w:semiHidden/>
    <w:rsid w:val="00702996"/>
    <w:rPr>
      <w:rFonts w:ascii="Times New Roman" w:hAnsi="Times New Roman"/>
      <w:noProof/>
      <w:sz w:val="20"/>
      <w:lang w:val="hy-AM"/>
    </w:rPr>
  </w:style>
  <w:style w:type="character" w:customStyle="1" w:styleId="CharChar126">
    <w:name w:val="Char Char126"/>
    <w:uiPriority w:val="99"/>
    <w:semiHidden/>
    <w:locked/>
    <w:rsid w:val="00702996"/>
    <w:rPr>
      <w:rFonts w:ascii="Times New Roman" w:hAnsi="Times New Roman"/>
      <w:noProof/>
      <w:sz w:val="24"/>
      <w:lang w:val="hy-AM"/>
    </w:rPr>
  </w:style>
  <w:style w:type="paragraph" w:customStyle="1" w:styleId="CharCharCharChar7">
    <w:name w:val="Char Char Char Char7"/>
    <w:basedOn w:val="Normal"/>
    <w:uiPriority w:val="99"/>
    <w:rsid w:val="00702996"/>
    <w:pPr>
      <w:spacing w:after="160" w:line="240" w:lineRule="exact"/>
    </w:pPr>
    <w:rPr>
      <w:rFonts w:ascii="Arial" w:hAnsi="Arial" w:cs="Arial"/>
      <w:noProof w:val="0"/>
      <w:sz w:val="20"/>
      <w:szCs w:val="20"/>
      <w:lang w:val="en-US"/>
    </w:rPr>
  </w:style>
  <w:style w:type="character" w:customStyle="1" w:styleId="CharChar236">
    <w:name w:val="Char Char236"/>
    <w:uiPriority w:val="99"/>
    <w:rsid w:val="00702996"/>
    <w:rPr>
      <w:rFonts w:ascii="Times Armenian" w:hAnsi="Times Armenian"/>
      <w:noProof/>
      <w:sz w:val="24"/>
      <w:u w:val="single"/>
      <w:lang w:val="hy-AM"/>
    </w:rPr>
  </w:style>
  <w:style w:type="character" w:customStyle="1" w:styleId="CharChar246">
    <w:name w:val="Char Char246"/>
    <w:uiPriority w:val="99"/>
    <w:locked/>
    <w:rsid w:val="00702996"/>
    <w:rPr>
      <w:rFonts w:ascii="Times Armenian" w:hAnsi="Times Armenian"/>
      <w:b/>
      <w:i/>
      <w:noProof/>
      <w:sz w:val="20"/>
      <w:lang w:val="hy-AM"/>
    </w:rPr>
  </w:style>
  <w:style w:type="paragraph" w:customStyle="1" w:styleId="CharCharCharCharCharCharCharCharCharChar6">
    <w:name w:val="Char Char Char Char Char Char Char Char Char Char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uiPriority w:val="99"/>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uiPriority w:val="99"/>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uiPriority w:val="99"/>
    <w:rsid w:val="00391F6D"/>
    <w:pPr>
      <w:spacing w:after="160" w:line="240" w:lineRule="exact"/>
    </w:pPr>
    <w:rPr>
      <w:rFonts w:ascii="Verdana" w:hAnsi="Verdana"/>
      <w:noProof w:val="0"/>
      <w:sz w:val="20"/>
      <w:szCs w:val="20"/>
      <w:lang w:val="en-GB"/>
    </w:rPr>
  </w:style>
  <w:style w:type="paragraph" w:customStyle="1" w:styleId="Znak6">
    <w:name w:val="Znak6"/>
    <w:basedOn w:val="Normal"/>
    <w:uiPriority w:val="99"/>
    <w:rsid w:val="00391F6D"/>
    <w:pPr>
      <w:tabs>
        <w:tab w:val="left" w:pos="709"/>
      </w:tabs>
    </w:pPr>
    <w:rPr>
      <w:rFonts w:ascii="Tahoma" w:hAnsi="Tahoma"/>
      <w:noProof w:val="0"/>
      <w:lang w:val="pl-PL" w:eastAsia="pl-PL"/>
    </w:rPr>
  </w:style>
  <w:style w:type="paragraph" w:customStyle="1" w:styleId="8">
    <w:name w:val="Знак Знак8"/>
    <w:basedOn w:val="Normal"/>
    <w:uiPriority w:val="99"/>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uiPriority w:val="99"/>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uiPriority w:val="99"/>
    <w:semiHidden/>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uiPriority w:val="99"/>
    <w:rsid w:val="00391F6D"/>
    <w:rPr>
      <w:rFonts w:eastAsia="SimSun"/>
      <w:noProof w:val="0"/>
      <w:sz w:val="20"/>
      <w:szCs w:val="20"/>
      <w:lang w:val="en-US" w:eastAsia="ru-RU"/>
    </w:rPr>
  </w:style>
  <w:style w:type="character" w:customStyle="1" w:styleId="Char10">
    <w:name w:val="Char10"/>
    <w:uiPriority w:val="99"/>
    <w:rsid w:val="00391F6D"/>
    <w:rPr>
      <w:rFonts w:ascii="Times Armenian" w:hAnsi="Times Armenian"/>
      <w:sz w:val="22"/>
      <w:lang w:val="en-GB" w:eastAsia="en-US"/>
    </w:rPr>
  </w:style>
  <w:style w:type="paragraph" w:customStyle="1" w:styleId="CharCharChar6">
    <w:name w:val="Char Char Char Знак6"/>
    <w:basedOn w:val="Normal"/>
    <w:next w:val="Normal"/>
    <w:uiPriority w:val="99"/>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uiPriority w:val="99"/>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uiPriority w:val="99"/>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uiPriority w:val="99"/>
    <w:rsid w:val="00391F6D"/>
    <w:pPr>
      <w:spacing w:after="160" w:line="240" w:lineRule="exact"/>
    </w:pPr>
    <w:rPr>
      <w:rFonts w:ascii="Arial" w:hAnsi="Arial" w:cs="Arial"/>
      <w:noProof w:val="0"/>
      <w:sz w:val="20"/>
      <w:szCs w:val="20"/>
      <w:lang w:val="en-US"/>
    </w:rPr>
  </w:style>
  <w:style w:type="character" w:customStyle="1" w:styleId="CharChar66">
    <w:name w:val="Char Char66"/>
    <w:uiPriority w:val="99"/>
    <w:rsid w:val="00391F6D"/>
    <w:rPr>
      <w:rFonts w:ascii="Times Armenian" w:hAnsi="Times Armenian"/>
      <w:b/>
      <w:i/>
      <w:noProof/>
      <w:sz w:val="26"/>
      <w:u w:val="single"/>
      <w:lang w:val="hy-AM" w:eastAsia="en-US"/>
    </w:rPr>
  </w:style>
  <w:style w:type="character" w:customStyle="1" w:styleId="CharChar56">
    <w:name w:val="Char Char56"/>
    <w:uiPriority w:val="99"/>
    <w:rsid w:val="00391F6D"/>
    <w:rPr>
      <w:rFonts w:ascii="Times Armenian" w:hAnsi="Times Armenian"/>
      <w:noProof/>
      <w:sz w:val="24"/>
      <w:lang w:val="hy-AM" w:eastAsia="en-US"/>
    </w:rPr>
  </w:style>
  <w:style w:type="character" w:customStyle="1" w:styleId="CharChar46">
    <w:name w:val="Char Char46"/>
    <w:uiPriority w:val="99"/>
    <w:rsid w:val="00391F6D"/>
    <w:rPr>
      <w:noProof/>
      <w:lang w:val="hy-AM" w:eastAsia="en-US"/>
    </w:rPr>
  </w:style>
  <w:style w:type="character" w:customStyle="1" w:styleId="CharChar185">
    <w:name w:val="Char Char185"/>
    <w:uiPriority w:val="99"/>
    <w:rsid w:val="00391F6D"/>
    <w:rPr>
      <w:rFonts w:ascii="Times Armenian" w:hAnsi="Times Armenian"/>
      <w:b/>
      <w:i/>
      <w:noProof/>
      <w:sz w:val="20"/>
      <w:lang w:val="hy-AM"/>
    </w:rPr>
  </w:style>
  <w:style w:type="character" w:customStyle="1" w:styleId="CharChar135">
    <w:name w:val="Char Char135"/>
    <w:uiPriority w:val="99"/>
    <w:semiHidden/>
    <w:rsid w:val="00391F6D"/>
    <w:rPr>
      <w:rFonts w:ascii="Times New Roman" w:hAnsi="Times New Roman"/>
      <w:noProof/>
      <w:sz w:val="20"/>
      <w:lang w:val="hy-AM"/>
    </w:rPr>
  </w:style>
  <w:style w:type="character" w:customStyle="1" w:styleId="CharChar125">
    <w:name w:val="Char Char125"/>
    <w:uiPriority w:val="99"/>
    <w:semiHidden/>
    <w:locked/>
    <w:rsid w:val="00391F6D"/>
    <w:rPr>
      <w:rFonts w:ascii="Times New Roman" w:hAnsi="Times New Roman"/>
      <w:noProof/>
      <w:sz w:val="24"/>
      <w:lang w:val="hy-AM"/>
    </w:rPr>
  </w:style>
  <w:style w:type="paragraph" w:customStyle="1" w:styleId="CharCharCharChar6">
    <w:name w:val="Char Char Char Char6"/>
    <w:basedOn w:val="Normal"/>
    <w:uiPriority w:val="99"/>
    <w:rsid w:val="00391F6D"/>
    <w:pPr>
      <w:spacing w:after="160" w:line="240" w:lineRule="exact"/>
    </w:pPr>
    <w:rPr>
      <w:rFonts w:ascii="Arial" w:hAnsi="Arial" w:cs="Arial"/>
      <w:noProof w:val="0"/>
      <w:sz w:val="20"/>
      <w:szCs w:val="20"/>
      <w:lang w:val="en-US"/>
    </w:rPr>
  </w:style>
  <w:style w:type="character" w:customStyle="1" w:styleId="CharChar235">
    <w:name w:val="Char Char235"/>
    <w:uiPriority w:val="99"/>
    <w:rsid w:val="00391F6D"/>
    <w:rPr>
      <w:rFonts w:ascii="Times Armenian" w:hAnsi="Times Armenian"/>
      <w:noProof/>
      <w:sz w:val="24"/>
      <w:u w:val="single"/>
      <w:lang w:val="hy-AM"/>
    </w:rPr>
  </w:style>
  <w:style w:type="character" w:customStyle="1" w:styleId="CharChar245">
    <w:name w:val="Char Char245"/>
    <w:uiPriority w:val="99"/>
    <w:locked/>
    <w:rsid w:val="00391F6D"/>
    <w:rPr>
      <w:rFonts w:ascii="Times Armenian" w:hAnsi="Times Armenian"/>
      <w:b/>
      <w:i/>
      <w:noProof/>
      <w:sz w:val="20"/>
      <w:lang w:val="hy-AM"/>
    </w:rPr>
  </w:style>
  <w:style w:type="paragraph" w:customStyle="1" w:styleId="CharCharCharCharCharCharCharCharCharChar9">
    <w:name w:val="Char Char Char Char Char Char Char Char Char Char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uiPriority w:val="99"/>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uiPriority w:val="99"/>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uiPriority w:val="99"/>
    <w:rsid w:val="00B2066F"/>
    <w:pPr>
      <w:spacing w:after="160" w:line="240" w:lineRule="exact"/>
    </w:pPr>
    <w:rPr>
      <w:rFonts w:ascii="Verdana" w:hAnsi="Verdana"/>
      <w:noProof w:val="0"/>
      <w:sz w:val="20"/>
      <w:szCs w:val="20"/>
      <w:lang w:val="en-GB"/>
    </w:rPr>
  </w:style>
  <w:style w:type="paragraph" w:customStyle="1" w:styleId="Znak9">
    <w:name w:val="Znak9"/>
    <w:basedOn w:val="Normal"/>
    <w:uiPriority w:val="99"/>
    <w:rsid w:val="00B2066F"/>
    <w:pPr>
      <w:tabs>
        <w:tab w:val="left" w:pos="709"/>
      </w:tabs>
    </w:pPr>
    <w:rPr>
      <w:rFonts w:ascii="Tahoma" w:hAnsi="Tahoma"/>
      <w:noProof w:val="0"/>
      <w:lang w:val="pl-PL" w:eastAsia="pl-PL"/>
    </w:rPr>
  </w:style>
  <w:style w:type="paragraph" w:customStyle="1" w:styleId="200">
    <w:name w:val="Знак Знак20"/>
    <w:basedOn w:val="Normal"/>
    <w:uiPriority w:val="99"/>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uiPriority w:val="99"/>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uiPriority w:val="99"/>
    <w:semiHidden/>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uiPriority w:val="99"/>
    <w:rsid w:val="00B2066F"/>
    <w:rPr>
      <w:rFonts w:eastAsia="SimSun"/>
      <w:noProof w:val="0"/>
      <w:sz w:val="20"/>
      <w:szCs w:val="20"/>
      <w:lang w:val="en-US" w:eastAsia="ru-RU"/>
    </w:rPr>
  </w:style>
  <w:style w:type="character" w:customStyle="1" w:styleId="Char21">
    <w:name w:val="Char21"/>
    <w:uiPriority w:val="99"/>
    <w:rsid w:val="00B2066F"/>
    <w:rPr>
      <w:rFonts w:ascii="Times Armenian" w:hAnsi="Times Armenian"/>
      <w:sz w:val="22"/>
      <w:lang w:val="en-GB" w:eastAsia="en-US"/>
    </w:rPr>
  </w:style>
  <w:style w:type="paragraph" w:customStyle="1" w:styleId="CharCharChar100">
    <w:name w:val="Char Char Char Знак10"/>
    <w:basedOn w:val="Normal"/>
    <w:next w:val="Normal"/>
    <w:uiPriority w:val="99"/>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uiPriority w:val="99"/>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uiPriority w:val="99"/>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rsid w:val="00B2066F"/>
    <w:rPr>
      <w:rFonts w:ascii="Sylfaen" w:hAnsi="Sylfaen"/>
      <w:color w:val="auto"/>
    </w:rPr>
  </w:style>
  <w:style w:type="paragraph" w:customStyle="1" w:styleId="29">
    <w:name w:val="Знак Знак2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uiPriority w:val="99"/>
    <w:rsid w:val="00B2066F"/>
    <w:pPr>
      <w:spacing w:after="160" w:line="240" w:lineRule="exact"/>
    </w:pPr>
    <w:rPr>
      <w:rFonts w:ascii="Arial" w:hAnsi="Arial" w:cs="Arial"/>
      <w:noProof w:val="0"/>
      <w:sz w:val="20"/>
      <w:szCs w:val="20"/>
      <w:lang w:val="en-US"/>
    </w:rPr>
  </w:style>
  <w:style w:type="character" w:customStyle="1" w:styleId="CharChar69">
    <w:name w:val="Char Char69"/>
    <w:uiPriority w:val="99"/>
    <w:rsid w:val="00B2066F"/>
    <w:rPr>
      <w:rFonts w:ascii="Times Armenian" w:hAnsi="Times Armenian"/>
      <w:b/>
      <w:i/>
      <w:noProof/>
      <w:sz w:val="26"/>
      <w:u w:val="single"/>
      <w:lang w:val="hy-AM" w:eastAsia="en-US"/>
    </w:rPr>
  </w:style>
  <w:style w:type="character" w:customStyle="1" w:styleId="CharChar59">
    <w:name w:val="Char Char59"/>
    <w:uiPriority w:val="99"/>
    <w:rsid w:val="00B2066F"/>
    <w:rPr>
      <w:rFonts w:ascii="Times Armenian" w:hAnsi="Times Armenian"/>
      <w:noProof/>
      <w:sz w:val="24"/>
      <w:lang w:val="hy-AM" w:eastAsia="en-US"/>
    </w:rPr>
  </w:style>
  <w:style w:type="character" w:customStyle="1" w:styleId="CharChar49">
    <w:name w:val="Char Char49"/>
    <w:uiPriority w:val="99"/>
    <w:rsid w:val="00B2066F"/>
    <w:rPr>
      <w:noProof/>
      <w:lang w:val="hy-AM" w:eastAsia="en-US"/>
    </w:rPr>
  </w:style>
  <w:style w:type="character" w:customStyle="1" w:styleId="CharChar188">
    <w:name w:val="Char Char188"/>
    <w:uiPriority w:val="99"/>
    <w:rsid w:val="00B2066F"/>
    <w:rPr>
      <w:rFonts w:ascii="Times Armenian" w:hAnsi="Times Armenian"/>
      <w:b/>
      <w:i/>
      <w:noProof/>
      <w:sz w:val="20"/>
      <w:lang w:val="hy-AM"/>
    </w:rPr>
  </w:style>
  <w:style w:type="character" w:customStyle="1" w:styleId="CharChar138">
    <w:name w:val="Char Char138"/>
    <w:uiPriority w:val="99"/>
    <w:semiHidden/>
    <w:rsid w:val="00B2066F"/>
    <w:rPr>
      <w:rFonts w:ascii="Times New Roman" w:hAnsi="Times New Roman"/>
      <w:noProof/>
      <w:sz w:val="20"/>
      <w:lang w:val="hy-AM"/>
    </w:rPr>
  </w:style>
  <w:style w:type="character" w:customStyle="1" w:styleId="CharChar128">
    <w:name w:val="Char Char128"/>
    <w:uiPriority w:val="99"/>
    <w:semiHidden/>
    <w:locked/>
    <w:rsid w:val="00B2066F"/>
    <w:rPr>
      <w:rFonts w:ascii="Times New Roman" w:hAnsi="Times New Roman"/>
      <w:noProof/>
      <w:sz w:val="24"/>
      <w:lang w:val="hy-AM"/>
    </w:rPr>
  </w:style>
  <w:style w:type="paragraph" w:customStyle="1" w:styleId="CharCharCharChar9">
    <w:name w:val="Char Char Char Char9"/>
    <w:basedOn w:val="Normal"/>
    <w:uiPriority w:val="99"/>
    <w:rsid w:val="00B2066F"/>
    <w:pPr>
      <w:spacing w:after="160" w:line="240" w:lineRule="exact"/>
    </w:pPr>
    <w:rPr>
      <w:rFonts w:ascii="Arial" w:hAnsi="Arial" w:cs="Arial"/>
      <w:noProof w:val="0"/>
      <w:sz w:val="20"/>
      <w:szCs w:val="20"/>
      <w:lang w:val="en-US"/>
    </w:rPr>
  </w:style>
  <w:style w:type="character" w:customStyle="1" w:styleId="CharChar238">
    <w:name w:val="Char Char238"/>
    <w:uiPriority w:val="99"/>
    <w:rsid w:val="00B2066F"/>
    <w:rPr>
      <w:rFonts w:ascii="Times Armenian" w:hAnsi="Times Armenian"/>
      <w:noProof/>
      <w:sz w:val="24"/>
      <w:u w:val="single"/>
      <w:lang w:val="hy-AM"/>
    </w:rPr>
  </w:style>
  <w:style w:type="character" w:customStyle="1" w:styleId="CharChar248">
    <w:name w:val="Char Char248"/>
    <w:uiPriority w:val="99"/>
    <w:locked/>
    <w:rsid w:val="00B2066F"/>
    <w:rPr>
      <w:rFonts w:ascii="Times Armenian" w:hAnsi="Times Armenian"/>
      <w:b/>
      <w:i/>
      <w:noProof/>
      <w:sz w:val="20"/>
      <w:lang w:val="hy-AM"/>
    </w:rPr>
  </w:style>
  <w:style w:type="paragraph" w:customStyle="1" w:styleId="BodyText51">
    <w:name w:val="Body Text51"/>
    <w:basedOn w:val="Default"/>
    <w:next w:val="Default"/>
    <w:uiPriority w:val="99"/>
    <w:rsid w:val="00451FE8"/>
    <w:rPr>
      <w:rFonts w:ascii="Sylfaen" w:hAnsi="Sylfaen"/>
      <w:color w:val="auto"/>
    </w:rPr>
  </w:style>
  <w:style w:type="character" w:customStyle="1" w:styleId="Impact115pt0pt1">
    <w:name w:val="Основной текст + Impact.11.5 pt.Курсив.Интервал 0 pt1"/>
    <w:uiPriority w:val="99"/>
    <w:rsid w:val="001A7B46"/>
    <w:rPr>
      <w:rFonts w:ascii="Impact" w:hAnsi="Impact"/>
      <w:i/>
      <w:color w:val="000000"/>
      <w:spacing w:val="0"/>
      <w:w w:val="100"/>
      <w:position w:val="0"/>
      <w:sz w:val="23"/>
      <w:u w:val="none"/>
      <w:shd w:val="clear" w:color="auto" w:fill="FFFFFF"/>
    </w:rPr>
  </w:style>
  <w:style w:type="character" w:customStyle="1" w:styleId="15pt0pt1">
    <w:name w:val="Основной текст + 15 pt.Полужирный.Интервал 0 pt1"/>
    <w:uiPriority w:val="99"/>
    <w:rsid w:val="001A7B4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1">
    <w:name w:val="Основной текст + 11 pt.Полужирный.Интервал 0 pt1"/>
    <w:uiPriority w:val="99"/>
    <w:rsid w:val="001A7B4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CharCharCharCharCharCharCharCharCharChar5">
    <w:name w:val="Char Char Char Char Char 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rsid w:val="00251FB7"/>
    <w:pPr>
      <w:tabs>
        <w:tab w:val="left" w:pos="709"/>
      </w:tabs>
    </w:pPr>
    <w:rPr>
      <w:rFonts w:ascii="Tahoma" w:hAnsi="Tahoma"/>
      <w:noProof w:val="0"/>
      <w:lang w:val="pl-PL" w:eastAsia="pl-PL"/>
    </w:rPr>
  </w:style>
  <w:style w:type="paragraph" w:customStyle="1" w:styleId="7">
    <w:name w:val="Знак Знак7"/>
    <w:basedOn w:val="Normal"/>
    <w:uiPriority w:val="99"/>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uiPriority w:val="99"/>
    <w:rsid w:val="00CE2C19"/>
    <w:rPr>
      <w:rFonts w:ascii="Sylfaen" w:hAnsi="Sylfaen"/>
      <w:spacing w:val="0"/>
      <w:u w:val="none"/>
      <w:effect w:val="none"/>
      <w:shd w:val="clear" w:color="auto" w:fill="FFFFFF"/>
    </w:rPr>
  </w:style>
  <w:style w:type="paragraph" w:customStyle="1" w:styleId="CharCharCharChar0">
    <w:name w:val="Знак Знак Знак Char Char Char Char Знак Знак Знак"/>
    <w:basedOn w:val="Normal"/>
    <w:uiPriority w:val="99"/>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uiPriority w:val="99"/>
    <w:rsid w:val="00C960BD"/>
    <w:pPr>
      <w:numPr>
        <w:numId w:val="6"/>
      </w:numPr>
      <w:spacing w:after="20"/>
      <w:jc w:val="both"/>
    </w:pPr>
    <w:rPr>
      <w:noProof w:val="0"/>
      <w:sz w:val="22"/>
      <w:szCs w:val="20"/>
      <w:lang w:val="en-GB" w:eastAsia="cs-CZ"/>
    </w:rPr>
  </w:style>
  <w:style w:type="paragraph" w:customStyle="1" w:styleId="Bullet1">
    <w:name w:val="Bullet 1"/>
    <w:basedOn w:val="Normal"/>
    <w:autoRedefine/>
    <w:uiPriority w:val="99"/>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uiPriority w:val="99"/>
    <w:rsid w:val="00D9443E"/>
    <w:pPr>
      <w:spacing w:before="100" w:beforeAutospacing="1" w:after="100" w:afterAutospacing="1"/>
    </w:pPr>
    <w:rPr>
      <w:noProof w:val="0"/>
      <w:lang w:val="en-US"/>
    </w:rPr>
  </w:style>
  <w:style w:type="character" w:customStyle="1" w:styleId="reference-text">
    <w:name w:val="reference-text"/>
    <w:uiPriority w:val="99"/>
    <w:rsid w:val="00CE7159"/>
  </w:style>
  <w:style w:type="character" w:customStyle="1" w:styleId="Impact115pt0pt2">
    <w:name w:val="Основной текст + Impact.11.5 pt.Курсив.Интервал 0 pt2"/>
    <w:uiPriority w:val="99"/>
    <w:rsid w:val="00407CBD"/>
    <w:rPr>
      <w:rFonts w:ascii="Impact" w:hAnsi="Impact"/>
      <w:i/>
      <w:color w:val="000000"/>
      <w:spacing w:val="0"/>
      <w:w w:val="100"/>
      <w:position w:val="0"/>
      <w:sz w:val="23"/>
      <w:u w:val="none"/>
      <w:shd w:val="clear" w:color="auto" w:fill="FFFFFF"/>
    </w:rPr>
  </w:style>
  <w:style w:type="character" w:customStyle="1" w:styleId="15pt0pt2">
    <w:name w:val="Основной текст + 15 pt.Полужирный.Интервал 0 pt2"/>
    <w:uiPriority w:val="99"/>
    <w:rsid w:val="00407CBD"/>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2">
    <w:name w:val="Основной текст + 11 pt.Полужирный.Интервал 0 pt2"/>
    <w:uiPriority w:val="99"/>
    <w:rsid w:val="00407CBD"/>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Style14">
    <w:name w:val="Style14"/>
    <w:basedOn w:val="Normal"/>
    <w:uiPriority w:val="99"/>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
    <w:autoRedefine/>
    <w:qFormat/>
    <w:rsid w:val="00D508BE"/>
    <w:pPr>
      <w:keepNext/>
      <w:keepLines/>
      <w:numPr>
        <w:numId w:val="10"/>
      </w:numPr>
      <w:tabs>
        <w:tab w:val="left" w:pos="1701"/>
        <w:tab w:val="left" w:pos="1985"/>
      </w:tabs>
      <w:autoSpaceDE w:val="0"/>
      <w:autoSpaceDN w:val="0"/>
      <w:adjustRightInd w:val="0"/>
      <w:spacing w:after="120" w:line="276" w:lineRule="auto"/>
      <w:ind w:left="0" w:firstLine="0"/>
    </w:pPr>
    <w:rPr>
      <w:rFonts w:ascii="GHEA Grapalat" w:hAnsi="GHEA Grapalat"/>
      <w:noProof w:val="0"/>
      <w:sz w:val="22"/>
      <w:szCs w:val="22"/>
      <w:lang w:val="en-US"/>
    </w:rPr>
  </w:style>
  <w:style w:type="character" w:customStyle="1" w:styleId="Char">
    <w:name w:val="Գծապատկեր Char"/>
    <w:link w:val="a"/>
    <w:locked/>
    <w:rsid w:val="00D508BE"/>
    <w:rPr>
      <w:rFonts w:ascii="GHEA Grapalat" w:hAnsi="GHEA Grapalat"/>
    </w:rPr>
  </w:style>
  <w:style w:type="paragraph" w:styleId="TableofFigures">
    <w:name w:val="table of figures"/>
    <w:aliases w:val="ԳԾԱՊԱՏԿԵՐՆԵՐ"/>
    <w:basedOn w:val="Normal"/>
    <w:next w:val="Normal"/>
    <w:autoRedefine/>
    <w:uiPriority w:val="99"/>
    <w:rsid w:val="0094312A"/>
    <w:pPr>
      <w:tabs>
        <w:tab w:val="left" w:pos="2023"/>
        <w:tab w:val="right" w:leader="dot" w:pos="10198"/>
      </w:tabs>
      <w:spacing w:after="480"/>
      <w:jc w:val="center"/>
    </w:pPr>
    <w:rPr>
      <w:rFonts w:ascii="GHEA Grapalat" w:hAnsi="GHEA Grapalat"/>
      <w:b/>
    </w:rPr>
  </w:style>
  <w:style w:type="character" w:customStyle="1" w:styleId="Char20">
    <w:name w:val="Char20"/>
    <w:uiPriority w:val="99"/>
    <w:rsid w:val="00C421B7"/>
    <w:rPr>
      <w:rFonts w:ascii="Times Armenian" w:hAnsi="Times Armenian"/>
      <w:sz w:val="22"/>
      <w:lang w:val="en-GB" w:eastAsia="en-US"/>
    </w:rPr>
  </w:style>
  <w:style w:type="paragraph" w:customStyle="1" w:styleId="CharCharChar90">
    <w:name w:val="Char Char Char Знак9"/>
    <w:basedOn w:val="Normal"/>
    <w:next w:val="Normal"/>
    <w:uiPriority w:val="99"/>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uiPriority w:val="99"/>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uiPriority w:val="99"/>
    <w:rsid w:val="00C421B7"/>
    <w:pPr>
      <w:spacing w:after="160" w:line="240" w:lineRule="exact"/>
    </w:pPr>
    <w:rPr>
      <w:rFonts w:ascii="Arial" w:hAnsi="Arial" w:cs="Arial"/>
      <w:noProof w:val="0"/>
      <w:sz w:val="20"/>
      <w:szCs w:val="20"/>
      <w:lang w:val="en-US"/>
    </w:rPr>
  </w:style>
  <w:style w:type="character" w:customStyle="1" w:styleId="highlight">
    <w:name w:val="highlight"/>
    <w:uiPriority w:val="99"/>
    <w:rsid w:val="005E1310"/>
  </w:style>
  <w:style w:type="character" w:customStyle="1" w:styleId="news-content">
    <w:name w:val="news-content"/>
    <w:uiPriority w:val="99"/>
    <w:rsid w:val="00742A42"/>
  </w:style>
  <w:style w:type="paragraph" w:customStyle="1" w:styleId="43">
    <w:name w:val="Абзац списка4"/>
    <w:basedOn w:val="Normal"/>
    <w:uiPriority w:val="99"/>
    <w:rsid w:val="008D5B96"/>
    <w:pPr>
      <w:spacing w:after="200" w:line="276" w:lineRule="auto"/>
      <w:ind w:left="720"/>
      <w:contextualSpacing/>
    </w:pPr>
    <w:rPr>
      <w:rFonts w:ascii="Calibri" w:hAnsi="Calibri"/>
      <w:noProof w:val="0"/>
      <w:sz w:val="22"/>
      <w:szCs w:val="22"/>
      <w:lang w:val="ru-RU"/>
    </w:rPr>
  </w:style>
  <w:style w:type="paragraph" w:customStyle="1" w:styleId="35">
    <w:name w:val="Без интервала3"/>
    <w:uiPriority w:val="99"/>
    <w:rsid w:val="008D5B96"/>
    <w:rPr>
      <w:rFonts w:ascii="Calibri" w:hAnsi="Calibri" w:cs="Calibri"/>
    </w:rPr>
  </w:style>
  <w:style w:type="paragraph" w:customStyle="1" w:styleId="60">
    <w:name w:val="Основной текст6"/>
    <w:basedOn w:val="Normal"/>
    <w:uiPriority w:val="99"/>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uiPriority w:val="99"/>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uiPriority w:val="99"/>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uiPriority w:val="99"/>
    <w:rsid w:val="008D5B96"/>
    <w:pPr>
      <w:spacing w:after="160" w:line="240" w:lineRule="exact"/>
    </w:pPr>
    <w:rPr>
      <w:rFonts w:ascii="Verdana" w:hAnsi="Verdana"/>
      <w:noProof w:val="0"/>
      <w:sz w:val="20"/>
      <w:szCs w:val="20"/>
      <w:lang w:val="en-GB"/>
    </w:rPr>
  </w:style>
  <w:style w:type="paragraph" w:customStyle="1" w:styleId="Znak8">
    <w:name w:val="Znak8"/>
    <w:basedOn w:val="Normal"/>
    <w:uiPriority w:val="99"/>
    <w:rsid w:val="008D5B96"/>
    <w:pPr>
      <w:tabs>
        <w:tab w:val="left" w:pos="709"/>
      </w:tabs>
    </w:pPr>
    <w:rPr>
      <w:rFonts w:ascii="Tahoma" w:hAnsi="Tahoma"/>
      <w:noProof w:val="0"/>
      <w:lang w:val="pl-PL" w:eastAsia="pl-PL"/>
    </w:rPr>
  </w:style>
  <w:style w:type="paragraph" w:customStyle="1" w:styleId="101">
    <w:name w:val="Знак Знак10"/>
    <w:basedOn w:val="Normal"/>
    <w:uiPriority w:val="99"/>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uiPriority w:val="99"/>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uiPriority w:val="99"/>
    <w:semiHidden/>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uiPriority w:val="99"/>
    <w:rsid w:val="008D5B96"/>
    <w:rPr>
      <w:rFonts w:eastAsia="SimSun"/>
      <w:noProof w:val="0"/>
      <w:sz w:val="20"/>
      <w:szCs w:val="20"/>
      <w:lang w:val="en-US" w:eastAsia="ru-RU"/>
    </w:rPr>
  </w:style>
  <w:style w:type="character" w:customStyle="1" w:styleId="Char19">
    <w:name w:val="Char19"/>
    <w:uiPriority w:val="99"/>
    <w:rsid w:val="008D5B96"/>
    <w:rPr>
      <w:rFonts w:ascii="Times Armenian" w:hAnsi="Times Armenian"/>
      <w:sz w:val="22"/>
      <w:lang w:val="en-GB" w:eastAsia="en-US"/>
    </w:rPr>
  </w:style>
  <w:style w:type="paragraph" w:customStyle="1" w:styleId="CharCharChar8">
    <w:name w:val="Char Char Char Знак8"/>
    <w:basedOn w:val="Normal"/>
    <w:next w:val="Normal"/>
    <w:uiPriority w:val="99"/>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uiPriority w:val="99"/>
    <w:rsid w:val="008D5B96"/>
    <w:pPr>
      <w:spacing w:after="160" w:line="240" w:lineRule="exact"/>
    </w:pPr>
    <w:rPr>
      <w:rFonts w:ascii="Arial" w:hAnsi="Arial" w:cs="Arial"/>
      <w:noProof w:val="0"/>
      <w:sz w:val="20"/>
      <w:szCs w:val="20"/>
      <w:lang w:val="en-US"/>
    </w:rPr>
  </w:style>
  <w:style w:type="paragraph" w:customStyle="1" w:styleId="180">
    <w:name w:val="Знак Знак18"/>
    <w:basedOn w:val="Normal"/>
    <w:uiPriority w:val="99"/>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uiPriority w:val="99"/>
    <w:rsid w:val="008D5B96"/>
    <w:rPr>
      <w:rFonts w:ascii="Sylfaen" w:hAnsi="Sylfaen"/>
      <w:color w:val="auto"/>
    </w:rPr>
  </w:style>
  <w:style w:type="paragraph" w:customStyle="1" w:styleId="280">
    <w:name w:val="Знак Знак2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uiPriority w:val="99"/>
    <w:rsid w:val="008D5B96"/>
    <w:pPr>
      <w:spacing w:after="160" w:line="240" w:lineRule="exact"/>
    </w:pPr>
    <w:rPr>
      <w:rFonts w:ascii="Arial" w:hAnsi="Arial" w:cs="Arial"/>
      <w:noProof w:val="0"/>
      <w:sz w:val="20"/>
      <w:szCs w:val="20"/>
      <w:lang w:val="en-US"/>
    </w:rPr>
  </w:style>
  <w:style w:type="character" w:customStyle="1" w:styleId="CharChar68">
    <w:name w:val="Char Char68"/>
    <w:uiPriority w:val="99"/>
    <w:rsid w:val="008D5B96"/>
    <w:rPr>
      <w:rFonts w:ascii="Times Armenian" w:hAnsi="Times Armenian"/>
      <w:b/>
      <w:i/>
      <w:noProof/>
      <w:sz w:val="26"/>
      <w:u w:val="single"/>
      <w:lang w:val="hy-AM" w:eastAsia="en-US"/>
    </w:rPr>
  </w:style>
  <w:style w:type="character" w:customStyle="1" w:styleId="CharChar58">
    <w:name w:val="Char Char58"/>
    <w:uiPriority w:val="99"/>
    <w:rsid w:val="008D5B96"/>
    <w:rPr>
      <w:rFonts w:ascii="Times Armenian" w:hAnsi="Times Armenian"/>
      <w:noProof/>
      <w:sz w:val="24"/>
      <w:lang w:val="hy-AM" w:eastAsia="en-US"/>
    </w:rPr>
  </w:style>
  <w:style w:type="character" w:customStyle="1" w:styleId="CharChar48">
    <w:name w:val="Char Char48"/>
    <w:uiPriority w:val="99"/>
    <w:rsid w:val="008D5B96"/>
    <w:rPr>
      <w:noProof/>
      <w:lang w:val="hy-AM" w:eastAsia="en-US"/>
    </w:rPr>
  </w:style>
  <w:style w:type="character" w:customStyle="1" w:styleId="CharChar187">
    <w:name w:val="Char Char187"/>
    <w:uiPriority w:val="99"/>
    <w:rsid w:val="008D5B96"/>
    <w:rPr>
      <w:rFonts w:ascii="Times Armenian" w:hAnsi="Times Armenian"/>
      <w:b/>
      <w:i/>
      <w:noProof/>
      <w:sz w:val="20"/>
      <w:lang w:val="hy-AM"/>
    </w:rPr>
  </w:style>
  <w:style w:type="character" w:customStyle="1" w:styleId="CharChar137">
    <w:name w:val="Char Char137"/>
    <w:uiPriority w:val="99"/>
    <w:semiHidden/>
    <w:rsid w:val="008D5B96"/>
    <w:rPr>
      <w:rFonts w:ascii="Times New Roman" w:hAnsi="Times New Roman"/>
      <w:noProof/>
      <w:sz w:val="20"/>
      <w:lang w:val="hy-AM"/>
    </w:rPr>
  </w:style>
  <w:style w:type="character" w:customStyle="1" w:styleId="CharChar127">
    <w:name w:val="Char Char127"/>
    <w:uiPriority w:val="99"/>
    <w:semiHidden/>
    <w:locked/>
    <w:rsid w:val="008D5B96"/>
    <w:rPr>
      <w:rFonts w:ascii="Times New Roman" w:hAnsi="Times New Roman"/>
      <w:noProof/>
      <w:sz w:val="24"/>
      <w:lang w:val="hy-AM"/>
    </w:rPr>
  </w:style>
  <w:style w:type="paragraph" w:customStyle="1" w:styleId="CharCharCharChar8">
    <w:name w:val="Char Char Char Char8"/>
    <w:basedOn w:val="Normal"/>
    <w:uiPriority w:val="99"/>
    <w:rsid w:val="008D5B96"/>
    <w:pPr>
      <w:spacing w:after="160" w:line="240" w:lineRule="exact"/>
    </w:pPr>
    <w:rPr>
      <w:rFonts w:ascii="Arial" w:hAnsi="Arial" w:cs="Arial"/>
      <w:noProof w:val="0"/>
      <w:sz w:val="20"/>
      <w:szCs w:val="20"/>
      <w:lang w:val="en-US"/>
    </w:rPr>
  </w:style>
  <w:style w:type="character" w:customStyle="1" w:styleId="CharChar237">
    <w:name w:val="Char Char237"/>
    <w:uiPriority w:val="99"/>
    <w:rsid w:val="008D5B96"/>
    <w:rPr>
      <w:rFonts w:ascii="Times Armenian" w:hAnsi="Times Armenian"/>
      <w:noProof/>
      <w:sz w:val="24"/>
      <w:u w:val="single"/>
      <w:lang w:val="hy-AM"/>
    </w:rPr>
  </w:style>
  <w:style w:type="character" w:customStyle="1" w:styleId="CharChar247">
    <w:name w:val="Char Char247"/>
    <w:uiPriority w:val="99"/>
    <w:locked/>
    <w:rsid w:val="008D5B96"/>
    <w:rPr>
      <w:rFonts w:ascii="Times Armenian" w:hAnsi="Times Armenian"/>
      <w:b/>
      <w:i/>
      <w:noProof/>
      <w:sz w:val="20"/>
      <w:lang w:val="hy-AM"/>
    </w:rPr>
  </w:style>
  <w:style w:type="character" w:customStyle="1" w:styleId="Impact115pt0pt3">
    <w:name w:val="Основной текст + Impact.11.5 pt.Курсив.Интервал 0 pt3"/>
    <w:uiPriority w:val="99"/>
    <w:rsid w:val="008D5B96"/>
    <w:rPr>
      <w:rFonts w:ascii="Impact" w:hAnsi="Impact"/>
      <w:i/>
      <w:color w:val="000000"/>
      <w:spacing w:val="0"/>
      <w:w w:val="100"/>
      <w:position w:val="0"/>
      <w:sz w:val="23"/>
      <w:u w:val="none"/>
      <w:shd w:val="clear" w:color="auto" w:fill="FFFFFF"/>
    </w:rPr>
  </w:style>
  <w:style w:type="character" w:customStyle="1" w:styleId="15pt0pt3">
    <w:name w:val="Основной текст + 15 pt.Полужирный.Интервал 0 pt3"/>
    <w:uiPriority w:val="99"/>
    <w:rsid w:val="008D5B9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3">
    <w:name w:val="Основной текст + 11 pt.Полужирный.Интервал 0 pt3"/>
    <w:uiPriority w:val="99"/>
    <w:rsid w:val="008D5B9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a0">
    <w:name w:val="Աղյուսակ"/>
    <w:basedOn w:val="Normal"/>
    <w:next w:val="Normal"/>
    <w:link w:val="Char0"/>
    <w:uiPriority w:val="99"/>
    <w:rsid w:val="00C42EB5"/>
    <w:pPr>
      <w:keepNext/>
      <w:numPr>
        <w:numId w:val="7"/>
      </w:numPr>
      <w:spacing w:before="240" w:after="120"/>
      <w:ind w:left="0" w:firstLine="0"/>
      <w:jc w:val="both"/>
    </w:pPr>
    <w:rPr>
      <w:rFonts w:ascii="GHEA Grapalat" w:hAnsi="GHEA Grapalat"/>
      <w:b/>
      <w:color w:val="1F497D"/>
    </w:rPr>
  </w:style>
  <w:style w:type="character" w:customStyle="1" w:styleId="Char0">
    <w:name w:val="Աղյուսակ Char"/>
    <w:link w:val="a0"/>
    <w:uiPriority w:val="99"/>
    <w:locked/>
    <w:rsid w:val="00C42EB5"/>
    <w:rPr>
      <w:rFonts w:ascii="GHEA Grapalat" w:hAnsi="GHEA Grapalat"/>
      <w:b/>
      <w:noProof/>
      <w:color w:val="1F497D"/>
      <w:sz w:val="24"/>
      <w:szCs w:val="24"/>
      <w:lang w:val="hy-AM"/>
    </w:rPr>
  </w:style>
  <w:style w:type="paragraph" w:customStyle="1" w:styleId="Normal2">
    <w:name w:val="Normal2"/>
    <w:uiPriority w:val="99"/>
    <w:rsid w:val="00352A42"/>
    <w:rPr>
      <w:sz w:val="24"/>
      <w:szCs w:val="24"/>
      <w:lang w:val="hy-AM"/>
    </w:rPr>
  </w:style>
  <w:style w:type="paragraph" w:customStyle="1" w:styleId="Normal3">
    <w:name w:val="Normal3"/>
    <w:uiPriority w:val="99"/>
    <w:rsid w:val="00352A42"/>
    <w:rPr>
      <w:sz w:val="24"/>
      <w:szCs w:val="24"/>
      <w:lang w:val="hy-AM"/>
    </w:rPr>
  </w:style>
  <w:style w:type="table" w:customStyle="1" w:styleId="TableGrid12">
    <w:name w:val="Table Grid12"/>
    <w:uiPriority w:val="99"/>
    <w:rsid w:val="00A601AA"/>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Абзац списка22"/>
    <w:basedOn w:val="Normal"/>
    <w:uiPriority w:val="99"/>
    <w:rsid w:val="001C1EE6"/>
    <w:pPr>
      <w:spacing w:after="200" w:line="276" w:lineRule="auto"/>
      <w:ind w:left="720"/>
      <w:contextualSpacing/>
    </w:pPr>
    <w:rPr>
      <w:rFonts w:ascii="Calibri" w:hAnsi="Calibri"/>
      <w:noProof w:val="0"/>
      <w:sz w:val="22"/>
      <w:szCs w:val="22"/>
      <w:lang w:val="ru-RU"/>
    </w:rPr>
  </w:style>
  <w:style w:type="character" w:customStyle="1" w:styleId="52">
    <w:name w:val="Основной текст52"/>
    <w:uiPriority w:val="99"/>
    <w:rsid w:val="001C1EE6"/>
    <w:rPr>
      <w:rFonts w:ascii="Sylfaen" w:hAnsi="Sylfaen"/>
      <w:spacing w:val="0"/>
      <w:u w:val="none"/>
      <w:effect w:val="none"/>
      <w:shd w:val="clear" w:color="auto" w:fill="FFFFFF"/>
    </w:rPr>
  </w:style>
  <w:style w:type="paragraph" w:customStyle="1" w:styleId="320">
    <w:name w:val="Без интервала32"/>
    <w:uiPriority w:val="99"/>
    <w:rsid w:val="001C1EE6"/>
    <w:rPr>
      <w:rFonts w:ascii="Calibri" w:hAnsi="Calibri" w:cs="Calibri"/>
    </w:rPr>
  </w:style>
  <w:style w:type="paragraph" w:customStyle="1" w:styleId="msonormalmrcssattr">
    <w:name w:val="msonormal_mr_css_attr"/>
    <w:basedOn w:val="Normal"/>
    <w:uiPriority w:val="99"/>
    <w:rsid w:val="001C1EE6"/>
    <w:pPr>
      <w:spacing w:before="100" w:beforeAutospacing="1" w:after="100" w:afterAutospacing="1"/>
    </w:pPr>
    <w:rPr>
      <w:noProof w:val="0"/>
      <w:lang w:val="en-US"/>
    </w:rPr>
  </w:style>
  <w:style w:type="paragraph" w:customStyle="1" w:styleId="211">
    <w:name w:val="Абзац списка21"/>
    <w:basedOn w:val="Normal"/>
    <w:uiPriority w:val="99"/>
    <w:rsid w:val="001C1EE6"/>
    <w:pPr>
      <w:spacing w:after="200" w:line="276" w:lineRule="auto"/>
      <w:ind w:left="720"/>
    </w:pPr>
    <w:rPr>
      <w:rFonts w:ascii="Calibri" w:hAnsi="Calibri" w:cs="Calibri"/>
      <w:noProof w:val="0"/>
      <w:sz w:val="22"/>
      <w:szCs w:val="22"/>
      <w:lang w:val="en-US"/>
    </w:rPr>
  </w:style>
  <w:style w:type="character" w:customStyle="1" w:styleId="51">
    <w:name w:val="Основной текст51"/>
    <w:uiPriority w:val="99"/>
    <w:rsid w:val="001C1EE6"/>
    <w:rPr>
      <w:rFonts w:ascii="Sylfaen" w:hAnsi="Sylfaen"/>
      <w:spacing w:val="0"/>
      <w:u w:val="none"/>
      <w:effect w:val="none"/>
      <w:shd w:val="clear" w:color="auto" w:fill="FFFFFF"/>
    </w:rPr>
  </w:style>
  <w:style w:type="paragraph" w:customStyle="1" w:styleId="310">
    <w:name w:val="Без интервала31"/>
    <w:uiPriority w:val="99"/>
    <w:rsid w:val="001C1EE6"/>
    <w:rPr>
      <w:rFonts w:ascii="Calibri" w:hAnsi="Calibri" w:cs="Calibri"/>
    </w:rPr>
  </w:style>
  <w:style w:type="character" w:customStyle="1" w:styleId="acopre">
    <w:name w:val="acopre"/>
    <w:uiPriority w:val="99"/>
    <w:rsid w:val="00FD2AB2"/>
  </w:style>
  <w:style w:type="paragraph" w:styleId="ListParagraph">
    <w:name w:val="List Paragraph"/>
    <w:aliases w:val="Table of contents numbered,List Paragraph in table,lp1,CPS,Ha,Dot pt,WinDForce-Letter,ANNEX,Normal 1,OBC Bulle,Graphi,3,Heading 2_sj,Normal 2,Main numbered paragraph,1.1.1_List Paragraph,List Paragraph 1.1.1,En tête 1"/>
    <w:basedOn w:val="Normal"/>
    <w:uiPriority w:val="99"/>
    <w:qFormat/>
    <w:rsid w:val="00720736"/>
    <w:pPr>
      <w:spacing w:after="200" w:line="276" w:lineRule="auto"/>
      <w:ind w:left="720"/>
      <w:contextualSpacing/>
    </w:pPr>
    <w:rPr>
      <w:rFonts w:ascii="Calibri" w:hAnsi="Calibri" w:cs="Calibri"/>
      <w:noProof w:val="0"/>
      <w:sz w:val="22"/>
      <w:szCs w:val="22"/>
      <w:lang w:val="ru-RU" w:eastAsia="ru-RU"/>
    </w:rPr>
  </w:style>
  <w:style w:type="character" w:customStyle="1" w:styleId="mechtex0">
    <w:name w:val="mechtex Знак"/>
    <w:uiPriority w:val="99"/>
    <w:locked/>
    <w:rsid w:val="00720736"/>
    <w:rPr>
      <w:rFonts w:ascii="Arial Armenian" w:hAnsi="Arial Armenian"/>
      <w:kern w:val="2"/>
      <w:lang w:eastAsia="ru-RU"/>
    </w:rPr>
  </w:style>
  <w:style w:type="paragraph" w:customStyle="1" w:styleId="BodyA">
    <w:name w:val="Body A"/>
    <w:uiPriority w:val="99"/>
    <w:rsid w:val="001861BE"/>
    <w:rPr>
      <w:rFonts w:ascii="Helvetica Neue" w:eastAsia="Arial Unicode MS" w:hAnsi="Helvetica Neue" w:cs="Arial Unicode MS"/>
      <w:color w:val="000000"/>
      <w:u w:color="000000"/>
    </w:rPr>
  </w:style>
  <w:style w:type="paragraph" w:customStyle="1" w:styleId="TableContents">
    <w:name w:val="Table Contents"/>
    <w:basedOn w:val="Normal"/>
    <w:uiPriority w:val="99"/>
    <w:rsid w:val="0053411A"/>
    <w:pPr>
      <w:widowControl w:val="0"/>
      <w:suppressLineNumbers/>
      <w:suppressAutoHyphens/>
    </w:pPr>
    <w:rPr>
      <w:rFonts w:ascii="Liberation Serif" w:hAnsi="Liberation Serif" w:cs="Lohit Devanagari"/>
      <w:noProof w:val="0"/>
      <w:kern w:val="2"/>
      <w:lang w:val="en-US" w:eastAsia="zh-CN" w:bidi="hi-IN"/>
    </w:rPr>
  </w:style>
  <w:style w:type="character" w:customStyle="1" w:styleId="CommentTextChar1">
    <w:name w:val="Comment Text Char1"/>
    <w:uiPriority w:val="99"/>
    <w:semiHidden/>
    <w:rsid w:val="00FC2F7D"/>
    <w:rPr>
      <w:rFonts w:ascii="Arial Armenian" w:hAnsi="Arial Armenian"/>
    </w:rPr>
  </w:style>
  <w:style w:type="character" w:customStyle="1" w:styleId="Heading7Char1">
    <w:name w:val="Heading 7 Char1"/>
    <w:uiPriority w:val="99"/>
    <w:semiHidden/>
    <w:rsid w:val="00FC2F7D"/>
    <w:rPr>
      <w:rFonts w:ascii="Cambria" w:hAnsi="Cambria"/>
      <w:i/>
      <w:color w:val="404040"/>
      <w:sz w:val="24"/>
    </w:rPr>
  </w:style>
  <w:style w:type="character" w:customStyle="1" w:styleId="Heading8Char1">
    <w:name w:val="Heading 8 Char1"/>
    <w:uiPriority w:val="99"/>
    <w:semiHidden/>
    <w:rsid w:val="00FC2F7D"/>
    <w:rPr>
      <w:rFonts w:ascii="Cambria" w:hAnsi="Cambria"/>
      <w:color w:val="404040"/>
    </w:rPr>
  </w:style>
  <w:style w:type="character" w:customStyle="1" w:styleId="Heading9Char1">
    <w:name w:val="Heading 9 Char1"/>
    <w:uiPriority w:val="99"/>
    <w:semiHidden/>
    <w:rsid w:val="00FC2F7D"/>
    <w:rPr>
      <w:rFonts w:ascii="Cambria" w:hAnsi="Cambria"/>
      <w:i/>
      <w:color w:val="404040"/>
    </w:rPr>
  </w:style>
  <w:style w:type="character" w:customStyle="1" w:styleId="BodyTextIndent2Char1">
    <w:name w:val="Body Text Indent 2 Char1"/>
    <w:uiPriority w:val="99"/>
    <w:semiHidden/>
    <w:rsid w:val="00FC2F7D"/>
    <w:rPr>
      <w:rFonts w:ascii="Arial Armenian" w:hAnsi="Arial Armenian"/>
      <w:sz w:val="24"/>
    </w:rPr>
  </w:style>
  <w:style w:type="character" w:customStyle="1" w:styleId="CommentSubjectChar1">
    <w:name w:val="Comment Subject Char1"/>
    <w:uiPriority w:val="99"/>
    <w:semiHidden/>
    <w:rsid w:val="00FC2F7D"/>
    <w:rPr>
      <w:rFonts w:ascii="Arial Armenian" w:hAnsi="Arial Armenian"/>
      <w:b/>
    </w:rPr>
  </w:style>
  <w:style w:type="character" w:customStyle="1" w:styleId="EndnoteTextChar1">
    <w:name w:val="Endnote Text Char1"/>
    <w:uiPriority w:val="99"/>
    <w:semiHidden/>
    <w:rsid w:val="00FC2F7D"/>
    <w:rPr>
      <w:rFonts w:ascii="Arial Armenian" w:hAnsi="Arial Armenian"/>
    </w:rPr>
  </w:style>
  <w:style w:type="character" w:customStyle="1" w:styleId="DocumentMapChar1">
    <w:name w:val="Document Map Char1"/>
    <w:uiPriority w:val="99"/>
    <w:semiHidden/>
    <w:rsid w:val="00FC2F7D"/>
    <w:rPr>
      <w:rFonts w:ascii="Tahoma" w:hAnsi="Tahoma"/>
      <w:sz w:val="16"/>
    </w:rPr>
  </w:style>
  <w:style w:type="character" w:customStyle="1" w:styleId="BodyTextFirstIndentChar1">
    <w:name w:val="Body Text First Indent Char1"/>
    <w:uiPriority w:val="99"/>
    <w:semiHidden/>
    <w:rsid w:val="00FC2F7D"/>
    <w:rPr>
      <w:rFonts w:ascii="Times Armenian" w:hAnsi="Times Armenian"/>
      <w:b/>
      <w:i/>
      <w:noProof/>
      <w:sz w:val="24"/>
      <w:lang w:val="hy-AM"/>
    </w:rPr>
  </w:style>
  <w:style w:type="character" w:customStyle="1" w:styleId="IntenseQuoteChar1">
    <w:name w:val="Intense Quote Char1"/>
    <w:uiPriority w:val="99"/>
    <w:rsid w:val="00FC2F7D"/>
    <w:rPr>
      <w:rFonts w:ascii="Arial Armenian" w:hAnsi="Arial Armenian"/>
      <w:b/>
      <w:i/>
      <w:color w:val="4F81BD"/>
      <w:sz w:val="24"/>
    </w:rPr>
  </w:style>
  <w:style w:type="character" w:customStyle="1" w:styleId="PlainTextChar2">
    <w:name w:val="Plain Text Char2"/>
    <w:uiPriority w:val="99"/>
    <w:semiHidden/>
    <w:rsid w:val="00FC2F7D"/>
    <w:rPr>
      <w:rFonts w:ascii="Consolas" w:hAnsi="Consolas"/>
      <w:sz w:val="21"/>
    </w:rPr>
  </w:style>
  <w:style w:type="character" w:customStyle="1" w:styleId="TitleChar2">
    <w:name w:val="Title Char2"/>
    <w:uiPriority w:val="99"/>
    <w:rsid w:val="00FC2F7D"/>
    <w:rPr>
      <w:rFonts w:ascii="Cambria" w:hAnsi="Cambria"/>
      <w:color w:val="17365D"/>
      <w:spacing w:val="5"/>
      <w:kern w:val="28"/>
      <w:sz w:val="52"/>
    </w:rPr>
  </w:style>
  <w:style w:type="character" w:customStyle="1" w:styleId="SubtitleChar2">
    <w:name w:val="Subtitle Char2"/>
    <w:uiPriority w:val="99"/>
    <w:rsid w:val="00FC2F7D"/>
    <w:rPr>
      <w:rFonts w:ascii="Cambria" w:hAnsi="Cambria"/>
      <w:i/>
      <w:color w:val="4F81BD"/>
      <w:spacing w:val="15"/>
      <w:sz w:val="24"/>
    </w:rPr>
  </w:style>
  <w:style w:type="character" w:customStyle="1" w:styleId="QuoteChar1">
    <w:name w:val="Quote Char1"/>
    <w:uiPriority w:val="99"/>
    <w:rsid w:val="00FC2F7D"/>
    <w:rPr>
      <w:rFonts w:ascii="Arial Armenian" w:hAnsi="Arial Armenian"/>
      <w:i/>
      <w:color w:val="000000"/>
      <w:sz w:val="24"/>
    </w:rPr>
  </w:style>
  <w:style w:type="table" w:customStyle="1" w:styleId="TableGrid14212">
    <w:name w:val="Table Grid14212"/>
    <w:uiPriority w:val="39"/>
    <w:rsid w:val="00FC2F7D"/>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12">
    <w:name w:val="Table Grid1113112"/>
    <w:uiPriority w:val="99"/>
    <w:rsid w:val="00FC2F7D"/>
    <w:pPr>
      <w:spacing w:after="200" w:line="276"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2">
    <w:name w:val="Table Grid912"/>
    <w:uiPriority w:val="99"/>
    <w:rsid w:val="00FC2F7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uiPriority w:val="99"/>
    <w:rsid w:val="00FC2F7D"/>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UnresolvedMention1">
    <w:name w:val="Unresolved Mention1"/>
    <w:uiPriority w:val="99"/>
    <w:semiHidden/>
    <w:rsid w:val="00F86947"/>
    <w:rPr>
      <w:color w:val="605E5C"/>
      <w:shd w:val="clear" w:color="auto" w:fill="E1DFDD"/>
    </w:rPr>
  </w:style>
  <w:style w:type="character" w:customStyle="1" w:styleId="markedcontent">
    <w:name w:val="markedcontent"/>
    <w:uiPriority w:val="99"/>
    <w:rsid w:val="00F86947"/>
  </w:style>
  <w:style w:type="character" w:customStyle="1" w:styleId="UnresolvedMention2">
    <w:name w:val="Unresolved Mention2"/>
    <w:uiPriority w:val="99"/>
    <w:semiHidden/>
    <w:rsid w:val="00681A5B"/>
    <w:rPr>
      <w:color w:val="605E5C"/>
      <w:shd w:val="clear" w:color="auto" w:fill="E1DFDD"/>
    </w:rPr>
  </w:style>
  <w:style w:type="paragraph" w:customStyle="1" w:styleId="Ac">
    <w:name w:val="Основной текст A"/>
    <w:uiPriority w:val="99"/>
    <w:rsid w:val="00695F2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u w:color="000000"/>
    </w:rPr>
  </w:style>
  <w:style w:type="character" w:customStyle="1" w:styleId="UnresolvedMention">
    <w:name w:val="Unresolved Mention"/>
    <w:uiPriority w:val="99"/>
    <w:semiHidden/>
    <w:rsid w:val="00401A48"/>
    <w:rPr>
      <w:color w:val="605E5C"/>
      <w:shd w:val="clear" w:color="auto" w:fill="E1DFDD"/>
    </w:rPr>
  </w:style>
  <w:style w:type="character" w:customStyle="1" w:styleId="FontStyle11">
    <w:name w:val="Font Style11"/>
    <w:uiPriority w:val="99"/>
    <w:rsid w:val="00401A48"/>
    <w:rPr>
      <w:rFonts w:ascii="Arial Unicode MS" w:eastAsia="Arial Unicode MS"/>
      <w:b/>
      <w:sz w:val="30"/>
    </w:rPr>
  </w:style>
  <w:style w:type="paragraph" w:customStyle="1" w:styleId="v1v1msonormal">
    <w:name w:val="v1v1msonormal"/>
    <w:basedOn w:val="Normal"/>
    <w:uiPriority w:val="99"/>
    <w:rsid w:val="00681414"/>
    <w:pPr>
      <w:spacing w:before="100" w:beforeAutospacing="1" w:after="100" w:afterAutospacing="1"/>
    </w:pPr>
    <w:rPr>
      <w:noProof w:val="0"/>
      <w:lang w:val="en-US"/>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056123"/>
    <w:pPr>
      <w:spacing w:after="160" w:line="240" w:lineRule="exact"/>
    </w:pPr>
    <w:rPr>
      <w:noProof w:val="0"/>
      <w:sz w:val="20"/>
      <w:szCs w:val="20"/>
      <w:vertAlign w:val="superscript"/>
      <w:lang w:val="en-US"/>
    </w:rPr>
  </w:style>
  <w:style w:type="character" w:customStyle="1" w:styleId="BulletedChar">
    <w:name w:val="Bulleted Char"/>
    <w:link w:val="Bulleted"/>
    <w:uiPriority w:val="99"/>
    <w:locked/>
    <w:rsid w:val="005E4A11"/>
    <w:rPr>
      <w:sz w:val="20"/>
      <w:szCs w:val="20"/>
      <w:lang w:eastAsia="hy-AM"/>
    </w:rPr>
  </w:style>
  <w:style w:type="paragraph" w:customStyle="1" w:styleId="Bulleted">
    <w:name w:val="Bulleted"/>
    <w:basedOn w:val="Normal"/>
    <w:link w:val="BulletedChar"/>
    <w:uiPriority w:val="99"/>
    <w:rsid w:val="005E4A11"/>
    <w:pPr>
      <w:numPr>
        <w:numId w:val="28"/>
      </w:numPr>
    </w:pPr>
    <w:rPr>
      <w:noProof w:val="0"/>
      <w:sz w:val="20"/>
      <w:szCs w:val="20"/>
      <w:lang w:val="en-US" w:eastAsia="hy-AM"/>
    </w:rPr>
  </w:style>
  <w:style w:type="table" w:customStyle="1" w:styleId="TableGrid1">
    <w:name w:val="Table Grid1"/>
    <w:uiPriority w:val="99"/>
    <w:rsid w:val="006A49E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4-Accent11">
    <w:name w:val="List Table 4 - Accent 11"/>
    <w:uiPriority w:val="99"/>
    <w:rsid w:val="00400A22"/>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style>
  <w:style w:type="numbering" w:customStyle="1" w:styleId="Style1">
    <w:name w:val="Style1"/>
    <w:rsid w:val="00ED754B"/>
    <w:pPr>
      <w:numPr>
        <w:numId w:val="4"/>
      </w:numPr>
    </w:pPr>
  </w:style>
  <w:style w:type="numbering" w:customStyle="1" w:styleId="1">
    <w:name w:val="Стиль1"/>
    <w:rsid w:val="00ED754B"/>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441018">
      <w:marLeft w:val="0"/>
      <w:marRight w:val="0"/>
      <w:marTop w:val="0"/>
      <w:marBottom w:val="0"/>
      <w:divBdr>
        <w:top w:val="none" w:sz="0" w:space="0" w:color="auto"/>
        <w:left w:val="none" w:sz="0" w:space="0" w:color="auto"/>
        <w:bottom w:val="none" w:sz="0" w:space="0" w:color="auto"/>
        <w:right w:val="none" w:sz="0" w:space="0" w:color="auto"/>
      </w:divBdr>
    </w:div>
    <w:div w:id="883441019">
      <w:marLeft w:val="0"/>
      <w:marRight w:val="0"/>
      <w:marTop w:val="0"/>
      <w:marBottom w:val="0"/>
      <w:divBdr>
        <w:top w:val="none" w:sz="0" w:space="0" w:color="auto"/>
        <w:left w:val="none" w:sz="0" w:space="0" w:color="auto"/>
        <w:bottom w:val="none" w:sz="0" w:space="0" w:color="auto"/>
        <w:right w:val="none" w:sz="0" w:space="0" w:color="auto"/>
      </w:divBdr>
    </w:div>
    <w:div w:id="883441020">
      <w:marLeft w:val="0"/>
      <w:marRight w:val="0"/>
      <w:marTop w:val="0"/>
      <w:marBottom w:val="0"/>
      <w:divBdr>
        <w:top w:val="none" w:sz="0" w:space="0" w:color="auto"/>
        <w:left w:val="none" w:sz="0" w:space="0" w:color="auto"/>
        <w:bottom w:val="none" w:sz="0" w:space="0" w:color="auto"/>
        <w:right w:val="none" w:sz="0" w:space="0" w:color="auto"/>
      </w:divBdr>
    </w:div>
    <w:div w:id="883441021">
      <w:marLeft w:val="0"/>
      <w:marRight w:val="0"/>
      <w:marTop w:val="0"/>
      <w:marBottom w:val="0"/>
      <w:divBdr>
        <w:top w:val="none" w:sz="0" w:space="0" w:color="auto"/>
        <w:left w:val="none" w:sz="0" w:space="0" w:color="auto"/>
        <w:bottom w:val="none" w:sz="0" w:space="0" w:color="auto"/>
        <w:right w:val="none" w:sz="0" w:space="0" w:color="auto"/>
      </w:divBdr>
    </w:div>
    <w:div w:id="883441022">
      <w:marLeft w:val="0"/>
      <w:marRight w:val="0"/>
      <w:marTop w:val="0"/>
      <w:marBottom w:val="0"/>
      <w:divBdr>
        <w:top w:val="none" w:sz="0" w:space="0" w:color="auto"/>
        <w:left w:val="none" w:sz="0" w:space="0" w:color="auto"/>
        <w:bottom w:val="none" w:sz="0" w:space="0" w:color="auto"/>
        <w:right w:val="none" w:sz="0" w:space="0" w:color="auto"/>
      </w:divBdr>
    </w:div>
    <w:div w:id="883441023">
      <w:marLeft w:val="0"/>
      <w:marRight w:val="0"/>
      <w:marTop w:val="0"/>
      <w:marBottom w:val="0"/>
      <w:divBdr>
        <w:top w:val="none" w:sz="0" w:space="0" w:color="auto"/>
        <w:left w:val="none" w:sz="0" w:space="0" w:color="auto"/>
        <w:bottom w:val="none" w:sz="0" w:space="0" w:color="auto"/>
        <w:right w:val="none" w:sz="0" w:space="0" w:color="auto"/>
      </w:divBdr>
    </w:div>
    <w:div w:id="883441024">
      <w:marLeft w:val="0"/>
      <w:marRight w:val="0"/>
      <w:marTop w:val="0"/>
      <w:marBottom w:val="0"/>
      <w:divBdr>
        <w:top w:val="none" w:sz="0" w:space="0" w:color="auto"/>
        <w:left w:val="none" w:sz="0" w:space="0" w:color="auto"/>
        <w:bottom w:val="none" w:sz="0" w:space="0" w:color="auto"/>
        <w:right w:val="none" w:sz="0" w:space="0" w:color="auto"/>
      </w:divBdr>
    </w:div>
    <w:div w:id="883441025">
      <w:marLeft w:val="0"/>
      <w:marRight w:val="0"/>
      <w:marTop w:val="0"/>
      <w:marBottom w:val="0"/>
      <w:divBdr>
        <w:top w:val="none" w:sz="0" w:space="0" w:color="auto"/>
        <w:left w:val="none" w:sz="0" w:space="0" w:color="auto"/>
        <w:bottom w:val="none" w:sz="0" w:space="0" w:color="auto"/>
        <w:right w:val="none" w:sz="0" w:space="0" w:color="auto"/>
      </w:divBdr>
    </w:div>
    <w:div w:id="883441026">
      <w:marLeft w:val="0"/>
      <w:marRight w:val="0"/>
      <w:marTop w:val="0"/>
      <w:marBottom w:val="0"/>
      <w:divBdr>
        <w:top w:val="none" w:sz="0" w:space="0" w:color="auto"/>
        <w:left w:val="none" w:sz="0" w:space="0" w:color="auto"/>
        <w:bottom w:val="none" w:sz="0" w:space="0" w:color="auto"/>
        <w:right w:val="none" w:sz="0" w:space="0" w:color="auto"/>
      </w:divBdr>
    </w:div>
    <w:div w:id="883441027">
      <w:marLeft w:val="0"/>
      <w:marRight w:val="0"/>
      <w:marTop w:val="0"/>
      <w:marBottom w:val="0"/>
      <w:divBdr>
        <w:top w:val="none" w:sz="0" w:space="0" w:color="auto"/>
        <w:left w:val="none" w:sz="0" w:space="0" w:color="auto"/>
        <w:bottom w:val="none" w:sz="0" w:space="0" w:color="auto"/>
        <w:right w:val="none" w:sz="0" w:space="0" w:color="auto"/>
      </w:divBdr>
    </w:div>
    <w:div w:id="883441028">
      <w:marLeft w:val="0"/>
      <w:marRight w:val="0"/>
      <w:marTop w:val="0"/>
      <w:marBottom w:val="0"/>
      <w:divBdr>
        <w:top w:val="none" w:sz="0" w:space="0" w:color="auto"/>
        <w:left w:val="none" w:sz="0" w:space="0" w:color="auto"/>
        <w:bottom w:val="none" w:sz="0" w:space="0" w:color="auto"/>
        <w:right w:val="none" w:sz="0" w:space="0" w:color="auto"/>
      </w:divBdr>
    </w:div>
    <w:div w:id="883441029">
      <w:marLeft w:val="0"/>
      <w:marRight w:val="0"/>
      <w:marTop w:val="0"/>
      <w:marBottom w:val="0"/>
      <w:divBdr>
        <w:top w:val="none" w:sz="0" w:space="0" w:color="auto"/>
        <w:left w:val="none" w:sz="0" w:space="0" w:color="auto"/>
        <w:bottom w:val="none" w:sz="0" w:space="0" w:color="auto"/>
        <w:right w:val="none" w:sz="0" w:space="0" w:color="auto"/>
      </w:divBdr>
    </w:div>
    <w:div w:id="883441030">
      <w:marLeft w:val="0"/>
      <w:marRight w:val="0"/>
      <w:marTop w:val="0"/>
      <w:marBottom w:val="0"/>
      <w:divBdr>
        <w:top w:val="none" w:sz="0" w:space="0" w:color="auto"/>
        <w:left w:val="none" w:sz="0" w:space="0" w:color="auto"/>
        <w:bottom w:val="none" w:sz="0" w:space="0" w:color="auto"/>
        <w:right w:val="none" w:sz="0" w:space="0" w:color="auto"/>
      </w:divBdr>
    </w:div>
    <w:div w:id="883441031">
      <w:marLeft w:val="0"/>
      <w:marRight w:val="0"/>
      <w:marTop w:val="0"/>
      <w:marBottom w:val="0"/>
      <w:divBdr>
        <w:top w:val="none" w:sz="0" w:space="0" w:color="auto"/>
        <w:left w:val="none" w:sz="0" w:space="0" w:color="auto"/>
        <w:bottom w:val="none" w:sz="0" w:space="0" w:color="auto"/>
        <w:right w:val="none" w:sz="0" w:space="0" w:color="auto"/>
      </w:divBdr>
    </w:div>
    <w:div w:id="883441032">
      <w:marLeft w:val="0"/>
      <w:marRight w:val="0"/>
      <w:marTop w:val="0"/>
      <w:marBottom w:val="0"/>
      <w:divBdr>
        <w:top w:val="none" w:sz="0" w:space="0" w:color="auto"/>
        <w:left w:val="none" w:sz="0" w:space="0" w:color="auto"/>
        <w:bottom w:val="none" w:sz="0" w:space="0" w:color="auto"/>
        <w:right w:val="none" w:sz="0" w:space="0" w:color="auto"/>
      </w:divBdr>
    </w:div>
    <w:div w:id="883441033">
      <w:marLeft w:val="0"/>
      <w:marRight w:val="0"/>
      <w:marTop w:val="0"/>
      <w:marBottom w:val="0"/>
      <w:divBdr>
        <w:top w:val="none" w:sz="0" w:space="0" w:color="auto"/>
        <w:left w:val="none" w:sz="0" w:space="0" w:color="auto"/>
        <w:bottom w:val="none" w:sz="0" w:space="0" w:color="auto"/>
        <w:right w:val="none" w:sz="0" w:space="0" w:color="auto"/>
      </w:divBdr>
    </w:div>
    <w:div w:id="883441034">
      <w:marLeft w:val="0"/>
      <w:marRight w:val="0"/>
      <w:marTop w:val="0"/>
      <w:marBottom w:val="0"/>
      <w:divBdr>
        <w:top w:val="none" w:sz="0" w:space="0" w:color="auto"/>
        <w:left w:val="none" w:sz="0" w:space="0" w:color="auto"/>
        <w:bottom w:val="none" w:sz="0" w:space="0" w:color="auto"/>
        <w:right w:val="none" w:sz="0" w:space="0" w:color="auto"/>
      </w:divBdr>
    </w:div>
    <w:div w:id="883441035">
      <w:marLeft w:val="0"/>
      <w:marRight w:val="0"/>
      <w:marTop w:val="0"/>
      <w:marBottom w:val="0"/>
      <w:divBdr>
        <w:top w:val="none" w:sz="0" w:space="0" w:color="auto"/>
        <w:left w:val="none" w:sz="0" w:space="0" w:color="auto"/>
        <w:bottom w:val="none" w:sz="0" w:space="0" w:color="auto"/>
        <w:right w:val="none" w:sz="0" w:space="0" w:color="auto"/>
      </w:divBdr>
    </w:div>
    <w:div w:id="883441036">
      <w:marLeft w:val="0"/>
      <w:marRight w:val="0"/>
      <w:marTop w:val="0"/>
      <w:marBottom w:val="0"/>
      <w:divBdr>
        <w:top w:val="none" w:sz="0" w:space="0" w:color="auto"/>
        <w:left w:val="none" w:sz="0" w:space="0" w:color="auto"/>
        <w:bottom w:val="none" w:sz="0" w:space="0" w:color="auto"/>
        <w:right w:val="none" w:sz="0" w:space="0" w:color="auto"/>
      </w:divBdr>
    </w:div>
    <w:div w:id="883441037">
      <w:marLeft w:val="0"/>
      <w:marRight w:val="0"/>
      <w:marTop w:val="0"/>
      <w:marBottom w:val="0"/>
      <w:divBdr>
        <w:top w:val="none" w:sz="0" w:space="0" w:color="auto"/>
        <w:left w:val="none" w:sz="0" w:space="0" w:color="auto"/>
        <w:bottom w:val="none" w:sz="0" w:space="0" w:color="auto"/>
        <w:right w:val="none" w:sz="0" w:space="0" w:color="auto"/>
      </w:divBdr>
    </w:div>
    <w:div w:id="883441038">
      <w:marLeft w:val="0"/>
      <w:marRight w:val="0"/>
      <w:marTop w:val="0"/>
      <w:marBottom w:val="0"/>
      <w:divBdr>
        <w:top w:val="none" w:sz="0" w:space="0" w:color="auto"/>
        <w:left w:val="none" w:sz="0" w:space="0" w:color="auto"/>
        <w:bottom w:val="none" w:sz="0" w:space="0" w:color="auto"/>
        <w:right w:val="none" w:sz="0" w:space="0" w:color="auto"/>
      </w:divBdr>
    </w:div>
    <w:div w:id="883441039">
      <w:marLeft w:val="0"/>
      <w:marRight w:val="0"/>
      <w:marTop w:val="0"/>
      <w:marBottom w:val="0"/>
      <w:divBdr>
        <w:top w:val="none" w:sz="0" w:space="0" w:color="auto"/>
        <w:left w:val="none" w:sz="0" w:space="0" w:color="auto"/>
        <w:bottom w:val="none" w:sz="0" w:space="0" w:color="auto"/>
        <w:right w:val="none" w:sz="0" w:space="0" w:color="auto"/>
      </w:divBdr>
    </w:div>
    <w:div w:id="883441040">
      <w:marLeft w:val="0"/>
      <w:marRight w:val="0"/>
      <w:marTop w:val="0"/>
      <w:marBottom w:val="0"/>
      <w:divBdr>
        <w:top w:val="none" w:sz="0" w:space="0" w:color="auto"/>
        <w:left w:val="none" w:sz="0" w:space="0" w:color="auto"/>
        <w:bottom w:val="none" w:sz="0" w:space="0" w:color="auto"/>
        <w:right w:val="none" w:sz="0" w:space="0" w:color="auto"/>
      </w:divBdr>
    </w:div>
    <w:div w:id="883441041">
      <w:marLeft w:val="0"/>
      <w:marRight w:val="0"/>
      <w:marTop w:val="0"/>
      <w:marBottom w:val="0"/>
      <w:divBdr>
        <w:top w:val="none" w:sz="0" w:space="0" w:color="auto"/>
        <w:left w:val="none" w:sz="0" w:space="0" w:color="auto"/>
        <w:bottom w:val="none" w:sz="0" w:space="0" w:color="auto"/>
        <w:right w:val="none" w:sz="0" w:space="0" w:color="auto"/>
      </w:divBdr>
    </w:div>
    <w:div w:id="883441042">
      <w:marLeft w:val="0"/>
      <w:marRight w:val="0"/>
      <w:marTop w:val="0"/>
      <w:marBottom w:val="0"/>
      <w:divBdr>
        <w:top w:val="none" w:sz="0" w:space="0" w:color="auto"/>
        <w:left w:val="none" w:sz="0" w:space="0" w:color="auto"/>
        <w:bottom w:val="none" w:sz="0" w:space="0" w:color="auto"/>
        <w:right w:val="none" w:sz="0" w:space="0" w:color="auto"/>
      </w:divBdr>
    </w:div>
    <w:div w:id="883441043">
      <w:marLeft w:val="0"/>
      <w:marRight w:val="0"/>
      <w:marTop w:val="0"/>
      <w:marBottom w:val="0"/>
      <w:divBdr>
        <w:top w:val="none" w:sz="0" w:space="0" w:color="auto"/>
        <w:left w:val="none" w:sz="0" w:space="0" w:color="auto"/>
        <w:bottom w:val="none" w:sz="0" w:space="0" w:color="auto"/>
        <w:right w:val="none" w:sz="0" w:space="0" w:color="auto"/>
      </w:divBdr>
    </w:div>
    <w:div w:id="883441044">
      <w:marLeft w:val="0"/>
      <w:marRight w:val="0"/>
      <w:marTop w:val="0"/>
      <w:marBottom w:val="0"/>
      <w:divBdr>
        <w:top w:val="none" w:sz="0" w:space="0" w:color="auto"/>
        <w:left w:val="none" w:sz="0" w:space="0" w:color="auto"/>
        <w:bottom w:val="none" w:sz="0" w:space="0" w:color="auto"/>
        <w:right w:val="none" w:sz="0" w:space="0" w:color="auto"/>
      </w:divBdr>
    </w:div>
    <w:div w:id="883441045">
      <w:marLeft w:val="0"/>
      <w:marRight w:val="0"/>
      <w:marTop w:val="0"/>
      <w:marBottom w:val="0"/>
      <w:divBdr>
        <w:top w:val="none" w:sz="0" w:space="0" w:color="auto"/>
        <w:left w:val="none" w:sz="0" w:space="0" w:color="auto"/>
        <w:bottom w:val="none" w:sz="0" w:space="0" w:color="auto"/>
        <w:right w:val="none" w:sz="0" w:space="0" w:color="auto"/>
      </w:divBdr>
    </w:div>
    <w:div w:id="883441046">
      <w:marLeft w:val="0"/>
      <w:marRight w:val="0"/>
      <w:marTop w:val="0"/>
      <w:marBottom w:val="0"/>
      <w:divBdr>
        <w:top w:val="none" w:sz="0" w:space="0" w:color="auto"/>
        <w:left w:val="none" w:sz="0" w:space="0" w:color="auto"/>
        <w:bottom w:val="none" w:sz="0" w:space="0" w:color="auto"/>
        <w:right w:val="none" w:sz="0" w:space="0" w:color="auto"/>
      </w:divBdr>
    </w:div>
    <w:div w:id="883441047">
      <w:marLeft w:val="0"/>
      <w:marRight w:val="0"/>
      <w:marTop w:val="0"/>
      <w:marBottom w:val="0"/>
      <w:divBdr>
        <w:top w:val="none" w:sz="0" w:space="0" w:color="auto"/>
        <w:left w:val="none" w:sz="0" w:space="0" w:color="auto"/>
        <w:bottom w:val="none" w:sz="0" w:space="0" w:color="auto"/>
        <w:right w:val="none" w:sz="0" w:space="0" w:color="auto"/>
      </w:divBdr>
    </w:div>
    <w:div w:id="883441048">
      <w:marLeft w:val="0"/>
      <w:marRight w:val="0"/>
      <w:marTop w:val="0"/>
      <w:marBottom w:val="0"/>
      <w:divBdr>
        <w:top w:val="none" w:sz="0" w:space="0" w:color="auto"/>
        <w:left w:val="none" w:sz="0" w:space="0" w:color="auto"/>
        <w:bottom w:val="none" w:sz="0" w:space="0" w:color="auto"/>
        <w:right w:val="none" w:sz="0" w:space="0" w:color="auto"/>
      </w:divBdr>
    </w:div>
    <w:div w:id="883441049">
      <w:marLeft w:val="0"/>
      <w:marRight w:val="0"/>
      <w:marTop w:val="0"/>
      <w:marBottom w:val="0"/>
      <w:divBdr>
        <w:top w:val="none" w:sz="0" w:space="0" w:color="auto"/>
        <w:left w:val="none" w:sz="0" w:space="0" w:color="auto"/>
        <w:bottom w:val="none" w:sz="0" w:space="0" w:color="auto"/>
        <w:right w:val="none" w:sz="0" w:space="0" w:color="auto"/>
      </w:divBdr>
    </w:div>
    <w:div w:id="883441050">
      <w:marLeft w:val="0"/>
      <w:marRight w:val="0"/>
      <w:marTop w:val="0"/>
      <w:marBottom w:val="0"/>
      <w:divBdr>
        <w:top w:val="none" w:sz="0" w:space="0" w:color="auto"/>
        <w:left w:val="none" w:sz="0" w:space="0" w:color="auto"/>
        <w:bottom w:val="none" w:sz="0" w:space="0" w:color="auto"/>
        <w:right w:val="none" w:sz="0" w:space="0" w:color="auto"/>
      </w:divBdr>
    </w:div>
    <w:div w:id="883441051">
      <w:marLeft w:val="0"/>
      <w:marRight w:val="0"/>
      <w:marTop w:val="0"/>
      <w:marBottom w:val="0"/>
      <w:divBdr>
        <w:top w:val="none" w:sz="0" w:space="0" w:color="auto"/>
        <w:left w:val="none" w:sz="0" w:space="0" w:color="auto"/>
        <w:bottom w:val="none" w:sz="0" w:space="0" w:color="auto"/>
        <w:right w:val="none" w:sz="0" w:space="0" w:color="auto"/>
      </w:divBdr>
    </w:div>
    <w:div w:id="883441052">
      <w:marLeft w:val="0"/>
      <w:marRight w:val="0"/>
      <w:marTop w:val="0"/>
      <w:marBottom w:val="0"/>
      <w:divBdr>
        <w:top w:val="none" w:sz="0" w:space="0" w:color="auto"/>
        <w:left w:val="none" w:sz="0" w:space="0" w:color="auto"/>
        <w:bottom w:val="none" w:sz="0" w:space="0" w:color="auto"/>
        <w:right w:val="none" w:sz="0" w:space="0" w:color="auto"/>
      </w:divBdr>
    </w:div>
    <w:div w:id="883441053">
      <w:marLeft w:val="0"/>
      <w:marRight w:val="0"/>
      <w:marTop w:val="0"/>
      <w:marBottom w:val="0"/>
      <w:divBdr>
        <w:top w:val="none" w:sz="0" w:space="0" w:color="auto"/>
        <w:left w:val="none" w:sz="0" w:space="0" w:color="auto"/>
        <w:bottom w:val="none" w:sz="0" w:space="0" w:color="auto"/>
        <w:right w:val="none" w:sz="0" w:space="0" w:color="auto"/>
      </w:divBdr>
    </w:div>
    <w:div w:id="883441054">
      <w:marLeft w:val="0"/>
      <w:marRight w:val="0"/>
      <w:marTop w:val="0"/>
      <w:marBottom w:val="0"/>
      <w:divBdr>
        <w:top w:val="none" w:sz="0" w:space="0" w:color="auto"/>
        <w:left w:val="none" w:sz="0" w:space="0" w:color="auto"/>
        <w:bottom w:val="none" w:sz="0" w:space="0" w:color="auto"/>
        <w:right w:val="none" w:sz="0" w:space="0" w:color="auto"/>
      </w:divBdr>
    </w:div>
    <w:div w:id="883441055">
      <w:marLeft w:val="0"/>
      <w:marRight w:val="0"/>
      <w:marTop w:val="0"/>
      <w:marBottom w:val="0"/>
      <w:divBdr>
        <w:top w:val="none" w:sz="0" w:space="0" w:color="auto"/>
        <w:left w:val="none" w:sz="0" w:space="0" w:color="auto"/>
        <w:bottom w:val="none" w:sz="0" w:space="0" w:color="auto"/>
        <w:right w:val="none" w:sz="0" w:space="0" w:color="auto"/>
      </w:divBdr>
    </w:div>
    <w:div w:id="883441056">
      <w:marLeft w:val="0"/>
      <w:marRight w:val="0"/>
      <w:marTop w:val="0"/>
      <w:marBottom w:val="0"/>
      <w:divBdr>
        <w:top w:val="none" w:sz="0" w:space="0" w:color="auto"/>
        <w:left w:val="none" w:sz="0" w:space="0" w:color="auto"/>
        <w:bottom w:val="none" w:sz="0" w:space="0" w:color="auto"/>
        <w:right w:val="none" w:sz="0" w:space="0" w:color="auto"/>
      </w:divBdr>
    </w:div>
    <w:div w:id="883441057">
      <w:marLeft w:val="0"/>
      <w:marRight w:val="0"/>
      <w:marTop w:val="0"/>
      <w:marBottom w:val="0"/>
      <w:divBdr>
        <w:top w:val="none" w:sz="0" w:space="0" w:color="auto"/>
        <w:left w:val="none" w:sz="0" w:space="0" w:color="auto"/>
        <w:bottom w:val="none" w:sz="0" w:space="0" w:color="auto"/>
        <w:right w:val="none" w:sz="0" w:space="0" w:color="auto"/>
      </w:divBdr>
    </w:div>
    <w:div w:id="883441058">
      <w:marLeft w:val="0"/>
      <w:marRight w:val="0"/>
      <w:marTop w:val="0"/>
      <w:marBottom w:val="0"/>
      <w:divBdr>
        <w:top w:val="none" w:sz="0" w:space="0" w:color="auto"/>
        <w:left w:val="none" w:sz="0" w:space="0" w:color="auto"/>
        <w:bottom w:val="none" w:sz="0" w:space="0" w:color="auto"/>
        <w:right w:val="none" w:sz="0" w:space="0" w:color="auto"/>
      </w:divBdr>
    </w:div>
    <w:div w:id="883441059">
      <w:marLeft w:val="0"/>
      <w:marRight w:val="0"/>
      <w:marTop w:val="0"/>
      <w:marBottom w:val="0"/>
      <w:divBdr>
        <w:top w:val="none" w:sz="0" w:space="0" w:color="auto"/>
        <w:left w:val="none" w:sz="0" w:space="0" w:color="auto"/>
        <w:bottom w:val="none" w:sz="0" w:space="0" w:color="auto"/>
        <w:right w:val="none" w:sz="0" w:space="0" w:color="auto"/>
      </w:divBdr>
    </w:div>
    <w:div w:id="883441060">
      <w:marLeft w:val="0"/>
      <w:marRight w:val="0"/>
      <w:marTop w:val="0"/>
      <w:marBottom w:val="0"/>
      <w:divBdr>
        <w:top w:val="none" w:sz="0" w:space="0" w:color="auto"/>
        <w:left w:val="none" w:sz="0" w:space="0" w:color="auto"/>
        <w:bottom w:val="none" w:sz="0" w:space="0" w:color="auto"/>
        <w:right w:val="none" w:sz="0" w:space="0" w:color="auto"/>
      </w:divBdr>
    </w:div>
    <w:div w:id="883441061">
      <w:marLeft w:val="0"/>
      <w:marRight w:val="0"/>
      <w:marTop w:val="0"/>
      <w:marBottom w:val="0"/>
      <w:divBdr>
        <w:top w:val="none" w:sz="0" w:space="0" w:color="auto"/>
        <w:left w:val="none" w:sz="0" w:space="0" w:color="auto"/>
        <w:bottom w:val="none" w:sz="0" w:space="0" w:color="auto"/>
        <w:right w:val="none" w:sz="0" w:space="0" w:color="auto"/>
      </w:divBdr>
    </w:div>
    <w:div w:id="883441062">
      <w:marLeft w:val="0"/>
      <w:marRight w:val="0"/>
      <w:marTop w:val="0"/>
      <w:marBottom w:val="0"/>
      <w:divBdr>
        <w:top w:val="none" w:sz="0" w:space="0" w:color="auto"/>
        <w:left w:val="none" w:sz="0" w:space="0" w:color="auto"/>
        <w:bottom w:val="none" w:sz="0" w:space="0" w:color="auto"/>
        <w:right w:val="none" w:sz="0" w:space="0" w:color="auto"/>
      </w:divBdr>
    </w:div>
    <w:div w:id="883441063">
      <w:marLeft w:val="0"/>
      <w:marRight w:val="0"/>
      <w:marTop w:val="0"/>
      <w:marBottom w:val="0"/>
      <w:divBdr>
        <w:top w:val="none" w:sz="0" w:space="0" w:color="auto"/>
        <w:left w:val="none" w:sz="0" w:space="0" w:color="auto"/>
        <w:bottom w:val="none" w:sz="0" w:space="0" w:color="auto"/>
        <w:right w:val="none" w:sz="0" w:space="0" w:color="auto"/>
      </w:divBdr>
    </w:div>
    <w:div w:id="883441064">
      <w:marLeft w:val="0"/>
      <w:marRight w:val="0"/>
      <w:marTop w:val="0"/>
      <w:marBottom w:val="0"/>
      <w:divBdr>
        <w:top w:val="none" w:sz="0" w:space="0" w:color="auto"/>
        <w:left w:val="none" w:sz="0" w:space="0" w:color="auto"/>
        <w:bottom w:val="none" w:sz="0" w:space="0" w:color="auto"/>
        <w:right w:val="none" w:sz="0" w:space="0" w:color="auto"/>
      </w:divBdr>
    </w:div>
    <w:div w:id="883441065">
      <w:marLeft w:val="0"/>
      <w:marRight w:val="0"/>
      <w:marTop w:val="0"/>
      <w:marBottom w:val="0"/>
      <w:divBdr>
        <w:top w:val="none" w:sz="0" w:space="0" w:color="auto"/>
        <w:left w:val="none" w:sz="0" w:space="0" w:color="auto"/>
        <w:bottom w:val="none" w:sz="0" w:space="0" w:color="auto"/>
        <w:right w:val="none" w:sz="0" w:space="0" w:color="auto"/>
      </w:divBdr>
    </w:div>
    <w:div w:id="883441066">
      <w:marLeft w:val="0"/>
      <w:marRight w:val="0"/>
      <w:marTop w:val="0"/>
      <w:marBottom w:val="0"/>
      <w:divBdr>
        <w:top w:val="none" w:sz="0" w:space="0" w:color="auto"/>
        <w:left w:val="none" w:sz="0" w:space="0" w:color="auto"/>
        <w:bottom w:val="none" w:sz="0" w:space="0" w:color="auto"/>
        <w:right w:val="none" w:sz="0" w:space="0" w:color="auto"/>
      </w:divBdr>
    </w:div>
    <w:div w:id="883441067">
      <w:marLeft w:val="0"/>
      <w:marRight w:val="0"/>
      <w:marTop w:val="0"/>
      <w:marBottom w:val="0"/>
      <w:divBdr>
        <w:top w:val="none" w:sz="0" w:space="0" w:color="auto"/>
        <w:left w:val="none" w:sz="0" w:space="0" w:color="auto"/>
        <w:bottom w:val="none" w:sz="0" w:space="0" w:color="auto"/>
        <w:right w:val="none" w:sz="0" w:space="0" w:color="auto"/>
      </w:divBdr>
    </w:div>
    <w:div w:id="883441068">
      <w:marLeft w:val="0"/>
      <w:marRight w:val="0"/>
      <w:marTop w:val="0"/>
      <w:marBottom w:val="0"/>
      <w:divBdr>
        <w:top w:val="none" w:sz="0" w:space="0" w:color="auto"/>
        <w:left w:val="none" w:sz="0" w:space="0" w:color="auto"/>
        <w:bottom w:val="none" w:sz="0" w:space="0" w:color="auto"/>
        <w:right w:val="none" w:sz="0" w:space="0" w:color="auto"/>
      </w:divBdr>
    </w:div>
    <w:div w:id="883441069">
      <w:marLeft w:val="0"/>
      <w:marRight w:val="0"/>
      <w:marTop w:val="0"/>
      <w:marBottom w:val="0"/>
      <w:divBdr>
        <w:top w:val="none" w:sz="0" w:space="0" w:color="auto"/>
        <w:left w:val="none" w:sz="0" w:space="0" w:color="auto"/>
        <w:bottom w:val="none" w:sz="0" w:space="0" w:color="auto"/>
        <w:right w:val="none" w:sz="0" w:space="0" w:color="auto"/>
      </w:divBdr>
    </w:div>
    <w:div w:id="883441070">
      <w:marLeft w:val="0"/>
      <w:marRight w:val="0"/>
      <w:marTop w:val="0"/>
      <w:marBottom w:val="0"/>
      <w:divBdr>
        <w:top w:val="none" w:sz="0" w:space="0" w:color="auto"/>
        <w:left w:val="none" w:sz="0" w:space="0" w:color="auto"/>
        <w:bottom w:val="none" w:sz="0" w:space="0" w:color="auto"/>
        <w:right w:val="none" w:sz="0" w:space="0" w:color="auto"/>
      </w:divBdr>
    </w:div>
    <w:div w:id="883441071">
      <w:marLeft w:val="0"/>
      <w:marRight w:val="0"/>
      <w:marTop w:val="0"/>
      <w:marBottom w:val="0"/>
      <w:divBdr>
        <w:top w:val="none" w:sz="0" w:space="0" w:color="auto"/>
        <w:left w:val="none" w:sz="0" w:space="0" w:color="auto"/>
        <w:bottom w:val="none" w:sz="0" w:space="0" w:color="auto"/>
        <w:right w:val="none" w:sz="0" w:space="0" w:color="auto"/>
      </w:divBdr>
    </w:div>
    <w:div w:id="883441072">
      <w:marLeft w:val="0"/>
      <w:marRight w:val="0"/>
      <w:marTop w:val="0"/>
      <w:marBottom w:val="0"/>
      <w:divBdr>
        <w:top w:val="none" w:sz="0" w:space="0" w:color="auto"/>
        <w:left w:val="none" w:sz="0" w:space="0" w:color="auto"/>
        <w:bottom w:val="none" w:sz="0" w:space="0" w:color="auto"/>
        <w:right w:val="none" w:sz="0" w:space="0" w:color="auto"/>
      </w:divBdr>
    </w:div>
    <w:div w:id="883441073">
      <w:marLeft w:val="0"/>
      <w:marRight w:val="0"/>
      <w:marTop w:val="0"/>
      <w:marBottom w:val="0"/>
      <w:divBdr>
        <w:top w:val="none" w:sz="0" w:space="0" w:color="auto"/>
        <w:left w:val="none" w:sz="0" w:space="0" w:color="auto"/>
        <w:bottom w:val="none" w:sz="0" w:space="0" w:color="auto"/>
        <w:right w:val="none" w:sz="0" w:space="0" w:color="auto"/>
      </w:divBdr>
    </w:div>
    <w:div w:id="883441074">
      <w:marLeft w:val="0"/>
      <w:marRight w:val="0"/>
      <w:marTop w:val="0"/>
      <w:marBottom w:val="0"/>
      <w:divBdr>
        <w:top w:val="none" w:sz="0" w:space="0" w:color="auto"/>
        <w:left w:val="none" w:sz="0" w:space="0" w:color="auto"/>
        <w:bottom w:val="none" w:sz="0" w:space="0" w:color="auto"/>
        <w:right w:val="none" w:sz="0" w:space="0" w:color="auto"/>
      </w:divBdr>
    </w:div>
    <w:div w:id="883441075">
      <w:marLeft w:val="0"/>
      <w:marRight w:val="0"/>
      <w:marTop w:val="0"/>
      <w:marBottom w:val="0"/>
      <w:divBdr>
        <w:top w:val="none" w:sz="0" w:space="0" w:color="auto"/>
        <w:left w:val="none" w:sz="0" w:space="0" w:color="auto"/>
        <w:bottom w:val="none" w:sz="0" w:space="0" w:color="auto"/>
        <w:right w:val="none" w:sz="0" w:space="0" w:color="auto"/>
      </w:divBdr>
    </w:div>
    <w:div w:id="883441076">
      <w:marLeft w:val="0"/>
      <w:marRight w:val="0"/>
      <w:marTop w:val="0"/>
      <w:marBottom w:val="0"/>
      <w:divBdr>
        <w:top w:val="none" w:sz="0" w:space="0" w:color="auto"/>
        <w:left w:val="none" w:sz="0" w:space="0" w:color="auto"/>
        <w:bottom w:val="none" w:sz="0" w:space="0" w:color="auto"/>
        <w:right w:val="none" w:sz="0" w:space="0" w:color="auto"/>
      </w:divBdr>
    </w:div>
    <w:div w:id="883441077">
      <w:marLeft w:val="0"/>
      <w:marRight w:val="0"/>
      <w:marTop w:val="0"/>
      <w:marBottom w:val="0"/>
      <w:divBdr>
        <w:top w:val="none" w:sz="0" w:space="0" w:color="auto"/>
        <w:left w:val="none" w:sz="0" w:space="0" w:color="auto"/>
        <w:bottom w:val="none" w:sz="0" w:space="0" w:color="auto"/>
        <w:right w:val="none" w:sz="0" w:space="0" w:color="auto"/>
      </w:divBdr>
    </w:div>
    <w:div w:id="883441078">
      <w:marLeft w:val="0"/>
      <w:marRight w:val="0"/>
      <w:marTop w:val="0"/>
      <w:marBottom w:val="0"/>
      <w:divBdr>
        <w:top w:val="none" w:sz="0" w:space="0" w:color="auto"/>
        <w:left w:val="none" w:sz="0" w:space="0" w:color="auto"/>
        <w:bottom w:val="none" w:sz="0" w:space="0" w:color="auto"/>
        <w:right w:val="none" w:sz="0" w:space="0" w:color="auto"/>
      </w:divBdr>
    </w:div>
    <w:div w:id="883441079">
      <w:marLeft w:val="0"/>
      <w:marRight w:val="0"/>
      <w:marTop w:val="0"/>
      <w:marBottom w:val="0"/>
      <w:divBdr>
        <w:top w:val="none" w:sz="0" w:space="0" w:color="auto"/>
        <w:left w:val="none" w:sz="0" w:space="0" w:color="auto"/>
        <w:bottom w:val="none" w:sz="0" w:space="0" w:color="auto"/>
        <w:right w:val="none" w:sz="0" w:space="0" w:color="auto"/>
      </w:divBdr>
    </w:div>
    <w:div w:id="883441080">
      <w:marLeft w:val="0"/>
      <w:marRight w:val="0"/>
      <w:marTop w:val="0"/>
      <w:marBottom w:val="0"/>
      <w:divBdr>
        <w:top w:val="none" w:sz="0" w:space="0" w:color="auto"/>
        <w:left w:val="none" w:sz="0" w:space="0" w:color="auto"/>
        <w:bottom w:val="none" w:sz="0" w:space="0" w:color="auto"/>
        <w:right w:val="none" w:sz="0" w:space="0" w:color="auto"/>
      </w:divBdr>
    </w:div>
    <w:div w:id="883441081">
      <w:marLeft w:val="0"/>
      <w:marRight w:val="0"/>
      <w:marTop w:val="0"/>
      <w:marBottom w:val="0"/>
      <w:divBdr>
        <w:top w:val="none" w:sz="0" w:space="0" w:color="auto"/>
        <w:left w:val="none" w:sz="0" w:space="0" w:color="auto"/>
        <w:bottom w:val="none" w:sz="0" w:space="0" w:color="auto"/>
        <w:right w:val="none" w:sz="0" w:space="0" w:color="auto"/>
      </w:divBdr>
    </w:div>
    <w:div w:id="883441084">
      <w:marLeft w:val="0"/>
      <w:marRight w:val="0"/>
      <w:marTop w:val="0"/>
      <w:marBottom w:val="0"/>
      <w:divBdr>
        <w:top w:val="none" w:sz="0" w:space="0" w:color="auto"/>
        <w:left w:val="none" w:sz="0" w:space="0" w:color="auto"/>
        <w:bottom w:val="none" w:sz="0" w:space="0" w:color="auto"/>
        <w:right w:val="none" w:sz="0" w:space="0" w:color="auto"/>
      </w:divBdr>
    </w:div>
    <w:div w:id="883441085">
      <w:marLeft w:val="0"/>
      <w:marRight w:val="0"/>
      <w:marTop w:val="0"/>
      <w:marBottom w:val="0"/>
      <w:divBdr>
        <w:top w:val="none" w:sz="0" w:space="0" w:color="auto"/>
        <w:left w:val="none" w:sz="0" w:space="0" w:color="auto"/>
        <w:bottom w:val="none" w:sz="0" w:space="0" w:color="auto"/>
        <w:right w:val="none" w:sz="0" w:space="0" w:color="auto"/>
      </w:divBdr>
    </w:div>
    <w:div w:id="883441086">
      <w:marLeft w:val="0"/>
      <w:marRight w:val="0"/>
      <w:marTop w:val="0"/>
      <w:marBottom w:val="0"/>
      <w:divBdr>
        <w:top w:val="none" w:sz="0" w:space="0" w:color="auto"/>
        <w:left w:val="none" w:sz="0" w:space="0" w:color="auto"/>
        <w:bottom w:val="none" w:sz="0" w:space="0" w:color="auto"/>
        <w:right w:val="none" w:sz="0" w:space="0" w:color="auto"/>
      </w:divBdr>
    </w:div>
    <w:div w:id="883441087">
      <w:marLeft w:val="0"/>
      <w:marRight w:val="0"/>
      <w:marTop w:val="0"/>
      <w:marBottom w:val="0"/>
      <w:divBdr>
        <w:top w:val="none" w:sz="0" w:space="0" w:color="auto"/>
        <w:left w:val="none" w:sz="0" w:space="0" w:color="auto"/>
        <w:bottom w:val="none" w:sz="0" w:space="0" w:color="auto"/>
        <w:right w:val="none" w:sz="0" w:space="0" w:color="auto"/>
      </w:divBdr>
    </w:div>
    <w:div w:id="883441088">
      <w:marLeft w:val="0"/>
      <w:marRight w:val="0"/>
      <w:marTop w:val="0"/>
      <w:marBottom w:val="0"/>
      <w:divBdr>
        <w:top w:val="none" w:sz="0" w:space="0" w:color="auto"/>
        <w:left w:val="none" w:sz="0" w:space="0" w:color="auto"/>
        <w:bottom w:val="none" w:sz="0" w:space="0" w:color="auto"/>
        <w:right w:val="none" w:sz="0" w:space="0" w:color="auto"/>
      </w:divBdr>
    </w:div>
    <w:div w:id="883441089">
      <w:marLeft w:val="0"/>
      <w:marRight w:val="0"/>
      <w:marTop w:val="0"/>
      <w:marBottom w:val="0"/>
      <w:divBdr>
        <w:top w:val="none" w:sz="0" w:space="0" w:color="auto"/>
        <w:left w:val="none" w:sz="0" w:space="0" w:color="auto"/>
        <w:bottom w:val="none" w:sz="0" w:space="0" w:color="auto"/>
        <w:right w:val="none" w:sz="0" w:space="0" w:color="auto"/>
      </w:divBdr>
      <w:divsChild>
        <w:div w:id="883441083">
          <w:marLeft w:val="547"/>
          <w:marRight w:val="0"/>
          <w:marTop w:val="0"/>
          <w:marBottom w:val="0"/>
          <w:divBdr>
            <w:top w:val="none" w:sz="0" w:space="0" w:color="auto"/>
            <w:left w:val="none" w:sz="0" w:space="0" w:color="auto"/>
            <w:bottom w:val="none" w:sz="0" w:space="0" w:color="auto"/>
            <w:right w:val="none" w:sz="0" w:space="0" w:color="auto"/>
          </w:divBdr>
        </w:div>
        <w:div w:id="883441128">
          <w:marLeft w:val="547"/>
          <w:marRight w:val="0"/>
          <w:marTop w:val="0"/>
          <w:marBottom w:val="0"/>
          <w:divBdr>
            <w:top w:val="none" w:sz="0" w:space="0" w:color="auto"/>
            <w:left w:val="none" w:sz="0" w:space="0" w:color="auto"/>
            <w:bottom w:val="none" w:sz="0" w:space="0" w:color="auto"/>
            <w:right w:val="none" w:sz="0" w:space="0" w:color="auto"/>
          </w:divBdr>
        </w:div>
      </w:divsChild>
    </w:div>
    <w:div w:id="883441090">
      <w:marLeft w:val="0"/>
      <w:marRight w:val="0"/>
      <w:marTop w:val="0"/>
      <w:marBottom w:val="0"/>
      <w:divBdr>
        <w:top w:val="none" w:sz="0" w:space="0" w:color="auto"/>
        <w:left w:val="none" w:sz="0" w:space="0" w:color="auto"/>
        <w:bottom w:val="none" w:sz="0" w:space="0" w:color="auto"/>
        <w:right w:val="none" w:sz="0" w:space="0" w:color="auto"/>
      </w:divBdr>
    </w:div>
    <w:div w:id="883441091">
      <w:marLeft w:val="0"/>
      <w:marRight w:val="0"/>
      <w:marTop w:val="0"/>
      <w:marBottom w:val="0"/>
      <w:divBdr>
        <w:top w:val="none" w:sz="0" w:space="0" w:color="auto"/>
        <w:left w:val="none" w:sz="0" w:space="0" w:color="auto"/>
        <w:bottom w:val="none" w:sz="0" w:space="0" w:color="auto"/>
        <w:right w:val="none" w:sz="0" w:space="0" w:color="auto"/>
      </w:divBdr>
    </w:div>
    <w:div w:id="883441092">
      <w:marLeft w:val="0"/>
      <w:marRight w:val="0"/>
      <w:marTop w:val="0"/>
      <w:marBottom w:val="0"/>
      <w:divBdr>
        <w:top w:val="none" w:sz="0" w:space="0" w:color="auto"/>
        <w:left w:val="none" w:sz="0" w:space="0" w:color="auto"/>
        <w:bottom w:val="none" w:sz="0" w:space="0" w:color="auto"/>
        <w:right w:val="none" w:sz="0" w:space="0" w:color="auto"/>
      </w:divBdr>
    </w:div>
    <w:div w:id="883441093">
      <w:marLeft w:val="0"/>
      <w:marRight w:val="0"/>
      <w:marTop w:val="0"/>
      <w:marBottom w:val="0"/>
      <w:divBdr>
        <w:top w:val="none" w:sz="0" w:space="0" w:color="auto"/>
        <w:left w:val="none" w:sz="0" w:space="0" w:color="auto"/>
        <w:bottom w:val="none" w:sz="0" w:space="0" w:color="auto"/>
        <w:right w:val="none" w:sz="0" w:space="0" w:color="auto"/>
      </w:divBdr>
    </w:div>
    <w:div w:id="883441094">
      <w:marLeft w:val="0"/>
      <w:marRight w:val="0"/>
      <w:marTop w:val="0"/>
      <w:marBottom w:val="0"/>
      <w:divBdr>
        <w:top w:val="none" w:sz="0" w:space="0" w:color="auto"/>
        <w:left w:val="none" w:sz="0" w:space="0" w:color="auto"/>
        <w:bottom w:val="none" w:sz="0" w:space="0" w:color="auto"/>
        <w:right w:val="none" w:sz="0" w:space="0" w:color="auto"/>
      </w:divBdr>
    </w:div>
    <w:div w:id="883441095">
      <w:marLeft w:val="0"/>
      <w:marRight w:val="0"/>
      <w:marTop w:val="0"/>
      <w:marBottom w:val="0"/>
      <w:divBdr>
        <w:top w:val="none" w:sz="0" w:space="0" w:color="auto"/>
        <w:left w:val="none" w:sz="0" w:space="0" w:color="auto"/>
        <w:bottom w:val="none" w:sz="0" w:space="0" w:color="auto"/>
        <w:right w:val="none" w:sz="0" w:space="0" w:color="auto"/>
      </w:divBdr>
    </w:div>
    <w:div w:id="883441096">
      <w:marLeft w:val="0"/>
      <w:marRight w:val="0"/>
      <w:marTop w:val="0"/>
      <w:marBottom w:val="0"/>
      <w:divBdr>
        <w:top w:val="none" w:sz="0" w:space="0" w:color="auto"/>
        <w:left w:val="none" w:sz="0" w:space="0" w:color="auto"/>
        <w:bottom w:val="none" w:sz="0" w:space="0" w:color="auto"/>
        <w:right w:val="none" w:sz="0" w:space="0" w:color="auto"/>
      </w:divBdr>
    </w:div>
    <w:div w:id="883441097">
      <w:marLeft w:val="0"/>
      <w:marRight w:val="0"/>
      <w:marTop w:val="0"/>
      <w:marBottom w:val="0"/>
      <w:divBdr>
        <w:top w:val="none" w:sz="0" w:space="0" w:color="auto"/>
        <w:left w:val="none" w:sz="0" w:space="0" w:color="auto"/>
        <w:bottom w:val="none" w:sz="0" w:space="0" w:color="auto"/>
        <w:right w:val="none" w:sz="0" w:space="0" w:color="auto"/>
      </w:divBdr>
    </w:div>
    <w:div w:id="883441098">
      <w:marLeft w:val="0"/>
      <w:marRight w:val="0"/>
      <w:marTop w:val="0"/>
      <w:marBottom w:val="0"/>
      <w:divBdr>
        <w:top w:val="none" w:sz="0" w:space="0" w:color="auto"/>
        <w:left w:val="none" w:sz="0" w:space="0" w:color="auto"/>
        <w:bottom w:val="none" w:sz="0" w:space="0" w:color="auto"/>
        <w:right w:val="none" w:sz="0" w:space="0" w:color="auto"/>
      </w:divBdr>
    </w:div>
    <w:div w:id="883441099">
      <w:marLeft w:val="0"/>
      <w:marRight w:val="0"/>
      <w:marTop w:val="0"/>
      <w:marBottom w:val="0"/>
      <w:divBdr>
        <w:top w:val="none" w:sz="0" w:space="0" w:color="auto"/>
        <w:left w:val="none" w:sz="0" w:space="0" w:color="auto"/>
        <w:bottom w:val="none" w:sz="0" w:space="0" w:color="auto"/>
        <w:right w:val="none" w:sz="0" w:space="0" w:color="auto"/>
      </w:divBdr>
    </w:div>
    <w:div w:id="883441100">
      <w:marLeft w:val="0"/>
      <w:marRight w:val="0"/>
      <w:marTop w:val="0"/>
      <w:marBottom w:val="0"/>
      <w:divBdr>
        <w:top w:val="none" w:sz="0" w:space="0" w:color="auto"/>
        <w:left w:val="none" w:sz="0" w:space="0" w:color="auto"/>
        <w:bottom w:val="none" w:sz="0" w:space="0" w:color="auto"/>
        <w:right w:val="none" w:sz="0" w:space="0" w:color="auto"/>
      </w:divBdr>
    </w:div>
    <w:div w:id="883441101">
      <w:marLeft w:val="0"/>
      <w:marRight w:val="0"/>
      <w:marTop w:val="0"/>
      <w:marBottom w:val="0"/>
      <w:divBdr>
        <w:top w:val="none" w:sz="0" w:space="0" w:color="auto"/>
        <w:left w:val="none" w:sz="0" w:space="0" w:color="auto"/>
        <w:bottom w:val="none" w:sz="0" w:space="0" w:color="auto"/>
        <w:right w:val="none" w:sz="0" w:space="0" w:color="auto"/>
      </w:divBdr>
    </w:div>
    <w:div w:id="883441102">
      <w:marLeft w:val="0"/>
      <w:marRight w:val="0"/>
      <w:marTop w:val="0"/>
      <w:marBottom w:val="0"/>
      <w:divBdr>
        <w:top w:val="none" w:sz="0" w:space="0" w:color="auto"/>
        <w:left w:val="none" w:sz="0" w:space="0" w:color="auto"/>
        <w:bottom w:val="none" w:sz="0" w:space="0" w:color="auto"/>
        <w:right w:val="none" w:sz="0" w:space="0" w:color="auto"/>
      </w:divBdr>
    </w:div>
    <w:div w:id="883441103">
      <w:marLeft w:val="0"/>
      <w:marRight w:val="0"/>
      <w:marTop w:val="0"/>
      <w:marBottom w:val="0"/>
      <w:divBdr>
        <w:top w:val="none" w:sz="0" w:space="0" w:color="auto"/>
        <w:left w:val="none" w:sz="0" w:space="0" w:color="auto"/>
        <w:bottom w:val="none" w:sz="0" w:space="0" w:color="auto"/>
        <w:right w:val="none" w:sz="0" w:space="0" w:color="auto"/>
      </w:divBdr>
    </w:div>
    <w:div w:id="883441104">
      <w:marLeft w:val="0"/>
      <w:marRight w:val="0"/>
      <w:marTop w:val="0"/>
      <w:marBottom w:val="0"/>
      <w:divBdr>
        <w:top w:val="none" w:sz="0" w:space="0" w:color="auto"/>
        <w:left w:val="none" w:sz="0" w:space="0" w:color="auto"/>
        <w:bottom w:val="none" w:sz="0" w:space="0" w:color="auto"/>
        <w:right w:val="none" w:sz="0" w:space="0" w:color="auto"/>
      </w:divBdr>
    </w:div>
    <w:div w:id="883441105">
      <w:marLeft w:val="0"/>
      <w:marRight w:val="0"/>
      <w:marTop w:val="0"/>
      <w:marBottom w:val="0"/>
      <w:divBdr>
        <w:top w:val="none" w:sz="0" w:space="0" w:color="auto"/>
        <w:left w:val="none" w:sz="0" w:space="0" w:color="auto"/>
        <w:bottom w:val="none" w:sz="0" w:space="0" w:color="auto"/>
        <w:right w:val="none" w:sz="0" w:space="0" w:color="auto"/>
      </w:divBdr>
    </w:div>
    <w:div w:id="883441106">
      <w:marLeft w:val="0"/>
      <w:marRight w:val="0"/>
      <w:marTop w:val="0"/>
      <w:marBottom w:val="0"/>
      <w:divBdr>
        <w:top w:val="none" w:sz="0" w:space="0" w:color="auto"/>
        <w:left w:val="none" w:sz="0" w:space="0" w:color="auto"/>
        <w:bottom w:val="none" w:sz="0" w:space="0" w:color="auto"/>
        <w:right w:val="none" w:sz="0" w:space="0" w:color="auto"/>
      </w:divBdr>
    </w:div>
    <w:div w:id="883441107">
      <w:marLeft w:val="0"/>
      <w:marRight w:val="0"/>
      <w:marTop w:val="0"/>
      <w:marBottom w:val="0"/>
      <w:divBdr>
        <w:top w:val="none" w:sz="0" w:space="0" w:color="auto"/>
        <w:left w:val="none" w:sz="0" w:space="0" w:color="auto"/>
        <w:bottom w:val="none" w:sz="0" w:space="0" w:color="auto"/>
        <w:right w:val="none" w:sz="0" w:space="0" w:color="auto"/>
      </w:divBdr>
    </w:div>
    <w:div w:id="883441108">
      <w:marLeft w:val="0"/>
      <w:marRight w:val="0"/>
      <w:marTop w:val="0"/>
      <w:marBottom w:val="0"/>
      <w:divBdr>
        <w:top w:val="none" w:sz="0" w:space="0" w:color="auto"/>
        <w:left w:val="none" w:sz="0" w:space="0" w:color="auto"/>
        <w:bottom w:val="none" w:sz="0" w:space="0" w:color="auto"/>
        <w:right w:val="none" w:sz="0" w:space="0" w:color="auto"/>
      </w:divBdr>
      <w:divsChild>
        <w:div w:id="883441082">
          <w:marLeft w:val="0"/>
          <w:marRight w:val="0"/>
          <w:marTop w:val="0"/>
          <w:marBottom w:val="0"/>
          <w:divBdr>
            <w:top w:val="none" w:sz="0" w:space="0" w:color="auto"/>
            <w:left w:val="none" w:sz="0" w:space="0" w:color="auto"/>
            <w:bottom w:val="none" w:sz="0" w:space="0" w:color="auto"/>
            <w:right w:val="none" w:sz="0" w:space="0" w:color="auto"/>
          </w:divBdr>
          <w:divsChild>
            <w:div w:id="88344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1109">
      <w:marLeft w:val="0"/>
      <w:marRight w:val="0"/>
      <w:marTop w:val="0"/>
      <w:marBottom w:val="0"/>
      <w:divBdr>
        <w:top w:val="none" w:sz="0" w:space="0" w:color="auto"/>
        <w:left w:val="none" w:sz="0" w:space="0" w:color="auto"/>
        <w:bottom w:val="none" w:sz="0" w:space="0" w:color="auto"/>
        <w:right w:val="none" w:sz="0" w:space="0" w:color="auto"/>
      </w:divBdr>
    </w:div>
    <w:div w:id="883441110">
      <w:marLeft w:val="0"/>
      <w:marRight w:val="0"/>
      <w:marTop w:val="0"/>
      <w:marBottom w:val="0"/>
      <w:divBdr>
        <w:top w:val="none" w:sz="0" w:space="0" w:color="auto"/>
        <w:left w:val="none" w:sz="0" w:space="0" w:color="auto"/>
        <w:bottom w:val="none" w:sz="0" w:space="0" w:color="auto"/>
        <w:right w:val="none" w:sz="0" w:space="0" w:color="auto"/>
      </w:divBdr>
    </w:div>
    <w:div w:id="883441111">
      <w:marLeft w:val="0"/>
      <w:marRight w:val="0"/>
      <w:marTop w:val="0"/>
      <w:marBottom w:val="0"/>
      <w:divBdr>
        <w:top w:val="none" w:sz="0" w:space="0" w:color="auto"/>
        <w:left w:val="none" w:sz="0" w:space="0" w:color="auto"/>
        <w:bottom w:val="none" w:sz="0" w:space="0" w:color="auto"/>
        <w:right w:val="none" w:sz="0" w:space="0" w:color="auto"/>
      </w:divBdr>
    </w:div>
    <w:div w:id="883441112">
      <w:marLeft w:val="0"/>
      <w:marRight w:val="0"/>
      <w:marTop w:val="0"/>
      <w:marBottom w:val="0"/>
      <w:divBdr>
        <w:top w:val="none" w:sz="0" w:space="0" w:color="auto"/>
        <w:left w:val="none" w:sz="0" w:space="0" w:color="auto"/>
        <w:bottom w:val="none" w:sz="0" w:space="0" w:color="auto"/>
        <w:right w:val="none" w:sz="0" w:space="0" w:color="auto"/>
      </w:divBdr>
    </w:div>
    <w:div w:id="883441113">
      <w:marLeft w:val="0"/>
      <w:marRight w:val="0"/>
      <w:marTop w:val="0"/>
      <w:marBottom w:val="0"/>
      <w:divBdr>
        <w:top w:val="none" w:sz="0" w:space="0" w:color="auto"/>
        <w:left w:val="none" w:sz="0" w:space="0" w:color="auto"/>
        <w:bottom w:val="none" w:sz="0" w:space="0" w:color="auto"/>
        <w:right w:val="none" w:sz="0" w:space="0" w:color="auto"/>
      </w:divBdr>
    </w:div>
    <w:div w:id="883441114">
      <w:marLeft w:val="0"/>
      <w:marRight w:val="0"/>
      <w:marTop w:val="0"/>
      <w:marBottom w:val="0"/>
      <w:divBdr>
        <w:top w:val="none" w:sz="0" w:space="0" w:color="auto"/>
        <w:left w:val="none" w:sz="0" w:space="0" w:color="auto"/>
        <w:bottom w:val="none" w:sz="0" w:space="0" w:color="auto"/>
        <w:right w:val="none" w:sz="0" w:space="0" w:color="auto"/>
      </w:divBdr>
    </w:div>
    <w:div w:id="883441115">
      <w:marLeft w:val="0"/>
      <w:marRight w:val="0"/>
      <w:marTop w:val="0"/>
      <w:marBottom w:val="0"/>
      <w:divBdr>
        <w:top w:val="none" w:sz="0" w:space="0" w:color="auto"/>
        <w:left w:val="none" w:sz="0" w:space="0" w:color="auto"/>
        <w:bottom w:val="none" w:sz="0" w:space="0" w:color="auto"/>
        <w:right w:val="none" w:sz="0" w:space="0" w:color="auto"/>
      </w:divBdr>
    </w:div>
    <w:div w:id="883441116">
      <w:marLeft w:val="0"/>
      <w:marRight w:val="0"/>
      <w:marTop w:val="0"/>
      <w:marBottom w:val="0"/>
      <w:divBdr>
        <w:top w:val="none" w:sz="0" w:space="0" w:color="auto"/>
        <w:left w:val="none" w:sz="0" w:space="0" w:color="auto"/>
        <w:bottom w:val="none" w:sz="0" w:space="0" w:color="auto"/>
        <w:right w:val="none" w:sz="0" w:space="0" w:color="auto"/>
      </w:divBdr>
    </w:div>
    <w:div w:id="883441117">
      <w:marLeft w:val="0"/>
      <w:marRight w:val="0"/>
      <w:marTop w:val="0"/>
      <w:marBottom w:val="0"/>
      <w:divBdr>
        <w:top w:val="none" w:sz="0" w:space="0" w:color="auto"/>
        <w:left w:val="none" w:sz="0" w:space="0" w:color="auto"/>
        <w:bottom w:val="none" w:sz="0" w:space="0" w:color="auto"/>
        <w:right w:val="none" w:sz="0" w:space="0" w:color="auto"/>
      </w:divBdr>
    </w:div>
    <w:div w:id="883441118">
      <w:marLeft w:val="0"/>
      <w:marRight w:val="0"/>
      <w:marTop w:val="0"/>
      <w:marBottom w:val="0"/>
      <w:divBdr>
        <w:top w:val="none" w:sz="0" w:space="0" w:color="auto"/>
        <w:left w:val="none" w:sz="0" w:space="0" w:color="auto"/>
        <w:bottom w:val="none" w:sz="0" w:space="0" w:color="auto"/>
        <w:right w:val="none" w:sz="0" w:space="0" w:color="auto"/>
      </w:divBdr>
    </w:div>
    <w:div w:id="883441119">
      <w:marLeft w:val="0"/>
      <w:marRight w:val="0"/>
      <w:marTop w:val="0"/>
      <w:marBottom w:val="0"/>
      <w:divBdr>
        <w:top w:val="none" w:sz="0" w:space="0" w:color="auto"/>
        <w:left w:val="none" w:sz="0" w:space="0" w:color="auto"/>
        <w:bottom w:val="none" w:sz="0" w:space="0" w:color="auto"/>
        <w:right w:val="none" w:sz="0" w:space="0" w:color="auto"/>
      </w:divBdr>
    </w:div>
    <w:div w:id="883441120">
      <w:marLeft w:val="0"/>
      <w:marRight w:val="0"/>
      <w:marTop w:val="0"/>
      <w:marBottom w:val="0"/>
      <w:divBdr>
        <w:top w:val="none" w:sz="0" w:space="0" w:color="auto"/>
        <w:left w:val="none" w:sz="0" w:space="0" w:color="auto"/>
        <w:bottom w:val="none" w:sz="0" w:space="0" w:color="auto"/>
        <w:right w:val="none" w:sz="0" w:space="0" w:color="auto"/>
      </w:divBdr>
    </w:div>
    <w:div w:id="883441121">
      <w:marLeft w:val="0"/>
      <w:marRight w:val="0"/>
      <w:marTop w:val="0"/>
      <w:marBottom w:val="0"/>
      <w:divBdr>
        <w:top w:val="none" w:sz="0" w:space="0" w:color="auto"/>
        <w:left w:val="none" w:sz="0" w:space="0" w:color="auto"/>
        <w:bottom w:val="none" w:sz="0" w:space="0" w:color="auto"/>
        <w:right w:val="none" w:sz="0" w:space="0" w:color="auto"/>
      </w:divBdr>
    </w:div>
    <w:div w:id="883441122">
      <w:marLeft w:val="0"/>
      <w:marRight w:val="0"/>
      <w:marTop w:val="0"/>
      <w:marBottom w:val="0"/>
      <w:divBdr>
        <w:top w:val="none" w:sz="0" w:space="0" w:color="auto"/>
        <w:left w:val="none" w:sz="0" w:space="0" w:color="auto"/>
        <w:bottom w:val="none" w:sz="0" w:space="0" w:color="auto"/>
        <w:right w:val="none" w:sz="0" w:space="0" w:color="auto"/>
      </w:divBdr>
    </w:div>
    <w:div w:id="883441124">
      <w:marLeft w:val="0"/>
      <w:marRight w:val="0"/>
      <w:marTop w:val="0"/>
      <w:marBottom w:val="0"/>
      <w:divBdr>
        <w:top w:val="none" w:sz="0" w:space="0" w:color="auto"/>
        <w:left w:val="none" w:sz="0" w:space="0" w:color="auto"/>
        <w:bottom w:val="none" w:sz="0" w:space="0" w:color="auto"/>
        <w:right w:val="none" w:sz="0" w:space="0" w:color="auto"/>
      </w:divBdr>
    </w:div>
    <w:div w:id="883441125">
      <w:marLeft w:val="0"/>
      <w:marRight w:val="0"/>
      <w:marTop w:val="0"/>
      <w:marBottom w:val="0"/>
      <w:divBdr>
        <w:top w:val="none" w:sz="0" w:space="0" w:color="auto"/>
        <w:left w:val="none" w:sz="0" w:space="0" w:color="auto"/>
        <w:bottom w:val="none" w:sz="0" w:space="0" w:color="auto"/>
        <w:right w:val="none" w:sz="0" w:space="0" w:color="auto"/>
      </w:divBdr>
    </w:div>
    <w:div w:id="883441126">
      <w:marLeft w:val="0"/>
      <w:marRight w:val="0"/>
      <w:marTop w:val="0"/>
      <w:marBottom w:val="0"/>
      <w:divBdr>
        <w:top w:val="none" w:sz="0" w:space="0" w:color="auto"/>
        <w:left w:val="none" w:sz="0" w:space="0" w:color="auto"/>
        <w:bottom w:val="none" w:sz="0" w:space="0" w:color="auto"/>
        <w:right w:val="none" w:sz="0" w:space="0" w:color="auto"/>
      </w:divBdr>
    </w:div>
    <w:div w:id="883441127">
      <w:marLeft w:val="0"/>
      <w:marRight w:val="0"/>
      <w:marTop w:val="0"/>
      <w:marBottom w:val="0"/>
      <w:divBdr>
        <w:top w:val="none" w:sz="0" w:space="0" w:color="auto"/>
        <w:left w:val="none" w:sz="0" w:space="0" w:color="auto"/>
        <w:bottom w:val="none" w:sz="0" w:space="0" w:color="auto"/>
        <w:right w:val="none" w:sz="0" w:space="0" w:color="auto"/>
      </w:divBdr>
    </w:div>
    <w:div w:id="883441129">
      <w:marLeft w:val="0"/>
      <w:marRight w:val="0"/>
      <w:marTop w:val="0"/>
      <w:marBottom w:val="0"/>
      <w:divBdr>
        <w:top w:val="none" w:sz="0" w:space="0" w:color="auto"/>
        <w:left w:val="none" w:sz="0" w:space="0" w:color="auto"/>
        <w:bottom w:val="none" w:sz="0" w:space="0" w:color="auto"/>
        <w:right w:val="none" w:sz="0" w:space="0" w:color="auto"/>
      </w:divBdr>
    </w:div>
    <w:div w:id="883441130">
      <w:marLeft w:val="0"/>
      <w:marRight w:val="0"/>
      <w:marTop w:val="0"/>
      <w:marBottom w:val="0"/>
      <w:divBdr>
        <w:top w:val="none" w:sz="0" w:space="0" w:color="auto"/>
        <w:left w:val="none" w:sz="0" w:space="0" w:color="auto"/>
        <w:bottom w:val="none" w:sz="0" w:space="0" w:color="auto"/>
        <w:right w:val="none" w:sz="0" w:space="0" w:color="auto"/>
      </w:divBdr>
    </w:div>
    <w:div w:id="883441131">
      <w:marLeft w:val="0"/>
      <w:marRight w:val="0"/>
      <w:marTop w:val="0"/>
      <w:marBottom w:val="0"/>
      <w:divBdr>
        <w:top w:val="none" w:sz="0" w:space="0" w:color="auto"/>
        <w:left w:val="none" w:sz="0" w:space="0" w:color="auto"/>
        <w:bottom w:val="none" w:sz="0" w:space="0" w:color="auto"/>
        <w:right w:val="none" w:sz="0" w:space="0" w:color="auto"/>
      </w:divBdr>
    </w:div>
    <w:div w:id="883441132">
      <w:marLeft w:val="0"/>
      <w:marRight w:val="0"/>
      <w:marTop w:val="0"/>
      <w:marBottom w:val="0"/>
      <w:divBdr>
        <w:top w:val="none" w:sz="0" w:space="0" w:color="auto"/>
        <w:left w:val="none" w:sz="0" w:space="0" w:color="auto"/>
        <w:bottom w:val="none" w:sz="0" w:space="0" w:color="auto"/>
        <w:right w:val="none" w:sz="0" w:space="0" w:color="auto"/>
      </w:divBdr>
    </w:div>
    <w:div w:id="883441133">
      <w:marLeft w:val="0"/>
      <w:marRight w:val="0"/>
      <w:marTop w:val="0"/>
      <w:marBottom w:val="0"/>
      <w:divBdr>
        <w:top w:val="none" w:sz="0" w:space="0" w:color="auto"/>
        <w:left w:val="none" w:sz="0" w:space="0" w:color="auto"/>
        <w:bottom w:val="none" w:sz="0" w:space="0" w:color="auto"/>
        <w:right w:val="none" w:sz="0" w:space="0" w:color="auto"/>
      </w:divBdr>
    </w:div>
    <w:div w:id="883441134">
      <w:marLeft w:val="0"/>
      <w:marRight w:val="0"/>
      <w:marTop w:val="0"/>
      <w:marBottom w:val="0"/>
      <w:divBdr>
        <w:top w:val="none" w:sz="0" w:space="0" w:color="auto"/>
        <w:left w:val="none" w:sz="0" w:space="0" w:color="auto"/>
        <w:bottom w:val="none" w:sz="0" w:space="0" w:color="auto"/>
        <w:right w:val="none" w:sz="0" w:space="0" w:color="auto"/>
      </w:divBdr>
    </w:div>
    <w:div w:id="883441135">
      <w:marLeft w:val="0"/>
      <w:marRight w:val="0"/>
      <w:marTop w:val="0"/>
      <w:marBottom w:val="0"/>
      <w:divBdr>
        <w:top w:val="none" w:sz="0" w:space="0" w:color="auto"/>
        <w:left w:val="none" w:sz="0" w:space="0" w:color="auto"/>
        <w:bottom w:val="none" w:sz="0" w:space="0" w:color="auto"/>
        <w:right w:val="none" w:sz="0" w:space="0" w:color="auto"/>
      </w:divBdr>
    </w:div>
    <w:div w:id="883441136">
      <w:marLeft w:val="0"/>
      <w:marRight w:val="0"/>
      <w:marTop w:val="0"/>
      <w:marBottom w:val="0"/>
      <w:divBdr>
        <w:top w:val="none" w:sz="0" w:space="0" w:color="auto"/>
        <w:left w:val="none" w:sz="0" w:space="0" w:color="auto"/>
        <w:bottom w:val="none" w:sz="0" w:space="0" w:color="auto"/>
        <w:right w:val="none" w:sz="0" w:space="0" w:color="auto"/>
      </w:divBdr>
    </w:div>
    <w:div w:id="883441137">
      <w:marLeft w:val="0"/>
      <w:marRight w:val="0"/>
      <w:marTop w:val="0"/>
      <w:marBottom w:val="0"/>
      <w:divBdr>
        <w:top w:val="none" w:sz="0" w:space="0" w:color="auto"/>
        <w:left w:val="none" w:sz="0" w:space="0" w:color="auto"/>
        <w:bottom w:val="none" w:sz="0" w:space="0" w:color="auto"/>
        <w:right w:val="none" w:sz="0" w:space="0" w:color="auto"/>
      </w:divBdr>
    </w:div>
    <w:div w:id="883441138">
      <w:marLeft w:val="0"/>
      <w:marRight w:val="0"/>
      <w:marTop w:val="0"/>
      <w:marBottom w:val="0"/>
      <w:divBdr>
        <w:top w:val="none" w:sz="0" w:space="0" w:color="auto"/>
        <w:left w:val="none" w:sz="0" w:space="0" w:color="auto"/>
        <w:bottom w:val="none" w:sz="0" w:space="0" w:color="auto"/>
        <w:right w:val="none" w:sz="0" w:space="0" w:color="auto"/>
      </w:divBdr>
    </w:div>
    <w:div w:id="883441139">
      <w:marLeft w:val="0"/>
      <w:marRight w:val="0"/>
      <w:marTop w:val="0"/>
      <w:marBottom w:val="0"/>
      <w:divBdr>
        <w:top w:val="none" w:sz="0" w:space="0" w:color="auto"/>
        <w:left w:val="none" w:sz="0" w:space="0" w:color="auto"/>
        <w:bottom w:val="none" w:sz="0" w:space="0" w:color="auto"/>
        <w:right w:val="none" w:sz="0" w:space="0" w:color="auto"/>
      </w:divBdr>
    </w:div>
    <w:div w:id="883441140">
      <w:marLeft w:val="0"/>
      <w:marRight w:val="0"/>
      <w:marTop w:val="0"/>
      <w:marBottom w:val="0"/>
      <w:divBdr>
        <w:top w:val="none" w:sz="0" w:space="0" w:color="auto"/>
        <w:left w:val="none" w:sz="0" w:space="0" w:color="auto"/>
        <w:bottom w:val="none" w:sz="0" w:space="0" w:color="auto"/>
        <w:right w:val="none" w:sz="0" w:space="0" w:color="auto"/>
      </w:divBdr>
    </w:div>
    <w:div w:id="883441141">
      <w:marLeft w:val="0"/>
      <w:marRight w:val="0"/>
      <w:marTop w:val="0"/>
      <w:marBottom w:val="0"/>
      <w:divBdr>
        <w:top w:val="none" w:sz="0" w:space="0" w:color="auto"/>
        <w:left w:val="none" w:sz="0" w:space="0" w:color="auto"/>
        <w:bottom w:val="none" w:sz="0" w:space="0" w:color="auto"/>
        <w:right w:val="none" w:sz="0" w:space="0" w:color="auto"/>
      </w:divBdr>
    </w:div>
    <w:div w:id="883441142">
      <w:marLeft w:val="0"/>
      <w:marRight w:val="0"/>
      <w:marTop w:val="0"/>
      <w:marBottom w:val="0"/>
      <w:divBdr>
        <w:top w:val="none" w:sz="0" w:space="0" w:color="auto"/>
        <w:left w:val="none" w:sz="0" w:space="0" w:color="auto"/>
        <w:bottom w:val="none" w:sz="0" w:space="0" w:color="auto"/>
        <w:right w:val="none" w:sz="0" w:space="0" w:color="auto"/>
      </w:divBdr>
    </w:div>
    <w:div w:id="883441143">
      <w:marLeft w:val="0"/>
      <w:marRight w:val="0"/>
      <w:marTop w:val="0"/>
      <w:marBottom w:val="0"/>
      <w:divBdr>
        <w:top w:val="none" w:sz="0" w:space="0" w:color="auto"/>
        <w:left w:val="none" w:sz="0" w:space="0" w:color="auto"/>
        <w:bottom w:val="none" w:sz="0" w:space="0" w:color="auto"/>
        <w:right w:val="none" w:sz="0" w:space="0" w:color="auto"/>
      </w:divBdr>
    </w:div>
    <w:div w:id="883441144">
      <w:marLeft w:val="0"/>
      <w:marRight w:val="0"/>
      <w:marTop w:val="0"/>
      <w:marBottom w:val="0"/>
      <w:divBdr>
        <w:top w:val="none" w:sz="0" w:space="0" w:color="auto"/>
        <w:left w:val="none" w:sz="0" w:space="0" w:color="auto"/>
        <w:bottom w:val="none" w:sz="0" w:space="0" w:color="auto"/>
        <w:right w:val="none" w:sz="0" w:space="0" w:color="auto"/>
      </w:divBdr>
    </w:div>
    <w:div w:id="883441145">
      <w:marLeft w:val="0"/>
      <w:marRight w:val="0"/>
      <w:marTop w:val="0"/>
      <w:marBottom w:val="0"/>
      <w:divBdr>
        <w:top w:val="none" w:sz="0" w:space="0" w:color="auto"/>
        <w:left w:val="none" w:sz="0" w:space="0" w:color="auto"/>
        <w:bottom w:val="none" w:sz="0" w:space="0" w:color="auto"/>
        <w:right w:val="none" w:sz="0" w:space="0" w:color="auto"/>
      </w:divBdr>
    </w:div>
    <w:div w:id="883441146">
      <w:marLeft w:val="0"/>
      <w:marRight w:val="0"/>
      <w:marTop w:val="0"/>
      <w:marBottom w:val="0"/>
      <w:divBdr>
        <w:top w:val="none" w:sz="0" w:space="0" w:color="auto"/>
        <w:left w:val="none" w:sz="0" w:space="0" w:color="auto"/>
        <w:bottom w:val="none" w:sz="0" w:space="0" w:color="auto"/>
        <w:right w:val="none" w:sz="0" w:space="0" w:color="auto"/>
      </w:divBdr>
    </w:div>
    <w:div w:id="883441147">
      <w:marLeft w:val="0"/>
      <w:marRight w:val="0"/>
      <w:marTop w:val="0"/>
      <w:marBottom w:val="0"/>
      <w:divBdr>
        <w:top w:val="none" w:sz="0" w:space="0" w:color="auto"/>
        <w:left w:val="none" w:sz="0" w:space="0" w:color="auto"/>
        <w:bottom w:val="none" w:sz="0" w:space="0" w:color="auto"/>
        <w:right w:val="none" w:sz="0" w:space="0" w:color="auto"/>
      </w:divBdr>
    </w:div>
    <w:div w:id="883441148">
      <w:marLeft w:val="0"/>
      <w:marRight w:val="0"/>
      <w:marTop w:val="0"/>
      <w:marBottom w:val="0"/>
      <w:divBdr>
        <w:top w:val="none" w:sz="0" w:space="0" w:color="auto"/>
        <w:left w:val="none" w:sz="0" w:space="0" w:color="auto"/>
        <w:bottom w:val="none" w:sz="0" w:space="0" w:color="auto"/>
        <w:right w:val="none" w:sz="0" w:space="0" w:color="auto"/>
      </w:divBdr>
    </w:div>
    <w:div w:id="883441149">
      <w:marLeft w:val="0"/>
      <w:marRight w:val="0"/>
      <w:marTop w:val="0"/>
      <w:marBottom w:val="0"/>
      <w:divBdr>
        <w:top w:val="none" w:sz="0" w:space="0" w:color="auto"/>
        <w:left w:val="none" w:sz="0" w:space="0" w:color="auto"/>
        <w:bottom w:val="none" w:sz="0" w:space="0" w:color="auto"/>
        <w:right w:val="none" w:sz="0" w:space="0" w:color="auto"/>
      </w:divBdr>
    </w:div>
    <w:div w:id="883441150">
      <w:marLeft w:val="0"/>
      <w:marRight w:val="0"/>
      <w:marTop w:val="0"/>
      <w:marBottom w:val="0"/>
      <w:divBdr>
        <w:top w:val="none" w:sz="0" w:space="0" w:color="auto"/>
        <w:left w:val="none" w:sz="0" w:space="0" w:color="auto"/>
        <w:bottom w:val="none" w:sz="0" w:space="0" w:color="auto"/>
        <w:right w:val="none" w:sz="0" w:space="0" w:color="auto"/>
      </w:divBdr>
    </w:div>
    <w:div w:id="883441151">
      <w:marLeft w:val="0"/>
      <w:marRight w:val="0"/>
      <w:marTop w:val="0"/>
      <w:marBottom w:val="0"/>
      <w:divBdr>
        <w:top w:val="none" w:sz="0" w:space="0" w:color="auto"/>
        <w:left w:val="none" w:sz="0" w:space="0" w:color="auto"/>
        <w:bottom w:val="none" w:sz="0" w:space="0" w:color="auto"/>
        <w:right w:val="none" w:sz="0" w:space="0" w:color="auto"/>
      </w:divBdr>
    </w:div>
    <w:div w:id="883441152">
      <w:marLeft w:val="0"/>
      <w:marRight w:val="0"/>
      <w:marTop w:val="0"/>
      <w:marBottom w:val="0"/>
      <w:divBdr>
        <w:top w:val="none" w:sz="0" w:space="0" w:color="auto"/>
        <w:left w:val="none" w:sz="0" w:space="0" w:color="auto"/>
        <w:bottom w:val="none" w:sz="0" w:space="0" w:color="auto"/>
        <w:right w:val="none" w:sz="0" w:space="0" w:color="auto"/>
      </w:divBdr>
    </w:div>
    <w:div w:id="883441153">
      <w:marLeft w:val="0"/>
      <w:marRight w:val="0"/>
      <w:marTop w:val="0"/>
      <w:marBottom w:val="0"/>
      <w:divBdr>
        <w:top w:val="none" w:sz="0" w:space="0" w:color="auto"/>
        <w:left w:val="none" w:sz="0" w:space="0" w:color="auto"/>
        <w:bottom w:val="none" w:sz="0" w:space="0" w:color="auto"/>
        <w:right w:val="none" w:sz="0" w:space="0" w:color="auto"/>
      </w:divBdr>
    </w:div>
    <w:div w:id="883441154">
      <w:marLeft w:val="0"/>
      <w:marRight w:val="0"/>
      <w:marTop w:val="0"/>
      <w:marBottom w:val="0"/>
      <w:divBdr>
        <w:top w:val="none" w:sz="0" w:space="0" w:color="auto"/>
        <w:left w:val="none" w:sz="0" w:space="0" w:color="auto"/>
        <w:bottom w:val="none" w:sz="0" w:space="0" w:color="auto"/>
        <w:right w:val="none" w:sz="0" w:space="0" w:color="auto"/>
      </w:divBdr>
    </w:div>
    <w:div w:id="883441155">
      <w:marLeft w:val="0"/>
      <w:marRight w:val="0"/>
      <w:marTop w:val="0"/>
      <w:marBottom w:val="0"/>
      <w:divBdr>
        <w:top w:val="none" w:sz="0" w:space="0" w:color="auto"/>
        <w:left w:val="none" w:sz="0" w:space="0" w:color="auto"/>
        <w:bottom w:val="none" w:sz="0" w:space="0" w:color="auto"/>
        <w:right w:val="none" w:sz="0" w:space="0" w:color="auto"/>
      </w:divBdr>
    </w:div>
    <w:div w:id="883441156">
      <w:marLeft w:val="0"/>
      <w:marRight w:val="0"/>
      <w:marTop w:val="0"/>
      <w:marBottom w:val="0"/>
      <w:divBdr>
        <w:top w:val="none" w:sz="0" w:space="0" w:color="auto"/>
        <w:left w:val="none" w:sz="0" w:space="0" w:color="auto"/>
        <w:bottom w:val="none" w:sz="0" w:space="0" w:color="auto"/>
        <w:right w:val="none" w:sz="0" w:space="0" w:color="auto"/>
      </w:divBdr>
    </w:div>
    <w:div w:id="883441157">
      <w:marLeft w:val="0"/>
      <w:marRight w:val="0"/>
      <w:marTop w:val="0"/>
      <w:marBottom w:val="0"/>
      <w:divBdr>
        <w:top w:val="none" w:sz="0" w:space="0" w:color="auto"/>
        <w:left w:val="none" w:sz="0" w:space="0" w:color="auto"/>
        <w:bottom w:val="none" w:sz="0" w:space="0" w:color="auto"/>
        <w:right w:val="none" w:sz="0" w:space="0" w:color="auto"/>
      </w:divBdr>
    </w:div>
    <w:div w:id="883441158">
      <w:marLeft w:val="0"/>
      <w:marRight w:val="0"/>
      <w:marTop w:val="0"/>
      <w:marBottom w:val="0"/>
      <w:divBdr>
        <w:top w:val="none" w:sz="0" w:space="0" w:color="auto"/>
        <w:left w:val="none" w:sz="0" w:space="0" w:color="auto"/>
        <w:bottom w:val="none" w:sz="0" w:space="0" w:color="auto"/>
        <w:right w:val="none" w:sz="0" w:space="0" w:color="auto"/>
      </w:divBdr>
    </w:div>
    <w:div w:id="883441159">
      <w:marLeft w:val="0"/>
      <w:marRight w:val="0"/>
      <w:marTop w:val="0"/>
      <w:marBottom w:val="0"/>
      <w:divBdr>
        <w:top w:val="none" w:sz="0" w:space="0" w:color="auto"/>
        <w:left w:val="none" w:sz="0" w:space="0" w:color="auto"/>
        <w:bottom w:val="none" w:sz="0" w:space="0" w:color="auto"/>
        <w:right w:val="none" w:sz="0" w:space="0" w:color="auto"/>
      </w:divBdr>
    </w:div>
    <w:div w:id="883441160">
      <w:marLeft w:val="0"/>
      <w:marRight w:val="0"/>
      <w:marTop w:val="0"/>
      <w:marBottom w:val="0"/>
      <w:divBdr>
        <w:top w:val="none" w:sz="0" w:space="0" w:color="auto"/>
        <w:left w:val="none" w:sz="0" w:space="0" w:color="auto"/>
        <w:bottom w:val="none" w:sz="0" w:space="0" w:color="auto"/>
        <w:right w:val="none" w:sz="0" w:space="0" w:color="auto"/>
      </w:divBdr>
    </w:div>
    <w:div w:id="883441161">
      <w:marLeft w:val="0"/>
      <w:marRight w:val="0"/>
      <w:marTop w:val="0"/>
      <w:marBottom w:val="0"/>
      <w:divBdr>
        <w:top w:val="none" w:sz="0" w:space="0" w:color="auto"/>
        <w:left w:val="none" w:sz="0" w:space="0" w:color="auto"/>
        <w:bottom w:val="none" w:sz="0" w:space="0" w:color="auto"/>
        <w:right w:val="none" w:sz="0" w:space="0" w:color="auto"/>
      </w:divBdr>
    </w:div>
    <w:div w:id="883441162">
      <w:marLeft w:val="0"/>
      <w:marRight w:val="0"/>
      <w:marTop w:val="0"/>
      <w:marBottom w:val="0"/>
      <w:divBdr>
        <w:top w:val="none" w:sz="0" w:space="0" w:color="auto"/>
        <w:left w:val="none" w:sz="0" w:space="0" w:color="auto"/>
        <w:bottom w:val="none" w:sz="0" w:space="0" w:color="auto"/>
        <w:right w:val="none" w:sz="0" w:space="0" w:color="auto"/>
      </w:divBdr>
    </w:div>
    <w:div w:id="883441163">
      <w:marLeft w:val="0"/>
      <w:marRight w:val="0"/>
      <w:marTop w:val="0"/>
      <w:marBottom w:val="0"/>
      <w:divBdr>
        <w:top w:val="none" w:sz="0" w:space="0" w:color="auto"/>
        <w:left w:val="none" w:sz="0" w:space="0" w:color="auto"/>
        <w:bottom w:val="none" w:sz="0" w:space="0" w:color="auto"/>
        <w:right w:val="none" w:sz="0" w:space="0" w:color="auto"/>
      </w:divBdr>
    </w:div>
    <w:div w:id="883441164">
      <w:marLeft w:val="0"/>
      <w:marRight w:val="0"/>
      <w:marTop w:val="0"/>
      <w:marBottom w:val="0"/>
      <w:divBdr>
        <w:top w:val="none" w:sz="0" w:space="0" w:color="auto"/>
        <w:left w:val="none" w:sz="0" w:space="0" w:color="auto"/>
        <w:bottom w:val="none" w:sz="0" w:space="0" w:color="auto"/>
        <w:right w:val="none" w:sz="0" w:space="0" w:color="auto"/>
      </w:divBdr>
    </w:div>
    <w:div w:id="883441165">
      <w:marLeft w:val="0"/>
      <w:marRight w:val="0"/>
      <w:marTop w:val="0"/>
      <w:marBottom w:val="0"/>
      <w:divBdr>
        <w:top w:val="none" w:sz="0" w:space="0" w:color="auto"/>
        <w:left w:val="none" w:sz="0" w:space="0" w:color="auto"/>
        <w:bottom w:val="none" w:sz="0" w:space="0" w:color="auto"/>
        <w:right w:val="none" w:sz="0" w:space="0" w:color="auto"/>
      </w:divBdr>
    </w:div>
    <w:div w:id="883441166">
      <w:marLeft w:val="0"/>
      <w:marRight w:val="0"/>
      <w:marTop w:val="0"/>
      <w:marBottom w:val="0"/>
      <w:divBdr>
        <w:top w:val="none" w:sz="0" w:space="0" w:color="auto"/>
        <w:left w:val="none" w:sz="0" w:space="0" w:color="auto"/>
        <w:bottom w:val="none" w:sz="0" w:space="0" w:color="auto"/>
        <w:right w:val="none" w:sz="0" w:space="0" w:color="auto"/>
      </w:divBdr>
    </w:div>
    <w:div w:id="883441167">
      <w:marLeft w:val="0"/>
      <w:marRight w:val="0"/>
      <w:marTop w:val="0"/>
      <w:marBottom w:val="0"/>
      <w:divBdr>
        <w:top w:val="none" w:sz="0" w:space="0" w:color="auto"/>
        <w:left w:val="none" w:sz="0" w:space="0" w:color="auto"/>
        <w:bottom w:val="none" w:sz="0" w:space="0" w:color="auto"/>
        <w:right w:val="none" w:sz="0" w:space="0" w:color="auto"/>
      </w:divBdr>
    </w:div>
    <w:div w:id="883441168">
      <w:marLeft w:val="0"/>
      <w:marRight w:val="0"/>
      <w:marTop w:val="0"/>
      <w:marBottom w:val="0"/>
      <w:divBdr>
        <w:top w:val="none" w:sz="0" w:space="0" w:color="auto"/>
        <w:left w:val="none" w:sz="0" w:space="0" w:color="auto"/>
        <w:bottom w:val="none" w:sz="0" w:space="0" w:color="auto"/>
        <w:right w:val="none" w:sz="0" w:space="0" w:color="auto"/>
      </w:divBdr>
    </w:div>
    <w:div w:id="883441169">
      <w:marLeft w:val="0"/>
      <w:marRight w:val="0"/>
      <w:marTop w:val="0"/>
      <w:marBottom w:val="0"/>
      <w:divBdr>
        <w:top w:val="none" w:sz="0" w:space="0" w:color="auto"/>
        <w:left w:val="none" w:sz="0" w:space="0" w:color="auto"/>
        <w:bottom w:val="none" w:sz="0" w:space="0" w:color="auto"/>
        <w:right w:val="none" w:sz="0" w:space="0" w:color="auto"/>
      </w:divBdr>
    </w:div>
    <w:div w:id="883441170">
      <w:marLeft w:val="0"/>
      <w:marRight w:val="0"/>
      <w:marTop w:val="0"/>
      <w:marBottom w:val="0"/>
      <w:divBdr>
        <w:top w:val="none" w:sz="0" w:space="0" w:color="auto"/>
        <w:left w:val="none" w:sz="0" w:space="0" w:color="auto"/>
        <w:bottom w:val="none" w:sz="0" w:space="0" w:color="auto"/>
        <w:right w:val="none" w:sz="0" w:space="0" w:color="auto"/>
      </w:divBdr>
    </w:div>
    <w:div w:id="883441171">
      <w:marLeft w:val="0"/>
      <w:marRight w:val="0"/>
      <w:marTop w:val="0"/>
      <w:marBottom w:val="0"/>
      <w:divBdr>
        <w:top w:val="none" w:sz="0" w:space="0" w:color="auto"/>
        <w:left w:val="none" w:sz="0" w:space="0" w:color="auto"/>
        <w:bottom w:val="none" w:sz="0" w:space="0" w:color="auto"/>
        <w:right w:val="none" w:sz="0" w:space="0" w:color="auto"/>
      </w:divBdr>
    </w:div>
    <w:div w:id="883441172">
      <w:marLeft w:val="0"/>
      <w:marRight w:val="0"/>
      <w:marTop w:val="0"/>
      <w:marBottom w:val="0"/>
      <w:divBdr>
        <w:top w:val="none" w:sz="0" w:space="0" w:color="auto"/>
        <w:left w:val="none" w:sz="0" w:space="0" w:color="auto"/>
        <w:bottom w:val="none" w:sz="0" w:space="0" w:color="auto"/>
        <w:right w:val="none" w:sz="0" w:space="0" w:color="auto"/>
      </w:divBdr>
    </w:div>
    <w:div w:id="883441173">
      <w:marLeft w:val="0"/>
      <w:marRight w:val="0"/>
      <w:marTop w:val="0"/>
      <w:marBottom w:val="0"/>
      <w:divBdr>
        <w:top w:val="none" w:sz="0" w:space="0" w:color="auto"/>
        <w:left w:val="none" w:sz="0" w:space="0" w:color="auto"/>
        <w:bottom w:val="none" w:sz="0" w:space="0" w:color="auto"/>
        <w:right w:val="none" w:sz="0" w:space="0" w:color="auto"/>
      </w:divBdr>
    </w:div>
    <w:div w:id="883441174">
      <w:marLeft w:val="0"/>
      <w:marRight w:val="0"/>
      <w:marTop w:val="0"/>
      <w:marBottom w:val="0"/>
      <w:divBdr>
        <w:top w:val="none" w:sz="0" w:space="0" w:color="auto"/>
        <w:left w:val="none" w:sz="0" w:space="0" w:color="auto"/>
        <w:bottom w:val="none" w:sz="0" w:space="0" w:color="auto"/>
        <w:right w:val="none" w:sz="0" w:space="0" w:color="auto"/>
      </w:divBdr>
    </w:div>
    <w:div w:id="883441175">
      <w:marLeft w:val="0"/>
      <w:marRight w:val="0"/>
      <w:marTop w:val="0"/>
      <w:marBottom w:val="0"/>
      <w:divBdr>
        <w:top w:val="none" w:sz="0" w:space="0" w:color="auto"/>
        <w:left w:val="none" w:sz="0" w:space="0" w:color="auto"/>
        <w:bottom w:val="none" w:sz="0" w:space="0" w:color="auto"/>
        <w:right w:val="none" w:sz="0" w:space="0" w:color="auto"/>
      </w:divBdr>
    </w:div>
    <w:div w:id="883441176">
      <w:marLeft w:val="0"/>
      <w:marRight w:val="0"/>
      <w:marTop w:val="0"/>
      <w:marBottom w:val="0"/>
      <w:divBdr>
        <w:top w:val="none" w:sz="0" w:space="0" w:color="auto"/>
        <w:left w:val="none" w:sz="0" w:space="0" w:color="auto"/>
        <w:bottom w:val="none" w:sz="0" w:space="0" w:color="auto"/>
        <w:right w:val="none" w:sz="0" w:space="0" w:color="auto"/>
      </w:divBdr>
    </w:div>
    <w:div w:id="883441177">
      <w:marLeft w:val="0"/>
      <w:marRight w:val="0"/>
      <w:marTop w:val="0"/>
      <w:marBottom w:val="0"/>
      <w:divBdr>
        <w:top w:val="none" w:sz="0" w:space="0" w:color="auto"/>
        <w:left w:val="none" w:sz="0" w:space="0" w:color="auto"/>
        <w:bottom w:val="none" w:sz="0" w:space="0" w:color="auto"/>
        <w:right w:val="none" w:sz="0" w:space="0" w:color="auto"/>
      </w:divBdr>
    </w:div>
    <w:div w:id="883441178">
      <w:marLeft w:val="0"/>
      <w:marRight w:val="0"/>
      <w:marTop w:val="0"/>
      <w:marBottom w:val="0"/>
      <w:divBdr>
        <w:top w:val="none" w:sz="0" w:space="0" w:color="auto"/>
        <w:left w:val="none" w:sz="0" w:space="0" w:color="auto"/>
        <w:bottom w:val="none" w:sz="0" w:space="0" w:color="auto"/>
        <w:right w:val="none" w:sz="0" w:space="0" w:color="auto"/>
      </w:divBdr>
    </w:div>
    <w:div w:id="883441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workpermit.am" TargetMode="External"/><Relationship Id="rId18" Type="http://schemas.openxmlformats.org/officeDocument/2006/relationships/header" Target="header4.xml"/><Relationship Id="rId26" Type="http://schemas.openxmlformats.org/officeDocument/2006/relationships/chart" Target="charts/chart6.xml"/><Relationship Id="rId39" Type="http://schemas.openxmlformats.org/officeDocument/2006/relationships/chart" Target="charts/chart19.xml"/><Relationship Id="rId21" Type="http://schemas.openxmlformats.org/officeDocument/2006/relationships/chart" Target="charts/chart3.xml"/><Relationship Id="rId34" Type="http://schemas.openxmlformats.org/officeDocument/2006/relationships/chart" Target="charts/chart14.xml"/><Relationship Id="rId42" Type="http://schemas.openxmlformats.org/officeDocument/2006/relationships/chart" Target="charts/chart22.xml"/><Relationship Id="rId47" Type="http://schemas.openxmlformats.org/officeDocument/2006/relationships/chart" Target="charts/chart27.xml"/><Relationship Id="rId50" Type="http://schemas.openxmlformats.org/officeDocument/2006/relationships/chart" Target="charts/chart30.xml"/><Relationship Id="rId55" Type="http://schemas.openxmlformats.org/officeDocument/2006/relationships/oleObject" Target="embeddings/Microsoft_Excel_97-2003_Worksheet1.xls"/><Relationship Id="rId63" Type="http://schemas.openxmlformats.org/officeDocument/2006/relationships/chart" Target="charts/chart41.xml"/><Relationship Id="rId68" Type="http://schemas.openxmlformats.org/officeDocument/2006/relationships/chart" Target="charts/chart46.xml"/><Relationship Id="rId76" Type="http://schemas.openxmlformats.org/officeDocument/2006/relationships/header" Target="header5.xml"/><Relationship Id="rId84" Type="http://schemas.openxmlformats.org/officeDocument/2006/relationships/header" Target="header7.xml"/><Relationship Id="rId89" Type="http://schemas.openxmlformats.org/officeDocument/2006/relationships/header" Target="header9.xml"/><Relationship Id="rId7" Type="http://schemas.openxmlformats.org/officeDocument/2006/relationships/endnotes" Target="endnotes.xml"/><Relationship Id="rId71" Type="http://schemas.openxmlformats.org/officeDocument/2006/relationships/chart" Target="charts/chart49.xml"/><Relationship Id="rId2" Type="http://schemas.openxmlformats.org/officeDocument/2006/relationships/numbering" Target="numbering.xml"/><Relationship Id="rId16" Type="http://schemas.openxmlformats.org/officeDocument/2006/relationships/hyperlink" Target="https://kadrer.emis.am/" TargetMode="External"/><Relationship Id="rId29" Type="http://schemas.openxmlformats.org/officeDocument/2006/relationships/chart" Target="charts/chart9.xml"/><Relationship Id="rId11" Type="http://schemas.openxmlformats.org/officeDocument/2006/relationships/header" Target="header3.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3" Type="http://schemas.openxmlformats.org/officeDocument/2006/relationships/chart" Target="charts/chart33.xml"/><Relationship Id="rId58" Type="http://schemas.openxmlformats.org/officeDocument/2006/relationships/chart" Target="charts/chart36.xml"/><Relationship Id="rId66" Type="http://schemas.openxmlformats.org/officeDocument/2006/relationships/chart" Target="charts/chart44.xml"/><Relationship Id="rId74" Type="http://schemas.openxmlformats.org/officeDocument/2006/relationships/chart" Target="charts/chart52.xml"/><Relationship Id="rId79" Type="http://schemas.openxmlformats.org/officeDocument/2006/relationships/chart" Target="charts/chart56.xml"/><Relationship Id="rId87"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chart" Target="charts/chart39.xml"/><Relationship Id="rId82" Type="http://schemas.openxmlformats.org/officeDocument/2006/relationships/chart" Target="charts/chart58.xml"/><Relationship Id="rId90" Type="http://schemas.openxmlformats.org/officeDocument/2006/relationships/fontTable" Target="fontTable.xml"/><Relationship Id="rId19" Type="http://schemas.openxmlformats.org/officeDocument/2006/relationships/chart" Target="charts/chart1.xml"/><Relationship Id="rId14" Type="http://schemas.openxmlformats.org/officeDocument/2006/relationships/hyperlink" Target="http://www.e-register.am" TargetMode="External"/><Relationship Id="rId22" Type="http://schemas.openxmlformats.org/officeDocument/2006/relationships/image" Target="media/image1.png"/><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3.xml"/><Relationship Id="rId48" Type="http://schemas.openxmlformats.org/officeDocument/2006/relationships/chart" Target="charts/chart28.xml"/><Relationship Id="rId56" Type="http://schemas.openxmlformats.org/officeDocument/2006/relationships/chart" Target="charts/chart34.xml"/><Relationship Id="rId64" Type="http://schemas.openxmlformats.org/officeDocument/2006/relationships/chart" Target="charts/chart42.xml"/><Relationship Id="rId69" Type="http://schemas.openxmlformats.org/officeDocument/2006/relationships/chart" Target="charts/chart47.xml"/><Relationship Id="rId77" Type="http://schemas.openxmlformats.org/officeDocument/2006/relationships/chart" Target="charts/chart54.xml"/><Relationship Id="rId8" Type="http://schemas.openxmlformats.org/officeDocument/2006/relationships/header" Target="header1.xml"/><Relationship Id="rId51" Type="http://schemas.openxmlformats.org/officeDocument/2006/relationships/chart" Target="charts/chart31.xml"/><Relationship Id="rId72" Type="http://schemas.openxmlformats.org/officeDocument/2006/relationships/chart" Target="charts/chart50.xml"/><Relationship Id="rId80" Type="http://schemas.openxmlformats.org/officeDocument/2006/relationships/chart" Target="charts/chart57.xml"/><Relationship Id="rId85" Type="http://schemas.openxmlformats.org/officeDocument/2006/relationships/chart" Target="charts/chart60.xml"/><Relationship Id="rId3" Type="http://schemas.openxmlformats.org/officeDocument/2006/relationships/styles" Target="styles.xml"/><Relationship Id="rId12" Type="http://schemas.openxmlformats.org/officeDocument/2006/relationships/hyperlink" Target="http://www.mtad.am" TargetMode="External"/><Relationship Id="rId17" Type="http://schemas.openxmlformats.org/officeDocument/2006/relationships/hyperlink" Target="https://euc-word-edit.officeapps.live.com/we/hayt.emis.am" TargetMode="Externa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chart" Target="charts/chart26.xml"/><Relationship Id="rId59" Type="http://schemas.openxmlformats.org/officeDocument/2006/relationships/chart" Target="charts/chart37.xml"/><Relationship Id="rId67" Type="http://schemas.openxmlformats.org/officeDocument/2006/relationships/chart" Target="charts/chart45.xml"/><Relationship Id="rId20" Type="http://schemas.openxmlformats.org/officeDocument/2006/relationships/chart" Target="charts/chart2.xml"/><Relationship Id="rId41" Type="http://schemas.openxmlformats.org/officeDocument/2006/relationships/chart" Target="charts/chart21.xml"/><Relationship Id="rId54" Type="http://schemas.openxmlformats.org/officeDocument/2006/relationships/image" Target="media/image2.png"/><Relationship Id="rId62" Type="http://schemas.openxmlformats.org/officeDocument/2006/relationships/chart" Target="charts/chart40.xml"/><Relationship Id="rId70" Type="http://schemas.openxmlformats.org/officeDocument/2006/relationships/chart" Target="charts/chart48.xml"/><Relationship Id="rId75" Type="http://schemas.openxmlformats.org/officeDocument/2006/relationships/chart" Target="charts/chart53.xml"/><Relationship Id="rId83" Type="http://schemas.openxmlformats.org/officeDocument/2006/relationships/chart" Target="charts/chart59.xml"/><Relationship Id="rId88" Type="http://schemas.openxmlformats.org/officeDocument/2006/relationships/chart" Target="charts/chart6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adrer.emis.am/admin" TargetMode="External"/><Relationship Id="rId23" Type="http://schemas.openxmlformats.org/officeDocument/2006/relationships/oleObject" Target="embeddings/Microsoft_Excel_97-2003_Worksheet.xls"/><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chart" Target="charts/chart29.xml"/><Relationship Id="rId57" Type="http://schemas.openxmlformats.org/officeDocument/2006/relationships/chart" Target="charts/chart35.xml"/><Relationship Id="rId10" Type="http://schemas.openxmlformats.org/officeDocument/2006/relationships/header" Target="header2.xml"/><Relationship Id="rId31" Type="http://schemas.openxmlformats.org/officeDocument/2006/relationships/chart" Target="charts/chart11.xml"/><Relationship Id="rId44" Type="http://schemas.openxmlformats.org/officeDocument/2006/relationships/chart" Target="charts/chart24.xml"/><Relationship Id="rId52" Type="http://schemas.openxmlformats.org/officeDocument/2006/relationships/chart" Target="charts/chart32.xml"/><Relationship Id="rId60" Type="http://schemas.openxmlformats.org/officeDocument/2006/relationships/chart" Target="charts/chart38.xml"/><Relationship Id="rId65" Type="http://schemas.openxmlformats.org/officeDocument/2006/relationships/chart" Target="charts/chart43.xml"/><Relationship Id="rId73" Type="http://schemas.openxmlformats.org/officeDocument/2006/relationships/chart" Target="charts/chart51.xml"/><Relationship Id="rId78" Type="http://schemas.openxmlformats.org/officeDocument/2006/relationships/chart" Target="charts/chart55.xml"/><Relationship Id="rId81" Type="http://schemas.openxmlformats.org/officeDocument/2006/relationships/header" Target="header6.xml"/><Relationship Id="rId86" Type="http://schemas.openxmlformats.org/officeDocument/2006/relationships/chart" Target="charts/chart6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worldbank.org/en/research/commodity-markets" TargetMode="External"/><Relationship Id="rId13" Type="http://schemas.openxmlformats.org/officeDocument/2006/relationships/hyperlink" Target="file:///C:\Users\Emma.Ghaytanjyan\Downloads\5.&#1359;&#1381;&#1394;&#1381;&#1391;&#1377;&#1398;&#1412;&#1398;&#1381;&#1408;\17.&#1348;&#1377;&#1412;&#1405;&#1377;&#1407;&#1400;&#1410;&#1408;&#1412;.doc" TargetMode="External"/><Relationship Id="rId18" Type="http://schemas.openxmlformats.org/officeDocument/2006/relationships/hyperlink" Target="file:///C:\Users\Emma.Ghaytanjyan\Downloads\4.&#1344;&#1377;&#1406;&#1381;&#1388;&#1406;&#1377;&#1390;&#1398;&#1381;&#1408;\2.&#1344;&#1377;&#1406;&#1381;&#1388;&#1406;&#1377;&#1390;%20N1%20&#1377;&#1394;&#1397;&#1400;&#1410;&#1405;&#1377;&#1391;%20N1_&#1390;&#1377;&#1389;&#1405;&#1381;&#1408;&#1398;%20&#1384;&#1405;&#1407;%20&#1390;&#1408;&#1377;&#1379;&#1408;&#1381;&#1408;&#1387;.xls" TargetMode="External"/><Relationship Id="rId26" Type="http://schemas.openxmlformats.org/officeDocument/2006/relationships/hyperlink" Target="file:///C:\Users\Emma.Ghaytanjyan\Downloads\5.&#1359;&#1381;&#1394;&#1381;&#1391;&#1377;&#1398;&#1412;&#1398;&#1381;&#1408;\7.&#1332;&#1381;&#1414;&#1387;&#1409;&#1387;&#1407;_&#1377;&#1408;&#1380;&#1397;&#1400;&#1410;&#1398;&#1412;&#1377;&#1397;&#1387;&#1398;%20&#1409;&#1400;&#1410;&#1409;&#1377;&#1398;&#1387;&#1399;&#1398;&#1381;&#1408;.xlsx" TargetMode="External"/><Relationship Id="rId3" Type="http://schemas.openxmlformats.org/officeDocument/2006/relationships/hyperlink" Target="file:///C:\Users\Emma.Ghaytanjyan\Downloads\5.&#1359;&#1381;&#1394;&#1381;&#1391;&#1377;&#1398;&#1412;&#1398;&#1381;&#1408;\16.&#1334;&#1378;&#1400;&#1405;&#1377;&#1399;&#1408;&#1403;&#1400;&#1410;&#1385;&#1397;&#1400;&#1410;&#1398;.doc" TargetMode="External"/><Relationship Id="rId21" Type="http://schemas.openxmlformats.org/officeDocument/2006/relationships/hyperlink" Target="file:///C:\Users\Emma.Ghaytanjyan\Downloads\6.&#1329;&#1408;&#1380;&#1397;&#1400;&#1410;&#1398;&#1412;&#1377;&#1397;&#1387;&#1398;%20&#1409;&#1400;&#1410;&#1409;&#1377;&#1398;&#1387;&#1399;&#1398;&#1381;&#1408;-&#1392;&#1377;&#1406;&#1381;&#1388;&#1406;&#1377;&#1390;%209\2.&#1329;&#1408;&#1380;&#1397;&#1400;&#1410;&#1398;&#1412;&#1377;&#1397;&#1387;&#1398;%20&#1409;&#1400;&#1410;&#1409;&#1377;&#1398;&#1387;&#1399;&#1398;&#1381;&#1408;_&#1384;&#1405;&#1407;%20&#1402;&#1377;&#1407;&#1377;&#1405;&#1389;&#1377;&#1398;&#1377;&#1407;&#1400;&#1410;&#1398;&#1381;&#1408;&#1387;.xls" TargetMode="External"/><Relationship Id="rId7" Type="http://schemas.openxmlformats.org/officeDocument/2006/relationships/hyperlink" Target="https://rosstat.gov.ru/" TargetMode="External"/><Relationship Id="rId12" Type="http://schemas.openxmlformats.org/officeDocument/2006/relationships/hyperlink" Target="file:///C:\Users\Emma.Ghaytanjyan\Downloads\5.&#1359;&#1381;&#1394;&#1381;&#1391;&#1377;&#1398;&#1412;&#1398;&#1381;&#1408;\18.&#1344;&#1377;&#1408;&#1391;&#1377;&#1397;&#1387;&#1398;%20&#1413;&#1408;&#1381;&#1398;&#1405;&#1380;&#1408;&#1400;&#1410;&#1385;&#1397;&#1377;&#1398;%20&#1411;&#1400;&#1411;&#1400;&#1389;&#1400;&#1410;&#1385;&#1397;&#1400;&#1410;&#1398;&#1398;&#1381;&#1408;.docx" TargetMode="External"/><Relationship Id="rId17" Type="http://schemas.openxmlformats.org/officeDocument/2006/relationships/hyperlink" Target="file:///C:\Users\Emma.Ghaytanjyan\Downloads\4.&#1344;&#1377;&#1406;&#1381;&#1388;&#1406;&#1377;&#1390;&#1398;&#1381;&#1408;\6.&#1344;&#1377;&#1406;&#1381;&#1388;&#1406;&#1377;&#1390;%20N1%20&#1377;&#1394;&#1397;&#1400;&#1410;&#1405;&#1377;&#1391;%20N5%20&#1380;&#1408;&#1377;&#1396;&#1377;&#1399;&#1398;&#1400;&#1408;&#1392;&#1377;&#1397;&#1387;&#1398;%20&#1390;&#1408;&#1377;&#1379;&#1408;&#1381;&#1408;.xls" TargetMode="External"/><Relationship Id="rId25" Type="http://schemas.openxmlformats.org/officeDocument/2006/relationships/hyperlink" Target="file:///C:\Users\Emma.Ghaytanjyan\Downloads\4.&#1344;&#1377;&#1406;&#1381;&#1388;&#1406;&#1377;&#1390;&#1398;&#1381;&#1408;\11.&#1344;&#1377;&#1406;&#1381;&#1388;&#1406;&#1377;&#1390;%203_&#1380;&#1381;&#1414;&#1387;&#1409;&#1387;&#1407;&#1387;%20&#1414;&#1387;&#1398;.%20&#1377;&#1394;&#1378;&#1397;&#1400;&#1410;&#1408;&#1398;&#1381;&#1408;.xls" TargetMode="External"/><Relationship Id="rId2" Type="http://schemas.openxmlformats.org/officeDocument/2006/relationships/hyperlink" Target="file:///C:\Users\Emma.Ghaytanjyan\Downloads\4.&#1344;&#1377;&#1406;&#1381;&#1388;&#1406;&#1377;&#1390;&#1398;&#1381;&#1408;\16.&#1344;&#1377;&#1406;&#1381;&#1388;&#1406;&#1377;&#1390;%20N11_&#1363;&#1348;&#1345;.doc" TargetMode="External"/><Relationship Id="rId16" Type="http://schemas.openxmlformats.org/officeDocument/2006/relationships/hyperlink" Target="file:///C:\Users\Emma.Ghaytanjyan\Downloads\4.&#1344;&#1377;&#1406;&#1381;&#1388;&#1406;&#1377;&#1390;&#1398;&#1381;&#1408;\5.%20&#1344;&#1377;&#1406;&#1381;&#1388;&#1406;&#1377;&#1390;%20N1&#1377;&#1394;&#1397;&#1400;&#1410;&#1405;&#1377;&#1391;%20N4%20&#1406;&#1377;&#1408;&#1391;&#1377;&#1397;&#1387;&#1398;%20&#1390;&#1408;&#1377;&#1379;&#1408;&#1381;&#1408;.xls" TargetMode="External"/><Relationship Id="rId20" Type="http://schemas.openxmlformats.org/officeDocument/2006/relationships/hyperlink" Target="file:///C:\Users\Emma.Ghaytanjyan\Downloads\5.&#1359;&#1381;&#1394;&#1381;&#1391;&#1377;&#1398;&#1412;&#1398;&#1381;&#1408;\3.&#1342;&#1377;&#1389;&#1405;&#1381;&#1408;_&#1384;&#1405;&#1407;%20&#1354;&#1342;&#1348;&#1343;&#1344;.xls" TargetMode="External"/><Relationship Id="rId1" Type="http://schemas.openxmlformats.org/officeDocument/2006/relationships/hyperlink" Target="file:///C:\Users\Emma.Ghaytanjyan\Downloads\5.&#1359;&#1381;&#1394;&#1381;&#1391;&#1377;&#1398;&#1412;&#1398;&#1381;&#1408;\19.&#1348;&#1377;&#1391;&#1408;&#1400;&#1407;&#1398;&#1407;&#1381;&#1405;&#1377;&#1391;&#1377;&#1398;%20&#1415;%20&#1392;&#1377;&#1408;&#1391;&#1377;&#1378;&#1397;&#1400;&#1410;&#1403;&#1381;&#1407;&#1377;&#1397;&#1387;&#1398;%20&#1409;&#1400;&#1410;&#1409;&#1377;&#1398;&#1387;&#1399;&#1398;&#1381;&#1408;.docx" TargetMode="External"/><Relationship Id="rId6" Type="http://schemas.openxmlformats.org/officeDocument/2006/relationships/hyperlink" Target="http://www.stats.gov.cn/" TargetMode="External"/><Relationship Id="rId11" Type="http://schemas.openxmlformats.org/officeDocument/2006/relationships/hyperlink" Target="https://www.fao.org/worldfoodsituation/foodpricesindex/en/" TargetMode="External"/><Relationship Id="rId24" Type="http://schemas.openxmlformats.org/officeDocument/2006/relationships/hyperlink" Target="file:///C:\Users\Emma.Ghaytanjyan\Downloads\5.&#1359;&#1381;&#1394;&#1381;&#1391;&#1377;&#1398;&#1412;&#1398;&#1381;&#1408;\15.%20&#1354;&#1377;&#1392;&#1400;&#1410;&#1405;&#1407;&#1377;&#1397;&#1387;&#1398;%20&#1414;&#1400;&#1398;&#1380;-&#1352;&#1354;&#1342;&#1348;&#1343;&#1344;.xls" TargetMode="External"/><Relationship Id="rId5" Type="http://schemas.openxmlformats.org/officeDocument/2006/relationships/hyperlink" Target="https://ec.europa.eu/eurostat/" TargetMode="External"/><Relationship Id="rId15" Type="http://schemas.openxmlformats.org/officeDocument/2006/relationships/hyperlink" Target="file:///C:\Users\Emma.Ghaytanjyan\Downloads\5.&#1359;&#1381;&#1394;&#1381;&#1391;&#1377;&#1398;&#1412;&#1398;&#1381;&#1408;\6.&#1342;&#1377;&#1389;&#1405;&#1381;&#1408;_&#1407;&#1398;&#1407;&#1381;&#1405;&#1377;&#1379;&#1387;&#1407;&#1377;&#1391;&#1377;&#1398;%20&#1380;&#1377;&#1405;..xls" TargetMode="External"/><Relationship Id="rId23" Type="http://schemas.openxmlformats.org/officeDocument/2006/relationships/hyperlink" Target="file:///C:\Users\Emma.Ghaytanjyan\Downloads\5.&#1359;&#1381;&#1394;&#1381;&#1391;&#1377;&#1398;&#1412;&#1398;&#1381;&#1408;\14.&#1354;&#1377;&#1392;&#1400;&#1410;&#1405;&#1407;&#1377;&#1397;&#1387;&#1398;%20&#1414;&#1400;&#1398;&#1380;-&#1354;&#1352;&#1342;&#1348;&#1343;.xls" TargetMode="External"/><Relationship Id="rId10" Type="http://schemas.openxmlformats.org/officeDocument/2006/relationships/hyperlink" Target="https://www.fao.org/worldfoodsituation/foodpricesindex/en/" TargetMode="External"/><Relationship Id="rId19" Type="http://schemas.openxmlformats.org/officeDocument/2006/relationships/hyperlink" Target="file:///C:\Users\Emma.Ghaytanjyan\Downloads\4.&#1344;&#1377;&#1406;&#1381;&#1388;&#1406;&#1377;&#1390;&#1398;&#1381;&#1408;\3.&#1344;&#1377;&#1406;&#1381;&#1388;&#1406;&#1377;&#1390;%20N1%20&#1377;&#1394;&#1397;&#1400;&#1410;&#1405;&#1377;&#1391;%20N2_&#1390;&#1377;&#1389;&#1405;&#1381;&#1408;&#1398;%20&#1384;&#1405;&#1407;%20&#1390;&#1408;&#1377;&#1379;&#1408;&#1381;&#1408;&#1387;%20&#1415;%20&#1396;&#1387;&#1403;&#1400;&#1409;&#1377;&#1404;&#1400;&#1410;&#1396;&#1398;&#1381;&#1408;&#1387;.xls" TargetMode="External"/><Relationship Id="rId4" Type="http://schemas.openxmlformats.org/officeDocument/2006/relationships/hyperlink" Target="https://www.bea.gov/" TargetMode="External"/><Relationship Id="rId9" Type="http://schemas.openxmlformats.org/officeDocument/2006/relationships/hyperlink" Target="https://www.worldbank.org/en/research/commodity-markets" TargetMode="External"/><Relationship Id="rId14" Type="http://schemas.openxmlformats.org/officeDocument/2006/relationships/hyperlink" Target="file:///C:\Users\Emma.Ghaytanjyan\Downloads\5.&#1359;&#1381;&#1394;&#1381;&#1391;&#1377;&#1398;&#1412;&#1398;&#1381;&#1408;\11.&#1332;&#1408;&#1377;&#1396;&#1377;&#1399;&#1398;&#1400;&#1408;&#1392;&#1377;&#1397;&#1387;&#1398;%20&#1396;&#1400;&#1410;&#1407;&#1412;&#1381;&#1408;.xls" TargetMode="External"/><Relationship Id="rId22" Type="http://schemas.openxmlformats.org/officeDocument/2006/relationships/hyperlink" Target="file:///C:\Users\Emma.Ghaytanjyan\Downloads\7.&#1329;&#1408;&#1380;&#1397;&#1400;&#1410;&#1398;&#1412;&#1377;&#1397;&#1387;&#1398;%20&#1409;&#1400;&#1410;&#1409;&#1377;&#1398;&#1387;&#1399;&#1398;&#1381;&#1408;-&#1392;&#1377;&#1406;&#1381;&#1388;&#1406;&#1377;&#1390;%209.1\2.&#1329;&#1408;&#1380;&#1397;&#1400;&#1410;&#1398;&#1412;&#1377;&#1397;&#1387;&#1398;%20&#1409;&#1400;&#1410;&#1409;&#1377;&#1398;&#1387;&#1399;&#1398;&#1381;&#1408;_&#1384;&#1405;&#1407;%20&#1391;&#1377;&#1407;&#1377;&#1408;&#1400;&#1394;&#1398;&#1381;&#1408;&#1387;.xls" TargetMode="External"/><Relationship Id="rId27" Type="http://schemas.openxmlformats.org/officeDocument/2006/relationships/hyperlink" Target="file:///C:\Users\Emma.Ghaytanjyan\Downloads\5.&#1359;&#1381;&#1394;&#1381;&#1391;&#1377;&#1398;&#1412;&#1398;&#1381;&#1408;\9.&#1354;&#1381;&#1407;&#1377;&#1391;&#1377;&#1398;%20&#1402;&#1377;&#1408;&#1407;&#1412;.xl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1.xml"/><Relationship Id="rId1" Type="http://schemas.microsoft.com/office/2011/relationships/chartStyle" Target="style1.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xml"/><Relationship Id="rId1" Type="http://schemas.microsoft.com/office/2011/relationships/chartStyle" Target="style2.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3.xml"/><Relationship Id="rId1" Type="http://schemas.microsoft.com/office/2011/relationships/chartStyle" Target="style3.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4.xml"/><Relationship Id="rId1" Type="http://schemas.microsoft.com/office/2011/relationships/chartStyle" Target="style4.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2.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3.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4.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5.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6.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7.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28.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29.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0.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1.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2.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3.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34.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5.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6.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37.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38.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39.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40.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41.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5.xlsx"/><Relationship Id="rId1" Type="http://schemas.openxmlformats.org/officeDocument/2006/relationships/themeOverride" Target="../theme/themeOverride42.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43.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44.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45.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49.xlsx"/><Relationship Id="rId1" Type="http://schemas.openxmlformats.org/officeDocument/2006/relationships/themeOverride" Target="../theme/themeOverride46.xml"/></Relationships>
</file>

<file path=word/charts/_rels/chart51.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50.xlsx"/><Relationship Id="rId1" Type="http://schemas.openxmlformats.org/officeDocument/2006/relationships/themeOverride" Target="../theme/themeOverride47.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48.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52.xlsx"/><Relationship Id="rId1" Type="http://schemas.openxmlformats.org/officeDocument/2006/relationships/themeOverride" Target="../theme/themeOverride49.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53.xlsx"/><Relationship Id="rId1" Type="http://schemas.openxmlformats.org/officeDocument/2006/relationships/themeOverride" Target="../theme/themeOverride50.xml"/></Relationships>
</file>

<file path=word/charts/_rels/chart55.xml.rels><?xml version="1.0" encoding="UTF-8" standalone="yes"?>
<Relationships xmlns="http://schemas.openxmlformats.org/package/2006/relationships"><Relationship Id="rId2" Type="http://schemas.openxmlformats.org/officeDocument/2006/relationships/package" Target="../embeddings/Microsoft_Excel_Worksheet54.xlsx"/><Relationship Id="rId1" Type="http://schemas.openxmlformats.org/officeDocument/2006/relationships/themeOverride" Target="../theme/themeOverride51.xml"/></Relationships>
</file>

<file path=word/charts/_rels/chart56.xml.rels><?xml version="1.0" encoding="UTF-8" standalone="yes"?>
<Relationships xmlns="http://schemas.openxmlformats.org/package/2006/relationships"><Relationship Id="rId2" Type="http://schemas.openxmlformats.org/officeDocument/2006/relationships/package" Target="../embeddings/Microsoft_Excel_Worksheet55.xlsx"/><Relationship Id="rId1" Type="http://schemas.openxmlformats.org/officeDocument/2006/relationships/themeOverride" Target="../theme/themeOverride52.xml"/></Relationships>
</file>

<file path=word/charts/_rels/chart57.xml.rels><?xml version="1.0" encoding="UTF-8" standalone="yes"?>
<Relationships xmlns="http://schemas.openxmlformats.org/package/2006/relationships"><Relationship Id="rId2" Type="http://schemas.openxmlformats.org/officeDocument/2006/relationships/package" Target="../embeddings/Microsoft_Excel_Worksheet56.xlsx"/><Relationship Id="rId1" Type="http://schemas.openxmlformats.org/officeDocument/2006/relationships/themeOverride" Target="../theme/themeOverride53.xml"/></Relationships>
</file>

<file path=word/charts/_rels/chart58.xml.rels><?xml version="1.0" encoding="UTF-8" standalone="yes"?>
<Relationships xmlns="http://schemas.openxmlformats.org/package/2006/relationships"><Relationship Id="rId2" Type="http://schemas.openxmlformats.org/officeDocument/2006/relationships/package" Target="../embeddings/Microsoft_Excel_Worksheet57.xlsx"/><Relationship Id="rId1" Type="http://schemas.openxmlformats.org/officeDocument/2006/relationships/themeOverride" Target="../theme/themeOverride54.xml"/></Relationships>
</file>

<file path=word/charts/_rels/chart59.xml.rels><?xml version="1.0" encoding="UTF-8" standalone="yes"?>
<Relationships xmlns="http://schemas.openxmlformats.org/package/2006/relationships"><Relationship Id="rId2" Type="http://schemas.openxmlformats.org/officeDocument/2006/relationships/package" Target="../embeddings/Microsoft_Excel_Worksheet58.xlsx"/><Relationship Id="rId1" Type="http://schemas.openxmlformats.org/officeDocument/2006/relationships/themeOverride" Target="../theme/themeOverride5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package" Target="../embeddings/Microsoft_Excel_Worksheet59.xlsx"/><Relationship Id="rId1" Type="http://schemas.openxmlformats.org/officeDocument/2006/relationships/themeOverride" Target="../theme/themeOverride56.xml"/></Relationships>
</file>

<file path=word/charts/_rels/chart61.xml.rels><?xml version="1.0" encoding="UTF-8" standalone="yes"?>
<Relationships xmlns="http://schemas.openxmlformats.org/package/2006/relationships"><Relationship Id="rId2" Type="http://schemas.openxmlformats.org/officeDocument/2006/relationships/package" Target="../embeddings/Microsoft_Excel_Worksheet60.xlsx"/><Relationship Id="rId1" Type="http://schemas.openxmlformats.org/officeDocument/2006/relationships/themeOverride" Target="../theme/themeOverride57.xml"/></Relationships>
</file>

<file path=word/charts/_rels/chart62.xml.rels><?xml version="1.0" encoding="UTF-8" standalone="yes"?>
<Relationships xmlns="http://schemas.openxmlformats.org/package/2006/relationships"><Relationship Id="rId2" Type="http://schemas.openxmlformats.org/officeDocument/2006/relationships/package" Target="../embeddings/Microsoft_Excel_Worksheet61.xlsx"/><Relationship Id="rId1" Type="http://schemas.openxmlformats.org/officeDocument/2006/relationships/themeOverride" Target="../theme/themeOverride58.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499309150838173E-2"/>
          <c:y val="3.6763853313516531E-2"/>
          <c:w val="0.92024487689567347"/>
          <c:h val="0.69268728457135631"/>
        </c:manualLayout>
      </c:layout>
      <c:barChart>
        <c:barDir val="col"/>
        <c:grouping val="clustered"/>
        <c:varyColors val="0"/>
        <c:ser>
          <c:idx val="0"/>
          <c:order val="0"/>
          <c:tx>
            <c:strRef>
              <c:f>Sheet1!$B$1</c:f>
              <c:strCache>
                <c:ptCount val="1"/>
                <c:pt idx="0">
                  <c:v>ԱՄՆ</c:v>
                </c:pt>
              </c:strCache>
            </c:strRef>
          </c:tx>
          <c:spPr>
            <a:solidFill>
              <a:srgbClr val="5B9BD5"/>
            </a:solidFill>
            <a:ln w="25393">
              <a:noFill/>
            </a:ln>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2.9</c:v>
                </c:pt>
                <c:pt idx="1">
                  <c:v>2.2999999999999998</c:v>
                </c:pt>
                <c:pt idx="2">
                  <c:v>-2.8</c:v>
                </c:pt>
                <c:pt idx="3">
                  <c:v>5.9</c:v>
                </c:pt>
                <c:pt idx="4">
                  <c:v>2.1</c:v>
                </c:pt>
              </c:numCache>
            </c:numRef>
          </c:val>
          <c:extLst>
            <c:ext xmlns:c16="http://schemas.microsoft.com/office/drawing/2014/chart" uri="{C3380CC4-5D6E-409C-BE32-E72D297353CC}">
              <c16:uniqueId val="{00000000-740B-47D7-BA80-895EBE361D96}"/>
            </c:ext>
          </c:extLst>
        </c:ser>
        <c:ser>
          <c:idx val="1"/>
          <c:order val="1"/>
          <c:tx>
            <c:strRef>
              <c:f>Sheet1!$C$1</c:f>
              <c:strCache>
                <c:ptCount val="1"/>
                <c:pt idx="0">
                  <c:v>ԵԳ</c:v>
                </c:pt>
              </c:strCache>
            </c:strRef>
          </c:tx>
          <c:spPr>
            <a:solidFill>
              <a:srgbClr val="1F497D"/>
            </a:solidFill>
            <a:ln w="25393">
              <a:noFill/>
            </a:ln>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Sheet1!$C$2:$C$6</c:f>
              <c:numCache>
                <c:formatCode>General</c:formatCode>
                <c:ptCount val="5"/>
                <c:pt idx="0">
                  <c:v>1.8</c:v>
                </c:pt>
                <c:pt idx="1">
                  <c:v>1.6</c:v>
                </c:pt>
                <c:pt idx="2">
                  <c:v>-6.1</c:v>
                </c:pt>
                <c:pt idx="3">
                  <c:v>5.3</c:v>
                </c:pt>
                <c:pt idx="4">
                  <c:v>3.5</c:v>
                </c:pt>
              </c:numCache>
            </c:numRef>
          </c:val>
          <c:extLst>
            <c:ext xmlns:c16="http://schemas.microsoft.com/office/drawing/2014/chart" uri="{C3380CC4-5D6E-409C-BE32-E72D297353CC}">
              <c16:uniqueId val="{00000001-740B-47D7-BA80-895EBE361D96}"/>
            </c:ext>
          </c:extLst>
        </c:ser>
        <c:ser>
          <c:idx val="2"/>
          <c:order val="2"/>
          <c:tx>
            <c:strRef>
              <c:f>Sheet1!$D$1</c:f>
              <c:strCache>
                <c:ptCount val="1"/>
                <c:pt idx="0">
                  <c:v>Չինաստան</c:v>
                </c:pt>
              </c:strCache>
            </c:strRef>
          </c:tx>
          <c:spPr>
            <a:solidFill>
              <a:srgbClr val="A5A5A5"/>
            </a:solidFill>
            <a:ln w="25393">
              <a:noFill/>
            </a:ln>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formatCode="General">
                  <c:v>6.7</c:v>
                </c:pt>
                <c:pt idx="1">
                  <c:v>6</c:v>
                </c:pt>
                <c:pt idx="2" formatCode="General">
                  <c:v>2.2000000000000002</c:v>
                </c:pt>
                <c:pt idx="3" formatCode="General">
                  <c:v>8.1</c:v>
                </c:pt>
                <c:pt idx="4">
                  <c:v>3</c:v>
                </c:pt>
              </c:numCache>
            </c:numRef>
          </c:val>
          <c:extLst>
            <c:ext xmlns:c16="http://schemas.microsoft.com/office/drawing/2014/chart" uri="{C3380CC4-5D6E-409C-BE32-E72D297353CC}">
              <c16:uniqueId val="{00000002-740B-47D7-BA80-895EBE361D96}"/>
            </c:ext>
          </c:extLst>
        </c:ser>
        <c:ser>
          <c:idx val="3"/>
          <c:order val="3"/>
          <c:tx>
            <c:strRef>
              <c:f>Sheet1!$E$1</c:f>
              <c:strCache>
                <c:ptCount val="1"/>
                <c:pt idx="0">
                  <c:v>ՌԴ</c:v>
                </c:pt>
              </c:strCache>
            </c:strRef>
          </c:tx>
          <c:spPr>
            <a:solidFill>
              <a:srgbClr val="F79646">
                <a:lumMod val="60000"/>
                <a:lumOff val="40000"/>
              </a:srgbClr>
            </a:solidFill>
            <a:ln>
              <a:noFill/>
            </a:ln>
            <a:effectLst/>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Sheet1!$E$2:$E$6</c:f>
              <c:numCache>
                <c:formatCode>General</c:formatCode>
                <c:ptCount val="5"/>
                <c:pt idx="0">
                  <c:v>2.8</c:v>
                </c:pt>
                <c:pt idx="1">
                  <c:v>2.2000000000000002</c:v>
                </c:pt>
                <c:pt idx="2">
                  <c:v>-2.7</c:v>
                </c:pt>
                <c:pt idx="3">
                  <c:v>5.6</c:v>
                </c:pt>
                <c:pt idx="4">
                  <c:v>-2.1</c:v>
                </c:pt>
              </c:numCache>
            </c:numRef>
          </c:val>
          <c:extLst>
            <c:ext xmlns:c16="http://schemas.microsoft.com/office/drawing/2014/chart" uri="{C3380CC4-5D6E-409C-BE32-E72D297353CC}">
              <c16:uniqueId val="{00000003-740B-47D7-BA80-895EBE361D96}"/>
            </c:ext>
          </c:extLst>
        </c:ser>
        <c:dLbls>
          <c:showLegendKey val="0"/>
          <c:showVal val="0"/>
          <c:showCatName val="0"/>
          <c:showSerName val="0"/>
          <c:showPercent val="0"/>
          <c:showBubbleSize val="0"/>
        </c:dLbls>
        <c:gapWidth val="219"/>
        <c:overlap val="-27"/>
        <c:axId val="216997600"/>
        <c:axId val="1"/>
      </c:barChart>
      <c:catAx>
        <c:axId val="216997600"/>
        <c:scaling>
          <c:orientation val="minMax"/>
        </c:scaling>
        <c:delete val="0"/>
        <c:axPos val="b"/>
        <c:numFmt formatCode="General" sourceLinked="1"/>
        <c:majorTickMark val="none"/>
        <c:minorTickMark val="none"/>
        <c:tickLblPos val="low"/>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ln w="6348">
            <a:noFill/>
          </a:ln>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6997600"/>
        <c:crosses val="autoZero"/>
        <c:crossBetween val="between"/>
      </c:valAx>
      <c:spPr>
        <a:noFill/>
        <a:ln w="25393">
          <a:noFill/>
        </a:ln>
      </c:spPr>
    </c:plotArea>
    <c:legend>
      <c:legendPos val="b"/>
      <c:layout>
        <c:manualLayout>
          <c:xMode val="edge"/>
          <c:yMode val="edge"/>
          <c:x val="0.32334262181984963"/>
          <c:y val="0.87321271011336354"/>
          <c:w val="0.35331491052605213"/>
          <c:h val="0.12017535042162286"/>
        </c:manualLayout>
      </c:layout>
      <c:overlay val="0"/>
      <c:spPr>
        <a:noFill/>
        <a:ln w="25393">
          <a:noFill/>
        </a:ln>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sz="1100">
          <a:latin typeface="GHEA Grapalat" panose="02000506050000020003" pitchFamily="50"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945793248931685E-2"/>
          <c:y val="8.1124951594165523E-2"/>
          <c:w val="0.87658476118247253"/>
          <c:h val="0.61340343802243524"/>
        </c:manualLayout>
      </c:layout>
      <c:barChart>
        <c:barDir val="col"/>
        <c:grouping val="stacked"/>
        <c:varyColors val="0"/>
        <c:ser>
          <c:idx val="1"/>
          <c:order val="1"/>
          <c:tx>
            <c:strRef>
              <c:f>Sheet1!$A$3</c:f>
              <c:strCache>
                <c:ptCount val="1"/>
                <c:pt idx="0">
                  <c:v>արդյունաբերություն</c:v>
                </c:pt>
              </c:strCache>
            </c:strRef>
          </c:tx>
          <c:spPr>
            <a:solidFill>
              <a:srgbClr val="4F81BD"/>
            </a:solidFill>
            <a:ln w="25367">
              <a:noFill/>
            </a:ln>
          </c:spPr>
          <c:invertIfNegative val="0"/>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Sheet1!$B$3:$M$3</c:f>
              <c:numCache>
                <c:formatCode>0.0</c:formatCode>
                <c:ptCount val="12"/>
                <c:pt idx="0">
                  <c:v>3.7030065700093533</c:v>
                </c:pt>
                <c:pt idx="1">
                  <c:v>0.66521076107952437</c:v>
                </c:pt>
                <c:pt idx="2">
                  <c:v>-1.4191162903029866</c:v>
                </c:pt>
                <c:pt idx="3">
                  <c:v>0.39912645664771401</c:v>
                </c:pt>
                <c:pt idx="4">
                  <c:v>0.50999491682763476</c:v>
                </c:pt>
                <c:pt idx="5">
                  <c:v>4.2573488709089569</c:v>
                </c:pt>
                <c:pt idx="6">
                  <c:v>3.0377958089298289</c:v>
                </c:pt>
                <c:pt idx="7">
                  <c:v>5.1664702443843051</c:v>
                </c:pt>
                <c:pt idx="8">
                  <c:v>3.2595327292896701</c:v>
                </c:pt>
                <c:pt idx="9">
                  <c:v>2.1508481274904629</c:v>
                </c:pt>
                <c:pt idx="10">
                  <c:v>-0.50999491682763476</c:v>
                </c:pt>
                <c:pt idx="11">
                  <c:v>0.5986896849715726</c:v>
                </c:pt>
              </c:numCache>
            </c:numRef>
          </c:val>
          <c:extLst>
            <c:ext xmlns:c16="http://schemas.microsoft.com/office/drawing/2014/chart" uri="{C3380CC4-5D6E-409C-BE32-E72D297353CC}">
              <c16:uniqueId val="{00000000-AA01-41DC-B1F8-CA9F60B42B0A}"/>
            </c:ext>
          </c:extLst>
        </c:ser>
        <c:ser>
          <c:idx val="2"/>
          <c:order val="2"/>
          <c:tx>
            <c:strRef>
              <c:f>Sheet1!$A$4</c:f>
              <c:strCache>
                <c:ptCount val="1"/>
                <c:pt idx="0">
                  <c:v>շինարարություն</c:v>
                </c:pt>
              </c:strCache>
            </c:strRef>
          </c:tx>
          <c:spPr>
            <a:solidFill>
              <a:srgbClr val="1F497D"/>
            </a:solidFill>
            <a:ln w="25367">
              <a:noFill/>
            </a:ln>
          </c:spPr>
          <c:invertIfNegative val="0"/>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Sheet1!$B$4:$M$4</c:f>
              <c:numCache>
                <c:formatCode>0.0</c:formatCode>
                <c:ptCount val="12"/>
                <c:pt idx="0">
                  <c:v>0.21525790674990417</c:v>
                </c:pt>
                <c:pt idx="1">
                  <c:v>0.45204160417479855</c:v>
                </c:pt>
                <c:pt idx="2">
                  <c:v>0.58837161178307162</c:v>
                </c:pt>
                <c:pt idx="3">
                  <c:v>1.1193411150995012</c:v>
                </c:pt>
                <c:pt idx="4">
                  <c:v>1.2987227040577547</c:v>
                </c:pt>
                <c:pt idx="5">
                  <c:v>1.1982690142411334</c:v>
                </c:pt>
                <c:pt idx="6">
                  <c:v>1.2054442777994632</c:v>
                </c:pt>
                <c:pt idx="7">
                  <c:v>1.1695679600078124</c:v>
                </c:pt>
                <c:pt idx="8">
                  <c:v>1.0475884795161998</c:v>
                </c:pt>
                <c:pt idx="9">
                  <c:v>1.0834647973078506</c:v>
                </c:pt>
                <c:pt idx="10">
                  <c:v>0.81080478209130546</c:v>
                </c:pt>
                <c:pt idx="11">
                  <c:v>0.52379423975809991</c:v>
                </c:pt>
              </c:numCache>
            </c:numRef>
          </c:val>
          <c:extLst>
            <c:ext xmlns:c16="http://schemas.microsoft.com/office/drawing/2014/chart" uri="{C3380CC4-5D6E-409C-BE32-E72D297353CC}">
              <c16:uniqueId val="{00000001-AA01-41DC-B1F8-CA9F60B42B0A}"/>
            </c:ext>
          </c:extLst>
        </c:ser>
        <c:ser>
          <c:idx val="3"/>
          <c:order val="3"/>
          <c:tx>
            <c:strRef>
              <c:f>Sheet1!$A$5</c:f>
              <c:strCache>
                <c:ptCount val="1"/>
                <c:pt idx="0">
                  <c:v>ծառայություններ</c:v>
                </c:pt>
              </c:strCache>
            </c:strRef>
          </c:tx>
          <c:spPr>
            <a:solidFill>
              <a:srgbClr val="4F81BD">
                <a:lumMod val="60000"/>
                <a:lumOff val="40000"/>
              </a:srgbClr>
            </a:solidFill>
            <a:ln>
              <a:noFill/>
            </a:ln>
            <a:effectLst/>
          </c:spPr>
          <c:invertIfNegative val="0"/>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Sheet1!$B$5:$M$5</c:f>
              <c:numCache>
                <c:formatCode>0.0</c:formatCode>
                <c:ptCount val="12"/>
                <c:pt idx="0">
                  <c:v>9.7040852150518262</c:v>
                </c:pt>
                <c:pt idx="1">
                  <c:v>8.6970575040558806</c:v>
                </c:pt>
                <c:pt idx="2">
                  <c:v>11.855462597634071</c:v>
                </c:pt>
                <c:pt idx="3">
                  <c:v>12.404750439995491</c:v>
                </c:pt>
                <c:pt idx="4">
                  <c:v>13.8237440327625</c:v>
                </c:pt>
                <c:pt idx="5">
                  <c:v>16.24976533652546</c:v>
                </c:pt>
                <c:pt idx="6">
                  <c:v>14.006839980216311</c:v>
                </c:pt>
                <c:pt idx="7">
                  <c:v>11.535044689589906</c:v>
                </c:pt>
                <c:pt idx="8">
                  <c:v>12.038558545087875</c:v>
                </c:pt>
                <c:pt idx="9">
                  <c:v>15.975121415344752</c:v>
                </c:pt>
                <c:pt idx="10">
                  <c:v>14.144161940806672</c:v>
                </c:pt>
                <c:pt idx="11">
                  <c:v>12.770942334903111</c:v>
                </c:pt>
              </c:numCache>
            </c:numRef>
          </c:val>
          <c:extLst>
            <c:ext xmlns:c16="http://schemas.microsoft.com/office/drawing/2014/chart" uri="{C3380CC4-5D6E-409C-BE32-E72D297353CC}">
              <c16:uniqueId val="{00000002-AA01-41DC-B1F8-CA9F60B42B0A}"/>
            </c:ext>
          </c:extLst>
        </c:ser>
        <c:ser>
          <c:idx val="4"/>
          <c:order val="4"/>
          <c:tx>
            <c:strRef>
              <c:f>Sheet1!$A$6</c:f>
              <c:strCache>
                <c:ptCount val="1"/>
                <c:pt idx="0">
                  <c:v>առևտուր</c:v>
                </c:pt>
              </c:strCache>
            </c:strRef>
          </c:tx>
          <c:spPr>
            <a:solidFill>
              <a:srgbClr val="F79646">
                <a:lumMod val="60000"/>
                <a:lumOff val="40000"/>
              </a:srgbClr>
            </a:solidFill>
          </c:spPr>
          <c:invertIfNegative val="0"/>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Sheet1!$B$6:$M$6</c:f>
              <c:numCache>
                <c:formatCode>0.0</c:formatCode>
                <c:ptCount val="12"/>
                <c:pt idx="0">
                  <c:v>1.4245462451075392</c:v>
                </c:pt>
                <c:pt idx="1">
                  <c:v>0.6565300086147785</c:v>
                </c:pt>
                <c:pt idx="2">
                  <c:v>0.81756567110519562</c:v>
                </c:pt>
                <c:pt idx="3">
                  <c:v>1.0653128441673765</c:v>
                </c:pt>
                <c:pt idx="4">
                  <c:v>1.5360324729855213</c:v>
                </c:pt>
                <c:pt idx="5">
                  <c:v>2.2544992748658448</c:v>
                </c:pt>
                <c:pt idx="6">
                  <c:v>2.6385073931122243</c:v>
                </c:pt>
                <c:pt idx="7">
                  <c:v>2.477471730621807</c:v>
                </c:pt>
                <c:pt idx="8">
                  <c:v>2.5641832411935708</c:v>
                </c:pt>
                <c:pt idx="9">
                  <c:v>2.8614798488681865</c:v>
                </c:pt>
                <c:pt idx="10">
                  <c:v>2.737606262337096</c:v>
                </c:pt>
                <c:pt idx="11">
                  <c:v>2.9605787180930605</c:v>
                </c:pt>
              </c:numCache>
            </c:numRef>
          </c:val>
          <c:extLst>
            <c:ext xmlns:c16="http://schemas.microsoft.com/office/drawing/2014/chart" uri="{C3380CC4-5D6E-409C-BE32-E72D297353CC}">
              <c16:uniqueId val="{00000003-AA01-41DC-B1F8-CA9F60B42B0A}"/>
            </c:ext>
          </c:extLst>
        </c:ser>
        <c:ser>
          <c:idx val="5"/>
          <c:order val="5"/>
          <c:tx>
            <c:strRef>
              <c:f>Sheet1!$A$7</c:f>
              <c:strCache>
                <c:ptCount val="1"/>
                <c:pt idx="0">
                  <c:v>այլ </c:v>
                </c:pt>
              </c:strCache>
            </c:strRef>
          </c:tx>
          <c:spPr>
            <a:solidFill>
              <a:sysClr val="window" lastClr="FFFFFF">
                <a:lumMod val="65000"/>
              </a:sysClr>
            </a:solidFill>
          </c:spPr>
          <c:invertIfNegative val="0"/>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Sheet1!$B$7:$M$7</c:f>
              <c:numCache>
                <c:formatCode>0.0</c:formatCode>
                <c:ptCount val="12"/>
                <c:pt idx="0">
                  <c:v>-0.23341821071634428</c:v>
                </c:pt>
                <c:pt idx="1">
                  <c:v>-2.1401223178170543</c:v>
                </c:pt>
                <c:pt idx="2">
                  <c:v>-5.0669888243996866</c:v>
                </c:pt>
                <c:pt idx="3">
                  <c:v>-6.1952041102473423</c:v>
                </c:pt>
                <c:pt idx="4">
                  <c:v>-4.1012088110756828</c:v>
                </c:pt>
                <c:pt idx="5">
                  <c:v>-5.6411780254865391</c:v>
                </c:pt>
                <c:pt idx="6">
                  <c:v>-1.4915680240629783</c:v>
                </c:pt>
                <c:pt idx="7">
                  <c:v>-1.8521722681080739</c:v>
                </c:pt>
                <c:pt idx="8">
                  <c:v>-4.2774287147613208</c:v>
                </c:pt>
                <c:pt idx="9">
                  <c:v>-4.533159577756539</c:v>
                </c:pt>
                <c:pt idx="10">
                  <c:v>-3.3401415766277047</c:v>
                </c:pt>
                <c:pt idx="11">
                  <c:v>-3.9057808022813205</c:v>
                </c:pt>
              </c:numCache>
            </c:numRef>
          </c:val>
          <c:extLst>
            <c:ext xmlns:c16="http://schemas.microsoft.com/office/drawing/2014/chart" uri="{C3380CC4-5D6E-409C-BE32-E72D297353CC}">
              <c16:uniqueId val="{00000004-AA01-41DC-B1F8-CA9F60B42B0A}"/>
            </c:ext>
          </c:extLst>
        </c:ser>
        <c:dLbls>
          <c:showLegendKey val="0"/>
          <c:showVal val="0"/>
          <c:showCatName val="0"/>
          <c:showSerName val="0"/>
          <c:showPercent val="0"/>
          <c:showBubbleSize val="0"/>
        </c:dLbls>
        <c:gapWidth val="219"/>
        <c:overlap val="100"/>
        <c:axId val="175942480"/>
        <c:axId val="1"/>
      </c:barChart>
      <c:lineChart>
        <c:grouping val="standard"/>
        <c:varyColors val="0"/>
        <c:ser>
          <c:idx val="0"/>
          <c:order val="0"/>
          <c:tx>
            <c:strRef>
              <c:f>Sheet1!$A$2</c:f>
              <c:strCache>
                <c:ptCount val="1"/>
                <c:pt idx="0">
                  <c:v>ՏԱՑ</c:v>
                </c:pt>
              </c:strCache>
            </c:strRef>
          </c:tx>
          <c:spPr>
            <a:effectLst/>
          </c:spPr>
          <c:dLbls>
            <c:dLbl>
              <c:idx val="0"/>
              <c:layout>
                <c:manualLayout>
                  <c:x val="-7.0443544714639372E-2"/>
                  <c:y val="3.8678390484819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01-41DC-B1F8-CA9F60B42B0A}"/>
                </c:ext>
              </c:extLst>
            </c:dLbl>
            <c:dLbl>
              <c:idx val="1"/>
              <c:layout>
                <c:manualLayout>
                  <c:x val="-6.6155973405532545E-2"/>
                  <c:y val="4.51613726566188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01-41DC-B1F8-CA9F60B42B0A}"/>
                </c:ext>
              </c:extLst>
            </c:dLbl>
            <c:dLbl>
              <c:idx val="2"/>
              <c:layout>
                <c:manualLayout>
                  <c:x val="-6.5755033245656805E-2"/>
                  <c:y val="-4.5161375215798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01-41DC-B1F8-CA9F60B42B0A}"/>
                </c:ext>
              </c:extLst>
            </c:dLbl>
            <c:dLbl>
              <c:idx val="3"/>
              <c:layout>
                <c:manualLayout>
                  <c:x val="-7.0122100389904657E-2"/>
                  <c:y val="-5.7572950440018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01-41DC-B1F8-CA9F60B42B0A}"/>
                </c:ext>
              </c:extLst>
            </c:dLbl>
            <c:dLbl>
              <c:idx val="4"/>
              <c:layout>
                <c:manualLayout>
                  <c:x val="-5.3374731943995959E-2"/>
                  <c:y val="-5.7169693334524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01-41DC-B1F8-CA9F60B42B0A}"/>
                </c:ext>
              </c:extLst>
            </c:dLbl>
            <c:dLbl>
              <c:idx val="5"/>
              <c:layout>
                <c:manualLayout>
                  <c:x val="-6.745603660480945E-2"/>
                  <c:y val="-4.5179270706134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01-41DC-B1F8-CA9F60B42B0A}"/>
                </c:ext>
              </c:extLst>
            </c:dLbl>
            <c:dLbl>
              <c:idx val="6"/>
              <c:layout>
                <c:manualLayout>
                  <c:x val="-5.8885383806519455E-2"/>
                  <c:y val="-5.186385737439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A01-41DC-B1F8-CA9F60B42B0A}"/>
                </c:ext>
              </c:extLst>
            </c:dLbl>
            <c:dLbl>
              <c:idx val="7"/>
              <c:layout>
                <c:manualLayout>
                  <c:x val="-5.8885383806519455E-2"/>
                  <c:y val="-5.834683954619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A01-41DC-B1F8-CA9F60B42B0A}"/>
                </c:ext>
              </c:extLst>
            </c:dLbl>
            <c:dLbl>
              <c:idx val="8"/>
              <c:layout>
                <c:manualLayout>
                  <c:x val="-5.0790522836670349E-2"/>
                  <c:y val="-4.5179270706134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A01-41DC-B1F8-CA9F60B42B0A}"/>
                </c:ext>
              </c:extLst>
            </c:dLbl>
            <c:dLbl>
              <c:idx val="9"/>
              <c:layout>
                <c:manualLayout>
                  <c:x val="-6.3963935084501836E-2"/>
                  <c:y val="-6.13694260810982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A01-41DC-B1F8-CA9F60B42B0A}"/>
                </c:ext>
              </c:extLst>
            </c:dLbl>
            <c:dLbl>
              <c:idx val="10"/>
              <c:layout>
                <c:manualLayout>
                  <c:x val="-6.8566530962074296E-2"/>
                  <c:y val="-4.6791443850267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A01-41DC-B1F8-CA9F60B42B0A}"/>
                </c:ext>
              </c:extLst>
            </c:dLbl>
            <c:dLbl>
              <c:idx val="11"/>
              <c:layout>
                <c:manualLayout>
                  <c:x val="0"/>
                  <c:y val="-4.01069518716577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A01-41DC-B1F8-CA9F60B42B0A}"/>
                </c:ext>
              </c:extLst>
            </c:dLbl>
            <c:spPr>
              <a:noFill/>
              <a:ln w="25367">
                <a:noFill/>
              </a:ln>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0.0</c:formatCode>
                <c:ptCount val="12"/>
                <c:pt idx="0">
                  <c:v>14.813477726202279</c:v>
                </c:pt>
                <c:pt idx="1">
                  <c:v>8.330717560107928</c:v>
                </c:pt>
                <c:pt idx="2">
                  <c:v>6.7752947658196661</c:v>
                </c:pt>
                <c:pt idx="3">
                  <c:v>8.7933267456627391</c:v>
                </c:pt>
                <c:pt idx="4">
                  <c:v>13.067285315557726</c:v>
                </c:pt>
                <c:pt idx="5">
                  <c:v>18.318704471054858</c:v>
                </c:pt>
                <c:pt idx="6">
                  <c:v>19.397019435994849</c:v>
                </c:pt>
                <c:pt idx="7">
                  <c:v>18.496382356495758</c:v>
                </c:pt>
                <c:pt idx="8">
                  <c:v>14.632434280325995</c:v>
                </c:pt>
                <c:pt idx="9">
                  <c:v>17.537754611254712</c:v>
                </c:pt>
                <c:pt idx="10">
                  <c:v>13.842436491779736</c:v>
                </c:pt>
                <c:pt idx="11">
                  <c:v>12.948224175444523</c:v>
                </c:pt>
              </c:numCache>
            </c:numRef>
          </c:val>
          <c:smooth val="0"/>
          <c:extLst>
            <c:ext xmlns:c16="http://schemas.microsoft.com/office/drawing/2014/chart" uri="{C3380CC4-5D6E-409C-BE32-E72D297353CC}">
              <c16:uniqueId val="{00000011-AA01-41DC-B1F8-CA9F60B42B0A}"/>
            </c:ext>
          </c:extLst>
        </c:ser>
        <c:dLbls>
          <c:showLegendKey val="0"/>
          <c:showVal val="0"/>
          <c:showCatName val="0"/>
          <c:showSerName val="0"/>
          <c:showPercent val="0"/>
          <c:showBubbleSize val="0"/>
        </c:dLbls>
        <c:marker val="1"/>
        <c:smooth val="0"/>
        <c:axId val="175942480"/>
        <c:axId val="1"/>
      </c:lineChart>
      <c:catAx>
        <c:axId val="175942480"/>
        <c:scaling>
          <c:orientation val="minMax"/>
        </c:scaling>
        <c:delete val="0"/>
        <c:axPos val="b"/>
        <c:numFmt formatCode="General" sourceLinked="1"/>
        <c:majorTickMark val="out"/>
        <c:minorTickMark val="none"/>
        <c:tickLblPos val="low"/>
        <c:spPr>
          <a:noFill/>
          <a:ln w="9513" cap="flat" cmpd="sng" algn="ctr">
            <a:solidFill>
              <a:schemeClr val="tx1">
                <a:lumMod val="15000"/>
                <a:lumOff val="85000"/>
              </a:schemeClr>
            </a:solidFill>
            <a:round/>
          </a:ln>
          <a:effectLst/>
        </c:spPr>
        <c:txPr>
          <a:bodyPr rot="-6000000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ax val="25"/>
          <c:min val="-8"/>
        </c:scaling>
        <c:delete val="0"/>
        <c:axPos val="l"/>
        <c:majorGridlines>
          <c:spPr>
            <a:ln w="9513" cap="flat" cmpd="sng" algn="ctr">
              <a:solidFill>
                <a:schemeClr val="tx1">
                  <a:lumMod val="15000"/>
                  <a:lumOff val="85000"/>
                </a:schemeClr>
              </a:solidFill>
              <a:round/>
            </a:ln>
            <a:effectLst/>
          </c:spPr>
        </c:majorGridlines>
        <c:numFmt formatCode="0.0" sourceLinked="1"/>
        <c:majorTickMark val="out"/>
        <c:minorTickMark val="none"/>
        <c:tickLblPos val="nextTo"/>
        <c:spPr>
          <a:ln w="9513">
            <a:noFill/>
          </a:ln>
        </c:spPr>
        <c:txPr>
          <a:bodyPr rot="-6000000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crossAx val="175942480"/>
        <c:crosses val="autoZero"/>
        <c:crossBetween val="between"/>
        <c:majorUnit val="5"/>
      </c:valAx>
      <c:spPr>
        <a:solidFill>
          <a:sysClr val="window" lastClr="FFFFFF"/>
        </a:solidFill>
        <a:ln>
          <a:noFill/>
        </a:ln>
        <a:effectLst/>
      </c:spPr>
    </c:plotArea>
    <c:legend>
      <c:legendPos val="b"/>
      <c:layout>
        <c:manualLayout>
          <c:xMode val="edge"/>
          <c:yMode val="edge"/>
          <c:x val="4.7624713577469481E-2"/>
          <c:y val="0.81048226513585242"/>
          <c:w val="0.90585343498729332"/>
          <c:h val="0.18303494186131763"/>
        </c:manualLayout>
      </c:layout>
      <c:overlay val="0"/>
      <c:spPr>
        <a:noFill/>
        <a:ln w="25367">
          <a:noFill/>
        </a:ln>
      </c:spPr>
      <c:txPr>
        <a:bodyPr rot="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13" cap="flat" cmpd="sng" algn="ctr">
      <a:solidFill>
        <a:schemeClr val="tx1">
          <a:lumMod val="15000"/>
          <a:lumOff val="85000"/>
        </a:schemeClr>
      </a:solidFill>
      <a:round/>
    </a:ln>
    <a:effectLst/>
  </c:spPr>
  <c:txPr>
    <a:bodyPr/>
    <a:lstStyle/>
    <a:p>
      <a:pPr>
        <a:defRPr sz="699">
          <a:latin typeface="GHEA Grapalat" panose="02000506050000020003" pitchFamily="50"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671697287839014E-2"/>
          <c:y val="6.2195054565547726E-2"/>
          <c:w val="0.84915654061760815"/>
          <c:h val="0.66796173504627709"/>
        </c:manualLayout>
      </c:layout>
      <c:barChart>
        <c:barDir val="col"/>
        <c:grouping val="clustered"/>
        <c:varyColors val="0"/>
        <c:ser>
          <c:idx val="1"/>
          <c:order val="1"/>
          <c:tx>
            <c:strRef>
              <c:f>Sheet1!$C$1</c:f>
              <c:strCache>
                <c:ptCount val="1"/>
                <c:pt idx="0">
                  <c:v>Պետական սպառում</c:v>
                </c:pt>
              </c:strCache>
            </c:strRef>
          </c:tx>
          <c:spPr>
            <a:solidFill>
              <a:sysClr val="window" lastClr="FFFFFF">
                <a:lumMod val="65000"/>
              </a:sysClr>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-0.36955655962421596</c:v>
                </c:pt>
                <c:pt idx="1">
                  <c:v>1.4817830515600114</c:v>
                </c:pt>
                <c:pt idx="2">
                  <c:v>1.1559395290630521</c:v>
                </c:pt>
                <c:pt idx="3">
                  <c:v>1.2573639319390126</c:v>
                </c:pt>
                <c:pt idx="4">
                  <c:v>1.026551732162388</c:v>
                </c:pt>
              </c:numCache>
            </c:numRef>
          </c:val>
          <c:extLst>
            <c:ext xmlns:c16="http://schemas.microsoft.com/office/drawing/2014/chart" uri="{C3380CC4-5D6E-409C-BE32-E72D297353CC}">
              <c16:uniqueId val="{00000000-AC84-451F-9B81-511F0AAE732B}"/>
            </c:ext>
          </c:extLst>
        </c:ser>
        <c:ser>
          <c:idx val="2"/>
          <c:order val="2"/>
          <c:tx>
            <c:strRef>
              <c:f>Sheet1!$D$1</c:f>
              <c:strCache>
                <c:ptCount val="1"/>
                <c:pt idx="0">
                  <c:v>Մասնավոր սպառում</c:v>
                </c:pt>
              </c:strCache>
            </c:strRef>
          </c:tx>
          <c:spPr>
            <a:solidFill>
              <a:srgbClr val="4F81BD"/>
            </a:solidFill>
            <a:ln w="25358">
              <a:noFill/>
            </a:ln>
          </c:spPr>
          <c:invertIfNegative val="0"/>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c:v>3.8468608363676258</c:v>
                </c:pt>
                <c:pt idx="1">
                  <c:v>9.1855737689551979</c:v>
                </c:pt>
                <c:pt idx="2">
                  <c:v>-11.657113662054661</c:v>
                </c:pt>
                <c:pt idx="3">
                  <c:v>2.759385327423316</c:v>
                </c:pt>
                <c:pt idx="4">
                  <c:v>5.7391235940333418</c:v>
                </c:pt>
              </c:numCache>
            </c:numRef>
          </c:val>
          <c:extLst>
            <c:ext xmlns:c16="http://schemas.microsoft.com/office/drawing/2014/chart" uri="{C3380CC4-5D6E-409C-BE32-E72D297353CC}">
              <c16:uniqueId val="{00000001-AC84-451F-9B81-511F0AAE732B}"/>
            </c:ext>
          </c:extLst>
        </c:ser>
        <c:ser>
          <c:idx val="3"/>
          <c:order val="3"/>
          <c:tx>
            <c:strRef>
              <c:f>Sheet1!$E$1</c:f>
              <c:strCache>
                <c:ptCount val="1"/>
                <c:pt idx="0">
                  <c:v>Պետական ներդրումներ</c:v>
                </c:pt>
              </c:strCache>
            </c:strRef>
          </c:tx>
          <c:spPr>
            <a:solidFill>
              <a:srgbClr val="F79646">
                <a:lumMod val="60000"/>
                <a:lumOff val="40000"/>
              </a:srgbClr>
            </a:solidFill>
          </c:spPr>
          <c:invertIfNegative val="0"/>
          <c:cat>
            <c:numRef>
              <c:f>Sheet1!$A$2:$A$6</c:f>
              <c:numCache>
                <c:formatCode>General</c:formatCode>
                <c:ptCount val="5"/>
                <c:pt idx="0">
                  <c:v>2018</c:v>
                </c:pt>
                <c:pt idx="1">
                  <c:v>2019</c:v>
                </c:pt>
                <c:pt idx="2">
                  <c:v>2020</c:v>
                </c:pt>
                <c:pt idx="3">
                  <c:v>2021</c:v>
                </c:pt>
                <c:pt idx="4">
                  <c:v>2022</c:v>
                </c:pt>
              </c:numCache>
            </c:numRef>
          </c:cat>
          <c:val>
            <c:numRef>
              <c:f>Sheet1!$E$2:$E$6</c:f>
              <c:numCache>
                <c:formatCode>0.0</c:formatCode>
                <c:ptCount val="5"/>
                <c:pt idx="0">
                  <c:v>9.8333600311359889E-2</c:v>
                </c:pt>
                <c:pt idx="1">
                  <c:v>0.36656976294286703</c:v>
                </c:pt>
                <c:pt idx="2">
                  <c:v>0.16924568784789704</c:v>
                </c:pt>
                <c:pt idx="3">
                  <c:v>0.86867092690828707</c:v>
                </c:pt>
                <c:pt idx="4">
                  <c:v>0.5042370152881176</c:v>
                </c:pt>
              </c:numCache>
            </c:numRef>
          </c:val>
          <c:extLst>
            <c:ext xmlns:c16="http://schemas.microsoft.com/office/drawing/2014/chart" uri="{C3380CC4-5D6E-409C-BE32-E72D297353CC}">
              <c16:uniqueId val="{00000002-AC84-451F-9B81-511F0AAE732B}"/>
            </c:ext>
          </c:extLst>
        </c:ser>
        <c:ser>
          <c:idx val="4"/>
          <c:order val="4"/>
          <c:tx>
            <c:strRef>
              <c:f>Sheet1!$F$1</c:f>
              <c:strCache>
                <c:ptCount val="1"/>
                <c:pt idx="0">
                  <c:v>Մասնավոր ներդրումներ</c:v>
                </c:pt>
              </c:strCache>
            </c:strRef>
          </c:tx>
          <c:invertIfNegative val="0"/>
          <c:cat>
            <c:numRef>
              <c:f>Sheet1!$A$2:$A$6</c:f>
              <c:numCache>
                <c:formatCode>General</c:formatCode>
                <c:ptCount val="5"/>
                <c:pt idx="0">
                  <c:v>2018</c:v>
                </c:pt>
                <c:pt idx="1">
                  <c:v>2019</c:v>
                </c:pt>
                <c:pt idx="2">
                  <c:v>2020</c:v>
                </c:pt>
                <c:pt idx="3">
                  <c:v>2021</c:v>
                </c:pt>
                <c:pt idx="4">
                  <c:v>2022</c:v>
                </c:pt>
              </c:numCache>
            </c:numRef>
          </c:cat>
          <c:val>
            <c:numRef>
              <c:f>Sheet1!$F$2:$F$6</c:f>
              <c:numCache>
                <c:formatCode>0.0</c:formatCode>
                <c:ptCount val="5"/>
                <c:pt idx="0">
                  <c:v>0.74878844762065921</c:v>
                </c:pt>
                <c:pt idx="1">
                  <c:v>0.37003031544790277</c:v>
                </c:pt>
                <c:pt idx="2">
                  <c:v>-0.40647966432755017</c:v>
                </c:pt>
                <c:pt idx="3">
                  <c:v>0.25108611196838582</c:v>
                </c:pt>
                <c:pt idx="4">
                  <c:v>1.2306029040154733</c:v>
                </c:pt>
              </c:numCache>
            </c:numRef>
          </c:val>
          <c:extLst>
            <c:ext xmlns:c16="http://schemas.microsoft.com/office/drawing/2014/chart" uri="{C3380CC4-5D6E-409C-BE32-E72D297353CC}">
              <c16:uniqueId val="{00000003-AC84-451F-9B81-511F0AAE732B}"/>
            </c:ext>
          </c:extLst>
        </c:ser>
        <c:ser>
          <c:idx val="5"/>
          <c:order val="5"/>
          <c:tx>
            <c:strRef>
              <c:f>Sheet1!$G$1</c:f>
              <c:strCache>
                <c:ptCount val="1"/>
                <c:pt idx="0">
                  <c:v>Արտահանում</c:v>
                </c:pt>
              </c:strCache>
            </c:strRef>
          </c:tx>
          <c:spPr>
            <a:solidFill>
              <a:srgbClr val="1F497D"/>
            </a:solidFill>
          </c:spPr>
          <c:invertIfNegative val="0"/>
          <c:cat>
            <c:numRef>
              <c:f>Sheet1!$A$2:$A$6</c:f>
              <c:numCache>
                <c:formatCode>General</c:formatCode>
                <c:ptCount val="5"/>
                <c:pt idx="0">
                  <c:v>2018</c:v>
                </c:pt>
                <c:pt idx="1">
                  <c:v>2019</c:v>
                </c:pt>
                <c:pt idx="2">
                  <c:v>2020</c:v>
                </c:pt>
                <c:pt idx="3">
                  <c:v>2021</c:v>
                </c:pt>
                <c:pt idx="4">
                  <c:v>2022</c:v>
                </c:pt>
              </c:numCache>
            </c:numRef>
          </c:cat>
          <c:val>
            <c:numRef>
              <c:f>Sheet1!$G$2:$G$6</c:f>
              <c:numCache>
                <c:formatCode>0.0</c:formatCode>
                <c:ptCount val="5"/>
                <c:pt idx="0">
                  <c:v>1.9108022827523217</c:v>
                </c:pt>
                <c:pt idx="1">
                  <c:v>6.3028630445771689</c:v>
                </c:pt>
                <c:pt idx="2">
                  <c:v>-13.852518456298451</c:v>
                </c:pt>
                <c:pt idx="3">
                  <c:v>4.9409878279221022</c:v>
                </c:pt>
                <c:pt idx="4">
                  <c:v>19.222772867532946</c:v>
                </c:pt>
              </c:numCache>
            </c:numRef>
          </c:val>
          <c:extLst>
            <c:ext xmlns:c16="http://schemas.microsoft.com/office/drawing/2014/chart" uri="{C3380CC4-5D6E-409C-BE32-E72D297353CC}">
              <c16:uniqueId val="{00000004-AC84-451F-9B81-511F0AAE732B}"/>
            </c:ext>
          </c:extLst>
        </c:ser>
        <c:ser>
          <c:idx val="6"/>
          <c:order val="6"/>
          <c:tx>
            <c:strRef>
              <c:f>Sheet1!$H$1</c:f>
              <c:strCache>
                <c:ptCount val="1"/>
                <c:pt idx="0">
                  <c:v>Ներմուծում</c:v>
                </c:pt>
              </c:strCache>
            </c:strRef>
          </c:tx>
          <c:invertIfNegative val="0"/>
          <c:cat>
            <c:numRef>
              <c:f>Sheet1!$A$2:$A$6</c:f>
              <c:numCache>
                <c:formatCode>General</c:formatCode>
                <c:ptCount val="5"/>
                <c:pt idx="0">
                  <c:v>2018</c:v>
                </c:pt>
                <c:pt idx="1">
                  <c:v>2019</c:v>
                </c:pt>
                <c:pt idx="2">
                  <c:v>2020</c:v>
                </c:pt>
                <c:pt idx="3">
                  <c:v>2021</c:v>
                </c:pt>
                <c:pt idx="4">
                  <c:v>2022</c:v>
                </c:pt>
              </c:numCache>
            </c:numRef>
          </c:cat>
          <c:val>
            <c:numRef>
              <c:f>Sheet1!$H$2:$H$6</c:f>
              <c:numCache>
                <c:formatCode>0.0</c:formatCode>
                <c:ptCount val="5"/>
                <c:pt idx="0">
                  <c:v>-6.5151820076771401</c:v>
                </c:pt>
                <c:pt idx="1">
                  <c:v>-6.1573047071421403</c:v>
                </c:pt>
                <c:pt idx="2">
                  <c:v>17.2504561215375</c:v>
                </c:pt>
                <c:pt idx="3">
                  <c:v>-5.1243728605494399</c:v>
                </c:pt>
                <c:pt idx="4">
                  <c:v>-14.814804942744599</c:v>
                </c:pt>
              </c:numCache>
            </c:numRef>
          </c:val>
          <c:extLst>
            <c:ext xmlns:c16="http://schemas.microsoft.com/office/drawing/2014/chart" uri="{C3380CC4-5D6E-409C-BE32-E72D297353CC}">
              <c16:uniqueId val="{00000005-AC84-451F-9B81-511F0AAE732B}"/>
            </c:ext>
          </c:extLst>
        </c:ser>
        <c:dLbls>
          <c:showLegendKey val="0"/>
          <c:showVal val="0"/>
          <c:showCatName val="0"/>
          <c:showSerName val="0"/>
          <c:showPercent val="0"/>
          <c:showBubbleSize val="0"/>
        </c:dLbls>
        <c:gapWidth val="150"/>
        <c:axId val="181881064"/>
        <c:axId val="1"/>
      </c:barChart>
      <c:lineChart>
        <c:grouping val="standard"/>
        <c:varyColors val="0"/>
        <c:ser>
          <c:idx val="0"/>
          <c:order val="0"/>
          <c:tx>
            <c:strRef>
              <c:f>Sheet1!$B$1</c:f>
              <c:strCache>
                <c:ptCount val="1"/>
                <c:pt idx="0">
                  <c:v>ՀՆԱ</c:v>
                </c:pt>
              </c:strCache>
            </c:strRef>
          </c:tx>
          <c:spPr>
            <a:ln w="28527" cap="rnd">
              <a:solidFill>
                <a:schemeClr val="accent1"/>
              </a:solidFill>
              <a:round/>
            </a:ln>
            <a:effectLst/>
          </c:spPr>
          <c:marker>
            <c:symbol val="none"/>
          </c:marker>
          <c:dLbls>
            <c:dLbl>
              <c:idx val="0"/>
              <c:layout>
                <c:manualLayout>
                  <c:x val="-4.5524772366417159E-2"/>
                  <c:y val="-4.12683406142528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84-451F-9B81-511F0AAE732B}"/>
                </c:ext>
              </c:extLst>
            </c:dLbl>
            <c:dLbl>
              <c:idx val="1"/>
              <c:layout>
                <c:manualLayout>
                  <c:x val="-4.963999870386572E-2"/>
                  <c:y val="-3.1344690682636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C84-451F-9B81-511F0AAE732B}"/>
                </c:ext>
              </c:extLst>
            </c:dLbl>
            <c:dLbl>
              <c:idx val="2"/>
              <c:layout>
                <c:manualLayout>
                  <c:x val="-6.1471112407245468E-2"/>
                  <c:y val="5.8727675903918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C84-451F-9B81-511F0AAE732B}"/>
                </c:ext>
              </c:extLst>
            </c:dLbl>
            <c:dLbl>
              <c:idx val="3"/>
              <c:layout>
                <c:manualLayout>
                  <c:x val="-8.6677035740902755E-2"/>
                  <c:y val="-1.82485958226553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84-451F-9B81-511F0AAE732B}"/>
                </c:ext>
              </c:extLst>
            </c:dLbl>
            <c:dLbl>
              <c:idx val="4"/>
              <c:layout>
                <c:manualLayout>
                  <c:x val="-6.1728395061728392E-2"/>
                  <c:y val="-2.6981450252951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C84-451F-9B81-511F0AAE732B}"/>
                </c:ext>
              </c:extLst>
            </c:dLbl>
            <c:spPr>
              <a:noFill/>
              <a:ln w="25358">
                <a:noFill/>
              </a:ln>
            </c:spPr>
            <c:txPr>
              <a:bodyPr rot="0" spcFirstLastPara="1" vertOverflow="ellipsis" vert="horz" wrap="square" lIns="38100" tIns="19050" rIns="38100" bIns="19050" anchor="ctr" anchorCtr="1">
                <a:spAutoFit/>
              </a:bodyPr>
              <a:lstStyle/>
              <a:p>
                <a:pPr>
                  <a:defRPr sz="699" b="1" i="0" u="none" strike="noStrike" kern="1200" baseline="0">
                    <a:solidFill>
                      <a:sysClr val="windowText" lastClr="000000"/>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0.0</c:formatCode>
                <c:ptCount val="5"/>
                <c:pt idx="0">
                  <c:v>5.2000000000000028</c:v>
                </c:pt>
                <c:pt idx="1">
                  <c:v>7.5999999999999943</c:v>
                </c:pt>
                <c:pt idx="2">
                  <c:v>-7.2000000000000028</c:v>
                </c:pt>
                <c:pt idx="3">
                  <c:v>5.7000000000000028</c:v>
                </c:pt>
                <c:pt idx="4">
                  <c:v>12.599999999999994</c:v>
                </c:pt>
              </c:numCache>
            </c:numRef>
          </c:val>
          <c:smooth val="0"/>
          <c:extLst>
            <c:ext xmlns:c16="http://schemas.microsoft.com/office/drawing/2014/chart" uri="{C3380CC4-5D6E-409C-BE32-E72D297353CC}">
              <c16:uniqueId val="{0000000B-AC84-451F-9B81-511F0AAE732B}"/>
            </c:ext>
          </c:extLst>
        </c:ser>
        <c:dLbls>
          <c:showLegendKey val="0"/>
          <c:showVal val="0"/>
          <c:showCatName val="0"/>
          <c:showSerName val="0"/>
          <c:showPercent val="0"/>
          <c:showBubbleSize val="0"/>
        </c:dLbls>
        <c:marker val="1"/>
        <c:smooth val="0"/>
        <c:axId val="181881064"/>
        <c:axId val="1"/>
      </c:lineChart>
      <c:catAx>
        <c:axId val="181881064"/>
        <c:scaling>
          <c:orientation val="minMax"/>
        </c:scaling>
        <c:delete val="0"/>
        <c:axPos val="b"/>
        <c:numFmt formatCode="General" sourceLinked="1"/>
        <c:majorTickMark val="none"/>
        <c:minorTickMark val="none"/>
        <c:tickLblPos val="nextTo"/>
        <c:spPr>
          <a:noFill/>
          <a:ln w="950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ax val="20"/>
          <c:min val="-16"/>
        </c:scaling>
        <c:delete val="0"/>
        <c:axPos val="l"/>
        <c:majorGridlines>
          <c:spPr>
            <a:ln w="9509" cap="flat" cmpd="sng" algn="ctr">
              <a:solidFill>
                <a:schemeClr val="tx1">
                  <a:lumMod val="15000"/>
                  <a:lumOff val="85000"/>
                </a:schemeClr>
              </a:solidFill>
              <a:round/>
            </a:ln>
            <a:effectLst/>
          </c:spPr>
        </c:majorGridlines>
        <c:numFmt formatCode="0.0" sourceLinked="1"/>
        <c:majorTickMark val="none"/>
        <c:minorTickMark val="none"/>
        <c:tickLblPos val="nextTo"/>
        <c:spPr>
          <a:ln w="9509">
            <a:noFill/>
          </a:ln>
        </c:spPr>
        <c:txPr>
          <a:bodyPr rot="-6000000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crossAx val="181881064"/>
        <c:crosses val="autoZero"/>
        <c:crossBetween val="between"/>
        <c:majorUnit val="8"/>
      </c:valAx>
      <c:spPr>
        <a:solidFill>
          <a:schemeClr val="bg1"/>
        </a:solidFill>
        <a:ln>
          <a:noFill/>
        </a:ln>
        <a:effectLst/>
      </c:spPr>
    </c:plotArea>
    <c:legend>
      <c:legendPos val="b"/>
      <c:layout>
        <c:manualLayout>
          <c:xMode val="edge"/>
          <c:yMode val="edge"/>
          <c:x val="4.7199100112485938E-2"/>
          <c:y val="0.75835259954207856"/>
          <c:w val="0.92230450785488549"/>
          <c:h val="0.24164740045792144"/>
        </c:manualLayout>
      </c:layout>
      <c:overlay val="0"/>
      <c:spPr>
        <a:noFill/>
        <a:ln w="25358">
          <a:noFill/>
        </a:ln>
      </c:spPr>
      <c:txPr>
        <a:bodyPr rot="0" spcFirstLastPara="1" vertOverflow="ellipsis" vert="horz" wrap="square" anchor="ctr" anchorCtr="1"/>
        <a:lstStyle/>
        <a:p>
          <a:pPr>
            <a:defRPr sz="599"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09" cap="flat" cmpd="sng" algn="ctr">
      <a:solidFill>
        <a:schemeClr val="bg2"/>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671697287839014E-2"/>
          <c:y val="6.2195054565547726E-2"/>
          <c:w val="0.84915654061760815"/>
          <c:h val="0.66796173504627709"/>
        </c:manualLayout>
      </c:layout>
      <c:barChart>
        <c:barDir val="col"/>
        <c:grouping val="stacked"/>
        <c:varyColors val="0"/>
        <c:ser>
          <c:idx val="0"/>
          <c:order val="0"/>
          <c:tx>
            <c:strRef>
              <c:f>Sheet1!$B$1</c:f>
              <c:strCache>
                <c:ptCount val="1"/>
                <c:pt idx="0">
                  <c:v>ՀՆԱ</c:v>
                </c:pt>
              </c:strCache>
            </c:strRef>
          </c:tx>
          <c:spPr>
            <a:ln w="28562" cap="rnd">
              <a:solidFill>
                <a:schemeClr val="accent1"/>
              </a:solidFill>
              <a:round/>
            </a:ln>
            <a:effectLst/>
          </c:spPr>
          <c:invertIfNegative val="0"/>
          <c:dLbls>
            <c:dLbl>
              <c:idx val="0"/>
              <c:layout>
                <c:manualLayout>
                  <c:x val="-2.4948640679174364E-2"/>
                  <c:y val="-4.801370317749067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DB-40BB-A731-6D33205063A4}"/>
                </c:ext>
              </c:extLst>
            </c:dLbl>
            <c:dLbl>
              <c:idx val="1"/>
              <c:layout>
                <c:manualLayout>
                  <c:x val="-4.963999870386572E-2"/>
                  <c:y val="-4.48354158091115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DB-40BB-A731-6D33205063A4}"/>
                </c:ext>
              </c:extLst>
            </c:dLbl>
            <c:dLbl>
              <c:idx val="2"/>
              <c:layout>
                <c:manualLayout>
                  <c:x val="-7.7932017757039701E-2"/>
                  <c:y val="-4.24527625446481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DB-40BB-A731-6D33205063A4}"/>
                </c:ext>
              </c:extLst>
            </c:dLbl>
            <c:dLbl>
              <c:idx val="3"/>
              <c:layout>
                <c:manualLayout>
                  <c:x val="-7.8446583066005632E-2"/>
                  <c:y val="-3.84846835123687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DB-40BB-A731-6D33205063A4}"/>
                </c:ext>
              </c:extLst>
            </c:dLbl>
            <c:spPr>
              <a:noFill/>
              <a:ln w="25388">
                <a:noFill/>
              </a:ln>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Sheet1!$B$2:$B$6</c:f>
            </c:numRef>
          </c:val>
          <c:extLst>
            <c:ext xmlns:c16="http://schemas.microsoft.com/office/drawing/2014/chart" uri="{C3380CC4-5D6E-409C-BE32-E72D297353CC}">
              <c16:uniqueId val="{00000004-3ADB-40BB-A731-6D33205063A4}"/>
            </c:ext>
          </c:extLst>
        </c:ser>
        <c:ser>
          <c:idx val="1"/>
          <c:order val="1"/>
          <c:tx>
            <c:strRef>
              <c:f>Sheet1!$C$1</c:f>
              <c:strCache>
                <c:ptCount val="1"/>
                <c:pt idx="0">
                  <c:v>Պետական սպառում</c:v>
                </c:pt>
              </c:strCache>
            </c:strRef>
          </c:tx>
          <c:spPr>
            <a:solidFill>
              <a:srgbClr val="4F81BD">
                <a:lumMod val="60000"/>
                <a:lumOff val="40000"/>
              </a:srgbClr>
            </a:solidFill>
            <a:ln>
              <a:noFill/>
            </a:ln>
            <a:effectLst/>
          </c:spPr>
          <c:invertIfNegative val="0"/>
          <c:dLbls>
            <c:dLbl>
              <c:idx val="1"/>
              <c:layout>
                <c:manualLayout>
                  <c:x val="3.7722472320059236E-17"/>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DB-40BB-A731-6D33205063A4}"/>
                </c:ext>
              </c:extLst>
            </c:dLbl>
            <c:dLbl>
              <c:idx val="4"/>
              <c:layout>
                <c:manualLayout>
                  <c:x val="4.1152263374484091E-3"/>
                  <c:y val="-6.183177587706168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DB-40BB-A731-6D33205063A4}"/>
                </c:ext>
              </c:extLst>
            </c:dLbl>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11.486690322170626</c:v>
                </c:pt>
                <c:pt idx="1">
                  <c:v>12.564560098511432</c:v>
                </c:pt>
                <c:pt idx="2">
                  <c:v>14.968618237369189</c:v>
                </c:pt>
                <c:pt idx="3">
                  <c:v>15.793103571729047</c:v>
                </c:pt>
                <c:pt idx="4">
                  <c:v>14.702231834231752</c:v>
                </c:pt>
              </c:numCache>
            </c:numRef>
          </c:val>
          <c:extLst>
            <c:ext xmlns:c16="http://schemas.microsoft.com/office/drawing/2014/chart" uri="{C3380CC4-5D6E-409C-BE32-E72D297353CC}">
              <c16:uniqueId val="{00000007-3ADB-40BB-A731-6D33205063A4}"/>
            </c:ext>
          </c:extLst>
        </c:ser>
        <c:ser>
          <c:idx val="2"/>
          <c:order val="2"/>
          <c:tx>
            <c:strRef>
              <c:f>Sheet1!$D$1</c:f>
              <c:strCache>
                <c:ptCount val="1"/>
                <c:pt idx="0">
                  <c:v>Մասնավոր սպառում</c:v>
                </c:pt>
              </c:strCache>
            </c:strRef>
          </c:tx>
          <c:spPr>
            <a:solidFill>
              <a:srgbClr val="4F81BD"/>
            </a:solidFill>
            <a:ln w="25388">
              <a:noFill/>
            </a:ln>
          </c:spPr>
          <c:invertIfNegative val="0"/>
          <c:dLbls>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c:v>79.800889315056679</c:v>
                </c:pt>
                <c:pt idx="1">
                  <c:v>83.439461895332727</c:v>
                </c:pt>
                <c:pt idx="2">
                  <c:v>75.326382528252708</c:v>
                </c:pt>
                <c:pt idx="3">
                  <c:v>72.01058862910979</c:v>
                </c:pt>
                <c:pt idx="4">
                  <c:v>68.966930758930033</c:v>
                </c:pt>
              </c:numCache>
            </c:numRef>
          </c:val>
          <c:extLst>
            <c:ext xmlns:c16="http://schemas.microsoft.com/office/drawing/2014/chart" uri="{C3380CC4-5D6E-409C-BE32-E72D297353CC}">
              <c16:uniqueId val="{00000008-3ADB-40BB-A731-6D33205063A4}"/>
            </c:ext>
          </c:extLst>
        </c:ser>
        <c:ser>
          <c:idx val="3"/>
          <c:order val="3"/>
          <c:tx>
            <c:strRef>
              <c:f>Sheet1!$E$1</c:f>
              <c:strCache>
                <c:ptCount val="1"/>
                <c:pt idx="0">
                  <c:v>Պետական ներդրումներ</c:v>
                </c:pt>
              </c:strCache>
            </c:strRef>
          </c:tx>
          <c:spPr>
            <a:solidFill>
              <a:srgbClr val="F79646">
                <a:lumMod val="60000"/>
                <a:lumOff val="40000"/>
              </a:srgbClr>
            </a:solidFill>
          </c:spPr>
          <c:invertIfNegative val="0"/>
          <c:cat>
            <c:numRef>
              <c:f>Sheet1!$A$2:$A$6</c:f>
              <c:numCache>
                <c:formatCode>General</c:formatCode>
                <c:ptCount val="5"/>
                <c:pt idx="0">
                  <c:v>2018</c:v>
                </c:pt>
                <c:pt idx="1">
                  <c:v>2019</c:v>
                </c:pt>
                <c:pt idx="2">
                  <c:v>2020</c:v>
                </c:pt>
                <c:pt idx="3">
                  <c:v>2021</c:v>
                </c:pt>
                <c:pt idx="4">
                  <c:v>2022</c:v>
                </c:pt>
              </c:numCache>
            </c:numRef>
          </c:cat>
          <c:val>
            <c:numRef>
              <c:f>Sheet1!$E$2:$E$6</c:f>
              <c:numCache>
                <c:formatCode>0.0</c:formatCode>
                <c:ptCount val="5"/>
                <c:pt idx="0">
                  <c:v>2.6842754717472812</c:v>
                </c:pt>
                <c:pt idx="1">
                  <c:v>2.7607445502680306</c:v>
                </c:pt>
                <c:pt idx="2">
                  <c:v>3.3429321743115143</c:v>
                </c:pt>
                <c:pt idx="3">
                  <c:v>4.0706777388536741</c:v>
                </c:pt>
                <c:pt idx="4">
                  <c:v>4.0050348474445254</c:v>
                </c:pt>
              </c:numCache>
            </c:numRef>
          </c:val>
          <c:extLst>
            <c:ext xmlns:c16="http://schemas.microsoft.com/office/drawing/2014/chart" uri="{C3380CC4-5D6E-409C-BE32-E72D297353CC}">
              <c16:uniqueId val="{00000009-3ADB-40BB-A731-6D33205063A4}"/>
            </c:ext>
          </c:extLst>
        </c:ser>
        <c:ser>
          <c:idx val="4"/>
          <c:order val="4"/>
          <c:tx>
            <c:strRef>
              <c:f>Sheet1!$F$1</c:f>
              <c:strCache>
                <c:ptCount val="1"/>
                <c:pt idx="0">
                  <c:v>Մասնավոր ներդրումներ</c:v>
                </c:pt>
              </c:strCache>
            </c:strRef>
          </c:tx>
          <c:invertIfNegative val="0"/>
          <c:dLbls>
            <c:dLbl>
              <c:idx val="0"/>
              <c:layout>
                <c:manualLayout>
                  <c:x val="-1.8861236160029618E-17"/>
                  <c:y val="-6.745362563237804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ADB-40BB-A731-6D33205063A4}"/>
                </c:ext>
              </c:extLst>
            </c:dLbl>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Sheet1!$F$2:$F$6</c:f>
              <c:numCache>
                <c:formatCode>0.0</c:formatCode>
                <c:ptCount val="5"/>
                <c:pt idx="0">
                  <c:v>14.056635400770132</c:v>
                </c:pt>
                <c:pt idx="1">
                  <c:v>13.054853881708828</c:v>
                </c:pt>
                <c:pt idx="2">
                  <c:v>14.430989077699156</c:v>
                </c:pt>
                <c:pt idx="3">
                  <c:v>14.190795095920967</c:v>
                </c:pt>
                <c:pt idx="4">
                  <c:v>13.500412511542612</c:v>
                </c:pt>
              </c:numCache>
            </c:numRef>
          </c:val>
          <c:extLst>
            <c:ext xmlns:c16="http://schemas.microsoft.com/office/drawing/2014/chart" uri="{C3380CC4-5D6E-409C-BE32-E72D297353CC}">
              <c16:uniqueId val="{0000000B-3ADB-40BB-A731-6D33205063A4}"/>
            </c:ext>
          </c:extLst>
        </c:ser>
        <c:ser>
          <c:idx val="5"/>
          <c:order val="5"/>
          <c:tx>
            <c:strRef>
              <c:f>Sheet1!$G$1</c:f>
              <c:strCache>
                <c:ptCount val="1"/>
                <c:pt idx="0">
                  <c:v>Արտահանում</c:v>
                </c:pt>
              </c:strCache>
            </c:strRef>
          </c:tx>
          <c:spPr>
            <a:solidFill>
              <a:srgbClr val="1F497D">
                <a:lumMod val="40000"/>
                <a:lumOff val="60000"/>
              </a:srgbClr>
            </a:solidFill>
          </c:spPr>
          <c:invertIfNegative val="0"/>
          <c:dLbls>
            <c:dLbl>
              <c:idx val="0"/>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extLst>
                <c:ext xmlns:c16="http://schemas.microsoft.com/office/drawing/2014/chart" uri="{C3380CC4-5D6E-409C-BE32-E72D297353CC}">
                  <c16:uniqueId val="{0000000C-3ADB-40BB-A731-6D33205063A4}"/>
                </c:ext>
              </c:extLst>
            </c:dLbl>
            <c:dLbl>
              <c:idx val="1"/>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extLst>
                <c:ext xmlns:c16="http://schemas.microsoft.com/office/drawing/2014/chart" uri="{C3380CC4-5D6E-409C-BE32-E72D297353CC}">
                  <c16:uniqueId val="{0000000D-3ADB-40BB-A731-6D33205063A4}"/>
                </c:ext>
              </c:extLst>
            </c:dLbl>
            <c:dLbl>
              <c:idx val="2"/>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extLst>
                <c:ext xmlns:c16="http://schemas.microsoft.com/office/drawing/2014/chart" uri="{C3380CC4-5D6E-409C-BE32-E72D297353CC}">
                  <c16:uniqueId val="{0000000E-3ADB-40BB-A731-6D33205063A4}"/>
                </c:ext>
              </c:extLst>
            </c:dLbl>
            <c:dLbl>
              <c:idx val="3"/>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extLst>
                <c:ext xmlns:c16="http://schemas.microsoft.com/office/drawing/2014/chart" uri="{C3380CC4-5D6E-409C-BE32-E72D297353CC}">
                  <c16:uniqueId val="{0000000F-3ADB-40BB-A731-6D33205063A4}"/>
                </c:ext>
              </c:extLst>
            </c:dLbl>
            <c:dLbl>
              <c:idx val="4"/>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extLst>
                <c:ext xmlns:c16="http://schemas.microsoft.com/office/drawing/2014/chart" uri="{C3380CC4-5D6E-409C-BE32-E72D297353CC}">
                  <c16:uniqueId val="{00000010-3ADB-40BB-A731-6D33205063A4}"/>
                </c:ext>
              </c:extLst>
            </c:dLbl>
            <c:spPr>
              <a:noFill/>
              <a:ln w="25388">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Sheet1!$G$2:$G$6</c:f>
              <c:numCache>
                <c:formatCode>0.0</c:formatCode>
                <c:ptCount val="5"/>
                <c:pt idx="0">
                  <c:v>39.392894028607309</c:v>
                </c:pt>
                <c:pt idx="1">
                  <c:v>41.35080136208493</c:v>
                </c:pt>
                <c:pt idx="2">
                  <c:v>29.764986915193397</c:v>
                </c:pt>
                <c:pt idx="3">
                  <c:v>35.335979535906148</c:v>
                </c:pt>
                <c:pt idx="4">
                  <c:v>47.680238320925881</c:v>
                </c:pt>
              </c:numCache>
            </c:numRef>
          </c:val>
          <c:extLst>
            <c:ext xmlns:c16="http://schemas.microsoft.com/office/drawing/2014/chart" uri="{C3380CC4-5D6E-409C-BE32-E72D297353CC}">
              <c16:uniqueId val="{00000011-3ADB-40BB-A731-6D33205063A4}"/>
            </c:ext>
          </c:extLst>
        </c:ser>
        <c:ser>
          <c:idx val="6"/>
          <c:order val="6"/>
          <c:tx>
            <c:strRef>
              <c:f>Sheet1!$H$1</c:f>
              <c:strCache>
                <c:ptCount val="1"/>
                <c:pt idx="0">
                  <c:v>Ներմուծում</c:v>
                </c:pt>
              </c:strCache>
            </c:strRef>
          </c:tx>
          <c:spPr>
            <a:solidFill>
              <a:sysClr val="window" lastClr="FFFFFF">
                <a:lumMod val="65000"/>
              </a:sysClr>
            </a:solidFill>
          </c:spPr>
          <c:invertIfNegative val="0"/>
          <c:dLbls>
            <c:dLbl>
              <c:idx val="0"/>
              <c:layout>
                <c:manualLayout>
                  <c:x val="-1.8861236160029618E-17"/>
                  <c:y val="3.37268128161889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ADB-40BB-A731-6D33205063A4}"/>
                </c:ext>
              </c:extLst>
            </c:dLbl>
            <c:dLbl>
              <c:idx val="1"/>
              <c:layout>
                <c:manualLayout>
                  <c:x val="0"/>
                  <c:y val="4.04721753794267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ADB-40BB-A731-6D33205063A4}"/>
                </c:ext>
              </c:extLst>
            </c:dLbl>
            <c:dLbl>
              <c:idx val="2"/>
              <c:layout>
                <c:manualLayout>
                  <c:x val="0"/>
                  <c:y val="1.3490725126475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ADB-40BB-A731-6D33205063A4}"/>
                </c:ext>
              </c:extLst>
            </c:dLbl>
            <c:dLbl>
              <c:idx val="3"/>
              <c:layout>
                <c:manualLayout>
                  <c:x val="0"/>
                  <c:y val="1.3491256257386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ADB-40BB-A731-6D33205063A4}"/>
                </c:ext>
              </c:extLst>
            </c:dLbl>
            <c:dLbl>
              <c:idx val="4"/>
              <c:layout>
                <c:manualLayout>
                  <c:x val="0"/>
                  <c:y val="2.02376810824447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ADB-40BB-A731-6D33205063A4}"/>
                </c:ext>
              </c:extLst>
            </c:dLbl>
            <c:spPr>
              <a:noFill/>
              <a:ln w="25388">
                <a:noFill/>
              </a:ln>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Sheet1!$H$2:$H$6</c:f>
              <c:numCache>
                <c:formatCode>0.0</c:formatCode>
                <c:ptCount val="5"/>
                <c:pt idx="0">
                  <c:v>-53.0802129926047</c:v>
                </c:pt>
                <c:pt idx="1">
                  <c:v>-54.7633527667858</c:v>
                </c:pt>
                <c:pt idx="2">
                  <c:v>-39.723820624414202</c:v>
                </c:pt>
                <c:pt idx="3">
                  <c:v>-43.830783854273903</c:v>
                </c:pt>
                <c:pt idx="4">
                  <c:v>-50.746506499287101</c:v>
                </c:pt>
              </c:numCache>
            </c:numRef>
          </c:val>
          <c:extLst>
            <c:ext xmlns:c16="http://schemas.microsoft.com/office/drawing/2014/chart" uri="{C3380CC4-5D6E-409C-BE32-E72D297353CC}">
              <c16:uniqueId val="{00000017-3ADB-40BB-A731-6D33205063A4}"/>
            </c:ext>
          </c:extLst>
        </c:ser>
        <c:ser>
          <c:idx val="7"/>
          <c:order val="7"/>
          <c:tx>
            <c:strRef>
              <c:f>Sheet1!$I$1</c:f>
              <c:strCache>
                <c:ptCount val="1"/>
                <c:pt idx="0">
                  <c:v>Վիճակագրական շեղում</c:v>
                </c:pt>
              </c:strCache>
            </c:strRef>
          </c:tx>
          <c:invertIfNegative val="0"/>
          <c:cat>
            <c:numRef>
              <c:f>Sheet1!$A$2:$A$6</c:f>
              <c:numCache>
                <c:formatCode>General</c:formatCode>
                <c:ptCount val="5"/>
                <c:pt idx="0">
                  <c:v>2018</c:v>
                </c:pt>
                <c:pt idx="1">
                  <c:v>2019</c:v>
                </c:pt>
                <c:pt idx="2">
                  <c:v>2020</c:v>
                </c:pt>
                <c:pt idx="3">
                  <c:v>2021</c:v>
                </c:pt>
                <c:pt idx="4">
                  <c:v>2022</c:v>
                </c:pt>
              </c:numCache>
            </c:numRef>
          </c:cat>
          <c:val>
            <c:numRef>
              <c:f>Sheet1!$I$2:$I$6</c:f>
              <c:numCache>
                <c:formatCode>0.0</c:formatCode>
                <c:ptCount val="5"/>
                <c:pt idx="0">
                  <c:v>5.6588284542526885</c:v>
                </c:pt>
                <c:pt idx="1">
                  <c:v>1.5929309788798727</c:v>
                </c:pt>
                <c:pt idx="2">
                  <c:v>1.8899116915882788</c:v>
                </c:pt>
                <c:pt idx="3">
                  <c:v>2.4296392827542692</c:v>
                </c:pt>
                <c:pt idx="4">
                  <c:v>1.8916582262123358</c:v>
                </c:pt>
              </c:numCache>
            </c:numRef>
          </c:val>
          <c:extLst>
            <c:ext xmlns:c16="http://schemas.microsoft.com/office/drawing/2014/chart" uri="{C3380CC4-5D6E-409C-BE32-E72D297353CC}">
              <c16:uniqueId val="{00000018-3ADB-40BB-A731-6D33205063A4}"/>
            </c:ext>
          </c:extLst>
        </c:ser>
        <c:dLbls>
          <c:showLegendKey val="0"/>
          <c:showVal val="0"/>
          <c:showCatName val="0"/>
          <c:showSerName val="0"/>
          <c:showPercent val="0"/>
          <c:showBubbleSize val="0"/>
        </c:dLbls>
        <c:gapWidth val="150"/>
        <c:overlap val="100"/>
        <c:axId val="180902112"/>
        <c:axId val="1"/>
      </c:barChart>
      <c:catAx>
        <c:axId val="180902112"/>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300"/>
        <c:noMultiLvlLbl val="0"/>
      </c:catAx>
      <c:valAx>
        <c:axId val="1"/>
        <c:scaling>
          <c:orientation val="minMax"/>
          <c:max val="160"/>
          <c:min val="-60"/>
        </c:scaling>
        <c:delete val="0"/>
        <c:axPos val="l"/>
        <c:majorGridlines>
          <c:spPr>
            <a:ln w="9521" cap="flat" cmpd="sng" algn="ctr">
              <a:solidFill>
                <a:schemeClr val="tx1">
                  <a:lumMod val="15000"/>
                  <a:lumOff val="85000"/>
                </a:schemeClr>
              </a:solidFill>
              <a:round/>
            </a:ln>
            <a:effectLst/>
          </c:spPr>
        </c:majorGridlines>
        <c:numFmt formatCode="0.0" sourceLinked="1"/>
        <c:majorTickMark val="none"/>
        <c:minorTickMark val="none"/>
        <c:tickLblPos val="nextTo"/>
        <c:spPr>
          <a:ln w="9521">
            <a:noFill/>
          </a:ln>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180902112"/>
        <c:crosses val="autoZero"/>
        <c:crossBetween val="between"/>
        <c:majorUnit val="30"/>
      </c:valAx>
      <c:spPr>
        <a:solidFill>
          <a:schemeClr val="bg1"/>
        </a:solidFill>
        <a:ln>
          <a:noFill/>
        </a:ln>
        <a:effectLst/>
      </c:spPr>
    </c:plotArea>
    <c:legend>
      <c:legendPos val="b"/>
      <c:layout>
        <c:manualLayout>
          <c:xMode val="edge"/>
          <c:yMode val="edge"/>
          <c:x val="5.131417490011201E-2"/>
          <c:y val="0.75835259954207856"/>
          <c:w val="0.89966698430212144"/>
          <c:h val="0.24164740045792144"/>
        </c:manualLayout>
      </c:layout>
      <c:overlay val="0"/>
      <c:spPr>
        <a:noFill/>
        <a:ln w="25388">
          <a:noFill/>
        </a:ln>
      </c:spPr>
      <c:txPr>
        <a:bodyPr rot="0" spcFirstLastPara="1" vertOverflow="ellipsis" vert="horz" wrap="square" anchor="ctr" anchorCtr="1"/>
        <a:lstStyle/>
        <a:p>
          <a:pPr>
            <a:defRPr sz="6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1" cap="flat" cmpd="sng" algn="ctr">
      <a:solidFill>
        <a:schemeClr val="bg2"/>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671697287839014E-2"/>
          <c:y val="6.2195054565547726E-2"/>
          <c:w val="0.84915654061760815"/>
          <c:h val="0.65196178477690292"/>
        </c:manualLayout>
      </c:layout>
      <c:barChart>
        <c:barDir val="col"/>
        <c:grouping val="clustered"/>
        <c:varyColors val="0"/>
        <c:ser>
          <c:idx val="1"/>
          <c:order val="0"/>
          <c:tx>
            <c:strRef>
              <c:f>Sheet1!$D$1</c:f>
              <c:strCache>
                <c:ptCount val="1"/>
                <c:pt idx="0">
                  <c:v>Գործազուրկներ, հազ. մարդ</c:v>
                </c:pt>
              </c:strCache>
            </c:strRef>
          </c:tx>
          <c:spPr>
            <a:solidFill>
              <a:srgbClr val="4F81BD">
                <a:lumMod val="60000"/>
                <a:lumOff val="40000"/>
              </a:srgbClr>
            </a:solidFill>
            <a:ln>
              <a:noFill/>
            </a:ln>
            <a:effectLst/>
          </c:spPr>
          <c:invertIfNegative val="0"/>
          <c:cat>
            <c:numRef>
              <c:f>Sheet1!$A$2:$A$5</c:f>
              <c:numCache>
                <c:formatCode>General</c:formatCode>
                <c:ptCount val="4"/>
                <c:pt idx="0">
                  <c:v>2019</c:v>
                </c:pt>
                <c:pt idx="1">
                  <c:v>2020</c:v>
                </c:pt>
                <c:pt idx="2">
                  <c:v>2021</c:v>
                </c:pt>
                <c:pt idx="3">
                  <c:v>2022</c:v>
                </c:pt>
              </c:numCache>
            </c:numRef>
          </c:cat>
          <c:val>
            <c:numRef>
              <c:f>Sheet1!$D$2:$D$5</c:f>
              <c:numCache>
                <c:formatCode>0.0</c:formatCode>
                <c:ptCount val="4"/>
                <c:pt idx="0">
                  <c:v>240.8</c:v>
                </c:pt>
                <c:pt idx="1">
                  <c:v>234.4</c:v>
                </c:pt>
                <c:pt idx="2">
                  <c:v>199</c:v>
                </c:pt>
                <c:pt idx="3">
                  <c:v>170.1</c:v>
                </c:pt>
              </c:numCache>
            </c:numRef>
          </c:val>
          <c:extLst>
            <c:ext xmlns:c16="http://schemas.microsoft.com/office/drawing/2014/chart" uri="{C3380CC4-5D6E-409C-BE32-E72D297353CC}">
              <c16:uniqueId val="{00000000-455F-4E80-B0DA-B87B6C3D7637}"/>
            </c:ext>
          </c:extLst>
        </c:ser>
        <c:ser>
          <c:idx val="0"/>
          <c:order val="2"/>
          <c:tx>
            <c:strRef>
              <c:f>Sheet1!$C$1</c:f>
              <c:strCache>
                <c:ptCount val="1"/>
                <c:pt idx="0">
                  <c:v>Զբաղվածներ, հազ. մարդ</c:v>
                </c:pt>
              </c:strCache>
            </c:strRef>
          </c:tx>
          <c:spPr>
            <a:solidFill>
              <a:srgbClr val="1F497D"/>
            </a:solidFill>
            <a:ln>
              <a:solidFill>
                <a:srgbClr val="4F81BD"/>
              </a:solidFill>
            </a:ln>
          </c:spPr>
          <c:invertIfNegative val="0"/>
          <c:cat>
            <c:numRef>
              <c:f>Sheet1!$A$2:$A$5</c:f>
              <c:numCache>
                <c:formatCode>General</c:formatCode>
                <c:ptCount val="4"/>
                <c:pt idx="0">
                  <c:v>2019</c:v>
                </c:pt>
                <c:pt idx="1">
                  <c:v>2020</c:v>
                </c:pt>
                <c:pt idx="2">
                  <c:v>2021</c:v>
                </c:pt>
                <c:pt idx="3">
                  <c:v>2022</c:v>
                </c:pt>
              </c:numCache>
            </c:numRef>
          </c:cat>
          <c:val>
            <c:numRef>
              <c:f>Sheet1!$C$2:$C$5</c:f>
              <c:numCache>
                <c:formatCode>0.0</c:formatCode>
                <c:ptCount val="4"/>
                <c:pt idx="0">
                  <c:v>1077.4000000000001</c:v>
                </c:pt>
                <c:pt idx="1">
                  <c:v>1052.4000000000001</c:v>
                </c:pt>
                <c:pt idx="2">
                  <c:v>1088.3</c:v>
                </c:pt>
                <c:pt idx="3">
                  <c:v>1139.0999999999999</c:v>
                </c:pt>
              </c:numCache>
            </c:numRef>
          </c:val>
          <c:extLst>
            <c:ext xmlns:c16="http://schemas.microsoft.com/office/drawing/2014/chart" uri="{C3380CC4-5D6E-409C-BE32-E72D297353CC}">
              <c16:uniqueId val="{00000001-455F-4E80-B0DA-B87B6C3D7637}"/>
            </c:ext>
          </c:extLst>
        </c:ser>
        <c:ser>
          <c:idx val="3"/>
          <c:order val="3"/>
          <c:tx>
            <c:strRef>
              <c:f>Sheet1!$B$1</c:f>
              <c:strCache>
                <c:ptCount val="1"/>
                <c:pt idx="0">
                  <c:v>Վարձու աշխատողներ, հազ. մարդ</c:v>
                </c:pt>
              </c:strCache>
            </c:strRef>
          </c:tx>
          <c:invertIfNegative val="0"/>
          <c:cat>
            <c:numRef>
              <c:f>Sheet1!$A$2:$A$5</c:f>
              <c:numCache>
                <c:formatCode>General</c:formatCode>
                <c:ptCount val="4"/>
                <c:pt idx="0">
                  <c:v>2019</c:v>
                </c:pt>
                <c:pt idx="1">
                  <c:v>2020</c:v>
                </c:pt>
                <c:pt idx="2">
                  <c:v>2021</c:v>
                </c:pt>
                <c:pt idx="3">
                  <c:v>2022</c:v>
                </c:pt>
              </c:numCache>
            </c:numRef>
          </c:cat>
          <c:val>
            <c:numRef>
              <c:f>Sheet1!$B$2:$B$5</c:f>
              <c:numCache>
                <c:formatCode>General</c:formatCode>
                <c:ptCount val="4"/>
                <c:pt idx="0">
                  <c:v>598.4</c:v>
                </c:pt>
                <c:pt idx="1">
                  <c:v>624.1</c:v>
                </c:pt>
                <c:pt idx="2">
                  <c:v>649.70000000000005</c:v>
                </c:pt>
                <c:pt idx="3">
                  <c:v>684.8</c:v>
                </c:pt>
              </c:numCache>
            </c:numRef>
          </c:val>
          <c:extLst>
            <c:ext xmlns:c16="http://schemas.microsoft.com/office/drawing/2014/chart" uri="{C3380CC4-5D6E-409C-BE32-E72D297353CC}">
              <c16:uniqueId val="{00000002-455F-4E80-B0DA-B87B6C3D7637}"/>
            </c:ext>
          </c:extLst>
        </c:ser>
        <c:dLbls>
          <c:showLegendKey val="0"/>
          <c:showVal val="0"/>
          <c:showCatName val="0"/>
          <c:showSerName val="0"/>
          <c:showPercent val="0"/>
          <c:showBubbleSize val="0"/>
        </c:dLbls>
        <c:gapWidth val="150"/>
        <c:axId val="121480768"/>
        <c:axId val="1"/>
      </c:barChart>
      <c:lineChart>
        <c:grouping val="standard"/>
        <c:varyColors val="0"/>
        <c:ser>
          <c:idx val="2"/>
          <c:order val="1"/>
          <c:tx>
            <c:strRef>
              <c:f>Sheet1!$E$1</c:f>
              <c:strCache>
                <c:ptCount val="1"/>
                <c:pt idx="0">
                  <c:v>Գործազրկության մակարդակ, %, աջ առանցք</c:v>
                </c:pt>
              </c:strCache>
            </c:strRef>
          </c:tx>
          <c:spPr>
            <a:ln>
              <a:solidFill>
                <a:srgbClr val="4F81BD"/>
              </a:solidFill>
            </a:ln>
            <a:effectLst/>
          </c:spPr>
          <c:marker>
            <c:spPr>
              <a:solidFill>
                <a:srgbClr val="4F81BD"/>
              </a:solidFill>
              <a:ln>
                <a:solidFill>
                  <a:srgbClr val="4F81BD"/>
                </a:solidFill>
              </a:ln>
            </c:spPr>
          </c:marker>
          <c:dLbls>
            <c:dLbl>
              <c:idx val="0"/>
              <c:layout>
                <c:manualLayout>
                  <c:x val="-6.9958847736625515E-2"/>
                  <c:y val="-3.7333333333333336E-2"/>
                </c:manualLayout>
              </c:layout>
              <c:spPr>
                <a:noFill/>
                <a:ln w="25392">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5F-4E80-B0DA-B87B6C3D7637}"/>
                </c:ext>
              </c:extLst>
            </c:dLbl>
            <c:dLbl>
              <c:idx val="1"/>
              <c:layout>
                <c:manualLayout>
                  <c:x val="-7.8189300411522708E-2"/>
                  <c:y val="-3.2000000000000015E-2"/>
                </c:manualLayout>
              </c:layout>
              <c:spPr>
                <a:noFill/>
                <a:ln w="25392">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5F-4E80-B0DA-B87B6C3D7637}"/>
                </c:ext>
              </c:extLst>
            </c:dLbl>
            <c:dLbl>
              <c:idx val="2"/>
              <c:layout>
                <c:manualLayout>
                  <c:x val="-6.1517089834500514E-2"/>
                  <c:y val="-4.8038441866779483E-2"/>
                </c:manualLayout>
              </c:layout>
              <c:spPr>
                <a:noFill/>
                <a:ln w="25392">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5F-4E80-B0DA-B87B6C3D7637}"/>
                </c:ext>
              </c:extLst>
            </c:dLbl>
            <c:dLbl>
              <c:idx val="3"/>
              <c:layout>
                <c:manualLayout>
                  <c:x val="-0.10593992511160644"/>
                  <c:y val="-6.9410469641575503E-2"/>
                </c:manualLayout>
              </c:layout>
              <c:spPr>
                <a:noFill/>
                <a:ln w="25392">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5F-4E80-B0DA-B87B6C3D7637}"/>
                </c:ext>
              </c:extLst>
            </c:dLbl>
            <c:spPr>
              <a:noFill/>
              <a:ln w="2539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pt idx="3">
                  <c:v>2022</c:v>
                </c:pt>
              </c:numCache>
            </c:numRef>
          </c:cat>
          <c:val>
            <c:numRef>
              <c:f>Sheet1!$E$2:$E$5</c:f>
              <c:numCache>
                <c:formatCode>0.0</c:formatCode>
                <c:ptCount val="4"/>
                <c:pt idx="0">
                  <c:v>18.3</c:v>
                </c:pt>
                <c:pt idx="1">
                  <c:v>18.2</c:v>
                </c:pt>
                <c:pt idx="2">
                  <c:v>15.5</c:v>
                </c:pt>
                <c:pt idx="3">
                  <c:v>13</c:v>
                </c:pt>
              </c:numCache>
            </c:numRef>
          </c:val>
          <c:smooth val="0"/>
          <c:extLst>
            <c:ext xmlns:c16="http://schemas.microsoft.com/office/drawing/2014/chart" uri="{C3380CC4-5D6E-409C-BE32-E72D297353CC}">
              <c16:uniqueId val="{00000007-455F-4E80-B0DA-B87B6C3D7637}"/>
            </c:ext>
          </c:extLst>
        </c:ser>
        <c:dLbls>
          <c:showLegendKey val="0"/>
          <c:showVal val="0"/>
          <c:showCatName val="0"/>
          <c:showSerName val="0"/>
          <c:showPercent val="0"/>
          <c:showBubbleSize val="0"/>
        </c:dLbls>
        <c:marker val="1"/>
        <c:smooth val="0"/>
        <c:axId val="3"/>
        <c:axId val="4"/>
      </c:lineChart>
      <c:catAx>
        <c:axId val="121480768"/>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0"/>
        <c:noMultiLvlLbl val="0"/>
      </c:catAx>
      <c:valAx>
        <c:axId val="1"/>
        <c:scaling>
          <c:orientation val="minMax"/>
          <c:max val="1400"/>
          <c:min val="0"/>
        </c:scaling>
        <c:delete val="0"/>
        <c:axPos val="l"/>
        <c:majorGridlines>
          <c:spPr>
            <a:ln w="9522" cap="flat" cmpd="sng" algn="ctr">
              <a:solidFill>
                <a:schemeClr val="tx1">
                  <a:lumMod val="15000"/>
                  <a:lumOff val="85000"/>
                </a:schemeClr>
              </a:solidFill>
              <a:round/>
            </a:ln>
            <a:effectLst/>
          </c:spPr>
        </c:majorGridlines>
        <c:numFmt formatCode="0.0" sourceLinked="1"/>
        <c:majorTickMark val="none"/>
        <c:minorTickMark val="none"/>
        <c:tickLblPos val="nextTo"/>
        <c:spPr>
          <a:ln w="9522">
            <a:noFill/>
          </a:ln>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121480768"/>
        <c:crosses val="autoZero"/>
        <c:crossBetween val="between"/>
        <c:majorUnit val="3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2"/>
        </c:scaling>
        <c:delete val="0"/>
        <c:axPos val="r"/>
        <c:numFmt formatCode="0.0" sourceLinked="1"/>
        <c:majorTickMark val="out"/>
        <c:minorTickMark val="none"/>
        <c:tickLblPos val="nextTo"/>
        <c:crossAx val="3"/>
        <c:crosses val="max"/>
        <c:crossBetween val="between"/>
      </c:valAx>
      <c:spPr>
        <a:solidFill>
          <a:schemeClr val="bg1"/>
        </a:solidFill>
        <a:ln>
          <a:noFill/>
        </a:ln>
        <a:effectLst/>
      </c:spPr>
    </c:plotArea>
    <c:legend>
      <c:legendPos val="b"/>
      <c:layout>
        <c:manualLayout>
          <c:xMode val="edge"/>
          <c:yMode val="edge"/>
          <c:x val="3.0738077244988338E-2"/>
          <c:y val="0.79563403946891575"/>
          <c:w val="0.92413804311612757"/>
          <c:h val="0.20436596053108425"/>
        </c:manualLayout>
      </c:layout>
      <c:overlay val="0"/>
      <c:spPr>
        <a:noFill/>
        <a:ln w="25392">
          <a:noFill/>
        </a:ln>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2" cap="flat" cmpd="sng" algn="ctr">
      <a:solidFill>
        <a:schemeClr val="bg2"/>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671697287839014E-2"/>
          <c:y val="6.2195054565547726E-2"/>
          <c:w val="0.84915654061760815"/>
          <c:h val="0.67850021153129703"/>
        </c:manualLayout>
      </c:layout>
      <c:barChart>
        <c:barDir val="col"/>
        <c:grouping val="clustered"/>
        <c:varyColors val="0"/>
        <c:ser>
          <c:idx val="1"/>
          <c:order val="2"/>
          <c:tx>
            <c:strRef>
              <c:f>Sheet1!$E$1</c:f>
              <c:strCache>
                <c:ptCount val="1"/>
                <c:pt idx="0">
                  <c:v>Պետական հատված</c:v>
                </c:pt>
              </c:strCache>
            </c:strRef>
          </c:tx>
          <c:spPr>
            <a:solidFill>
              <a:srgbClr val="4F81BD">
                <a:lumMod val="60000"/>
                <a:lumOff val="40000"/>
              </a:srgbClr>
            </a:solidFill>
            <a:effectLst/>
          </c:spPr>
          <c:invertIfNegative val="0"/>
          <c:cat>
            <c:numRef>
              <c:f>Sheet1!$A$2:$A$6</c:f>
              <c:numCache>
                <c:formatCode>General</c:formatCode>
                <c:ptCount val="5"/>
                <c:pt idx="0">
                  <c:v>2018</c:v>
                </c:pt>
                <c:pt idx="1">
                  <c:v>2019</c:v>
                </c:pt>
                <c:pt idx="2">
                  <c:v>2020</c:v>
                </c:pt>
                <c:pt idx="3">
                  <c:v>2021</c:v>
                </c:pt>
                <c:pt idx="4">
                  <c:v>2022</c:v>
                </c:pt>
              </c:numCache>
            </c:numRef>
          </c:cat>
          <c:val>
            <c:numRef>
              <c:f>Sheet1!$E$2:$E$6</c:f>
              <c:numCache>
                <c:formatCode>0.0</c:formatCode>
                <c:ptCount val="5"/>
                <c:pt idx="0">
                  <c:v>2.9</c:v>
                </c:pt>
                <c:pt idx="1">
                  <c:v>8.4</c:v>
                </c:pt>
                <c:pt idx="2">
                  <c:v>5.2999999999999972</c:v>
                </c:pt>
                <c:pt idx="3">
                  <c:v>5.2330498519945507</c:v>
                </c:pt>
                <c:pt idx="4">
                  <c:v>4.2999999999999972</c:v>
                </c:pt>
              </c:numCache>
            </c:numRef>
          </c:val>
          <c:extLst>
            <c:ext xmlns:c16="http://schemas.microsoft.com/office/drawing/2014/chart" uri="{C3380CC4-5D6E-409C-BE32-E72D297353CC}">
              <c16:uniqueId val="{00000000-D724-472A-914E-EB09EE60D301}"/>
            </c:ext>
          </c:extLst>
        </c:ser>
        <c:ser>
          <c:idx val="2"/>
          <c:order val="3"/>
          <c:tx>
            <c:strRef>
              <c:f>Sheet1!$F$1</c:f>
              <c:strCache>
                <c:ptCount val="1"/>
                <c:pt idx="0">
                  <c:v>Մասնավոր հատված</c:v>
                </c:pt>
              </c:strCache>
            </c:strRef>
          </c:tx>
          <c:spPr>
            <a:solidFill>
              <a:srgbClr val="1F497D"/>
            </a:solidFill>
          </c:spPr>
          <c:invertIfNegative val="0"/>
          <c:cat>
            <c:numRef>
              <c:f>Sheet1!$A$2:$A$6</c:f>
              <c:numCache>
                <c:formatCode>General</c:formatCode>
                <c:ptCount val="5"/>
                <c:pt idx="0">
                  <c:v>2018</c:v>
                </c:pt>
                <c:pt idx="1">
                  <c:v>2019</c:v>
                </c:pt>
                <c:pt idx="2">
                  <c:v>2020</c:v>
                </c:pt>
                <c:pt idx="3">
                  <c:v>2021</c:v>
                </c:pt>
                <c:pt idx="4">
                  <c:v>2022</c:v>
                </c:pt>
              </c:numCache>
            </c:numRef>
          </c:cat>
          <c:val>
            <c:numRef>
              <c:f>Sheet1!$F$2:$F$6</c:f>
              <c:numCache>
                <c:formatCode>0.0</c:formatCode>
                <c:ptCount val="5"/>
                <c:pt idx="0">
                  <c:v>3.7</c:v>
                </c:pt>
                <c:pt idx="1">
                  <c:v>3.8</c:v>
                </c:pt>
                <c:pt idx="2">
                  <c:v>3</c:v>
                </c:pt>
                <c:pt idx="3">
                  <c:v>8.3985042520254893</c:v>
                </c:pt>
                <c:pt idx="4">
                  <c:v>19</c:v>
                </c:pt>
              </c:numCache>
            </c:numRef>
          </c:val>
          <c:extLst>
            <c:ext xmlns:c16="http://schemas.microsoft.com/office/drawing/2014/chart" uri="{C3380CC4-5D6E-409C-BE32-E72D297353CC}">
              <c16:uniqueId val="{00000001-D724-472A-914E-EB09EE60D301}"/>
            </c:ext>
          </c:extLst>
        </c:ser>
        <c:dLbls>
          <c:showLegendKey val="0"/>
          <c:showVal val="0"/>
          <c:showCatName val="0"/>
          <c:showSerName val="0"/>
          <c:showPercent val="0"/>
          <c:showBubbleSize val="0"/>
        </c:dLbls>
        <c:gapWidth val="150"/>
        <c:axId val="175222288"/>
        <c:axId val="1"/>
      </c:barChart>
      <c:lineChart>
        <c:grouping val="standard"/>
        <c:varyColors val="0"/>
        <c:ser>
          <c:idx val="3"/>
          <c:order val="0"/>
          <c:tx>
            <c:strRef>
              <c:f>Sheet1!$C$1</c:f>
              <c:strCache>
                <c:ptCount val="1"/>
                <c:pt idx="0">
                  <c:v>Ընդամենը (իրական)</c:v>
                </c:pt>
              </c:strCache>
            </c:strRef>
          </c:tx>
          <c:dLbls>
            <c:dLbl>
              <c:idx val="0"/>
              <c:layout>
                <c:manualLayout>
                  <c:x val="-2.807862013638187E-2"/>
                  <c:y val="1.6038492381716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24-472A-914E-EB09EE60D301}"/>
                </c:ext>
              </c:extLst>
            </c:dLbl>
            <c:dLbl>
              <c:idx val="1"/>
              <c:layout>
                <c:manualLayout>
                  <c:x val="-6.8190934616927365E-2"/>
                  <c:y val="4.2769313017909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24-472A-914E-EB09EE60D301}"/>
                </c:ext>
              </c:extLst>
            </c:dLbl>
            <c:dLbl>
              <c:idx val="2"/>
              <c:layout>
                <c:manualLayout>
                  <c:x val="-1.6044925792218286E-2"/>
                  <c:y val="-9.8011876757812293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24-472A-914E-EB09EE60D301}"/>
                </c:ext>
              </c:extLst>
            </c:dLbl>
            <c:dLbl>
              <c:idx val="3"/>
              <c:layout>
                <c:manualLayout>
                  <c:x val="-7.2202166064982018E-2"/>
                  <c:y val="-4.81154771451483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24-472A-914E-EB09EE60D301}"/>
                </c:ext>
              </c:extLst>
            </c:dLbl>
            <c:dLbl>
              <c:idx val="4"/>
              <c:layout>
                <c:manualLayout>
                  <c:x val="-0.10028078620136383"/>
                  <c:y val="-3.2076984763432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24-472A-914E-EB09EE60D301}"/>
                </c:ext>
              </c:extLst>
            </c:dLbl>
            <c:spPr>
              <a:noFill/>
              <a:ln w="25364">
                <a:noFill/>
              </a:ln>
            </c:spPr>
            <c:txPr>
              <a:bodyPr wrap="square" lIns="38100" tIns="19050" rIns="38100" bIns="19050" anchor="ctr">
                <a:spAutoFit/>
              </a:bodyPr>
              <a:lstStyle/>
              <a:p>
                <a:pPr>
                  <a:defRPr sz="699">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1.5</c:v>
                </c:pt>
                <c:pt idx="1">
                  <c:v>4.3</c:v>
                </c:pt>
                <c:pt idx="2">
                  <c:v>2.6</c:v>
                </c:pt>
                <c:pt idx="3">
                  <c:v>0.3</c:v>
                </c:pt>
                <c:pt idx="4">
                  <c:v>6.3</c:v>
                </c:pt>
              </c:numCache>
            </c:numRef>
          </c:val>
          <c:smooth val="0"/>
          <c:extLst>
            <c:ext xmlns:c16="http://schemas.microsoft.com/office/drawing/2014/chart" uri="{C3380CC4-5D6E-409C-BE32-E72D297353CC}">
              <c16:uniqueId val="{00000007-D724-472A-914E-EB09EE60D301}"/>
            </c:ext>
          </c:extLst>
        </c:ser>
        <c:ser>
          <c:idx val="0"/>
          <c:order val="1"/>
          <c:tx>
            <c:strRef>
              <c:f>Sheet1!$D$1</c:f>
              <c:strCache>
                <c:ptCount val="1"/>
                <c:pt idx="0">
                  <c:v>Ընդամենը (անվանական)</c:v>
                </c:pt>
              </c:strCache>
            </c:strRef>
          </c:tx>
          <c:spPr>
            <a:ln w="28535" cap="rnd">
              <a:solidFill>
                <a:schemeClr val="accent1"/>
              </a:solidFill>
              <a:round/>
            </a:ln>
            <a:effectLst/>
          </c:spPr>
          <c:dLbls>
            <c:dLbl>
              <c:idx val="0"/>
              <c:layout>
                <c:manualLayout>
                  <c:x val="-7.4331356728557091E-2"/>
                  <c:y val="-3.73471916010498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24-472A-914E-EB09EE60D301}"/>
                </c:ext>
              </c:extLst>
            </c:dLbl>
            <c:dLbl>
              <c:idx val="1"/>
              <c:layout>
                <c:manualLayout>
                  <c:x val="-6.6100904053659953E-2"/>
                  <c:y val="-3.9501942257217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724-472A-914E-EB09EE60D301}"/>
                </c:ext>
              </c:extLst>
            </c:dLbl>
            <c:dLbl>
              <c:idx val="2"/>
              <c:layout>
                <c:manualLayout>
                  <c:x val="-6.1471112407245392E-2"/>
                  <c:y val="-3.71195800524934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724-472A-914E-EB09EE60D301}"/>
                </c:ext>
              </c:extLst>
            </c:dLbl>
            <c:dLbl>
              <c:idx val="3"/>
              <c:layout>
                <c:manualLayout>
                  <c:x val="-6.6100904053659953E-2"/>
                  <c:y val="-3.84848293963254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724-472A-914E-EB09EE60D301}"/>
                </c:ext>
              </c:extLst>
            </c:dLbl>
            <c:dLbl>
              <c:idx val="4"/>
              <c:layout>
                <c:manualLayout>
                  <c:x val="-6.9958847736625515E-2"/>
                  <c:y val="-3.7333333333333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724-472A-914E-EB09EE60D301}"/>
                </c:ext>
              </c:extLst>
            </c:dLbl>
            <c:dLbl>
              <c:idx val="5"/>
              <c:layout>
                <c:manualLayout>
                  <c:x val="-8.2304526748971193E-2"/>
                  <c:y val="-4.266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724-472A-914E-EB09EE60D301}"/>
                </c:ext>
              </c:extLst>
            </c:dLbl>
            <c:dLbl>
              <c:idx val="6"/>
              <c:layout>
                <c:manualLayout>
                  <c:x val="-6.9958847736625668E-2"/>
                  <c:y val="-2.66666666666666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724-472A-914E-EB09EE60D301}"/>
                </c:ext>
              </c:extLst>
            </c:dLbl>
            <c:dLbl>
              <c:idx val="7"/>
              <c:layout>
                <c:manualLayout>
                  <c:x val="-6.584362139917696E-2"/>
                  <c:y val="-3.2000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724-472A-914E-EB09EE60D301}"/>
                </c:ext>
              </c:extLst>
            </c:dLbl>
            <c:spPr>
              <a:noFill/>
              <a:ln w="25364">
                <a:noFill/>
              </a:ln>
            </c:spPr>
            <c:txPr>
              <a:bodyPr rot="0" spcFirstLastPara="1" vertOverflow="ellipsis" vert="horz" wrap="square" lIns="38100" tIns="19050" rIns="38100" bIns="19050" anchor="ctr" anchorCtr="1">
                <a:spAutoFit/>
              </a:bodyPr>
              <a:lstStyle/>
              <a:p>
                <a:pPr>
                  <a:defRPr sz="699" b="1" i="0" u="none" strike="noStrike" kern="1200" baseline="0">
                    <a:solidFill>
                      <a:sysClr val="windowText" lastClr="000000"/>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c:v>4</c:v>
                </c:pt>
                <c:pt idx="1">
                  <c:v>5.8</c:v>
                </c:pt>
                <c:pt idx="2">
                  <c:v>3.9000000000000057</c:v>
                </c:pt>
                <c:pt idx="3">
                  <c:v>7.5545996646914091</c:v>
                </c:pt>
                <c:pt idx="4">
                  <c:v>15.5</c:v>
                </c:pt>
              </c:numCache>
            </c:numRef>
          </c:val>
          <c:smooth val="0"/>
          <c:extLst>
            <c:ext xmlns:c16="http://schemas.microsoft.com/office/drawing/2014/chart" uri="{C3380CC4-5D6E-409C-BE32-E72D297353CC}">
              <c16:uniqueId val="{00000010-D724-472A-914E-EB09EE60D301}"/>
            </c:ext>
          </c:extLst>
        </c:ser>
        <c:dLbls>
          <c:showLegendKey val="0"/>
          <c:showVal val="0"/>
          <c:showCatName val="0"/>
          <c:showSerName val="0"/>
          <c:showPercent val="0"/>
          <c:showBubbleSize val="0"/>
        </c:dLbls>
        <c:marker val="1"/>
        <c:smooth val="0"/>
        <c:axId val="175222288"/>
        <c:axId val="1"/>
      </c:lineChart>
      <c:catAx>
        <c:axId val="175222288"/>
        <c:scaling>
          <c:orientation val="minMax"/>
        </c:scaling>
        <c:delete val="0"/>
        <c:axPos val="b"/>
        <c:numFmt formatCode="General" sourceLinked="1"/>
        <c:majorTickMark val="none"/>
        <c:minorTickMark val="none"/>
        <c:tickLblPos val="nextTo"/>
        <c:spPr>
          <a:noFill/>
          <a:ln w="9512" cap="flat" cmpd="sng" algn="ctr">
            <a:solidFill>
              <a:schemeClr val="tx1">
                <a:lumMod val="15000"/>
                <a:lumOff val="85000"/>
              </a:schemeClr>
            </a:solidFill>
            <a:round/>
          </a:ln>
          <a:effectLst/>
        </c:spPr>
        <c:txPr>
          <a:bodyPr rot="-6000000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0"/>
        <c:noMultiLvlLbl val="0"/>
      </c:catAx>
      <c:valAx>
        <c:axId val="1"/>
        <c:scaling>
          <c:orientation val="minMax"/>
          <c:max val="20"/>
          <c:min val="0"/>
        </c:scaling>
        <c:delete val="0"/>
        <c:axPos val="l"/>
        <c:majorGridlines>
          <c:spPr>
            <a:ln w="9512" cap="flat" cmpd="sng" algn="ctr">
              <a:solidFill>
                <a:schemeClr val="tx1">
                  <a:lumMod val="15000"/>
                  <a:lumOff val="85000"/>
                </a:schemeClr>
              </a:solidFill>
              <a:round/>
            </a:ln>
            <a:effectLst/>
          </c:spPr>
        </c:majorGridlines>
        <c:numFmt formatCode="0.0" sourceLinked="1"/>
        <c:majorTickMark val="none"/>
        <c:minorTickMark val="none"/>
        <c:tickLblPos val="nextTo"/>
        <c:spPr>
          <a:ln w="9512">
            <a:noFill/>
          </a:ln>
        </c:spPr>
        <c:txPr>
          <a:bodyPr rot="-6000000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crossAx val="175222288"/>
        <c:crosses val="autoZero"/>
        <c:crossBetween val="between"/>
        <c:majorUnit val="3"/>
      </c:valAx>
      <c:spPr>
        <a:solidFill>
          <a:schemeClr val="bg1"/>
        </a:solidFill>
        <a:ln>
          <a:noFill/>
        </a:ln>
        <a:effectLst/>
      </c:spPr>
    </c:plotArea>
    <c:legend>
      <c:legendPos val="b"/>
      <c:layout>
        <c:manualLayout>
          <c:xMode val="edge"/>
          <c:yMode val="edge"/>
          <c:x val="6.3659868603381103E-2"/>
          <c:y val="0.8115191249629361"/>
          <c:w val="0.7671078071762768"/>
          <c:h val="0.1884808750370639"/>
        </c:manualLayout>
      </c:layout>
      <c:overlay val="0"/>
      <c:spPr>
        <a:noFill/>
        <a:ln w="25364">
          <a:noFill/>
        </a:ln>
      </c:spPr>
      <c:txPr>
        <a:bodyPr rot="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12" cap="flat" cmpd="sng" algn="ctr">
      <a:solidFill>
        <a:schemeClr val="bg2"/>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97652318319874"/>
          <c:y val="5.6849088731590974E-2"/>
          <c:w val="0.84915654061760815"/>
          <c:h val="0.56115401372743401"/>
        </c:manualLayout>
      </c:layout>
      <c:barChart>
        <c:barDir val="col"/>
        <c:grouping val="clustered"/>
        <c:varyColors val="0"/>
        <c:ser>
          <c:idx val="0"/>
          <c:order val="0"/>
          <c:tx>
            <c:strRef>
              <c:f>Sheet1!$C$1</c:f>
              <c:strCache>
                <c:ptCount val="1"/>
                <c:pt idx="0">
                  <c:v>Վարձու աշխատողներ, հազ. մարդ</c:v>
                </c:pt>
              </c:strCache>
            </c:strRef>
          </c:tx>
          <c:invertIfNegative val="0"/>
          <c:cat>
            <c:multiLvlStrRef>
              <c:f>Sheet1!$A$6:$B$9</c:f>
              <c:multiLvlStrCache>
                <c:ptCount val="4"/>
                <c:lvl>
                  <c:pt idx="0">
                    <c:v>I եռ.</c:v>
                  </c:pt>
                  <c:pt idx="1">
                    <c:v>II եռ.</c:v>
                  </c:pt>
                  <c:pt idx="2">
                    <c:v>III եռ.</c:v>
                  </c:pt>
                  <c:pt idx="3">
                    <c:v>IV եռ.</c:v>
                  </c:pt>
                </c:lvl>
                <c:lvl>
                  <c:pt idx="0">
                    <c:v>2022</c:v>
                  </c:pt>
                </c:lvl>
              </c:multiLvlStrCache>
            </c:multiLvlStrRef>
          </c:cat>
          <c:val>
            <c:numRef>
              <c:f>Sheet1!$C$6:$C$9</c:f>
              <c:numCache>
                <c:formatCode>0.0</c:formatCode>
                <c:ptCount val="4"/>
                <c:pt idx="0">
                  <c:v>658.80366666666657</c:v>
                </c:pt>
                <c:pt idx="1">
                  <c:v>671.90499999999997</c:v>
                </c:pt>
                <c:pt idx="2">
                  <c:v>677.56233333333341</c:v>
                </c:pt>
                <c:pt idx="3">
                  <c:v>684.78291666666667</c:v>
                </c:pt>
              </c:numCache>
            </c:numRef>
          </c:val>
          <c:extLst>
            <c:ext xmlns:c16="http://schemas.microsoft.com/office/drawing/2014/chart" uri="{C3380CC4-5D6E-409C-BE32-E72D297353CC}">
              <c16:uniqueId val="{00000000-5BDB-4940-93F6-0E8335D9A969}"/>
            </c:ext>
          </c:extLst>
        </c:ser>
        <c:ser>
          <c:idx val="1"/>
          <c:order val="1"/>
          <c:tx>
            <c:strRef>
              <c:f>Sheet1!$D$1</c:f>
              <c:strCache>
                <c:ptCount val="1"/>
                <c:pt idx="0">
                  <c:v>Զբաղվածներ, հազ. մարդ</c:v>
                </c:pt>
              </c:strCache>
            </c:strRef>
          </c:tx>
          <c:spPr>
            <a:solidFill>
              <a:srgbClr val="1F497D"/>
            </a:solidFill>
            <a:ln w="25392">
              <a:noFill/>
            </a:ln>
          </c:spPr>
          <c:invertIfNegative val="0"/>
          <c:cat>
            <c:multiLvlStrRef>
              <c:f>Sheet1!$B$2:$C$9</c:f>
              <c:multiLvlStrCache>
                <c:ptCount val="4"/>
                <c:lvl>
                  <c:pt idx="0">
                    <c:v>658.8</c:v>
                  </c:pt>
                  <c:pt idx="1">
                    <c:v>671.9</c:v>
                  </c:pt>
                  <c:pt idx="2">
                    <c:v>677.6</c:v>
                  </c:pt>
                  <c:pt idx="3">
                    <c:v>684.8</c:v>
                  </c:pt>
                </c:lvl>
                <c:lvl>
                  <c:pt idx="0">
                    <c:v>I եռ.</c:v>
                  </c:pt>
                  <c:pt idx="1">
                    <c:v>II եռ.</c:v>
                  </c:pt>
                  <c:pt idx="2">
                    <c:v>III եռ.</c:v>
                  </c:pt>
                  <c:pt idx="3">
                    <c:v>IV եռ.</c:v>
                  </c:pt>
                </c:lvl>
              </c:multiLvlStrCache>
            </c:multiLvlStrRef>
          </c:cat>
          <c:val>
            <c:numRef>
              <c:f>Sheet1!$D$2:$D$9</c:f>
              <c:numCache>
                <c:formatCode>0.0</c:formatCode>
                <c:ptCount val="4"/>
                <c:pt idx="0">
                  <c:v>1070.5</c:v>
                </c:pt>
                <c:pt idx="1">
                  <c:v>1142.4000000000001</c:v>
                </c:pt>
                <c:pt idx="2">
                  <c:v>1202.4000000000001</c:v>
                </c:pt>
                <c:pt idx="3">
                  <c:v>1141.2</c:v>
                </c:pt>
              </c:numCache>
            </c:numRef>
          </c:val>
          <c:extLst>
            <c:ext xmlns:c16="http://schemas.microsoft.com/office/drawing/2014/chart" uri="{C3380CC4-5D6E-409C-BE32-E72D297353CC}">
              <c16:uniqueId val="{00000001-5BDB-4940-93F6-0E8335D9A969}"/>
            </c:ext>
          </c:extLst>
        </c:ser>
        <c:ser>
          <c:idx val="2"/>
          <c:order val="2"/>
          <c:tx>
            <c:strRef>
              <c:f>Sheet1!$E$1</c:f>
              <c:strCache>
                <c:ptCount val="1"/>
                <c:pt idx="0">
                  <c:v>Գործազուրկներ, հազ. մարդ</c:v>
                </c:pt>
              </c:strCache>
            </c:strRef>
          </c:tx>
          <c:spPr>
            <a:solidFill>
              <a:srgbClr val="4F81BD">
                <a:lumMod val="60000"/>
                <a:lumOff val="40000"/>
              </a:srgbClr>
            </a:solidFill>
            <a:ln>
              <a:noFill/>
            </a:ln>
            <a:effectLst/>
          </c:spPr>
          <c:invertIfNegative val="0"/>
          <c:cat>
            <c:multiLvlStrRef>
              <c:f>Sheet1!$B$2:$C$9</c:f>
              <c:multiLvlStrCache>
                <c:ptCount val="4"/>
                <c:lvl>
                  <c:pt idx="0">
                    <c:v>658.8</c:v>
                  </c:pt>
                  <c:pt idx="1">
                    <c:v>671.9</c:v>
                  </c:pt>
                  <c:pt idx="2">
                    <c:v>677.6</c:v>
                  </c:pt>
                  <c:pt idx="3">
                    <c:v>684.8</c:v>
                  </c:pt>
                </c:lvl>
                <c:lvl>
                  <c:pt idx="0">
                    <c:v>I եռ.</c:v>
                  </c:pt>
                  <c:pt idx="1">
                    <c:v>II եռ.</c:v>
                  </c:pt>
                  <c:pt idx="2">
                    <c:v>III եռ.</c:v>
                  </c:pt>
                  <c:pt idx="3">
                    <c:v>IV եռ.</c:v>
                  </c:pt>
                </c:lvl>
              </c:multiLvlStrCache>
            </c:multiLvlStrRef>
          </c:cat>
          <c:val>
            <c:numRef>
              <c:f>Sheet1!$E$2:$E$9</c:f>
              <c:numCache>
                <c:formatCode>0.0</c:formatCode>
                <c:ptCount val="4"/>
                <c:pt idx="0">
                  <c:v>186.4</c:v>
                </c:pt>
                <c:pt idx="1">
                  <c:v>170</c:v>
                </c:pt>
                <c:pt idx="2">
                  <c:v>158</c:v>
                </c:pt>
                <c:pt idx="3">
                  <c:v>165.8</c:v>
                </c:pt>
              </c:numCache>
            </c:numRef>
          </c:val>
          <c:extLst>
            <c:ext xmlns:c16="http://schemas.microsoft.com/office/drawing/2014/chart" uri="{C3380CC4-5D6E-409C-BE32-E72D297353CC}">
              <c16:uniqueId val="{00000002-5BDB-4940-93F6-0E8335D9A969}"/>
            </c:ext>
          </c:extLst>
        </c:ser>
        <c:dLbls>
          <c:showLegendKey val="0"/>
          <c:showVal val="0"/>
          <c:showCatName val="0"/>
          <c:showSerName val="0"/>
          <c:showPercent val="0"/>
          <c:showBubbleSize val="0"/>
        </c:dLbls>
        <c:gapWidth val="150"/>
        <c:axId val="216268432"/>
        <c:axId val="1"/>
      </c:barChart>
      <c:lineChart>
        <c:grouping val="standard"/>
        <c:varyColors val="0"/>
        <c:ser>
          <c:idx val="3"/>
          <c:order val="3"/>
          <c:tx>
            <c:strRef>
              <c:f>Sheet1!$F$1</c:f>
              <c:strCache>
                <c:ptCount val="1"/>
                <c:pt idx="0">
                  <c:v>Գործազրկության մակարդակ, %, աջ առանցք</c:v>
                </c:pt>
              </c:strCache>
            </c:strRef>
          </c:tx>
          <c:spPr>
            <a:ln>
              <a:solidFill>
                <a:srgbClr val="4F81BD"/>
              </a:solidFill>
            </a:ln>
          </c:spPr>
          <c:marker>
            <c:symbol val="diamond"/>
            <c:size val="6"/>
            <c:spPr>
              <a:solidFill>
                <a:srgbClr val="4F81BD"/>
              </a:solidFill>
              <a:ln>
                <a:solidFill>
                  <a:srgbClr val="4F81BD"/>
                </a:solidFill>
              </a:ln>
            </c:spPr>
          </c:marker>
          <c:dLbls>
            <c:dLbl>
              <c:idx val="0"/>
              <c:layout>
                <c:manualLayout>
                  <c:x val="-6.1728395061728412E-2"/>
                  <c:y val="-4.266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DB-4940-93F6-0E8335D9A969}"/>
                </c:ext>
              </c:extLst>
            </c:dLbl>
            <c:dLbl>
              <c:idx val="1"/>
              <c:layout>
                <c:manualLayout>
                  <c:x val="-6.1728395061728433E-2"/>
                  <c:y val="-4.266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DB-4940-93F6-0E8335D9A969}"/>
                </c:ext>
              </c:extLst>
            </c:dLbl>
            <c:dLbl>
              <c:idx val="2"/>
              <c:layout>
                <c:manualLayout>
                  <c:x val="-4.1891405514968283E-2"/>
                  <c:y val="-6.4051255822372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DB-4940-93F6-0E8335D9A969}"/>
                </c:ext>
              </c:extLst>
            </c:dLbl>
            <c:dLbl>
              <c:idx val="3"/>
              <c:layout>
                <c:manualLayout>
                  <c:x val="-9.0323863887503381E-2"/>
                  <c:y val="-6.94104696415754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BDB-4940-93F6-0E8335D9A969}"/>
                </c:ext>
              </c:extLst>
            </c:dLbl>
            <c:dLbl>
              <c:idx val="4"/>
              <c:layout>
                <c:manualLayout>
                  <c:x val="-6.1728395061728468E-2"/>
                  <c:y val="-3.20000000000000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BDB-4940-93F6-0E8335D9A969}"/>
                </c:ext>
              </c:extLst>
            </c:dLbl>
            <c:dLbl>
              <c:idx val="5"/>
              <c:layout>
                <c:manualLayout>
                  <c:x val="-6.584362139917703E-2"/>
                  <c:y val="-4.2666666666666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BDB-4940-93F6-0E8335D9A969}"/>
                </c:ext>
              </c:extLst>
            </c:dLbl>
            <c:dLbl>
              <c:idx val="6"/>
              <c:layout>
                <c:manualLayout>
                  <c:x val="-6.584362139917696E-2"/>
                  <c:y val="-3.2000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BDB-4940-93F6-0E8335D9A969}"/>
                </c:ext>
              </c:extLst>
            </c:dLbl>
            <c:dLbl>
              <c:idx val="7"/>
              <c:layout>
                <c:manualLayout>
                  <c:x val="-7.4074074074074223E-2"/>
                  <c:y val="-4.2666666666666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BDB-4940-93F6-0E8335D9A969}"/>
                </c:ext>
              </c:extLst>
            </c:dLbl>
            <c:spPr>
              <a:noFill/>
              <a:ln w="25392">
                <a:noFill/>
              </a:ln>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Sheet1!$A$6:$B$9</c:f>
              <c:multiLvlStrCache>
                <c:ptCount val="4"/>
                <c:lvl>
                  <c:pt idx="0">
                    <c:v>I եռ.</c:v>
                  </c:pt>
                  <c:pt idx="1">
                    <c:v>II եռ.</c:v>
                  </c:pt>
                  <c:pt idx="2">
                    <c:v>III եռ.</c:v>
                  </c:pt>
                  <c:pt idx="3">
                    <c:v>IV եռ.</c:v>
                  </c:pt>
                </c:lvl>
                <c:lvl>
                  <c:pt idx="0">
                    <c:v>2022</c:v>
                  </c:pt>
                </c:lvl>
              </c:multiLvlStrCache>
            </c:multiLvlStrRef>
          </c:cat>
          <c:val>
            <c:numRef>
              <c:f>Sheet1!$F$2:$F$9</c:f>
              <c:numCache>
                <c:formatCode>0.0</c:formatCode>
                <c:ptCount val="4"/>
                <c:pt idx="0">
                  <c:v>14.8</c:v>
                </c:pt>
                <c:pt idx="1">
                  <c:v>13</c:v>
                </c:pt>
                <c:pt idx="2">
                  <c:v>11.6</c:v>
                </c:pt>
                <c:pt idx="3">
                  <c:v>12.7</c:v>
                </c:pt>
              </c:numCache>
            </c:numRef>
          </c:val>
          <c:smooth val="0"/>
          <c:extLst>
            <c:ext xmlns:c16="http://schemas.microsoft.com/office/drawing/2014/chart" uri="{C3380CC4-5D6E-409C-BE32-E72D297353CC}">
              <c16:uniqueId val="{0000000B-5BDB-4940-93F6-0E8335D9A969}"/>
            </c:ext>
          </c:extLst>
        </c:ser>
        <c:dLbls>
          <c:showLegendKey val="0"/>
          <c:showVal val="0"/>
          <c:showCatName val="0"/>
          <c:showSerName val="0"/>
          <c:showPercent val="0"/>
          <c:showBubbleSize val="0"/>
        </c:dLbls>
        <c:marker val="1"/>
        <c:smooth val="0"/>
        <c:axId val="3"/>
        <c:axId val="4"/>
      </c:lineChart>
      <c:catAx>
        <c:axId val="216268432"/>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0"/>
        <c:noMultiLvlLbl val="0"/>
      </c:catAx>
      <c:valAx>
        <c:axId val="1"/>
        <c:scaling>
          <c:orientation val="minMax"/>
          <c:max val="1400"/>
          <c:min val="0"/>
        </c:scaling>
        <c:delete val="0"/>
        <c:axPos val="l"/>
        <c:majorGridlines>
          <c:spPr>
            <a:ln w="9522" cap="flat" cmpd="sng" algn="ctr">
              <a:solidFill>
                <a:schemeClr val="tx1">
                  <a:lumMod val="15000"/>
                  <a:lumOff val="85000"/>
                </a:schemeClr>
              </a:solidFill>
              <a:round/>
            </a:ln>
            <a:effectLst/>
          </c:spPr>
        </c:majorGridlines>
        <c:numFmt formatCode="0.0" sourceLinked="1"/>
        <c:majorTickMark val="none"/>
        <c:minorTickMark val="none"/>
        <c:tickLblPos val="nextTo"/>
        <c:spPr>
          <a:ln w="9522">
            <a:noFill/>
          </a:ln>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216268432"/>
        <c:crosses val="autoZero"/>
        <c:crossBetween val="between"/>
        <c:majorUnit val="3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7"/>
        </c:scaling>
        <c:delete val="0"/>
        <c:axPos val="r"/>
        <c:numFmt formatCode="0.0" sourceLinked="1"/>
        <c:majorTickMark val="out"/>
        <c:minorTickMark val="none"/>
        <c:tickLblPos val="nextTo"/>
        <c:txPr>
          <a:bodyPr/>
          <a:lstStyle/>
          <a:p>
            <a:pPr>
              <a:defRPr sz="700"/>
            </a:pPr>
            <a:endParaRPr lang="en-US"/>
          </a:p>
        </c:txPr>
        <c:crossAx val="3"/>
        <c:crosses val="max"/>
        <c:crossBetween val="between"/>
      </c:valAx>
      <c:spPr>
        <a:solidFill>
          <a:schemeClr val="bg1"/>
        </a:solidFill>
        <a:ln>
          <a:noFill/>
        </a:ln>
        <a:effectLst/>
      </c:spPr>
    </c:plotArea>
    <c:legend>
      <c:legendPos val="b"/>
      <c:layout>
        <c:manualLayout>
          <c:xMode val="edge"/>
          <c:yMode val="edge"/>
          <c:x val="5.0363797404581391E-2"/>
          <c:y val="0.74748020514172131"/>
          <c:w val="0.90809942874787708"/>
          <c:h val="0.23648140216782532"/>
        </c:manualLayout>
      </c:layout>
      <c:overlay val="0"/>
      <c:spPr>
        <a:noFill/>
        <a:ln w="25392">
          <a:noFill/>
        </a:ln>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2" cap="flat" cmpd="sng" algn="ctr">
      <a:solidFill>
        <a:schemeClr val="bg2"/>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671697287839014E-2"/>
          <c:y val="6.2195054565547726E-2"/>
          <c:w val="0.84915654061760815"/>
          <c:h val="0.59311523509441033"/>
        </c:manualLayout>
      </c:layout>
      <c:barChart>
        <c:barDir val="col"/>
        <c:grouping val="clustered"/>
        <c:varyColors val="0"/>
        <c:ser>
          <c:idx val="1"/>
          <c:order val="2"/>
          <c:tx>
            <c:strRef>
              <c:f>Sheet1!$E$1</c:f>
              <c:strCache>
                <c:ptCount val="1"/>
                <c:pt idx="0">
                  <c:v>Պետական հատված</c:v>
                </c:pt>
              </c:strCache>
            </c:strRef>
          </c:tx>
          <c:spPr>
            <a:solidFill>
              <a:srgbClr val="4F81BD">
                <a:lumMod val="60000"/>
                <a:lumOff val="40000"/>
              </a:srgbClr>
            </a:solidFill>
            <a:effectLst/>
          </c:spPr>
          <c:invertIfNegative val="0"/>
          <c:cat>
            <c:multiLvlStrRef>
              <c:f>Sheet1!$A$2:$B$9</c:f>
              <c:multiLvlStrCache>
                <c:ptCount val="4"/>
                <c:lvl>
                  <c:pt idx="0">
                    <c:v>I եռ.</c:v>
                  </c:pt>
                  <c:pt idx="1">
                    <c:v>I կիս.</c:v>
                  </c:pt>
                  <c:pt idx="2">
                    <c:v>I-III եռ.</c:v>
                  </c:pt>
                  <c:pt idx="3">
                    <c:v>տարի</c:v>
                  </c:pt>
                </c:lvl>
                <c:lvl>
                  <c:pt idx="0">
                    <c:v>2022</c:v>
                  </c:pt>
                </c:lvl>
              </c:multiLvlStrCache>
            </c:multiLvlStrRef>
          </c:cat>
          <c:val>
            <c:numRef>
              <c:f>Sheet1!$E$2:$E$9</c:f>
              <c:numCache>
                <c:formatCode>0.0</c:formatCode>
                <c:ptCount val="4"/>
                <c:pt idx="0">
                  <c:v>4.0999999999999943</c:v>
                </c:pt>
                <c:pt idx="1">
                  <c:v>4.5</c:v>
                </c:pt>
                <c:pt idx="2">
                  <c:v>4.5</c:v>
                </c:pt>
                <c:pt idx="3">
                  <c:v>4.2999999999999972</c:v>
                </c:pt>
              </c:numCache>
            </c:numRef>
          </c:val>
          <c:extLst>
            <c:ext xmlns:c16="http://schemas.microsoft.com/office/drawing/2014/chart" uri="{C3380CC4-5D6E-409C-BE32-E72D297353CC}">
              <c16:uniqueId val="{00000000-3E84-412A-A6CE-016B360F5CE0}"/>
            </c:ext>
          </c:extLst>
        </c:ser>
        <c:ser>
          <c:idx val="2"/>
          <c:order val="3"/>
          <c:tx>
            <c:strRef>
              <c:f>Sheet1!$F$1</c:f>
              <c:strCache>
                <c:ptCount val="1"/>
                <c:pt idx="0">
                  <c:v>Մասնավոր հատված</c:v>
                </c:pt>
              </c:strCache>
            </c:strRef>
          </c:tx>
          <c:spPr>
            <a:solidFill>
              <a:srgbClr val="1F497D"/>
            </a:solidFill>
          </c:spPr>
          <c:invertIfNegative val="0"/>
          <c:cat>
            <c:multiLvlStrRef>
              <c:f>Sheet1!$A$2:$B$9</c:f>
              <c:multiLvlStrCache>
                <c:ptCount val="4"/>
                <c:lvl>
                  <c:pt idx="0">
                    <c:v>I եռ.</c:v>
                  </c:pt>
                  <c:pt idx="1">
                    <c:v>I կիս.</c:v>
                  </c:pt>
                  <c:pt idx="2">
                    <c:v>I-III եռ.</c:v>
                  </c:pt>
                  <c:pt idx="3">
                    <c:v>տարի</c:v>
                  </c:pt>
                </c:lvl>
                <c:lvl>
                  <c:pt idx="0">
                    <c:v>2022</c:v>
                  </c:pt>
                </c:lvl>
              </c:multiLvlStrCache>
            </c:multiLvlStrRef>
          </c:cat>
          <c:val>
            <c:numRef>
              <c:f>Sheet1!$F$2:$F$9</c:f>
              <c:numCache>
                <c:formatCode>0.0</c:formatCode>
                <c:ptCount val="4"/>
                <c:pt idx="0">
                  <c:v>11.200000000000003</c:v>
                </c:pt>
                <c:pt idx="1">
                  <c:v>13.200000000000003</c:v>
                </c:pt>
                <c:pt idx="2">
                  <c:v>16.200000000000003</c:v>
                </c:pt>
                <c:pt idx="3">
                  <c:v>19</c:v>
                </c:pt>
              </c:numCache>
            </c:numRef>
          </c:val>
          <c:extLst>
            <c:ext xmlns:c16="http://schemas.microsoft.com/office/drawing/2014/chart" uri="{C3380CC4-5D6E-409C-BE32-E72D297353CC}">
              <c16:uniqueId val="{00000001-3E84-412A-A6CE-016B360F5CE0}"/>
            </c:ext>
          </c:extLst>
        </c:ser>
        <c:dLbls>
          <c:showLegendKey val="0"/>
          <c:showVal val="0"/>
          <c:showCatName val="0"/>
          <c:showSerName val="0"/>
          <c:showPercent val="0"/>
          <c:showBubbleSize val="0"/>
        </c:dLbls>
        <c:gapWidth val="150"/>
        <c:axId val="215441656"/>
        <c:axId val="1"/>
      </c:barChart>
      <c:lineChart>
        <c:grouping val="standard"/>
        <c:varyColors val="0"/>
        <c:ser>
          <c:idx val="3"/>
          <c:order val="0"/>
          <c:tx>
            <c:strRef>
              <c:f>Sheet1!$C$1</c:f>
              <c:strCache>
                <c:ptCount val="1"/>
                <c:pt idx="0">
                  <c:v>Ընդամենը (իրական)</c:v>
                </c:pt>
              </c:strCache>
            </c:strRef>
          </c:tx>
          <c:dLbls>
            <c:dLbl>
              <c:idx val="0"/>
              <c:layout>
                <c:manualLayout>
                  <c:x val="-6.8163592622293517E-2"/>
                  <c:y val="-4.81154771451483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84-412A-A6CE-016B360F5CE0}"/>
                </c:ext>
              </c:extLst>
            </c:dLbl>
            <c:dLbl>
              <c:idx val="1"/>
              <c:layout>
                <c:manualLayout>
                  <c:x val="-6.8163592622293503E-2"/>
                  <c:y val="-4.2769313017909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84-412A-A6CE-016B360F5CE0}"/>
                </c:ext>
              </c:extLst>
            </c:dLbl>
            <c:dLbl>
              <c:idx val="2"/>
              <c:layout>
                <c:manualLayout>
                  <c:x val="-7.6182838813151563E-2"/>
                  <c:y val="-4.81154771451483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84-412A-A6CE-016B360F5CE0}"/>
                </c:ext>
              </c:extLst>
            </c:dLbl>
            <c:dLbl>
              <c:idx val="3"/>
              <c:layout>
                <c:manualLayout>
                  <c:x val="-7.2173215717722533E-2"/>
                  <c:y val="-4.2769313017909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84-412A-A6CE-016B360F5CE0}"/>
                </c:ext>
              </c:extLst>
            </c:dLbl>
            <c:spPr>
              <a:noFill/>
              <a:ln w="25392">
                <a:noFill/>
              </a:ln>
            </c:spPr>
            <c:txPr>
              <a:bodyPr wrap="square" lIns="38100" tIns="19050" rIns="38100" bIns="19050" anchor="ctr">
                <a:spAutoFit/>
              </a:bodyPr>
              <a:lstStyle/>
              <a:p>
                <a:pPr>
                  <a:defRPr sz="700" b="1">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Sheet1!$A$6:$B$9</c:f>
              <c:multiLvlStrCache>
                <c:ptCount val="4"/>
                <c:lvl>
                  <c:pt idx="0">
                    <c:v>I եռ.</c:v>
                  </c:pt>
                  <c:pt idx="1">
                    <c:v>I կիս.</c:v>
                  </c:pt>
                  <c:pt idx="2">
                    <c:v>I-III եռ.</c:v>
                  </c:pt>
                  <c:pt idx="3">
                    <c:v>տարի</c:v>
                  </c:pt>
                </c:lvl>
                <c:lvl>
                  <c:pt idx="0">
                    <c:v>2022</c:v>
                  </c:pt>
                </c:lvl>
              </c:multiLvlStrCache>
            </c:multiLvlStrRef>
          </c:cat>
          <c:val>
            <c:numRef>
              <c:f>Sheet1!$C$6:$C$9</c:f>
              <c:numCache>
                <c:formatCode>0.0</c:formatCode>
                <c:ptCount val="4"/>
                <c:pt idx="0">
                  <c:v>2.4</c:v>
                </c:pt>
                <c:pt idx="1">
                  <c:v>2.9</c:v>
                </c:pt>
                <c:pt idx="2">
                  <c:v>4.5</c:v>
                </c:pt>
                <c:pt idx="3">
                  <c:v>6.3</c:v>
                </c:pt>
              </c:numCache>
            </c:numRef>
          </c:val>
          <c:smooth val="0"/>
          <c:extLst>
            <c:ext xmlns:c16="http://schemas.microsoft.com/office/drawing/2014/chart" uri="{C3380CC4-5D6E-409C-BE32-E72D297353CC}">
              <c16:uniqueId val="{00000006-3E84-412A-A6CE-016B360F5CE0}"/>
            </c:ext>
          </c:extLst>
        </c:ser>
        <c:ser>
          <c:idx val="0"/>
          <c:order val="1"/>
          <c:tx>
            <c:strRef>
              <c:f>Sheet1!$D$1</c:f>
              <c:strCache>
                <c:ptCount val="1"/>
                <c:pt idx="0">
                  <c:v>Ընդամենը (անվանական)</c:v>
                </c:pt>
              </c:strCache>
            </c:strRef>
          </c:tx>
          <c:spPr>
            <a:ln w="28566" cap="rnd">
              <a:solidFill>
                <a:schemeClr val="accent1"/>
              </a:solidFill>
              <a:round/>
            </a:ln>
            <a:effectLst/>
          </c:spPr>
          <c:dLbls>
            <c:dLbl>
              <c:idx val="0"/>
              <c:layout>
                <c:manualLayout>
                  <c:x val="-9.4379581862612E-2"/>
                  <c:y val="-3.7347376485717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84-412A-A6CE-016B360F5CE0}"/>
                </c:ext>
              </c:extLst>
            </c:dLbl>
            <c:dLbl>
              <c:idx val="1"/>
              <c:layout>
                <c:manualLayout>
                  <c:x val="-0.1021876124746636"/>
                  <c:y val="-6.6232659169408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84-412A-A6CE-016B360F5CE0}"/>
                </c:ext>
              </c:extLst>
            </c:dLbl>
            <c:dLbl>
              <c:idx val="2"/>
              <c:layout>
                <c:manualLayout>
                  <c:x val="-0.10958647209996913"/>
                  <c:y val="-4.78119665675311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E84-412A-A6CE-016B360F5CE0}"/>
                </c:ext>
              </c:extLst>
            </c:dLbl>
            <c:dLbl>
              <c:idx val="3"/>
              <c:layout>
                <c:manualLayout>
                  <c:x val="-0.11822610485637987"/>
                  <c:y val="-4.91771327301008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E84-412A-A6CE-016B360F5CE0}"/>
                </c:ext>
              </c:extLst>
            </c:dLbl>
            <c:dLbl>
              <c:idx val="4"/>
              <c:layout>
                <c:manualLayout>
                  <c:x val="-6.9958847736625515E-2"/>
                  <c:y val="-3.7333333333333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E84-412A-A6CE-016B360F5CE0}"/>
                </c:ext>
              </c:extLst>
            </c:dLbl>
            <c:dLbl>
              <c:idx val="5"/>
              <c:layout>
                <c:manualLayout>
                  <c:x val="-8.2304526748971193E-2"/>
                  <c:y val="-4.266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E84-412A-A6CE-016B360F5CE0}"/>
                </c:ext>
              </c:extLst>
            </c:dLbl>
            <c:dLbl>
              <c:idx val="6"/>
              <c:layout>
                <c:manualLayout>
                  <c:x val="-6.9958847736625668E-2"/>
                  <c:y val="-2.66666666666666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E84-412A-A6CE-016B360F5CE0}"/>
                </c:ext>
              </c:extLst>
            </c:dLbl>
            <c:dLbl>
              <c:idx val="7"/>
              <c:layout>
                <c:manualLayout>
                  <c:x val="-6.584362139917696E-2"/>
                  <c:y val="-3.200000000000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E84-412A-A6CE-016B360F5CE0}"/>
                </c:ext>
              </c:extLst>
            </c:dLbl>
            <c:spPr>
              <a:noFill/>
              <a:ln w="25392">
                <a:noFill/>
              </a:ln>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Sheet1!$A$6:$B$9</c:f>
              <c:multiLvlStrCache>
                <c:ptCount val="4"/>
                <c:lvl>
                  <c:pt idx="0">
                    <c:v>I եռ.</c:v>
                  </c:pt>
                  <c:pt idx="1">
                    <c:v>I կիս.</c:v>
                  </c:pt>
                  <c:pt idx="2">
                    <c:v>I-III եռ.</c:v>
                  </c:pt>
                  <c:pt idx="3">
                    <c:v>տարի</c:v>
                  </c:pt>
                </c:lvl>
                <c:lvl>
                  <c:pt idx="0">
                    <c:v>2022</c:v>
                  </c:pt>
                </c:lvl>
              </c:multiLvlStrCache>
            </c:multiLvlStrRef>
          </c:cat>
          <c:val>
            <c:numRef>
              <c:f>Sheet1!$D$2:$D$9</c:f>
              <c:numCache>
                <c:formatCode>0.0</c:formatCode>
                <c:ptCount val="4"/>
                <c:pt idx="0">
                  <c:v>9.5999999999999943</c:v>
                </c:pt>
                <c:pt idx="1">
                  <c:v>11.299999999999997</c:v>
                </c:pt>
                <c:pt idx="2">
                  <c:v>13.400000000000006</c:v>
                </c:pt>
                <c:pt idx="3">
                  <c:v>15.5</c:v>
                </c:pt>
              </c:numCache>
            </c:numRef>
          </c:val>
          <c:smooth val="0"/>
          <c:extLst>
            <c:ext xmlns:c16="http://schemas.microsoft.com/office/drawing/2014/chart" uri="{C3380CC4-5D6E-409C-BE32-E72D297353CC}">
              <c16:uniqueId val="{0000000F-3E84-412A-A6CE-016B360F5CE0}"/>
            </c:ext>
          </c:extLst>
        </c:ser>
        <c:dLbls>
          <c:showLegendKey val="0"/>
          <c:showVal val="0"/>
          <c:showCatName val="0"/>
          <c:showSerName val="0"/>
          <c:showPercent val="0"/>
          <c:showBubbleSize val="0"/>
        </c:dLbls>
        <c:marker val="1"/>
        <c:smooth val="0"/>
        <c:axId val="215441656"/>
        <c:axId val="1"/>
      </c:lineChart>
      <c:catAx>
        <c:axId val="215441656"/>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0"/>
        <c:noMultiLvlLbl val="0"/>
      </c:catAx>
      <c:valAx>
        <c:axId val="1"/>
        <c:scaling>
          <c:orientation val="minMax"/>
          <c:max val="20"/>
          <c:min val="0"/>
        </c:scaling>
        <c:delete val="0"/>
        <c:axPos val="l"/>
        <c:majorGridlines>
          <c:spPr>
            <a:ln w="9522" cap="flat" cmpd="sng" algn="ctr">
              <a:solidFill>
                <a:schemeClr val="tx1">
                  <a:lumMod val="15000"/>
                  <a:lumOff val="85000"/>
                </a:schemeClr>
              </a:solidFill>
              <a:round/>
            </a:ln>
            <a:effectLst/>
          </c:spPr>
        </c:majorGridlines>
        <c:numFmt formatCode="0.0" sourceLinked="1"/>
        <c:majorTickMark val="none"/>
        <c:minorTickMark val="none"/>
        <c:tickLblPos val="nextTo"/>
        <c:spPr>
          <a:ln w="9522">
            <a:noFill/>
          </a:ln>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215441656"/>
        <c:crosses val="autoZero"/>
        <c:crossBetween val="between"/>
        <c:majorUnit val="3"/>
      </c:valAx>
      <c:spPr>
        <a:solidFill>
          <a:schemeClr val="bg1"/>
        </a:solidFill>
        <a:ln>
          <a:noFill/>
        </a:ln>
        <a:effectLst/>
      </c:spPr>
    </c:plotArea>
    <c:legend>
      <c:legendPos val="b"/>
      <c:layout>
        <c:manualLayout>
          <c:xMode val="edge"/>
          <c:yMode val="edge"/>
          <c:x val="6.3660076546159294E-2"/>
          <c:y val="0.78478832405363563"/>
          <c:w val="0.76680041929743292"/>
          <c:h val="0.21521167594636437"/>
        </c:manualLayout>
      </c:layout>
      <c:overlay val="0"/>
      <c:spPr>
        <a:noFill/>
        <a:ln w="25392">
          <a:noFill/>
        </a:ln>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2" cap="flat" cmpd="sng" algn="ctr">
      <a:solidFill>
        <a:schemeClr val="bg2"/>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Բնականոն գնաճ, %</c:v>
                </c:pt>
              </c:strCache>
            </c:strRef>
          </c:tx>
          <c:spPr>
            <a:ln w="28564" cap="rnd">
              <a:solidFill>
                <a:schemeClr val="accent1"/>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Sheet1!$B$2:$B$61</c:f>
              <c:numCache>
                <c:formatCode>0.0</c:formatCode>
                <c:ptCount val="60"/>
                <c:pt idx="0">
                  <c:v>4.6239046971365809</c:v>
                </c:pt>
                <c:pt idx="1">
                  <c:v>5.0183836014249437</c:v>
                </c:pt>
                <c:pt idx="2">
                  <c:v>4.9449250245676524</c:v>
                </c:pt>
                <c:pt idx="3">
                  <c:v>4.6484903429493443</c:v>
                </c:pt>
                <c:pt idx="4">
                  <c:v>4.3127235899098793</c:v>
                </c:pt>
                <c:pt idx="5">
                  <c:v>4.1469572523281499</c:v>
                </c:pt>
                <c:pt idx="6">
                  <c:v>4.0036860243682213</c:v>
                </c:pt>
                <c:pt idx="7">
                  <c:v>3.7302604069651295</c:v>
                </c:pt>
                <c:pt idx="8">
                  <c:v>3.6702807488898941</c:v>
                </c:pt>
                <c:pt idx="9">
                  <c:v>3.3515578198287415</c:v>
                </c:pt>
                <c:pt idx="10">
                  <c:v>2.7607427950946573</c:v>
                </c:pt>
                <c:pt idx="11">
                  <c:v>2.6065274261081868</c:v>
                </c:pt>
                <c:pt idx="12">
                  <c:v>1.4563896873120115</c:v>
                </c:pt>
                <c:pt idx="13">
                  <c:v>1.3360206114939643</c:v>
                </c:pt>
                <c:pt idx="14">
                  <c:v>1.2771887180059309</c:v>
                </c:pt>
                <c:pt idx="15">
                  <c:v>1.1877620101242883</c:v>
                </c:pt>
                <c:pt idx="16">
                  <c:v>1.3884989506365031</c:v>
                </c:pt>
                <c:pt idx="17">
                  <c:v>1.4765728279502213</c:v>
                </c:pt>
                <c:pt idx="18">
                  <c:v>1.4806012555558254</c:v>
                </c:pt>
                <c:pt idx="19">
                  <c:v>1.2974576939890596</c:v>
                </c:pt>
                <c:pt idx="20">
                  <c:v>1.1059473147374064</c:v>
                </c:pt>
                <c:pt idx="21">
                  <c:v>0.70910691439891593</c:v>
                </c:pt>
                <c:pt idx="22">
                  <c:v>0.63481763451314066</c:v>
                </c:pt>
                <c:pt idx="23">
                  <c:v>0.66237483910065009</c:v>
                </c:pt>
                <c:pt idx="24">
                  <c:v>0.86538957196520983</c:v>
                </c:pt>
                <c:pt idx="25">
                  <c:v>0.77184062474053405</c:v>
                </c:pt>
                <c:pt idx="26">
                  <c:v>0.54227164049494547</c:v>
                </c:pt>
                <c:pt idx="27">
                  <c:v>1.1321822131247927</c:v>
                </c:pt>
                <c:pt idx="28">
                  <c:v>0.86253079378988673</c:v>
                </c:pt>
                <c:pt idx="29">
                  <c:v>0.77684596156544217</c:v>
                </c:pt>
                <c:pt idx="30">
                  <c:v>0.8340682821257559</c:v>
                </c:pt>
                <c:pt idx="31">
                  <c:v>1.0666176019744</c:v>
                </c:pt>
                <c:pt idx="32">
                  <c:v>1.3397678509690962</c:v>
                </c:pt>
                <c:pt idx="33">
                  <c:v>1.677154081686254</c:v>
                </c:pt>
                <c:pt idx="34">
                  <c:v>1.9837670848593518</c:v>
                </c:pt>
                <c:pt idx="35">
                  <c:v>3.6204833935339735</c:v>
                </c:pt>
                <c:pt idx="36">
                  <c:v>4.6779235852640682</c:v>
                </c:pt>
                <c:pt idx="37">
                  <c:v>5.4846481634119186</c:v>
                </c:pt>
                <c:pt idx="38">
                  <c:v>6.6300845552899972</c:v>
                </c:pt>
                <c:pt idx="39">
                  <c:v>6.7626395686116751</c:v>
                </c:pt>
                <c:pt idx="40">
                  <c:v>7.4114337608134804</c:v>
                </c:pt>
                <c:pt idx="41">
                  <c:v>7.8323845176300608</c:v>
                </c:pt>
                <c:pt idx="42">
                  <c:v>8.1093537485616309</c:v>
                </c:pt>
                <c:pt idx="43">
                  <c:v>8.0379242186285609</c:v>
                </c:pt>
                <c:pt idx="44">
                  <c:v>7.9880734583744442</c:v>
                </c:pt>
                <c:pt idx="45">
                  <c:v>7.8765202676341914</c:v>
                </c:pt>
                <c:pt idx="46">
                  <c:v>8.3772656385054063</c:v>
                </c:pt>
                <c:pt idx="47">
                  <c:v>7.2509011281681808</c:v>
                </c:pt>
                <c:pt idx="48">
                  <c:v>6.60162670741569</c:v>
                </c:pt>
                <c:pt idx="49">
                  <c:v>6.3614506423955959</c:v>
                </c:pt>
                <c:pt idx="50">
                  <c:v>6.9671454857929405</c:v>
                </c:pt>
                <c:pt idx="51">
                  <c:v>7.9799047833968757</c:v>
                </c:pt>
                <c:pt idx="52">
                  <c:v>8.3564098161367042</c:v>
                </c:pt>
                <c:pt idx="53">
                  <c:v>9.4404331247470736</c:v>
                </c:pt>
                <c:pt idx="54">
                  <c:v>10.10041008820204</c:v>
                </c:pt>
                <c:pt idx="55">
                  <c:v>10.230227924035546</c:v>
                </c:pt>
                <c:pt idx="56">
                  <c:v>10.540276376631112</c:v>
                </c:pt>
                <c:pt idx="57">
                  <c:v>10.488322377082326</c:v>
                </c:pt>
                <c:pt idx="58">
                  <c:v>9.8756503499295007</c:v>
                </c:pt>
                <c:pt idx="59">
                  <c:v>9.4793414473783173</c:v>
                </c:pt>
              </c:numCache>
            </c:numRef>
          </c:val>
          <c:smooth val="0"/>
          <c:extLst>
            <c:ext xmlns:c16="http://schemas.microsoft.com/office/drawing/2014/chart" uri="{C3380CC4-5D6E-409C-BE32-E72D297353CC}">
              <c16:uniqueId val="{00000000-01FB-44BB-91CF-989D7E00214B}"/>
            </c:ext>
          </c:extLst>
        </c:ser>
        <c:ser>
          <c:idx val="1"/>
          <c:order val="1"/>
          <c:tx>
            <c:strRef>
              <c:f>Sheet1!$C$1</c:f>
              <c:strCache>
                <c:ptCount val="1"/>
                <c:pt idx="0">
                  <c:v>12 ամսյա գնաճ, %</c:v>
                </c:pt>
              </c:strCache>
            </c:strRef>
          </c:tx>
          <c:spPr>
            <a:ln w="28564" cap="rnd">
              <a:solidFill>
                <a:schemeClr val="accent2"/>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Sheet1!$C$2:$C$61</c:f>
              <c:numCache>
                <c:formatCode>0.0</c:formatCode>
                <c:ptCount val="60"/>
                <c:pt idx="0">
                  <c:v>2.852979578360987</c:v>
                </c:pt>
                <c:pt idx="1">
                  <c:v>3.2731236147623264</c:v>
                </c:pt>
                <c:pt idx="2">
                  <c:v>3.725703037710403</c:v>
                </c:pt>
                <c:pt idx="3">
                  <c:v>2.3721461376946564</c:v>
                </c:pt>
                <c:pt idx="4">
                  <c:v>1.5580723816117796</c:v>
                </c:pt>
                <c:pt idx="5">
                  <c:v>0.87704172905340272</c:v>
                </c:pt>
                <c:pt idx="6">
                  <c:v>2.3265215483361885</c:v>
                </c:pt>
                <c:pt idx="7">
                  <c:v>3.3257115923031506</c:v>
                </c:pt>
                <c:pt idx="8">
                  <c:v>3.524709883857156</c:v>
                </c:pt>
                <c:pt idx="9">
                  <c:v>2.8304155224668506</c:v>
                </c:pt>
                <c:pt idx="10">
                  <c:v>1.847915431679354</c:v>
                </c:pt>
                <c:pt idx="11">
                  <c:v>1.7912209026326593</c:v>
                </c:pt>
                <c:pt idx="12">
                  <c:v>0.79097636655596659</c:v>
                </c:pt>
                <c:pt idx="13">
                  <c:v>1.8976618564860388</c:v>
                </c:pt>
                <c:pt idx="14">
                  <c:v>1.8811658309777073</c:v>
                </c:pt>
                <c:pt idx="15">
                  <c:v>2.1504850922056562</c:v>
                </c:pt>
                <c:pt idx="16">
                  <c:v>2.7652597181532172</c:v>
                </c:pt>
                <c:pt idx="17">
                  <c:v>2.5</c:v>
                </c:pt>
                <c:pt idx="18">
                  <c:v>1.6569795204561331</c:v>
                </c:pt>
                <c:pt idx="19">
                  <c:v>0.62771323268484025</c:v>
                </c:pt>
                <c:pt idx="20">
                  <c:v>0.5</c:v>
                </c:pt>
                <c:pt idx="21">
                  <c:v>0.90000000000000568</c:v>
                </c:pt>
                <c:pt idx="22">
                  <c:v>1</c:v>
                </c:pt>
                <c:pt idx="23">
                  <c:v>0.72816647656999578</c:v>
                </c:pt>
                <c:pt idx="24">
                  <c:v>0.27658563406973258</c:v>
                </c:pt>
                <c:pt idx="25">
                  <c:v>-0.54084569473241118</c:v>
                </c:pt>
                <c:pt idx="26">
                  <c:v>-0.11022336893752538</c:v>
                </c:pt>
                <c:pt idx="27">
                  <c:v>0.85542195074623351</c:v>
                </c:pt>
                <c:pt idx="28">
                  <c:v>1.1580085630596528</c:v>
                </c:pt>
                <c:pt idx="29">
                  <c:v>1.6775261712177212</c:v>
                </c:pt>
                <c:pt idx="30">
                  <c:v>1.5187898303232146</c:v>
                </c:pt>
                <c:pt idx="31">
                  <c:v>1.8167405331190878</c:v>
                </c:pt>
                <c:pt idx="32">
                  <c:v>1.4326844717312213</c:v>
                </c:pt>
                <c:pt idx="33">
                  <c:v>1.3441364663858479</c:v>
                </c:pt>
                <c:pt idx="34">
                  <c:v>1.5585891969706438</c:v>
                </c:pt>
                <c:pt idx="35">
                  <c:v>3.6638246566360237</c:v>
                </c:pt>
                <c:pt idx="36">
                  <c:v>4.5148886220006261</c:v>
                </c:pt>
                <c:pt idx="37">
                  <c:v>5.3267515218621924</c:v>
                </c:pt>
                <c:pt idx="38">
                  <c:v>5.7810093225161552</c:v>
                </c:pt>
                <c:pt idx="39">
                  <c:v>6.1569193415054002</c:v>
                </c:pt>
                <c:pt idx="40">
                  <c:v>5.9006948589342016</c:v>
                </c:pt>
                <c:pt idx="41">
                  <c:v>6.5046445234588646</c:v>
                </c:pt>
                <c:pt idx="42">
                  <c:v>8.2227275731544154</c:v>
                </c:pt>
                <c:pt idx="43">
                  <c:v>8.7823860822581139</c:v>
                </c:pt>
                <c:pt idx="44">
                  <c:v>8.8886539553763413</c:v>
                </c:pt>
                <c:pt idx="45">
                  <c:v>9.1040943851299545</c:v>
                </c:pt>
                <c:pt idx="46">
                  <c:v>9.5566762184085832</c:v>
                </c:pt>
                <c:pt idx="47">
                  <c:v>7.6754534627573037</c:v>
                </c:pt>
                <c:pt idx="48">
                  <c:v>7.0769205766379315</c:v>
                </c:pt>
                <c:pt idx="49">
                  <c:v>6.5432090002156116</c:v>
                </c:pt>
                <c:pt idx="50">
                  <c:v>7.3617969746003382</c:v>
                </c:pt>
                <c:pt idx="51">
                  <c:v>8.4252580519207356</c:v>
                </c:pt>
                <c:pt idx="52">
                  <c:v>8.9862917816955417</c:v>
                </c:pt>
                <c:pt idx="53">
                  <c:v>10.274467693331786</c:v>
                </c:pt>
                <c:pt idx="54">
                  <c:v>9.3216627279495867</c:v>
                </c:pt>
                <c:pt idx="55">
                  <c:v>9.1287829914562479</c:v>
                </c:pt>
                <c:pt idx="56">
                  <c:v>9.9151144159470022</c:v>
                </c:pt>
                <c:pt idx="57">
                  <c:v>9.5</c:v>
                </c:pt>
                <c:pt idx="58">
                  <c:v>8.8446621147540014</c:v>
                </c:pt>
                <c:pt idx="59">
                  <c:v>8.3026886372339987</c:v>
                </c:pt>
              </c:numCache>
            </c:numRef>
          </c:val>
          <c:smooth val="0"/>
          <c:extLst>
            <c:ext xmlns:c16="http://schemas.microsoft.com/office/drawing/2014/chart" uri="{C3380CC4-5D6E-409C-BE32-E72D297353CC}">
              <c16:uniqueId val="{00000001-01FB-44BB-91CF-989D7E00214B}"/>
            </c:ext>
          </c:extLst>
        </c:ser>
        <c:ser>
          <c:idx val="2"/>
          <c:order val="2"/>
          <c:tx>
            <c:strRef>
              <c:f>Sheet1!$D$1</c:f>
              <c:strCache>
                <c:ptCount val="1"/>
                <c:pt idx="0">
                  <c:v>Վերաֆինանսավորման տոկոսադրույք, %</c:v>
                </c:pt>
              </c:strCache>
            </c:strRef>
          </c:tx>
          <c:spPr>
            <a:ln w="22216" cap="rnd">
              <a:solidFill>
                <a:schemeClr val="tx1"/>
              </a:solidFill>
              <a:prstDash val="solid"/>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Sheet1!$D$2:$D$61</c:f>
              <c:numCache>
                <c:formatCode>0.00</c:formatCode>
                <c:ptCount val="60"/>
                <c:pt idx="0">
                  <c:v>6</c:v>
                </c:pt>
                <c:pt idx="1">
                  <c:v>6</c:v>
                </c:pt>
                <c:pt idx="2">
                  <c:v>6</c:v>
                </c:pt>
                <c:pt idx="3">
                  <c:v>6</c:v>
                </c:pt>
                <c:pt idx="4">
                  <c:v>6</c:v>
                </c:pt>
                <c:pt idx="5">
                  <c:v>6</c:v>
                </c:pt>
                <c:pt idx="6">
                  <c:v>6</c:v>
                </c:pt>
                <c:pt idx="7">
                  <c:v>6</c:v>
                </c:pt>
                <c:pt idx="8">
                  <c:v>6</c:v>
                </c:pt>
                <c:pt idx="9">
                  <c:v>6</c:v>
                </c:pt>
                <c:pt idx="10">
                  <c:v>6</c:v>
                </c:pt>
                <c:pt idx="11">
                  <c:v>6</c:v>
                </c:pt>
                <c:pt idx="12">
                  <c:v>5.75</c:v>
                </c:pt>
                <c:pt idx="13">
                  <c:v>5.75</c:v>
                </c:pt>
                <c:pt idx="14">
                  <c:v>5.75</c:v>
                </c:pt>
                <c:pt idx="15">
                  <c:v>5.75</c:v>
                </c:pt>
                <c:pt idx="16">
                  <c:v>5.75</c:v>
                </c:pt>
                <c:pt idx="17">
                  <c:v>5.75</c:v>
                </c:pt>
                <c:pt idx="18">
                  <c:v>5.75</c:v>
                </c:pt>
                <c:pt idx="19">
                  <c:v>5.75</c:v>
                </c:pt>
                <c:pt idx="20">
                  <c:v>5.5</c:v>
                </c:pt>
                <c:pt idx="21">
                  <c:v>5.5</c:v>
                </c:pt>
                <c:pt idx="22">
                  <c:v>5.5</c:v>
                </c:pt>
                <c:pt idx="23">
                  <c:v>5.5</c:v>
                </c:pt>
                <c:pt idx="24">
                  <c:v>5.5</c:v>
                </c:pt>
                <c:pt idx="25">
                  <c:v>5.5</c:v>
                </c:pt>
                <c:pt idx="26">
                  <c:v>5.25</c:v>
                </c:pt>
                <c:pt idx="27">
                  <c:v>5</c:v>
                </c:pt>
                <c:pt idx="28">
                  <c:v>5</c:v>
                </c:pt>
                <c:pt idx="29">
                  <c:v>4.5</c:v>
                </c:pt>
                <c:pt idx="30">
                  <c:v>4.5</c:v>
                </c:pt>
                <c:pt idx="31">
                  <c:v>4.5</c:v>
                </c:pt>
                <c:pt idx="32">
                  <c:v>4.25</c:v>
                </c:pt>
                <c:pt idx="33">
                  <c:v>4.25</c:v>
                </c:pt>
                <c:pt idx="34">
                  <c:v>4.25</c:v>
                </c:pt>
                <c:pt idx="35">
                  <c:v>5.25</c:v>
                </c:pt>
                <c:pt idx="36">
                  <c:v>5.25</c:v>
                </c:pt>
                <c:pt idx="37">
                  <c:v>5.5</c:v>
                </c:pt>
                <c:pt idx="38">
                  <c:v>5.5</c:v>
                </c:pt>
                <c:pt idx="39">
                  <c:v>5.5</c:v>
                </c:pt>
                <c:pt idx="40">
                  <c:v>6</c:v>
                </c:pt>
                <c:pt idx="41">
                  <c:v>6.5</c:v>
                </c:pt>
                <c:pt idx="42">
                  <c:v>6.5</c:v>
                </c:pt>
                <c:pt idx="43">
                  <c:v>7</c:v>
                </c:pt>
                <c:pt idx="44">
                  <c:v>7.25</c:v>
                </c:pt>
                <c:pt idx="45">
                  <c:v>7.25</c:v>
                </c:pt>
                <c:pt idx="46">
                  <c:v>7.25</c:v>
                </c:pt>
                <c:pt idx="47">
                  <c:v>7.75</c:v>
                </c:pt>
                <c:pt idx="48">
                  <c:v>7.75</c:v>
                </c:pt>
                <c:pt idx="49">
                  <c:v>8</c:v>
                </c:pt>
                <c:pt idx="50">
                  <c:v>9.25</c:v>
                </c:pt>
                <c:pt idx="51">
                  <c:v>9.25</c:v>
                </c:pt>
                <c:pt idx="52">
                  <c:v>9.25</c:v>
                </c:pt>
                <c:pt idx="53">
                  <c:v>9.25</c:v>
                </c:pt>
                <c:pt idx="54">
                  <c:v>9.25</c:v>
                </c:pt>
                <c:pt idx="55">
                  <c:v>9.5</c:v>
                </c:pt>
                <c:pt idx="56">
                  <c:v>10</c:v>
                </c:pt>
                <c:pt idx="57">
                  <c:v>10</c:v>
                </c:pt>
                <c:pt idx="58">
                  <c:v>10.5</c:v>
                </c:pt>
                <c:pt idx="59">
                  <c:v>10.75</c:v>
                </c:pt>
              </c:numCache>
            </c:numRef>
          </c:val>
          <c:smooth val="0"/>
          <c:extLst>
            <c:ext xmlns:c16="http://schemas.microsoft.com/office/drawing/2014/chart" uri="{C3380CC4-5D6E-409C-BE32-E72D297353CC}">
              <c16:uniqueId val="{00000002-01FB-44BB-91CF-989D7E00214B}"/>
            </c:ext>
          </c:extLst>
        </c:ser>
        <c:dLbls>
          <c:showLegendKey val="0"/>
          <c:showVal val="0"/>
          <c:showCatName val="0"/>
          <c:showSerName val="0"/>
          <c:showPercent val="0"/>
          <c:showBubbleSize val="0"/>
        </c:dLbls>
        <c:smooth val="0"/>
        <c:axId val="180946448"/>
        <c:axId val="1"/>
      </c:lineChart>
      <c:catAx>
        <c:axId val="180946448"/>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1" cap="flat" cmpd="sng" algn="ctr">
              <a:solidFill>
                <a:schemeClr val="tx1">
                  <a:lumMod val="15000"/>
                  <a:lumOff val="85000"/>
                </a:schemeClr>
              </a:solidFill>
              <a:round/>
            </a:ln>
            <a:effectLst/>
          </c:spPr>
        </c:majorGridlines>
        <c:numFmt formatCode="0.0" sourceLinked="1"/>
        <c:majorTickMark val="none"/>
        <c:minorTickMark val="none"/>
        <c:tickLblPos val="nextTo"/>
        <c:spPr>
          <a:ln w="952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80946448"/>
        <c:crosses val="autoZero"/>
        <c:crossBetween val="between"/>
      </c:valAx>
      <c:spPr>
        <a:noFill/>
        <a:ln w="25390">
          <a:noFill/>
        </a:ln>
      </c:spPr>
    </c:plotArea>
    <c:legend>
      <c:legendPos val="b"/>
      <c:overlay val="0"/>
      <c:spPr>
        <a:noFill/>
        <a:ln w="2539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cap="none" spc="0" normalizeH="0" baseline="0">
                <a:solidFill>
                  <a:sysClr val="windowText" lastClr="000000"/>
                </a:solidFill>
                <a:latin typeface="GHEA Grapalat" panose="02000506050000020003" pitchFamily="50" charset="0"/>
                <a:ea typeface="+mj-ea"/>
                <a:cs typeface="+mj-cs"/>
              </a:defRPr>
            </a:pPr>
            <a:r>
              <a:rPr lang="en-US" sz="1100" b="0"/>
              <a:t>12</a:t>
            </a:r>
            <a:r>
              <a:rPr lang="hy-AM" sz="1100" b="0"/>
              <a:t> ամսյա գնաճը</a:t>
            </a:r>
            <a:r>
              <a:rPr lang="en-US" sz="1100" b="0"/>
              <a:t>,</a:t>
            </a:r>
            <a:r>
              <a:rPr lang="en-US" sz="1100" b="0" baseline="0"/>
              <a:t> %</a:t>
            </a:r>
            <a:endParaRPr lang="en-US" sz="1100" b="0"/>
          </a:p>
        </c:rich>
      </c:tx>
      <c:layout>
        <c:manualLayout>
          <c:xMode val="edge"/>
          <c:yMode val="edge"/>
          <c:x val="0.31856821302909893"/>
          <c:y val="0"/>
        </c:manualLayout>
      </c:layout>
      <c:overlay val="0"/>
      <c:spPr>
        <a:noFill/>
        <a:ln w="25392">
          <a:noFill/>
        </a:ln>
      </c:spPr>
    </c:title>
    <c:autoTitleDeleted val="0"/>
    <c:plotArea>
      <c:layout>
        <c:manualLayout>
          <c:layoutTarget val="inner"/>
          <c:xMode val="edge"/>
          <c:yMode val="edge"/>
          <c:x val="0.11270836908098351"/>
          <c:y val="0.11736390691749306"/>
          <c:w val="0.84290099330803991"/>
          <c:h val="0.57484795572101599"/>
        </c:manualLayout>
      </c:layout>
      <c:barChart>
        <c:barDir val="col"/>
        <c:grouping val="stacked"/>
        <c:varyColors val="0"/>
        <c:ser>
          <c:idx val="1"/>
          <c:order val="1"/>
          <c:tx>
            <c:strRef>
              <c:f>Sheet1!$C$1</c:f>
              <c:strCache>
                <c:ptCount val="1"/>
                <c:pt idx="0">
                  <c:v>Սննդամթերք և ոչ ալկոհոլային խմիչքներ</c:v>
                </c:pt>
              </c:strCache>
            </c:strRef>
          </c:tx>
          <c:spPr>
            <a:solidFill>
              <a:srgbClr val="C0504D"/>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Sheet1!$C$2:$C$63</c:f>
              <c:numCache>
                <c:formatCode>General</c:formatCode>
                <c:ptCount val="12"/>
                <c:pt idx="0">
                  <c:v>-1.1761594</c:v>
                </c:pt>
                <c:pt idx="1">
                  <c:v>0.78459999999999996</c:v>
                </c:pt>
                <c:pt idx="2">
                  <c:v>0.34734000000000004</c:v>
                </c:pt>
                <c:pt idx="3">
                  <c:v>1.937962</c:v>
                </c:pt>
                <c:pt idx="4">
                  <c:v>2.7530960000000007</c:v>
                </c:pt>
                <c:pt idx="5">
                  <c:v>3.2739520000000004</c:v>
                </c:pt>
                <c:pt idx="6">
                  <c:v>5.7294159999999996</c:v>
                </c:pt>
                <c:pt idx="7">
                  <c:v>4.7993160000000001</c:v>
                </c:pt>
                <c:pt idx="8">
                  <c:v>4.7621120000000001</c:v>
                </c:pt>
                <c:pt idx="9">
                  <c:v>6.3618840000000008</c:v>
                </c:pt>
                <c:pt idx="10">
                  <c:v>5.0969480000000003</c:v>
                </c:pt>
                <c:pt idx="11">
                  <c:v>3.7204000000000002</c:v>
                </c:pt>
              </c:numCache>
            </c:numRef>
          </c:val>
          <c:extLst>
            <c:ext xmlns:c16="http://schemas.microsoft.com/office/drawing/2014/chart" uri="{C3380CC4-5D6E-409C-BE32-E72D297353CC}">
              <c16:uniqueId val="{00000000-AAE0-4E13-844C-924386297655}"/>
            </c:ext>
          </c:extLst>
        </c:ser>
        <c:ser>
          <c:idx val="2"/>
          <c:order val="2"/>
          <c:tx>
            <c:strRef>
              <c:f>Sheet1!$D$1</c:f>
              <c:strCache>
                <c:ptCount val="1"/>
                <c:pt idx="0">
                  <c:v>Ալկոհոլային խմիչքներ, ծխախոտ</c:v>
                </c:pt>
              </c:strCache>
            </c:strRef>
          </c:tx>
          <c:spPr>
            <a:solidFill>
              <a:srgbClr val="9BBB59"/>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Sheet1!$D$2:$D$63</c:f>
              <c:numCache>
                <c:formatCode>General</c:formatCode>
                <c:ptCount val="12"/>
                <c:pt idx="0">
                  <c:v>0.45172999999999996</c:v>
                </c:pt>
                <c:pt idx="1">
                  <c:v>0.46287</c:v>
                </c:pt>
                <c:pt idx="2">
                  <c:v>0.44492000000000004</c:v>
                </c:pt>
                <c:pt idx="3">
                  <c:v>0.43368000000000001</c:v>
                </c:pt>
                <c:pt idx="4">
                  <c:v>0.41001639999999995</c:v>
                </c:pt>
                <c:pt idx="5">
                  <c:v>0.39218960000000003</c:v>
                </c:pt>
                <c:pt idx="6">
                  <c:v>0.41447310000000004</c:v>
                </c:pt>
                <c:pt idx="7">
                  <c:v>0.41001639999999995</c:v>
                </c:pt>
                <c:pt idx="8">
                  <c:v>0.32533909999999999</c:v>
                </c:pt>
                <c:pt idx="9">
                  <c:v>0.36099269999999994</c:v>
                </c:pt>
                <c:pt idx="10">
                  <c:v>0.39664629999999995</c:v>
                </c:pt>
                <c:pt idx="11">
                  <c:v>0.39664629999999995</c:v>
                </c:pt>
              </c:numCache>
            </c:numRef>
          </c:val>
          <c:extLst>
            <c:ext xmlns:c16="http://schemas.microsoft.com/office/drawing/2014/chart" uri="{C3380CC4-5D6E-409C-BE32-E72D297353CC}">
              <c16:uniqueId val="{00000001-AAE0-4E13-844C-924386297655}"/>
            </c:ext>
          </c:extLst>
        </c:ser>
        <c:ser>
          <c:idx val="3"/>
          <c:order val="3"/>
          <c:tx>
            <c:strRef>
              <c:f>Sheet1!$E$1</c:f>
              <c:strCache>
                <c:ptCount val="1"/>
                <c:pt idx="0">
                  <c:v>Ոչ պարենային ապրանքներ</c:v>
                </c:pt>
              </c:strCache>
            </c:strRef>
          </c:tx>
          <c:spPr>
            <a:solidFill>
              <a:srgbClr val="8064A2"/>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Sheet1!$E$2:$E$63</c:f>
              <c:numCache>
                <c:formatCode>General</c:formatCode>
                <c:ptCount val="12"/>
                <c:pt idx="0">
                  <c:v>0.27799999999999997</c:v>
                </c:pt>
                <c:pt idx="1">
                  <c:v>-4.2020000000000009E-2</c:v>
                </c:pt>
                <c:pt idx="2">
                  <c:v>0.11119999999999999</c:v>
                </c:pt>
                <c:pt idx="3">
                  <c:v>0.71433999999999997</c:v>
                </c:pt>
                <c:pt idx="4">
                  <c:v>1.8656400000000002</c:v>
                </c:pt>
                <c:pt idx="5">
                  <c:v>2.10995</c:v>
                </c:pt>
                <c:pt idx="6">
                  <c:v>2.1987900000000002</c:v>
                </c:pt>
                <c:pt idx="7">
                  <c:v>1.7768000000000002</c:v>
                </c:pt>
                <c:pt idx="8">
                  <c:v>1.0660800000000001</c:v>
                </c:pt>
                <c:pt idx="9">
                  <c:v>1.6657500000000001</c:v>
                </c:pt>
                <c:pt idx="10">
                  <c:v>1.79901</c:v>
                </c:pt>
                <c:pt idx="11">
                  <c:v>1.57691</c:v>
                </c:pt>
              </c:numCache>
            </c:numRef>
          </c:val>
          <c:extLst>
            <c:ext xmlns:c16="http://schemas.microsoft.com/office/drawing/2014/chart" uri="{C3380CC4-5D6E-409C-BE32-E72D297353CC}">
              <c16:uniqueId val="{00000002-AAE0-4E13-844C-924386297655}"/>
            </c:ext>
          </c:extLst>
        </c:ser>
        <c:ser>
          <c:idx val="4"/>
          <c:order val="4"/>
          <c:tx>
            <c:strRef>
              <c:f>Sheet1!$F$1</c:f>
              <c:strCache>
                <c:ptCount val="1"/>
                <c:pt idx="0">
                  <c:v>Ծառայություններ </c:v>
                </c:pt>
              </c:strCache>
            </c:strRef>
          </c:tx>
          <c:spPr>
            <a:solidFill>
              <a:srgbClr val="4BACC6"/>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Sheet1!$F$2:$F$63</c:f>
              <c:numCache>
                <c:formatCode>General</c:formatCode>
                <c:ptCount val="12"/>
                <c:pt idx="0">
                  <c:v>0.39837499999999998</c:v>
                </c:pt>
                <c:pt idx="1">
                  <c:v>0.46240999999999999</c:v>
                </c:pt>
                <c:pt idx="2">
                  <c:v>0.44618000000000002</c:v>
                </c:pt>
                <c:pt idx="3">
                  <c:v>0.56912000000000007</c:v>
                </c:pt>
                <c:pt idx="4">
                  <c:v>0.79486000000000023</c:v>
                </c:pt>
                <c:pt idx="5">
                  <c:v>0.75873000000000002</c:v>
                </c:pt>
                <c:pt idx="6">
                  <c:v>0.57808000000000004</c:v>
                </c:pt>
                <c:pt idx="7">
                  <c:v>0.68647000000000002</c:v>
                </c:pt>
                <c:pt idx="8">
                  <c:v>1.1922900000000001</c:v>
                </c:pt>
                <c:pt idx="9">
                  <c:v>1.91489</c:v>
                </c:pt>
                <c:pt idx="10">
                  <c:v>2.6013600000000001</c:v>
                </c:pt>
                <c:pt idx="11">
                  <c:v>2.6013600000000001</c:v>
                </c:pt>
              </c:numCache>
            </c:numRef>
          </c:val>
          <c:extLst>
            <c:ext xmlns:c16="http://schemas.microsoft.com/office/drawing/2014/chart" uri="{C3380CC4-5D6E-409C-BE32-E72D297353CC}">
              <c16:uniqueId val="{00000003-AAE0-4E13-844C-924386297655}"/>
            </c:ext>
          </c:extLst>
        </c:ser>
        <c:dLbls>
          <c:showLegendKey val="0"/>
          <c:showVal val="0"/>
          <c:showCatName val="0"/>
          <c:showSerName val="0"/>
          <c:showPercent val="0"/>
          <c:showBubbleSize val="0"/>
        </c:dLbls>
        <c:gapWidth val="100"/>
        <c:overlap val="100"/>
        <c:axId val="157596760"/>
        <c:axId val="1"/>
      </c:barChart>
      <c:lineChart>
        <c:grouping val="standard"/>
        <c:varyColors val="0"/>
        <c:ser>
          <c:idx val="0"/>
          <c:order val="0"/>
          <c:tx>
            <c:strRef>
              <c:f>Sheet1!$B$1</c:f>
              <c:strCache>
                <c:ptCount val="1"/>
                <c:pt idx="0">
                  <c:v>12-ամսյա գնաճ</c:v>
                </c:pt>
              </c:strCache>
            </c:strRef>
          </c:tx>
          <c:spPr>
            <a:ln w="34914" cap="rnd">
              <a:solidFill>
                <a:schemeClr val="accent1"/>
              </a:solidFill>
              <a:round/>
            </a:ln>
            <a:effectLst/>
          </c:spPr>
          <c:marker>
            <c:symbol val="none"/>
          </c:marker>
          <c:dPt>
            <c:idx val="2"/>
            <c:bubble3D val="0"/>
            <c:extLst>
              <c:ext xmlns:c16="http://schemas.microsoft.com/office/drawing/2014/chart" uri="{C3380CC4-5D6E-409C-BE32-E72D297353CC}">
                <c16:uniqueId val="{00000005-AAE0-4E13-844C-924386297655}"/>
              </c:ext>
            </c:extLst>
          </c:dPt>
          <c:dPt>
            <c:idx val="3"/>
            <c:marker>
              <c:symbol val="square"/>
              <c:size val="5"/>
              <c:spPr>
                <a:solidFill>
                  <a:schemeClr val="accent1"/>
                </a:solidFill>
                <a:ln w="15870">
                  <a:solidFill>
                    <a:schemeClr val="accent1"/>
                  </a:solidFill>
                  <a:round/>
                </a:ln>
                <a:effectLst/>
              </c:spPr>
            </c:marker>
            <c:bubble3D val="0"/>
            <c:extLst>
              <c:ext xmlns:c16="http://schemas.microsoft.com/office/drawing/2014/chart" uri="{C3380CC4-5D6E-409C-BE32-E72D297353CC}">
                <c16:uniqueId val="{00000007-AAE0-4E13-844C-924386297655}"/>
              </c:ext>
            </c:extLst>
          </c:dPt>
          <c:dLbls>
            <c:dLbl>
              <c:idx val="4"/>
              <c:layout>
                <c:manualLayout>
                  <c:x val="-2.0769755475480819E-2"/>
                  <c:y val="-4.7598039215686276E-2"/>
                </c:manualLayout>
              </c:layout>
              <c:numFmt formatCode="#,##0.0" sourceLinked="0"/>
              <c:spPr>
                <a:noFill/>
                <a:ln w="25392">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E0-4E13-844C-924386297655}"/>
                </c:ext>
              </c:extLst>
            </c:dLbl>
            <c:dLbl>
              <c:idx val="6"/>
              <c:layout>
                <c:manualLayout>
                  <c:x val="-2.9025239338555265E-2"/>
                  <c:y val="-3.7866817155756211E-2"/>
                </c:manualLayout>
              </c:layout>
              <c:numFmt formatCode="#,##0.0" sourceLinked="0"/>
              <c:spPr>
                <a:noFill/>
                <a:ln w="25392">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E0-4E13-844C-924386297655}"/>
                </c:ext>
              </c:extLst>
            </c:dLbl>
            <c:numFmt formatCode="#,##0.0" sourceLinked="0"/>
            <c:spPr>
              <a:noFill/>
              <a:ln w="25392">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Sheet1!$B$2:$B$63</c:f>
              <c:numCache>
                <c:formatCode>General</c:formatCode>
                <c:ptCount val="12"/>
                <c:pt idx="0">
                  <c:v>-5.8054400000000055E-2</c:v>
                </c:pt>
                <c:pt idx="1">
                  <c:v>1.6578599999999999</c:v>
                </c:pt>
                <c:pt idx="2">
                  <c:v>1.3506399999999998</c:v>
                </c:pt>
                <c:pt idx="3">
                  <c:v>3.6551020000000003</c:v>
                </c:pt>
                <c:pt idx="4">
                  <c:v>5.8236124000000009</c:v>
                </c:pt>
                <c:pt idx="5">
                  <c:v>6.5348216000000008</c:v>
                </c:pt>
                <c:pt idx="6">
                  <c:v>8.9207590999999997</c:v>
                </c:pt>
                <c:pt idx="7">
                  <c:v>7.6726024000000006</c:v>
                </c:pt>
                <c:pt idx="8">
                  <c:v>7.4</c:v>
                </c:pt>
                <c:pt idx="9">
                  <c:v>10.303516699999999</c:v>
                </c:pt>
                <c:pt idx="10">
                  <c:v>9.8939643000000004</c:v>
                </c:pt>
                <c:pt idx="11">
                  <c:v>8.2953162999999996</c:v>
                </c:pt>
              </c:numCache>
            </c:numRef>
          </c:val>
          <c:smooth val="0"/>
          <c:extLst>
            <c:ext xmlns:c16="http://schemas.microsoft.com/office/drawing/2014/chart" uri="{C3380CC4-5D6E-409C-BE32-E72D297353CC}">
              <c16:uniqueId val="{0000000A-AAE0-4E13-844C-924386297655}"/>
            </c:ext>
          </c:extLst>
        </c:ser>
        <c:dLbls>
          <c:showLegendKey val="0"/>
          <c:showVal val="0"/>
          <c:showCatName val="0"/>
          <c:showSerName val="0"/>
          <c:showPercent val="0"/>
          <c:showBubbleSize val="0"/>
        </c:dLbls>
        <c:marker val="1"/>
        <c:smooth val="0"/>
        <c:axId val="157596760"/>
        <c:axId val="1"/>
      </c:lineChart>
      <c:catAx>
        <c:axId val="157596760"/>
        <c:scaling>
          <c:orientation val="minMax"/>
        </c:scaling>
        <c:delete val="0"/>
        <c:axPos val="b"/>
        <c:numFmt formatCode="General" sourceLinked="1"/>
        <c:majorTickMark val="out"/>
        <c:minorTickMark val="none"/>
        <c:tickLblPos val="low"/>
        <c:spPr>
          <a:noFill/>
          <a:ln w="9522"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6348"/>
          </c:spPr>
        </c:majorGridlines>
        <c:numFmt formatCode="General" sourceLinked="1"/>
        <c:majorTickMark val="none"/>
        <c:minorTickMark val="none"/>
        <c:tickLblPos val="nextTo"/>
        <c:spPr>
          <a:ln w="9522">
            <a:noFill/>
          </a:ln>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157596760"/>
        <c:crosses val="autoZero"/>
        <c:crossBetween val="between"/>
      </c:valAx>
      <c:spPr>
        <a:pattFill prst="ltDnDiag">
          <a:fgClr>
            <a:srgbClr val="000000">
              <a:alpha val="0"/>
            </a:srgbClr>
          </a:fgClr>
          <a:bgClr>
            <a:srgbClr val="FFFFFF"/>
          </a:bgClr>
        </a:pattFill>
        <a:ln w="25392">
          <a:noFill/>
        </a:ln>
      </c:spPr>
    </c:plotArea>
    <c:plotVisOnly val="1"/>
    <c:dispBlanksAs val="gap"/>
    <c:showDLblsOverMax val="0"/>
  </c:chart>
  <c:spPr>
    <a:noFill/>
    <a:ln w="9522"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cap="none" spc="0" normalizeH="0" baseline="0">
                <a:solidFill>
                  <a:sysClr val="windowText" lastClr="000000"/>
                </a:solidFill>
                <a:latin typeface="GHEA Grapalat" panose="02000506050000020003" pitchFamily="50" charset="0"/>
                <a:ea typeface="+mj-ea"/>
                <a:cs typeface="+mj-cs"/>
              </a:defRPr>
            </a:pPr>
            <a:r>
              <a:rPr lang="en-US" sz="1100" b="0"/>
              <a:t>Մ</a:t>
            </a:r>
            <a:r>
              <a:rPr lang="hy-AM" sz="1100" b="0"/>
              <a:t>իջին գնաճը (կուտակային)</a:t>
            </a:r>
            <a:r>
              <a:rPr lang="en-US" sz="1100" b="0"/>
              <a:t>,</a:t>
            </a:r>
            <a:r>
              <a:rPr lang="en-US" sz="1100" b="0" baseline="0"/>
              <a:t> %</a:t>
            </a:r>
            <a:endParaRPr lang="en-US" sz="1100" b="0"/>
          </a:p>
        </c:rich>
      </c:tx>
      <c:layout>
        <c:manualLayout>
          <c:xMode val="edge"/>
          <c:yMode val="edge"/>
          <c:x val="0.18648789644328514"/>
          <c:y val="0"/>
        </c:manualLayout>
      </c:layout>
      <c:overlay val="0"/>
      <c:spPr>
        <a:noFill/>
        <a:ln w="25392">
          <a:noFill/>
        </a:ln>
      </c:spPr>
    </c:title>
    <c:autoTitleDeleted val="0"/>
    <c:plotArea>
      <c:layout>
        <c:manualLayout>
          <c:layoutTarget val="inner"/>
          <c:xMode val="edge"/>
          <c:yMode val="edge"/>
          <c:x val="0.11270836908098351"/>
          <c:y val="0.10620630580173296"/>
          <c:w val="0.87317931679248439"/>
          <c:h val="0.58600555683677613"/>
        </c:manualLayout>
      </c:layout>
      <c:barChart>
        <c:barDir val="col"/>
        <c:grouping val="stacked"/>
        <c:varyColors val="0"/>
        <c:ser>
          <c:idx val="1"/>
          <c:order val="1"/>
          <c:tx>
            <c:strRef>
              <c:f>Sheet1!$C$1</c:f>
              <c:strCache>
                <c:ptCount val="1"/>
                <c:pt idx="0">
                  <c:v>Սննդամթերք և ոչ ալկոհոլային խմիչքներ</c:v>
                </c:pt>
              </c:strCache>
            </c:strRef>
          </c:tx>
          <c:spPr>
            <a:solidFill>
              <a:srgbClr val="C0504D"/>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Sheet1!$C$2:$C$63</c:f>
              <c:numCache>
                <c:formatCode>General</c:formatCode>
                <c:ptCount val="12"/>
                <c:pt idx="0">
                  <c:v>-1.2156899999999999</c:v>
                </c:pt>
                <c:pt idx="1">
                  <c:v>-0.43004000000000003</c:v>
                </c:pt>
                <c:pt idx="2">
                  <c:v>-0.12404999999999999</c:v>
                </c:pt>
                <c:pt idx="3">
                  <c:v>0.11768999999999999</c:v>
                </c:pt>
                <c:pt idx="4">
                  <c:v>2.6414839999999997</c:v>
                </c:pt>
                <c:pt idx="5">
                  <c:v>2.8647079999999998</c:v>
                </c:pt>
                <c:pt idx="6">
                  <c:v>3.6831960000000006</c:v>
                </c:pt>
                <c:pt idx="7">
                  <c:v>4.1668479999999999</c:v>
                </c:pt>
                <c:pt idx="8">
                  <c:v>4.501684</c:v>
                </c:pt>
                <c:pt idx="9">
                  <c:v>5.0969480000000003</c:v>
                </c:pt>
                <c:pt idx="10">
                  <c:v>5.0597440000000002</c:v>
                </c:pt>
                <c:pt idx="11">
                  <c:v>4.8365200000000002</c:v>
                </c:pt>
              </c:numCache>
            </c:numRef>
          </c:val>
          <c:extLst>
            <c:ext xmlns:c16="http://schemas.microsoft.com/office/drawing/2014/chart" uri="{C3380CC4-5D6E-409C-BE32-E72D297353CC}">
              <c16:uniqueId val="{00000000-8FCF-4F99-AD03-38A4E8B04451}"/>
            </c:ext>
          </c:extLst>
        </c:ser>
        <c:ser>
          <c:idx val="2"/>
          <c:order val="2"/>
          <c:tx>
            <c:strRef>
              <c:f>Sheet1!$D$1</c:f>
              <c:strCache>
                <c:ptCount val="1"/>
                <c:pt idx="0">
                  <c:v>Ալկոհոլային խմիչքներ, ծխախոտ</c:v>
                </c:pt>
              </c:strCache>
            </c:strRef>
          </c:tx>
          <c:spPr>
            <a:solidFill>
              <a:srgbClr val="9BBB59"/>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Sheet1!$D$2:$D$63</c:f>
              <c:numCache>
                <c:formatCode>General</c:formatCode>
                <c:ptCount val="12"/>
                <c:pt idx="0">
                  <c:v>0.36093000000000003</c:v>
                </c:pt>
                <c:pt idx="1">
                  <c:v>0.40240499999999996</c:v>
                </c:pt>
                <c:pt idx="2">
                  <c:v>0.41283000000000003</c:v>
                </c:pt>
                <c:pt idx="3">
                  <c:v>0.41283000000000003</c:v>
                </c:pt>
                <c:pt idx="4">
                  <c:v>0.42338649999999994</c:v>
                </c:pt>
                <c:pt idx="5">
                  <c:v>0.40555969999999997</c:v>
                </c:pt>
                <c:pt idx="6">
                  <c:v>0.41001639999999995</c:v>
                </c:pt>
                <c:pt idx="7">
                  <c:v>0.41447310000000004</c:v>
                </c:pt>
                <c:pt idx="8">
                  <c:v>0.35207929999999998</c:v>
                </c:pt>
                <c:pt idx="9">
                  <c:v>0.3476226</c:v>
                </c:pt>
                <c:pt idx="10">
                  <c:v>0.35653599999999996</c:v>
                </c:pt>
                <c:pt idx="11">
                  <c:v>0.36544939999999998</c:v>
                </c:pt>
              </c:numCache>
            </c:numRef>
          </c:val>
          <c:extLst>
            <c:ext xmlns:c16="http://schemas.microsoft.com/office/drawing/2014/chart" uri="{C3380CC4-5D6E-409C-BE32-E72D297353CC}">
              <c16:uniqueId val="{00000001-8FCF-4F99-AD03-38A4E8B04451}"/>
            </c:ext>
          </c:extLst>
        </c:ser>
        <c:ser>
          <c:idx val="3"/>
          <c:order val="3"/>
          <c:tx>
            <c:strRef>
              <c:f>Sheet1!$E$1</c:f>
              <c:strCache>
                <c:ptCount val="1"/>
                <c:pt idx="0">
                  <c:v>Ոչ պարենային ապրանքներ</c:v>
                </c:pt>
              </c:strCache>
            </c:strRef>
          </c:tx>
          <c:spPr>
            <a:solidFill>
              <a:srgbClr val="8064A2"/>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Sheet1!$E$2:$E$63</c:f>
              <c:numCache>
                <c:formatCode>General</c:formatCode>
                <c:ptCount val="12"/>
                <c:pt idx="0">
                  <c:v>0.36695999999999995</c:v>
                </c:pt>
                <c:pt idx="1">
                  <c:v>0.19959500000000002</c:v>
                </c:pt>
                <c:pt idx="2">
                  <c:v>0.16808000000000003</c:v>
                </c:pt>
                <c:pt idx="3">
                  <c:v>0.21010000000000001</c:v>
                </c:pt>
                <c:pt idx="4">
                  <c:v>1.5324900000000001</c:v>
                </c:pt>
                <c:pt idx="5">
                  <c:v>1.7545900000000001</c:v>
                </c:pt>
                <c:pt idx="6">
                  <c:v>1.88785</c:v>
                </c:pt>
                <c:pt idx="7">
                  <c:v>1.9322699999999999</c:v>
                </c:pt>
                <c:pt idx="8">
                  <c:v>1.2215499999999999</c:v>
                </c:pt>
                <c:pt idx="9">
                  <c:v>1.3548099999999998</c:v>
                </c:pt>
                <c:pt idx="10">
                  <c:v>1.5102799999999998</c:v>
                </c:pt>
                <c:pt idx="11">
                  <c:v>1.5547</c:v>
                </c:pt>
              </c:numCache>
            </c:numRef>
          </c:val>
          <c:extLst>
            <c:ext xmlns:c16="http://schemas.microsoft.com/office/drawing/2014/chart" uri="{C3380CC4-5D6E-409C-BE32-E72D297353CC}">
              <c16:uniqueId val="{00000002-8FCF-4F99-AD03-38A4E8B04451}"/>
            </c:ext>
          </c:extLst>
        </c:ser>
        <c:ser>
          <c:idx val="4"/>
          <c:order val="4"/>
          <c:tx>
            <c:strRef>
              <c:f>Sheet1!$F$1</c:f>
              <c:strCache>
                <c:ptCount val="1"/>
                <c:pt idx="0">
                  <c:v>Ծառայություններ </c:v>
                </c:pt>
              </c:strCache>
            </c:strRef>
          </c:tx>
          <c:spPr>
            <a:solidFill>
              <a:srgbClr val="4BACC6"/>
            </a:solidFill>
            <a:ln w="25392">
              <a:noFill/>
            </a:ln>
          </c:spPr>
          <c:invertIfNegative val="0"/>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Sheet1!$F$2:$F$63</c:f>
              <c:numCache>
                <c:formatCode>General</c:formatCode>
                <c:ptCount val="12"/>
                <c:pt idx="0">
                  <c:v>0.43024500000000004</c:v>
                </c:pt>
                <c:pt idx="1">
                  <c:v>0.39837499999999998</c:v>
                </c:pt>
                <c:pt idx="2">
                  <c:v>0.41431000000000007</c:v>
                </c:pt>
                <c:pt idx="3">
                  <c:v>0.49797999999999992</c:v>
                </c:pt>
                <c:pt idx="4">
                  <c:v>0.61421000000000003</c:v>
                </c:pt>
                <c:pt idx="5">
                  <c:v>0.72260000000000002</c:v>
                </c:pt>
                <c:pt idx="6">
                  <c:v>0.68647000000000002</c:v>
                </c:pt>
                <c:pt idx="7">
                  <c:v>0.68647000000000002</c:v>
                </c:pt>
                <c:pt idx="8">
                  <c:v>0.90325</c:v>
                </c:pt>
                <c:pt idx="9">
                  <c:v>1.2645500000000001</c:v>
                </c:pt>
                <c:pt idx="10">
                  <c:v>1.62585</c:v>
                </c:pt>
                <c:pt idx="11">
                  <c:v>1.8787600000000004</c:v>
                </c:pt>
              </c:numCache>
            </c:numRef>
          </c:val>
          <c:extLst>
            <c:ext xmlns:c16="http://schemas.microsoft.com/office/drawing/2014/chart" uri="{C3380CC4-5D6E-409C-BE32-E72D297353CC}">
              <c16:uniqueId val="{00000003-8FCF-4F99-AD03-38A4E8B04451}"/>
            </c:ext>
          </c:extLst>
        </c:ser>
        <c:dLbls>
          <c:showLegendKey val="0"/>
          <c:showVal val="0"/>
          <c:showCatName val="0"/>
          <c:showSerName val="0"/>
          <c:showPercent val="0"/>
          <c:showBubbleSize val="0"/>
        </c:dLbls>
        <c:gapWidth val="100"/>
        <c:overlap val="100"/>
        <c:axId val="181477416"/>
        <c:axId val="1"/>
      </c:barChart>
      <c:lineChart>
        <c:grouping val="standard"/>
        <c:varyColors val="0"/>
        <c:ser>
          <c:idx val="0"/>
          <c:order val="0"/>
          <c:tx>
            <c:strRef>
              <c:f>Sheet1!$B$1</c:f>
              <c:strCache>
                <c:ptCount val="1"/>
                <c:pt idx="0">
                  <c:v>12-ամսյա գնաճ</c:v>
                </c:pt>
              </c:strCache>
            </c:strRef>
          </c:tx>
          <c:spPr>
            <a:ln w="34914" cap="rnd">
              <a:solidFill>
                <a:schemeClr val="accent1"/>
              </a:solidFill>
              <a:round/>
            </a:ln>
            <a:effectLst/>
          </c:spPr>
          <c:marker>
            <c:symbol val="none"/>
          </c:marker>
          <c:dPt>
            <c:idx val="3"/>
            <c:marker>
              <c:symbol val="square"/>
              <c:size val="5"/>
              <c:spPr>
                <a:solidFill>
                  <a:schemeClr val="accent1"/>
                </a:solidFill>
                <a:ln w="15870">
                  <a:solidFill>
                    <a:schemeClr val="accent1"/>
                  </a:solidFill>
                  <a:round/>
                </a:ln>
                <a:effectLst/>
              </c:spPr>
            </c:marker>
            <c:bubble3D val="0"/>
            <c:extLst>
              <c:ext xmlns:c16="http://schemas.microsoft.com/office/drawing/2014/chart" uri="{C3380CC4-5D6E-409C-BE32-E72D297353CC}">
                <c16:uniqueId val="{00000005-8FCF-4F99-AD03-38A4E8B04451}"/>
              </c:ext>
            </c:extLst>
          </c:dPt>
          <c:dLbls>
            <c:numFmt formatCode="#,##0.0" sourceLinked="0"/>
            <c:spPr>
              <a:noFill/>
              <a:ln w="25392">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Sheet1!$A$2:$A$63</c:f>
              <c:strCache>
                <c:ptCount val="12"/>
                <c:pt idx="0">
                  <c:v>2020 I եռ.</c:v>
                </c:pt>
                <c:pt idx="1">
                  <c:v>2020  I կիս.</c:v>
                </c:pt>
                <c:pt idx="2">
                  <c:v>2020  I-III եռ.</c:v>
                </c:pt>
                <c:pt idx="3">
                  <c:v>2020 տարի</c:v>
                </c:pt>
                <c:pt idx="4">
                  <c:v>2021 I եռ.</c:v>
                </c:pt>
                <c:pt idx="5">
                  <c:v>2021  I կիս.</c:v>
                </c:pt>
                <c:pt idx="6">
                  <c:v>2021  I-III եռ.</c:v>
                </c:pt>
                <c:pt idx="7">
                  <c:v>2021 տարի</c:v>
                </c:pt>
                <c:pt idx="8">
                  <c:v>2022 I եռ.</c:v>
                </c:pt>
                <c:pt idx="9">
                  <c:v>2022  I կիս.</c:v>
                </c:pt>
                <c:pt idx="10">
                  <c:v>2022  I-III եռ.</c:v>
                </c:pt>
                <c:pt idx="11">
                  <c:v>2022 տարի</c:v>
                </c:pt>
              </c:strCache>
            </c:strRef>
          </c:cat>
          <c:val>
            <c:numRef>
              <c:f>Sheet1!$B$2:$B$63</c:f>
              <c:numCache>
                <c:formatCode>General</c:formatCode>
                <c:ptCount val="12"/>
                <c:pt idx="0">
                  <c:v>-5.7554999999999967E-2</c:v>
                </c:pt>
                <c:pt idx="1">
                  <c:v>0.57033499999999993</c:v>
                </c:pt>
                <c:pt idx="2">
                  <c:v>0.87117000000000011</c:v>
                </c:pt>
                <c:pt idx="3">
                  <c:v>1.2385999999999999</c:v>
                </c:pt>
                <c:pt idx="4">
                  <c:v>5.2115704999999997</c:v>
                </c:pt>
                <c:pt idx="5">
                  <c:v>5.7474577</c:v>
                </c:pt>
                <c:pt idx="6">
                  <c:v>6.6675324000000007</c:v>
                </c:pt>
                <c:pt idx="7">
                  <c:v>7.2000611000000001</c:v>
                </c:pt>
                <c:pt idx="8">
                  <c:v>6.9785632999999994</c:v>
                </c:pt>
                <c:pt idx="9">
                  <c:v>8.0639306000000008</c:v>
                </c:pt>
                <c:pt idx="10">
                  <c:v>8.5524100000000001</c:v>
                </c:pt>
                <c:pt idx="11">
                  <c:v>8.6354293999999996</c:v>
                </c:pt>
              </c:numCache>
            </c:numRef>
          </c:val>
          <c:smooth val="0"/>
          <c:extLst>
            <c:ext xmlns:c16="http://schemas.microsoft.com/office/drawing/2014/chart" uri="{C3380CC4-5D6E-409C-BE32-E72D297353CC}">
              <c16:uniqueId val="{00000006-8FCF-4F99-AD03-38A4E8B04451}"/>
            </c:ext>
          </c:extLst>
        </c:ser>
        <c:dLbls>
          <c:showLegendKey val="0"/>
          <c:showVal val="0"/>
          <c:showCatName val="0"/>
          <c:showSerName val="0"/>
          <c:showPercent val="0"/>
          <c:showBubbleSize val="0"/>
        </c:dLbls>
        <c:marker val="1"/>
        <c:smooth val="0"/>
        <c:axId val="181477416"/>
        <c:axId val="1"/>
      </c:lineChart>
      <c:catAx>
        <c:axId val="181477416"/>
        <c:scaling>
          <c:orientation val="minMax"/>
        </c:scaling>
        <c:delete val="0"/>
        <c:axPos val="b"/>
        <c:numFmt formatCode="General" sourceLinked="1"/>
        <c:majorTickMark val="out"/>
        <c:minorTickMark val="none"/>
        <c:tickLblPos val="low"/>
        <c:spPr>
          <a:noFill/>
          <a:ln w="9522"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ax val="10"/>
        </c:scaling>
        <c:delete val="0"/>
        <c:axPos val="l"/>
        <c:majorGridlines>
          <c:spPr>
            <a:ln w="3174"/>
          </c:spPr>
        </c:majorGridlines>
        <c:numFmt formatCode="General" sourceLinked="1"/>
        <c:majorTickMark val="none"/>
        <c:minorTickMark val="none"/>
        <c:tickLblPos val="nextTo"/>
        <c:spPr>
          <a:ln w="9522">
            <a:noFill/>
          </a:ln>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181477416"/>
        <c:crosses val="autoZero"/>
        <c:crossBetween val="between"/>
      </c:valAx>
      <c:spPr>
        <a:pattFill prst="ltDnDiag">
          <a:fgClr>
            <a:srgbClr val="000000">
              <a:alpha val="0"/>
            </a:srgbClr>
          </a:fgClr>
          <a:bgClr>
            <a:srgbClr val="FFFFFF"/>
          </a:bgClr>
        </a:pattFill>
        <a:ln w="25392">
          <a:noFill/>
        </a:ln>
      </c:spPr>
    </c:plotArea>
    <c:plotVisOnly val="1"/>
    <c:dispBlanksAs val="gap"/>
    <c:showDLblsOverMax val="0"/>
  </c:chart>
  <c:spPr>
    <a:noFill/>
    <a:ln w="9522" cap="flat" cmpd="sng" algn="ctr">
      <a:solidFill>
        <a:schemeClr val="dk1">
          <a:lumMod val="15000"/>
          <a:lumOff val="85000"/>
        </a:schemeClr>
      </a:solidFill>
      <a:round/>
    </a:ln>
    <a:effectLst/>
  </c:spPr>
  <c:txPr>
    <a:bodyPr/>
    <a:lstStyle/>
    <a:p>
      <a:pPr algn="ct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100"/>
              <a:t>Գնաճը գործընկեր երկրներում</a:t>
            </a:r>
            <a:endParaRPr lang="en-US" sz="1100"/>
          </a:p>
        </c:rich>
      </c:tx>
      <c:layout>
        <c:manualLayout>
          <c:xMode val="edge"/>
          <c:yMode val="edge"/>
          <c:x val="0.17834902148433704"/>
          <c:y val="3.1643206602113101E-3"/>
        </c:manualLayout>
      </c:layout>
      <c:overlay val="0"/>
      <c:spPr>
        <a:noFill/>
        <a:ln w="25400">
          <a:noFill/>
        </a:ln>
      </c:spPr>
    </c:title>
    <c:autoTitleDeleted val="0"/>
    <c:plotArea>
      <c:layout>
        <c:manualLayout>
          <c:layoutTarget val="inner"/>
          <c:xMode val="edge"/>
          <c:yMode val="edge"/>
          <c:x val="0.10738889071920403"/>
          <c:y val="0.12980099502487563"/>
          <c:w val="0.85425685544537056"/>
          <c:h val="0.56600305558820074"/>
        </c:manualLayout>
      </c:layout>
      <c:lineChart>
        <c:grouping val="standard"/>
        <c:varyColors val="0"/>
        <c:ser>
          <c:idx val="0"/>
          <c:order val="0"/>
          <c:tx>
            <c:strRef>
              <c:f>Sheet1!$B$1</c:f>
              <c:strCache>
                <c:ptCount val="1"/>
                <c:pt idx="0">
                  <c:v>ԱՄՆ</c:v>
                </c:pt>
              </c:strCache>
            </c:strRef>
          </c:tx>
          <c:spPr>
            <a:ln w="28575" cap="rnd">
              <a:solidFill>
                <a:schemeClr val="tx2"/>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Sheet1!$B$2:$B$61</c:f>
              <c:numCache>
                <c:formatCode>0.0</c:formatCode>
                <c:ptCount val="60"/>
                <c:pt idx="0">
                  <c:v>2.1</c:v>
                </c:pt>
                <c:pt idx="1">
                  <c:v>2.2000000000000002</c:v>
                </c:pt>
                <c:pt idx="2">
                  <c:v>2.4</c:v>
                </c:pt>
                <c:pt idx="3">
                  <c:v>2.46</c:v>
                </c:pt>
                <c:pt idx="4">
                  <c:v>2.8</c:v>
                </c:pt>
                <c:pt idx="5">
                  <c:v>2.87</c:v>
                </c:pt>
                <c:pt idx="6">
                  <c:v>2.95</c:v>
                </c:pt>
                <c:pt idx="7">
                  <c:v>2.7</c:v>
                </c:pt>
                <c:pt idx="8">
                  <c:v>2.2799999999999998</c:v>
                </c:pt>
                <c:pt idx="9">
                  <c:v>2.52</c:v>
                </c:pt>
                <c:pt idx="10">
                  <c:v>2.1800000000000002</c:v>
                </c:pt>
                <c:pt idx="11">
                  <c:v>1.91</c:v>
                </c:pt>
                <c:pt idx="12">
                  <c:v>1.55</c:v>
                </c:pt>
                <c:pt idx="13">
                  <c:v>1.52</c:v>
                </c:pt>
                <c:pt idx="14">
                  <c:v>1.86</c:v>
                </c:pt>
                <c:pt idx="15">
                  <c:v>2</c:v>
                </c:pt>
                <c:pt idx="16">
                  <c:v>1.79</c:v>
                </c:pt>
                <c:pt idx="17">
                  <c:v>1.65</c:v>
                </c:pt>
                <c:pt idx="18">
                  <c:v>1.81</c:v>
                </c:pt>
                <c:pt idx="19">
                  <c:v>1.75</c:v>
                </c:pt>
                <c:pt idx="20">
                  <c:v>1.71</c:v>
                </c:pt>
                <c:pt idx="21">
                  <c:v>1.76</c:v>
                </c:pt>
                <c:pt idx="22">
                  <c:v>2.0499999999999998</c:v>
                </c:pt>
                <c:pt idx="23">
                  <c:v>2.29</c:v>
                </c:pt>
                <c:pt idx="24">
                  <c:v>2.4900000000000002</c:v>
                </c:pt>
                <c:pt idx="25">
                  <c:v>2.33</c:v>
                </c:pt>
                <c:pt idx="26">
                  <c:v>1.54</c:v>
                </c:pt>
                <c:pt idx="27">
                  <c:v>0.33</c:v>
                </c:pt>
                <c:pt idx="28">
                  <c:v>0.1</c:v>
                </c:pt>
                <c:pt idx="29">
                  <c:v>0.6</c:v>
                </c:pt>
                <c:pt idx="30">
                  <c:v>0.6</c:v>
                </c:pt>
                <c:pt idx="31">
                  <c:v>1.3</c:v>
                </c:pt>
                <c:pt idx="32">
                  <c:v>1.4</c:v>
                </c:pt>
                <c:pt idx="33">
                  <c:v>1.2</c:v>
                </c:pt>
                <c:pt idx="34">
                  <c:v>1.2</c:v>
                </c:pt>
                <c:pt idx="35">
                  <c:v>1.4</c:v>
                </c:pt>
                <c:pt idx="36">
                  <c:v>1.4</c:v>
                </c:pt>
                <c:pt idx="37">
                  <c:v>1.7</c:v>
                </c:pt>
                <c:pt idx="38">
                  <c:v>2.6</c:v>
                </c:pt>
                <c:pt idx="39">
                  <c:v>4.2</c:v>
                </c:pt>
                <c:pt idx="40">
                  <c:v>5</c:v>
                </c:pt>
                <c:pt idx="41">
                  <c:v>5.4</c:v>
                </c:pt>
                <c:pt idx="42">
                  <c:v>5.4</c:v>
                </c:pt>
                <c:pt idx="43">
                  <c:v>5.3</c:v>
                </c:pt>
                <c:pt idx="44">
                  <c:v>5.4</c:v>
                </c:pt>
                <c:pt idx="45">
                  <c:v>6.2</c:v>
                </c:pt>
                <c:pt idx="46">
                  <c:v>6.8</c:v>
                </c:pt>
                <c:pt idx="47">
                  <c:v>7</c:v>
                </c:pt>
                <c:pt idx="48">
                  <c:v>7.5</c:v>
                </c:pt>
                <c:pt idx="49">
                  <c:v>7.9</c:v>
                </c:pt>
                <c:pt idx="50">
                  <c:v>8.5</c:v>
                </c:pt>
                <c:pt idx="51">
                  <c:v>8.3000000000000007</c:v>
                </c:pt>
                <c:pt idx="52">
                  <c:v>8.6</c:v>
                </c:pt>
                <c:pt idx="53">
                  <c:v>9.1</c:v>
                </c:pt>
                <c:pt idx="54">
                  <c:v>8.5</c:v>
                </c:pt>
                <c:pt idx="55">
                  <c:v>8.3000000000000007</c:v>
                </c:pt>
                <c:pt idx="56">
                  <c:v>8.1999999999999993</c:v>
                </c:pt>
                <c:pt idx="57">
                  <c:v>7.7</c:v>
                </c:pt>
                <c:pt idx="58">
                  <c:v>7.1</c:v>
                </c:pt>
                <c:pt idx="59">
                  <c:v>6.5</c:v>
                </c:pt>
              </c:numCache>
            </c:numRef>
          </c:val>
          <c:smooth val="0"/>
          <c:extLst>
            <c:ext xmlns:c16="http://schemas.microsoft.com/office/drawing/2014/chart" uri="{C3380CC4-5D6E-409C-BE32-E72D297353CC}">
              <c16:uniqueId val="{00000000-1BB9-41C6-82E3-043DDFF4CB52}"/>
            </c:ext>
          </c:extLst>
        </c:ser>
        <c:ser>
          <c:idx val="1"/>
          <c:order val="1"/>
          <c:tx>
            <c:strRef>
              <c:f>Sheet1!$C$1</c:f>
              <c:strCache>
                <c:ptCount val="1"/>
                <c:pt idx="0">
                  <c:v>ԵԳ</c:v>
                </c:pt>
              </c:strCache>
            </c:strRef>
          </c:tx>
          <c:spPr>
            <a:ln w="28575" cap="rnd">
              <a:solidFill>
                <a:schemeClr val="accent1"/>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Sheet1!$C$2:$C$61</c:f>
              <c:numCache>
                <c:formatCode>General</c:formatCode>
                <c:ptCount val="60"/>
                <c:pt idx="0">
                  <c:v>1.3</c:v>
                </c:pt>
                <c:pt idx="1">
                  <c:v>1.1000000000000001</c:v>
                </c:pt>
                <c:pt idx="2">
                  <c:v>1.4</c:v>
                </c:pt>
                <c:pt idx="3">
                  <c:v>1.2</c:v>
                </c:pt>
                <c:pt idx="4">
                  <c:v>2</c:v>
                </c:pt>
                <c:pt idx="5">
                  <c:v>2</c:v>
                </c:pt>
                <c:pt idx="6">
                  <c:v>2.2000000000000002</c:v>
                </c:pt>
                <c:pt idx="7">
                  <c:v>2.1</c:v>
                </c:pt>
                <c:pt idx="8">
                  <c:v>2.1</c:v>
                </c:pt>
                <c:pt idx="9">
                  <c:v>2.2999999999999998</c:v>
                </c:pt>
                <c:pt idx="10">
                  <c:v>1.9</c:v>
                </c:pt>
                <c:pt idx="11">
                  <c:v>1.5</c:v>
                </c:pt>
                <c:pt idx="12">
                  <c:v>1.4</c:v>
                </c:pt>
                <c:pt idx="13">
                  <c:v>1.5</c:v>
                </c:pt>
                <c:pt idx="14">
                  <c:v>1.4</c:v>
                </c:pt>
                <c:pt idx="15">
                  <c:v>1.7</c:v>
                </c:pt>
                <c:pt idx="16">
                  <c:v>1.2</c:v>
                </c:pt>
                <c:pt idx="17">
                  <c:v>1.3</c:v>
                </c:pt>
                <c:pt idx="18">
                  <c:v>1</c:v>
                </c:pt>
                <c:pt idx="19">
                  <c:v>1</c:v>
                </c:pt>
                <c:pt idx="20">
                  <c:v>0.8</c:v>
                </c:pt>
                <c:pt idx="21">
                  <c:v>0.7</c:v>
                </c:pt>
                <c:pt idx="22">
                  <c:v>1</c:v>
                </c:pt>
                <c:pt idx="23">
                  <c:v>1.3</c:v>
                </c:pt>
                <c:pt idx="24">
                  <c:v>1.4</c:v>
                </c:pt>
                <c:pt idx="25">
                  <c:v>1.2</c:v>
                </c:pt>
                <c:pt idx="26">
                  <c:v>0.7</c:v>
                </c:pt>
                <c:pt idx="27">
                  <c:v>0.3</c:v>
                </c:pt>
                <c:pt idx="28">
                  <c:v>0.1</c:v>
                </c:pt>
                <c:pt idx="29">
                  <c:v>0.3</c:v>
                </c:pt>
                <c:pt idx="30">
                  <c:v>0.4</c:v>
                </c:pt>
                <c:pt idx="31">
                  <c:v>-0.2</c:v>
                </c:pt>
                <c:pt idx="32">
                  <c:v>-0.3</c:v>
                </c:pt>
                <c:pt idx="33">
                  <c:v>-0.3</c:v>
                </c:pt>
                <c:pt idx="34">
                  <c:v>-0.3</c:v>
                </c:pt>
                <c:pt idx="35">
                  <c:v>-0.3</c:v>
                </c:pt>
                <c:pt idx="36">
                  <c:v>0.9</c:v>
                </c:pt>
                <c:pt idx="37">
                  <c:v>0.9</c:v>
                </c:pt>
                <c:pt idx="38">
                  <c:v>1.3</c:v>
                </c:pt>
                <c:pt idx="39">
                  <c:v>1.6</c:v>
                </c:pt>
                <c:pt idx="40">
                  <c:v>2</c:v>
                </c:pt>
                <c:pt idx="41">
                  <c:v>1.9</c:v>
                </c:pt>
                <c:pt idx="42">
                  <c:v>2.2000000000000002</c:v>
                </c:pt>
                <c:pt idx="43">
                  <c:v>3</c:v>
                </c:pt>
                <c:pt idx="44">
                  <c:v>3.4</c:v>
                </c:pt>
                <c:pt idx="45">
                  <c:v>4.0999999999999996</c:v>
                </c:pt>
                <c:pt idx="46">
                  <c:v>4.9000000000000004</c:v>
                </c:pt>
                <c:pt idx="47">
                  <c:v>5</c:v>
                </c:pt>
                <c:pt idx="48">
                  <c:v>5.0999999999999996</c:v>
                </c:pt>
                <c:pt idx="49">
                  <c:v>5.9</c:v>
                </c:pt>
                <c:pt idx="50">
                  <c:v>7.4</c:v>
                </c:pt>
                <c:pt idx="51">
                  <c:v>7.4</c:v>
                </c:pt>
                <c:pt idx="52">
                  <c:v>8.1</c:v>
                </c:pt>
                <c:pt idx="53">
                  <c:v>8.6</c:v>
                </c:pt>
                <c:pt idx="54">
                  <c:v>8.9</c:v>
                </c:pt>
                <c:pt idx="55">
                  <c:v>9.1</c:v>
                </c:pt>
                <c:pt idx="56">
                  <c:v>9.9</c:v>
                </c:pt>
                <c:pt idx="57">
                  <c:v>10.6</c:v>
                </c:pt>
                <c:pt idx="58">
                  <c:v>10.1</c:v>
                </c:pt>
                <c:pt idx="59">
                  <c:v>9.1999999999999993</c:v>
                </c:pt>
              </c:numCache>
            </c:numRef>
          </c:val>
          <c:smooth val="0"/>
          <c:extLst>
            <c:ext xmlns:c16="http://schemas.microsoft.com/office/drawing/2014/chart" uri="{C3380CC4-5D6E-409C-BE32-E72D297353CC}">
              <c16:uniqueId val="{00000001-1BB9-41C6-82E3-043DDFF4CB52}"/>
            </c:ext>
          </c:extLst>
        </c:ser>
        <c:ser>
          <c:idx val="2"/>
          <c:order val="2"/>
          <c:tx>
            <c:strRef>
              <c:f>Sheet1!$D$1</c:f>
              <c:strCache>
                <c:ptCount val="1"/>
                <c:pt idx="0">
                  <c:v>Չինաստան</c:v>
                </c:pt>
              </c:strCache>
            </c:strRef>
          </c:tx>
          <c:spPr>
            <a:ln w="28575" cap="rnd">
              <a:solidFill>
                <a:schemeClr val="bg1">
                  <a:lumMod val="50000"/>
                </a:schemeClr>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Sheet1!$D$2:$D$61</c:f>
              <c:numCache>
                <c:formatCode>General</c:formatCode>
                <c:ptCount val="60"/>
                <c:pt idx="0">
                  <c:v>1.5</c:v>
                </c:pt>
                <c:pt idx="1">
                  <c:v>2.9</c:v>
                </c:pt>
                <c:pt idx="2">
                  <c:v>2.1</c:v>
                </c:pt>
                <c:pt idx="3">
                  <c:v>1.8</c:v>
                </c:pt>
                <c:pt idx="4">
                  <c:v>1.8</c:v>
                </c:pt>
                <c:pt idx="5">
                  <c:v>1.9</c:v>
                </c:pt>
                <c:pt idx="6">
                  <c:v>2.1</c:v>
                </c:pt>
                <c:pt idx="7">
                  <c:v>2.2999999999999998</c:v>
                </c:pt>
                <c:pt idx="8">
                  <c:v>2.5</c:v>
                </c:pt>
                <c:pt idx="9">
                  <c:v>2.5</c:v>
                </c:pt>
                <c:pt idx="10">
                  <c:v>2.2000000000000002</c:v>
                </c:pt>
                <c:pt idx="11">
                  <c:v>1.9</c:v>
                </c:pt>
                <c:pt idx="12">
                  <c:v>1.7</c:v>
                </c:pt>
                <c:pt idx="13">
                  <c:v>1.5</c:v>
                </c:pt>
                <c:pt idx="14">
                  <c:v>2.2999999999999998</c:v>
                </c:pt>
                <c:pt idx="15">
                  <c:v>2.5</c:v>
                </c:pt>
                <c:pt idx="16">
                  <c:v>2.7</c:v>
                </c:pt>
                <c:pt idx="17">
                  <c:v>2.7</c:v>
                </c:pt>
                <c:pt idx="18">
                  <c:v>2.8</c:v>
                </c:pt>
                <c:pt idx="19">
                  <c:v>2.8</c:v>
                </c:pt>
                <c:pt idx="20">
                  <c:v>3</c:v>
                </c:pt>
                <c:pt idx="21">
                  <c:v>3.8</c:v>
                </c:pt>
                <c:pt idx="22">
                  <c:v>4.5</c:v>
                </c:pt>
                <c:pt idx="23">
                  <c:v>4.5</c:v>
                </c:pt>
                <c:pt idx="24">
                  <c:v>5.4</c:v>
                </c:pt>
                <c:pt idx="25">
                  <c:v>5.2</c:v>
                </c:pt>
                <c:pt idx="26">
                  <c:v>4.3</c:v>
                </c:pt>
                <c:pt idx="27">
                  <c:v>3.3</c:v>
                </c:pt>
                <c:pt idx="28">
                  <c:v>2.4</c:v>
                </c:pt>
                <c:pt idx="29">
                  <c:v>2.5</c:v>
                </c:pt>
                <c:pt idx="30">
                  <c:v>2.7</c:v>
                </c:pt>
                <c:pt idx="31">
                  <c:v>2.4</c:v>
                </c:pt>
                <c:pt idx="32">
                  <c:v>1.7</c:v>
                </c:pt>
                <c:pt idx="33">
                  <c:v>0.5</c:v>
                </c:pt>
                <c:pt idx="34">
                  <c:v>-0.5</c:v>
                </c:pt>
                <c:pt idx="35">
                  <c:v>0.2</c:v>
                </c:pt>
                <c:pt idx="36">
                  <c:v>-0.3</c:v>
                </c:pt>
                <c:pt idx="37">
                  <c:v>-0.2</c:v>
                </c:pt>
                <c:pt idx="38">
                  <c:v>0.4</c:v>
                </c:pt>
                <c:pt idx="39">
                  <c:v>0.9</c:v>
                </c:pt>
                <c:pt idx="40">
                  <c:v>1.3</c:v>
                </c:pt>
                <c:pt idx="41">
                  <c:v>1.1000000000000001</c:v>
                </c:pt>
                <c:pt idx="42">
                  <c:v>1</c:v>
                </c:pt>
                <c:pt idx="43">
                  <c:v>0.8</c:v>
                </c:pt>
                <c:pt idx="44">
                  <c:v>0.7</c:v>
                </c:pt>
                <c:pt idx="45">
                  <c:v>1.5</c:v>
                </c:pt>
                <c:pt idx="46">
                  <c:v>2.2999999999999998</c:v>
                </c:pt>
                <c:pt idx="47">
                  <c:v>1.5</c:v>
                </c:pt>
                <c:pt idx="48">
                  <c:v>0.9</c:v>
                </c:pt>
                <c:pt idx="49">
                  <c:v>0.9</c:v>
                </c:pt>
                <c:pt idx="50">
                  <c:v>1.5</c:v>
                </c:pt>
                <c:pt idx="51">
                  <c:v>2.1</c:v>
                </c:pt>
                <c:pt idx="52">
                  <c:v>2.1</c:v>
                </c:pt>
                <c:pt idx="53">
                  <c:v>2.5</c:v>
                </c:pt>
                <c:pt idx="54">
                  <c:v>2.7</c:v>
                </c:pt>
                <c:pt idx="55">
                  <c:v>2.5</c:v>
                </c:pt>
                <c:pt idx="56">
                  <c:v>2.8</c:v>
                </c:pt>
                <c:pt idx="57">
                  <c:v>2.1</c:v>
                </c:pt>
                <c:pt idx="58">
                  <c:v>1.6</c:v>
                </c:pt>
                <c:pt idx="59">
                  <c:v>1.8</c:v>
                </c:pt>
              </c:numCache>
            </c:numRef>
          </c:val>
          <c:smooth val="0"/>
          <c:extLst>
            <c:ext xmlns:c16="http://schemas.microsoft.com/office/drawing/2014/chart" uri="{C3380CC4-5D6E-409C-BE32-E72D297353CC}">
              <c16:uniqueId val="{00000002-1BB9-41C6-82E3-043DDFF4CB52}"/>
            </c:ext>
          </c:extLst>
        </c:ser>
        <c:ser>
          <c:idx val="3"/>
          <c:order val="3"/>
          <c:tx>
            <c:strRef>
              <c:f>Sheet1!$E$1</c:f>
              <c:strCache>
                <c:ptCount val="1"/>
                <c:pt idx="0">
                  <c:v>ՌԴ</c:v>
                </c:pt>
              </c:strCache>
            </c:strRef>
          </c:tx>
          <c:spPr>
            <a:ln w="28575" cap="rnd">
              <a:solidFill>
                <a:schemeClr val="accent6">
                  <a:lumMod val="60000"/>
                  <a:lumOff val="40000"/>
                </a:schemeClr>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Sheet1!$E$2:$E$61</c:f>
              <c:numCache>
                <c:formatCode>0.0</c:formatCode>
                <c:ptCount val="60"/>
                <c:pt idx="0">
                  <c:v>2.2071999999999998</c:v>
                </c:pt>
                <c:pt idx="1">
                  <c:v>2.1970019999999999</c:v>
                </c:pt>
                <c:pt idx="2">
                  <c:v>2.3603049999999999</c:v>
                </c:pt>
                <c:pt idx="3">
                  <c:v>2.4113169999999999</c:v>
                </c:pt>
                <c:pt idx="4">
                  <c:v>2.4215200000000001</c:v>
                </c:pt>
                <c:pt idx="5">
                  <c:v>2.2993589999999999</c:v>
                </c:pt>
                <c:pt idx="6">
                  <c:v>2.5038149999999999</c:v>
                </c:pt>
                <c:pt idx="7">
                  <c:v>3.0706470000000001</c:v>
                </c:pt>
                <c:pt idx="8">
                  <c:v>3.3906459999999998</c:v>
                </c:pt>
                <c:pt idx="9">
                  <c:v>3.5454219999999999</c:v>
                </c:pt>
                <c:pt idx="10">
                  <c:v>3.8347129999999998</c:v>
                </c:pt>
                <c:pt idx="11">
                  <c:v>4.2689950000000003</c:v>
                </c:pt>
                <c:pt idx="12">
                  <c:v>4.9966220000000003</c:v>
                </c:pt>
                <c:pt idx="13">
                  <c:v>5.2376079999999998</c:v>
                </c:pt>
                <c:pt idx="14">
                  <c:v>5.269088</c:v>
                </c:pt>
                <c:pt idx="15">
                  <c:v>5.1747050000000003</c:v>
                </c:pt>
                <c:pt idx="16">
                  <c:v>5.1327939999999996</c:v>
                </c:pt>
                <c:pt idx="17">
                  <c:v>4.6620039999999996</c:v>
                </c:pt>
                <c:pt idx="18">
                  <c:v>4.5889369999999996</c:v>
                </c:pt>
                <c:pt idx="19">
                  <c:v>4.3274910000000002</c:v>
                </c:pt>
                <c:pt idx="20">
                  <c:v>3.9941759999999999</c:v>
                </c:pt>
                <c:pt idx="21">
                  <c:v>3.766187</c:v>
                </c:pt>
                <c:pt idx="22">
                  <c:v>3.539037</c:v>
                </c:pt>
                <c:pt idx="23">
                  <c:v>3.0461900000000002</c:v>
                </c:pt>
                <c:pt idx="24">
                  <c:v>2.4238930000000001</c:v>
                </c:pt>
                <c:pt idx="25">
                  <c:v>2.3117209999999999</c:v>
                </c:pt>
                <c:pt idx="26">
                  <c:v>2.546287</c:v>
                </c:pt>
                <c:pt idx="27">
                  <c:v>3.098436</c:v>
                </c:pt>
                <c:pt idx="28">
                  <c:v>3.0265110000000002</c:v>
                </c:pt>
                <c:pt idx="29">
                  <c:v>3.2118850000000001</c:v>
                </c:pt>
                <c:pt idx="30">
                  <c:v>3.3663940000000001</c:v>
                </c:pt>
                <c:pt idx="31">
                  <c:v>3.5736240000000001</c:v>
                </c:pt>
                <c:pt idx="32">
                  <c:v>3.6669890000000001</c:v>
                </c:pt>
                <c:pt idx="33">
                  <c:v>3.9775870000000002</c:v>
                </c:pt>
                <c:pt idx="34">
                  <c:v>4.4234419999999997</c:v>
                </c:pt>
                <c:pt idx="35">
                  <c:v>4.912471</c:v>
                </c:pt>
                <c:pt idx="36">
                  <c:v>5.1946070000000004</c:v>
                </c:pt>
                <c:pt idx="37">
                  <c:v>5.6664250000000003</c:v>
                </c:pt>
                <c:pt idx="38">
                  <c:v>5.7820220000000004</c:v>
                </c:pt>
                <c:pt idx="39">
                  <c:v>5.5197440000000002</c:v>
                </c:pt>
                <c:pt idx="40">
                  <c:v>6.0143519999999997</c:v>
                </c:pt>
                <c:pt idx="41">
                  <c:v>6.5115259999999999</c:v>
                </c:pt>
                <c:pt idx="42">
                  <c:v>6.4690690000000002</c:v>
                </c:pt>
                <c:pt idx="43">
                  <c:v>6.6927440000000002</c:v>
                </c:pt>
                <c:pt idx="44">
                  <c:v>7.4080859999999999</c:v>
                </c:pt>
                <c:pt idx="45">
                  <c:v>8.1353340000000003</c:v>
                </c:pt>
                <c:pt idx="46">
                  <c:v>8.4037670000000002</c:v>
                </c:pt>
                <c:pt idx="47">
                  <c:v>8.3930150000000001</c:v>
                </c:pt>
                <c:pt idx="48">
                  <c:v>8.73</c:v>
                </c:pt>
                <c:pt idx="49" formatCode="General">
                  <c:v>9.1999999999999993</c:v>
                </c:pt>
                <c:pt idx="50" formatCode="General">
                  <c:v>16.7</c:v>
                </c:pt>
                <c:pt idx="51" formatCode="General">
                  <c:v>17.8</c:v>
                </c:pt>
                <c:pt idx="52" formatCode="General">
                  <c:v>17.100000000000001</c:v>
                </c:pt>
                <c:pt idx="53" formatCode="General">
                  <c:v>15.9</c:v>
                </c:pt>
                <c:pt idx="54" formatCode="General">
                  <c:v>15.1</c:v>
                </c:pt>
                <c:pt idx="55" formatCode="General">
                  <c:v>14.3</c:v>
                </c:pt>
                <c:pt idx="56" formatCode="General">
                  <c:v>13.7</c:v>
                </c:pt>
                <c:pt idx="57" formatCode="General">
                  <c:v>12.6</c:v>
                </c:pt>
                <c:pt idx="58">
                  <c:v>12</c:v>
                </c:pt>
                <c:pt idx="59" formatCode="General">
                  <c:v>11.9</c:v>
                </c:pt>
              </c:numCache>
            </c:numRef>
          </c:val>
          <c:smooth val="0"/>
          <c:extLst>
            <c:ext xmlns:c16="http://schemas.microsoft.com/office/drawing/2014/chart" uri="{C3380CC4-5D6E-409C-BE32-E72D297353CC}">
              <c16:uniqueId val="{00000003-1BB9-41C6-82E3-043DDFF4CB52}"/>
            </c:ext>
          </c:extLst>
        </c:ser>
        <c:dLbls>
          <c:showLegendKey val="0"/>
          <c:showVal val="0"/>
          <c:showCatName val="0"/>
          <c:showSerName val="0"/>
          <c:showPercent val="0"/>
          <c:showBubbleSize val="0"/>
        </c:dLbls>
        <c:smooth val="0"/>
        <c:axId val="177910752"/>
        <c:axId val="1"/>
      </c:lineChart>
      <c:catAx>
        <c:axId val="1779107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7910752"/>
        <c:crosses val="autoZero"/>
        <c:crossBetween val="between"/>
      </c:valAx>
      <c:spPr>
        <a:noFill/>
        <a:ln w="25400">
          <a:noFill/>
        </a:ln>
      </c:spPr>
    </c:plotArea>
    <c:legend>
      <c:legendPos val="b"/>
      <c:layout>
        <c:manualLayout>
          <c:xMode val="edge"/>
          <c:yMode val="edge"/>
          <c:x val="0.10769896621570693"/>
          <c:y val="0.91604416278359357"/>
          <c:w val="0.88040796127478338"/>
          <c:h val="7.2194611054272495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70836908098351"/>
          <c:y val="9.4702319668604942E-2"/>
          <c:w val="0.84290099330803991"/>
          <c:h val="1.903084186548749E-2"/>
        </c:manualLayout>
      </c:layout>
      <c:barChart>
        <c:barDir val="col"/>
        <c:grouping val="stacked"/>
        <c:varyColors val="0"/>
        <c:ser>
          <c:idx val="1"/>
          <c:order val="1"/>
          <c:tx>
            <c:strRef>
              <c:f>Sheet1!$C$1</c:f>
              <c:strCache>
                <c:ptCount val="1"/>
                <c:pt idx="0">
                  <c:v>Սննդամթերք և ոչ ալկոհոլային խմիչքներ</c:v>
                </c:pt>
              </c:strCache>
            </c:strRef>
          </c:tx>
          <c:spPr>
            <a:solidFill>
              <a:srgbClr val="C0504D"/>
            </a:solidFill>
            <a:ln w="25365">
              <a:noFill/>
            </a:ln>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Sheet1!$C$2:$C$37</c:f>
              <c:numCache>
                <c:formatCode>General</c:formatCode>
                <c:ptCount val="12"/>
              </c:numCache>
            </c:numRef>
          </c:val>
          <c:extLst>
            <c:ext xmlns:c16="http://schemas.microsoft.com/office/drawing/2014/chart" uri="{C3380CC4-5D6E-409C-BE32-E72D297353CC}">
              <c16:uniqueId val="{00000000-134A-4B05-B5D8-B93D47364785}"/>
            </c:ext>
          </c:extLst>
        </c:ser>
        <c:ser>
          <c:idx val="2"/>
          <c:order val="2"/>
          <c:tx>
            <c:strRef>
              <c:f>Sheet1!$D$1</c:f>
              <c:strCache>
                <c:ptCount val="1"/>
                <c:pt idx="0">
                  <c:v>Ալկոհոլային խմիչքներ, ծխախոտ</c:v>
                </c:pt>
              </c:strCache>
            </c:strRef>
          </c:tx>
          <c:spPr>
            <a:solidFill>
              <a:srgbClr val="9BBB59"/>
            </a:solidFill>
            <a:ln w="25365">
              <a:noFill/>
            </a:ln>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Sheet1!$D$2:$D$37</c:f>
              <c:numCache>
                <c:formatCode>General</c:formatCode>
                <c:ptCount val="12"/>
              </c:numCache>
            </c:numRef>
          </c:val>
          <c:extLst>
            <c:ext xmlns:c16="http://schemas.microsoft.com/office/drawing/2014/chart" uri="{C3380CC4-5D6E-409C-BE32-E72D297353CC}">
              <c16:uniqueId val="{00000001-134A-4B05-B5D8-B93D47364785}"/>
            </c:ext>
          </c:extLst>
        </c:ser>
        <c:ser>
          <c:idx val="3"/>
          <c:order val="3"/>
          <c:tx>
            <c:strRef>
              <c:f>Sheet1!$E$1</c:f>
              <c:strCache>
                <c:ptCount val="1"/>
                <c:pt idx="0">
                  <c:v>Ոչ պարենային ապրանքներ</c:v>
                </c:pt>
              </c:strCache>
            </c:strRef>
          </c:tx>
          <c:spPr>
            <a:solidFill>
              <a:srgbClr val="8064A2"/>
            </a:solidFill>
            <a:ln w="25365">
              <a:noFill/>
            </a:ln>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Sheet1!$E$2:$E$37</c:f>
              <c:numCache>
                <c:formatCode>General</c:formatCode>
                <c:ptCount val="12"/>
              </c:numCache>
            </c:numRef>
          </c:val>
          <c:extLst>
            <c:ext xmlns:c16="http://schemas.microsoft.com/office/drawing/2014/chart" uri="{C3380CC4-5D6E-409C-BE32-E72D297353CC}">
              <c16:uniqueId val="{00000002-134A-4B05-B5D8-B93D47364785}"/>
            </c:ext>
          </c:extLst>
        </c:ser>
        <c:ser>
          <c:idx val="4"/>
          <c:order val="4"/>
          <c:tx>
            <c:strRef>
              <c:f>Sheet1!$F$1</c:f>
              <c:strCache>
                <c:ptCount val="1"/>
                <c:pt idx="0">
                  <c:v>Ծառայություններ </c:v>
                </c:pt>
              </c:strCache>
            </c:strRef>
          </c:tx>
          <c:spPr>
            <a:solidFill>
              <a:srgbClr val="4BACC6"/>
            </a:solidFill>
            <a:ln w="25365">
              <a:noFill/>
            </a:ln>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Sheet1!$F$2:$F$37</c:f>
              <c:numCache>
                <c:formatCode>General</c:formatCode>
                <c:ptCount val="12"/>
              </c:numCache>
            </c:numRef>
          </c:val>
          <c:extLst>
            <c:ext xmlns:c16="http://schemas.microsoft.com/office/drawing/2014/chart" uri="{C3380CC4-5D6E-409C-BE32-E72D297353CC}">
              <c16:uniqueId val="{00000003-134A-4B05-B5D8-B93D47364785}"/>
            </c:ext>
          </c:extLst>
        </c:ser>
        <c:dLbls>
          <c:showLegendKey val="0"/>
          <c:showVal val="0"/>
          <c:showCatName val="0"/>
          <c:showSerName val="0"/>
          <c:showPercent val="0"/>
          <c:showBubbleSize val="0"/>
        </c:dLbls>
        <c:gapWidth val="100"/>
        <c:overlap val="100"/>
        <c:axId val="182059360"/>
        <c:axId val="1"/>
      </c:barChart>
      <c:lineChart>
        <c:grouping val="standard"/>
        <c:varyColors val="0"/>
        <c:ser>
          <c:idx val="0"/>
          <c:order val="0"/>
          <c:tx>
            <c:strRef>
              <c:f>Sheet1!$B$1</c:f>
              <c:strCache>
                <c:ptCount val="1"/>
                <c:pt idx="0">
                  <c:v>Գնաճի տեմպ</c:v>
                </c:pt>
              </c:strCache>
            </c:strRef>
          </c:tx>
          <c:spPr>
            <a:ln w="34877" cap="rnd">
              <a:solidFill>
                <a:schemeClr val="accent1"/>
              </a:solidFill>
              <a:round/>
            </a:ln>
            <a:effectLst/>
          </c:spPr>
          <c:marker>
            <c:symbol val="none"/>
          </c:marker>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Sheet1!$B$2:$B$37</c:f>
              <c:numCache>
                <c:formatCode>General</c:formatCode>
                <c:ptCount val="12"/>
              </c:numCache>
            </c:numRef>
          </c:val>
          <c:smooth val="0"/>
          <c:extLst>
            <c:ext xmlns:c16="http://schemas.microsoft.com/office/drawing/2014/chart" uri="{C3380CC4-5D6E-409C-BE32-E72D297353CC}">
              <c16:uniqueId val="{00000004-134A-4B05-B5D8-B93D47364785}"/>
            </c:ext>
          </c:extLst>
        </c:ser>
        <c:dLbls>
          <c:showLegendKey val="0"/>
          <c:showVal val="0"/>
          <c:showCatName val="0"/>
          <c:showSerName val="0"/>
          <c:showPercent val="0"/>
          <c:showBubbleSize val="0"/>
        </c:dLbls>
        <c:marker val="1"/>
        <c:smooth val="0"/>
        <c:axId val="182059360"/>
        <c:axId val="1"/>
      </c:lineChart>
      <c:catAx>
        <c:axId val="182059360"/>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82059360"/>
        <c:crosses val="autoZero"/>
        <c:crossBetween val="between"/>
      </c:valAx>
      <c:spPr>
        <a:noFill/>
        <a:ln w="25365">
          <a:noFill/>
        </a:ln>
      </c:spPr>
    </c:plotArea>
    <c:legend>
      <c:legendPos val="b"/>
      <c:layout>
        <c:manualLayout>
          <c:xMode val="edge"/>
          <c:yMode val="edge"/>
          <c:x val="1.6240895419987397E-2"/>
          <c:y val="0.10991185803267128"/>
          <c:w val="0.95949548859584033"/>
          <c:h val="0.87692874211619065"/>
        </c:manualLayout>
      </c:layout>
      <c:overlay val="0"/>
      <c:spPr>
        <a:noFill/>
        <a:ln w="25365">
          <a:noFill/>
        </a:ln>
      </c:spPr>
      <c:txPr>
        <a:bodyPr rot="0" spcFirstLastPara="1" vertOverflow="ellipsis" vert="horz" wrap="square" anchor="ctr" anchorCtr="1"/>
        <a:lstStyle/>
        <a:p>
          <a:pPr>
            <a:defRPr sz="899"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12"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833111477111205E-2"/>
          <c:y val="5.2009456264775412E-2"/>
          <c:w val="0.92015447209499956"/>
          <c:h val="0.64581634742465699"/>
        </c:manualLayout>
      </c:layout>
      <c:lineChart>
        <c:grouping val="standard"/>
        <c:varyColors val="0"/>
        <c:ser>
          <c:idx val="0"/>
          <c:order val="0"/>
          <c:tx>
            <c:strRef>
              <c:f>Sheet1!$B$1</c:f>
              <c:strCache>
                <c:ptCount val="1"/>
                <c:pt idx="0">
                  <c:v>ԿԲ ռեպո</c:v>
                </c:pt>
              </c:strCache>
            </c:strRef>
          </c:tx>
          <c:spPr>
            <a:ln w="31747" cap="rnd">
              <a:solidFill>
                <a:schemeClr val="tx1"/>
              </a:solidFill>
              <a:round/>
            </a:ln>
            <a:effectLst/>
          </c:spPr>
          <c:marker>
            <c:symbol val="none"/>
          </c:marker>
          <c:cat>
            <c:numRef>
              <c:f>Sheet1!$A$2:$A$61</c:f>
              <c:numCache>
                <c:formatCode>General</c:formatCode>
                <c:ptCount val="20"/>
                <c:pt idx="3">
                  <c:v>2018</c:v>
                </c:pt>
                <c:pt idx="7">
                  <c:v>2019</c:v>
                </c:pt>
                <c:pt idx="11">
                  <c:v>2020</c:v>
                </c:pt>
                <c:pt idx="15">
                  <c:v>2021</c:v>
                </c:pt>
                <c:pt idx="19">
                  <c:v>2022</c:v>
                </c:pt>
              </c:numCache>
            </c:numRef>
          </c:cat>
          <c:val>
            <c:numRef>
              <c:f>Sheet1!$B$2:$B$61</c:f>
              <c:numCache>
                <c:formatCode>General</c:formatCode>
                <c:ptCount val="20"/>
                <c:pt idx="0">
                  <c:v>6</c:v>
                </c:pt>
                <c:pt idx="1">
                  <c:v>6</c:v>
                </c:pt>
                <c:pt idx="2">
                  <c:v>6</c:v>
                </c:pt>
                <c:pt idx="3">
                  <c:v>6</c:v>
                </c:pt>
                <c:pt idx="4">
                  <c:v>5.75</c:v>
                </c:pt>
                <c:pt idx="5">
                  <c:v>5.75</c:v>
                </c:pt>
                <c:pt idx="6">
                  <c:v>5.5</c:v>
                </c:pt>
                <c:pt idx="7">
                  <c:v>5.5</c:v>
                </c:pt>
                <c:pt idx="8">
                  <c:v>5.25</c:v>
                </c:pt>
                <c:pt idx="9">
                  <c:v>4.5</c:v>
                </c:pt>
                <c:pt idx="10">
                  <c:v>4.25</c:v>
                </c:pt>
                <c:pt idx="11">
                  <c:v>5.25</c:v>
                </c:pt>
                <c:pt idx="12">
                  <c:v>5.5</c:v>
                </c:pt>
                <c:pt idx="13">
                  <c:v>6.5</c:v>
                </c:pt>
                <c:pt idx="14">
                  <c:v>7.25</c:v>
                </c:pt>
                <c:pt idx="15">
                  <c:v>7.75</c:v>
                </c:pt>
                <c:pt idx="16">
                  <c:v>9.25</c:v>
                </c:pt>
                <c:pt idx="17">
                  <c:v>9.25</c:v>
                </c:pt>
                <c:pt idx="18">
                  <c:v>10</c:v>
                </c:pt>
                <c:pt idx="19">
                  <c:v>10.75</c:v>
                </c:pt>
              </c:numCache>
            </c:numRef>
          </c:val>
          <c:smooth val="0"/>
          <c:extLst>
            <c:ext xmlns:c16="http://schemas.microsoft.com/office/drawing/2014/chart" uri="{C3380CC4-5D6E-409C-BE32-E72D297353CC}">
              <c16:uniqueId val="{00000000-61C8-46A6-A005-EDC58B02C381}"/>
            </c:ext>
          </c:extLst>
        </c:ser>
        <c:ser>
          <c:idx val="1"/>
          <c:order val="1"/>
          <c:tx>
            <c:strRef>
              <c:f>Sheet1!$C$1</c:f>
              <c:strCache>
                <c:ptCount val="1"/>
                <c:pt idx="0">
                  <c:v>Միջբանկային ռեպո</c:v>
                </c:pt>
              </c:strCache>
            </c:strRef>
          </c:tx>
          <c:spPr>
            <a:ln w="19048" cap="rnd">
              <a:solidFill>
                <a:schemeClr val="accent2"/>
              </a:solidFill>
              <a:prstDash val="solid"/>
              <a:round/>
            </a:ln>
            <a:effectLst/>
          </c:spPr>
          <c:marker>
            <c:symbol val="none"/>
          </c:marker>
          <c:cat>
            <c:numRef>
              <c:f>Sheet1!$A$2:$A$61</c:f>
              <c:numCache>
                <c:formatCode>General</c:formatCode>
                <c:ptCount val="20"/>
                <c:pt idx="3">
                  <c:v>2018</c:v>
                </c:pt>
                <c:pt idx="7">
                  <c:v>2019</c:v>
                </c:pt>
                <c:pt idx="11">
                  <c:v>2020</c:v>
                </c:pt>
                <c:pt idx="15">
                  <c:v>2021</c:v>
                </c:pt>
                <c:pt idx="19">
                  <c:v>2022</c:v>
                </c:pt>
              </c:numCache>
            </c:numRef>
          </c:cat>
          <c:val>
            <c:numRef>
              <c:f>Sheet1!$C$2:$C$61</c:f>
              <c:numCache>
                <c:formatCode>General</c:formatCode>
                <c:ptCount val="20"/>
                <c:pt idx="0">
                  <c:v>5.99</c:v>
                </c:pt>
                <c:pt idx="1">
                  <c:v>6.45</c:v>
                </c:pt>
                <c:pt idx="2">
                  <c:v>6.14</c:v>
                </c:pt>
                <c:pt idx="3">
                  <c:v>6.22</c:v>
                </c:pt>
                <c:pt idx="4">
                  <c:v>5.84</c:v>
                </c:pt>
                <c:pt idx="5">
                  <c:v>5.84</c:v>
                </c:pt>
                <c:pt idx="6">
                  <c:v>5.68</c:v>
                </c:pt>
                <c:pt idx="7">
                  <c:v>5.56</c:v>
                </c:pt>
                <c:pt idx="8">
                  <c:v>5.33</c:v>
                </c:pt>
                <c:pt idx="9">
                  <c:v>4.87</c:v>
                </c:pt>
                <c:pt idx="10">
                  <c:v>4.3899999999999997</c:v>
                </c:pt>
                <c:pt idx="11">
                  <c:v>5.03</c:v>
                </c:pt>
                <c:pt idx="12">
                  <c:v>5.54</c:v>
                </c:pt>
                <c:pt idx="13">
                  <c:v>6.48</c:v>
                </c:pt>
                <c:pt idx="14">
                  <c:v>7.17</c:v>
                </c:pt>
                <c:pt idx="15">
                  <c:v>7.25</c:v>
                </c:pt>
                <c:pt idx="16">
                  <c:v>8.36</c:v>
                </c:pt>
                <c:pt idx="17">
                  <c:v>9.3699999999999992</c:v>
                </c:pt>
                <c:pt idx="18">
                  <c:v>10</c:v>
                </c:pt>
                <c:pt idx="19">
                  <c:v>10.89</c:v>
                </c:pt>
              </c:numCache>
            </c:numRef>
          </c:val>
          <c:smooth val="0"/>
          <c:extLst>
            <c:ext xmlns:c16="http://schemas.microsoft.com/office/drawing/2014/chart" uri="{C3380CC4-5D6E-409C-BE32-E72D297353CC}">
              <c16:uniqueId val="{00000001-61C8-46A6-A005-EDC58B02C381}"/>
            </c:ext>
          </c:extLst>
        </c:ser>
        <c:ser>
          <c:idx val="2"/>
          <c:order val="2"/>
          <c:tx>
            <c:strRef>
              <c:f>Sheet1!$D$1</c:f>
              <c:strCache>
                <c:ptCount val="1"/>
                <c:pt idx="0">
                  <c:v>Պետական պարտատոմսեր, 1տ․</c:v>
                </c:pt>
              </c:strCache>
            </c:strRef>
          </c:tx>
          <c:spPr>
            <a:ln w="19048" cap="rnd">
              <a:solidFill>
                <a:schemeClr val="accent3"/>
              </a:solidFill>
              <a:round/>
            </a:ln>
            <a:effectLst/>
          </c:spPr>
          <c:marker>
            <c:symbol val="none"/>
          </c:marker>
          <c:cat>
            <c:numRef>
              <c:f>Sheet1!$A$2:$A$61</c:f>
              <c:numCache>
                <c:formatCode>General</c:formatCode>
                <c:ptCount val="20"/>
                <c:pt idx="3">
                  <c:v>2018</c:v>
                </c:pt>
                <c:pt idx="7">
                  <c:v>2019</c:v>
                </c:pt>
                <c:pt idx="11">
                  <c:v>2020</c:v>
                </c:pt>
                <c:pt idx="15">
                  <c:v>2021</c:v>
                </c:pt>
                <c:pt idx="19">
                  <c:v>2022</c:v>
                </c:pt>
              </c:numCache>
            </c:numRef>
          </c:cat>
          <c:val>
            <c:numRef>
              <c:f>Sheet1!$D$2:$D$61</c:f>
              <c:numCache>
                <c:formatCode>General</c:formatCode>
                <c:ptCount val="20"/>
                <c:pt idx="0">
                  <c:v>6.3673999999999999</c:v>
                </c:pt>
                <c:pt idx="1">
                  <c:v>6.5461999999999998</c:v>
                </c:pt>
                <c:pt idx="2">
                  <c:v>6.6970000000000001</c:v>
                </c:pt>
                <c:pt idx="3">
                  <c:v>6.6265999999999998</c:v>
                </c:pt>
                <c:pt idx="4">
                  <c:v>6.5629</c:v>
                </c:pt>
                <c:pt idx="5">
                  <c:v>6.2850999999999999</c:v>
                </c:pt>
                <c:pt idx="6">
                  <c:v>6.2698999999999998</c:v>
                </c:pt>
                <c:pt idx="7">
                  <c:v>6.0016999999999996</c:v>
                </c:pt>
                <c:pt idx="8">
                  <c:v>5.7816999999999998</c:v>
                </c:pt>
                <c:pt idx="9">
                  <c:v>5.5404999999999998</c:v>
                </c:pt>
                <c:pt idx="10">
                  <c:v>5.5647000000000002</c:v>
                </c:pt>
                <c:pt idx="11">
                  <c:v>6.4890999999999996</c:v>
                </c:pt>
                <c:pt idx="12">
                  <c:v>6.8712428571428568</c:v>
                </c:pt>
                <c:pt idx="13">
                  <c:v>7.3503850130953534</c:v>
                </c:pt>
                <c:pt idx="14">
                  <c:v>8.4334571428571437</c:v>
                </c:pt>
                <c:pt idx="15">
                  <c:v>9.0296000000000003</c:v>
                </c:pt>
                <c:pt idx="16">
                  <c:v>9.6898681818181824</c:v>
                </c:pt>
                <c:pt idx="17">
                  <c:v>10.307509090909091</c:v>
                </c:pt>
                <c:pt idx="18">
                  <c:v>10.583795238095238</c:v>
                </c:pt>
                <c:pt idx="19">
                  <c:v>11.7258</c:v>
                </c:pt>
              </c:numCache>
            </c:numRef>
          </c:val>
          <c:smooth val="0"/>
          <c:extLst>
            <c:ext xmlns:c16="http://schemas.microsoft.com/office/drawing/2014/chart" uri="{C3380CC4-5D6E-409C-BE32-E72D297353CC}">
              <c16:uniqueId val="{00000002-61C8-46A6-A005-EDC58B02C381}"/>
            </c:ext>
          </c:extLst>
        </c:ser>
        <c:ser>
          <c:idx val="3"/>
          <c:order val="3"/>
          <c:tx>
            <c:strRef>
              <c:f>Sheet1!$E$1</c:f>
              <c:strCache>
                <c:ptCount val="1"/>
                <c:pt idx="0">
                  <c:v>Պետական պարտատոմսեր, 10տ․</c:v>
                </c:pt>
              </c:strCache>
            </c:strRef>
          </c:tx>
          <c:spPr>
            <a:ln w="19048" cap="rnd">
              <a:solidFill>
                <a:schemeClr val="accent4"/>
              </a:solidFill>
              <a:round/>
            </a:ln>
            <a:effectLst/>
          </c:spPr>
          <c:marker>
            <c:symbol val="none"/>
          </c:marker>
          <c:cat>
            <c:numRef>
              <c:f>Sheet1!$A$2:$A$61</c:f>
              <c:numCache>
                <c:formatCode>General</c:formatCode>
                <c:ptCount val="20"/>
                <c:pt idx="3">
                  <c:v>2018</c:v>
                </c:pt>
                <c:pt idx="7">
                  <c:v>2019</c:v>
                </c:pt>
                <c:pt idx="11">
                  <c:v>2020</c:v>
                </c:pt>
                <c:pt idx="15">
                  <c:v>2021</c:v>
                </c:pt>
                <c:pt idx="19">
                  <c:v>2022</c:v>
                </c:pt>
              </c:numCache>
            </c:numRef>
          </c:cat>
          <c:val>
            <c:numRef>
              <c:f>Sheet1!$E$2:$E$61</c:f>
              <c:numCache>
                <c:formatCode>General</c:formatCode>
                <c:ptCount val="20"/>
                <c:pt idx="0">
                  <c:v>9.6997</c:v>
                </c:pt>
                <c:pt idx="1">
                  <c:v>9.8259000000000007</c:v>
                </c:pt>
                <c:pt idx="2">
                  <c:v>9.7525999999999993</c:v>
                </c:pt>
                <c:pt idx="3">
                  <c:v>9.6089000000000002</c:v>
                </c:pt>
                <c:pt idx="4">
                  <c:v>9.8978999999999999</c:v>
                </c:pt>
                <c:pt idx="5">
                  <c:v>9.6851000000000003</c:v>
                </c:pt>
                <c:pt idx="6">
                  <c:v>9.4785000000000004</c:v>
                </c:pt>
                <c:pt idx="7">
                  <c:v>8.4870000000000001</c:v>
                </c:pt>
                <c:pt idx="8">
                  <c:v>7.7184999999999997</c:v>
                </c:pt>
                <c:pt idx="9">
                  <c:v>7.7636000000000003</c:v>
                </c:pt>
                <c:pt idx="10">
                  <c:v>7.6761999999999997</c:v>
                </c:pt>
                <c:pt idx="11">
                  <c:v>8.8371999999999993</c:v>
                </c:pt>
                <c:pt idx="12">
                  <c:v>8.8150272727272725</c:v>
                </c:pt>
                <c:pt idx="13">
                  <c:v>9.0018772727272722</c:v>
                </c:pt>
                <c:pt idx="14">
                  <c:v>10.014661904761903</c:v>
                </c:pt>
                <c:pt idx="15">
                  <c:v>10.023227272727274</c:v>
                </c:pt>
                <c:pt idx="16">
                  <c:v>10.728454545454547</c:v>
                </c:pt>
                <c:pt idx="17">
                  <c:v>11.198654545454545</c:v>
                </c:pt>
                <c:pt idx="18">
                  <c:v>11.536523809523809</c:v>
                </c:pt>
                <c:pt idx="19">
                  <c:v>11.9946</c:v>
                </c:pt>
              </c:numCache>
            </c:numRef>
          </c:val>
          <c:smooth val="0"/>
          <c:extLst>
            <c:ext xmlns:c16="http://schemas.microsoft.com/office/drawing/2014/chart" uri="{C3380CC4-5D6E-409C-BE32-E72D297353CC}">
              <c16:uniqueId val="{00000003-61C8-46A6-A005-EDC58B02C381}"/>
            </c:ext>
          </c:extLst>
        </c:ser>
        <c:ser>
          <c:idx val="4"/>
          <c:order val="4"/>
          <c:tx>
            <c:strRef>
              <c:f>Sheet1!$F$1</c:f>
              <c:strCache>
                <c:ptCount val="1"/>
                <c:pt idx="0">
                  <c:v>Վարկեր, մինչև 1 տ․</c:v>
                </c:pt>
              </c:strCache>
            </c:strRef>
          </c:tx>
          <c:spPr>
            <a:ln w="25398" cap="rnd">
              <a:solidFill>
                <a:schemeClr val="accent5"/>
              </a:solidFill>
              <a:round/>
            </a:ln>
            <a:effectLst/>
          </c:spPr>
          <c:marker>
            <c:symbol val="none"/>
          </c:marker>
          <c:cat>
            <c:numRef>
              <c:f>Sheet1!$A$2:$A$61</c:f>
              <c:numCache>
                <c:formatCode>General</c:formatCode>
                <c:ptCount val="20"/>
                <c:pt idx="3">
                  <c:v>2018</c:v>
                </c:pt>
                <c:pt idx="7">
                  <c:v>2019</c:v>
                </c:pt>
                <c:pt idx="11">
                  <c:v>2020</c:v>
                </c:pt>
                <c:pt idx="15">
                  <c:v>2021</c:v>
                </c:pt>
                <c:pt idx="19">
                  <c:v>2022</c:v>
                </c:pt>
              </c:numCache>
            </c:numRef>
          </c:cat>
          <c:val>
            <c:numRef>
              <c:f>Sheet1!$F$2:$F$61</c:f>
              <c:numCache>
                <c:formatCode>General</c:formatCode>
                <c:ptCount val="20"/>
                <c:pt idx="0">
                  <c:v>13.201863206815947</c:v>
                </c:pt>
                <c:pt idx="1">
                  <c:v>12.255272800059375</c:v>
                </c:pt>
                <c:pt idx="2">
                  <c:v>12.434199372470271</c:v>
                </c:pt>
                <c:pt idx="3">
                  <c:v>11.580389586375437</c:v>
                </c:pt>
                <c:pt idx="4">
                  <c:v>12.566448328509471</c:v>
                </c:pt>
                <c:pt idx="5">
                  <c:v>12.144401734432861</c:v>
                </c:pt>
                <c:pt idx="6">
                  <c:v>12.011844768610082</c:v>
                </c:pt>
                <c:pt idx="7">
                  <c:v>11.466281685037378</c:v>
                </c:pt>
                <c:pt idx="8">
                  <c:v>12.086361052439955</c:v>
                </c:pt>
                <c:pt idx="9">
                  <c:v>11.840666400286993</c:v>
                </c:pt>
                <c:pt idx="10">
                  <c:v>11.739999180461965</c:v>
                </c:pt>
                <c:pt idx="11">
                  <c:v>11.46854913302637</c:v>
                </c:pt>
                <c:pt idx="12">
                  <c:v>11.961990666081375</c:v>
                </c:pt>
                <c:pt idx="13">
                  <c:v>10.411636000567436</c:v>
                </c:pt>
                <c:pt idx="14">
                  <c:v>12.208102534160609</c:v>
                </c:pt>
                <c:pt idx="15">
                  <c:v>12.277436640171302</c:v>
                </c:pt>
                <c:pt idx="16">
                  <c:v>12.491087907189435</c:v>
                </c:pt>
                <c:pt idx="17">
                  <c:v>11.274733470496635</c:v>
                </c:pt>
                <c:pt idx="18">
                  <c:v>11.773619839763745</c:v>
                </c:pt>
                <c:pt idx="19">
                  <c:v>12.026777148567596</c:v>
                </c:pt>
              </c:numCache>
            </c:numRef>
          </c:val>
          <c:smooth val="0"/>
          <c:extLst>
            <c:ext xmlns:c16="http://schemas.microsoft.com/office/drawing/2014/chart" uri="{C3380CC4-5D6E-409C-BE32-E72D297353CC}">
              <c16:uniqueId val="{00000004-61C8-46A6-A005-EDC58B02C381}"/>
            </c:ext>
          </c:extLst>
        </c:ser>
        <c:ser>
          <c:idx val="5"/>
          <c:order val="5"/>
          <c:tx>
            <c:strRef>
              <c:f>Sheet1!$G$1</c:f>
              <c:strCache>
                <c:ptCount val="1"/>
                <c:pt idx="0">
                  <c:v>Ավանդներ, մինչև 1տ․</c:v>
                </c:pt>
              </c:strCache>
            </c:strRef>
          </c:tx>
          <c:spPr>
            <a:ln w="25398" cap="rnd">
              <a:solidFill>
                <a:schemeClr val="accent6"/>
              </a:solidFill>
              <a:prstDash val="solid"/>
              <a:round/>
            </a:ln>
            <a:effectLst/>
          </c:spPr>
          <c:marker>
            <c:symbol val="none"/>
          </c:marker>
          <c:cat>
            <c:numRef>
              <c:f>Sheet1!$A$2:$A$61</c:f>
              <c:numCache>
                <c:formatCode>General</c:formatCode>
                <c:ptCount val="20"/>
                <c:pt idx="3">
                  <c:v>2018</c:v>
                </c:pt>
                <c:pt idx="7">
                  <c:v>2019</c:v>
                </c:pt>
                <c:pt idx="11">
                  <c:v>2020</c:v>
                </c:pt>
                <c:pt idx="15">
                  <c:v>2021</c:v>
                </c:pt>
                <c:pt idx="19">
                  <c:v>2022</c:v>
                </c:pt>
              </c:numCache>
            </c:numRef>
          </c:cat>
          <c:val>
            <c:numRef>
              <c:f>Sheet1!$G$2:$G$61</c:f>
              <c:numCache>
                <c:formatCode>General</c:formatCode>
                <c:ptCount val="20"/>
                <c:pt idx="0">
                  <c:v>8.3907662265930973</c:v>
                </c:pt>
                <c:pt idx="1">
                  <c:v>8.6424960591069144</c:v>
                </c:pt>
                <c:pt idx="2">
                  <c:v>8.6274367657147746</c:v>
                </c:pt>
                <c:pt idx="3">
                  <c:v>8.5685923305551341</c:v>
                </c:pt>
                <c:pt idx="4">
                  <c:v>8.9925664741048639</c:v>
                </c:pt>
                <c:pt idx="5">
                  <c:v>8.2520508136414197</c:v>
                </c:pt>
                <c:pt idx="6">
                  <c:v>7.3665894160339667</c:v>
                </c:pt>
                <c:pt idx="7">
                  <c:v>8.4654773659965628</c:v>
                </c:pt>
                <c:pt idx="8">
                  <c:v>7.2291523038045318</c:v>
                </c:pt>
                <c:pt idx="9">
                  <c:v>7.9211712515744601</c:v>
                </c:pt>
                <c:pt idx="10">
                  <c:v>8.4142766303570919</c:v>
                </c:pt>
                <c:pt idx="11">
                  <c:v>7.4048415965003471</c:v>
                </c:pt>
                <c:pt idx="12">
                  <c:v>7.7422870380906073</c:v>
                </c:pt>
                <c:pt idx="13">
                  <c:v>8.0158616246163845</c:v>
                </c:pt>
                <c:pt idx="14">
                  <c:v>8.2773469777009598</c:v>
                </c:pt>
                <c:pt idx="15">
                  <c:v>8.2678332122473623</c:v>
                </c:pt>
                <c:pt idx="16">
                  <c:v>9.2964040296125265</c:v>
                </c:pt>
                <c:pt idx="17">
                  <c:v>8.1287571727719037</c:v>
                </c:pt>
                <c:pt idx="18">
                  <c:v>7.6374793222786144</c:v>
                </c:pt>
                <c:pt idx="19">
                  <c:v>8.6201560403887179</c:v>
                </c:pt>
              </c:numCache>
            </c:numRef>
          </c:val>
          <c:smooth val="0"/>
          <c:extLst>
            <c:ext xmlns:c16="http://schemas.microsoft.com/office/drawing/2014/chart" uri="{C3380CC4-5D6E-409C-BE32-E72D297353CC}">
              <c16:uniqueId val="{00000005-61C8-46A6-A005-EDC58B02C381}"/>
            </c:ext>
          </c:extLst>
        </c:ser>
        <c:dLbls>
          <c:showLegendKey val="0"/>
          <c:showVal val="0"/>
          <c:showCatName val="0"/>
          <c:showSerName val="0"/>
          <c:showPercent val="0"/>
          <c:showBubbleSize val="0"/>
        </c:dLbls>
        <c:smooth val="0"/>
        <c:axId val="215960800"/>
        <c:axId val="1"/>
      </c:lineChart>
      <c:catAx>
        <c:axId val="215960800"/>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min val="4"/>
        </c:scaling>
        <c:delete val="0"/>
        <c:axPos val="l"/>
        <c:majorGridlines/>
        <c:numFmt formatCode="General" sourceLinked="1"/>
        <c:majorTickMark val="none"/>
        <c:minorTickMark val="none"/>
        <c:tickLblPos val="nextTo"/>
        <c:spPr>
          <a:ln w="9524">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960800"/>
        <c:crosses val="autoZero"/>
        <c:crossBetween val="between"/>
      </c:valAx>
      <c:spPr>
        <a:solidFill>
          <a:schemeClr val="bg1"/>
        </a:solidFill>
        <a:ln>
          <a:noFill/>
        </a:ln>
        <a:effectLst/>
      </c:spPr>
    </c:plotArea>
    <c:legend>
      <c:legendPos val="r"/>
      <c:layout>
        <c:manualLayout>
          <c:xMode val="edge"/>
          <c:yMode val="edge"/>
          <c:x val="1.6819571865443424E-2"/>
          <c:y val="0.82040816326530608"/>
          <c:w val="0.96636085626911317"/>
          <c:h val="0.14693877551020409"/>
        </c:manualLayout>
      </c:layout>
      <c:overlay val="0"/>
      <c:spPr>
        <a:noFill/>
        <a:ln w="25398">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6870088154332E-2"/>
          <c:y val="5.2830294608895816E-2"/>
          <c:w val="0.86605542312949757"/>
          <c:h val="0.56241336358378935"/>
        </c:manualLayout>
      </c:layout>
      <c:barChart>
        <c:barDir val="col"/>
        <c:grouping val="stacked"/>
        <c:varyColors val="0"/>
        <c:ser>
          <c:idx val="1"/>
          <c:order val="0"/>
          <c:tx>
            <c:strRef>
              <c:f>Sheet1!$A$2</c:f>
              <c:strCache>
                <c:ptCount val="1"/>
                <c:pt idx="0">
                  <c:v>Ապրանքների հաշվեկշիռ</c:v>
                </c:pt>
              </c:strCache>
            </c:strRef>
          </c:tx>
          <c:spPr>
            <a:solidFill>
              <a:schemeClr val="bg1">
                <a:lumMod val="65000"/>
              </a:schemeClr>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Sheet1!$B$2:$F$2</c:f>
              <c:numCache>
                <c:formatCode>0.0</c:formatCode>
                <c:ptCount val="5"/>
                <c:pt idx="0">
                  <c:v>-14.154908222987975</c:v>
                </c:pt>
                <c:pt idx="1">
                  <c:v>-12.644612396588299</c:v>
                </c:pt>
                <c:pt idx="2">
                  <c:v>-10.933296134402209</c:v>
                </c:pt>
                <c:pt idx="3">
                  <c:v>-10.855815219969701</c:v>
                </c:pt>
                <c:pt idx="4">
                  <c:v>-10.508219901189083</c:v>
                </c:pt>
              </c:numCache>
            </c:numRef>
          </c:val>
          <c:extLst>
            <c:ext xmlns:c16="http://schemas.microsoft.com/office/drawing/2014/chart" uri="{C3380CC4-5D6E-409C-BE32-E72D297353CC}">
              <c16:uniqueId val="{00000000-538C-4DAB-A595-4920437454C2}"/>
            </c:ext>
          </c:extLst>
        </c:ser>
        <c:ser>
          <c:idx val="2"/>
          <c:order val="2"/>
          <c:tx>
            <c:strRef>
              <c:f>Sheet1!$A$4</c:f>
              <c:strCache>
                <c:ptCount val="1"/>
                <c:pt idx="0">
                  <c:v>Ծառայությունների հաշվեկշիռ</c:v>
                </c:pt>
              </c:strCache>
            </c:strRef>
          </c:tx>
          <c:spPr>
            <a:solidFill>
              <a:schemeClr val="accent1">
                <a:lumMod val="60000"/>
                <a:lumOff val="40000"/>
              </a:schemeClr>
            </a:solidFill>
            <a:ln>
              <a:noFill/>
            </a:ln>
            <a:effectLst/>
          </c:spPr>
          <c:invertIfNegative val="0"/>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8C-4DAB-A595-4920437454C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2018</c:v>
                </c:pt>
                <c:pt idx="1">
                  <c:v>2019</c:v>
                </c:pt>
                <c:pt idx="2">
                  <c:v>2020</c:v>
                </c:pt>
                <c:pt idx="3">
                  <c:v>2021</c:v>
                </c:pt>
                <c:pt idx="4">
                  <c:v>2022</c:v>
                </c:pt>
              </c:numCache>
            </c:numRef>
          </c:cat>
          <c:val>
            <c:numRef>
              <c:f>Sheet1!$B$4:$F$4</c:f>
              <c:numCache>
                <c:formatCode>0.0</c:formatCode>
                <c:ptCount val="5"/>
                <c:pt idx="0">
                  <c:v>8.564310330505237E-2</c:v>
                </c:pt>
                <c:pt idx="1">
                  <c:v>-0.63789941132643557</c:v>
                </c:pt>
                <c:pt idx="2">
                  <c:v>0.93379260619131399</c:v>
                </c:pt>
                <c:pt idx="3">
                  <c:v>2.8633950380569622</c:v>
                </c:pt>
                <c:pt idx="4">
                  <c:v>8.3602491391647451</c:v>
                </c:pt>
              </c:numCache>
            </c:numRef>
          </c:val>
          <c:extLst>
            <c:ext xmlns:c16="http://schemas.microsoft.com/office/drawing/2014/chart" uri="{C3380CC4-5D6E-409C-BE32-E72D297353CC}">
              <c16:uniqueId val="{00000002-538C-4DAB-A595-4920437454C2}"/>
            </c:ext>
          </c:extLst>
        </c:ser>
        <c:ser>
          <c:idx val="3"/>
          <c:order val="3"/>
          <c:tx>
            <c:strRef>
              <c:f>Sheet1!$A$5</c:f>
              <c:strCache>
                <c:ptCount val="1"/>
                <c:pt idx="0">
                  <c:v>Սկզբնական եկամուտներ</c:v>
                </c:pt>
              </c:strCache>
            </c:strRef>
          </c:tx>
          <c:spPr>
            <a:solidFill>
              <a:schemeClr val="accent1"/>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Sheet1!$B$5:$F$5</c:f>
              <c:numCache>
                <c:formatCode>0.0</c:formatCode>
                <c:ptCount val="5"/>
                <c:pt idx="0">
                  <c:v>1.608141866747232</c:v>
                </c:pt>
                <c:pt idx="1">
                  <c:v>1.3194919926279212</c:v>
                </c:pt>
                <c:pt idx="2">
                  <c:v>-1.5524117457462139</c:v>
                </c:pt>
                <c:pt idx="3">
                  <c:v>-2.931577962899941</c:v>
                </c:pt>
                <c:pt idx="4">
                  <c:v>-4.3512464183841386</c:v>
                </c:pt>
              </c:numCache>
            </c:numRef>
          </c:val>
          <c:extLst>
            <c:ext xmlns:c16="http://schemas.microsoft.com/office/drawing/2014/chart" uri="{C3380CC4-5D6E-409C-BE32-E72D297353CC}">
              <c16:uniqueId val="{00000003-538C-4DAB-A595-4920437454C2}"/>
            </c:ext>
          </c:extLst>
        </c:ser>
        <c:ser>
          <c:idx val="4"/>
          <c:order val="4"/>
          <c:tx>
            <c:strRef>
              <c:f>Sheet1!$A$6</c:f>
              <c:strCache>
                <c:ptCount val="1"/>
                <c:pt idx="0">
                  <c:v>Երկրորդային եկամուտներ</c:v>
                </c:pt>
              </c:strCache>
            </c:strRef>
          </c:tx>
          <c:spPr>
            <a:solidFill>
              <a:schemeClr val="tx2"/>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Sheet1!$B$6:$F$6</c:f>
              <c:numCache>
                <c:formatCode>0.0</c:formatCode>
                <c:ptCount val="5"/>
                <c:pt idx="0">
                  <c:v>5.0415086916846672</c:v>
                </c:pt>
                <c:pt idx="1">
                  <c:v>4.6427179328107551</c:v>
                </c:pt>
                <c:pt idx="2">
                  <c:v>7.772267962540889</c:v>
                </c:pt>
                <c:pt idx="3">
                  <c:v>7.2077411913097995</c:v>
                </c:pt>
                <c:pt idx="4">
                  <c:v>5.6426915389853889</c:v>
                </c:pt>
              </c:numCache>
            </c:numRef>
          </c:val>
          <c:extLst>
            <c:ext xmlns:c16="http://schemas.microsoft.com/office/drawing/2014/chart" uri="{C3380CC4-5D6E-409C-BE32-E72D297353CC}">
              <c16:uniqueId val="{00000004-538C-4DAB-A595-4920437454C2}"/>
            </c:ext>
          </c:extLst>
        </c:ser>
        <c:dLbls>
          <c:showLegendKey val="0"/>
          <c:showVal val="0"/>
          <c:showCatName val="0"/>
          <c:showSerName val="0"/>
          <c:showPercent val="0"/>
          <c:showBubbleSize val="0"/>
        </c:dLbls>
        <c:gapWidth val="150"/>
        <c:overlap val="100"/>
        <c:axId val="115593984"/>
        <c:axId val="115595520"/>
      </c:barChart>
      <c:lineChart>
        <c:grouping val="standard"/>
        <c:varyColors val="0"/>
        <c:ser>
          <c:idx val="0"/>
          <c:order val="1"/>
          <c:tx>
            <c:strRef>
              <c:f>Sheet1!$A$3</c:f>
              <c:strCache>
                <c:ptCount val="1"/>
                <c:pt idx="0">
                  <c:v>Ընթացիկ հաշիվ</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2018</c:v>
                </c:pt>
                <c:pt idx="1">
                  <c:v>2019</c:v>
                </c:pt>
                <c:pt idx="2">
                  <c:v>2020</c:v>
                </c:pt>
                <c:pt idx="3">
                  <c:v>2021</c:v>
                </c:pt>
                <c:pt idx="4">
                  <c:v>2022</c:v>
                </c:pt>
              </c:numCache>
            </c:numRef>
          </c:cat>
          <c:val>
            <c:numRef>
              <c:f>Sheet1!$B$3:$F$3</c:f>
              <c:numCache>
                <c:formatCode>0.0</c:formatCode>
                <c:ptCount val="5"/>
                <c:pt idx="0">
                  <c:v>-7.4196878287176933</c:v>
                </c:pt>
                <c:pt idx="1">
                  <c:v>-7.3203893378319131</c:v>
                </c:pt>
                <c:pt idx="2">
                  <c:v>-3.7796392072673317</c:v>
                </c:pt>
                <c:pt idx="3">
                  <c:v>-3.7162647607828494</c:v>
                </c:pt>
                <c:pt idx="4">
                  <c:v>-0.85651713767477788</c:v>
                </c:pt>
              </c:numCache>
            </c:numRef>
          </c:val>
          <c:smooth val="0"/>
          <c:extLst>
            <c:ext xmlns:c16="http://schemas.microsoft.com/office/drawing/2014/chart" uri="{C3380CC4-5D6E-409C-BE32-E72D297353CC}">
              <c16:uniqueId val="{00000005-538C-4DAB-A595-4920437454C2}"/>
            </c:ext>
          </c:extLst>
        </c:ser>
        <c:dLbls>
          <c:showLegendKey val="0"/>
          <c:showVal val="0"/>
          <c:showCatName val="0"/>
          <c:showSerName val="0"/>
          <c:showPercent val="0"/>
          <c:showBubbleSize val="0"/>
        </c:dLbls>
        <c:marker val="1"/>
        <c:smooth val="0"/>
        <c:axId val="115593984"/>
        <c:axId val="115595520"/>
      </c:lineChart>
      <c:catAx>
        <c:axId val="1155939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5520"/>
        <c:crosses val="autoZero"/>
        <c:auto val="0"/>
        <c:lblAlgn val="ctr"/>
        <c:lblOffset val="100"/>
        <c:noMultiLvlLbl val="0"/>
      </c:catAx>
      <c:valAx>
        <c:axId val="115595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3984"/>
        <c:crosses val="autoZero"/>
        <c:crossBetween val="between"/>
        <c:majorUnit val="5"/>
      </c:valAx>
      <c:spPr>
        <a:noFill/>
        <a:ln>
          <a:noFill/>
        </a:ln>
        <a:effectLst/>
      </c:spPr>
    </c:plotArea>
    <c:legend>
      <c:legendPos val="b"/>
      <c:layout>
        <c:manualLayout>
          <c:xMode val="edge"/>
          <c:yMode val="edge"/>
          <c:x val="4.1978148361127086E-2"/>
          <c:y val="0.71256728502157574"/>
          <c:w val="0.93137818669733563"/>
          <c:h val="0.276133279950175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6870088154332E-2"/>
          <c:y val="5.2830294608895816E-2"/>
          <c:w val="0.86605542312949757"/>
          <c:h val="0.64150943396226412"/>
        </c:manualLayout>
      </c:layout>
      <c:barChart>
        <c:barDir val="col"/>
        <c:grouping val="stacked"/>
        <c:varyColors val="0"/>
        <c:ser>
          <c:idx val="1"/>
          <c:order val="0"/>
          <c:tx>
            <c:strRef>
              <c:f>Sheet1!$A$2</c:f>
              <c:strCache>
                <c:ptCount val="1"/>
                <c:pt idx="0">
                  <c:v>Արտահանում</c:v>
                </c:pt>
              </c:strCache>
            </c:strRef>
          </c:tx>
          <c:spPr>
            <a:solidFill>
              <a:schemeClr val="accent1">
                <a:lumMod val="60000"/>
                <a:lumOff val="40000"/>
              </a:schemeClr>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Sheet1!$B$2:$F$2</c:f>
              <c:numCache>
                <c:formatCode>0.0</c:formatCode>
                <c:ptCount val="5"/>
                <c:pt idx="0">
                  <c:v>2202.2981147522914</c:v>
                </c:pt>
                <c:pt idx="1">
                  <c:v>2433.7090578842613</c:v>
                </c:pt>
                <c:pt idx="2">
                  <c:v>1099.3419549588284</c:v>
                </c:pt>
                <c:pt idx="3">
                  <c:v>1735.2489665453945</c:v>
                </c:pt>
                <c:pt idx="4">
                  <c:v>4177.1477078338721</c:v>
                </c:pt>
              </c:numCache>
            </c:numRef>
          </c:val>
          <c:extLst>
            <c:ext xmlns:c16="http://schemas.microsoft.com/office/drawing/2014/chart" uri="{C3380CC4-5D6E-409C-BE32-E72D297353CC}">
              <c16:uniqueId val="{00000000-5B7B-4DDA-9C1C-B4531489189F}"/>
            </c:ext>
          </c:extLst>
        </c:ser>
        <c:ser>
          <c:idx val="2"/>
          <c:order val="2"/>
          <c:tx>
            <c:strRef>
              <c:f>Sheet1!$A$4</c:f>
              <c:strCache>
                <c:ptCount val="1"/>
                <c:pt idx="0">
                  <c:v>Ներմուծում</c:v>
                </c:pt>
              </c:strCache>
            </c:strRef>
          </c:tx>
          <c:spPr>
            <a:solidFill>
              <a:schemeClr val="tx2"/>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Sheet1!$B$4:$F$4</c:f>
              <c:numCache>
                <c:formatCode>0.0</c:formatCode>
                <c:ptCount val="5"/>
                <c:pt idx="0">
                  <c:v>-2191.6287930846847</c:v>
                </c:pt>
                <c:pt idx="1">
                  <c:v>-2520.5858545116312</c:v>
                </c:pt>
                <c:pt idx="2">
                  <c:v>-981.29469506194107</c:v>
                </c:pt>
                <c:pt idx="3">
                  <c:v>-1338.3423267401668</c:v>
                </c:pt>
                <c:pt idx="4">
                  <c:v>-2546.6650387208501</c:v>
                </c:pt>
              </c:numCache>
            </c:numRef>
          </c:val>
          <c:extLst>
            <c:ext xmlns:c16="http://schemas.microsoft.com/office/drawing/2014/chart" uri="{C3380CC4-5D6E-409C-BE32-E72D297353CC}">
              <c16:uniqueId val="{00000001-5B7B-4DDA-9C1C-B4531489189F}"/>
            </c:ext>
          </c:extLst>
        </c:ser>
        <c:dLbls>
          <c:showLegendKey val="0"/>
          <c:showVal val="0"/>
          <c:showCatName val="0"/>
          <c:showSerName val="0"/>
          <c:showPercent val="0"/>
          <c:showBubbleSize val="0"/>
        </c:dLbls>
        <c:gapWidth val="150"/>
        <c:overlap val="100"/>
        <c:axId val="115593984"/>
        <c:axId val="115595520"/>
      </c:barChart>
      <c:lineChart>
        <c:grouping val="standard"/>
        <c:varyColors val="0"/>
        <c:ser>
          <c:idx val="0"/>
          <c:order val="1"/>
          <c:tx>
            <c:strRef>
              <c:f>Sheet1!$A$3</c:f>
              <c:strCache>
                <c:ptCount val="1"/>
                <c:pt idx="0">
                  <c:v>Ծառայությունների հաշվեկշիռ</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2018</c:v>
                </c:pt>
                <c:pt idx="1">
                  <c:v>2019</c:v>
                </c:pt>
                <c:pt idx="2">
                  <c:v>2020</c:v>
                </c:pt>
                <c:pt idx="3">
                  <c:v>2021</c:v>
                </c:pt>
                <c:pt idx="4">
                  <c:v>2022</c:v>
                </c:pt>
              </c:numCache>
            </c:numRef>
          </c:cat>
          <c:val>
            <c:numRef>
              <c:f>Sheet1!$B$3:$F$3</c:f>
              <c:numCache>
                <c:formatCode>0.0</c:formatCode>
                <c:ptCount val="5"/>
                <c:pt idx="0">
                  <c:v>10.66932166760671</c:v>
                </c:pt>
                <c:pt idx="1">
                  <c:v>-86.876796627369913</c:v>
                </c:pt>
                <c:pt idx="2">
                  <c:v>118.04725989688734</c:v>
                </c:pt>
                <c:pt idx="3">
                  <c:v>396.90663980522777</c:v>
                </c:pt>
                <c:pt idx="4">
                  <c:v>1630.482669113022</c:v>
                </c:pt>
              </c:numCache>
            </c:numRef>
          </c:val>
          <c:smooth val="0"/>
          <c:extLst>
            <c:ext xmlns:c16="http://schemas.microsoft.com/office/drawing/2014/chart" uri="{C3380CC4-5D6E-409C-BE32-E72D297353CC}">
              <c16:uniqueId val="{00000002-5B7B-4DDA-9C1C-B4531489189F}"/>
            </c:ext>
          </c:extLst>
        </c:ser>
        <c:dLbls>
          <c:showLegendKey val="0"/>
          <c:showVal val="0"/>
          <c:showCatName val="0"/>
          <c:showSerName val="0"/>
          <c:showPercent val="0"/>
          <c:showBubbleSize val="0"/>
        </c:dLbls>
        <c:marker val="1"/>
        <c:smooth val="0"/>
        <c:axId val="115593984"/>
        <c:axId val="115595520"/>
      </c:lineChart>
      <c:catAx>
        <c:axId val="1155939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5520"/>
        <c:crosses val="autoZero"/>
        <c:auto val="0"/>
        <c:lblAlgn val="ctr"/>
        <c:lblOffset val="100"/>
        <c:noMultiLvlLbl val="0"/>
      </c:catAx>
      <c:valAx>
        <c:axId val="115595520"/>
        <c:scaling>
          <c:orientation val="minMax"/>
          <c:min val="-30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3984"/>
        <c:crosses val="autoZero"/>
        <c:crossBetween val="between"/>
      </c:valAx>
      <c:spPr>
        <a:noFill/>
        <a:ln>
          <a:noFill/>
        </a:ln>
        <a:effectLst/>
      </c:spPr>
    </c:plotArea>
    <c:legend>
      <c:legendPos val="b"/>
      <c:layout>
        <c:manualLayout>
          <c:xMode val="edge"/>
          <c:yMode val="edge"/>
          <c:x val="2.6644059548024023E-2"/>
          <c:y val="0.78998293374763129"/>
          <c:w val="0.93878763866877957"/>
          <c:h val="0.174142626790485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6870088154332E-2"/>
          <c:y val="5.2830294608895816E-2"/>
          <c:w val="0.86605542312949757"/>
          <c:h val="0.64150943396226412"/>
        </c:manualLayout>
      </c:layout>
      <c:barChart>
        <c:barDir val="col"/>
        <c:grouping val="stacked"/>
        <c:varyColors val="0"/>
        <c:ser>
          <c:idx val="1"/>
          <c:order val="0"/>
          <c:tx>
            <c:strRef>
              <c:f>Sheet1!$A$2</c:f>
              <c:strCache>
                <c:ptCount val="1"/>
                <c:pt idx="0">
                  <c:v>Արտահանում</c:v>
                </c:pt>
              </c:strCache>
            </c:strRef>
          </c:tx>
          <c:spPr>
            <a:solidFill>
              <a:schemeClr val="tx2"/>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Sheet1!$B$2:$F$2</c:f>
              <c:numCache>
                <c:formatCode>0.0</c:formatCode>
                <c:ptCount val="5"/>
                <c:pt idx="0">
                  <c:v>2724.7291806251042</c:v>
                </c:pt>
                <c:pt idx="1">
                  <c:v>3360.7164789775707</c:v>
                </c:pt>
                <c:pt idx="2">
                  <c:v>2718.8484999455832</c:v>
                </c:pt>
                <c:pt idx="3">
                  <c:v>3276.6246861539385</c:v>
                </c:pt>
                <c:pt idx="4">
                  <c:v>5521.4022615022013</c:v>
                </c:pt>
              </c:numCache>
            </c:numRef>
          </c:val>
          <c:extLst>
            <c:ext xmlns:c16="http://schemas.microsoft.com/office/drawing/2014/chart" uri="{C3380CC4-5D6E-409C-BE32-E72D297353CC}">
              <c16:uniqueId val="{00000000-B441-4F25-A56E-32A368776FC1}"/>
            </c:ext>
          </c:extLst>
        </c:ser>
        <c:ser>
          <c:idx val="2"/>
          <c:order val="2"/>
          <c:tx>
            <c:strRef>
              <c:f>Sheet1!$A$4</c:f>
              <c:strCache>
                <c:ptCount val="1"/>
                <c:pt idx="0">
                  <c:v>Ներմուծում</c:v>
                </c:pt>
              </c:strCache>
            </c:strRef>
          </c:tx>
          <c:spPr>
            <a:solidFill>
              <a:schemeClr val="accent1">
                <a:lumMod val="60000"/>
                <a:lumOff val="40000"/>
              </a:schemeClr>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Sheet1!$B$4:$F$4</c:f>
              <c:numCache>
                <c:formatCode>0.0</c:formatCode>
                <c:ptCount val="5"/>
                <c:pt idx="0">
                  <c:v>-4488.1408844577727</c:v>
                </c:pt>
                <c:pt idx="1">
                  <c:v>-5082.8234412135489</c:v>
                </c:pt>
                <c:pt idx="2">
                  <c:v>-4101.0019728661173</c:v>
                </c:pt>
                <c:pt idx="3">
                  <c:v>-4781.3937392531243</c:v>
                </c:pt>
                <c:pt idx="4">
                  <c:v>-7570.7977139222803</c:v>
                </c:pt>
              </c:numCache>
            </c:numRef>
          </c:val>
          <c:extLst>
            <c:ext xmlns:c16="http://schemas.microsoft.com/office/drawing/2014/chart" uri="{C3380CC4-5D6E-409C-BE32-E72D297353CC}">
              <c16:uniqueId val="{00000001-B441-4F25-A56E-32A368776FC1}"/>
            </c:ext>
          </c:extLst>
        </c:ser>
        <c:dLbls>
          <c:showLegendKey val="0"/>
          <c:showVal val="0"/>
          <c:showCatName val="0"/>
          <c:showSerName val="0"/>
          <c:showPercent val="0"/>
          <c:showBubbleSize val="0"/>
        </c:dLbls>
        <c:gapWidth val="150"/>
        <c:overlap val="100"/>
        <c:axId val="115593984"/>
        <c:axId val="115595520"/>
      </c:barChart>
      <c:lineChart>
        <c:grouping val="standard"/>
        <c:varyColors val="0"/>
        <c:ser>
          <c:idx val="0"/>
          <c:order val="1"/>
          <c:tx>
            <c:strRef>
              <c:f>Sheet1!$A$3</c:f>
              <c:strCache>
                <c:ptCount val="1"/>
                <c:pt idx="0">
                  <c:v>Առրտրային հաշվեկշիռ</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2018</c:v>
                </c:pt>
                <c:pt idx="1">
                  <c:v>2019</c:v>
                </c:pt>
                <c:pt idx="2">
                  <c:v>2020</c:v>
                </c:pt>
                <c:pt idx="3">
                  <c:v>2021</c:v>
                </c:pt>
                <c:pt idx="4">
                  <c:v>2022</c:v>
                </c:pt>
              </c:numCache>
            </c:numRef>
          </c:cat>
          <c:val>
            <c:numRef>
              <c:f>Sheet1!$B$3:$F$3</c:f>
              <c:numCache>
                <c:formatCode>0.0</c:formatCode>
                <c:ptCount val="5"/>
                <c:pt idx="0">
                  <c:v>-1763.4117038326685</c:v>
                </c:pt>
                <c:pt idx="1">
                  <c:v>-1722.1069622359782</c:v>
                </c:pt>
                <c:pt idx="2">
                  <c:v>-1382.1534729205341</c:v>
                </c:pt>
                <c:pt idx="3">
                  <c:v>-1504.7690530991858</c:v>
                </c:pt>
                <c:pt idx="4">
                  <c:v>-2049.395452420079</c:v>
                </c:pt>
              </c:numCache>
            </c:numRef>
          </c:val>
          <c:smooth val="0"/>
          <c:extLst>
            <c:ext xmlns:c16="http://schemas.microsoft.com/office/drawing/2014/chart" uri="{C3380CC4-5D6E-409C-BE32-E72D297353CC}">
              <c16:uniqueId val="{00000002-B441-4F25-A56E-32A368776FC1}"/>
            </c:ext>
          </c:extLst>
        </c:ser>
        <c:dLbls>
          <c:showLegendKey val="0"/>
          <c:showVal val="0"/>
          <c:showCatName val="0"/>
          <c:showSerName val="0"/>
          <c:showPercent val="0"/>
          <c:showBubbleSize val="0"/>
        </c:dLbls>
        <c:marker val="1"/>
        <c:smooth val="0"/>
        <c:axId val="115593984"/>
        <c:axId val="115595520"/>
      </c:lineChart>
      <c:catAx>
        <c:axId val="1155939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5520"/>
        <c:crosses val="autoZero"/>
        <c:auto val="0"/>
        <c:lblAlgn val="ctr"/>
        <c:lblOffset val="100"/>
        <c:noMultiLvlLbl val="0"/>
      </c:catAx>
      <c:valAx>
        <c:axId val="115595520"/>
        <c:scaling>
          <c:orientation val="minMax"/>
          <c:min val="-80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3984"/>
        <c:crosses val="autoZero"/>
        <c:crossBetween val="between"/>
      </c:valAx>
      <c:spPr>
        <a:noFill/>
        <a:ln>
          <a:noFill/>
        </a:ln>
        <a:effectLst/>
      </c:spPr>
    </c:plotArea>
    <c:legend>
      <c:legendPos val="b"/>
      <c:layout>
        <c:manualLayout>
          <c:xMode val="edge"/>
          <c:yMode val="edge"/>
          <c:x val="4.0380603727139343E-2"/>
          <c:y val="0.82385633909459532"/>
          <c:w val="0.93927855711422847"/>
          <c:h val="0.13985699625466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6870088154332E-2"/>
          <c:y val="5.2830294608895816E-2"/>
          <c:w val="0.86605542312949757"/>
          <c:h val="0.64150943396226412"/>
        </c:manualLayout>
      </c:layout>
      <c:barChart>
        <c:barDir val="col"/>
        <c:grouping val="stacked"/>
        <c:varyColors val="0"/>
        <c:ser>
          <c:idx val="1"/>
          <c:order val="0"/>
          <c:tx>
            <c:strRef>
              <c:f>Sheet1!$A$2</c:f>
              <c:strCache>
                <c:ptCount val="1"/>
                <c:pt idx="0">
                  <c:v>Տրանսֆերտներ</c:v>
                </c:pt>
              </c:strCache>
            </c:strRef>
          </c:tx>
          <c:spPr>
            <a:solidFill>
              <a:schemeClr val="tx2"/>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Sheet1!$B$2:$F$2</c:f>
              <c:numCache>
                <c:formatCode>0.0</c:formatCode>
                <c:ptCount val="5"/>
                <c:pt idx="0">
                  <c:v>483.48296920033829</c:v>
                </c:pt>
                <c:pt idx="1">
                  <c:v>487.09219922630041</c:v>
                </c:pt>
                <c:pt idx="2">
                  <c:v>759.7952163701832</c:v>
                </c:pt>
                <c:pt idx="3">
                  <c:v>923.60772566075366</c:v>
                </c:pt>
                <c:pt idx="4">
                  <c:v>1172.0390050163066</c:v>
                </c:pt>
              </c:numCache>
            </c:numRef>
          </c:val>
          <c:extLst>
            <c:ext xmlns:c16="http://schemas.microsoft.com/office/drawing/2014/chart" uri="{C3380CC4-5D6E-409C-BE32-E72D297353CC}">
              <c16:uniqueId val="{00000000-ABDE-43CF-8E7F-A3FDA19F34DA}"/>
            </c:ext>
          </c:extLst>
        </c:ser>
        <c:ser>
          <c:idx val="2"/>
          <c:order val="2"/>
          <c:tx>
            <c:strRef>
              <c:f>Sheet1!$A$4</c:f>
              <c:strCache>
                <c:ptCount val="1"/>
                <c:pt idx="0">
                  <c:v>Աշխատողների վարձատրություն</c:v>
                </c:pt>
              </c:strCache>
            </c:strRef>
          </c:tx>
          <c:spPr>
            <a:solidFill>
              <a:schemeClr val="accent1">
                <a:lumMod val="60000"/>
                <a:lumOff val="40000"/>
              </a:schemeClr>
            </a:solidFill>
            <a:ln>
              <a:noFill/>
            </a:ln>
            <a:effectLst/>
          </c:spPr>
          <c:invertIfNegative val="0"/>
          <c:cat>
            <c:numRef>
              <c:f>Sheet1!$B$1:$F$1</c:f>
              <c:numCache>
                <c:formatCode>General</c:formatCode>
                <c:ptCount val="5"/>
                <c:pt idx="0">
                  <c:v>2018</c:v>
                </c:pt>
                <c:pt idx="1">
                  <c:v>2019</c:v>
                </c:pt>
                <c:pt idx="2">
                  <c:v>2020</c:v>
                </c:pt>
                <c:pt idx="3">
                  <c:v>2021</c:v>
                </c:pt>
                <c:pt idx="4">
                  <c:v>2022</c:v>
                </c:pt>
              </c:numCache>
            </c:numRef>
          </c:cat>
          <c:val>
            <c:numRef>
              <c:f>Sheet1!$B$4:$F$4</c:f>
              <c:numCache>
                <c:formatCode>0.0</c:formatCode>
                <c:ptCount val="5"/>
                <c:pt idx="0">
                  <c:v>656.76601432883069</c:v>
                </c:pt>
                <c:pt idx="1">
                  <c:v>675.4015659288516</c:v>
                </c:pt>
                <c:pt idx="2">
                  <c:v>286.39074659269698</c:v>
                </c:pt>
                <c:pt idx="3">
                  <c:v>319.53352658197639</c:v>
                </c:pt>
                <c:pt idx="4">
                  <c:v>319.44810217560553</c:v>
                </c:pt>
              </c:numCache>
            </c:numRef>
          </c:val>
          <c:extLst>
            <c:ext xmlns:c16="http://schemas.microsoft.com/office/drawing/2014/chart" uri="{C3380CC4-5D6E-409C-BE32-E72D297353CC}">
              <c16:uniqueId val="{00000001-ABDE-43CF-8E7F-A3FDA19F34DA}"/>
            </c:ext>
          </c:extLst>
        </c:ser>
        <c:dLbls>
          <c:showLegendKey val="0"/>
          <c:showVal val="0"/>
          <c:showCatName val="0"/>
          <c:showSerName val="0"/>
          <c:showPercent val="0"/>
          <c:showBubbleSize val="0"/>
        </c:dLbls>
        <c:gapWidth val="150"/>
        <c:overlap val="100"/>
        <c:axId val="115593984"/>
        <c:axId val="115595520"/>
      </c:barChart>
      <c:lineChart>
        <c:grouping val="standard"/>
        <c:varyColors val="0"/>
        <c:ser>
          <c:idx val="0"/>
          <c:order val="1"/>
          <c:tx>
            <c:strRef>
              <c:f>Sheet1!$A$3</c:f>
              <c:strCache>
                <c:ptCount val="1"/>
                <c:pt idx="0">
                  <c:v>Դրամական փոխանցումներ</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2018</c:v>
                </c:pt>
                <c:pt idx="1">
                  <c:v>2019</c:v>
                </c:pt>
                <c:pt idx="2">
                  <c:v>2020</c:v>
                </c:pt>
                <c:pt idx="3">
                  <c:v>2021</c:v>
                </c:pt>
                <c:pt idx="4">
                  <c:v>2022</c:v>
                </c:pt>
              </c:numCache>
            </c:numRef>
          </c:cat>
          <c:val>
            <c:numRef>
              <c:f>Sheet1!$B$3:$F$3</c:f>
              <c:numCache>
                <c:formatCode>0.0</c:formatCode>
                <c:ptCount val="5"/>
                <c:pt idx="0">
                  <c:v>1140.248983529169</c:v>
                </c:pt>
                <c:pt idx="1">
                  <c:v>1162.493765155152</c:v>
                </c:pt>
                <c:pt idx="2">
                  <c:v>1046.1859629628802</c:v>
                </c:pt>
                <c:pt idx="3">
                  <c:v>1243.1412522427299</c:v>
                </c:pt>
                <c:pt idx="4">
                  <c:v>1491.4871071919122</c:v>
                </c:pt>
              </c:numCache>
            </c:numRef>
          </c:val>
          <c:smooth val="0"/>
          <c:extLst>
            <c:ext xmlns:c16="http://schemas.microsoft.com/office/drawing/2014/chart" uri="{C3380CC4-5D6E-409C-BE32-E72D297353CC}">
              <c16:uniqueId val="{00000002-ABDE-43CF-8E7F-A3FDA19F34DA}"/>
            </c:ext>
          </c:extLst>
        </c:ser>
        <c:dLbls>
          <c:showLegendKey val="0"/>
          <c:showVal val="0"/>
          <c:showCatName val="0"/>
          <c:showSerName val="0"/>
          <c:showPercent val="0"/>
          <c:showBubbleSize val="0"/>
        </c:dLbls>
        <c:marker val="1"/>
        <c:smooth val="0"/>
        <c:axId val="115593984"/>
        <c:axId val="115595520"/>
      </c:lineChart>
      <c:catAx>
        <c:axId val="1155939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5520"/>
        <c:crosses val="autoZero"/>
        <c:auto val="0"/>
        <c:lblAlgn val="ctr"/>
        <c:lblOffset val="100"/>
        <c:noMultiLvlLbl val="0"/>
      </c:catAx>
      <c:valAx>
        <c:axId val="115595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593984"/>
        <c:crosses val="autoZero"/>
        <c:crossBetween val="between"/>
      </c:valAx>
      <c:spPr>
        <a:noFill/>
        <a:ln>
          <a:noFill/>
        </a:ln>
        <a:effectLst/>
      </c:spPr>
    </c:plotArea>
    <c:legend>
      <c:legendPos val="b"/>
      <c:layout>
        <c:manualLayout>
          <c:xMode val="edge"/>
          <c:yMode val="edge"/>
          <c:x val="8.219727345629509E-3"/>
          <c:y val="0.79954399799873732"/>
          <c:w val="0.92742582197273471"/>
          <c:h val="0.182301690352246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28633547672212"/>
          <c:y val="3.5226779206556008E-2"/>
          <c:w val="0.85358700104683449"/>
          <c:h val="0.6635549068997656"/>
        </c:manualLayout>
      </c:layout>
      <c:lineChart>
        <c:grouping val="standard"/>
        <c:varyColors val="0"/>
        <c:ser>
          <c:idx val="0"/>
          <c:order val="0"/>
          <c:tx>
            <c:strRef>
              <c:f>Sheet1!$A$2</c:f>
              <c:strCache>
                <c:ptCount val="1"/>
                <c:pt idx="0">
                  <c:v>12 ամսյա փոփոխություն, % </c:v>
                </c:pt>
              </c:strCache>
            </c:strRef>
          </c:tx>
          <c:spPr>
            <a:ln w="28334" cap="rnd">
              <a:solidFill>
                <a:srgbClr val="0070C0"/>
              </a:solidFill>
              <a:round/>
            </a:ln>
            <a:effectLst/>
          </c:spPr>
          <c:marker>
            <c:symbol val="circle"/>
            <c:size val="4"/>
            <c:spPr>
              <a:solidFill>
                <a:schemeClr val="accent1"/>
              </a:solidFill>
              <a:ln w="9445">
                <a:solidFill>
                  <a:schemeClr val="accent1"/>
                </a:solidFill>
              </a:ln>
              <a:effectLst/>
            </c:spPr>
          </c:marker>
          <c:dLbls>
            <c:spPr>
              <a:noFill/>
              <a:ln w="25186">
                <a:noFill/>
              </a:ln>
            </c:spPr>
            <c:txPr>
              <a:bodyPr wrap="square" lIns="38100" tIns="19050" rIns="38100" bIns="19050" anchor="ctr">
                <a:spAutoFit/>
              </a:bodyPr>
              <a:lstStyle/>
              <a:p>
                <a:pPr>
                  <a:defRPr sz="595"/>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0.0</c:formatCode>
                <c:ptCount val="12"/>
                <c:pt idx="0">
                  <c:v>51.961402788738951</c:v>
                </c:pt>
                <c:pt idx="1">
                  <c:v>30.391845934648302</c:v>
                </c:pt>
                <c:pt idx="2">
                  <c:v>5.2719718635667618</c:v>
                </c:pt>
                <c:pt idx="3">
                  <c:v>21.887829170533024</c:v>
                </c:pt>
                <c:pt idx="4">
                  <c:v>33.868586410652654</c:v>
                </c:pt>
                <c:pt idx="5">
                  <c:v>69.776559826466126</c:v>
                </c:pt>
                <c:pt idx="6">
                  <c:v>84.51367656694876</c:v>
                </c:pt>
                <c:pt idx="7">
                  <c:v>107.46634373014925</c:v>
                </c:pt>
                <c:pt idx="8">
                  <c:v>158.08192633064596</c:v>
                </c:pt>
                <c:pt idx="9">
                  <c:v>139.13895615982236</c:v>
                </c:pt>
                <c:pt idx="10">
                  <c:v>104.81442858857682</c:v>
                </c:pt>
                <c:pt idx="11">
                  <c:v>90.160377396623772</c:v>
                </c:pt>
              </c:numCache>
            </c:numRef>
          </c:val>
          <c:smooth val="0"/>
          <c:extLst>
            <c:ext xmlns:c16="http://schemas.microsoft.com/office/drawing/2014/chart" uri="{C3380CC4-5D6E-409C-BE32-E72D297353CC}">
              <c16:uniqueId val="{00000000-39F5-4782-B4D6-DD37C2411A61}"/>
            </c:ext>
          </c:extLst>
        </c:ser>
        <c:ser>
          <c:idx val="1"/>
          <c:order val="1"/>
          <c:tx>
            <c:strRef>
              <c:f>Sheet1!$A$3</c:f>
              <c:strCache>
                <c:ptCount val="1"/>
                <c:pt idx="0">
                  <c:v>Կուտակային փոփոխություն, %</c:v>
                </c:pt>
              </c:strCache>
            </c:strRef>
          </c:tx>
          <c:spPr>
            <a:ln>
              <a:solidFill>
                <a:srgbClr val="F79646"/>
              </a:solidFill>
            </a:ln>
          </c:spPr>
          <c:marker>
            <c:spPr>
              <a:solidFill>
                <a:srgbClr val="F79646"/>
              </a:solidFill>
              <a:ln>
                <a:solidFill>
                  <a:srgbClr val="F79646"/>
                </a:solidFill>
              </a:ln>
            </c:spPr>
          </c:marker>
          <c:dLbls>
            <c:dLbl>
              <c:idx val="11"/>
              <c:layout>
                <c:manualLayout>
                  <c:x val="-1.5810913730763303E-2"/>
                  <c:y val="-4.52593865732721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F5-4782-B4D6-DD37C2411A61}"/>
                </c:ext>
              </c:extLst>
            </c:dLbl>
            <c:spPr>
              <a:noFill/>
              <a:ln w="25186">
                <a:noFill/>
              </a:ln>
            </c:spPr>
            <c:txPr>
              <a:bodyPr wrap="square" lIns="38100" tIns="19050" rIns="38100" bIns="19050" anchor="ctr">
                <a:spAutoFit/>
              </a:bodyPr>
              <a:lstStyle/>
              <a:p>
                <a:pPr>
                  <a:defRPr sz="595"/>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Sheet1!$B$3:$M$3</c:f>
              <c:numCache>
                <c:formatCode>0.0</c:formatCode>
                <c:ptCount val="12"/>
                <c:pt idx="0">
                  <c:v>51.961402788738951</c:v>
                </c:pt>
                <c:pt idx="1">
                  <c:v>40.195430188397893</c:v>
                </c:pt>
                <c:pt idx="2">
                  <c:v>27.08513605155008</c:v>
                </c:pt>
                <c:pt idx="3">
                  <c:v>25.547996492663614</c:v>
                </c:pt>
                <c:pt idx="4">
                  <c:v>27.579857407293957</c:v>
                </c:pt>
                <c:pt idx="5">
                  <c:v>36.555305417501927</c:v>
                </c:pt>
                <c:pt idx="6">
                  <c:v>44.145001628574022</c:v>
                </c:pt>
                <c:pt idx="7">
                  <c:v>53.169020564295835</c:v>
                </c:pt>
                <c:pt idx="8">
                  <c:v>64.432829634079241</c:v>
                </c:pt>
                <c:pt idx="9">
                  <c:v>72.781423413197331</c:v>
                </c:pt>
                <c:pt idx="10">
                  <c:v>76.324866618929093</c:v>
                </c:pt>
                <c:pt idx="11">
                  <c:v>77.721888216468983</c:v>
                </c:pt>
              </c:numCache>
            </c:numRef>
          </c:val>
          <c:smooth val="0"/>
          <c:extLst>
            <c:ext xmlns:c16="http://schemas.microsoft.com/office/drawing/2014/chart" uri="{C3380CC4-5D6E-409C-BE32-E72D297353CC}">
              <c16:uniqueId val="{00000002-39F5-4782-B4D6-DD37C2411A61}"/>
            </c:ext>
          </c:extLst>
        </c:ser>
        <c:dLbls>
          <c:showLegendKey val="0"/>
          <c:showVal val="0"/>
          <c:showCatName val="0"/>
          <c:showSerName val="0"/>
          <c:showPercent val="0"/>
          <c:showBubbleSize val="0"/>
        </c:dLbls>
        <c:marker val="1"/>
        <c:smooth val="0"/>
        <c:axId val="216490152"/>
        <c:axId val="1"/>
      </c:lineChart>
      <c:catAx>
        <c:axId val="216490152"/>
        <c:scaling>
          <c:orientation val="minMax"/>
        </c:scaling>
        <c:delete val="0"/>
        <c:axPos val="b"/>
        <c:numFmt formatCode="General" sourceLinked="1"/>
        <c:majorTickMark val="none"/>
        <c:minorTickMark val="none"/>
        <c:tickLblPos val="low"/>
        <c:spPr>
          <a:noFill/>
          <a:ln w="9445" cap="flat" cmpd="sng" algn="ctr">
            <a:solidFill>
              <a:schemeClr val="tx1">
                <a:lumMod val="15000"/>
                <a:lumOff val="85000"/>
              </a:schemeClr>
            </a:solidFill>
            <a:round/>
          </a:ln>
          <a:effectLst/>
        </c:spPr>
        <c:txPr>
          <a:bodyPr rot="-60000000" spcFirstLastPara="1" vertOverflow="ellipsis" vert="horz" wrap="square" anchor="ctr" anchorCtr="1"/>
          <a:lstStyle/>
          <a:p>
            <a:pPr>
              <a:defRPr sz="89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in val="-30"/>
        </c:scaling>
        <c:delete val="0"/>
        <c:axPos val="l"/>
        <c:majorGridlines>
          <c:spPr>
            <a:ln w="9445" cap="flat" cmpd="sng" algn="ctr">
              <a:solidFill>
                <a:schemeClr val="tx1">
                  <a:lumMod val="15000"/>
                  <a:lumOff val="85000"/>
                </a:schemeClr>
              </a:solidFill>
              <a:round/>
            </a:ln>
            <a:effectLst/>
          </c:spPr>
        </c:majorGridlines>
        <c:numFmt formatCode="0.0" sourceLinked="1"/>
        <c:majorTickMark val="none"/>
        <c:minorTickMark val="none"/>
        <c:tickLblPos val="nextTo"/>
        <c:spPr>
          <a:ln w="6296">
            <a:noFill/>
          </a:ln>
        </c:spPr>
        <c:txPr>
          <a:bodyPr rot="-60000000" spcFirstLastPara="1" vertOverflow="ellipsis" vert="horz" wrap="square" anchor="ctr" anchorCtr="1"/>
          <a:lstStyle/>
          <a:p>
            <a:pPr>
              <a:defRPr sz="79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6490152"/>
        <c:crosses val="autoZero"/>
        <c:crossBetween val="between"/>
        <c:majorUnit val="20"/>
      </c:valAx>
      <c:spPr>
        <a:solidFill>
          <a:sysClr val="window" lastClr="FFFFFF"/>
        </a:solidFill>
        <a:ln>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effectLst/>
      </c:spPr>
    </c:plotArea>
    <c:legend>
      <c:legendPos val="r"/>
      <c:layout>
        <c:manualLayout>
          <c:xMode val="edge"/>
          <c:yMode val="edge"/>
          <c:x val="1.5576323987538941E-2"/>
          <c:y val="0.82222222222222219"/>
          <c:w val="0.97507788161993769"/>
          <c:h val="0.16"/>
        </c:manualLayout>
      </c:layout>
      <c:overlay val="0"/>
      <c:spPr>
        <a:noFill/>
        <a:ln w="25186">
          <a:noFill/>
        </a:ln>
      </c:spPr>
      <c:txPr>
        <a:bodyPr rot="0" spcFirstLastPara="1" vertOverflow="ellipsis" vert="horz" wrap="square" anchor="ctr" anchorCtr="1"/>
        <a:lstStyle/>
        <a:p>
          <a:pPr>
            <a:defRPr sz="992">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445" cap="flat" cmpd="sng" algn="ctr">
      <a:solidFill>
        <a:sysClr val="window" lastClr="FFFFFF">
          <a:lumMod val="85000"/>
        </a:sysClr>
      </a:solidFill>
      <a:round/>
    </a:ln>
    <a:effectLst/>
  </c:spPr>
  <c:txPr>
    <a:bodyPr/>
    <a:lstStyle/>
    <a:p>
      <a:pPr>
        <a:defRPr sz="793">
          <a:latin typeface="GHEA Grapalat" panose="02000506050000020003" pitchFamily="50"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39554902904017"/>
          <c:y val="3.7666528526039522E-2"/>
          <c:w val="0.85198401144390712"/>
          <c:h val="0.6556209735146743"/>
        </c:manualLayout>
      </c:layout>
      <c:lineChart>
        <c:grouping val="standard"/>
        <c:varyColors val="0"/>
        <c:ser>
          <c:idx val="0"/>
          <c:order val="0"/>
          <c:tx>
            <c:strRef>
              <c:f>Sheet1!$A$2</c:f>
              <c:strCache>
                <c:ptCount val="1"/>
                <c:pt idx="0">
                  <c:v>Իրական փոփոխությունը (կուտակային)</c:v>
                </c:pt>
              </c:strCache>
            </c:strRef>
          </c:tx>
          <c:spPr>
            <a:ln w="28575" cap="rnd">
              <a:solidFill>
                <a:srgbClr val="0070C0"/>
              </a:solidFill>
              <a:round/>
            </a:ln>
            <a:effectLst/>
          </c:spPr>
          <c:marker>
            <c:symbol val="circle"/>
            <c:size val="4"/>
            <c:spPr>
              <a:solidFill>
                <a:schemeClr val="accent1"/>
              </a:solidFill>
              <a:ln w="9525">
                <a:solidFill>
                  <a:schemeClr val="accent1"/>
                </a:solidFill>
              </a:ln>
              <a:effectLst/>
            </c:spPr>
          </c:marker>
          <c:dLbls>
            <c:spPr>
              <a:noFill/>
              <a:ln w="25400">
                <a:noFill/>
              </a:ln>
            </c:spPr>
            <c:txPr>
              <a:bodyPr/>
              <a:lstStyle/>
              <a:p>
                <a:pPr>
                  <a:defRPr sz="600" b="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0.0</c:formatCode>
                <c:ptCount val="12"/>
                <c:pt idx="0">
                  <c:v>35.091819354748935</c:v>
                </c:pt>
                <c:pt idx="1">
                  <c:v>27.653080803556108</c:v>
                </c:pt>
                <c:pt idx="2">
                  <c:v>17.301996970036171</c:v>
                </c:pt>
                <c:pt idx="3">
                  <c:v>14.876793797787926</c:v>
                </c:pt>
                <c:pt idx="4">
                  <c:v>17.455193484284592</c:v>
                </c:pt>
                <c:pt idx="5">
                  <c:v>26.441789955397809</c:v>
                </c:pt>
                <c:pt idx="6">
                  <c:v>32.857654518114657</c:v>
                </c:pt>
                <c:pt idx="7">
                  <c:v>40.986589005963168</c:v>
                </c:pt>
                <c:pt idx="8">
                  <c:v>50.819247386001905</c:v>
                </c:pt>
                <c:pt idx="9">
                  <c:v>57.663966878101093</c:v>
                </c:pt>
                <c:pt idx="10">
                  <c:v>60.750278358175905</c:v>
                </c:pt>
                <c:pt idx="11">
                  <c:v>60.244396849359418</c:v>
                </c:pt>
              </c:numCache>
            </c:numRef>
          </c:val>
          <c:smooth val="0"/>
          <c:extLst>
            <c:ext xmlns:c16="http://schemas.microsoft.com/office/drawing/2014/chart" uri="{C3380CC4-5D6E-409C-BE32-E72D297353CC}">
              <c16:uniqueId val="{00000000-E620-4849-91D9-5521DA7EBD14}"/>
            </c:ext>
          </c:extLst>
        </c:ser>
        <c:ser>
          <c:idx val="1"/>
          <c:order val="1"/>
          <c:tx>
            <c:strRef>
              <c:f>Sheet1!$A$3</c:f>
              <c:strCache>
                <c:ptCount val="1"/>
                <c:pt idx="0">
                  <c:v>Գնային փոփոխություն (կուտակային)</c:v>
                </c:pt>
              </c:strCache>
            </c:strRef>
          </c:tx>
          <c:spPr>
            <a:ln>
              <a:solidFill>
                <a:srgbClr val="F79646"/>
              </a:solidFill>
            </a:ln>
          </c:spPr>
          <c:marker>
            <c:spPr>
              <a:solidFill>
                <a:srgbClr val="F79646"/>
              </a:solidFill>
              <a:ln>
                <a:solidFill>
                  <a:srgbClr val="F79646"/>
                </a:solidFill>
              </a:ln>
            </c:spPr>
          </c:marker>
          <c:dLbls>
            <c:spPr>
              <a:noFill/>
              <a:ln w="25400">
                <a:noFill/>
              </a:ln>
            </c:spPr>
            <c:txPr>
              <a:bodyPr wrap="square" lIns="38100" tIns="19050" rIns="38100" bIns="19050" anchor="ctr">
                <a:spAutoFit/>
              </a:bodyPr>
              <a:lstStyle/>
              <a:p>
                <a:pPr>
                  <a:defRPr sz="6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Sheet1!$B$3:$M$3</c:f>
              <c:numCache>
                <c:formatCode>0.0</c:formatCode>
                <c:ptCount val="12"/>
                <c:pt idx="0">
                  <c:v>4.0250334732673281</c:v>
                </c:pt>
                <c:pt idx="1">
                  <c:v>1.1517095549392451</c:v>
                </c:pt>
                <c:pt idx="2">
                  <c:v>0.53919419646892663</c:v>
                </c:pt>
                <c:pt idx="3">
                  <c:v>0.54572221588222192</c:v>
                </c:pt>
                <c:pt idx="4">
                  <c:v>-1.0278845643479997</c:v>
                </c:pt>
                <c:pt idx="5">
                  <c:v>-3.1396249741301006</c:v>
                </c:pt>
                <c:pt idx="6">
                  <c:v>-3.5684538623636826</c:v>
                </c:pt>
                <c:pt idx="7">
                  <c:v>-4.2659437184639728</c:v>
                </c:pt>
                <c:pt idx="8">
                  <c:v>-4.4230885213089124</c:v>
                </c:pt>
                <c:pt idx="9">
                  <c:v>-4.3056083856592977</c:v>
                </c:pt>
                <c:pt idx="10">
                  <c:v>-4.6465396348415595</c:v>
                </c:pt>
                <c:pt idx="11">
                  <c:v>-4.0866043163378976</c:v>
                </c:pt>
              </c:numCache>
            </c:numRef>
          </c:val>
          <c:smooth val="0"/>
          <c:extLst>
            <c:ext xmlns:c16="http://schemas.microsoft.com/office/drawing/2014/chart" uri="{C3380CC4-5D6E-409C-BE32-E72D297353CC}">
              <c16:uniqueId val="{00000001-E620-4849-91D9-5521DA7EBD14}"/>
            </c:ext>
          </c:extLst>
        </c:ser>
        <c:ser>
          <c:idx val="2"/>
          <c:order val="2"/>
          <c:tx>
            <c:strRef>
              <c:f>Sheet1!$A$4</c:f>
              <c:strCache>
                <c:ptCount val="1"/>
                <c:pt idx="0">
                  <c:v>Փոխարժեքի փոփոխություն (կուտակային)</c:v>
                </c:pt>
              </c:strCache>
            </c:strRef>
          </c:tx>
          <c:dLbls>
            <c:spPr>
              <a:noFill/>
              <a:ln w="25400">
                <a:noFill/>
              </a:ln>
            </c:spPr>
            <c:txPr>
              <a:bodyPr wrap="square" lIns="38100" tIns="19050" rIns="38100" bIns="19050" anchor="ctr">
                <a:spAutoFit/>
              </a:bodyPr>
              <a:lstStyle/>
              <a:p>
                <a:pPr>
                  <a:defRPr sz="6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Sheet1!$B$4:$M$4</c:f>
              <c:numCache>
                <c:formatCode>0.0</c:formatCode>
                <c:ptCount val="12"/>
                <c:pt idx="0">
                  <c:v>8.1350235482064051</c:v>
                </c:pt>
                <c:pt idx="1">
                  <c:v>8.5748729513733792</c:v>
                </c:pt>
                <c:pt idx="2">
                  <c:v>7.7590992262830554</c:v>
                </c:pt>
                <c:pt idx="3">
                  <c:v>8.6960801583271916</c:v>
                </c:pt>
                <c:pt idx="4">
                  <c:v>9.7481061875712101</c:v>
                </c:pt>
                <c:pt idx="5">
                  <c:v>11.499211578231709</c:v>
                </c:pt>
                <c:pt idx="6">
                  <c:v>12.510712821850404</c:v>
                </c:pt>
                <c:pt idx="7">
                  <c:v>13.481919038991322</c:v>
                </c:pt>
                <c:pt idx="8">
                  <c:v>14.071924546630484</c:v>
                </c:pt>
                <c:pt idx="9">
                  <c:v>14.519149089581717</c:v>
                </c:pt>
                <c:pt idx="10">
                  <c:v>15.033775046809183</c:v>
                </c:pt>
                <c:pt idx="11">
                  <c:v>15.63220281599618</c:v>
                </c:pt>
              </c:numCache>
            </c:numRef>
          </c:val>
          <c:smooth val="0"/>
          <c:extLst>
            <c:ext xmlns:c16="http://schemas.microsoft.com/office/drawing/2014/chart" uri="{C3380CC4-5D6E-409C-BE32-E72D297353CC}">
              <c16:uniqueId val="{00000002-E620-4849-91D9-5521DA7EBD14}"/>
            </c:ext>
          </c:extLst>
        </c:ser>
        <c:dLbls>
          <c:showLegendKey val="0"/>
          <c:showVal val="0"/>
          <c:showCatName val="0"/>
          <c:showSerName val="0"/>
          <c:showPercent val="0"/>
          <c:showBubbleSize val="0"/>
        </c:dLbls>
        <c:marker val="1"/>
        <c:smooth val="0"/>
        <c:axId val="216487528"/>
        <c:axId val="1"/>
      </c:lineChart>
      <c:catAx>
        <c:axId val="216487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ax val="70"/>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6487528"/>
        <c:crosses val="autoZero"/>
        <c:crossBetween val="between"/>
        <c:majorUnit val="20"/>
      </c:valAx>
      <c:spPr>
        <a:solidFill>
          <a:sysClr val="window" lastClr="FFFFFF"/>
        </a:solidFill>
        <a:ln>
          <a:noFill/>
        </a:ln>
        <a:effectLst/>
      </c:spPr>
    </c:plotArea>
    <c:legend>
      <c:legendPos val="r"/>
      <c:layout>
        <c:manualLayout>
          <c:xMode val="edge"/>
          <c:yMode val="edge"/>
          <c:x val="0"/>
          <c:y val="0.80888888888888888"/>
          <c:w val="1"/>
          <c:h val="0.18666666666666668"/>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lgn="just">
        <a:defRPr sz="800">
          <a:latin typeface="GHEA Grapalat" panose="02000506050000020003" pitchFamily="50" charset="0"/>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28633547672212"/>
          <c:y val="3.5226779206556008E-2"/>
          <c:w val="0.85358700104683449"/>
          <c:h val="0.67050869614060893"/>
        </c:manualLayout>
      </c:layout>
      <c:lineChart>
        <c:grouping val="standard"/>
        <c:varyColors val="0"/>
        <c:ser>
          <c:idx val="0"/>
          <c:order val="0"/>
          <c:tx>
            <c:strRef>
              <c:f>Sheet1!$A$2</c:f>
              <c:strCache>
                <c:ptCount val="1"/>
                <c:pt idx="0">
                  <c:v>12 ամսյա փոփոխություն, % </c:v>
                </c:pt>
              </c:strCache>
            </c:strRef>
          </c:tx>
          <c:spPr>
            <a:ln w="28290" cap="rnd">
              <a:solidFill>
                <a:srgbClr val="0070C0"/>
              </a:solidFill>
              <a:round/>
            </a:ln>
            <a:effectLst/>
          </c:spPr>
          <c:marker>
            <c:symbol val="circle"/>
            <c:size val="4"/>
            <c:spPr>
              <a:solidFill>
                <a:schemeClr val="accent1"/>
              </a:solidFill>
              <a:ln w="9430">
                <a:solidFill>
                  <a:schemeClr val="accent1"/>
                </a:solidFill>
              </a:ln>
              <a:effectLst/>
            </c:spPr>
          </c:marker>
          <c:dLbls>
            <c:dLbl>
              <c:idx val="1"/>
              <c:layout>
                <c:manualLayout>
                  <c:x val="-6.652975014049467E-2"/>
                  <c:y val="5.1738104721345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EF-4030-BA96-63359134D4D2}"/>
                </c:ext>
              </c:extLst>
            </c:dLbl>
            <c:dLbl>
              <c:idx val="2"/>
              <c:layout>
                <c:manualLayout>
                  <c:x val="-6.5757818765036127E-2"/>
                  <c:y val="5.17381047213456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EF-4030-BA96-63359134D4D2}"/>
                </c:ext>
              </c:extLst>
            </c:dLbl>
            <c:dLbl>
              <c:idx val="3"/>
              <c:layout>
                <c:manualLayout>
                  <c:x val="-4.6110665597433841E-2"/>
                  <c:y val="4.6550037276468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EF-4030-BA96-63359134D4D2}"/>
                </c:ext>
              </c:extLst>
            </c:dLbl>
            <c:spPr>
              <a:noFill/>
              <a:ln w="25146">
                <a:noFill/>
              </a:ln>
            </c:spPr>
            <c:txPr>
              <a:bodyPr wrap="square" lIns="38100" tIns="19050" rIns="38100" bIns="19050" anchor="ctr">
                <a:spAutoFit/>
              </a:bodyPr>
              <a:lstStyle/>
              <a:p>
                <a:pPr>
                  <a:defRPr sz="594"/>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0.0</c:formatCode>
                <c:ptCount val="12"/>
                <c:pt idx="0">
                  <c:v>67.045523177243467</c:v>
                </c:pt>
                <c:pt idx="1">
                  <c:v>54.608365445131454</c:v>
                </c:pt>
                <c:pt idx="2">
                  <c:v>22.563621208648257</c:v>
                </c:pt>
                <c:pt idx="3">
                  <c:v>24.008923639273235</c:v>
                </c:pt>
                <c:pt idx="4">
                  <c:v>54.793519523117112</c:v>
                </c:pt>
                <c:pt idx="5">
                  <c:v>71.121348555144493</c:v>
                </c:pt>
                <c:pt idx="6">
                  <c:v>61.799546367625823</c:v>
                </c:pt>
                <c:pt idx="7">
                  <c:v>106.37965539338333</c:v>
                </c:pt>
                <c:pt idx="8">
                  <c:v>82.939138128658328</c:v>
                </c:pt>
                <c:pt idx="9">
                  <c:v>75.828992543126162</c:v>
                </c:pt>
                <c:pt idx="10">
                  <c:v>66.426625431492454</c:v>
                </c:pt>
                <c:pt idx="11">
                  <c:v>60.154180081870265</c:v>
                </c:pt>
              </c:numCache>
            </c:numRef>
          </c:val>
          <c:smooth val="0"/>
          <c:extLst>
            <c:ext xmlns:c16="http://schemas.microsoft.com/office/drawing/2014/chart" uri="{C3380CC4-5D6E-409C-BE32-E72D297353CC}">
              <c16:uniqueId val="{00000003-F0EF-4030-BA96-63359134D4D2}"/>
            </c:ext>
          </c:extLst>
        </c:ser>
        <c:ser>
          <c:idx val="1"/>
          <c:order val="1"/>
          <c:tx>
            <c:strRef>
              <c:f>Sheet1!$A$3</c:f>
              <c:strCache>
                <c:ptCount val="1"/>
                <c:pt idx="0">
                  <c:v>Կուտակային փոփոխություն, %</c:v>
                </c:pt>
              </c:strCache>
            </c:strRef>
          </c:tx>
          <c:spPr>
            <a:ln>
              <a:solidFill>
                <a:srgbClr val="F79646"/>
              </a:solidFill>
            </a:ln>
          </c:spPr>
          <c:marker>
            <c:spPr>
              <a:solidFill>
                <a:srgbClr val="F79646"/>
              </a:solidFill>
              <a:ln>
                <a:solidFill>
                  <a:srgbClr val="F79646"/>
                </a:solidFill>
              </a:ln>
            </c:spPr>
          </c:marker>
          <c:dLbls>
            <c:dLbl>
              <c:idx val="1"/>
              <c:layout>
                <c:manualLayout>
                  <c:x val="-3.921411387329591E-2"/>
                  <c:y val="-6.4707864824290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EF-4030-BA96-63359134D4D2}"/>
                </c:ext>
              </c:extLst>
            </c:dLbl>
            <c:dLbl>
              <c:idx val="2"/>
              <c:layout>
                <c:manualLayout>
                  <c:x val="-4.8125580132475455E-2"/>
                  <c:y val="-6.470786482428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EF-4030-BA96-63359134D4D2}"/>
                </c:ext>
              </c:extLst>
            </c:dLbl>
            <c:dLbl>
              <c:idx val="3"/>
              <c:layout>
                <c:manualLayout>
                  <c:x val="-5.3287890938251807E-2"/>
                  <c:y val="-4.9143662489659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0EF-4030-BA96-63359134D4D2}"/>
                </c:ext>
              </c:extLst>
            </c:dLbl>
            <c:spPr>
              <a:noFill/>
              <a:ln w="25146">
                <a:noFill/>
              </a:ln>
            </c:spPr>
            <c:txPr>
              <a:bodyPr wrap="square" lIns="38100" tIns="19050" rIns="38100" bIns="19050" anchor="ctr">
                <a:spAutoFit/>
              </a:bodyPr>
              <a:lstStyle/>
              <a:p>
                <a:pPr>
                  <a:defRPr sz="594"/>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Sheet1!$B$3:$M$3</c:f>
              <c:numCache>
                <c:formatCode>0.0</c:formatCode>
                <c:ptCount val="12"/>
                <c:pt idx="0">
                  <c:v>67.045523177243467</c:v>
                </c:pt>
                <c:pt idx="1">
                  <c:v>60.080544946877041</c:v>
                </c:pt>
                <c:pt idx="2">
                  <c:v>45.450393501322594</c:v>
                </c:pt>
                <c:pt idx="3">
                  <c:v>38.88373043833144</c:v>
                </c:pt>
                <c:pt idx="4">
                  <c:v>42.682287863514858</c:v>
                </c:pt>
                <c:pt idx="5">
                  <c:v>48.135675794029339</c:v>
                </c:pt>
                <c:pt idx="6">
                  <c:v>50.523859035984032</c:v>
                </c:pt>
                <c:pt idx="7">
                  <c:v>58.319445044789603</c:v>
                </c:pt>
                <c:pt idx="8">
                  <c:v>61.680154452899842</c:v>
                </c:pt>
                <c:pt idx="9">
                  <c:v>63.546488704634896</c:v>
                </c:pt>
                <c:pt idx="10">
                  <c:v>63.910927505244103</c:v>
                </c:pt>
                <c:pt idx="11">
                  <c:v>63.468133821518478</c:v>
                </c:pt>
              </c:numCache>
            </c:numRef>
          </c:val>
          <c:smooth val="0"/>
          <c:extLst>
            <c:ext xmlns:c16="http://schemas.microsoft.com/office/drawing/2014/chart" uri="{C3380CC4-5D6E-409C-BE32-E72D297353CC}">
              <c16:uniqueId val="{00000007-F0EF-4030-BA96-63359134D4D2}"/>
            </c:ext>
          </c:extLst>
        </c:ser>
        <c:dLbls>
          <c:showLegendKey val="0"/>
          <c:showVal val="0"/>
          <c:showCatName val="0"/>
          <c:showSerName val="0"/>
          <c:showPercent val="0"/>
          <c:showBubbleSize val="0"/>
        </c:dLbls>
        <c:marker val="1"/>
        <c:smooth val="0"/>
        <c:axId val="215533568"/>
        <c:axId val="1"/>
      </c:lineChart>
      <c:catAx>
        <c:axId val="215533568"/>
        <c:scaling>
          <c:orientation val="minMax"/>
        </c:scaling>
        <c:delete val="0"/>
        <c:axPos val="b"/>
        <c:numFmt formatCode="General" sourceLinked="1"/>
        <c:majorTickMark val="none"/>
        <c:minorTickMark val="none"/>
        <c:tickLblPos val="low"/>
        <c:spPr>
          <a:noFill/>
          <a:ln w="9430" cap="flat" cmpd="sng" algn="ctr">
            <a:solidFill>
              <a:schemeClr val="tx1">
                <a:lumMod val="15000"/>
                <a:lumOff val="85000"/>
              </a:schemeClr>
            </a:solidFill>
            <a:round/>
          </a:ln>
          <a:effectLst/>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in val="-30"/>
        </c:scaling>
        <c:delete val="0"/>
        <c:axPos val="l"/>
        <c:majorGridlines>
          <c:spPr>
            <a:ln w="9430" cap="flat" cmpd="sng" algn="ctr">
              <a:solidFill>
                <a:schemeClr val="tx1">
                  <a:lumMod val="15000"/>
                  <a:lumOff val="85000"/>
                </a:schemeClr>
              </a:solidFill>
              <a:round/>
            </a:ln>
            <a:effectLst/>
          </c:spPr>
        </c:majorGridlines>
        <c:numFmt formatCode="0.0" sourceLinked="1"/>
        <c:majorTickMark val="none"/>
        <c:minorTickMark val="none"/>
        <c:tickLblPos val="nextTo"/>
        <c:spPr>
          <a:ln w="6287">
            <a:noFill/>
          </a:ln>
        </c:spPr>
        <c:txPr>
          <a:bodyPr rot="-60000000" spcFirstLastPara="1" vertOverflow="ellipsis" vert="horz" wrap="square" anchor="ctr" anchorCtr="1"/>
          <a:lstStyle/>
          <a:p>
            <a:pPr>
              <a:defRPr sz="79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5533568"/>
        <c:crosses val="autoZero"/>
        <c:crossBetween val="between"/>
        <c:majorUnit val="20"/>
      </c:valAx>
      <c:spPr>
        <a:solidFill>
          <a:sysClr val="window" lastClr="FFFFFF"/>
        </a:solidFill>
        <a:ln>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effectLst/>
      </c:spPr>
    </c:plotArea>
    <c:legend>
      <c:legendPos val="b"/>
      <c:layout>
        <c:manualLayout>
          <c:xMode val="edge"/>
          <c:yMode val="edge"/>
          <c:x val="1.7440822993101093E-2"/>
          <c:y val="0.83122785765139684"/>
          <c:w val="0.97802166370070609"/>
          <c:h val="0.15056180730445134"/>
        </c:manualLayout>
      </c:layout>
      <c:overlay val="0"/>
      <c:spPr>
        <a:noFill/>
        <a:ln w="25146">
          <a:noFill/>
        </a:ln>
      </c:spPr>
      <c:txPr>
        <a:bodyPr rot="0" spcFirstLastPara="1" vertOverflow="ellipsis" vert="horz" wrap="square" anchor="ctr" anchorCtr="1"/>
        <a:lstStyle/>
        <a:p>
          <a:pPr>
            <a:defRPr sz="891">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430" cap="flat" cmpd="sng" algn="ctr">
      <a:solidFill>
        <a:sysClr val="window" lastClr="FFFFFF">
          <a:lumMod val="85000"/>
        </a:sysClr>
      </a:solidFill>
      <a:round/>
    </a:ln>
    <a:effectLst/>
  </c:spPr>
  <c:txPr>
    <a:bodyPr/>
    <a:lstStyle/>
    <a:p>
      <a:pPr>
        <a:defRPr sz="792">
          <a:latin typeface="GHEA Grapalat" panose="02000506050000020003" pitchFamily="50"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39554902904017"/>
          <c:y val="3.7666528526039522E-2"/>
          <c:w val="0.85198401144390712"/>
          <c:h val="0.64598915407947544"/>
        </c:manualLayout>
      </c:layout>
      <c:lineChart>
        <c:grouping val="standard"/>
        <c:varyColors val="0"/>
        <c:ser>
          <c:idx val="0"/>
          <c:order val="0"/>
          <c:tx>
            <c:strRef>
              <c:f>Sheet1!$A$2</c:f>
              <c:strCache>
                <c:ptCount val="1"/>
                <c:pt idx="0">
                  <c:v>Իրական փոփոխությունը (կուտակային)</c:v>
                </c:pt>
              </c:strCache>
            </c:strRef>
          </c:tx>
          <c:spPr>
            <a:ln w="28290" cap="rnd">
              <a:solidFill>
                <a:srgbClr val="0070C0"/>
              </a:solidFill>
              <a:round/>
            </a:ln>
            <a:effectLst/>
          </c:spPr>
          <c:marker>
            <c:symbol val="circle"/>
            <c:size val="4"/>
            <c:spPr>
              <a:solidFill>
                <a:schemeClr val="accent1"/>
              </a:solidFill>
              <a:ln w="9430">
                <a:solidFill>
                  <a:schemeClr val="accent1"/>
                </a:solidFill>
              </a:ln>
              <a:effectLst/>
            </c:spPr>
          </c:marker>
          <c:dLbls>
            <c:spPr>
              <a:noFill/>
              <a:ln w="25146">
                <a:noFill/>
              </a:ln>
            </c:spPr>
            <c:txPr>
              <a:bodyPr/>
              <a:lstStyle/>
              <a:p>
                <a:pPr>
                  <a:defRPr sz="594" b="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Sheet1!$B$2:$M$2</c:f>
              <c:numCache>
                <c:formatCode>0.0</c:formatCode>
                <c:ptCount val="12"/>
                <c:pt idx="0">
                  <c:v>38.313609090228624</c:v>
                </c:pt>
                <c:pt idx="1">
                  <c:v>36.301348830063375</c:v>
                </c:pt>
                <c:pt idx="2">
                  <c:v>24.067425530835976</c:v>
                </c:pt>
                <c:pt idx="3">
                  <c:v>16.418487910245517</c:v>
                </c:pt>
                <c:pt idx="4">
                  <c:v>18.921380837289504</c:v>
                </c:pt>
                <c:pt idx="5">
                  <c:v>22.211858518354987</c:v>
                </c:pt>
                <c:pt idx="6">
                  <c:v>23.190231911886599</c:v>
                </c:pt>
                <c:pt idx="7">
                  <c:v>29.322454363805662</c:v>
                </c:pt>
                <c:pt idx="8">
                  <c:v>32.737992462346426</c:v>
                </c:pt>
                <c:pt idx="9">
                  <c:v>34.27586941946123</c:v>
                </c:pt>
                <c:pt idx="10">
                  <c:v>34.694390697414576</c:v>
                </c:pt>
                <c:pt idx="11">
                  <c:v>34.884516310543745</c:v>
                </c:pt>
              </c:numCache>
            </c:numRef>
          </c:val>
          <c:smooth val="0"/>
          <c:extLst>
            <c:ext xmlns:c16="http://schemas.microsoft.com/office/drawing/2014/chart" uri="{C3380CC4-5D6E-409C-BE32-E72D297353CC}">
              <c16:uniqueId val="{00000000-5566-4DAB-BD9E-F2CBE3955041}"/>
            </c:ext>
          </c:extLst>
        </c:ser>
        <c:ser>
          <c:idx val="1"/>
          <c:order val="1"/>
          <c:tx>
            <c:strRef>
              <c:f>Sheet1!$A$3</c:f>
              <c:strCache>
                <c:ptCount val="1"/>
                <c:pt idx="0">
                  <c:v>Գնային փոփոխություն (կուտակային)</c:v>
                </c:pt>
              </c:strCache>
            </c:strRef>
          </c:tx>
          <c:spPr>
            <a:ln>
              <a:solidFill>
                <a:srgbClr val="F79646"/>
              </a:solidFill>
            </a:ln>
          </c:spPr>
          <c:marker>
            <c:spPr>
              <a:solidFill>
                <a:srgbClr val="F79646"/>
              </a:solidFill>
              <a:ln>
                <a:solidFill>
                  <a:srgbClr val="F79646"/>
                </a:solidFill>
              </a:ln>
            </c:spPr>
          </c:marker>
          <c:dLbls>
            <c:spPr>
              <a:noFill/>
              <a:ln w="25146">
                <a:noFill/>
              </a:ln>
            </c:spPr>
            <c:txPr>
              <a:bodyPr wrap="square" lIns="38100" tIns="19050" rIns="38100" bIns="19050" anchor="ctr">
                <a:spAutoFit/>
              </a:bodyPr>
              <a:lstStyle/>
              <a:p>
                <a:pPr>
                  <a:defRPr sz="594"/>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Sheet1!$B$3:$M$3</c:f>
              <c:numCache>
                <c:formatCode>0.0</c:formatCode>
                <c:ptCount val="12"/>
                <c:pt idx="0">
                  <c:v>11.687237244764503</c:v>
                </c:pt>
                <c:pt idx="1">
                  <c:v>8.1705581427855236</c:v>
                </c:pt>
                <c:pt idx="2">
                  <c:v>8.7935573592658898</c:v>
                </c:pt>
                <c:pt idx="3">
                  <c:v>9.7527817085070154</c:v>
                </c:pt>
                <c:pt idx="4">
                  <c:v>9.3233890327498017</c:v>
                </c:pt>
                <c:pt idx="5">
                  <c:v>8.7112571494293007</c:v>
                </c:pt>
                <c:pt idx="6">
                  <c:v>8.6013427582964965</c:v>
                </c:pt>
                <c:pt idx="7">
                  <c:v>7.8781895119541048</c:v>
                </c:pt>
                <c:pt idx="8">
                  <c:v>6.7782260789557256</c:v>
                </c:pt>
                <c:pt idx="9">
                  <c:v>6.3567698376326263</c:v>
                </c:pt>
                <c:pt idx="10">
                  <c:v>5.7871764354899682</c:v>
                </c:pt>
                <c:pt idx="11">
                  <c:v>4.8074625634145036</c:v>
                </c:pt>
              </c:numCache>
            </c:numRef>
          </c:val>
          <c:smooth val="0"/>
          <c:extLst>
            <c:ext xmlns:c16="http://schemas.microsoft.com/office/drawing/2014/chart" uri="{C3380CC4-5D6E-409C-BE32-E72D297353CC}">
              <c16:uniqueId val="{00000001-5566-4DAB-BD9E-F2CBE3955041}"/>
            </c:ext>
          </c:extLst>
        </c:ser>
        <c:ser>
          <c:idx val="2"/>
          <c:order val="2"/>
          <c:tx>
            <c:strRef>
              <c:f>Sheet1!$A$4</c:f>
              <c:strCache>
                <c:ptCount val="1"/>
                <c:pt idx="0">
                  <c:v>Փոխարժեքի փոփոխություն (կուտակային)</c:v>
                </c:pt>
              </c:strCache>
            </c:strRef>
          </c:tx>
          <c:dLbls>
            <c:spPr>
              <a:noFill/>
              <a:ln w="25146">
                <a:noFill/>
              </a:ln>
            </c:spPr>
            <c:txPr>
              <a:bodyPr wrap="square" lIns="38100" tIns="19050" rIns="38100" bIns="19050" anchor="ctr">
                <a:spAutoFit/>
              </a:bodyPr>
              <a:lstStyle/>
              <a:p>
                <a:pPr>
                  <a:defRPr sz="594"/>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Sheet1!$B$4:$M$4</c:f>
              <c:numCache>
                <c:formatCode>0.0</c:formatCode>
                <c:ptCount val="12"/>
                <c:pt idx="0">
                  <c:v>8.1350235482064051</c:v>
                </c:pt>
                <c:pt idx="1">
                  <c:v>8.5748729513733792</c:v>
                </c:pt>
                <c:pt idx="2">
                  <c:v>7.7590992262830554</c:v>
                </c:pt>
                <c:pt idx="3">
                  <c:v>8.6960801583271916</c:v>
                </c:pt>
                <c:pt idx="4">
                  <c:v>9.7481061875712101</c:v>
                </c:pt>
                <c:pt idx="5">
                  <c:v>11.499211578231709</c:v>
                </c:pt>
                <c:pt idx="6">
                  <c:v>12.510712821850404</c:v>
                </c:pt>
                <c:pt idx="7">
                  <c:v>13.481919038991322</c:v>
                </c:pt>
                <c:pt idx="8">
                  <c:v>14.071924546630484</c:v>
                </c:pt>
                <c:pt idx="9">
                  <c:v>14.519149089581717</c:v>
                </c:pt>
                <c:pt idx="10">
                  <c:v>15.033775046809183</c:v>
                </c:pt>
                <c:pt idx="11">
                  <c:v>15.63220281599618</c:v>
                </c:pt>
              </c:numCache>
            </c:numRef>
          </c:val>
          <c:smooth val="0"/>
          <c:extLst>
            <c:ext xmlns:c16="http://schemas.microsoft.com/office/drawing/2014/chart" uri="{C3380CC4-5D6E-409C-BE32-E72D297353CC}">
              <c16:uniqueId val="{00000002-5566-4DAB-BD9E-F2CBE3955041}"/>
            </c:ext>
          </c:extLst>
        </c:ser>
        <c:dLbls>
          <c:showLegendKey val="0"/>
          <c:showVal val="0"/>
          <c:showCatName val="0"/>
          <c:showSerName val="0"/>
          <c:showPercent val="0"/>
          <c:showBubbleSize val="0"/>
        </c:dLbls>
        <c:marker val="1"/>
        <c:smooth val="0"/>
        <c:axId val="215010728"/>
        <c:axId val="1"/>
      </c:lineChart>
      <c:catAx>
        <c:axId val="215010728"/>
        <c:scaling>
          <c:orientation val="minMax"/>
        </c:scaling>
        <c:delete val="0"/>
        <c:axPos val="b"/>
        <c:numFmt formatCode="General" sourceLinked="1"/>
        <c:majorTickMark val="none"/>
        <c:minorTickMark val="none"/>
        <c:tickLblPos val="low"/>
        <c:spPr>
          <a:noFill/>
          <a:ln w="9430" cap="flat" cmpd="sng" algn="ctr">
            <a:solidFill>
              <a:schemeClr val="tx1">
                <a:lumMod val="15000"/>
                <a:lumOff val="85000"/>
              </a:schemeClr>
            </a:solidFill>
            <a:round/>
          </a:ln>
          <a:effectLst/>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ax val="70"/>
          <c:min val="-10"/>
        </c:scaling>
        <c:delete val="0"/>
        <c:axPos val="l"/>
        <c:majorGridlines>
          <c:spPr>
            <a:ln w="9430" cap="flat" cmpd="sng" algn="ctr">
              <a:solidFill>
                <a:schemeClr val="tx1">
                  <a:lumMod val="15000"/>
                  <a:lumOff val="85000"/>
                </a:schemeClr>
              </a:solidFill>
              <a:round/>
            </a:ln>
            <a:effectLst/>
          </c:spPr>
        </c:majorGridlines>
        <c:numFmt formatCode="0.0" sourceLinked="1"/>
        <c:majorTickMark val="none"/>
        <c:minorTickMark val="none"/>
        <c:tickLblPos val="nextTo"/>
        <c:spPr>
          <a:ln w="6287">
            <a:noFill/>
          </a:ln>
        </c:spPr>
        <c:txPr>
          <a:bodyPr rot="-60000000" spcFirstLastPara="1" vertOverflow="ellipsis" vert="horz" wrap="square" anchor="ctr" anchorCtr="1"/>
          <a:lstStyle/>
          <a:p>
            <a:pPr>
              <a:defRPr sz="79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5010728"/>
        <c:crosses val="autoZero"/>
        <c:crossBetween val="between"/>
        <c:majorUnit val="20"/>
      </c:valAx>
      <c:spPr>
        <a:solidFill>
          <a:sysClr val="window" lastClr="FFFFFF"/>
        </a:solidFill>
        <a:ln>
          <a:noFill/>
        </a:ln>
        <a:effectLst/>
      </c:spPr>
    </c:plotArea>
    <c:legend>
      <c:legendPos val="b"/>
      <c:layout>
        <c:manualLayout>
          <c:xMode val="edge"/>
          <c:yMode val="edge"/>
          <c:x val="0"/>
          <c:y val="0.82420308797432706"/>
          <c:w val="1"/>
          <c:h val="0.17579691202567294"/>
        </c:manualLayout>
      </c:layout>
      <c:overlay val="0"/>
      <c:spPr>
        <a:noFill/>
        <a:ln w="25146">
          <a:noFill/>
        </a:ln>
      </c:spPr>
      <c:txPr>
        <a:bodyPr rot="0" spcFirstLastPara="1" vertOverflow="ellipsis" vert="horz" wrap="square" anchor="ctr" anchorCtr="1"/>
        <a:lstStyle/>
        <a:p>
          <a:pPr>
            <a:defRPr sz="79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430" cap="flat" cmpd="sng" algn="ctr">
      <a:solidFill>
        <a:sysClr val="window" lastClr="FFFFFF">
          <a:lumMod val="85000"/>
        </a:sysClr>
      </a:solidFill>
      <a:round/>
    </a:ln>
    <a:effectLst/>
  </c:spPr>
  <c:txPr>
    <a:bodyPr/>
    <a:lstStyle/>
    <a:p>
      <a:pPr>
        <a:defRPr sz="792">
          <a:latin typeface="GHEA Grapalat" panose="02000506050000020003" pitchFamily="50"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100"/>
              <a:t>Դրամավարկային քաղաքականության տոկոսադրույքները</a:t>
            </a:r>
            <a:r>
              <a:rPr lang="en-US" sz="1100"/>
              <a:t> </a:t>
            </a:r>
          </a:p>
        </c:rich>
      </c:tx>
      <c:layout>
        <c:manualLayout>
          <c:xMode val="edge"/>
          <c:yMode val="edge"/>
          <c:x val="9.3320111738006487E-2"/>
          <c:y val="5.8806130810669273E-3"/>
        </c:manualLayout>
      </c:layout>
      <c:overlay val="0"/>
      <c:spPr>
        <a:noFill/>
        <a:ln w="25400">
          <a:noFill/>
        </a:ln>
      </c:spPr>
    </c:title>
    <c:autoTitleDeleted val="0"/>
    <c:plotArea>
      <c:layout>
        <c:manualLayout>
          <c:layoutTarget val="inner"/>
          <c:xMode val="edge"/>
          <c:yMode val="edge"/>
          <c:x val="0.13463023609700689"/>
          <c:y val="0.20867183575002257"/>
          <c:w val="0.8222494189402334"/>
          <c:h val="0.49063522308167817"/>
        </c:manualLayout>
      </c:layout>
      <c:lineChart>
        <c:grouping val="standard"/>
        <c:varyColors val="0"/>
        <c:ser>
          <c:idx val="0"/>
          <c:order val="0"/>
          <c:tx>
            <c:strRef>
              <c:f>Sheet1!$B$1</c:f>
              <c:strCache>
                <c:ptCount val="1"/>
                <c:pt idx="0">
                  <c:v>ԱՄՆ</c:v>
                </c:pt>
              </c:strCache>
            </c:strRef>
          </c:tx>
          <c:spPr>
            <a:ln w="28575" cap="rnd">
              <a:solidFill>
                <a:schemeClr val="tx2"/>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Sheet1!$B$2:$B$61</c:f>
              <c:numCache>
                <c:formatCode>0.0</c:formatCode>
                <c:ptCount val="60"/>
                <c:pt idx="0">
                  <c:v>1.42</c:v>
                </c:pt>
                <c:pt idx="1">
                  <c:v>1.42</c:v>
                </c:pt>
                <c:pt idx="2">
                  <c:v>1.42</c:v>
                </c:pt>
                <c:pt idx="3">
                  <c:v>1.68</c:v>
                </c:pt>
                <c:pt idx="4">
                  <c:v>1.68</c:v>
                </c:pt>
                <c:pt idx="5">
                  <c:v>1.7</c:v>
                </c:pt>
                <c:pt idx="6">
                  <c:v>1.92</c:v>
                </c:pt>
                <c:pt idx="7">
                  <c:v>1.91</c:v>
                </c:pt>
                <c:pt idx="8">
                  <c:v>1.92</c:v>
                </c:pt>
                <c:pt idx="9">
                  <c:v>2.1800000000000002</c:v>
                </c:pt>
                <c:pt idx="10" formatCode="General">
                  <c:v>2.2000000000000002</c:v>
                </c:pt>
                <c:pt idx="11" formatCode="General">
                  <c:v>2.2000000000000002</c:v>
                </c:pt>
                <c:pt idx="12" formatCode="General">
                  <c:v>2.4</c:v>
                </c:pt>
                <c:pt idx="13" formatCode="General">
                  <c:v>2.4</c:v>
                </c:pt>
                <c:pt idx="14" formatCode="General">
                  <c:v>2.4</c:v>
                </c:pt>
                <c:pt idx="15" formatCode="General">
                  <c:v>2.4</c:v>
                </c:pt>
                <c:pt idx="16" formatCode="General">
                  <c:v>2.4</c:v>
                </c:pt>
                <c:pt idx="17" formatCode="General">
                  <c:v>2.4</c:v>
                </c:pt>
                <c:pt idx="18" formatCode="General">
                  <c:v>2.4</c:v>
                </c:pt>
                <c:pt idx="19" formatCode="General">
                  <c:v>2.1</c:v>
                </c:pt>
                <c:pt idx="20" formatCode="General">
                  <c:v>1.9</c:v>
                </c:pt>
                <c:pt idx="21" formatCode="General">
                  <c:v>1.9</c:v>
                </c:pt>
                <c:pt idx="22" formatCode="General">
                  <c:v>1.6</c:v>
                </c:pt>
                <c:pt idx="23" formatCode="General">
                  <c:v>1.6</c:v>
                </c:pt>
                <c:pt idx="24" formatCode="General">
                  <c:v>1.6</c:v>
                </c:pt>
                <c:pt idx="25" formatCode="General">
                  <c:v>1.6</c:v>
                </c:pt>
                <c:pt idx="26" formatCode="General">
                  <c:v>1.1000000000000001</c:v>
                </c:pt>
                <c:pt idx="27" formatCode="General">
                  <c:v>0.1</c:v>
                </c:pt>
                <c:pt idx="28" formatCode="General">
                  <c:v>0.1</c:v>
                </c:pt>
                <c:pt idx="29" formatCode="General">
                  <c:v>0.1</c:v>
                </c:pt>
                <c:pt idx="30" formatCode="General">
                  <c:v>0.1</c:v>
                </c:pt>
                <c:pt idx="31" formatCode="General">
                  <c:v>0.1</c:v>
                </c:pt>
                <c:pt idx="32" formatCode="General">
                  <c:v>0.09</c:v>
                </c:pt>
                <c:pt idx="33" formatCode="General">
                  <c:v>0.09</c:v>
                </c:pt>
                <c:pt idx="34" formatCode="General">
                  <c:v>0.09</c:v>
                </c:pt>
                <c:pt idx="35" formatCode="General">
                  <c:v>0.09</c:v>
                </c:pt>
                <c:pt idx="36" formatCode="General">
                  <c:v>0.09</c:v>
                </c:pt>
                <c:pt idx="37" formatCode="General">
                  <c:v>0.08</c:v>
                </c:pt>
                <c:pt idx="38" formatCode="General">
                  <c:v>7.0000000000000007E-2</c:v>
                </c:pt>
                <c:pt idx="39" formatCode="General">
                  <c:v>7.0000000000000007E-2</c:v>
                </c:pt>
                <c:pt idx="40" formatCode="General">
                  <c:v>0.06</c:v>
                </c:pt>
                <c:pt idx="41" formatCode="General">
                  <c:v>0.06</c:v>
                </c:pt>
                <c:pt idx="42" formatCode="General">
                  <c:v>0.1</c:v>
                </c:pt>
                <c:pt idx="43" formatCode="General">
                  <c:v>0.09</c:v>
                </c:pt>
                <c:pt idx="44" formatCode="General">
                  <c:v>0.08</c:v>
                </c:pt>
                <c:pt idx="45" formatCode="General">
                  <c:v>0.08</c:v>
                </c:pt>
                <c:pt idx="46" formatCode="General">
                  <c:v>0.08</c:v>
                </c:pt>
                <c:pt idx="47" formatCode="General">
                  <c:v>0.08</c:v>
                </c:pt>
                <c:pt idx="48" formatCode="General">
                  <c:v>0.1</c:v>
                </c:pt>
                <c:pt idx="49" formatCode="General">
                  <c:v>0.1</c:v>
                </c:pt>
                <c:pt idx="50" formatCode="General">
                  <c:v>0.2</c:v>
                </c:pt>
                <c:pt idx="51" formatCode="General">
                  <c:v>0.3</c:v>
                </c:pt>
                <c:pt idx="52" formatCode="General">
                  <c:v>0.8</c:v>
                </c:pt>
                <c:pt idx="53" formatCode="General">
                  <c:v>1.2</c:v>
                </c:pt>
                <c:pt idx="54" formatCode="General">
                  <c:v>1.7</c:v>
                </c:pt>
                <c:pt idx="55" formatCode="General">
                  <c:v>2.2999999999999998</c:v>
                </c:pt>
                <c:pt idx="56" formatCode="General">
                  <c:v>2.6</c:v>
                </c:pt>
                <c:pt idx="57" formatCode="General">
                  <c:v>3.1</c:v>
                </c:pt>
                <c:pt idx="58" formatCode="General">
                  <c:v>3.8</c:v>
                </c:pt>
                <c:pt idx="59" formatCode="General">
                  <c:v>4.0999999999999996</c:v>
                </c:pt>
              </c:numCache>
            </c:numRef>
          </c:val>
          <c:smooth val="0"/>
          <c:extLst>
            <c:ext xmlns:c16="http://schemas.microsoft.com/office/drawing/2014/chart" uri="{C3380CC4-5D6E-409C-BE32-E72D297353CC}">
              <c16:uniqueId val="{00000000-21C3-4BF2-B2B7-4C6D22BB54CB}"/>
            </c:ext>
          </c:extLst>
        </c:ser>
        <c:ser>
          <c:idx val="1"/>
          <c:order val="1"/>
          <c:tx>
            <c:strRef>
              <c:f>Sheet1!$C$1</c:f>
              <c:strCache>
                <c:ptCount val="1"/>
                <c:pt idx="0">
                  <c:v>ԵԳ</c:v>
                </c:pt>
              </c:strCache>
            </c:strRef>
          </c:tx>
          <c:spPr>
            <a:ln w="28575" cap="rnd">
              <a:solidFill>
                <a:schemeClr val="accent1"/>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Sheet1!$C$2:$C$61</c:f>
              <c:numCache>
                <c:formatCode>General</c:formatCode>
                <c:ptCount val="6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0.5</c:v>
                </c:pt>
                <c:pt idx="55">
                  <c:v>0.5</c:v>
                </c:pt>
                <c:pt idx="56" formatCode="0.0">
                  <c:v>1.25</c:v>
                </c:pt>
                <c:pt idx="57" formatCode="0.0">
                  <c:v>1.25</c:v>
                </c:pt>
                <c:pt idx="58">
                  <c:v>2</c:v>
                </c:pt>
                <c:pt idx="59">
                  <c:v>2.5</c:v>
                </c:pt>
              </c:numCache>
            </c:numRef>
          </c:val>
          <c:smooth val="0"/>
          <c:extLst>
            <c:ext xmlns:c16="http://schemas.microsoft.com/office/drawing/2014/chart" uri="{C3380CC4-5D6E-409C-BE32-E72D297353CC}">
              <c16:uniqueId val="{00000001-21C3-4BF2-B2B7-4C6D22BB54CB}"/>
            </c:ext>
          </c:extLst>
        </c:ser>
        <c:ser>
          <c:idx val="2"/>
          <c:order val="2"/>
          <c:tx>
            <c:strRef>
              <c:f>Sheet1!$D$1</c:f>
              <c:strCache>
                <c:ptCount val="1"/>
                <c:pt idx="0">
                  <c:v>Չինաստան</c:v>
                </c:pt>
              </c:strCache>
            </c:strRef>
          </c:tx>
          <c:spPr>
            <a:ln w="28575" cap="rnd">
              <a:solidFill>
                <a:schemeClr val="bg1">
                  <a:lumMod val="65000"/>
                </a:schemeClr>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Sheet1!$D$2:$D$61</c:f>
              <c:numCache>
                <c:formatCode>General</c:formatCode>
                <c:ptCount val="60"/>
                <c:pt idx="0">
                  <c:v>4.2</c:v>
                </c:pt>
                <c:pt idx="1">
                  <c:v>4.2</c:v>
                </c:pt>
                <c:pt idx="2">
                  <c:v>4.2</c:v>
                </c:pt>
                <c:pt idx="3">
                  <c:v>4.2</c:v>
                </c:pt>
                <c:pt idx="4">
                  <c:v>4.2</c:v>
                </c:pt>
                <c:pt idx="5">
                  <c:v>4.2</c:v>
                </c:pt>
                <c:pt idx="6">
                  <c:v>4.2</c:v>
                </c:pt>
                <c:pt idx="7">
                  <c:v>4.2</c:v>
                </c:pt>
                <c:pt idx="8">
                  <c:v>4.2</c:v>
                </c:pt>
                <c:pt idx="9">
                  <c:v>4.2</c:v>
                </c:pt>
                <c:pt idx="10">
                  <c:v>4.2</c:v>
                </c:pt>
                <c:pt idx="11">
                  <c:v>4.2</c:v>
                </c:pt>
                <c:pt idx="12">
                  <c:v>4.25</c:v>
                </c:pt>
                <c:pt idx="13">
                  <c:v>4.25</c:v>
                </c:pt>
                <c:pt idx="14">
                  <c:v>4.25</c:v>
                </c:pt>
                <c:pt idx="15">
                  <c:v>4.25</c:v>
                </c:pt>
                <c:pt idx="16">
                  <c:v>4.25</c:v>
                </c:pt>
                <c:pt idx="17">
                  <c:v>4.25</c:v>
                </c:pt>
                <c:pt idx="18">
                  <c:v>4.25</c:v>
                </c:pt>
                <c:pt idx="19">
                  <c:v>4.25</c:v>
                </c:pt>
                <c:pt idx="20">
                  <c:v>4.2</c:v>
                </c:pt>
                <c:pt idx="21">
                  <c:v>4.2</c:v>
                </c:pt>
                <c:pt idx="22">
                  <c:v>4.1500000000000004</c:v>
                </c:pt>
                <c:pt idx="23">
                  <c:v>4.1500000000000004</c:v>
                </c:pt>
                <c:pt idx="24">
                  <c:v>4.1500000000000004</c:v>
                </c:pt>
                <c:pt idx="25">
                  <c:v>4.05</c:v>
                </c:pt>
                <c:pt idx="26">
                  <c:v>4.05</c:v>
                </c:pt>
                <c:pt idx="27">
                  <c:v>3.85</c:v>
                </c:pt>
                <c:pt idx="28">
                  <c:v>3.85</c:v>
                </c:pt>
                <c:pt idx="29">
                  <c:v>3.85</c:v>
                </c:pt>
                <c:pt idx="30">
                  <c:v>3.85</c:v>
                </c:pt>
                <c:pt idx="31">
                  <c:v>3.85</c:v>
                </c:pt>
                <c:pt idx="32">
                  <c:v>3.85</c:v>
                </c:pt>
                <c:pt idx="33">
                  <c:v>3.85</c:v>
                </c:pt>
                <c:pt idx="34">
                  <c:v>3.85</c:v>
                </c:pt>
                <c:pt idx="35">
                  <c:v>3.85</c:v>
                </c:pt>
                <c:pt idx="36">
                  <c:v>3.85</c:v>
                </c:pt>
                <c:pt idx="37">
                  <c:v>3.85</c:v>
                </c:pt>
                <c:pt idx="38">
                  <c:v>3.85</c:v>
                </c:pt>
                <c:pt idx="39">
                  <c:v>3.85</c:v>
                </c:pt>
                <c:pt idx="40">
                  <c:v>3.85</c:v>
                </c:pt>
                <c:pt idx="41">
                  <c:v>3.85</c:v>
                </c:pt>
                <c:pt idx="42">
                  <c:v>3.85</c:v>
                </c:pt>
                <c:pt idx="43">
                  <c:v>3.85</c:v>
                </c:pt>
                <c:pt idx="44">
                  <c:v>3.85</c:v>
                </c:pt>
                <c:pt idx="45">
                  <c:v>3.85</c:v>
                </c:pt>
                <c:pt idx="46">
                  <c:v>3.85</c:v>
                </c:pt>
                <c:pt idx="47">
                  <c:v>3.8</c:v>
                </c:pt>
                <c:pt idx="48">
                  <c:v>3.8</c:v>
                </c:pt>
                <c:pt idx="49">
                  <c:v>3.7</c:v>
                </c:pt>
                <c:pt idx="50">
                  <c:v>3.7</c:v>
                </c:pt>
                <c:pt idx="51">
                  <c:v>3.7</c:v>
                </c:pt>
                <c:pt idx="52">
                  <c:v>3.7</c:v>
                </c:pt>
                <c:pt idx="53">
                  <c:v>3.7</c:v>
                </c:pt>
                <c:pt idx="54">
                  <c:v>3.7</c:v>
                </c:pt>
                <c:pt idx="55">
                  <c:v>3.7</c:v>
                </c:pt>
                <c:pt idx="56">
                  <c:v>3.7</c:v>
                </c:pt>
                <c:pt idx="57">
                  <c:v>3.7</c:v>
                </c:pt>
                <c:pt idx="58">
                  <c:v>3.7</c:v>
                </c:pt>
                <c:pt idx="59">
                  <c:v>3.7</c:v>
                </c:pt>
              </c:numCache>
            </c:numRef>
          </c:val>
          <c:smooth val="0"/>
          <c:extLst>
            <c:ext xmlns:c16="http://schemas.microsoft.com/office/drawing/2014/chart" uri="{C3380CC4-5D6E-409C-BE32-E72D297353CC}">
              <c16:uniqueId val="{00000002-21C3-4BF2-B2B7-4C6D22BB54CB}"/>
            </c:ext>
          </c:extLst>
        </c:ser>
        <c:ser>
          <c:idx val="3"/>
          <c:order val="3"/>
          <c:tx>
            <c:strRef>
              <c:f>Sheet1!$E$1</c:f>
              <c:strCache>
                <c:ptCount val="1"/>
                <c:pt idx="0">
                  <c:v>ՌԴ</c:v>
                </c:pt>
              </c:strCache>
            </c:strRef>
          </c:tx>
          <c:spPr>
            <a:ln w="28575" cap="rnd">
              <a:solidFill>
                <a:schemeClr val="accent6">
                  <a:lumMod val="60000"/>
                  <a:lumOff val="40000"/>
                </a:schemeClr>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Sheet1!$E$2:$E$61</c:f>
              <c:numCache>
                <c:formatCode>General</c:formatCode>
                <c:ptCount val="60"/>
                <c:pt idx="0">
                  <c:v>7.75</c:v>
                </c:pt>
                <c:pt idx="1">
                  <c:v>7.5</c:v>
                </c:pt>
                <c:pt idx="2">
                  <c:v>7.5</c:v>
                </c:pt>
                <c:pt idx="3">
                  <c:v>7.25</c:v>
                </c:pt>
                <c:pt idx="4">
                  <c:v>7.25</c:v>
                </c:pt>
                <c:pt idx="5">
                  <c:v>7.25</c:v>
                </c:pt>
                <c:pt idx="6">
                  <c:v>7.25</c:v>
                </c:pt>
                <c:pt idx="7">
                  <c:v>7.25</c:v>
                </c:pt>
                <c:pt idx="8">
                  <c:v>7.5</c:v>
                </c:pt>
                <c:pt idx="9">
                  <c:v>7.5</c:v>
                </c:pt>
                <c:pt idx="10">
                  <c:v>7.5</c:v>
                </c:pt>
                <c:pt idx="11">
                  <c:v>7.75</c:v>
                </c:pt>
                <c:pt idx="12">
                  <c:v>7.75</c:v>
                </c:pt>
                <c:pt idx="13">
                  <c:v>7.75</c:v>
                </c:pt>
                <c:pt idx="14">
                  <c:v>7.75</c:v>
                </c:pt>
                <c:pt idx="15">
                  <c:v>7.75</c:v>
                </c:pt>
                <c:pt idx="16">
                  <c:v>7.75</c:v>
                </c:pt>
                <c:pt idx="17">
                  <c:v>7.5</c:v>
                </c:pt>
                <c:pt idx="18">
                  <c:v>7.5</c:v>
                </c:pt>
                <c:pt idx="19">
                  <c:v>7.25</c:v>
                </c:pt>
                <c:pt idx="20">
                  <c:v>7</c:v>
                </c:pt>
                <c:pt idx="21">
                  <c:v>7</c:v>
                </c:pt>
                <c:pt idx="22">
                  <c:v>6.5</c:v>
                </c:pt>
                <c:pt idx="23">
                  <c:v>6.25</c:v>
                </c:pt>
                <c:pt idx="24">
                  <c:v>6.25</c:v>
                </c:pt>
                <c:pt idx="25">
                  <c:v>6</c:v>
                </c:pt>
                <c:pt idx="26">
                  <c:v>6</c:v>
                </c:pt>
                <c:pt idx="27">
                  <c:v>6</c:v>
                </c:pt>
                <c:pt idx="28">
                  <c:v>5.5</c:v>
                </c:pt>
                <c:pt idx="29">
                  <c:v>5.5</c:v>
                </c:pt>
                <c:pt idx="30">
                  <c:v>4.5</c:v>
                </c:pt>
                <c:pt idx="31">
                  <c:v>4.25</c:v>
                </c:pt>
                <c:pt idx="32">
                  <c:v>4.25</c:v>
                </c:pt>
                <c:pt idx="33">
                  <c:v>4.25</c:v>
                </c:pt>
                <c:pt idx="34">
                  <c:v>4.25</c:v>
                </c:pt>
                <c:pt idx="35">
                  <c:v>4.25</c:v>
                </c:pt>
                <c:pt idx="36">
                  <c:v>4.25</c:v>
                </c:pt>
                <c:pt idx="37">
                  <c:v>4.25</c:v>
                </c:pt>
                <c:pt idx="38">
                  <c:v>4.25</c:v>
                </c:pt>
                <c:pt idx="39">
                  <c:v>4.5</c:v>
                </c:pt>
                <c:pt idx="40">
                  <c:v>5</c:v>
                </c:pt>
                <c:pt idx="41">
                  <c:v>5.5</c:v>
                </c:pt>
                <c:pt idx="42">
                  <c:v>5.5</c:v>
                </c:pt>
                <c:pt idx="43">
                  <c:v>6.5</c:v>
                </c:pt>
                <c:pt idx="44">
                  <c:v>6.75</c:v>
                </c:pt>
                <c:pt idx="45">
                  <c:v>6.75</c:v>
                </c:pt>
                <c:pt idx="46">
                  <c:v>7.5</c:v>
                </c:pt>
                <c:pt idx="47">
                  <c:v>8.5</c:v>
                </c:pt>
                <c:pt idx="48" formatCode="0.0">
                  <c:v>8.5</c:v>
                </c:pt>
                <c:pt idx="49" formatCode="0.0">
                  <c:v>9.5</c:v>
                </c:pt>
                <c:pt idx="50" formatCode="0.0">
                  <c:v>20</c:v>
                </c:pt>
                <c:pt idx="51" formatCode="0.0">
                  <c:v>17</c:v>
                </c:pt>
                <c:pt idx="52" formatCode="0.0">
                  <c:v>14</c:v>
                </c:pt>
                <c:pt idx="53" formatCode="0.0">
                  <c:v>11</c:v>
                </c:pt>
                <c:pt idx="54" formatCode="0.0">
                  <c:v>9.5</c:v>
                </c:pt>
                <c:pt idx="55" formatCode="0.0">
                  <c:v>8</c:v>
                </c:pt>
                <c:pt idx="56" formatCode="0.0">
                  <c:v>7.5</c:v>
                </c:pt>
                <c:pt idx="57" formatCode="0.0">
                  <c:v>7.5</c:v>
                </c:pt>
                <c:pt idx="58" formatCode="0.0">
                  <c:v>7.5</c:v>
                </c:pt>
                <c:pt idx="59" formatCode="0.0">
                  <c:v>7.5</c:v>
                </c:pt>
              </c:numCache>
            </c:numRef>
          </c:val>
          <c:smooth val="0"/>
          <c:extLst>
            <c:ext xmlns:c16="http://schemas.microsoft.com/office/drawing/2014/chart" uri="{C3380CC4-5D6E-409C-BE32-E72D297353CC}">
              <c16:uniqueId val="{00000003-21C3-4BF2-B2B7-4C6D22BB54CB}"/>
            </c:ext>
          </c:extLst>
        </c:ser>
        <c:dLbls>
          <c:showLegendKey val="0"/>
          <c:showVal val="0"/>
          <c:showCatName val="0"/>
          <c:showSerName val="0"/>
          <c:showPercent val="0"/>
          <c:showBubbleSize val="0"/>
        </c:dLbls>
        <c:smooth val="0"/>
        <c:axId val="177980040"/>
        <c:axId val="1"/>
      </c:lineChart>
      <c:catAx>
        <c:axId val="17798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ax val="2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7980040"/>
        <c:crosses val="autoZero"/>
        <c:crossBetween val="between"/>
      </c:valAx>
      <c:spPr>
        <a:noFill/>
        <a:ln w="25400">
          <a:noFill/>
        </a:ln>
      </c:spPr>
    </c:plotArea>
    <c:legend>
      <c:legendPos val="b"/>
      <c:layout>
        <c:manualLayout>
          <c:xMode val="edge"/>
          <c:yMode val="edge"/>
          <c:x val="8.1714239486564089E-2"/>
          <c:y val="0.92966780936495386"/>
          <c:w val="0.89999993871324779"/>
          <c:h val="6.697246371892529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2018</c:v>
                </c:pt>
              </c:strCache>
            </c:strRef>
          </c:tx>
          <c:spPr>
            <a:solidFill>
              <a:schemeClr val="accent1">
                <a:lumMod val="60000"/>
                <a:lumOff val="40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Sheet1!$B$2:$B$4</c:f>
              <c:numCache>
                <c:formatCode>0</c:formatCode>
                <c:ptCount val="3"/>
                <c:pt idx="0">
                  <c:v>1651.7820000000002</c:v>
                </c:pt>
                <c:pt idx="1">
                  <c:v>346.87421999999998</c:v>
                </c:pt>
                <c:pt idx="2">
                  <c:v>1304.90778</c:v>
                </c:pt>
              </c:numCache>
            </c:numRef>
          </c:val>
          <c:extLst>
            <c:ext xmlns:c16="http://schemas.microsoft.com/office/drawing/2014/chart" uri="{C3380CC4-5D6E-409C-BE32-E72D297353CC}">
              <c16:uniqueId val="{00000000-A67C-438C-9E31-6F1E9DA38CCE}"/>
            </c:ext>
          </c:extLst>
        </c:ser>
        <c:ser>
          <c:idx val="1"/>
          <c:order val="1"/>
          <c:tx>
            <c:strRef>
              <c:f>Sheet1!$C$1</c:f>
              <c:strCache>
                <c:ptCount val="1"/>
                <c:pt idx="0">
                  <c:v>2019</c:v>
                </c:pt>
              </c:strCache>
            </c:strRef>
          </c:tx>
          <c:spPr>
            <a:solidFill>
              <a:schemeClr val="accent1">
                <a:lumMod val="75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Sheet1!$C$2:$C$4</c:f>
              <c:numCache>
                <c:formatCode>0</c:formatCode>
                <c:ptCount val="3"/>
                <c:pt idx="0">
                  <c:v>1894.377</c:v>
                </c:pt>
                <c:pt idx="1">
                  <c:v>430.02357899999998</c:v>
                </c:pt>
                <c:pt idx="2">
                  <c:v>1464.3534209999998</c:v>
                </c:pt>
              </c:numCache>
            </c:numRef>
          </c:val>
          <c:extLst>
            <c:ext xmlns:c16="http://schemas.microsoft.com/office/drawing/2014/chart" uri="{C3380CC4-5D6E-409C-BE32-E72D297353CC}">
              <c16:uniqueId val="{00000001-A67C-438C-9E31-6F1E9DA38CCE}"/>
            </c:ext>
          </c:extLst>
        </c:ser>
        <c:ser>
          <c:idx val="2"/>
          <c:order val="2"/>
          <c:tx>
            <c:strRef>
              <c:f>Sheet1!$D$1</c:f>
              <c:strCache>
                <c:ptCount val="1"/>
                <c:pt idx="0">
                  <c:v>2020</c:v>
                </c:pt>
              </c:strCache>
            </c:strRef>
          </c:tx>
          <c:spPr>
            <a:solidFill>
              <a:schemeClr val="bg1">
                <a:lumMod val="75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Sheet1!$D$2:$D$4</c:f>
              <c:numCache>
                <c:formatCode>0</c:formatCode>
                <c:ptCount val="3"/>
                <c:pt idx="0">
                  <c:v>375.21600000000001</c:v>
                </c:pt>
                <c:pt idx="1">
                  <c:v>146.33424000000002</c:v>
                </c:pt>
                <c:pt idx="2">
                  <c:v>228.88175999999999</c:v>
                </c:pt>
              </c:numCache>
            </c:numRef>
          </c:val>
          <c:extLst>
            <c:ext xmlns:c16="http://schemas.microsoft.com/office/drawing/2014/chart" uri="{C3380CC4-5D6E-409C-BE32-E72D297353CC}">
              <c16:uniqueId val="{00000002-A67C-438C-9E31-6F1E9DA38CCE}"/>
            </c:ext>
          </c:extLst>
        </c:ser>
        <c:ser>
          <c:idx val="3"/>
          <c:order val="3"/>
          <c:tx>
            <c:strRef>
              <c:f>Sheet1!$E$1</c:f>
              <c:strCache>
                <c:ptCount val="1"/>
                <c:pt idx="0">
                  <c:v>2021</c:v>
                </c:pt>
              </c:strCache>
            </c:strRef>
          </c:tx>
          <c:spPr>
            <a:solidFill>
              <a:schemeClr val="accent6">
                <a:lumMod val="60000"/>
                <a:lumOff val="40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Sheet1!$E$2:$E$4</c:f>
              <c:numCache>
                <c:formatCode>0</c:formatCode>
                <c:ptCount val="3"/>
                <c:pt idx="0">
                  <c:v>875.77200000000005</c:v>
                </c:pt>
                <c:pt idx="1">
                  <c:v>351.80099999999999</c:v>
                </c:pt>
                <c:pt idx="2">
                  <c:v>523.971</c:v>
                </c:pt>
              </c:numCache>
            </c:numRef>
          </c:val>
          <c:extLst>
            <c:ext xmlns:c16="http://schemas.microsoft.com/office/drawing/2014/chart" uri="{C3380CC4-5D6E-409C-BE32-E72D297353CC}">
              <c16:uniqueId val="{00000003-A67C-438C-9E31-6F1E9DA38CCE}"/>
            </c:ext>
          </c:extLst>
        </c:ser>
        <c:ser>
          <c:idx val="4"/>
          <c:order val="4"/>
          <c:tx>
            <c:strRef>
              <c:f>Sheet1!$F$1</c:f>
              <c:strCache>
                <c:ptCount val="1"/>
                <c:pt idx="0">
                  <c:v>2022</c:v>
                </c:pt>
              </c:strCache>
            </c:strRef>
          </c:tx>
          <c:spPr>
            <a:solidFill>
              <a:srgbClr val="4BACC6"/>
            </a:solidFill>
            <a:ln w="25394">
              <a:noFill/>
            </a:ln>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Sheet1!$F$2:$F$4</c:f>
              <c:numCache>
                <c:formatCode>0</c:formatCode>
                <c:ptCount val="3"/>
                <c:pt idx="0">
                  <c:v>1665.6579999999999</c:v>
                </c:pt>
                <c:pt idx="1">
                  <c:v>790.39700000000005</c:v>
                </c:pt>
                <c:pt idx="2">
                  <c:v>875.26099999999985</c:v>
                </c:pt>
              </c:numCache>
            </c:numRef>
          </c:val>
          <c:extLst>
            <c:ext xmlns:c16="http://schemas.microsoft.com/office/drawing/2014/chart" uri="{C3380CC4-5D6E-409C-BE32-E72D297353CC}">
              <c16:uniqueId val="{00000004-A67C-438C-9E31-6F1E9DA38CCE}"/>
            </c:ext>
          </c:extLst>
        </c:ser>
        <c:dLbls>
          <c:showLegendKey val="0"/>
          <c:showVal val="0"/>
          <c:showCatName val="0"/>
          <c:showSerName val="0"/>
          <c:showPercent val="0"/>
          <c:showBubbleSize val="0"/>
        </c:dLbls>
        <c:gapWidth val="219"/>
        <c:overlap val="-27"/>
        <c:axId val="215010728"/>
        <c:axId val="1"/>
      </c:barChart>
      <c:catAx>
        <c:axId val="215010728"/>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3" cap="flat" cmpd="sng" algn="ctr">
              <a:solidFill>
                <a:schemeClr val="tx1">
                  <a:lumMod val="15000"/>
                  <a:lumOff val="85000"/>
                </a:schemeClr>
              </a:solidFill>
              <a:round/>
            </a:ln>
            <a:effectLst/>
          </c:spPr>
        </c:majorGridlines>
        <c:numFmt formatCode="0" sourceLinked="1"/>
        <c:majorTickMark val="none"/>
        <c:minorTickMark val="none"/>
        <c:tickLblPos val="nextTo"/>
        <c:spPr>
          <a:ln w="9523">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5010728"/>
        <c:crosses val="autoZero"/>
        <c:crossBetween val="between"/>
      </c:valAx>
      <c:spPr>
        <a:noFill/>
        <a:ln w="25394">
          <a:noFill/>
        </a:ln>
      </c:spPr>
    </c:plotArea>
    <c:legend>
      <c:legendPos val="b"/>
      <c:overlay val="0"/>
      <c:spPr>
        <a:noFill/>
        <a:ln w="25394">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09816876338732"/>
          <c:y val="9.1269841269841265E-2"/>
          <c:w val="0.85643889341418533"/>
          <c:h val="0.74242302029319507"/>
        </c:manualLayout>
      </c:layout>
      <c:barChart>
        <c:barDir val="col"/>
        <c:grouping val="stacked"/>
        <c:varyColors val="0"/>
        <c:ser>
          <c:idx val="1"/>
          <c:order val="1"/>
          <c:tx>
            <c:strRef>
              <c:f>Sheet1!$A$3</c:f>
              <c:strCache>
                <c:ptCount val="1"/>
                <c:pt idx="0">
                  <c:v>ՌԴ</c:v>
                </c:pt>
              </c:strCache>
            </c:strRef>
          </c:tx>
          <c:spPr>
            <a:solidFill>
              <a:srgbClr val="4F81BD">
                <a:lumMod val="75000"/>
              </a:srgbClr>
            </a:solidFill>
            <a:ln>
              <a:noFill/>
            </a:ln>
            <a:effectLst/>
          </c:spPr>
          <c:invertIfNegative val="0"/>
          <c:cat>
            <c:strRef>
              <c:f>Sheet1!$B$1:$U$1</c:f>
              <c:strCache>
                <c:ptCount val="20"/>
                <c:pt idx="0">
                  <c:v>2018 I եռ.</c:v>
                </c:pt>
                <c:pt idx="1">
                  <c:v>2018  II եռ.</c:v>
                </c:pt>
                <c:pt idx="2">
                  <c:v>2018 III եռ.</c:v>
                </c:pt>
                <c:pt idx="3">
                  <c:v>2018 IV եռ.</c:v>
                </c:pt>
                <c:pt idx="4">
                  <c:v>2019 I եռ.</c:v>
                </c:pt>
                <c:pt idx="5">
                  <c:v>2019 II եռ.</c:v>
                </c:pt>
                <c:pt idx="6">
                  <c:v>2019 III եռ.</c:v>
                </c:pt>
                <c:pt idx="7">
                  <c:v>2019 IV եռ.</c:v>
                </c:pt>
                <c:pt idx="8">
                  <c:v>2020 I եռ.</c:v>
                </c:pt>
                <c:pt idx="9">
                  <c:v>2020 II եռ.</c:v>
                </c:pt>
                <c:pt idx="10">
                  <c:v>2020 III եռ.</c:v>
                </c:pt>
                <c:pt idx="11">
                  <c:v>2020 IV եռ.</c:v>
                </c:pt>
                <c:pt idx="12">
                  <c:v>2021 I եռ.</c:v>
                </c:pt>
                <c:pt idx="13">
                  <c:v>2021 II եռ.</c:v>
                </c:pt>
                <c:pt idx="14">
                  <c:v>2021 III եռ.</c:v>
                </c:pt>
                <c:pt idx="15">
                  <c:v>2021 IV եռ.</c:v>
                </c:pt>
                <c:pt idx="16">
                  <c:v>2022 I եռ.</c:v>
                </c:pt>
                <c:pt idx="17">
                  <c:v>2022 II եռ.</c:v>
                </c:pt>
                <c:pt idx="18">
                  <c:v>2022 III եռ.</c:v>
                </c:pt>
                <c:pt idx="19">
                  <c:v>2022 IV եռ.</c:v>
                </c:pt>
              </c:strCache>
            </c:strRef>
          </c:cat>
          <c:val>
            <c:numRef>
              <c:f>Sheet1!$B$3:$U$3</c:f>
              <c:numCache>
                <c:formatCode>_(* #,##0_);_(* \(#,##0\);_(* "-"??_);_(@_)</c:formatCode>
                <c:ptCount val="20"/>
                <c:pt idx="0">
                  <c:v>100.42379000000001</c:v>
                </c:pt>
                <c:pt idx="1">
                  <c:v>165.46076000000002</c:v>
                </c:pt>
                <c:pt idx="2">
                  <c:v>177.96988000000002</c:v>
                </c:pt>
                <c:pt idx="3">
                  <c:v>134.05185</c:v>
                </c:pt>
                <c:pt idx="4">
                  <c:v>75.906300000000002</c:v>
                </c:pt>
                <c:pt idx="5">
                  <c:v>160.00910000000002</c:v>
                </c:pt>
                <c:pt idx="6">
                  <c:v>239.61420999999999</c:v>
                </c:pt>
                <c:pt idx="7">
                  <c:v>154.12681000000001</c:v>
                </c:pt>
                <c:pt idx="8">
                  <c:v>77.714060000000003</c:v>
                </c:pt>
                <c:pt idx="9">
                  <c:v>50.1432</c:v>
                </c:pt>
                <c:pt idx="10">
                  <c:v>114.17736000000001</c:v>
                </c:pt>
                <c:pt idx="11">
                  <c:v>122.73272</c:v>
                </c:pt>
                <c:pt idx="12">
                  <c:v>67.980919999999998</c:v>
                </c:pt>
                <c:pt idx="13">
                  <c:v>118.7869</c:v>
                </c:pt>
                <c:pt idx="14">
                  <c:v>158.30554999999998</c:v>
                </c:pt>
                <c:pt idx="15">
                  <c:v>118.69959999999998</c:v>
                </c:pt>
                <c:pt idx="16">
                  <c:v>118.26725</c:v>
                </c:pt>
                <c:pt idx="17">
                  <c:v>814.20412999999996</c:v>
                </c:pt>
                <c:pt idx="18">
                  <c:v>1090.5065999999999</c:v>
                </c:pt>
                <c:pt idx="19">
                  <c:v>1122.2293199999999</c:v>
                </c:pt>
              </c:numCache>
            </c:numRef>
          </c:val>
          <c:extLst>
            <c:ext xmlns:c16="http://schemas.microsoft.com/office/drawing/2014/chart" uri="{C3380CC4-5D6E-409C-BE32-E72D297353CC}">
              <c16:uniqueId val="{00000000-1F7B-4E41-8BB1-8A95E46243B9}"/>
            </c:ext>
          </c:extLst>
        </c:ser>
        <c:ser>
          <c:idx val="2"/>
          <c:order val="2"/>
          <c:tx>
            <c:strRef>
              <c:f>Sheet1!$A$4</c:f>
              <c:strCache>
                <c:ptCount val="1"/>
                <c:pt idx="0">
                  <c:v>Այլ</c:v>
                </c:pt>
              </c:strCache>
            </c:strRef>
          </c:tx>
          <c:spPr>
            <a:solidFill>
              <a:sysClr val="window" lastClr="FFFFFF">
                <a:lumMod val="65000"/>
              </a:sysClr>
            </a:solidFill>
            <a:ln>
              <a:noFill/>
            </a:ln>
            <a:effectLst/>
          </c:spPr>
          <c:invertIfNegative val="0"/>
          <c:cat>
            <c:strRef>
              <c:f>Sheet1!$B$1:$U$1</c:f>
              <c:strCache>
                <c:ptCount val="20"/>
                <c:pt idx="0">
                  <c:v>2018 I եռ.</c:v>
                </c:pt>
                <c:pt idx="1">
                  <c:v>2018  II եռ.</c:v>
                </c:pt>
                <c:pt idx="2">
                  <c:v>2018 III եռ.</c:v>
                </c:pt>
                <c:pt idx="3">
                  <c:v>2018 IV եռ.</c:v>
                </c:pt>
                <c:pt idx="4">
                  <c:v>2019 I եռ.</c:v>
                </c:pt>
                <c:pt idx="5">
                  <c:v>2019 II եռ.</c:v>
                </c:pt>
                <c:pt idx="6">
                  <c:v>2019 III եռ.</c:v>
                </c:pt>
                <c:pt idx="7">
                  <c:v>2019 IV եռ.</c:v>
                </c:pt>
                <c:pt idx="8">
                  <c:v>2020 I եռ.</c:v>
                </c:pt>
                <c:pt idx="9">
                  <c:v>2020 II եռ.</c:v>
                </c:pt>
                <c:pt idx="10">
                  <c:v>2020 III եռ.</c:v>
                </c:pt>
                <c:pt idx="11">
                  <c:v>2020 IV եռ.</c:v>
                </c:pt>
                <c:pt idx="12">
                  <c:v>2021 I եռ.</c:v>
                </c:pt>
                <c:pt idx="13">
                  <c:v>2021 II եռ.</c:v>
                </c:pt>
                <c:pt idx="14">
                  <c:v>2021 III եռ.</c:v>
                </c:pt>
                <c:pt idx="15">
                  <c:v>2021 IV եռ.</c:v>
                </c:pt>
                <c:pt idx="16">
                  <c:v>2022 I եռ.</c:v>
                </c:pt>
                <c:pt idx="17">
                  <c:v>2022 II եռ.</c:v>
                </c:pt>
                <c:pt idx="18">
                  <c:v>2022 III եռ.</c:v>
                </c:pt>
                <c:pt idx="19">
                  <c:v>2022 IV եռ.</c:v>
                </c:pt>
              </c:strCache>
            </c:strRef>
          </c:cat>
          <c:val>
            <c:numRef>
              <c:f>Sheet1!$B$4:$U$4</c:f>
              <c:numCache>
                <c:formatCode>0</c:formatCode>
                <c:ptCount val="20"/>
                <c:pt idx="0">
                  <c:v>-15.538240000000016</c:v>
                </c:pt>
                <c:pt idx="1">
                  <c:v>1.7093699999999785</c:v>
                </c:pt>
                <c:pt idx="2">
                  <c:v>19.545799999999986</c:v>
                </c:pt>
                <c:pt idx="3">
                  <c:v>13.022329999999982</c:v>
                </c:pt>
                <c:pt idx="4">
                  <c:v>28.937740000000005</c:v>
                </c:pt>
                <c:pt idx="5">
                  <c:v>-34.662960000000012</c:v>
                </c:pt>
                <c:pt idx="6">
                  <c:v>-135.3861</c:v>
                </c:pt>
                <c:pt idx="7">
                  <c:v>15.474779999999981</c:v>
                </c:pt>
                <c:pt idx="8">
                  <c:v>9.6641899999999907</c:v>
                </c:pt>
                <c:pt idx="9">
                  <c:v>55.252929999999999</c:v>
                </c:pt>
                <c:pt idx="10">
                  <c:v>122.69107999999999</c:v>
                </c:pt>
                <c:pt idx="11">
                  <c:v>21.96302</c:v>
                </c:pt>
                <c:pt idx="12">
                  <c:v>61.103229999999996</c:v>
                </c:pt>
                <c:pt idx="13">
                  <c:v>135.01109000000002</c:v>
                </c:pt>
                <c:pt idx="14">
                  <c:v>129.02368999999999</c:v>
                </c:pt>
                <c:pt idx="15">
                  <c:v>94.40330000000003</c:v>
                </c:pt>
                <c:pt idx="16">
                  <c:v>72.026169999999993</c:v>
                </c:pt>
                <c:pt idx="17">
                  <c:v>-10.573099999999954</c:v>
                </c:pt>
                <c:pt idx="18">
                  <c:v>-354.89396999999997</c:v>
                </c:pt>
                <c:pt idx="19">
                  <c:v>-268.12218999999993</c:v>
                </c:pt>
              </c:numCache>
            </c:numRef>
          </c:val>
          <c:extLst>
            <c:ext xmlns:c16="http://schemas.microsoft.com/office/drawing/2014/chart" uri="{C3380CC4-5D6E-409C-BE32-E72D297353CC}">
              <c16:uniqueId val="{00000001-1F7B-4E41-8BB1-8A95E46243B9}"/>
            </c:ext>
          </c:extLst>
        </c:ser>
        <c:dLbls>
          <c:showLegendKey val="0"/>
          <c:showVal val="0"/>
          <c:showCatName val="0"/>
          <c:showSerName val="0"/>
          <c:showPercent val="0"/>
          <c:showBubbleSize val="0"/>
        </c:dLbls>
        <c:gapWidth val="150"/>
        <c:overlap val="100"/>
        <c:axId val="215009416"/>
        <c:axId val="1"/>
      </c:barChart>
      <c:lineChart>
        <c:grouping val="standard"/>
        <c:varyColors val="0"/>
        <c:ser>
          <c:idx val="0"/>
          <c:order val="0"/>
          <c:tx>
            <c:strRef>
              <c:f>Sheet1!$A$2</c:f>
              <c:strCache>
                <c:ptCount val="1"/>
                <c:pt idx="0">
                  <c:v>Ընդամենը</c:v>
                </c:pt>
              </c:strCache>
            </c:strRef>
          </c:tx>
          <c:spPr>
            <a:ln w="27724" cap="rnd">
              <a:solidFill>
                <a:srgbClr val="1F497D">
                  <a:lumMod val="75000"/>
                </a:srgbClr>
              </a:solidFill>
              <a:round/>
            </a:ln>
            <a:effectLst/>
          </c:spPr>
          <c:marker>
            <c:symbol val="none"/>
          </c:marker>
          <c:cat>
            <c:strRef>
              <c:f>Sheet1!$B$1:$U$1</c:f>
              <c:strCache>
                <c:ptCount val="20"/>
                <c:pt idx="0">
                  <c:v>2018 I եռ.</c:v>
                </c:pt>
                <c:pt idx="1">
                  <c:v>2018  II եռ.</c:v>
                </c:pt>
                <c:pt idx="2">
                  <c:v>2018 III եռ.</c:v>
                </c:pt>
                <c:pt idx="3">
                  <c:v>2018 IV եռ.</c:v>
                </c:pt>
                <c:pt idx="4">
                  <c:v>2019 I եռ.</c:v>
                </c:pt>
                <c:pt idx="5">
                  <c:v>2019 II եռ.</c:v>
                </c:pt>
                <c:pt idx="6">
                  <c:v>2019 III եռ.</c:v>
                </c:pt>
                <c:pt idx="7">
                  <c:v>2019 IV եռ.</c:v>
                </c:pt>
                <c:pt idx="8">
                  <c:v>2020 I եռ.</c:v>
                </c:pt>
                <c:pt idx="9">
                  <c:v>2020 II եռ.</c:v>
                </c:pt>
                <c:pt idx="10">
                  <c:v>2020 III եռ.</c:v>
                </c:pt>
                <c:pt idx="11">
                  <c:v>2020 IV եռ.</c:v>
                </c:pt>
                <c:pt idx="12">
                  <c:v>2021 I եռ.</c:v>
                </c:pt>
                <c:pt idx="13">
                  <c:v>2021 II եռ.</c:v>
                </c:pt>
                <c:pt idx="14">
                  <c:v>2021 III եռ.</c:v>
                </c:pt>
                <c:pt idx="15">
                  <c:v>2021 IV եռ.</c:v>
                </c:pt>
                <c:pt idx="16">
                  <c:v>2022 I եռ.</c:v>
                </c:pt>
                <c:pt idx="17">
                  <c:v>2022 II եռ.</c:v>
                </c:pt>
                <c:pt idx="18">
                  <c:v>2022 III եռ.</c:v>
                </c:pt>
                <c:pt idx="19">
                  <c:v>2022 IV եռ.</c:v>
                </c:pt>
              </c:strCache>
            </c:strRef>
          </c:cat>
          <c:val>
            <c:numRef>
              <c:f>Sheet1!$B$2:$U$2</c:f>
              <c:numCache>
                <c:formatCode>_(* #,##0_);_(* \(#,##0\);_(* "-"??_);_(@_)</c:formatCode>
                <c:ptCount val="20"/>
                <c:pt idx="0">
                  <c:v>84.885549999999995</c:v>
                </c:pt>
                <c:pt idx="1">
                  <c:v>167.17013</c:v>
                </c:pt>
                <c:pt idx="2">
                  <c:v>197.51568</c:v>
                </c:pt>
                <c:pt idx="3">
                  <c:v>147.07417999999998</c:v>
                </c:pt>
                <c:pt idx="4">
                  <c:v>104.84404000000001</c:v>
                </c:pt>
                <c:pt idx="5">
                  <c:v>125.34614000000001</c:v>
                </c:pt>
                <c:pt idx="6">
                  <c:v>104.22811</c:v>
                </c:pt>
                <c:pt idx="7">
                  <c:v>169.60158999999999</c:v>
                </c:pt>
                <c:pt idx="8">
                  <c:v>87.378249999999994</c:v>
                </c:pt>
                <c:pt idx="9">
                  <c:v>105.39613</c:v>
                </c:pt>
                <c:pt idx="10">
                  <c:v>236.86843999999999</c:v>
                </c:pt>
                <c:pt idx="11">
                  <c:v>144.69574</c:v>
                </c:pt>
                <c:pt idx="12">
                  <c:v>129.08414999999999</c:v>
                </c:pt>
                <c:pt idx="13">
                  <c:v>253.79799000000003</c:v>
                </c:pt>
                <c:pt idx="14">
                  <c:v>287.32923999999997</c:v>
                </c:pt>
                <c:pt idx="15">
                  <c:v>213.10290000000001</c:v>
                </c:pt>
                <c:pt idx="16">
                  <c:v>190.29342</c:v>
                </c:pt>
                <c:pt idx="17">
                  <c:v>803.63103000000001</c:v>
                </c:pt>
                <c:pt idx="18">
                  <c:v>735.61262999999997</c:v>
                </c:pt>
                <c:pt idx="19">
                  <c:v>854.10712999999998</c:v>
                </c:pt>
              </c:numCache>
            </c:numRef>
          </c:val>
          <c:smooth val="0"/>
          <c:extLst>
            <c:ext xmlns:c16="http://schemas.microsoft.com/office/drawing/2014/chart" uri="{C3380CC4-5D6E-409C-BE32-E72D297353CC}">
              <c16:uniqueId val="{00000002-1F7B-4E41-8BB1-8A95E46243B9}"/>
            </c:ext>
          </c:extLst>
        </c:ser>
        <c:dLbls>
          <c:showLegendKey val="0"/>
          <c:showVal val="0"/>
          <c:showCatName val="0"/>
          <c:showSerName val="0"/>
          <c:showPercent val="0"/>
          <c:showBubbleSize val="0"/>
        </c:dLbls>
        <c:marker val="1"/>
        <c:smooth val="0"/>
        <c:axId val="215009416"/>
        <c:axId val="1"/>
      </c:lineChart>
      <c:catAx>
        <c:axId val="215009416"/>
        <c:scaling>
          <c:orientation val="minMax"/>
        </c:scaling>
        <c:delete val="0"/>
        <c:axPos val="b"/>
        <c:numFmt formatCode="General" sourceLinked="1"/>
        <c:majorTickMark val="none"/>
        <c:minorTickMark val="none"/>
        <c:tickLblPos val="low"/>
        <c:spPr>
          <a:noFill/>
          <a:ln w="9241" cap="flat" cmpd="sng" algn="ctr">
            <a:solidFill>
              <a:schemeClr val="tx1">
                <a:lumMod val="15000"/>
                <a:lumOff val="85000"/>
              </a:schemeClr>
            </a:solidFill>
            <a:round/>
          </a:ln>
          <a:effectLst/>
        </c:spPr>
        <c:txPr>
          <a:bodyPr rot="-60000000" spcFirstLastPara="1" vertOverflow="ellipsis" vert="horz" wrap="square" anchor="ctr" anchorCtr="1"/>
          <a:lstStyle/>
          <a:p>
            <a:pPr>
              <a:defRPr sz="97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241" cap="flat" cmpd="sng" algn="ctr">
              <a:solidFill>
                <a:schemeClr val="tx1">
                  <a:lumMod val="15000"/>
                  <a:lumOff val="85000"/>
                </a:schemeClr>
              </a:solidFill>
              <a:round/>
            </a:ln>
            <a:effectLst/>
          </c:spPr>
        </c:majorGridlines>
        <c:title>
          <c:tx>
            <c:rich>
              <a:bodyPr/>
              <a:lstStyle/>
              <a:p>
                <a:pPr>
                  <a:defRPr sz="1067" b="0" i="0" u="none" strike="noStrike" baseline="0">
                    <a:solidFill>
                      <a:srgbClr val="333333"/>
                    </a:solidFill>
                    <a:latin typeface="GHEA Grapalat"/>
                    <a:ea typeface="GHEA Grapalat"/>
                    <a:cs typeface="GHEA Grapalat"/>
                  </a:defRPr>
                </a:pPr>
                <a:r>
                  <a:rPr lang="hy-AM"/>
                  <a:t>մլն ԱՄՆ դոլար</a:t>
                </a:r>
              </a:p>
            </c:rich>
          </c:tx>
          <c:overlay val="0"/>
          <c:spPr>
            <a:noFill/>
            <a:ln w="24643">
              <a:noFill/>
            </a:ln>
          </c:spPr>
        </c:title>
        <c:numFmt formatCode="_(* #,##0_);_(* \(#,##0\);_(* &quot;-&quot;??_);_(@_)" sourceLinked="1"/>
        <c:majorTickMark val="none"/>
        <c:minorTickMark val="none"/>
        <c:tickLblPos val="nextTo"/>
        <c:spPr>
          <a:ln w="9241">
            <a:noFill/>
          </a:ln>
        </c:spPr>
        <c:txPr>
          <a:bodyPr rot="-60000000" spcFirstLastPara="1" vertOverflow="ellipsis" vert="horz" wrap="square" anchor="ctr" anchorCtr="1"/>
          <a:lstStyle/>
          <a:p>
            <a:pPr>
              <a:defRPr sz="87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5009416"/>
        <c:crosses val="autoZero"/>
        <c:crossBetween val="between"/>
      </c:valAx>
      <c:spPr>
        <a:solidFill>
          <a:schemeClr val="bg1"/>
        </a:solidFill>
        <a:ln>
          <a:noFill/>
        </a:ln>
        <a:effectLst/>
      </c:spPr>
    </c:plotArea>
    <c:legend>
      <c:legendPos val="b"/>
      <c:layout>
        <c:manualLayout>
          <c:xMode val="edge"/>
          <c:yMode val="edge"/>
          <c:x val="0.16326530612244897"/>
          <c:y val="0.67808219178082196"/>
          <c:w val="0.37755102040816324"/>
          <c:h val="8.5616438356164379E-2"/>
        </c:manualLayout>
      </c:layout>
      <c:overlay val="0"/>
      <c:spPr>
        <a:noFill/>
        <a:ln w="24643">
          <a:noFill/>
        </a:ln>
      </c:spPr>
      <c:txPr>
        <a:bodyPr rot="0" spcFirstLastPara="1" vertOverflow="ellipsis" vert="horz" wrap="square" anchor="ctr" anchorCtr="1"/>
        <a:lstStyle/>
        <a:p>
          <a:pPr>
            <a:defRPr sz="101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241" cap="flat" cmpd="sng" algn="ctr">
      <a:solidFill>
        <a:schemeClr val="tx1">
          <a:lumMod val="15000"/>
          <a:lumOff val="85000"/>
        </a:schemeClr>
      </a:solidFill>
      <a:round/>
    </a:ln>
    <a:effectLst/>
  </c:spPr>
  <c:txPr>
    <a:bodyPr/>
    <a:lstStyle/>
    <a:p>
      <a:pPr>
        <a:defRPr sz="1164">
          <a:latin typeface="GHEA Grapalat" panose="02000506050000020003" pitchFamily="50"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268531088786318E-2"/>
          <c:y val="4.3650793650793648E-2"/>
          <c:w val="0.90591154553956621"/>
          <c:h val="0.47885202195029497"/>
        </c:manualLayout>
      </c:layout>
      <c:barChart>
        <c:barDir val="col"/>
        <c:grouping val="stacked"/>
        <c:varyColors val="0"/>
        <c:ser>
          <c:idx val="0"/>
          <c:order val="0"/>
          <c:tx>
            <c:strRef>
              <c:f>Sheet1!$B$1</c:f>
              <c:strCache>
                <c:ptCount val="1"/>
                <c:pt idx="0">
                  <c:v>Դոլար</c:v>
                </c:pt>
              </c:strCache>
            </c:strRef>
          </c:tx>
          <c:spPr>
            <a:solidFill>
              <a:schemeClr val="bg1">
                <a:lumMod val="75000"/>
              </a:schemeClr>
            </a:solidFill>
            <a:ln>
              <a:noFill/>
            </a:ln>
            <a:effectLst>
              <a:outerShdw blurRad="40000" dist="23000" dir="5400000" rotWithShape="0">
                <a:srgbClr val="000000">
                  <a:alpha val="35000"/>
                </a:srgbClr>
              </a:outerShdw>
            </a:effectLst>
          </c:spPr>
          <c:invertIfNegative val="0"/>
          <c:cat>
            <c:strRef>
              <c:f>Sheet1!$A$2:$A$21</c:f>
              <c:strCache>
                <c:ptCount val="20"/>
                <c:pt idx="0">
                  <c:v>2018 I եռ.</c:v>
                </c:pt>
                <c:pt idx="1">
                  <c:v>2018  II եռ.</c:v>
                </c:pt>
                <c:pt idx="2">
                  <c:v>2018 III եռ.</c:v>
                </c:pt>
                <c:pt idx="3">
                  <c:v>2018 IV եռ.</c:v>
                </c:pt>
                <c:pt idx="4">
                  <c:v>2019 I եռ.</c:v>
                </c:pt>
                <c:pt idx="5">
                  <c:v>2019 II եռ.</c:v>
                </c:pt>
                <c:pt idx="6">
                  <c:v>2019 III եռ.</c:v>
                </c:pt>
                <c:pt idx="7">
                  <c:v>2019 IV եռ.</c:v>
                </c:pt>
                <c:pt idx="8">
                  <c:v>2020 I եռ.</c:v>
                </c:pt>
                <c:pt idx="9">
                  <c:v>2020 II եռ.</c:v>
                </c:pt>
                <c:pt idx="10">
                  <c:v>2020 III եռ.</c:v>
                </c:pt>
                <c:pt idx="11">
                  <c:v>2020 IV եռ.</c:v>
                </c:pt>
                <c:pt idx="12">
                  <c:v>2021 I եռ.</c:v>
                </c:pt>
                <c:pt idx="13">
                  <c:v>2021 II եռ.</c:v>
                </c:pt>
                <c:pt idx="14">
                  <c:v>2021 III եռ.</c:v>
                </c:pt>
                <c:pt idx="15">
                  <c:v>2021 IV եռ.</c:v>
                </c:pt>
                <c:pt idx="16">
                  <c:v>2022 I եռ.</c:v>
                </c:pt>
                <c:pt idx="17">
                  <c:v>2022 II եռ.</c:v>
                </c:pt>
                <c:pt idx="18">
                  <c:v>2022 III եռ.</c:v>
                </c:pt>
                <c:pt idx="19">
                  <c:v>2022 IV եռ.</c:v>
                </c:pt>
              </c:strCache>
            </c:strRef>
          </c:cat>
          <c:val>
            <c:numRef>
              <c:f>Sheet1!$B$2:$B$21</c:f>
              <c:numCache>
                <c:formatCode>0</c:formatCode>
                <c:ptCount val="20"/>
                <c:pt idx="0">
                  <c:v>3.9529299999999807</c:v>
                </c:pt>
                <c:pt idx="1">
                  <c:v>-19.975296600000092</c:v>
                </c:pt>
                <c:pt idx="2">
                  <c:v>-70.574313899999993</c:v>
                </c:pt>
                <c:pt idx="3">
                  <c:v>-66.549774700000057</c:v>
                </c:pt>
                <c:pt idx="4">
                  <c:v>-77.777560699999981</c:v>
                </c:pt>
                <c:pt idx="5">
                  <c:v>4.9017405000000736</c:v>
                </c:pt>
                <c:pt idx="6">
                  <c:v>-50.03285290000008</c:v>
                </c:pt>
                <c:pt idx="7">
                  <c:v>-21.708400500000153</c:v>
                </c:pt>
                <c:pt idx="8">
                  <c:v>-28.47810800000002</c:v>
                </c:pt>
                <c:pt idx="9">
                  <c:v>4.258640000000014</c:v>
                </c:pt>
                <c:pt idx="10">
                  <c:v>5.1264299999999139</c:v>
                </c:pt>
                <c:pt idx="11">
                  <c:v>-90.218759999999975</c:v>
                </c:pt>
                <c:pt idx="12">
                  <c:v>-44.764182000000119</c:v>
                </c:pt>
                <c:pt idx="13">
                  <c:v>-47.872495999999956</c:v>
                </c:pt>
                <c:pt idx="14">
                  <c:v>3.7606030000000601</c:v>
                </c:pt>
                <c:pt idx="15">
                  <c:v>22.342673000000104</c:v>
                </c:pt>
                <c:pt idx="16">
                  <c:v>82.827041122292712</c:v>
                </c:pt>
                <c:pt idx="17">
                  <c:v>-50.18449343652253</c:v>
                </c:pt>
                <c:pt idx="18">
                  <c:v>-228.23183459037773</c:v>
                </c:pt>
                <c:pt idx="19">
                  <c:v>-326.58099857808588</c:v>
                </c:pt>
              </c:numCache>
            </c:numRef>
          </c:val>
          <c:extLst>
            <c:ext xmlns:c16="http://schemas.microsoft.com/office/drawing/2014/chart" uri="{C3380CC4-5D6E-409C-BE32-E72D297353CC}">
              <c16:uniqueId val="{00000000-4D97-46B6-9819-CEF8516C483B}"/>
            </c:ext>
          </c:extLst>
        </c:ser>
        <c:ser>
          <c:idx val="1"/>
          <c:order val="1"/>
          <c:tx>
            <c:strRef>
              <c:f>Sheet1!$C$1</c:f>
              <c:strCache>
                <c:ptCount val="1"/>
                <c:pt idx="0">
                  <c:v>Եվրո</c:v>
                </c:pt>
              </c:strCache>
            </c:strRef>
          </c:tx>
          <c:spPr>
            <a:solidFill>
              <a:schemeClr val="accent6">
                <a:lumMod val="60000"/>
                <a:lumOff val="40000"/>
              </a:schemeClr>
            </a:solidFill>
            <a:ln>
              <a:noFill/>
            </a:ln>
            <a:effectLst>
              <a:outerShdw blurRad="40000" dist="23000" dir="5400000" rotWithShape="0">
                <a:srgbClr val="000000">
                  <a:alpha val="35000"/>
                </a:srgbClr>
              </a:outerShdw>
            </a:effectLst>
          </c:spPr>
          <c:invertIfNegative val="0"/>
          <c:cat>
            <c:strRef>
              <c:f>Sheet1!$A$2:$A$21</c:f>
              <c:strCache>
                <c:ptCount val="20"/>
                <c:pt idx="0">
                  <c:v>2018 I եռ.</c:v>
                </c:pt>
                <c:pt idx="1">
                  <c:v>2018  II եռ.</c:v>
                </c:pt>
                <c:pt idx="2">
                  <c:v>2018 III եռ.</c:v>
                </c:pt>
                <c:pt idx="3">
                  <c:v>2018 IV եռ.</c:v>
                </c:pt>
                <c:pt idx="4">
                  <c:v>2019 I եռ.</c:v>
                </c:pt>
                <c:pt idx="5">
                  <c:v>2019 II եռ.</c:v>
                </c:pt>
                <c:pt idx="6">
                  <c:v>2019 III եռ.</c:v>
                </c:pt>
                <c:pt idx="7">
                  <c:v>2019 IV եռ.</c:v>
                </c:pt>
                <c:pt idx="8">
                  <c:v>2020 I եռ.</c:v>
                </c:pt>
                <c:pt idx="9">
                  <c:v>2020 II եռ.</c:v>
                </c:pt>
                <c:pt idx="10">
                  <c:v>2020 III եռ.</c:v>
                </c:pt>
                <c:pt idx="11">
                  <c:v>2020 IV եռ.</c:v>
                </c:pt>
                <c:pt idx="12">
                  <c:v>2021 I եռ.</c:v>
                </c:pt>
                <c:pt idx="13">
                  <c:v>2021 II եռ.</c:v>
                </c:pt>
                <c:pt idx="14">
                  <c:v>2021 III եռ.</c:v>
                </c:pt>
                <c:pt idx="15">
                  <c:v>2021 IV եռ.</c:v>
                </c:pt>
                <c:pt idx="16">
                  <c:v>2022 I եռ.</c:v>
                </c:pt>
                <c:pt idx="17">
                  <c:v>2022 II եռ.</c:v>
                </c:pt>
                <c:pt idx="18">
                  <c:v>2022 III եռ.</c:v>
                </c:pt>
                <c:pt idx="19">
                  <c:v>2022 IV եռ.</c:v>
                </c:pt>
              </c:strCache>
            </c:strRef>
          </c:cat>
          <c:val>
            <c:numRef>
              <c:f>Sheet1!$C$2:$C$21</c:f>
              <c:numCache>
                <c:formatCode>0</c:formatCode>
                <c:ptCount val="20"/>
                <c:pt idx="0">
                  <c:v>-44.000294599999989</c:v>
                </c:pt>
                <c:pt idx="1">
                  <c:v>-60.001685199999997</c:v>
                </c:pt>
                <c:pt idx="2">
                  <c:v>-41.839252899999991</c:v>
                </c:pt>
                <c:pt idx="3">
                  <c:v>-42.408268600000014</c:v>
                </c:pt>
                <c:pt idx="4">
                  <c:v>-48.851464199999981</c:v>
                </c:pt>
                <c:pt idx="5">
                  <c:v>-7.9430901000000347</c:v>
                </c:pt>
                <c:pt idx="6">
                  <c:v>-3.3764428000000066</c:v>
                </c:pt>
                <c:pt idx="7">
                  <c:v>-35.556790800000016</c:v>
                </c:pt>
                <c:pt idx="8">
                  <c:v>-57.345421500000015</c:v>
                </c:pt>
                <c:pt idx="9">
                  <c:v>-28.027285899999995</c:v>
                </c:pt>
                <c:pt idx="10">
                  <c:v>-27.659299799999985</c:v>
                </c:pt>
                <c:pt idx="11">
                  <c:v>-55.250605399999998</c:v>
                </c:pt>
                <c:pt idx="12">
                  <c:v>-37.588152999999977</c:v>
                </c:pt>
                <c:pt idx="13">
                  <c:v>-44.314930999999987</c:v>
                </c:pt>
                <c:pt idx="14">
                  <c:v>-30.467195000000004</c:v>
                </c:pt>
                <c:pt idx="15">
                  <c:v>-47.701574000000022</c:v>
                </c:pt>
                <c:pt idx="16">
                  <c:v>38.055483617751008</c:v>
                </c:pt>
                <c:pt idx="17">
                  <c:v>-116.10974062181617</c:v>
                </c:pt>
                <c:pt idx="18">
                  <c:v>-151.48745476086944</c:v>
                </c:pt>
                <c:pt idx="19">
                  <c:v>-157.53865432476798</c:v>
                </c:pt>
              </c:numCache>
            </c:numRef>
          </c:val>
          <c:extLst>
            <c:ext xmlns:c16="http://schemas.microsoft.com/office/drawing/2014/chart" uri="{C3380CC4-5D6E-409C-BE32-E72D297353CC}">
              <c16:uniqueId val="{00000001-4D97-46B6-9819-CEF8516C483B}"/>
            </c:ext>
          </c:extLst>
        </c:ser>
        <c:ser>
          <c:idx val="2"/>
          <c:order val="2"/>
          <c:tx>
            <c:strRef>
              <c:f>Sheet1!$D$1</c:f>
              <c:strCache>
                <c:ptCount val="1"/>
                <c:pt idx="0">
                  <c:v>Ռուբլի</c:v>
                </c:pt>
              </c:strCache>
            </c:strRef>
          </c:tx>
          <c:spPr>
            <a:solidFill>
              <a:schemeClr val="accent1">
                <a:lumMod val="75000"/>
              </a:schemeClr>
            </a:solidFill>
            <a:ln>
              <a:noFill/>
            </a:ln>
            <a:effectLst>
              <a:outerShdw blurRad="40000" dist="23000" dir="5400000" rotWithShape="0">
                <a:srgbClr val="000000">
                  <a:alpha val="35000"/>
                </a:srgbClr>
              </a:outerShdw>
            </a:effectLst>
          </c:spPr>
          <c:invertIfNegative val="0"/>
          <c:cat>
            <c:strRef>
              <c:f>Sheet1!$A$2:$A$21</c:f>
              <c:strCache>
                <c:ptCount val="20"/>
                <c:pt idx="0">
                  <c:v>2018 I եռ.</c:v>
                </c:pt>
                <c:pt idx="1">
                  <c:v>2018  II եռ.</c:v>
                </c:pt>
                <c:pt idx="2">
                  <c:v>2018 III եռ.</c:v>
                </c:pt>
                <c:pt idx="3">
                  <c:v>2018 IV եռ.</c:v>
                </c:pt>
                <c:pt idx="4">
                  <c:v>2019 I եռ.</c:v>
                </c:pt>
                <c:pt idx="5">
                  <c:v>2019 II եռ.</c:v>
                </c:pt>
                <c:pt idx="6">
                  <c:v>2019 III եռ.</c:v>
                </c:pt>
                <c:pt idx="7">
                  <c:v>2019 IV եռ.</c:v>
                </c:pt>
                <c:pt idx="8">
                  <c:v>2020 I եռ.</c:v>
                </c:pt>
                <c:pt idx="9">
                  <c:v>2020 II եռ.</c:v>
                </c:pt>
                <c:pt idx="10">
                  <c:v>2020 III եռ.</c:v>
                </c:pt>
                <c:pt idx="11">
                  <c:v>2020 IV եռ.</c:v>
                </c:pt>
                <c:pt idx="12">
                  <c:v>2021 I եռ.</c:v>
                </c:pt>
                <c:pt idx="13">
                  <c:v>2021 II եռ.</c:v>
                </c:pt>
                <c:pt idx="14">
                  <c:v>2021 III եռ.</c:v>
                </c:pt>
                <c:pt idx="15">
                  <c:v>2021 IV եռ.</c:v>
                </c:pt>
                <c:pt idx="16">
                  <c:v>2022 I եռ.</c:v>
                </c:pt>
                <c:pt idx="17">
                  <c:v>2022 II եռ.</c:v>
                </c:pt>
                <c:pt idx="18">
                  <c:v>2022 III եռ.</c:v>
                </c:pt>
                <c:pt idx="19">
                  <c:v>2022 IV եռ.</c:v>
                </c:pt>
              </c:strCache>
            </c:strRef>
          </c:cat>
          <c:val>
            <c:numRef>
              <c:f>Sheet1!$D$2:$D$21</c:f>
              <c:numCache>
                <c:formatCode>0</c:formatCode>
                <c:ptCount val="20"/>
                <c:pt idx="0">
                  <c:v>0</c:v>
                </c:pt>
                <c:pt idx="1">
                  <c:v>0</c:v>
                </c:pt>
                <c:pt idx="2">
                  <c:v>0</c:v>
                </c:pt>
                <c:pt idx="3">
                  <c:v>0</c:v>
                </c:pt>
                <c:pt idx="4">
                  <c:v>0</c:v>
                </c:pt>
                <c:pt idx="5">
                  <c:v>0</c:v>
                </c:pt>
                <c:pt idx="6">
                  <c:v>0</c:v>
                </c:pt>
                <c:pt idx="7">
                  <c:v>0</c:v>
                </c:pt>
                <c:pt idx="8">
                  <c:v>0</c:v>
                </c:pt>
                <c:pt idx="9">
                  <c:v>0</c:v>
                </c:pt>
                <c:pt idx="10">
                  <c:v>0</c:v>
                </c:pt>
                <c:pt idx="11">
                  <c:v>0</c:v>
                </c:pt>
                <c:pt idx="12">
                  <c:v>5.1814139999999895</c:v>
                </c:pt>
                <c:pt idx="13">
                  <c:v>56.355378999999985</c:v>
                </c:pt>
                <c:pt idx="14">
                  <c:v>38.985996999999998</c:v>
                </c:pt>
                <c:pt idx="15">
                  <c:v>13.216617000000014</c:v>
                </c:pt>
                <c:pt idx="16">
                  <c:v>-31.598552698007609</c:v>
                </c:pt>
                <c:pt idx="17">
                  <c:v>190.46627119187261</c:v>
                </c:pt>
                <c:pt idx="18">
                  <c:v>423.24379297671146</c:v>
                </c:pt>
                <c:pt idx="19">
                  <c:v>550.39308050890099</c:v>
                </c:pt>
              </c:numCache>
            </c:numRef>
          </c:val>
          <c:extLst>
            <c:ext xmlns:c16="http://schemas.microsoft.com/office/drawing/2014/chart" uri="{C3380CC4-5D6E-409C-BE32-E72D297353CC}">
              <c16:uniqueId val="{00000002-4D97-46B6-9819-CEF8516C483B}"/>
            </c:ext>
          </c:extLst>
        </c:ser>
        <c:dLbls>
          <c:showLegendKey val="0"/>
          <c:showVal val="0"/>
          <c:showCatName val="0"/>
          <c:showSerName val="0"/>
          <c:showPercent val="0"/>
          <c:showBubbleSize val="0"/>
        </c:dLbls>
        <c:gapWidth val="100"/>
        <c:overlap val="100"/>
        <c:axId val="217812568"/>
        <c:axId val="1"/>
      </c:barChart>
      <c:catAx>
        <c:axId val="217812568"/>
        <c:scaling>
          <c:orientation val="minMax"/>
        </c:scaling>
        <c:delete val="0"/>
        <c:axPos val="b"/>
        <c:numFmt formatCode="General" sourceLinked="1"/>
        <c:majorTickMark val="none"/>
        <c:minorTickMark val="none"/>
        <c:tickLblPos val="low"/>
        <c:spPr>
          <a:noFill/>
          <a:ln w="9545" cap="flat" cmpd="sng" algn="ctr">
            <a:solidFill>
              <a:schemeClr val="tx2">
                <a:lumMod val="15000"/>
                <a:lumOff val="85000"/>
              </a:schemeClr>
            </a:solidFill>
            <a:round/>
          </a:ln>
          <a:effectLst/>
        </c:spPr>
        <c:txPr>
          <a:bodyPr rot="-60000000" spcFirstLastPara="1" vertOverflow="ellipsis" vert="horz" wrap="square" anchor="ctr" anchorCtr="1"/>
          <a:lstStyle/>
          <a:p>
            <a:pPr>
              <a:defRPr sz="80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0"/>
        <c:lblAlgn val="ctr"/>
        <c:lblOffset val="800"/>
        <c:noMultiLvlLbl val="0"/>
      </c:catAx>
      <c:valAx>
        <c:axId val="1"/>
        <c:scaling>
          <c:orientation val="minMax"/>
        </c:scaling>
        <c:delete val="0"/>
        <c:axPos val="l"/>
        <c:majorGridlines>
          <c:spPr>
            <a:ln w="9545" cap="flat" cmpd="sng" algn="ctr">
              <a:solidFill>
                <a:schemeClr val="tx2">
                  <a:lumMod val="15000"/>
                  <a:lumOff val="85000"/>
                </a:schemeClr>
              </a:solidFill>
              <a:round/>
            </a:ln>
            <a:effectLst/>
          </c:spPr>
        </c:majorGridlines>
        <c:numFmt formatCode="0" sourceLinked="1"/>
        <c:majorTickMark val="none"/>
        <c:minorTickMark val="none"/>
        <c:tickLblPos val="nextTo"/>
        <c:spPr>
          <a:ln w="9545">
            <a:noFill/>
          </a:ln>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7812568"/>
        <c:crosses val="autoZero"/>
        <c:crossBetween val="between"/>
      </c:valAx>
      <c:spPr>
        <a:solidFill>
          <a:schemeClr val="bg1"/>
        </a:solidFill>
        <a:ln>
          <a:noFill/>
        </a:ln>
        <a:effectLst/>
      </c:spPr>
    </c:plotArea>
    <c:legend>
      <c:legendPos val="b"/>
      <c:legendEntry>
        <c:idx val="0"/>
        <c:txPr>
          <a:bodyPr rot="0" spcFirstLastPara="1" vertOverflow="ellipsis" vert="horz" wrap="square" anchor="ctr" anchorCtr="1"/>
          <a:lstStyle/>
          <a:p>
            <a:pPr>
              <a:defRPr sz="90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egendEntry>
        <c:idx val="1"/>
        <c:txPr>
          <a:bodyPr rot="0" spcFirstLastPara="1" vertOverflow="ellipsis" vert="horz" wrap="square" anchor="ctr" anchorCtr="1"/>
          <a:lstStyle/>
          <a:p>
            <a:pPr>
              <a:defRPr sz="90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egendEntry>
        <c:idx val="2"/>
        <c:txPr>
          <a:bodyPr rot="0" spcFirstLastPara="1" vertOverflow="ellipsis" vert="horz" wrap="square" anchor="ctr" anchorCtr="1"/>
          <a:lstStyle/>
          <a:p>
            <a:pPr>
              <a:defRPr sz="90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ayout>
        <c:manualLayout>
          <c:xMode val="edge"/>
          <c:yMode val="edge"/>
          <c:x val="0.21404837908774915"/>
          <c:y val="0.9055290928140155"/>
          <c:w val="0.50186375351729673"/>
          <c:h val="9.4470907185984498E-2"/>
        </c:manualLayout>
      </c:layout>
      <c:overlay val="0"/>
      <c:spPr>
        <a:noFill/>
        <a:ln w="25453">
          <a:noFill/>
        </a:ln>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45" cap="flat" cmpd="sng" algn="ctr">
      <a:solidFill>
        <a:schemeClr val="tx2">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929303715429006E-2"/>
          <c:y val="9.0331207537105523E-2"/>
          <c:w val="0.83647402898167145"/>
          <c:h val="0.52294092072846721"/>
        </c:manualLayout>
      </c:layout>
      <c:barChart>
        <c:barDir val="col"/>
        <c:grouping val="clustered"/>
        <c:varyColors val="0"/>
        <c:ser>
          <c:idx val="0"/>
          <c:order val="0"/>
          <c:tx>
            <c:strRef>
              <c:f>Sheet1!$B$1</c:f>
              <c:strCache>
                <c:ptCount val="1"/>
                <c:pt idx="0">
                  <c:v>ԿԲ միջամտություն (զուտ առք), մլն դոլար</c:v>
                </c:pt>
              </c:strCache>
            </c:strRef>
          </c:tx>
          <c:spPr>
            <a:solidFill>
              <a:srgbClr val="4F81BD">
                <a:lumMod val="75000"/>
              </a:srgbClr>
            </a:solidFill>
            <a:ln w="28676">
              <a:noFill/>
            </a:ln>
            <a:effectLst/>
          </c:spPr>
          <c:invertIfNegative val="0"/>
          <c:cat>
            <c:strRef>
              <c:f>Sheet1!$A$2:$A$268</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Sheet1!$B$2:$B$268</c:f>
              <c:numCache>
                <c:formatCode>0</c:formatCode>
                <c:ptCount val="60"/>
                <c:pt idx="0">
                  <c:v>14</c:v>
                </c:pt>
                <c:pt idx="1">
                  <c:v>7</c:v>
                </c:pt>
                <c:pt idx="2">
                  <c:v>26</c:v>
                </c:pt>
                <c:pt idx="3">
                  <c:v>0</c:v>
                </c:pt>
                <c:pt idx="4">
                  <c:v>-10</c:v>
                </c:pt>
                <c:pt idx="5">
                  <c:v>0</c:v>
                </c:pt>
                <c:pt idx="6">
                  <c:v>7</c:v>
                </c:pt>
                <c:pt idx="7">
                  <c:v>0</c:v>
                </c:pt>
                <c:pt idx="8">
                  <c:v>0</c:v>
                </c:pt>
                <c:pt idx="9">
                  <c:v>0</c:v>
                </c:pt>
                <c:pt idx="10">
                  <c:v>0</c:v>
                </c:pt>
                <c:pt idx="11">
                  <c:v>0</c:v>
                </c:pt>
                <c:pt idx="12">
                  <c:v>0</c:v>
                </c:pt>
                <c:pt idx="13">
                  <c:v>0</c:v>
                </c:pt>
                <c:pt idx="14">
                  <c:v>5</c:v>
                </c:pt>
                <c:pt idx="15">
                  <c:v>56.65</c:v>
                </c:pt>
                <c:pt idx="16">
                  <c:v>27</c:v>
                </c:pt>
                <c:pt idx="17">
                  <c:v>96.6</c:v>
                </c:pt>
                <c:pt idx="18">
                  <c:v>94.9</c:v>
                </c:pt>
                <c:pt idx="19">
                  <c:v>29.6</c:v>
                </c:pt>
                <c:pt idx="20">
                  <c:v>123.25</c:v>
                </c:pt>
                <c:pt idx="21">
                  <c:v>61.7</c:v>
                </c:pt>
                <c:pt idx="22">
                  <c:v>27.1</c:v>
                </c:pt>
                <c:pt idx="23">
                  <c:v>43.8</c:v>
                </c:pt>
                <c:pt idx="24">
                  <c:v>37.799999999999997</c:v>
                </c:pt>
                <c:pt idx="25">
                  <c:v>20</c:v>
                </c:pt>
                <c:pt idx="26">
                  <c:v>-70</c:v>
                </c:pt>
                <c:pt idx="27">
                  <c:v>-23.9</c:v>
                </c:pt>
                <c:pt idx="28">
                  <c:v>0</c:v>
                </c:pt>
                <c:pt idx="29">
                  <c:v>0</c:v>
                </c:pt>
                <c:pt idx="30">
                  <c:v>0</c:v>
                </c:pt>
                <c:pt idx="31">
                  <c:v>0</c:v>
                </c:pt>
                <c:pt idx="32">
                  <c:v>0</c:v>
                </c:pt>
                <c:pt idx="33">
                  <c:v>0</c:v>
                </c:pt>
                <c:pt idx="34">
                  <c:v>-60</c:v>
                </c:pt>
                <c:pt idx="35">
                  <c:v>-50.85</c:v>
                </c:pt>
                <c:pt idx="36">
                  <c:v>-46.8</c:v>
                </c:pt>
                <c:pt idx="37">
                  <c:v>0</c:v>
                </c:pt>
                <c:pt idx="38">
                  <c:v>-34.799999999999997</c:v>
                </c:pt>
                <c:pt idx="39">
                  <c:v>-74.7</c:v>
                </c:pt>
                <c:pt idx="40">
                  <c:v>0</c:v>
                </c:pt>
                <c:pt idx="41">
                  <c:v>7</c:v>
                </c:pt>
                <c:pt idx="42">
                  <c:v>0</c:v>
                </c:pt>
                <c:pt idx="43">
                  <c:v>0</c:v>
                </c:pt>
                <c:pt idx="44">
                  <c:v>10</c:v>
                </c:pt>
                <c:pt idx="45">
                  <c:v>0</c:v>
                </c:pt>
                <c:pt idx="46">
                  <c:v>5</c:v>
                </c:pt>
                <c:pt idx="47">
                  <c:v>0</c:v>
                </c:pt>
                <c:pt idx="48">
                  <c:v>0</c:v>
                </c:pt>
                <c:pt idx="49">
                  <c:v>0</c:v>
                </c:pt>
                <c:pt idx="50">
                  <c:v>0</c:v>
                </c:pt>
                <c:pt idx="51">
                  <c:v>67</c:v>
                </c:pt>
                <c:pt idx="52">
                  <c:v>0</c:v>
                </c:pt>
                <c:pt idx="53">
                  <c:v>100</c:v>
                </c:pt>
                <c:pt idx="54">
                  <c:v>18.5</c:v>
                </c:pt>
                <c:pt idx="55">
                  <c:v>81.3</c:v>
                </c:pt>
                <c:pt idx="56" formatCode="0.0">
                  <c:v>55</c:v>
                </c:pt>
                <c:pt idx="57" formatCode="0.0">
                  <c:v>80</c:v>
                </c:pt>
                <c:pt idx="58" formatCode="_(* #,##0_);_(* \(#,##0\);_(* &quot;-&quot;??_);_(@_)">
                  <c:v>114</c:v>
                </c:pt>
                <c:pt idx="59" formatCode="_(* #,##0_);_(* \(#,##0\);_(* &quot;-&quot;??_);_(@_)">
                  <c:v>58</c:v>
                </c:pt>
              </c:numCache>
            </c:numRef>
          </c:val>
          <c:extLst>
            <c:ext xmlns:c16="http://schemas.microsoft.com/office/drawing/2014/chart" uri="{C3380CC4-5D6E-409C-BE32-E72D297353CC}">
              <c16:uniqueId val="{00000000-5B2D-473F-BA9F-078B204E0A8A}"/>
            </c:ext>
          </c:extLst>
        </c:ser>
        <c:dLbls>
          <c:showLegendKey val="0"/>
          <c:showVal val="0"/>
          <c:showCatName val="0"/>
          <c:showSerName val="0"/>
          <c:showPercent val="0"/>
          <c:showBubbleSize val="0"/>
        </c:dLbls>
        <c:gapWidth val="150"/>
        <c:axId val="217695136"/>
        <c:axId val="1"/>
      </c:barChart>
      <c:lineChart>
        <c:grouping val="standard"/>
        <c:varyColors val="0"/>
        <c:ser>
          <c:idx val="1"/>
          <c:order val="1"/>
          <c:tx>
            <c:strRef>
              <c:f>Sheet1!$C$1</c:f>
              <c:strCache>
                <c:ptCount val="1"/>
                <c:pt idx="0">
                  <c:v>Դրամ/դոլար (աջ առանցք)</c:v>
                </c:pt>
              </c:strCache>
            </c:strRef>
          </c:tx>
          <c:spPr>
            <a:ln w="28676" cap="rnd">
              <a:solidFill>
                <a:srgbClr val="1F497D">
                  <a:lumMod val="60000"/>
                  <a:lumOff val="40000"/>
                </a:srgbClr>
              </a:solidFill>
              <a:round/>
            </a:ln>
            <a:effectLst/>
          </c:spPr>
          <c:marker>
            <c:symbol val="none"/>
          </c:marker>
          <c:cat>
            <c:strRef>
              <c:f>Sheet1!$A$2:$A$268</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Sheet1!$C$2:$C$268</c:f>
              <c:numCache>
                <c:formatCode>0</c:formatCode>
                <c:ptCount val="60"/>
                <c:pt idx="0">
                  <c:v>482.4</c:v>
                </c:pt>
                <c:pt idx="1">
                  <c:v>481.37</c:v>
                </c:pt>
                <c:pt idx="2">
                  <c:v>480.41</c:v>
                </c:pt>
                <c:pt idx="3">
                  <c:v>481.35</c:v>
                </c:pt>
                <c:pt idx="4">
                  <c:v>484.09</c:v>
                </c:pt>
                <c:pt idx="5">
                  <c:v>482.62</c:v>
                </c:pt>
                <c:pt idx="6">
                  <c:v>481.43</c:v>
                </c:pt>
                <c:pt idx="7">
                  <c:v>482.43</c:v>
                </c:pt>
                <c:pt idx="8">
                  <c:v>483.82</c:v>
                </c:pt>
                <c:pt idx="9">
                  <c:v>484.93</c:v>
                </c:pt>
                <c:pt idx="10">
                  <c:v>486.33</c:v>
                </c:pt>
                <c:pt idx="11">
                  <c:v>484.67</c:v>
                </c:pt>
                <c:pt idx="12">
                  <c:v>485.79</c:v>
                </c:pt>
                <c:pt idx="13">
                  <c:v>488.41</c:v>
                </c:pt>
                <c:pt idx="14">
                  <c:v>487.48</c:v>
                </c:pt>
                <c:pt idx="15">
                  <c:v>484.29</c:v>
                </c:pt>
                <c:pt idx="16">
                  <c:v>480.55</c:v>
                </c:pt>
                <c:pt idx="17">
                  <c:v>478.47</c:v>
                </c:pt>
                <c:pt idx="18">
                  <c:v>476.5</c:v>
                </c:pt>
                <c:pt idx="19">
                  <c:v>476</c:v>
                </c:pt>
                <c:pt idx="20">
                  <c:v>476.23</c:v>
                </c:pt>
                <c:pt idx="21">
                  <c:v>476.3</c:v>
                </c:pt>
                <c:pt idx="22">
                  <c:v>477.08</c:v>
                </c:pt>
                <c:pt idx="23">
                  <c:v>478.24</c:v>
                </c:pt>
                <c:pt idx="24">
                  <c:v>479.21</c:v>
                </c:pt>
                <c:pt idx="25">
                  <c:v>478.74</c:v>
                </c:pt>
                <c:pt idx="26">
                  <c:v>489.01</c:v>
                </c:pt>
                <c:pt idx="27">
                  <c:v>488.66</c:v>
                </c:pt>
                <c:pt idx="28">
                  <c:v>484.12</c:v>
                </c:pt>
                <c:pt idx="29">
                  <c:v>481.27</c:v>
                </c:pt>
                <c:pt idx="30">
                  <c:v>484.65</c:v>
                </c:pt>
                <c:pt idx="31">
                  <c:v>485.49</c:v>
                </c:pt>
                <c:pt idx="32">
                  <c:v>486.69</c:v>
                </c:pt>
                <c:pt idx="33">
                  <c:v>491.74</c:v>
                </c:pt>
                <c:pt idx="34">
                  <c:v>499.62</c:v>
                </c:pt>
                <c:pt idx="35">
                  <c:v>518.91</c:v>
                </c:pt>
                <c:pt idx="36">
                  <c:v>521.20000000000005</c:v>
                </c:pt>
                <c:pt idx="37">
                  <c:v>523.54</c:v>
                </c:pt>
                <c:pt idx="38">
                  <c:v>527.66999999999996</c:v>
                </c:pt>
                <c:pt idx="39">
                  <c:v>525.62</c:v>
                </c:pt>
                <c:pt idx="40">
                  <c:v>521.35</c:v>
                </c:pt>
                <c:pt idx="41">
                  <c:v>513.09</c:v>
                </c:pt>
                <c:pt idx="42">
                  <c:v>490.87</c:v>
                </c:pt>
                <c:pt idx="43">
                  <c:v>491.73</c:v>
                </c:pt>
                <c:pt idx="44">
                  <c:v>488.12</c:v>
                </c:pt>
                <c:pt idx="45">
                  <c:v>479.25</c:v>
                </c:pt>
                <c:pt idx="46">
                  <c:v>477.66</c:v>
                </c:pt>
                <c:pt idx="47">
                  <c:v>485.14</c:v>
                </c:pt>
                <c:pt idx="48">
                  <c:v>481.99</c:v>
                </c:pt>
                <c:pt idx="49">
                  <c:v>480.24</c:v>
                </c:pt>
                <c:pt idx="50">
                  <c:v>496.96</c:v>
                </c:pt>
                <c:pt idx="51">
                  <c:v>470.99</c:v>
                </c:pt>
                <c:pt idx="52">
                  <c:v>456.54</c:v>
                </c:pt>
                <c:pt idx="53">
                  <c:v>422.69</c:v>
                </c:pt>
                <c:pt idx="54">
                  <c:v>411.03</c:v>
                </c:pt>
                <c:pt idx="55">
                  <c:v>405.75</c:v>
                </c:pt>
                <c:pt idx="56">
                  <c:v>409.15</c:v>
                </c:pt>
                <c:pt idx="57">
                  <c:v>402.73</c:v>
                </c:pt>
                <c:pt idx="58" formatCode="_(* #,##0_);_(* \(#,##0\);_(* &quot;-&quot;??_);_(@_)">
                  <c:v>395.38</c:v>
                </c:pt>
                <c:pt idx="59" formatCode="_(* #,##0_);_(* \(#,##0\);_(* &quot;-&quot;??_);_(@_)">
                  <c:v>394.54</c:v>
                </c:pt>
              </c:numCache>
            </c:numRef>
          </c:val>
          <c:smooth val="0"/>
          <c:extLst>
            <c:ext xmlns:c16="http://schemas.microsoft.com/office/drawing/2014/chart" uri="{C3380CC4-5D6E-409C-BE32-E72D297353CC}">
              <c16:uniqueId val="{00000001-5B2D-473F-BA9F-078B204E0A8A}"/>
            </c:ext>
          </c:extLst>
        </c:ser>
        <c:dLbls>
          <c:showLegendKey val="0"/>
          <c:showVal val="0"/>
          <c:showCatName val="0"/>
          <c:showSerName val="0"/>
          <c:showPercent val="0"/>
          <c:showBubbleSize val="0"/>
        </c:dLbls>
        <c:marker val="1"/>
        <c:smooth val="0"/>
        <c:axId val="3"/>
        <c:axId val="4"/>
      </c:lineChart>
      <c:catAx>
        <c:axId val="217695136"/>
        <c:scaling>
          <c:orientation val="minMax"/>
        </c:scaling>
        <c:delete val="0"/>
        <c:axPos val="b"/>
        <c:numFmt formatCode="General" sourceLinked="1"/>
        <c:majorTickMark val="none"/>
        <c:minorTickMark val="none"/>
        <c:tickLblPos val="low"/>
        <c:spPr>
          <a:noFill/>
          <a:ln w="9559"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0"/>
        <c:lblAlgn val="ctr"/>
        <c:lblOffset val="100"/>
        <c:noMultiLvlLbl val="0"/>
      </c:catAx>
      <c:valAx>
        <c:axId val="1"/>
        <c:scaling>
          <c:orientation val="minMax"/>
        </c:scaling>
        <c:delete val="0"/>
        <c:axPos val="l"/>
        <c:majorGridlines>
          <c:spPr>
            <a:ln w="9559" cap="flat" cmpd="sng" algn="ctr">
              <a:solidFill>
                <a:schemeClr val="tx1">
                  <a:lumMod val="15000"/>
                  <a:lumOff val="85000"/>
                </a:schemeClr>
              </a:solidFill>
              <a:round/>
            </a:ln>
            <a:effectLst/>
          </c:spPr>
        </c:majorGridlines>
        <c:numFmt formatCode="0" sourceLinked="1"/>
        <c:majorTickMark val="none"/>
        <c:minorTickMark val="none"/>
        <c:tickLblPos val="nextTo"/>
        <c:spPr>
          <a:ln w="6373">
            <a:noFill/>
          </a:ln>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769513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in val="380"/>
        </c:scaling>
        <c:delete val="0"/>
        <c:axPos val="r"/>
        <c:numFmt formatCode="0" sourceLinked="1"/>
        <c:majorTickMark val="out"/>
        <c:minorTickMark val="none"/>
        <c:tickLblPos val="nextTo"/>
        <c:spPr>
          <a:ln w="6373">
            <a:noFill/>
          </a:ln>
        </c:spPr>
        <c:txPr>
          <a:bodyPr rot="-60000000" spcFirstLastPara="1" vertOverflow="ellipsis" vert="horz" wrap="square" anchor="ctr" anchorCtr="1"/>
          <a:lstStyle/>
          <a:p>
            <a:pPr>
              <a:defRPr sz="90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
        <c:crosses val="max"/>
        <c:crossBetween val="between"/>
      </c:valAx>
      <c:spPr>
        <a:noFill/>
        <a:ln w="25490">
          <a:noFill/>
        </a:ln>
      </c:spPr>
    </c:plotArea>
    <c:legend>
      <c:legendPos val="b"/>
      <c:layout>
        <c:manualLayout>
          <c:xMode val="edge"/>
          <c:yMode val="edge"/>
          <c:x val="5.2159389167263183E-2"/>
          <c:y val="0.87008300791669324"/>
          <c:w val="0.90563175057663248"/>
          <c:h val="0.11658024454260296"/>
        </c:manualLayout>
      </c:layout>
      <c:overlay val="0"/>
      <c:spPr>
        <a:noFill/>
        <a:ln w="25490">
          <a:noFill/>
        </a:ln>
      </c:spPr>
      <c:txPr>
        <a:bodyPr rot="0" spcFirstLastPara="1" vertOverflow="ellipsis" vert="horz" wrap="square" anchor="ctr" anchorCtr="1"/>
        <a:lstStyle/>
        <a:p>
          <a:pPr>
            <a:defRPr sz="90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59" cap="flat" cmpd="sng" algn="ctr">
      <a:solidFill>
        <a:sysClr val="window" lastClr="FFFFFF">
          <a:lumMod val="85000"/>
        </a:sysClr>
      </a:solidFill>
      <a:round/>
    </a:ln>
    <a:effectLst/>
  </c:spPr>
  <c:txPr>
    <a:bodyPr/>
    <a:lstStyle/>
    <a:p>
      <a:pPr>
        <a:defRPr sz="1405">
          <a:latin typeface="GHEA Grapalat" panose="02000506050000020003" pitchFamily="50"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075108344015141"/>
          <c:y val="3.6326239889158833E-2"/>
          <c:w val="0.78231856192394555"/>
          <c:h val="0.69599078925543234"/>
        </c:manualLayout>
      </c:layout>
      <c:lineChart>
        <c:grouping val="standard"/>
        <c:varyColors val="0"/>
        <c:ser>
          <c:idx val="0"/>
          <c:order val="0"/>
          <c:tx>
            <c:strRef>
              <c:f>Sheet1!$B$1</c:f>
              <c:strCache>
                <c:ptCount val="1"/>
                <c:pt idx="0">
                  <c:v>Իրական</c:v>
                </c:pt>
              </c:strCache>
            </c:strRef>
          </c:tx>
          <c:spPr>
            <a:ln w="28564" cap="rnd">
              <a:solidFill>
                <a:srgbClr val="0070C0"/>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Sheet1!$B$2:$B$61</c:f>
              <c:numCache>
                <c:formatCode>0.0</c:formatCode>
                <c:ptCount val="60"/>
                <c:pt idx="0">
                  <c:v>100</c:v>
                </c:pt>
                <c:pt idx="1">
                  <c:v>98.662179217501063</c:v>
                </c:pt>
                <c:pt idx="2">
                  <c:v>98.948254101808999</c:v>
                </c:pt>
                <c:pt idx="3">
                  <c:v>100.9339503575936</c:v>
                </c:pt>
                <c:pt idx="4">
                  <c:v>102.45687841817417</c:v>
                </c:pt>
                <c:pt idx="5">
                  <c:v>102.38956668068994</c:v>
                </c:pt>
                <c:pt idx="6">
                  <c:v>102.96171644930585</c:v>
                </c:pt>
                <c:pt idx="7">
                  <c:v>107.20235591081196</c:v>
                </c:pt>
                <c:pt idx="8">
                  <c:v>109.29743374000843</c:v>
                </c:pt>
                <c:pt idx="9">
                  <c:v>107.69877997475811</c:v>
                </c:pt>
                <c:pt idx="10">
                  <c:v>107.99326882625158</c:v>
                </c:pt>
                <c:pt idx="11">
                  <c:v>108.89356331510307</c:v>
                </c:pt>
                <c:pt idx="12">
                  <c:v>104.83803113167858</c:v>
                </c:pt>
                <c:pt idx="13">
                  <c:v>104.04711821623894</c:v>
                </c:pt>
                <c:pt idx="14">
                  <c:v>103.92090870845604</c:v>
                </c:pt>
                <c:pt idx="15">
                  <c:v>104.34160706773244</c:v>
                </c:pt>
                <c:pt idx="16">
                  <c:v>105.46907867059318</c:v>
                </c:pt>
                <c:pt idx="17">
                  <c:v>102.56625999158604</c:v>
                </c:pt>
                <c:pt idx="18">
                  <c:v>99.949516196886833</c:v>
                </c:pt>
                <c:pt idx="19">
                  <c:v>100.82456878418174</c:v>
                </c:pt>
                <c:pt idx="20">
                  <c:v>100.97602019352125</c:v>
                </c:pt>
                <c:pt idx="21">
                  <c:v>100.59739167017248</c:v>
                </c:pt>
                <c:pt idx="22">
                  <c:v>101.09381573411864</c:v>
                </c:pt>
                <c:pt idx="23">
                  <c:v>101.75851914177534</c:v>
                </c:pt>
                <c:pt idx="24">
                  <c:v>104.25746739587714</c:v>
                </c:pt>
                <c:pt idx="25">
                  <c:v>106.14219604543543</c:v>
                </c:pt>
                <c:pt idx="26">
                  <c:v>109.10391249474125</c:v>
                </c:pt>
                <c:pt idx="27">
                  <c:v>112.39377366428272</c:v>
                </c:pt>
                <c:pt idx="28">
                  <c:v>112.4190155658393</c:v>
                </c:pt>
                <c:pt idx="29">
                  <c:v>108.70004206983593</c:v>
                </c:pt>
                <c:pt idx="30">
                  <c:v>106.59655027345394</c:v>
                </c:pt>
                <c:pt idx="31">
                  <c:v>106.09171224232227</c:v>
                </c:pt>
                <c:pt idx="32">
                  <c:v>106.98359276398824</c:v>
                </c:pt>
                <c:pt idx="33">
                  <c:v>107.20235591081196</c:v>
                </c:pt>
                <c:pt idx="34">
                  <c:v>105.21665965502736</c:v>
                </c:pt>
                <c:pt idx="35">
                  <c:v>101.53134202776612</c:v>
                </c:pt>
                <c:pt idx="36">
                  <c:v>112.88178376104335</c:v>
                </c:pt>
                <c:pt idx="37">
                  <c:v>112.57888094236435</c:v>
                </c:pt>
                <c:pt idx="38">
                  <c:v>113.36137989061844</c:v>
                </c:pt>
                <c:pt idx="39">
                  <c:v>115.39755994951622</c:v>
                </c:pt>
                <c:pt idx="40">
                  <c:v>113.15103071098024</c:v>
                </c:pt>
                <c:pt idx="41">
                  <c:v>113.3529659234329</c:v>
                </c:pt>
                <c:pt idx="42">
                  <c:v>119.02397980647878</c:v>
                </c:pt>
                <c:pt idx="43">
                  <c:v>119.05763567522088</c:v>
                </c:pt>
                <c:pt idx="44">
                  <c:v>118.94825410180901</c:v>
                </c:pt>
                <c:pt idx="45">
                  <c:v>120.84981068573833</c:v>
                </c:pt>
                <c:pt idx="46">
                  <c:v>124.29953723180481</c:v>
                </c:pt>
                <c:pt idx="47">
                  <c:v>125.82246529238537</c:v>
                </c:pt>
                <c:pt idx="48">
                  <c:v>144.0807740849811</c:v>
                </c:pt>
                <c:pt idx="49">
                  <c:v>143.28144720235593</c:v>
                </c:pt>
                <c:pt idx="50">
                  <c:v>150.50904501472448</c:v>
                </c:pt>
                <c:pt idx="51">
                  <c:v>148.58224652923857</c:v>
                </c:pt>
                <c:pt idx="52">
                  <c:v>147.3201514514094</c:v>
                </c:pt>
                <c:pt idx="53">
                  <c:v>153.31089608750534</c:v>
                </c:pt>
                <c:pt idx="54">
                  <c:v>157.83761043331941</c:v>
                </c:pt>
                <c:pt idx="55">
                  <c:v>161.96886832141365</c:v>
                </c:pt>
                <c:pt idx="56">
                  <c:v>162.63357172907035</c:v>
                </c:pt>
                <c:pt idx="57">
                  <c:v>167.37063525452263</c:v>
                </c:pt>
                <c:pt idx="58">
                  <c:v>170.47538914598246</c:v>
                </c:pt>
                <c:pt idx="59">
                  <c:v>173.96718552797654</c:v>
                </c:pt>
              </c:numCache>
            </c:numRef>
          </c:val>
          <c:smooth val="0"/>
          <c:extLst>
            <c:ext xmlns:c16="http://schemas.microsoft.com/office/drawing/2014/chart" uri="{C3380CC4-5D6E-409C-BE32-E72D297353CC}">
              <c16:uniqueId val="{00000000-EA19-4BFB-B5E0-2F3293EF45C6}"/>
            </c:ext>
          </c:extLst>
        </c:ser>
        <c:ser>
          <c:idx val="1"/>
          <c:order val="1"/>
          <c:tx>
            <c:strRef>
              <c:f>Sheet1!$C$1</c:f>
              <c:strCache>
                <c:ptCount val="1"/>
                <c:pt idx="0">
                  <c:v>Անվանական</c:v>
                </c:pt>
              </c:strCache>
            </c:strRef>
          </c:tx>
          <c:spPr>
            <a:ln w="28564"/>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Sheet1!$C$2:$C$61</c:f>
              <c:numCache>
                <c:formatCode>0.0</c:formatCode>
                <c:ptCount val="60"/>
                <c:pt idx="0">
                  <c:v>100</c:v>
                </c:pt>
                <c:pt idx="1">
                  <c:v>99.564619615032086</c:v>
                </c:pt>
                <c:pt idx="2">
                  <c:v>100.05346776657503</c:v>
                </c:pt>
                <c:pt idx="3">
                  <c:v>102.77268560953256</c:v>
                </c:pt>
                <c:pt idx="4">
                  <c:v>105.85853956614729</c:v>
                </c:pt>
                <c:pt idx="5">
                  <c:v>108.06599450045832</c:v>
                </c:pt>
                <c:pt idx="6">
                  <c:v>110.2810876871372</c:v>
                </c:pt>
                <c:pt idx="7">
                  <c:v>114.79529483654142</c:v>
                </c:pt>
                <c:pt idx="8">
                  <c:v>117.7436602505347</c:v>
                </c:pt>
                <c:pt idx="9">
                  <c:v>116.63611365719525</c:v>
                </c:pt>
                <c:pt idx="10">
                  <c:v>115.99450045829519</c:v>
                </c:pt>
                <c:pt idx="11">
                  <c:v>115.44454628780937</c:v>
                </c:pt>
                <c:pt idx="12">
                  <c:v>108.3791628475405</c:v>
                </c:pt>
                <c:pt idx="13">
                  <c:v>111.61778185151239</c:v>
                </c:pt>
                <c:pt idx="14">
                  <c:v>112.12954476015889</c:v>
                </c:pt>
                <c:pt idx="15">
                  <c:v>113.4051329055912</c:v>
                </c:pt>
                <c:pt idx="16">
                  <c:v>115.48273754964865</c:v>
                </c:pt>
                <c:pt idx="17">
                  <c:v>114.49740299419493</c:v>
                </c:pt>
                <c:pt idx="18">
                  <c:v>113.89398105713413</c:v>
                </c:pt>
                <c:pt idx="19">
                  <c:v>115.38344026886648</c:v>
                </c:pt>
                <c:pt idx="20">
                  <c:v>115.55148182095937</c:v>
                </c:pt>
                <c:pt idx="21">
                  <c:v>115.07027192178431</c:v>
                </c:pt>
                <c:pt idx="22">
                  <c:v>114.70363580812709</c:v>
                </c:pt>
                <c:pt idx="23">
                  <c:v>114.51267949893064</c:v>
                </c:pt>
                <c:pt idx="24">
                  <c:v>111.59486709440881</c:v>
                </c:pt>
                <c:pt idx="25">
                  <c:v>114.13076688053775</c:v>
                </c:pt>
                <c:pt idx="26">
                  <c:v>116.93400549954174</c:v>
                </c:pt>
                <c:pt idx="27">
                  <c:v>119.7372441185457</c:v>
                </c:pt>
                <c:pt idx="28">
                  <c:v>120.09624197983504</c:v>
                </c:pt>
                <c:pt idx="29">
                  <c:v>118.17140238313478</c:v>
                </c:pt>
                <c:pt idx="30">
                  <c:v>118.74427131072414</c:v>
                </c:pt>
                <c:pt idx="31">
                  <c:v>118.74427131072414</c:v>
                </c:pt>
                <c:pt idx="32">
                  <c:v>120.29483654139936</c:v>
                </c:pt>
                <c:pt idx="33">
                  <c:v>120.76840818820658</c:v>
                </c:pt>
                <c:pt idx="34">
                  <c:v>117.52978918423469</c:v>
                </c:pt>
                <c:pt idx="35">
                  <c:v>110.37274671555151</c:v>
                </c:pt>
                <c:pt idx="36">
                  <c:v>122.67797128017114</c:v>
                </c:pt>
                <c:pt idx="37">
                  <c:v>122.44118545676753</c:v>
                </c:pt>
                <c:pt idx="38">
                  <c:v>122.90711885120687</c:v>
                </c:pt>
                <c:pt idx="39">
                  <c:v>124.28200427742138</c:v>
                </c:pt>
                <c:pt idx="40">
                  <c:v>122.89184234647115</c:v>
                </c:pt>
                <c:pt idx="41">
                  <c:v>124.79376718606787</c:v>
                </c:pt>
                <c:pt idx="42">
                  <c:v>132.35563703024752</c:v>
                </c:pt>
                <c:pt idx="43">
                  <c:v>132.48548732050111</c:v>
                </c:pt>
                <c:pt idx="44">
                  <c:v>133.31805682859766</c:v>
                </c:pt>
                <c:pt idx="45">
                  <c:v>136.06018942865879</c:v>
                </c:pt>
                <c:pt idx="46">
                  <c:v>138.79468377635203</c:v>
                </c:pt>
                <c:pt idx="47">
                  <c:v>139.74182706996643</c:v>
                </c:pt>
                <c:pt idx="48">
                  <c:v>160.71646807210516</c:v>
                </c:pt>
                <c:pt idx="49">
                  <c:v>161.4955698136267</c:v>
                </c:pt>
                <c:pt idx="50">
                  <c:v>172.34188817598539</c:v>
                </c:pt>
                <c:pt idx="51">
                  <c:v>168.65261228230986</c:v>
                </c:pt>
                <c:pt idx="52">
                  <c:v>168.2248701497098</c:v>
                </c:pt>
                <c:pt idx="53">
                  <c:v>176.52001222120384</c:v>
                </c:pt>
                <c:pt idx="54">
                  <c:v>185.01374885426222</c:v>
                </c:pt>
                <c:pt idx="55">
                  <c:v>190.12373968835939</c:v>
                </c:pt>
                <c:pt idx="56">
                  <c:v>191.08615948670953</c:v>
                </c:pt>
                <c:pt idx="57">
                  <c:v>197.64741827069977</c:v>
                </c:pt>
                <c:pt idx="58">
                  <c:v>199.77085242896439</c:v>
                </c:pt>
                <c:pt idx="59">
                  <c:v>202.29147571035759</c:v>
                </c:pt>
              </c:numCache>
            </c:numRef>
          </c:val>
          <c:smooth val="0"/>
          <c:extLst>
            <c:ext xmlns:c16="http://schemas.microsoft.com/office/drawing/2014/chart" uri="{C3380CC4-5D6E-409C-BE32-E72D297353CC}">
              <c16:uniqueId val="{00000001-EA19-4BFB-B5E0-2F3293EF45C6}"/>
            </c:ext>
          </c:extLst>
        </c:ser>
        <c:dLbls>
          <c:showLegendKey val="0"/>
          <c:showVal val="0"/>
          <c:showCatName val="0"/>
          <c:showSerName val="0"/>
          <c:showPercent val="0"/>
          <c:showBubbleSize val="0"/>
        </c:dLbls>
        <c:smooth val="0"/>
        <c:axId val="215007448"/>
        <c:axId val="1"/>
      </c:lineChart>
      <c:catAx>
        <c:axId val="215007448"/>
        <c:scaling>
          <c:orientation val="minMax"/>
        </c:scaling>
        <c:delete val="0"/>
        <c:axPos val="b"/>
        <c:numFmt formatCode="General" sourceLinked="1"/>
        <c:majorTickMark val="none"/>
        <c:minorTickMark val="none"/>
        <c:tickLblPos val="low"/>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
        <c:crosses val="autoZero"/>
        <c:auto val="0"/>
        <c:lblAlgn val="ctr"/>
        <c:lblOffset val="100"/>
        <c:noMultiLvlLbl val="0"/>
      </c:catAx>
      <c:valAx>
        <c:axId val="1"/>
        <c:scaling>
          <c:orientation val="minMax"/>
          <c:max val="210"/>
          <c:min val="85"/>
        </c:scaling>
        <c:delete val="0"/>
        <c:axPos val="l"/>
        <c:majorGridlines>
          <c:spPr>
            <a:ln w="9521" cap="flat" cmpd="sng" algn="ctr">
              <a:solidFill>
                <a:schemeClr val="tx1">
                  <a:lumMod val="15000"/>
                  <a:lumOff val="85000"/>
                </a:schemeClr>
              </a:solidFill>
              <a:round/>
            </a:ln>
            <a:effectLst/>
          </c:spPr>
        </c:majorGridlines>
        <c:title>
          <c:tx>
            <c:rich>
              <a:bodyPr/>
              <a:lstStyle/>
              <a:p>
                <a:pPr>
                  <a:defRPr sz="800" b="0" i="0" u="none" strike="noStrike" baseline="0">
                    <a:solidFill>
                      <a:srgbClr val="333333"/>
                    </a:solidFill>
                    <a:latin typeface="Arial"/>
                    <a:ea typeface="Arial"/>
                    <a:cs typeface="Arial"/>
                  </a:defRPr>
                </a:pPr>
                <a:r>
                  <a:rPr lang="hy-AM"/>
                  <a:t>Ինդեքս, 2018-ի հունվարը՝ 100</a:t>
                </a:r>
              </a:p>
            </c:rich>
          </c:tx>
          <c:overlay val="0"/>
          <c:spPr>
            <a:noFill/>
            <a:ln w="25390">
              <a:noFill/>
            </a:ln>
          </c:spPr>
        </c:title>
        <c:numFmt formatCode="0.0" sourceLinked="1"/>
        <c:majorTickMark val="none"/>
        <c:minorTickMark val="none"/>
        <c:tickLblPos val="nextTo"/>
        <c:spPr>
          <a:ln w="634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007448"/>
        <c:crosses val="autoZero"/>
        <c:crossBetween val="between"/>
      </c:valAx>
      <c:spPr>
        <a:solidFill>
          <a:sysClr val="window" lastClr="FFFFFF"/>
        </a:solidFill>
        <a:ln>
          <a:noFill/>
        </a:ln>
        <a:effectLst/>
      </c:spPr>
    </c:plotArea>
    <c:legend>
      <c:legendPos val="b"/>
      <c:layout>
        <c:manualLayout>
          <c:xMode val="edge"/>
          <c:yMode val="edge"/>
          <c:x val="9.2519527873387089E-2"/>
          <c:y val="0.91945358181578651"/>
          <c:w val="0.84656608043754999"/>
          <c:h val="7.7657049625553531E-2"/>
        </c:manualLayout>
      </c:layout>
      <c:overlay val="0"/>
      <c:spPr>
        <a:noFill/>
        <a:ln w="2539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1" cap="flat" cmpd="sng" algn="ctr">
      <a:solidFill>
        <a:sysClr val="window" lastClr="FFFFFF">
          <a:lumMod val="85000"/>
        </a:sysClr>
      </a:solidFill>
      <a:round/>
    </a:ln>
    <a:effectLst/>
  </c:spPr>
  <c:txPr>
    <a:bodyPr/>
    <a:lstStyle/>
    <a:p>
      <a:pPr>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b="0"/>
            </a:pPr>
            <a:r>
              <a:rPr lang="en-US" b="0"/>
              <a:t>Վարկերի</a:t>
            </a:r>
            <a:r>
              <a:rPr lang="hy-AM" b="0"/>
              <a:t> </a:t>
            </a:r>
            <a:r>
              <a:rPr lang="en-US" b="0"/>
              <a:t>ծավալների աճ</a:t>
            </a:r>
            <a:r>
              <a:rPr lang="hy-AM" b="0"/>
              <a:t> </a:t>
            </a:r>
            <a:r>
              <a:rPr lang="ru-RU" b="0"/>
              <a:t>(</a:t>
            </a:r>
            <a:r>
              <a:rPr lang="hy-AM" b="0"/>
              <a:t>ռեզիդենտների</a:t>
            </a:r>
            <a:r>
              <a:rPr lang="ru-RU" b="0"/>
              <a:t>)</a:t>
            </a:r>
            <a:r>
              <a:rPr lang="en-US" b="0"/>
              <a:t>, 2021</a:t>
            </a:r>
            <a:r>
              <a:rPr lang="hy-AM" b="0"/>
              <a:t>-</a:t>
            </a:r>
            <a:r>
              <a:rPr lang="en-US" b="0"/>
              <a:t>20</a:t>
            </a:r>
            <a:r>
              <a:rPr lang="hy-AM" b="0"/>
              <a:t>2</a:t>
            </a:r>
            <a:r>
              <a:rPr lang="en-US" b="0"/>
              <a:t>2թ</a:t>
            </a:r>
            <a:r>
              <a:rPr lang="en-US" sz="1080" b="0" i="0" u="none" strike="noStrike" kern="1200" baseline="0">
                <a:solidFill>
                  <a:sysClr val="windowText" lastClr="000000"/>
                </a:solidFill>
                <a:latin typeface="GHEA Grapalat" panose="02000506050000020003" pitchFamily="50" charset="0"/>
                <a:ea typeface="+mn-ea"/>
                <a:cs typeface="+mn-cs"/>
              </a:rPr>
              <a:t>թ.</a:t>
            </a:r>
            <a:endParaRPr lang="en-US" b="0"/>
          </a:p>
        </c:rich>
      </c:tx>
      <c:layout>
        <c:manualLayout>
          <c:xMode val="edge"/>
          <c:yMode val="edge"/>
          <c:x val="0.14779313823557072"/>
          <c:y val="2.4445403228706003E-3"/>
        </c:manualLayout>
      </c:layout>
      <c:overlay val="0"/>
    </c:title>
    <c:autoTitleDeleted val="0"/>
    <c:plotArea>
      <c:layout>
        <c:manualLayout>
          <c:layoutTarget val="inner"/>
          <c:xMode val="edge"/>
          <c:yMode val="edge"/>
          <c:x val="0.13587542745146414"/>
          <c:y val="0.20323084614423198"/>
          <c:w val="0.85020387464621749"/>
          <c:h val="0.49709304548851913"/>
        </c:manualLayout>
      </c:layout>
      <c:lineChart>
        <c:grouping val="standard"/>
        <c:varyColors val="0"/>
        <c:ser>
          <c:idx val="0"/>
          <c:order val="0"/>
          <c:tx>
            <c:strRef>
              <c:f>Sheet1!$B$1</c:f>
              <c:strCache>
                <c:ptCount val="1"/>
                <c:pt idx="0">
                  <c:v>2019</c:v>
                </c:pt>
              </c:strCache>
            </c:strRef>
          </c:tx>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Ref>
          </c:val>
          <c:smooth val="0"/>
          <c:extLst>
            <c:ext xmlns:c16="http://schemas.microsoft.com/office/drawing/2014/chart" uri="{C3380CC4-5D6E-409C-BE32-E72D297353CC}">
              <c16:uniqueId val="{00000000-2C03-4BF8-AB00-841538A8473C}"/>
            </c:ext>
          </c:extLst>
        </c:ser>
        <c:ser>
          <c:idx val="1"/>
          <c:order val="1"/>
          <c:tx>
            <c:strRef>
              <c:f>Sheet1!$C$1</c:f>
              <c:strCache>
                <c:ptCount val="1"/>
                <c:pt idx="0">
                  <c:v>2020</c:v>
                </c:pt>
              </c:strCache>
            </c:strRef>
          </c:tx>
          <c:marker>
            <c:spPr>
              <a:ln>
                <a:prstDash val="dash"/>
              </a:ln>
            </c:spPr>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Ref>
          </c:val>
          <c:smooth val="0"/>
          <c:extLst>
            <c:ext xmlns:c16="http://schemas.microsoft.com/office/drawing/2014/chart" uri="{C3380CC4-5D6E-409C-BE32-E72D297353CC}">
              <c16:uniqueId val="{00000001-2C03-4BF8-AB00-841538A8473C}"/>
            </c:ext>
          </c:extLst>
        </c:ser>
        <c:ser>
          <c:idx val="2"/>
          <c:order val="2"/>
          <c:tx>
            <c:strRef>
              <c:f>Sheet1!$D$1</c:f>
              <c:strCache>
                <c:ptCount val="1"/>
                <c:pt idx="0">
                  <c:v>2021</c:v>
                </c:pt>
              </c:strCache>
            </c:strRef>
          </c:tx>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0.0</c:formatCode>
                <c:ptCount val="12"/>
                <c:pt idx="0">
                  <c:v>13.304601379217232</c:v>
                </c:pt>
                <c:pt idx="1">
                  <c:v>11.392753116399291</c:v>
                </c:pt>
                <c:pt idx="2">
                  <c:v>8.2007149309115874</c:v>
                </c:pt>
                <c:pt idx="3">
                  <c:v>10.217866240787615</c:v>
                </c:pt>
                <c:pt idx="4">
                  <c:v>6.5547417559048853</c:v>
                </c:pt>
                <c:pt idx="5">
                  <c:v>2.1596102835680568</c:v>
                </c:pt>
                <c:pt idx="6" formatCode="General">
                  <c:v>-1.4</c:v>
                </c:pt>
                <c:pt idx="7" formatCode="General">
                  <c:v>-1.9</c:v>
                </c:pt>
                <c:pt idx="8" formatCode="General">
                  <c:v>-3.4</c:v>
                </c:pt>
                <c:pt idx="9">
                  <c:v>-4.9597252132566041</c:v>
                </c:pt>
                <c:pt idx="10">
                  <c:v>-3.1136997457549995</c:v>
                </c:pt>
                <c:pt idx="11">
                  <c:v>-4.3084902726498768</c:v>
                </c:pt>
              </c:numCache>
            </c:numRef>
          </c:val>
          <c:smooth val="0"/>
          <c:extLst>
            <c:ext xmlns:c16="http://schemas.microsoft.com/office/drawing/2014/chart" uri="{C3380CC4-5D6E-409C-BE32-E72D297353CC}">
              <c16:uniqueId val="{00000002-2C03-4BF8-AB00-841538A8473C}"/>
            </c:ext>
          </c:extLst>
        </c:ser>
        <c:ser>
          <c:idx val="3"/>
          <c:order val="3"/>
          <c:tx>
            <c:strRef>
              <c:f>Sheet1!$E$1</c:f>
              <c:strCache>
                <c:ptCount val="1"/>
                <c:pt idx="0">
                  <c:v>2022</c:v>
                </c:pt>
              </c:strCache>
            </c:strRef>
          </c:tx>
          <c:spPr>
            <a:ln>
              <a:solidFill>
                <a:srgbClr val="5B9BD5"/>
              </a:solidFill>
            </a:ln>
          </c:spPr>
          <c:marker>
            <c:symbol val="square"/>
            <c:size val="6"/>
            <c:spPr>
              <a:solidFill>
                <a:srgbClr val="5B9BD5"/>
              </a:solidFill>
              <a:ln>
                <a:noFill/>
              </a:ln>
            </c:spPr>
          </c:marker>
          <c:dLbls>
            <c:spPr>
              <a:noFill/>
              <a:ln w="25391">
                <a:noFill/>
              </a:ln>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Sheet1!$E$2:$E$13</c:f>
              <c:numCache>
                <c:formatCode>0.0</c:formatCode>
                <c:ptCount val="12"/>
                <c:pt idx="0">
                  <c:v>-1.1901198543983469</c:v>
                </c:pt>
                <c:pt idx="1">
                  <c:v>-0.15949466952658042</c:v>
                </c:pt>
                <c:pt idx="2">
                  <c:v>-0.41329430125270505</c:v>
                </c:pt>
                <c:pt idx="3">
                  <c:v>-1.5195504747755422</c:v>
                </c:pt>
                <c:pt idx="4">
                  <c:v>1.677357347216784</c:v>
                </c:pt>
                <c:pt idx="5">
                  <c:v>1.9391553925500915</c:v>
                </c:pt>
                <c:pt idx="6">
                  <c:v>3.3262968194340345</c:v>
                </c:pt>
                <c:pt idx="7">
                  <c:v>3.2736290383981412</c:v>
                </c:pt>
                <c:pt idx="8">
                  <c:v>4.3282569824322223</c:v>
                </c:pt>
                <c:pt idx="9">
                  <c:v>4.1514469114022319</c:v>
                </c:pt>
                <c:pt idx="10">
                  <c:v>4.858755125224306</c:v>
                </c:pt>
                <c:pt idx="11">
                  <c:v>6.0966030434863399</c:v>
                </c:pt>
              </c:numCache>
            </c:numRef>
          </c:val>
          <c:smooth val="0"/>
          <c:extLst>
            <c:ext xmlns:c16="http://schemas.microsoft.com/office/drawing/2014/chart" uri="{C3380CC4-5D6E-409C-BE32-E72D297353CC}">
              <c16:uniqueId val="{00000003-2C03-4BF8-AB00-841538A8473C}"/>
            </c:ext>
          </c:extLst>
        </c:ser>
        <c:ser>
          <c:idx val="4"/>
          <c:order val="4"/>
          <c:tx>
            <c:strRef>
              <c:f>Sheet1!$F$1</c:f>
              <c:strCache>
                <c:ptCount val="1"/>
                <c:pt idx="0">
                  <c:v>2022 (առանց դրամի արժևորման)</c:v>
                </c:pt>
              </c:strCache>
            </c:strRef>
          </c:tx>
          <c:spPr>
            <a:ln>
              <a:solidFill>
                <a:srgbClr val="C00000"/>
              </a:solidFill>
              <a:prstDash val="dash"/>
            </a:ln>
          </c:spPr>
          <c:marker>
            <c:symbol val="none"/>
          </c:marker>
          <c:dLbls>
            <c:spPr>
              <a:noFill/>
              <a:ln w="25391">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Sheet1!$F$2:$F$13</c:f>
              <c:numCache>
                <c:formatCode>0.0</c:formatCode>
                <c:ptCount val="12"/>
                <c:pt idx="0">
                  <c:v>-1.1901198543983469</c:v>
                </c:pt>
                <c:pt idx="1">
                  <c:v>-0.15949466952658042</c:v>
                </c:pt>
                <c:pt idx="2">
                  <c:v>-0.59367880356178659</c:v>
                </c:pt>
                <c:pt idx="3">
                  <c:v>1.2854428496829229</c:v>
                </c:pt>
                <c:pt idx="4">
                  <c:v>5.0812724814332029</c:v>
                </c:pt>
                <c:pt idx="5">
                  <c:v>9.4205071331532366</c:v>
                </c:pt>
                <c:pt idx="6">
                  <c:v>10.529331499056198</c:v>
                </c:pt>
                <c:pt idx="7">
                  <c:v>10.890898660457381</c:v>
                </c:pt>
                <c:pt idx="8">
                  <c:v>11.737255189412437</c:v>
                </c:pt>
                <c:pt idx="9">
                  <c:v>12.770682720317069</c:v>
                </c:pt>
                <c:pt idx="10">
                  <c:v>13.568618318585891</c:v>
                </c:pt>
                <c:pt idx="11">
                  <c:v>14.932266469302306</c:v>
                </c:pt>
              </c:numCache>
            </c:numRef>
          </c:val>
          <c:smooth val="0"/>
          <c:extLst>
            <c:ext xmlns:c16="http://schemas.microsoft.com/office/drawing/2014/chart" uri="{C3380CC4-5D6E-409C-BE32-E72D297353CC}">
              <c16:uniqueId val="{00000004-2C03-4BF8-AB00-841538A8473C}"/>
            </c:ext>
          </c:extLst>
        </c:ser>
        <c:dLbls>
          <c:showLegendKey val="0"/>
          <c:showVal val="0"/>
          <c:showCatName val="0"/>
          <c:showSerName val="0"/>
          <c:showPercent val="0"/>
          <c:showBubbleSize val="0"/>
        </c:dLbls>
        <c:marker val="1"/>
        <c:smooth val="0"/>
        <c:axId val="174361272"/>
        <c:axId val="1"/>
      </c:lineChart>
      <c:catAx>
        <c:axId val="174361272"/>
        <c:scaling>
          <c:orientation val="minMax"/>
        </c:scaling>
        <c:delete val="0"/>
        <c:axPos val="b"/>
        <c:numFmt formatCode="General" sourceLinked="1"/>
        <c:majorTickMark val="out"/>
        <c:minorTickMark val="none"/>
        <c:tickLblPos val="low"/>
        <c:crossAx val="1"/>
        <c:crosses val="autoZero"/>
        <c:auto val="1"/>
        <c:lblAlgn val="ctr"/>
        <c:lblOffset val="400"/>
        <c:noMultiLvlLbl val="0"/>
      </c:catAx>
      <c:valAx>
        <c:axId val="1"/>
        <c:scaling>
          <c:orientation val="minMax"/>
          <c:min val="-10"/>
        </c:scaling>
        <c:delete val="0"/>
        <c:axPos val="l"/>
        <c:numFmt formatCode="0.0" sourceLinked="1"/>
        <c:majorTickMark val="out"/>
        <c:minorTickMark val="none"/>
        <c:tickLblPos val="nextTo"/>
        <c:crossAx val="174361272"/>
        <c:crosses val="autoZero"/>
        <c:crossBetween val="between"/>
      </c:valAx>
    </c:plotArea>
    <c:legend>
      <c:legendPos val="r"/>
      <c:layout>
        <c:manualLayout>
          <c:xMode val="edge"/>
          <c:yMode val="edge"/>
          <c:x val="1.6618020467311295E-2"/>
          <c:y val="0.80973717326430084"/>
          <c:w val="0.93498952696059567"/>
          <c:h val="0.19026282673569916"/>
        </c:manualLayout>
      </c:layout>
      <c:overlay val="0"/>
    </c:legend>
    <c:plotVisOnly val="1"/>
    <c:dispBlanksAs val="gap"/>
    <c:showDLblsOverMax val="0"/>
  </c:chart>
  <c:spPr>
    <a:noFill/>
    <a:ln w="6348">
      <a:solidFill>
        <a:sysClr val="window" lastClr="FFFFFF">
          <a:lumMod val="85000"/>
        </a:sysClr>
      </a:solidFill>
    </a:ln>
    <a:effectLst/>
  </c:spPr>
  <c:txPr>
    <a:bodyPr/>
    <a:lstStyle/>
    <a:p>
      <a:pPr>
        <a:defRPr sz="900">
          <a:latin typeface="GHEA Grapalat" panose="02000506050000020003" pitchFamily="50" charset="0"/>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b="0"/>
            </a:pPr>
            <a:r>
              <a:rPr lang="en-US" b="0"/>
              <a:t>Ավանդների ծավալների աճ</a:t>
            </a:r>
            <a:r>
              <a:rPr lang="hy-AM" b="0"/>
              <a:t> </a:t>
            </a:r>
            <a:r>
              <a:rPr lang="ru-RU" b="0"/>
              <a:t>(</a:t>
            </a:r>
            <a:r>
              <a:rPr lang="hy-AM" b="0"/>
              <a:t>ռեզիդենտների</a:t>
            </a:r>
            <a:r>
              <a:rPr lang="ru-RU" b="0"/>
              <a:t>)</a:t>
            </a:r>
            <a:r>
              <a:rPr lang="en-US" b="0"/>
              <a:t>, 20</a:t>
            </a:r>
            <a:r>
              <a:rPr lang="hy-AM" b="0"/>
              <a:t>2</a:t>
            </a:r>
            <a:r>
              <a:rPr lang="en-US" b="0"/>
              <a:t>1</a:t>
            </a:r>
            <a:r>
              <a:rPr lang="hy-AM" b="0"/>
              <a:t>-</a:t>
            </a:r>
            <a:r>
              <a:rPr lang="en-US" b="0"/>
              <a:t>20</a:t>
            </a:r>
            <a:r>
              <a:rPr lang="hy-AM" b="0"/>
              <a:t>2</a:t>
            </a:r>
            <a:r>
              <a:rPr lang="en-US" b="0"/>
              <a:t>2թ</a:t>
            </a:r>
            <a:r>
              <a:rPr lang="en-US" sz="1080" b="0" i="0" u="none" strike="noStrike" kern="1200" baseline="0">
                <a:solidFill>
                  <a:sysClr val="windowText" lastClr="000000"/>
                </a:solidFill>
                <a:latin typeface="GHEA Grapalat" panose="02000506050000020003" pitchFamily="50" charset="0"/>
                <a:ea typeface="+mn-ea"/>
                <a:cs typeface="+mn-cs"/>
              </a:rPr>
              <a:t>թ.</a:t>
            </a:r>
            <a:r>
              <a:rPr lang="en-US" b="0"/>
              <a:t> </a:t>
            </a:r>
          </a:p>
        </c:rich>
      </c:tx>
      <c:layout>
        <c:manualLayout>
          <c:xMode val="edge"/>
          <c:yMode val="edge"/>
          <c:x val="0.16384005745210189"/>
          <c:y val="2.1471973537554381E-3"/>
        </c:manualLayout>
      </c:layout>
      <c:overlay val="0"/>
    </c:title>
    <c:autoTitleDeleted val="0"/>
    <c:plotArea>
      <c:layout>
        <c:manualLayout>
          <c:layoutTarget val="inner"/>
          <c:xMode val="edge"/>
          <c:yMode val="edge"/>
          <c:x val="4.3464888974767725E-2"/>
          <c:y val="0.2138511852685081"/>
          <c:w val="0.83504548144718005"/>
          <c:h val="0.49895274718567156"/>
        </c:manualLayout>
      </c:layout>
      <c:lineChart>
        <c:grouping val="standard"/>
        <c:varyColors val="0"/>
        <c:ser>
          <c:idx val="0"/>
          <c:order val="0"/>
          <c:tx>
            <c:strRef>
              <c:f>Sheet1!$B$1</c:f>
              <c:strCache>
                <c:ptCount val="1"/>
                <c:pt idx="0">
                  <c:v>2019</c:v>
                </c:pt>
              </c:strCache>
            </c:strRef>
          </c:tx>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Ref>
          </c:val>
          <c:smooth val="0"/>
          <c:extLst>
            <c:ext xmlns:c16="http://schemas.microsoft.com/office/drawing/2014/chart" uri="{C3380CC4-5D6E-409C-BE32-E72D297353CC}">
              <c16:uniqueId val="{00000000-A666-45B0-A7E9-27E22EEA6C54}"/>
            </c:ext>
          </c:extLst>
        </c:ser>
        <c:ser>
          <c:idx val="1"/>
          <c:order val="1"/>
          <c:tx>
            <c:strRef>
              <c:f>Sheet1!$C$1</c:f>
              <c:strCache>
                <c:ptCount val="1"/>
                <c:pt idx="0">
                  <c:v>2020</c:v>
                </c:pt>
              </c:strCache>
            </c:strRef>
          </c:tx>
          <c:marker>
            <c:spPr>
              <a:ln>
                <a:prstDash val="dash"/>
              </a:ln>
            </c:spPr>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Ref>
          </c:val>
          <c:smooth val="0"/>
          <c:extLst>
            <c:ext xmlns:c16="http://schemas.microsoft.com/office/drawing/2014/chart" uri="{C3380CC4-5D6E-409C-BE32-E72D297353CC}">
              <c16:uniqueId val="{00000001-A666-45B0-A7E9-27E22EEA6C54}"/>
            </c:ext>
          </c:extLst>
        </c:ser>
        <c:ser>
          <c:idx val="2"/>
          <c:order val="2"/>
          <c:tx>
            <c:strRef>
              <c:f>Sheet1!$D$1</c:f>
              <c:strCache>
                <c:ptCount val="1"/>
                <c:pt idx="0">
                  <c:v>2021</c:v>
                </c:pt>
              </c:strCache>
            </c:strRef>
          </c:tx>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0.0</c:formatCode>
                <c:ptCount val="12"/>
                <c:pt idx="0">
                  <c:v>6.0633604301782071</c:v>
                </c:pt>
                <c:pt idx="1">
                  <c:v>7.5739206400768921</c:v>
                </c:pt>
                <c:pt idx="2">
                  <c:v>9.9616471644381477</c:v>
                </c:pt>
                <c:pt idx="3" formatCode="General">
                  <c:v>12.4</c:v>
                </c:pt>
                <c:pt idx="4" formatCode="General">
                  <c:v>11.5</c:v>
                </c:pt>
                <c:pt idx="5" formatCode="General">
                  <c:v>11.6</c:v>
                </c:pt>
                <c:pt idx="6">
                  <c:v>11.060265540434486</c:v>
                </c:pt>
                <c:pt idx="7">
                  <c:v>12.08276957156491</c:v>
                </c:pt>
                <c:pt idx="8">
                  <c:v>12.456540660659215</c:v>
                </c:pt>
                <c:pt idx="9">
                  <c:v>18.032299692489872</c:v>
                </c:pt>
                <c:pt idx="10">
                  <c:v>18.278921266842033</c:v>
                </c:pt>
                <c:pt idx="11">
                  <c:v>17.5660097871734</c:v>
                </c:pt>
              </c:numCache>
            </c:numRef>
          </c:val>
          <c:smooth val="0"/>
          <c:extLst>
            <c:ext xmlns:c16="http://schemas.microsoft.com/office/drawing/2014/chart" uri="{C3380CC4-5D6E-409C-BE32-E72D297353CC}">
              <c16:uniqueId val="{00000002-A666-45B0-A7E9-27E22EEA6C54}"/>
            </c:ext>
          </c:extLst>
        </c:ser>
        <c:ser>
          <c:idx val="3"/>
          <c:order val="3"/>
          <c:tx>
            <c:strRef>
              <c:f>Sheet1!$E$1</c:f>
              <c:strCache>
                <c:ptCount val="1"/>
                <c:pt idx="0">
                  <c:v>2022</c:v>
                </c:pt>
              </c:strCache>
            </c:strRef>
          </c:tx>
          <c:spPr>
            <a:ln>
              <a:solidFill>
                <a:srgbClr val="5B9BD5"/>
              </a:solidFill>
            </a:ln>
          </c:spPr>
          <c:marker>
            <c:symbol val="square"/>
            <c:size val="6"/>
            <c:spPr>
              <a:solidFill>
                <a:srgbClr val="5B9BD5"/>
              </a:solidFill>
              <a:ln>
                <a:noFill/>
              </a:ln>
            </c:spPr>
          </c:marker>
          <c:dLbls>
            <c:spPr>
              <a:noFill/>
              <a:ln w="25391">
                <a:noFill/>
              </a:ln>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Sheet1!$E$2:$E$13</c:f>
              <c:numCache>
                <c:formatCode>0.0</c:formatCode>
                <c:ptCount val="12"/>
                <c:pt idx="0">
                  <c:v>19.065893188817881</c:v>
                </c:pt>
                <c:pt idx="1">
                  <c:v>16.575865297662233</c:v>
                </c:pt>
                <c:pt idx="2">
                  <c:v>13.039110302972887</c:v>
                </c:pt>
                <c:pt idx="3">
                  <c:v>11.621666256055846</c:v>
                </c:pt>
                <c:pt idx="4">
                  <c:v>12.601440562088854</c:v>
                </c:pt>
                <c:pt idx="5">
                  <c:v>10.268789716692169</c:v>
                </c:pt>
                <c:pt idx="6">
                  <c:v>11.69913881315334</c:v>
                </c:pt>
                <c:pt idx="7">
                  <c:v>10.813897468549399</c:v>
                </c:pt>
                <c:pt idx="8">
                  <c:v>13.129466080747093</c:v>
                </c:pt>
                <c:pt idx="9">
                  <c:v>13.622120482284643</c:v>
                </c:pt>
                <c:pt idx="10">
                  <c:v>16.88865738870507</c:v>
                </c:pt>
                <c:pt idx="11">
                  <c:v>17.460421550041076</c:v>
                </c:pt>
              </c:numCache>
            </c:numRef>
          </c:val>
          <c:smooth val="0"/>
          <c:extLst>
            <c:ext xmlns:c16="http://schemas.microsoft.com/office/drawing/2014/chart" uri="{C3380CC4-5D6E-409C-BE32-E72D297353CC}">
              <c16:uniqueId val="{00000003-A666-45B0-A7E9-27E22EEA6C54}"/>
            </c:ext>
          </c:extLst>
        </c:ser>
        <c:ser>
          <c:idx val="4"/>
          <c:order val="4"/>
          <c:tx>
            <c:strRef>
              <c:f>Sheet1!$F$1</c:f>
              <c:strCache>
                <c:ptCount val="1"/>
                <c:pt idx="0">
                  <c:v>2022 (առանց դրամի արժևորման)</c:v>
                </c:pt>
              </c:strCache>
            </c:strRef>
          </c:tx>
          <c:spPr>
            <a:ln>
              <a:solidFill>
                <a:srgbClr val="C00000"/>
              </a:solidFill>
              <a:prstDash val="dash"/>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A666-45B0-A7E9-27E22EEA6C54}"/>
                </c:ext>
              </c:extLst>
            </c:dLbl>
            <c:dLbl>
              <c:idx val="1"/>
              <c:delete val="1"/>
              <c:extLst>
                <c:ext xmlns:c15="http://schemas.microsoft.com/office/drawing/2012/chart" uri="{CE6537A1-D6FC-4f65-9D91-7224C49458BB}"/>
                <c:ext xmlns:c16="http://schemas.microsoft.com/office/drawing/2014/chart" uri="{C3380CC4-5D6E-409C-BE32-E72D297353CC}">
                  <c16:uniqueId val="{00000005-A666-45B0-A7E9-27E22EEA6C54}"/>
                </c:ext>
              </c:extLst>
            </c:dLbl>
            <c:dLbl>
              <c:idx val="2"/>
              <c:delete val="1"/>
              <c:extLst>
                <c:ext xmlns:c15="http://schemas.microsoft.com/office/drawing/2012/chart" uri="{CE6537A1-D6FC-4f65-9D91-7224C49458BB}"/>
                <c:ext xmlns:c16="http://schemas.microsoft.com/office/drawing/2014/chart" uri="{C3380CC4-5D6E-409C-BE32-E72D297353CC}">
                  <c16:uniqueId val="{00000006-A666-45B0-A7E9-27E22EEA6C54}"/>
                </c:ext>
              </c:extLst>
            </c:dLbl>
            <c:spPr>
              <a:noFill/>
              <a:ln w="25391">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Sheet1!$F$2:$F$13</c:f>
              <c:numCache>
                <c:formatCode>0.0</c:formatCode>
                <c:ptCount val="12"/>
                <c:pt idx="0">
                  <c:v>19.065893188817881</c:v>
                </c:pt>
                <c:pt idx="1">
                  <c:v>16.575865297662233</c:v>
                </c:pt>
                <c:pt idx="2">
                  <c:v>12.838571961520344</c:v>
                </c:pt>
                <c:pt idx="3">
                  <c:v>14.751983253574053</c:v>
                </c:pt>
                <c:pt idx="4">
                  <c:v>16.434087780558372</c:v>
                </c:pt>
                <c:pt idx="5">
                  <c:v>18.944949200998963</c:v>
                </c:pt>
                <c:pt idx="6">
                  <c:v>20.544675750387071</c:v>
                </c:pt>
                <c:pt idx="7">
                  <c:v>19.955790333391406</c:v>
                </c:pt>
                <c:pt idx="8">
                  <c:v>22.650439680767477</c:v>
                </c:pt>
                <c:pt idx="9">
                  <c:v>24.667373148414029</c:v>
                </c:pt>
                <c:pt idx="10">
                  <c:v>28.427691247209225</c:v>
                </c:pt>
                <c:pt idx="11">
                  <c:v>29.224378384203675</c:v>
                </c:pt>
              </c:numCache>
            </c:numRef>
          </c:val>
          <c:smooth val="0"/>
          <c:extLst>
            <c:ext xmlns:c16="http://schemas.microsoft.com/office/drawing/2014/chart" uri="{C3380CC4-5D6E-409C-BE32-E72D297353CC}">
              <c16:uniqueId val="{00000007-A666-45B0-A7E9-27E22EEA6C54}"/>
            </c:ext>
          </c:extLst>
        </c:ser>
        <c:dLbls>
          <c:showLegendKey val="0"/>
          <c:showVal val="0"/>
          <c:showCatName val="0"/>
          <c:showSerName val="0"/>
          <c:showPercent val="0"/>
          <c:showBubbleSize val="0"/>
        </c:dLbls>
        <c:marker val="1"/>
        <c:smooth val="0"/>
        <c:axId val="174487024"/>
        <c:axId val="1"/>
      </c:lineChart>
      <c:catAx>
        <c:axId val="174487024"/>
        <c:scaling>
          <c:orientation val="minMax"/>
        </c:scaling>
        <c:delete val="0"/>
        <c:axPos val="b"/>
        <c:numFmt formatCode="General" sourceLinked="1"/>
        <c:majorTickMark val="out"/>
        <c:minorTickMark val="none"/>
        <c:tickLblPos val="nextTo"/>
        <c:txPr>
          <a:bodyPr rot="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out"/>
        <c:minorTickMark val="none"/>
        <c:tickLblPos val="nextTo"/>
        <c:crossAx val="174487024"/>
        <c:crosses val="autoZero"/>
        <c:crossBetween val="between"/>
      </c:valAx>
    </c:plotArea>
    <c:legend>
      <c:legendPos val="r"/>
      <c:layout>
        <c:manualLayout>
          <c:xMode val="edge"/>
          <c:yMode val="edge"/>
          <c:x val="5.9308009951524791E-2"/>
          <c:y val="0.78649732139646922"/>
          <c:w val="0.9010753460377714"/>
          <c:h val="0.21350267860353067"/>
        </c:manualLayout>
      </c:layout>
      <c:overlay val="0"/>
    </c:legend>
    <c:plotVisOnly val="1"/>
    <c:dispBlanksAs val="gap"/>
    <c:showDLblsOverMax val="0"/>
  </c:chart>
  <c:spPr>
    <a:noFill/>
    <a:ln w="6348">
      <a:solidFill>
        <a:sysClr val="window" lastClr="FFFFFF">
          <a:lumMod val="75000"/>
        </a:sysClr>
      </a:solidFill>
    </a:ln>
    <a:effectLst/>
  </c:spPr>
  <c:txPr>
    <a:bodyPr/>
    <a:lstStyle/>
    <a:p>
      <a:pPr>
        <a:defRPr sz="900">
          <a:latin typeface="GHEA Grapalat" panose="02000506050000020003" pitchFamily="50" charset="0"/>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69"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a:t>Ռեզիդենտների վարկային պորտֆելը, մլրդ ՀՀ դրամ</a:t>
            </a:r>
            <a:endParaRPr lang="en-US"/>
          </a:p>
        </c:rich>
      </c:tx>
      <c:layout>
        <c:manualLayout>
          <c:xMode val="edge"/>
          <c:yMode val="edge"/>
          <c:x val="0.21342684254500341"/>
          <c:y val="0"/>
        </c:manualLayout>
      </c:layout>
      <c:overlay val="0"/>
      <c:spPr>
        <a:noFill/>
        <a:ln w="25151">
          <a:noFill/>
        </a:ln>
      </c:spPr>
    </c:title>
    <c:autoTitleDeleted val="0"/>
    <c:plotArea>
      <c:layout>
        <c:manualLayout>
          <c:layoutTarget val="inner"/>
          <c:xMode val="edge"/>
          <c:yMode val="edge"/>
          <c:x val="0.19075461361722307"/>
          <c:y val="0.16673603299587553"/>
          <c:w val="0.66364134389743334"/>
          <c:h val="0.49505280589926259"/>
        </c:manualLayout>
      </c:layout>
      <c:barChart>
        <c:barDir val="col"/>
        <c:grouping val="stacked"/>
        <c:varyColors val="0"/>
        <c:ser>
          <c:idx val="0"/>
          <c:order val="0"/>
          <c:tx>
            <c:strRef>
              <c:f>Sheet1!$B$1</c:f>
              <c:strCache>
                <c:ptCount val="1"/>
                <c:pt idx="0">
                  <c:v>Տնտեսության ճյուղերին ուղղված վարկեր</c:v>
                </c:pt>
              </c:strCache>
            </c:strRef>
          </c:tx>
          <c:spPr>
            <a:solidFill>
              <a:srgbClr val="4F81BD"/>
            </a:solidFill>
            <a:ln w="25151">
              <a:noFill/>
            </a:ln>
          </c:spPr>
          <c:invertIfNegative val="0"/>
          <c:cat>
            <c:numRef>
              <c:f>Sheet1!$A$2:$A$61</c:f>
              <c:numCache>
                <c:formatCode>General</c:formatCode>
                <c:ptCount val="20"/>
                <c:pt idx="3" formatCode="0">
                  <c:v>2018</c:v>
                </c:pt>
                <c:pt idx="7" formatCode="0">
                  <c:v>2019</c:v>
                </c:pt>
                <c:pt idx="11" formatCode="0">
                  <c:v>2020</c:v>
                </c:pt>
                <c:pt idx="15" formatCode="0">
                  <c:v>2021</c:v>
                </c:pt>
                <c:pt idx="19" formatCode="0">
                  <c:v>2022</c:v>
                </c:pt>
              </c:numCache>
            </c:numRef>
          </c:cat>
          <c:val>
            <c:numRef>
              <c:f>Sheet1!$B$2:$B$61</c:f>
              <c:numCache>
                <c:formatCode>0.0</c:formatCode>
                <c:ptCount val="20"/>
                <c:pt idx="0">
                  <c:v>1494.3532299999999</c:v>
                </c:pt>
                <c:pt idx="1">
                  <c:v>1575.803107</c:v>
                </c:pt>
                <c:pt idx="2">
                  <c:v>1584.074734</c:v>
                </c:pt>
                <c:pt idx="3">
                  <c:v>1595.0922370000001</c:v>
                </c:pt>
                <c:pt idx="4">
                  <c:v>1608.4312749999999</c:v>
                </c:pt>
                <c:pt idx="5">
                  <c:v>1616.1906629999999</c:v>
                </c:pt>
                <c:pt idx="6">
                  <c:v>1656.5625790000001</c:v>
                </c:pt>
                <c:pt idx="7">
                  <c:v>1731.211025606</c:v>
                </c:pt>
                <c:pt idx="8">
                  <c:v>1815.7468719999999</c:v>
                </c:pt>
                <c:pt idx="9">
                  <c:v>1836.2722710000003</c:v>
                </c:pt>
                <c:pt idx="10">
                  <c:v>1959.0920599999997</c:v>
                </c:pt>
                <c:pt idx="11">
                  <c:v>2091.3401699999999</c:v>
                </c:pt>
                <c:pt idx="12">
                  <c:v>2086.7286224722147</c:v>
                </c:pt>
                <c:pt idx="13">
                  <c:v>1966.5195811297567</c:v>
                </c:pt>
                <c:pt idx="14">
                  <c:v>1937.0785153998636</c:v>
                </c:pt>
                <c:pt idx="15">
                  <c:v>1942.037</c:v>
                </c:pt>
                <c:pt idx="16">
                  <c:v>2005.4380839999999</c:v>
                </c:pt>
                <c:pt idx="17">
                  <c:v>1886.193053</c:v>
                </c:pt>
                <c:pt idx="18">
                  <c:v>1865.018071</c:v>
                </c:pt>
                <c:pt idx="19">
                  <c:v>1896.1247096419504</c:v>
                </c:pt>
              </c:numCache>
            </c:numRef>
          </c:val>
          <c:extLst>
            <c:ext xmlns:c16="http://schemas.microsoft.com/office/drawing/2014/chart" uri="{C3380CC4-5D6E-409C-BE32-E72D297353CC}">
              <c16:uniqueId val="{00000000-5FD8-453D-A93C-31F5A60EB06F}"/>
            </c:ext>
          </c:extLst>
        </c:ser>
        <c:ser>
          <c:idx val="1"/>
          <c:order val="1"/>
          <c:tx>
            <c:strRef>
              <c:f>Sheet1!$C$1</c:f>
              <c:strCache>
                <c:ptCount val="1"/>
                <c:pt idx="0">
                  <c:v>Սպառողական վարկեր</c:v>
                </c:pt>
              </c:strCache>
            </c:strRef>
          </c:tx>
          <c:spPr>
            <a:solidFill>
              <a:srgbClr val="C0504D"/>
            </a:solidFill>
            <a:ln w="25151">
              <a:noFill/>
            </a:ln>
          </c:spPr>
          <c:invertIfNegative val="0"/>
          <c:cat>
            <c:numRef>
              <c:f>Sheet1!$A$2:$A$61</c:f>
              <c:numCache>
                <c:formatCode>General</c:formatCode>
                <c:ptCount val="20"/>
                <c:pt idx="3" formatCode="0">
                  <c:v>2018</c:v>
                </c:pt>
                <c:pt idx="7" formatCode="0">
                  <c:v>2019</c:v>
                </c:pt>
                <c:pt idx="11" formatCode="0">
                  <c:v>2020</c:v>
                </c:pt>
                <c:pt idx="15" formatCode="0">
                  <c:v>2021</c:v>
                </c:pt>
                <c:pt idx="19" formatCode="0">
                  <c:v>2022</c:v>
                </c:pt>
              </c:numCache>
            </c:numRef>
          </c:cat>
          <c:val>
            <c:numRef>
              <c:f>Sheet1!$C$2:$C$61</c:f>
              <c:numCache>
                <c:formatCode>0.0</c:formatCode>
                <c:ptCount val="20"/>
                <c:pt idx="0">
                  <c:v>548.642112</c:v>
                </c:pt>
                <c:pt idx="1">
                  <c:v>585.71069668500013</c:v>
                </c:pt>
                <c:pt idx="2">
                  <c:v>629.061285</c:v>
                </c:pt>
                <c:pt idx="3">
                  <c:v>701.12272800000005</c:v>
                </c:pt>
                <c:pt idx="4">
                  <c:v>744.38430143326013</c:v>
                </c:pt>
                <c:pt idx="5">
                  <c:v>795.40906700000005</c:v>
                </c:pt>
                <c:pt idx="6">
                  <c:v>846.01199800000006</c:v>
                </c:pt>
                <c:pt idx="7">
                  <c:v>915.91808300000002</c:v>
                </c:pt>
                <c:pt idx="8">
                  <c:v>951.94207299999994</c:v>
                </c:pt>
                <c:pt idx="9">
                  <c:v>955.53028000000006</c:v>
                </c:pt>
                <c:pt idx="10">
                  <c:v>960.91446799999994</c:v>
                </c:pt>
                <c:pt idx="11">
                  <c:v>929.04224399999998</c:v>
                </c:pt>
                <c:pt idx="12">
                  <c:v>915.56433019917631</c:v>
                </c:pt>
                <c:pt idx="13">
                  <c:v>871.24731988103053</c:v>
                </c:pt>
                <c:pt idx="14">
                  <c:v>833.16175229414921</c:v>
                </c:pt>
                <c:pt idx="15">
                  <c:v>824.83699999999999</c:v>
                </c:pt>
                <c:pt idx="16">
                  <c:v>834.40724999999998</c:v>
                </c:pt>
                <c:pt idx="17">
                  <c:v>828.159403</c:v>
                </c:pt>
                <c:pt idx="18">
                  <c:v>837.56598800000006</c:v>
                </c:pt>
                <c:pt idx="19">
                  <c:v>895.46070828430993</c:v>
                </c:pt>
              </c:numCache>
            </c:numRef>
          </c:val>
          <c:extLst>
            <c:ext xmlns:c16="http://schemas.microsoft.com/office/drawing/2014/chart" uri="{C3380CC4-5D6E-409C-BE32-E72D297353CC}">
              <c16:uniqueId val="{00000001-5FD8-453D-A93C-31F5A60EB06F}"/>
            </c:ext>
          </c:extLst>
        </c:ser>
        <c:ser>
          <c:idx val="2"/>
          <c:order val="2"/>
          <c:tx>
            <c:strRef>
              <c:f>Sheet1!$D$1</c:f>
              <c:strCache>
                <c:ptCount val="1"/>
                <c:pt idx="0">
                  <c:v>Հիպոթեքային վարկեր</c:v>
                </c:pt>
              </c:strCache>
            </c:strRef>
          </c:tx>
          <c:spPr>
            <a:solidFill>
              <a:srgbClr val="9BBB59"/>
            </a:solidFill>
            <a:ln w="25151">
              <a:noFill/>
            </a:ln>
          </c:spPr>
          <c:invertIfNegative val="0"/>
          <c:cat>
            <c:numRef>
              <c:f>Sheet1!$A$2:$A$61</c:f>
              <c:numCache>
                <c:formatCode>General</c:formatCode>
                <c:ptCount val="20"/>
                <c:pt idx="3" formatCode="0">
                  <c:v>2018</c:v>
                </c:pt>
                <c:pt idx="7" formatCode="0">
                  <c:v>2019</c:v>
                </c:pt>
                <c:pt idx="11" formatCode="0">
                  <c:v>2020</c:v>
                </c:pt>
                <c:pt idx="15" formatCode="0">
                  <c:v>2021</c:v>
                </c:pt>
                <c:pt idx="19" formatCode="0">
                  <c:v>2022</c:v>
                </c:pt>
              </c:numCache>
            </c:numRef>
          </c:cat>
          <c:val>
            <c:numRef>
              <c:f>Sheet1!$D$2:$D$61</c:f>
              <c:numCache>
                <c:formatCode>0.0</c:formatCode>
                <c:ptCount val="20"/>
                <c:pt idx="0">
                  <c:v>210.548508</c:v>
                </c:pt>
                <c:pt idx="1">
                  <c:v>219.90281200000001</c:v>
                </c:pt>
                <c:pt idx="2">
                  <c:v>231.06856500000001</c:v>
                </c:pt>
                <c:pt idx="3">
                  <c:v>255.20936399999999</c:v>
                </c:pt>
                <c:pt idx="4">
                  <c:v>270.24869000000001</c:v>
                </c:pt>
                <c:pt idx="5">
                  <c:v>295.33238899999998</c:v>
                </c:pt>
                <c:pt idx="6">
                  <c:v>321.58908500000001</c:v>
                </c:pt>
                <c:pt idx="7">
                  <c:v>358.75952899999999</c:v>
                </c:pt>
                <c:pt idx="8">
                  <c:v>394.95331799999997</c:v>
                </c:pt>
                <c:pt idx="9">
                  <c:v>404.61893999999995</c:v>
                </c:pt>
                <c:pt idx="10">
                  <c:v>441.16723500000001</c:v>
                </c:pt>
                <c:pt idx="11">
                  <c:v>481.21191599999997</c:v>
                </c:pt>
                <c:pt idx="12">
                  <c:v>517.18580457345661</c:v>
                </c:pt>
                <c:pt idx="13">
                  <c:v>551.45232219393165</c:v>
                </c:pt>
                <c:pt idx="14">
                  <c:v>587.25406379402125</c:v>
                </c:pt>
                <c:pt idx="15">
                  <c:v>654.66800000000001</c:v>
                </c:pt>
                <c:pt idx="16">
                  <c:v>698.01737800000001</c:v>
                </c:pt>
                <c:pt idx="17">
                  <c:v>721.901929</c:v>
                </c:pt>
                <c:pt idx="18">
                  <c:v>780.3971140000001</c:v>
                </c:pt>
                <c:pt idx="19">
                  <c:v>849.39562202326942</c:v>
                </c:pt>
              </c:numCache>
            </c:numRef>
          </c:val>
          <c:extLst>
            <c:ext xmlns:c16="http://schemas.microsoft.com/office/drawing/2014/chart" uri="{C3380CC4-5D6E-409C-BE32-E72D297353CC}">
              <c16:uniqueId val="{00000002-5FD8-453D-A93C-31F5A60EB06F}"/>
            </c:ext>
          </c:extLst>
        </c:ser>
        <c:ser>
          <c:idx val="3"/>
          <c:order val="3"/>
          <c:tx>
            <c:strRef>
              <c:f>Sheet1!$E$1</c:f>
              <c:strCache>
                <c:ptCount val="1"/>
                <c:pt idx="0">
                  <c:v>Այլ</c:v>
                </c:pt>
              </c:strCache>
            </c:strRef>
          </c:tx>
          <c:spPr>
            <a:solidFill>
              <a:srgbClr val="8064A2"/>
            </a:solidFill>
            <a:ln w="25151">
              <a:noFill/>
            </a:ln>
          </c:spPr>
          <c:invertIfNegative val="0"/>
          <c:cat>
            <c:numRef>
              <c:f>Sheet1!$A$2:$A$61</c:f>
              <c:numCache>
                <c:formatCode>General</c:formatCode>
                <c:ptCount val="20"/>
                <c:pt idx="3" formatCode="0">
                  <c:v>2018</c:v>
                </c:pt>
                <c:pt idx="7" formatCode="0">
                  <c:v>2019</c:v>
                </c:pt>
                <c:pt idx="11" formatCode="0">
                  <c:v>2020</c:v>
                </c:pt>
                <c:pt idx="15" formatCode="0">
                  <c:v>2021</c:v>
                </c:pt>
                <c:pt idx="19" formatCode="0">
                  <c:v>2022</c:v>
                </c:pt>
              </c:numCache>
            </c:numRef>
          </c:cat>
          <c:val>
            <c:numRef>
              <c:f>Sheet1!$E$2:$E$61</c:f>
              <c:numCache>
                <c:formatCode>0.0</c:formatCode>
                <c:ptCount val="20"/>
                <c:pt idx="0">
                  <c:v>211.04539500000001</c:v>
                </c:pt>
                <c:pt idx="1">
                  <c:v>215.66359600000001</c:v>
                </c:pt>
                <c:pt idx="2">
                  <c:v>222.23633799999999</c:v>
                </c:pt>
                <c:pt idx="3">
                  <c:v>231.18371999999999</c:v>
                </c:pt>
                <c:pt idx="4">
                  <c:v>216.54209100000003</c:v>
                </c:pt>
                <c:pt idx="5">
                  <c:v>227.567072</c:v>
                </c:pt>
                <c:pt idx="6">
                  <c:v>232.74833600000002</c:v>
                </c:pt>
                <c:pt idx="7">
                  <c:v>242.121814</c:v>
                </c:pt>
                <c:pt idx="8">
                  <c:v>248.97432500000002</c:v>
                </c:pt>
                <c:pt idx="9">
                  <c:v>258.95920799999999</c:v>
                </c:pt>
                <c:pt idx="10">
                  <c:v>256.17615900000004</c:v>
                </c:pt>
                <c:pt idx="11">
                  <c:v>233.249537</c:v>
                </c:pt>
                <c:pt idx="12">
                  <c:v>170.45870753685111</c:v>
                </c:pt>
                <c:pt idx="13">
                  <c:v>139.68690193375738</c:v>
                </c:pt>
                <c:pt idx="14">
                  <c:v>142.25712648839331</c:v>
                </c:pt>
                <c:pt idx="15">
                  <c:v>159.523</c:v>
                </c:pt>
                <c:pt idx="16">
                  <c:v>136.39778000000001</c:v>
                </c:pt>
                <c:pt idx="17">
                  <c:v>142.09570299999999</c:v>
                </c:pt>
                <c:pt idx="18">
                  <c:v>142.944087</c:v>
                </c:pt>
                <c:pt idx="19">
                  <c:v>154.99269228273002</c:v>
                </c:pt>
              </c:numCache>
            </c:numRef>
          </c:val>
          <c:extLst>
            <c:ext xmlns:c16="http://schemas.microsoft.com/office/drawing/2014/chart" uri="{C3380CC4-5D6E-409C-BE32-E72D297353CC}">
              <c16:uniqueId val="{00000003-5FD8-453D-A93C-31F5A60EB06F}"/>
            </c:ext>
          </c:extLst>
        </c:ser>
        <c:dLbls>
          <c:showLegendKey val="0"/>
          <c:showVal val="0"/>
          <c:showCatName val="0"/>
          <c:showSerName val="0"/>
          <c:showPercent val="0"/>
          <c:showBubbleSize val="0"/>
        </c:dLbls>
        <c:gapWidth val="150"/>
        <c:overlap val="100"/>
        <c:axId val="215975536"/>
        <c:axId val="1"/>
      </c:barChart>
      <c:lineChart>
        <c:grouping val="standard"/>
        <c:varyColors val="0"/>
        <c:ser>
          <c:idx val="4"/>
          <c:order val="4"/>
          <c:tx>
            <c:strRef>
              <c:f>Sheet1!$F$1</c:f>
              <c:strCache>
                <c:ptCount val="1"/>
                <c:pt idx="0">
                  <c:v>Դոլարայնացում (%, աջ առանցք)</c:v>
                </c:pt>
              </c:strCache>
            </c:strRef>
          </c:tx>
          <c:spPr>
            <a:ln w="28295" cap="rnd">
              <a:solidFill>
                <a:schemeClr val="accent5"/>
              </a:solidFill>
              <a:round/>
            </a:ln>
            <a:effectLst/>
          </c:spPr>
          <c:marker>
            <c:symbol val="none"/>
          </c:marker>
          <c:cat>
            <c:numRef>
              <c:f>Sheet1!$A$2:$A$61</c:f>
              <c:numCache>
                <c:formatCode>General</c:formatCode>
                <c:ptCount val="20"/>
                <c:pt idx="3" formatCode="0">
                  <c:v>2018</c:v>
                </c:pt>
                <c:pt idx="7" formatCode="0">
                  <c:v>2019</c:v>
                </c:pt>
                <c:pt idx="11" formatCode="0">
                  <c:v>2020</c:v>
                </c:pt>
                <c:pt idx="15" formatCode="0">
                  <c:v>2021</c:v>
                </c:pt>
                <c:pt idx="19" formatCode="0">
                  <c:v>2022</c:v>
                </c:pt>
              </c:numCache>
            </c:numRef>
          </c:cat>
          <c:val>
            <c:numRef>
              <c:f>Sheet1!$F$2:$F$61</c:f>
              <c:numCache>
                <c:formatCode>0.0</c:formatCode>
                <c:ptCount val="20"/>
                <c:pt idx="0">
                  <c:v>60.504579575000115</c:v>
                </c:pt>
                <c:pt idx="1">
                  <c:v>58.981154518888033</c:v>
                </c:pt>
                <c:pt idx="2">
                  <c:v>56.575264352663915</c:v>
                </c:pt>
                <c:pt idx="3">
                  <c:v>53.931088379420579</c:v>
                </c:pt>
                <c:pt idx="4">
                  <c:v>52.518909648018365</c:v>
                </c:pt>
                <c:pt idx="5">
                  <c:v>51.391676926505028</c:v>
                </c:pt>
                <c:pt idx="6">
                  <c:v>50.509365982241782</c:v>
                </c:pt>
                <c:pt idx="7">
                  <c:v>49.322848145739393</c:v>
                </c:pt>
                <c:pt idx="8">
                  <c:v>50.124039514743281</c:v>
                </c:pt>
                <c:pt idx="9">
                  <c:v>48.479425114185922</c:v>
                </c:pt>
                <c:pt idx="10">
                  <c:v>48.137841294526851</c:v>
                </c:pt>
                <c:pt idx="11">
                  <c:v>49.511987263652472</c:v>
                </c:pt>
                <c:pt idx="12">
                  <c:v>49.360514110896666</c:v>
                </c:pt>
                <c:pt idx="13">
                  <c:v>46.436641172828367</c:v>
                </c:pt>
                <c:pt idx="14">
                  <c:v>45.230440273230847</c:v>
                </c:pt>
                <c:pt idx="15">
                  <c:v>43.773631182802802</c:v>
                </c:pt>
                <c:pt idx="16">
                  <c:v>44.228337680079136</c:v>
                </c:pt>
                <c:pt idx="17">
                  <c:v>38.958793125140616</c:v>
                </c:pt>
                <c:pt idx="18">
                  <c:v>36.988487672147144</c:v>
                </c:pt>
                <c:pt idx="19">
                  <c:v>35.590459031217357</c:v>
                </c:pt>
              </c:numCache>
            </c:numRef>
          </c:val>
          <c:smooth val="0"/>
          <c:extLst>
            <c:ext xmlns:c16="http://schemas.microsoft.com/office/drawing/2014/chart" uri="{C3380CC4-5D6E-409C-BE32-E72D297353CC}">
              <c16:uniqueId val="{00000004-5FD8-453D-A93C-31F5A60EB06F}"/>
            </c:ext>
          </c:extLst>
        </c:ser>
        <c:dLbls>
          <c:showLegendKey val="0"/>
          <c:showVal val="0"/>
          <c:showCatName val="0"/>
          <c:showSerName val="0"/>
          <c:showPercent val="0"/>
          <c:showBubbleSize val="0"/>
        </c:dLbls>
        <c:marker val="1"/>
        <c:smooth val="0"/>
        <c:axId val="3"/>
        <c:axId val="4"/>
      </c:lineChart>
      <c:catAx>
        <c:axId val="215975536"/>
        <c:scaling>
          <c:orientation val="minMax"/>
        </c:scaling>
        <c:delete val="0"/>
        <c:axPos val="b"/>
        <c:numFmt formatCode="General" sourceLinked="1"/>
        <c:majorTickMark val="none"/>
        <c:minorTickMark val="none"/>
        <c:tickLblPos val="nextTo"/>
        <c:spPr>
          <a:noFill/>
          <a:ln w="9432" cap="flat" cmpd="sng" algn="ctr">
            <a:solidFill>
              <a:schemeClr val="tx1">
                <a:lumMod val="15000"/>
                <a:lumOff val="85000"/>
              </a:schemeClr>
            </a:solidFill>
            <a:round/>
          </a:ln>
          <a:effectLst/>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432">
            <a:noFill/>
          </a:ln>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597553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spPr>
          <a:ln w="9432">
            <a:noFill/>
          </a:ln>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
        <c:crosses val="max"/>
        <c:crossBetween val="between"/>
      </c:valAx>
      <c:spPr>
        <a:noFill/>
        <a:ln w="25151">
          <a:noFill/>
        </a:ln>
      </c:spPr>
    </c:plotArea>
    <c:legend>
      <c:legendPos val="b"/>
      <c:layout>
        <c:manualLayout>
          <c:xMode val="edge"/>
          <c:yMode val="edge"/>
          <c:x val="1.3821471672954064E-2"/>
          <c:y val="0.74495692639647038"/>
          <c:w val="0.95574279903115"/>
          <c:h val="0.23123359580052494"/>
        </c:manualLayout>
      </c:layout>
      <c:overlay val="0"/>
      <c:spPr>
        <a:noFill/>
        <a:ln w="25151">
          <a:noFill/>
        </a:ln>
      </c:spPr>
      <c:txPr>
        <a:bodyPr rot="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432" cap="flat" cmpd="sng" algn="ctr">
      <a:solidFill>
        <a:schemeClr val="tx1">
          <a:lumMod val="15000"/>
          <a:lumOff val="85000"/>
        </a:schemeClr>
      </a:solidFill>
      <a:round/>
    </a:ln>
    <a:effectLst/>
  </c:spPr>
  <c:txPr>
    <a:bodyPr/>
    <a:lstStyle/>
    <a:p>
      <a:pPr>
        <a:defRPr sz="891">
          <a:latin typeface="GHEA Grapalat" panose="02000506050000020003" pitchFamily="50" charset="0"/>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69"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a:t>Բանկերի ավանդային պորտֆելը, մլրդ ՀՀ դրամ</a:t>
            </a:r>
            <a:endParaRPr lang="en-US"/>
          </a:p>
        </c:rich>
      </c:tx>
      <c:layout>
        <c:manualLayout>
          <c:xMode val="edge"/>
          <c:yMode val="edge"/>
          <c:x val="0.14877755905511811"/>
          <c:y val="0"/>
        </c:manualLayout>
      </c:layout>
      <c:overlay val="0"/>
      <c:spPr>
        <a:noFill/>
        <a:ln w="25151">
          <a:noFill/>
        </a:ln>
      </c:spPr>
    </c:title>
    <c:autoTitleDeleted val="0"/>
    <c:plotArea>
      <c:layout>
        <c:manualLayout>
          <c:layoutTarget val="inner"/>
          <c:xMode val="edge"/>
          <c:yMode val="edge"/>
          <c:x val="0.18642106100373818"/>
          <c:y val="0.16673603299587553"/>
          <c:w val="0.67208717092181658"/>
          <c:h val="0.50262560929883759"/>
        </c:manualLayout>
      </c:layout>
      <c:barChart>
        <c:barDir val="col"/>
        <c:grouping val="stacked"/>
        <c:varyColors val="0"/>
        <c:ser>
          <c:idx val="0"/>
          <c:order val="0"/>
          <c:tx>
            <c:strRef>
              <c:f>Sheet1!$B$1</c:f>
              <c:strCache>
                <c:ptCount val="1"/>
                <c:pt idx="0">
                  <c:v>Ռեզիդենտների ավանդներ</c:v>
                </c:pt>
              </c:strCache>
            </c:strRef>
          </c:tx>
          <c:spPr>
            <a:solidFill>
              <a:srgbClr val="4F81BD"/>
            </a:solidFill>
            <a:ln w="25151">
              <a:noFill/>
            </a:ln>
          </c:spPr>
          <c:invertIfNegative val="0"/>
          <c:cat>
            <c:numRef>
              <c:f>Sheet1!$A$2:$A$61</c:f>
              <c:numCache>
                <c:formatCode>General</c:formatCode>
                <c:ptCount val="20"/>
                <c:pt idx="3">
                  <c:v>2018</c:v>
                </c:pt>
                <c:pt idx="7">
                  <c:v>2019</c:v>
                </c:pt>
                <c:pt idx="11">
                  <c:v>2020</c:v>
                </c:pt>
                <c:pt idx="15">
                  <c:v>2021</c:v>
                </c:pt>
                <c:pt idx="19">
                  <c:v>2022</c:v>
                </c:pt>
              </c:numCache>
            </c:numRef>
          </c:cat>
          <c:val>
            <c:numRef>
              <c:f>Sheet1!$B$2:$B$61</c:f>
              <c:numCache>
                <c:formatCode>0.0</c:formatCode>
                <c:ptCount val="20"/>
                <c:pt idx="0">
                  <c:v>2111.83831118849</c:v>
                </c:pt>
                <c:pt idx="1">
                  <c:v>2086.8405405441499</c:v>
                </c:pt>
                <c:pt idx="2">
                  <c:v>2137.3273581991202</c:v>
                </c:pt>
                <c:pt idx="3">
                  <c:v>2247.5558185790806</c:v>
                </c:pt>
                <c:pt idx="4">
                  <c:v>2227.6582098797699</c:v>
                </c:pt>
                <c:pt idx="5">
                  <c:v>2276.6775936783097</c:v>
                </c:pt>
                <c:pt idx="6">
                  <c:v>2355.6432610980196</c:v>
                </c:pt>
                <c:pt idx="7">
                  <c:v>2521.5284105547203</c:v>
                </c:pt>
                <c:pt idx="8">
                  <c:v>2540.5774855170202</c:v>
                </c:pt>
                <c:pt idx="9">
                  <c:v>2541.02599025066</c:v>
                </c:pt>
                <c:pt idx="10">
                  <c:v>2640.7820000000002</c:v>
                </c:pt>
                <c:pt idx="11">
                  <c:v>2675.0673828122303</c:v>
                </c:pt>
                <c:pt idx="12">
                  <c:v>2793.6608505633803</c:v>
                </c:pt>
                <c:pt idx="13">
                  <c:v>2836.3239767365799</c:v>
                </c:pt>
                <c:pt idx="14">
                  <c:v>2969.7320835893697</c:v>
                </c:pt>
                <c:pt idx="15">
                  <c:v>3144.9699810905099</c:v>
                </c:pt>
                <c:pt idx="16">
                  <c:v>3157.9293703593098</c:v>
                </c:pt>
                <c:pt idx="17">
                  <c:v>3127.58012159178</c:v>
                </c:pt>
                <c:pt idx="18">
                  <c:v>3359.6420501932998</c:v>
                </c:pt>
                <c:pt idx="19">
                  <c:v>3694.09499741116</c:v>
                </c:pt>
              </c:numCache>
            </c:numRef>
          </c:val>
          <c:extLst>
            <c:ext xmlns:c16="http://schemas.microsoft.com/office/drawing/2014/chart" uri="{C3380CC4-5D6E-409C-BE32-E72D297353CC}">
              <c16:uniqueId val="{00000000-25EA-4585-B478-317DEF5BEDC1}"/>
            </c:ext>
          </c:extLst>
        </c:ser>
        <c:ser>
          <c:idx val="1"/>
          <c:order val="1"/>
          <c:tx>
            <c:strRef>
              <c:f>Sheet1!$C$1</c:f>
              <c:strCache>
                <c:ptCount val="1"/>
                <c:pt idx="0">
                  <c:v>Ոչ ռեզիդենտների ավանդներ</c:v>
                </c:pt>
              </c:strCache>
            </c:strRef>
          </c:tx>
          <c:spPr>
            <a:solidFill>
              <a:srgbClr val="C0504D"/>
            </a:solidFill>
            <a:ln w="25151">
              <a:noFill/>
            </a:ln>
          </c:spPr>
          <c:invertIfNegative val="0"/>
          <c:cat>
            <c:numRef>
              <c:f>Sheet1!$A$2:$A$61</c:f>
              <c:numCache>
                <c:formatCode>General</c:formatCode>
                <c:ptCount val="20"/>
                <c:pt idx="3">
                  <c:v>2018</c:v>
                </c:pt>
                <c:pt idx="7">
                  <c:v>2019</c:v>
                </c:pt>
                <c:pt idx="11">
                  <c:v>2020</c:v>
                </c:pt>
                <c:pt idx="15">
                  <c:v>2021</c:v>
                </c:pt>
                <c:pt idx="19">
                  <c:v>2022</c:v>
                </c:pt>
              </c:numCache>
            </c:numRef>
          </c:cat>
          <c:val>
            <c:numRef>
              <c:f>Sheet1!$C$2:$C$61</c:f>
              <c:numCache>
                <c:formatCode>0.0</c:formatCode>
                <c:ptCount val="20"/>
                <c:pt idx="0">
                  <c:v>531.40232247115</c:v>
                </c:pt>
                <c:pt idx="1">
                  <c:v>539.6324220370999</c:v>
                </c:pt>
                <c:pt idx="2">
                  <c:v>675.05947367205999</c:v>
                </c:pt>
                <c:pt idx="3">
                  <c:v>709.74023726970995</c:v>
                </c:pt>
                <c:pt idx="4">
                  <c:v>751.71176640482997</c:v>
                </c:pt>
                <c:pt idx="5">
                  <c:v>813.91228849313006</c:v>
                </c:pt>
                <c:pt idx="6">
                  <c:v>916.44940017773001</c:v>
                </c:pt>
                <c:pt idx="7">
                  <c:v>1046.67857400558</c:v>
                </c:pt>
                <c:pt idx="8">
                  <c:v>988.57440186903023</c:v>
                </c:pt>
                <c:pt idx="9">
                  <c:v>915.01734963612</c:v>
                </c:pt>
                <c:pt idx="10">
                  <c:v>929.87400000000002</c:v>
                </c:pt>
                <c:pt idx="11">
                  <c:v>1033.95275626177</c:v>
                </c:pt>
                <c:pt idx="12">
                  <c:v>908.42658679641988</c:v>
                </c:pt>
                <c:pt idx="13">
                  <c:v>933.42867996081998</c:v>
                </c:pt>
                <c:pt idx="14">
                  <c:v>884.54700956330009</c:v>
                </c:pt>
                <c:pt idx="15">
                  <c:v>879.64579740889997</c:v>
                </c:pt>
                <c:pt idx="16">
                  <c:v>825.37567642600982</c:v>
                </c:pt>
                <c:pt idx="17">
                  <c:v>944.66289364885984</c:v>
                </c:pt>
                <c:pt idx="18">
                  <c:v>1121.91741065579</c:v>
                </c:pt>
                <c:pt idx="19">
                  <c:v>1428.48444855512</c:v>
                </c:pt>
              </c:numCache>
            </c:numRef>
          </c:val>
          <c:extLst>
            <c:ext xmlns:c16="http://schemas.microsoft.com/office/drawing/2014/chart" uri="{C3380CC4-5D6E-409C-BE32-E72D297353CC}">
              <c16:uniqueId val="{00000001-25EA-4585-B478-317DEF5BEDC1}"/>
            </c:ext>
          </c:extLst>
        </c:ser>
        <c:dLbls>
          <c:showLegendKey val="0"/>
          <c:showVal val="0"/>
          <c:showCatName val="0"/>
          <c:showSerName val="0"/>
          <c:showPercent val="0"/>
          <c:showBubbleSize val="0"/>
        </c:dLbls>
        <c:gapWidth val="150"/>
        <c:overlap val="100"/>
        <c:axId val="213908864"/>
        <c:axId val="1"/>
      </c:barChart>
      <c:lineChart>
        <c:grouping val="standard"/>
        <c:varyColors val="0"/>
        <c:ser>
          <c:idx val="2"/>
          <c:order val="2"/>
          <c:tx>
            <c:strRef>
              <c:f>Sheet1!$D$1</c:f>
              <c:strCache>
                <c:ptCount val="1"/>
                <c:pt idx="0">
                  <c:v>Դոլարայնացում (%, աջ առանցք)</c:v>
                </c:pt>
              </c:strCache>
            </c:strRef>
          </c:tx>
          <c:spPr>
            <a:ln w="28295" cap="rnd">
              <a:solidFill>
                <a:schemeClr val="accent5"/>
              </a:solidFill>
              <a:round/>
            </a:ln>
            <a:effectLst/>
          </c:spPr>
          <c:marker>
            <c:symbol val="none"/>
          </c:marker>
          <c:cat>
            <c:numRef>
              <c:f>Sheet1!$A$2:$A$61</c:f>
              <c:numCache>
                <c:formatCode>General</c:formatCode>
                <c:ptCount val="20"/>
                <c:pt idx="3">
                  <c:v>2018</c:v>
                </c:pt>
                <c:pt idx="7">
                  <c:v>2019</c:v>
                </c:pt>
                <c:pt idx="11">
                  <c:v>2020</c:v>
                </c:pt>
                <c:pt idx="15">
                  <c:v>2021</c:v>
                </c:pt>
                <c:pt idx="19">
                  <c:v>2022</c:v>
                </c:pt>
              </c:numCache>
            </c:numRef>
          </c:cat>
          <c:val>
            <c:numRef>
              <c:f>Sheet1!$D$2:$D$61</c:f>
              <c:numCache>
                <c:formatCode>0.0</c:formatCode>
                <c:ptCount val="20"/>
                <c:pt idx="0">
                  <c:v>59.705205217441147</c:v>
                </c:pt>
                <c:pt idx="1">
                  <c:v>59.338521581051964</c:v>
                </c:pt>
                <c:pt idx="2">
                  <c:v>60.681382295924848</c:v>
                </c:pt>
                <c:pt idx="3">
                  <c:v>60.44477064156807</c:v>
                </c:pt>
                <c:pt idx="4">
                  <c:v>60.129216759660729</c:v>
                </c:pt>
                <c:pt idx="5">
                  <c:v>59.211480271428584</c:v>
                </c:pt>
                <c:pt idx="6">
                  <c:v>59.405249421429509</c:v>
                </c:pt>
                <c:pt idx="7">
                  <c:v>57.609308749984066</c:v>
                </c:pt>
                <c:pt idx="8">
                  <c:v>56.983245785623971</c:v>
                </c:pt>
                <c:pt idx="9">
                  <c:v>54.046410207100045</c:v>
                </c:pt>
                <c:pt idx="10">
                  <c:v>53.378649147693693</c:v>
                </c:pt>
                <c:pt idx="11">
                  <c:v>54.464545081502891</c:v>
                </c:pt>
                <c:pt idx="12">
                  <c:v>53.22193901071163</c:v>
                </c:pt>
                <c:pt idx="13">
                  <c:v>52.148366016875549</c:v>
                </c:pt>
                <c:pt idx="14">
                  <c:v>51.044929965929676</c:v>
                </c:pt>
                <c:pt idx="15">
                  <c:v>50.002711393128706</c:v>
                </c:pt>
                <c:pt idx="16">
                  <c:v>50.387948204205976</c:v>
                </c:pt>
                <c:pt idx="17">
                  <c:v>50.383284880867492</c:v>
                </c:pt>
                <c:pt idx="18">
                  <c:v>53.173295648147914</c:v>
                </c:pt>
                <c:pt idx="19">
                  <c:v>55.144855057658283</c:v>
                </c:pt>
              </c:numCache>
            </c:numRef>
          </c:val>
          <c:smooth val="0"/>
          <c:extLst>
            <c:ext xmlns:c16="http://schemas.microsoft.com/office/drawing/2014/chart" uri="{C3380CC4-5D6E-409C-BE32-E72D297353CC}">
              <c16:uniqueId val="{00000002-25EA-4585-B478-317DEF5BEDC1}"/>
            </c:ext>
          </c:extLst>
        </c:ser>
        <c:dLbls>
          <c:showLegendKey val="0"/>
          <c:showVal val="0"/>
          <c:showCatName val="0"/>
          <c:showSerName val="0"/>
          <c:showPercent val="0"/>
          <c:showBubbleSize val="0"/>
        </c:dLbls>
        <c:marker val="1"/>
        <c:smooth val="0"/>
        <c:axId val="3"/>
        <c:axId val="4"/>
      </c:lineChart>
      <c:catAx>
        <c:axId val="213908864"/>
        <c:scaling>
          <c:orientation val="minMax"/>
        </c:scaling>
        <c:delete val="0"/>
        <c:axPos val="b"/>
        <c:numFmt formatCode="General" sourceLinked="1"/>
        <c:majorTickMark val="none"/>
        <c:minorTickMark val="none"/>
        <c:tickLblPos val="nextTo"/>
        <c:spPr>
          <a:noFill/>
          <a:ln w="9432" cap="flat" cmpd="sng" algn="ctr">
            <a:solidFill>
              <a:schemeClr val="tx1">
                <a:lumMod val="15000"/>
                <a:lumOff val="85000"/>
              </a:schemeClr>
            </a:solidFill>
            <a:round/>
          </a:ln>
          <a:effectLst/>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432">
            <a:noFill/>
          </a:ln>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3908864"/>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spPr>
          <a:ln w="9432">
            <a:noFill/>
          </a:ln>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
        <c:crosses val="max"/>
        <c:crossBetween val="between"/>
      </c:valAx>
      <c:spPr>
        <a:noFill/>
        <a:ln w="25151">
          <a:noFill/>
        </a:ln>
      </c:spPr>
    </c:plotArea>
    <c:legend>
      <c:legendPos val="b"/>
      <c:layout>
        <c:manualLayout>
          <c:xMode val="edge"/>
          <c:yMode val="edge"/>
          <c:x val="7.514140419947507E-2"/>
          <c:y val="0.78030755358034232"/>
          <c:w val="0.86587893700787388"/>
          <c:h val="0.21969244641965768"/>
        </c:manualLayout>
      </c:layout>
      <c:overlay val="0"/>
      <c:spPr>
        <a:noFill/>
        <a:ln w="25151">
          <a:noFill/>
        </a:ln>
      </c:spPr>
      <c:txPr>
        <a:bodyPr rot="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432" cap="flat" cmpd="sng" algn="ctr">
      <a:solidFill>
        <a:schemeClr val="tx1">
          <a:lumMod val="15000"/>
          <a:lumOff val="85000"/>
        </a:schemeClr>
      </a:solidFill>
      <a:round/>
    </a:ln>
    <a:effectLst/>
  </c:spPr>
  <c:txPr>
    <a:bodyPr/>
    <a:lstStyle/>
    <a:p>
      <a:pPr>
        <a:defRPr sz="891">
          <a:latin typeface="GHEA Grapalat" panose="02000506050000020003" pitchFamily="50" charset="0"/>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90" b="0" i="0" u="none" strike="noStrike" baseline="0">
                <a:solidFill>
                  <a:srgbClr val="333333"/>
                </a:solidFill>
                <a:latin typeface="GHEA Grapalat"/>
                <a:ea typeface="GHEA Grapalat"/>
                <a:cs typeface="GHEA Grapalat"/>
              </a:defRPr>
            </a:pPr>
            <a:r>
              <a:rPr lang="hy-AM"/>
              <a:t>Շուկայի ծավալները, մլրդ դրամ</a:t>
            </a:r>
          </a:p>
        </c:rich>
      </c:tx>
      <c:overlay val="0"/>
      <c:spPr>
        <a:noFill/>
        <a:ln w="25151">
          <a:noFill/>
        </a:ln>
      </c:spPr>
    </c:title>
    <c:autoTitleDeleted val="0"/>
    <c:plotArea>
      <c:layout>
        <c:manualLayout>
          <c:layoutTarget val="inner"/>
          <c:xMode val="edge"/>
          <c:yMode val="edge"/>
          <c:x val="0.15888212480902575"/>
          <c:y val="0.14718253968253969"/>
          <c:w val="0.73668351157597833"/>
          <c:h val="0.53903230846144234"/>
        </c:manualLayout>
      </c:layout>
      <c:barChart>
        <c:barDir val="col"/>
        <c:grouping val="clustered"/>
        <c:varyColors val="0"/>
        <c:ser>
          <c:idx val="0"/>
          <c:order val="0"/>
          <c:tx>
            <c:strRef>
              <c:f>Sheet1!$B$1</c:f>
              <c:strCache>
                <c:ptCount val="1"/>
                <c:pt idx="0">
                  <c:v>Տեղաբաշխման ենթակա ծավալ</c:v>
                </c:pt>
              </c:strCache>
            </c:strRef>
          </c:tx>
          <c:spPr>
            <a:solidFill>
              <a:srgbClr val="4F81BD"/>
            </a:solidFill>
            <a:ln w="25151">
              <a:noFill/>
            </a:ln>
          </c:spPr>
          <c:invertIfNegative val="0"/>
          <c:cat>
            <c:numRef>
              <c:f>Sheet1!$A$2:$A$6</c:f>
              <c:numCache>
                <c:formatCode>General</c:formatCode>
                <c:ptCount val="5"/>
                <c:pt idx="0">
                  <c:v>2018</c:v>
                </c:pt>
                <c:pt idx="1">
                  <c:v>2019</c:v>
                </c:pt>
                <c:pt idx="2">
                  <c:v>2020</c:v>
                </c:pt>
                <c:pt idx="3">
                  <c:v>2021</c:v>
                </c:pt>
                <c:pt idx="4">
                  <c:v>2022</c:v>
                </c:pt>
              </c:numCache>
            </c:numRef>
          </c:cat>
          <c:val>
            <c:numRef>
              <c:f>Sheet1!$B$2:$B$6</c:f>
            </c:numRef>
          </c:val>
          <c:extLst>
            <c:ext xmlns:c16="http://schemas.microsoft.com/office/drawing/2014/chart" uri="{C3380CC4-5D6E-409C-BE32-E72D297353CC}">
              <c16:uniqueId val="{00000000-CCE5-4AC7-A30B-EB0DFD10C4AD}"/>
            </c:ext>
          </c:extLst>
        </c:ser>
        <c:ser>
          <c:idx val="1"/>
          <c:order val="1"/>
          <c:tx>
            <c:strRef>
              <c:f>Sheet1!$C$1</c:f>
              <c:strCache>
                <c:ptCount val="1"/>
                <c:pt idx="0">
                  <c:v>Տեղաբաշխված ծավալ</c:v>
                </c:pt>
              </c:strCache>
            </c:strRef>
          </c:tx>
          <c:spPr>
            <a:solidFill>
              <a:srgbClr val="C0504D"/>
            </a:solidFill>
            <a:ln w="25151">
              <a:noFill/>
            </a:ln>
          </c:spPr>
          <c:invertIfNegative val="0"/>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153.97480999999999</c:v>
                </c:pt>
                <c:pt idx="1">
                  <c:v>206.54629800000001</c:v>
                </c:pt>
                <c:pt idx="2">
                  <c:v>388.28811999999999</c:v>
                </c:pt>
                <c:pt idx="3">
                  <c:v>394.31375400000002</c:v>
                </c:pt>
                <c:pt idx="4">
                  <c:v>435.92769399999997</c:v>
                </c:pt>
              </c:numCache>
            </c:numRef>
          </c:val>
          <c:extLst>
            <c:ext xmlns:c16="http://schemas.microsoft.com/office/drawing/2014/chart" uri="{C3380CC4-5D6E-409C-BE32-E72D297353CC}">
              <c16:uniqueId val="{00000001-CCE5-4AC7-A30B-EB0DFD10C4AD}"/>
            </c:ext>
          </c:extLst>
        </c:ser>
        <c:ser>
          <c:idx val="2"/>
          <c:order val="2"/>
          <c:tx>
            <c:strRef>
              <c:f>Sheet1!$D$1</c:f>
              <c:strCache>
                <c:ptCount val="1"/>
                <c:pt idx="0">
                  <c:v>Պահանջարկ</c:v>
                </c:pt>
              </c:strCache>
            </c:strRef>
          </c:tx>
          <c:spPr>
            <a:solidFill>
              <a:srgbClr val="9BBB59"/>
            </a:solidFill>
            <a:ln w="25151">
              <a:noFill/>
            </a:ln>
          </c:spPr>
          <c:invertIfNegative val="0"/>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c:v>288.98665999999997</c:v>
                </c:pt>
                <c:pt idx="1">
                  <c:v>430.330288</c:v>
                </c:pt>
                <c:pt idx="2">
                  <c:v>781.72255000000007</c:v>
                </c:pt>
                <c:pt idx="3">
                  <c:v>751.11215400000003</c:v>
                </c:pt>
                <c:pt idx="4">
                  <c:v>882.73538799999994</c:v>
                </c:pt>
              </c:numCache>
            </c:numRef>
          </c:val>
          <c:extLst>
            <c:ext xmlns:c16="http://schemas.microsoft.com/office/drawing/2014/chart" uri="{C3380CC4-5D6E-409C-BE32-E72D297353CC}">
              <c16:uniqueId val="{00000002-CCE5-4AC7-A30B-EB0DFD10C4AD}"/>
            </c:ext>
          </c:extLst>
        </c:ser>
        <c:dLbls>
          <c:showLegendKey val="0"/>
          <c:showVal val="0"/>
          <c:showCatName val="0"/>
          <c:showSerName val="0"/>
          <c:showPercent val="0"/>
          <c:showBubbleSize val="0"/>
        </c:dLbls>
        <c:gapWidth val="219"/>
        <c:overlap val="-27"/>
        <c:axId val="213908208"/>
        <c:axId val="1"/>
      </c:barChart>
      <c:lineChart>
        <c:grouping val="standard"/>
        <c:varyColors val="0"/>
        <c:ser>
          <c:idx val="3"/>
          <c:order val="3"/>
          <c:tx>
            <c:strRef>
              <c:f>Sheet1!$E$1</c:f>
              <c:strCache>
                <c:ptCount val="1"/>
                <c:pt idx="0">
                  <c:v>Պահանջարկ/տեղաբաշխված ծավալ (%, աջ առանցք) </c:v>
                </c:pt>
              </c:strCache>
            </c:strRef>
          </c:tx>
          <c:spPr>
            <a:ln w="28295" cap="rnd">
              <a:solidFill>
                <a:schemeClr val="accent4"/>
              </a:solidFill>
              <a:round/>
            </a:ln>
            <a:effectLst/>
          </c:spPr>
          <c:marker>
            <c:symbol val="none"/>
          </c:marker>
          <c:cat>
            <c:numRef>
              <c:f>Sheet1!$A$2:$A$6</c:f>
              <c:numCache>
                <c:formatCode>General</c:formatCode>
                <c:ptCount val="5"/>
                <c:pt idx="0">
                  <c:v>2018</c:v>
                </c:pt>
                <c:pt idx="1">
                  <c:v>2019</c:v>
                </c:pt>
                <c:pt idx="2">
                  <c:v>2020</c:v>
                </c:pt>
                <c:pt idx="3">
                  <c:v>2021</c:v>
                </c:pt>
                <c:pt idx="4">
                  <c:v>2022</c:v>
                </c:pt>
              </c:numCache>
            </c:numRef>
          </c:cat>
          <c:val>
            <c:numRef>
              <c:f>Sheet1!$E$2:$E$6</c:f>
              <c:numCache>
                <c:formatCode>0.0</c:formatCode>
                <c:ptCount val="5"/>
                <c:pt idx="0">
                  <c:v>1.8768437512603522</c:v>
                </c:pt>
                <c:pt idx="1">
                  <c:v>2.0834567947569798</c:v>
                </c:pt>
                <c:pt idx="2">
                  <c:v>2.0132538435633829</c:v>
                </c:pt>
                <c:pt idx="3">
                  <c:v>1.9048591290072017</c:v>
                </c:pt>
                <c:pt idx="4">
                  <c:v>2.0249582675057116</c:v>
                </c:pt>
              </c:numCache>
            </c:numRef>
          </c:val>
          <c:smooth val="0"/>
          <c:extLst>
            <c:ext xmlns:c16="http://schemas.microsoft.com/office/drawing/2014/chart" uri="{C3380CC4-5D6E-409C-BE32-E72D297353CC}">
              <c16:uniqueId val="{00000003-CCE5-4AC7-A30B-EB0DFD10C4AD}"/>
            </c:ext>
          </c:extLst>
        </c:ser>
        <c:dLbls>
          <c:showLegendKey val="0"/>
          <c:showVal val="0"/>
          <c:showCatName val="0"/>
          <c:showSerName val="0"/>
          <c:showPercent val="0"/>
          <c:showBubbleSize val="0"/>
        </c:dLbls>
        <c:marker val="1"/>
        <c:smooth val="0"/>
        <c:axId val="3"/>
        <c:axId val="4"/>
      </c:lineChart>
      <c:catAx>
        <c:axId val="213908208"/>
        <c:scaling>
          <c:orientation val="minMax"/>
        </c:scaling>
        <c:delete val="0"/>
        <c:axPos val="b"/>
        <c:numFmt formatCode="General" sourceLinked="1"/>
        <c:majorTickMark val="none"/>
        <c:minorTickMark val="none"/>
        <c:tickLblPos val="nextTo"/>
        <c:spPr>
          <a:noFill/>
          <a:ln w="9432" cap="flat" cmpd="sng" algn="ctr">
            <a:solidFill>
              <a:schemeClr val="tx1">
                <a:lumMod val="15000"/>
                <a:lumOff val="85000"/>
              </a:schemeClr>
            </a:solidFill>
            <a:round/>
          </a:ln>
          <a:effectLst/>
        </c:spPr>
        <c:txPr>
          <a:bodyPr rot="0" vert="horz"/>
          <a:lstStyle/>
          <a:p>
            <a:pPr>
              <a:defRPr sz="891" b="0" i="0" u="none" strike="noStrike" baseline="0">
                <a:solidFill>
                  <a:srgbClr val="333333"/>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432">
            <a:noFill/>
          </a:ln>
        </c:spPr>
        <c:txPr>
          <a:bodyPr rot="0" vert="horz"/>
          <a:lstStyle/>
          <a:p>
            <a:pPr>
              <a:defRPr sz="891" b="0" i="0" u="none" strike="noStrike" baseline="0">
                <a:solidFill>
                  <a:srgbClr val="333333"/>
                </a:solidFill>
                <a:latin typeface="GHEA Grapalat"/>
                <a:ea typeface="GHEA Grapalat"/>
                <a:cs typeface="GHEA Grapalat"/>
              </a:defRPr>
            </a:pPr>
            <a:endParaRPr lang="en-US"/>
          </a:p>
        </c:txPr>
        <c:crossAx val="213908208"/>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in val="0"/>
        </c:scaling>
        <c:delete val="0"/>
        <c:axPos val="r"/>
        <c:numFmt formatCode="0.0" sourceLinked="1"/>
        <c:majorTickMark val="out"/>
        <c:minorTickMark val="none"/>
        <c:tickLblPos val="nextTo"/>
        <c:spPr>
          <a:ln w="9432">
            <a:noFill/>
          </a:ln>
        </c:spPr>
        <c:txPr>
          <a:bodyPr rot="0" vert="horz"/>
          <a:lstStyle/>
          <a:p>
            <a:pPr>
              <a:defRPr sz="891" b="0" i="0" u="none" strike="noStrike" baseline="0">
                <a:solidFill>
                  <a:srgbClr val="333333"/>
                </a:solidFill>
                <a:latin typeface="GHEA Grapalat"/>
                <a:ea typeface="GHEA Grapalat"/>
                <a:cs typeface="GHEA Grapalat"/>
              </a:defRPr>
            </a:pPr>
            <a:endParaRPr lang="en-US"/>
          </a:p>
        </c:txPr>
        <c:crossAx val="3"/>
        <c:crosses val="max"/>
        <c:crossBetween val="between"/>
      </c:valAx>
      <c:spPr>
        <a:noFill/>
        <a:ln w="25151">
          <a:noFill/>
        </a:ln>
      </c:spPr>
    </c:plotArea>
    <c:legend>
      <c:legendPos val="r"/>
      <c:layout>
        <c:manualLayout>
          <c:xMode val="edge"/>
          <c:yMode val="edge"/>
          <c:x val="0"/>
          <c:y val="0.7975460122699386"/>
          <c:w val="0.96923076923076923"/>
          <c:h val="0.17791411042944785"/>
        </c:manualLayout>
      </c:layout>
      <c:overlay val="0"/>
      <c:spPr>
        <a:noFill/>
        <a:ln w="25151">
          <a:noFill/>
        </a:ln>
      </c:spPr>
      <c:txPr>
        <a:bodyPr/>
        <a:lstStyle/>
        <a:p>
          <a:pPr>
            <a:defRPr sz="728" b="0" i="0" u="none" strike="noStrike" baseline="0">
              <a:solidFill>
                <a:srgbClr val="333333"/>
              </a:solidFill>
              <a:latin typeface="GHEA Grapalat"/>
              <a:ea typeface="GHEA Grapalat"/>
              <a:cs typeface="GHEA Grapalat"/>
            </a:defRPr>
          </a:pPr>
          <a:endParaRPr lang="en-US"/>
        </a:p>
      </c:txPr>
    </c:legend>
    <c:plotVisOnly val="1"/>
    <c:dispBlanksAs val="gap"/>
    <c:showDLblsOverMax val="0"/>
  </c:chart>
  <c:spPr>
    <a:solidFill>
      <a:schemeClr val="bg1"/>
    </a:solidFill>
    <a:ln w="9432" cap="flat" cmpd="sng" algn="ctr">
      <a:solidFill>
        <a:schemeClr val="tx1">
          <a:lumMod val="15000"/>
          <a:lumOff val="85000"/>
        </a:schemeClr>
      </a:solidFill>
      <a:round/>
    </a:ln>
    <a:effectLst/>
  </c:spPr>
  <c:txPr>
    <a:bodyPr/>
    <a:lstStyle/>
    <a:p>
      <a:pPr>
        <a:defRPr sz="990"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559805171354757"/>
          <c:y val="4.9132568689029481E-2"/>
          <c:w val="0.76400083956577181"/>
          <c:h val="0.585868114029099"/>
        </c:manualLayout>
      </c:layout>
      <c:lineChart>
        <c:grouping val="standard"/>
        <c:varyColors val="0"/>
        <c:ser>
          <c:idx val="0"/>
          <c:order val="0"/>
          <c:tx>
            <c:strRef>
              <c:f>Sheet1!$B$1</c:f>
              <c:strCache>
                <c:ptCount val="1"/>
                <c:pt idx="0">
                  <c:v>Պարենի գնի համաթիվ</c:v>
                </c:pt>
              </c:strCache>
            </c:strRef>
          </c:tx>
          <c:spPr>
            <a:ln w="28562" cap="rnd">
              <a:solidFill>
                <a:srgbClr val="1F497D"/>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Sheet1!$B$2:$B$61</c:f>
              <c:numCache>
                <c:formatCode>0.0</c:formatCode>
                <c:ptCount val="60"/>
                <c:pt idx="0">
                  <c:v>100</c:v>
                </c:pt>
                <c:pt idx="1">
                  <c:v>101.10777815032134</c:v>
                </c:pt>
                <c:pt idx="2">
                  <c:v>102.31306897893199</c:v>
                </c:pt>
                <c:pt idx="3">
                  <c:v>101.81300733408959</c:v>
                </c:pt>
                <c:pt idx="4">
                  <c:v>101.93157785959016</c:v>
                </c:pt>
                <c:pt idx="5">
                  <c:v>100.1529338007871</c:v>
                </c:pt>
                <c:pt idx="6">
                  <c:v>98.27715142753172</c:v>
                </c:pt>
                <c:pt idx="7">
                  <c:v>99.139105640141409</c:v>
                </c:pt>
                <c:pt idx="8">
                  <c:v>97.351819381369467</c:v>
                </c:pt>
                <c:pt idx="9">
                  <c:v>96.390507479921965</c:v>
                </c:pt>
                <c:pt idx="10">
                  <c:v>95.240420697676825</c:v>
                </c:pt>
                <c:pt idx="11">
                  <c:v>95.296275613975169</c:v>
                </c:pt>
                <c:pt idx="12">
                  <c:v>96.396920677668561</c:v>
                </c:pt>
                <c:pt idx="13">
                  <c:v>97.114633253123984</c:v>
                </c:pt>
                <c:pt idx="14">
                  <c:v>96.235101892453102</c:v>
                </c:pt>
                <c:pt idx="15">
                  <c:v>96.703016576844632</c:v>
                </c:pt>
                <c:pt idx="16">
                  <c:v>97.380985692584261</c:v>
                </c:pt>
                <c:pt idx="17">
                  <c:v>98.5558763391886</c:v>
                </c:pt>
                <c:pt idx="18">
                  <c:v>98.289378100952291</c:v>
                </c:pt>
                <c:pt idx="19">
                  <c:v>97.191438886050946</c:v>
                </c:pt>
                <c:pt idx="20">
                  <c:v>96.452264497395632</c:v>
                </c:pt>
                <c:pt idx="21">
                  <c:v>98.393026688923783</c:v>
                </c:pt>
                <c:pt idx="22">
                  <c:v>101.88344298131582</c:v>
                </c:pt>
                <c:pt idx="23">
                  <c:v>104.3426749827853</c:v>
                </c:pt>
                <c:pt idx="24">
                  <c:v>105.90080612869684</c:v>
                </c:pt>
                <c:pt idx="25">
                  <c:v>102.70243567890459</c:v>
                </c:pt>
                <c:pt idx="26">
                  <c:v>98.320600223859202</c:v>
                </c:pt>
                <c:pt idx="27">
                  <c:v>95.582705042030042</c:v>
                </c:pt>
                <c:pt idx="28">
                  <c:v>94.145233314220349</c:v>
                </c:pt>
                <c:pt idx="29">
                  <c:v>96.335747987325931</c:v>
                </c:pt>
                <c:pt idx="30">
                  <c:v>97.147302159773631</c:v>
                </c:pt>
                <c:pt idx="31">
                  <c:v>99.08370263901233</c:v>
                </c:pt>
                <c:pt idx="32">
                  <c:v>101.24846466335084</c:v>
                </c:pt>
                <c:pt idx="33">
                  <c:v>104.72447774325325</c:v>
                </c:pt>
                <c:pt idx="34">
                  <c:v>109.07312664682382</c:v>
                </c:pt>
                <c:pt idx="35">
                  <c:v>112.18340209710558</c:v>
                </c:pt>
                <c:pt idx="36">
                  <c:v>117.27487268097266</c:v>
                </c:pt>
                <c:pt idx="37">
                  <c:v>120.42041485020304</c:v>
                </c:pt>
                <c:pt idx="38">
                  <c:v>123.16704499569387</c:v>
                </c:pt>
                <c:pt idx="39">
                  <c:v>126.09767866589051</c:v>
                </c:pt>
                <c:pt idx="40">
                  <c:v>132.35708440170617</c:v>
                </c:pt>
                <c:pt idx="41">
                  <c:v>129.41510362473963</c:v>
                </c:pt>
                <c:pt idx="42">
                  <c:v>128.67878701063972</c:v>
                </c:pt>
                <c:pt idx="43">
                  <c:v>132.18413227910301</c:v>
                </c:pt>
                <c:pt idx="44">
                  <c:v>133.45584600820843</c:v>
                </c:pt>
                <c:pt idx="45">
                  <c:v>137.62428960318883</c:v>
                </c:pt>
                <c:pt idx="46">
                  <c:v>139.78381514567528</c:v>
                </c:pt>
                <c:pt idx="47">
                  <c:v>138.1064387259606</c:v>
                </c:pt>
                <c:pt idx="48">
                  <c:v>140.0723413233741</c:v>
                </c:pt>
                <c:pt idx="49">
                  <c:v>145.89994778083232</c:v>
                </c:pt>
                <c:pt idx="50">
                  <c:v>164.98793112444227</c:v>
                </c:pt>
                <c:pt idx="51">
                  <c:v>163.66757979127186</c:v>
                </c:pt>
                <c:pt idx="52">
                  <c:v>163.27274547743031</c:v>
                </c:pt>
                <c:pt idx="53">
                  <c:v>159.81766882724418</c:v>
                </c:pt>
                <c:pt idx="54">
                  <c:v>145.21501258700764</c:v>
                </c:pt>
                <c:pt idx="55">
                  <c:v>142.12330811411249</c:v>
                </c:pt>
                <c:pt idx="56">
                  <c:v>140.53472112093209</c:v>
                </c:pt>
                <c:pt idx="57">
                  <c:v>139.84953590040246</c:v>
                </c:pt>
                <c:pt idx="58">
                  <c:v>139.18742258103259</c:v>
                </c:pt>
                <c:pt idx="59">
                  <c:v>136.14727837146057</c:v>
                </c:pt>
              </c:numCache>
            </c:numRef>
          </c:val>
          <c:smooth val="0"/>
          <c:extLst>
            <c:ext xmlns:c16="http://schemas.microsoft.com/office/drawing/2014/chart" uri="{C3380CC4-5D6E-409C-BE32-E72D297353CC}">
              <c16:uniqueId val="{00000000-5060-4958-86DF-BB7FBB2323F7}"/>
            </c:ext>
          </c:extLst>
        </c:ser>
        <c:ser>
          <c:idx val="1"/>
          <c:order val="1"/>
          <c:tx>
            <c:strRef>
              <c:f>Sheet1!$C$1</c:f>
              <c:strCache>
                <c:ptCount val="1"/>
                <c:pt idx="0">
                  <c:v>Միս</c:v>
                </c:pt>
              </c:strCache>
            </c:strRef>
          </c:tx>
          <c:spPr>
            <a:ln w="12694" cap="rnd">
              <a:solidFill>
                <a:sysClr val="window" lastClr="FFFFFF">
                  <a:lumMod val="50000"/>
                </a:sysClr>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Sheet1!$C$2:$C$61</c:f>
              <c:numCache>
                <c:formatCode>0.0</c:formatCode>
                <c:ptCount val="60"/>
                <c:pt idx="0">
                  <c:v>100</c:v>
                </c:pt>
                <c:pt idx="1">
                  <c:v>101.39039920368074</c:v>
                </c:pt>
                <c:pt idx="2">
                  <c:v>101.62736680783715</c:v>
                </c:pt>
                <c:pt idx="3">
                  <c:v>100.31951075565624</c:v>
                </c:pt>
                <c:pt idx="4">
                  <c:v>99.694114272756281</c:v>
                </c:pt>
                <c:pt idx="5">
                  <c:v>99.428154485510575</c:v>
                </c:pt>
                <c:pt idx="6">
                  <c:v>98.959535971701854</c:v>
                </c:pt>
                <c:pt idx="7">
                  <c:v>100.14883074266622</c:v>
                </c:pt>
                <c:pt idx="8">
                  <c:v>98.347538432515137</c:v>
                </c:pt>
                <c:pt idx="9">
                  <c:v>96.532584998328417</c:v>
                </c:pt>
                <c:pt idx="10">
                  <c:v>97.130160599437559</c:v>
                </c:pt>
                <c:pt idx="11">
                  <c:v>97.13527557325817</c:v>
                </c:pt>
                <c:pt idx="12">
                  <c:v>96.482800061108378</c:v>
                </c:pt>
                <c:pt idx="13">
                  <c:v>97.34518890606725</c:v>
                </c:pt>
                <c:pt idx="14">
                  <c:v>98.896376780315407</c:v>
                </c:pt>
                <c:pt idx="15">
                  <c:v>102.21911588004376</c:v>
                </c:pt>
                <c:pt idx="16">
                  <c:v>105.12562312314974</c:v>
                </c:pt>
                <c:pt idx="17">
                  <c:v>105.85252167587117</c:v>
                </c:pt>
                <c:pt idx="18">
                  <c:v>107.11950298455625</c:v>
                </c:pt>
                <c:pt idx="19">
                  <c:v>106.94404128869</c:v>
                </c:pt>
                <c:pt idx="20">
                  <c:v>105.62899811669732</c:v>
                </c:pt>
                <c:pt idx="21">
                  <c:v>106.18796335006822</c:v>
                </c:pt>
                <c:pt idx="22">
                  <c:v>111.39016355242345</c:v>
                </c:pt>
                <c:pt idx="23">
                  <c:v>111.51739278674188</c:v>
                </c:pt>
                <c:pt idx="24">
                  <c:v>108.3410288187452</c:v>
                </c:pt>
                <c:pt idx="25">
                  <c:v>105.05011278427932</c:v>
                </c:pt>
                <c:pt idx="26">
                  <c:v>103.9646661262243</c:v>
                </c:pt>
                <c:pt idx="27">
                  <c:v>101.3310715885553</c:v>
                </c:pt>
                <c:pt idx="28">
                  <c:v>99.772470893144217</c:v>
                </c:pt>
                <c:pt idx="29">
                  <c:v>99.145595560315726</c:v>
                </c:pt>
                <c:pt idx="30">
                  <c:v>96.438009696440034</c:v>
                </c:pt>
                <c:pt idx="31">
                  <c:v>96.412878833503683</c:v>
                </c:pt>
                <c:pt idx="32">
                  <c:v>95.650610201562245</c:v>
                </c:pt>
                <c:pt idx="33">
                  <c:v>95.974147385837426</c:v>
                </c:pt>
                <c:pt idx="34">
                  <c:v>97.578895940646177</c:v>
                </c:pt>
                <c:pt idx="35">
                  <c:v>99.175612047697101</c:v>
                </c:pt>
                <c:pt idx="36">
                  <c:v>100.34228622781526</c:v>
                </c:pt>
                <c:pt idx="37">
                  <c:v>102.23214868897405</c:v>
                </c:pt>
                <c:pt idx="38">
                  <c:v>105.36342571410643</c:v>
                </c:pt>
                <c:pt idx="39">
                  <c:v>109.10955986407212</c:v>
                </c:pt>
                <c:pt idx="40">
                  <c:v>112.28743013798474</c:v>
                </c:pt>
                <c:pt idx="41">
                  <c:v>115.74036624803558</c:v>
                </c:pt>
                <c:pt idx="42">
                  <c:v>119.32355256711016</c:v>
                </c:pt>
                <c:pt idx="43">
                  <c:v>118.61208770521912</c:v>
                </c:pt>
                <c:pt idx="44">
                  <c:v>117.82681202376016</c:v>
                </c:pt>
                <c:pt idx="45">
                  <c:v>117.0816149760449</c:v>
                </c:pt>
                <c:pt idx="46">
                  <c:v>117.64667831050505</c:v>
                </c:pt>
                <c:pt idx="47">
                  <c:v>116.09932712472376</c:v>
                </c:pt>
                <c:pt idx="48">
                  <c:v>117.26792074686772</c:v>
                </c:pt>
                <c:pt idx="49">
                  <c:v>119.07273967424467</c:v>
                </c:pt>
                <c:pt idx="50">
                  <c:v>124.77023864154961</c:v>
                </c:pt>
                <c:pt idx="51">
                  <c:v>127.46778661908058</c:v>
                </c:pt>
                <c:pt idx="52">
                  <c:v>128.48350714768029</c:v>
                </c:pt>
                <c:pt idx="53">
                  <c:v>131.67239699921254</c:v>
                </c:pt>
                <c:pt idx="54">
                  <c:v>129.71755369531397</c:v>
                </c:pt>
                <c:pt idx="55">
                  <c:v>126.6230055494334</c:v>
                </c:pt>
                <c:pt idx="56">
                  <c:v>125.76756836564734</c:v>
                </c:pt>
                <c:pt idx="57">
                  <c:v>122.15996009840576</c:v>
                </c:pt>
                <c:pt idx="58">
                  <c:v>119.85989524539241</c:v>
                </c:pt>
                <c:pt idx="59">
                  <c:v>117.5362009060287</c:v>
                </c:pt>
              </c:numCache>
            </c:numRef>
          </c:val>
          <c:smooth val="0"/>
          <c:extLst>
            <c:ext xmlns:c16="http://schemas.microsoft.com/office/drawing/2014/chart" uri="{C3380CC4-5D6E-409C-BE32-E72D297353CC}">
              <c16:uniqueId val="{00000001-5060-4958-86DF-BB7FBB2323F7}"/>
            </c:ext>
          </c:extLst>
        </c:ser>
        <c:ser>
          <c:idx val="2"/>
          <c:order val="2"/>
          <c:tx>
            <c:strRef>
              <c:f>Sheet1!$D$1</c:f>
              <c:strCache>
                <c:ptCount val="1"/>
                <c:pt idx="0">
                  <c:v>Կաթնամթերք</c:v>
                </c:pt>
              </c:strCache>
            </c:strRef>
          </c:tx>
          <c:spPr>
            <a:ln w="12694" cap="rnd">
              <a:solidFill>
                <a:srgbClr val="F79646"/>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Sheet1!$D$2:$D$61</c:f>
              <c:numCache>
                <c:formatCode>0.0</c:formatCode>
                <c:ptCount val="60"/>
                <c:pt idx="0">
                  <c:v>100</c:v>
                </c:pt>
                <c:pt idx="1">
                  <c:v>102.60292111360063</c:v>
                </c:pt>
                <c:pt idx="2">
                  <c:v>104.99541144428264</c:v>
                </c:pt>
                <c:pt idx="3">
                  <c:v>103.76437591630037</c:v>
                </c:pt>
                <c:pt idx="4">
                  <c:v>105.11436799009509</c:v>
                </c:pt>
                <c:pt idx="5">
                  <c:v>105.9269151701636</c:v>
                </c:pt>
                <c:pt idx="6">
                  <c:v>103.89678306463504</c:v>
                </c:pt>
                <c:pt idx="7">
                  <c:v>102.3206148886853</c:v>
                </c:pt>
                <c:pt idx="8">
                  <c:v>102.16391957721454</c:v>
                </c:pt>
                <c:pt idx="9">
                  <c:v>96.986345791069411</c:v>
                </c:pt>
                <c:pt idx="10">
                  <c:v>94.334797771673593</c:v>
                </c:pt>
                <c:pt idx="11">
                  <c:v>92.311273945387114</c:v>
                </c:pt>
                <c:pt idx="12">
                  <c:v>95.234666342250819</c:v>
                </c:pt>
                <c:pt idx="13">
                  <c:v>97.892553254908108</c:v>
                </c:pt>
                <c:pt idx="14">
                  <c:v>99.669230192165429</c:v>
                </c:pt>
                <c:pt idx="15">
                  <c:v>100.12251368615557</c:v>
                </c:pt>
                <c:pt idx="16">
                  <c:v>100.56104474136352</c:v>
                </c:pt>
                <c:pt idx="17">
                  <c:v>97.068760439611637</c:v>
                </c:pt>
                <c:pt idx="18">
                  <c:v>95.345264913198974</c:v>
                </c:pt>
                <c:pt idx="19">
                  <c:v>94.623970162329499</c:v>
                </c:pt>
                <c:pt idx="20">
                  <c:v>93.999878823407755</c:v>
                </c:pt>
                <c:pt idx="21">
                  <c:v>95.115083532456282</c:v>
                </c:pt>
                <c:pt idx="22">
                  <c:v>96.655923069600419</c:v>
                </c:pt>
                <c:pt idx="23">
                  <c:v>97.683740967665841</c:v>
                </c:pt>
                <c:pt idx="24">
                  <c:v>97.968502123973636</c:v>
                </c:pt>
                <c:pt idx="25">
                  <c:v>97.031476637706248</c:v>
                </c:pt>
                <c:pt idx="26">
                  <c:v>95.779566673426359</c:v>
                </c:pt>
                <c:pt idx="27">
                  <c:v>90.335234940409975</c:v>
                </c:pt>
                <c:pt idx="28">
                  <c:v>89.082196033895613</c:v>
                </c:pt>
                <c:pt idx="29">
                  <c:v>92.768220124726767</c:v>
                </c:pt>
                <c:pt idx="30">
                  <c:v>96.027496302624641</c:v>
                </c:pt>
                <c:pt idx="31">
                  <c:v>96.32286147434337</c:v>
                </c:pt>
                <c:pt idx="32">
                  <c:v>96.528331403898946</c:v>
                </c:pt>
                <c:pt idx="33">
                  <c:v>98.567701931712904</c:v>
                </c:pt>
                <c:pt idx="34">
                  <c:v>99.418614448154258</c:v>
                </c:pt>
                <c:pt idx="35">
                  <c:v>103.00716669887936</c:v>
                </c:pt>
                <c:pt idx="36">
                  <c:v>104.95157598228811</c:v>
                </c:pt>
                <c:pt idx="37">
                  <c:v>106.67565636271507</c:v>
                </c:pt>
                <c:pt idx="38">
                  <c:v>110.81307545649517</c:v>
                </c:pt>
                <c:pt idx="39">
                  <c:v>112.36522878127913</c:v>
                </c:pt>
                <c:pt idx="40">
                  <c:v>114.2768579156248</c:v>
                </c:pt>
                <c:pt idx="41">
                  <c:v>113.12796134226409</c:v>
                </c:pt>
                <c:pt idx="42">
                  <c:v>110.12417320104328</c:v>
                </c:pt>
                <c:pt idx="43">
                  <c:v>109.58807972034614</c:v>
                </c:pt>
                <c:pt idx="44">
                  <c:v>111.44637724303399</c:v>
                </c:pt>
                <c:pt idx="45">
                  <c:v>114.58663893600664</c:v>
                </c:pt>
                <c:pt idx="46">
                  <c:v>118.85650470206789</c:v>
                </c:pt>
                <c:pt idx="47">
                  <c:v>121.66527822763179</c:v>
                </c:pt>
                <c:pt idx="48">
                  <c:v>125.12729527713803</c:v>
                </c:pt>
                <c:pt idx="49">
                  <c:v>133.52080638488709</c:v>
                </c:pt>
                <c:pt idx="50">
                  <c:v>137.57900238677379</c:v>
                </c:pt>
                <c:pt idx="51">
                  <c:v>138.38853581790428</c:v>
                </c:pt>
                <c:pt idx="52">
                  <c:v>136.01935163844138</c:v>
                </c:pt>
                <c:pt idx="53">
                  <c:v>141.68343048607019</c:v>
                </c:pt>
                <c:pt idx="54">
                  <c:v>138.17734917260975</c:v>
                </c:pt>
                <c:pt idx="55">
                  <c:v>135.23973463416181</c:v>
                </c:pt>
                <c:pt idx="56">
                  <c:v>134.61889301689689</c:v>
                </c:pt>
                <c:pt idx="57">
                  <c:v>131.37288094238855</c:v>
                </c:pt>
                <c:pt idx="58">
                  <c:v>129.61098703322918</c:v>
                </c:pt>
                <c:pt idx="59">
                  <c:v>130.3511427927732</c:v>
                </c:pt>
              </c:numCache>
            </c:numRef>
          </c:val>
          <c:smooth val="0"/>
          <c:extLst>
            <c:ext xmlns:c16="http://schemas.microsoft.com/office/drawing/2014/chart" uri="{C3380CC4-5D6E-409C-BE32-E72D297353CC}">
              <c16:uniqueId val="{00000002-5060-4958-86DF-BB7FBB2323F7}"/>
            </c:ext>
          </c:extLst>
        </c:ser>
        <c:ser>
          <c:idx val="3"/>
          <c:order val="3"/>
          <c:tx>
            <c:strRef>
              <c:f>Sheet1!$E$1</c:f>
              <c:strCache>
                <c:ptCount val="1"/>
                <c:pt idx="0">
                  <c:v>Հացահատիկ</c:v>
                </c:pt>
              </c:strCache>
            </c:strRef>
          </c:tx>
          <c:spPr>
            <a:ln w="12694" cap="rnd">
              <a:solidFill>
                <a:schemeClr val="accent4"/>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Sheet1!$E$2:$E$61</c:f>
              <c:numCache>
                <c:formatCode>0.0</c:formatCode>
                <c:ptCount val="60"/>
                <c:pt idx="0">
                  <c:v>100</c:v>
                </c:pt>
                <c:pt idx="1">
                  <c:v>103.32829550744347</c:v>
                </c:pt>
                <c:pt idx="2">
                  <c:v>106.92625448365327</c:v>
                </c:pt>
                <c:pt idx="3">
                  <c:v>109.20838447361842</c:v>
                </c:pt>
                <c:pt idx="4">
                  <c:v>110.8492913608719</c:v>
                </c:pt>
                <c:pt idx="5">
                  <c:v>105.92995850040438</c:v>
                </c:pt>
                <c:pt idx="6">
                  <c:v>103.69569731246298</c:v>
                </c:pt>
                <c:pt idx="7">
                  <c:v>108.70452007462896</c:v>
                </c:pt>
                <c:pt idx="8">
                  <c:v>105.40021676382828</c:v>
                </c:pt>
                <c:pt idx="9">
                  <c:v>105.95437917183801</c:v>
                </c:pt>
                <c:pt idx="10">
                  <c:v>104.65509725329311</c:v>
                </c:pt>
                <c:pt idx="11">
                  <c:v>106.19110578438718</c:v>
                </c:pt>
                <c:pt idx="12">
                  <c:v>106.89900091138773</c:v>
                </c:pt>
                <c:pt idx="13">
                  <c:v>105.81439840846039</c:v>
                </c:pt>
                <c:pt idx="14">
                  <c:v>102.427015986716</c:v>
                </c:pt>
                <c:pt idx="15">
                  <c:v>99.403182028877282</c:v>
                </c:pt>
                <c:pt idx="16">
                  <c:v>99.20339160873985</c:v>
                </c:pt>
                <c:pt idx="17">
                  <c:v>104.18966748775597</c:v>
                </c:pt>
                <c:pt idx="18">
                  <c:v>102.46781654120984</c:v>
                </c:pt>
                <c:pt idx="19">
                  <c:v>97.293842720224475</c:v>
                </c:pt>
                <c:pt idx="20">
                  <c:v>96.465756343847559</c:v>
                </c:pt>
                <c:pt idx="21">
                  <c:v>100.81496433429905</c:v>
                </c:pt>
                <c:pt idx="22">
                  <c:v>100.38562630584022</c:v>
                </c:pt>
                <c:pt idx="23">
                  <c:v>102.30569893660753</c:v>
                </c:pt>
                <c:pt idx="24">
                  <c:v>105.76197165219698</c:v>
                </c:pt>
                <c:pt idx="25">
                  <c:v>104.59487716193941</c:v>
                </c:pt>
                <c:pt idx="26">
                  <c:v>102.96413183691027</c:v>
                </c:pt>
                <c:pt idx="27">
                  <c:v>104.66936129833653</c:v>
                </c:pt>
                <c:pt idx="28">
                  <c:v>102.95898366430544</c:v>
                </c:pt>
                <c:pt idx="29">
                  <c:v>102.21385765098483</c:v>
                </c:pt>
                <c:pt idx="30">
                  <c:v>102.17601306030498</c:v>
                </c:pt>
                <c:pt idx="31">
                  <c:v>104.21807396014346</c:v>
                </c:pt>
                <c:pt idx="32">
                  <c:v>109.58526085384153</c:v>
                </c:pt>
                <c:pt idx="33">
                  <c:v>117.73740130087613</c:v>
                </c:pt>
                <c:pt idx="34">
                  <c:v>120.63142660164503</c:v>
                </c:pt>
                <c:pt idx="35">
                  <c:v>122.25222978266329</c:v>
                </c:pt>
                <c:pt idx="36">
                  <c:v>131.30966462381684</c:v>
                </c:pt>
                <c:pt idx="37">
                  <c:v>132.5047892352089</c:v>
                </c:pt>
                <c:pt idx="38">
                  <c:v>130.15316265743155</c:v>
                </c:pt>
                <c:pt idx="39">
                  <c:v>132.56106781562627</c:v>
                </c:pt>
                <c:pt idx="40">
                  <c:v>140.43340163386253</c:v>
                </c:pt>
                <c:pt idx="41">
                  <c:v>136.88225919307081</c:v>
                </c:pt>
                <c:pt idx="42">
                  <c:v>132.62023777255453</c:v>
                </c:pt>
                <c:pt idx="43">
                  <c:v>136.9595995567461</c:v>
                </c:pt>
                <c:pt idx="44">
                  <c:v>139.53172164496095</c:v>
                </c:pt>
                <c:pt idx="45">
                  <c:v>144.05453673128463</c:v>
                </c:pt>
                <c:pt idx="46">
                  <c:v>148.57331819934996</c:v>
                </c:pt>
                <c:pt idx="47">
                  <c:v>147.57568292109335</c:v>
                </c:pt>
                <c:pt idx="48">
                  <c:v>147.73602438585399</c:v>
                </c:pt>
                <c:pt idx="49">
                  <c:v>152.59637197514576</c:v>
                </c:pt>
                <c:pt idx="50">
                  <c:v>178.70559600686656</c:v>
                </c:pt>
                <c:pt idx="51">
                  <c:v>178.22810639990024</c:v>
                </c:pt>
                <c:pt idx="52">
                  <c:v>182.26589228606616</c:v>
                </c:pt>
                <c:pt idx="53">
                  <c:v>174.71962913958251</c:v>
                </c:pt>
                <c:pt idx="54">
                  <c:v>154.67813256479602</c:v>
                </c:pt>
                <c:pt idx="55">
                  <c:v>152.91228997450224</c:v>
                </c:pt>
                <c:pt idx="56">
                  <c:v>155.36974624692712</c:v>
                </c:pt>
                <c:pt idx="57">
                  <c:v>159.95641308835195</c:v>
                </c:pt>
                <c:pt idx="58">
                  <c:v>157.67383581132651</c:v>
                </c:pt>
                <c:pt idx="59">
                  <c:v>154.67535158938165</c:v>
                </c:pt>
              </c:numCache>
            </c:numRef>
          </c:val>
          <c:smooth val="0"/>
          <c:extLst>
            <c:ext xmlns:c16="http://schemas.microsoft.com/office/drawing/2014/chart" uri="{C3380CC4-5D6E-409C-BE32-E72D297353CC}">
              <c16:uniqueId val="{00000003-5060-4958-86DF-BB7FBB2323F7}"/>
            </c:ext>
          </c:extLst>
        </c:ser>
        <c:ser>
          <c:idx val="4"/>
          <c:order val="4"/>
          <c:tx>
            <c:strRef>
              <c:f>Sheet1!$F$1</c:f>
              <c:strCache>
                <c:ptCount val="1"/>
                <c:pt idx="0">
                  <c:v>Բուսական յուղեր</c:v>
                </c:pt>
              </c:strCache>
            </c:strRef>
          </c:tx>
          <c:spPr>
            <a:ln w="12694" cap="rnd">
              <a:solidFill>
                <a:schemeClr val="accent5"/>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Sheet1!$F$2:$F$61</c:f>
              <c:numCache>
                <c:formatCode>0.0</c:formatCode>
                <c:ptCount val="60"/>
                <c:pt idx="0">
                  <c:v>100</c:v>
                </c:pt>
                <c:pt idx="1">
                  <c:v>97.30189079791505</c:v>
                </c:pt>
                <c:pt idx="2">
                  <c:v>97.052071519990037</c:v>
                </c:pt>
                <c:pt idx="3">
                  <c:v>95.694958229438456</c:v>
                </c:pt>
                <c:pt idx="4">
                  <c:v>93.792698124023474</c:v>
                </c:pt>
                <c:pt idx="5">
                  <c:v>90.923215148804189</c:v>
                </c:pt>
                <c:pt idx="6">
                  <c:v>88.445982882356603</c:v>
                </c:pt>
                <c:pt idx="7">
                  <c:v>85.932703972010444</c:v>
                </c:pt>
                <c:pt idx="8">
                  <c:v>83.79947509092294</c:v>
                </c:pt>
                <c:pt idx="9">
                  <c:v>82.775312678466449</c:v>
                </c:pt>
                <c:pt idx="10">
                  <c:v>77.953613857410431</c:v>
                </c:pt>
                <c:pt idx="11">
                  <c:v>78.202699231010499</c:v>
                </c:pt>
                <c:pt idx="12">
                  <c:v>81.686269695379337</c:v>
                </c:pt>
                <c:pt idx="13">
                  <c:v>83.23960568098471</c:v>
                </c:pt>
                <c:pt idx="14">
                  <c:v>79.809512650428417</c:v>
                </c:pt>
                <c:pt idx="15">
                  <c:v>80.519990182746128</c:v>
                </c:pt>
                <c:pt idx="16">
                  <c:v>79.898500595084016</c:v>
                </c:pt>
                <c:pt idx="17">
                  <c:v>78.84040075823097</c:v>
                </c:pt>
                <c:pt idx="18">
                  <c:v>79.480040511344598</c:v>
                </c:pt>
                <c:pt idx="19">
                  <c:v>84.059177820443409</c:v>
                </c:pt>
                <c:pt idx="20">
                  <c:v>85.381193186554526</c:v>
                </c:pt>
                <c:pt idx="21">
                  <c:v>85.606035834823444</c:v>
                </c:pt>
                <c:pt idx="22">
                  <c:v>94.821691772075297</c:v>
                </c:pt>
                <c:pt idx="23">
                  <c:v>103.30494552412929</c:v>
                </c:pt>
                <c:pt idx="24">
                  <c:v>110.66754532279032</c:v>
                </c:pt>
                <c:pt idx="25">
                  <c:v>99.289417522043777</c:v>
                </c:pt>
                <c:pt idx="26">
                  <c:v>86.945069093416777</c:v>
                </c:pt>
                <c:pt idx="27">
                  <c:v>82.622209906497915</c:v>
                </c:pt>
                <c:pt idx="28">
                  <c:v>79.152852193236484</c:v>
                </c:pt>
                <c:pt idx="29">
                  <c:v>88.155042555114477</c:v>
                </c:pt>
                <c:pt idx="30">
                  <c:v>94.859022077521715</c:v>
                </c:pt>
                <c:pt idx="31">
                  <c:v>100.45833978040403</c:v>
                </c:pt>
                <c:pt idx="32">
                  <c:v>106.45775437937969</c:v>
                </c:pt>
                <c:pt idx="33">
                  <c:v>108.34465129741521</c:v>
                </c:pt>
                <c:pt idx="34">
                  <c:v>124.07286063102953</c:v>
                </c:pt>
                <c:pt idx="35">
                  <c:v>133.53419220442143</c:v>
                </c:pt>
                <c:pt idx="36">
                  <c:v>141.34596860402925</c:v>
                </c:pt>
                <c:pt idx="37">
                  <c:v>150.08674405606564</c:v>
                </c:pt>
                <c:pt idx="38">
                  <c:v>162.13697117418354</c:v>
                </c:pt>
                <c:pt idx="39">
                  <c:v>165.07770989878563</c:v>
                </c:pt>
                <c:pt idx="40">
                  <c:v>177.98803636264199</c:v>
                </c:pt>
                <c:pt idx="41">
                  <c:v>160.48663200677314</c:v>
                </c:pt>
                <c:pt idx="42">
                  <c:v>158.26274716934014</c:v>
                </c:pt>
                <c:pt idx="43">
                  <c:v>168.81400519476657</c:v>
                </c:pt>
                <c:pt idx="44">
                  <c:v>171.57077403615963</c:v>
                </c:pt>
                <c:pt idx="45">
                  <c:v>188.12686424703929</c:v>
                </c:pt>
                <c:pt idx="46">
                  <c:v>187.8395479178308</c:v>
                </c:pt>
                <c:pt idx="47">
                  <c:v>181.68214917475632</c:v>
                </c:pt>
                <c:pt idx="48">
                  <c:v>189.24030323233669</c:v>
                </c:pt>
                <c:pt idx="49">
                  <c:v>205.30747073636542</c:v>
                </c:pt>
                <c:pt idx="50">
                  <c:v>256.31289537282186</c:v>
                </c:pt>
                <c:pt idx="51">
                  <c:v>241.75888335645195</c:v>
                </c:pt>
                <c:pt idx="52">
                  <c:v>233.32050792416976</c:v>
                </c:pt>
                <c:pt idx="53">
                  <c:v>215.56431843906051</c:v>
                </c:pt>
                <c:pt idx="54">
                  <c:v>171.82477572710866</c:v>
                </c:pt>
                <c:pt idx="55">
                  <c:v>166.23007018634519</c:v>
                </c:pt>
                <c:pt idx="56">
                  <c:v>155.28799083451403</c:v>
                </c:pt>
                <c:pt idx="57">
                  <c:v>153.97726118913516</c:v>
                </c:pt>
                <c:pt idx="58">
                  <c:v>157.46030557417203</c:v>
                </c:pt>
                <c:pt idx="59">
                  <c:v>147.17362542157483</c:v>
                </c:pt>
              </c:numCache>
            </c:numRef>
          </c:val>
          <c:smooth val="0"/>
          <c:extLst>
            <c:ext xmlns:c16="http://schemas.microsoft.com/office/drawing/2014/chart" uri="{C3380CC4-5D6E-409C-BE32-E72D297353CC}">
              <c16:uniqueId val="{00000004-5060-4958-86DF-BB7FBB2323F7}"/>
            </c:ext>
          </c:extLst>
        </c:ser>
        <c:ser>
          <c:idx val="5"/>
          <c:order val="5"/>
          <c:tx>
            <c:strRef>
              <c:f>Sheet1!$G$1</c:f>
              <c:strCache>
                <c:ptCount val="1"/>
                <c:pt idx="0">
                  <c:v>Շաքարավազ</c:v>
                </c:pt>
              </c:strCache>
            </c:strRef>
          </c:tx>
          <c:spPr>
            <a:ln w="12694" cap="rnd">
              <a:solidFill>
                <a:srgbClr val="4F81BD"/>
              </a:solidFill>
              <a:round/>
            </a:ln>
            <a:effectLst/>
          </c:spPr>
          <c:marker>
            <c:symbol val="none"/>
          </c:marker>
          <c:cat>
            <c:strRef>
              <c:f>Sheet1!$A$2:$A$61</c:f>
              <c:strCache>
                <c:ptCount val="60"/>
                <c:pt idx="0">
                  <c:v>2018M1</c:v>
                </c:pt>
                <c:pt idx="1">
                  <c:v>2018M2</c:v>
                </c:pt>
                <c:pt idx="2">
                  <c:v>2018M3</c:v>
                </c:pt>
                <c:pt idx="3">
                  <c:v>2018M4</c:v>
                </c:pt>
                <c:pt idx="4">
                  <c:v>2018M5</c:v>
                </c:pt>
                <c:pt idx="5">
                  <c:v>2018M6</c:v>
                </c:pt>
                <c:pt idx="6">
                  <c:v>2018M7</c:v>
                </c:pt>
                <c:pt idx="7">
                  <c:v>2018M8</c:v>
                </c:pt>
                <c:pt idx="8">
                  <c:v>2018M9</c:v>
                </c:pt>
                <c:pt idx="9">
                  <c:v>2018M10</c:v>
                </c:pt>
                <c:pt idx="10">
                  <c:v>2018M11</c:v>
                </c:pt>
                <c:pt idx="11">
                  <c:v>2018M12</c:v>
                </c:pt>
                <c:pt idx="12">
                  <c:v>2019M1</c:v>
                </c:pt>
                <c:pt idx="13">
                  <c:v>2019M2</c:v>
                </c:pt>
                <c:pt idx="14">
                  <c:v>2019M3</c:v>
                </c:pt>
                <c:pt idx="15">
                  <c:v>2019M4</c:v>
                </c:pt>
                <c:pt idx="16">
                  <c:v>2019M5</c:v>
                </c:pt>
                <c:pt idx="17">
                  <c:v>2019M6</c:v>
                </c:pt>
                <c:pt idx="18">
                  <c:v>2019M7</c:v>
                </c:pt>
                <c:pt idx="19">
                  <c:v>2019M8</c:v>
                </c:pt>
                <c:pt idx="20">
                  <c:v>2019M9</c:v>
                </c:pt>
                <c:pt idx="21">
                  <c:v>2019M10</c:v>
                </c:pt>
                <c:pt idx="22">
                  <c:v>2019M11</c:v>
                </c:pt>
                <c:pt idx="23">
                  <c:v>2019M12</c:v>
                </c:pt>
                <c:pt idx="24">
                  <c:v>2020M1</c:v>
                </c:pt>
                <c:pt idx="25">
                  <c:v>2020M2</c:v>
                </c:pt>
                <c:pt idx="26">
                  <c:v>2020M3</c:v>
                </c:pt>
                <c:pt idx="27">
                  <c:v>2020M4</c:v>
                </c:pt>
                <c:pt idx="28">
                  <c:v>2020M5</c:v>
                </c:pt>
                <c:pt idx="29">
                  <c:v>2020M6</c:v>
                </c:pt>
                <c:pt idx="30">
                  <c:v>2020M7</c:v>
                </c:pt>
                <c:pt idx="31">
                  <c:v>2020M8</c:v>
                </c:pt>
                <c:pt idx="32">
                  <c:v>2020M9</c:v>
                </c:pt>
                <c:pt idx="33">
                  <c:v>2020M10</c:v>
                </c:pt>
                <c:pt idx="34">
                  <c:v>2020M11</c:v>
                </c:pt>
                <c:pt idx="35">
                  <c:v>2020M12</c:v>
                </c:pt>
                <c:pt idx="36">
                  <c:v>2021M1</c:v>
                </c:pt>
                <c:pt idx="37">
                  <c:v>2021M2</c:v>
                </c:pt>
                <c:pt idx="38">
                  <c:v>2021M3</c:v>
                </c:pt>
                <c:pt idx="39">
                  <c:v>2021M4</c:v>
                </c:pt>
                <c:pt idx="40">
                  <c:v>2021M5</c:v>
                </c:pt>
                <c:pt idx="41">
                  <c:v>2021M6</c:v>
                </c:pt>
                <c:pt idx="42">
                  <c:v>2021M7</c:v>
                </c:pt>
                <c:pt idx="43">
                  <c:v>2021M8</c:v>
                </c:pt>
                <c:pt idx="44">
                  <c:v>2021M9</c:v>
                </c:pt>
                <c:pt idx="45">
                  <c:v>2021M10</c:v>
                </c:pt>
                <c:pt idx="46">
                  <c:v>2021M11</c:v>
                </c:pt>
                <c:pt idx="47">
                  <c:v>2021M12</c:v>
                </c:pt>
                <c:pt idx="48">
                  <c:v>2022M1</c:v>
                </c:pt>
                <c:pt idx="49">
                  <c:v>2022M2</c:v>
                </c:pt>
                <c:pt idx="50">
                  <c:v>2022M3</c:v>
                </c:pt>
                <c:pt idx="51">
                  <c:v>2022M4</c:v>
                </c:pt>
                <c:pt idx="52">
                  <c:v>2022M5</c:v>
                </c:pt>
                <c:pt idx="53">
                  <c:v>2022M6</c:v>
                </c:pt>
                <c:pt idx="54">
                  <c:v>2022M7</c:v>
                </c:pt>
                <c:pt idx="55">
                  <c:v>2022M8</c:v>
                </c:pt>
                <c:pt idx="56">
                  <c:v>2022M9</c:v>
                </c:pt>
                <c:pt idx="57">
                  <c:v>2022M10</c:v>
                </c:pt>
                <c:pt idx="58">
                  <c:v>2022M11</c:v>
                </c:pt>
                <c:pt idx="59">
                  <c:v>2022M12</c:v>
                </c:pt>
              </c:strCache>
            </c:strRef>
          </c:cat>
          <c:val>
            <c:numRef>
              <c:f>Sheet1!$G$2:$G$61</c:f>
              <c:numCache>
                <c:formatCode>0.0</c:formatCode>
                <c:ptCount val="60"/>
                <c:pt idx="0">
                  <c:v>100</c:v>
                </c:pt>
                <c:pt idx="1">
                  <c:v>96.249112845990055</c:v>
                </c:pt>
                <c:pt idx="2">
                  <c:v>92.791239987833336</c:v>
                </c:pt>
                <c:pt idx="3">
                  <c:v>88.100307546723428</c:v>
                </c:pt>
                <c:pt idx="4">
                  <c:v>87.67017226917865</c:v>
                </c:pt>
                <c:pt idx="5">
                  <c:v>88.7255398965832</c:v>
                </c:pt>
                <c:pt idx="6">
                  <c:v>83.150525840376815</c:v>
                </c:pt>
                <c:pt idx="7">
                  <c:v>78.677446230752651</c:v>
                </c:pt>
                <c:pt idx="8">
                  <c:v>80.709723207948898</c:v>
                </c:pt>
                <c:pt idx="9">
                  <c:v>87.73243435060327</c:v>
                </c:pt>
                <c:pt idx="10">
                  <c:v>91.586553971223964</c:v>
                </c:pt>
                <c:pt idx="11">
                  <c:v>89.808374733853796</c:v>
                </c:pt>
                <c:pt idx="12">
                  <c:v>90.992967288212142</c:v>
                </c:pt>
                <c:pt idx="13">
                  <c:v>92.100780695528726</c:v>
                </c:pt>
                <c:pt idx="14">
                  <c:v>90.21257899895231</c:v>
                </c:pt>
                <c:pt idx="15">
                  <c:v>90.892960836182993</c:v>
                </c:pt>
                <c:pt idx="16">
                  <c:v>88.002451771081979</c:v>
                </c:pt>
                <c:pt idx="17">
                  <c:v>91.68204400283885</c:v>
                </c:pt>
                <c:pt idx="18">
                  <c:v>91.091430863702257</c:v>
                </c:pt>
                <c:pt idx="19">
                  <c:v>87.421769146396514</c:v>
                </c:pt>
                <c:pt idx="20">
                  <c:v>84.30497820135858</c:v>
                </c:pt>
                <c:pt idx="21">
                  <c:v>89.190606967630416</c:v>
                </c:pt>
                <c:pt idx="22">
                  <c:v>90.817533542870606</c:v>
                </c:pt>
                <c:pt idx="23">
                  <c:v>95.184021088918129</c:v>
                </c:pt>
                <c:pt idx="24">
                  <c:v>100.39357377895342</c:v>
                </c:pt>
                <c:pt idx="25">
                  <c:v>104.8757984386089</c:v>
                </c:pt>
                <c:pt idx="26">
                  <c:v>84.801277501774265</c:v>
                </c:pt>
                <c:pt idx="27">
                  <c:v>72.455980262935526</c:v>
                </c:pt>
                <c:pt idx="28">
                  <c:v>77.806955287437859</c:v>
                </c:pt>
                <c:pt idx="29">
                  <c:v>85.943931866572001</c:v>
                </c:pt>
                <c:pt idx="30">
                  <c:v>87.172524454593102</c:v>
                </c:pt>
                <c:pt idx="31">
                  <c:v>93.000777315894368</c:v>
                </c:pt>
                <c:pt idx="32">
                  <c:v>90.554229305116394</c:v>
                </c:pt>
                <c:pt idx="33">
                  <c:v>97.148203109878011</c:v>
                </c:pt>
                <c:pt idx="34">
                  <c:v>100.37970191625261</c:v>
                </c:pt>
                <c:pt idx="35">
                  <c:v>99.935479708368248</c:v>
                </c:pt>
                <c:pt idx="36">
                  <c:v>107.98438608942507</c:v>
                </c:pt>
                <c:pt idx="37">
                  <c:v>114.88289567068838</c:v>
                </c:pt>
                <c:pt idx="38">
                  <c:v>110.3218440460394</c:v>
                </c:pt>
                <c:pt idx="39">
                  <c:v>114.66761296427721</c:v>
                </c:pt>
                <c:pt idx="40">
                  <c:v>122.48048261178134</c:v>
                </c:pt>
                <c:pt idx="41">
                  <c:v>123.54990644557705</c:v>
                </c:pt>
                <c:pt idx="42">
                  <c:v>125.63713787986316</c:v>
                </c:pt>
                <c:pt idx="43">
                  <c:v>138.24117685011925</c:v>
                </c:pt>
                <c:pt idx="44">
                  <c:v>138.98316020388404</c:v>
                </c:pt>
                <c:pt idx="45">
                  <c:v>136.54736557504472</c:v>
                </c:pt>
                <c:pt idx="46">
                  <c:v>137.83147299825785</c:v>
                </c:pt>
                <c:pt idx="47">
                  <c:v>133.5279695464223</c:v>
                </c:pt>
                <c:pt idx="48">
                  <c:v>129.21017945858253</c:v>
                </c:pt>
                <c:pt idx="49">
                  <c:v>126.7601135557132</c:v>
                </c:pt>
                <c:pt idx="50">
                  <c:v>135.22695713888967</c:v>
                </c:pt>
                <c:pt idx="51">
                  <c:v>139.38963804116389</c:v>
                </c:pt>
                <c:pt idx="52">
                  <c:v>138.06374604813212</c:v>
                </c:pt>
                <c:pt idx="53">
                  <c:v>134.50545196464284</c:v>
                </c:pt>
                <c:pt idx="54">
                  <c:v>129.40957788367297</c:v>
                </c:pt>
                <c:pt idx="55">
                  <c:v>126.69484987811271</c:v>
                </c:pt>
                <c:pt idx="56">
                  <c:v>125.77908252145298</c:v>
                </c:pt>
                <c:pt idx="57">
                  <c:v>124.52262665179626</c:v>
                </c:pt>
                <c:pt idx="58">
                  <c:v>131.18910897477255</c:v>
                </c:pt>
                <c:pt idx="59">
                  <c:v>134.38101997363884</c:v>
                </c:pt>
              </c:numCache>
            </c:numRef>
          </c:val>
          <c:smooth val="0"/>
          <c:extLst>
            <c:ext xmlns:c16="http://schemas.microsoft.com/office/drawing/2014/chart" uri="{C3380CC4-5D6E-409C-BE32-E72D297353CC}">
              <c16:uniqueId val="{00000005-5060-4958-86DF-BB7FBB2323F7}"/>
            </c:ext>
          </c:extLst>
        </c:ser>
        <c:dLbls>
          <c:showLegendKey val="0"/>
          <c:showVal val="0"/>
          <c:showCatName val="0"/>
          <c:showSerName val="0"/>
          <c:showPercent val="0"/>
          <c:showBubbleSize val="0"/>
        </c:dLbls>
        <c:smooth val="0"/>
        <c:axId val="176681280"/>
        <c:axId val="1"/>
      </c:lineChart>
      <c:catAx>
        <c:axId val="176681280"/>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1"/>
      </c:catAx>
      <c:valAx>
        <c:axId val="1"/>
        <c:scaling>
          <c:orientation val="minMax"/>
          <c:max val="300"/>
          <c:min val="50"/>
        </c:scaling>
        <c:delete val="0"/>
        <c:axPos val="l"/>
        <c:majorGridlines>
          <c:spPr>
            <a:ln w="9521" cap="flat" cmpd="sng" algn="ctr">
              <a:solidFill>
                <a:schemeClr val="tx1">
                  <a:lumMod val="15000"/>
                  <a:lumOff val="85000"/>
                </a:schemeClr>
              </a:solidFill>
              <a:round/>
            </a:ln>
            <a:effectLst/>
          </c:spPr>
        </c:majorGridlines>
        <c:title>
          <c:tx>
            <c:rich>
              <a:bodyPr/>
              <a:lstStyle/>
              <a:p>
                <a:pPr>
                  <a:defRPr sz="1100" b="0" i="0" u="none" strike="noStrike" baseline="0">
                    <a:solidFill>
                      <a:srgbClr val="000000"/>
                    </a:solidFill>
                    <a:latin typeface="Calibri"/>
                    <a:ea typeface="Calibri"/>
                    <a:cs typeface="Calibri"/>
                  </a:defRPr>
                </a:pPr>
                <a:r>
                  <a:rPr lang="en-US" sz="1000" b="0" i="0" u="none" strike="noStrike" baseline="0">
                    <a:solidFill>
                      <a:srgbClr val="333333"/>
                    </a:solidFill>
                    <a:latin typeface="GHEA Grapalat"/>
                  </a:rPr>
                  <a:t>Ինդեքս, 2018 հունվար =100</a:t>
                </a:r>
              </a:p>
            </c:rich>
          </c:tx>
          <c:overlay val="0"/>
          <c:spPr>
            <a:noFill/>
            <a:ln w="25389">
              <a:noFill/>
            </a:ln>
          </c:spPr>
        </c:title>
        <c:numFmt formatCode="0.0" sourceLinked="1"/>
        <c:majorTickMark val="none"/>
        <c:minorTickMark val="none"/>
        <c:tickLblPos val="nextTo"/>
        <c:spPr>
          <a:ln w="952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6681280"/>
        <c:crosses val="autoZero"/>
        <c:crossBetween val="between"/>
      </c:valAx>
      <c:spPr>
        <a:noFill/>
        <a:ln w="25389">
          <a:noFill/>
        </a:ln>
      </c:spPr>
    </c:plotArea>
    <c:legend>
      <c:legendPos val="t"/>
      <c:layout>
        <c:manualLayout>
          <c:xMode val="edge"/>
          <c:yMode val="edge"/>
          <c:x val="8.0031496062992119E-2"/>
          <c:y val="0.82520982629980233"/>
          <c:w val="0.8623860653781914"/>
          <c:h val="0.16257198187305233"/>
        </c:manualLayout>
      </c:layout>
      <c:overlay val="0"/>
      <c:spPr>
        <a:noFill/>
        <a:ln w="25389">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9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990"/>
              <a:t>Շուկայի եկամտաբերությունները, </a:t>
            </a:r>
            <a:r>
              <a:rPr lang="en-US" sz="990"/>
              <a:t>%</a:t>
            </a:r>
          </a:p>
        </c:rich>
      </c:tx>
      <c:overlay val="0"/>
      <c:spPr>
        <a:noFill/>
        <a:ln w="25151">
          <a:noFill/>
        </a:ln>
      </c:spPr>
    </c:title>
    <c:autoTitleDeleted val="0"/>
    <c:plotArea>
      <c:layout/>
      <c:lineChart>
        <c:grouping val="standard"/>
        <c:varyColors val="0"/>
        <c:ser>
          <c:idx val="0"/>
          <c:order val="0"/>
          <c:tx>
            <c:strRef>
              <c:f>Sheet1!$B$1</c:f>
              <c:strCache>
                <c:ptCount val="1"/>
                <c:pt idx="0">
                  <c:v>Կարճաժամկետ ՊՊ</c:v>
                </c:pt>
              </c:strCache>
            </c:strRef>
          </c:tx>
          <c:spPr>
            <a:ln w="28295">
              <a:noFill/>
            </a:ln>
          </c:spPr>
          <c:marker>
            <c:symbol val="circle"/>
            <c:size val="4"/>
            <c:spPr>
              <a:solidFill>
                <a:srgbClr val="4F81BD"/>
              </a:solidFill>
              <a:ln w="9432">
                <a:noFill/>
              </a:ln>
            </c:spPr>
          </c:marker>
          <c:cat>
            <c:numRef>
              <c:f>Sheet1!$A$2:$A$63</c:f>
              <c:numCache>
                <c:formatCode>General</c:formatCode>
                <c:ptCount val="62"/>
                <c:pt idx="11">
                  <c:v>2018</c:v>
                </c:pt>
                <c:pt idx="23">
                  <c:v>2019</c:v>
                </c:pt>
                <c:pt idx="35">
                  <c:v>2020</c:v>
                </c:pt>
                <c:pt idx="47">
                  <c:v>2021</c:v>
                </c:pt>
                <c:pt idx="59">
                  <c:v>2022</c:v>
                </c:pt>
              </c:numCache>
            </c:numRef>
          </c:cat>
          <c:val>
            <c:numRef>
              <c:f>Sheet1!$B$2:$B$63</c:f>
              <c:numCache>
                <c:formatCode>0.0</c:formatCode>
                <c:ptCount val="62"/>
                <c:pt idx="0">
                  <c:v>5.9980638649425284</c:v>
                </c:pt>
                <c:pt idx="1">
                  <c:v>6.0443709909462981</c:v>
                </c:pt>
                <c:pt idx="2">
                  <c:v>6.0822477473568837</c:v>
                </c:pt>
                <c:pt idx="3">
                  <c:v>6.0887658318724434</c:v>
                </c:pt>
                <c:pt idx="4">
                  <c:v>6.1510303288265735</c:v>
                </c:pt>
                <c:pt idx="5">
                  <c:v>6.1406537514819624</c:v>
                </c:pt>
                <c:pt idx="6">
                  <c:v>6.2112190184049076</c:v>
                </c:pt>
                <c:pt idx="7">
                  <c:v>6.1523885308001631</c:v>
                </c:pt>
                <c:pt idx="8">
                  <c:v>6.1685330508474578</c:v>
                </c:pt>
                <c:pt idx="9">
                  <c:v>6.1791494382022476</c:v>
                </c:pt>
                <c:pt idx="10">
                  <c:v>6.1342362879926036</c:v>
                </c:pt>
                <c:pt idx="11">
                  <c:v>6.1752898305084747</c:v>
                </c:pt>
                <c:pt idx="12">
                  <c:v>6.2236916666666664</c:v>
                </c:pt>
                <c:pt idx="13">
                  <c:v>6.1696697589813549</c:v>
                </c:pt>
                <c:pt idx="14">
                  <c:v>6.0990866513233604</c:v>
                </c:pt>
                <c:pt idx="15">
                  <c:v>5.9973303370786519</c:v>
                </c:pt>
                <c:pt idx="16">
                  <c:v>5.8913161676646704</c:v>
                </c:pt>
                <c:pt idx="17">
                  <c:v>5.9440333333333335</c:v>
                </c:pt>
                <c:pt idx="18">
                  <c:v>5.9210000000000003</c:v>
                </c:pt>
                <c:pt idx="19">
                  <c:v>5.9100666666666664</c:v>
                </c:pt>
                <c:pt idx="20">
                  <c:v>5.8312999999999997</c:v>
                </c:pt>
                <c:pt idx="21">
                  <c:v>5.7058999999999997</c:v>
                </c:pt>
                <c:pt idx="22">
                  <c:v>5.6874666666666664</c:v>
                </c:pt>
                <c:pt idx="23">
                  <c:v>5.6595500000000003</c:v>
                </c:pt>
                <c:pt idx="24">
                  <c:v>5.6117749999999997</c:v>
                </c:pt>
                <c:pt idx="25">
                  <c:v>5.5589009999999996</c:v>
                </c:pt>
                <c:pt idx="26">
                  <c:v>5.5941828200000003</c:v>
                </c:pt>
                <c:pt idx="27">
                  <c:v>5.7322329999999999</c:v>
                </c:pt>
                <c:pt idx="28">
                  <c:v>5.7526204545454549</c:v>
                </c:pt>
                <c:pt idx="29">
                  <c:v>5.7470333333333334</c:v>
                </c:pt>
                <c:pt idx="30">
                  <c:v>5.5520897500000004</c:v>
                </c:pt>
                <c:pt idx="31">
                  <c:v>5.6621024092801902</c:v>
                </c:pt>
                <c:pt idx="32">
                  <c:v>5.6617125000000001</c:v>
                </c:pt>
                <c:pt idx="33">
                  <c:v>5.7126151515151511</c:v>
                </c:pt>
                <c:pt idx="34">
                  <c:v>5.9132944824039377</c:v>
                </c:pt>
                <c:pt idx="35">
                  <c:v>6.1296879687499999</c:v>
                </c:pt>
                <c:pt idx="36">
                  <c:v>6.8925232558139538</c:v>
                </c:pt>
                <c:pt idx="37">
                  <c:v>6.8010142857142855</c:v>
                </c:pt>
                <c:pt idx="38">
                  <c:v>6.8712428571428568</c:v>
                </c:pt>
                <c:pt idx="39">
                  <c:v>6.8708857142857145</c:v>
                </c:pt>
                <c:pt idx="40">
                  <c:v>7.0861142857142854</c:v>
                </c:pt>
                <c:pt idx="41">
                  <c:v>7.3503850130953534</c:v>
                </c:pt>
                <c:pt idx="42">
                  <c:v>7.8607287499999998</c:v>
                </c:pt>
                <c:pt idx="43">
                  <c:v>8.2888199999999994</c:v>
                </c:pt>
                <c:pt idx="44">
                  <c:v>8.4334571428571437</c:v>
                </c:pt>
                <c:pt idx="45">
                  <c:v>8.7411909865697641</c:v>
                </c:pt>
                <c:pt idx="46">
                  <c:v>8.7777142857142856</c:v>
                </c:pt>
                <c:pt idx="47">
                  <c:v>9.0296000000000003</c:v>
                </c:pt>
                <c:pt idx="48">
                  <c:v>9.0055000000000014</c:v>
                </c:pt>
                <c:pt idx="49">
                  <c:v>9.0828285714285713</c:v>
                </c:pt>
                <c:pt idx="50">
                  <c:v>10.103425</c:v>
                </c:pt>
                <c:pt idx="51">
                  <c:v>10.439209568480301</c:v>
                </c:pt>
                <c:pt idx="52">
                  <c:v>10.401657142857143</c:v>
                </c:pt>
                <c:pt idx="53">
                  <c:v>10.583886928200181</c:v>
                </c:pt>
                <c:pt idx="54">
                  <c:v>10.743399999999999</c:v>
                </c:pt>
                <c:pt idx="55">
                  <c:v>10.509697221330644</c:v>
                </c:pt>
                <c:pt idx="56">
                  <c:v>10.718775000000001</c:v>
                </c:pt>
                <c:pt idx="57">
                  <c:v>11.407066666666667</c:v>
                </c:pt>
                <c:pt idx="58">
                  <c:v>11.614955088735025</c:v>
                </c:pt>
                <c:pt idx="59">
                  <c:v>11.595307945958323</c:v>
                </c:pt>
              </c:numCache>
            </c:numRef>
          </c:val>
          <c:smooth val="0"/>
          <c:extLst>
            <c:ext xmlns:c16="http://schemas.microsoft.com/office/drawing/2014/chart" uri="{C3380CC4-5D6E-409C-BE32-E72D297353CC}">
              <c16:uniqueId val="{00000000-5E19-4228-B1A6-B49C80E82CF3}"/>
            </c:ext>
          </c:extLst>
        </c:ser>
        <c:ser>
          <c:idx val="1"/>
          <c:order val="1"/>
          <c:tx>
            <c:strRef>
              <c:f>Sheet1!$C$1</c:f>
              <c:strCache>
                <c:ptCount val="1"/>
                <c:pt idx="0">
                  <c:v>Միջնաժամկետ ՊՊ</c:v>
                </c:pt>
              </c:strCache>
            </c:strRef>
          </c:tx>
          <c:spPr>
            <a:ln w="28295">
              <a:noFill/>
            </a:ln>
          </c:spPr>
          <c:marker>
            <c:symbol val="circle"/>
            <c:size val="4"/>
            <c:spPr>
              <a:solidFill>
                <a:schemeClr val="accent2"/>
              </a:solidFill>
              <a:ln w="9432">
                <a:solidFill>
                  <a:schemeClr val="accent2"/>
                </a:solidFill>
              </a:ln>
              <a:effectLst/>
            </c:spPr>
          </c:marker>
          <c:cat>
            <c:numRef>
              <c:f>Sheet1!$A$2:$A$63</c:f>
              <c:numCache>
                <c:formatCode>General</c:formatCode>
                <c:ptCount val="62"/>
                <c:pt idx="11">
                  <c:v>2018</c:v>
                </c:pt>
                <c:pt idx="23">
                  <c:v>2019</c:v>
                </c:pt>
                <c:pt idx="35">
                  <c:v>2020</c:v>
                </c:pt>
                <c:pt idx="47">
                  <c:v>2021</c:v>
                </c:pt>
                <c:pt idx="59">
                  <c:v>2022</c:v>
                </c:pt>
              </c:numCache>
            </c:numRef>
          </c:cat>
          <c:val>
            <c:numRef>
              <c:f>Sheet1!$C$2:$C$63</c:f>
              <c:numCache>
                <c:formatCode>0.00</c:formatCode>
                <c:ptCount val="62"/>
                <c:pt idx="1">
                  <c:v>8.0991999999999997</c:v>
                </c:pt>
                <c:pt idx="2">
                  <c:v>7.1360000000000001</c:v>
                </c:pt>
                <c:pt idx="4">
                  <c:v>8.3643000000000001</c:v>
                </c:pt>
                <c:pt idx="7">
                  <c:v>8.2392000000000003</c:v>
                </c:pt>
                <c:pt idx="10" formatCode="0.0">
                  <c:v>8.3108000000000004</c:v>
                </c:pt>
                <c:pt idx="11" formatCode="0.0">
                  <c:v>8.0470000000000006</c:v>
                </c:pt>
                <c:pt idx="13" formatCode="0.0">
                  <c:v>8.5091999999999999</c:v>
                </c:pt>
                <c:pt idx="14" formatCode="0.0">
                  <c:v>8.1738</c:v>
                </c:pt>
                <c:pt idx="16">
                  <c:v>8.3704999999999998</c:v>
                </c:pt>
                <c:pt idx="17">
                  <c:v>7.3003</c:v>
                </c:pt>
                <c:pt idx="19">
                  <c:v>7.9112999999999998</c:v>
                </c:pt>
                <c:pt idx="20">
                  <c:v>7.2129000000000003</c:v>
                </c:pt>
                <c:pt idx="22" formatCode="0.0">
                  <c:v>7.1635</c:v>
                </c:pt>
                <c:pt idx="23" formatCode="0.0">
                  <c:v>6.4882</c:v>
                </c:pt>
                <c:pt idx="25" formatCode="0.0">
                  <c:v>6.6239999999999997</c:v>
                </c:pt>
                <c:pt idx="26" formatCode="0.0">
                  <c:v>6.2971000000000004</c:v>
                </c:pt>
                <c:pt idx="27">
                  <c:v>6.9637210743801656</c:v>
                </c:pt>
                <c:pt idx="28">
                  <c:v>7.0566000000000004</c:v>
                </c:pt>
                <c:pt idx="29">
                  <c:v>6.6577999999999999</c:v>
                </c:pt>
                <c:pt idx="31">
                  <c:v>6.9235589333333332</c:v>
                </c:pt>
                <c:pt idx="32">
                  <c:v>6.4131</c:v>
                </c:pt>
                <c:pt idx="33" formatCode="0.0">
                  <c:v>7.0434242950108459</c:v>
                </c:pt>
                <c:pt idx="35" formatCode="0.0">
                  <c:v>7.6549244694786482</c:v>
                </c:pt>
                <c:pt idx="37" formatCode="0.0">
                  <c:v>8.3673000000000002</c:v>
                </c:pt>
                <c:pt idx="38" formatCode="0.0">
                  <c:v>7.6966000000000001</c:v>
                </c:pt>
                <c:pt idx="40">
                  <c:v>8.6953999999999994</c:v>
                </c:pt>
                <c:pt idx="41">
                  <c:v>8.3908000000000005</c:v>
                </c:pt>
                <c:pt idx="43">
                  <c:v>9.6042000000000005</c:v>
                </c:pt>
                <c:pt idx="44">
                  <c:v>9.3537999999999997</c:v>
                </c:pt>
                <c:pt idx="45" formatCode="0.0">
                  <c:v>9.6243999999999996</c:v>
                </c:pt>
                <c:pt idx="46" formatCode="0.0">
                  <c:v>9.8339999999999996</c:v>
                </c:pt>
                <c:pt idx="47" formatCode="0.0">
                  <c:v>9.6699000000000002</c:v>
                </c:pt>
                <c:pt idx="49" formatCode="0.0">
                  <c:v>9.84</c:v>
                </c:pt>
                <c:pt idx="50" formatCode="0.0">
                  <c:v>10.517899999999999</c:v>
                </c:pt>
                <c:pt idx="51">
                  <c:v>11.10425</c:v>
                </c:pt>
                <c:pt idx="52">
                  <c:v>11.1927</c:v>
                </c:pt>
                <c:pt idx="53">
                  <c:v>10.968999999999999</c:v>
                </c:pt>
                <c:pt idx="55">
                  <c:v>11.4925</c:v>
                </c:pt>
                <c:pt idx="56">
                  <c:v>11.079599999999999</c:v>
                </c:pt>
                <c:pt idx="57" formatCode="0.0">
                  <c:v>11.67</c:v>
                </c:pt>
                <c:pt idx="58" formatCode="0.0">
                  <c:v>11.67</c:v>
                </c:pt>
                <c:pt idx="59" formatCode="0.0">
                  <c:v>11.946</c:v>
                </c:pt>
              </c:numCache>
            </c:numRef>
          </c:val>
          <c:smooth val="0"/>
          <c:extLst>
            <c:ext xmlns:c16="http://schemas.microsoft.com/office/drawing/2014/chart" uri="{C3380CC4-5D6E-409C-BE32-E72D297353CC}">
              <c16:uniqueId val="{00000001-5E19-4228-B1A6-B49C80E82CF3}"/>
            </c:ext>
          </c:extLst>
        </c:ser>
        <c:ser>
          <c:idx val="2"/>
          <c:order val="2"/>
          <c:tx>
            <c:strRef>
              <c:f>Sheet1!$D$1</c:f>
              <c:strCache>
                <c:ptCount val="1"/>
                <c:pt idx="0">
                  <c:v>Երկարաժամկետ ՊՊ</c:v>
                </c:pt>
              </c:strCache>
            </c:strRef>
          </c:tx>
          <c:spPr>
            <a:ln w="28295">
              <a:noFill/>
            </a:ln>
          </c:spPr>
          <c:marker>
            <c:symbol val="circle"/>
            <c:size val="4"/>
            <c:spPr>
              <a:solidFill>
                <a:schemeClr val="accent3"/>
              </a:solidFill>
              <a:ln w="9432">
                <a:solidFill>
                  <a:schemeClr val="accent3"/>
                </a:solidFill>
              </a:ln>
              <a:effectLst/>
            </c:spPr>
          </c:marker>
          <c:cat>
            <c:numRef>
              <c:f>Sheet1!$A$2:$A$63</c:f>
              <c:numCache>
                <c:formatCode>General</c:formatCode>
                <c:ptCount val="62"/>
                <c:pt idx="11">
                  <c:v>2018</c:v>
                </c:pt>
                <c:pt idx="23">
                  <c:v>2019</c:v>
                </c:pt>
                <c:pt idx="35">
                  <c:v>2020</c:v>
                </c:pt>
                <c:pt idx="47">
                  <c:v>2021</c:v>
                </c:pt>
                <c:pt idx="59">
                  <c:v>2022</c:v>
                </c:pt>
              </c:numCache>
            </c:numRef>
          </c:cat>
          <c:val>
            <c:numRef>
              <c:f>Sheet1!$D$2:$D$63</c:f>
              <c:numCache>
                <c:formatCode>General</c:formatCode>
                <c:ptCount val="62"/>
                <c:pt idx="0" formatCode="0.0">
                  <c:v>12.289099999999999</c:v>
                </c:pt>
                <c:pt idx="3" formatCode="0.0">
                  <c:v>9.3041</c:v>
                </c:pt>
                <c:pt idx="6" formatCode="0.0">
                  <c:v>11.3743</c:v>
                </c:pt>
                <c:pt idx="9" formatCode="0.0">
                  <c:v>9.2475000000000005</c:v>
                </c:pt>
                <c:pt idx="12" formatCode="0.0">
                  <c:v>9.7417999999999996</c:v>
                </c:pt>
                <c:pt idx="15" formatCode="0.0">
                  <c:v>11.6442</c:v>
                </c:pt>
                <c:pt idx="18" formatCode="0.0">
                  <c:v>9.6748999999999992</c:v>
                </c:pt>
                <c:pt idx="21" formatCode="0.0">
                  <c:v>10.902100000000001</c:v>
                </c:pt>
                <c:pt idx="24" formatCode="0.0">
                  <c:v>8.1011000000000006</c:v>
                </c:pt>
                <c:pt idx="27" formatCode="0.0">
                  <c:v>9.3685051678535718</c:v>
                </c:pt>
                <c:pt idx="30" formatCode="0.0">
                  <c:v>7.9247801446342399</c:v>
                </c:pt>
                <c:pt idx="33" formatCode="0.0">
                  <c:v>9.0678438931297709</c:v>
                </c:pt>
                <c:pt idx="36" formatCode="0.0">
                  <c:v>9.681431525610396</c:v>
                </c:pt>
                <c:pt idx="39" formatCode="0.0">
                  <c:v>9.8704542865300873</c:v>
                </c:pt>
                <c:pt idx="42" formatCode="0.0">
                  <c:v>9.9131</c:v>
                </c:pt>
                <c:pt idx="45" formatCode="0.0">
                  <c:v>10.289874523669795</c:v>
                </c:pt>
                <c:pt idx="48" formatCode="0.0">
                  <c:v>10.6031</c:v>
                </c:pt>
                <c:pt idx="51" formatCode="0.0">
                  <c:v>11.692732145649503</c:v>
                </c:pt>
                <c:pt idx="54" formatCode="0.0">
                  <c:v>11.8903</c:v>
                </c:pt>
              </c:numCache>
            </c:numRef>
          </c:val>
          <c:smooth val="0"/>
          <c:extLst>
            <c:ext xmlns:c16="http://schemas.microsoft.com/office/drawing/2014/chart" uri="{C3380CC4-5D6E-409C-BE32-E72D297353CC}">
              <c16:uniqueId val="{00000002-5E19-4228-B1A6-B49C80E82CF3}"/>
            </c:ext>
          </c:extLst>
        </c:ser>
        <c:dLbls>
          <c:showLegendKey val="0"/>
          <c:showVal val="0"/>
          <c:showCatName val="0"/>
          <c:showSerName val="0"/>
          <c:showPercent val="0"/>
          <c:showBubbleSize val="0"/>
        </c:dLbls>
        <c:marker val="1"/>
        <c:smooth val="0"/>
        <c:axId val="213907880"/>
        <c:axId val="1"/>
      </c:lineChart>
      <c:catAx>
        <c:axId val="213907880"/>
        <c:scaling>
          <c:orientation val="minMax"/>
        </c:scaling>
        <c:delete val="0"/>
        <c:axPos val="b"/>
        <c:numFmt formatCode="General" sourceLinked="1"/>
        <c:majorTickMark val="none"/>
        <c:minorTickMark val="none"/>
        <c:tickLblPos val="nextTo"/>
        <c:spPr>
          <a:noFill/>
          <a:ln w="9432" cap="flat" cmpd="sng" algn="ctr">
            <a:solidFill>
              <a:schemeClr val="tx1">
                <a:lumMod val="15000"/>
                <a:lumOff val="85000"/>
              </a:schemeClr>
            </a:solidFill>
            <a:round/>
          </a:ln>
          <a:effectLst/>
        </c:spPr>
        <c:txPr>
          <a:bodyPr rot="-60000000" spcFirstLastPara="1" vertOverflow="ellipsis" vert="horz" wrap="square" anchor="ctr" anchorCtr="1"/>
          <a:lstStyle/>
          <a:p>
            <a:pPr>
              <a:defRPr sz="69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432">
            <a:noFill/>
          </a:ln>
        </c:spPr>
        <c:txPr>
          <a:bodyPr rot="-6000000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3907880"/>
        <c:crosses val="autoZero"/>
        <c:crossBetween val="between"/>
      </c:valAx>
      <c:spPr>
        <a:noFill/>
        <a:ln w="25151">
          <a:noFill/>
        </a:ln>
      </c:spPr>
    </c:plotArea>
    <c:legend>
      <c:legendPos val="b"/>
      <c:overlay val="0"/>
      <c:spPr>
        <a:noFill/>
        <a:ln w="25151">
          <a:noFill/>
        </a:ln>
      </c:spPr>
      <c:txPr>
        <a:bodyPr rot="0" spcFirstLastPara="1" vertOverflow="ellipsis" vert="horz" wrap="square" anchor="ctr" anchorCtr="1"/>
        <a:lstStyle/>
        <a:p>
          <a:pPr>
            <a:defRPr sz="891"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432"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5"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055"/>
              <a:t>Եկամտաբերություններ, </a:t>
            </a:r>
            <a:r>
              <a:rPr lang="en-US" sz="1055"/>
              <a:t>%</a:t>
            </a:r>
          </a:p>
        </c:rich>
      </c:tx>
      <c:overlay val="0"/>
      <c:spPr>
        <a:noFill/>
        <a:ln w="24363">
          <a:noFill/>
        </a:ln>
      </c:spPr>
    </c:title>
    <c:autoTitleDeleted val="0"/>
    <c:plotArea>
      <c:layout>
        <c:manualLayout>
          <c:layoutTarget val="inner"/>
          <c:xMode val="edge"/>
          <c:yMode val="edge"/>
          <c:x val="0.14365442955994137"/>
          <c:y val="0.15405761779777527"/>
          <c:w val="0.78805160718546541"/>
          <c:h val="0.54781371078615171"/>
        </c:manualLayout>
      </c:layout>
      <c:lineChart>
        <c:grouping val="standard"/>
        <c:varyColors val="0"/>
        <c:ser>
          <c:idx val="0"/>
          <c:order val="0"/>
          <c:tx>
            <c:strRef>
              <c:f>Sheet1!$B$1</c:f>
              <c:strCache>
                <c:ptCount val="1"/>
                <c:pt idx="0">
                  <c:v>2020թ. մարվող պարտատոմսեր</c:v>
                </c:pt>
              </c:strCache>
            </c:strRef>
          </c:tx>
          <c:spPr>
            <a:ln w="27408" cap="rnd">
              <a:solidFill>
                <a:schemeClr val="accent1"/>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Sheet1!$B$2:$B$61</c:f>
              <c:numCache>
                <c:formatCode>0.0</c:formatCode>
                <c:ptCount val="60"/>
                <c:pt idx="0">
                  <c:v>3.5172727272727276</c:v>
                </c:pt>
                <c:pt idx="1">
                  <c:v>4.2431000000000001</c:v>
                </c:pt>
                <c:pt idx="2">
                  <c:v>4.3575909090909084</c:v>
                </c:pt>
                <c:pt idx="3">
                  <c:v>4.4824285714285725</c:v>
                </c:pt>
                <c:pt idx="4">
                  <c:v>4.7211818181818188</c:v>
                </c:pt>
                <c:pt idx="5">
                  <c:v>4.7824285714285724</c:v>
                </c:pt>
                <c:pt idx="6">
                  <c:v>4.4048181818181824</c:v>
                </c:pt>
                <c:pt idx="7">
                  <c:v>4.9497391304347831</c:v>
                </c:pt>
                <c:pt idx="8">
                  <c:v>4.9763999999999999</c:v>
                </c:pt>
                <c:pt idx="9">
                  <c:v>5.287521739130435</c:v>
                </c:pt>
                <c:pt idx="10">
                  <c:v>5.3092727272727265</c:v>
                </c:pt>
                <c:pt idx="11">
                  <c:v>5.2386666666666661</c:v>
                </c:pt>
                <c:pt idx="12">
                  <c:v>4.6887391304347839</c:v>
                </c:pt>
                <c:pt idx="13">
                  <c:v>4.3491999999999997</c:v>
                </c:pt>
                <c:pt idx="14">
                  <c:v>4.3089523809523813</c:v>
                </c:pt>
                <c:pt idx="15">
                  <c:v>4.0681363636363628</c:v>
                </c:pt>
                <c:pt idx="16">
                  <c:v>4.0508695652173916</c:v>
                </c:pt>
                <c:pt idx="17">
                  <c:v>3.6811999999999996</c:v>
                </c:pt>
                <c:pt idx="18">
                  <c:v>3.2213913043478266</c:v>
                </c:pt>
                <c:pt idx="19">
                  <c:v>3.5427727272727285</c:v>
                </c:pt>
                <c:pt idx="20">
                  <c:v>3.0475714285714282</c:v>
                </c:pt>
                <c:pt idx="21">
                  <c:v>2.7755217391304341</c:v>
                </c:pt>
                <c:pt idx="22">
                  <c:v>3.0232857142857146</c:v>
                </c:pt>
                <c:pt idx="23">
                  <c:v>2.9187000000000003</c:v>
                </c:pt>
                <c:pt idx="24">
                  <c:v>3.2011363636363637</c:v>
                </c:pt>
                <c:pt idx="25">
                  <c:v>3.0218999999999996</c:v>
                </c:pt>
                <c:pt idx="26">
                  <c:v>5.6015454545454544</c:v>
                </c:pt>
                <c:pt idx="27">
                  <c:v>6.6958000000000002</c:v>
                </c:pt>
                <c:pt idx="28">
                  <c:v>7.8563499999999991</c:v>
                </c:pt>
                <c:pt idx="29">
                  <c:v>6.0626818181818178</c:v>
                </c:pt>
                <c:pt idx="30">
                  <c:v>6.7497826086956527</c:v>
                </c:pt>
                <c:pt idx="31">
                  <c:v>6.6009999999999991</c:v>
                </c:pt>
                <c:pt idx="32">
                  <c:v>8.1625000000000014</c:v>
                </c:pt>
              </c:numCache>
            </c:numRef>
          </c:val>
          <c:smooth val="0"/>
          <c:extLst>
            <c:ext xmlns:c16="http://schemas.microsoft.com/office/drawing/2014/chart" uri="{C3380CC4-5D6E-409C-BE32-E72D297353CC}">
              <c16:uniqueId val="{00000000-04AF-4E9E-8077-D1CA924A3BD9}"/>
            </c:ext>
          </c:extLst>
        </c:ser>
        <c:ser>
          <c:idx val="1"/>
          <c:order val="1"/>
          <c:tx>
            <c:strRef>
              <c:f>Sheet1!$C$1</c:f>
              <c:strCache>
                <c:ptCount val="1"/>
                <c:pt idx="0">
                  <c:v>2025թ. մարվող պարտատոմսեր</c:v>
                </c:pt>
              </c:strCache>
            </c:strRef>
          </c:tx>
          <c:spPr>
            <a:ln w="27408" cap="rnd">
              <a:solidFill>
                <a:schemeClr val="accent2"/>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Sheet1!$C$2:$C$61</c:f>
              <c:numCache>
                <c:formatCode>0.0</c:formatCode>
                <c:ptCount val="60"/>
                <c:pt idx="0">
                  <c:v>4.6246363636363643</c:v>
                </c:pt>
                <c:pt idx="1">
                  <c:v>5.0539500000000004</c:v>
                </c:pt>
                <c:pt idx="2">
                  <c:v>5.2389545454545443</c:v>
                </c:pt>
                <c:pt idx="3">
                  <c:v>5.4312380952380952</c:v>
                </c:pt>
                <c:pt idx="4">
                  <c:v>5.9074999999999989</c:v>
                </c:pt>
                <c:pt idx="5">
                  <c:v>6.1062857142857139</c:v>
                </c:pt>
                <c:pt idx="6">
                  <c:v>5.7960909090909087</c:v>
                </c:pt>
                <c:pt idx="7">
                  <c:v>6.0018260869565214</c:v>
                </c:pt>
                <c:pt idx="8">
                  <c:v>6.1117500000000007</c:v>
                </c:pt>
                <c:pt idx="9">
                  <c:v>6.1803913043478245</c:v>
                </c:pt>
                <c:pt idx="10">
                  <c:v>6.1796818181818187</c:v>
                </c:pt>
                <c:pt idx="11">
                  <c:v>6.1196190476190466</c:v>
                </c:pt>
                <c:pt idx="12">
                  <c:v>5.7705217391304355</c:v>
                </c:pt>
                <c:pt idx="13">
                  <c:v>5.2843499999999999</c:v>
                </c:pt>
                <c:pt idx="14">
                  <c:v>5.0404285714285715</c:v>
                </c:pt>
                <c:pt idx="15">
                  <c:v>4.8959999999999999</c:v>
                </c:pt>
                <c:pt idx="16">
                  <c:v>4.6610000000000005</c:v>
                </c:pt>
                <c:pt idx="17">
                  <c:v>4.3403999999999989</c:v>
                </c:pt>
                <c:pt idx="18">
                  <c:v>4.0171739130434778</c:v>
                </c:pt>
                <c:pt idx="19">
                  <c:v>4.0472727272727278</c:v>
                </c:pt>
                <c:pt idx="20">
                  <c:v>3.9032857142857145</c:v>
                </c:pt>
                <c:pt idx="21">
                  <c:v>3.7579130434782599</c:v>
                </c:pt>
                <c:pt idx="22">
                  <c:v>3.6809523809523816</c:v>
                </c:pt>
                <c:pt idx="23">
                  <c:v>3.5483500000000001</c:v>
                </c:pt>
                <c:pt idx="24">
                  <c:v>3.2826818181818185</c:v>
                </c:pt>
                <c:pt idx="25">
                  <c:v>3.1654</c:v>
                </c:pt>
                <c:pt idx="26">
                  <c:v>5.1645909090909088</c:v>
                </c:pt>
                <c:pt idx="27">
                  <c:v>5.8672500000000003</c:v>
                </c:pt>
                <c:pt idx="28">
                  <c:v>4.3643000000000001</c:v>
                </c:pt>
                <c:pt idx="29">
                  <c:v>3.9795454545454545</c:v>
                </c:pt>
                <c:pt idx="30">
                  <c:v>3.8578260869565217</c:v>
                </c:pt>
                <c:pt idx="31">
                  <c:v>3.5750499999999996</c:v>
                </c:pt>
                <c:pt idx="32">
                  <c:v>3.6502727272727271</c:v>
                </c:pt>
                <c:pt idx="33">
                  <c:v>4.6231363636363634</c:v>
                </c:pt>
                <c:pt idx="34">
                  <c:v>4.2505454545454535</c:v>
                </c:pt>
                <c:pt idx="35">
                  <c:v>3.5371818181818182</c:v>
                </c:pt>
                <c:pt idx="36">
                  <c:v>3.05122727272727</c:v>
                </c:pt>
                <c:pt idx="37">
                  <c:v>3.3509000000000002</c:v>
                </c:pt>
                <c:pt idx="38">
                  <c:v>4.046347826086957</c:v>
                </c:pt>
                <c:pt idx="39">
                  <c:v>4.0145238095238103</c:v>
                </c:pt>
                <c:pt idx="40">
                  <c:v>3.6111052631578948</c:v>
                </c:pt>
                <c:pt idx="41">
                  <c:v>3.4342272727272727</c:v>
                </c:pt>
                <c:pt idx="42">
                  <c:v>3.109136363636364</c:v>
                </c:pt>
                <c:pt idx="43">
                  <c:v>2.9536363636363645</c:v>
                </c:pt>
                <c:pt idx="44">
                  <c:v>2.6846818181818177</c:v>
                </c:pt>
                <c:pt idx="45">
                  <c:v>2.8843333333333341</c:v>
                </c:pt>
                <c:pt idx="46">
                  <c:v>2.8682272727272728</c:v>
                </c:pt>
                <c:pt idx="47">
                  <c:v>3.1654285714285715</c:v>
                </c:pt>
                <c:pt idx="48">
                  <c:v>3.5819499999999991</c:v>
                </c:pt>
                <c:pt idx="49">
                  <c:v>4.2422000000000004</c:v>
                </c:pt>
                <c:pt idx="50">
                  <c:v>7.4899130434782624</c:v>
                </c:pt>
                <c:pt idx="51">
                  <c:v>7.3575263157894737</c:v>
                </c:pt>
                <c:pt idx="52">
                  <c:v>7.6578499999999989</c:v>
                </c:pt>
                <c:pt idx="53">
                  <c:v>7.4219500000000007</c:v>
                </c:pt>
                <c:pt idx="54">
                  <c:v>7.5316190476190483</c:v>
                </c:pt>
                <c:pt idx="55">
                  <c:v>7.0564761904761912</c:v>
                </c:pt>
                <c:pt idx="56">
                  <c:v>7.4047000000000001</c:v>
                </c:pt>
                <c:pt idx="57">
                  <c:v>8.0917142857142839</c:v>
                </c:pt>
                <c:pt idx="58">
                  <c:v>7.2901818181818188</c:v>
                </c:pt>
                <c:pt idx="59">
                  <c:v>6.4584761904761896</c:v>
                </c:pt>
              </c:numCache>
            </c:numRef>
          </c:val>
          <c:smooth val="0"/>
          <c:extLst>
            <c:ext xmlns:c16="http://schemas.microsoft.com/office/drawing/2014/chart" uri="{C3380CC4-5D6E-409C-BE32-E72D297353CC}">
              <c16:uniqueId val="{00000001-04AF-4E9E-8077-D1CA924A3BD9}"/>
            </c:ext>
          </c:extLst>
        </c:ser>
        <c:ser>
          <c:idx val="2"/>
          <c:order val="2"/>
          <c:tx>
            <c:strRef>
              <c:f>Sheet1!$D$1</c:f>
              <c:strCache>
                <c:ptCount val="1"/>
                <c:pt idx="0">
                  <c:v>2029թ. մարվող պարտատոմսեր</c:v>
                </c:pt>
              </c:strCache>
            </c:strRef>
          </c:tx>
          <c:spPr>
            <a:ln w="27408" cap="rnd">
              <a:solidFill>
                <a:schemeClr val="accent3"/>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Sheet1!$D$2:$D$61</c:f>
              <c:numCache>
                <c:formatCode>General</c:formatCode>
                <c:ptCount val="60"/>
                <c:pt idx="20" formatCode="0.0">
                  <c:v>4.1567999999999996</c:v>
                </c:pt>
                <c:pt idx="21" formatCode="0.0">
                  <c:v>4.2324782608695655</c:v>
                </c:pt>
                <c:pt idx="22" formatCode="0.0">
                  <c:v>4.2064761904761898</c:v>
                </c:pt>
                <c:pt idx="23" formatCode="0.0">
                  <c:v>4.0600000000000005</c:v>
                </c:pt>
                <c:pt idx="24" formatCode="0.0">
                  <c:v>3.8577727272727285</c:v>
                </c:pt>
                <c:pt idx="25" formatCode="0.0">
                  <c:v>3.7335999999999991</c:v>
                </c:pt>
                <c:pt idx="26" formatCode="0.0">
                  <c:v>4.9182272727272718</c:v>
                </c:pt>
                <c:pt idx="27" formatCode="0.0">
                  <c:v>4.973349999999999</c:v>
                </c:pt>
                <c:pt idx="28" formatCode="0.0">
                  <c:v>4.2540500000000003</c:v>
                </c:pt>
                <c:pt idx="29" formatCode="0.0">
                  <c:v>4.1830000000000007</c:v>
                </c:pt>
                <c:pt idx="30" formatCode="0.0">
                  <c:v>4.1089565217391302</c:v>
                </c:pt>
                <c:pt idx="31" formatCode="0.0">
                  <c:v>3.7693500000000015</c:v>
                </c:pt>
                <c:pt idx="32" formatCode="0.0">
                  <c:v>3.7706363636363633</c:v>
                </c:pt>
                <c:pt idx="33" formatCode="0.0">
                  <c:v>4.2672727272727267</c:v>
                </c:pt>
                <c:pt idx="34" formatCode="0.0">
                  <c:v>4.4002727272727276</c:v>
                </c:pt>
                <c:pt idx="35" formatCode="0.0">
                  <c:v>3.9598636363636364</c:v>
                </c:pt>
                <c:pt idx="36" formatCode="0.0">
                  <c:v>3.6880000000000006</c:v>
                </c:pt>
                <c:pt idx="37" formatCode="0.0">
                  <c:v>3.9475000000000002</c:v>
                </c:pt>
                <c:pt idx="38" formatCode="0.0">
                  <c:v>4.4904782608695655</c:v>
                </c:pt>
                <c:pt idx="39" formatCode="0.0">
                  <c:v>4.5562380952380943</c:v>
                </c:pt>
                <c:pt idx="40" formatCode="0.0">
                  <c:v>4.3338421052631571</c:v>
                </c:pt>
                <c:pt idx="41" formatCode="0.0">
                  <c:v>4.2633181818181818</c:v>
                </c:pt>
                <c:pt idx="42" formatCode="0.0">
                  <c:v>4.0215909090909099</c:v>
                </c:pt>
                <c:pt idx="43" formatCode="0.0">
                  <c:v>4.0676818181818168</c:v>
                </c:pt>
                <c:pt idx="44" formatCode="0.0">
                  <c:v>4.0162272727272734</c:v>
                </c:pt>
                <c:pt idx="45" formatCode="0.0">
                  <c:v>4.2865238095238096</c:v>
                </c:pt>
                <c:pt idx="46" formatCode="0.0">
                  <c:v>4.3536363636363635</c:v>
                </c:pt>
                <c:pt idx="47" formatCode="0.0">
                  <c:v>4.3866190476190461</c:v>
                </c:pt>
                <c:pt idx="48" formatCode="0.0">
                  <c:v>4.5868000000000011</c:v>
                </c:pt>
                <c:pt idx="49" formatCode="0.0">
                  <c:v>5.0386000000000006</c:v>
                </c:pt>
                <c:pt idx="50" formatCode="0.0">
                  <c:v>6.8682173913043476</c:v>
                </c:pt>
                <c:pt idx="51" formatCode="0.0">
                  <c:v>6.8751052631578951</c:v>
                </c:pt>
                <c:pt idx="52" formatCode="0.0">
                  <c:v>7.5752499999999996</c:v>
                </c:pt>
                <c:pt idx="53" formatCode="0.0">
                  <c:v>8.2034500000000001</c:v>
                </c:pt>
                <c:pt idx="54" formatCode="0.0">
                  <c:v>8.9845714285714298</c:v>
                </c:pt>
                <c:pt idx="55" formatCode="0.0">
                  <c:v>8.4869047619047624</c:v>
                </c:pt>
                <c:pt idx="56" formatCode="0.0">
                  <c:v>8.7533500000000011</c:v>
                </c:pt>
                <c:pt idx="57" formatCode="0.0">
                  <c:v>9.5608571428571434</c:v>
                </c:pt>
                <c:pt idx="58" formatCode="0.0">
                  <c:v>8.4271818181818166</c:v>
                </c:pt>
                <c:pt idx="59" formatCode="0.0">
                  <c:v>7.0670952380952361</c:v>
                </c:pt>
              </c:numCache>
            </c:numRef>
          </c:val>
          <c:smooth val="0"/>
          <c:extLst>
            <c:ext xmlns:c16="http://schemas.microsoft.com/office/drawing/2014/chart" uri="{C3380CC4-5D6E-409C-BE32-E72D297353CC}">
              <c16:uniqueId val="{00000002-04AF-4E9E-8077-D1CA924A3BD9}"/>
            </c:ext>
          </c:extLst>
        </c:ser>
        <c:ser>
          <c:idx val="3"/>
          <c:order val="3"/>
          <c:tx>
            <c:strRef>
              <c:f>Sheet1!$E$1</c:f>
              <c:strCache>
                <c:ptCount val="1"/>
                <c:pt idx="0">
                  <c:v>2031թ. մարվող պարտատոմսեր</c:v>
                </c:pt>
              </c:strCache>
            </c:strRef>
          </c:tx>
          <c:spPr>
            <a:ln w="27408" cap="rnd">
              <a:solidFill>
                <a:schemeClr val="accent4"/>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Sheet1!$E$2:$E$61</c:f>
              <c:numCache>
                <c:formatCode>General</c:formatCode>
                <c:ptCount val="60"/>
                <c:pt idx="37" formatCode="0.0">
                  <c:v>4.1668500000000011</c:v>
                </c:pt>
                <c:pt idx="38" formatCode="0.0">
                  <c:v>4.6077826086956497</c:v>
                </c:pt>
                <c:pt idx="39" formatCode="0.0">
                  <c:v>4.6495714285714289</c:v>
                </c:pt>
                <c:pt idx="40" formatCode="0.0">
                  <c:v>4.5473157894736849</c:v>
                </c:pt>
                <c:pt idx="41" formatCode="0.0">
                  <c:v>4.4961363636363636</c:v>
                </c:pt>
                <c:pt idx="42" formatCode="0.0">
                  <c:v>4.2620909090909089</c:v>
                </c:pt>
                <c:pt idx="43" formatCode="0.0">
                  <c:v>4.2781363636363636</c:v>
                </c:pt>
                <c:pt idx="44" formatCode="0.0">
                  <c:v>4.1649090909090898</c:v>
                </c:pt>
                <c:pt idx="45" formatCode="0.0">
                  <c:v>4.4419523809523813</c:v>
                </c:pt>
                <c:pt idx="46" formatCode="0.0">
                  <c:v>4.5417272727272726</c:v>
                </c:pt>
                <c:pt idx="47" formatCode="0.0">
                  <c:v>4.5901428571428564</c:v>
                </c:pt>
                <c:pt idx="48" formatCode="0.0">
                  <c:v>4.7987500000000001</c:v>
                </c:pt>
                <c:pt idx="49" formatCode="0.0">
                  <c:v>5.3735999999999997</c:v>
                </c:pt>
                <c:pt idx="50" formatCode="0.0">
                  <c:v>7.189913043478259</c:v>
                </c:pt>
                <c:pt idx="51" formatCode="0.0">
                  <c:v>7.1446315789473696</c:v>
                </c:pt>
                <c:pt idx="52" formatCode="0.0">
                  <c:v>7.9359999999999982</c:v>
                </c:pt>
                <c:pt idx="53" formatCode="0.0">
                  <c:v>8.3145000000000007</c:v>
                </c:pt>
                <c:pt idx="54" formatCode="0.0">
                  <c:v>9.0447619047619039</c:v>
                </c:pt>
                <c:pt idx="55" formatCode="0.0">
                  <c:v>8.4904761904761923</c:v>
                </c:pt>
                <c:pt idx="56" formatCode="0.0">
                  <c:v>8.5759000000000007</c:v>
                </c:pt>
                <c:pt idx="57" formatCode="0.0">
                  <c:v>9.2525714285714269</c:v>
                </c:pt>
                <c:pt idx="58" formatCode="0.0">
                  <c:v>8.2395454545454516</c:v>
                </c:pt>
                <c:pt idx="59" formatCode="0.0">
                  <c:v>6.8412857142857133</c:v>
                </c:pt>
              </c:numCache>
            </c:numRef>
          </c:val>
          <c:smooth val="0"/>
          <c:extLst>
            <c:ext xmlns:c16="http://schemas.microsoft.com/office/drawing/2014/chart" uri="{C3380CC4-5D6E-409C-BE32-E72D297353CC}">
              <c16:uniqueId val="{00000003-04AF-4E9E-8077-D1CA924A3BD9}"/>
            </c:ext>
          </c:extLst>
        </c:ser>
        <c:dLbls>
          <c:showLegendKey val="0"/>
          <c:showVal val="0"/>
          <c:showCatName val="0"/>
          <c:showSerName val="0"/>
          <c:showPercent val="0"/>
          <c:showBubbleSize val="0"/>
        </c:dLbls>
        <c:smooth val="0"/>
        <c:axId val="213903288"/>
        <c:axId val="1"/>
      </c:lineChart>
      <c:catAx>
        <c:axId val="213903288"/>
        <c:scaling>
          <c:orientation val="minMax"/>
        </c:scaling>
        <c:delete val="0"/>
        <c:axPos val="b"/>
        <c:numFmt formatCode="General" sourceLinked="1"/>
        <c:majorTickMark val="none"/>
        <c:minorTickMark val="none"/>
        <c:tickLblPos val="nextTo"/>
        <c:spPr>
          <a:noFill/>
          <a:ln w="9136" cap="flat" cmpd="sng" algn="ctr">
            <a:solidFill>
              <a:schemeClr val="tx1">
                <a:lumMod val="15000"/>
                <a:lumOff val="85000"/>
              </a:schemeClr>
            </a:solidFill>
            <a:round/>
          </a:ln>
          <a:effectLst/>
        </c:spPr>
        <c:txPr>
          <a:bodyPr rot="-60000000" spcFirstLastPara="1" vertOverflow="ellipsis" vert="horz" wrap="square" anchor="ctr" anchorCtr="1"/>
          <a:lstStyle/>
          <a:p>
            <a:pPr>
              <a:defRPr sz="576"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136">
            <a:noFill/>
          </a:ln>
        </c:spPr>
        <c:txPr>
          <a:bodyPr rot="-60000000" spcFirstLastPara="1" vertOverflow="ellipsis" vert="horz" wrap="square" anchor="ctr" anchorCtr="1"/>
          <a:lstStyle/>
          <a:p>
            <a:pPr>
              <a:defRPr sz="86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213903288"/>
        <c:crosses val="autoZero"/>
        <c:crossBetween val="between"/>
      </c:valAx>
      <c:spPr>
        <a:noFill/>
        <a:ln w="24363">
          <a:noFill/>
        </a:ln>
      </c:spPr>
    </c:plotArea>
    <c:legend>
      <c:legendPos val="b"/>
      <c:layout>
        <c:manualLayout>
          <c:xMode val="edge"/>
          <c:yMode val="edge"/>
          <c:x val="9.8484463635593942E-4"/>
          <c:y val="0.77255276309639387"/>
          <c:w val="0.99370146473626286"/>
          <c:h val="0.20363750764031208"/>
        </c:manualLayout>
      </c:layout>
      <c:overlay val="0"/>
      <c:spPr>
        <a:noFill/>
        <a:ln w="24363">
          <a:noFill/>
        </a:ln>
      </c:spPr>
      <c:txPr>
        <a:bodyPr rot="0" spcFirstLastPara="1" vertOverflow="ellipsis" vert="horz" wrap="square" anchor="ctr" anchorCtr="1"/>
        <a:lstStyle/>
        <a:p>
          <a:pPr>
            <a:defRPr sz="86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136"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5"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055"/>
              <a:t>Ռիսկի հավելավճար, </a:t>
            </a:r>
            <a:r>
              <a:rPr lang="en-US" sz="1055"/>
              <a:t>%-</a:t>
            </a:r>
            <a:r>
              <a:rPr lang="hy-AM" sz="1055"/>
              <a:t>ային կետ</a:t>
            </a:r>
            <a:endParaRPr lang="en-US" sz="1100"/>
          </a:p>
        </c:rich>
      </c:tx>
      <c:overlay val="0"/>
      <c:spPr>
        <a:noFill/>
        <a:ln w="24363">
          <a:noFill/>
        </a:ln>
      </c:spPr>
    </c:title>
    <c:autoTitleDeleted val="0"/>
    <c:plotArea>
      <c:layout>
        <c:manualLayout>
          <c:layoutTarget val="inner"/>
          <c:xMode val="edge"/>
          <c:yMode val="edge"/>
          <c:x val="0.15363043161271508"/>
          <c:y val="0.22860111236095487"/>
          <c:w val="0.77950204141149027"/>
          <c:h val="0.47757374078240222"/>
        </c:manualLayout>
      </c:layout>
      <c:lineChart>
        <c:grouping val="standard"/>
        <c:varyColors val="0"/>
        <c:ser>
          <c:idx val="0"/>
          <c:order val="0"/>
          <c:tx>
            <c:strRef>
              <c:f>Sheet1!$B$1</c:f>
              <c:strCache>
                <c:ptCount val="1"/>
                <c:pt idx="0">
                  <c:v>2020թ. մարվող պարտատոմսեր</c:v>
                </c:pt>
              </c:strCache>
            </c:strRef>
          </c:tx>
          <c:spPr>
            <a:ln w="27408" cap="rnd">
              <a:solidFill>
                <a:schemeClr val="accent1"/>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Sheet1!$B$2:$B$61</c:f>
              <c:numCache>
                <c:formatCode>0.0</c:formatCode>
                <c:ptCount val="60"/>
                <c:pt idx="0">
                  <c:v>1.490426573426574</c:v>
                </c:pt>
                <c:pt idx="1">
                  <c:v>2.0712666666666668</c:v>
                </c:pt>
                <c:pt idx="2">
                  <c:v>2.0867909090909085</c:v>
                </c:pt>
                <c:pt idx="3">
                  <c:v>2.1011593406593416</c:v>
                </c:pt>
                <c:pt idx="4">
                  <c:v>2.2069125874125888</c:v>
                </c:pt>
                <c:pt idx="5">
                  <c:v>2.2531485714285724</c:v>
                </c:pt>
                <c:pt idx="6">
                  <c:v>1.8043367003367008</c:v>
                </c:pt>
                <c:pt idx="7">
                  <c:v>2.3146280193236715</c:v>
                </c:pt>
                <c:pt idx="8">
                  <c:v>2.2136499999999999</c:v>
                </c:pt>
                <c:pt idx="9">
                  <c:v>2.3501755852842812</c:v>
                </c:pt>
                <c:pt idx="10">
                  <c:v>2.4515527272727264</c:v>
                </c:pt>
                <c:pt idx="11">
                  <c:v>2.556282051282051</c:v>
                </c:pt>
                <c:pt idx="12">
                  <c:v>2.142277591973246</c:v>
                </c:pt>
                <c:pt idx="13">
                  <c:v>1.8436347826086954</c:v>
                </c:pt>
                <c:pt idx="14">
                  <c:v>1.9127349896480328</c:v>
                </c:pt>
                <c:pt idx="15">
                  <c:v>1.8021363636363628</c:v>
                </c:pt>
                <c:pt idx="16">
                  <c:v>1.8408695652173916</c:v>
                </c:pt>
                <c:pt idx="17">
                  <c:v>1.6696399999999993</c:v>
                </c:pt>
                <c:pt idx="18">
                  <c:v>1.2534653784219008</c:v>
                </c:pt>
                <c:pt idx="19">
                  <c:v>1.9427727272727284</c:v>
                </c:pt>
                <c:pt idx="20">
                  <c:v>1.3975714285714282</c:v>
                </c:pt>
                <c:pt idx="21">
                  <c:v>1.2255217391304341</c:v>
                </c:pt>
                <c:pt idx="22">
                  <c:v>1.4032857142857145</c:v>
                </c:pt>
                <c:pt idx="23">
                  <c:v>1.3039000000000003</c:v>
                </c:pt>
                <c:pt idx="24">
                  <c:v>1.6638286713286714</c:v>
                </c:pt>
                <c:pt idx="25">
                  <c:v>1.6021173913043474</c:v>
                </c:pt>
                <c:pt idx="26">
                  <c:v>5.268397306397306</c:v>
                </c:pt>
                <c:pt idx="27">
                  <c:v>6.5112000000000005</c:v>
                </c:pt>
                <c:pt idx="28">
                  <c:v>7.7323899999999988</c:v>
                </c:pt>
                <c:pt idx="29">
                  <c:v>5.9064818181818177</c:v>
                </c:pt>
                <c:pt idx="30">
                  <c:v>6.6249426086956529</c:v>
                </c:pt>
                <c:pt idx="31">
                  <c:v>6.5015416666666654</c:v>
                </c:pt>
                <c:pt idx="32">
                  <c:v>8.046916666666668</c:v>
                </c:pt>
              </c:numCache>
            </c:numRef>
          </c:val>
          <c:smooth val="0"/>
          <c:extLst>
            <c:ext xmlns:c16="http://schemas.microsoft.com/office/drawing/2014/chart" uri="{C3380CC4-5D6E-409C-BE32-E72D297353CC}">
              <c16:uniqueId val="{00000000-4539-4894-9CB1-61C3A532A3E2}"/>
            </c:ext>
          </c:extLst>
        </c:ser>
        <c:ser>
          <c:idx val="1"/>
          <c:order val="1"/>
          <c:tx>
            <c:strRef>
              <c:f>Sheet1!$C$1</c:f>
              <c:strCache>
                <c:ptCount val="1"/>
                <c:pt idx="0">
                  <c:v>2025թ. մարվող պարտատոմսեր</c:v>
                </c:pt>
              </c:strCache>
            </c:strRef>
          </c:tx>
          <c:spPr>
            <a:ln w="27408" cap="rnd">
              <a:solidFill>
                <a:schemeClr val="accent2"/>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Sheet1!$C$2:$C$61</c:f>
              <c:numCache>
                <c:formatCode>0.0</c:formatCode>
                <c:ptCount val="60"/>
                <c:pt idx="0">
                  <c:v>2.1184440559440567</c:v>
                </c:pt>
                <c:pt idx="1">
                  <c:v>2.274575</c:v>
                </c:pt>
                <c:pt idx="2">
                  <c:v>2.4648745454545442</c:v>
                </c:pt>
                <c:pt idx="3">
                  <c:v>2.6127380952380954</c:v>
                </c:pt>
                <c:pt idx="4">
                  <c:v>2.9711153846153846</c:v>
                </c:pt>
                <c:pt idx="5">
                  <c:v>3.2337657142857137</c:v>
                </c:pt>
                <c:pt idx="6">
                  <c:v>2.946794612794613</c:v>
                </c:pt>
                <c:pt idx="7">
                  <c:v>3.162418679549114</c:v>
                </c:pt>
                <c:pt idx="8">
                  <c:v>3.1533333333333347</c:v>
                </c:pt>
                <c:pt idx="9">
                  <c:v>3.0880836120401325</c:v>
                </c:pt>
                <c:pt idx="10">
                  <c:v>3.1487618181818187</c:v>
                </c:pt>
                <c:pt idx="11">
                  <c:v>3.3627728937728927</c:v>
                </c:pt>
                <c:pt idx="12">
                  <c:v>3.16186789297659</c:v>
                </c:pt>
                <c:pt idx="13">
                  <c:v>2.7116978260869566</c:v>
                </c:pt>
                <c:pt idx="14">
                  <c:v>2.5937763975155281</c:v>
                </c:pt>
                <c:pt idx="15">
                  <c:v>2.5059999999999998</c:v>
                </c:pt>
                <c:pt idx="16">
                  <c:v>2.3710000000000004</c:v>
                </c:pt>
                <c:pt idx="17">
                  <c:v>2.3898799999999998</c:v>
                </c:pt>
                <c:pt idx="18">
                  <c:v>2.0868405797101448</c:v>
                </c:pt>
                <c:pt idx="19">
                  <c:v>2.4888881118881128</c:v>
                </c:pt>
                <c:pt idx="20">
                  <c:v>2.3032857142857144</c:v>
                </c:pt>
                <c:pt idx="21">
                  <c:v>2.1579130434782599</c:v>
                </c:pt>
                <c:pt idx="22">
                  <c:v>1.9409523809523817</c:v>
                </c:pt>
                <c:pt idx="23">
                  <c:v>1.7583500000000001</c:v>
                </c:pt>
                <c:pt idx="24">
                  <c:v>1.7147972027972034</c:v>
                </c:pt>
                <c:pt idx="25">
                  <c:v>1.8296173913043481</c:v>
                </c:pt>
                <c:pt idx="26">
                  <c:v>4.5752575757575755</c:v>
                </c:pt>
                <c:pt idx="27">
                  <c:v>5.4789300000000001</c:v>
                </c:pt>
                <c:pt idx="28">
                  <c:v>4.0279400000000001</c:v>
                </c:pt>
                <c:pt idx="29">
                  <c:v>3.6338654545454543</c:v>
                </c:pt>
                <c:pt idx="30">
                  <c:v>3.579034420289855</c:v>
                </c:pt>
                <c:pt idx="31">
                  <c:v>3.3095499999999998</c:v>
                </c:pt>
                <c:pt idx="32">
                  <c:v>3.3807310606060605</c:v>
                </c:pt>
                <c:pt idx="33">
                  <c:v>4.2908030303030298</c:v>
                </c:pt>
                <c:pt idx="34">
                  <c:v>3.8636993006992997</c:v>
                </c:pt>
                <c:pt idx="35">
                  <c:v>3.1564218181818182</c:v>
                </c:pt>
                <c:pt idx="36">
                  <c:v>2.6119356060606034</c:v>
                </c:pt>
                <c:pt idx="37">
                  <c:v>2.8080304347826086</c:v>
                </c:pt>
                <c:pt idx="38">
                  <c:v>3.2206811594202902</c:v>
                </c:pt>
                <c:pt idx="39">
                  <c:v>3.1592391941391949</c:v>
                </c:pt>
                <c:pt idx="40">
                  <c:v>2.797809109311741</c:v>
                </c:pt>
                <c:pt idx="41">
                  <c:v>2.5993811188811184</c:v>
                </c:pt>
                <c:pt idx="42">
                  <c:v>2.3398171328671333</c:v>
                </c:pt>
                <c:pt idx="43">
                  <c:v>2.1809203636363645</c:v>
                </c:pt>
                <c:pt idx="44">
                  <c:v>1.8257378181818176</c:v>
                </c:pt>
                <c:pt idx="45">
                  <c:v>2.0253893333333339</c:v>
                </c:pt>
                <c:pt idx="46">
                  <c:v>2.0457272727272731</c:v>
                </c:pt>
                <c:pt idx="47">
                  <c:v>2.2217362637362639</c:v>
                </c:pt>
                <c:pt idx="48">
                  <c:v>2.338897999999999</c:v>
                </c:pt>
                <c:pt idx="49">
                  <c:v>2.5921727272727275</c:v>
                </c:pt>
                <c:pt idx="50">
                  <c:v>5.4069945249597442</c:v>
                </c:pt>
                <c:pt idx="51">
                  <c:v>4.6281554824561404</c:v>
                </c:pt>
                <c:pt idx="52">
                  <c:v>4.7567249999999994</c:v>
                </c:pt>
                <c:pt idx="53">
                  <c:v>4.2918700000000012</c:v>
                </c:pt>
                <c:pt idx="54">
                  <c:v>4.6386190476190485</c:v>
                </c:pt>
                <c:pt idx="55">
                  <c:v>4.1414761904761912</c:v>
                </c:pt>
                <c:pt idx="56">
                  <c:v>3.8951400000000009</c:v>
                </c:pt>
                <c:pt idx="57">
                  <c:v>3.9955142857142834</c:v>
                </c:pt>
                <c:pt idx="58">
                  <c:v>2.9572378181818184</c:v>
                </c:pt>
                <c:pt idx="59">
                  <c:v>2.4079641904761893</c:v>
                </c:pt>
              </c:numCache>
            </c:numRef>
          </c:val>
          <c:smooth val="0"/>
          <c:extLst>
            <c:ext xmlns:c16="http://schemas.microsoft.com/office/drawing/2014/chart" uri="{C3380CC4-5D6E-409C-BE32-E72D297353CC}">
              <c16:uniqueId val="{00000001-4539-4894-9CB1-61C3A532A3E2}"/>
            </c:ext>
          </c:extLst>
        </c:ser>
        <c:ser>
          <c:idx val="2"/>
          <c:order val="2"/>
          <c:tx>
            <c:strRef>
              <c:f>Sheet1!$D$1</c:f>
              <c:strCache>
                <c:ptCount val="1"/>
                <c:pt idx="0">
                  <c:v>2029թ. մարվող պարտատոմսեր</c:v>
                </c:pt>
              </c:strCache>
            </c:strRef>
          </c:tx>
          <c:spPr>
            <a:ln w="27408" cap="rnd">
              <a:solidFill>
                <a:schemeClr val="accent3"/>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Sheet1!$D$2:$D$61</c:f>
              <c:numCache>
                <c:formatCode>General</c:formatCode>
                <c:ptCount val="60"/>
                <c:pt idx="20" formatCode="0.0">
                  <c:v>2.4618799999999994</c:v>
                </c:pt>
                <c:pt idx="21" formatCode="0.0">
                  <c:v>2.5310551839464885</c:v>
                </c:pt>
                <c:pt idx="22" formatCode="0.0">
                  <c:v>2.3948511904761896</c:v>
                </c:pt>
                <c:pt idx="23" formatCode="0.0">
                  <c:v>2.199444444444445</c:v>
                </c:pt>
                <c:pt idx="24" formatCode="0.0">
                  <c:v>2.0965804195804205</c:v>
                </c:pt>
                <c:pt idx="25" formatCode="0.0">
                  <c:v>2.2225130434782603</c:v>
                </c:pt>
                <c:pt idx="26" formatCode="0.0">
                  <c:v>4.0621531986531974</c:v>
                </c:pt>
                <c:pt idx="27" formatCode="0.0">
                  <c:v>4.3222299999999994</c:v>
                </c:pt>
                <c:pt idx="28" formatCode="0.0">
                  <c:v>3.5871700000000004</c:v>
                </c:pt>
                <c:pt idx="29" formatCode="0.0">
                  <c:v>3.4564400000000006</c:v>
                </c:pt>
                <c:pt idx="30" formatCode="0.0">
                  <c:v>3.4921648550724633</c:v>
                </c:pt>
                <c:pt idx="31" formatCode="0.0">
                  <c:v>3.1247730769230788</c:v>
                </c:pt>
                <c:pt idx="32" formatCode="0.0">
                  <c:v>3.0942613636363632</c:v>
                </c:pt>
                <c:pt idx="33" formatCode="0.0">
                  <c:v>3.4945227272727268</c:v>
                </c:pt>
                <c:pt idx="34" formatCode="0.0">
                  <c:v>3.535541958041958</c:v>
                </c:pt>
                <c:pt idx="35" formatCode="0.0">
                  <c:v>3.0330636363636363</c:v>
                </c:pt>
                <c:pt idx="36" formatCode="0.0">
                  <c:v>2.6223750000000008</c:v>
                </c:pt>
                <c:pt idx="37" formatCode="0.0">
                  <c:v>2.6993333333333336</c:v>
                </c:pt>
                <c:pt idx="38" formatCode="0.0">
                  <c:v>2.8688628762541808</c:v>
                </c:pt>
                <c:pt idx="39" formatCode="0.0">
                  <c:v>2.933468864468864</c:v>
                </c:pt>
                <c:pt idx="40" formatCode="0.0">
                  <c:v>2.7200021052631564</c:v>
                </c:pt>
                <c:pt idx="41" formatCode="0.0">
                  <c:v>2.7524335664335666</c:v>
                </c:pt>
                <c:pt idx="42" formatCode="0.0">
                  <c:v>2.7079109090909097</c:v>
                </c:pt>
                <c:pt idx="43" formatCode="0.0">
                  <c:v>2.7870418181818168</c:v>
                </c:pt>
                <c:pt idx="44" formatCode="0.0">
                  <c:v>2.6455872727272736</c:v>
                </c:pt>
                <c:pt idx="45" formatCode="0.0">
                  <c:v>2.7083638095238096</c:v>
                </c:pt>
                <c:pt idx="46" formatCode="0.0">
                  <c:v>2.7984440559440555</c:v>
                </c:pt>
                <c:pt idx="47" formatCode="0.0">
                  <c:v>2.9296190476190462</c:v>
                </c:pt>
                <c:pt idx="48" formatCode="0.0">
                  <c:v>2.8278000000000016</c:v>
                </c:pt>
                <c:pt idx="49" formatCode="0.0">
                  <c:v>3.1089181818181828</c:v>
                </c:pt>
                <c:pt idx="50" formatCode="0.0">
                  <c:v>4.7470692431561998</c:v>
                </c:pt>
                <c:pt idx="51" formatCode="0.0">
                  <c:v>4.1343135964912285</c:v>
                </c:pt>
                <c:pt idx="52" formatCode="0.0">
                  <c:v>4.6741250000000001</c:v>
                </c:pt>
                <c:pt idx="53" formatCode="0.0">
                  <c:v>5.0166699999999995</c:v>
                </c:pt>
                <c:pt idx="54" formatCode="0.0">
                  <c:v>6.0235794285714297</c:v>
                </c:pt>
                <c:pt idx="55" formatCode="0.0">
                  <c:v>5.4981492063492077</c:v>
                </c:pt>
                <c:pt idx="56" formatCode="0.0">
                  <c:v>5.1207300000000018</c:v>
                </c:pt>
                <c:pt idx="57" formatCode="0.0">
                  <c:v>5.5803771428571434</c:v>
                </c:pt>
                <c:pt idx="58" formatCode="0.0">
                  <c:v>4.551701818181817</c:v>
                </c:pt>
                <c:pt idx="59" formatCode="0.0">
                  <c:v>3.4538152380952361</c:v>
                </c:pt>
              </c:numCache>
            </c:numRef>
          </c:val>
          <c:smooth val="0"/>
          <c:extLst>
            <c:ext xmlns:c16="http://schemas.microsoft.com/office/drawing/2014/chart" uri="{C3380CC4-5D6E-409C-BE32-E72D297353CC}">
              <c16:uniqueId val="{00000002-4539-4894-9CB1-61C3A532A3E2}"/>
            </c:ext>
          </c:extLst>
        </c:ser>
        <c:ser>
          <c:idx val="3"/>
          <c:order val="3"/>
          <c:tx>
            <c:strRef>
              <c:f>Sheet1!$E$1</c:f>
              <c:strCache>
                <c:ptCount val="1"/>
                <c:pt idx="0">
                  <c:v>2031թ. մարվող պարտատոմսեր</c:v>
                </c:pt>
              </c:strCache>
            </c:strRef>
          </c:tx>
          <c:spPr>
            <a:ln w="27408" cap="rnd">
              <a:solidFill>
                <a:schemeClr val="accent4"/>
              </a:solidFill>
              <a:round/>
            </a:ln>
            <a:effectLst/>
          </c:spPr>
          <c:marker>
            <c:symbol val="none"/>
          </c:marker>
          <c:cat>
            <c:numRef>
              <c:f>Sheet1!$A$2:$A$61</c:f>
              <c:numCache>
                <c:formatCode>General</c:formatCode>
                <c:ptCount val="60"/>
                <c:pt idx="11">
                  <c:v>2018</c:v>
                </c:pt>
                <c:pt idx="23">
                  <c:v>2019</c:v>
                </c:pt>
                <c:pt idx="35">
                  <c:v>2020</c:v>
                </c:pt>
                <c:pt idx="47">
                  <c:v>2021</c:v>
                </c:pt>
                <c:pt idx="59">
                  <c:v>2022</c:v>
                </c:pt>
              </c:numCache>
            </c:numRef>
          </c:cat>
          <c:val>
            <c:numRef>
              <c:f>Sheet1!$E$2:$E$61</c:f>
              <c:numCache>
                <c:formatCode>General</c:formatCode>
                <c:ptCount val="60"/>
                <c:pt idx="37" formatCode="0.0">
                  <c:v>2.9186833333333344</c:v>
                </c:pt>
                <c:pt idx="38" formatCode="0.0">
                  <c:v>2.986167224080265</c:v>
                </c:pt>
                <c:pt idx="39" formatCode="0.0">
                  <c:v>3.0268021978021986</c:v>
                </c:pt>
                <c:pt idx="40" formatCode="0.0">
                  <c:v>2.9334757894736843</c:v>
                </c:pt>
                <c:pt idx="41" formatCode="0.0">
                  <c:v>2.9852517482517484</c:v>
                </c:pt>
                <c:pt idx="42" formatCode="0.0">
                  <c:v>2.9484109090909087</c:v>
                </c:pt>
                <c:pt idx="43" formatCode="0.0">
                  <c:v>2.9974963636363636</c:v>
                </c:pt>
                <c:pt idx="44" formatCode="0.0">
                  <c:v>2.7942690909090899</c:v>
                </c:pt>
                <c:pt idx="45" formatCode="0.0">
                  <c:v>2.8637923809523813</c:v>
                </c:pt>
                <c:pt idx="46" formatCode="0.0">
                  <c:v>2.9865349650349646</c:v>
                </c:pt>
                <c:pt idx="47" formatCode="0.0">
                  <c:v>3.1331428571428566</c:v>
                </c:pt>
                <c:pt idx="48" formatCode="0.0">
                  <c:v>3.0397500000000006</c:v>
                </c:pt>
                <c:pt idx="49" formatCode="0.0">
                  <c:v>3.4439181818181819</c:v>
                </c:pt>
                <c:pt idx="50" formatCode="0.0">
                  <c:v>5.0687648953301112</c:v>
                </c:pt>
                <c:pt idx="51" formatCode="0.0">
                  <c:v>4.403839912280703</c:v>
                </c:pt>
                <c:pt idx="52" formatCode="0.0">
                  <c:v>5.0348749999999978</c:v>
                </c:pt>
                <c:pt idx="53" formatCode="0.0">
                  <c:v>5.1277200000000001</c:v>
                </c:pt>
                <c:pt idx="54" formatCode="0.0">
                  <c:v>6.0837699047619038</c:v>
                </c:pt>
                <c:pt idx="55" formatCode="0.0">
                  <c:v>5.5017206349206376</c:v>
                </c:pt>
                <c:pt idx="56" formatCode="0.0">
                  <c:v>4.9432800000000015</c:v>
                </c:pt>
                <c:pt idx="57" formatCode="0.0">
                  <c:v>5.2720914285714269</c:v>
                </c:pt>
                <c:pt idx="58" formatCode="0.0">
                  <c:v>4.364065454545452</c:v>
                </c:pt>
                <c:pt idx="59" formatCode="0.0">
                  <c:v>3.2280057142857133</c:v>
                </c:pt>
              </c:numCache>
            </c:numRef>
          </c:val>
          <c:smooth val="0"/>
          <c:extLst>
            <c:ext xmlns:c16="http://schemas.microsoft.com/office/drawing/2014/chart" uri="{C3380CC4-5D6E-409C-BE32-E72D297353CC}">
              <c16:uniqueId val="{00000003-4539-4894-9CB1-61C3A532A3E2}"/>
            </c:ext>
          </c:extLst>
        </c:ser>
        <c:dLbls>
          <c:showLegendKey val="0"/>
          <c:showVal val="0"/>
          <c:showCatName val="0"/>
          <c:showSerName val="0"/>
          <c:showPercent val="0"/>
          <c:showBubbleSize val="0"/>
        </c:dLbls>
        <c:smooth val="0"/>
        <c:axId val="179883440"/>
        <c:axId val="1"/>
      </c:lineChart>
      <c:catAx>
        <c:axId val="179883440"/>
        <c:scaling>
          <c:orientation val="minMax"/>
        </c:scaling>
        <c:delete val="0"/>
        <c:axPos val="b"/>
        <c:numFmt formatCode="General" sourceLinked="1"/>
        <c:majorTickMark val="none"/>
        <c:minorTickMark val="none"/>
        <c:tickLblPos val="nextTo"/>
        <c:spPr>
          <a:noFill/>
          <a:ln w="9136" cap="flat" cmpd="sng" algn="ctr">
            <a:solidFill>
              <a:schemeClr val="tx1">
                <a:lumMod val="15000"/>
                <a:lumOff val="85000"/>
              </a:schemeClr>
            </a:solidFill>
            <a:round/>
          </a:ln>
          <a:effectLst/>
        </c:spPr>
        <c:txPr>
          <a:bodyPr rot="-60000000" spcFirstLastPara="1" vertOverflow="ellipsis" vert="horz" wrap="square" anchor="ctr" anchorCtr="1"/>
          <a:lstStyle/>
          <a:p>
            <a:pPr>
              <a:defRPr sz="576"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136">
            <a:noFill/>
          </a:ln>
        </c:spPr>
        <c:txPr>
          <a:bodyPr rot="-60000000" spcFirstLastPara="1" vertOverflow="ellipsis" vert="horz" wrap="square" anchor="ctr" anchorCtr="1"/>
          <a:lstStyle/>
          <a:p>
            <a:pPr>
              <a:defRPr sz="863"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9883440"/>
        <c:crosses val="autoZero"/>
        <c:crossBetween val="between"/>
      </c:valAx>
      <c:spPr>
        <a:noFill/>
        <a:ln w="24363">
          <a:noFill/>
        </a:ln>
      </c:spPr>
    </c:plotArea>
    <c:legend>
      <c:legendPos val="b"/>
      <c:layout>
        <c:manualLayout>
          <c:xMode val="edge"/>
          <c:yMode val="edge"/>
          <c:x val="4.2615542622389591E-2"/>
          <c:y val="0.78170423902491637"/>
          <c:w val="0.90550920265401591"/>
          <c:h val="0.19448639125588751"/>
        </c:manualLayout>
      </c:layout>
      <c:overlay val="0"/>
      <c:spPr>
        <a:noFill/>
        <a:ln w="24363">
          <a:noFill/>
        </a:ln>
      </c:spPr>
      <c:txPr>
        <a:bodyPr rot="0" spcFirstLastPara="1" vertOverflow="ellipsis" vert="horz" wrap="square" anchor="ctr" anchorCtr="1"/>
        <a:lstStyle/>
        <a:p>
          <a:pPr>
            <a:defRPr sz="767"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136"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hy-AM" sz="1200" b="0"/>
              <a:t>Եկամուտները</a:t>
            </a:r>
            <a:endParaRPr lang="en-US" sz="1200" b="0"/>
          </a:p>
        </c:rich>
      </c:tx>
      <c:layout>
        <c:manualLayout>
          <c:xMode val="edge"/>
          <c:yMode val="edge"/>
          <c:x val="0.34201937451472919"/>
          <c:y val="0"/>
        </c:manualLayout>
      </c:layout>
      <c:overlay val="0"/>
      <c:spPr>
        <a:noFill/>
        <a:ln w="25400">
          <a:noFill/>
        </a:ln>
      </c:spPr>
    </c:title>
    <c:autoTitleDeleted val="0"/>
    <c:plotArea>
      <c:layout>
        <c:manualLayout>
          <c:layoutTarget val="inner"/>
          <c:xMode val="edge"/>
          <c:yMode val="edge"/>
          <c:x val="0.1119659006331809"/>
          <c:y val="0.1133587408519911"/>
          <c:w val="0.78453242443506488"/>
          <c:h val="0.52148729479377376"/>
        </c:manualLayout>
      </c:layout>
      <c:barChart>
        <c:barDir val="col"/>
        <c:grouping val="clustered"/>
        <c:varyColors val="0"/>
        <c:ser>
          <c:idx val="0"/>
          <c:order val="0"/>
          <c:tx>
            <c:strRef>
              <c:f>Sheet1!$B$1</c:f>
              <c:strCache>
                <c:ptCount val="1"/>
                <c:pt idx="0">
                  <c:v>Ընդամենը եկամուտներ, մլրդ. դրամ</c:v>
                </c:pt>
              </c:strCache>
            </c:strRef>
          </c:tx>
          <c:spPr>
            <a:ln w="28575" cap="rnd">
              <a:solidFill>
                <a:schemeClr val="accent1"/>
              </a:solidFill>
              <a:round/>
            </a:ln>
            <a:effectLst/>
          </c:spPr>
          <c:invertIfNegative val="0"/>
          <c:dLbls>
            <c:dLbl>
              <c:idx val="1"/>
              <c:layout>
                <c:manualLayout>
                  <c:x val="3.8051310808527998E-17"/>
                  <c:y val="0.33093619035325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A8-4D89-BCEB-3B1527A37E2C}"/>
                </c:ext>
              </c:extLst>
            </c:dLbl>
            <c:dLbl>
              <c:idx val="2"/>
              <c:layout>
                <c:manualLayout>
                  <c:x val="-4.1511000415110763E-3"/>
                  <c:y val="0.2947931672475366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A8-4D89-BCEB-3B1527A37E2C}"/>
                </c:ext>
              </c:extLst>
            </c:dLbl>
            <c:dLbl>
              <c:idx val="3"/>
              <c:layout>
                <c:manualLayout>
                  <c:x val="-7.6102621617055996E-17"/>
                  <c:y val="0.368331483154769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A8-4D89-BCEB-3B1527A37E2C}"/>
                </c:ext>
              </c:extLst>
            </c:dLbl>
            <c:dLbl>
              <c:idx val="4"/>
              <c:layout>
                <c:manualLayout>
                  <c:x val="-4.1511000415111526E-3"/>
                  <c:y val="0.4033251581257261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A8-4D89-BCEB-3B1527A37E2C}"/>
                </c:ext>
              </c:extLst>
            </c:dLbl>
            <c:spPr>
              <a:noFill/>
              <a:ln w="25400">
                <a:noFill/>
              </a:ln>
            </c:spPr>
            <c:txPr>
              <a:bodyPr wrap="square" lIns="38100" tIns="19050" rIns="38100" bIns="19050" anchor="ctr">
                <a:spAutoFit/>
              </a:bodyPr>
              <a:lstStyle/>
              <a:p>
                <a:pPr>
                  <a:defRPr sz="9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#,##0</c:formatCode>
                <c:ptCount val="5"/>
                <c:pt idx="0">
                  <c:v>1341.690590901</c:v>
                </c:pt>
                <c:pt idx="1">
                  <c:v>1565.4889168</c:v>
                </c:pt>
                <c:pt idx="2">
                  <c:v>1560.6553879319997</c:v>
                </c:pt>
                <c:pt idx="3">
                  <c:v>1683.83146315</c:v>
                </c:pt>
                <c:pt idx="4">
                  <c:v>2063.0953426249998</c:v>
                </c:pt>
              </c:numCache>
            </c:numRef>
          </c:val>
          <c:extLst>
            <c:ext xmlns:c16="http://schemas.microsoft.com/office/drawing/2014/chart" uri="{C3380CC4-5D6E-409C-BE32-E72D297353CC}">
              <c16:uniqueId val="{00000004-8DA8-4D89-BCEB-3B1527A37E2C}"/>
            </c:ext>
          </c:extLst>
        </c:ser>
        <c:ser>
          <c:idx val="2"/>
          <c:order val="2"/>
          <c:tx>
            <c:strRef>
              <c:f>Sheet1!$D$1</c:f>
              <c:strCache>
                <c:ptCount val="1"/>
                <c:pt idx="0">
                  <c:v>Հարկային եկամուտներ, մլրդ դրամ</c:v>
                </c:pt>
              </c:strCache>
            </c:strRef>
          </c:tx>
          <c:spPr>
            <a:solidFill>
              <a:srgbClr val="F79646"/>
            </a:solidFill>
          </c:spPr>
          <c:invertIfNegative val="0"/>
          <c:dLbls>
            <c:spPr>
              <a:noFill/>
              <a:ln w="25400">
                <a:noFill/>
              </a:ln>
            </c:spPr>
            <c:txPr>
              <a:bodyPr wrap="square" lIns="38100" tIns="19050" rIns="38100" bIns="19050" anchor="ctr">
                <a:spAutoFit/>
              </a:bodyPr>
              <a:lstStyle/>
              <a:p>
                <a:pPr>
                  <a:defRPr sz="9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Sheet1!$D$2:$D$6</c:f>
              <c:numCache>
                <c:formatCode>#,##0</c:formatCode>
                <c:ptCount val="5"/>
                <c:pt idx="0">
                  <c:v>1258.0999999999999</c:v>
                </c:pt>
                <c:pt idx="1">
                  <c:v>1464.3</c:v>
                </c:pt>
                <c:pt idx="2">
                  <c:v>1385.2</c:v>
                </c:pt>
                <c:pt idx="3">
                  <c:v>1586.9</c:v>
                </c:pt>
                <c:pt idx="4">
                  <c:v>1926</c:v>
                </c:pt>
              </c:numCache>
            </c:numRef>
          </c:val>
          <c:extLst>
            <c:ext xmlns:c16="http://schemas.microsoft.com/office/drawing/2014/chart" uri="{C3380CC4-5D6E-409C-BE32-E72D297353CC}">
              <c16:uniqueId val="{00000005-8DA8-4D89-BCEB-3B1527A37E2C}"/>
            </c:ext>
          </c:extLst>
        </c:ser>
        <c:dLbls>
          <c:showLegendKey val="0"/>
          <c:showVal val="0"/>
          <c:showCatName val="0"/>
          <c:showSerName val="0"/>
          <c:showPercent val="0"/>
          <c:showBubbleSize val="0"/>
        </c:dLbls>
        <c:gapWidth val="150"/>
        <c:axId val="213850512"/>
        <c:axId val="1"/>
      </c:barChart>
      <c:lineChart>
        <c:grouping val="standard"/>
        <c:varyColors val="0"/>
        <c:ser>
          <c:idx val="1"/>
          <c:order val="1"/>
          <c:tx>
            <c:strRef>
              <c:f>Sheet1!$C$1</c:f>
              <c:strCache>
                <c:ptCount val="1"/>
                <c:pt idx="0">
                  <c:v>Ընդամենը եկամուտներ, % ՀՆԱ-ում</c:v>
                </c:pt>
              </c:strCache>
            </c:strRef>
          </c:tx>
          <c:dLbls>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22.298200796648153</c:v>
                </c:pt>
                <c:pt idx="1">
                  <c:v>23.924987409300275</c:v>
                </c:pt>
                <c:pt idx="2">
                  <c:v>25.245551230975394</c:v>
                </c:pt>
                <c:pt idx="3">
                  <c:v>24.113425543241853</c:v>
                </c:pt>
                <c:pt idx="4">
                  <c:v>24.28091380785752</c:v>
                </c:pt>
              </c:numCache>
            </c:numRef>
          </c:val>
          <c:smooth val="0"/>
          <c:extLst>
            <c:ext xmlns:c16="http://schemas.microsoft.com/office/drawing/2014/chart" uri="{C3380CC4-5D6E-409C-BE32-E72D297353CC}">
              <c16:uniqueId val="{00000006-8DA8-4D89-BCEB-3B1527A37E2C}"/>
            </c:ext>
          </c:extLst>
        </c:ser>
        <c:ser>
          <c:idx val="3"/>
          <c:order val="3"/>
          <c:tx>
            <c:strRef>
              <c:f>Sheet1!$E$1</c:f>
              <c:strCache>
                <c:ptCount val="1"/>
                <c:pt idx="0">
                  <c:v>Հարկային եկամուտներ, % ՀՆԱ-ում</c:v>
                </c:pt>
              </c:strCache>
            </c:strRef>
          </c:tx>
          <c:cat>
            <c:numRef>
              <c:f>Sheet1!$A$2:$A$6</c:f>
              <c:numCache>
                <c:formatCode>General</c:formatCode>
                <c:ptCount val="5"/>
                <c:pt idx="0">
                  <c:v>2018</c:v>
                </c:pt>
                <c:pt idx="1">
                  <c:v>2019</c:v>
                </c:pt>
                <c:pt idx="2">
                  <c:v>2020</c:v>
                </c:pt>
                <c:pt idx="3">
                  <c:v>2021</c:v>
                </c:pt>
                <c:pt idx="4">
                  <c:v>2022</c:v>
                </c:pt>
              </c:numCache>
            </c:numRef>
          </c:cat>
          <c:val>
            <c:numRef>
              <c:f>Sheet1!$E$2:$E$6</c:f>
              <c:numCache>
                <c:formatCode>General</c:formatCode>
                <c:ptCount val="5"/>
                <c:pt idx="0">
                  <c:v>20.9</c:v>
                </c:pt>
                <c:pt idx="1">
                  <c:v>22.4</c:v>
                </c:pt>
                <c:pt idx="2">
                  <c:v>22.4</c:v>
                </c:pt>
                <c:pt idx="3">
                  <c:v>22.7</c:v>
                </c:pt>
                <c:pt idx="4">
                  <c:v>22.7</c:v>
                </c:pt>
              </c:numCache>
            </c:numRef>
          </c:val>
          <c:smooth val="0"/>
          <c:extLst>
            <c:ext xmlns:c16="http://schemas.microsoft.com/office/drawing/2014/chart" uri="{C3380CC4-5D6E-409C-BE32-E72D297353CC}">
              <c16:uniqueId val="{00000007-8DA8-4D89-BCEB-3B1527A37E2C}"/>
            </c:ext>
          </c:extLst>
        </c:ser>
        <c:dLbls>
          <c:showLegendKey val="0"/>
          <c:showVal val="0"/>
          <c:showCatName val="0"/>
          <c:showSerName val="0"/>
          <c:showPercent val="0"/>
          <c:showBubbleSize val="0"/>
        </c:dLbls>
        <c:marker val="1"/>
        <c:smooth val="0"/>
        <c:axId val="3"/>
        <c:axId val="4"/>
      </c:lineChart>
      <c:catAx>
        <c:axId val="21385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spPr>
          <a:ln w="9525">
            <a:noFill/>
          </a:ln>
        </c:spPr>
        <c:txPr>
          <a:bodyPr rot="-60000000" vert="horz"/>
          <a:lstStyle/>
          <a:p>
            <a:pPr>
              <a:defRPr sz="900"/>
            </a:pPr>
            <a:endParaRPr lang="en-US"/>
          </a:p>
        </c:txPr>
        <c:crossAx val="21385051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txPr>
          <a:bodyPr/>
          <a:lstStyle/>
          <a:p>
            <a:pPr>
              <a:defRPr sz="900"/>
            </a:pPr>
            <a:endParaRPr lang="en-US"/>
          </a:p>
        </c:txPr>
        <c:crossAx val="3"/>
        <c:crosses val="max"/>
        <c:crossBetween val="between"/>
      </c:valAx>
      <c:spPr>
        <a:solidFill>
          <a:schemeClr val="bg1"/>
        </a:solidFill>
        <a:ln>
          <a:solidFill>
            <a:sysClr val="window" lastClr="FFFFFF">
              <a:lumMod val="75000"/>
            </a:sysClr>
          </a:solidFill>
        </a:ln>
        <a:effectLst/>
      </c:spPr>
    </c:plotArea>
    <c:legend>
      <c:legendPos val="r"/>
      <c:layout>
        <c:manualLayout>
          <c:xMode val="edge"/>
          <c:yMode val="edge"/>
          <c:x val="0"/>
          <c:y val="0.72945205479452058"/>
          <c:w val="0.95015576323987538"/>
          <c:h val="0.26712328767123289"/>
        </c:manualLayout>
      </c:layout>
      <c:overlay val="0"/>
      <c:spPr>
        <a:noFill/>
        <a:ln w="25400">
          <a:noFill/>
        </a:ln>
      </c:spPr>
      <c:txPr>
        <a:bodyPr rot="0" vert="horz"/>
        <a:lstStyle/>
        <a:p>
          <a:pPr>
            <a:defRPr sz="900"/>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0"/>
            </a:pPr>
            <a:r>
              <a:rPr lang="hy-AM" sz="1200" b="0"/>
              <a:t>Ծախսերը</a:t>
            </a:r>
            <a:endParaRPr lang="en-US" sz="1200" b="0"/>
          </a:p>
        </c:rich>
      </c:tx>
      <c:layout>
        <c:manualLayout>
          <c:xMode val="edge"/>
          <c:yMode val="edge"/>
          <c:x val="0.36872118808235077"/>
          <c:y val="0"/>
        </c:manualLayout>
      </c:layout>
      <c:overlay val="0"/>
      <c:spPr>
        <a:noFill/>
        <a:ln w="25400">
          <a:noFill/>
        </a:ln>
      </c:spPr>
    </c:title>
    <c:autoTitleDeleted val="0"/>
    <c:plotArea>
      <c:layout>
        <c:manualLayout>
          <c:layoutTarget val="inner"/>
          <c:xMode val="edge"/>
          <c:yMode val="edge"/>
          <c:x val="9.2032333167656355E-2"/>
          <c:y val="0.10008976551580447"/>
          <c:w val="0.80446595338373406"/>
          <c:h val="0.7052478969346031"/>
        </c:manualLayout>
      </c:layout>
      <c:barChart>
        <c:barDir val="col"/>
        <c:grouping val="clustered"/>
        <c:varyColors val="0"/>
        <c:ser>
          <c:idx val="0"/>
          <c:order val="0"/>
          <c:tx>
            <c:strRef>
              <c:f>Sheet1!$B$1</c:f>
              <c:strCache>
                <c:ptCount val="1"/>
                <c:pt idx="0">
                  <c:v>մլրդ դրամ</c:v>
                </c:pt>
              </c:strCache>
            </c:strRef>
          </c:tx>
          <c:spPr>
            <a:ln w="28575" cap="rnd">
              <a:solidFill>
                <a:schemeClr val="accent1"/>
              </a:solidFill>
              <a:round/>
            </a:ln>
            <a:effectLst/>
          </c:spPr>
          <c:invertIfNegative val="0"/>
          <c:dLbls>
            <c:dLbl>
              <c:idx val="0"/>
              <c:layout>
                <c:manualLayout>
                  <c:x val="4.1511000415109627E-3"/>
                  <c:y val="0.280009028639887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5E-45A4-8781-B2ADD5F96FF2}"/>
                </c:ext>
              </c:extLst>
            </c:dLbl>
            <c:dLbl>
              <c:idx val="1"/>
              <c:layout>
                <c:manualLayout>
                  <c:x val="-3.8051310808527998E-17"/>
                  <c:y val="0.2880893140838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5E-45A4-8781-B2ADD5F96FF2}"/>
                </c:ext>
              </c:extLst>
            </c:dLbl>
            <c:dLbl>
              <c:idx val="2"/>
              <c:layout>
                <c:manualLayout>
                  <c:x val="0"/>
                  <c:y val="0.303446336021668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5E-45A4-8781-B2ADD5F96FF2}"/>
                </c:ext>
              </c:extLst>
            </c:dLbl>
            <c:dLbl>
              <c:idx val="3"/>
              <c:layout>
                <c:manualLayout>
                  <c:x val="0"/>
                  <c:y val="0.270401514033458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5E-45A4-8781-B2ADD5F96FF2}"/>
                </c:ext>
              </c:extLst>
            </c:dLbl>
            <c:dLbl>
              <c:idx val="4"/>
              <c:layout>
                <c:manualLayout>
                  <c:x val="4.1511000415110008E-3"/>
                  <c:y val="0.277556016633532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5E-45A4-8781-B2ADD5F96FF2}"/>
                </c:ext>
              </c:extLst>
            </c:dLbl>
            <c:spPr>
              <a:noFill/>
              <a:ln w="25400">
                <a:noFill/>
              </a:ln>
            </c:spPr>
            <c:txPr>
              <a:bodyPr wrap="square" lIns="38100" tIns="19050" rIns="38100" bIns="19050" anchor="ctr">
                <a:spAutoFit/>
              </a:bodyPr>
              <a:lstStyle/>
              <a:p>
                <a:pPr>
                  <a:defRPr sz="9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#,##0</c:formatCode>
                <c:ptCount val="5"/>
                <c:pt idx="0">
                  <c:v>1447.0830114800001</c:v>
                </c:pt>
                <c:pt idx="1">
                  <c:v>1629.43686245</c:v>
                </c:pt>
                <c:pt idx="2">
                  <c:v>1894.6471421199999</c:v>
                </c:pt>
                <c:pt idx="3">
                  <c:v>2004.3009903699999</c:v>
                </c:pt>
                <c:pt idx="4">
                  <c:v>2242.62545361</c:v>
                </c:pt>
              </c:numCache>
            </c:numRef>
          </c:val>
          <c:extLst>
            <c:ext xmlns:c16="http://schemas.microsoft.com/office/drawing/2014/chart" uri="{C3380CC4-5D6E-409C-BE32-E72D297353CC}">
              <c16:uniqueId val="{00000005-C45E-45A4-8781-B2ADD5F96FF2}"/>
            </c:ext>
          </c:extLst>
        </c:ser>
        <c:dLbls>
          <c:showLegendKey val="0"/>
          <c:showVal val="0"/>
          <c:showCatName val="0"/>
          <c:showSerName val="0"/>
          <c:showPercent val="0"/>
          <c:showBubbleSize val="0"/>
        </c:dLbls>
        <c:gapWidth val="150"/>
        <c:axId val="213657184"/>
        <c:axId val="1"/>
      </c:barChart>
      <c:lineChart>
        <c:grouping val="standard"/>
        <c:varyColors val="0"/>
        <c:ser>
          <c:idx val="1"/>
          <c:order val="1"/>
          <c:tx>
            <c:strRef>
              <c:f>Sheet1!$C$1</c:f>
              <c:strCache>
                <c:ptCount val="1"/>
                <c:pt idx="0">
                  <c:v>% ՀՆԱ-ում</c:v>
                </c:pt>
              </c:strCache>
            </c:strRef>
          </c:tx>
          <c:marker>
            <c:symbol val="none"/>
          </c:marker>
          <c:dLbls>
            <c:spPr>
              <a:noFill/>
              <a:ln w="25400">
                <a:noFill/>
              </a:ln>
            </c:spPr>
            <c:txPr>
              <a:bodyPr/>
              <a:lstStyle/>
              <a:p>
                <a:pPr>
                  <a:defRPr sz="1000"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24.049768089772851</c:v>
                </c:pt>
                <c:pt idx="1">
                  <c:v>24.902288352225018</c:v>
                </c:pt>
                <c:pt idx="2">
                  <c:v>30.648285240210676</c:v>
                </c:pt>
                <c:pt idx="3">
                  <c:v>28.702731689737703</c:v>
                </c:pt>
                <c:pt idx="4">
                  <c:v>26.393833681543761</c:v>
                </c:pt>
              </c:numCache>
            </c:numRef>
          </c:val>
          <c:smooth val="0"/>
          <c:extLst>
            <c:ext xmlns:c16="http://schemas.microsoft.com/office/drawing/2014/chart" uri="{C3380CC4-5D6E-409C-BE32-E72D297353CC}">
              <c16:uniqueId val="{00000006-C45E-45A4-8781-B2ADD5F96FF2}"/>
            </c:ext>
          </c:extLst>
        </c:ser>
        <c:dLbls>
          <c:showLegendKey val="0"/>
          <c:showVal val="0"/>
          <c:showCatName val="0"/>
          <c:showSerName val="0"/>
          <c:showPercent val="0"/>
          <c:showBubbleSize val="0"/>
        </c:dLbls>
        <c:marker val="1"/>
        <c:smooth val="0"/>
        <c:axId val="3"/>
        <c:axId val="4"/>
      </c:lineChart>
      <c:catAx>
        <c:axId val="21365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spPr>
          <a:ln w="9525">
            <a:noFill/>
          </a:ln>
        </c:spPr>
        <c:txPr>
          <a:bodyPr rot="-60000000" vert="horz"/>
          <a:lstStyle/>
          <a:p>
            <a:pPr>
              <a:defRPr sz="900"/>
            </a:pPr>
            <a:endParaRPr lang="en-US"/>
          </a:p>
        </c:txPr>
        <c:crossAx val="213657184"/>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crossAx val="3"/>
        <c:crosses val="max"/>
        <c:crossBetween val="between"/>
      </c:valAx>
      <c:spPr>
        <a:solidFill>
          <a:schemeClr val="bg1"/>
        </a:solidFill>
        <a:ln>
          <a:solidFill>
            <a:sysClr val="window" lastClr="FFFFFF">
              <a:lumMod val="75000"/>
            </a:sysClr>
          </a:solidFill>
        </a:ln>
        <a:effectLst/>
      </c:spPr>
    </c:plotArea>
    <c:legend>
      <c:legendPos val="r"/>
      <c:layout>
        <c:manualLayout>
          <c:xMode val="edge"/>
          <c:yMode val="edge"/>
          <c:x val="3.0303030303030303E-3"/>
          <c:y val="0.90410958904109584"/>
          <c:w val="0.9939393939393939"/>
          <c:h val="8.5616438356164379E-2"/>
        </c:manualLayout>
      </c:layout>
      <c:overlay val="0"/>
      <c:spPr>
        <a:noFill/>
        <a:ln w="25400">
          <a:noFill/>
        </a:ln>
      </c:spPr>
      <c:txPr>
        <a:bodyPr rot="0" vert="horz"/>
        <a:lstStyle/>
        <a:p>
          <a:pPr>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3" b="0" i="0" u="none" strike="noStrike" kern="1200" spc="0" baseline="0">
                <a:solidFill>
                  <a:sysClr val="windowText" lastClr="000000"/>
                </a:solidFill>
                <a:latin typeface="GHEA Grapalat" panose="02000506050000020003" pitchFamily="50" charset="0"/>
                <a:ea typeface="+mn-ea"/>
                <a:cs typeface="+mn-cs"/>
              </a:defRPr>
            </a:pPr>
            <a:r>
              <a:rPr lang="hy-AM" sz="1003" b="0" baseline="0">
                <a:solidFill>
                  <a:sysClr val="windowText" lastClr="000000"/>
                </a:solidFill>
                <a:latin typeface="GHEA Grapalat" panose="02000506050000020003" pitchFamily="50" charset="0"/>
              </a:rPr>
              <a:t>Հարկատեսակների կշիռը ՀՆԱ-ում, </a:t>
            </a:r>
            <a:r>
              <a:rPr lang="ru-RU" sz="1003" b="0" baseline="0">
                <a:solidFill>
                  <a:sysClr val="windowText" lastClr="000000"/>
                </a:solidFill>
                <a:latin typeface="GHEA Grapalat" panose="02000506050000020003" pitchFamily="50" charset="0"/>
              </a:rPr>
              <a:t>%</a:t>
            </a:r>
            <a:endParaRPr lang="en-US" sz="1000" b="0">
              <a:solidFill>
                <a:sysClr val="windowText" lastClr="000000"/>
              </a:solidFill>
              <a:latin typeface="GHEA Grapalat" panose="02000506050000020003" pitchFamily="50" charset="0"/>
            </a:endParaRPr>
          </a:p>
        </c:rich>
      </c:tx>
      <c:overlay val="0"/>
      <c:spPr>
        <a:noFill/>
        <a:ln w="25464">
          <a:noFill/>
        </a:ln>
      </c:spPr>
    </c:title>
    <c:autoTitleDeleted val="0"/>
    <c:plotArea>
      <c:layout>
        <c:manualLayout>
          <c:layoutTarget val="inner"/>
          <c:xMode val="edge"/>
          <c:yMode val="edge"/>
          <c:x val="0.1119659006331809"/>
          <c:y val="0.11262613484789812"/>
          <c:w val="0.78453242443506488"/>
          <c:h val="0.64769189527795179"/>
        </c:manualLayout>
      </c:layout>
      <c:barChart>
        <c:barDir val="col"/>
        <c:grouping val="stacked"/>
        <c:varyColors val="0"/>
        <c:ser>
          <c:idx val="1"/>
          <c:order val="1"/>
          <c:tx>
            <c:strRef>
              <c:f>Sheet1!$A$3</c:f>
              <c:strCache>
                <c:ptCount val="1"/>
                <c:pt idx="0">
                  <c:v>ավելացված արժեքի 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Sheet1!$B$3:$C$3</c:f>
              <c:numCache>
                <c:formatCode>0.0</c:formatCode>
                <c:ptCount val="2"/>
                <c:pt idx="0">
                  <c:v>7.9620419541133147</c:v>
                </c:pt>
                <c:pt idx="1">
                  <c:v>7.9978038733035053</c:v>
                </c:pt>
              </c:numCache>
            </c:numRef>
          </c:val>
          <c:extLst>
            <c:ext xmlns:c16="http://schemas.microsoft.com/office/drawing/2014/chart" uri="{C3380CC4-5D6E-409C-BE32-E72D297353CC}">
              <c16:uniqueId val="{00000000-3E5D-4DD3-AD92-0BA9EA691387}"/>
            </c:ext>
          </c:extLst>
        </c:ser>
        <c:ser>
          <c:idx val="2"/>
          <c:order val="2"/>
          <c:tx>
            <c:strRef>
              <c:f>Sheet1!$A$4</c:f>
              <c:strCache>
                <c:ptCount val="1"/>
                <c:pt idx="0">
                  <c:v>ակցիզային 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Sheet1!$B$4:$C$4</c:f>
              <c:numCache>
                <c:formatCode>0.0</c:formatCode>
                <c:ptCount val="2"/>
                <c:pt idx="0">
                  <c:v>1.620193506838967</c:v>
                </c:pt>
                <c:pt idx="1">
                  <c:v>1.5005605143502632</c:v>
                </c:pt>
              </c:numCache>
            </c:numRef>
          </c:val>
          <c:extLst>
            <c:ext xmlns:c16="http://schemas.microsoft.com/office/drawing/2014/chart" uri="{C3380CC4-5D6E-409C-BE32-E72D297353CC}">
              <c16:uniqueId val="{00000001-3E5D-4DD3-AD92-0BA9EA691387}"/>
            </c:ext>
          </c:extLst>
        </c:ser>
        <c:ser>
          <c:idx val="3"/>
          <c:order val="3"/>
          <c:tx>
            <c:strRef>
              <c:f>Sheet1!$A$5</c:f>
              <c:strCache>
                <c:ptCount val="1"/>
                <c:pt idx="0">
                  <c:v>եկամտահարկ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Sheet1!$B$5:$C$5</c:f>
              <c:numCache>
                <c:formatCode>0.0</c:formatCode>
                <c:ptCount val="2"/>
                <c:pt idx="0">
                  <c:v>6.1045694226483382</c:v>
                </c:pt>
                <c:pt idx="1">
                  <c:v>5.5879060889904384</c:v>
                </c:pt>
              </c:numCache>
            </c:numRef>
          </c:val>
          <c:extLst>
            <c:ext xmlns:c16="http://schemas.microsoft.com/office/drawing/2014/chart" uri="{C3380CC4-5D6E-409C-BE32-E72D297353CC}">
              <c16:uniqueId val="{00000002-3E5D-4DD3-AD92-0BA9EA691387}"/>
            </c:ext>
          </c:extLst>
        </c:ser>
        <c:ser>
          <c:idx val="4"/>
          <c:order val="4"/>
          <c:tx>
            <c:strRef>
              <c:f>Sheet1!$A$6</c:f>
              <c:strCache>
                <c:ptCount val="1"/>
                <c:pt idx="0">
                  <c:v>շահութահարկ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Sheet1!$B$6:$C$6</c:f>
              <c:numCache>
                <c:formatCode>0.0</c:formatCode>
                <c:ptCount val="2"/>
                <c:pt idx="0">
                  <c:v>2.2712830333830376</c:v>
                </c:pt>
                <c:pt idx="1">
                  <c:v>2.6222349673017229</c:v>
                </c:pt>
              </c:numCache>
            </c:numRef>
          </c:val>
          <c:extLst>
            <c:ext xmlns:c16="http://schemas.microsoft.com/office/drawing/2014/chart" uri="{C3380CC4-5D6E-409C-BE32-E72D297353CC}">
              <c16:uniqueId val="{00000003-3E5D-4DD3-AD92-0BA9EA691387}"/>
            </c:ext>
          </c:extLst>
        </c:ser>
        <c:ser>
          <c:idx val="5"/>
          <c:order val="5"/>
          <c:tx>
            <c:strRef>
              <c:f>Sheet1!$A$7</c:f>
              <c:strCache>
                <c:ptCount val="1"/>
                <c:pt idx="0">
                  <c:v>մաքսատուրք</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Sheet1!$B$7:$C$7</c:f>
              <c:numCache>
                <c:formatCode>0.0</c:formatCode>
                <c:ptCount val="2"/>
                <c:pt idx="0">
                  <c:v>1.2149562457194922</c:v>
                </c:pt>
                <c:pt idx="1">
                  <c:v>0.66714492964274219</c:v>
                </c:pt>
              </c:numCache>
            </c:numRef>
          </c:val>
          <c:extLst>
            <c:ext xmlns:c16="http://schemas.microsoft.com/office/drawing/2014/chart" uri="{C3380CC4-5D6E-409C-BE32-E72D297353CC}">
              <c16:uniqueId val="{00000004-3E5D-4DD3-AD92-0BA9EA691387}"/>
            </c:ext>
          </c:extLst>
        </c:ser>
        <c:ser>
          <c:idx val="6"/>
          <c:order val="6"/>
          <c:tx>
            <c:strRef>
              <c:f>Sheet1!$A$8</c:f>
              <c:strCache>
                <c:ptCount val="1"/>
                <c:pt idx="0">
                  <c:v>այլ հարկային եկամուտներ</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Sheet1!$B$8:$C$8</c:f>
              <c:numCache>
                <c:formatCode>0.0</c:formatCode>
                <c:ptCount val="2"/>
                <c:pt idx="0">
                  <c:v>2.6533164170651067</c:v>
                </c:pt>
                <c:pt idx="1">
                  <c:v>3.0347240801160158</c:v>
                </c:pt>
              </c:numCache>
            </c:numRef>
          </c:val>
          <c:extLst>
            <c:ext xmlns:c16="http://schemas.microsoft.com/office/drawing/2014/chart" uri="{C3380CC4-5D6E-409C-BE32-E72D297353CC}">
              <c16:uniqueId val="{00000005-3E5D-4DD3-AD92-0BA9EA691387}"/>
            </c:ext>
          </c:extLst>
        </c:ser>
        <c:ser>
          <c:idx val="7"/>
          <c:order val="7"/>
          <c:tx>
            <c:strRef>
              <c:f>Sheet1!$A$9</c:f>
              <c:strCache>
                <c:ptCount val="1"/>
                <c:pt idx="0">
                  <c:v>պետական տուրք</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Sheet1!$B$9:$C$9</c:f>
              <c:numCache>
                <c:formatCode>0.0</c:formatCode>
                <c:ptCount val="2"/>
                <c:pt idx="0">
                  <c:v>0.95812397574811525</c:v>
                </c:pt>
                <c:pt idx="1">
                  <c:v>1.2571937395563353</c:v>
                </c:pt>
              </c:numCache>
            </c:numRef>
          </c:val>
          <c:extLst>
            <c:ext xmlns:c16="http://schemas.microsoft.com/office/drawing/2014/chart" uri="{C3380CC4-5D6E-409C-BE32-E72D297353CC}">
              <c16:uniqueId val="{00000006-3E5D-4DD3-AD92-0BA9EA691387}"/>
            </c:ext>
          </c:extLst>
        </c:ser>
        <c:dLbls>
          <c:showLegendKey val="0"/>
          <c:showVal val="0"/>
          <c:showCatName val="0"/>
          <c:showSerName val="0"/>
          <c:showPercent val="0"/>
          <c:showBubbleSize val="0"/>
        </c:dLbls>
        <c:gapWidth val="150"/>
        <c:overlap val="100"/>
        <c:axId val="213660136"/>
        <c:axId val="1"/>
      </c:barChart>
      <c:lineChart>
        <c:grouping val="standard"/>
        <c:varyColors val="0"/>
        <c:ser>
          <c:idx val="0"/>
          <c:order val="0"/>
          <c:tx>
            <c:strRef>
              <c:f>Sheet1!$A$2</c:f>
              <c:strCache>
                <c:ptCount val="1"/>
                <c:pt idx="0">
                  <c:v>Հարկային եկամուտներ և տուրքեր</c:v>
                </c:pt>
              </c:strCache>
            </c:strRef>
          </c:tx>
          <c:spPr>
            <a:ln>
              <a:noFill/>
            </a:ln>
          </c:spPr>
          <c:marker>
            <c:symbol val="square"/>
            <c:size val="10"/>
          </c:marker>
          <c:dLbls>
            <c:spPr>
              <a:noFill/>
              <a:ln w="25464">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2021</c:v>
                </c:pt>
                <c:pt idx="1">
                  <c:v>2022</c:v>
                </c:pt>
              </c:strCache>
            </c:strRef>
          </c:cat>
          <c:val>
            <c:numRef>
              <c:f>Sheet1!$B$2:$C$2</c:f>
              <c:numCache>
                <c:formatCode>0.0</c:formatCode>
                <c:ptCount val="2"/>
                <c:pt idx="0">
                  <c:v>22.725314602362534</c:v>
                </c:pt>
                <c:pt idx="1">
                  <c:v>22.667047168067707</c:v>
                </c:pt>
              </c:numCache>
            </c:numRef>
          </c:val>
          <c:smooth val="0"/>
          <c:extLst>
            <c:ext xmlns:c16="http://schemas.microsoft.com/office/drawing/2014/chart" uri="{C3380CC4-5D6E-409C-BE32-E72D297353CC}">
              <c16:uniqueId val="{00000007-3E5D-4DD3-AD92-0BA9EA691387}"/>
            </c:ext>
          </c:extLst>
        </c:ser>
        <c:dLbls>
          <c:showLegendKey val="0"/>
          <c:showVal val="0"/>
          <c:showCatName val="0"/>
          <c:showSerName val="0"/>
          <c:showPercent val="0"/>
          <c:showBubbleSize val="0"/>
        </c:dLbls>
        <c:marker val="1"/>
        <c:smooth val="0"/>
        <c:axId val="213660136"/>
        <c:axId val="1"/>
      </c:lineChart>
      <c:catAx>
        <c:axId val="213660136"/>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1" i="0" u="none" strike="noStrike" kern="1200" baseline="0">
                <a:solidFill>
                  <a:sysClr val="windowText" lastClr="000000"/>
                </a:solidFill>
                <a:latin typeface="GHEA Grapalat"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549">
            <a:noFill/>
          </a:ln>
        </c:spPr>
        <c:txPr>
          <a:bodyPr rot="-60000000" spcFirstLastPara="1" vertOverflow="ellipsis" vert="horz" wrap="square" anchor="ctr" anchorCtr="1"/>
          <a:lstStyle/>
          <a:p>
            <a:pPr>
              <a:defRPr sz="802" b="0" i="0" u="none" strike="noStrike" kern="1200" baseline="0">
                <a:solidFill>
                  <a:sysClr val="windowText" lastClr="000000"/>
                </a:solidFill>
                <a:latin typeface="GHEA Grapalat" pitchFamily="50" charset="0"/>
                <a:ea typeface="+mn-ea"/>
                <a:cs typeface="+mn-cs"/>
              </a:defRPr>
            </a:pPr>
            <a:endParaRPr lang="en-US"/>
          </a:p>
        </c:txPr>
        <c:crossAx val="213660136"/>
        <c:crosses val="autoZero"/>
        <c:crossBetween val="between"/>
      </c:valAx>
      <c:spPr>
        <a:solidFill>
          <a:schemeClr val="bg1"/>
        </a:solidFill>
        <a:ln>
          <a:solidFill>
            <a:sysClr val="window" lastClr="FFFFFF">
              <a:lumMod val="75000"/>
            </a:sysClr>
          </a:solidFill>
        </a:ln>
        <a:effectLst/>
      </c:spPr>
    </c:plotArea>
    <c:legend>
      <c:legendPos val="r"/>
      <c:layout>
        <c:manualLayout>
          <c:xMode val="edge"/>
          <c:yMode val="edge"/>
          <c:x val="0"/>
          <c:y val="0.83152173913043481"/>
          <c:w val="0.99737532808398954"/>
          <c:h val="0.16847826086956522"/>
        </c:manualLayout>
      </c:layout>
      <c:overlay val="0"/>
      <c:spPr>
        <a:noFill/>
        <a:ln w="25464">
          <a:noFill/>
        </a:ln>
      </c:spPr>
      <c:txPr>
        <a:bodyPr rot="0" spcFirstLastPara="1" vertOverflow="ellipsis" vert="horz" wrap="square" anchor="ctr" anchorCtr="1"/>
        <a:lstStyle/>
        <a:p>
          <a:pPr>
            <a:defRPr sz="902" b="0" i="0" u="none" strike="noStrike" kern="1200" baseline="0">
              <a:solidFill>
                <a:sysClr val="windowText" lastClr="000000"/>
              </a:solidFill>
              <a:latin typeface="GHEA Grapalat" pitchFamily="50" charset="0"/>
              <a:ea typeface="+mn-ea"/>
              <a:cs typeface="+mn-cs"/>
            </a:defRPr>
          </a:pPr>
          <a:endParaRPr lang="en-US"/>
        </a:p>
      </c:txPr>
    </c:legend>
    <c:plotVisOnly val="1"/>
    <c:dispBlanksAs val="gap"/>
    <c:showDLblsOverMax val="0"/>
  </c:chart>
  <c:spPr>
    <a:noFill/>
    <a:ln w="9549"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baseline="0">
                <a:solidFill>
                  <a:sysClr val="windowText" lastClr="000000"/>
                </a:solidFill>
                <a:latin typeface="GHEA Grapalat" panose="02000506050000020003" pitchFamily="50" charset="0"/>
                <a:ea typeface="+mn-ea"/>
                <a:cs typeface="+mn-cs"/>
              </a:defRPr>
            </a:pPr>
            <a:r>
              <a:rPr lang="hy-AM" sz="1000" b="0">
                <a:solidFill>
                  <a:sysClr val="windowText" lastClr="000000"/>
                </a:solidFill>
              </a:rPr>
              <a:t>ՀՆԱ-ի նկատմամբ փոփոխություն, տ.կ. </a:t>
            </a:r>
            <a:endParaRPr lang="en-US" sz="1000" b="0">
              <a:solidFill>
                <a:sysClr val="windowText" lastClr="000000"/>
              </a:solidFill>
            </a:endParaRPr>
          </a:p>
        </c:rich>
      </c:tx>
      <c:layout>
        <c:manualLayout>
          <c:xMode val="edge"/>
          <c:yMode val="edge"/>
          <c:x val="0.23819617876118468"/>
          <c:y val="0"/>
        </c:manualLayout>
      </c:layout>
      <c:overlay val="0"/>
      <c:spPr>
        <a:noFill/>
        <a:ln w="25402">
          <a:noFill/>
        </a:ln>
      </c:spPr>
    </c:title>
    <c:autoTitleDeleted val="0"/>
    <c:plotArea>
      <c:layout>
        <c:manualLayout>
          <c:layoutTarget val="inner"/>
          <c:xMode val="edge"/>
          <c:yMode val="edge"/>
          <c:x val="7.6255357320841224E-2"/>
          <c:y val="0.135460850071462"/>
          <c:w val="0.49933884846672649"/>
          <c:h val="0.72580563167829459"/>
        </c:manualLayout>
      </c:layout>
      <c:barChart>
        <c:barDir val="bar"/>
        <c:grouping val="clustered"/>
        <c:varyColors val="0"/>
        <c:ser>
          <c:idx val="0"/>
          <c:order val="0"/>
          <c:tx>
            <c:strRef>
              <c:f>Sheet1!$B$1</c:f>
              <c:strCache>
                <c:ptCount val="1"/>
                <c:pt idx="0">
                  <c:v>2021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w="25402">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Ընդամենը</c:v>
                </c:pt>
                <c:pt idx="1">
                  <c:v>ավելացված արժեքի հարկ</c:v>
                </c:pt>
                <c:pt idx="2">
                  <c:v>ակցիզային հարկ</c:v>
                </c:pt>
                <c:pt idx="3">
                  <c:v>եկամտահարկ</c:v>
                </c:pt>
                <c:pt idx="4">
                  <c:v>շահութահարկ</c:v>
                </c:pt>
                <c:pt idx="5">
                  <c:v>մաքսատուրք</c:v>
                </c:pt>
                <c:pt idx="6">
                  <c:v>այլ հարկային եկամուտներ</c:v>
                </c:pt>
                <c:pt idx="7">
                  <c:v>պետական տուրք</c:v>
                </c:pt>
              </c:strCache>
            </c:strRef>
          </c:cat>
          <c:val>
            <c:numRef>
              <c:f>Sheet1!$B$2:$B$9</c:f>
            </c:numRef>
          </c:val>
          <c:extLst>
            <c:ext xmlns:c16="http://schemas.microsoft.com/office/drawing/2014/chart" uri="{C3380CC4-5D6E-409C-BE32-E72D297353CC}">
              <c16:uniqueId val="{00000000-57A7-4A96-8A02-A0ACC93A9D8C}"/>
            </c:ext>
          </c:extLst>
        </c:ser>
        <c:ser>
          <c:idx val="1"/>
          <c:order val="1"/>
          <c:tx>
            <c:strRef>
              <c:f>Sheet1!$C$1</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w="25402">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Ընդամենը</c:v>
                </c:pt>
                <c:pt idx="1">
                  <c:v>ավելացված արժեքի հարկ</c:v>
                </c:pt>
                <c:pt idx="2">
                  <c:v>ակցիզային հարկ</c:v>
                </c:pt>
                <c:pt idx="3">
                  <c:v>եկամտահարկ</c:v>
                </c:pt>
                <c:pt idx="4">
                  <c:v>շահութահարկ</c:v>
                </c:pt>
                <c:pt idx="5">
                  <c:v>մաքսատուրք</c:v>
                </c:pt>
                <c:pt idx="6">
                  <c:v>այլ հարկային եկամուտներ</c:v>
                </c:pt>
                <c:pt idx="7">
                  <c:v>պետական տուրք</c:v>
                </c:pt>
              </c:strCache>
            </c:strRef>
          </c:cat>
          <c:val>
            <c:numRef>
              <c:f>Sheet1!$C$2:$C$9</c:f>
              <c:numCache>
                <c:formatCode>0.0</c:formatCode>
                <c:ptCount val="8"/>
                <c:pt idx="0">
                  <c:v>-5.8267434247749605E-2</c:v>
                </c:pt>
                <c:pt idx="1">
                  <c:v>3.5761919190190561E-2</c:v>
                </c:pt>
                <c:pt idx="2">
                  <c:v>-0.11963299248870385</c:v>
                </c:pt>
                <c:pt idx="3">
                  <c:v>-0.51666333365789985</c:v>
                </c:pt>
                <c:pt idx="4">
                  <c:v>0.35095193391868529</c:v>
                </c:pt>
                <c:pt idx="5">
                  <c:v>-0.54781131607675004</c:v>
                </c:pt>
                <c:pt idx="6">
                  <c:v>0.38140766305090912</c:v>
                </c:pt>
                <c:pt idx="7">
                  <c:v>0.29906976380822492</c:v>
                </c:pt>
              </c:numCache>
            </c:numRef>
          </c:val>
          <c:extLst>
            <c:ext xmlns:c16="http://schemas.microsoft.com/office/drawing/2014/chart" uri="{C3380CC4-5D6E-409C-BE32-E72D297353CC}">
              <c16:uniqueId val="{00000001-57A7-4A96-8A02-A0ACC93A9D8C}"/>
            </c:ext>
          </c:extLst>
        </c:ser>
        <c:dLbls>
          <c:showLegendKey val="0"/>
          <c:showVal val="0"/>
          <c:showCatName val="0"/>
          <c:showSerName val="0"/>
          <c:showPercent val="0"/>
          <c:showBubbleSize val="0"/>
        </c:dLbls>
        <c:gapWidth val="115"/>
        <c:overlap val="-20"/>
        <c:axId val="213662760"/>
        <c:axId val="1"/>
      </c:barChart>
      <c:catAx>
        <c:axId val="213662760"/>
        <c:scaling>
          <c:orientation val="minMax"/>
        </c:scaling>
        <c:delete val="0"/>
        <c:axPos val="l"/>
        <c:numFmt formatCode="General" sourceLinked="1"/>
        <c:majorTickMark val="none"/>
        <c:minorTickMark val="none"/>
        <c:tickLblPos val="high"/>
        <c:spPr>
          <a:noFill/>
          <a:ln w="1270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b"/>
        <c:numFmt formatCode="0.0" sourceLinked="1"/>
        <c:majorTickMark val="none"/>
        <c:minorTickMark val="none"/>
        <c:tickLblPos val="nextTo"/>
        <c:spPr>
          <a:ln w="9526">
            <a:noFill/>
          </a:ln>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213662760"/>
        <c:crosses val="autoZero"/>
        <c:crossBetween val="between"/>
      </c:valAx>
      <c:spPr>
        <a:solidFill>
          <a:schemeClr val="bg1"/>
        </a:solidFill>
        <a:ln>
          <a:solidFill>
            <a:schemeClr val="bg1">
              <a:lumMod val="75000"/>
            </a:schemeClr>
          </a:solidFill>
        </a:ln>
        <a:effectLst/>
      </c:spPr>
    </c:plotArea>
    <c:legend>
      <c:legendPos val="r"/>
      <c:layout>
        <c:manualLayout>
          <c:xMode val="edge"/>
          <c:yMode val="edge"/>
          <c:x val="0.32539682539682541"/>
          <c:y val="0.94822888283378748"/>
          <c:w val="0.25793650793650796"/>
          <c:h val="5.4495912806539509E-2"/>
        </c:manualLayout>
      </c:layout>
      <c:overlay val="0"/>
      <c:spPr>
        <a:noFill/>
        <a:ln w="2540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6" cap="flat" cmpd="sng" algn="ctr">
      <a:solidFill>
        <a:schemeClr val="bg1">
          <a:lumMod val="7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993" b="0"/>
            </a:pPr>
            <a:r>
              <a:rPr lang="hy-AM" sz="993" b="0"/>
              <a:t>ՀՀ պետական բյուջեի պակասուրդ</a:t>
            </a:r>
            <a:endParaRPr lang="en-US" sz="1000" b="0"/>
          </a:p>
        </c:rich>
      </c:tx>
      <c:layout>
        <c:manualLayout>
          <c:xMode val="edge"/>
          <c:yMode val="edge"/>
          <c:x val="0.16406301379813321"/>
          <c:y val="0"/>
        </c:manualLayout>
      </c:layout>
      <c:overlay val="0"/>
      <c:spPr>
        <a:noFill/>
        <a:ln w="25212">
          <a:noFill/>
        </a:ln>
      </c:spPr>
    </c:title>
    <c:autoTitleDeleted val="0"/>
    <c:plotArea>
      <c:layout>
        <c:manualLayout>
          <c:layoutTarget val="inner"/>
          <c:xMode val="edge"/>
          <c:yMode val="edge"/>
          <c:x val="0.1119659006331809"/>
          <c:y val="0.14415640081280162"/>
          <c:w val="0.78453242443506488"/>
          <c:h val="0.58361934848869701"/>
        </c:manualLayout>
      </c:layout>
      <c:barChart>
        <c:barDir val="col"/>
        <c:grouping val="clustered"/>
        <c:varyColors val="0"/>
        <c:ser>
          <c:idx val="1"/>
          <c:order val="1"/>
          <c:tx>
            <c:strRef>
              <c:f>Sheet1!$C$1</c:f>
              <c:strCache>
                <c:ptCount val="1"/>
                <c:pt idx="0">
                  <c:v>մլրդ դրամ</c:v>
                </c:pt>
              </c:strCache>
            </c:strRef>
          </c:tx>
          <c:spPr>
            <a:solidFill>
              <a:srgbClr val="C0504D"/>
            </a:solidFill>
            <a:ln w="25212">
              <a:noFill/>
            </a:ln>
          </c:spPr>
          <c:invertIfNegative val="0"/>
          <c:cat>
            <c:numRef>
              <c:f>Sheet1!$A$2:$A$8</c:f>
              <c:numCache>
                <c:formatCode>General</c:formatCode>
                <c:ptCount val="5"/>
                <c:pt idx="0">
                  <c:v>2018</c:v>
                </c:pt>
                <c:pt idx="1">
                  <c:v>2019</c:v>
                </c:pt>
                <c:pt idx="2">
                  <c:v>2020</c:v>
                </c:pt>
                <c:pt idx="3">
                  <c:v>2021</c:v>
                </c:pt>
                <c:pt idx="4">
                  <c:v>2022</c:v>
                </c:pt>
              </c:numCache>
            </c:numRef>
          </c:cat>
          <c:val>
            <c:numRef>
              <c:f>Sheet1!$C$2:$C$8</c:f>
              <c:numCache>
                <c:formatCode>0</c:formatCode>
                <c:ptCount val="5"/>
                <c:pt idx="0">
                  <c:v>105.39239500000002</c:v>
                </c:pt>
                <c:pt idx="1">
                  <c:v>63.948029346999988</c:v>
                </c:pt>
                <c:pt idx="2">
                  <c:v>333.99175224000004</c:v>
                </c:pt>
                <c:pt idx="3">
                  <c:v>320.46961205000002</c:v>
                </c:pt>
                <c:pt idx="4">
                  <c:v>179.53</c:v>
                </c:pt>
              </c:numCache>
            </c:numRef>
          </c:val>
          <c:extLst>
            <c:ext xmlns:c16="http://schemas.microsoft.com/office/drawing/2014/chart" uri="{C3380CC4-5D6E-409C-BE32-E72D297353CC}">
              <c16:uniqueId val="{00000000-FAD4-49E5-B63C-4DC3E3335F44}"/>
            </c:ext>
          </c:extLst>
        </c:ser>
        <c:dLbls>
          <c:showLegendKey val="0"/>
          <c:showVal val="0"/>
          <c:showCatName val="0"/>
          <c:showSerName val="0"/>
          <c:showPercent val="0"/>
          <c:showBubbleSize val="0"/>
        </c:dLbls>
        <c:gapWidth val="219"/>
        <c:overlap val="-27"/>
        <c:axId val="213659152"/>
        <c:axId val="1"/>
      </c:barChart>
      <c:lineChart>
        <c:grouping val="standard"/>
        <c:varyColors val="0"/>
        <c:ser>
          <c:idx val="0"/>
          <c:order val="0"/>
          <c:tx>
            <c:strRef>
              <c:f>Sheet1!$B$1</c:f>
              <c:strCache>
                <c:ptCount val="1"/>
                <c:pt idx="0">
                  <c:v>% ՀՆԱ-ում (աջ առանցք)</c:v>
                </c:pt>
              </c:strCache>
            </c:strRef>
          </c:tx>
          <c:spPr>
            <a:ln w="28363" cap="rnd">
              <a:solidFill>
                <a:schemeClr val="accent1"/>
              </a:solidFill>
              <a:round/>
            </a:ln>
            <a:effectLst/>
          </c:spPr>
          <c:marker>
            <c:symbol val="circle"/>
            <c:size val="6"/>
            <c:spPr>
              <a:solidFill>
                <a:schemeClr val="accent1"/>
              </a:solidFill>
              <a:ln w="9454">
                <a:solidFill>
                  <a:schemeClr val="accent1"/>
                </a:solidFill>
              </a:ln>
              <a:effectLst/>
            </c:spPr>
          </c:marker>
          <c:dLbls>
            <c:dLbl>
              <c:idx val="2"/>
              <c:layout>
                <c:manualLayout>
                  <c:x val="-0.10453875395089936"/>
                  <c:y val="-4.632810515621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D4-49E5-B63C-4DC3E3335F44}"/>
                </c:ext>
              </c:extLst>
            </c:dLbl>
            <c:spPr>
              <a:noFill/>
              <a:ln w="25212">
                <a:noFill/>
              </a:ln>
            </c:spPr>
            <c:txPr>
              <a:bodyPr/>
              <a:lstStyle/>
              <a:p>
                <a:pPr>
                  <a:defRPr b="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5"/>
                <c:pt idx="0">
                  <c:v>2018</c:v>
                </c:pt>
                <c:pt idx="1">
                  <c:v>2019</c:v>
                </c:pt>
                <c:pt idx="2">
                  <c:v>2020</c:v>
                </c:pt>
                <c:pt idx="3">
                  <c:v>2021</c:v>
                </c:pt>
                <c:pt idx="4">
                  <c:v>2022</c:v>
                </c:pt>
              </c:numCache>
            </c:numRef>
          </c:cat>
          <c:val>
            <c:numRef>
              <c:f>Sheet1!$B$2:$B$8</c:f>
              <c:numCache>
                <c:formatCode>0.0</c:formatCode>
                <c:ptCount val="5"/>
                <c:pt idx="0">
                  <c:v>1.7515672931246962</c:v>
                </c:pt>
                <c:pt idx="1">
                  <c:v>0.97347611233608666</c:v>
                </c:pt>
                <c:pt idx="2">
                  <c:v>5.4011268385206446</c:v>
                </c:pt>
                <c:pt idx="3">
                  <c:v>4.5893822193137623</c:v>
                </c:pt>
                <c:pt idx="4">
                  <c:v>2.1</c:v>
                </c:pt>
              </c:numCache>
            </c:numRef>
          </c:val>
          <c:smooth val="0"/>
          <c:extLst>
            <c:ext xmlns:c16="http://schemas.microsoft.com/office/drawing/2014/chart" uri="{C3380CC4-5D6E-409C-BE32-E72D297353CC}">
              <c16:uniqueId val="{00000002-FAD4-49E5-B63C-4DC3E3335F44}"/>
            </c:ext>
          </c:extLst>
        </c:ser>
        <c:dLbls>
          <c:showLegendKey val="0"/>
          <c:showVal val="0"/>
          <c:showCatName val="0"/>
          <c:showSerName val="0"/>
          <c:showPercent val="0"/>
          <c:showBubbleSize val="0"/>
        </c:dLbls>
        <c:marker val="1"/>
        <c:smooth val="0"/>
        <c:axId val="3"/>
        <c:axId val="4"/>
      </c:lineChart>
      <c:catAx>
        <c:axId val="213659152"/>
        <c:scaling>
          <c:orientation val="minMax"/>
        </c:scaling>
        <c:delete val="0"/>
        <c:axPos val="b"/>
        <c:numFmt formatCode="General" sourceLinked="1"/>
        <c:majorTickMark val="none"/>
        <c:minorTickMark val="none"/>
        <c:tickLblPos val="nextTo"/>
        <c:spPr>
          <a:noFill/>
          <a:ln w="9454"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spPr>
          <a:ln w="9454">
            <a:noFill/>
          </a:ln>
        </c:spPr>
        <c:txPr>
          <a:bodyPr rot="-60000000" vert="horz"/>
          <a:lstStyle/>
          <a:p>
            <a:pPr>
              <a:defRPr/>
            </a:pPr>
            <a:endParaRPr lang="en-US"/>
          </a:p>
        </c:txPr>
        <c:crossAx val="21365915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spPr>
          <a:ln w="9454">
            <a:noFill/>
          </a:ln>
        </c:spPr>
        <c:txPr>
          <a:bodyPr rot="-60000000" vert="horz"/>
          <a:lstStyle/>
          <a:p>
            <a:pPr>
              <a:defRPr/>
            </a:pPr>
            <a:endParaRPr lang="en-US"/>
          </a:p>
        </c:txPr>
        <c:crossAx val="3"/>
        <c:crosses val="max"/>
        <c:crossBetween val="between"/>
      </c:valAx>
      <c:spPr>
        <a:solidFill>
          <a:schemeClr val="bg1"/>
        </a:solidFill>
        <a:ln w="6303">
          <a:solidFill>
            <a:sysClr val="window" lastClr="FFFFFF">
              <a:lumMod val="85000"/>
            </a:sysClr>
          </a:solidFill>
        </a:ln>
        <a:effectLst/>
      </c:spPr>
    </c:plotArea>
    <c:legend>
      <c:legendPos val="r"/>
      <c:layout>
        <c:manualLayout>
          <c:xMode val="edge"/>
          <c:yMode val="edge"/>
          <c:x val="3.1152647975077881E-3"/>
          <c:y val="0.87356321839080464"/>
          <c:w val="0.99376947040498442"/>
          <c:h val="0.12260536398467432"/>
        </c:manualLayout>
      </c:layout>
      <c:overlay val="0"/>
      <c:spPr>
        <a:noFill/>
        <a:ln w="25212">
          <a:noFill/>
        </a:ln>
      </c:spPr>
      <c:txPr>
        <a:bodyPr rot="0" vert="horz"/>
        <a:lstStyle/>
        <a:p>
          <a:pPr>
            <a:defRPr/>
          </a:pPr>
          <a:endParaRPr lang="en-US"/>
        </a:p>
      </c:txPr>
    </c:legend>
    <c:plotVisOnly val="1"/>
    <c:dispBlanksAs val="gap"/>
    <c:showDLblsOverMax val="0"/>
  </c:chart>
  <c:spPr>
    <a:noFill/>
    <a:ln w="9454"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000" b="0"/>
            </a:pPr>
            <a:r>
              <a:rPr lang="hy-AM" sz="1000" b="0"/>
              <a:t>ՀՀ կառավարության պարտք</a:t>
            </a:r>
            <a:endParaRPr lang="en-US" sz="1000" b="0"/>
          </a:p>
        </c:rich>
      </c:tx>
      <c:layout>
        <c:manualLayout>
          <c:xMode val="edge"/>
          <c:yMode val="edge"/>
          <c:x val="0.18065476541273337"/>
          <c:y val="3.0910559257015949E-3"/>
        </c:manualLayout>
      </c:layout>
      <c:overlay val="0"/>
      <c:spPr>
        <a:noFill/>
        <a:ln w="25400">
          <a:noFill/>
        </a:ln>
      </c:spPr>
    </c:title>
    <c:autoTitleDeleted val="0"/>
    <c:plotArea>
      <c:layout>
        <c:manualLayout>
          <c:layoutTarget val="inner"/>
          <c:xMode val="edge"/>
          <c:yMode val="edge"/>
          <c:x val="0.20030584500290757"/>
          <c:y val="0.15318016573533147"/>
          <c:w val="0.62270168324767783"/>
          <c:h val="0.58960304483108972"/>
        </c:manualLayout>
      </c:layout>
      <c:barChart>
        <c:barDir val="col"/>
        <c:grouping val="clustered"/>
        <c:varyColors val="0"/>
        <c:ser>
          <c:idx val="1"/>
          <c:order val="1"/>
          <c:tx>
            <c:strRef>
              <c:f>Sheet1!$C$1</c:f>
              <c:strCache>
                <c:ptCount val="1"/>
                <c:pt idx="0">
                  <c:v>մլրդ դրամ</c:v>
                </c:pt>
              </c:strCache>
            </c:strRef>
          </c:tx>
          <c:spPr>
            <a:solidFill>
              <a:srgbClr val="C0504D"/>
            </a:solidFill>
            <a:ln w="25438">
              <a:noFill/>
            </a:ln>
          </c:spPr>
          <c:invertIfNegative val="0"/>
          <c:cat>
            <c:numRef>
              <c:f>Sheet1!$A$2:$A$8</c:f>
              <c:numCache>
                <c:formatCode>General</c:formatCode>
                <c:ptCount val="5"/>
                <c:pt idx="0">
                  <c:v>2018</c:v>
                </c:pt>
                <c:pt idx="1">
                  <c:v>2019</c:v>
                </c:pt>
                <c:pt idx="2">
                  <c:v>2020</c:v>
                </c:pt>
                <c:pt idx="3">
                  <c:v>2021</c:v>
                </c:pt>
                <c:pt idx="4">
                  <c:v>2022</c:v>
                </c:pt>
              </c:numCache>
            </c:numRef>
          </c:cat>
          <c:val>
            <c:numRef>
              <c:f>Sheet1!$C$2:$C$8</c:f>
              <c:numCache>
                <c:formatCode>_(* #,##0_);_(* \(#,##0\);_(* "-"??_);_(@_)</c:formatCode>
                <c:ptCount val="5"/>
                <c:pt idx="0">
                  <c:v>3082.5125727607247</c:v>
                </c:pt>
                <c:pt idx="1">
                  <c:v>3277.2813769668851</c:v>
                </c:pt>
                <c:pt idx="2">
                  <c:v>3923.8890671175195</c:v>
                </c:pt>
                <c:pt idx="3">
                  <c:v>4209.8379084366843</c:v>
                </c:pt>
                <c:pt idx="4" formatCode="_(* #,##0.0_);_(* \(#,##0.0\);_(* &quot;-&quot;??_);_(@_)">
                  <c:v>3969.6861616986098</c:v>
                </c:pt>
              </c:numCache>
            </c:numRef>
          </c:val>
          <c:extLst>
            <c:ext xmlns:c16="http://schemas.microsoft.com/office/drawing/2014/chart" uri="{C3380CC4-5D6E-409C-BE32-E72D297353CC}">
              <c16:uniqueId val="{00000000-45F5-4D71-84A2-9AC820926DF1}"/>
            </c:ext>
          </c:extLst>
        </c:ser>
        <c:dLbls>
          <c:showLegendKey val="0"/>
          <c:showVal val="0"/>
          <c:showCatName val="0"/>
          <c:showSerName val="0"/>
          <c:showPercent val="0"/>
          <c:showBubbleSize val="0"/>
        </c:dLbls>
        <c:gapWidth val="219"/>
        <c:overlap val="-27"/>
        <c:axId val="213517712"/>
        <c:axId val="1"/>
      </c:barChart>
      <c:lineChart>
        <c:grouping val="standard"/>
        <c:varyColors val="0"/>
        <c:ser>
          <c:idx val="0"/>
          <c:order val="0"/>
          <c:tx>
            <c:strRef>
              <c:f>Sheet1!$B$1</c:f>
              <c:strCache>
                <c:ptCount val="1"/>
                <c:pt idx="0">
                  <c:v>% ՀՆԱ-ում (աջ առանցք)</c:v>
                </c:pt>
              </c:strCache>
            </c:strRef>
          </c:tx>
          <c:spPr>
            <a:ln w="28619" cap="rnd">
              <a:solidFill>
                <a:schemeClr val="accent1"/>
              </a:solidFill>
              <a:round/>
            </a:ln>
            <a:effectLst/>
          </c:spPr>
          <c:marker>
            <c:symbol val="circle"/>
            <c:size val="6"/>
            <c:spPr>
              <a:solidFill>
                <a:schemeClr val="accent1"/>
              </a:solidFill>
              <a:ln w="9539">
                <a:solidFill>
                  <a:schemeClr val="accent1"/>
                </a:solidFill>
              </a:ln>
              <a:effectLst/>
            </c:spPr>
          </c:marker>
          <c:dLbls>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General</c:formatCode>
                <c:ptCount val="5"/>
                <c:pt idx="0">
                  <c:v>2018</c:v>
                </c:pt>
                <c:pt idx="1">
                  <c:v>2019</c:v>
                </c:pt>
                <c:pt idx="2">
                  <c:v>2020</c:v>
                </c:pt>
                <c:pt idx="3">
                  <c:v>2021</c:v>
                </c:pt>
                <c:pt idx="4">
                  <c:v>2022</c:v>
                </c:pt>
              </c:numCache>
            </c:numRef>
          </c:cat>
          <c:val>
            <c:numRef>
              <c:f>Sheet1!$B$2:$B$8</c:f>
              <c:numCache>
                <c:formatCode>_(* #,##0.0_);_(* \(#,##0.0\);_(* "-"??_);_(@_)</c:formatCode>
                <c:ptCount val="5"/>
                <c:pt idx="0">
                  <c:v>51.229758017050067</c:v>
                </c:pt>
                <c:pt idx="1">
                  <c:v>50.1</c:v>
                </c:pt>
                <c:pt idx="2">
                  <c:v>63.454927512541602</c:v>
                </c:pt>
                <c:pt idx="3">
                  <c:v>60.288259843363704</c:v>
                </c:pt>
                <c:pt idx="4">
                  <c:v>46.719900277711275</c:v>
                </c:pt>
              </c:numCache>
            </c:numRef>
          </c:val>
          <c:smooth val="0"/>
          <c:extLst>
            <c:ext xmlns:c16="http://schemas.microsoft.com/office/drawing/2014/chart" uri="{C3380CC4-5D6E-409C-BE32-E72D297353CC}">
              <c16:uniqueId val="{00000001-45F5-4D71-84A2-9AC820926DF1}"/>
            </c:ext>
          </c:extLst>
        </c:ser>
        <c:dLbls>
          <c:showLegendKey val="0"/>
          <c:showVal val="0"/>
          <c:showCatName val="0"/>
          <c:showSerName val="0"/>
          <c:showPercent val="0"/>
          <c:showBubbleSize val="0"/>
        </c:dLbls>
        <c:marker val="1"/>
        <c:smooth val="0"/>
        <c:axId val="3"/>
        <c:axId val="4"/>
      </c:lineChart>
      <c:catAx>
        <c:axId val="213517712"/>
        <c:scaling>
          <c:orientation val="minMax"/>
        </c:scaling>
        <c:delete val="0"/>
        <c:axPos val="b"/>
        <c:numFmt formatCode="General" sourceLinked="1"/>
        <c:majorTickMark val="none"/>
        <c:minorTickMark val="none"/>
        <c:tickLblPos val="nextTo"/>
        <c:spPr>
          <a:noFill/>
          <a:ln w="9539"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_(* #,##0_);_(* \(#,##0\);_(* &quot;-&quot;??_);_(@_)" sourceLinked="1"/>
        <c:majorTickMark val="none"/>
        <c:minorTickMark val="none"/>
        <c:tickLblPos val="nextTo"/>
        <c:spPr>
          <a:ln w="9539">
            <a:noFill/>
          </a:ln>
        </c:spPr>
        <c:txPr>
          <a:bodyPr rot="-60000000" vert="horz"/>
          <a:lstStyle/>
          <a:p>
            <a:pPr>
              <a:defRPr/>
            </a:pPr>
            <a:endParaRPr lang="en-US"/>
          </a:p>
        </c:txPr>
        <c:crossAx val="21351771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_(* #,##0.0_);_(* \(#,##0.0\);_(* &quot;-&quot;??_);_(@_)" sourceLinked="1"/>
        <c:majorTickMark val="out"/>
        <c:minorTickMark val="none"/>
        <c:tickLblPos val="nextTo"/>
        <c:spPr>
          <a:ln w="9539">
            <a:noFill/>
          </a:ln>
        </c:spPr>
        <c:txPr>
          <a:bodyPr rot="-60000000" vert="horz"/>
          <a:lstStyle/>
          <a:p>
            <a:pPr>
              <a:defRPr/>
            </a:pPr>
            <a:endParaRPr lang="en-US"/>
          </a:p>
        </c:txPr>
        <c:crossAx val="3"/>
        <c:crosses val="max"/>
        <c:crossBetween val="between"/>
      </c:valAx>
      <c:spPr>
        <a:solidFill>
          <a:schemeClr val="bg1"/>
        </a:solidFill>
        <a:ln w="6350">
          <a:solidFill>
            <a:sysClr val="window" lastClr="FFFFFF">
              <a:lumMod val="85000"/>
            </a:sysClr>
          </a:solidFill>
        </a:ln>
        <a:effectLst/>
      </c:spPr>
    </c:plotArea>
    <c:legend>
      <c:legendPos val="r"/>
      <c:layout>
        <c:manualLayout>
          <c:xMode val="edge"/>
          <c:yMode val="edge"/>
          <c:x val="2.1212121212121213E-2"/>
          <c:y val="0.87692307692307692"/>
          <c:w val="0.97272727272727277"/>
          <c:h val="0.1076923076923077"/>
        </c:manualLayout>
      </c:layout>
      <c:overlay val="0"/>
      <c:spPr>
        <a:noFill/>
        <a:ln w="25438">
          <a:noFill/>
        </a:ln>
      </c:spPr>
      <c:txPr>
        <a:bodyPr rot="0" vert="horz"/>
        <a:lstStyle/>
        <a:p>
          <a:pPr>
            <a:defRPr/>
          </a:pPr>
          <a:endParaRPr lang="en-US"/>
        </a:p>
      </c:txPr>
    </c:legend>
    <c:plotVisOnly val="1"/>
    <c:dispBlanksAs val="gap"/>
    <c:showDLblsOverMax val="0"/>
  </c:chart>
  <c:spPr>
    <a:noFill/>
    <a:ln w="9539"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940564252396001E-2"/>
          <c:y val="5.526148783640851E-2"/>
          <c:w val="0.58595805697720971"/>
          <c:h val="0.83521996317624481"/>
        </c:manualLayout>
      </c:layout>
      <c:barChart>
        <c:barDir val="col"/>
        <c:grouping val="stacked"/>
        <c:varyColors val="0"/>
        <c:ser>
          <c:idx val="0"/>
          <c:order val="0"/>
          <c:tx>
            <c:strRef>
              <c:f>Sheet1!$B$1</c:f>
              <c:strCache>
                <c:ptCount val="1"/>
                <c:pt idx="0">
                  <c:v>Մնացորդ</c:v>
                </c:pt>
              </c:strCache>
            </c:strRef>
          </c:tx>
          <c:spPr>
            <a:ln w="28312" cap="rnd">
              <a:noFill/>
              <a:round/>
            </a:ln>
            <a:effectLst/>
          </c:spPr>
          <c:invertIfNegative val="0"/>
          <c:cat>
            <c:numRef>
              <c:f>Sheet1!$A$2:$A$7</c:f>
              <c:numCache>
                <c:formatCode>General</c:formatCode>
                <c:ptCount val="6"/>
                <c:pt idx="0">
                  <c:v>2017</c:v>
                </c:pt>
                <c:pt idx="1">
                  <c:v>2018</c:v>
                </c:pt>
                <c:pt idx="2" formatCode="0">
                  <c:v>2019</c:v>
                </c:pt>
                <c:pt idx="3" formatCode="0">
                  <c:v>2020</c:v>
                </c:pt>
                <c:pt idx="4" formatCode="0">
                  <c:v>2021</c:v>
                </c:pt>
                <c:pt idx="5" formatCode="0">
                  <c:v>2022</c:v>
                </c:pt>
              </c:numCache>
            </c:numRef>
          </c:cat>
          <c:val>
            <c:numRef>
              <c:f>Sheet1!$B$2:$B$7</c:f>
              <c:numCache>
                <c:formatCode>0.0</c:formatCode>
                <c:ptCount val="6"/>
                <c:pt idx="0">
                  <c:v>0.81750019646647698</c:v>
                </c:pt>
                <c:pt idx="1">
                  <c:v>-0.90772701057372629</c:v>
                </c:pt>
                <c:pt idx="2">
                  <c:v>1.3324296052555091</c:v>
                </c:pt>
                <c:pt idx="3">
                  <c:v>-5.0748245695246004</c:v>
                </c:pt>
                <c:pt idx="4">
                  <c:v>3.1360876258242971</c:v>
                </c:pt>
                <c:pt idx="5">
                  <c:v>3.9951204682078263</c:v>
                </c:pt>
              </c:numCache>
            </c:numRef>
          </c:val>
          <c:extLst>
            <c:ext xmlns:c16="http://schemas.microsoft.com/office/drawing/2014/chart" uri="{C3380CC4-5D6E-409C-BE32-E72D297353CC}">
              <c16:uniqueId val="{00000000-7BF0-4CC0-8941-9138D974A6FF}"/>
            </c:ext>
          </c:extLst>
        </c:ser>
        <c:ser>
          <c:idx val="1"/>
          <c:order val="1"/>
          <c:tx>
            <c:strRef>
              <c:f>Sheet1!$C$1</c:f>
              <c:strCache>
                <c:ptCount val="1"/>
                <c:pt idx="0">
                  <c:v>Զուտ վարկավորում</c:v>
                </c:pt>
              </c:strCache>
            </c:strRef>
          </c:tx>
          <c:spPr>
            <a:solidFill>
              <a:srgbClr val="C0504D"/>
            </a:solidFill>
            <a:ln w="25166">
              <a:noFill/>
            </a:ln>
          </c:spPr>
          <c:invertIfNegative val="0"/>
          <c:cat>
            <c:numRef>
              <c:f>Sheet1!$A$2:$A$7</c:f>
              <c:numCache>
                <c:formatCode>General</c:formatCode>
                <c:ptCount val="6"/>
                <c:pt idx="0">
                  <c:v>2017</c:v>
                </c:pt>
                <c:pt idx="1">
                  <c:v>2018</c:v>
                </c:pt>
                <c:pt idx="2" formatCode="0">
                  <c:v>2019</c:v>
                </c:pt>
                <c:pt idx="3" formatCode="0">
                  <c:v>2020</c:v>
                </c:pt>
                <c:pt idx="4" formatCode="0">
                  <c:v>2021</c:v>
                </c:pt>
                <c:pt idx="5" formatCode="0">
                  <c:v>2022</c:v>
                </c:pt>
              </c:numCache>
            </c:numRef>
          </c:cat>
          <c:val>
            <c:numRef>
              <c:f>Sheet1!$C$2:$C$7</c:f>
              <c:numCache>
                <c:formatCode>0.0</c:formatCode>
                <c:ptCount val="6"/>
                <c:pt idx="0">
                  <c:v>0.81069110128810862</c:v>
                </c:pt>
                <c:pt idx="1">
                  <c:v>0.81037920761112525</c:v>
                </c:pt>
                <c:pt idx="2">
                  <c:v>1.0104016885491129</c:v>
                </c:pt>
                <c:pt idx="3">
                  <c:v>2.21635856273718</c:v>
                </c:pt>
                <c:pt idx="4">
                  <c:v>2.0044311451919463</c:v>
                </c:pt>
                <c:pt idx="5">
                  <c:v>1.7394829162240433</c:v>
                </c:pt>
              </c:numCache>
            </c:numRef>
          </c:val>
          <c:extLst>
            <c:ext xmlns:c16="http://schemas.microsoft.com/office/drawing/2014/chart" uri="{C3380CC4-5D6E-409C-BE32-E72D297353CC}">
              <c16:uniqueId val="{00000001-7BF0-4CC0-8941-9138D974A6FF}"/>
            </c:ext>
          </c:extLst>
        </c:ser>
        <c:ser>
          <c:idx val="2"/>
          <c:order val="2"/>
          <c:tx>
            <c:strRef>
              <c:f>Sheet1!$D$1</c:f>
              <c:strCache>
                <c:ptCount val="1"/>
                <c:pt idx="0">
                  <c:v>Փոխարժեքի արժեզրկում</c:v>
                </c:pt>
              </c:strCache>
            </c:strRef>
          </c:tx>
          <c:invertIfNegative val="0"/>
          <c:cat>
            <c:numRef>
              <c:f>Sheet1!$A$2:$A$7</c:f>
              <c:numCache>
                <c:formatCode>General</c:formatCode>
                <c:ptCount val="6"/>
                <c:pt idx="0">
                  <c:v>2017</c:v>
                </c:pt>
                <c:pt idx="1">
                  <c:v>2018</c:v>
                </c:pt>
                <c:pt idx="2" formatCode="0">
                  <c:v>2019</c:v>
                </c:pt>
                <c:pt idx="3" formatCode="0">
                  <c:v>2020</c:v>
                </c:pt>
                <c:pt idx="4" formatCode="0">
                  <c:v>2021</c:v>
                </c:pt>
                <c:pt idx="5" formatCode="0">
                  <c:v>2022</c:v>
                </c:pt>
              </c:numCache>
            </c:numRef>
          </c:cat>
          <c:val>
            <c:numRef>
              <c:f>Sheet1!$D$2:$D$7</c:f>
              <c:numCache>
                <c:formatCode>0.0</c:formatCode>
                <c:ptCount val="6"/>
                <c:pt idx="0">
                  <c:v>1.3024595224923403E-2</c:v>
                </c:pt>
                <c:pt idx="1">
                  <c:v>-3.0355942288865109E-2</c:v>
                </c:pt>
                <c:pt idx="2">
                  <c:v>-0.33045922768254016</c:v>
                </c:pt>
                <c:pt idx="3">
                  <c:v>7.7276045913410369</c:v>
                </c:pt>
                <c:pt idx="4">
                  <c:v>-4.1064127374131729</c:v>
                </c:pt>
                <c:pt idx="5">
                  <c:v>-11.030102189134254</c:v>
                </c:pt>
              </c:numCache>
            </c:numRef>
          </c:val>
          <c:extLst>
            <c:ext xmlns:c16="http://schemas.microsoft.com/office/drawing/2014/chart" uri="{C3380CC4-5D6E-409C-BE32-E72D297353CC}">
              <c16:uniqueId val="{00000002-7BF0-4CC0-8941-9138D974A6FF}"/>
            </c:ext>
          </c:extLst>
        </c:ser>
        <c:ser>
          <c:idx val="3"/>
          <c:order val="3"/>
          <c:tx>
            <c:strRef>
              <c:f>Sheet1!$E$1</c:f>
              <c:strCache>
                <c:ptCount val="1"/>
                <c:pt idx="0">
                  <c:v>Իրական ՀՆԱ աճ</c:v>
                </c:pt>
              </c:strCache>
            </c:strRef>
          </c:tx>
          <c:invertIfNegative val="0"/>
          <c:cat>
            <c:numRef>
              <c:f>Sheet1!$A$2:$A$7</c:f>
              <c:numCache>
                <c:formatCode>General</c:formatCode>
                <c:ptCount val="6"/>
                <c:pt idx="0">
                  <c:v>2017</c:v>
                </c:pt>
                <c:pt idx="1">
                  <c:v>2018</c:v>
                </c:pt>
                <c:pt idx="2" formatCode="0">
                  <c:v>2019</c:v>
                </c:pt>
                <c:pt idx="3" formatCode="0">
                  <c:v>2020</c:v>
                </c:pt>
                <c:pt idx="4" formatCode="0">
                  <c:v>2021</c:v>
                </c:pt>
                <c:pt idx="5" formatCode="0">
                  <c:v>2022</c:v>
                </c:pt>
              </c:numCache>
            </c:numRef>
          </c:cat>
          <c:val>
            <c:numRef>
              <c:f>Sheet1!$E$2:$E$7</c:f>
              <c:numCache>
                <c:formatCode>0.0</c:formatCode>
                <c:ptCount val="6"/>
                <c:pt idx="0">
                  <c:v>-3.5603773930307177</c:v>
                </c:pt>
                <c:pt idx="1">
                  <c:v>-2.6039370723394306</c:v>
                </c:pt>
                <c:pt idx="2">
                  <c:v>-3.5727954124852048</c:v>
                </c:pt>
                <c:pt idx="3">
                  <c:v>3.926057975495334</c:v>
                </c:pt>
                <c:pt idx="4">
                  <c:v>-3.18050947021265</c:v>
                </c:pt>
                <c:pt idx="5">
                  <c:v>-6.2428320794759395</c:v>
                </c:pt>
              </c:numCache>
            </c:numRef>
          </c:val>
          <c:extLst>
            <c:ext xmlns:c16="http://schemas.microsoft.com/office/drawing/2014/chart" uri="{C3380CC4-5D6E-409C-BE32-E72D297353CC}">
              <c16:uniqueId val="{00000003-7BF0-4CC0-8941-9138D974A6FF}"/>
            </c:ext>
          </c:extLst>
        </c:ser>
        <c:ser>
          <c:idx val="4"/>
          <c:order val="4"/>
          <c:tx>
            <c:strRef>
              <c:f>Sheet1!$F$1</c:f>
              <c:strCache>
                <c:ptCount val="1"/>
                <c:pt idx="0">
                  <c:v>Իրական տոկոսադրույք</c:v>
                </c:pt>
              </c:strCache>
            </c:strRef>
          </c:tx>
          <c:invertIfNegative val="0"/>
          <c:cat>
            <c:numRef>
              <c:f>Sheet1!$A$2:$A$7</c:f>
              <c:numCache>
                <c:formatCode>General</c:formatCode>
                <c:ptCount val="6"/>
                <c:pt idx="0">
                  <c:v>2017</c:v>
                </c:pt>
                <c:pt idx="1">
                  <c:v>2018</c:v>
                </c:pt>
                <c:pt idx="2" formatCode="0">
                  <c:v>2019</c:v>
                </c:pt>
                <c:pt idx="3" formatCode="0">
                  <c:v>2020</c:v>
                </c:pt>
                <c:pt idx="4" formatCode="0">
                  <c:v>2021</c:v>
                </c:pt>
                <c:pt idx="5" formatCode="0">
                  <c:v>2022</c:v>
                </c:pt>
              </c:numCache>
            </c:numRef>
          </c:cat>
          <c:val>
            <c:numRef>
              <c:f>Sheet1!$F$2:$F$7</c:f>
              <c:numCache>
                <c:formatCode>0.0</c:formatCode>
                <c:ptCount val="6"/>
                <c:pt idx="0">
                  <c:v>1.0500310954191139</c:v>
                </c:pt>
                <c:pt idx="1">
                  <c:v>0.98012789078743601</c:v>
                </c:pt>
                <c:pt idx="2">
                  <c:v>1.6930478859443168</c:v>
                </c:pt>
                <c:pt idx="3">
                  <c:v>1.8892831418731026</c:v>
                </c:pt>
                <c:pt idx="4">
                  <c:v>-2.710557332184548</c:v>
                </c:pt>
                <c:pt idx="5">
                  <c:v>-1.807199895029318</c:v>
                </c:pt>
              </c:numCache>
            </c:numRef>
          </c:val>
          <c:extLst>
            <c:ext xmlns:c16="http://schemas.microsoft.com/office/drawing/2014/chart" uri="{C3380CC4-5D6E-409C-BE32-E72D297353CC}">
              <c16:uniqueId val="{00000004-7BF0-4CC0-8941-9138D974A6FF}"/>
            </c:ext>
          </c:extLst>
        </c:ser>
        <c:ser>
          <c:idx val="5"/>
          <c:order val="5"/>
          <c:tx>
            <c:strRef>
              <c:f>Sheet1!$G$1</c:f>
              <c:strCache>
                <c:ptCount val="1"/>
                <c:pt idx="0">
                  <c:v>Առաջնային պակասուրդ</c:v>
                </c:pt>
              </c:strCache>
            </c:strRef>
          </c:tx>
          <c:invertIfNegative val="0"/>
          <c:cat>
            <c:numRef>
              <c:f>Sheet1!$A$2:$A$7</c:f>
              <c:numCache>
                <c:formatCode>General</c:formatCode>
                <c:ptCount val="6"/>
                <c:pt idx="0">
                  <c:v>2017</c:v>
                </c:pt>
                <c:pt idx="1">
                  <c:v>2018</c:v>
                </c:pt>
                <c:pt idx="2" formatCode="0">
                  <c:v>2019</c:v>
                </c:pt>
                <c:pt idx="3" formatCode="0">
                  <c:v>2020</c:v>
                </c:pt>
                <c:pt idx="4" formatCode="0">
                  <c:v>2021</c:v>
                </c:pt>
                <c:pt idx="5" formatCode="0">
                  <c:v>2022</c:v>
                </c:pt>
              </c:numCache>
            </c:numRef>
          </c:cat>
          <c:val>
            <c:numRef>
              <c:f>Sheet1!$G$2:$G$7</c:f>
              <c:numCache>
                <c:formatCode>0.0</c:formatCode>
                <c:ptCount val="6"/>
                <c:pt idx="0">
                  <c:v>2.6021498588186631</c:v>
                </c:pt>
                <c:pt idx="1">
                  <c:v>-0.57258085880967613</c:v>
                </c:pt>
                <c:pt idx="2">
                  <c:v>-1.4284363292094469</c:v>
                </c:pt>
                <c:pt idx="3">
                  <c:v>2.7058821432047737</c:v>
                </c:pt>
                <c:pt idx="4">
                  <c:v>1.9996616027161203</c:v>
                </c:pt>
                <c:pt idx="5">
                  <c:v>-0.22184541687973425</c:v>
                </c:pt>
              </c:numCache>
            </c:numRef>
          </c:val>
          <c:extLst>
            <c:ext xmlns:c16="http://schemas.microsoft.com/office/drawing/2014/chart" uri="{C3380CC4-5D6E-409C-BE32-E72D297353CC}">
              <c16:uniqueId val="{00000005-7BF0-4CC0-8941-9138D974A6FF}"/>
            </c:ext>
          </c:extLst>
        </c:ser>
        <c:dLbls>
          <c:showLegendKey val="0"/>
          <c:showVal val="0"/>
          <c:showCatName val="0"/>
          <c:showSerName val="0"/>
          <c:showPercent val="0"/>
          <c:showBubbleSize val="0"/>
        </c:dLbls>
        <c:gapWidth val="219"/>
        <c:overlap val="100"/>
        <c:axId val="179724504"/>
        <c:axId val="1"/>
      </c:barChart>
      <c:lineChart>
        <c:grouping val="standard"/>
        <c:varyColors val="0"/>
        <c:ser>
          <c:idx val="6"/>
          <c:order val="6"/>
          <c:tx>
            <c:strRef>
              <c:f>Sheet1!$H$1</c:f>
              <c:strCache>
                <c:ptCount val="1"/>
                <c:pt idx="0">
                  <c:v>Պարտք/ՀՆԱ փոփոխություն, %-ային կետ </c:v>
                </c:pt>
              </c:strCache>
            </c:strRef>
          </c:tx>
          <c:marker>
            <c:symbol val="square"/>
            <c:size val="4"/>
          </c:marker>
          <c:dLbls>
            <c:spPr>
              <a:noFill/>
              <a:ln w="25168">
                <a:noFill/>
              </a:ln>
            </c:spPr>
            <c:txPr>
              <a:bodyPr wrap="square" lIns="38100" tIns="19050" rIns="38100" bIns="19050" anchor="ctr">
                <a:spAutoFit/>
              </a:bodyPr>
              <a:lstStyle/>
              <a:p>
                <a:pPr>
                  <a:defRPr sz="1040" b="1">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2017</c:v>
                </c:pt>
                <c:pt idx="1">
                  <c:v>2018</c:v>
                </c:pt>
                <c:pt idx="2" formatCode="0">
                  <c:v>2019</c:v>
                </c:pt>
                <c:pt idx="3" formatCode="0">
                  <c:v>2020</c:v>
                </c:pt>
                <c:pt idx="4" formatCode="0">
                  <c:v>2021</c:v>
                </c:pt>
                <c:pt idx="5" formatCode="0">
                  <c:v>2022</c:v>
                </c:pt>
              </c:numCache>
            </c:numRef>
          </c:cat>
          <c:val>
            <c:numRef>
              <c:f>Sheet1!$H$2:$H$7</c:f>
              <c:numCache>
                <c:formatCode>0.0</c:formatCode>
                <c:ptCount val="6"/>
                <c:pt idx="0">
                  <c:v>1.733019454186568</c:v>
                </c:pt>
                <c:pt idx="1">
                  <c:v>-2.3240937856131367</c:v>
                </c:pt>
                <c:pt idx="2">
                  <c:v>-1.2958117896282531</c:v>
                </c:pt>
                <c:pt idx="3">
                  <c:v>13.390361845126819</c:v>
                </c:pt>
                <c:pt idx="4">
                  <c:v>-3.1879983880129572</c:v>
                </c:pt>
                <c:pt idx="5">
                  <c:v>-13.567376196087373</c:v>
                </c:pt>
              </c:numCache>
            </c:numRef>
          </c:val>
          <c:smooth val="0"/>
          <c:extLst>
            <c:ext xmlns:c16="http://schemas.microsoft.com/office/drawing/2014/chart" uri="{C3380CC4-5D6E-409C-BE32-E72D297353CC}">
              <c16:uniqueId val="{00000006-7BF0-4CC0-8941-9138D974A6FF}"/>
            </c:ext>
          </c:extLst>
        </c:ser>
        <c:dLbls>
          <c:showLegendKey val="0"/>
          <c:showVal val="0"/>
          <c:showCatName val="0"/>
          <c:showSerName val="0"/>
          <c:showPercent val="0"/>
          <c:showBubbleSize val="0"/>
        </c:dLbls>
        <c:marker val="1"/>
        <c:smooth val="0"/>
        <c:axId val="179724504"/>
        <c:axId val="1"/>
      </c:lineChart>
      <c:catAx>
        <c:axId val="179724504"/>
        <c:scaling>
          <c:orientation val="minMax"/>
        </c:scaling>
        <c:delete val="0"/>
        <c:axPos val="b"/>
        <c:numFmt formatCode="General" sourceLinked="1"/>
        <c:majorTickMark val="none"/>
        <c:minorTickMark val="none"/>
        <c:tickLblPos val="low"/>
        <c:spPr>
          <a:noFill/>
          <a:ln w="9437" cap="flat" cmpd="sng" algn="ctr">
            <a:solidFill>
              <a:schemeClr val="tx1">
                <a:lumMod val="15000"/>
                <a:lumOff val="85000"/>
              </a:schemeClr>
            </a:solidFill>
            <a:round/>
          </a:ln>
          <a:effectLst/>
        </c:spPr>
        <c:txPr>
          <a:bodyPr rot="-60000000" spcFirstLastPara="1" vertOverflow="ellipsis" vert="horz" wrap="square" anchor="ctr" anchorCtr="1"/>
          <a:lstStyle/>
          <a:p>
            <a:pPr>
              <a:defRPr sz="991" b="0" i="0" u="none" strike="noStrike" kern="1200" baseline="0">
                <a:solidFill>
                  <a:sysClr val="windowText" lastClr="000000"/>
                </a:solidFill>
                <a:latin typeface="GHEA Grapalat"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437">
            <a:noFill/>
          </a:ln>
        </c:spPr>
        <c:txPr>
          <a:bodyPr rot="-60000000" spcFirstLastPara="1" vertOverflow="ellipsis" vert="horz" wrap="square" anchor="ctr" anchorCtr="1"/>
          <a:lstStyle/>
          <a:p>
            <a:pPr>
              <a:defRPr sz="793" b="0" i="0" u="none" strike="noStrike" kern="1200" baseline="0">
                <a:solidFill>
                  <a:sysClr val="windowText" lastClr="000000"/>
                </a:solidFill>
                <a:latin typeface="GHEA Grapalat" pitchFamily="50" charset="0"/>
                <a:ea typeface="+mn-ea"/>
                <a:cs typeface="+mn-cs"/>
              </a:defRPr>
            </a:pPr>
            <a:endParaRPr lang="en-US"/>
          </a:p>
        </c:txPr>
        <c:crossAx val="179724504"/>
        <c:crosses val="autoZero"/>
        <c:crossBetween val="between"/>
      </c:valAx>
      <c:spPr>
        <a:solidFill>
          <a:schemeClr val="bg1"/>
        </a:solidFill>
        <a:ln w="6292">
          <a:solidFill>
            <a:sysClr val="window" lastClr="FFFFFF">
              <a:lumMod val="85000"/>
            </a:sysClr>
          </a:solidFill>
        </a:ln>
        <a:effectLst/>
      </c:spPr>
    </c:plotArea>
    <c:legend>
      <c:legendPos val="r"/>
      <c:layout>
        <c:manualLayout>
          <c:xMode val="edge"/>
          <c:yMode val="edge"/>
          <c:x val="0.68027204744203362"/>
          <c:y val="5.2015707338908215E-2"/>
          <c:w val="0.30790307320182264"/>
          <c:h val="0.92339620338155393"/>
        </c:manualLayout>
      </c:layout>
      <c:overlay val="0"/>
      <c:spPr>
        <a:noFill/>
        <a:ln w="25166">
          <a:noFill/>
        </a:ln>
      </c:spPr>
      <c:txPr>
        <a:bodyPr rot="0" spcFirstLastPara="1" vertOverflow="ellipsis" vert="horz" wrap="square" anchor="ctr" anchorCtr="1"/>
        <a:lstStyle/>
        <a:p>
          <a:pPr>
            <a:defRPr sz="892" b="0" i="0" u="none" strike="noStrike" kern="1200" baseline="0">
              <a:solidFill>
                <a:sysClr val="windowText" lastClr="000000"/>
              </a:solidFill>
              <a:latin typeface="GHEA Grapalat" pitchFamily="50" charset="0"/>
              <a:ea typeface="+mn-ea"/>
              <a:cs typeface="+mn-cs"/>
            </a:defRPr>
          </a:pPr>
          <a:endParaRPr lang="en-US"/>
        </a:p>
      </c:txPr>
    </c:legend>
    <c:plotVisOnly val="1"/>
    <c:dispBlanksAs val="gap"/>
    <c:showDLblsOverMax val="0"/>
  </c:chart>
  <c:spPr>
    <a:noFill/>
    <a:ln w="9437"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013891556238397"/>
          <c:y val="6.0392115415103316E-2"/>
          <c:w val="0.8351456372831445"/>
          <c:h val="0.69240183903186603"/>
        </c:manualLayout>
      </c:layout>
      <c:barChart>
        <c:barDir val="col"/>
        <c:grouping val="clustered"/>
        <c:varyColors val="0"/>
        <c:ser>
          <c:idx val="1"/>
          <c:order val="1"/>
          <c:tx>
            <c:strRef>
              <c:f>Sheet1!$C$1</c:f>
              <c:strCache>
                <c:ptCount val="1"/>
                <c:pt idx="0">
                  <c:v>Զուտ անուղղակի հարկ</c:v>
                </c:pt>
              </c:strCache>
            </c:strRef>
          </c:tx>
          <c:spPr>
            <a:solidFill>
              <a:sysClr val="window" lastClr="FFFFFF">
                <a:lumMod val="65000"/>
              </a:sysClr>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0.82329831042960522</c:v>
                </c:pt>
                <c:pt idx="1">
                  <c:v>0.75220953537745205</c:v>
                </c:pt>
                <c:pt idx="2">
                  <c:v>-1.1331304573717087</c:v>
                </c:pt>
                <c:pt idx="3">
                  <c:v>0.8063673308605277</c:v>
                </c:pt>
                <c:pt idx="4">
                  <c:v>0.88711873829531351</c:v>
                </c:pt>
              </c:numCache>
            </c:numRef>
          </c:val>
          <c:extLst>
            <c:ext xmlns:c16="http://schemas.microsoft.com/office/drawing/2014/chart" uri="{C3380CC4-5D6E-409C-BE32-E72D297353CC}">
              <c16:uniqueId val="{00000000-5104-468C-B6D4-DD5A5D542DEF}"/>
            </c:ext>
          </c:extLst>
        </c:ser>
        <c:ser>
          <c:idx val="2"/>
          <c:order val="2"/>
          <c:tx>
            <c:strRef>
              <c:f>Sheet1!$D$1</c:f>
              <c:strCache>
                <c:ptCount val="1"/>
                <c:pt idx="0">
                  <c:v>Արդյունաբերություն</c:v>
                </c:pt>
              </c:strCache>
            </c:strRef>
          </c:tx>
          <c:spPr>
            <a:solidFill>
              <a:srgbClr val="4F81BD"/>
            </a:solidFill>
            <a:ln w="24878">
              <a:noFill/>
            </a:ln>
          </c:spPr>
          <c:invertIfNegative val="0"/>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c:v>0.91064682700878941</c:v>
                </c:pt>
                <c:pt idx="1">
                  <c:v>2.1622213883023029</c:v>
                </c:pt>
                <c:pt idx="2">
                  <c:v>-0.25988576634384014</c:v>
                </c:pt>
                <c:pt idx="3">
                  <c:v>0.70183227147092597</c:v>
                </c:pt>
                <c:pt idx="4">
                  <c:v>1.2776617109261021</c:v>
                </c:pt>
              </c:numCache>
            </c:numRef>
          </c:val>
          <c:extLst>
            <c:ext xmlns:c16="http://schemas.microsoft.com/office/drawing/2014/chart" uri="{C3380CC4-5D6E-409C-BE32-E72D297353CC}">
              <c16:uniqueId val="{00000001-5104-468C-B6D4-DD5A5D542DEF}"/>
            </c:ext>
          </c:extLst>
        </c:ser>
        <c:ser>
          <c:idx val="3"/>
          <c:order val="3"/>
          <c:tx>
            <c:strRef>
              <c:f>Sheet1!$E$1</c:f>
              <c:strCache>
                <c:ptCount val="1"/>
                <c:pt idx="0">
                  <c:v>Գյուղատնտեսություն</c:v>
                </c:pt>
              </c:strCache>
            </c:strRef>
          </c:tx>
          <c:spPr>
            <a:solidFill>
              <a:srgbClr val="4BACC6"/>
            </a:solidFill>
            <a:ln w="24878">
              <a:noFill/>
            </a:ln>
          </c:spPr>
          <c:invertIfNegative val="0"/>
          <c:cat>
            <c:numRef>
              <c:f>Sheet1!$A$2:$A$6</c:f>
              <c:numCache>
                <c:formatCode>General</c:formatCode>
                <c:ptCount val="5"/>
                <c:pt idx="0">
                  <c:v>2018</c:v>
                </c:pt>
                <c:pt idx="1">
                  <c:v>2019</c:v>
                </c:pt>
                <c:pt idx="2">
                  <c:v>2020</c:v>
                </c:pt>
                <c:pt idx="3">
                  <c:v>2021</c:v>
                </c:pt>
                <c:pt idx="4">
                  <c:v>2022</c:v>
                </c:pt>
              </c:numCache>
            </c:numRef>
          </c:cat>
          <c:val>
            <c:numRef>
              <c:f>Sheet1!$E$2:$E$6</c:f>
              <c:numCache>
                <c:formatCode>0.0</c:formatCode>
                <c:ptCount val="5"/>
                <c:pt idx="0">
                  <c:v>-1.0356524175384063</c:v>
                </c:pt>
                <c:pt idx="1">
                  <c:v>-0.80644026167682614</c:v>
                </c:pt>
                <c:pt idx="2">
                  <c:v>-0.42852119183058857</c:v>
                </c:pt>
                <c:pt idx="3">
                  <c:v>-6.806663963794346E-2</c:v>
                </c:pt>
                <c:pt idx="4">
                  <c:v>-7.9103095121870345E-2</c:v>
                </c:pt>
              </c:numCache>
            </c:numRef>
          </c:val>
          <c:extLst>
            <c:ext xmlns:c16="http://schemas.microsoft.com/office/drawing/2014/chart" uri="{C3380CC4-5D6E-409C-BE32-E72D297353CC}">
              <c16:uniqueId val="{00000002-5104-468C-B6D4-DD5A5D542DEF}"/>
            </c:ext>
          </c:extLst>
        </c:ser>
        <c:ser>
          <c:idx val="4"/>
          <c:order val="4"/>
          <c:tx>
            <c:strRef>
              <c:f>Sheet1!$F$1</c:f>
              <c:strCache>
                <c:ptCount val="1"/>
                <c:pt idx="0">
                  <c:v>Շինարարություն</c:v>
                </c:pt>
              </c:strCache>
            </c:strRef>
          </c:tx>
          <c:spPr>
            <a:solidFill>
              <a:srgbClr val="1F497D"/>
            </a:solidFill>
            <a:ln w="24878">
              <a:noFill/>
            </a:ln>
          </c:spPr>
          <c:invertIfNegative val="0"/>
          <c:cat>
            <c:numRef>
              <c:f>Sheet1!$A$2:$A$6</c:f>
              <c:numCache>
                <c:formatCode>General</c:formatCode>
                <c:ptCount val="5"/>
                <c:pt idx="0">
                  <c:v>2018</c:v>
                </c:pt>
                <c:pt idx="1">
                  <c:v>2019</c:v>
                </c:pt>
                <c:pt idx="2">
                  <c:v>2020</c:v>
                </c:pt>
                <c:pt idx="3">
                  <c:v>2021</c:v>
                </c:pt>
                <c:pt idx="4">
                  <c:v>2022</c:v>
                </c:pt>
              </c:numCache>
            </c:numRef>
          </c:cat>
          <c:val>
            <c:numRef>
              <c:f>Sheet1!$F$2:$F$6</c:f>
              <c:numCache>
                <c:formatCode>0.0</c:formatCode>
                <c:ptCount val="5"/>
                <c:pt idx="0">
                  <c:v>4.3649529298147187E-2</c:v>
                </c:pt>
                <c:pt idx="1">
                  <c:v>0.42807405697801104</c:v>
                </c:pt>
                <c:pt idx="2">
                  <c:v>-0.37642104931984077</c:v>
                </c:pt>
                <c:pt idx="3">
                  <c:v>0.21405737932987379</c:v>
                </c:pt>
                <c:pt idx="4">
                  <c:v>1.2205039121065491</c:v>
                </c:pt>
              </c:numCache>
            </c:numRef>
          </c:val>
          <c:extLst>
            <c:ext xmlns:c16="http://schemas.microsoft.com/office/drawing/2014/chart" uri="{C3380CC4-5D6E-409C-BE32-E72D297353CC}">
              <c16:uniqueId val="{00000003-5104-468C-B6D4-DD5A5D542DEF}"/>
            </c:ext>
          </c:extLst>
        </c:ser>
        <c:ser>
          <c:idx val="5"/>
          <c:order val="5"/>
          <c:tx>
            <c:strRef>
              <c:f>Sheet1!$G$1</c:f>
              <c:strCache>
                <c:ptCount val="1"/>
                <c:pt idx="0">
                  <c:v>Ծառայություններ</c:v>
                </c:pt>
              </c:strCache>
            </c:strRef>
          </c:tx>
          <c:spPr>
            <a:solidFill>
              <a:srgbClr val="4F81BD">
                <a:lumMod val="60000"/>
                <a:lumOff val="40000"/>
              </a:srgbClr>
            </a:solidFill>
            <a:ln>
              <a:noFill/>
            </a:ln>
            <a:effectLst/>
          </c:spPr>
          <c:invertIfNegative val="0"/>
          <c:cat>
            <c:numRef>
              <c:f>Sheet1!$A$2:$A$6</c:f>
              <c:numCache>
                <c:formatCode>General</c:formatCode>
                <c:ptCount val="5"/>
                <c:pt idx="0">
                  <c:v>2018</c:v>
                </c:pt>
                <c:pt idx="1">
                  <c:v>2019</c:v>
                </c:pt>
                <c:pt idx="2">
                  <c:v>2020</c:v>
                </c:pt>
                <c:pt idx="3">
                  <c:v>2021</c:v>
                </c:pt>
                <c:pt idx="4">
                  <c:v>2022</c:v>
                </c:pt>
              </c:numCache>
            </c:numRef>
          </c:cat>
          <c:val>
            <c:numRef>
              <c:f>Sheet1!$G$2:$G$6</c:f>
              <c:numCache>
                <c:formatCode>0.0</c:formatCode>
                <c:ptCount val="5"/>
                <c:pt idx="0">
                  <c:v>4.4580577508018671</c:v>
                </c:pt>
                <c:pt idx="1">
                  <c:v>5.063935281019055</c:v>
                </c:pt>
                <c:pt idx="2">
                  <c:v>-5.0020415351340244</c:v>
                </c:pt>
                <c:pt idx="3">
                  <c:v>4.0458096579766192</c:v>
                </c:pt>
                <c:pt idx="4">
                  <c:v>9.2938187337939038</c:v>
                </c:pt>
              </c:numCache>
            </c:numRef>
          </c:val>
          <c:extLst>
            <c:ext xmlns:c16="http://schemas.microsoft.com/office/drawing/2014/chart" uri="{C3380CC4-5D6E-409C-BE32-E72D297353CC}">
              <c16:uniqueId val="{00000004-5104-468C-B6D4-DD5A5D542DEF}"/>
            </c:ext>
          </c:extLst>
        </c:ser>
        <c:dLbls>
          <c:showLegendKey val="0"/>
          <c:showVal val="0"/>
          <c:showCatName val="0"/>
          <c:showSerName val="0"/>
          <c:showPercent val="0"/>
          <c:showBubbleSize val="0"/>
        </c:dLbls>
        <c:gapWidth val="219"/>
        <c:overlap val="-27"/>
        <c:axId val="217000552"/>
        <c:axId val="1"/>
      </c:barChart>
      <c:lineChart>
        <c:grouping val="standard"/>
        <c:varyColors val="0"/>
        <c:ser>
          <c:idx val="0"/>
          <c:order val="0"/>
          <c:tx>
            <c:strRef>
              <c:f>Sheet1!$B$1</c:f>
              <c:strCache>
                <c:ptCount val="1"/>
                <c:pt idx="0">
                  <c:v>ՀՆԱ</c:v>
                </c:pt>
              </c:strCache>
            </c:strRef>
          </c:tx>
          <c:spPr>
            <a:ln w="27988" cap="rnd">
              <a:solidFill>
                <a:schemeClr val="accent1"/>
              </a:solidFill>
              <a:round/>
            </a:ln>
            <a:effectLst/>
          </c:spPr>
          <c:marker>
            <c:symbol val="none"/>
          </c:marker>
          <c:dLbls>
            <c:dLbl>
              <c:idx val="0"/>
              <c:layout>
                <c:manualLayout>
                  <c:x val="-5.6910569105691054E-2"/>
                  <c:y val="2.6981450252951036E-2"/>
                </c:manualLayout>
              </c:layout>
              <c:spPr>
                <a:noFill/>
                <a:ln w="24878">
                  <a:noFill/>
                </a:ln>
              </c:spPr>
              <c:txPr>
                <a:bodyPr rot="0" spcFirstLastPara="1" vertOverflow="ellipsis" vert="horz" wrap="square" lIns="38100" tIns="19050" rIns="38100" bIns="19050" anchor="ctr" anchorCtr="1">
                  <a:spAutoFit/>
                </a:bodyPr>
                <a:lstStyle/>
                <a:p>
                  <a:pPr>
                    <a:defRPr sz="686"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04-468C-B6D4-DD5A5D542DEF}"/>
                </c:ext>
              </c:extLst>
            </c:dLbl>
            <c:dLbl>
              <c:idx val="1"/>
              <c:layout>
                <c:manualLayout>
                  <c:x val="-5.6910569105691054E-2"/>
                  <c:y val="-3.3726812816188903E-2"/>
                </c:manualLayout>
              </c:layout>
              <c:spPr>
                <a:noFill/>
                <a:ln w="24878">
                  <a:noFill/>
                </a:ln>
              </c:spPr>
              <c:txPr>
                <a:bodyPr rot="0" spcFirstLastPara="1" vertOverflow="ellipsis" vert="horz" wrap="square" lIns="38100" tIns="19050" rIns="38100" bIns="19050" anchor="ctr" anchorCtr="1">
                  <a:spAutoFit/>
                </a:bodyPr>
                <a:lstStyle/>
                <a:p>
                  <a:pPr>
                    <a:defRPr sz="686"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04-468C-B6D4-DD5A5D542DEF}"/>
                </c:ext>
              </c:extLst>
            </c:dLbl>
            <c:dLbl>
              <c:idx val="2"/>
              <c:layout>
                <c:manualLayout>
                  <c:x val="-0.10156968183855074"/>
                  <c:y val="-4.7578706961798412E-3"/>
                </c:manualLayout>
              </c:layout>
              <c:spPr>
                <a:noFill/>
                <a:ln w="24878">
                  <a:noFill/>
                </a:ln>
              </c:spPr>
              <c:txPr>
                <a:bodyPr rot="0" spcFirstLastPara="1" vertOverflow="ellipsis" vert="horz" wrap="square" lIns="38100" tIns="19050" rIns="38100" bIns="19050" anchor="ctr" anchorCtr="1">
                  <a:spAutoFit/>
                </a:bodyPr>
                <a:lstStyle/>
                <a:p>
                  <a:pPr>
                    <a:defRPr sz="686"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04-468C-B6D4-DD5A5D542DEF}"/>
                </c:ext>
              </c:extLst>
            </c:dLbl>
            <c:dLbl>
              <c:idx val="3"/>
              <c:layout>
                <c:manualLayout>
                  <c:x val="-3.9972793035016961E-2"/>
                  <c:y val="2.7777615487777348E-2"/>
                </c:manualLayout>
              </c:layout>
              <c:spPr>
                <a:noFill/>
                <a:ln w="24878">
                  <a:noFill/>
                </a:ln>
              </c:spPr>
              <c:txPr>
                <a:bodyPr rot="0" spcFirstLastPara="1" vertOverflow="ellipsis" vert="horz" wrap="square" lIns="38100" tIns="19050" rIns="38100" bIns="19050" anchor="ctr" anchorCtr="1">
                  <a:spAutoFit/>
                </a:bodyPr>
                <a:lstStyle/>
                <a:p>
                  <a:pPr>
                    <a:defRPr sz="686"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04-468C-B6D4-DD5A5D542DEF}"/>
                </c:ext>
              </c:extLst>
            </c:dLbl>
            <c:dLbl>
              <c:idx val="4"/>
              <c:layout>
                <c:manualLayout>
                  <c:x val="-4.4715447154471691E-2"/>
                  <c:y val="4.0472175379426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04-468C-B6D4-DD5A5D542DEF}"/>
                </c:ext>
              </c:extLst>
            </c:dLbl>
            <c:spPr>
              <a:noFill/>
              <a:ln w="24878">
                <a:noFill/>
              </a:ln>
            </c:spPr>
            <c:txPr>
              <a:bodyPr rot="0" spcFirstLastPara="1" vertOverflow="ellipsis" vert="horz" wrap="square" lIns="38100" tIns="19050" rIns="38100" bIns="19050" anchor="ctr" anchorCtr="1">
                <a:spAutoFit/>
              </a:bodyPr>
              <a:lstStyle/>
              <a:p>
                <a:pPr>
                  <a:defRPr sz="686"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0.0</c:formatCode>
                <c:ptCount val="5"/>
                <c:pt idx="0">
                  <c:v>5.200000000000002</c:v>
                </c:pt>
                <c:pt idx="1">
                  <c:v>7.5999999999999943</c:v>
                </c:pt>
                <c:pt idx="2">
                  <c:v>-7.200000000000002</c:v>
                </c:pt>
                <c:pt idx="3">
                  <c:v>5.700000000000002</c:v>
                </c:pt>
                <c:pt idx="4">
                  <c:v>12.599999999999996</c:v>
                </c:pt>
              </c:numCache>
            </c:numRef>
          </c:val>
          <c:smooth val="0"/>
          <c:extLst>
            <c:ext xmlns:c16="http://schemas.microsoft.com/office/drawing/2014/chart" uri="{C3380CC4-5D6E-409C-BE32-E72D297353CC}">
              <c16:uniqueId val="{0000000A-5104-468C-B6D4-DD5A5D542DEF}"/>
            </c:ext>
          </c:extLst>
        </c:ser>
        <c:dLbls>
          <c:showLegendKey val="0"/>
          <c:showVal val="0"/>
          <c:showCatName val="0"/>
          <c:showSerName val="0"/>
          <c:showPercent val="0"/>
          <c:showBubbleSize val="0"/>
        </c:dLbls>
        <c:marker val="1"/>
        <c:smooth val="0"/>
        <c:axId val="217000552"/>
        <c:axId val="1"/>
      </c:lineChart>
      <c:catAx>
        <c:axId val="217000552"/>
        <c:scaling>
          <c:orientation val="minMax"/>
        </c:scaling>
        <c:delete val="0"/>
        <c:axPos val="b"/>
        <c:numFmt formatCode="General" sourceLinked="1"/>
        <c:majorTickMark val="none"/>
        <c:minorTickMark val="none"/>
        <c:tickLblPos val="nextTo"/>
        <c:spPr>
          <a:noFill/>
          <a:ln w="9329" cap="flat" cmpd="sng" algn="ctr">
            <a:solidFill>
              <a:schemeClr val="tx1">
                <a:lumMod val="15000"/>
                <a:lumOff val="85000"/>
              </a:schemeClr>
            </a:solidFill>
            <a:round/>
          </a:ln>
          <a:effectLst/>
        </c:spPr>
        <c:txPr>
          <a:bodyPr rot="-60000000" spcFirstLastPara="1" vertOverflow="ellipsis" vert="horz" wrap="square" anchor="ctr" anchorCtr="1"/>
          <a:lstStyle/>
          <a:p>
            <a:pPr>
              <a:defRPr sz="784"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
        <c:noMultiLvlLbl val="0"/>
      </c:catAx>
      <c:valAx>
        <c:axId val="1"/>
        <c:scaling>
          <c:orientation val="minMax"/>
          <c:max val="13"/>
          <c:min val="-8"/>
        </c:scaling>
        <c:delete val="0"/>
        <c:axPos val="l"/>
        <c:majorGridlines>
          <c:spPr>
            <a:ln w="9329" cap="flat" cmpd="sng" algn="ctr">
              <a:solidFill>
                <a:schemeClr val="tx1">
                  <a:lumMod val="15000"/>
                  <a:lumOff val="85000"/>
                </a:schemeClr>
              </a:solidFill>
              <a:round/>
            </a:ln>
            <a:effectLst/>
          </c:spPr>
        </c:majorGridlines>
        <c:numFmt formatCode="0.0" sourceLinked="1"/>
        <c:majorTickMark val="none"/>
        <c:minorTickMark val="none"/>
        <c:tickLblPos val="nextTo"/>
        <c:spPr>
          <a:ln w="9329">
            <a:noFill/>
          </a:ln>
        </c:spPr>
        <c:txPr>
          <a:bodyPr rot="-60000000" spcFirstLastPara="1" vertOverflow="ellipsis" vert="horz" wrap="square" anchor="ctr" anchorCtr="1"/>
          <a:lstStyle/>
          <a:p>
            <a:pPr>
              <a:defRPr sz="686" b="0" i="0" u="none" strike="noStrike" kern="1200" baseline="0">
                <a:solidFill>
                  <a:sysClr val="windowText" lastClr="000000"/>
                </a:solidFill>
                <a:latin typeface="GHEA Grapalat" panose="02000506050000020003" pitchFamily="50" charset="0"/>
                <a:ea typeface="+mn-ea"/>
                <a:cs typeface="+mn-cs"/>
              </a:defRPr>
            </a:pPr>
            <a:endParaRPr lang="en-US"/>
          </a:p>
        </c:txPr>
        <c:crossAx val="217000552"/>
        <c:crosses val="autoZero"/>
        <c:crossBetween val="between"/>
        <c:majorUnit val="4"/>
      </c:valAx>
      <c:spPr>
        <a:solidFill>
          <a:schemeClr val="bg1"/>
        </a:solidFill>
        <a:ln>
          <a:noFill/>
        </a:ln>
        <a:effectLst/>
      </c:spPr>
    </c:plotArea>
    <c:legend>
      <c:legendPos val="b"/>
      <c:layout>
        <c:manualLayout>
          <c:xMode val="edge"/>
          <c:yMode val="edge"/>
          <c:x val="4.3963170198580481E-2"/>
          <c:y val="0.77807524059492561"/>
          <c:w val="0.91207332202445746"/>
          <c:h val="0.19811500835122886"/>
        </c:manualLayout>
      </c:layout>
      <c:overlay val="0"/>
      <c:spPr>
        <a:noFill/>
        <a:ln w="24878">
          <a:noFill/>
        </a:ln>
      </c:spPr>
      <c:txPr>
        <a:bodyPr rot="0" spcFirstLastPara="1" vertOverflow="ellipsis" vert="horz" wrap="square" anchor="ctr" anchorCtr="1"/>
        <a:lstStyle/>
        <a:p>
          <a:pPr>
            <a:defRPr sz="588"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solidFill>
      <a:sysClr val="window" lastClr="FFFFFF"/>
    </a:solidFill>
    <a:ln w="9329" cap="flat" cmpd="sng" algn="ctr">
      <a:solidFill>
        <a:schemeClr val="bg2"/>
      </a:solidFill>
      <a:round/>
    </a:ln>
    <a:effectLst/>
  </c:spPr>
  <c:txPr>
    <a:bodyPr/>
    <a:lstStyle/>
    <a:p>
      <a:pPr>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0"/>
            </a:pPr>
            <a:r>
              <a:rPr lang="hy-AM" sz="1090"/>
              <a:t>Կապիտալ ծախսերի </a:t>
            </a:r>
            <a:r>
              <a:rPr lang="en-US" sz="1090"/>
              <a:t>/ </a:t>
            </a:r>
            <a:r>
              <a:rPr lang="hy-AM" sz="1090"/>
              <a:t>պակասուրդի կանոն</a:t>
            </a:r>
            <a:endParaRPr lang="en-US" sz="1100"/>
          </a:p>
        </c:rich>
      </c:tx>
      <c:layout>
        <c:manualLayout>
          <c:xMode val="edge"/>
          <c:yMode val="edge"/>
          <c:x val="0.20234355880928703"/>
          <c:y val="0"/>
        </c:manualLayout>
      </c:layout>
      <c:overlay val="0"/>
      <c:spPr>
        <a:noFill/>
        <a:ln w="25170">
          <a:noFill/>
        </a:ln>
      </c:spPr>
    </c:title>
    <c:autoTitleDeleted val="0"/>
    <c:plotArea>
      <c:layout>
        <c:manualLayout>
          <c:layoutTarget val="inner"/>
          <c:xMode val="edge"/>
          <c:yMode val="edge"/>
          <c:x val="0.11188799717343023"/>
          <c:y val="0.13502908245759526"/>
          <c:w val="0.82023953159701191"/>
          <c:h val="0.61426223106194777"/>
        </c:manualLayout>
      </c:layout>
      <c:barChart>
        <c:barDir val="col"/>
        <c:grouping val="clustered"/>
        <c:varyColors val="0"/>
        <c:ser>
          <c:idx val="0"/>
          <c:order val="0"/>
          <c:tx>
            <c:strRef>
              <c:f>Sheet1!$B$1</c:f>
              <c:strCache>
                <c:ptCount val="1"/>
                <c:pt idx="0">
                  <c:v>Կապիտալ ծախսեր, մլրդ դրամ</c:v>
                </c:pt>
              </c:strCache>
            </c:strRef>
          </c:tx>
          <c:spPr>
            <a:solidFill>
              <a:srgbClr val="4F81BD"/>
            </a:solidFill>
          </c:spPr>
          <c:invertIfNegative val="0"/>
          <c:cat>
            <c:numRef>
              <c:f>Sheet1!$A$2:$A$8</c:f>
              <c:numCache>
                <c:formatCode>General</c:formatCode>
                <c:ptCount val="5"/>
                <c:pt idx="0">
                  <c:v>2018</c:v>
                </c:pt>
                <c:pt idx="1">
                  <c:v>2019</c:v>
                </c:pt>
                <c:pt idx="2">
                  <c:v>2020</c:v>
                </c:pt>
                <c:pt idx="3">
                  <c:v>2021</c:v>
                </c:pt>
                <c:pt idx="4">
                  <c:v>2022</c:v>
                </c:pt>
              </c:numCache>
            </c:numRef>
          </c:cat>
          <c:val>
            <c:numRef>
              <c:f>Sheet1!$B$2:$B$8</c:f>
              <c:numCache>
                <c:formatCode>0.0</c:formatCode>
                <c:ptCount val="5"/>
                <c:pt idx="0">
                  <c:v>148.10514668000002</c:v>
                </c:pt>
                <c:pt idx="1">
                  <c:v>192.29396460000001</c:v>
                </c:pt>
                <c:pt idx="2">
                  <c:v>226.18871941</c:v>
                </c:pt>
                <c:pt idx="3">
                  <c:v>216.33459556000003</c:v>
                </c:pt>
                <c:pt idx="4">
                  <c:v>380.38691836000004</c:v>
                </c:pt>
              </c:numCache>
            </c:numRef>
          </c:val>
          <c:extLst>
            <c:ext xmlns:c16="http://schemas.microsoft.com/office/drawing/2014/chart" uri="{C3380CC4-5D6E-409C-BE32-E72D297353CC}">
              <c16:uniqueId val="{00000000-0F27-485A-90D0-0D036BFFB364}"/>
            </c:ext>
          </c:extLst>
        </c:ser>
        <c:ser>
          <c:idx val="1"/>
          <c:order val="1"/>
          <c:tx>
            <c:strRef>
              <c:f>Sheet1!$C$1</c:f>
              <c:strCache>
                <c:ptCount val="1"/>
                <c:pt idx="0">
                  <c:v>Պետական բյուջեի պակասուրդ, մլրդ դրամ</c:v>
                </c:pt>
              </c:strCache>
            </c:strRef>
          </c:tx>
          <c:spPr>
            <a:solidFill>
              <a:srgbClr val="F79646"/>
            </a:solidFill>
            <a:ln>
              <a:solidFill>
                <a:srgbClr val="C00000"/>
              </a:solidFill>
            </a:ln>
          </c:spPr>
          <c:invertIfNegative val="0"/>
          <c:cat>
            <c:numRef>
              <c:f>Sheet1!$A$2:$A$8</c:f>
              <c:numCache>
                <c:formatCode>General</c:formatCode>
                <c:ptCount val="5"/>
                <c:pt idx="0">
                  <c:v>2018</c:v>
                </c:pt>
                <c:pt idx="1">
                  <c:v>2019</c:v>
                </c:pt>
                <c:pt idx="2">
                  <c:v>2020</c:v>
                </c:pt>
                <c:pt idx="3">
                  <c:v>2021</c:v>
                </c:pt>
                <c:pt idx="4">
                  <c:v>2022</c:v>
                </c:pt>
              </c:numCache>
            </c:numRef>
          </c:cat>
          <c:val>
            <c:numRef>
              <c:f>Sheet1!$C$2:$C$8</c:f>
              <c:numCache>
                <c:formatCode>0.0</c:formatCode>
                <c:ptCount val="5"/>
                <c:pt idx="0">
                  <c:v>105.39242057900015</c:v>
                </c:pt>
                <c:pt idx="1">
                  <c:v>63.963703050000049</c:v>
                </c:pt>
                <c:pt idx="2">
                  <c:v>333.99175418800019</c:v>
                </c:pt>
                <c:pt idx="3">
                  <c:v>320.46961205000002</c:v>
                </c:pt>
                <c:pt idx="4">
                  <c:v>179.46318335640001</c:v>
                </c:pt>
              </c:numCache>
            </c:numRef>
          </c:val>
          <c:extLst>
            <c:ext xmlns:c16="http://schemas.microsoft.com/office/drawing/2014/chart" uri="{C3380CC4-5D6E-409C-BE32-E72D297353CC}">
              <c16:uniqueId val="{00000001-0F27-485A-90D0-0D036BFFB364}"/>
            </c:ext>
          </c:extLst>
        </c:ser>
        <c:dLbls>
          <c:showLegendKey val="0"/>
          <c:showVal val="0"/>
          <c:showCatName val="0"/>
          <c:showSerName val="0"/>
          <c:showPercent val="0"/>
          <c:showBubbleSize val="0"/>
        </c:dLbls>
        <c:gapWidth val="150"/>
        <c:axId val="180129776"/>
        <c:axId val="1"/>
      </c:barChart>
      <c:catAx>
        <c:axId val="18012977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numFmt formatCode="0.0" sourceLinked="1"/>
        <c:majorTickMark val="out"/>
        <c:minorTickMark val="none"/>
        <c:tickLblPos val="nextTo"/>
        <c:spPr>
          <a:ln>
            <a:noFill/>
          </a:ln>
        </c:spPr>
        <c:crossAx val="180129776"/>
        <c:crosses val="autoZero"/>
        <c:crossBetween val="between"/>
      </c:valAx>
      <c:spPr>
        <a:solidFill>
          <a:sysClr val="window" lastClr="FFFFFF"/>
        </a:solidFill>
        <a:ln w="6293">
          <a:solidFill>
            <a:sysClr val="window" lastClr="FFFFFF">
              <a:lumMod val="85000"/>
            </a:sysClr>
          </a:solidFill>
        </a:ln>
      </c:spPr>
    </c:plotArea>
    <c:legend>
      <c:legendPos val="r"/>
      <c:layout>
        <c:manualLayout>
          <c:xMode val="edge"/>
          <c:yMode val="edge"/>
          <c:x val="0"/>
          <c:y val="0.84587813620071683"/>
          <c:w val="0.97832817337461297"/>
          <c:h val="0.15053763440860216"/>
        </c:manualLayout>
      </c:layout>
      <c:overlay val="0"/>
      <c:spPr>
        <a:ln>
          <a:noFill/>
        </a:ln>
      </c:spPr>
      <c:txPr>
        <a:bodyPr/>
        <a:lstStyle/>
        <a:p>
          <a:pPr>
            <a:defRPr sz="892"/>
          </a:pPr>
          <a:endParaRPr lang="en-US"/>
        </a:p>
      </c:txPr>
    </c:legend>
    <c:plotVisOnly val="1"/>
    <c:dispBlanksAs val="gap"/>
    <c:showDLblsOverMax val="0"/>
  </c:chart>
  <c:spPr>
    <a:noFill/>
    <a:ln w="9437">
      <a:solidFill>
        <a:sysClr val="windowText" lastClr="000000">
          <a:alpha val="20000"/>
        </a:sysClr>
      </a:solidFill>
    </a:ln>
  </c:spPr>
  <c:txPr>
    <a:bodyPr/>
    <a:lstStyle/>
    <a:p>
      <a:pPr>
        <a:defRPr sz="991">
          <a:latin typeface="GHEA Grapalat" panose="02000506050000020003" pitchFamily="50" charset="0"/>
        </a:defRPr>
      </a:pPr>
      <a:endParaRPr lang="en-US"/>
    </a:p>
  </c:txPr>
  <c:externalData r:id="rId2">
    <c:autoUpdate val="0"/>
  </c:externalData>
  <c:userShapes r:id="rId3"/>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79"/>
            </a:pPr>
            <a:r>
              <a:rPr lang="hy-AM" sz="1079"/>
              <a:t>Ընթացիկ ծախսերի կանոն</a:t>
            </a:r>
            <a:endParaRPr lang="en-US" sz="1100"/>
          </a:p>
        </c:rich>
      </c:tx>
      <c:overlay val="0"/>
      <c:spPr>
        <a:noFill/>
        <a:ln w="25167">
          <a:noFill/>
        </a:ln>
      </c:spPr>
    </c:title>
    <c:autoTitleDeleted val="0"/>
    <c:plotArea>
      <c:layout>
        <c:manualLayout>
          <c:layoutTarget val="inner"/>
          <c:xMode val="edge"/>
          <c:yMode val="edge"/>
          <c:x val="0.17534831081894581"/>
          <c:y val="0.15136176159798206"/>
          <c:w val="0.84534030535631255"/>
          <c:h val="0.59284899339206654"/>
        </c:manualLayout>
      </c:layout>
      <c:barChart>
        <c:barDir val="col"/>
        <c:grouping val="clustered"/>
        <c:varyColors val="0"/>
        <c:ser>
          <c:idx val="0"/>
          <c:order val="0"/>
          <c:tx>
            <c:strRef>
              <c:f>Sheet1!$B$1</c:f>
              <c:strCache>
                <c:ptCount val="1"/>
                <c:pt idx="0">
                  <c:v>Ընթացիկ առաջնային ծախսերն ըստ կանոնի, մլրդ դրամ</c:v>
                </c:pt>
              </c:strCache>
            </c:strRef>
          </c:tx>
          <c:spPr>
            <a:solidFill>
              <a:srgbClr val="4F81BD"/>
            </a:solidFill>
          </c:spPr>
          <c:invertIfNegative val="0"/>
          <c:cat>
            <c:numRef>
              <c:f>Sheet1!$A$2:$A$8</c:f>
              <c:numCache>
                <c:formatCode>General</c:formatCode>
                <c:ptCount val="5"/>
                <c:pt idx="0">
                  <c:v>2018</c:v>
                </c:pt>
                <c:pt idx="1">
                  <c:v>2019</c:v>
                </c:pt>
                <c:pt idx="2">
                  <c:v>2020</c:v>
                </c:pt>
                <c:pt idx="3">
                  <c:v>2021</c:v>
                </c:pt>
                <c:pt idx="4">
                  <c:v>2022</c:v>
                </c:pt>
              </c:numCache>
            </c:numRef>
          </c:cat>
          <c:val>
            <c:numRef>
              <c:f>Sheet1!$B$2:$B$8</c:f>
              <c:numCache>
                <c:formatCode>0.0</c:formatCode>
                <c:ptCount val="5"/>
                <c:pt idx="1">
                  <c:v>1284.9599445369749</c:v>
                </c:pt>
                <c:pt idx="2">
                  <c:v>1297.6170272401653</c:v>
                </c:pt>
                <c:pt idx="3">
                  <c:v>1441.8595177494344</c:v>
                </c:pt>
                <c:pt idx="4">
                  <c:v>1634.0108834794851</c:v>
                </c:pt>
              </c:numCache>
            </c:numRef>
          </c:val>
          <c:extLst>
            <c:ext xmlns:c16="http://schemas.microsoft.com/office/drawing/2014/chart" uri="{C3380CC4-5D6E-409C-BE32-E72D297353CC}">
              <c16:uniqueId val="{00000000-BE1C-4B4A-831C-C02A2EFD674E}"/>
            </c:ext>
          </c:extLst>
        </c:ser>
        <c:ser>
          <c:idx val="1"/>
          <c:order val="1"/>
          <c:tx>
            <c:strRef>
              <c:f>Sheet1!$C$1</c:f>
              <c:strCache>
                <c:ptCount val="1"/>
                <c:pt idx="0">
                  <c:v>Փաստացի ընթացիկ առաջնային ծախսեր, մլրդ դրամ</c:v>
                </c:pt>
              </c:strCache>
            </c:strRef>
          </c:tx>
          <c:spPr>
            <a:solidFill>
              <a:srgbClr val="F79646"/>
            </a:solidFill>
            <a:ln>
              <a:noFill/>
            </a:ln>
          </c:spPr>
          <c:invertIfNegative val="0"/>
          <c:cat>
            <c:numRef>
              <c:f>Sheet1!$A$2:$A$8</c:f>
              <c:numCache>
                <c:formatCode>General</c:formatCode>
                <c:ptCount val="5"/>
                <c:pt idx="0">
                  <c:v>2018</c:v>
                </c:pt>
                <c:pt idx="1">
                  <c:v>2019</c:v>
                </c:pt>
                <c:pt idx="2">
                  <c:v>2020</c:v>
                </c:pt>
                <c:pt idx="3">
                  <c:v>2021</c:v>
                </c:pt>
                <c:pt idx="4">
                  <c:v>2022</c:v>
                </c:pt>
              </c:numCache>
            </c:numRef>
          </c:cat>
          <c:val>
            <c:numRef>
              <c:f>Sheet1!$C$2:$C$8</c:f>
              <c:numCache>
                <c:formatCode>0.0</c:formatCode>
                <c:ptCount val="5"/>
                <c:pt idx="0">
                  <c:v>1159.9629657600001</c:v>
                </c:pt>
                <c:pt idx="1">
                  <c:v>1279.59019345</c:v>
                </c:pt>
                <c:pt idx="2">
                  <c:v>1503.45265997</c:v>
                </c:pt>
                <c:pt idx="3">
                  <c:v>1607.1302098200001</c:v>
                </c:pt>
                <c:pt idx="4">
                  <c:v>1663.89061302</c:v>
                </c:pt>
              </c:numCache>
            </c:numRef>
          </c:val>
          <c:extLst>
            <c:ext xmlns:c16="http://schemas.microsoft.com/office/drawing/2014/chart" uri="{C3380CC4-5D6E-409C-BE32-E72D297353CC}">
              <c16:uniqueId val="{00000001-BE1C-4B4A-831C-C02A2EFD674E}"/>
            </c:ext>
          </c:extLst>
        </c:ser>
        <c:dLbls>
          <c:showLegendKey val="0"/>
          <c:showVal val="0"/>
          <c:showCatName val="0"/>
          <c:showSerName val="0"/>
          <c:showPercent val="0"/>
          <c:showBubbleSize val="0"/>
        </c:dLbls>
        <c:gapWidth val="150"/>
        <c:axId val="180128136"/>
        <c:axId val="1"/>
      </c:barChart>
      <c:catAx>
        <c:axId val="18012813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2000"/>
        </c:scaling>
        <c:delete val="0"/>
        <c:axPos val="l"/>
        <c:numFmt formatCode="0.0" sourceLinked="1"/>
        <c:majorTickMark val="out"/>
        <c:minorTickMark val="none"/>
        <c:tickLblPos val="nextTo"/>
        <c:spPr>
          <a:ln>
            <a:noFill/>
          </a:ln>
        </c:spPr>
        <c:crossAx val="180128136"/>
        <c:crosses val="autoZero"/>
        <c:crossBetween val="between"/>
      </c:valAx>
      <c:spPr>
        <a:ln w="6292">
          <a:solidFill>
            <a:sysClr val="window" lastClr="FFFFFF">
              <a:lumMod val="85000"/>
            </a:sysClr>
          </a:solidFill>
        </a:ln>
      </c:spPr>
    </c:plotArea>
    <c:legend>
      <c:legendPos val="r"/>
      <c:layout>
        <c:manualLayout>
          <c:xMode val="edge"/>
          <c:yMode val="edge"/>
          <c:x val="0"/>
          <c:y val="0.85663082437275984"/>
          <c:w val="0.98107255520504733"/>
          <c:h val="0.14336917562724014"/>
        </c:manualLayout>
      </c:layout>
      <c:overlay val="0"/>
      <c:spPr>
        <a:ln>
          <a:noFill/>
        </a:ln>
      </c:spPr>
      <c:txPr>
        <a:bodyPr/>
        <a:lstStyle/>
        <a:p>
          <a:pPr>
            <a:defRPr sz="793"/>
          </a:pPr>
          <a:endParaRPr lang="en-US"/>
        </a:p>
      </c:txPr>
    </c:legend>
    <c:plotVisOnly val="1"/>
    <c:dispBlanksAs val="gap"/>
    <c:showDLblsOverMax val="0"/>
  </c:chart>
  <c:spPr>
    <a:noFill/>
    <a:ln w="9344">
      <a:solidFill>
        <a:sysClr val="windowText" lastClr="000000">
          <a:alpha val="20000"/>
        </a:sysClr>
      </a:solidFill>
    </a:ln>
  </c:spPr>
  <c:txPr>
    <a:bodyPr/>
    <a:lstStyle/>
    <a:p>
      <a:pPr>
        <a:defRPr sz="981">
          <a:ln>
            <a:noFill/>
          </a:ln>
          <a:latin typeface="GHEA Grapalat" panose="02000506050000020003" pitchFamily="50" charset="0"/>
        </a:defRPr>
      </a:pPr>
      <a:endParaRPr lang="en-US"/>
    </a:p>
  </c:txPr>
  <c:externalData r:id="rId2">
    <c:autoUpdate val="0"/>
  </c:externalData>
  <c:userShapes r:id="rId3"/>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69" b="0"/>
            </a:pPr>
            <a:r>
              <a:rPr lang="hy-AM" sz="982" b="0" i="0" baseline="0">
                <a:effectLst/>
              </a:rPr>
              <a:t>Պետական բյուջեի պակասուրդի դինամիկան</a:t>
            </a:r>
            <a:endParaRPr lang="en-US" sz="600" b="0">
              <a:effectLst/>
            </a:endParaRPr>
          </a:p>
        </c:rich>
      </c:tx>
      <c:layout>
        <c:manualLayout>
          <c:xMode val="edge"/>
          <c:yMode val="edge"/>
          <c:x val="0.16806880272041466"/>
          <c:y val="0"/>
        </c:manualLayout>
      </c:layout>
      <c:overlay val="0"/>
      <c:spPr>
        <a:noFill/>
        <a:ln w="24932">
          <a:noFill/>
        </a:ln>
      </c:spPr>
    </c:title>
    <c:autoTitleDeleted val="0"/>
    <c:plotArea>
      <c:layout>
        <c:manualLayout>
          <c:layoutTarget val="inner"/>
          <c:xMode val="edge"/>
          <c:yMode val="edge"/>
          <c:x val="0.13415845955035438"/>
          <c:y val="0.14277245836003377"/>
          <c:w val="0.84534030535631255"/>
          <c:h val="0.47108729725297116"/>
        </c:manualLayout>
      </c:layout>
      <c:barChart>
        <c:barDir val="col"/>
        <c:grouping val="clustered"/>
        <c:varyColors val="0"/>
        <c:ser>
          <c:idx val="0"/>
          <c:order val="0"/>
          <c:tx>
            <c:strRef>
              <c:f>Sheet1!$B$1</c:f>
              <c:strCache>
                <c:ptCount val="1"/>
                <c:pt idx="0">
                  <c:v>Պետական բյուջեի պակասուրդ/ՀՆԱ,  %</c:v>
                </c:pt>
              </c:strCache>
            </c:strRef>
          </c:tx>
          <c:spPr>
            <a:solidFill>
              <a:srgbClr val="C00000"/>
            </a:solidFill>
          </c:spPr>
          <c:invertIfNegative val="0"/>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Sheet1!$B$2:$B$11</c:f>
              <c:numCache>
                <c:formatCode>0.0</c:formatCode>
                <c:ptCount val="10"/>
                <c:pt idx="0">
                  <c:v>1.6</c:v>
                </c:pt>
                <c:pt idx="1">
                  <c:v>1.9</c:v>
                </c:pt>
                <c:pt idx="2">
                  <c:v>4.8</c:v>
                </c:pt>
                <c:pt idx="3">
                  <c:v>5.5</c:v>
                </c:pt>
                <c:pt idx="4">
                  <c:v>4.8</c:v>
                </c:pt>
                <c:pt idx="5">
                  <c:v>1.8</c:v>
                </c:pt>
                <c:pt idx="6">
                  <c:v>1</c:v>
                </c:pt>
                <c:pt idx="7">
                  <c:v>5.4</c:v>
                </c:pt>
                <c:pt idx="8">
                  <c:v>4.5999999999999996</c:v>
                </c:pt>
                <c:pt idx="9">
                  <c:v>2.1121322161004099</c:v>
                </c:pt>
              </c:numCache>
            </c:numRef>
          </c:val>
          <c:extLst>
            <c:ext xmlns:c16="http://schemas.microsoft.com/office/drawing/2014/chart" uri="{C3380CC4-5D6E-409C-BE32-E72D297353CC}">
              <c16:uniqueId val="{00000000-8335-4371-AF70-9E46ECB11E05}"/>
            </c:ext>
          </c:extLst>
        </c:ser>
        <c:ser>
          <c:idx val="1"/>
          <c:order val="1"/>
          <c:tx>
            <c:strRef>
              <c:f>Sheet1!$C$1</c:f>
              <c:strCache>
                <c:ptCount val="1"/>
                <c:pt idx="0">
                  <c:v>Պետական բյուջեի առաջնային պակասուրդ/ՀՆԱ,  %</c:v>
                </c:pt>
              </c:strCache>
            </c:strRef>
          </c:tx>
          <c:spPr>
            <a:solidFill>
              <a:srgbClr val="4F81BD"/>
            </a:solidFill>
            <a:ln>
              <a:noFill/>
            </a:ln>
          </c:spPr>
          <c:invertIfNegative val="0"/>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Sheet1!$C$2:$C$11</c:f>
              <c:numCache>
                <c:formatCode>0.0</c:formatCode>
                <c:ptCount val="10"/>
                <c:pt idx="0">
                  <c:v>0.5</c:v>
                </c:pt>
                <c:pt idx="1">
                  <c:v>0.6</c:v>
                </c:pt>
                <c:pt idx="2">
                  <c:v>3.3</c:v>
                </c:pt>
                <c:pt idx="3">
                  <c:v>3.5</c:v>
                </c:pt>
                <c:pt idx="4">
                  <c:v>2.6</c:v>
                </c:pt>
                <c:pt idx="5">
                  <c:v>-0.6</c:v>
                </c:pt>
                <c:pt idx="6">
                  <c:v>-1.4</c:v>
                </c:pt>
                <c:pt idx="7">
                  <c:v>2.7</c:v>
                </c:pt>
                <c:pt idx="8">
                  <c:v>2</c:v>
                </c:pt>
                <c:pt idx="9">
                  <c:v>0.22184541687973436</c:v>
                </c:pt>
              </c:numCache>
            </c:numRef>
          </c:val>
          <c:extLst>
            <c:ext xmlns:c16="http://schemas.microsoft.com/office/drawing/2014/chart" uri="{C3380CC4-5D6E-409C-BE32-E72D297353CC}">
              <c16:uniqueId val="{00000001-8335-4371-AF70-9E46ECB11E05}"/>
            </c:ext>
          </c:extLst>
        </c:ser>
        <c:dLbls>
          <c:showLegendKey val="0"/>
          <c:showVal val="0"/>
          <c:showCatName val="0"/>
          <c:showSerName val="0"/>
          <c:showPercent val="0"/>
          <c:showBubbleSize val="0"/>
        </c:dLbls>
        <c:gapWidth val="150"/>
        <c:axId val="180129448"/>
        <c:axId val="1"/>
      </c:barChart>
      <c:lineChart>
        <c:grouping val="standard"/>
        <c:varyColors val="0"/>
        <c:ser>
          <c:idx val="2"/>
          <c:order val="2"/>
          <c:tx>
            <c:strRef>
              <c:f>Sheet1!$D$1</c:f>
              <c:strCache>
                <c:ptCount val="1"/>
                <c:pt idx="0">
                  <c:v>10տ․ միջին պակասուրդ </c:v>
                </c:pt>
              </c:strCache>
            </c:strRef>
          </c:tx>
          <c:spPr>
            <a:ln w="24932">
              <a:solidFill>
                <a:srgbClr val="C00000"/>
              </a:solidFill>
              <a:prstDash val="dash"/>
            </a:ln>
          </c:spPr>
          <c:marker>
            <c:symbol val="none"/>
          </c:marker>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Sheet1!$D$2:$D$11</c:f>
              <c:numCache>
                <c:formatCode>0.0</c:formatCode>
                <c:ptCount val="10"/>
                <c:pt idx="0">
                  <c:v>3.3512132216100419</c:v>
                </c:pt>
                <c:pt idx="1">
                  <c:v>3.3512132216100419</c:v>
                </c:pt>
                <c:pt idx="2">
                  <c:v>3.3512132216100419</c:v>
                </c:pt>
                <c:pt idx="3">
                  <c:v>3.3512132216100419</c:v>
                </c:pt>
                <c:pt idx="4">
                  <c:v>3.3512132216100419</c:v>
                </c:pt>
                <c:pt idx="5">
                  <c:v>3.3512132216100419</c:v>
                </c:pt>
                <c:pt idx="6">
                  <c:v>3.3512132216100419</c:v>
                </c:pt>
                <c:pt idx="7">
                  <c:v>3.3512132216100419</c:v>
                </c:pt>
                <c:pt idx="8">
                  <c:v>3.3512132216100419</c:v>
                </c:pt>
                <c:pt idx="9">
                  <c:v>3.3512132216100419</c:v>
                </c:pt>
              </c:numCache>
            </c:numRef>
          </c:val>
          <c:smooth val="0"/>
          <c:extLst>
            <c:ext xmlns:c16="http://schemas.microsoft.com/office/drawing/2014/chart" uri="{C3380CC4-5D6E-409C-BE32-E72D297353CC}">
              <c16:uniqueId val="{00000002-8335-4371-AF70-9E46ECB11E05}"/>
            </c:ext>
          </c:extLst>
        </c:ser>
        <c:ser>
          <c:idx val="3"/>
          <c:order val="3"/>
          <c:tx>
            <c:strRef>
              <c:f>Sheet1!$E$1</c:f>
              <c:strCache>
                <c:ptCount val="1"/>
                <c:pt idx="0">
                  <c:v>10տ․ միջին առաջնային պակասուրդ</c:v>
                </c:pt>
              </c:strCache>
            </c:strRef>
          </c:tx>
          <c:spPr>
            <a:ln w="24932">
              <a:solidFill>
                <a:srgbClr val="4F81BD"/>
              </a:solidFill>
              <a:prstDash val="dash"/>
            </a:ln>
          </c:spPr>
          <c:marker>
            <c:symbol val="none"/>
          </c:marker>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Sheet1!$E$2:$E$11</c:f>
              <c:numCache>
                <c:formatCode>0.0</c:formatCode>
                <c:ptCount val="10"/>
                <c:pt idx="0">
                  <c:v>1.3421845416879734</c:v>
                </c:pt>
                <c:pt idx="1">
                  <c:v>1.3421845416879734</c:v>
                </c:pt>
                <c:pt idx="2">
                  <c:v>1.3421845416879734</c:v>
                </c:pt>
                <c:pt idx="3">
                  <c:v>1.3421845416879734</c:v>
                </c:pt>
                <c:pt idx="4">
                  <c:v>1.3421845416879734</c:v>
                </c:pt>
                <c:pt idx="5">
                  <c:v>1.3421845416879734</c:v>
                </c:pt>
                <c:pt idx="6">
                  <c:v>1.3421845416879734</c:v>
                </c:pt>
                <c:pt idx="7">
                  <c:v>1.3421845416879734</c:v>
                </c:pt>
                <c:pt idx="8">
                  <c:v>1.3421845416879734</c:v>
                </c:pt>
                <c:pt idx="9">
                  <c:v>1.3421845416879734</c:v>
                </c:pt>
              </c:numCache>
            </c:numRef>
          </c:val>
          <c:smooth val="0"/>
          <c:extLst>
            <c:ext xmlns:c16="http://schemas.microsoft.com/office/drawing/2014/chart" uri="{C3380CC4-5D6E-409C-BE32-E72D297353CC}">
              <c16:uniqueId val="{00000003-8335-4371-AF70-9E46ECB11E05}"/>
            </c:ext>
          </c:extLst>
        </c:ser>
        <c:ser>
          <c:idx val="4"/>
          <c:order val="4"/>
          <c:tx>
            <c:strRef>
              <c:f>Sheet1!$F$1</c:f>
              <c:strCache>
                <c:ptCount val="1"/>
                <c:pt idx="0">
                  <c:v>5տ․ միջին պակասուրդ</c:v>
                </c:pt>
              </c:strCache>
            </c:strRef>
          </c:tx>
          <c:marker>
            <c:symbol val="none"/>
          </c:marker>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Sheet1!$F$2:$F$11</c:f>
            </c:numRef>
          </c:val>
          <c:smooth val="0"/>
          <c:extLst>
            <c:ext xmlns:c16="http://schemas.microsoft.com/office/drawing/2014/chart" uri="{C3380CC4-5D6E-409C-BE32-E72D297353CC}">
              <c16:uniqueId val="{00000004-8335-4371-AF70-9E46ECB11E05}"/>
            </c:ext>
          </c:extLst>
        </c:ser>
        <c:ser>
          <c:idx val="5"/>
          <c:order val="5"/>
          <c:tx>
            <c:strRef>
              <c:f>Sheet1!$G$1</c:f>
              <c:strCache>
                <c:ptCount val="1"/>
                <c:pt idx="0">
                  <c:v>5տ․ միջին առաջնային պակասուրդ2</c:v>
                </c:pt>
              </c:strCache>
            </c:strRef>
          </c:tx>
          <c:marker>
            <c:symbol val="none"/>
          </c:marker>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Sheet1!$G$2:$G$11</c:f>
            </c:numRef>
          </c:val>
          <c:smooth val="0"/>
          <c:extLst>
            <c:ext xmlns:c16="http://schemas.microsoft.com/office/drawing/2014/chart" uri="{C3380CC4-5D6E-409C-BE32-E72D297353CC}">
              <c16:uniqueId val="{00000005-8335-4371-AF70-9E46ECB11E05}"/>
            </c:ext>
          </c:extLst>
        </c:ser>
        <c:dLbls>
          <c:showLegendKey val="0"/>
          <c:showVal val="0"/>
          <c:showCatName val="0"/>
          <c:showSerName val="0"/>
          <c:showPercent val="0"/>
          <c:showBubbleSize val="0"/>
        </c:dLbls>
        <c:marker val="1"/>
        <c:smooth val="0"/>
        <c:axId val="180129448"/>
        <c:axId val="1"/>
      </c:lineChart>
      <c:catAx>
        <c:axId val="180129448"/>
        <c:scaling>
          <c:orientation val="minMax"/>
        </c:scaling>
        <c:delete val="0"/>
        <c:axPos val="b"/>
        <c:numFmt formatCode="General" sourceLinked="1"/>
        <c:majorTickMark val="out"/>
        <c:minorTickMark val="none"/>
        <c:tickLblPos val="low"/>
        <c:crossAx val="1"/>
        <c:crosses val="autoZero"/>
        <c:auto val="1"/>
        <c:lblAlgn val="ctr"/>
        <c:lblOffset val="100"/>
        <c:noMultiLvlLbl val="0"/>
      </c:catAx>
      <c:valAx>
        <c:axId val="1"/>
        <c:scaling>
          <c:orientation val="minMax"/>
        </c:scaling>
        <c:delete val="0"/>
        <c:axPos val="l"/>
        <c:numFmt formatCode="0.0" sourceLinked="1"/>
        <c:majorTickMark val="out"/>
        <c:minorTickMark val="none"/>
        <c:tickLblPos val="nextTo"/>
        <c:spPr>
          <a:ln>
            <a:noFill/>
          </a:ln>
        </c:spPr>
        <c:crossAx val="180129448"/>
        <c:crosses val="autoZero"/>
        <c:crossBetween val="between"/>
      </c:valAx>
      <c:spPr>
        <a:ln w="6233">
          <a:solidFill>
            <a:sysClr val="window" lastClr="FFFFFF">
              <a:lumMod val="85000"/>
            </a:sysClr>
          </a:solidFill>
        </a:ln>
      </c:spPr>
    </c:plotArea>
    <c:legend>
      <c:legendPos val="r"/>
      <c:layout>
        <c:manualLayout>
          <c:xMode val="edge"/>
          <c:yMode val="edge"/>
          <c:x val="0"/>
          <c:y val="0.77218626823590508"/>
          <c:w val="0.97608379141286583"/>
          <c:h val="0.22781373176409481"/>
        </c:manualLayout>
      </c:layout>
      <c:overlay val="0"/>
      <c:spPr>
        <a:ln>
          <a:noFill/>
        </a:ln>
      </c:spPr>
      <c:txPr>
        <a:bodyPr/>
        <a:lstStyle/>
        <a:p>
          <a:pPr>
            <a:defRPr sz="785"/>
          </a:pPr>
          <a:endParaRPr lang="en-US"/>
        </a:p>
      </c:txPr>
    </c:legend>
    <c:plotVisOnly val="1"/>
    <c:dispBlanksAs val="gap"/>
    <c:showDLblsOverMax val="0"/>
  </c:chart>
  <c:spPr>
    <a:noFill/>
    <a:ln w="9257">
      <a:solidFill>
        <a:sysClr val="windowText" lastClr="000000">
          <a:alpha val="20000"/>
        </a:sysClr>
      </a:solidFill>
    </a:ln>
  </c:spPr>
  <c:txPr>
    <a:bodyPr/>
    <a:lstStyle/>
    <a:p>
      <a:pPr>
        <a:defRPr sz="972">
          <a:ln>
            <a:noFill/>
          </a:ln>
          <a:latin typeface="GHEA Grapalat" panose="02000506050000020003" pitchFamily="50" charset="0"/>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50" b="0"/>
            </a:pPr>
            <a:r>
              <a:rPr lang="hy-AM" sz="950" b="0"/>
              <a:t>Հարկաբյուջետային ազդակը</a:t>
            </a:r>
            <a:endParaRPr lang="en-US" sz="1000" b="0"/>
          </a:p>
        </c:rich>
      </c:tx>
      <c:overlay val="0"/>
      <c:spPr>
        <a:noFill/>
        <a:ln w="24131">
          <a:noFill/>
        </a:ln>
      </c:spPr>
    </c:title>
    <c:autoTitleDeleted val="0"/>
    <c:plotArea>
      <c:layout>
        <c:manualLayout>
          <c:layoutTarget val="inner"/>
          <c:xMode val="edge"/>
          <c:yMode val="edge"/>
          <c:x val="8.9862204724409506E-2"/>
          <c:y val="0.14036310747780731"/>
          <c:w val="0.85071756247860364"/>
          <c:h val="0.57930688600230706"/>
        </c:manualLayout>
      </c:layout>
      <c:barChart>
        <c:barDir val="col"/>
        <c:grouping val="stacked"/>
        <c:varyColors val="0"/>
        <c:ser>
          <c:idx val="0"/>
          <c:order val="0"/>
          <c:tx>
            <c:strRef>
              <c:f>Sheet1!$B$1</c:f>
              <c:strCache>
                <c:ptCount val="1"/>
                <c:pt idx="0">
                  <c:v>Եկամուտների ազդակ</c:v>
                </c:pt>
              </c:strCache>
            </c:strRef>
          </c:tx>
          <c:invertIfNegative val="0"/>
          <c:cat>
            <c:numRef>
              <c:f>Sheet1!$A$2:$A$6</c:f>
              <c:numCache>
                <c:formatCode>General</c:formatCode>
                <c:ptCount val="5"/>
                <c:pt idx="0">
                  <c:v>2018</c:v>
                </c:pt>
                <c:pt idx="1">
                  <c:v>2019</c:v>
                </c:pt>
                <c:pt idx="2">
                  <c:v>2020</c:v>
                </c:pt>
                <c:pt idx="3">
                  <c:v>2021</c:v>
                </c:pt>
                <c:pt idx="4">
                  <c:v>2022</c:v>
                </c:pt>
              </c:numCache>
            </c:numRef>
          </c:cat>
          <c:val>
            <c:numRef>
              <c:f>Sheet1!$B$2:$B$6</c:f>
              <c:numCache>
                <c:formatCode>0.0</c:formatCode>
                <c:ptCount val="5"/>
                <c:pt idx="0">
                  <c:v>-1.2287752256907658</c:v>
                </c:pt>
                <c:pt idx="1">
                  <c:v>-1.1514948662770299</c:v>
                </c:pt>
                <c:pt idx="2">
                  <c:v>0.59026955719524488</c:v>
                </c:pt>
                <c:pt idx="3">
                  <c:v>-0.45268667551633374</c:v>
                </c:pt>
                <c:pt idx="4">
                  <c:v>-0.17963175663897521</c:v>
                </c:pt>
              </c:numCache>
            </c:numRef>
          </c:val>
          <c:extLst>
            <c:ext xmlns:c16="http://schemas.microsoft.com/office/drawing/2014/chart" uri="{C3380CC4-5D6E-409C-BE32-E72D297353CC}">
              <c16:uniqueId val="{00000000-0D71-4DB9-B561-719A04EF26D3}"/>
            </c:ext>
          </c:extLst>
        </c:ser>
        <c:ser>
          <c:idx val="1"/>
          <c:order val="1"/>
          <c:tx>
            <c:strRef>
              <c:f>Sheet1!$C$1</c:f>
              <c:strCache>
                <c:ptCount val="1"/>
                <c:pt idx="0">
                  <c:v>Ծախսերի ազդակ</c:v>
                </c:pt>
              </c:strCache>
            </c:strRef>
          </c:tx>
          <c:spPr>
            <a:pattFill prst="wdUpDiag">
              <a:fgClr>
                <a:srgbClr val="4F81BD"/>
              </a:fgClr>
              <a:bgClr>
                <a:sysClr val="window" lastClr="FFFFFF"/>
              </a:bgClr>
            </a:pattFill>
            <a:ln w="23840"/>
          </c:spPr>
          <c:invertIfNegative val="0"/>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-1.2722711586356965</c:v>
                </c:pt>
                <c:pt idx="1">
                  <c:v>0.74257971977863224</c:v>
                </c:pt>
                <c:pt idx="2">
                  <c:v>3.1060085544722034</c:v>
                </c:pt>
                <c:pt idx="3">
                  <c:v>-1.0659939768855864</c:v>
                </c:pt>
                <c:pt idx="4">
                  <c:v>-1.8753627224034817</c:v>
                </c:pt>
              </c:numCache>
            </c:numRef>
          </c:val>
          <c:extLst>
            <c:ext xmlns:c16="http://schemas.microsoft.com/office/drawing/2014/chart" uri="{C3380CC4-5D6E-409C-BE32-E72D297353CC}">
              <c16:uniqueId val="{00000001-0D71-4DB9-B561-719A04EF26D3}"/>
            </c:ext>
          </c:extLst>
        </c:ser>
        <c:dLbls>
          <c:showLegendKey val="0"/>
          <c:showVal val="0"/>
          <c:showCatName val="0"/>
          <c:showSerName val="0"/>
          <c:showPercent val="0"/>
          <c:showBubbleSize val="0"/>
        </c:dLbls>
        <c:gapWidth val="150"/>
        <c:overlap val="100"/>
        <c:axId val="179162912"/>
        <c:axId val="1"/>
      </c:barChart>
      <c:lineChart>
        <c:grouping val="standard"/>
        <c:varyColors val="0"/>
        <c:ser>
          <c:idx val="2"/>
          <c:order val="2"/>
          <c:tx>
            <c:strRef>
              <c:f>Sheet1!$D$1</c:f>
              <c:strCache>
                <c:ptCount val="1"/>
                <c:pt idx="0">
                  <c:v>Հարկաբյուջետային ազդակ՝ փաստացի</c:v>
                </c:pt>
              </c:strCache>
            </c:strRef>
          </c:tx>
          <c:dLbls>
            <c:dLbl>
              <c:idx val="0"/>
              <c:layout>
                <c:manualLayout>
                  <c:x val="-3.8588237218011301E-2"/>
                  <c:y val="4.4183091763211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71-4DB9-B561-719A04EF26D3}"/>
                </c:ext>
              </c:extLst>
            </c:dLbl>
            <c:dLbl>
              <c:idx val="1"/>
              <c:layout>
                <c:manualLayout>
                  <c:x val="-4.1944959688151304E-2"/>
                  <c:y val="-0.1077484047402005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71-4DB9-B561-719A04EF26D3}"/>
                </c:ext>
              </c:extLst>
            </c:dLbl>
            <c:dLbl>
              <c:idx val="2"/>
              <c:layout>
                <c:manualLayout>
                  <c:x val="-3.5486219448777952E-2"/>
                  <c:y val="-4.3868031854379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71-4DB9-B561-719A04EF26D3}"/>
                </c:ext>
              </c:extLst>
            </c:dLbl>
            <c:dLbl>
              <c:idx val="3"/>
              <c:layout>
                <c:manualLayout>
                  <c:x val="-3.0540060997048268E-2"/>
                  <c:y val="3.9999999999999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71-4DB9-B561-719A04EF26D3}"/>
                </c:ext>
              </c:extLst>
            </c:dLbl>
            <c:dLbl>
              <c:idx val="4"/>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71-4DB9-B561-719A04EF26D3}"/>
                </c:ext>
              </c:extLst>
            </c:dLbl>
            <c:spPr>
              <a:noFill/>
              <a:ln w="24131">
                <a:noFill/>
              </a:ln>
            </c:spPr>
            <c:txPr>
              <a:bodyPr/>
              <a:lstStyle/>
              <a:p>
                <a:pPr>
                  <a:defRPr sz="942"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c:v>-2.5010463843264623</c:v>
                </c:pt>
                <c:pt idx="1">
                  <c:v>-0.40891514649839766</c:v>
                </c:pt>
                <c:pt idx="2">
                  <c:v>3.6962781116674481</c:v>
                </c:pt>
                <c:pt idx="3">
                  <c:v>-1.5186806524019201</c:v>
                </c:pt>
                <c:pt idx="4">
                  <c:v>-2.054994479042457</c:v>
                </c:pt>
              </c:numCache>
            </c:numRef>
          </c:val>
          <c:smooth val="0"/>
          <c:extLst>
            <c:ext xmlns:c16="http://schemas.microsoft.com/office/drawing/2014/chart" uri="{C3380CC4-5D6E-409C-BE32-E72D297353CC}">
              <c16:uniqueId val="{00000007-0D71-4DB9-B561-719A04EF26D3}"/>
            </c:ext>
          </c:extLst>
        </c:ser>
        <c:dLbls>
          <c:showLegendKey val="0"/>
          <c:showVal val="0"/>
          <c:showCatName val="0"/>
          <c:showSerName val="0"/>
          <c:showPercent val="0"/>
          <c:showBubbleSize val="0"/>
        </c:dLbls>
        <c:marker val="1"/>
        <c:smooth val="0"/>
        <c:axId val="179162912"/>
        <c:axId val="1"/>
      </c:lineChart>
      <c:catAx>
        <c:axId val="179162912"/>
        <c:scaling>
          <c:orientation val="minMax"/>
        </c:scaling>
        <c:delete val="0"/>
        <c:axPos val="b"/>
        <c:numFmt formatCode="General" sourceLinked="0"/>
        <c:majorTickMark val="none"/>
        <c:minorTickMark val="none"/>
        <c:tickLblPos val="low"/>
        <c:txPr>
          <a:bodyPr rot="0" vert="horz"/>
          <a:lstStyle/>
          <a:p>
            <a:pPr>
              <a:defRPr sz="941" b="0" i="0" u="none" strike="noStrike" baseline="0">
                <a:solidFill>
                  <a:srgbClr val="000000"/>
                </a:solidFill>
                <a:latin typeface="GHEA Grapalat"/>
                <a:ea typeface="GHEA Grapalat"/>
                <a:cs typeface="GHEA Grapalat"/>
              </a:defRPr>
            </a:pPr>
            <a:endParaRPr lang="en-US"/>
          </a:p>
        </c:txPr>
        <c:crossAx val="1"/>
        <c:crosses val="autoZero"/>
        <c:auto val="1"/>
        <c:lblAlgn val="ctr"/>
        <c:lblOffset val="100"/>
        <c:tickLblSkip val="1"/>
        <c:noMultiLvlLbl val="0"/>
      </c:catAx>
      <c:valAx>
        <c:axId val="1"/>
        <c:scaling>
          <c:orientation val="minMax"/>
        </c:scaling>
        <c:delete val="0"/>
        <c:axPos val="l"/>
        <c:numFmt formatCode="0.0" sourceLinked="1"/>
        <c:majorTickMark val="none"/>
        <c:minorTickMark val="none"/>
        <c:tickLblPos val="nextTo"/>
        <c:spPr>
          <a:ln w="6033"/>
        </c:spPr>
        <c:txPr>
          <a:bodyPr rot="0" vert="horz"/>
          <a:lstStyle/>
          <a:p>
            <a:pPr>
              <a:defRPr sz="936" b="0" i="0" u="none" strike="noStrike" baseline="0">
                <a:solidFill>
                  <a:srgbClr val="000000"/>
                </a:solidFill>
                <a:latin typeface="GHEA Grapalat"/>
                <a:ea typeface="GHEA Grapalat"/>
                <a:cs typeface="GHEA Grapalat"/>
              </a:defRPr>
            </a:pPr>
            <a:endParaRPr lang="en-US"/>
          </a:p>
        </c:txPr>
        <c:crossAx val="179162912"/>
        <c:crosses val="autoZero"/>
        <c:crossBetween val="between"/>
      </c:valAx>
      <c:spPr>
        <a:ln w="6033">
          <a:solidFill>
            <a:sysClr val="window" lastClr="FFFFFF">
              <a:lumMod val="85000"/>
            </a:sysClr>
          </a:solidFill>
        </a:ln>
      </c:spPr>
    </c:plotArea>
    <c:legend>
      <c:legendPos val="r"/>
      <c:layout>
        <c:manualLayout>
          <c:xMode val="edge"/>
          <c:yMode val="edge"/>
          <c:x val="0"/>
          <c:y val="0.82413793103448274"/>
          <c:w val="0.99691358024691357"/>
          <c:h val="0.15517241379310345"/>
        </c:manualLayout>
      </c:layout>
      <c:overlay val="0"/>
      <c:txPr>
        <a:bodyPr/>
        <a:lstStyle/>
        <a:p>
          <a:pPr>
            <a:defRPr sz="752" b="0" i="0" u="none" strike="noStrike" baseline="0">
              <a:solidFill>
                <a:sysClr val="windowText" lastClr="000000"/>
              </a:solidFill>
              <a:latin typeface="GHEA Grapalat"/>
              <a:ea typeface="GHEA Grapalat"/>
              <a:cs typeface="GHEA Grapalat"/>
            </a:defRPr>
          </a:pPr>
          <a:endParaRPr lang="en-US"/>
        </a:p>
      </c:txPr>
    </c:legend>
    <c:plotVisOnly val="1"/>
    <c:dispBlanksAs val="gap"/>
    <c:showDLblsOverMax val="0"/>
  </c:chart>
  <c:spPr>
    <a:noFill/>
    <a:ln w="6033">
      <a:solidFill>
        <a:sysClr val="window" lastClr="FFFFFF">
          <a:lumMod val="85000"/>
        </a:sysClr>
      </a:solidFill>
    </a:ln>
  </c:spPr>
  <c:txPr>
    <a:bodyPr/>
    <a:lstStyle/>
    <a:p>
      <a:pPr>
        <a:defRPr sz="936"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70238095238096"/>
          <c:y val="3.3434455872169082E-2"/>
          <c:w val="0.90870169874599005"/>
          <c:h val="0.7505331797386835"/>
        </c:manualLayout>
      </c:layout>
      <c:barChart>
        <c:barDir val="col"/>
        <c:grouping val="clustered"/>
        <c:varyColors val="0"/>
        <c:ser>
          <c:idx val="0"/>
          <c:order val="0"/>
          <c:tx>
            <c:strRef>
              <c:f>Sheet1!$A$2</c:f>
              <c:strCache>
                <c:ptCount val="1"/>
                <c:pt idx="0">
                  <c:v>Պետական բյուջեի եկամուտներ</c:v>
                </c:pt>
              </c:strCache>
            </c:strRef>
          </c:tx>
          <c:spPr>
            <a:solidFill>
              <a:srgbClr val="8064A2"/>
            </a:solidFill>
            <a:scene3d>
              <a:camera prst="orthographicFront"/>
              <a:lightRig rig="glow" dir="t">
                <a:rot lat="0" lon="0" rev="4800000"/>
              </a:lightRig>
            </a:scene3d>
            <a:sp3d prstMaterial="matte">
              <a:bevelT w="127000" h="63500"/>
            </a:sp3d>
          </c:spPr>
          <c:invertIfNegative val="0"/>
          <c:dPt>
            <c:idx val="0"/>
            <c:invertIfNegative val="0"/>
            <c:bubble3D val="0"/>
            <c:spPr>
              <a:solidFill>
                <a:srgbClr val="8064A2">
                  <a:lumMod val="60000"/>
                  <a:lumOff val="40000"/>
                </a:srgbClr>
              </a:solidFill>
              <a:scene3d>
                <a:camera prst="orthographicFront"/>
                <a:lightRig rig="glow" dir="t">
                  <a:rot lat="0" lon="0" rev="4800000"/>
                </a:lightRig>
              </a:scene3d>
              <a:sp3d prstMaterial="matte">
                <a:bevelT w="127000" h="63500"/>
              </a:sp3d>
            </c:spPr>
            <c:extLst>
              <c:ext xmlns:c16="http://schemas.microsoft.com/office/drawing/2014/chart" uri="{C3380CC4-5D6E-409C-BE32-E72D297353CC}">
                <c16:uniqueId val="{00000000-6408-4C5E-A0C4-F69518075071}"/>
              </c:ext>
            </c:extLst>
          </c:dPt>
          <c:dPt>
            <c:idx val="1"/>
            <c:invertIfNegative val="0"/>
            <c:bubble3D val="0"/>
            <c:spPr>
              <a:solidFill>
                <a:srgbClr val="8064A2">
                  <a:lumMod val="60000"/>
                  <a:lumOff val="40000"/>
                </a:srgbClr>
              </a:solidFill>
              <a:scene3d>
                <a:camera prst="orthographicFront"/>
                <a:lightRig rig="glow" dir="t">
                  <a:rot lat="0" lon="0" rev="4800000"/>
                </a:lightRig>
              </a:scene3d>
              <a:sp3d prstMaterial="matte">
                <a:bevelT w="127000" h="63500"/>
              </a:sp3d>
            </c:spPr>
            <c:extLst>
              <c:ext xmlns:c16="http://schemas.microsoft.com/office/drawing/2014/chart" uri="{C3380CC4-5D6E-409C-BE32-E72D297353CC}">
                <c16:uniqueId val="{00000001-6408-4C5E-A0C4-F69518075071}"/>
              </c:ext>
            </c:extLst>
          </c:dPt>
          <c:dPt>
            <c:idx val="2"/>
            <c:invertIfNegative val="0"/>
            <c:bubble3D val="0"/>
            <c:spPr>
              <a:solidFill>
                <a:srgbClr val="8064A2">
                  <a:lumMod val="60000"/>
                  <a:lumOff val="40000"/>
                </a:srgbClr>
              </a:solidFill>
              <a:scene3d>
                <a:camera prst="orthographicFront"/>
                <a:lightRig rig="glow" dir="t">
                  <a:rot lat="0" lon="0" rev="4800000"/>
                </a:lightRig>
              </a:scene3d>
              <a:sp3d prstMaterial="matte">
                <a:bevelT w="127000" h="63500"/>
              </a:sp3d>
            </c:spPr>
            <c:extLst>
              <c:ext xmlns:c16="http://schemas.microsoft.com/office/drawing/2014/chart" uri="{C3380CC4-5D6E-409C-BE32-E72D297353CC}">
                <c16:uniqueId val="{00000002-6408-4C5E-A0C4-F69518075071}"/>
              </c:ext>
            </c:extLst>
          </c:dPt>
          <c:dLbls>
            <c:dLbl>
              <c:idx val="0"/>
              <c:layout>
                <c:manualLayout>
                  <c:x val="-2.2158225614698778E-2"/>
                  <c:y val="5.2117687773048467E-3"/>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08-4C5E-A0C4-F69518075071}"/>
                </c:ext>
              </c:extLst>
            </c:dLbl>
            <c:dLbl>
              <c:idx val="1"/>
              <c:layout>
                <c:manualLayout>
                  <c:x val="-1.5306122448979612E-2"/>
                  <c:y val="0"/>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08-4C5E-A0C4-F69518075071}"/>
                </c:ext>
              </c:extLst>
            </c:dLbl>
            <c:dLbl>
              <c:idx val="2"/>
              <c:layout>
                <c:manualLayout>
                  <c:x val="-1.0991195678139018E-2"/>
                  <c:y val="3.5884353695765756E-3"/>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08-4C5E-A0C4-F69518075071}"/>
                </c:ext>
              </c:extLst>
            </c:dLbl>
            <c:dLbl>
              <c:idx val="3"/>
              <c:layout>
                <c:manualLayout>
                  <c:x val="-6.9443998071669647E-3"/>
                  <c:y val="1.0423452768729647E-2"/>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08-4C5E-A0C4-F69518075071}"/>
                </c:ext>
              </c:extLst>
            </c:dLbl>
            <c:dLbl>
              <c:idx val="4"/>
              <c:layout>
                <c:manualLayout>
                  <c:x val="-1.700680272108844E-2"/>
                  <c:y val="2.6058631921824131E-3"/>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08-4C5E-A0C4-F69518075071}"/>
                </c:ext>
              </c:extLst>
            </c:dLbl>
            <c:spPr>
              <a:noFill/>
              <a:ln w="25399">
                <a:noFill/>
              </a:ln>
            </c:spPr>
            <c:txPr>
              <a:bodyPr wrap="square" lIns="38100" tIns="19050" rIns="38100" bIns="19050" anchor="ctr">
                <a:spAutoFit/>
              </a:bodyPr>
              <a:lstStyle/>
              <a:p>
                <a:pPr>
                  <a:defRPr sz="1070" b="1" i="0" u="none" strike="noStrike" baseline="0">
                    <a:solidFill>
                      <a:srgbClr val="6666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Sheet1!$B$2:$D$2</c:f>
              <c:numCache>
                <c:formatCode>_(* #,##0.0_);_(* \(#,##0.0\);_(* "-"??_);_(@_)</c:formatCode>
                <c:ptCount val="3"/>
                <c:pt idx="0">
                  <c:v>1560.6552999999999</c:v>
                </c:pt>
                <c:pt idx="1">
                  <c:v>1683.8314631999999</c:v>
                </c:pt>
                <c:pt idx="2">
                  <c:v>2063.0953426000001</c:v>
                </c:pt>
              </c:numCache>
            </c:numRef>
          </c:val>
          <c:extLst>
            <c:ext xmlns:c16="http://schemas.microsoft.com/office/drawing/2014/chart" uri="{C3380CC4-5D6E-409C-BE32-E72D297353CC}">
              <c16:uniqueId val="{00000005-6408-4C5E-A0C4-F69518075071}"/>
            </c:ext>
          </c:extLst>
        </c:ser>
        <c:ser>
          <c:idx val="1"/>
          <c:order val="1"/>
          <c:tx>
            <c:strRef>
              <c:f>Sheet1!$A$3</c:f>
              <c:strCache>
                <c:ptCount val="1"/>
                <c:pt idx="0">
                  <c:v>Հարկեր և տուրքեր</c:v>
                </c:pt>
              </c:strCache>
            </c:strRef>
          </c:tx>
          <c:spPr>
            <a:solidFill>
              <a:srgbClr val="C0504D">
                <a:lumMod val="40000"/>
                <a:lumOff val="60000"/>
              </a:srgbClr>
            </a:solidFill>
            <a:scene3d>
              <a:camera prst="orthographicFront"/>
              <a:lightRig rig="threePt" dir="t"/>
            </a:scene3d>
            <a:sp3d prstMaterial="matte">
              <a:bevelT w="127000" h="63500"/>
            </a:sp3d>
          </c:spPr>
          <c:invertIfNegative val="0"/>
          <c:dLbls>
            <c:dLbl>
              <c:idx val="0"/>
              <c:layout>
                <c:manualLayout>
                  <c:x val="1.1612660964777357E-2"/>
                  <c:y val="1.8816899984430844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08-4C5E-A0C4-F69518075071}"/>
                </c:ext>
              </c:extLst>
            </c:dLbl>
            <c:dLbl>
              <c:idx val="1"/>
              <c:layout>
                <c:manualLayout>
                  <c:x val="8.4605742337922774E-3"/>
                  <c:y val="6.0198409290856307E-3"/>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08-4C5E-A0C4-F69518075071}"/>
                </c:ext>
              </c:extLst>
            </c:dLbl>
            <c:dLbl>
              <c:idx val="2"/>
              <c:layout>
                <c:manualLayout>
                  <c:x val="1.0878526375115521E-2"/>
                  <c:y val="7.3127579150660494E-3"/>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08-4C5E-A0C4-F69518075071}"/>
                </c:ext>
              </c:extLst>
            </c:dLbl>
            <c:dLbl>
              <c:idx val="3"/>
              <c:layout>
                <c:manualLayout>
                  <c:x val="6.6610423697038125E-3"/>
                  <c:y val="-2.8664495114006514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08-4C5E-A0C4-F69518075071}"/>
                </c:ext>
              </c:extLst>
            </c:dLbl>
            <c:dLbl>
              <c:idx val="4"/>
              <c:layout>
                <c:manualLayout>
                  <c:x val="8.0309604156623277E-3"/>
                  <c:y val="2.7897099181820612E-3"/>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408-4C5E-A0C4-F69518075071}"/>
                </c:ext>
              </c:extLst>
            </c:dLbl>
            <c:spPr>
              <a:noFill/>
              <a:ln w="25399">
                <a:noFill/>
              </a:ln>
            </c:spPr>
            <c:txPr>
              <a:bodyPr wrap="square" lIns="38100" tIns="19050" rIns="38100" bIns="19050" anchor="ctr">
                <a:spAutoFit/>
              </a:bodyPr>
              <a:lstStyle/>
              <a:p>
                <a:pPr>
                  <a:defRPr sz="1070" b="1" i="0" u="none" strike="noStrike" baseline="0">
                    <a:solidFill>
                      <a:srgbClr val="993366"/>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Sheet1!$B$3:$D$3</c:f>
              <c:numCache>
                <c:formatCode>_(* #,##0.0_);_(* \(#,##0.0\);_(* "-"??_);_(@_)</c:formatCode>
                <c:ptCount val="3"/>
                <c:pt idx="0">
                  <c:v>1385.2054000000001</c:v>
                </c:pt>
                <c:pt idx="1">
                  <c:v>1586.9001966999999</c:v>
                </c:pt>
                <c:pt idx="2">
                  <c:v>1925.9686770000001</c:v>
                </c:pt>
              </c:numCache>
            </c:numRef>
          </c:val>
          <c:extLst>
            <c:ext xmlns:c16="http://schemas.microsoft.com/office/drawing/2014/chart" uri="{C3380CC4-5D6E-409C-BE32-E72D297353CC}">
              <c16:uniqueId val="{0000000B-6408-4C5E-A0C4-F69518075071}"/>
            </c:ext>
          </c:extLst>
        </c:ser>
        <c:dLbls>
          <c:showLegendKey val="0"/>
          <c:showVal val="0"/>
          <c:showCatName val="0"/>
          <c:showSerName val="0"/>
          <c:showPercent val="0"/>
          <c:showBubbleSize val="0"/>
        </c:dLbls>
        <c:gapWidth val="150"/>
        <c:axId val="177920112"/>
        <c:axId val="1"/>
      </c:barChart>
      <c:lineChart>
        <c:grouping val="standard"/>
        <c:varyColors val="0"/>
        <c:ser>
          <c:idx val="2"/>
          <c:order val="2"/>
          <c:tx>
            <c:strRef>
              <c:f>Sheet1!$A$4</c:f>
              <c:strCache>
                <c:ptCount val="1"/>
                <c:pt idx="0">
                  <c:v>Եկամուտներ / ՀՆԱ</c:v>
                </c:pt>
              </c:strCache>
            </c:strRef>
          </c:tx>
          <c:spPr>
            <a:ln>
              <a:solidFill>
                <a:schemeClr val="tx2"/>
              </a:solidFill>
            </a:ln>
          </c:spPr>
          <c:marker>
            <c:spPr>
              <a:solidFill>
                <a:schemeClr val="tx2"/>
              </a:solidFill>
              <a:ln>
                <a:solidFill>
                  <a:schemeClr val="tx2"/>
                </a:solidFill>
              </a:ln>
            </c:spPr>
          </c:marker>
          <c:dLbls>
            <c:dLbl>
              <c:idx val="0"/>
              <c:layout>
                <c:manualLayout>
                  <c:x val="-3.349454344522728E-2"/>
                  <c:y val="-3.7272142452781681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408-4C5E-A0C4-F69518075071}"/>
                </c:ext>
              </c:extLst>
            </c:dLbl>
            <c:dLbl>
              <c:idx val="1"/>
              <c:layout>
                <c:manualLayout>
                  <c:x val="-4.9148611557077997E-2"/>
                  <c:y val="-4.027195204161671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408-4C5E-A0C4-F69518075071}"/>
                </c:ext>
              </c:extLst>
            </c:dLbl>
            <c:dLbl>
              <c:idx val="2"/>
              <c:layout>
                <c:manualLayout>
                  <c:x val="-3.9383892802873381E-3"/>
                  <c:y val="-3.5328083989501283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408-4C5E-A0C4-F69518075071}"/>
                </c:ext>
              </c:extLst>
            </c:dLbl>
            <c:dLbl>
              <c:idx val="3"/>
              <c:layout>
                <c:manualLayout>
                  <c:x val="2.3809523809523815E-2"/>
                  <c:y val="1.8241042345276882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408-4C5E-A0C4-F69518075071}"/>
                </c:ext>
              </c:extLst>
            </c:dLbl>
            <c:dLbl>
              <c:idx val="4"/>
              <c:layout>
                <c:manualLayout>
                  <c:x val="1.1290642241148429E-2"/>
                  <c:y val="5.7622406319731692E-3"/>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408-4C5E-A0C4-F69518075071}"/>
                </c:ext>
              </c:extLst>
            </c:dLbl>
            <c:spPr>
              <a:noFill/>
              <a:ln w="25399">
                <a:noFill/>
              </a:ln>
            </c:spPr>
            <c:txPr>
              <a:bodyPr wrap="square" lIns="38100" tIns="19050" rIns="38100" bIns="19050" anchor="ctr">
                <a:spAutoFit/>
              </a:bodyPr>
              <a:lstStyle/>
              <a:p>
                <a:pPr>
                  <a:defRPr sz="107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Sheet1!$B$4:$D$4</c:f>
              <c:numCache>
                <c:formatCode>0.0%</c:formatCode>
                <c:ptCount val="3"/>
                <c:pt idx="0">
                  <c:v>0.252</c:v>
                </c:pt>
                <c:pt idx="1">
                  <c:v>0.24099999999999999</c:v>
                </c:pt>
                <c:pt idx="2">
                  <c:v>0.24299999999999999</c:v>
                </c:pt>
              </c:numCache>
            </c:numRef>
          </c:val>
          <c:smooth val="0"/>
          <c:extLst>
            <c:ext xmlns:c16="http://schemas.microsoft.com/office/drawing/2014/chart" uri="{C3380CC4-5D6E-409C-BE32-E72D297353CC}">
              <c16:uniqueId val="{00000011-6408-4C5E-A0C4-F69518075071}"/>
            </c:ext>
          </c:extLst>
        </c:ser>
        <c:ser>
          <c:idx val="3"/>
          <c:order val="3"/>
          <c:tx>
            <c:strRef>
              <c:f>Sheet1!$A$5</c:f>
              <c:strCache>
                <c:ptCount val="1"/>
                <c:pt idx="0">
                  <c:v>Հարկեր / ՀՆԱ</c:v>
                </c:pt>
              </c:strCache>
            </c:strRef>
          </c:tx>
          <c:spPr>
            <a:ln>
              <a:solidFill>
                <a:srgbClr val="C0504D"/>
              </a:solidFill>
            </a:ln>
          </c:spPr>
          <c:marker>
            <c:symbol val="diamond"/>
            <c:size val="5"/>
            <c:spPr>
              <a:solidFill>
                <a:srgbClr val="C0504D"/>
              </a:solidFill>
              <a:ln>
                <a:solidFill>
                  <a:srgbClr val="C0504D"/>
                </a:solidFill>
              </a:ln>
            </c:spPr>
          </c:marker>
          <c:dLbls>
            <c:dLbl>
              <c:idx val="0"/>
              <c:layout>
                <c:manualLayout>
                  <c:x val="-4.287166735736981E-2"/>
                  <c:y val="3.2976686737687194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408-4C5E-A0C4-F69518075071}"/>
                </c:ext>
              </c:extLst>
            </c:dLbl>
            <c:dLbl>
              <c:idx val="1"/>
              <c:layout>
                <c:manualLayout>
                  <c:x val="-4.6285951098217967E-2"/>
                  <c:y val="4.1055529823477953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408-4C5E-A0C4-F69518075071}"/>
                </c:ext>
              </c:extLst>
            </c:dLbl>
            <c:dLbl>
              <c:idx val="2"/>
              <c:layout>
                <c:manualLayout>
                  <c:x val="-3.397734493714602E-2"/>
                  <c:y val="4.2938860583603515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408-4C5E-A0C4-F69518075071}"/>
                </c:ext>
              </c:extLst>
            </c:dLbl>
            <c:dLbl>
              <c:idx val="3"/>
              <c:layout>
                <c:manualLayout>
                  <c:x val="-3.288004178049176E-2"/>
                  <c:y val="2.2167893508425577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408-4C5E-A0C4-F69518075071}"/>
                </c:ext>
              </c:extLst>
            </c:dLbl>
            <c:dLbl>
              <c:idx val="4"/>
              <c:layout>
                <c:manualLayout>
                  <c:x val="1.1337913118003104E-2"/>
                  <c:y val="-1.2258842237554178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408-4C5E-A0C4-F69518075071}"/>
                </c:ext>
              </c:extLst>
            </c:dLbl>
            <c:spPr>
              <a:noFill/>
              <a:ln w="25399">
                <a:noFill/>
              </a:ln>
            </c:spPr>
            <c:txPr>
              <a:bodyPr wrap="square" lIns="38100" tIns="19050" rIns="38100" bIns="19050" anchor="ctr">
                <a:spAutoFit/>
              </a:bodyPr>
              <a:lstStyle/>
              <a:p>
                <a:pPr>
                  <a:defRPr sz="1070" b="1" i="0" u="none" strike="noStrike" baseline="0">
                    <a:solidFill>
                      <a:srgbClr val="993366"/>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Sheet1!$B$5:$D$5</c:f>
              <c:numCache>
                <c:formatCode>0.0%</c:formatCode>
                <c:ptCount val="3"/>
                <c:pt idx="0">
                  <c:v>0.224</c:v>
                </c:pt>
                <c:pt idx="1">
                  <c:v>0.22700000000000001</c:v>
                </c:pt>
                <c:pt idx="2">
                  <c:v>0.22700000000000001</c:v>
                </c:pt>
              </c:numCache>
            </c:numRef>
          </c:val>
          <c:smooth val="0"/>
          <c:extLst>
            <c:ext xmlns:c16="http://schemas.microsoft.com/office/drawing/2014/chart" uri="{C3380CC4-5D6E-409C-BE32-E72D297353CC}">
              <c16:uniqueId val="{00000017-6408-4C5E-A0C4-F69518075071}"/>
            </c:ext>
          </c:extLst>
        </c:ser>
        <c:dLbls>
          <c:showLegendKey val="0"/>
          <c:showVal val="0"/>
          <c:showCatName val="0"/>
          <c:showSerName val="0"/>
          <c:showPercent val="0"/>
          <c:showBubbleSize val="0"/>
        </c:dLbls>
        <c:marker val="1"/>
        <c:smooth val="0"/>
        <c:axId val="3"/>
        <c:axId val="4"/>
      </c:lineChart>
      <c:catAx>
        <c:axId val="177920112"/>
        <c:scaling>
          <c:orientation val="minMax"/>
        </c:scaling>
        <c:delete val="0"/>
        <c:axPos val="b"/>
        <c:numFmt formatCode="General" sourceLinked="0"/>
        <c:majorTickMark val="out"/>
        <c:minorTickMark val="none"/>
        <c:tickLblPos val="nextTo"/>
        <c:txPr>
          <a:bodyPr rot="0" vert="horz"/>
          <a:lstStyle/>
          <a:p>
            <a:pPr>
              <a:defRPr sz="1070" b="1" i="0" u="none" strike="noStrike" baseline="0">
                <a:solidFill>
                  <a:srgbClr val="333399"/>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max val="2400"/>
          <c:min val="0"/>
        </c:scaling>
        <c:delete val="0"/>
        <c:axPos val="l"/>
        <c:majorGridlines/>
        <c:numFmt formatCode="_(* #,##0.0_);_(* \(#,##0.0\);_(* &quot;-&quot;??_);_(@_)" sourceLinked="1"/>
        <c:majorTickMark val="out"/>
        <c:minorTickMark val="none"/>
        <c:tickLblPos val="nextTo"/>
        <c:txPr>
          <a:bodyPr rot="0" vert="horz"/>
          <a:lstStyle/>
          <a:p>
            <a:pPr>
              <a:defRPr sz="1070" b="1" i="0" u="none" strike="noStrike" baseline="0">
                <a:solidFill>
                  <a:srgbClr val="333399"/>
                </a:solidFill>
                <a:latin typeface="GHEA Grapalat"/>
                <a:ea typeface="GHEA Grapalat"/>
                <a:cs typeface="GHEA Grapalat"/>
              </a:defRPr>
            </a:pPr>
            <a:endParaRPr lang="en-US"/>
          </a:p>
        </c:txPr>
        <c:crossAx val="177920112"/>
        <c:crosses val="autoZero"/>
        <c:crossBetween val="between"/>
        <c:majorUnit val="4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0.4"/>
          <c:min val="0"/>
        </c:scaling>
        <c:delete val="0"/>
        <c:axPos val="r"/>
        <c:numFmt formatCode="0.0%" sourceLinked="1"/>
        <c:majorTickMark val="out"/>
        <c:minorTickMark val="none"/>
        <c:tickLblPos val="nextTo"/>
        <c:txPr>
          <a:bodyPr rot="0" vert="horz"/>
          <a:lstStyle/>
          <a:p>
            <a:pPr>
              <a:defRPr sz="1070" b="1" i="0" u="none" strike="noStrike" baseline="0">
                <a:solidFill>
                  <a:srgbClr val="333399"/>
                </a:solidFill>
                <a:latin typeface="GHEA Grapalat"/>
                <a:ea typeface="GHEA Grapalat"/>
                <a:cs typeface="GHEA Grapalat"/>
              </a:defRPr>
            </a:pPr>
            <a:endParaRPr lang="en-US"/>
          </a:p>
        </c:txPr>
        <c:crossAx val="3"/>
        <c:crosses val="max"/>
        <c:crossBetween val="between"/>
        <c:majorUnit val="8.0000000000000043E-2"/>
      </c:valAx>
    </c:plotArea>
    <c:legend>
      <c:legendPos val="r"/>
      <c:layout>
        <c:manualLayout>
          <c:xMode val="edge"/>
          <c:yMode val="edge"/>
          <c:x val="1.9736842105263157E-2"/>
          <c:y val="0.87979539641943738"/>
          <c:w val="0.98026315789473684"/>
          <c:h val="0.11764705882352941"/>
        </c:manualLayout>
      </c:layout>
      <c:overlay val="0"/>
      <c:txPr>
        <a:bodyPr/>
        <a:lstStyle/>
        <a:p>
          <a:pPr>
            <a:defRPr sz="905" b="1" i="0" u="none" strike="noStrike" baseline="0">
              <a:solidFill>
                <a:srgbClr val="333399"/>
              </a:solidFill>
              <a:latin typeface="GHEA Grapalat"/>
              <a:ea typeface="GHEA Grapalat"/>
              <a:cs typeface="GHEA Grapalat"/>
            </a:defRPr>
          </a:pPr>
          <a:endParaRPr lang="en-US"/>
        </a:p>
      </c:txPr>
    </c:legend>
    <c:plotVisOnly val="1"/>
    <c:dispBlanksAs val="gap"/>
    <c:showDLblsOverMax val="0"/>
  </c:chart>
  <c:txPr>
    <a:bodyPr/>
    <a:lstStyle/>
    <a:p>
      <a:pPr>
        <a:defRPr sz="107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view3D>
      <c:rotX val="10"/>
      <c:rotY val="20"/>
      <c:depthPercent val="100"/>
      <c:rAngAx val="1"/>
    </c:view3D>
    <c:floor>
      <c:thickness val="0"/>
    </c:floor>
    <c:sideWall>
      <c:thickness val="0"/>
    </c:sideWall>
    <c:backWall>
      <c:thickness val="0"/>
    </c:backWall>
    <c:plotArea>
      <c:layout>
        <c:manualLayout>
          <c:layoutTarget val="inner"/>
          <c:xMode val="edge"/>
          <c:yMode val="edge"/>
          <c:x val="7.7508307840566323E-2"/>
          <c:y val="2.8617582136062868E-2"/>
          <c:w val="0.8829606441961837"/>
          <c:h val="0.75064283123146192"/>
        </c:manualLayout>
      </c:layout>
      <c:bar3DChart>
        <c:barDir val="col"/>
        <c:grouping val="percentStacked"/>
        <c:varyColors val="0"/>
        <c:ser>
          <c:idx val="1"/>
          <c:order val="0"/>
          <c:tx>
            <c:strRef>
              <c:f>Sheet1!$A$2</c:f>
              <c:strCache>
                <c:ptCount val="1"/>
                <c:pt idx="0">
                  <c:v>Հարկեր և տուրքեր</c:v>
                </c:pt>
              </c:strCache>
            </c:strRef>
          </c:tx>
          <c:spPr>
            <a:solidFill>
              <a:schemeClr val="tx2">
                <a:lumMod val="40000"/>
                <a:lumOff val="60000"/>
              </a:schemeClr>
            </a:solidFill>
          </c:spPr>
          <c:invertIfNegative val="0"/>
          <c:dPt>
            <c:idx val="0"/>
            <c:invertIfNegative val="0"/>
            <c:bubble3D val="0"/>
            <c:extLst>
              <c:ext xmlns:c16="http://schemas.microsoft.com/office/drawing/2014/chart" uri="{C3380CC4-5D6E-409C-BE32-E72D297353CC}">
                <c16:uniqueId val="{00000000-25AC-45DB-BC33-309F009BE417}"/>
              </c:ext>
            </c:extLst>
          </c:dPt>
          <c:dPt>
            <c:idx val="1"/>
            <c:invertIfNegative val="0"/>
            <c:bubble3D val="0"/>
            <c:extLst>
              <c:ext xmlns:c16="http://schemas.microsoft.com/office/drawing/2014/chart" uri="{C3380CC4-5D6E-409C-BE32-E72D297353CC}">
                <c16:uniqueId val="{00000001-25AC-45DB-BC33-309F009BE417}"/>
              </c:ext>
            </c:extLst>
          </c:dPt>
          <c:dPt>
            <c:idx val="2"/>
            <c:invertIfNegative val="0"/>
            <c:bubble3D val="0"/>
            <c:extLst>
              <c:ext xmlns:c16="http://schemas.microsoft.com/office/drawing/2014/chart" uri="{C3380CC4-5D6E-409C-BE32-E72D297353CC}">
                <c16:uniqueId val="{00000002-25AC-45DB-BC33-309F009BE417}"/>
              </c:ext>
            </c:extLst>
          </c:dPt>
          <c:dLbls>
            <c:numFmt formatCode="0.0%" sourceLinked="0"/>
            <c:spPr>
              <a:noFill/>
              <a:ln w="24369">
                <a:noFill/>
              </a:ln>
            </c:spPr>
            <c:txPr>
              <a:bodyPr/>
              <a:lstStyle/>
              <a:p>
                <a:pPr>
                  <a:defRPr b="1" baseline="0">
                    <a:solidFill>
                      <a:sysClr val="windowText" lastClr="000000"/>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Sheet1!$E$1:$G$1</c:f>
              <c:strCache>
                <c:ptCount val="3"/>
                <c:pt idx="0">
                  <c:v>2021թ.
փաստ</c:v>
                </c:pt>
                <c:pt idx="1">
                  <c:v>2022թ. 
ճշտված պլան</c:v>
                </c:pt>
                <c:pt idx="2">
                  <c:v>2022թ. 
փաստ</c:v>
                </c:pt>
              </c:strCache>
            </c:strRef>
          </c:cat>
          <c:val>
            <c:numRef>
              <c:f>Sheet1!$E$2:$G$2</c:f>
              <c:numCache>
                <c:formatCode>0.00%</c:formatCode>
                <c:ptCount val="3"/>
                <c:pt idx="0">
                  <c:v>0.94243410423286123</c:v>
                </c:pt>
                <c:pt idx="1">
                  <c:v>0.93530332901219226</c:v>
                </c:pt>
                <c:pt idx="2">
                  <c:v>0.93353352956185387</c:v>
                </c:pt>
              </c:numCache>
            </c:numRef>
          </c:val>
          <c:extLst>
            <c:ext xmlns:c16="http://schemas.microsoft.com/office/drawing/2014/chart" uri="{C3380CC4-5D6E-409C-BE32-E72D297353CC}">
              <c16:uniqueId val="{00000003-25AC-45DB-BC33-309F009BE417}"/>
            </c:ext>
          </c:extLst>
        </c:ser>
        <c:ser>
          <c:idx val="0"/>
          <c:order val="1"/>
          <c:tx>
            <c:strRef>
              <c:f>Sheet1!$A$3</c:f>
              <c:strCache>
                <c:ptCount val="1"/>
                <c:pt idx="0">
                  <c:v>Այլ եկամուտներ</c:v>
                </c:pt>
              </c:strCache>
            </c:strRef>
          </c:tx>
          <c:spPr>
            <a:solidFill>
              <a:schemeClr val="accent6">
                <a:lumMod val="60000"/>
                <a:lumOff val="40000"/>
              </a:schemeClr>
            </a:solidFill>
          </c:spPr>
          <c:invertIfNegative val="0"/>
          <c:dLbls>
            <c:numFmt formatCode="0.0%" sourceLinked="0"/>
            <c:spPr>
              <a:noFill/>
              <a:ln w="24369">
                <a:noFill/>
              </a:ln>
            </c:spPr>
            <c:txPr>
              <a:bodyPr/>
              <a:lstStyle/>
              <a:p>
                <a:pPr>
                  <a:defRPr b="1" baseline="0">
                    <a:solidFill>
                      <a:sysClr val="windowText" lastClr="000000"/>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Sheet1!$E$1:$G$1</c:f>
              <c:strCache>
                <c:ptCount val="3"/>
                <c:pt idx="0">
                  <c:v>2021թ.
փաստ</c:v>
                </c:pt>
                <c:pt idx="1">
                  <c:v>2022թ. 
ճշտված պլան</c:v>
                </c:pt>
                <c:pt idx="2">
                  <c:v>2022թ. 
փաստ</c:v>
                </c:pt>
              </c:strCache>
            </c:strRef>
          </c:cat>
          <c:val>
            <c:numRef>
              <c:f>Sheet1!$E$3:$G$3</c:f>
              <c:numCache>
                <c:formatCode>0.00%</c:formatCode>
                <c:ptCount val="3"/>
                <c:pt idx="0">
                  <c:v>5.0213108881644278E-2</c:v>
                </c:pt>
                <c:pt idx="1">
                  <c:v>5.5040370353987643E-2</c:v>
                </c:pt>
                <c:pt idx="2">
                  <c:v>5.9200448073368647E-2</c:v>
                </c:pt>
              </c:numCache>
            </c:numRef>
          </c:val>
          <c:extLst>
            <c:ext xmlns:c16="http://schemas.microsoft.com/office/drawing/2014/chart" uri="{C3380CC4-5D6E-409C-BE32-E72D297353CC}">
              <c16:uniqueId val="{00000004-25AC-45DB-BC33-309F009BE417}"/>
            </c:ext>
          </c:extLst>
        </c:ser>
        <c:ser>
          <c:idx val="2"/>
          <c:order val="2"/>
          <c:tx>
            <c:strRef>
              <c:f>Sheet1!$A$4</c:f>
              <c:strCache>
                <c:ptCount val="1"/>
                <c:pt idx="0">
                  <c:v>Պաշտոնական դրամաշնորհներ</c:v>
                </c:pt>
              </c:strCache>
            </c:strRef>
          </c:tx>
          <c:spPr>
            <a:solidFill>
              <a:schemeClr val="accent3">
                <a:lumMod val="60000"/>
                <a:lumOff val="40000"/>
              </a:schemeClr>
            </a:solidFill>
          </c:spPr>
          <c:invertIfNegative val="0"/>
          <c:dLbls>
            <c:dLbl>
              <c:idx val="0"/>
              <c:layout>
                <c:manualLayout>
                  <c:x val="3.8437880540067568E-2"/>
                  <c:y val="-4.5150758594200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AC-45DB-BC33-309F009BE417}"/>
                </c:ext>
              </c:extLst>
            </c:dLbl>
            <c:dLbl>
              <c:idx val="1"/>
              <c:layout>
                <c:manualLayout>
                  <c:x val="4.4416438082549033E-2"/>
                  <c:y val="-4.3843490600260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AC-45DB-BC33-309F009BE417}"/>
                </c:ext>
              </c:extLst>
            </c:dLbl>
            <c:dLbl>
              <c:idx val="2"/>
              <c:layout>
                <c:manualLayout>
                  <c:x val="3.6035524827999196E-2"/>
                  <c:y val="-4.69757591276700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AC-45DB-BC33-309F009BE417}"/>
                </c:ext>
              </c:extLst>
            </c:dLbl>
            <c:numFmt formatCode="0.0%" sourceLinked="0"/>
            <c:spPr>
              <a:noFill/>
              <a:ln w="24369">
                <a:noFill/>
              </a:ln>
            </c:spPr>
            <c:txPr>
              <a:bodyPr/>
              <a:lstStyle/>
              <a:p>
                <a:pPr>
                  <a:defRPr b="1">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Sheet1!$E$1:$G$1</c:f>
              <c:strCache>
                <c:ptCount val="3"/>
                <c:pt idx="0">
                  <c:v>2021թ.
փաստ</c:v>
                </c:pt>
                <c:pt idx="1">
                  <c:v>2022թ. 
ճշտված պլան</c:v>
                </c:pt>
                <c:pt idx="2">
                  <c:v>2022թ. 
փաստ</c:v>
                </c:pt>
              </c:strCache>
            </c:strRef>
          </c:cat>
          <c:val>
            <c:numRef>
              <c:f>Sheet1!$E$4:$G$4</c:f>
              <c:numCache>
                <c:formatCode>0.00%</c:formatCode>
                <c:ptCount val="3"/>
                <c:pt idx="0">
                  <c:v>7.3527868854945154E-3</c:v>
                </c:pt>
                <c:pt idx="1">
                  <c:v>9.6563006338201435E-3</c:v>
                </c:pt>
                <c:pt idx="2">
                  <c:v>7.2660223647775498E-3</c:v>
                </c:pt>
              </c:numCache>
            </c:numRef>
          </c:val>
          <c:extLst>
            <c:ext xmlns:c16="http://schemas.microsoft.com/office/drawing/2014/chart" uri="{C3380CC4-5D6E-409C-BE32-E72D297353CC}">
              <c16:uniqueId val="{00000008-25AC-45DB-BC33-309F009BE417}"/>
            </c:ext>
          </c:extLst>
        </c:ser>
        <c:dLbls>
          <c:showLegendKey val="0"/>
          <c:showVal val="0"/>
          <c:showCatName val="0"/>
          <c:showSerName val="0"/>
          <c:showPercent val="0"/>
          <c:showBubbleSize val="0"/>
        </c:dLbls>
        <c:gapWidth val="133"/>
        <c:gapDepth val="165"/>
        <c:shape val="box"/>
        <c:axId val="179954704"/>
        <c:axId val="1"/>
        <c:axId val="0"/>
      </c:bar3DChart>
      <c:catAx>
        <c:axId val="179954704"/>
        <c:scaling>
          <c:orientation val="minMax"/>
        </c:scaling>
        <c:delete val="0"/>
        <c:axPos val="b"/>
        <c:numFmt formatCode="General" sourceLinked="0"/>
        <c:majorTickMark val="out"/>
        <c:minorTickMark val="none"/>
        <c:tickLblPos val="nextTo"/>
        <c:spPr>
          <a:effectLst>
            <a:glow>
              <a:schemeClr val="accent1">
                <a:alpha val="40000"/>
              </a:schemeClr>
            </a:glow>
            <a:softEdge rad="0"/>
          </a:effectLst>
        </c:spPr>
        <c:txPr>
          <a:bodyPr/>
          <a:lstStyle/>
          <a:p>
            <a:pPr>
              <a:defRPr b="1" i="0" baseline="0">
                <a:latin typeface="GHEA Grapalat" pitchFamily="50" charset="0"/>
              </a:defRPr>
            </a:pPr>
            <a:endParaRPr lang="en-US"/>
          </a:p>
        </c:txPr>
        <c:crossAx val="1"/>
        <c:crosses val="autoZero"/>
        <c:auto val="1"/>
        <c:lblAlgn val="ctr"/>
        <c:lblOffset val="100"/>
        <c:noMultiLvlLbl val="0"/>
      </c:catAx>
      <c:valAx>
        <c:axId val="1"/>
        <c:scaling>
          <c:orientation val="minMax"/>
          <c:max val="1"/>
          <c:min val="0"/>
        </c:scaling>
        <c:delete val="0"/>
        <c:axPos val="l"/>
        <c:majorGridlines/>
        <c:numFmt formatCode="0.0%" sourceLinked="0"/>
        <c:majorTickMark val="out"/>
        <c:minorTickMark val="none"/>
        <c:tickLblPos val="nextTo"/>
        <c:txPr>
          <a:bodyPr/>
          <a:lstStyle/>
          <a:p>
            <a:pPr>
              <a:defRPr b="1" i="0" baseline="0">
                <a:latin typeface="GHEA Grapalat" pitchFamily="50" charset="0"/>
              </a:defRPr>
            </a:pPr>
            <a:endParaRPr lang="en-US"/>
          </a:p>
        </c:txPr>
        <c:crossAx val="179954704"/>
        <c:crosses val="autoZero"/>
        <c:crossBetween val="between"/>
        <c:majorUnit val="0.2"/>
      </c:valAx>
      <c:spPr>
        <a:noFill/>
        <a:ln w="24369">
          <a:noFill/>
        </a:ln>
      </c:spPr>
    </c:plotArea>
    <c:legend>
      <c:legendPos val="b"/>
      <c:overlay val="0"/>
      <c:txPr>
        <a:bodyPr/>
        <a:lstStyle/>
        <a:p>
          <a:pPr>
            <a:defRPr b="1" i="0" baseline="0">
              <a:latin typeface="GHEA Grapalat" pitchFamily="50" charset="0"/>
            </a:defRPr>
          </a:pPr>
          <a:endParaRPr lang="en-US"/>
        </a:p>
      </c:txPr>
    </c:legend>
    <c:plotVisOnly val="1"/>
    <c:dispBlanksAs val="zero"/>
    <c:showDLblsOverMax val="0"/>
  </c:chart>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92511204326468"/>
          <c:y val="2.2796468623240276E-2"/>
          <c:w val="0.58313496076039373"/>
          <c:h val="0.85087200090877035"/>
        </c:manualLayout>
      </c:layout>
      <c:barChart>
        <c:barDir val="bar"/>
        <c:grouping val="clustered"/>
        <c:varyColors val="0"/>
        <c:ser>
          <c:idx val="0"/>
          <c:order val="0"/>
          <c:tx>
            <c:strRef>
              <c:f>Sheet1!$B$1</c:f>
              <c:strCache>
                <c:ptCount val="1"/>
                <c:pt idx="0">
                  <c:v>2022թ. տարեկան ճշտված պլան</c:v>
                </c:pt>
              </c:strCache>
            </c:strRef>
          </c:tx>
          <c:spPr>
            <a:solidFill>
              <a:schemeClr val="accent3"/>
            </a:solidFill>
          </c:spPr>
          <c:invertIfNegative val="0"/>
          <c:dLbls>
            <c:dLbl>
              <c:idx val="10"/>
              <c:layout>
                <c:manualLayout>
                  <c:x val="1.9486961994900247E-3"/>
                  <c:y val="-1.8496098269915747E-3"/>
                </c:manualLayout>
              </c:layout>
              <c:numFmt formatCode="#,##0.0" sourceLinked="0"/>
              <c:spPr>
                <a:noFill/>
                <a:ln w="25429">
                  <a:noFill/>
                </a:ln>
              </c:spPr>
              <c:txPr>
                <a:bodyPr/>
                <a:lstStyle/>
                <a:p>
                  <a:pPr>
                    <a:defRPr sz="801" b="0"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29-47D4-824E-66C6CE718941}"/>
                </c:ext>
              </c:extLst>
            </c:dLbl>
            <c:dLbl>
              <c:idx val="11"/>
              <c:layout>
                <c:manualLayout>
                  <c:x val="0"/>
                  <c:y val="8.9525514771709933E-3"/>
                </c:manualLayout>
              </c:layout>
              <c:numFmt formatCode="#,##0.0" sourceLinked="0"/>
              <c:spPr>
                <a:noFill/>
                <a:ln w="25429">
                  <a:noFill/>
                </a:ln>
              </c:spPr>
              <c:txPr>
                <a:bodyPr/>
                <a:lstStyle/>
                <a:p>
                  <a:pPr>
                    <a:defRPr sz="801" b="0"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29-47D4-824E-66C6CE718941}"/>
                </c:ext>
              </c:extLst>
            </c:dLbl>
            <c:dLbl>
              <c:idx val="12"/>
              <c:layout>
                <c:manualLayout>
                  <c:x val="-5.891173784678681E-3"/>
                  <c:y val="3.1895154849721666E-3"/>
                </c:manualLayout>
              </c:layout>
              <c:numFmt formatCode="#,##0.0" sourceLinked="0"/>
              <c:spPr>
                <a:noFill/>
                <a:ln w="25429">
                  <a:noFill/>
                </a:ln>
              </c:spPr>
              <c:txPr>
                <a:bodyPr/>
                <a:lstStyle/>
                <a:p>
                  <a:pPr>
                    <a:defRPr sz="801" b="0"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29-47D4-824E-66C6CE718941}"/>
                </c:ext>
              </c:extLst>
            </c:dLbl>
            <c:numFmt formatCode="#,##0.0" sourceLinked="0"/>
            <c:spPr>
              <a:noFill/>
              <a:ln w="25429">
                <a:noFill/>
              </a:ln>
            </c:spPr>
            <c:txPr>
              <a:bodyPr wrap="square" lIns="38100" tIns="19050" rIns="38100" bIns="19050" anchor="ctr">
                <a:spAutoFit/>
              </a:bodyPr>
              <a:lstStyle/>
              <a:p>
                <a:pPr>
                  <a:defRPr sz="801"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ԱՄՆ</c:v>
                </c:pt>
                <c:pt idx="1">
                  <c:v>Արևելյան Եվրոպայի էներգախնայողության
 և շրջակա միջավայրի գործընկերության հիմնադրամ</c:v>
                </c:pt>
                <c:pt idx="2">
                  <c:v>Գերմանիա</c:v>
                </c:pt>
                <c:pt idx="3">
                  <c:v>Գերմանիայի զարգացման և Եվրոպական 
միության հարևանության ներդրումային բանկ</c:v>
                </c:pt>
                <c:pt idx="4">
                  <c:v>Գլոբալ էկոլոգիական հիմնադրամ</c:v>
                </c:pt>
                <c:pt idx="5">
                  <c:v>Գլոբալ հիմնադրամ</c:v>
                </c:pt>
                <c:pt idx="6">
                  <c:v>Գյուղատնտեսության զարգացման
 միջազգային հիմնադրամ</c:v>
                </c:pt>
                <c:pt idx="7">
                  <c:v>ԵՄ</c:v>
                </c:pt>
                <c:pt idx="8">
                  <c:v>Եվրասիական զարգացման բանկ</c:v>
                </c:pt>
                <c:pt idx="9">
                  <c:v>Համաշխարհային բանկ</c:v>
                </c:pt>
                <c:pt idx="10">
                  <c:v>ՄԱԿ</c:v>
                </c:pt>
                <c:pt idx="11">
                  <c:v>ՎԶԵԲ</c:v>
                </c:pt>
                <c:pt idx="12">
                  <c:v>Ֆրանսիա</c:v>
                </c:pt>
              </c:strCache>
            </c:strRef>
          </c:cat>
          <c:val>
            <c:numRef>
              <c:f>Sheet1!$B$2:$B$14</c:f>
              <c:numCache>
                <c:formatCode>_(* #,##0.0_);_(* \(#,##0.0\);_(* "-"??_);_(@_)</c:formatCode>
                <c:ptCount val="13"/>
                <c:pt idx="0">
                  <c:v>941.4915000000002</c:v>
                </c:pt>
                <c:pt idx="1">
                  <c:v>575.17899999999997</c:v>
                </c:pt>
                <c:pt idx="2">
                  <c:v>2037.2248999999999</c:v>
                </c:pt>
                <c:pt idx="3">
                  <c:v>8.8643999999999998</c:v>
                </c:pt>
                <c:pt idx="4">
                  <c:v>954.9301999999999</c:v>
                </c:pt>
                <c:pt idx="5">
                  <c:v>4004.8984999999998</c:v>
                </c:pt>
                <c:pt idx="6">
                  <c:v>23.299599999999998</c:v>
                </c:pt>
                <c:pt idx="7">
                  <c:v>615.42049999999995</c:v>
                </c:pt>
                <c:pt idx="8">
                  <c:v>343.97</c:v>
                </c:pt>
                <c:pt idx="9">
                  <c:v>3034.8408000000004</c:v>
                </c:pt>
                <c:pt idx="10">
                  <c:v>249.95179999999999</c:v>
                </c:pt>
                <c:pt idx="11">
                  <c:v>1638.5697000000002</c:v>
                </c:pt>
                <c:pt idx="12">
                  <c:v>111.7085</c:v>
                </c:pt>
              </c:numCache>
            </c:numRef>
          </c:val>
          <c:extLst>
            <c:ext xmlns:c16="http://schemas.microsoft.com/office/drawing/2014/chart" uri="{C3380CC4-5D6E-409C-BE32-E72D297353CC}">
              <c16:uniqueId val="{00000003-6229-47D4-824E-66C6CE718941}"/>
            </c:ext>
          </c:extLst>
        </c:ser>
        <c:ser>
          <c:idx val="1"/>
          <c:order val="1"/>
          <c:tx>
            <c:strRef>
              <c:f>Sheet1!$C$1</c:f>
              <c:strCache>
                <c:ptCount val="1"/>
                <c:pt idx="0">
                  <c:v>2022թ.  փաստ</c:v>
                </c:pt>
              </c:strCache>
            </c:strRef>
          </c:tx>
          <c:spPr>
            <a:solidFill>
              <a:schemeClr val="accent4"/>
            </a:solidFill>
          </c:spPr>
          <c:invertIfNegative val="0"/>
          <c:dLbls>
            <c:numFmt formatCode="#,##0.0" sourceLinked="0"/>
            <c:spPr>
              <a:noFill/>
              <a:ln w="25429">
                <a:noFill/>
              </a:ln>
            </c:spPr>
            <c:txPr>
              <a:bodyPr wrap="square" lIns="38100" tIns="19050" rIns="38100" bIns="19050" anchor="ctr">
                <a:spAutoFit/>
              </a:bodyPr>
              <a:lstStyle/>
              <a:p>
                <a:pPr>
                  <a:defRPr sz="801"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ԱՄՆ</c:v>
                </c:pt>
                <c:pt idx="1">
                  <c:v>Արևելյան Եվրոպայի էներգախնայողության
 և շրջակա միջավայրի գործընկերության հիմնադրամ</c:v>
                </c:pt>
                <c:pt idx="2">
                  <c:v>Գերմանիա</c:v>
                </c:pt>
                <c:pt idx="3">
                  <c:v>Գերմանիայի զարգացման և Եվրոպական 
միության հարևանության ներդրումային բանկ</c:v>
                </c:pt>
                <c:pt idx="4">
                  <c:v>Գլոբալ էկոլոգիական հիմնադրամ</c:v>
                </c:pt>
                <c:pt idx="5">
                  <c:v>Գլոբալ հիմնադրամ</c:v>
                </c:pt>
                <c:pt idx="6">
                  <c:v>Գյուղատնտեսության զարգացման
 միջազգային հիմնադրամ</c:v>
                </c:pt>
                <c:pt idx="7">
                  <c:v>ԵՄ</c:v>
                </c:pt>
                <c:pt idx="8">
                  <c:v>Եվրասիական զարգացման բանկ</c:v>
                </c:pt>
                <c:pt idx="9">
                  <c:v>Համաշխարհային բանկ</c:v>
                </c:pt>
                <c:pt idx="10">
                  <c:v>ՄԱԿ</c:v>
                </c:pt>
                <c:pt idx="11">
                  <c:v>ՎԶԵԲ</c:v>
                </c:pt>
                <c:pt idx="12">
                  <c:v>Ֆրանսիա</c:v>
                </c:pt>
              </c:strCache>
            </c:strRef>
          </c:cat>
          <c:val>
            <c:numRef>
              <c:f>Sheet1!$C$2:$C$14</c:f>
              <c:numCache>
                <c:formatCode>_(* #,##0.0_);_(* \(#,##0.0\);_(* "-"??_);_(@_)</c:formatCode>
                <c:ptCount val="13"/>
                <c:pt idx="0">
                  <c:v>766.16134</c:v>
                </c:pt>
                <c:pt idx="1">
                  <c:v>422.93415000000005</c:v>
                </c:pt>
                <c:pt idx="2">
                  <c:v>1114.52125</c:v>
                </c:pt>
                <c:pt idx="3">
                  <c:v>6.4245000000000001</c:v>
                </c:pt>
                <c:pt idx="4">
                  <c:v>435.59186999999997</c:v>
                </c:pt>
                <c:pt idx="5">
                  <c:v>1774.7560900000001</c:v>
                </c:pt>
                <c:pt idx="6">
                  <c:v>0</c:v>
                </c:pt>
                <c:pt idx="7">
                  <c:v>696.05505000000005</c:v>
                </c:pt>
                <c:pt idx="8">
                  <c:v>451.70438000000001</c:v>
                </c:pt>
                <c:pt idx="9">
                  <c:v>2291.7370700000001</c:v>
                </c:pt>
                <c:pt idx="10">
                  <c:v>42.075139999999998</c:v>
                </c:pt>
                <c:pt idx="11">
                  <c:v>622.30700999999999</c:v>
                </c:pt>
                <c:pt idx="12">
                  <c:v>117.81909</c:v>
                </c:pt>
              </c:numCache>
            </c:numRef>
          </c:val>
          <c:extLst>
            <c:ext xmlns:c16="http://schemas.microsoft.com/office/drawing/2014/chart" uri="{C3380CC4-5D6E-409C-BE32-E72D297353CC}">
              <c16:uniqueId val="{00000004-6229-47D4-824E-66C6CE718941}"/>
            </c:ext>
          </c:extLst>
        </c:ser>
        <c:dLbls>
          <c:showLegendKey val="0"/>
          <c:showVal val="0"/>
          <c:showCatName val="0"/>
          <c:showSerName val="0"/>
          <c:showPercent val="0"/>
          <c:showBubbleSize val="0"/>
        </c:dLbls>
        <c:gapWidth val="150"/>
        <c:axId val="217774128"/>
        <c:axId val="1"/>
      </c:barChart>
      <c:catAx>
        <c:axId val="217774128"/>
        <c:scaling>
          <c:orientation val="minMax"/>
        </c:scaling>
        <c:delete val="0"/>
        <c:axPos val="l"/>
        <c:numFmt formatCode="General" sourceLinked="0"/>
        <c:majorTickMark val="out"/>
        <c:minorTickMark val="none"/>
        <c:tickLblPos val="nextTo"/>
        <c:txPr>
          <a:bodyPr rot="0" vert="horz"/>
          <a:lstStyle/>
          <a:p>
            <a:pPr>
              <a:defRPr sz="800" b="0" i="0" u="none" strike="noStrike" baseline="0">
                <a:solidFill>
                  <a:srgbClr val="000000"/>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max val="4010"/>
          <c:min val="0"/>
        </c:scaling>
        <c:delete val="0"/>
        <c:axPos val="b"/>
        <c:majorGridlines/>
        <c:numFmt formatCode="#,##0.0" sourceLinked="0"/>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217774128"/>
        <c:crosses val="autoZero"/>
        <c:crossBetween val="between"/>
        <c:majorUnit val="500"/>
      </c:valAx>
    </c:plotArea>
    <c:legend>
      <c:legendPos val="r"/>
      <c:layout>
        <c:manualLayout>
          <c:xMode val="edge"/>
          <c:yMode val="edge"/>
          <c:x val="0"/>
          <c:y val="0.947930096437262"/>
          <c:w val="0.99842022116903628"/>
          <c:h val="4.9960121727380895E-2"/>
        </c:manualLayout>
      </c:layout>
      <c:overlay val="1"/>
      <c:spPr>
        <a:effectLst>
          <a:glow>
            <a:schemeClr val="accent1">
              <a:alpha val="40000"/>
            </a:schemeClr>
          </a:glow>
        </a:effectLst>
      </c:spPr>
      <c:txPr>
        <a:bodyPr/>
        <a:lstStyle/>
        <a:p>
          <a:pPr>
            <a:defRPr sz="800"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txPr>
    <a:bodyPr/>
    <a:lstStyle/>
    <a:p>
      <a:pPr>
        <a:defRPr sz="1001"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431078245170701"/>
          <c:y val="2.2796468623240276E-2"/>
          <c:w val="0.77866857051851657"/>
          <c:h val="0.83872314570373552"/>
        </c:manualLayout>
      </c:layout>
      <c:barChart>
        <c:barDir val="bar"/>
        <c:grouping val="clustered"/>
        <c:varyColors val="0"/>
        <c:ser>
          <c:idx val="0"/>
          <c:order val="0"/>
          <c:tx>
            <c:strRef>
              <c:f>Sheet1!$B$1</c:f>
              <c:strCache>
                <c:ptCount val="1"/>
                <c:pt idx="0">
                  <c:v>2022թ. տարեկան ճշտված պլան</c:v>
                </c:pt>
              </c:strCache>
            </c:strRef>
          </c:tx>
          <c:spPr>
            <a:solidFill>
              <a:schemeClr val="accent3"/>
            </a:solidFill>
          </c:spPr>
          <c:invertIfNegative val="0"/>
          <c:dLbls>
            <c:dLbl>
              <c:idx val="2"/>
              <c:layout>
                <c:manualLayout>
                  <c:x val="1.9486961994900247E-3"/>
                  <c:y val="-1.84960982699157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E9-4B1E-9AA2-58070308C6FC}"/>
                </c:ext>
              </c:extLst>
            </c:dLbl>
            <c:numFmt formatCode="#,##0.0" sourceLinked="0"/>
            <c:spPr>
              <a:noFill/>
              <a:ln w="25339">
                <a:noFill/>
              </a:ln>
            </c:spPr>
            <c:txPr>
              <a:bodyPr/>
              <a:lstStyle/>
              <a:p>
                <a:pPr>
                  <a:defRPr sz="998" baseline="0">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Համաշխարհային բանկ</c:v>
                </c:pt>
                <c:pt idx="1">
                  <c:v>ԵՄ</c:v>
                </c:pt>
                <c:pt idx="2">
                  <c:v>ՄԱԿ</c:v>
                </c:pt>
              </c:strCache>
            </c:strRef>
          </c:cat>
          <c:val>
            <c:numRef>
              <c:f>Sheet1!$B$2:$B$4</c:f>
              <c:numCache>
                <c:formatCode>_(* #,##0.0_);_(* \(#,##0.0\);_(* "-"??_);_(@_)</c:formatCode>
                <c:ptCount val="3"/>
                <c:pt idx="0">
                  <c:v>181.62549999999999</c:v>
                </c:pt>
                <c:pt idx="1">
                  <c:v>4969.53</c:v>
                </c:pt>
                <c:pt idx="2">
                  <c:v>183</c:v>
                </c:pt>
              </c:numCache>
            </c:numRef>
          </c:val>
          <c:extLst>
            <c:ext xmlns:c16="http://schemas.microsoft.com/office/drawing/2014/chart" uri="{C3380CC4-5D6E-409C-BE32-E72D297353CC}">
              <c16:uniqueId val="{00000001-D2E9-4B1E-9AA2-58070308C6FC}"/>
            </c:ext>
          </c:extLst>
        </c:ser>
        <c:ser>
          <c:idx val="1"/>
          <c:order val="1"/>
          <c:tx>
            <c:strRef>
              <c:f>Sheet1!$C$1</c:f>
              <c:strCache>
                <c:ptCount val="1"/>
                <c:pt idx="0">
                  <c:v>2022թ.  փաստ</c:v>
                </c:pt>
              </c:strCache>
            </c:strRef>
          </c:tx>
          <c:spPr>
            <a:solidFill>
              <a:schemeClr val="accent4"/>
            </a:solidFill>
          </c:spPr>
          <c:invertIfNegative val="0"/>
          <c:dLbls>
            <c:numFmt formatCode="#,##0.0" sourceLinked="0"/>
            <c:spPr>
              <a:noFill/>
              <a:ln w="25339">
                <a:noFill/>
              </a:ln>
            </c:spPr>
            <c:txPr>
              <a:bodyPr/>
              <a:lstStyle/>
              <a:p>
                <a:pPr>
                  <a:defRPr sz="998" baseline="0">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Համաշխարհային բանկ</c:v>
                </c:pt>
                <c:pt idx="1">
                  <c:v>ԵՄ</c:v>
                </c:pt>
                <c:pt idx="2">
                  <c:v>ՄԱԿ</c:v>
                </c:pt>
              </c:strCache>
            </c:strRef>
          </c:cat>
          <c:val>
            <c:numRef>
              <c:f>Sheet1!$C$2:$C$4</c:f>
              <c:numCache>
                <c:formatCode>_(* #,##0.0_);_(* \(#,##0.0\);_(* "-"??_);_(@_)</c:formatCode>
                <c:ptCount val="3"/>
                <c:pt idx="0">
                  <c:v>169.57037</c:v>
                </c:pt>
                <c:pt idx="1">
                  <c:v>5895.8396000000002</c:v>
                </c:pt>
                <c:pt idx="2">
                  <c:v>183</c:v>
                </c:pt>
              </c:numCache>
            </c:numRef>
          </c:val>
          <c:extLst>
            <c:ext xmlns:c16="http://schemas.microsoft.com/office/drawing/2014/chart" uri="{C3380CC4-5D6E-409C-BE32-E72D297353CC}">
              <c16:uniqueId val="{00000002-D2E9-4B1E-9AA2-58070308C6FC}"/>
            </c:ext>
          </c:extLst>
        </c:ser>
        <c:dLbls>
          <c:showLegendKey val="0"/>
          <c:showVal val="0"/>
          <c:showCatName val="0"/>
          <c:showSerName val="0"/>
          <c:showPercent val="0"/>
          <c:showBubbleSize val="0"/>
        </c:dLbls>
        <c:gapWidth val="150"/>
        <c:axId val="216999240"/>
        <c:axId val="1"/>
      </c:barChart>
      <c:catAx>
        <c:axId val="216999240"/>
        <c:scaling>
          <c:orientation val="minMax"/>
        </c:scaling>
        <c:delete val="0"/>
        <c:axPos val="l"/>
        <c:numFmt formatCode="General" sourceLinked="0"/>
        <c:majorTickMark val="out"/>
        <c:minorTickMark val="none"/>
        <c:tickLblPos val="nextTo"/>
        <c:txPr>
          <a:bodyPr anchor="ctr" anchorCtr="0"/>
          <a:lstStyle/>
          <a:p>
            <a:pPr>
              <a:defRPr sz="898" baseline="0">
                <a:solidFill>
                  <a:sysClr val="windowText" lastClr="000000"/>
                </a:solidFill>
                <a:latin typeface="GHEA Grapalat" pitchFamily="50" charset="0"/>
              </a:defRPr>
            </a:pPr>
            <a:endParaRPr lang="en-US"/>
          </a:p>
        </c:txPr>
        <c:crossAx val="1"/>
        <c:crosses val="autoZero"/>
        <c:auto val="1"/>
        <c:lblAlgn val="ctr"/>
        <c:lblOffset val="100"/>
        <c:noMultiLvlLbl val="0"/>
      </c:catAx>
      <c:valAx>
        <c:axId val="1"/>
        <c:scaling>
          <c:orientation val="minMax"/>
        </c:scaling>
        <c:delete val="0"/>
        <c:axPos val="b"/>
        <c:majorGridlines/>
        <c:numFmt formatCode="#,##0.0" sourceLinked="0"/>
        <c:majorTickMark val="out"/>
        <c:minorTickMark val="none"/>
        <c:tickLblPos val="nextTo"/>
        <c:txPr>
          <a:bodyPr/>
          <a:lstStyle/>
          <a:p>
            <a:pPr>
              <a:defRPr sz="798" baseline="0"/>
            </a:pPr>
            <a:endParaRPr lang="en-US"/>
          </a:p>
        </c:txPr>
        <c:crossAx val="216999240"/>
        <c:crosses val="autoZero"/>
        <c:crossBetween val="between"/>
        <c:majorUnit val="500"/>
      </c:valAx>
    </c:plotArea>
    <c:legend>
      <c:legendPos val="r"/>
      <c:layout>
        <c:manualLayout>
          <c:xMode val="edge"/>
          <c:yMode val="edge"/>
          <c:x val="1.9546952902418087E-5"/>
          <c:y val="0.9405892308053686"/>
          <c:w val="0.9993922820298452"/>
          <c:h val="5.7466353024695049E-2"/>
        </c:manualLayout>
      </c:layout>
      <c:overlay val="1"/>
      <c:spPr>
        <a:effectLst>
          <a:glow>
            <a:schemeClr val="accent1">
              <a:alpha val="40000"/>
            </a:schemeClr>
          </a:glow>
        </a:effectLst>
      </c:spPr>
      <c:txPr>
        <a:bodyPr/>
        <a:lstStyle/>
        <a:p>
          <a:pPr algn="just">
            <a:defRPr sz="698" baseline="0">
              <a:latin typeface="GHEA Grapalat" pitchFamily="50" charset="0"/>
            </a:defRPr>
          </a:pPr>
          <a:endParaRPr lang="en-US"/>
        </a:p>
      </c:txPr>
    </c:legend>
    <c:plotVisOnly val="1"/>
    <c:dispBlanksAs val="gap"/>
    <c:showDLblsOverMax val="0"/>
  </c:chart>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view3D>
      <c:rotX val="10"/>
      <c:rotY val="20"/>
      <c:depthPercent val="100"/>
      <c:rAngAx val="1"/>
    </c:view3D>
    <c:floor>
      <c:thickness val="0"/>
    </c:floor>
    <c:sideWall>
      <c:thickness val="0"/>
    </c:sideWall>
    <c:backWall>
      <c:thickness val="0"/>
    </c:backWall>
    <c:plotArea>
      <c:layout>
        <c:manualLayout>
          <c:layoutTarget val="inner"/>
          <c:xMode val="edge"/>
          <c:yMode val="edge"/>
          <c:x val="7.7508307840566323E-2"/>
          <c:y val="2.8617582136062868E-2"/>
          <c:w val="0.8829606441961837"/>
          <c:h val="0.72305058916458587"/>
        </c:manualLayout>
      </c:layout>
      <c:bar3DChart>
        <c:barDir val="col"/>
        <c:grouping val="percentStacked"/>
        <c:varyColors val="0"/>
        <c:ser>
          <c:idx val="1"/>
          <c:order val="0"/>
          <c:tx>
            <c:strRef>
              <c:f>Sheet1!$A$2</c:f>
              <c:strCache>
                <c:ptCount val="1"/>
                <c:pt idx="0">
                  <c:v>Ընթացիկ ծախսեր</c:v>
                </c:pt>
              </c:strCache>
            </c:strRef>
          </c:tx>
          <c:spPr>
            <a:solidFill>
              <a:schemeClr val="tx2">
                <a:lumMod val="40000"/>
                <a:lumOff val="60000"/>
              </a:schemeClr>
            </a:solidFill>
          </c:spPr>
          <c:invertIfNegative val="0"/>
          <c:dPt>
            <c:idx val="0"/>
            <c:invertIfNegative val="0"/>
            <c:bubble3D val="0"/>
            <c:extLst>
              <c:ext xmlns:c16="http://schemas.microsoft.com/office/drawing/2014/chart" uri="{C3380CC4-5D6E-409C-BE32-E72D297353CC}">
                <c16:uniqueId val="{00000000-9E48-414E-91A2-0EAF4A515D38}"/>
              </c:ext>
            </c:extLst>
          </c:dPt>
          <c:dPt>
            <c:idx val="1"/>
            <c:invertIfNegative val="0"/>
            <c:bubble3D val="0"/>
            <c:extLst>
              <c:ext xmlns:c16="http://schemas.microsoft.com/office/drawing/2014/chart" uri="{C3380CC4-5D6E-409C-BE32-E72D297353CC}">
                <c16:uniqueId val="{00000001-9E48-414E-91A2-0EAF4A515D38}"/>
              </c:ext>
            </c:extLst>
          </c:dPt>
          <c:dPt>
            <c:idx val="2"/>
            <c:invertIfNegative val="0"/>
            <c:bubble3D val="0"/>
            <c:extLst>
              <c:ext xmlns:c16="http://schemas.microsoft.com/office/drawing/2014/chart" uri="{C3380CC4-5D6E-409C-BE32-E72D297353CC}">
                <c16:uniqueId val="{00000002-9E48-414E-91A2-0EAF4A515D38}"/>
              </c:ext>
            </c:extLst>
          </c:dPt>
          <c:dLbls>
            <c:numFmt formatCode="0.0%" sourceLinked="0"/>
            <c:spPr>
              <a:noFill/>
              <a:ln w="25172">
                <a:noFill/>
              </a:ln>
            </c:spPr>
            <c:txPr>
              <a:bodyPr/>
              <a:lstStyle/>
              <a:p>
                <a:pPr>
                  <a:defRPr b="1" baseline="0">
                    <a:solidFill>
                      <a:sysClr val="windowText" lastClr="000000"/>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Sheet1!$E$1:$G$1</c:f>
              <c:strCache>
                <c:ptCount val="3"/>
                <c:pt idx="0">
                  <c:v>2021թ. փաստ</c:v>
                </c:pt>
                <c:pt idx="1">
                  <c:v>2022թ. ճշտված պլան</c:v>
                </c:pt>
                <c:pt idx="2">
                  <c:v>2022թ. փաստ</c:v>
                </c:pt>
              </c:strCache>
            </c:strRef>
          </c:cat>
          <c:val>
            <c:numRef>
              <c:f>Sheet1!$E$2:$G$2</c:f>
              <c:numCache>
                <c:formatCode>0.00%</c:formatCode>
                <c:ptCount val="3"/>
                <c:pt idx="0">
                  <c:v>0.89206481407765004</c:v>
                </c:pt>
                <c:pt idx="1">
                  <c:v>0.82517427054886217</c:v>
                </c:pt>
                <c:pt idx="2">
                  <c:v>0.83037999881293612</c:v>
                </c:pt>
              </c:numCache>
            </c:numRef>
          </c:val>
          <c:extLst>
            <c:ext xmlns:c16="http://schemas.microsoft.com/office/drawing/2014/chart" uri="{C3380CC4-5D6E-409C-BE32-E72D297353CC}">
              <c16:uniqueId val="{00000003-9E48-414E-91A2-0EAF4A515D38}"/>
            </c:ext>
          </c:extLst>
        </c:ser>
        <c:ser>
          <c:idx val="0"/>
          <c:order val="1"/>
          <c:tx>
            <c:strRef>
              <c:f>Sheet1!$A$3</c:f>
              <c:strCache>
                <c:ptCount val="1"/>
                <c:pt idx="0">
                  <c:v>Ոչ ֆինանսական ակտիվների հետ գործառնություններ</c:v>
                </c:pt>
              </c:strCache>
            </c:strRef>
          </c:tx>
          <c:spPr>
            <a:solidFill>
              <a:schemeClr val="accent6">
                <a:lumMod val="60000"/>
                <a:lumOff val="40000"/>
              </a:schemeClr>
            </a:solidFill>
          </c:spPr>
          <c:invertIfNegative val="0"/>
          <c:dLbls>
            <c:numFmt formatCode="0.0%" sourceLinked="0"/>
            <c:spPr>
              <a:noFill/>
              <a:ln w="25172">
                <a:noFill/>
              </a:ln>
            </c:spPr>
            <c:txPr>
              <a:bodyPr/>
              <a:lstStyle/>
              <a:p>
                <a:pPr>
                  <a:defRPr b="1" baseline="0">
                    <a:solidFill>
                      <a:sysClr val="windowText" lastClr="000000"/>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Sheet1!$E$1:$G$1</c:f>
              <c:strCache>
                <c:ptCount val="3"/>
                <c:pt idx="0">
                  <c:v>2021թ. փաստ</c:v>
                </c:pt>
                <c:pt idx="1">
                  <c:v>2022թ. ճշտված պլան</c:v>
                </c:pt>
                <c:pt idx="2">
                  <c:v>2022թ. փաստ</c:v>
                </c:pt>
              </c:strCache>
            </c:strRef>
          </c:cat>
          <c:val>
            <c:numRef>
              <c:f>Sheet1!$E$3:$G$3</c:f>
              <c:numCache>
                <c:formatCode>0.00%</c:formatCode>
                <c:ptCount val="3"/>
                <c:pt idx="0">
                  <c:v>0.10793518592234992</c:v>
                </c:pt>
                <c:pt idx="1">
                  <c:v>0.17482572945113795</c:v>
                </c:pt>
                <c:pt idx="2">
                  <c:v>0.16962000118706405</c:v>
                </c:pt>
              </c:numCache>
            </c:numRef>
          </c:val>
          <c:extLst>
            <c:ext xmlns:c16="http://schemas.microsoft.com/office/drawing/2014/chart" uri="{C3380CC4-5D6E-409C-BE32-E72D297353CC}">
              <c16:uniqueId val="{00000004-9E48-414E-91A2-0EAF4A515D38}"/>
            </c:ext>
          </c:extLst>
        </c:ser>
        <c:dLbls>
          <c:showLegendKey val="0"/>
          <c:showVal val="0"/>
          <c:showCatName val="0"/>
          <c:showSerName val="0"/>
          <c:showPercent val="0"/>
          <c:showBubbleSize val="0"/>
        </c:dLbls>
        <c:gapWidth val="133"/>
        <c:gapDepth val="165"/>
        <c:shape val="box"/>
        <c:axId val="178683992"/>
        <c:axId val="1"/>
        <c:axId val="0"/>
      </c:bar3DChart>
      <c:catAx>
        <c:axId val="178683992"/>
        <c:scaling>
          <c:orientation val="minMax"/>
        </c:scaling>
        <c:delete val="0"/>
        <c:axPos val="b"/>
        <c:numFmt formatCode="General" sourceLinked="0"/>
        <c:majorTickMark val="out"/>
        <c:minorTickMark val="none"/>
        <c:tickLblPos val="nextTo"/>
        <c:spPr>
          <a:effectLst>
            <a:glow>
              <a:schemeClr val="accent1">
                <a:alpha val="40000"/>
              </a:schemeClr>
            </a:glow>
            <a:softEdge rad="0"/>
          </a:effectLst>
        </c:spPr>
        <c:txPr>
          <a:bodyPr/>
          <a:lstStyle/>
          <a:p>
            <a:pPr>
              <a:defRPr b="1" i="0" baseline="0">
                <a:latin typeface="GHEA Grapalat" pitchFamily="50" charset="0"/>
              </a:defRPr>
            </a:pPr>
            <a:endParaRPr lang="en-US"/>
          </a:p>
        </c:txPr>
        <c:crossAx val="1"/>
        <c:crosses val="autoZero"/>
        <c:auto val="1"/>
        <c:lblAlgn val="ctr"/>
        <c:lblOffset val="100"/>
        <c:noMultiLvlLbl val="0"/>
      </c:catAx>
      <c:valAx>
        <c:axId val="1"/>
        <c:scaling>
          <c:orientation val="minMax"/>
          <c:max val="1"/>
          <c:min val="0"/>
        </c:scaling>
        <c:delete val="0"/>
        <c:axPos val="l"/>
        <c:majorGridlines/>
        <c:numFmt formatCode="0.0%" sourceLinked="0"/>
        <c:majorTickMark val="out"/>
        <c:minorTickMark val="none"/>
        <c:tickLblPos val="nextTo"/>
        <c:txPr>
          <a:bodyPr/>
          <a:lstStyle/>
          <a:p>
            <a:pPr>
              <a:defRPr b="1" i="0" baseline="0">
                <a:latin typeface="GHEA Grapalat" pitchFamily="50" charset="0"/>
              </a:defRPr>
            </a:pPr>
            <a:endParaRPr lang="en-US"/>
          </a:p>
        </c:txPr>
        <c:crossAx val="178683992"/>
        <c:crosses val="autoZero"/>
        <c:crossBetween val="between"/>
        <c:majorUnit val="0.2"/>
      </c:valAx>
      <c:spPr>
        <a:noFill/>
        <a:ln w="25172">
          <a:noFill/>
        </a:ln>
      </c:spPr>
    </c:plotArea>
    <c:legend>
      <c:legendPos val="b"/>
      <c:layout>
        <c:manualLayout>
          <c:xMode val="edge"/>
          <c:yMode val="edge"/>
          <c:x val="3.8453589410465762E-2"/>
          <c:y val="0.87861716557408642"/>
          <c:w val="0.93617573068854831"/>
          <c:h val="9.7732461872503951E-2"/>
        </c:manualLayout>
      </c:layout>
      <c:overlay val="0"/>
      <c:txPr>
        <a:bodyPr/>
        <a:lstStyle/>
        <a:p>
          <a:pPr>
            <a:defRPr b="1" i="0" baseline="0">
              <a:latin typeface="GHEA Grapalat" pitchFamily="50" charset="0"/>
            </a:defRPr>
          </a:pPr>
          <a:endParaRPr lang="en-US"/>
        </a:p>
      </c:txPr>
    </c:legend>
    <c:plotVisOnly val="1"/>
    <c:dispBlanksAs val="zero"/>
    <c:showDLblsOverMax val="0"/>
  </c:chart>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702380952380952"/>
          <c:y val="3.3434455872169075E-2"/>
          <c:w val="0.90870169874599005"/>
          <c:h val="0.66517972945689485"/>
        </c:manualLayout>
      </c:layout>
      <c:barChart>
        <c:barDir val="col"/>
        <c:grouping val="clustered"/>
        <c:varyColors val="0"/>
        <c:ser>
          <c:idx val="0"/>
          <c:order val="0"/>
          <c:tx>
            <c:strRef>
              <c:f>Sheet1!$A$2</c:f>
              <c:strCache>
                <c:ptCount val="1"/>
                <c:pt idx="0">
                  <c:v>Պետական բյուջեի ծախսեր</c:v>
                </c:pt>
              </c:strCache>
            </c:strRef>
          </c:tx>
          <c:spPr>
            <a:solidFill>
              <a:srgbClr val="4BACC6"/>
            </a:solidFill>
            <a:scene3d>
              <a:camera prst="orthographicFront"/>
              <a:lightRig rig="glow" dir="t">
                <a:rot lat="0" lon="0" rev="4800000"/>
              </a:lightRig>
            </a:scene3d>
            <a:sp3d prstMaterial="matte">
              <a:bevelT w="127000" h="63500"/>
            </a:sp3d>
          </c:spPr>
          <c:invertIfNegative val="0"/>
          <c:dLbls>
            <c:dLbl>
              <c:idx val="0"/>
              <c:layout>
                <c:manualLayout>
                  <c:x val="-7.1360761010971557E-4"/>
                  <c:y val="9.31443569553805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BA-4E63-8CCA-85DA6662165A}"/>
                </c:ext>
              </c:extLst>
            </c:dLbl>
            <c:dLbl>
              <c:idx val="1"/>
              <c:layout>
                <c:manualLayout>
                  <c:x val="-3.1276246719160105E-3"/>
                  <c:y val="8.40728082402218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BA-4E63-8CCA-85DA6662165A}"/>
                </c:ext>
              </c:extLst>
            </c:dLbl>
            <c:dLbl>
              <c:idx val="2"/>
              <c:layout>
                <c:manualLayout>
                  <c:x val="-2.4809251806793735E-3"/>
                  <c:y val="1.5021199273167787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BA-4E63-8CCA-85DA6662165A}"/>
                </c:ext>
              </c:extLst>
            </c:dLbl>
            <c:dLbl>
              <c:idx val="3"/>
              <c:layout>
                <c:manualLayout>
                  <c:x val="-6.9443998071669613E-3"/>
                  <c:y val="1.04234527687296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BA-4E63-8CCA-85DA6662165A}"/>
                </c:ext>
              </c:extLst>
            </c:dLbl>
            <c:dLbl>
              <c:idx val="4"/>
              <c:layout>
                <c:manualLayout>
                  <c:x val="-1.7006802721088437E-2"/>
                  <c:y val="2.60586319218241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BA-4E63-8CCA-85DA6662165A}"/>
                </c:ext>
              </c:extLst>
            </c:dLbl>
            <c:spPr>
              <a:noFill/>
              <a:ln w="25400">
                <a:noFill/>
              </a:ln>
            </c:spPr>
            <c:txPr>
              <a:bodyPr/>
              <a:lstStyle/>
              <a:p>
                <a:pPr>
                  <a:defRPr sz="1000" b="1" i="0" baseline="0">
                    <a:solidFill>
                      <a:schemeClr val="accent5"/>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Sheet1!$B$2:$D$2</c:f>
              <c:numCache>
                <c:formatCode>_(* #,##0.0_);_(* \(#,##0.0\);_(* "-"??_);_(@_)</c:formatCode>
                <c:ptCount val="3"/>
                <c:pt idx="0">
                  <c:v>1894.64709339</c:v>
                </c:pt>
                <c:pt idx="1">
                  <c:v>2004.3009903699999</c:v>
                </c:pt>
                <c:pt idx="2">
                  <c:v>2242.62545361</c:v>
                </c:pt>
              </c:numCache>
            </c:numRef>
          </c:val>
          <c:extLst>
            <c:ext xmlns:c16="http://schemas.microsoft.com/office/drawing/2014/chart" uri="{C3380CC4-5D6E-409C-BE32-E72D297353CC}">
              <c16:uniqueId val="{00000005-54BA-4E63-8CCA-85DA6662165A}"/>
            </c:ext>
          </c:extLst>
        </c:ser>
        <c:ser>
          <c:idx val="1"/>
          <c:order val="1"/>
          <c:tx>
            <c:strRef>
              <c:f>Sheet1!$A$3</c:f>
              <c:strCache>
                <c:ptCount val="1"/>
                <c:pt idx="0">
                  <c:v>Ընթացիկ ծախսեր</c:v>
                </c:pt>
              </c:strCache>
            </c:strRef>
          </c:tx>
          <c:spPr>
            <a:solidFill>
              <a:schemeClr val="accent2">
                <a:lumMod val="60000"/>
                <a:lumOff val="40000"/>
              </a:schemeClr>
            </a:solidFill>
            <a:scene3d>
              <a:camera prst="orthographicFront"/>
              <a:lightRig rig="threePt" dir="t"/>
            </a:scene3d>
            <a:sp3d prstMaterial="matte">
              <a:bevelT w="127000" h="63500"/>
            </a:sp3d>
          </c:spPr>
          <c:invertIfNegative val="0"/>
          <c:dLbls>
            <c:dLbl>
              <c:idx val="0"/>
              <c:layout>
                <c:manualLayout>
                  <c:x val="7.1129823041084835E-4"/>
                  <c:y val="1.54163484505613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BA-4E63-8CCA-85DA6662165A}"/>
                </c:ext>
              </c:extLst>
            </c:dLbl>
            <c:dLbl>
              <c:idx val="1"/>
              <c:layout>
                <c:manualLayout>
                  <c:x val="4.020619508825405E-3"/>
                  <c:y val="-1.31418577752680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BA-4E63-8CCA-85DA6662165A}"/>
                </c:ext>
              </c:extLst>
            </c:dLbl>
            <c:dLbl>
              <c:idx val="2"/>
              <c:layout>
                <c:manualLayout>
                  <c:x val="6.9345316036973107E-3"/>
                  <c:y val="1.02856846178474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BA-4E63-8CCA-85DA6662165A}"/>
                </c:ext>
              </c:extLst>
            </c:dLbl>
            <c:dLbl>
              <c:idx val="3"/>
              <c:layout>
                <c:manualLayout>
                  <c:x val="1.4236757337151037E-2"/>
                  <c:y val="-1.38498104403616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BA-4E63-8CCA-85DA6662165A}"/>
                </c:ext>
              </c:extLst>
            </c:dLbl>
            <c:dLbl>
              <c:idx val="4"/>
              <c:layout>
                <c:manualLayout>
                  <c:x val="8.0309604156623277E-3"/>
                  <c:y val="2.78970991818205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4BA-4E63-8CCA-85DA6662165A}"/>
                </c:ext>
              </c:extLst>
            </c:dLbl>
            <c:spPr>
              <a:noFill/>
              <a:ln w="25400">
                <a:noFill/>
              </a:ln>
            </c:spPr>
            <c:txPr>
              <a:bodyPr/>
              <a:lstStyle/>
              <a:p>
                <a:pPr>
                  <a:defRPr sz="1000" b="1" i="0" baseline="0">
                    <a:solidFill>
                      <a:schemeClr val="accent2"/>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Sheet1!$B$3:$D$3</c:f>
              <c:numCache>
                <c:formatCode>_(* #,##0.0_);_(* \(#,##0.0\);_(* "-"??_);_(@_)</c:formatCode>
                <c:ptCount val="3"/>
                <c:pt idx="0">
                  <c:v>1668.45837398</c:v>
                </c:pt>
                <c:pt idx="1">
                  <c:v>1787.9663948100001</c:v>
                </c:pt>
                <c:pt idx="2">
                  <c:v>1862.2313212700001</c:v>
                </c:pt>
              </c:numCache>
            </c:numRef>
          </c:val>
          <c:extLst>
            <c:ext xmlns:c16="http://schemas.microsoft.com/office/drawing/2014/chart" uri="{C3380CC4-5D6E-409C-BE32-E72D297353CC}">
              <c16:uniqueId val="{0000000B-54BA-4E63-8CCA-85DA6662165A}"/>
            </c:ext>
          </c:extLst>
        </c:ser>
        <c:ser>
          <c:idx val="2"/>
          <c:order val="2"/>
          <c:tx>
            <c:strRef>
              <c:f>Sheet1!$A$4</c:f>
              <c:strCache>
                <c:ptCount val="1"/>
                <c:pt idx="0">
                  <c:v>Կապիտալ ծախսեր</c:v>
                </c:pt>
              </c:strCache>
            </c:strRef>
          </c:tx>
          <c:spPr>
            <a:solidFill>
              <a:schemeClr val="tx2">
                <a:lumMod val="60000"/>
                <a:lumOff val="40000"/>
              </a:schemeClr>
            </a:solidFill>
            <a:ln>
              <a:solidFill>
                <a:schemeClr val="tx2"/>
              </a:solidFill>
            </a:ln>
            <a:scene3d>
              <a:camera prst="orthographicFront"/>
              <a:lightRig rig="threePt" dir="t"/>
            </a:scene3d>
            <a:sp3d prstMaterial="matte">
              <a:bevelT w="127000" h="63500"/>
            </a:sp3d>
          </c:spPr>
          <c:invertIfNegative val="0"/>
          <c:dLbls>
            <c:dLbl>
              <c:idx val="0"/>
              <c:layout>
                <c:manualLayout>
                  <c:x val="-8.620421115476544E-4"/>
                  <c:y val="5.21142635915800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4BA-4E63-8CCA-85DA6662165A}"/>
                </c:ext>
              </c:extLst>
            </c:dLbl>
            <c:dLbl>
              <c:idx val="1"/>
              <c:layout>
                <c:manualLayout>
                  <c:x val="2.8195210664965229E-3"/>
                  <c:y val="9.25596240568491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4BA-4E63-8CCA-85DA6662165A}"/>
                </c:ext>
              </c:extLst>
            </c:dLbl>
            <c:dLbl>
              <c:idx val="2"/>
              <c:layout>
                <c:manualLayout>
                  <c:x val="-3.105668329962859E-4"/>
                  <c:y val="1.44936686345588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4BA-4E63-8CCA-85DA6662165A}"/>
                </c:ext>
              </c:extLst>
            </c:dLbl>
            <c:dLbl>
              <c:idx val="3"/>
              <c:layout>
                <c:manualLayout>
                  <c:x val="2.3809523809523808E-2"/>
                  <c:y val="1.82410423452768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4BA-4E63-8CCA-85DA6662165A}"/>
                </c:ext>
              </c:extLst>
            </c:dLbl>
            <c:dLbl>
              <c:idx val="4"/>
              <c:layout>
                <c:manualLayout>
                  <c:x val="1.1290642241148429E-2"/>
                  <c:y val="5.76224063197316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4BA-4E63-8CCA-85DA6662165A}"/>
                </c:ext>
              </c:extLst>
            </c:dLbl>
            <c:spPr>
              <a:noFill/>
              <a:ln w="25400">
                <a:noFill/>
              </a:ln>
            </c:spPr>
            <c:txPr>
              <a:bodyPr/>
              <a:lstStyle/>
              <a:p>
                <a:pPr>
                  <a:defRPr sz="1000" b="1" i="0" baseline="0">
                    <a:solidFill>
                      <a:schemeClr val="tx2"/>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Sheet1!$B$4:$D$4</c:f>
              <c:numCache>
                <c:formatCode>_(* #,##0.0_);_(* \(#,##0.0\);_(* "-"??_);_(@_)</c:formatCode>
                <c:ptCount val="3"/>
                <c:pt idx="0">
                  <c:v>227.69831293999999</c:v>
                </c:pt>
                <c:pt idx="1">
                  <c:v>218.39952757</c:v>
                </c:pt>
                <c:pt idx="2">
                  <c:v>389.11973379</c:v>
                </c:pt>
              </c:numCache>
            </c:numRef>
          </c:val>
          <c:extLst>
            <c:ext xmlns:c16="http://schemas.microsoft.com/office/drawing/2014/chart" uri="{C3380CC4-5D6E-409C-BE32-E72D297353CC}">
              <c16:uniqueId val="{00000011-54BA-4E63-8CCA-85DA6662165A}"/>
            </c:ext>
          </c:extLst>
        </c:ser>
        <c:dLbls>
          <c:showLegendKey val="0"/>
          <c:showVal val="0"/>
          <c:showCatName val="0"/>
          <c:showSerName val="0"/>
          <c:showPercent val="0"/>
          <c:showBubbleSize val="0"/>
        </c:dLbls>
        <c:gapWidth val="150"/>
        <c:axId val="178676448"/>
        <c:axId val="1"/>
      </c:barChart>
      <c:lineChart>
        <c:grouping val="standard"/>
        <c:varyColors val="0"/>
        <c:ser>
          <c:idx val="3"/>
          <c:order val="3"/>
          <c:tx>
            <c:strRef>
              <c:f>Sheet1!$A$5</c:f>
              <c:strCache>
                <c:ptCount val="1"/>
                <c:pt idx="0">
                  <c:v>Ծախսեր / ՀՆԱ</c:v>
                </c:pt>
              </c:strCache>
            </c:strRef>
          </c:tx>
          <c:marker>
            <c:symbol val="diamond"/>
            <c:size val="5"/>
          </c:marker>
          <c:dLbls>
            <c:dLbl>
              <c:idx val="0"/>
              <c:layout>
                <c:manualLayout>
                  <c:x val="-7.7356187128413592E-2"/>
                  <c:y val="-4.06056035732931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4BA-4E63-8CCA-85DA6662165A}"/>
                </c:ext>
              </c:extLst>
            </c:dLbl>
            <c:dLbl>
              <c:idx val="1"/>
              <c:layout>
                <c:manualLayout>
                  <c:x val="-2.6501650903782356E-2"/>
                  <c:y val="-3.2533837735905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4BA-4E63-8CCA-85DA6662165A}"/>
                </c:ext>
              </c:extLst>
            </c:dLbl>
            <c:dLbl>
              <c:idx val="2"/>
              <c:layout>
                <c:manualLayout>
                  <c:x val="-4.3843771734003889E-2"/>
                  <c:y val="-3.0719565266857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4BA-4E63-8CCA-85DA6662165A}"/>
                </c:ext>
              </c:extLst>
            </c:dLbl>
            <c:dLbl>
              <c:idx val="3"/>
              <c:layout>
                <c:manualLayout>
                  <c:x val="-3.2880041780491726E-2"/>
                  <c:y val="2.2167893508425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4BA-4E63-8CCA-85DA6662165A}"/>
                </c:ext>
              </c:extLst>
            </c:dLbl>
            <c:dLbl>
              <c:idx val="4"/>
              <c:layout>
                <c:manualLayout>
                  <c:x val="1.1337913118003107E-2"/>
                  <c:y val="-1.2258842237554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4BA-4E63-8CCA-85DA6662165A}"/>
                </c:ext>
              </c:extLst>
            </c:dLbl>
            <c:spPr>
              <a:noFill/>
              <a:ln w="25400">
                <a:noFill/>
              </a:ln>
            </c:spPr>
            <c:txPr>
              <a:bodyPr/>
              <a:lstStyle/>
              <a:p>
                <a:pPr>
                  <a:defRPr sz="1000" b="1" i="0" baseline="0">
                    <a:solidFill>
                      <a:schemeClr val="accent4">
                        <a:lumMod val="75000"/>
                      </a:schemeClr>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Sheet1!$B$5:$D$5</c:f>
              <c:numCache>
                <c:formatCode>0.0%</c:formatCode>
                <c:ptCount val="3"/>
                <c:pt idx="0">
                  <c:v>0.30649467415084353</c:v>
                </c:pt>
                <c:pt idx="1">
                  <c:v>0.28702729634540519</c:v>
                </c:pt>
                <c:pt idx="2">
                  <c:v>0.2639383368154376</c:v>
                </c:pt>
              </c:numCache>
            </c:numRef>
          </c:val>
          <c:smooth val="0"/>
          <c:extLst>
            <c:ext xmlns:c16="http://schemas.microsoft.com/office/drawing/2014/chart" uri="{C3380CC4-5D6E-409C-BE32-E72D297353CC}">
              <c16:uniqueId val="{00000017-54BA-4E63-8CCA-85DA6662165A}"/>
            </c:ext>
          </c:extLst>
        </c:ser>
        <c:ser>
          <c:idx val="4"/>
          <c:order val="4"/>
          <c:tx>
            <c:strRef>
              <c:f>Sheet1!$A$6</c:f>
              <c:strCache>
                <c:ptCount val="1"/>
                <c:pt idx="0">
                  <c:v>Ընթացիկ ծախսեր / ՀՆԱ</c:v>
                </c:pt>
              </c:strCache>
            </c:strRef>
          </c:tx>
          <c:spPr>
            <a:ln>
              <a:solidFill>
                <a:srgbClr val="1F497D"/>
              </a:solidFill>
            </a:ln>
          </c:spPr>
          <c:marker>
            <c:spPr>
              <a:ln>
                <a:solidFill>
                  <a:srgbClr val="1F497D"/>
                </a:solidFill>
              </a:ln>
            </c:spPr>
          </c:marker>
          <c:dLbls>
            <c:dLbl>
              <c:idx val="0"/>
              <c:layout>
                <c:manualLayout>
                  <c:x val="-5.4616715289264671E-2"/>
                  <c:y val="4.62769276524801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4BA-4E63-8CCA-85DA6662165A}"/>
                </c:ext>
              </c:extLst>
            </c:dLbl>
            <c:dLbl>
              <c:idx val="1"/>
              <c:layout>
                <c:manualLayout>
                  <c:x val="-3.2654599746819155E-2"/>
                  <c:y val="5.1446049831119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4BA-4E63-8CCA-85DA6662165A}"/>
                </c:ext>
              </c:extLst>
            </c:dLbl>
            <c:dLbl>
              <c:idx val="2"/>
              <c:layout>
                <c:manualLayout>
                  <c:x val="-4.1748071754087422E-2"/>
                  <c:y val="3.6631574494296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4BA-4E63-8CCA-85DA6662165A}"/>
                </c:ext>
              </c:extLst>
            </c:dLbl>
            <c:spPr>
              <a:noFill/>
              <a:ln w="25400">
                <a:noFill/>
              </a:ln>
            </c:spPr>
            <c:txPr>
              <a:bodyPr/>
              <a:lstStyle/>
              <a:p>
                <a:pPr>
                  <a:defRPr sz="1000" b="1" i="0" baseline="0">
                    <a:solidFill>
                      <a:schemeClr val="tx2"/>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Sheet1!$B$6:$D$6</c:f>
              <c:numCache>
                <c:formatCode>0.0%</c:formatCode>
                <c:ptCount val="3"/>
                <c:pt idx="0">
                  <c:v>0.26990440987734049</c:v>
                </c:pt>
                <c:pt idx="1">
                  <c:v>0.25604695239112679</c:v>
                </c:pt>
                <c:pt idx="2">
                  <c:v>0.21916911578365356</c:v>
                </c:pt>
              </c:numCache>
            </c:numRef>
          </c:val>
          <c:smooth val="0"/>
          <c:extLst>
            <c:ext xmlns:c16="http://schemas.microsoft.com/office/drawing/2014/chart" uri="{C3380CC4-5D6E-409C-BE32-E72D297353CC}">
              <c16:uniqueId val="{0000001B-54BA-4E63-8CCA-85DA6662165A}"/>
            </c:ext>
          </c:extLst>
        </c:ser>
        <c:ser>
          <c:idx val="5"/>
          <c:order val="5"/>
          <c:tx>
            <c:strRef>
              <c:f>Sheet1!$A$7</c:f>
              <c:strCache>
                <c:ptCount val="1"/>
                <c:pt idx="0">
                  <c:v>Կապիտալ ծախսեր / ՀՆԱ</c:v>
                </c:pt>
              </c:strCache>
            </c:strRef>
          </c:tx>
          <c:spPr>
            <a:ln>
              <a:solidFill>
                <a:schemeClr val="accent2">
                  <a:lumMod val="75000"/>
                </a:schemeClr>
              </a:solidFill>
            </a:ln>
          </c:spPr>
          <c:marker>
            <c:spPr>
              <a:solidFill>
                <a:schemeClr val="accent2">
                  <a:lumMod val="75000"/>
                </a:schemeClr>
              </a:solidFill>
            </c:spPr>
          </c:marker>
          <c:dPt>
            <c:idx val="0"/>
            <c:marker>
              <c:spPr>
                <a:solidFill>
                  <a:schemeClr val="accent2">
                    <a:lumMod val="75000"/>
                  </a:schemeClr>
                </a:solidFill>
                <a:ln>
                  <a:solidFill>
                    <a:schemeClr val="accent2">
                      <a:lumMod val="75000"/>
                    </a:schemeClr>
                  </a:solidFill>
                </a:ln>
              </c:spPr>
            </c:marker>
            <c:bubble3D val="0"/>
            <c:extLst>
              <c:ext xmlns:c16="http://schemas.microsoft.com/office/drawing/2014/chart" uri="{C3380CC4-5D6E-409C-BE32-E72D297353CC}">
                <c16:uniqueId val="{0000001D-54BA-4E63-8CCA-85DA6662165A}"/>
              </c:ext>
            </c:extLst>
          </c:dPt>
          <c:dPt>
            <c:idx val="1"/>
            <c:marker>
              <c:spPr>
                <a:solidFill>
                  <a:schemeClr val="accent2">
                    <a:lumMod val="75000"/>
                  </a:schemeClr>
                </a:solidFill>
                <a:ln>
                  <a:solidFill>
                    <a:schemeClr val="accent2">
                      <a:lumMod val="75000"/>
                    </a:schemeClr>
                  </a:solidFill>
                </a:ln>
              </c:spPr>
            </c:marker>
            <c:bubble3D val="0"/>
            <c:extLst>
              <c:ext xmlns:c16="http://schemas.microsoft.com/office/drawing/2014/chart" uri="{C3380CC4-5D6E-409C-BE32-E72D297353CC}">
                <c16:uniqueId val="{0000001F-54BA-4E63-8CCA-85DA6662165A}"/>
              </c:ext>
            </c:extLst>
          </c:dPt>
          <c:dLbls>
            <c:dLbl>
              <c:idx val="0"/>
              <c:layout>
                <c:manualLayout>
                  <c:x val="-3.9772727272727272E-2"/>
                  <c:y val="-4.4444444444444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54BA-4E63-8CCA-85DA6662165A}"/>
                </c:ext>
              </c:extLst>
            </c:dLbl>
            <c:dLbl>
              <c:idx val="1"/>
              <c:layout>
                <c:manualLayout>
                  <c:x val="-3.0303030303030304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54BA-4E63-8CCA-85DA6662165A}"/>
                </c:ext>
              </c:extLst>
            </c:dLbl>
            <c:dLbl>
              <c:idx val="2"/>
              <c:layout>
                <c:manualLayout>
                  <c:x val="-2.9255740046794782E-2"/>
                  <c:y val="-4.444438746911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54BA-4E63-8CCA-85DA6662165A}"/>
                </c:ext>
              </c:extLst>
            </c:dLbl>
            <c:spPr>
              <a:noFill/>
              <a:ln w="25400">
                <a:noFill/>
              </a:ln>
            </c:spPr>
            <c:txPr>
              <a:bodyPr/>
              <a:lstStyle/>
              <a:p>
                <a:pPr>
                  <a:defRPr sz="1000" b="1" i="0" baseline="0">
                    <a:solidFill>
                      <a:schemeClr val="accent2">
                        <a:lumMod val="75000"/>
                      </a:schemeClr>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Sheet1!$B$7:$D$7</c:f>
              <c:numCache>
                <c:formatCode>0.0%</c:formatCode>
                <c:ptCount val="3"/>
                <c:pt idx="0">
                  <c:v>3.6834469317646508E-2</c:v>
                </c:pt>
                <c:pt idx="1">
                  <c:v>3.1276053957324419E-2</c:v>
                </c:pt>
                <c:pt idx="2">
                  <c:v>4.5796151645953333E-2</c:v>
                </c:pt>
              </c:numCache>
            </c:numRef>
          </c:val>
          <c:smooth val="0"/>
          <c:extLst>
            <c:ext xmlns:c16="http://schemas.microsoft.com/office/drawing/2014/chart" uri="{C3380CC4-5D6E-409C-BE32-E72D297353CC}">
              <c16:uniqueId val="{00000021-54BA-4E63-8CCA-85DA6662165A}"/>
            </c:ext>
          </c:extLst>
        </c:ser>
        <c:dLbls>
          <c:showLegendKey val="0"/>
          <c:showVal val="0"/>
          <c:showCatName val="0"/>
          <c:showSerName val="0"/>
          <c:showPercent val="0"/>
          <c:showBubbleSize val="0"/>
        </c:dLbls>
        <c:marker val="1"/>
        <c:smooth val="0"/>
        <c:axId val="3"/>
        <c:axId val="4"/>
      </c:lineChart>
      <c:catAx>
        <c:axId val="178676448"/>
        <c:scaling>
          <c:orientation val="minMax"/>
        </c:scaling>
        <c:delete val="0"/>
        <c:axPos val="b"/>
        <c:numFmt formatCode="General" sourceLinked="0"/>
        <c:majorTickMark val="out"/>
        <c:minorTickMark val="none"/>
        <c:tickLblPos val="nextTo"/>
        <c:txPr>
          <a:bodyPr/>
          <a:lstStyle/>
          <a:p>
            <a:pPr>
              <a:defRPr sz="1000" b="1" i="0" baseline="0">
                <a:solidFill>
                  <a:schemeClr val="tx2"/>
                </a:solidFill>
                <a:latin typeface="GHEA Grapalat" pitchFamily="50" charset="0"/>
              </a:defRPr>
            </a:pPr>
            <a:endParaRPr lang="en-US"/>
          </a:p>
        </c:txPr>
        <c:crossAx val="1"/>
        <c:crosses val="autoZero"/>
        <c:auto val="1"/>
        <c:lblAlgn val="ctr"/>
        <c:lblOffset val="100"/>
        <c:noMultiLvlLbl val="0"/>
      </c:catAx>
      <c:valAx>
        <c:axId val="1"/>
        <c:scaling>
          <c:orientation val="minMax"/>
          <c:max val="2400"/>
          <c:min val="0"/>
        </c:scaling>
        <c:delete val="0"/>
        <c:axPos val="l"/>
        <c:majorGridlines/>
        <c:numFmt formatCode="_(* #,##0.0_);_(* \(#,##0.0\);_(* &quot;-&quot;??_);_(@_)" sourceLinked="1"/>
        <c:majorTickMark val="out"/>
        <c:minorTickMark val="none"/>
        <c:tickLblPos val="nextTo"/>
        <c:txPr>
          <a:bodyPr/>
          <a:lstStyle/>
          <a:p>
            <a:pPr>
              <a:defRPr sz="1000" b="1" i="0" baseline="0">
                <a:solidFill>
                  <a:schemeClr val="tx2"/>
                </a:solidFill>
                <a:latin typeface="GHEA Grapalat" pitchFamily="50" charset="0"/>
              </a:defRPr>
            </a:pPr>
            <a:endParaRPr lang="en-US"/>
          </a:p>
        </c:txPr>
        <c:crossAx val="178676448"/>
        <c:crosses val="autoZero"/>
        <c:crossBetween val="between"/>
        <c:majorUnit val="4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0.4"/>
          <c:min val="0"/>
        </c:scaling>
        <c:delete val="0"/>
        <c:axPos val="r"/>
        <c:numFmt formatCode="0.0%" sourceLinked="0"/>
        <c:majorTickMark val="out"/>
        <c:minorTickMark val="none"/>
        <c:tickLblPos val="nextTo"/>
        <c:txPr>
          <a:bodyPr/>
          <a:lstStyle/>
          <a:p>
            <a:pPr>
              <a:defRPr sz="1000" b="1" i="0" baseline="0">
                <a:solidFill>
                  <a:schemeClr val="tx2"/>
                </a:solidFill>
                <a:latin typeface="GHEA Grapalat" pitchFamily="50" charset="0"/>
              </a:defRPr>
            </a:pPr>
            <a:endParaRPr lang="en-US"/>
          </a:p>
        </c:txPr>
        <c:crossAx val="3"/>
        <c:crosses val="max"/>
        <c:crossBetween val="between"/>
        <c:majorUnit val="5.000000000000001E-2"/>
      </c:valAx>
    </c:plotArea>
    <c:legend>
      <c:legendPos val="r"/>
      <c:layout>
        <c:manualLayout>
          <c:xMode val="edge"/>
          <c:yMode val="edge"/>
          <c:x val="1.7187500000000001E-2"/>
          <c:y val="0.8368580060422961"/>
          <c:w val="0.96875"/>
          <c:h val="0.16012084592145015"/>
        </c:manualLayout>
      </c:layout>
      <c:overlay val="0"/>
      <c:txPr>
        <a:bodyPr/>
        <a:lstStyle/>
        <a:p>
          <a:pPr>
            <a:defRPr sz="1000" b="1" i="0" baseline="0">
              <a:solidFill>
                <a:schemeClr val="tx2"/>
              </a:solidFill>
              <a:latin typeface="GHEA Grapalat" pitchFamily="50" charset="0"/>
            </a:defRPr>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013891556238397"/>
          <c:y val="6.0392115415103316E-2"/>
          <c:w val="0.8351456372831445"/>
          <c:h val="0.66542045650701753"/>
        </c:manualLayout>
      </c:layout>
      <c:barChart>
        <c:barDir val="col"/>
        <c:grouping val="stacked"/>
        <c:varyColors val="0"/>
        <c:ser>
          <c:idx val="1"/>
          <c:order val="0"/>
          <c:tx>
            <c:strRef>
              <c:f>Sheet1!$C$1</c:f>
              <c:strCache>
                <c:ptCount val="1"/>
                <c:pt idx="0">
                  <c:v>Արդյունաբերություն</c:v>
                </c:pt>
              </c:strCache>
            </c:strRef>
          </c:tx>
          <c:spPr>
            <a:solidFill>
              <a:srgbClr val="1F497D">
                <a:lumMod val="20000"/>
                <a:lumOff val="80000"/>
              </a:srgbClr>
            </a:solidFill>
            <a:ln>
              <a:noFill/>
            </a:ln>
            <a:effectLst/>
          </c:spPr>
          <c:invertIfNegative val="0"/>
          <c:dLbls>
            <c:dLbl>
              <c:idx val="2"/>
              <c:layout>
                <c:manualLayout>
                  <c:x val="0"/>
                  <c:y val="-3.308197764567434E-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F5-4EBA-B488-6A1B7DA064B4}"/>
                </c:ext>
              </c:extLst>
            </c:dLbl>
            <c:spPr>
              <a:noFill/>
              <a:ln w="24878">
                <a:noFill/>
              </a:ln>
            </c:spPr>
            <c:txPr>
              <a:bodyPr wrap="square" lIns="38100" tIns="19050" rIns="38100" bIns="19050" anchor="ctr">
                <a:spAutoFit/>
              </a:bodyPr>
              <a:lstStyle/>
              <a:p>
                <a:pPr>
                  <a:defRPr sz="784"/>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Sheet1!$C$2:$C$6</c:f>
              <c:numCache>
                <c:formatCode>0.0</c:formatCode>
                <c:ptCount val="5"/>
                <c:pt idx="0">
                  <c:v>18.152724119014625</c:v>
                </c:pt>
                <c:pt idx="1">
                  <c:v>18.622463287683633</c:v>
                </c:pt>
                <c:pt idx="2">
                  <c:v>19.908953272735165</c:v>
                </c:pt>
                <c:pt idx="3">
                  <c:v>20.128086037981735</c:v>
                </c:pt>
                <c:pt idx="4">
                  <c:v>18.754436314029114</c:v>
                </c:pt>
              </c:numCache>
            </c:numRef>
          </c:val>
          <c:extLst>
            <c:ext xmlns:c16="http://schemas.microsoft.com/office/drawing/2014/chart" uri="{C3380CC4-5D6E-409C-BE32-E72D297353CC}">
              <c16:uniqueId val="{00000001-6FF5-4EBA-B488-6A1B7DA064B4}"/>
            </c:ext>
          </c:extLst>
        </c:ser>
        <c:ser>
          <c:idx val="2"/>
          <c:order val="1"/>
          <c:tx>
            <c:strRef>
              <c:f>Sheet1!$D$1</c:f>
              <c:strCache>
                <c:ptCount val="1"/>
                <c:pt idx="0">
                  <c:v>Գյուղատնտեսություն</c:v>
                </c:pt>
              </c:strCache>
            </c:strRef>
          </c:tx>
          <c:spPr>
            <a:solidFill>
              <a:sysClr val="window" lastClr="FFFFFF">
                <a:lumMod val="65000"/>
              </a:sysClr>
            </a:solidFill>
            <a:ln>
              <a:noFill/>
            </a:ln>
            <a:effectLst/>
          </c:spPr>
          <c:invertIfNegative val="0"/>
          <c:dLbls>
            <c:dLbl>
              <c:idx val="2"/>
              <c:layout>
                <c:manualLayout>
                  <c:x val="0"/>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F5-4EBA-B488-6A1B7DA064B4}"/>
                </c:ext>
              </c:extLst>
            </c:dLbl>
            <c:dLbl>
              <c:idx val="3"/>
              <c:layout>
                <c:manualLayout>
                  <c:x val="0"/>
                  <c:y val="-6.414368184733803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F5-4EBA-B488-6A1B7DA064B4}"/>
                </c:ext>
              </c:extLst>
            </c:dLbl>
            <c:spPr>
              <a:noFill/>
              <a:ln w="24878">
                <a:noFill/>
              </a:ln>
            </c:spPr>
            <c:txPr>
              <a:bodyPr wrap="square" lIns="38100" tIns="19050" rIns="38100" bIns="19050" anchor="ctr">
                <a:spAutoFit/>
              </a:bodyPr>
              <a:lstStyle/>
              <a:p>
                <a:pPr>
                  <a:defRPr sz="784"/>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Sheet1!$D$2:$D$6</c:f>
              <c:numCache>
                <c:formatCode>0.0</c:formatCode>
                <c:ptCount val="5"/>
                <c:pt idx="0">
                  <c:v>13.942311655414608</c:v>
                </c:pt>
                <c:pt idx="1">
                  <c:v>11.525610737958816</c:v>
                </c:pt>
                <c:pt idx="2">
                  <c:v>11.349805155454893</c:v>
                </c:pt>
                <c:pt idx="3">
                  <c:v>11.337477467478882</c:v>
                </c:pt>
                <c:pt idx="4">
                  <c:v>10.364374711971699</c:v>
                </c:pt>
              </c:numCache>
            </c:numRef>
          </c:val>
          <c:extLst>
            <c:ext xmlns:c16="http://schemas.microsoft.com/office/drawing/2014/chart" uri="{C3380CC4-5D6E-409C-BE32-E72D297353CC}">
              <c16:uniqueId val="{00000004-6FF5-4EBA-B488-6A1B7DA064B4}"/>
            </c:ext>
          </c:extLst>
        </c:ser>
        <c:ser>
          <c:idx val="3"/>
          <c:order val="2"/>
          <c:tx>
            <c:strRef>
              <c:f>Sheet1!$E$1</c:f>
              <c:strCache>
                <c:ptCount val="1"/>
                <c:pt idx="0">
                  <c:v>Շինարարություն</c:v>
                </c:pt>
              </c:strCache>
            </c:strRef>
          </c:tx>
          <c:spPr>
            <a:solidFill>
              <a:srgbClr val="F79646">
                <a:lumMod val="40000"/>
                <a:lumOff val="60000"/>
              </a:srgbClr>
            </a:solidFill>
            <a:ln>
              <a:noFill/>
            </a:ln>
            <a:effectLst/>
          </c:spPr>
          <c:invertIfNegative val="0"/>
          <c:dLbls>
            <c:dLbl>
              <c:idx val="0"/>
              <c:layout>
                <c:manualLayout>
                  <c:x val="0"/>
                  <c:y val="-5.879769579072736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F5-4EBA-B488-6A1B7DA064B4}"/>
                </c:ext>
              </c:extLst>
            </c:dLbl>
            <c:dLbl>
              <c:idx val="3"/>
              <c:layout>
                <c:manualLayout>
                  <c:x val="4.1511000415110008E-3"/>
                  <c:y val="-5.879769579072736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F5-4EBA-B488-6A1B7DA064B4}"/>
                </c:ext>
              </c:extLst>
            </c:dLbl>
            <c:spPr>
              <a:noFill/>
              <a:ln w="24878">
                <a:noFill/>
              </a:ln>
            </c:spPr>
            <c:txPr>
              <a:bodyPr wrap="square" lIns="38100" tIns="19050" rIns="38100" bIns="19050" anchor="ctr">
                <a:spAutoFit/>
              </a:bodyPr>
              <a:lstStyle/>
              <a:p>
                <a:pPr>
                  <a:defRPr sz="784"/>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Sheet1!$E$2:$E$6</c:f>
              <c:numCache>
                <c:formatCode>0.0</c:formatCode>
                <c:ptCount val="5"/>
                <c:pt idx="0">
                  <c:v>6.6038337286110593</c:v>
                </c:pt>
                <c:pt idx="1">
                  <c:v>6.3491451696598507</c:v>
                </c:pt>
                <c:pt idx="2">
                  <c:v>6.9083424251944709</c:v>
                </c:pt>
                <c:pt idx="3">
                  <c:v>6.5133186666833724</c:v>
                </c:pt>
                <c:pt idx="4">
                  <c:v>6.8066084203519059</c:v>
                </c:pt>
              </c:numCache>
            </c:numRef>
          </c:val>
          <c:extLst>
            <c:ext xmlns:c16="http://schemas.microsoft.com/office/drawing/2014/chart" uri="{C3380CC4-5D6E-409C-BE32-E72D297353CC}">
              <c16:uniqueId val="{00000007-6FF5-4EBA-B488-6A1B7DA064B4}"/>
            </c:ext>
          </c:extLst>
        </c:ser>
        <c:ser>
          <c:idx val="4"/>
          <c:order val="3"/>
          <c:tx>
            <c:strRef>
              <c:f>Sheet1!$F$1</c:f>
              <c:strCache>
                <c:ptCount val="1"/>
                <c:pt idx="0">
                  <c:v>Ծառայություններ</c:v>
                </c:pt>
              </c:strCache>
            </c:strRef>
          </c:tx>
          <c:spPr>
            <a:solidFill>
              <a:srgbClr val="4F81BD"/>
            </a:solidFill>
            <a:ln w="24878">
              <a:noFill/>
            </a:ln>
          </c:spPr>
          <c:invertIfNegative val="0"/>
          <c:dLbls>
            <c:spPr>
              <a:noFill/>
              <a:ln w="24878">
                <a:noFill/>
              </a:ln>
            </c:spPr>
            <c:txPr>
              <a:bodyPr wrap="square" lIns="38100" tIns="19050" rIns="38100" bIns="19050" anchor="ctr">
                <a:spAutoFit/>
              </a:bodyPr>
              <a:lstStyle/>
              <a:p>
                <a:pPr>
                  <a:defRPr sz="784"/>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Sheet1!$F$2:$F$6</c:f>
              <c:numCache>
                <c:formatCode>0.0</c:formatCode>
                <c:ptCount val="5"/>
                <c:pt idx="0">
                  <c:v>50.677546310515176</c:v>
                </c:pt>
                <c:pt idx="1">
                  <c:v>52.112404130880435</c:v>
                </c:pt>
                <c:pt idx="2">
                  <c:v>50.930889787878577</c:v>
                </c:pt>
                <c:pt idx="3">
                  <c:v>51.03314102001837</c:v>
                </c:pt>
                <c:pt idx="4">
                  <c:v>53.683681669494966</c:v>
                </c:pt>
              </c:numCache>
            </c:numRef>
          </c:val>
          <c:extLst>
            <c:ext xmlns:c16="http://schemas.microsoft.com/office/drawing/2014/chart" uri="{C3380CC4-5D6E-409C-BE32-E72D297353CC}">
              <c16:uniqueId val="{00000008-6FF5-4EBA-B488-6A1B7DA064B4}"/>
            </c:ext>
          </c:extLst>
        </c:ser>
        <c:ser>
          <c:idx val="0"/>
          <c:order val="4"/>
          <c:tx>
            <c:strRef>
              <c:f>Sheet1!$B$1</c:f>
              <c:strCache>
                <c:ptCount val="1"/>
                <c:pt idx="0">
                  <c:v>Զուտ անուղղակի հարկ</c:v>
                </c:pt>
              </c:strCache>
            </c:strRef>
          </c:tx>
          <c:spPr>
            <a:solidFill>
              <a:srgbClr val="70BDD2"/>
            </a:solidFill>
          </c:spPr>
          <c:invertIfNegative val="0"/>
          <c:dLbls>
            <c:dLbl>
              <c:idx val="0"/>
              <c:layout>
                <c:manualLayout>
                  <c:x val="8.5963725269067043E-5"/>
                  <c:y val="-6.414368184733803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F5-4EBA-B488-6A1B7DA064B4}"/>
                </c:ext>
              </c:extLst>
            </c:dLbl>
            <c:dLbl>
              <c:idx val="1"/>
              <c:layout>
                <c:manualLayout>
                  <c:x val="-4.1511000415110008E-3"/>
                  <c:y val="-1.282873636946760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FF5-4EBA-B488-6A1B7DA064B4}"/>
                </c:ext>
              </c:extLst>
            </c:dLbl>
            <c:spPr>
              <a:noFill/>
              <a:ln w="24878">
                <a:noFill/>
              </a:ln>
            </c:spPr>
            <c:txPr>
              <a:bodyPr wrap="square" lIns="38100" tIns="19050" rIns="38100" bIns="19050" anchor="ctr">
                <a:spAutoFit/>
              </a:bodyPr>
              <a:lstStyle/>
              <a:p>
                <a:pPr>
                  <a:defRPr sz="784"/>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0.0</c:formatCode>
                <c:ptCount val="5"/>
                <c:pt idx="0">
                  <c:v>10.623584186444512</c:v>
                </c:pt>
                <c:pt idx="1">
                  <c:v>11.390376673817265</c:v>
                </c:pt>
                <c:pt idx="2">
                  <c:v>10.902009358736903</c:v>
                </c:pt>
                <c:pt idx="3">
                  <c:v>10.987976807837649</c:v>
                </c:pt>
                <c:pt idx="4">
                  <c:v>10.390898884152307</c:v>
                </c:pt>
              </c:numCache>
            </c:numRef>
          </c:val>
          <c:extLst>
            <c:ext xmlns:c16="http://schemas.microsoft.com/office/drawing/2014/chart" uri="{C3380CC4-5D6E-409C-BE32-E72D297353CC}">
              <c16:uniqueId val="{0000000B-6FF5-4EBA-B488-6A1B7DA064B4}"/>
            </c:ext>
          </c:extLst>
        </c:ser>
        <c:dLbls>
          <c:showLegendKey val="0"/>
          <c:showVal val="0"/>
          <c:showCatName val="0"/>
          <c:showSerName val="0"/>
          <c:showPercent val="0"/>
          <c:showBubbleSize val="0"/>
        </c:dLbls>
        <c:gapWidth val="219"/>
        <c:overlap val="100"/>
        <c:axId val="217001208"/>
        <c:axId val="1"/>
      </c:barChart>
      <c:catAx>
        <c:axId val="217001208"/>
        <c:scaling>
          <c:orientation val="minMax"/>
        </c:scaling>
        <c:delete val="0"/>
        <c:axPos val="b"/>
        <c:numFmt formatCode="General" sourceLinked="1"/>
        <c:majorTickMark val="none"/>
        <c:minorTickMark val="none"/>
        <c:tickLblPos val="nextTo"/>
        <c:spPr>
          <a:noFill/>
          <a:ln w="9329" cap="flat" cmpd="sng" algn="ctr">
            <a:solidFill>
              <a:schemeClr val="tx1">
                <a:lumMod val="15000"/>
                <a:lumOff val="85000"/>
              </a:schemeClr>
            </a:solidFill>
            <a:round/>
          </a:ln>
          <a:effectLst/>
        </c:spPr>
        <c:txPr>
          <a:bodyPr rot="-60000000" spcFirstLastPara="1" vertOverflow="ellipsis" vert="horz" wrap="square" anchor="ctr" anchorCtr="1"/>
          <a:lstStyle/>
          <a:p>
            <a:pPr>
              <a:defRPr sz="784"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
        <c:noMultiLvlLbl val="0"/>
      </c:catAx>
      <c:valAx>
        <c:axId val="1"/>
        <c:scaling>
          <c:orientation val="minMax"/>
          <c:max val="110"/>
          <c:min val="0"/>
        </c:scaling>
        <c:delete val="0"/>
        <c:axPos val="l"/>
        <c:majorGridlines>
          <c:spPr>
            <a:ln w="9329" cap="flat" cmpd="sng" algn="ctr">
              <a:solidFill>
                <a:schemeClr val="tx1">
                  <a:lumMod val="15000"/>
                  <a:lumOff val="85000"/>
                </a:schemeClr>
              </a:solidFill>
              <a:round/>
            </a:ln>
            <a:effectLst/>
          </c:spPr>
        </c:majorGridlines>
        <c:numFmt formatCode="0.0" sourceLinked="1"/>
        <c:majorTickMark val="none"/>
        <c:minorTickMark val="none"/>
        <c:tickLblPos val="nextTo"/>
        <c:spPr>
          <a:ln w="9329">
            <a:noFill/>
          </a:ln>
        </c:spPr>
        <c:txPr>
          <a:bodyPr rot="-60000000" spcFirstLastPara="1" vertOverflow="ellipsis" vert="horz" wrap="square" anchor="ctr" anchorCtr="1"/>
          <a:lstStyle/>
          <a:p>
            <a:pPr>
              <a:defRPr sz="686" b="0" i="0" u="none" strike="noStrike" kern="1200" baseline="0">
                <a:solidFill>
                  <a:sysClr val="windowText" lastClr="000000"/>
                </a:solidFill>
                <a:latin typeface="GHEA Grapalat" panose="02000506050000020003" pitchFamily="50" charset="0"/>
                <a:ea typeface="+mn-ea"/>
                <a:cs typeface="+mn-cs"/>
              </a:defRPr>
            </a:pPr>
            <a:endParaRPr lang="en-US"/>
          </a:p>
        </c:txPr>
        <c:crossAx val="217001208"/>
        <c:crosses val="autoZero"/>
        <c:crossBetween val="between"/>
        <c:majorUnit val="20"/>
      </c:valAx>
      <c:spPr>
        <a:solidFill>
          <a:schemeClr val="bg1"/>
        </a:solidFill>
        <a:ln>
          <a:noFill/>
        </a:ln>
        <a:effectLst/>
      </c:spPr>
    </c:plotArea>
    <c:legend>
      <c:legendPos val="b"/>
      <c:layout>
        <c:manualLayout>
          <c:xMode val="edge"/>
          <c:yMode val="edge"/>
          <c:x val="7.2418664708712055E-2"/>
          <c:y val="0.8185476815398075"/>
          <c:w val="0.87328691630587973"/>
          <c:h val="0.16491635515257563"/>
        </c:manualLayout>
      </c:layout>
      <c:overlay val="0"/>
      <c:spPr>
        <a:noFill/>
        <a:ln w="24878">
          <a:noFill/>
        </a:ln>
      </c:spPr>
      <c:txPr>
        <a:bodyPr rot="0" spcFirstLastPara="1" vertOverflow="ellipsis" vert="horz" wrap="square" anchor="ctr" anchorCtr="1"/>
        <a:lstStyle/>
        <a:p>
          <a:pPr>
            <a:defRPr sz="588"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solidFill>
      <a:sysClr val="window" lastClr="FFFFFF"/>
    </a:solidFill>
    <a:ln w="9329" cap="flat" cmpd="sng" algn="ctr">
      <a:solidFill>
        <a:schemeClr val="bg2"/>
      </a:solidFill>
      <a:round/>
    </a:ln>
    <a:effectLst/>
  </c:spPr>
  <c:txPr>
    <a:bodyPr/>
    <a:lstStyle/>
    <a:p>
      <a:pPr>
        <a:spcBef>
          <a:spcPts val="300"/>
        </a:spcBef>
        <a:defRPr/>
      </a:pPr>
      <a:endParaRPr lang="en-US"/>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144380182565675"/>
          <c:y val="3.7777492797113718E-2"/>
          <c:w val="0.90870169874599005"/>
          <c:h val="0.76645817191056465"/>
        </c:manualLayout>
      </c:layout>
      <c:barChart>
        <c:barDir val="col"/>
        <c:grouping val="stacked"/>
        <c:varyColors val="0"/>
        <c:ser>
          <c:idx val="1"/>
          <c:order val="1"/>
          <c:tx>
            <c:strRef>
              <c:f>Sheet1!$A$3</c:f>
              <c:strCache>
                <c:ptCount val="1"/>
                <c:pt idx="0">
                  <c:v>Ներքին աղբյուրներ</c:v>
                </c:pt>
              </c:strCache>
            </c:strRef>
          </c:tx>
          <c:spPr>
            <a:solidFill>
              <a:srgbClr val="9BBB59">
                <a:lumMod val="60000"/>
                <a:lumOff val="40000"/>
              </a:srgbClr>
            </a:solidFill>
            <a:scene3d>
              <a:camera prst="orthographicFront"/>
              <a:lightRig rig="threePt" dir="t"/>
            </a:scene3d>
            <a:sp3d prstMaterial="matte">
              <a:bevelT w="127000" h="63500"/>
            </a:sp3d>
          </c:spPr>
          <c:invertIfNegative val="0"/>
          <c:dLbls>
            <c:dLbl>
              <c:idx val="0"/>
              <c:layout>
                <c:manualLayout>
                  <c:x val="2.2747156605424322E-4"/>
                  <c:y val="-1.14459633913838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AB-4C71-864E-D4D6353F3C18}"/>
                </c:ext>
              </c:extLst>
            </c:dLbl>
            <c:dLbl>
              <c:idx val="1"/>
              <c:layout>
                <c:manualLayout>
                  <c:x val="-1.9473724004236081E-3"/>
                  <c:y val="9.370176204158442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AB-4C71-864E-D4D6353F3C18}"/>
                </c:ext>
              </c:extLst>
            </c:dLbl>
            <c:dLbl>
              <c:idx val="2"/>
              <c:layout>
                <c:manualLayout>
                  <c:x val="2.4328633867434593E-3"/>
                  <c:y val="9.516741026908767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AB-4C71-864E-D4D6353F3C18}"/>
                </c:ext>
              </c:extLst>
            </c:dLbl>
            <c:dLbl>
              <c:idx val="3"/>
              <c:layout>
                <c:manualLayout>
                  <c:x val="6.6610423697038082E-3"/>
                  <c:y val="-2.86644951140065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AB-4C71-864E-D4D6353F3C18}"/>
                </c:ext>
              </c:extLst>
            </c:dLbl>
            <c:dLbl>
              <c:idx val="4"/>
              <c:layout>
                <c:manualLayout>
                  <c:x val="8.0309604156623277E-3"/>
                  <c:y val="2.7897099181820573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AB-4C71-864E-D4D6353F3C18}"/>
                </c:ext>
              </c:extLst>
            </c:dLbl>
            <c:spPr>
              <a:noFill/>
              <a:ln w="25396">
                <a:noFill/>
              </a:ln>
            </c:spPr>
            <c:txPr>
              <a:bodyPr/>
              <a:lstStyle/>
              <a:p>
                <a:pPr>
                  <a:defRPr sz="1066" b="1" i="0" u="none" strike="noStrike" baseline="0">
                    <a:solidFill>
                      <a:schemeClr val="tx2"/>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Sheet1!$B$3:$D$3</c:f>
              <c:numCache>
                <c:formatCode>_(* #,##0.0_);_(* \(#,##0.0\);_(* "-"??_);_(@_)</c:formatCode>
                <c:ptCount val="3"/>
                <c:pt idx="0">
                  <c:v>359.37895146999995</c:v>
                </c:pt>
                <c:pt idx="1">
                  <c:v>101.21892348</c:v>
                </c:pt>
                <c:pt idx="2" formatCode="0.0">
                  <c:v>288.08251970700002</c:v>
                </c:pt>
              </c:numCache>
            </c:numRef>
          </c:val>
          <c:extLst>
            <c:ext xmlns:c16="http://schemas.microsoft.com/office/drawing/2014/chart" uri="{C3380CC4-5D6E-409C-BE32-E72D297353CC}">
              <c16:uniqueId val="{00000005-D2AB-4C71-864E-D4D6353F3C18}"/>
            </c:ext>
          </c:extLst>
        </c:ser>
        <c:ser>
          <c:idx val="2"/>
          <c:order val="2"/>
          <c:tx>
            <c:strRef>
              <c:f>Sheet1!$A$4</c:f>
              <c:strCache>
                <c:ptCount val="1"/>
                <c:pt idx="0">
                  <c:v>Արտաքին աղբյուրներ</c:v>
                </c:pt>
              </c:strCache>
            </c:strRef>
          </c:tx>
          <c:spPr>
            <a:solidFill>
              <a:srgbClr val="F79646">
                <a:lumMod val="60000"/>
                <a:lumOff val="40000"/>
              </a:srgbClr>
            </a:solidFill>
            <a:scene3d>
              <a:camera prst="orthographicFront"/>
              <a:lightRig rig="threePt" dir="t"/>
            </a:scene3d>
            <a:sp3d prstMaterial="matte">
              <a:bevelT w="127000" h="63500"/>
            </a:sp3d>
          </c:spPr>
          <c:invertIfNegative val="0"/>
          <c:dLbls>
            <c:dLbl>
              <c:idx val="0"/>
              <c:layout>
                <c:manualLayout>
                  <c:x val="-3.6403264335594797E-3"/>
                  <c:y val="2.44010787170955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AB-4C71-864E-D4D6353F3C18}"/>
                </c:ext>
              </c:extLst>
            </c:dLbl>
            <c:dLbl>
              <c:idx val="1"/>
              <c:layout>
                <c:manualLayout>
                  <c:x val="-1.5340781517354579E-3"/>
                  <c:y val="3.4371403900245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AB-4C71-864E-D4D6353F3C18}"/>
                </c:ext>
              </c:extLst>
            </c:dLbl>
            <c:dLbl>
              <c:idx val="2"/>
              <c:layout>
                <c:manualLayout>
                  <c:x val="2.6830495745553931E-3"/>
                  <c:y val="-9.38103909649730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2AB-4C71-864E-D4D6353F3C18}"/>
                </c:ext>
              </c:extLst>
            </c:dLbl>
            <c:dLbl>
              <c:idx val="3"/>
              <c:layout>
                <c:manualLayout>
                  <c:x val="8.8522107813446393E-3"/>
                  <c:y val="1.17842049404841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AB-4C71-864E-D4D6353F3C18}"/>
                </c:ext>
              </c:extLst>
            </c:dLbl>
            <c:dLbl>
              <c:idx val="4"/>
              <c:layout>
                <c:manualLayout>
                  <c:x val="1.1290642241148429E-2"/>
                  <c:y val="5.762240631973160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AB-4C71-864E-D4D6353F3C18}"/>
                </c:ext>
              </c:extLst>
            </c:dLbl>
            <c:spPr>
              <a:noFill/>
              <a:ln w="25396">
                <a:noFill/>
              </a:ln>
            </c:spPr>
            <c:txPr>
              <a:bodyPr/>
              <a:lstStyle/>
              <a:p>
                <a:pPr>
                  <a:defRPr sz="1066" b="1" i="0" u="none" strike="noStrike" baseline="0">
                    <a:solidFill>
                      <a:schemeClr val="tx2"/>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Sheet1!$B$4:$D$4</c:f>
              <c:numCache>
                <c:formatCode>_(* #,##0.0_);_(* \(#,##0.0\);_(* "-"??_);_(@_)</c:formatCode>
                <c:ptCount val="3"/>
                <c:pt idx="0">
                  <c:v>-25.387198920000017</c:v>
                </c:pt>
                <c:pt idx="1">
                  <c:v>219.25060372999999</c:v>
                </c:pt>
                <c:pt idx="2" formatCode="0.0">
                  <c:v>-108.61489435999999</c:v>
                </c:pt>
              </c:numCache>
            </c:numRef>
          </c:val>
          <c:extLst>
            <c:ext xmlns:c16="http://schemas.microsoft.com/office/drawing/2014/chart" uri="{C3380CC4-5D6E-409C-BE32-E72D297353CC}">
              <c16:uniqueId val="{0000000B-D2AB-4C71-864E-D4D6353F3C18}"/>
            </c:ext>
          </c:extLst>
        </c:ser>
        <c:dLbls>
          <c:showLegendKey val="0"/>
          <c:showVal val="0"/>
          <c:showCatName val="0"/>
          <c:showSerName val="0"/>
          <c:showPercent val="0"/>
          <c:showBubbleSize val="0"/>
        </c:dLbls>
        <c:gapWidth val="260"/>
        <c:overlap val="100"/>
        <c:axId val="124129216"/>
        <c:axId val="1"/>
      </c:barChart>
      <c:lineChart>
        <c:grouping val="standard"/>
        <c:varyColors val="0"/>
        <c:ser>
          <c:idx val="0"/>
          <c:order val="0"/>
          <c:tx>
            <c:strRef>
              <c:f>Sheet1!$A$2</c:f>
              <c:strCache>
                <c:ptCount val="1"/>
                <c:pt idx="0">
                  <c:v>Պետական բյուջեի դեֆիցիտ</c:v>
                </c:pt>
              </c:strCache>
            </c:strRef>
          </c:tx>
          <c:spPr>
            <a:ln w="20309">
              <a:prstDash val="dash"/>
            </a:ln>
          </c:spPr>
          <c:marker>
            <c:symbol val="none"/>
          </c:marker>
          <c:dPt>
            <c:idx val="1"/>
            <c:bubble3D val="0"/>
            <c:spPr>
              <a:ln w="20309">
                <a:solidFill>
                  <a:srgbClr val="1F497D"/>
                </a:solidFill>
                <a:prstDash val="dash"/>
              </a:ln>
            </c:spPr>
            <c:extLst>
              <c:ext xmlns:c16="http://schemas.microsoft.com/office/drawing/2014/chart" uri="{C3380CC4-5D6E-409C-BE32-E72D297353CC}">
                <c16:uniqueId val="{0000000D-D2AB-4C71-864E-D4D6353F3C18}"/>
              </c:ext>
            </c:extLst>
          </c:dPt>
          <c:dPt>
            <c:idx val="2"/>
            <c:bubble3D val="0"/>
            <c:spPr>
              <a:ln w="20309">
                <a:solidFill>
                  <a:srgbClr val="1F497D"/>
                </a:solidFill>
                <a:prstDash val="dash"/>
              </a:ln>
            </c:spPr>
            <c:extLst>
              <c:ext xmlns:c16="http://schemas.microsoft.com/office/drawing/2014/chart" uri="{C3380CC4-5D6E-409C-BE32-E72D297353CC}">
                <c16:uniqueId val="{0000000F-D2AB-4C71-864E-D4D6353F3C18}"/>
              </c:ext>
            </c:extLst>
          </c:dPt>
          <c:dLbls>
            <c:dLbl>
              <c:idx val="0"/>
              <c:layout>
                <c:manualLayout>
                  <c:x val="-6.6053468980094301E-2"/>
                  <c:y val="2.1068164525036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2AB-4C71-864E-D4D6353F3C18}"/>
                </c:ext>
              </c:extLst>
            </c:dLbl>
            <c:dLbl>
              <c:idx val="1"/>
              <c:layout>
                <c:manualLayout>
                  <c:x val="-5.0690079669244888E-2"/>
                  <c:y val="-4.8483760376858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2AB-4C71-864E-D4D6353F3C18}"/>
                </c:ext>
              </c:extLst>
            </c:dLbl>
            <c:dLbl>
              <c:idx val="2"/>
              <c:layout>
                <c:manualLayout>
                  <c:x val="-4.0670451959995434E-2"/>
                  <c:y val="-4.0742603160481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2AB-4C71-864E-D4D6353F3C18}"/>
                </c:ext>
              </c:extLst>
            </c:dLbl>
            <c:dLbl>
              <c:idx val="3"/>
              <c:layout>
                <c:manualLayout>
                  <c:x val="-6.9443998071669613E-3"/>
                  <c:y val="1.0423452768729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2AB-4C71-864E-D4D6353F3C18}"/>
                </c:ext>
              </c:extLst>
            </c:dLbl>
            <c:dLbl>
              <c:idx val="4"/>
              <c:layout>
                <c:manualLayout>
                  <c:x val="-1.7006802721088437E-2"/>
                  <c:y val="2.605863192182410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2AB-4C71-864E-D4D6353F3C18}"/>
                </c:ext>
              </c:extLst>
            </c:dLbl>
            <c:spPr>
              <a:noFill/>
              <a:ln w="25396">
                <a:noFill/>
              </a:ln>
            </c:spPr>
            <c:txPr>
              <a:bodyPr/>
              <a:lstStyle/>
              <a:p>
                <a:pPr>
                  <a:defRPr sz="1066" b="1" i="0" u="none" strike="noStrike" baseline="0">
                    <a:solidFill>
                      <a:schemeClr val="tx2"/>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Sheet1!$B$2:$D$2</c:f>
              <c:numCache>
                <c:formatCode>_(* #,##0.0_);_(* \(#,##0.0\);_(* "-"??_);_(@_)</c:formatCode>
                <c:ptCount val="3"/>
                <c:pt idx="0">
                  <c:v>333.99175254999994</c:v>
                </c:pt>
                <c:pt idx="1">
                  <c:v>320.46952721000002</c:v>
                </c:pt>
                <c:pt idx="2" formatCode="0.0">
                  <c:v>179.46762534699999</c:v>
                </c:pt>
              </c:numCache>
            </c:numRef>
          </c:val>
          <c:smooth val="0"/>
          <c:extLst>
            <c:ext xmlns:c16="http://schemas.microsoft.com/office/drawing/2014/chart" uri="{C3380CC4-5D6E-409C-BE32-E72D297353CC}">
              <c16:uniqueId val="{00000013-D2AB-4C71-864E-D4D6353F3C18}"/>
            </c:ext>
          </c:extLst>
        </c:ser>
        <c:dLbls>
          <c:showLegendKey val="0"/>
          <c:showVal val="0"/>
          <c:showCatName val="0"/>
          <c:showSerName val="0"/>
          <c:showPercent val="0"/>
          <c:showBubbleSize val="0"/>
        </c:dLbls>
        <c:marker val="1"/>
        <c:smooth val="0"/>
        <c:axId val="124129216"/>
        <c:axId val="1"/>
      </c:lineChart>
      <c:lineChart>
        <c:grouping val="standard"/>
        <c:varyColors val="0"/>
        <c:ser>
          <c:idx val="3"/>
          <c:order val="3"/>
          <c:tx>
            <c:strRef>
              <c:f>Sheet1!$A$5</c:f>
              <c:strCache>
                <c:ptCount val="1"/>
                <c:pt idx="0">
                  <c:v>Դեֆիցիտ / ՀՆԱ</c:v>
                </c:pt>
              </c:strCache>
            </c:strRef>
          </c:tx>
          <c:marker>
            <c:symbol val="diamond"/>
            <c:size val="5"/>
          </c:marker>
          <c:dLbls>
            <c:dLbl>
              <c:idx val="0"/>
              <c:layout>
                <c:manualLayout>
                  <c:x val="-5.0631856858600638E-2"/>
                  <c:y val="-4.3464908905930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2AB-4C71-864E-D4D6353F3C18}"/>
                </c:ext>
              </c:extLst>
            </c:dLbl>
            <c:dLbl>
              <c:idx val="1"/>
              <c:layout>
                <c:manualLayout>
                  <c:x val="-3.4275892504587367E-2"/>
                  <c:y val="4.9486094368497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2AB-4C71-864E-D4D6353F3C18}"/>
                </c:ext>
              </c:extLst>
            </c:dLbl>
            <c:dLbl>
              <c:idx val="2"/>
              <c:layout>
                <c:manualLayout>
                  <c:x val="-3.7946658266558873E-2"/>
                  <c:y val="3.78291362406153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2AB-4C71-864E-D4D6353F3C18}"/>
                </c:ext>
              </c:extLst>
            </c:dLbl>
            <c:dLbl>
              <c:idx val="3"/>
              <c:layout>
                <c:manualLayout>
                  <c:x val="-3.2880041780491726E-2"/>
                  <c:y val="2.2167893508425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2AB-4C71-864E-D4D6353F3C18}"/>
                </c:ext>
              </c:extLst>
            </c:dLbl>
            <c:dLbl>
              <c:idx val="4"/>
              <c:layout>
                <c:manualLayout>
                  <c:x val="1.1337913118003107E-2"/>
                  <c:y val="-1.2258842237554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2AB-4C71-864E-D4D6353F3C18}"/>
                </c:ext>
              </c:extLst>
            </c:dLbl>
            <c:spPr>
              <a:noFill/>
              <a:ln w="25396">
                <a:noFill/>
              </a:ln>
            </c:spPr>
            <c:txPr>
              <a:bodyPr/>
              <a:lstStyle/>
              <a:p>
                <a:pPr>
                  <a:defRPr sz="1066" b="1" i="0" u="none" strike="noStrike" baseline="0">
                    <a:solidFill>
                      <a:schemeClr val="accent4">
                        <a:lumMod val="75000"/>
                      </a:schemeClr>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Sheet1!$B$5:$D$5</c:f>
              <c:numCache>
                <c:formatCode>0.0%</c:formatCode>
                <c:ptCount val="3"/>
                <c:pt idx="0">
                  <c:v>5.4029425175810261E-2</c:v>
                </c:pt>
                <c:pt idx="1">
                  <c:v>4.5893807414423525E-2</c:v>
                </c:pt>
                <c:pt idx="2">
                  <c:v>2.1100000000000001E-2</c:v>
                </c:pt>
              </c:numCache>
            </c:numRef>
          </c:val>
          <c:smooth val="0"/>
          <c:extLst>
            <c:ext xmlns:c16="http://schemas.microsoft.com/office/drawing/2014/chart" uri="{C3380CC4-5D6E-409C-BE32-E72D297353CC}">
              <c16:uniqueId val="{00000019-D2AB-4C71-864E-D4D6353F3C18}"/>
            </c:ext>
          </c:extLst>
        </c:ser>
        <c:dLbls>
          <c:showLegendKey val="0"/>
          <c:showVal val="0"/>
          <c:showCatName val="0"/>
          <c:showSerName val="0"/>
          <c:showPercent val="0"/>
          <c:showBubbleSize val="0"/>
        </c:dLbls>
        <c:marker val="1"/>
        <c:smooth val="0"/>
        <c:axId val="3"/>
        <c:axId val="4"/>
      </c:lineChart>
      <c:catAx>
        <c:axId val="124129216"/>
        <c:scaling>
          <c:orientation val="minMax"/>
        </c:scaling>
        <c:delete val="0"/>
        <c:axPos val="b"/>
        <c:numFmt formatCode="General" sourceLinked="0"/>
        <c:majorTickMark val="out"/>
        <c:minorTickMark val="none"/>
        <c:tickLblPos val="nextTo"/>
        <c:txPr>
          <a:bodyPr rot="0" vert="horz"/>
          <a:lstStyle/>
          <a:p>
            <a:pPr>
              <a:defRPr sz="1065" b="1" i="0" u="none" strike="noStrike" baseline="0">
                <a:solidFill>
                  <a:srgbClr val="333399"/>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max val="400"/>
        </c:scaling>
        <c:delete val="0"/>
        <c:axPos val="l"/>
        <c:majorGridlines/>
        <c:numFmt formatCode="_(* #,##0.0_);_(* \(#,##0.0\);_(* &quot;-&quot;??_);_(@_)" sourceLinked="1"/>
        <c:majorTickMark val="out"/>
        <c:minorTickMark val="none"/>
        <c:tickLblPos val="nextTo"/>
        <c:txPr>
          <a:bodyPr rot="0" vert="horz"/>
          <a:lstStyle/>
          <a:p>
            <a:pPr>
              <a:defRPr sz="1065" b="1" i="0" u="none" strike="noStrike" baseline="0">
                <a:solidFill>
                  <a:srgbClr val="333399"/>
                </a:solidFill>
                <a:latin typeface="GHEA Grapalat"/>
                <a:ea typeface="GHEA Grapalat"/>
                <a:cs typeface="GHEA Grapalat"/>
              </a:defRPr>
            </a:pPr>
            <a:endParaRPr lang="en-US"/>
          </a:p>
        </c:txPr>
        <c:crossAx val="12412921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6.0000000000000012E-2"/>
          <c:min val="-1.0000000000000002E-2"/>
        </c:scaling>
        <c:delete val="0"/>
        <c:axPos val="r"/>
        <c:numFmt formatCode="0.0%" sourceLinked="1"/>
        <c:majorTickMark val="out"/>
        <c:minorTickMark val="none"/>
        <c:tickLblPos val="nextTo"/>
        <c:txPr>
          <a:bodyPr rot="0" vert="horz"/>
          <a:lstStyle/>
          <a:p>
            <a:pPr>
              <a:defRPr sz="1065" b="1" i="0" u="none" strike="noStrike" baseline="0">
                <a:solidFill>
                  <a:srgbClr val="333399"/>
                </a:solidFill>
                <a:latin typeface="GHEA Grapalat"/>
                <a:ea typeface="GHEA Grapalat"/>
                <a:cs typeface="GHEA Grapalat"/>
              </a:defRPr>
            </a:pPr>
            <a:endParaRPr lang="en-US"/>
          </a:p>
        </c:txPr>
        <c:crossAx val="3"/>
        <c:crosses val="max"/>
        <c:crossBetween val="between"/>
      </c:valAx>
    </c:plotArea>
    <c:legend>
      <c:legendPos val="b"/>
      <c:layout>
        <c:manualLayout>
          <c:xMode val="edge"/>
          <c:yMode val="edge"/>
          <c:x val="1.8432740817577443E-2"/>
          <c:y val="0.83778396387320264"/>
          <c:w val="0.91410030333034731"/>
          <c:h val="0.15765140468552541"/>
        </c:manualLayout>
      </c:layout>
      <c:overlay val="0"/>
      <c:txPr>
        <a:bodyPr/>
        <a:lstStyle/>
        <a:p>
          <a:pPr>
            <a:defRPr sz="981" b="1" i="0" u="none" strike="noStrike" baseline="0">
              <a:solidFill>
                <a:srgbClr val="333399"/>
              </a:solidFill>
              <a:latin typeface="GHEA Grapalat"/>
              <a:ea typeface="GHEA Grapalat"/>
              <a:cs typeface="GHEA Grapalat"/>
            </a:defRPr>
          </a:pPr>
          <a:endParaRPr lang="en-US"/>
        </a:p>
      </c:txPr>
    </c:legend>
    <c:plotVisOnly val="1"/>
    <c:dispBlanksAs val="gap"/>
    <c:showDLblsOverMax val="0"/>
  </c:chart>
  <c:txPr>
    <a:bodyPr/>
    <a:lstStyle/>
    <a:p>
      <a:pPr>
        <a:defRPr sz="1065"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713466301935558"/>
          <c:y val="4.5008821342364738E-2"/>
          <c:w val="0.69265765349778152"/>
          <c:h val="0.77947494134385131"/>
        </c:manualLayout>
      </c:layout>
      <c:barChart>
        <c:barDir val="bar"/>
        <c:grouping val="clustered"/>
        <c:varyColors val="0"/>
        <c:ser>
          <c:idx val="0"/>
          <c:order val="0"/>
          <c:tx>
            <c:strRef>
              <c:f>Sheet1!$B$1</c:f>
              <c:strCache>
                <c:ptCount val="1"/>
                <c:pt idx="0">
                  <c:v>2022թ. ճշտված ծրագիր</c:v>
                </c:pt>
              </c:strCache>
            </c:strRef>
          </c:tx>
          <c:spPr>
            <a:solidFill>
              <a:srgbClr val="FFC000"/>
            </a:solidFill>
          </c:spPr>
          <c:invertIfNegative val="0"/>
          <c:dLbls>
            <c:dLbl>
              <c:idx val="6"/>
              <c:layout>
                <c:manualLayout>
                  <c:x val="0"/>
                  <c:y val="2.45502661867444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B2-4B41-BA67-67C9485FD3D8}"/>
                </c:ext>
              </c:extLst>
            </c:dLbl>
            <c:numFmt formatCode="#,##0.0" sourceLinked="0"/>
            <c:spPr>
              <a:noFill/>
              <a:ln w="25400">
                <a:noFill/>
              </a:ln>
            </c:spPr>
            <c:txPr>
              <a:bodyPr/>
              <a:lstStyle/>
              <a:p>
                <a:pPr>
                  <a:defRPr sz="900" baseline="0">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Այլ դոնորներ</c:v>
                </c:pt>
                <c:pt idx="1">
                  <c:v>Վերակառուցման և զարգացման
եվրոպական բանկ</c:v>
                </c:pt>
                <c:pt idx="2">
                  <c:v>Եվրոպական ներդրումային բանկ</c:v>
                </c:pt>
                <c:pt idx="3">
                  <c:v>Եվրասիական զարգացման բանկ</c:v>
                </c:pt>
                <c:pt idx="4">
                  <c:v>Ֆրանսիա</c:v>
                </c:pt>
                <c:pt idx="5">
                  <c:v>Գերմանիա (Վերականգնման
վարկերի բանկ)</c:v>
                </c:pt>
                <c:pt idx="6">
                  <c:v>Ասիական զարգացման բանկ</c:v>
                </c:pt>
                <c:pt idx="7">
                  <c:v>Համաշխարհային բանկ</c:v>
                </c:pt>
              </c:strCache>
            </c:strRef>
          </c:cat>
          <c:val>
            <c:numRef>
              <c:f>Sheet1!$B$2:$B$9</c:f>
              <c:numCache>
                <c:formatCode>General</c:formatCode>
                <c:ptCount val="8"/>
                <c:pt idx="0">
                  <c:v>0.60841460000000003</c:v>
                </c:pt>
                <c:pt idx="1">
                  <c:v>5.1634612000000004</c:v>
                </c:pt>
                <c:pt idx="2">
                  <c:v>5.6593694000000001</c:v>
                </c:pt>
                <c:pt idx="3">
                  <c:v>3.8426729000000002</c:v>
                </c:pt>
                <c:pt idx="4">
                  <c:v>3.6407210999999999</c:v>
                </c:pt>
                <c:pt idx="5">
                  <c:v>1.9707695999999999</c:v>
                </c:pt>
                <c:pt idx="6">
                  <c:v>23.4515402</c:v>
                </c:pt>
                <c:pt idx="7">
                  <c:v>17.627496300000001</c:v>
                </c:pt>
              </c:numCache>
            </c:numRef>
          </c:val>
          <c:extLst>
            <c:ext xmlns:c16="http://schemas.microsoft.com/office/drawing/2014/chart" uri="{C3380CC4-5D6E-409C-BE32-E72D297353CC}">
              <c16:uniqueId val="{00000001-D3B2-4B41-BA67-67C9485FD3D8}"/>
            </c:ext>
          </c:extLst>
        </c:ser>
        <c:ser>
          <c:idx val="1"/>
          <c:order val="1"/>
          <c:tx>
            <c:strRef>
              <c:f>Sheet1!$C$1</c:f>
              <c:strCache>
                <c:ptCount val="1"/>
                <c:pt idx="0">
                  <c:v>2022թ. փաստացի</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2-D3B2-4B41-BA67-67C9485FD3D8}"/>
              </c:ext>
            </c:extLst>
          </c:dPt>
          <c:dPt>
            <c:idx val="1"/>
            <c:invertIfNegative val="0"/>
            <c:bubble3D val="0"/>
            <c:extLst>
              <c:ext xmlns:c16="http://schemas.microsoft.com/office/drawing/2014/chart" uri="{C3380CC4-5D6E-409C-BE32-E72D297353CC}">
                <c16:uniqueId val="{00000003-D3B2-4B41-BA67-67C9485FD3D8}"/>
              </c:ext>
            </c:extLst>
          </c:dPt>
          <c:dPt>
            <c:idx val="2"/>
            <c:invertIfNegative val="0"/>
            <c:bubble3D val="0"/>
            <c:extLst>
              <c:ext xmlns:c16="http://schemas.microsoft.com/office/drawing/2014/chart" uri="{C3380CC4-5D6E-409C-BE32-E72D297353CC}">
                <c16:uniqueId val="{00000004-D3B2-4B41-BA67-67C9485FD3D8}"/>
              </c:ext>
            </c:extLst>
          </c:dPt>
          <c:dPt>
            <c:idx val="3"/>
            <c:invertIfNegative val="0"/>
            <c:bubble3D val="0"/>
            <c:extLst>
              <c:ext xmlns:c16="http://schemas.microsoft.com/office/drawing/2014/chart" uri="{C3380CC4-5D6E-409C-BE32-E72D297353CC}">
                <c16:uniqueId val="{00000005-D3B2-4B41-BA67-67C9485FD3D8}"/>
              </c:ext>
            </c:extLst>
          </c:dPt>
          <c:dPt>
            <c:idx val="6"/>
            <c:invertIfNegative val="0"/>
            <c:bubble3D val="0"/>
            <c:extLst>
              <c:ext xmlns:c16="http://schemas.microsoft.com/office/drawing/2014/chart" uri="{C3380CC4-5D6E-409C-BE32-E72D297353CC}">
                <c16:uniqueId val="{00000006-D3B2-4B41-BA67-67C9485FD3D8}"/>
              </c:ext>
            </c:extLst>
          </c:dPt>
          <c:dPt>
            <c:idx val="7"/>
            <c:invertIfNegative val="0"/>
            <c:bubble3D val="0"/>
            <c:extLst>
              <c:ext xmlns:c16="http://schemas.microsoft.com/office/drawing/2014/chart" uri="{C3380CC4-5D6E-409C-BE32-E72D297353CC}">
                <c16:uniqueId val="{00000007-D3B2-4B41-BA67-67C9485FD3D8}"/>
              </c:ext>
            </c:extLst>
          </c:dPt>
          <c:dLbls>
            <c:dLbl>
              <c:idx val="0"/>
              <c:layout>
                <c:manualLayout>
                  <c:x val="-1.9930244145490781E-3"/>
                  <c:y val="-4.02762154730660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B2-4B41-BA67-67C9485FD3D8}"/>
                </c:ext>
              </c:extLst>
            </c:dLbl>
            <c:dLbl>
              <c:idx val="1"/>
              <c:layout>
                <c:manualLayout>
                  <c:x val="-2.1957815272664306E-6"/>
                  <c:y val="-3.98012748406449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B2-4B41-BA67-67C9485FD3D8}"/>
                </c:ext>
              </c:extLst>
            </c:dLbl>
            <c:dLbl>
              <c:idx val="2"/>
              <c:layout>
                <c:manualLayout>
                  <c:x val="-2.1814459296307146E-3"/>
                  <c:y val="-3.60392752709872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B2-4B41-BA67-67C9485FD3D8}"/>
                </c:ext>
              </c:extLst>
            </c:dLbl>
            <c:dLbl>
              <c:idx val="3"/>
              <c:layout>
                <c:manualLayout>
                  <c:x val="3.9756991546159781E-3"/>
                  <c:y val="-4.23830382790843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B2-4B41-BA67-67C9485FD3D8}"/>
                </c:ext>
              </c:extLst>
            </c:dLbl>
            <c:dLbl>
              <c:idx val="4"/>
              <c:layout>
                <c:manualLayout>
                  <c:x val="-1.821989548825653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B2-4B41-BA67-67C9485FD3D8}"/>
                </c:ext>
              </c:extLst>
            </c:dLbl>
            <c:dLbl>
              <c:idx val="5"/>
              <c:layout>
                <c:manualLayout>
                  <c:x val="4.555770892864145E-4"/>
                  <c:y val="-4.09171103112406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B2-4B41-BA67-67C9485FD3D8}"/>
                </c:ext>
              </c:extLst>
            </c:dLbl>
            <c:dLbl>
              <c:idx val="6"/>
              <c:layout>
                <c:manualLayout>
                  <c:x val="5.9824067710373911E-3"/>
                  <c:y val="-3.69485064366954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B2-4B41-BA67-67C9485FD3D8}"/>
                </c:ext>
              </c:extLst>
            </c:dLbl>
            <c:dLbl>
              <c:idx val="7"/>
              <c:layout>
                <c:manualLayout>
                  <c:x val="4.08336943302725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B2-4B41-BA67-67C9485FD3D8}"/>
                </c:ext>
              </c:extLst>
            </c:dLbl>
            <c:numFmt formatCode="#,##0.0" sourceLinked="0"/>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GHEA Grapalat" pitchFamily="50"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Այլ դոնորներ</c:v>
                </c:pt>
                <c:pt idx="1">
                  <c:v>Վերակառուցման և զարգացման
եվրոպական բանկ</c:v>
                </c:pt>
                <c:pt idx="2">
                  <c:v>Եվրոպական ներդրումային բանկ</c:v>
                </c:pt>
                <c:pt idx="3">
                  <c:v>Եվրասիական զարգացման բանկ</c:v>
                </c:pt>
                <c:pt idx="4">
                  <c:v>Ֆրանսիա</c:v>
                </c:pt>
                <c:pt idx="5">
                  <c:v>Գերմանիա (Վերականգնման
վարկերի բանկ)</c:v>
                </c:pt>
                <c:pt idx="6">
                  <c:v>Ասիական զարգացման բանկ</c:v>
                </c:pt>
                <c:pt idx="7">
                  <c:v>Համաշխարհային բանկ</c:v>
                </c:pt>
              </c:strCache>
            </c:strRef>
          </c:cat>
          <c:val>
            <c:numRef>
              <c:f>Sheet1!$C$2:$C$9</c:f>
              <c:numCache>
                <c:formatCode>_(* #,##0.00_);_(* \(#,##0.00\);_(* "-"??_);_(@_)</c:formatCode>
                <c:ptCount val="8"/>
                <c:pt idx="0">
                  <c:v>-2.4557059999999999E-2</c:v>
                </c:pt>
                <c:pt idx="1">
                  <c:v>3.5363405299999999</c:v>
                </c:pt>
                <c:pt idx="2">
                  <c:v>7.85297</c:v>
                </c:pt>
                <c:pt idx="3">
                  <c:v>3.2332090500000001</c:v>
                </c:pt>
                <c:pt idx="4">
                  <c:v>2.9066100000000001</c:v>
                </c:pt>
                <c:pt idx="5">
                  <c:v>2.3763109400000002</c:v>
                </c:pt>
                <c:pt idx="6">
                  <c:v>18.651049889999999</c:v>
                </c:pt>
                <c:pt idx="7">
                  <c:v>11.72017896</c:v>
                </c:pt>
              </c:numCache>
            </c:numRef>
          </c:val>
          <c:extLst>
            <c:ext xmlns:c16="http://schemas.microsoft.com/office/drawing/2014/chart" uri="{C3380CC4-5D6E-409C-BE32-E72D297353CC}">
              <c16:uniqueId val="{0000000A-D3B2-4B41-BA67-67C9485FD3D8}"/>
            </c:ext>
          </c:extLst>
        </c:ser>
        <c:dLbls>
          <c:showLegendKey val="0"/>
          <c:showVal val="0"/>
          <c:showCatName val="0"/>
          <c:showSerName val="0"/>
          <c:showPercent val="0"/>
          <c:showBubbleSize val="0"/>
        </c:dLbls>
        <c:gapWidth val="100"/>
        <c:axId val="180321496"/>
        <c:axId val="1"/>
      </c:barChart>
      <c:catAx>
        <c:axId val="180321496"/>
        <c:scaling>
          <c:orientation val="minMax"/>
        </c:scaling>
        <c:delete val="0"/>
        <c:axPos val="l"/>
        <c:numFmt formatCode="General" sourceLinked="1"/>
        <c:majorTickMark val="out"/>
        <c:minorTickMark val="none"/>
        <c:tickLblPos val="nextTo"/>
        <c:spPr>
          <a:noFill/>
          <a:ln w="13541" cap="flat" cmpd="sng" algn="ctr">
            <a:solidFill>
              <a:schemeClr val="tx1">
                <a:lumMod val="15000"/>
                <a:lumOff val="85000"/>
              </a:schemeClr>
            </a:solidFill>
            <a:round/>
          </a:ln>
          <a:effectLst/>
        </c:spPr>
        <c:txPr>
          <a:bodyPr rot="-60000000" spcFirstLastPara="1" vertOverflow="ellipsis" vert="horz" wrap="square" anchor="ctr" anchorCtr="1"/>
          <a:lstStyle/>
          <a:p>
            <a:pPr>
              <a:defRPr sz="853" b="0" i="0" u="none" strike="noStrike" kern="1200" baseline="0">
                <a:solidFill>
                  <a:schemeClr val="tx1"/>
                </a:solidFill>
                <a:latin typeface="GHEA Grapalat" pitchFamily="50" charset="0"/>
                <a:ea typeface="+mn-ea"/>
                <a:cs typeface="+mn-cs"/>
              </a:defRPr>
            </a:pPr>
            <a:endParaRPr lang="en-US"/>
          </a:p>
        </c:txPr>
        <c:crossAx val="1"/>
        <c:crosses val="autoZero"/>
        <c:auto val="1"/>
        <c:lblAlgn val="ctr"/>
        <c:lblOffset val="100"/>
        <c:noMultiLvlLbl val="0"/>
      </c:catAx>
      <c:valAx>
        <c:axId val="1"/>
        <c:scaling>
          <c:orientation val="minMax"/>
          <c:min val="0"/>
        </c:scaling>
        <c:delete val="0"/>
        <c:axPos val="b"/>
        <c:majorGridlines>
          <c:spPr>
            <a:ln w="10156" cap="flat" cmpd="sng" algn="ctr">
              <a:solidFill>
                <a:schemeClr val="tx1">
                  <a:lumMod val="15000"/>
                  <a:lumOff val="85000"/>
                </a:schemeClr>
              </a:solidFill>
              <a:round/>
            </a:ln>
            <a:effectLst/>
          </c:spPr>
        </c:majorGridlines>
        <c:numFmt formatCode="_(* #,##0_);_(* \(#,##0\);_(* &quot;-&quot;_);_(@_)" sourceLinked="0"/>
        <c:majorTickMark val="out"/>
        <c:minorTickMark val="none"/>
        <c:tickLblPos val="nextTo"/>
        <c:spPr>
          <a:ln w="10156">
            <a:noFill/>
          </a:ln>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80321496"/>
        <c:crosses val="autoZero"/>
        <c:crossBetween val="between"/>
      </c:valAx>
      <c:spPr>
        <a:solidFill>
          <a:schemeClr val="bg1"/>
        </a:solidFill>
        <a:ln>
          <a:solidFill>
            <a:schemeClr val="accent1">
              <a:lumMod val="20000"/>
              <a:lumOff val="80000"/>
            </a:schemeClr>
          </a:solidFill>
        </a:ln>
        <a:effectLst/>
      </c:spPr>
    </c:plotArea>
    <c:legend>
      <c:legendPos val="b"/>
      <c:overlay val="0"/>
      <c:txPr>
        <a:bodyPr/>
        <a:lstStyle/>
        <a:p>
          <a:pPr>
            <a:defRPr>
              <a:latin typeface="GHEA Grapalat" pitchFamily="50" charset="0"/>
            </a:defRPr>
          </a:pPr>
          <a:endParaRPr lang="en-US"/>
        </a:p>
      </c:txPr>
    </c:legend>
    <c:plotVisOnly val="1"/>
    <c:dispBlanksAs val="gap"/>
    <c:showDLblsOverMax val="0"/>
  </c:chart>
  <c:spPr>
    <a:solidFill>
      <a:schemeClr val="bg1"/>
    </a:solidFill>
    <a:ln w="10156" cap="flat" cmpd="sng" algn="ctr">
      <a:solidFill>
        <a:schemeClr val="tx1"/>
      </a:solidFill>
      <a:round/>
    </a:ln>
    <a:effectLst/>
  </c:spPr>
  <c:txPr>
    <a:bodyPr/>
    <a:lstStyle/>
    <a:p>
      <a:pPr>
        <a:defRPr/>
      </a:pPr>
      <a:endParaRPr lang="en-US"/>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11964807418949"/>
          <c:y val="4.1335069957638339E-2"/>
          <c:w val="0.90870169874599005"/>
          <c:h val="0.72741621292782621"/>
        </c:manualLayout>
      </c:layout>
      <c:barChart>
        <c:barDir val="col"/>
        <c:grouping val="stacked"/>
        <c:varyColors val="0"/>
        <c:ser>
          <c:idx val="1"/>
          <c:order val="1"/>
          <c:tx>
            <c:strRef>
              <c:f>Sheet1!$A$3</c:f>
              <c:strCache>
                <c:ptCount val="1"/>
                <c:pt idx="0">
                  <c:v>ՀՀ արտաքին պետական պարտք</c:v>
                </c:pt>
              </c:strCache>
            </c:strRef>
          </c:tx>
          <c:spPr>
            <a:solidFill>
              <a:srgbClr val="9BBB59">
                <a:lumMod val="60000"/>
                <a:lumOff val="40000"/>
              </a:srgbClr>
            </a:solidFill>
            <a:scene3d>
              <a:camera prst="orthographicFront"/>
              <a:lightRig rig="threePt" dir="t"/>
            </a:scene3d>
            <a:sp3d prstMaterial="matte">
              <a:bevelT w="127000" h="63500"/>
            </a:sp3d>
          </c:spPr>
          <c:invertIfNegative val="0"/>
          <c:dLbls>
            <c:dLbl>
              <c:idx val="0"/>
              <c:layout>
                <c:manualLayout>
                  <c:x val="-1.1600161864222208E-3"/>
                  <c:y val="-7.2453368721437034E-3"/>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89-4B67-9EDB-CBD2DF24561E}"/>
                </c:ext>
              </c:extLst>
            </c:dLbl>
            <c:dLbl>
              <c:idx val="1"/>
              <c:layout>
                <c:manualLayout>
                  <c:x val="-2.6446307085812525E-3"/>
                  <c:y val="-1.7650216954156891E-3"/>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89-4B67-9EDB-CBD2DF24561E}"/>
                </c:ext>
              </c:extLst>
            </c:dLbl>
            <c:dLbl>
              <c:idx val="2"/>
              <c:layout>
                <c:manualLayout>
                  <c:x val="-8.6586404694062439E-4"/>
                  <c:y val="5.4394343697237316E-3"/>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89-4B67-9EDB-CBD2DF24561E}"/>
                </c:ext>
              </c:extLst>
            </c:dLbl>
            <c:dLbl>
              <c:idx val="3"/>
              <c:layout>
                <c:manualLayout>
                  <c:x val="5.7157783161720169E-2"/>
                  <c:y val="2.5192617051900769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89-4B67-9EDB-CBD2DF24561E}"/>
                </c:ext>
              </c:extLst>
            </c:dLbl>
            <c:dLbl>
              <c:idx val="4"/>
              <c:layout>
                <c:manualLayout>
                  <c:x val="2.5462962962962982E-2"/>
                  <c:y val="8.3682008368201471E-3"/>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89-4B67-9EDB-CBD2DF24561E}"/>
                </c:ext>
              </c:extLst>
            </c:dLbl>
            <c:spPr>
              <a:noFill/>
              <a:ln w="25399">
                <a:noFill/>
              </a:ln>
            </c:spPr>
            <c:txPr>
              <a:bodyPr wrap="square" lIns="38100" tIns="19050" rIns="38100" bIns="19050" anchor="ctr">
                <a:spAutoFit/>
              </a:bodyPr>
              <a:lstStyle/>
              <a:p>
                <a:pPr>
                  <a:defRPr sz="1065"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Sheet1!$B$3:$D$3</c:f>
              <c:numCache>
                <c:formatCode>_(* #,##0.0_);_(* \(#,##0.0\);_(* "-"??_);_(@_)</c:formatCode>
                <c:ptCount val="3"/>
                <c:pt idx="0">
                  <c:v>3166.6048856136567</c:v>
                </c:pt>
                <c:pt idx="1">
                  <c:v>3192.1608858873078</c:v>
                </c:pt>
                <c:pt idx="2">
                  <c:v>2536.7076684492226</c:v>
                </c:pt>
              </c:numCache>
            </c:numRef>
          </c:val>
          <c:extLst>
            <c:ext xmlns:c16="http://schemas.microsoft.com/office/drawing/2014/chart" uri="{C3380CC4-5D6E-409C-BE32-E72D297353CC}">
              <c16:uniqueId val="{00000005-BB89-4B67-9EDB-CBD2DF24561E}"/>
            </c:ext>
          </c:extLst>
        </c:ser>
        <c:ser>
          <c:idx val="2"/>
          <c:order val="2"/>
          <c:tx>
            <c:strRef>
              <c:f>Sheet1!$A$4</c:f>
              <c:strCache>
                <c:ptCount val="1"/>
                <c:pt idx="0">
                  <c:v>ՀՀ ներքին պետական պարտք</c:v>
                </c:pt>
              </c:strCache>
            </c:strRef>
          </c:tx>
          <c:spPr>
            <a:solidFill>
              <a:srgbClr val="F79646">
                <a:lumMod val="60000"/>
                <a:lumOff val="40000"/>
              </a:srgbClr>
            </a:solidFill>
            <a:ln w="0">
              <a:noFill/>
            </a:ln>
            <a:scene3d>
              <a:camera prst="orthographicFront"/>
              <a:lightRig rig="threePt" dir="t"/>
            </a:scene3d>
            <a:sp3d prstMaterial="matte">
              <a:bevelT w="127000" h="63500"/>
            </a:sp3d>
          </c:spPr>
          <c:invertIfNegative val="0"/>
          <c:dLbls>
            <c:dLbl>
              <c:idx val="0"/>
              <c:layout>
                <c:manualLayout>
                  <c:x val="-7.779637567125121E-4"/>
                  <c:y val="2.3745413658421116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89-4B67-9EDB-CBD2DF24561E}"/>
                </c:ext>
              </c:extLst>
            </c:dLbl>
            <c:dLbl>
              <c:idx val="1"/>
              <c:layout>
                <c:manualLayout>
                  <c:x val="-4.3625971773663964E-4"/>
                  <c:y val="2.7691050907380721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89-4B67-9EDB-CBD2DF24561E}"/>
                </c:ext>
              </c:extLst>
            </c:dLbl>
            <c:dLbl>
              <c:idx val="2"/>
              <c:layout>
                <c:manualLayout>
                  <c:x val="1.3165327716970771E-3"/>
                  <c:y val="7.9023827264633459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B89-4B67-9EDB-CBD2DF24561E}"/>
                </c:ext>
              </c:extLst>
            </c:dLbl>
            <c:dLbl>
              <c:idx val="3"/>
              <c:layout>
                <c:manualLayout>
                  <c:x val="2.6709401709401708E-2"/>
                  <c:y val="-2.7894900234244915E-3"/>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89-4B67-9EDB-CBD2DF24561E}"/>
                </c:ext>
              </c:extLst>
            </c:dLbl>
            <c:dLbl>
              <c:idx val="4"/>
              <c:layout>
                <c:manualLayout>
                  <c:x val="2.3236949811022801E-2"/>
                  <c:y val="-6.0367454068241465E-4"/>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B89-4B67-9EDB-CBD2DF24561E}"/>
                </c:ext>
              </c:extLst>
            </c:dLbl>
            <c:spPr>
              <a:noFill/>
              <a:ln w="25399">
                <a:noFill/>
              </a:ln>
            </c:spPr>
            <c:txPr>
              <a:bodyPr wrap="square" lIns="38100" tIns="19050" rIns="38100" bIns="19050" anchor="ctr">
                <a:spAutoFit/>
              </a:bodyPr>
              <a:lstStyle/>
              <a:p>
                <a:pPr>
                  <a:defRPr sz="1065"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Sheet1!$B$4:$D$4</c:f>
              <c:numCache>
                <c:formatCode>_(* #,##0.0_);_(* \(#,##0.0\);_(* "-"??_);_(@_)</c:formatCode>
                <c:ptCount val="3"/>
                <c:pt idx="0">
                  <c:v>997.64641561486303</c:v>
                </c:pt>
                <c:pt idx="1">
                  <c:v>1237.4391618000002</c:v>
                </c:pt>
                <c:pt idx="2">
                  <c:v>1649.9576776065232</c:v>
                </c:pt>
              </c:numCache>
            </c:numRef>
          </c:val>
          <c:extLst>
            <c:ext xmlns:c16="http://schemas.microsoft.com/office/drawing/2014/chart" uri="{C3380CC4-5D6E-409C-BE32-E72D297353CC}">
              <c16:uniqueId val="{0000000B-BB89-4B67-9EDB-CBD2DF24561E}"/>
            </c:ext>
          </c:extLst>
        </c:ser>
        <c:dLbls>
          <c:showLegendKey val="0"/>
          <c:showVal val="0"/>
          <c:showCatName val="0"/>
          <c:showSerName val="0"/>
          <c:showPercent val="0"/>
          <c:showBubbleSize val="0"/>
        </c:dLbls>
        <c:gapWidth val="195"/>
        <c:overlap val="100"/>
        <c:axId val="177692488"/>
        <c:axId val="1"/>
      </c:barChart>
      <c:lineChart>
        <c:grouping val="standard"/>
        <c:varyColors val="0"/>
        <c:ser>
          <c:idx val="0"/>
          <c:order val="0"/>
          <c:tx>
            <c:strRef>
              <c:f>Sheet1!$A$2</c:f>
              <c:strCache>
                <c:ptCount val="1"/>
                <c:pt idx="0">
                  <c:v>ՀՀ պետական պարտք</c:v>
                </c:pt>
              </c:strCache>
            </c:strRef>
          </c:tx>
          <c:spPr>
            <a:ln w="20312">
              <a:solidFill>
                <a:srgbClr val="1F497D"/>
              </a:solidFill>
              <a:prstDash val="dash"/>
            </a:ln>
          </c:spPr>
          <c:marker>
            <c:symbol val="none"/>
          </c:marker>
          <c:dLbls>
            <c:dLbl>
              <c:idx val="0"/>
              <c:layout>
                <c:manualLayout>
                  <c:x val="-5.7640558070646539E-2"/>
                  <c:y val="3.1417430626495907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B89-4B67-9EDB-CBD2DF24561E}"/>
                </c:ext>
              </c:extLst>
            </c:dLbl>
            <c:dLbl>
              <c:idx val="1"/>
              <c:layout>
                <c:manualLayout>
                  <c:x val="-1.3029243800666281E-3"/>
                  <c:y val="-2.3178684182999718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B89-4B67-9EDB-CBD2DF24561E}"/>
                </c:ext>
              </c:extLst>
            </c:dLbl>
            <c:dLbl>
              <c:idx val="2"/>
              <c:layout>
                <c:manualLayout>
                  <c:x val="-5.2324446265846522E-2"/>
                  <c:y val="-3.1615157802773831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B89-4B67-9EDB-CBD2DF24561E}"/>
                </c:ext>
              </c:extLst>
            </c:dLbl>
            <c:dLbl>
              <c:idx val="3"/>
              <c:layout>
                <c:manualLayout>
                  <c:x val="-1.718323276215725E-2"/>
                  <c:y val="6.484114858776981E-3"/>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B89-4B67-9EDB-CBD2DF24561E}"/>
                </c:ext>
              </c:extLst>
            </c:dLbl>
            <c:dLbl>
              <c:idx val="4"/>
              <c:layout>
                <c:manualLayout>
                  <c:x val="-8.3690473780280508E-3"/>
                  <c:y val="1.1761272378266215E-2"/>
                </c:manualLayout>
              </c:layout>
              <c:spPr>
                <a:noFill/>
                <a:ln w="25399">
                  <a:noFill/>
                </a:ln>
              </c:spPr>
              <c:txPr>
                <a:bodyPr/>
                <a:lstStyle/>
                <a:p>
                  <a:pPr>
                    <a:defRPr sz="1065"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B89-4B67-9EDB-CBD2DF24561E}"/>
                </c:ext>
              </c:extLst>
            </c:dLbl>
            <c:spPr>
              <a:noFill/>
              <a:ln w="25399">
                <a:noFill/>
              </a:ln>
            </c:spPr>
            <c:txPr>
              <a:bodyPr wrap="square" lIns="38100" tIns="19050" rIns="38100" bIns="19050" anchor="ctr">
                <a:spAutoFit/>
              </a:bodyPr>
              <a:lstStyle/>
              <a:p>
                <a:pPr>
                  <a:defRPr sz="1065"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Sheet1!$B$2:$D$2</c:f>
              <c:numCache>
                <c:formatCode>_(* #,##0.0_);_(* \(#,##0.0\);_(* "-"??_);_(@_)</c:formatCode>
                <c:ptCount val="3"/>
                <c:pt idx="0">
                  <c:v>4164.2513012285199</c:v>
                </c:pt>
                <c:pt idx="1">
                  <c:v>4429.6000000000004</c:v>
                </c:pt>
                <c:pt idx="2">
                  <c:v>4186.7</c:v>
                </c:pt>
              </c:numCache>
            </c:numRef>
          </c:val>
          <c:smooth val="0"/>
          <c:extLst>
            <c:ext xmlns:c16="http://schemas.microsoft.com/office/drawing/2014/chart" uri="{C3380CC4-5D6E-409C-BE32-E72D297353CC}">
              <c16:uniqueId val="{00000011-BB89-4B67-9EDB-CBD2DF24561E}"/>
            </c:ext>
          </c:extLst>
        </c:ser>
        <c:dLbls>
          <c:showLegendKey val="0"/>
          <c:showVal val="0"/>
          <c:showCatName val="0"/>
          <c:showSerName val="0"/>
          <c:showPercent val="0"/>
          <c:showBubbleSize val="0"/>
        </c:dLbls>
        <c:marker val="1"/>
        <c:smooth val="0"/>
        <c:axId val="177692488"/>
        <c:axId val="1"/>
      </c:lineChart>
      <c:lineChart>
        <c:grouping val="standard"/>
        <c:varyColors val="0"/>
        <c:ser>
          <c:idx val="3"/>
          <c:order val="3"/>
          <c:tx>
            <c:strRef>
              <c:f>Sheet1!$A$5</c:f>
              <c:strCache>
                <c:ptCount val="1"/>
                <c:pt idx="0">
                  <c:v>Պետական պարտք / ՀՆԱ</c:v>
                </c:pt>
              </c:strCache>
            </c:strRef>
          </c:tx>
          <c:marker>
            <c:symbol val="diamond"/>
            <c:size val="5"/>
          </c:marker>
          <c:dLbls>
            <c:dLbl>
              <c:idx val="0"/>
              <c:layout>
                <c:manualLayout>
                  <c:x val="-8.4730118693657694E-2"/>
                  <c:y val="-6.3591538445197772E-3"/>
                </c:manualLayout>
              </c:layout>
              <c:spPr>
                <a:noFill/>
                <a:ln w="25399">
                  <a:noFill/>
                </a:ln>
              </c:spPr>
              <c:txPr>
                <a:bodyPr/>
                <a:lstStyle/>
                <a:p>
                  <a:pPr>
                    <a:defRPr sz="1065"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B89-4B67-9EDB-CBD2DF24561E}"/>
                </c:ext>
              </c:extLst>
            </c:dLbl>
            <c:dLbl>
              <c:idx val="1"/>
              <c:layout>
                <c:manualLayout>
                  <c:x val="-6.5827746244637733E-2"/>
                  <c:y val="-4.5929821551639993E-2"/>
                </c:manualLayout>
              </c:layout>
              <c:spPr>
                <a:noFill/>
                <a:ln w="25399">
                  <a:noFill/>
                </a:ln>
              </c:spPr>
              <c:txPr>
                <a:bodyPr/>
                <a:lstStyle/>
                <a:p>
                  <a:pPr>
                    <a:defRPr sz="1065"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B89-4B67-9EDB-CBD2DF24561E}"/>
                </c:ext>
              </c:extLst>
            </c:dLbl>
            <c:dLbl>
              <c:idx val="2"/>
              <c:layout>
                <c:manualLayout>
                  <c:x val="-3.8640078612197232E-2"/>
                  <c:y val="-3.7513333948211977E-2"/>
                </c:manualLayout>
              </c:layout>
              <c:spPr>
                <a:noFill/>
                <a:ln w="25399">
                  <a:noFill/>
                </a:ln>
              </c:spPr>
              <c:txPr>
                <a:bodyPr/>
                <a:lstStyle/>
                <a:p>
                  <a:pPr>
                    <a:defRPr sz="1065"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B89-4B67-9EDB-CBD2DF24561E}"/>
                </c:ext>
              </c:extLst>
            </c:dLbl>
            <c:dLbl>
              <c:idx val="3"/>
              <c:layout>
                <c:manualLayout>
                  <c:x val="-3.1427915347591255E-2"/>
                  <c:y val="-3.1589101735417402E-2"/>
                </c:manualLayout>
              </c:layout>
              <c:spPr>
                <a:noFill/>
                <a:ln w="25399">
                  <a:noFill/>
                </a:ln>
              </c:spPr>
              <c:txPr>
                <a:bodyPr/>
                <a:lstStyle/>
                <a:p>
                  <a:pPr>
                    <a:defRPr sz="1065"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B89-4B67-9EDB-CBD2DF24561E}"/>
                </c:ext>
              </c:extLst>
            </c:dLbl>
            <c:dLbl>
              <c:idx val="4"/>
              <c:layout>
                <c:manualLayout>
                  <c:x val="-1.5402281152467901E-2"/>
                  <c:y val="-3.1661769890703982E-2"/>
                </c:manualLayout>
              </c:layout>
              <c:spPr>
                <a:noFill/>
                <a:ln w="25399">
                  <a:noFill/>
                </a:ln>
              </c:spPr>
              <c:txPr>
                <a:bodyPr/>
                <a:lstStyle/>
                <a:p>
                  <a:pPr>
                    <a:defRPr sz="1065"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B89-4B67-9EDB-CBD2DF24561E}"/>
                </c:ext>
              </c:extLst>
            </c:dLbl>
            <c:spPr>
              <a:noFill/>
              <a:ln w="25399">
                <a:noFill/>
              </a:ln>
            </c:spPr>
            <c:txPr>
              <a:bodyPr wrap="square" lIns="38100" tIns="19050" rIns="38100" bIns="19050" anchor="ctr">
                <a:spAutoFit/>
              </a:bodyPr>
              <a:lstStyle/>
              <a:p>
                <a:pPr>
                  <a:defRPr sz="1065" b="1" i="0" u="none" strike="noStrike" baseline="0">
                    <a:solidFill>
                      <a:srgbClr val="6666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Sheet1!$B$5:$D$5</c:f>
              <c:numCache>
                <c:formatCode>0.0%</c:formatCode>
                <c:ptCount val="3"/>
                <c:pt idx="0">
                  <c:v>0.67361968809222583</c:v>
                </c:pt>
                <c:pt idx="1">
                  <c:v>0.63434394785880632</c:v>
                </c:pt>
                <c:pt idx="2">
                  <c:v>0.49273972431361301</c:v>
                </c:pt>
              </c:numCache>
            </c:numRef>
          </c:val>
          <c:smooth val="0"/>
          <c:extLst>
            <c:ext xmlns:c16="http://schemas.microsoft.com/office/drawing/2014/chart" uri="{C3380CC4-5D6E-409C-BE32-E72D297353CC}">
              <c16:uniqueId val="{00000017-BB89-4B67-9EDB-CBD2DF24561E}"/>
            </c:ext>
          </c:extLst>
        </c:ser>
        <c:ser>
          <c:idx val="4"/>
          <c:order val="4"/>
          <c:tx>
            <c:strRef>
              <c:f>Sheet1!$A$6</c:f>
              <c:strCache>
                <c:ptCount val="1"/>
                <c:pt idx="0">
                  <c:v>Կառավարության պարտք / ՀՆԱ</c:v>
                </c:pt>
              </c:strCache>
            </c:strRef>
          </c:tx>
          <c:spPr>
            <a:ln>
              <a:solidFill>
                <a:srgbClr val="4BACC6">
                  <a:lumMod val="75000"/>
                </a:srgbClr>
              </a:solidFill>
            </a:ln>
          </c:spPr>
          <c:marker>
            <c:spPr>
              <a:ln>
                <a:solidFill>
                  <a:srgbClr val="4BACC6">
                    <a:lumMod val="75000"/>
                  </a:srgbClr>
                </a:solidFill>
              </a:ln>
            </c:spPr>
          </c:marker>
          <c:dLbls>
            <c:dLbl>
              <c:idx val="0"/>
              <c:layout>
                <c:manualLayout>
                  <c:x val="-7.5804754392266638E-2"/>
                  <c:y val="9.8628865433270287E-3"/>
                </c:manualLayout>
              </c:layout>
              <c:spPr>
                <a:noFill/>
                <a:ln w="25399">
                  <a:noFill/>
                </a:ln>
              </c:spPr>
              <c:txPr>
                <a:bodyPr/>
                <a:lstStyle/>
                <a:p>
                  <a:pPr>
                    <a:defRPr sz="1065" b="1" i="0" u="none" strike="noStrike" baseline="0">
                      <a:solidFill>
                        <a:srgbClr val="00808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B89-4B67-9EDB-CBD2DF24561E}"/>
                </c:ext>
              </c:extLst>
            </c:dLbl>
            <c:dLbl>
              <c:idx val="1"/>
              <c:layout>
                <c:manualLayout>
                  <c:x val="-4.4827624402061512E-2"/>
                  <c:y val="3.0672316021093386E-2"/>
                </c:manualLayout>
              </c:layout>
              <c:spPr>
                <a:noFill/>
                <a:ln w="25399">
                  <a:noFill/>
                </a:ln>
              </c:spPr>
              <c:txPr>
                <a:bodyPr/>
                <a:lstStyle/>
                <a:p>
                  <a:pPr>
                    <a:defRPr sz="1065" b="1" i="0" u="none" strike="noStrike" baseline="0">
                      <a:solidFill>
                        <a:srgbClr val="00808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B89-4B67-9EDB-CBD2DF24561E}"/>
                </c:ext>
              </c:extLst>
            </c:dLbl>
            <c:dLbl>
              <c:idx val="2"/>
              <c:layout>
                <c:manualLayout>
                  <c:x val="-1.6076890577454692E-2"/>
                  <c:y val="1.7074713940257995E-2"/>
                </c:manualLayout>
              </c:layout>
              <c:spPr>
                <a:noFill/>
                <a:ln w="25399">
                  <a:noFill/>
                </a:ln>
              </c:spPr>
              <c:txPr>
                <a:bodyPr/>
                <a:lstStyle/>
                <a:p>
                  <a:pPr>
                    <a:defRPr sz="1065" b="1" i="0" u="none" strike="noStrike" baseline="0">
                      <a:solidFill>
                        <a:srgbClr val="00808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B89-4B67-9EDB-CBD2DF24561E}"/>
                </c:ext>
              </c:extLst>
            </c:dLbl>
            <c:spPr>
              <a:noFill/>
              <a:ln w="25399">
                <a:noFill/>
              </a:ln>
            </c:spPr>
            <c:txPr>
              <a:bodyPr wrap="square" lIns="38100" tIns="19050" rIns="38100" bIns="19050" anchor="ctr">
                <a:spAutoFit/>
              </a:bodyPr>
              <a:lstStyle/>
              <a:p>
                <a:pPr>
                  <a:defRPr sz="1065" b="1" i="0" u="none" strike="noStrike" baseline="0">
                    <a:solidFill>
                      <a:srgbClr val="008080"/>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2020</c:v>
                </c:pt>
                <c:pt idx="1">
                  <c:v>2021</c:v>
                </c:pt>
                <c:pt idx="2">
                  <c:v>2022</c:v>
                </c:pt>
              </c:strCache>
            </c:strRef>
          </c:cat>
          <c:val>
            <c:numRef>
              <c:f>Sheet1!$B$6:$D$6</c:f>
              <c:numCache>
                <c:formatCode>0.0%</c:formatCode>
                <c:ptCount val="3"/>
                <c:pt idx="0">
                  <c:v>0.63473809294852368</c:v>
                </c:pt>
                <c:pt idx="1">
                  <c:v>0.60287276473798679</c:v>
                </c:pt>
                <c:pt idx="2">
                  <c:v>0.46719900277711252</c:v>
                </c:pt>
              </c:numCache>
            </c:numRef>
          </c:val>
          <c:smooth val="0"/>
          <c:extLst>
            <c:ext xmlns:c16="http://schemas.microsoft.com/office/drawing/2014/chart" uri="{C3380CC4-5D6E-409C-BE32-E72D297353CC}">
              <c16:uniqueId val="{0000001B-BB89-4B67-9EDB-CBD2DF24561E}"/>
            </c:ext>
          </c:extLst>
        </c:ser>
        <c:dLbls>
          <c:showLegendKey val="0"/>
          <c:showVal val="0"/>
          <c:showCatName val="0"/>
          <c:showSerName val="0"/>
          <c:showPercent val="0"/>
          <c:showBubbleSize val="0"/>
        </c:dLbls>
        <c:marker val="1"/>
        <c:smooth val="0"/>
        <c:axId val="3"/>
        <c:axId val="4"/>
      </c:lineChart>
      <c:catAx>
        <c:axId val="177692488"/>
        <c:scaling>
          <c:orientation val="minMax"/>
        </c:scaling>
        <c:delete val="0"/>
        <c:axPos val="b"/>
        <c:numFmt formatCode="General" sourceLinked="0"/>
        <c:majorTickMark val="out"/>
        <c:minorTickMark val="none"/>
        <c:tickLblPos val="nextTo"/>
        <c:txPr>
          <a:bodyPr rot="0" vert="horz"/>
          <a:lstStyle/>
          <a:p>
            <a:pPr>
              <a:defRPr sz="1065" b="1" i="0" u="none" strike="noStrike" baseline="0">
                <a:solidFill>
                  <a:srgbClr val="333399"/>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max val="5000"/>
        </c:scaling>
        <c:delete val="0"/>
        <c:axPos val="l"/>
        <c:majorGridlines/>
        <c:numFmt formatCode="_(* #,##0.0_);_(* \(#,##0.0\);_(* &quot;-&quot;??_);_(@_)" sourceLinked="1"/>
        <c:majorTickMark val="out"/>
        <c:minorTickMark val="none"/>
        <c:tickLblPos val="nextTo"/>
        <c:txPr>
          <a:bodyPr rot="0" vert="horz"/>
          <a:lstStyle/>
          <a:p>
            <a:pPr>
              <a:defRPr sz="1065" b="1" i="0" u="none" strike="noStrike" baseline="0">
                <a:solidFill>
                  <a:srgbClr val="333399"/>
                </a:solidFill>
                <a:latin typeface="GHEA Grapalat"/>
                <a:ea typeface="GHEA Grapalat"/>
                <a:cs typeface="GHEA Grapalat"/>
              </a:defRPr>
            </a:pPr>
            <a:endParaRPr lang="en-US"/>
          </a:p>
        </c:txPr>
        <c:crossAx val="177692488"/>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0.70000000000000007"/>
        </c:scaling>
        <c:delete val="0"/>
        <c:axPos val="r"/>
        <c:numFmt formatCode="0.0%" sourceLinked="1"/>
        <c:majorTickMark val="out"/>
        <c:minorTickMark val="none"/>
        <c:tickLblPos val="nextTo"/>
        <c:txPr>
          <a:bodyPr rot="0" vert="horz"/>
          <a:lstStyle/>
          <a:p>
            <a:pPr>
              <a:defRPr sz="1065" b="1" i="0" u="none" strike="noStrike" baseline="0">
                <a:solidFill>
                  <a:srgbClr val="333399"/>
                </a:solidFill>
                <a:latin typeface="GHEA Grapalat"/>
                <a:ea typeface="GHEA Grapalat"/>
                <a:cs typeface="GHEA Grapalat"/>
              </a:defRPr>
            </a:pPr>
            <a:endParaRPr lang="en-US"/>
          </a:p>
        </c:txPr>
        <c:crossAx val="3"/>
        <c:crosses val="max"/>
        <c:crossBetween val="between"/>
      </c:valAx>
      <c:spPr>
        <a:ln w="40624"/>
      </c:spPr>
    </c:plotArea>
    <c:legend>
      <c:legendPos val="b"/>
      <c:layout>
        <c:manualLayout>
          <c:xMode val="edge"/>
          <c:yMode val="edge"/>
          <c:x val="4.4052863436123352E-3"/>
          <c:y val="0.84910485933503832"/>
          <c:w val="0.99412628487518351"/>
          <c:h val="0.12787723785166241"/>
        </c:manualLayout>
      </c:layout>
      <c:overlay val="0"/>
      <c:txPr>
        <a:bodyPr/>
        <a:lstStyle/>
        <a:p>
          <a:pPr>
            <a:defRPr sz="97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65" b="0" i="0" u="none" strike="noStrike" baseline="0">
          <a:solidFill>
            <a:srgbClr val="000000"/>
          </a:solidFill>
          <a:latin typeface="Calibri"/>
          <a:ea typeface="Calibri"/>
          <a:cs typeface="Calibri"/>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945793248931685E-2"/>
          <c:y val="0.13604805675441242"/>
          <c:w val="0.87658476118247253"/>
          <c:h val="0.54069927038936649"/>
        </c:manualLayout>
      </c:layout>
      <c:barChart>
        <c:barDir val="col"/>
        <c:grouping val="clustered"/>
        <c:varyColors val="0"/>
        <c:ser>
          <c:idx val="1"/>
          <c:order val="1"/>
          <c:tx>
            <c:strRef>
              <c:f>Sheet1!$A$3</c:f>
              <c:strCache>
                <c:ptCount val="1"/>
                <c:pt idx="0">
                  <c:v>արդյունաբերություն</c:v>
                </c:pt>
              </c:strCache>
            </c:strRef>
          </c:tx>
          <c:spPr>
            <a:solidFill>
              <a:srgbClr val="4F81BD"/>
            </a:solidFill>
            <a:ln w="25367">
              <a:noFill/>
            </a:ln>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Sheet1!$B$3:$M$3</c:f>
              <c:numCache>
                <c:formatCode>0.0</c:formatCode>
                <c:ptCount val="12"/>
                <c:pt idx="0">
                  <c:v>16.700000000000031</c:v>
                </c:pt>
                <c:pt idx="1">
                  <c:v>9.3203777289514278</c:v>
                </c:pt>
                <c:pt idx="2">
                  <c:v>3.4649554560304097</c:v>
                </c:pt>
                <c:pt idx="3">
                  <c:v>2.9757587775538497</c:v>
                </c:pt>
                <c:pt idx="4">
                  <c:v>2.7553422879175997</c:v>
                </c:pt>
                <c:pt idx="5">
                  <c:v>5.8242641890935687</c:v>
                </c:pt>
                <c:pt idx="6">
                  <c:v>7.0399862693675885</c:v>
                </c:pt>
                <c:pt idx="7">
                  <c:v>9.2220271775961038</c:v>
                </c:pt>
                <c:pt idx="8">
                  <c:v>9.9321882426042407</c:v>
                </c:pt>
                <c:pt idx="9">
                  <c:v>9.8926279432989048</c:v>
                </c:pt>
                <c:pt idx="10">
                  <c:v>8.4045983195698142</c:v>
                </c:pt>
                <c:pt idx="11">
                  <c:v>7.9000000000000057</c:v>
                </c:pt>
              </c:numCache>
            </c:numRef>
          </c:val>
          <c:extLst>
            <c:ext xmlns:c16="http://schemas.microsoft.com/office/drawing/2014/chart" uri="{C3380CC4-5D6E-409C-BE32-E72D297353CC}">
              <c16:uniqueId val="{00000000-4585-4D1D-B5A0-E9B00F2C1AD4}"/>
            </c:ext>
          </c:extLst>
        </c:ser>
        <c:ser>
          <c:idx val="2"/>
          <c:order val="2"/>
          <c:tx>
            <c:strRef>
              <c:f>Sheet1!$A$4</c:f>
              <c:strCache>
                <c:ptCount val="1"/>
                <c:pt idx="0">
                  <c:v>գյուղատնտեսություն</c:v>
                </c:pt>
              </c:strCache>
            </c:strRef>
          </c:tx>
          <c:spPr>
            <a:solidFill>
              <a:srgbClr val="4BACC6"/>
            </a:solidFill>
            <a:ln w="25367">
              <a:noFill/>
            </a:ln>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Sheet1!$B$4:$M$4</c:f>
              <c:numCache>
                <c:formatCode>General</c:formatCode>
                <c:ptCount val="12"/>
                <c:pt idx="2" formatCode="0.0">
                  <c:v>-5.4000000000000057</c:v>
                </c:pt>
                <c:pt idx="5" formatCode="0.0">
                  <c:v>-5.5</c:v>
                </c:pt>
                <c:pt idx="8" formatCode="0.0">
                  <c:v>-0.70000000000000284</c:v>
                </c:pt>
                <c:pt idx="11" formatCode="0.0">
                  <c:v>0.40000000000000568</c:v>
                </c:pt>
              </c:numCache>
            </c:numRef>
          </c:val>
          <c:extLst>
            <c:ext xmlns:c16="http://schemas.microsoft.com/office/drawing/2014/chart" uri="{C3380CC4-5D6E-409C-BE32-E72D297353CC}">
              <c16:uniqueId val="{00000001-4585-4D1D-B5A0-E9B00F2C1AD4}"/>
            </c:ext>
          </c:extLst>
        </c:ser>
        <c:ser>
          <c:idx val="3"/>
          <c:order val="3"/>
          <c:tx>
            <c:strRef>
              <c:f>Sheet1!$A$5</c:f>
              <c:strCache>
                <c:ptCount val="1"/>
                <c:pt idx="0">
                  <c:v>շինարարություն</c:v>
                </c:pt>
              </c:strCache>
            </c:strRef>
          </c:tx>
          <c:spPr>
            <a:solidFill>
              <a:srgbClr val="1F497D"/>
            </a:solidFill>
            <a:ln w="25367">
              <a:noFill/>
            </a:ln>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Sheet1!$B$5:$M$5</c:f>
              <c:numCache>
                <c:formatCode>0.0</c:formatCode>
                <c:ptCount val="12"/>
                <c:pt idx="0">
                  <c:v>3</c:v>
                </c:pt>
                <c:pt idx="1">
                  <c:v>4.9000000000000057</c:v>
                </c:pt>
                <c:pt idx="2">
                  <c:v>6.2000000000000028</c:v>
                </c:pt>
                <c:pt idx="3">
                  <c:v>9</c:v>
                </c:pt>
                <c:pt idx="4">
                  <c:v>11.400000000000006</c:v>
                </c:pt>
                <c:pt idx="5">
                  <c:v>12.700000000000003</c:v>
                </c:pt>
                <c:pt idx="6">
                  <c:v>13.599999999999994</c:v>
                </c:pt>
                <c:pt idx="7">
                  <c:v>14.200000000000003</c:v>
                </c:pt>
                <c:pt idx="8">
                  <c:v>14.299999999999997</c:v>
                </c:pt>
                <c:pt idx="9">
                  <c:v>14.400000000000006</c:v>
                </c:pt>
                <c:pt idx="10">
                  <c:v>13.900000000000006</c:v>
                </c:pt>
                <c:pt idx="11">
                  <c:v>12.5</c:v>
                </c:pt>
              </c:numCache>
            </c:numRef>
          </c:val>
          <c:extLst>
            <c:ext xmlns:c16="http://schemas.microsoft.com/office/drawing/2014/chart" uri="{C3380CC4-5D6E-409C-BE32-E72D297353CC}">
              <c16:uniqueId val="{00000002-4585-4D1D-B5A0-E9B00F2C1AD4}"/>
            </c:ext>
          </c:extLst>
        </c:ser>
        <c:ser>
          <c:idx val="4"/>
          <c:order val="4"/>
          <c:tx>
            <c:strRef>
              <c:f>Sheet1!$A$6</c:f>
              <c:strCache>
                <c:ptCount val="1"/>
                <c:pt idx="0">
                  <c:v>ծառայություններ</c:v>
                </c:pt>
              </c:strCache>
            </c:strRef>
          </c:tx>
          <c:spPr>
            <a:solidFill>
              <a:srgbClr val="4F81BD">
                <a:lumMod val="60000"/>
                <a:lumOff val="40000"/>
              </a:srgbClr>
            </a:solidFill>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Sheet1!$B$6:$M$6</c:f>
              <c:numCache>
                <c:formatCode>0.0</c:formatCode>
                <c:ptCount val="12"/>
                <c:pt idx="0">
                  <c:v>21.200000000000003</c:v>
                </c:pt>
                <c:pt idx="1">
                  <c:v>20.074856909207895</c:v>
                </c:pt>
                <c:pt idx="2">
                  <c:v>22.165342918615721</c:v>
                </c:pt>
                <c:pt idx="3">
                  <c:v>23.481237998492645</c:v>
                </c:pt>
                <c:pt idx="4">
                  <c:v>24.935253478144688</c:v>
                </c:pt>
                <c:pt idx="5">
                  <c:v>26.876715804622606</c:v>
                </c:pt>
                <c:pt idx="6">
                  <c:v>27.470561442139712</c:v>
                </c:pt>
                <c:pt idx="7">
                  <c:v>27.15539464843593</c:v>
                </c:pt>
                <c:pt idx="8">
                  <c:v>27.099999999999994</c:v>
                </c:pt>
                <c:pt idx="9">
                  <c:v>27.900000000000006</c:v>
                </c:pt>
                <c:pt idx="10">
                  <c:v>28.199999999999989</c:v>
                </c:pt>
                <c:pt idx="11">
                  <c:v>28.199999999999989</c:v>
                </c:pt>
              </c:numCache>
            </c:numRef>
          </c:val>
          <c:extLst>
            <c:ext xmlns:c16="http://schemas.microsoft.com/office/drawing/2014/chart" uri="{C3380CC4-5D6E-409C-BE32-E72D297353CC}">
              <c16:uniqueId val="{00000003-4585-4D1D-B5A0-E9B00F2C1AD4}"/>
            </c:ext>
          </c:extLst>
        </c:ser>
        <c:ser>
          <c:idx val="5"/>
          <c:order val="5"/>
          <c:tx>
            <c:strRef>
              <c:f>Sheet1!$A$7</c:f>
              <c:strCache>
                <c:ptCount val="1"/>
                <c:pt idx="0">
                  <c:v>առևտուր</c:v>
                </c:pt>
              </c:strCache>
            </c:strRef>
          </c:tx>
          <c:spPr>
            <a:solidFill>
              <a:srgbClr val="F79646">
                <a:lumMod val="60000"/>
                <a:lumOff val="40000"/>
              </a:srgbClr>
            </a:solidFill>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Sheet1!$B$7:$M$7</c:f>
              <c:numCache>
                <c:formatCode>0.0</c:formatCode>
                <c:ptCount val="12"/>
                <c:pt idx="0">
                  <c:v>11.5</c:v>
                </c:pt>
                <c:pt idx="1">
                  <c:v>8.2000000000000028</c:v>
                </c:pt>
                <c:pt idx="2">
                  <c:v>7.5999999999999943</c:v>
                </c:pt>
                <c:pt idx="3">
                  <c:v>7.7999999999999972</c:v>
                </c:pt>
                <c:pt idx="4">
                  <c:v>8.9000000000000057</c:v>
                </c:pt>
                <c:pt idx="5">
                  <c:v>10.700000000000003</c:v>
                </c:pt>
                <c:pt idx="6">
                  <c:v>12.5</c:v>
                </c:pt>
                <c:pt idx="7">
                  <c:v>13.599999999999994</c:v>
                </c:pt>
                <c:pt idx="8">
                  <c:v>14.5</c:v>
                </c:pt>
                <c:pt idx="9">
                  <c:v>15.5</c:v>
                </c:pt>
                <c:pt idx="10">
                  <c:v>16.200000000000003</c:v>
                </c:pt>
                <c:pt idx="11">
                  <c:v>17</c:v>
                </c:pt>
              </c:numCache>
            </c:numRef>
          </c:val>
          <c:extLst>
            <c:ext xmlns:c16="http://schemas.microsoft.com/office/drawing/2014/chart" uri="{C3380CC4-5D6E-409C-BE32-E72D297353CC}">
              <c16:uniqueId val="{00000004-4585-4D1D-B5A0-E9B00F2C1AD4}"/>
            </c:ext>
          </c:extLst>
        </c:ser>
        <c:dLbls>
          <c:showLegendKey val="0"/>
          <c:showVal val="0"/>
          <c:showCatName val="0"/>
          <c:showSerName val="0"/>
          <c:showPercent val="0"/>
          <c:showBubbleSize val="0"/>
        </c:dLbls>
        <c:gapWidth val="150"/>
        <c:axId val="175875488"/>
        <c:axId val="1"/>
      </c:barChart>
      <c:lineChart>
        <c:grouping val="standard"/>
        <c:varyColors val="0"/>
        <c:ser>
          <c:idx val="0"/>
          <c:order val="0"/>
          <c:tx>
            <c:strRef>
              <c:f>Sheet1!$A$2</c:f>
              <c:strCache>
                <c:ptCount val="1"/>
                <c:pt idx="0">
                  <c:v>ՏԱՑ, աջ առանցք</c:v>
                </c:pt>
              </c:strCache>
            </c:strRef>
          </c:tx>
          <c:spPr>
            <a:effectLst/>
          </c:spPr>
          <c:dLbls>
            <c:dLbl>
              <c:idx val="0"/>
              <c:layout>
                <c:manualLayout>
                  <c:x val="-7.0196214076638674E-2"/>
                  <c:y val="-4.5243814427437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85-4D1D-B5A0-E9B00F2C1AD4}"/>
                </c:ext>
              </c:extLst>
            </c:dLbl>
            <c:dLbl>
              <c:idx val="1"/>
              <c:layout>
                <c:manualLayout>
                  <c:x val="-5.359975983109861E-2"/>
                  <c:y val="-5.2083759707875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85-4D1D-B5A0-E9B00F2C1AD4}"/>
                </c:ext>
              </c:extLst>
            </c:dLbl>
            <c:dLbl>
              <c:idx val="2"/>
              <c:layout>
                <c:manualLayout>
                  <c:x val="-4.9416056726850337E-2"/>
                  <c:y val="-4.9145814707498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85-4D1D-B5A0-E9B00F2C1AD4}"/>
                </c:ext>
              </c:extLst>
            </c:dLbl>
            <c:dLbl>
              <c:idx val="3"/>
              <c:layout>
                <c:manualLayout>
                  <c:x val="-6.6012510972390359E-2"/>
                  <c:y val="-4.9915443196139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85-4D1D-B5A0-E9B00F2C1AD4}"/>
                </c:ext>
              </c:extLst>
            </c:dLbl>
            <c:dLbl>
              <c:idx val="4"/>
              <c:layout>
                <c:manualLayout>
                  <c:x val="-6.1848713171110556E-2"/>
                  <c:y val="-4.991544319613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85-4D1D-B5A0-E9B00F2C1AD4}"/>
                </c:ext>
              </c:extLst>
            </c:dLbl>
            <c:dLbl>
              <c:idx val="5"/>
              <c:layout>
                <c:manualLayout>
                  <c:x val="-6.2163282221301283E-2"/>
                  <c:y val="-5.1372297683035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585-4D1D-B5A0-E9B00F2C1AD4}"/>
                </c:ext>
              </c:extLst>
            </c:dLbl>
            <c:dLbl>
              <c:idx val="6"/>
              <c:layout>
                <c:manualLayout>
                  <c:x val="-6.2163282221301283E-2"/>
                  <c:y val="-4.56967588353781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585-4D1D-B5A0-E9B00F2C1AD4}"/>
                </c:ext>
              </c:extLst>
            </c:dLbl>
            <c:dLbl>
              <c:idx val="7"/>
              <c:layout>
                <c:manualLayout>
                  <c:x val="-5.8019063406547867E-2"/>
                  <c:y val="-3.94390167713303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585-4D1D-B5A0-E9B00F2C1AD4}"/>
                </c:ext>
              </c:extLst>
            </c:dLbl>
            <c:dLbl>
              <c:idx val="8"/>
              <c:layout>
                <c:manualLayout>
                  <c:x val="-6.2163282221301283E-2"/>
                  <c:y val="-4.56967588353781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585-4D1D-B5A0-E9B00F2C1AD4}"/>
                </c:ext>
              </c:extLst>
            </c:dLbl>
            <c:dLbl>
              <c:idx val="9"/>
              <c:layout>
                <c:manualLayout>
                  <c:x val="-6.6307501036054858E-2"/>
                  <c:y val="-4.5144716007626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585-4D1D-B5A0-E9B00F2C1AD4}"/>
                </c:ext>
              </c:extLst>
            </c:dLbl>
            <c:dLbl>
              <c:idx val="10"/>
              <c:layout>
                <c:manualLayout>
                  <c:x val="-6.2163282221301436E-2"/>
                  <c:y val="-4.10396716826265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585-4D1D-B5A0-E9B00F2C1AD4}"/>
                </c:ext>
              </c:extLst>
            </c:dLbl>
            <c:dLbl>
              <c:idx val="11"/>
              <c:layout>
                <c:manualLayout>
                  <c:x val="-5.3874844591794445E-2"/>
                  <c:y val="-4.10396716826265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585-4D1D-B5A0-E9B00F2C1AD4}"/>
                </c:ext>
              </c:extLst>
            </c:dLbl>
            <c:spPr>
              <a:noFill/>
              <a:ln w="25367">
                <a:noFill/>
              </a:ln>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Sheet1!$B$2:$M$2</c:f>
              <c:numCache>
                <c:formatCode>0.0</c:formatCode>
                <c:ptCount val="12"/>
                <c:pt idx="0">
                  <c:v>14.813477726202279</c:v>
                </c:pt>
                <c:pt idx="1">
                  <c:v>11.387911830341068</c:v>
                </c:pt>
                <c:pt idx="2">
                  <c:v>9.6930350925398301</c:v>
                </c:pt>
                <c:pt idx="3">
                  <c:v>9.4455173959507022</c:v>
                </c:pt>
                <c:pt idx="4">
                  <c:v>10.240208985445236</c:v>
                </c:pt>
                <c:pt idx="5">
                  <c:v>11.829599314809315</c:v>
                </c:pt>
                <c:pt idx="6">
                  <c:v>13.149862916466333</c:v>
                </c:pt>
                <c:pt idx="7">
                  <c:v>13.959897609166205</c:v>
                </c:pt>
                <c:pt idx="8">
                  <c:v>14.057849594719315</c:v>
                </c:pt>
                <c:pt idx="9">
                  <c:v>14.483298846653355</c:v>
                </c:pt>
                <c:pt idx="10">
                  <c:v>14.414063499704</c:v>
                </c:pt>
                <c:pt idx="11">
                  <c:v>14.242585417554253</c:v>
                </c:pt>
              </c:numCache>
            </c:numRef>
          </c:val>
          <c:smooth val="0"/>
          <c:extLst>
            <c:ext xmlns:c16="http://schemas.microsoft.com/office/drawing/2014/chart" uri="{C3380CC4-5D6E-409C-BE32-E72D297353CC}">
              <c16:uniqueId val="{00000011-4585-4D1D-B5A0-E9B00F2C1AD4}"/>
            </c:ext>
          </c:extLst>
        </c:ser>
        <c:dLbls>
          <c:showLegendKey val="0"/>
          <c:showVal val="0"/>
          <c:showCatName val="0"/>
          <c:showSerName val="0"/>
          <c:showPercent val="0"/>
          <c:showBubbleSize val="0"/>
        </c:dLbls>
        <c:marker val="1"/>
        <c:smooth val="0"/>
        <c:axId val="3"/>
        <c:axId val="4"/>
      </c:lineChart>
      <c:catAx>
        <c:axId val="175875488"/>
        <c:scaling>
          <c:orientation val="minMax"/>
        </c:scaling>
        <c:delete val="0"/>
        <c:axPos val="b"/>
        <c:numFmt formatCode="General" sourceLinked="1"/>
        <c:majorTickMark val="none"/>
        <c:minorTickMark val="none"/>
        <c:tickLblPos val="low"/>
        <c:spPr>
          <a:noFill/>
          <a:ln w="9513"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
        <c:crosses val="autoZero"/>
        <c:auto val="1"/>
        <c:lblAlgn val="ctr"/>
        <c:lblOffset val="100"/>
        <c:noMultiLvlLbl val="0"/>
      </c:catAx>
      <c:valAx>
        <c:axId val="1"/>
        <c:scaling>
          <c:orientation val="minMax"/>
          <c:max val="30"/>
          <c:min val="-6"/>
        </c:scaling>
        <c:delete val="0"/>
        <c:axPos val="l"/>
        <c:majorGridlines>
          <c:spPr>
            <a:ln w="9513" cap="flat" cmpd="sng" algn="ctr">
              <a:solidFill>
                <a:schemeClr val="tx1">
                  <a:lumMod val="15000"/>
                  <a:lumOff val="85000"/>
                </a:schemeClr>
              </a:solidFill>
              <a:round/>
            </a:ln>
            <a:effectLst/>
          </c:spPr>
        </c:majorGridlines>
        <c:numFmt formatCode="0.0" sourceLinked="1"/>
        <c:majorTickMark val="none"/>
        <c:minorTickMark val="none"/>
        <c:tickLblPos val="nextTo"/>
        <c:spPr>
          <a:ln w="9513">
            <a:noFill/>
          </a:ln>
        </c:spPr>
        <c:txPr>
          <a:bodyPr rot="-60000000" vert="horz"/>
          <a:lstStyle/>
          <a:p>
            <a:pPr>
              <a:defRPr>
                <a:solidFill>
                  <a:sysClr val="windowText" lastClr="000000"/>
                </a:solidFill>
              </a:defRPr>
            </a:pPr>
            <a:endParaRPr lang="en-US"/>
          </a:p>
        </c:txPr>
        <c:crossAx val="175875488"/>
        <c:crosses val="autoZero"/>
        <c:crossBetween val="between"/>
        <c:majorUnit val="6"/>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in val="0"/>
        </c:scaling>
        <c:delete val="0"/>
        <c:axPos val="r"/>
        <c:numFmt formatCode="0.0" sourceLinked="1"/>
        <c:majorTickMark val="out"/>
        <c:minorTickMark val="none"/>
        <c:tickLblPos val="nextTo"/>
        <c:txPr>
          <a:bodyPr/>
          <a:lstStyle/>
          <a:p>
            <a:pPr>
              <a:defRPr>
                <a:solidFill>
                  <a:sysClr val="windowText" lastClr="000000"/>
                </a:solidFill>
              </a:defRPr>
            </a:pPr>
            <a:endParaRPr lang="en-US"/>
          </a:p>
        </c:txPr>
        <c:crossAx val="3"/>
        <c:crosses val="max"/>
        <c:crossBetween val="between"/>
      </c:valAx>
      <c:spPr>
        <a:solidFill>
          <a:sysClr val="window" lastClr="FFFFFF"/>
        </a:solidFill>
        <a:ln>
          <a:noFill/>
        </a:ln>
        <a:effectLst/>
      </c:spPr>
    </c:plotArea>
    <c:legend>
      <c:legendPos val="b"/>
      <c:layout>
        <c:manualLayout>
          <c:xMode val="edge"/>
          <c:yMode val="edge"/>
          <c:x val="0"/>
          <c:y val="0.78535755656241302"/>
          <c:w val="0.99493529975419737"/>
          <c:h val="0.20101057200252204"/>
        </c:manualLayout>
      </c:layout>
      <c:overlay val="0"/>
      <c:spPr>
        <a:noFill/>
        <a:ln w="25367">
          <a:noFill/>
        </a:ln>
      </c:spPr>
      <c:txPr>
        <a:bodyPr rot="0" vert="horz"/>
        <a:lstStyle/>
        <a:p>
          <a:pPr>
            <a:defRPr sz="699">
              <a:solidFill>
                <a:sysClr val="windowText" lastClr="000000"/>
              </a:solidFill>
            </a:defRPr>
          </a:pPr>
          <a:endParaRPr lang="en-US"/>
        </a:p>
      </c:txPr>
    </c:legend>
    <c:plotVisOnly val="1"/>
    <c:dispBlanksAs val="gap"/>
    <c:showDLblsOverMax val="0"/>
  </c:chart>
  <c:spPr>
    <a:noFill/>
    <a:ln w="9513" cap="flat" cmpd="sng" algn="ctr">
      <a:solidFill>
        <a:schemeClr val="tx1">
          <a:lumMod val="15000"/>
          <a:lumOff val="85000"/>
        </a:schemeClr>
      </a:solidFill>
      <a:round/>
    </a:ln>
    <a:effectLst/>
  </c:spPr>
  <c:txPr>
    <a:bodyPr/>
    <a:lstStyle/>
    <a:p>
      <a:pPr>
        <a:defRPr sz="699">
          <a:latin typeface="GHEA Grapalat" panose="02000506050000020003" pitchFamily="50"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945793248931685E-2"/>
          <c:y val="6.746374940837313E-2"/>
          <c:w val="0.87658476118247253"/>
          <c:h val="0.62133489719661383"/>
        </c:manualLayout>
      </c:layout>
      <c:barChart>
        <c:barDir val="col"/>
        <c:grouping val="clustered"/>
        <c:varyColors val="0"/>
        <c:ser>
          <c:idx val="1"/>
          <c:order val="1"/>
          <c:tx>
            <c:strRef>
              <c:f>Sheet1!$A$3</c:f>
              <c:strCache>
                <c:ptCount val="1"/>
                <c:pt idx="0">
                  <c:v>Արդյունաբերություն</c:v>
                </c:pt>
              </c:strCache>
            </c:strRef>
          </c:tx>
          <c:spPr>
            <a:solidFill>
              <a:srgbClr val="4F81BD"/>
            </a:solidFill>
            <a:ln w="25367">
              <a:noFill/>
            </a:ln>
          </c:spPr>
          <c:invertIfNegative val="0"/>
          <c:cat>
            <c:strRef>
              <c:f>Sheet1!$B$1:$M$1</c:f>
              <c:strCache>
                <c:ptCount val="12"/>
                <c:pt idx="0">
                  <c:v>I</c:v>
                </c:pt>
                <c:pt idx="1">
                  <c:v>II</c:v>
                </c:pt>
                <c:pt idx="2">
                  <c:v>III</c:v>
                </c:pt>
                <c:pt idx="3">
                  <c:v>IV</c:v>
                </c:pt>
                <c:pt idx="4">
                  <c:v>V </c:v>
                </c:pt>
                <c:pt idx="5">
                  <c:v>VI</c:v>
                </c:pt>
                <c:pt idx="6">
                  <c:v>VII</c:v>
                </c:pt>
                <c:pt idx="7">
                  <c:v>VIII</c:v>
                </c:pt>
                <c:pt idx="8">
                  <c:v>IX</c:v>
                </c:pt>
                <c:pt idx="9">
                  <c:v>X</c:v>
                </c:pt>
                <c:pt idx="10">
                  <c:v>XI</c:v>
                </c:pt>
                <c:pt idx="11">
                  <c:v>XII</c:v>
                </c:pt>
              </c:strCache>
            </c:strRef>
          </c:cat>
          <c:val>
            <c:numRef>
              <c:f>Sheet1!$B$3:$M$3</c:f>
              <c:numCache>
                <c:formatCode>0.0</c:formatCode>
                <c:ptCount val="12"/>
                <c:pt idx="0">
                  <c:v>16.700000000000003</c:v>
                </c:pt>
                <c:pt idx="1">
                  <c:v>3</c:v>
                </c:pt>
                <c:pt idx="2">
                  <c:v>-6.4000000000000057</c:v>
                </c:pt>
                <c:pt idx="3">
                  <c:v>1.7999999999999972</c:v>
                </c:pt>
                <c:pt idx="4">
                  <c:v>2.2999999999999972</c:v>
                </c:pt>
                <c:pt idx="5">
                  <c:v>19.200000000000003</c:v>
                </c:pt>
                <c:pt idx="6">
                  <c:v>13.700000000000003</c:v>
                </c:pt>
                <c:pt idx="7">
                  <c:v>23.299999999999997</c:v>
                </c:pt>
                <c:pt idx="8">
                  <c:v>14.700000000000003</c:v>
                </c:pt>
                <c:pt idx="9">
                  <c:v>9.7000000000000028</c:v>
                </c:pt>
                <c:pt idx="10">
                  <c:v>-2.2999999999999972</c:v>
                </c:pt>
                <c:pt idx="11">
                  <c:v>2.7000000000000028</c:v>
                </c:pt>
              </c:numCache>
            </c:numRef>
          </c:val>
          <c:extLst>
            <c:ext xmlns:c16="http://schemas.microsoft.com/office/drawing/2014/chart" uri="{C3380CC4-5D6E-409C-BE32-E72D297353CC}">
              <c16:uniqueId val="{00000000-5AFE-4B0D-8844-4A8D6AB49009}"/>
            </c:ext>
          </c:extLst>
        </c:ser>
        <c:ser>
          <c:idx val="2"/>
          <c:order val="2"/>
          <c:tx>
            <c:strRef>
              <c:f>Sheet1!$A$4</c:f>
              <c:strCache>
                <c:ptCount val="1"/>
                <c:pt idx="0">
                  <c:v>Շինարարություն</c:v>
                </c:pt>
              </c:strCache>
            </c:strRef>
          </c:tx>
          <c:spPr>
            <a:solidFill>
              <a:srgbClr val="1F497D"/>
            </a:solidFill>
            <a:ln w="25367">
              <a:noFill/>
            </a:ln>
          </c:spPr>
          <c:invertIfNegative val="0"/>
          <c:cat>
            <c:strRef>
              <c:f>Sheet1!$B$1:$M$1</c:f>
              <c:strCache>
                <c:ptCount val="12"/>
                <c:pt idx="0">
                  <c:v>I</c:v>
                </c:pt>
                <c:pt idx="1">
                  <c:v>II</c:v>
                </c:pt>
                <c:pt idx="2">
                  <c:v>III</c:v>
                </c:pt>
                <c:pt idx="3">
                  <c:v>IV</c:v>
                </c:pt>
                <c:pt idx="4">
                  <c:v>V </c:v>
                </c:pt>
                <c:pt idx="5">
                  <c:v>VI</c:v>
                </c:pt>
                <c:pt idx="6">
                  <c:v>VII</c:v>
                </c:pt>
                <c:pt idx="7">
                  <c:v>VIII</c:v>
                </c:pt>
                <c:pt idx="8">
                  <c:v>IX</c:v>
                </c:pt>
                <c:pt idx="9">
                  <c:v>X</c:v>
                </c:pt>
                <c:pt idx="10">
                  <c:v>XI</c:v>
                </c:pt>
                <c:pt idx="11">
                  <c:v>XII</c:v>
                </c:pt>
              </c:strCache>
            </c:strRef>
          </c:cat>
          <c:val>
            <c:numRef>
              <c:f>Sheet1!$B$4:$M$4</c:f>
              <c:numCache>
                <c:formatCode>0.0</c:formatCode>
                <c:ptCount val="12"/>
                <c:pt idx="0">
                  <c:v>3</c:v>
                </c:pt>
                <c:pt idx="1">
                  <c:v>6.2999999999999972</c:v>
                </c:pt>
                <c:pt idx="2">
                  <c:v>8.2000000000000028</c:v>
                </c:pt>
                <c:pt idx="3">
                  <c:v>15.599999999999994</c:v>
                </c:pt>
                <c:pt idx="4">
                  <c:v>18.099999999999994</c:v>
                </c:pt>
                <c:pt idx="5">
                  <c:v>16.700000000000003</c:v>
                </c:pt>
                <c:pt idx="6">
                  <c:v>16.799999999999997</c:v>
                </c:pt>
                <c:pt idx="7">
                  <c:v>16.299999999999997</c:v>
                </c:pt>
                <c:pt idx="8">
                  <c:v>14.599999999999994</c:v>
                </c:pt>
                <c:pt idx="9">
                  <c:v>15.099999999999994</c:v>
                </c:pt>
                <c:pt idx="10">
                  <c:v>11.299999999999997</c:v>
                </c:pt>
                <c:pt idx="11">
                  <c:v>7.2999999999999972</c:v>
                </c:pt>
              </c:numCache>
            </c:numRef>
          </c:val>
          <c:extLst>
            <c:ext xmlns:c16="http://schemas.microsoft.com/office/drawing/2014/chart" uri="{C3380CC4-5D6E-409C-BE32-E72D297353CC}">
              <c16:uniqueId val="{00000001-5AFE-4B0D-8844-4A8D6AB49009}"/>
            </c:ext>
          </c:extLst>
        </c:ser>
        <c:ser>
          <c:idx val="3"/>
          <c:order val="3"/>
          <c:tx>
            <c:strRef>
              <c:f>Sheet1!$A$5</c:f>
              <c:strCache>
                <c:ptCount val="1"/>
                <c:pt idx="0">
                  <c:v>Ծառայություններ</c:v>
                </c:pt>
              </c:strCache>
            </c:strRef>
          </c:tx>
          <c:spPr>
            <a:solidFill>
              <a:srgbClr val="4F81BD">
                <a:lumMod val="60000"/>
                <a:lumOff val="40000"/>
              </a:srgbClr>
            </a:solidFill>
            <a:ln>
              <a:noFill/>
            </a:ln>
            <a:effectLst/>
          </c:spPr>
          <c:invertIfNegative val="0"/>
          <c:cat>
            <c:strRef>
              <c:f>Sheet1!$B$1:$M$1</c:f>
              <c:strCache>
                <c:ptCount val="12"/>
                <c:pt idx="0">
                  <c:v>I</c:v>
                </c:pt>
                <c:pt idx="1">
                  <c:v>II</c:v>
                </c:pt>
                <c:pt idx="2">
                  <c:v>III</c:v>
                </c:pt>
                <c:pt idx="3">
                  <c:v>IV</c:v>
                </c:pt>
                <c:pt idx="4">
                  <c:v>V </c:v>
                </c:pt>
                <c:pt idx="5">
                  <c:v>VI</c:v>
                </c:pt>
                <c:pt idx="6">
                  <c:v>VII</c:v>
                </c:pt>
                <c:pt idx="7">
                  <c:v>VIII</c:v>
                </c:pt>
                <c:pt idx="8">
                  <c:v>IX</c:v>
                </c:pt>
                <c:pt idx="9">
                  <c:v>X</c:v>
                </c:pt>
                <c:pt idx="10">
                  <c:v>XI</c:v>
                </c:pt>
                <c:pt idx="11">
                  <c:v>XII</c:v>
                </c:pt>
              </c:strCache>
            </c:strRef>
          </c:cat>
          <c:val>
            <c:numRef>
              <c:f>Sheet1!$B$5:$M$5</c:f>
              <c:numCache>
                <c:formatCode>0.0</c:formatCode>
                <c:ptCount val="12"/>
                <c:pt idx="0">
                  <c:v>21.200000000000003</c:v>
                </c:pt>
                <c:pt idx="1">
                  <c:v>19</c:v>
                </c:pt>
                <c:pt idx="2">
                  <c:v>25.900000000000006</c:v>
                </c:pt>
                <c:pt idx="3">
                  <c:v>27.099999999999994</c:v>
                </c:pt>
                <c:pt idx="4">
                  <c:v>30.199999999999989</c:v>
                </c:pt>
                <c:pt idx="5">
                  <c:v>35.5</c:v>
                </c:pt>
                <c:pt idx="6">
                  <c:v>30.599999999999994</c:v>
                </c:pt>
                <c:pt idx="7">
                  <c:v>25.200000000000003</c:v>
                </c:pt>
                <c:pt idx="8">
                  <c:v>26.299999999999997</c:v>
                </c:pt>
                <c:pt idx="9">
                  <c:v>34.900000000000006</c:v>
                </c:pt>
                <c:pt idx="10">
                  <c:v>30.900000000000006</c:v>
                </c:pt>
                <c:pt idx="11">
                  <c:v>27.900000000000006</c:v>
                </c:pt>
              </c:numCache>
            </c:numRef>
          </c:val>
          <c:extLst>
            <c:ext xmlns:c16="http://schemas.microsoft.com/office/drawing/2014/chart" uri="{C3380CC4-5D6E-409C-BE32-E72D297353CC}">
              <c16:uniqueId val="{00000002-5AFE-4B0D-8844-4A8D6AB49009}"/>
            </c:ext>
          </c:extLst>
        </c:ser>
        <c:ser>
          <c:idx val="4"/>
          <c:order val="4"/>
          <c:tx>
            <c:strRef>
              <c:f>Sheet1!$A$6</c:f>
              <c:strCache>
                <c:ptCount val="1"/>
                <c:pt idx="0">
                  <c:v>Առևտուր</c:v>
                </c:pt>
              </c:strCache>
            </c:strRef>
          </c:tx>
          <c:spPr>
            <a:solidFill>
              <a:srgbClr val="F79646">
                <a:lumMod val="60000"/>
                <a:lumOff val="40000"/>
              </a:srgbClr>
            </a:solidFill>
          </c:spPr>
          <c:invertIfNegative val="0"/>
          <c:cat>
            <c:strRef>
              <c:f>Sheet1!$B$1:$M$1</c:f>
              <c:strCache>
                <c:ptCount val="12"/>
                <c:pt idx="0">
                  <c:v>I</c:v>
                </c:pt>
                <c:pt idx="1">
                  <c:v>II</c:v>
                </c:pt>
                <c:pt idx="2">
                  <c:v>III</c:v>
                </c:pt>
                <c:pt idx="3">
                  <c:v>IV</c:v>
                </c:pt>
                <c:pt idx="4">
                  <c:v>V </c:v>
                </c:pt>
                <c:pt idx="5">
                  <c:v>VI</c:v>
                </c:pt>
                <c:pt idx="6">
                  <c:v>VII</c:v>
                </c:pt>
                <c:pt idx="7">
                  <c:v>VIII</c:v>
                </c:pt>
                <c:pt idx="8">
                  <c:v>IX</c:v>
                </c:pt>
                <c:pt idx="9">
                  <c:v>X</c:v>
                </c:pt>
                <c:pt idx="10">
                  <c:v>XI</c:v>
                </c:pt>
                <c:pt idx="11">
                  <c:v>XII</c:v>
                </c:pt>
              </c:strCache>
            </c:strRef>
          </c:cat>
          <c:val>
            <c:numRef>
              <c:f>Sheet1!$B$6:$M$6</c:f>
              <c:numCache>
                <c:formatCode>0.0</c:formatCode>
                <c:ptCount val="12"/>
                <c:pt idx="0">
                  <c:v>11.5</c:v>
                </c:pt>
                <c:pt idx="1">
                  <c:v>5.2999999999999972</c:v>
                </c:pt>
                <c:pt idx="2">
                  <c:v>6.5999999999999943</c:v>
                </c:pt>
                <c:pt idx="3">
                  <c:v>8.5999999999999943</c:v>
                </c:pt>
                <c:pt idx="4">
                  <c:v>12.400000000000006</c:v>
                </c:pt>
                <c:pt idx="5">
                  <c:v>18.200000000000003</c:v>
                </c:pt>
                <c:pt idx="6">
                  <c:v>21.299999999999997</c:v>
                </c:pt>
                <c:pt idx="7">
                  <c:v>20</c:v>
                </c:pt>
                <c:pt idx="8">
                  <c:v>20.700000000000003</c:v>
                </c:pt>
                <c:pt idx="9">
                  <c:v>23.099999999999994</c:v>
                </c:pt>
                <c:pt idx="10">
                  <c:v>22.099999999999994</c:v>
                </c:pt>
                <c:pt idx="11">
                  <c:v>23.900000000000006</c:v>
                </c:pt>
              </c:numCache>
            </c:numRef>
          </c:val>
          <c:extLst>
            <c:ext xmlns:c16="http://schemas.microsoft.com/office/drawing/2014/chart" uri="{C3380CC4-5D6E-409C-BE32-E72D297353CC}">
              <c16:uniqueId val="{00000003-5AFE-4B0D-8844-4A8D6AB49009}"/>
            </c:ext>
          </c:extLst>
        </c:ser>
        <c:dLbls>
          <c:showLegendKey val="0"/>
          <c:showVal val="0"/>
          <c:showCatName val="0"/>
          <c:showSerName val="0"/>
          <c:showPercent val="0"/>
          <c:showBubbleSize val="0"/>
        </c:dLbls>
        <c:gapWidth val="219"/>
        <c:overlap val="-27"/>
        <c:axId val="176598008"/>
        <c:axId val="1"/>
      </c:barChart>
      <c:lineChart>
        <c:grouping val="standard"/>
        <c:varyColors val="0"/>
        <c:ser>
          <c:idx val="0"/>
          <c:order val="0"/>
          <c:tx>
            <c:strRef>
              <c:f>Sheet1!$A$2</c:f>
              <c:strCache>
                <c:ptCount val="1"/>
                <c:pt idx="0">
                  <c:v>ՏԱՑ, աջ առանցք</c:v>
                </c:pt>
              </c:strCache>
            </c:strRef>
          </c:tx>
          <c:spPr>
            <a:effectLst/>
          </c:spPr>
          <c:dLbls>
            <c:dLbl>
              <c:idx val="0"/>
              <c:layout>
                <c:manualLayout>
                  <c:x val="-6.2028109425148865E-2"/>
                  <c:y val="-4.3207852443102178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FE-4B0D-8844-4A8D6AB49009}"/>
                </c:ext>
              </c:extLst>
            </c:dLbl>
            <c:dLbl>
              <c:idx val="1"/>
              <c:layout>
                <c:manualLayout>
                  <c:x val="-5.7743996000920318E-2"/>
                  <c:y val="4.5833243447308811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FE-4B0D-8844-4A8D6AB49009}"/>
                </c:ext>
              </c:extLst>
            </c:dLbl>
            <c:dLbl>
              <c:idx val="2"/>
              <c:layout>
                <c:manualLayout>
                  <c:x val="-6.5993090993960002E-2"/>
                  <c:y val="-5.2682558515801961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FE-4B0D-8844-4A8D6AB49009}"/>
                </c:ext>
              </c:extLst>
            </c:dLbl>
            <c:dLbl>
              <c:idx val="3"/>
              <c:layout>
                <c:manualLayout>
                  <c:x val="-7.4481534878562711E-2"/>
                  <c:y val="-7.0613202459281627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FE-4B0D-8844-4A8D6AB49009}"/>
                </c:ext>
              </c:extLst>
            </c:dLbl>
            <c:dLbl>
              <c:idx val="4"/>
              <c:layout>
                <c:manualLayout>
                  <c:x val="-8.2810412835456773E-2"/>
                  <c:y val="-4.9263563801100203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AFE-4B0D-8844-4A8D6AB49009}"/>
                </c:ext>
              </c:extLst>
            </c:dLbl>
            <c:dLbl>
              <c:idx val="5"/>
              <c:layout>
                <c:manualLayout>
                  <c:x val="-0.10073211628449744"/>
                  <c:y val="-4.9111206989537269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AFE-4B0D-8844-4A8D6AB49009}"/>
                </c:ext>
              </c:extLst>
            </c:dLbl>
            <c:dLbl>
              <c:idx val="6"/>
              <c:layout>
                <c:manualLayout>
                  <c:x val="-7.1255787161563819E-2"/>
                  <c:y val="-4.7508359400280448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AFE-4B0D-8844-4A8D6AB49009}"/>
                </c:ext>
              </c:extLst>
            </c:dLbl>
            <c:dLbl>
              <c:idx val="7"/>
              <c:layout>
                <c:manualLayout>
                  <c:x val="-5.8677224943266444E-2"/>
                  <c:y val="-4.8309783194908855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AFE-4B0D-8844-4A8D6AB49009}"/>
                </c:ext>
              </c:extLst>
            </c:dLbl>
            <c:dLbl>
              <c:idx val="8"/>
              <c:layout>
                <c:manualLayout>
                  <c:x val="-6.2904397828976444E-2"/>
                  <c:y val="-6.0405026426491211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AFE-4B0D-8844-4A8D6AB49009}"/>
                </c:ext>
              </c:extLst>
            </c:dLbl>
            <c:dLbl>
              <c:idx val="9"/>
              <c:layout>
                <c:manualLayout>
                  <c:x val="-2.9430313222619298E-2"/>
                  <c:y val="-2.6637363822672868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AFE-4B0D-8844-4A8D6AB49009}"/>
                </c:ext>
              </c:extLst>
            </c:dLbl>
            <c:dLbl>
              <c:idx val="10"/>
              <c:layout>
                <c:manualLayout>
                  <c:x val="-5.0451965524490376E-2"/>
                  <c:y val="-5.4794520547945202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AFE-4B0D-8844-4A8D6AB49009}"/>
                </c:ext>
              </c:extLst>
            </c:dLbl>
            <c:dLbl>
              <c:idx val="11"/>
              <c:layout>
                <c:manualLayout>
                  <c:x val="-5.4656295984864413E-2"/>
                  <c:y val="-4.1095890410958964E-2"/>
                </c:manualLayout>
              </c:layout>
              <c:spPr>
                <a:noFill/>
                <a:ln w="25367">
                  <a:noFill/>
                </a:ln>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AFE-4B0D-8844-4A8D6AB49009}"/>
                </c:ext>
              </c:extLst>
            </c:dLbl>
            <c:spPr>
              <a:noFill/>
              <a:ln w="2536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c:v>
                </c:pt>
                <c:pt idx="2">
                  <c:v>III</c:v>
                </c:pt>
                <c:pt idx="3">
                  <c:v>IV</c:v>
                </c:pt>
                <c:pt idx="4">
                  <c:v>V </c:v>
                </c:pt>
                <c:pt idx="5">
                  <c:v>VI</c:v>
                </c:pt>
                <c:pt idx="6">
                  <c:v>VII</c:v>
                </c:pt>
                <c:pt idx="7">
                  <c:v>VIII</c:v>
                </c:pt>
                <c:pt idx="8">
                  <c:v>IX</c:v>
                </c:pt>
                <c:pt idx="9">
                  <c:v>X</c:v>
                </c:pt>
                <c:pt idx="10">
                  <c:v>XI</c:v>
                </c:pt>
                <c:pt idx="11">
                  <c:v>XII</c:v>
                </c:pt>
              </c:strCache>
            </c:strRef>
          </c:cat>
          <c:val>
            <c:numRef>
              <c:f>Sheet1!$B$2:$M$2</c:f>
              <c:numCache>
                <c:formatCode>0.0</c:formatCode>
                <c:ptCount val="12"/>
                <c:pt idx="0">
                  <c:v>14.813477726202279</c:v>
                </c:pt>
                <c:pt idx="1">
                  <c:v>8.330717560107928</c:v>
                </c:pt>
                <c:pt idx="2">
                  <c:v>6.7752947658196661</c:v>
                </c:pt>
                <c:pt idx="3">
                  <c:v>8.7933267456627391</c:v>
                </c:pt>
                <c:pt idx="4">
                  <c:v>13.067285315557726</c:v>
                </c:pt>
                <c:pt idx="5">
                  <c:v>18.318704471054858</c:v>
                </c:pt>
                <c:pt idx="6">
                  <c:v>19.397019435994849</c:v>
                </c:pt>
                <c:pt idx="7">
                  <c:v>18.496382356495758</c:v>
                </c:pt>
                <c:pt idx="8">
                  <c:v>14.632434280325995</c:v>
                </c:pt>
                <c:pt idx="9">
                  <c:v>17.537754611254712</c:v>
                </c:pt>
                <c:pt idx="10">
                  <c:v>13.842436491779736</c:v>
                </c:pt>
                <c:pt idx="11">
                  <c:v>12.948224175444523</c:v>
                </c:pt>
              </c:numCache>
            </c:numRef>
          </c:val>
          <c:smooth val="0"/>
          <c:extLst>
            <c:ext xmlns:c16="http://schemas.microsoft.com/office/drawing/2014/chart" uri="{C3380CC4-5D6E-409C-BE32-E72D297353CC}">
              <c16:uniqueId val="{00000010-5AFE-4B0D-8844-4A8D6AB49009}"/>
            </c:ext>
          </c:extLst>
        </c:ser>
        <c:dLbls>
          <c:showLegendKey val="0"/>
          <c:showVal val="0"/>
          <c:showCatName val="0"/>
          <c:showSerName val="0"/>
          <c:showPercent val="0"/>
          <c:showBubbleSize val="0"/>
        </c:dLbls>
        <c:marker val="1"/>
        <c:smooth val="0"/>
        <c:axId val="3"/>
        <c:axId val="4"/>
      </c:lineChart>
      <c:catAx>
        <c:axId val="176598008"/>
        <c:scaling>
          <c:orientation val="minMax"/>
        </c:scaling>
        <c:delete val="0"/>
        <c:axPos val="b"/>
        <c:numFmt formatCode="General" sourceLinked="1"/>
        <c:majorTickMark val="none"/>
        <c:minorTickMark val="none"/>
        <c:tickLblPos val="low"/>
        <c:spPr>
          <a:noFill/>
          <a:ln w="9513"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max val="65"/>
          <c:min val="-8"/>
        </c:scaling>
        <c:delete val="0"/>
        <c:axPos val="l"/>
        <c:majorGridlines>
          <c:spPr>
            <a:ln w="9513" cap="flat" cmpd="sng" algn="ctr">
              <a:solidFill>
                <a:schemeClr val="tx1">
                  <a:lumMod val="15000"/>
                  <a:lumOff val="85000"/>
                </a:schemeClr>
              </a:solidFill>
              <a:round/>
            </a:ln>
            <a:effectLst/>
          </c:spPr>
        </c:majorGridlines>
        <c:numFmt formatCode="0.0" sourceLinked="1"/>
        <c:majorTickMark val="none"/>
        <c:minorTickMark val="none"/>
        <c:tickLblPos val="nextTo"/>
        <c:spPr>
          <a:ln w="9513">
            <a:noFill/>
          </a:ln>
        </c:spPr>
        <c:txPr>
          <a:bodyPr rot="-60000000" vert="horz"/>
          <a:lstStyle/>
          <a:p>
            <a:pPr>
              <a:defRPr/>
            </a:pPr>
            <a:endParaRPr lang="en-US"/>
          </a:p>
        </c:txPr>
        <c:crossAx val="176598008"/>
        <c:crosses val="autoZero"/>
        <c:crossBetween val="between"/>
        <c:majorUnit val="8"/>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2"/>
          <c:min val="0"/>
        </c:scaling>
        <c:delete val="0"/>
        <c:axPos val="r"/>
        <c:numFmt formatCode="0.0" sourceLinked="1"/>
        <c:majorTickMark val="out"/>
        <c:minorTickMark val="none"/>
        <c:tickLblPos val="nextTo"/>
        <c:crossAx val="3"/>
        <c:crosses val="max"/>
        <c:crossBetween val="between"/>
      </c:valAx>
      <c:spPr>
        <a:solidFill>
          <a:sysClr val="window" lastClr="FFFFFF"/>
        </a:solidFill>
        <a:ln>
          <a:noFill/>
        </a:ln>
        <a:effectLst/>
      </c:spPr>
    </c:plotArea>
    <c:legend>
      <c:legendPos val="b"/>
      <c:layout>
        <c:manualLayout>
          <c:xMode val="edge"/>
          <c:yMode val="edge"/>
          <c:x val="3.9212765071032794E-2"/>
          <c:y val="0.79446560800011734"/>
          <c:w val="0.92687614048243971"/>
          <c:h val="0.19904983944046095"/>
        </c:manualLayout>
      </c:layout>
      <c:overlay val="0"/>
      <c:spPr>
        <a:noFill/>
        <a:ln w="25367">
          <a:noFill/>
        </a:ln>
      </c:spPr>
      <c:txPr>
        <a:bodyPr rot="0" vert="horz"/>
        <a:lstStyle/>
        <a:p>
          <a:pPr>
            <a:defRPr/>
          </a:pPr>
          <a:endParaRPr lang="en-US"/>
        </a:p>
      </c:txPr>
    </c:legend>
    <c:plotVisOnly val="1"/>
    <c:dispBlanksAs val="gap"/>
    <c:showDLblsOverMax val="0"/>
  </c:chart>
  <c:spPr>
    <a:noFill/>
    <a:ln w="9513" cap="flat" cmpd="sng" algn="ctr">
      <a:solidFill>
        <a:schemeClr val="tx1">
          <a:lumMod val="15000"/>
          <a:lumOff val="85000"/>
        </a:schemeClr>
      </a:solidFill>
      <a:round/>
    </a:ln>
    <a:effectLst/>
  </c:spPr>
  <c:txPr>
    <a:bodyPr/>
    <a:lstStyle/>
    <a:p>
      <a:pPr>
        <a:defRPr sz="699">
          <a:latin typeface="GHEA Grapalat" panose="02000506050000020003" pitchFamily="50"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945793248931685E-2"/>
          <c:y val="7.1054857812194963E-2"/>
          <c:w val="0.87658476118247253"/>
          <c:h val="0.5526418699605341"/>
        </c:manualLayout>
      </c:layout>
      <c:barChart>
        <c:barDir val="col"/>
        <c:grouping val="stacked"/>
        <c:varyColors val="0"/>
        <c:ser>
          <c:idx val="1"/>
          <c:order val="1"/>
          <c:tx>
            <c:strRef>
              <c:f>Sheet1!$A$3</c:f>
              <c:strCache>
                <c:ptCount val="1"/>
                <c:pt idx="0">
                  <c:v>արդյունաբերություն</c:v>
                </c:pt>
              </c:strCache>
            </c:strRef>
          </c:tx>
          <c:spPr>
            <a:solidFill>
              <a:srgbClr val="4F81BD"/>
            </a:solidFill>
            <a:ln w="25367">
              <a:noFill/>
            </a:ln>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Sheet1!$B$3:$M$3</c:f>
              <c:numCache>
                <c:formatCode>0.0</c:formatCode>
                <c:ptCount val="12"/>
                <c:pt idx="0">
                  <c:v>3.7030065700093595</c:v>
                </c:pt>
                <c:pt idx="1">
                  <c:v>2.0666718542081428</c:v>
                </c:pt>
                <c:pt idx="2">
                  <c:v>0.76830855200421311</c:v>
                </c:pt>
                <c:pt idx="3">
                  <c:v>0.65983558706855716</c:v>
                </c:pt>
                <c:pt idx="4">
                  <c:v>0.61096111346008819</c:v>
                </c:pt>
                <c:pt idx="5">
                  <c:v>1.2914544046517173</c:v>
                </c:pt>
                <c:pt idx="6">
                  <c:v>1.5610248747451385</c:v>
                </c:pt>
                <c:pt idx="7">
                  <c:v>2.0448639058349207</c:v>
                </c:pt>
                <c:pt idx="8">
                  <c:v>2.2023328333492902</c:v>
                </c:pt>
                <c:pt idx="9">
                  <c:v>2.1935608544128113</c:v>
                </c:pt>
                <c:pt idx="10">
                  <c:v>1.8636097482429093</c:v>
                </c:pt>
                <c:pt idx="11">
                  <c:v>1.7517216708427488</c:v>
                </c:pt>
              </c:numCache>
            </c:numRef>
          </c:val>
          <c:extLst>
            <c:ext xmlns:c16="http://schemas.microsoft.com/office/drawing/2014/chart" uri="{C3380CC4-5D6E-409C-BE32-E72D297353CC}">
              <c16:uniqueId val="{00000000-FF66-41BB-BA8C-73B5A0CA7053}"/>
            </c:ext>
          </c:extLst>
        </c:ser>
        <c:ser>
          <c:idx val="2"/>
          <c:order val="2"/>
          <c:tx>
            <c:strRef>
              <c:f>Sheet1!$A$4</c:f>
              <c:strCache>
                <c:ptCount val="1"/>
                <c:pt idx="0">
                  <c:v>գյուղատնտեսություն</c:v>
                </c:pt>
              </c:strCache>
            </c:strRef>
          </c:tx>
          <c:spPr>
            <a:solidFill>
              <a:srgbClr val="4BACC6"/>
            </a:solidFill>
            <a:ln w="25367">
              <a:noFill/>
            </a:ln>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Sheet1!$B$4:$M$4</c:f>
              <c:numCache>
                <c:formatCode>General</c:formatCode>
                <c:ptCount val="12"/>
                <c:pt idx="2" formatCode="0.0">
                  <c:v>-0.67444374001273288</c:v>
                </c:pt>
                <c:pt idx="5" formatCode="0.0">
                  <c:v>-0.68693343890185687</c:v>
                </c:pt>
                <c:pt idx="8" formatCode="0.0">
                  <c:v>-8.7427892223873052E-2</c:v>
                </c:pt>
                <c:pt idx="11" formatCode="0.0">
                  <c:v>4.9958795556499389E-2</c:v>
                </c:pt>
              </c:numCache>
            </c:numRef>
          </c:val>
          <c:extLst>
            <c:ext xmlns:c16="http://schemas.microsoft.com/office/drawing/2014/chart" uri="{C3380CC4-5D6E-409C-BE32-E72D297353CC}">
              <c16:uniqueId val="{00000001-FF66-41BB-BA8C-73B5A0CA7053}"/>
            </c:ext>
          </c:extLst>
        </c:ser>
        <c:ser>
          <c:idx val="3"/>
          <c:order val="3"/>
          <c:tx>
            <c:strRef>
              <c:f>Sheet1!$A$5</c:f>
              <c:strCache>
                <c:ptCount val="1"/>
                <c:pt idx="0">
                  <c:v>շինարարություն</c:v>
                </c:pt>
              </c:strCache>
            </c:strRef>
          </c:tx>
          <c:spPr>
            <a:solidFill>
              <a:srgbClr val="1F497D"/>
            </a:solidFill>
            <a:ln w="25367">
              <a:noFill/>
            </a:ln>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Sheet1!$B$5:$M$5</c:f>
              <c:numCache>
                <c:formatCode>0.0</c:formatCode>
                <c:ptCount val="12"/>
                <c:pt idx="0">
                  <c:v>0.21525790674990417</c:v>
                </c:pt>
                <c:pt idx="1">
                  <c:v>0.35158791435817721</c:v>
                </c:pt>
                <c:pt idx="2">
                  <c:v>0.44486634061646879</c:v>
                </c:pt>
                <c:pt idx="3">
                  <c:v>0.64577372024971247</c:v>
                </c:pt>
                <c:pt idx="4">
                  <c:v>0.81798004564963622</c:v>
                </c:pt>
                <c:pt idx="5">
                  <c:v>0.91125847190792786</c:v>
                </c:pt>
                <c:pt idx="6">
                  <c:v>0.97583584393289846</c:v>
                </c:pt>
                <c:pt idx="7">
                  <c:v>1.0188874252828799</c:v>
                </c:pt>
                <c:pt idx="8">
                  <c:v>1.0260626888412097</c:v>
                </c:pt>
                <c:pt idx="9">
                  <c:v>1.0332379523995403</c:v>
                </c:pt>
                <c:pt idx="10">
                  <c:v>0.99736163460788974</c:v>
                </c:pt>
                <c:pt idx="11">
                  <c:v>0.89690794479126734</c:v>
                </c:pt>
              </c:numCache>
            </c:numRef>
          </c:val>
          <c:extLst>
            <c:ext xmlns:c16="http://schemas.microsoft.com/office/drawing/2014/chart" uri="{C3380CC4-5D6E-409C-BE32-E72D297353CC}">
              <c16:uniqueId val="{00000002-FF66-41BB-BA8C-73B5A0CA7053}"/>
            </c:ext>
          </c:extLst>
        </c:ser>
        <c:ser>
          <c:idx val="4"/>
          <c:order val="4"/>
          <c:tx>
            <c:strRef>
              <c:f>Sheet1!$A$6</c:f>
              <c:strCache>
                <c:ptCount val="1"/>
                <c:pt idx="0">
                  <c:v>ծառայություններ</c:v>
                </c:pt>
              </c:strCache>
            </c:strRef>
          </c:tx>
          <c:spPr>
            <a:solidFill>
              <a:srgbClr val="4F81BD">
                <a:lumMod val="60000"/>
                <a:lumOff val="40000"/>
              </a:srgbClr>
            </a:solidFill>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Sheet1!$B$6:$M$6</c:f>
              <c:numCache>
                <c:formatCode>0.0</c:formatCode>
                <c:ptCount val="12"/>
                <c:pt idx="0">
                  <c:v>9.7040852150518262</c:v>
                </c:pt>
                <c:pt idx="1">
                  <c:v>9.1890623644776088</c:v>
                </c:pt>
                <c:pt idx="2">
                  <c:v>10.145961155806249</c:v>
                </c:pt>
                <c:pt idx="3">
                  <c:v>10.748298796805924</c:v>
                </c:pt>
                <c:pt idx="4">
                  <c:v>11.413859651454409</c:v>
                </c:pt>
                <c:pt idx="5">
                  <c:v>12.302544361735281</c:v>
                </c:pt>
                <c:pt idx="6">
                  <c:v>12.574371185841542</c:v>
                </c:pt>
                <c:pt idx="7">
                  <c:v>12.430106779093611</c:v>
                </c:pt>
                <c:pt idx="8">
                  <c:v>12.404750439995491</c:v>
                </c:pt>
                <c:pt idx="9">
                  <c:v>12.770942334903111</c:v>
                </c:pt>
                <c:pt idx="10">
                  <c:v>12.90826429549346</c:v>
                </c:pt>
                <c:pt idx="11">
                  <c:v>12.90826429549346</c:v>
                </c:pt>
              </c:numCache>
            </c:numRef>
          </c:val>
          <c:extLst>
            <c:ext xmlns:c16="http://schemas.microsoft.com/office/drawing/2014/chart" uri="{C3380CC4-5D6E-409C-BE32-E72D297353CC}">
              <c16:uniqueId val="{00000003-FF66-41BB-BA8C-73B5A0CA7053}"/>
            </c:ext>
          </c:extLst>
        </c:ser>
        <c:ser>
          <c:idx val="5"/>
          <c:order val="5"/>
          <c:tx>
            <c:strRef>
              <c:f>Sheet1!$A$7</c:f>
              <c:strCache>
                <c:ptCount val="1"/>
                <c:pt idx="0">
                  <c:v>առևտուր</c:v>
                </c:pt>
              </c:strCache>
            </c:strRef>
          </c:tx>
          <c:spPr>
            <a:solidFill>
              <a:srgbClr val="F79646">
                <a:lumMod val="60000"/>
                <a:lumOff val="40000"/>
              </a:srgbClr>
            </a:solidFill>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Sheet1!$B$7:$M$7</c:f>
              <c:numCache>
                <c:formatCode>0.0</c:formatCode>
                <c:ptCount val="12"/>
                <c:pt idx="0">
                  <c:v>1.4245462451075392</c:v>
                </c:pt>
                <c:pt idx="1">
                  <c:v>1.0157634095549413</c:v>
                </c:pt>
                <c:pt idx="2">
                  <c:v>0.941439257636286</c:v>
                </c:pt>
                <c:pt idx="3">
                  <c:v>0.96621397494250449</c:v>
                </c:pt>
                <c:pt idx="4">
                  <c:v>1.102474920126705</c:v>
                </c:pt>
                <c:pt idx="5">
                  <c:v>1.3254473758826673</c:v>
                </c:pt>
                <c:pt idx="6">
                  <c:v>1.5484198316386295</c:v>
                </c:pt>
                <c:pt idx="7">
                  <c:v>1.6846807768228282</c:v>
                </c:pt>
                <c:pt idx="8">
                  <c:v>1.7961670047008103</c:v>
                </c:pt>
                <c:pt idx="9">
                  <c:v>1.9200405912319005</c:v>
                </c:pt>
                <c:pt idx="10">
                  <c:v>2.0067521018036643</c:v>
                </c:pt>
                <c:pt idx="11">
                  <c:v>2.105850971028536</c:v>
                </c:pt>
              </c:numCache>
            </c:numRef>
          </c:val>
          <c:extLst>
            <c:ext xmlns:c16="http://schemas.microsoft.com/office/drawing/2014/chart" uri="{C3380CC4-5D6E-409C-BE32-E72D297353CC}">
              <c16:uniqueId val="{00000004-FF66-41BB-BA8C-73B5A0CA7053}"/>
            </c:ext>
          </c:extLst>
        </c:ser>
        <c:ser>
          <c:idx val="6"/>
          <c:order val="6"/>
          <c:tx>
            <c:strRef>
              <c:f>Sheet1!$A$8</c:f>
              <c:strCache>
                <c:ptCount val="1"/>
                <c:pt idx="0">
                  <c:v>այլ </c:v>
                </c:pt>
              </c:strCache>
            </c:strRef>
          </c:tx>
          <c:spPr>
            <a:solidFill>
              <a:sysClr val="window" lastClr="FFFFFF">
                <a:lumMod val="65000"/>
              </a:sysClr>
            </a:solidFill>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Sheet1!$B$8:$M$8</c:f>
              <c:numCache>
                <c:formatCode>0.0</c:formatCode>
                <c:ptCount val="12"/>
                <c:pt idx="0">
                  <c:v>-0.23341821071634983</c:v>
                </c:pt>
                <c:pt idx="1">
                  <c:v>-1.2351737122578013</c:v>
                </c:pt>
                <c:pt idx="2">
                  <c:v>-1.9330964735106542</c:v>
                </c:pt>
                <c:pt idx="3">
                  <c:v>-3.5746046831159957</c:v>
                </c:pt>
                <c:pt idx="4">
                  <c:v>-3.705066745245603</c:v>
                </c:pt>
                <c:pt idx="5">
                  <c:v>-3.3141718604664216</c:v>
                </c:pt>
                <c:pt idx="6">
                  <c:v>-3.5097888196918761</c:v>
                </c:pt>
                <c:pt idx="7">
                  <c:v>-3.2186412778680342</c:v>
                </c:pt>
                <c:pt idx="8">
                  <c:v>-3.2840354799436113</c:v>
                </c:pt>
                <c:pt idx="9">
                  <c:v>-3.4344828862940062</c:v>
                </c:pt>
                <c:pt idx="10">
                  <c:v>-3.3619242804439224</c:v>
                </c:pt>
                <c:pt idx="11">
                  <c:v>-3.4701182601582587</c:v>
                </c:pt>
              </c:numCache>
            </c:numRef>
          </c:val>
          <c:extLst>
            <c:ext xmlns:c16="http://schemas.microsoft.com/office/drawing/2014/chart" uri="{C3380CC4-5D6E-409C-BE32-E72D297353CC}">
              <c16:uniqueId val="{00000005-FF66-41BB-BA8C-73B5A0CA7053}"/>
            </c:ext>
          </c:extLst>
        </c:ser>
        <c:dLbls>
          <c:showLegendKey val="0"/>
          <c:showVal val="0"/>
          <c:showCatName val="0"/>
          <c:showSerName val="0"/>
          <c:showPercent val="0"/>
          <c:showBubbleSize val="0"/>
        </c:dLbls>
        <c:gapWidth val="150"/>
        <c:overlap val="100"/>
        <c:axId val="175602800"/>
        <c:axId val="1"/>
      </c:barChart>
      <c:lineChart>
        <c:grouping val="standard"/>
        <c:varyColors val="0"/>
        <c:ser>
          <c:idx val="0"/>
          <c:order val="0"/>
          <c:tx>
            <c:strRef>
              <c:f>Sheet1!$A$2</c:f>
              <c:strCache>
                <c:ptCount val="1"/>
                <c:pt idx="0">
                  <c:v>ՏԱՑ</c:v>
                </c:pt>
              </c:strCache>
            </c:strRef>
          </c:tx>
          <c:spPr>
            <a:effectLst/>
          </c:spPr>
          <c:dLbls>
            <c:dLbl>
              <c:idx val="0"/>
              <c:layout>
                <c:manualLayout>
                  <c:x val="-6.1780415909549767E-2"/>
                  <c:y val="-3.8917024772825055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66-41BB-BA8C-73B5A0CA7053}"/>
                </c:ext>
              </c:extLst>
            </c:dLbl>
            <c:dLbl>
              <c:idx val="1"/>
              <c:layout>
                <c:manualLayout>
                  <c:x val="-6.18463153644256E-2"/>
                  <c:y val="-5.2083581718183843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66-41BB-BA8C-73B5A0CA7053}"/>
                </c:ext>
              </c:extLst>
            </c:dLbl>
            <c:dLbl>
              <c:idx val="2"/>
              <c:layout>
                <c:manualLayout>
                  <c:x val="-6.1538461538461577E-2"/>
                  <c:y val="-4.3785540632305754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66-41BB-BA8C-73B5A0CA7053}"/>
                </c:ext>
              </c:extLst>
            </c:dLbl>
            <c:dLbl>
              <c:idx val="3"/>
              <c:layout>
                <c:manualLayout>
                  <c:x val="-5.3597254189380251E-2"/>
                  <c:y val="-6.0381104435678262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F66-41BB-BA8C-73B5A0CA7053}"/>
                </c:ext>
              </c:extLst>
            </c:dLbl>
            <c:dLbl>
              <c:idx val="4"/>
              <c:layout>
                <c:manualLayout>
                  <c:x val="-5.3355299818292019E-2"/>
                  <c:y val="-4.195932881661682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F66-41BB-BA8C-73B5A0CA7053}"/>
                </c:ext>
              </c:extLst>
            </c:dLbl>
            <c:dLbl>
              <c:idx val="5"/>
              <c:layout>
                <c:manualLayout>
                  <c:x val="-5.3333333333333337E-2"/>
                  <c:y val="-4.6082949308755769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F66-41BB-BA8C-73B5A0CA7053}"/>
                </c:ext>
              </c:extLst>
            </c:dLbl>
            <c:dLbl>
              <c:idx val="6"/>
              <c:layout>
                <c:manualLayout>
                  <c:x val="-5.3333333333333337E-2"/>
                  <c:y val="-4.6082949308755776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F66-41BB-BA8C-73B5A0CA7053}"/>
                </c:ext>
              </c:extLst>
            </c:dLbl>
            <c:dLbl>
              <c:idx val="7"/>
              <c:layout>
                <c:manualLayout>
                  <c:x val="-5.7435897435897436E-2"/>
                  <c:y val="-4.6082949308755762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F66-41BB-BA8C-73B5A0CA7053}"/>
                </c:ext>
              </c:extLst>
            </c:dLbl>
            <c:dLbl>
              <c:idx val="8"/>
              <c:layout>
                <c:manualLayout>
                  <c:x val="-5.3333333333333482E-2"/>
                  <c:y val="-4.6082949308755762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F66-41BB-BA8C-73B5A0CA7053}"/>
                </c:ext>
              </c:extLst>
            </c:dLbl>
            <c:dLbl>
              <c:idx val="9"/>
              <c:layout>
                <c:manualLayout>
                  <c:x val="-5.7435897435897436E-2"/>
                  <c:y val="-5.2666227781435156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F66-41BB-BA8C-73B5A0CA7053}"/>
                </c:ext>
              </c:extLst>
            </c:dLbl>
            <c:dLbl>
              <c:idx val="10"/>
              <c:layout>
                <c:manualLayout>
                  <c:x val="-6.1538461538461542E-2"/>
                  <c:y val="-5.2666227781435156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F66-41BB-BA8C-73B5A0CA7053}"/>
                </c:ext>
              </c:extLst>
            </c:dLbl>
            <c:dLbl>
              <c:idx val="11"/>
              <c:layout>
                <c:manualLayout>
                  <c:x val="-2.0512820512820662E-2"/>
                  <c:y val="-4.6082949308755769E-2"/>
                </c:manualLayout>
              </c:layout>
              <c:spPr>
                <a:noFill/>
                <a:ln w="25367">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F66-41BB-BA8C-73B5A0CA7053}"/>
                </c:ext>
              </c:extLst>
            </c:dLbl>
            <c:spPr>
              <a:noFill/>
              <a:ln w="2536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Sheet1!$B$2:$M$2</c:f>
              <c:numCache>
                <c:formatCode>0.0</c:formatCode>
                <c:ptCount val="12"/>
                <c:pt idx="0">
                  <c:v>14.813477726202279</c:v>
                </c:pt>
                <c:pt idx="1">
                  <c:v>11.387911830341068</c:v>
                </c:pt>
                <c:pt idx="2">
                  <c:v>9.6930350925398301</c:v>
                </c:pt>
                <c:pt idx="3">
                  <c:v>9.4455173959507022</c:v>
                </c:pt>
                <c:pt idx="4">
                  <c:v>10.240208985445236</c:v>
                </c:pt>
                <c:pt idx="5">
                  <c:v>11.829599314809315</c:v>
                </c:pt>
                <c:pt idx="6">
                  <c:v>13.149862916466333</c:v>
                </c:pt>
                <c:pt idx="7">
                  <c:v>13.959897609166205</c:v>
                </c:pt>
                <c:pt idx="8">
                  <c:v>14.057849594719315</c:v>
                </c:pt>
                <c:pt idx="9">
                  <c:v>14.483298846653355</c:v>
                </c:pt>
                <c:pt idx="10">
                  <c:v>14.414063499704</c:v>
                </c:pt>
                <c:pt idx="11">
                  <c:v>14.242585417554253</c:v>
                </c:pt>
              </c:numCache>
            </c:numRef>
          </c:val>
          <c:smooth val="0"/>
          <c:extLst>
            <c:ext xmlns:c16="http://schemas.microsoft.com/office/drawing/2014/chart" uri="{C3380CC4-5D6E-409C-BE32-E72D297353CC}">
              <c16:uniqueId val="{00000012-FF66-41BB-BA8C-73B5A0CA7053}"/>
            </c:ext>
          </c:extLst>
        </c:ser>
        <c:dLbls>
          <c:showLegendKey val="0"/>
          <c:showVal val="0"/>
          <c:showCatName val="0"/>
          <c:showSerName val="0"/>
          <c:showPercent val="0"/>
          <c:showBubbleSize val="0"/>
        </c:dLbls>
        <c:marker val="1"/>
        <c:smooth val="0"/>
        <c:axId val="175602800"/>
        <c:axId val="1"/>
      </c:lineChart>
      <c:catAx>
        <c:axId val="175602800"/>
        <c:scaling>
          <c:orientation val="minMax"/>
        </c:scaling>
        <c:delete val="0"/>
        <c:axPos val="b"/>
        <c:numFmt formatCode="General" sourceLinked="1"/>
        <c:majorTickMark val="none"/>
        <c:minorTickMark val="none"/>
        <c:tickLblPos val="low"/>
        <c:spPr>
          <a:noFill/>
          <a:ln w="9513" cap="flat" cmpd="sng" algn="ctr">
            <a:solidFill>
              <a:schemeClr val="tx1">
                <a:lumMod val="15000"/>
                <a:lumOff val="85000"/>
              </a:schemeClr>
            </a:solidFill>
            <a:round/>
          </a:ln>
          <a:effectLst/>
        </c:spPr>
        <c:txPr>
          <a:bodyPr rot="-60000000" spcFirstLastPara="1" vertOverflow="ellipsis" vert="horz" wrap="square" anchor="ctr" anchorCtr="1"/>
          <a:lstStyle/>
          <a:p>
            <a:pPr>
              <a:defRPr sz="599"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ax val="20"/>
          <c:min val="-5"/>
        </c:scaling>
        <c:delete val="0"/>
        <c:axPos val="l"/>
        <c:majorGridlines>
          <c:spPr>
            <a:ln w="9513" cap="flat" cmpd="sng" algn="ctr">
              <a:solidFill>
                <a:schemeClr val="tx1">
                  <a:lumMod val="15000"/>
                  <a:lumOff val="85000"/>
                </a:schemeClr>
              </a:solidFill>
              <a:round/>
            </a:ln>
            <a:effectLst/>
          </c:spPr>
        </c:majorGridlines>
        <c:numFmt formatCode="0.0" sourceLinked="1"/>
        <c:majorTickMark val="none"/>
        <c:minorTickMark val="none"/>
        <c:tickLblPos val="nextTo"/>
        <c:spPr>
          <a:ln w="9513">
            <a:noFill/>
          </a:ln>
        </c:spPr>
        <c:txPr>
          <a:bodyPr rot="-6000000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crossAx val="175602800"/>
        <c:crosses val="autoZero"/>
        <c:crossBetween val="between"/>
        <c:majorUnit val="5"/>
      </c:valAx>
      <c:spPr>
        <a:solidFill>
          <a:sysClr val="window" lastClr="FFFFFF"/>
        </a:solidFill>
        <a:ln>
          <a:noFill/>
        </a:ln>
        <a:effectLst/>
      </c:spPr>
    </c:plotArea>
    <c:legend>
      <c:legendPos val="b"/>
      <c:layout>
        <c:manualLayout>
          <c:xMode val="edge"/>
          <c:yMode val="edge"/>
          <c:x val="0"/>
          <c:y val="0.73772342702972193"/>
          <c:w val="0.97561038203557893"/>
          <c:h val="0.26227657297027807"/>
        </c:manualLayout>
      </c:layout>
      <c:overlay val="0"/>
      <c:spPr>
        <a:noFill/>
        <a:ln w="25367">
          <a:noFill/>
        </a:ln>
      </c:spPr>
      <c:txPr>
        <a:bodyPr rot="0" spcFirstLastPara="1" vertOverflow="ellipsis" vert="horz" wrap="square" anchor="ctr" anchorCtr="1"/>
        <a:lstStyle/>
        <a:p>
          <a:pPr>
            <a:defRPr sz="699"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13" cap="flat" cmpd="sng" algn="ctr">
      <a:solidFill>
        <a:schemeClr val="tx1">
          <a:lumMod val="15000"/>
          <a:lumOff val="85000"/>
        </a:schemeClr>
      </a:solidFill>
      <a:round/>
    </a:ln>
    <a:effectLst/>
  </c:spPr>
  <c:txPr>
    <a:bodyPr/>
    <a:lstStyle/>
    <a:p>
      <a:pPr>
        <a:defRPr sz="699">
          <a:latin typeface="GHEA Grapalat" panose="02000506050000020003" pitchFamily="50"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0.46027</cdr:x>
      <cdr:y>0.23066</cdr:y>
    </cdr:from>
    <cdr:to>
      <cdr:x>0.54811</cdr:x>
      <cdr:y>0.41777</cdr:y>
    </cdr:to>
    <cdr:sp macro="" textlink="">
      <cdr:nvSpPr>
        <cdr:cNvPr id="7" name="Left Brace 6"/>
        <cdr:cNvSpPr/>
      </cdr:nvSpPr>
      <cdr:spPr>
        <a:xfrm xmlns:a="http://schemas.openxmlformats.org/drawingml/2006/main">
          <a:off x="1446753" y="634942"/>
          <a:ext cx="276103" cy="515062"/>
        </a:xfrm>
        <a:prstGeom xmlns:a="http://schemas.openxmlformats.org/drawingml/2006/main" prst="leftBrace">
          <a:avLst/>
        </a:prstGeom>
        <a:ln xmlns:a="http://schemas.openxmlformats.org/drawingml/2006/main" w="317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0.16501</cdr:x>
      <cdr:y>0.16538</cdr:y>
    </cdr:from>
    <cdr:to>
      <cdr:x>0.53461</cdr:x>
      <cdr:y>0.3524</cdr:y>
    </cdr:to>
    <cdr:sp macro="" textlink="">
      <cdr:nvSpPr>
        <cdr:cNvPr id="9" name="TextBox 14"/>
        <cdr:cNvSpPr txBox="1"/>
      </cdr:nvSpPr>
      <cdr:spPr>
        <a:xfrm xmlns:a="http://schemas.openxmlformats.org/drawingml/2006/main">
          <a:off x="518654" y="455247"/>
          <a:ext cx="1161746" cy="514815"/>
        </a:xfrm>
        <a:prstGeom xmlns:a="http://schemas.openxmlformats.org/drawingml/2006/main" prst="rect">
          <a:avLst/>
        </a:prstGeom>
        <a:noFill xmlns:a="http://schemas.openxmlformats.org/drawingml/2006/main"/>
        <a:ln xmlns:a="http://schemas.openxmlformats.org/drawingml/2006/main" w="12700">
          <a:noFill/>
        </a:l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b="0" i="1" dirty="0">
              <a:solidFill>
                <a:srgbClr val="FF0000"/>
              </a:solidFill>
              <a:latin typeface="GHEA Grapalat" panose="02000506050000020003" pitchFamily="50" charset="0"/>
            </a:rPr>
            <a:t>107.8 </a:t>
          </a:r>
          <a:r>
            <a:rPr lang="hy-AM" sz="900" b="0" i="1" dirty="0">
              <a:solidFill>
                <a:srgbClr val="FF0000"/>
              </a:solidFill>
              <a:latin typeface="GHEA Grapalat" panose="02000506050000020003" pitchFamily="50" charset="0"/>
            </a:rPr>
            <a:t>մլրդ դրամ  </a:t>
          </a:r>
          <a:r>
            <a:rPr lang="en-US" sz="900" b="0" i="1" dirty="0">
              <a:solidFill>
                <a:srgbClr val="FF0000"/>
              </a:solidFill>
              <a:latin typeface="GHEA Grapalat" panose="02000506050000020003" pitchFamily="50" charset="0"/>
            </a:rPr>
            <a:t>(</a:t>
          </a:r>
          <a:r>
            <a:rPr lang="hy-AM" sz="900" b="0" i="1" dirty="0">
              <a:solidFill>
                <a:srgbClr val="FF0000"/>
              </a:solidFill>
              <a:latin typeface="GHEA Grapalat" panose="02000506050000020003" pitchFamily="50" charset="0"/>
            </a:rPr>
            <a:t>ՀՆԱ </a:t>
          </a:r>
          <a:r>
            <a:rPr lang="en-US" sz="900" b="0" i="1" dirty="0">
              <a:solidFill>
                <a:srgbClr val="FF0000"/>
              </a:solidFill>
              <a:latin typeface="GHEA Grapalat" panose="02000506050000020003" pitchFamily="50" charset="0"/>
            </a:rPr>
            <a:t>1.7%)</a:t>
          </a:r>
        </a:p>
      </cdr:txBody>
    </cdr:sp>
  </cdr:relSizeAnchor>
  <cdr:relSizeAnchor xmlns:cdr="http://schemas.openxmlformats.org/drawingml/2006/chartDrawing">
    <cdr:from>
      <cdr:x>0.64976</cdr:x>
      <cdr:y>0.25846</cdr:y>
    </cdr:from>
    <cdr:to>
      <cdr:x>0.72944</cdr:x>
      <cdr:y>0.4202</cdr:y>
    </cdr:to>
    <cdr:sp macro="" textlink="">
      <cdr:nvSpPr>
        <cdr:cNvPr id="4" name="Left Brace 3"/>
        <cdr:cNvSpPr/>
      </cdr:nvSpPr>
      <cdr:spPr>
        <a:xfrm xmlns:a="http://schemas.openxmlformats.org/drawingml/2006/main">
          <a:off x="2042371" y="711469"/>
          <a:ext cx="250455" cy="445226"/>
        </a:xfrm>
        <a:prstGeom xmlns:a="http://schemas.openxmlformats.org/drawingml/2006/main" prst="leftBrace">
          <a:avLst>
            <a:gd name="adj1" fmla="val 5989"/>
            <a:gd name="adj2" fmla="val 50000"/>
          </a:avLst>
        </a:prstGeom>
        <a:ln xmlns:a="http://schemas.openxmlformats.org/drawingml/2006/main" w="317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0.51222</cdr:x>
      <cdr:y>0.13084</cdr:y>
    </cdr:from>
    <cdr:to>
      <cdr:x>0.88182</cdr:x>
      <cdr:y>0.31786</cdr:y>
    </cdr:to>
    <cdr:sp macro="" textlink="">
      <cdr:nvSpPr>
        <cdr:cNvPr id="5" name="TextBox 14"/>
        <cdr:cNvSpPr txBox="1"/>
      </cdr:nvSpPr>
      <cdr:spPr>
        <a:xfrm xmlns:a="http://schemas.openxmlformats.org/drawingml/2006/main">
          <a:off x="1610030" y="360169"/>
          <a:ext cx="1161745" cy="514814"/>
        </a:xfrm>
        <a:prstGeom xmlns:a="http://schemas.openxmlformats.org/drawingml/2006/main" prst="rect">
          <a:avLst/>
        </a:prstGeom>
        <a:noFill xmlns:a="http://schemas.openxmlformats.org/drawingml/2006/main"/>
        <a:ln xmlns:a="http://schemas.openxmlformats.org/drawingml/2006/main" w="12700">
          <a:noFill/>
        </a:l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b="0" i="1" dirty="0">
              <a:solidFill>
                <a:srgbClr val="FF0000"/>
              </a:solidFill>
              <a:latin typeface="GHEA Grapalat" panose="02000506050000020003" pitchFamily="50" charset="0"/>
            </a:rPr>
            <a:t>104.1 </a:t>
          </a:r>
          <a:r>
            <a:rPr lang="hy-AM" sz="900" b="0" i="1" dirty="0">
              <a:solidFill>
                <a:srgbClr val="FF0000"/>
              </a:solidFill>
              <a:latin typeface="GHEA Grapalat" panose="02000506050000020003" pitchFamily="50" charset="0"/>
            </a:rPr>
            <a:t>մլրդ դրամ  </a:t>
          </a:r>
          <a:r>
            <a:rPr lang="en-US" sz="900" b="0" i="1" dirty="0">
              <a:solidFill>
                <a:srgbClr val="FF0000"/>
              </a:solidFill>
              <a:latin typeface="GHEA Grapalat" panose="02000506050000020003" pitchFamily="50" charset="0"/>
            </a:rPr>
            <a:t>(</a:t>
          </a:r>
          <a:r>
            <a:rPr lang="hy-AM" sz="900" b="0" i="1" dirty="0">
              <a:solidFill>
                <a:srgbClr val="FF0000"/>
              </a:solidFill>
              <a:latin typeface="GHEA Grapalat" panose="02000506050000020003" pitchFamily="50" charset="0"/>
            </a:rPr>
            <a:t>ՀՆԱ </a:t>
          </a:r>
          <a:r>
            <a:rPr lang="en-US" sz="900" b="0" i="1" dirty="0">
              <a:solidFill>
                <a:srgbClr val="FF0000"/>
              </a:solidFill>
              <a:latin typeface="GHEA Grapalat" panose="02000506050000020003" pitchFamily="50" charset="0"/>
            </a:rPr>
            <a:t>1.5%)</a:t>
          </a:r>
        </a:p>
      </cdr:txBody>
    </cdr:sp>
  </cdr:relSizeAnchor>
</c:userShapes>
</file>

<file path=word/drawings/drawing2.xml><?xml version="1.0" encoding="utf-8"?>
<c:userShapes xmlns:c="http://schemas.openxmlformats.org/drawingml/2006/chart">
  <cdr:relSizeAnchor xmlns:cdr="http://schemas.openxmlformats.org/drawingml/2006/chartDrawing">
    <cdr:from>
      <cdr:x>0.20168</cdr:x>
      <cdr:y>0.15802</cdr:y>
    </cdr:from>
    <cdr:to>
      <cdr:x>0.54741</cdr:x>
      <cdr:y>0.36757</cdr:y>
    </cdr:to>
    <cdr:sp macro="" textlink="">
      <cdr:nvSpPr>
        <cdr:cNvPr id="7" name="TextBox 14"/>
        <cdr:cNvSpPr txBox="1"/>
      </cdr:nvSpPr>
      <cdr:spPr>
        <a:xfrm xmlns:a="http://schemas.openxmlformats.org/drawingml/2006/main">
          <a:off x="608958" y="419934"/>
          <a:ext cx="1043905" cy="556884"/>
        </a:xfrm>
        <a:prstGeom xmlns:a="http://schemas.openxmlformats.org/drawingml/2006/main" prst="rect">
          <a:avLst/>
        </a:prstGeom>
        <a:noFill xmlns:a="http://schemas.openxmlformats.org/drawingml/2006/main"/>
        <a:ln xmlns:a="http://schemas.openxmlformats.org/drawingml/2006/main" w="12700">
          <a:noFill/>
        </a:l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b="0" i="1" dirty="0">
              <a:solidFill>
                <a:srgbClr val="FF0000"/>
              </a:solidFill>
              <a:latin typeface="GHEA Grapalat" panose="02000506050000020003" pitchFamily="50" charset="0"/>
            </a:rPr>
            <a:t>2</a:t>
          </a:r>
          <a:r>
            <a:rPr lang="hy-AM" sz="900" b="0" i="1" dirty="0">
              <a:solidFill>
                <a:srgbClr val="FF0000"/>
              </a:solidFill>
              <a:latin typeface="GHEA Grapalat" panose="02000506050000020003" pitchFamily="50" charset="0"/>
            </a:rPr>
            <a:t>06</a:t>
          </a:r>
          <a:r>
            <a:rPr lang="en-US" sz="900" b="0" i="1" dirty="0">
              <a:solidFill>
                <a:srgbClr val="FF0000"/>
              </a:solidFill>
              <a:latin typeface="GHEA Grapalat" panose="02000506050000020003" pitchFamily="50" charset="0"/>
            </a:rPr>
            <a:t>.</a:t>
          </a:r>
          <a:r>
            <a:rPr lang="hy-AM" sz="900" b="0" i="1" dirty="0">
              <a:solidFill>
                <a:srgbClr val="FF0000"/>
              </a:solidFill>
              <a:latin typeface="GHEA Grapalat" panose="02000506050000020003" pitchFamily="50" charset="0"/>
            </a:rPr>
            <a:t>1</a:t>
          </a:r>
          <a:r>
            <a:rPr lang="en-US" sz="900" b="0" i="1" baseline="0" dirty="0">
              <a:solidFill>
                <a:srgbClr val="FF0000"/>
              </a:solidFill>
              <a:latin typeface="GHEA Grapalat" panose="02000506050000020003" pitchFamily="50" charset="0"/>
            </a:rPr>
            <a:t> </a:t>
          </a:r>
          <a:r>
            <a:rPr lang="hy-AM" sz="900" b="0" i="1" dirty="0">
              <a:solidFill>
                <a:srgbClr val="FF0000"/>
              </a:solidFill>
              <a:latin typeface="GHEA Grapalat" panose="02000506050000020003" pitchFamily="50" charset="0"/>
            </a:rPr>
            <a:t>մլրդ դրամ  </a:t>
          </a:r>
          <a:r>
            <a:rPr lang="en-US" sz="900" b="0" i="1" dirty="0">
              <a:solidFill>
                <a:srgbClr val="FF0000"/>
              </a:solidFill>
              <a:latin typeface="GHEA Grapalat" panose="02000506050000020003" pitchFamily="50" charset="0"/>
            </a:rPr>
            <a:t>(</a:t>
          </a:r>
          <a:r>
            <a:rPr lang="hy-AM" sz="900" b="0" i="1" dirty="0">
              <a:solidFill>
                <a:srgbClr val="FF0000"/>
              </a:solidFill>
              <a:latin typeface="GHEA Grapalat" panose="02000506050000020003" pitchFamily="50" charset="0"/>
            </a:rPr>
            <a:t>ՀՆԱ </a:t>
          </a:r>
          <a:r>
            <a:rPr lang="en-US" sz="900" b="0" i="1" dirty="0">
              <a:solidFill>
                <a:srgbClr val="FF0000"/>
              </a:solidFill>
              <a:latin typeface="GHEA Grapalat" panose="02000506050000020003" pitchFamily="50" charset="0"/>
            </a:rPr>
            <a:t>3.</a:t>
          </a:r>
          <a:r>
            <a:rPr lang="hy-AM" sz="900" b="0" i="1" dirty="0">
              <a:solidFill>
                <a:srgbClr val="FF0000"/>
              </a:solidFill>
              <a:latin typeface="GHEA Grapalat" panose="02000506050000020003" pitchFamily="50" charset="0"/>
            </a:rPr>
            <a:t>3</a:t>
          </a:r>
          <a:r>
            <a:rPr lang="en-US" sz="900" b="0" i="1" dirty="0">
              <a:solidFill>
                <a:srgbClr val="FF0000"/>
              </a:solidFill>
              <a:latin typeface="GHEA Grapalat" panose="02000506050000020003" pitchFamily="50" charset="0"/>
            </a:rPr>
            <a:t>%)</a:t>
          </a:r>
        </a:p>
      </cdr:txBody>
    </cdr:sp>
  </cdr:relSizeAnchor>
  <cdr:relSizeAnchor xmlns:cdr="http://schemas.openxmlformats.org/drawingml/2006/chartDrawing">
    <cdr:from>
      <cdr:x>0.50818</cdr:x>
      <cdr:y>0.27922</cdr:y>
    </cdr:from>
    <cdr:to>
      <cdr:x>0.57546</cdr:x>
      <cdr:y>0.33766</cdr:y>
    </cdr:to>
    <cdr:sp macro="" textlink="">
      <cdr:nvSpPr>
        <cdr:cNvPr id="9" name="Left Brace 8"/>
        <cdr:cNvSpPr/>
      </cdr:nvSpPr>
      <cdr:spPr>
        <a:xfrm xmlns:a="http://schemas.openxmlformats.org/drawingml/2006/main">
          <a:off x="1587654" y="773935"/>
          <a:ext cx="210197" cy="161983"/>
        </a:xfrm>
        <a:prstGeom xmlns:a="http://schemas.openxmlformats.org/drawingml/2006/main" prst="leftBrace">
          <a:avLst>
            <a:gd name="adj1" fmla="val 8333"/>
            <a:gd name="adj2" fmla="val 53441"/>
          </a:avLst>
        </a:prstGeom>
        <a:ln xmlns:a="http://schemas.openxmlformats.org/drawingml/2006/main" w="317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0.68245</cdr:x>
      <cdr:y>0.25</cdr:y>
    </cdr:from>
    <cdr:to>
      <cdr:x>0.75278</cdr:x>
      <cdr:y>0.30844</cdr:y>
    </cdr:to>
    <cdr:sp macro="" textlink="">
      <cdr:nvSpPr>
        <cdr:cNvPr id="4" name="Left Brace 3"/>
        <cdr:cNvSpPr/>
      </cdr:nvSpPr>
      <cdr:spPr>
        <a:xfrm xmlns:a="http://schemas.openxmlformats.org/drawingml/2006/main">
          <a:off x="2132125" y="692944"/>
          <a:ext cx="219725" cy="161982"/>
        </a:xfrm>
        <a:prstGeom xmlns:a="http://schemas.openxmlformats.org/drawingml/2006/main" prst="leftBrace">
          <a:avLst>
            <a:gd name="adj1" fmla="val 8333"/>
            <a:gd name="adj2" fmla="val 53441"/>
          </a:avLst>
        </a:prstGeom>
        <a:ln xmlns:a="http://schemas.openxmlformats.org/drawingml/2006/main" w="317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0.47159</cdr:x>
      <cdr:y>0.12636</cdr:y>
    </cdr:from>
    <cdr:to>
      <cdr:x>0.81707</cdr:x>
      <cdr:y>0.27764</cdr:y>
    </cdr:to>
    <cdr:sp macro="" textlink="">
      <cdr:nvSpPr>
        <cdr:cNvPr id="6" name="TextBox 14"/>
        <cdr:cNvSpPr txBox="1"/>
      </cdr:nvSpPr>
      <cdr:spPr>
        <a:xfrm xmlns:a="http://schemas.openxmlformats.org/drawingml/2006/main">
          <a:off x="1482325" y="335799"/>
          <a:ext cx="1085930" cy="402033"/>
        </a:xfrm>
        <a:prstGeom xmlns:a="http://schemas.openxmlformats.org/drawingml/2006/main" prst="rect">
          <a:avLst/>
        </a:prstGeom>
        <a:noFill xmlns:a="http://schemas.openxmlformats.org/drawingml/2006/main"/>
        <a:ln xmlns:a="http://schemas.openxmlformats.org/drawingml/2006/main" w="12700">
          <a:noFill/>
        </a:l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hy-AM" sz="900" b="0" i="1" baseline="0" dirty="0">
              <a:solidFill>
                <a:srgbClr val="FF0000"/>
              </a:solidFill>
              <a:latin typeface="GHEA Grapalat" panose="02000506050000020003" pitchFamily="50" charset="0"/>
            </a:rPr>
            <a:t>165․3</a:t>
          </a:r>
          <a:r>
            <a:rPr lang="en-US" sz="900" b="0" i="1" baseline="0" dirty="0">
              <a:solidFill>
                <a:srgbClr val="FF0000"/>
              </a:solidFill>
              <a:latin typeface="GHEA Grapalat" panose="02000506050000020003" pitchFamily="50" charset="0"/>
            </a:rPr>
            <a:t> </a:t>
          </a:r>
          <a:r>
            <a:rPr lang="hy-AM" sz="900" b="0" i="1" dirty="0">
              <a:solidFill>
                <a:srgbClr val="FF0000"/>
              </a:solidFill>
              <a:latin typeface="GHEA Grapalat" panose="02000506050000020003" pitchFamily="50" charset="0"/>
            </a:rPr>
            <a:t>մլրդ դրամ  </a:t>
          </a:r>
          <a:r>
            <a:rPr lang="en-US" sz="900" b="0" i="1" dirty="0">
              <a:solidFill>
                <a:srgbClr val="FF0000"/>
              </a:solidFill>
              <a:latin typeface="GHEA Grapalat" panose="02000506050000020003" pitchFamily="50" charset="0"/>
            </a:rPr>
            <a:t>(</a:t>
          </a:r>
          <a:r>
            <a:rPr lang="hy-AM" sz="900" b="0" i="1" dirty="0">
              <a:solidFill>
                <a:srgbClr val="FF0000"/>
              </a:solidFill>
              <a:latin typeface="GHEA Grapalat" panose="02000506050000020003" pitchFamily="50" charset="0"/>
            </a:rPr>
            <a:t>ՀՆԱ </a:t>
          </a:r>
          <a:r>
            <a:rPr lang="en-US" sz="900" b="0" i="1" dirty="0">
              <a:solidFill>
                <a:srgbClr val="FF0000"/>
              </a:solidFill>
              <a:latin typeface="GHEA Grapalat" panose="02000506050000020003" pitchFamily="50" charset="0"/>
            </a:rPr>
            <a:t>2.</a:t>
          </a:r>
          <a:r>
            <a:rPr lang="hy-AM" sz="900" b="0" i="1" dirty="0">
              <a:solidFill>
                <a:srgbClr val="FF0000"/>
              </a:solidFill>
              <a:latin typeface="GHEA Grapalat" panose="02000506050000020003" pitchFamily="50" charset="0"/>
            </a:rPr>
            <a:t>4</a:t>
          </a:r>
          <a:r>
            <a:rPr lang="en-US" sz="900" b="0" i="1" dirty="0">
              <a:solidFill>
                <a:srgbClr val="FF0000"/>
              </a:solidFill>
              <a:latin typeface="GHEA Grapalat" panose="02000506050000020003" pitchFamily="50"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63402-5CBF-4322-BA47-7AE510D5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324</Pages>
  <Words>99944</Words>
  <Characters>569684</Characters>
  <Application>Microsoft Office Word</Application>
  <DocSecurity>0</DocSecurity>
  <Lines>4747</Lines>
  <Paragraphs>1336</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668292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dc:description/>
  <cp:lastModifiedBy>Emma Ghaytanjyan</cp:lastModifiedBy>
  <cp:revision>14</cp:revision>
  <cp:lastPrinted>2023-04-20T11:05:00Z</cp:lastPrinted>
  <dcterms:created xsi:type="dcterms:W3CDTF">2023-06-09T11:14:00Z</dcterms:created>
  <dcterms:modified xsi:type="dcterms:W3CDTF">2023-06-12T13:45:00Z</dcterms:modified>
</cp:coreProperties>
</file>