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64" w:rsidRPr="005F002B" w:rsidRDefault="00076FAE" w:rsidP="007C278A">
      <w:pPr>
        <w:pStyle w:val="20"/>
        <w:shd w:val="clear" w:color="auto" w:fill="auto"/>
        <w:spacing w:after="160"/>
        <w:ind w:left="8505" w:hanging="3"/>
        <w:jc w:val="center"/>
        <w:rPr>
          <w:rFonts w:ascii="Sylfaen" w:hAnsi="Sylfaen"/>
          <w:sz w:val="24"/>
          <w:szCs w:val="24"/>
        </w:rPr>
      </w:pPr>
      <w:r w:rsidRPr="005F002B">
        <w:rPr>
          <w:rFonts w:ascii="Sylfaen" w:hAnsi="Sylfaen"/>
          <w:sz w:val="24"/>
        </w:rPr>
        <w:t>ՀԱՍՏԱՏՎԱԾ Է</w:t>
      </w:r>
    </w:p>
    <w:p w:rsidR="00AB555C" w:rsidRPr="005F002B" w:rsidRDefault="00076FAE" w:rsidP="007C278A">
      <w:pPr>
        <w:pStyle w:val="20"/>
        <w:shd w:val="clear" w:color="auto" w:fill="auto"/>
        <w:spacing w:after="160"/>
        <w:ind w:left="8505" w:hanging="3"/>
        <w:jc w:val="center"/>
        <w:rPr>
          <w:rFonts w:ascii="Sylfaen" w:hAnsi="Sylfaen"/>
          <w:sz w:val="24"/>
          <w:szCs w:val="24"/>
        </w:rPr>
      </w:pPr>
      <w:r w:rsidRPr="005F002B">
        <w:rPr>
          <w:rFonts w:ascii="Sylfaen" w:hAnsi="Sylfaen"/>
          <w:sz w:val="24"/>
        </w:rPr>
        <w:t>Եվրասիական միջկառավարական</w:t>
      </w:r>
      <w:r w:rsidR="007C278A" w:rsidRPr="007C278A">
        <w:rPr>
          <w:rFonts w:ascii="Sylfaen" w:hAnsi="Sylfaen"/>
          <w:sz w:val="24"/>
        </w:rPr>
        <w:br/>
      </w:r>
      <w:r w:rsidR="007C278A">
        <w:rPr>
          <w:rFonts w:ascii="Sylfaen" w:hAnsi="Sylfaen"/>
          <w:sz w:val="24"/>
        </w:rPr>
        <w:t>խորհրդի՝</w:t>
      </w:r>
      <w:r w:rsidR="007C278A" w:rsidRPr="007C278A">
        <w:rPr>
          <w:rFonts w:ascii="Sylfaen" w:hAnsi="Sylfaen"/>
          <w:sz w:val="24"/>
        </w:rPr>
        <w:t xml:space="preserve"> </w:t>
      </w:r>
      <w:r w:rsidRPr="005F002B">
        <w:rPr>
          <w:rFonts w:ascii="Sylfaen" w:hAnsi="Sylfaen"/>
          <w:sz w:val="24"/>
        </w:rPr>
        <w:t xml:space="preserve">2019 թվականի </w:t>
      </w:r>
      <w:r w:rsidR="007C278A" w:rsidRPr="007C278A">
        <w:rPr>
          <w:rFonts w:ascii="Sylfaen" w:hAnsi="Sylfaen"/>
          <w:sz w:val="24"/>
        </w:rPr>
        <w:t>__________</w:t>
      </w:r>
      <w:r w:rsidRPr="005F002B">
        <w:rPr>
          <w:rFonts w:ascii="Sylfaen" w:hAnsi="Sylfaen"/>
          <w:sz w:val="24"/>
        </w:rPr>
        <w:t>-ի</w:t>
      </w:r>
      <w:r w:rsidR="007C278A" w:rsidRPr="007C278A">
        <w:rPr>
          <w:rFonts w:ascii="Sylfaen" w:hAnsi="Sylfaen"/>
          <w:sz w:val="24"/>
        </w:rPr>
        <w:br/>
      </w:r>
      <w:r w:rsidRPr="005F002B">
        <w:rPr>
          <w:rFonts w:ascii="Sylfaen" w:hAnsi="Sylfaen"/>
          <w:sz w:val="24"/>
        </w:rPr>
        <w:t xml:space="preserve">թիվ </w:t>
      </w:r>
      <w:r w:rsidR="007C278A" w:rsidRPr="007C278A">
        <w:rPr>
          <w:rFonts w:ascii="Sylfaen" w:hAnsi="Sylfaen"/>
          <w:sz w:val="24"/>
        </w:rPr>
        <w:t>____</w:t>
      </w:r>
      <w:r w:rsidRPr="005F002B">
        <w:rPr>
          <w:rFonts w:ascii="Sylfaen" w:hAnsi="Sylfaen"/>
          <w:sz w:val="24"/>
        </w:rPr>
        <w:t xml:space="preserve"> որոշմամբ</w:t>
      </w:r>
    </w:p>
    <w:p w:rsidR="00151F64" w:rsidRPr="005F002B" w:rsidRDefault="00151F64" w:rsidP="00376061">
      <w:pPr>
        <w:pStyle w:val="1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bookmarkStart w:id="0" w:name="bookmark0"/>
    </w:p>
    <w:p w:rsidR="00AB555C" w:rsidRPr="005F002B" w:rsidRDefault="00076FAE" w:rsidP="00376061">
      <w:pPr>
        <w:pStyle w:val="1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002B">
        <w:rPr>
          <w:rFonts w:ascii="Sylfaen" w:hAnsi="Sylfaen"/>
          <w:sz w:val="24"/>
        </w:rPr>
        <w:t>ԱՆՁՆԱԳԻՐ</w:t>
      </w:r>
      <w:bookmarkEnd w:id="0"/>
    </w:p>
    <w:p w:rsidR="00AB555C" w:rsidRPr="005F002B" w:rsidRDefault="00076FAE" w:rsidP="00376061">
      <w:pPr>
        <w:pStyle w:val="20"/>
        <w:shd w:val="clear" w:color="auto" w:fill="auto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5F002B">
        <w:rPr>
          <w:rFonts w:ascii="Sylfaen" w:hAnsi="Sylfaen"/>
          <w:b/>
          <w:sz w:val="24"/>
        </w:rPr>
        <w:t xml:space="preserve">«Արդյունաբերական կոոպերացիայի, սուբկոնտրակտացիայի </w:t>
      </w:r>
      <w:r w:rsidR="00376061">
        <w:rPr>
          <w:rFonts w:ascii="Sylfaen" w:hAnsi="Sylfaen"/>
          <w:b/>
          <w:sz w:val="24"/>
        </w:rPr>
        <w:t>եւ</w:t>
      </w:r>
      <w:r w:rsidRPr="005F002B">
        <w:rPr>
          <w:rFonts w:ascii="Sylfaen" w:hAnsi="Sylfaen"/>
          <w:b/>
          <w:sz w:val="24"/>
        </w:rPr>
        <w:t xml:space="preserve"> տեխ</w:t>
      </w:r>
      <w:bookmarkStart w:id="1" w:name="_GoBack"/>
      <w:bookmarkEnd w:id="1"/>
      <w:r w:rsidRPr="005F002B">
        <w:rPr>
          <w:rFonts w:ascii="Sylfaen" w:hAnsi="Sylfaen"/>
          <w:b/>
          <w:sz w:val="24"/>
        </w:rPr>
        <w:t>նոլոգիաների փոխանցման եվրասիական ցանց» նախագծի</w:t>
      </w:r>
    </w:p>
    <w:tbl>
      <w:tblPr>
        <w:tblOverlap w:val="never"/>
        <w:tblW w:w="144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792"/>
        <w:gridCol w:w="40"/>
        <w:gridCol w:w="2957"/>
        <w:gridCol w:w="2860"/>
        <w:gridCol w:w="3423"/>
        <w:gridCol w:w="2305"/>
        <w:gridCol w:w="75"/>
      </w:tblGrid>
      <w:tr w:rsidR="00AB555C" w:rsidRPr="007C278A" w:rsidTr="007C278A">
        <w:trPr>
          <w:tblHeader/>
          <w:jc w:val="center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Բաժին</w:t>
            </w:r>
          </w:p>
        </w:tc>
        <w:tc>
          <w:tcPr>
            <w:tcW w:w="11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Բովանդակությունը</w:t>
            </w:r>
          </w:p>
        </w:tc>
      </w:tr>
      <w:tr w:rsidR="00AB555C" w:rsidRPr="007C278A" w:rsidTr="007C278A">
        <w:trPr>
          <w:jc w:val="center"/>
        </w:trPr>
        <w:tc>
          <w:tcPr>
            <w:tcW w:w="2792" w:type="dxa"/>
            <w:tcBorders>
              <w:top w:val="single" w:sz="4" w:space="0" w:color="auto"/>
            </w:tcBorders>
            <w:shd w:val="clear" w:color="auto" w:fill="FFFFFF"/>
          </w:tcPr>
          <w:p w:rsidR="00AB555C" w:rsidRPr="007C278A" w:rsidRDefault="00376061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1.</w:t>
            </w:r>
            <w:r w:rsidRPr="007C278A">
              <w:rPr>
                <w:rFonts w:ascii="Sylfaen" w:hAnsi="Sylfaen"/>
                <w:sz w:val="20"/>
                <w:szCs w:val="20"/>
              </w:rPr>
              <w:tab/>
            </w:r>
            <w:r w:rsidR="00076FAE" w:rsidRPr="007C278A">
              <w:rPr>
                <w:rFonts w:ascii="Sylfaen" w:hAnsi="Sylfaen"/>
                <w:sz w:val="20"/>
                <w:szCs w:val="20"/>
              </w:rPr>
              <w:t>Նախագծի անվանումը</w:t>
            </w:r>
          </w:p>
        </w:tc>
        <w:tc>
          <w:tcPr>
            <w:tcW w:w="1166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եվրասիական ցանց (այսուհետ՝ եվրասիական ցանց)</w:t>
            </w:r>
          </w:p>
        </w:tc>
      </w:tr>
      <w:tr w:rsidR="00AB555C" w:rsidRPr="007C278A" w:rsidTr="007C278A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376061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2.</w:t>
            </w:r>
            <w:r w:rsidRPr="007C278A">
              <w:rPr>
                <w:rFonts w:ascii="Sylfaen" w:hAnsi="Sylfaen"/>
                <w:sz w:val="20"/>
                <w:szCs w:val="20"/>
              </w:rPr>
              <w:tab/>
            </w:r>
            <w:r w:rsidR="00076FAE" w:rsidRPr="007C278A">
              <w:rPr>
                <w:rFonts w:ascii="Sylfaen" w:hAnsi="Sylfaen"/>
                <w:sz w:val="20"/>
                <w:szCs w:val="20"/>
              </w:rPr>
              <w:t xml:space="preserve">Նախագծի նպատակները </w:t>
            </w:r>
            <w:r w:rsidRPr="007C278A">
              <w:rPr>
                <w:rFonts w:ascii="Sylfaen" w:hAnsi="Sylfaen"/>
                <w:sz w:val="20"/>
                <w:szCs w:val="20"/>
              </w:rPr>
              <w:t>եւ</w:t>
            </w:r>
            <w:r w:rsidR="00076FAE" w:rsidRPr="007C278A">
              <w:rPr>
                <w:rFonts w:ascii="Sylfaen" w:hAnsi="Sylfaen"/>
                <w:sz w:val="20"/>
                <w:szCs w:val="20"/>
              </w:rPr>
              <w:t xml:space="preserve"> առանցքային արդյունքները</w:t>
            </w: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նախագծի նպատակներն են՝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տնտեսավարող սուբյեկտների (այսուհետ համապատասխանաբար՝ Միություն, անդամ պետություններ, տնտեսավարող սուբյեկտներ) փոխգործակցության ապահովման համար թվային էկոհամակարգի ստեղծում՝ 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նպատակներով.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խոշոր արտադրողների արտադրական շղթաներում փոքր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միջին ձեռնարկությունների ներգրավում.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«միջանցիկ» գործընթացներում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թվային ծառայություններում անդամ պետությունների տնտեսավարող սուբյեկտների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պետական իշխանության մարմինների պահանջմունքների բավարարման համար պայմանների ստեղծում.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արտադրական շղթաների մոդելավորում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արտադրական հզորությունների օպտիմալ բեռնվածություն.</w:t>
            </w:r>
          </w:p>
          <w:p w:rsidR="007C278A" w:rsidRPr="00677EE5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նորարարական գործընթացների խթանում տեխնոլոգիաների փոխանցման միջոցով.</w:t>
            </w:r>
          </w:p>
          <w:p w:rsidR="007C278A" w:rsidRPr="00677EE5" w:rsidRDefault="007C278A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lastRenderedPageBreak/>
              <w:t xml:space="preserve">անդամ պետությունների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երրորդ երկրների միջազգային թվային էկոհամակարգերի օգտագործմամբ տնտեսավարող սուբյեկտների արտադրանքի առաջխաղացման հնարավորություն: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2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Նախագծի իրականացման արդյունքում կապահովվի հասանելիություն անդամ պետությունների տարածքայնորեն բաշխված ծառայությունների լրակազմին,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այդ թվում՝ արդյունաբերական կոոպերացիայի, սուբկոնտրակտացիայի, եվրասիական ցանցի ազգային բաղադրիչների (այսուհետ՝ ազգային բաղադրիչ) տեխնոլոգիաների փոխանցման ծառայությունների ներառման հաշվին,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այն համախմբված տեղեկատվության մեծ ծավալին, որն անհրաժեշտ է տնտեսական գործունեություն վարելու համար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ապահովում է 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աջակցությունը։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Եվրասիական ցանցի ստեղծումը ենթադրում է սիներգետիկ էֆեկտին հասնելն անդամ պետությունների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Եվրասիական տնտեսական հանձնաժողովի (այսուհետ՝ Հանձնաժողով) կողմից անդամ պետությունների տարածքներում միջճյուղային գործընթացներ անցկացնելիս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տնտեսավարող սուբյեկտների թվային կոոպերացիայի աջակցության գործիքներ կիրառելիս համատեղ խնդիրների լուծման ընթացքում, թվային օրակարգում բիզնեսի ընդգրկվածությունն ընդլայնելը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թվային ճեղքվածքը հաղթահարելը, ինչպես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բարենպաստ գործարար միջավայր զարգացնելը: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Նախագծի առանցքային արդյունքներն են՝ նախագծի իրագործման միջոցառումների՝ վերին մակարդակի ծրագրի կատարում. եվրասիական ցանցի բազային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ինտեգրացիոն բաղադրիչների (այսուհետ՝ ինտեգրացիոն բաղադրիչ) ստեղծում։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Պետք է միացված լինեն եվրասիական ցանցի հետ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յալ ծառայությունները:</w:t>
            </w:r>
          </w:p>
          <w:p w:rsidR="00281CED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Տնտեսավարող սուբյեկտների աշխատանքի մասով բազային ծառայություններ՝ 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եվրասիական ցանցի տնտեսավարող սուբյեկտների ռեեստրում տնտեսավարող սուբյեկտների մասին տեղեկությունների մուտքագրում, ստուգում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որոնում.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տեղեկատվական ռեսուրսներում՝ արտադրվող արտադրանքի, ծառայությունների, տեխնոլոգիաների, ինչպես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դրանց պահանջարկի մասին տեղեկությունների մուտքագրում, ստուգում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որոնում: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Բազային վերլուծական ծառայություններ՝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անդամ պետություններում 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վերլուծության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մշտադիտարկման ծառայություններ՝ բազմաչափ վերլուծության հնարավորությամբ.</w:t>
            </w:r>
          </w:p>
          <w:p w:rsidR="00AB555C" w:rsidRPr="00677EE5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արդյունաբերական-նորարարական օբյեկտների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դրանց ենթակառուցվածքի մասին տեղեկություններին հասանելիության ապահովում («Արդյունաբերության ատլաս» աշխարհատեղեկատվական ծառայություն).</w:t>
            </w:r>
          </w:p>
          <w:p w:rsidR="007C278A" w:rsidRPr="00677EE5" w:rsidRDefault="007C278A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16"/>
                <w:szCs w:val="20"/>
              </w:rPr>
            </w:pPr>
          </w:p>
          <w:p w:rsidR="00281CED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lastRenderedPageBreak/>
              <w:t xml:space="preserve">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մասին գիտելիքների շտեմարան (wiki)</w:t>
            </w:r>
            <w:r w:rsidR="00281CED" w:rsidRPr="007C278A">
              <w:rPr>
                <w:rFonts w:ascii="Sylfaen" w:hAnsi="Sylfaen"/>
                <w:sz w:val="20"/>
                <w:szCs w:val="20"/>
              </w:rPr>
              <w:t>: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Ազգային ծառայություններ՝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տեխնոլոգիական հարցումների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տեխնոլոգիական առաջարկների ձ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ավորման մասով տեխնոլոգիաների փոխանցման ծառայություններ.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արդյունաբերական ձեռնարկություններին աջակցության միջոցների ծառայություն-նավարկիչ.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արդյունաբերական արտադրանքի սերտիֆիկացման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օմոլոգացիայի ծառայությունների, այդ թվում՝ արտադրական օբյեկտների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դրանց գործունեության ստանդարտացման ծառայությունների որոնման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պատվիրման ծառայություն: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Ծառայություններ մատուցողների ծառայություններ՝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սուբկոնտրակտացիայի ընտրված շղթայով պայմանագրերի կնքման ծառայություն.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կոոպերացիոն շղթաների կառուցման ծառայություն.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բանկային ուղեկցման ծառայություն.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պայմանագրի կատարման նկատմամբ հսկողության ծառայություն.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տրանսպորտային լոգիստիկ ուղեկցման ծառայություններ.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ֆինանսական ծառայությունների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ապահովագրական ծառայությունների էլեկտրոնային առ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տրային հարթակ.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ճյուղային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միջազգային բենչմարքինգ.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իրավաբանական նշանակություն ունեցող փաստաթղթերի շրջանառություն, տվյալների փոխանակում (EDI) տնտեսավարող սուբյեկտների միջ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պորտֆելային ներդրողի ուղեկցման, կոնտրագենտի որոնման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արդյունաբերական նախագծերում ներդրման մասին պայմանագրերի կնքման ծառայություն.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սմարթ-պայմանագրեր կնքելու հնարավորություններ ընձեռելու ծառայություն.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երաշխավորված պատվերի ապահովման ծառայություն.</w:t>
            </w:r>
          </w:p>
          <w:p w:rsidR="00AB555C" w:rsidRPr="00677EE5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արտադրական հարթակի, սարքավորումների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գույքի վարձակալության ծառայություն:</w:t>
            </w:r>
          </w:p>
          <w:p w:rsidR="007C278A" w:rsidRPr="00677EE5" w:rsidRDefault="007C278A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Ազգային բաղադրիչի օպերատորի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(կամ) ծառայության ազգային մատակարարի կողմից որոշակի ծառայության տրամադրման մասին որոշումը կայացվում է ազգային մակարդակով: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vMerge w:val="restart"/>
            <w:shd w:val="clear" w:color="auto" w:fill="FFFFFF"/>
          </w:tcPr>
          <w:p w:rsidR="00AB555C" w:rsidRPr="007C278A" w:rsidRDefault="00376061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3.</w:t>
            </w:r>
            <w:r w:rsidRPr="007C278A">
              <w:rPr>
                <w:rFonts w:ascii="Sylfaen" w:hAnsi="Sylfaen"/>
                <w:sz w:val="20"/>
                <w:szCs w:val="20"/>
              </w:rPr>
              <w:tab/>
            </w:r>
            <w:r w:rsidR="00076FAE" w:rsidRPr="007C278A">
              <w:rPr>
                <w:rFonts w:ascii="Sylfaen" w:hAnsi="Sylfaen"/>
                <w:sz w:val="20"/>
                <w:szCs w:val="20"/>
              </w:rPr>
              <w:t>Նախագծի արդյունավետության նպատակային ցուցիչներն ու ցուցանիշները</w:t>
            </w: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բազային սցենարով պետք է հասնել նախագծի արդյունավետության հետ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յալ նպատակային ցուցիչներին ու ցուցանիշներին։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vMerge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Եվրասիական ցանցի տնտեսավարող սուբյեկտների ռեեստրում ընգրկված տնտեսավարող սուբյեկտների թիվը (բազային սցենար)՝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Փուլ I (2019 թվականի II – IV եռամսյակներ)՝ արդյունավետության նպատակային ցուցիչներ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ցուցանիշներ չեն սահմանվում.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Փուլ II (2020 թվականի I – IV եռամսյակներ)՝ 50 հազ. տնտեսավարող սուբյեկտ.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2024 թվականին՝ 124,4 հազ. տնտեսավարող սուբյեկտ: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Արտադրանքի, ծառայությունների, տեխնոլոգիաների միավորների քանակը տեղեկատվական ռեսուրսներում (տեղեկություններ արտադրանքի, ծառայությունների, տեխնոլոգիաների, ինչպես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դրանց պահանջարկի մասին) (բազային սցենար)՝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Փուլ I (2019 թվականի II – IV եռամսյակներ)՝ արդյունավետության նպատակային ցուցիչներ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ցուցանիշներ չեն սահմանվում.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Փուլ II (2020 թվականի I – IV եռամսյակներ)՝ 100 հազ. միավոր.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2024 թվականին՝ 239,1 հազ. միավոր: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585" w:type="dxa"/>
            <w:gridSpan w:val="5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Անդամ պետությունների միջ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, անդամ պետությունների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եվրասիական ցանցին միանալու հեռանկար ունեցող երրորդ երկրների՝ Գերմանիայի, Չինաստանի, Սինգապուրի միջ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անդրսահմանային առ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տրի շրջանակներում կնքված պայմանագրերի քանակը՝</w:t>
            </w:r>
          </w:p>
        </w:tc>
        <w:tc>
          <w:tcPr>
            <w:tcW w:w="75" w:type="dxa"/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</w:tr>
      <w:tr w:rsidR="00151F64" w:rsidRPr="007C278A" w:rsidTr="007C278A">
        <w:trPr>
          <w:jc w:val="center"/>
        </w:trPr>
        <w:tc>
          <w:tcPr>
            <w:tcW w:w="2792" w:type="dxa"/>
            <w:vMerge w:val="restart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Սցենար</w:t>
            </w:r>
          </w:p>
        </w:tc>
        <w:tc>
          <w:tcPr>
            <w:tcW w:w="85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Պայմանագրերի քանակը (հատ)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</w:tr>
      <w:tr w:rsidR="00151F64" w:rsidRPr="007C278A" w:rsidTr="007C278A">
        <w:trPr>
          <w:jc w:val="center"/>
        </w:trPr>
        <w:tc>
          <w:tcPr>
            <w:tcW w:w="2792" w:type="dxa"/>
            <w:vMerge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Փուլ I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Փուլ II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36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2024 թվական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</w:tr>
      <w:tr w:rsidR="00151F64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33A5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Բազային 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Լավատեսական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-</w:t>
            </w:r>
          </w:p>
          <w:p w:rsidR="00151F64" w:rsidRPr="007C278A" w:rsidRDefault="00151F64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F64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366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733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56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3,566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56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7,132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Անդամ պետությունների միջ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, անդամ պետությունների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եվրասիական ցանցին միանալու հեռանկար ունեցող </w:t>
            </w:r>
            <w:r w:rsidRPr="007C278A">
              <w:rPr>
                <w:rFonts w:ascii="Sylfaen" w:hAnsi="Sylfaen"/>
                <w:sz w:val="20"/>
                <w:szCs w:val="20"/>
              </w:rPr>
              <w:lastRenderedPageBreak/>
              <w:t>երրորդ երկրների՝ Գերմանիայի, Չինաստանի, Սինգապուրի միջ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անդրսահմանային առ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տրի շրջանակներում գործարքների ծավալը (հաշվի առնելով եվրասիական ցանցին միանալու արդյունքում շրջանառության աճը)՝</w:t>
            </w:r>
          </w:p>
        </w:tc>
      </w:tr>
      <w:tr w:rsidR="00151F64" w:rsidRPr="007C278A" w:rsidTr="007C278A">
        <w:trPr>
          <w:jc w:val="center"/>
        </w:trPr>
        <w:tc>
          <w:tcPr>
            <w:tcW w:w="2792" w:type="dxa"/>
            <w:vMerge w:val="restart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Սցենար</w:t>
            </w:r>
          </w:p>
        </w:tc>
        <w:tc>
          <w:tcPr>
            <w:tcW w:w="85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Գործարքների ծավալը (մլն ռուբլի)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</w:tr>
      <w:tr w:rsidR="00151F64" w:rsidRPr="007C278A" w:rsidTr="007C278A">
        <w:trPr>
          <w:jc w:val="center"/>
        </w:trPr>
        <w:tc>
          <w:tcPr>
            <w:tcW w:w="2792" w:type="dxa"/>
            <w:vMerge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vMerge/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Փուլ I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Փուլ II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36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2024 թվական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AB555C" w:rsidRPr="007C278A" w:rsidRDefault="00AB555C" w:rsidP="007C278A">
            <w:pPr>
              <w:spacing w:after="120"/>
              <w:ind w:right="184"/>
              <w:rPr>
                <w:rFonts w:ascii="Sylfaen" w:hAnsi="Sylfaen"/>
                <w:sz w:val="20"/>
                <w:szCs w:val="20"/>
              </w:rPr>
            </w:pPr>
          </w:p>
        </w:tc>
      </w:tr>
      <w:tr w:rsidR="00151F64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33A5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Բազային 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Լավատեսական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555C" w:rsidRPr="007C278A" w:rsidRDefault="00151F64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-</w:t>
            </w:r>
          </w:p>
          <w:p w:rsidR="00151F64" w:rsidRPr="007C278A" w:rsidRDefault="00151F64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F64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9,729</w:t>
            </w:r>
            <w:r w:rsidR="00F61EBF" w:rsidRPr="007C278A">
              <w:rPr>
                <w:rFonts w:ascii="Sylfaen" w:hAnsi="Sylfaen"/>
                <w:sz w:val="20"/>
                <w:szCs w:val="20"/>
              </w:rPr>
              <w:t>,</w:t>
            </w:r>
            <w:r w:rsidRPr="007C278A">
              <w:rPr>
                <w:rFonts w:ascii="Sylfaen" w:hAnsi="Sylfaen"/>
                <w:sz w:val="20"/>
                <w:szCs w:val="20"/>
              </w:rPr>
              <w:t>1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19,458</w:t>
            </w:r>
            <w:r w:rsidR="00F61EBF" w:rsidRPr="007C278A">
              <w:rPr>
                <w:rFonts w:ascii="Sylfaen" w:hAnsi="Sylfaen"/>
                <w:sz w:val="20"/>
                <w:szCs w:val="20"/>
              </w:rPr>
              <w:t>,</w:t>
            </w:r>
            <w:r w:rsidRPr="007C278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32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110,844</w:t>
            </w:r>
            <w:r w:rsidR="00F61EBF" w:rsidRPr="007C278A">
              <w:rPr>
                <w:rFonts w:ascii="Sylfaen" w:hAnsi="Sylfaen"/>
                <w:sz w:val="20"/>
                <w:szCs w:val="20"/>
              </w:rPr>
              <w:t>,</w:t>
            </w:r>
            <w:r w:rsidRPr="007C278A">
              <w:rPr>
                <w:rFonts w:ascii="Sylfaen" w:hAnsi="Sylfaen"/>
                <w:sz w:val="20"/>
                <w:szCs w:val="20"/>
              </w:rPr>
              <w:t>9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320"/>
              <w:jc w:val="center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221,689</w:t>
            </w:r>
            <w:r w:rsidR="00F61EBF" w:rsidRPr="007C278A">
              <w:rPr>
                <w:rFonts w:ascii="Sylfaen" w:hAnsi="Sylfaen"/>
                <w:sz w:val="20"/>
                <w:szCs w:val="20"/>
              </w:rPr>
              <w:t>,</w:t>
            </w:r>
            <w:r w:rsidRPr="007C278A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  <w:vAlign w:val="center"/>
          </w:tcPr>
          <w:p w:rsidR="00AB555C" w:rsidRPr="007C278A" w:rsidRDefault="00376061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4.</w:t>
            </w:r>
            <w:r w:rsidRPr="007C278A">
              <w:rPr>
                <w:rFonts w:ascii="Sylfaen" w:hAnsi="Sylfaen"/>
                <w:sz w:val="20"/>
                <w:szCs w:val="20"/>
              </w:rPr>
              <w:tab/>
            </w:r>
            <w:r w:rsidR="00076FAE" w:rsidRPr="007C278A">
              <w:rPr>
                <w:rFonts w:ascii="Sylfaen" w:hAnsi="Sylfaen"/>
                <w:sz w:val="20"/>
                <w:szCs w:val="20"/>
              </w:rPr>
              <w:t>Նախագծի շրջանակները</w:t>
            </w: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նախագծի շրջանակներում ստեղծվող եվրասիական ցանցը նախատեսված է արդյունաբերական կոոպերացիա, սուբկոնտրակտացիա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փոխանցում իրականացնելիս տնտեսավարող սուբյեկտների փոխգործակցության ապահովման համար: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Այդ նպատակով նախատեսված են՝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տնտեսավարող սուբյեկտների ռեեստր, ինչպես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արտադրվող արտադրանքի, ծառայությունների, տեխնոլոգիաների, ինչպես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դրանց պահանջարկի մասին տեղեկություններ պարունակող տեղեկատվական ռեսուրսներ ներառող՝ եվրասիական ցանցի միասնական ռեեստրի ձ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ավորում.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արդյունաբերական կոոպերացիայի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սուբկոնտրակտացիայի շրջանակներում տնտեսավարող սուբյեկտների փոխգործակցության գործընթացների թվայնացում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անհրաժեշտության դեպքում վերափոխում (ռեինժինիրինգ).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տեխնոլոգիաների փոխանցման գործընթացների թվայնացում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անհրաժեշտության դեպքում վերափոխում (ռեինժինիրինգ).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արդյունաբերական կոոպերացիան, սուբկոնտրակտացիան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փոխանցումն ուղեկցող (մասնավորապես՝ ֆինանսական) գործընթացների թվայնացում.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շրջանակներում տնտեսավարող սուբյեկտների փոխգործակցության մասին տեղեկատվության մշտադիտարկման ու վերլուծության գործիքների ստեղծում: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Եվրասիական ցանցը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տրամադրելու է հասանելիություն 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գործընթացների թվայնացումն ապահովող՝ ազգային բաղադրիչների գործառնական ծառայություններին։ Հետագայում եվրասիական ցանցը կարող է ընդլայնվել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կատարելագործվել ֆինանսական, լոգիստիկ, մաքսային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այլ այնպիսի ծառայություններ տրամադրող ծառայություններ միացնելու միջոցով, որոնք անհրաժեշտ են 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</w:t>
            </w:r>
            <w:r w:rsidRPr="007C278A">
              <w:rPr>
                <w:rFonts w:ascii="Sylfaen" w:hAnsi="Sylfaen"/>
                <w:sz w:val="20"/>
                <w:szCs w:val="20"/>
              </w:rPr>
              <w:lastRenderedPageBreak/>
              <w:t>փոխանցման գործընթացների հետ կապված գործունեություն իրականացնելիս: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Եվրասիական ցանցը նախատեսելու է երրորդ երկրներից մասնակիցների հետ փոխգործակցության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ինտեգրման մեխանիզմներ՝ երրորդ երկրների ծառայությունների, ծառայությունների մատակարարների, ազգային բաղադրիչների մակարդակով, ինչպես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երրորդ երկրների թվային հարթակների հետ փոխգործակցության մեխանիզմներ: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Նախագծի շրջանակներում նախատեսված չեն՝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երրորդ երկրների ծառայությունների, ծառայությունների մատակարարների, ազգային բաղադրիչների մակարդակով երրորդ երկրներից մասնակիցների հետ փոխգործակցության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ինտեգրման գործնական իրագործում.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ռազմատեխնիկական համագործակցությանը, պետական գաղտնիքին կամ սահմանափակ տարածման տեղեկություններին վերաբերող հարցերի շուրջ կոոպերացիա.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անձնական տվյալների մշակում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պահպանում եվրասիական ցանցի ինտեգրացիոն բաղադրիչում. ազգային բաղադրիչների օպերատորների գործունեության կանոնակարգում՝ ազգային մակարդակով ծառայությունները միացնելու դեպքում։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Էլեկտրոնային փաստաթղթերի իրավաբանական նշանակության ապահովումն իրականացվում է ծառայությունների մատակարարների կողմից՝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Միության անդամ պետությունների օրենսդրության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դրա իրավունքի շրջանակներում: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5.</w:t>
            </w:r>
            <w:r w:rsidR="007C278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7C278A">
              <w:rPr>
                <w:rFonts w:ascii="Sylfaen" w:hAnsi="Sylfaen"/>
                <w:sz w:val="20"/>
                <w:szCs w:val="20"/>
              </w:rPr>
              <w:t>Թույլտվություններ, սահմանափակումներ, ռիսկեր</w:t>
            </w: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ռիսկերը՝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եվրասիական ցանցի էկոհամակարգային կապերի անկայունությունը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ծրագրային-տեխնիկական միջոցների թանկացման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ենթակառուցվածքի օբյեկտների գնման (վարձակալության) հետ կապված տնտեսական (առ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տրային) ռիսկեր.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անդամ պետությունների կողմից էլեկտրոնային թվային ստորագրությունների փոխադարձ ճանաչման մասին որոշումների երկարատ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բացակայության ռիսկեր.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ֆինանսական ռիսկեր.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հարկային ռիսկեր.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մաքսասակագնային կարգավորման ռիսկեր.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քաղաքական ռիսկեր: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Սահմանափակումները՝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անդամ պետությունների կողմից ֆինանսական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վարչական աջակցության անհրաժեշտություն. այլ եվրասիական թվային նախաձեռնությունների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Միության շրջանակներում ընդհանուր գործընթացների իրագործման հետ կապվածություն՝ հաշվի առնելով դրանց համաժամանակացման անհրաժեշտությունը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իրագործման հնարավոր հապաղումը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6.</w:t>
            </w:r>
            <w:r w:rsidR="007C278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7C278A">
              <w:rPr>
                <w:rFonts w:ascii="Sylfaen" w:hAnsi="Sylfaen"/>
                <w:sz w:val="20"/>
                <w:szCs w:val="20"/>
              </w:rPr>
              <w:t>Ծրագրի իրականացման ժամկետները</w:t>
            </w: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313586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առաջին փուլ՝ 2019 թվականի II – IV եռամսյակներ.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երկրորդ փուլ՝ 2020 թվականի I – IV եռամսյակներ։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7.</w:t>
            </w:r>
            <w:r w:rsidR="007C278A" w:rsidRPr="007C278A">
              <w:rPr>
                <w:rFonts w:ascii="Sylfaen" w:hAnsi="Sylfaen"/>
                <w:sz w:val="20"/>
                <w:szCs w:val="20"/>
              </w:rPr>
              <w:tab/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Նախագծի մասնակիցների դերերի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պատասխանատվության բաշխում</w:t>
            </w: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եվրասիական ցանցի մասնակիցներ՝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78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Հանձնաժողով.</w:t>
            </w:r>
          </w:p>
          <w:p w:rsidR="00313586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ցանցի օպերատոր.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անդամ պետությունների լիազորված մարմիններ.</w:t>
            </w:r>
          </w:p>
          <w:p w:rsidR="00313586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եվրասիական ցանցի ազգային բաղադրիչների օպերատորներ.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ծառայությունների մատակարարներ.</w:t>
            </w:r>
          </w:p>
          <w:p w:rsidR="00313586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ծառայությունների փոխանցման կենտրոններ.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2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տնտեսավարող սուբյեկտներ: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tcBorders>
              <w:top w:val="single" w:sz="4" w:space="0" w:color="auto"/>
            </w:tcBorders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Արդյունաբերական կոոպերացիայի, սուբկոնտրակտացիայի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տեխնոլոգիաների փոխանցման ոլորտում անդամ պետությունների լիազորված մարմիններ՝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Հայաստանի Հանրապետություն՝ Հայաստանի Հանրապետության էկոնոմիկայի նախարարություն.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Բելառուսի Հանրապետություն՝ Բելառուսի Հանրապետության էկոնոմիկայի նախարարություն.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Ղազախստանի Հանրապետություն՝ Ղազախստանի Հանրապետության արդյունաբերության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ենթակառուցվածքների զարգացման նախարարություն.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Ղրղզստանի Հանրապետություն՝ Ղրղզստանի Հանրապետության արդյունաբերության, էներգետիկայի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ընդերքօգտագործման պետական կոմիտե.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Ռուսաստանի Դաշնություն՝ Ռուսաստանի Դաշնության արդյունաբերության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առ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տրի նախարարություն։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Ազգային բաղադրիչների օպերատորներ՝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Հայաստանի Հանրապետություն՝ «Հայաստանի փոքր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միջին ձեռնարկատիրության զարգացման ազգային կենտրոն» հիմնադրամ.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Բելառուսի Հանրապետություն՝ Բելառուսի՝ ձեռնարկատերերին ֆինանսական աջակցության հիմնադրամ.</w:t>
            </w:r>
          </w:p>
          <w:p w:rsidR="00313586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Ղազախստանի Հանրապետություն՝ «Ղազախստանի արդյունաբերության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արտահանման կենտրոն» բաժնետիրական ընկերություն.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Ռուսաստանի Դաշնություն՝ «Ռուսաստանի տեխնոլոգիական զարգացման հիմնադրամ» դաշնային պետական ինքնավար հաստատություն</w:t>
            </w:r>
            <w:r w:rsidR="00F61EBF" w:rsidRPr="007C278A">
              <w:rPr>
                <w:rFonts w:ascii="Sylfaen" w:hAnsi="Sylfaen"/>
                <w:sz w:val="20"/>
                <w:szCs w:val="20"/>
              </w:rPr>
              <w:t>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8.</w:t>
            </w:r>
            <w:r w:rsidR="007C278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7C278A">
              <w:rPr>
                <w:rFonts w:ascii="Sylfaen" w:hAnsi="Sylfaen"/>
                <w:sz w:val="20"/>
                <w:szCs w:val="20"/>
              </w:rPr>
              <w:t>Ծրագրի վերաբերյալ հաշվետվութ</w:t>
            </w:r>
            <w:r w:rsidR="00A132B2">
              <w:rPr>
                <w:rFonts w:ascii="Sylfaen" w:hAnsi="Sylfaen"/>
                <w:sz w:val="20"/>
                <w:szCs w:val="20"/>
              </w:rPr>
              <w:t>յ</w:t>
            </w:r>
            <w:r w:rsidRPr="007C278A">
              <w:rPr>
                <w:rFonts w:ascii="Sylfaen" w:hAnsi="Sylfaen"/>
                <w:sz w:val="20"/>
                <w:szCs w:val="20"/>
              </w:rPr>
              <w:t>ուններ</w:t>
            </w: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մշտադիտարկման անցկացման հիմնական գործունեությունն իրականացնում է նախագծի համակարգման հարցերով աշխատանքային խումբը (այսուհետ՝ համակարգող խումբ)՝ ցանցի օպերատորի հետ փոխգործակցությամբ։ Մշտադիտարկման ընթացքում ձ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ավորվում են հետ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յալ հաշվետվությունները</w:t>
            </w:r>
            <w:r w:rsidR="0041484D" w:rsidRPr="007C278A">
              <w:rPr>
                <w:rFonts w:ascii="Sylfaen" w:hAnsi="Sylfaen"/>
                <w:sz w:val="20"/>
                <w:szCs w:val="20"/>
              </w:rPr>
              <w:t>.</w:t>
            </w:r>
          </w:p>
          <w:p w:rsidR="0041484D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Միության մարմիններ ներկայացվող եռամսյակային հաշվետվություն.</w:t>
            </w:r>
          </w:p>
          <w:p w:rsidR="0041484D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 նախագծի իրականացման վերաբերյալ ամփոփիչ հաշվետվություն՝ պլանավորված արդյունքների ապահովման գնահատմամբ.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 հաշվետվություններ՝ համակարգող խմբի հարցումների հիման վրա.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ազգային բաղադրիչների օպերատորների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ծառայությունների մատակարարների հաշվետվություն, որը ներկայացվում է ցանցի օպերատորին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9.</w:t>
            </w:r>
            <w:r w:rsidR="007C278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7C278A">
              <w:rPr>
                <w:rFonts w:ascii="Sylfaen" w:hAnsi="Sylfaen"/>
                <w:sz w:val="20"/>
                <w:szCs w:val="20"/>
              </w:rPr>
              <w:t>Սեփականության իրավունքը</w:t>
            </w: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եվրասիական ցանցի բազային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ինտեգրացիոն բաղադրիչների իրավատերը Հանձնաժողովն է: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Ազգային բաղադրիչների նկատմամբ իրավունքների կանոնակարգումը վերապահվելու է անդամ պետությունների իրավասությանը: Ծառայությունների նկատմամբ իրավունքները պատկանում են ծառայությունների մատակարարներին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tabs>
                <w:tab w:val="left" w:pos="574"/>
              </w:tabs>
              <w:spacing w:after="120"/>
              <w:ind w:firstLine="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10.</w:t>
            </w:r>
            <w:r w:rsidR="007C278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Ֆինանսավորման աղբյուրները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ծավալները</w:t>
            </w: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նախագծի ֆինանսավորումը նախատեսված է հետ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յալ աղբյուրների հաշվին (պետական-մասնավոր գործընկերության մեխանիզմների օգտագործմամբ)՝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Միության ինտեգրացված տեղեկատվական համակարգի ստեղծման, աշխատանքի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զարգացման ապահովման համար նախատեսված՝ Միության բյուջեի միջոցներ (Հանձնաժողովի կողմից իրականացվող միջոցառումների մասով) Միության թվային օրակարգի իրականացման ծախսերի շրջանակներում՝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150,80 մլն ռուբլու չափով, այդ թվում՝ 2019 </w:t>
            </w:r>
            <w:r w:rsidRPr="007C278A">
              <w:rPr>
                <w:rFonts w:ascii="Sylfaen" w:hAnsi="Sylfaen"/>
                <w:sz w:val="20"/>
                <w:szCs w:val="20"/>
              </w:rPr>
              <w:lastRenderedPageBreak/>
              <w:t>թվականին՝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64,80 մլն ռուբլի, 2020 թվականին՝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86,00 մլն ռուբլի.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անդամ պետությունների բյուջեների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(կամ) անդամ պետությունների օրենսդրությանը համապատասխան ներգրավվող ֆինանսավորման այլ աղբյուրների միջոցներ՝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65,18 մլն ռուբլի (մոտավորապես).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ծառայությունների մատակարարների միջոցներ՝ 372,00 մլն ռուբլի (մոտավորապես):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bottom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Ֆինանսական մոդելում ներդրված է միջոցառումների բարձրամակարդակ ծրագրի առանցքային միջոցառումների իրականացումը, այդ թվում՝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եվրասիական ցանցի այնպիսի բազային բաղադրիչի ստեղծումը, որը օգտատերերի ծառայությունների ստեղծման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միացման մասով ունիվերսալ հարթակային լուծում է (մինչ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70,00 մլն ռուբլի): Անդամ պետության հարցման հիման վրա եվրասիական ցանցի բազային բաղադրիչը լիցենզիոն համաձայնագրով անհատույց կարող է տրամադրվել անդամ պետությանը՝ որպես լիարժեք գործող ազգային բաղադրիչ միացվելու համար.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այնպիսի ինտեգրացիոն բաղադրիչի ստեղծում, որը ներառում է Հանձնաժողովի ընդհանուր ծառայությունները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ենթակառուցվածքային ծառայությունները, որոնք ապահովում են եվրասիական ցանցի բաղադրիչների փոխգործակցությունը (մինչ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50,52 մլն ռուբլի).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ազգային բաղադրիչների միացում (մինչ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30,28 մլն ռուբլի` 7,57 միլիոնական ռուբլի՝ Հայաստանի Հանրապետության, Բելառուսի Հանրապետության, Ղազախստանի Հանրապետության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Ղրղզստանի Հանրապետության ազգային բաղադրիչների միացման համար):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Անդամ պետությունների բյուջեների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(կամ) ազգային բաղադրիչների գործող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ստեղծվող ծառայությունների զարգացման ու եվրասիական ցանցին միացման համար անդամ պետությունների օրենսդրությանը համապատասխան ներգրավվող ֆինանսավորման այլ աղբյուրների միջոցները (մինչ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65,18 մլն ռուբլի), այդ թվում՝ անդամ պետությունների մասով (համաձայն ռուբլու համարժեքով գնահատմանը)՝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Հայաստանի Հանրապետություն՝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7,63 մլն ռուբլի (մոտավորապես).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Բելառուսի Հանրապետություն՝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21,87 մլն ռուբլի (մոտավորապես).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Ղազախստանի Հանրապետություն՝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8,00 մլն ռուբլի (մոտավորապես).</w:t>
            </w:r>
          </w:p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Ղրղզստանի Հանրապետություն՝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4,73 մլն ռուբլի (մոտավորապես).</w:t>
            </w:r>
          </w:p>
          <w:p w:rsidR="00AB555C" w:rsidRPr="00677EE5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>Ռուսաստանի Դաշնություն՝ մինչ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22,96 մլն ռուբլի (մոտավորապես)։</w:t>
            </w:r>
          </w:p>
          <w:p w:rsidR="00F22986" w:rsidRPr="00677EE5" w:rsidRDefault="00F22986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Ֆինանսավորման նպատակահարմարության, ծավալների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ժամկետների մասին որոշումներն ընդունվում են անդամ պետությունների կողմից ազգային մակարդակում՝ դրանց օրենսդրությանը համապատասխան:</w:t>
            </w:r>
          </w:p>
        </w:tc>
      </w:tr>
      <w:tr w:rsidR="00AB555C" w:rsidRPr="007C278A" w:rsidTr="00151F64">
        <w:trPr>
          <w:jc w:val="center"/>
        </w:trPr>
        <w:tc>
          <w:tcPr>
            <w:tcW w:w="2792" w:type="dxa"/>
            <w:shd w:val="clear" w:color="auto" w:fill="FFFFFF"/>
          </w:tcPr>
          <w:p w:rsidR="00AB555C" w:rsidRPr="007C278A" w:rsidRDefault="00AB555C" w:rsidP="007C278A">
            <w:pPr>
              <w:tabs>
                <w:tab w:val="left" w:pos="5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660" w:type="dxa"/>
            <w:gridSpan w:val="6"/>
            <w:shd w:val="clear" w:color="auto" w:fill="FFFFFF"/>
            <w:vAlign w:val="center"/>
          </w:tcPr>
          <w:p w:rsidR="00AB555C" w:rsidRPr="007C278A" w:rsidRDefault="00076FAE" w:rsidP="007C278A">
            <w:pPr>
              <w:pStyle w:val="a0"/>
              <w:shd w:val="clear" w:color="auto" w:fill="auto"/>
              <w:spacing w:after="120"/>
              <w:ind w:right="184" w:firstLine="800"/>
              <w:jc w:val="both"/>
              <w:rPr>
                <w:rFonts w:ascii="Sylfaen" w:hAnsi="Sylfaen"/>
                <w:sz w:val="20"/>
                <w:szCs w:val="20"/>
              </w:rPr>
            </w:pPr>
            <w:r w:rsidRPr="007C278A">
              <w:rPr>
                <w:rFonts w:ascii="Sylfaen" w:hAnsi="Sylfaen"/>
                <w:sz w:val="20"/>
                <w:szCs w:val="20"/>
              </w:rPr>
              <w:t xml:space="preserve">Ազգային բաղադրիչների կոմերցիոն ծառայությունների ստեղծման 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զարգացման ու եվրասիական ցանցի հետ դրանց ինտեգրման համար, ինչպես նա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եվրասիական ցանցի մասնակիցների միջ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 xml:space="preserve"> գործառնությունների կատարման համար առ</w:t>
            </w:r>
            <w:r w:rsidR="00376061" w:rsidRPr="007C278A">
              <w:rPr>
                <w:rFonts w:ascii="Sylfaen" w:hAnsi="Sylfaen"/>
                <w:sz w:val="20"/>
                <w:szCs w:val="20"/>
              </w:rPr>
              <w:t>եւ</w:t>
            </w:r>
            <w:r w:rsidRPr="007C278A">
              <w:rPr>
                <w:rFonts w:ascii="Sylfaen" w:hAnsi="Sylfaen"/>
                <w:sz w:val="20"/>
                <w:szCs w:val="20"/>
              </w:rPr>
              <w:t>տրային հարթակների գործունեության ապահովման համար ծառայությունների մատակարարների միջոցները՝ 372,00 մլն ռուբլի (մոտավորապես):</w:t>
            </w:r>
          </w:p>
        </w:tc>
      </w:tr>
    </w:tbl>
    <w:p w:rsidR="00076FAE" w:rsidRPr="00677EE5" w:rsidRDefault="00076FAE" w:rsidP="007C278A">
      <w:pPr>
        <w:spacing w:after="160" w:line="360" w:lineRule="auto"/>
        <w:jc w:val="center"/>
        <w:rPr>
          <w:rFonts w:ascii="Sylfaen" w:hAnsi="Sylfaen"/>
        </w:rPr>
      </w:pPr>
    </w:p>
    <w:p w:rsidR="007C278A" w:rsidRPr="007C278A" w:rsidRDefault="007C278A" w:rsidP="007C278A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__________________</w:t>
      </w:r>
    </w:p>
    <w:sectPr w:rsidR="007C278A" w:rsidRPr="007C278A" w:rsidSect="007C278A">
      <w:footerReference w:type="default" r:id="rId6"/>
      <w:pgSz w:w="16840" w:h="11900" w:orient="landscape" w:code="9"/>
      <w:pgMar w:top="1418" w:right="1418" w:bottom="1418" w:left="1418" w:header="0" w:footer="52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A4F" w:rsidRDefault="008B0A4F" w:rsidP="00AB555C">
      <w:r>
        <w:separator/>
      </w:r>
    </w:p>
  </w:endnote>
  <w:endnote w:type="continuationSeparator" w:id="0">
    <w:p w:rsidR="008B0A4F" w:rsidRDefault="008B0A4F" w:rsidP="00AB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ylfaen" w:hAnsi="Sylfaen"/>
      </w:rPr>
      <w:id w:val="23890087"/>
      <w:docPartObj>
        <w:docPartGallery w:val="Page Numbers (Bottom of Page)"/>
        <w:docPartUnique/>
      </w:docPartObj>
    </w:sdtPr>
    <w:sdtEndPr/>
    <w:sdtContent>
      <w:p w:rsidR="007C278A" w:rsidRPr="007C278A" w:rsidRDefault="00471FAD" w:rsidP="007C278A">
        <w:pPr>
          <w:pStyle w:val="Footer"/>
          <w:jc w:val="center"/>
          <w:rPr>
            <w:rFonts w:ascii="Sylfaen" w:hAnsi="Sylfaen"/>
          </w:rPr>
        </w:pPr>
        <w:r w:rsidRPr="007C278A">
          <w:rPr>
            <w:rFonts w:ascii="Sylfaen" w:hAnsi="Sylfaen"/>
          </w:rPr>
          <w:fldChar w:fldCharType="begin"/>
        </w:r>
        <w:r w:rsidR="007C278A" w:rsidRPr="007C278A">
          <w:rPr>
            <w:rFonts w:ascii="Sylfaen" w:hAnsi="Sylfaen"/>
          </w:rPr>
          <w:instrText xml:space="preserve"> PAGE   \* MERGEFORMAT </w:instrText>
        </w:r>
        <w:r w:rsidRPr="007C278A">
          <w:rPr>
            <w:rFonts w:ascii="Sylfaen" w:hAnsi="Sylfaen"/>
          </w:rPr>
          <w:fldChar w:fldCharType="separate"/>
        </w:r>
        <w:r w:rsidR="00A132B2">
          <w:rPr>
            <w:rFonts w:ascii="Sylfaen" w:hAnsi="Sylfaen"/>
            <w:noProof/>
          </w:rPr>
          <w:t>8</w:t>
        </w:r>
        <w:r w:rsidRPr="007C278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A4F" w:rsidRDefault="008B0A4F"/>
  </w:footnote>
  <w:footnote w:type="continuationSeparator" w:id="0">
    <w:p w:rsidR="008B0A4F" w:rsidRDefault="008B0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55C"/>
    <w:rsid w:val="00076FAE"/>
    <w:rsid w:val="00151F64"/>
    <w:rsid w:val="00281CED"/>
    <w:rsid w:val="003133A5"/>
    <w:rsid w:val="00313586"/>
    <w:rsid w:val="0033022B"/>
    <w:rsid w:val="00376061"/>
    <w:rsid w:val="0041484D"/>
    <w:rsid w:val="00471FAD"/>
    <w:rsid w:val="004A50E5"/>
    <w:rsid w:val="00530A6C"/>
    <w:rsid w:val="005F002B"/>
    <w:rsid w:val="00677EE5"/>
    <w:rsid w:val="007C278A"/>
    <w:rsid w:val="00836A30"/>
    <w:rsid w:val="008A709C"/>
    <w:rsid w:val="008B0A4F"/>
    <w:rsid w:val="00A132B2"/>
    <w:rsid w:val="00AB555C"/>
    <w:rsid w:val="00AD5387"/>
    <w:rsid w:val="00B12ADA"/>
    <w:rsid w:val="00BE0FBC"/>
    <w:rsid w:val="00C07C69"/>
    <w:rsid w:val="00C4798D"/>
    <w:rsid w:val="00D21578"/>
    <w:rsid w:val="00D45B8D"/>
    <w:rsid w:val="00D71C0E"/>
    <w:rsid w:val="00D91C61"/>
    <w:rsid w:val="00E220B0"/>
    <w:rsid w:val="00EA6330"/>
    <w:rsid w:val="00F22986"/>
    <w:rsid w:val="00F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07E98-A0DC-4E4E-A5D8-9FFE833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B55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A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">
    <w:name w:val="Другое_"/>
    <w:basedOn w:val="DefaultParagraphFont"/>
    <w:link w:val="a0"/>
    <w:rsid w:val="00A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sid w:val="00A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Normal"/>
    <w:link w:val="2"/>
    <w:rsid w:val="00AB555C"/>
    <w:pPr>
      <w:shd w:val="clear" w:color="auto" w:fill="FFFFFF"/>
      <w:spacing w:line="360" w:lineRule="auto"/>
      <w:ind w:firstLine="7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0">
    <w:name w:val="Другое"/>
    <w:basedOn w:val="Normal"/>
    <w:link w:val="a"/>
    <w:rsid w:val="00AB555C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AB555C"/>
    <w:pPr>
      <w:shd w:val="clear" w:color="auto" w:fill="FFFFFF"/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7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1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CE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CE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C2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78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2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7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21</cp:revision>
  <dcterms:created xsi:type="dcterms:W3CDTF">2020-02-13T10:54:00Z</dcterms:created>
  <dcterms:modified xsi:type="dcterms:W3CDTF">2022-08-02T06:44:00Z</dcterms:modified>
</cp:coreProperties>
</file>