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2C388" w14:textId="77777777" w:rsidR="00DF345A" w:rsidRPr="00670790" w:rsidRDefault="002C0BEC" w:rsidP="00670790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 w:cs="Sylfaen"/>
          <w:sz w:val="24"/>
          <w:szCs w:val="24"/>
        </w:rPr>
      </w:pPr>
      <w:r w:rsidRPr="00670790">
        <w:rPr>
          <w:rFonts w:ascii="Sylfaen" w:hAnsi="Sylfaen"/>
          <w:sz w:val="24"/>
          <w:szCs w:val="24"/>
        </w:rPr>
        <w:t>ՀԱՍՏԱՏՎԱԾ Է</w:t>
      </w:r>
    </w:p>
    <w:p w14:paraId="1D03EB23" w14:textId="77777777" w:rsidR="000960C3" w:rsidRPr="00670790" w:rsidRDefault="002C0BEC" w:rsidP="00670790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 w:cs="Sylfaen"/>
          <w:sz w:val="24"/>
          <w:szCs w:val="24"/>
        </w:rPr>
      </w:pPr>
      <w:r w:rsidRPr="00670790">
        <w:rPr>
          <w:rFonts w:ascii="Sylfaen" w:hAnsi="Sylfaen"/>
          <w:sz w:val="24"/>
          <w:szCs w:val="24"/>
        </w:rPr>
        <w:t xml:space="preserve">Եվրասիական տնտեսական </w:t>
      </w:r>
      <w:r w:rsidR="00670790">
        <w:rPr>
          <w:rFonts w:ascii="Sylfaen" w:hAnsi="Sylfaen"/>
          <w:sz w:val="24"/>
          <w:szCs w:val="24"/>
        </w:rPr>
        <w:br/>
      </w:r>
      <w:r w:rsidRPr="00670790">
        <w:rPr>
          <w:rFonts w:ascii="Sylfaen" w:hAnsi="Sylfaen"/>
          <w:sz w:val="24"/>
          <w:szCs w:val="24"/>
        </w:rPr>
        <w:t>հանձնաժողովի</w:t>
      </w:r>
      <w:r w:rsidR="00670790">
        <w:rPr>
          <w:rFonts w:ascii="Sylfaen" w:hAnsi="Sylfaen" w:cs="Sylfaen"/>
          <w:sz w:val="24"/>
          <w:szCs w:val="24"/>
        </w:rPr>
        <w:t xml:space="preserve"> </w:t>
      </w:r>
      <w:r w:rsidRPr="00670790">
        <w:rPr>
          <w:rFonts w:ascii="Sylfaen" w:hAnsi="Sylfaen"/>
          <w:sz w:val="24"/>
          <w:szCs w:val="24"/>
        </w:rPr>
        <w:t>խորհրդի</w:t>
      </w:r>
      <w:r w:rsidR="00670790">
        <w:rPr>
          <w:rFonts w:ascii="Sylfaen" w:hAnsi="Sylfaen" w:cs="Sylfaen"/>
          <w:sz w:val="24"/>
          <w:szCs w:val="24"/>
        </w:rPr>
        <w:br/>
      </w:r>
      <w:r w:rsidRPr="00670790">
        <w:rPr>
          <w:rFonts w:ascii="Sylfaen" w:hAnsi="Sylfaen"/>
          <w:sz w:val="24"/>
          <w:szCs w:val="24"/>
        </w:rPr>
        <w:t>2019 թվականի մայիսի 28-ի թիվ 52 որոշմամբ</w:t>
      </w:r>
    </w:p>
    <w:p w14:paraId="3A605011" w14:textId="77777777" w:rsidR="00DF345A" w:rsidRPr="00670790" w:rsidRDefault="00DF345A" w:rsidP="007A3104">
      <w:pPr>
        <w:pStyle w:val="Bodytext30"/>
        <w:shd w:val="clear" w:color="auto" w:fill="auto"/>
        <w:spacing w:before="0" w:line="240" w:lineRule="auto"/>
        <w:jc w:val="both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14:paraId="1BEC786A" w14:textId="77777777" w:rsidR="00DF345A" w:rsidRPr="00670790" w:rsidRDefault="002C0BEC" w:rsidP="007A3104">
      <w:pPr>
        <w:pStyle w:val="Bodytext30"/>
        <w:shd w:val="clear" w:color="auto" w:fill="auto"/>
        <w:spacing w:before="0" w:after="160" w:line="336" w:lineRule="auto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  <w:r w:rsidRPr="00670790">
        <w:rPr>
          <w:rStyle w:val="Bodytext3Spacing2pt"/>
          <w:rFonts w:ascii="Sylfaen" w:hAnsi="Sylfaen"/>
          <w:b/>
          <w:spacing w:val="0"/>
          <w:sz w:val="24"/>
          <w:szCs w:val="24"/>
        </w:rPr>
        <w:t>2019 ԹՎԱԿԱՆԻ</w:t>
      </w:r>
      <w:r w:rsidRPr="00670790">
        <w:rPr>
          <w:rFonts w:ascii="Sylfaen" w:hAnsi="Sylfaen"/>
          <w:sz w:val="24"/>
          <w:szCs w:val="24"/>
        </w:rPr>
        <w:t xml:space="preserve"> ՄԱՆՐԱՄԱՍՆԵՑՎԱԾ ՊԼԱՆ</w:t>
      </w:r>
    </w:p>
    <w:p w14:paraId="59D444FC" w14:textId="77777777" w:rsidR="000960C3" w:rsidRPr="00670790" w:rsidRDefault="002C0BEC" w:rsidP="007A3104">
      <w:pPr>
        <w:pStyle w:val="Bodytext30"/>
        <w:shd w:val="clear" w:color="auto" w:fill="auto"/>
        <w:spacing w:before="0" w:after="160" w:line="336" w:lineRule="auto"/>
        <w:rPr>
          <w:rFonts w:ascii="Sylfaen" w:hAnsi="Sylfaen" w:cs="Sylfaen"/>
          <w:sz w:val="24"/>
          <w:szCs w:val="24"/>
        </w:rPr>
      </w:pPr>
      <w:r w:rsidRPr="00670790">
        <w:rPr>
          <w:rFonts w:ascii="Sylfaen" w:hAnsi="Sylfaen"/>
          <w:sz w:val="24"/>
          <w:szCs w:val="24"/>
        </w:rPr>
        <w:t>Արտաքին տնտեսական գործունեության կարգավորման համակարգում «մեկ պատուհանի» մեխանիզմի զարգացման հիմնական ուղղությունների իրագործման միջոցառումների պլանի կատարման</w:t>
      </w:r>
    </w:p>
    <w:tbl>
      <w:tblPr>
        <w:tblOverlap w:val="never"/>
        <w:tblW w:w="146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4"/>
        <w:gridCol w:w="11"/>
        <w:gridCol w:w="2018"/>
        <w:gridCol w:w="2158"/>
        <w:gridCol w:w="2378"/>
        <w:gridCol w:w="17"/>
        <w:gridCol w:w="3258"/>
        <w:gridCol w:w="8"/>
      </w:tblGrid>
      <w:tr w:rsidR="00DF345A" w:rsidRPr="00670790" w14:paraId="12FD1F2B" w14:textId="77777777" w:rsidTr="00D970C6">
        <w:trPr>
          <w:gridAfter w:val="1"/>
          <w:wAfter w:w="8" w:type="dxa"/>
          <w:tblHeader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76684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Միջոցառման անվանումը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4B02A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Fonts w:ascii="Sylfaen" w:hAnsi="Sylfaen"/>
                <w:sz w:val="20"/>
                <w:szCs w:val="24"/>
              </w:rPr>
              <w:t>Միջոցառումների ցանկի կետը*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72FC6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Fonts w:ascii="Sylfaen" w:hAnsi="Sylfaen"/>
                <w:sz w:val="20"/>
                <w:szCs w:val="24"/>
              </w:rPr>
              <w:t>Կատարման ժամկետը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083CA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Fonts w:ascii="Sylfaen" w:hAnsi="Sylfaen"/>
                <w:sz w:val="20"/>
                <w:szCs w:val="24"/>
              </w:rPr>
              <w:t>Պատասխանատու կատարողը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CB373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Պլանավորվող արդյունքը</w:t>
            </w:r>
          </w:p>
        </w:tc>
      </w:tr>
      <w:tr w:rsidR="00DF345A" w:rsidRPr="00670790" w14:paraId="4CA2B8ED" w14:textId="77777777" w:rsidTr="00D970C6">
        <w:trPr>
          <w:gridAfter w:val="1"/>
          <w:wAfter w:w="8" w:type="dxa"/>
          <w:tblHeader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166AD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CBB36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6E194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8D83D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C5E1A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5</w:t>
            </w:r>
          </w:p>
        </w:tc>
      </w:tr>
      <w:tr w:rsidR="00DF345A" w:rsidRPr="00670790" w14:paraId="62A0BE49" w14:textId="77777777" w:rsidTr="00D970C6">
        <w:trPr>
          <w:gridAfter w:val="1"/>
          <w:wAfter w:w="8" w:type="dxa"/>
          <w:jc w:val="center"/>
        </w:trPr>
        <w:tc>
          <w:tcPr>
            <w:tcW w:w="1138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99D3FC2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line="240" w:lineRule="auto"/>
              <w:ind w:left="406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1. «Մեկ պատուհանի» ազգային մեխանիզմների զարգացումը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FFFFFF"/>
          </w:tcPr>
          <w:p w14:paraId="40A3AFEC" w14:textId="77777777" w:rsidR="000960C3" w:rsidRPr="00670790" w:rsidRDefault="000960C3" w:rsidP="00670790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B74DFB" w:rsidRPr="00670790" w14:paraId="7B32276B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4BB0D049" w14:textId="77777777" w:rsidR="000960C3" w:rsidRPr="00670790" w:rsidRDefault="002C0BEC" w:rsidP="007A3104">
            <w:pPr>
              <w:pStyle w:val="Bodytext20"/>
              <w:shd w:val="clear" w:color="auto" w:fill="auto"/>
              <w:tabs>
                <w:tab w:val="left" w:pos="598"/>
              </w:tabs>
              <w:spacing w:before="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1.1.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«Մեկ պատուհանի» ազգային մեխանիզմի էտալոնային մոդելի գործառույթների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կառուցվածքի մանրամասն նկարագրի, այդ էտալոնային մոդելում ընդգրկված պետական ընթացակարգերի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ծառայությունների ցանկի հաստատում՝ հաշվի առնելով վերազգային հատվածը</w:t>
            </w:r>
          </w:p>
        </w:tc>
        <w:tc>
          <w:tcPr>
            <w:tcW w:w="2018" w:type="dxa"/>
            <w:shd w:val="clear" w:color="auto" w:fill="FFFFFF"/>
          </w:tcPr>
          <w:p w14:paraId="59334B39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կետ 1.6</w:t>
            </w:r>
          </w:p>
        </w:tc>
        <w:tc>
          <w:tcPr>
            <w:tcW w:w="2158" w:type="dxa"/>
            <w:shd w:val="clear" w:color="auto" w:fill="FFFFFF"/>
          </w:tcPr>
          <w:p w14:paraId="1FD9A738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line="240" w:lineRule="auto"/>
              <w:ind w:left="14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II - III եռամսյակներ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7BF0DD31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Եվրասիական</w:t>
            </w:r>
            <w:r w:rsidRPr="00670790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տնտեսական</w:t>
            </w:r>
            <w:r w:rsidRPr="00670790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</w:t>
            </w:r>
            <w:r w:rsidRPr="00670790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(այսուհետ՝ Հանձնաժողով),</w:t>
            </w:r>
            <w:r w:rsidRPr="00670790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Եվրասիական տնտեսական</w:t>
            </w:r>
            <w:r w:rsidRPr="00670790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անդամ պետություններ (այսուհետ համապատասխանաբար՝ Միություն, անդամ պետություններ)</w:t>
            </w:r>
          </w:p>
        </w:tc>
        <w:tc>
          <w:tcPr>
            <w:tcW w:w="3258" w:type="dxa"/>
            <w:shd w:val="clear" w:color="auto" w:fill="FFFFFF"/>
          </w:tcPr>
          <w:p w14:paraId="62629670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  <w:tr w:rsidR="00B74DFB" w:rsidRPr="00670790" w14:paraId="30FFA261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4E1F20D1" w14:textId="77777777" w:rsidR="000960C3" w:rsidRPr="00670790" w:rsidRDefault="002C0BEC" w:rsidP="00670790">
            <w:pPr>
              <w:pStyle w:val="Bodytext20"/>
              <w:shd w:val="clear" w:color="auto" w:fill="auto"/>
              <w:tabs>
                <w:tab w:val="left" w:pos="56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1.2.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«Մեկ պատուհանի» ազգային մեխանիզմների մշակում, ներդրում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օպտիմալացում</w:t>
            </w:r>
          </w:p>
        </w:tc>
        <w:tc>
          <w:tcPr>
            <w:tcW w:w="2018" w:type="dxa"/>
            <w:shd w:val="clear" w:color="auto" w:fill="FFFFFF"/>
          </w:tcPr>
          <w:p w14:paraId="1B3ACFF7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1.7 կետ</w:t>
            </w:r>
          </w:p>
        </w:tc>
        <w:tc>
          <w:tcPr>
            <w:tcW w:w="2158" w:type="dxa"/>
            <w:shd w:val="clear" w:color="auto" w:fill="FFFFFF"/>
          </w:tcPr>
          <w:p w14:paraId="3A48E8A2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1A1167A5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28C1E1C9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DF345A" w:rsidRPr="00670790" w14:paraId="02CA4272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5A052C38" w14:textId="77777777" w:rsidR="000960C3" w:rsidRPr="00670790" w:rsidRDefault="002C0BEC" w:rsidP="00670790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1.2.1.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«Մեկ պատուհանի» ազգային մեխանիզմների զարգացման հայեցակարգերի լրամշակում</w:t>
            </w:r>
          </w:p>
        </w:tc>
        <w:tc>
          <w:tcPr>
            <w:tcW w:w="2018" w:type="dxa"/>
            <w:shd w:val="clear" w:color="auto" w:fill="FFFFFF"/>
          </w:tcPr>
          <w:p w14:paraId="137E370A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6C12342D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11688F5F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7350EE13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DF345A" w:rsidRPr="00670790" w14:paraId="337F8BFE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2463C67D" w14:textId="77777777" w:rsidR="000960C3" w:rsidRPr="00670790" w:rsidRDefault="002C0BEC" w:rsidP="00670790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1.2.2.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«Մեկ պատուհանի» ազգային մեխանիզմների ստեղծման միջոցառումների պլանների («ճանապարհային քարտեզների») նախապատրաստում (թարմացում)՝ հաշվի առնելով Միության մարմինների ակտերը</w:t>
            </w:r>
          </w:p>
        </w:tc>
        <w:tc>
          <w:tcPr>
            <w:tcW w:w="2018" w:type="dxa"/>
            <w:shd w:val="clear" w:color="auto" w:fill="FFFFFF"/>
          </w:tcPr>
          <w:p w14:paraId="22C2704C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185AD7A6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700FAC15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244984FC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DF345A" w:rsidRPr="00670790" w14:paraId="28019FCB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3F2A5DF3" w14:textId="77777777" w:rsidR="000960C3" w:rsidRPr="00670790" w:rsidRDefault="002C0BEC" w:rsidP="00670790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1.2.3.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«Մեկ պատուհանի» ազգային մեխանիզմի տարրերին վերաբերող փորձնական նախագծերի իրագործում</w:t>
            </w:r>
          </w:p>
        </w:tc>
        <w:tc>
          <w:tcPr>
            <w:tcW w:w="2018" w:type="dxa"/>
            <w:shd w:val="clear" w:color="auto" w:fill="FFFFFF"/>
          </w:tcPr>
          <w:p w14:paraId="5763027A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0C62DBF0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479C42F4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50C17064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DF345A" w:rsidRPr="00670790" w14:paraId="370BC745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615C0510" w14:textId="77777777" w:rsidR="000960C3" w:rsidRPr="00670790" w:rsidRDefault="002C0BEC" w:rsidP="00670790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1.2.4.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Թվային մաքսատան ձ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ավորման նկատմամբ մոտեցումները սահմանող փաստաթղթի նախագծի նախապատրաստում</w:t>
            </w:r>
          </w:p>
        </w:tc>
        <w:tc>
          <w:tcPr>
            <w:tcW w:w="2018" w:type="dxa"/>
            <w:shd w:val="clear" w:color="auto" w:fill="FFFFFF"/>
          </w:tcPr>
          <w:p w14:paraId="223B1A3F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506A97C9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II - III եռամսյակներ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244DDD00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5A2420D1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  <w:tr w:rsidR="00DF345A" w:rsidRPr="00670790" w14:paraId="55830510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59E877A2" w14:textId="77777777" w:rsidR="000960C3" w:rsidRPr="00670790" w:rsidRDefault="002C0BEC" w:rsidP="00670790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1.2.5.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պետությունների ծովային անցակետերում էլեկտրոնային փաստաթղթաշրջանառության զարգացում</w:t>
            </w:r>
          </w:p>
        </w:tc>
        <w:tc>
          <w:tcPr>
            <w:tcW w:w="2018" w:type="dxa"/>
            <w:shd w:val="clear" w:color="auto" w:fill="FFFFFF"/>
          </w:tcPr>
          <w:p w14:paraId="46426C53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7D428A42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IV եռամսյակ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7CBF0B92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482BDB25" w14:textId="77777777" w:rsidR="0016228B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Եվրասիական միջկառավարական խորհրդի որոշման նախագիծ (հայեցակարգ)</w:t>
            </w:r>
          </w:p>
        </w:tc>
      </w:tr>
      <w:tr w:rsidR="00DF345A" w:rsidRPr="00670790" w14:paraId="20C7BE17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1E6622DD" w14:textId="77777777" w:rsidR="000960C3" w:rsidRDefault="002C0BEC" w:rsidP="00670790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Style w:val="Bodytext21"/>
                <w:rFonts w:ascii="Sylfaen" w:hAnsi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1.2.6.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Անդամ պետությունների օդային անցակետերում էլեկտրոնային փաստաթղթաշրջանառության զարգացման վերլուծություն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եզրակացության նախապատրաստում</w:t>
            </w:r>
          </w:p>
          <w:p w14:paraId="4F5428EA" w14:textId="77777777" w:rsidR="007A3104" w:rsidRPr="00670790" w:rsidRDefault="007A3104" w:rsidP="00670790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2018" w:type="dxa"/>
            <w:shd w:val="clear" w:color="auto" w:fill="FFFFFF"/>
          </w:tcPr>
          <w:p w14:paraId="6AB26E6C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5A432822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hուլիս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5D6786B4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67A785E0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վերլուծական նյութեր, եզրակացություն</w:t>
            </w:r>
          </w:p>
        </w:tc>
      </w:tr>
      <w:tr w:rsidR="00DF345A" w:rsidRPr="00670790" w14:paraId="49DADD7A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29D4386C" w14:textId="77777777" w:rsidR="000960C3" w:rsidRPr="00670790" w:rsidRDefault="002C0BEC" w:rsidP="00670790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1.2.7.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Անդամ պետությունների երկաթուղային անցակետերում էլեկտրոնային փաստաթղթաշրջանառության զարգացման վերլուծություն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եզրակացության նախապատրաստում</w:t>
            </w:r>
          </w:p>
        </w:tc>
        <w:tc>
          <w:tcPr>
            <w:tcW w:w="2018" w:type="dxa"/>
            <w:shd w:val="clear" w:color="auto" w:fill="FFFFFF"/>
          </w:tcPr>
          <w:p w14:paraId="4D854653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0CE7B5BF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hուլիս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303420D4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5ADC2095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վերլուծական նյութեր, եզրակացություն</w:t>
            </w:r>
          </w:p>
        </w:tc>
      </w:tr>
      <w:tr w:rsidR="00DF345A" w:rsidRPr="00670790" w14:paraId="512A0570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6C6F79FE" w14:textId="77777777" w:rsidR="000960C3" w:rsidRPr="00670790" w:rsidRDefault="002C0BEC" w:rsidP="007A3104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1.2.8.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Ավտոմոբիլային տրանսպորտով բեռների միջազգային փոխադրումներ իրականացնելու թույլտվության տրված վկայագրերի մասին տեղեկությունների ձ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աչափերի, կառուցվածքի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փոխանցման ընթացակարգի (B2G, G2G) միասնականացում</w:t>
            </w:r>
          </w:p>
        </w:tc>
        <w:tc>
          <w:tcPr>
            <w:tcW w:w="2018" w:type="dxa"/>
            <w:shd w:val="clear" w:color="auto" w:fill="FFFFFF"/>
          </w:tcPr>
          <w:p w14:paraId="0BA7FBF7" w14:textId="77777777" w:rsidR="000960C3" w:rsidRPr="00670790" w:rsidRDefault="000960C3" w:rsidP="007A3104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4679DB6B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IV եռամսյակ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4BE3638C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6D6EDD3B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  <w:tr w:rsidR="000960C3" w:rsidRPr="00670790" w14:paraId="54C55D8B" w14:textId="77777777" w:rsidTr="00D970C6">
        <w:trPr>
          <w:gridAfter w:val="1"/>
          <w:wAfter w:w="8" w:type="dxa"/>
          <w:jc w:val="center"/>
        </w:trPr>
        <w:tc>
          <w:tcPr>
            <w:tcW w:w="14644" w:type="dxa"/>
            <w:gridSpan w:val="7"/>
            <w:shd w:val="clear" w:color="auto" w:fill="FFFFFF"/>
          </w:tcPr>
          <w:p w14:paraId="541F6DD5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2. «Մեկ պատուհանի» ազգային մեխանիզմների զարգացման մոտեցումների մոտարկում</w:t>
            </w:r>
          </w:p>
        </w:tc>
      </w:tr>
      <w:tr w:rsidR="00DF345A" w:rsidRPr="00670790" w14:paraId="0F03FA54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32A27D2E" w14:textId="77777777" w:rsidR="000960C3" w:rsidRPr="00670790" w:rsidRDefault="002C0BEC" w:rsidP="007A3104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2.1.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«Մեկ պատուհանի» ազգային մեխանիզմների զարգացման մոտեցումների մոտարկման գերակա ուղղությունների սահմանում</w:t>
            </w:r>
          </w:p>
        </w:tc>
        <w:tc>
          <w:tcPr>
            <w:tcW w:w="2018" w:type="dxa"/>
            <w:shd w:val="clear" w:color="auto" w:fill="FFFFFF"/>
          </w:tcPr>
          <w:p w14:paraId="1EA925D4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2.1 կետ</w:t>
            </w:r>
          </w:p>
        </w:tc>
        <w:tc>
          <w:tcPr>
            <w:tcW w:w="2158" w:type="dxa"/>
            <w:shd w:val="clear" w:color="auto" w:fill="FFFFFF"/>
          </w:tcPr>
          <w:p w14:paraId="5A1D00DE" w14:textId="77777777" w:rsidR="000960C3" w:rsidRPr="00670790" w:rsidRDefault="000960C3" w:rsidP="007A3104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25B73019" w14:textId="77777777" w:rsidR="000960C3" w:rsidRPr="00670790" w:rsidRDefault="000960C3" w:rsidP="007A3104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7FBCF4B0" w14:textId="77777777" w:rsidR="000960C3" w:rsidRPr="00670790" w:rsidRDefault="000960C3" w:rsidP="007A3104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DF345A" w:rsidRPr="00670790" w14:paraId="2FF0C56B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26A71BB2" w14:textId="77777777" w:rsidR="000960C3" w:rsidRPr="00670790" w:rsidRDefault="002C0BEC" w:rsidP="007A3104">
            <w:pPr>
              <w:pStyle w:val="Bodytext20"/>
              <w:shd w:val="clear" w:color="auto" w:fill="auto"/>
              <w:tabs>
                <w:tab w:val="left" w:pos="1124"/>
              </w:tabs>
              <w:spacing w:before="0" w:after="120" w:line="240" w:lineRule="auto"/>
              <w:ind w:left="56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2.1.1.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«Մեկ պատուհանի» ազգային մեխանիզմի է</w:t>
            </w:r>
            <w:r w:rsidR="00803EB8" w:rsidRPr="00670790">
              <w:rPr>
                <w:rStyle w:val="Bodytext21"/>
                <w:rFonts w:ascii="Sylfaen" w:hAnsi="Sylfaen"/>
                <w:sz w:val="20"/>
                <w:szCs w:val="24"/>
              </w:rPr>
              <w:t>տալոն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ային մոդելի ներդրմանն ուղղված գործիքների (կանոնակարգերի, ստանդարտների) ցանկի ձ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ավորում</w:t>
            </w:r>
          </w:p>
        </w:tc>
        <w:tc>
          <w:tcPr>
            <w:tcW w:w="2018" w:type="dxa"/>
            <w:shd w:val="clear" w:color="auto" w:fill="FFFFFF"/>
          </w:tcPr>
          <w:p w14:paraId="73DE3176" w14:textId="77777777" w:rsidR="000960C3" w:rsidRPr="00670790" w:rsidRDefault="000960C3" w:rsidP="007A3104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2E1C65BE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II - IV եռամսյակներ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1277F6D4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1F44DD76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Հանձնաժողովի հանձնարարականի նախագիծ</w:t>
            </w:r>
          </w:p>
        </w:tc>
      </w:tr>
      <w:tr w:rsidR="00DF345A" w:rsidRPr="00670790" w14:paraId="5A7879BD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42D273A3" w14:textId="77777777" w:rsidR="000960C3" w:rsidRPr="00670790" w:rsidRDefault="002C0BEC" w:rsidP="007A3104">
            <w:pPr>
              <w:pStyle w:val="Bodytext20"/>
              <w:shd w:val="clear" w:color="auto" w:fill="auto"/>
              <w:tabs>
                <w:tab w:val="left" w:pos="1124"/>
              </w:tabs>
              <w:spacing w:before="0" w:after="120" w:line="240" w:lineRule="auto"/>
              <w:ind w:left="56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2.1.2.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Բիզնես գործընթացների օպտիմալացման նկատմամբ միասնական մոտեցումների մշակում</w:t>
            </w:r>
          </w:p>
        </w:tc>
        <w:tc>
          <w:tcPr>
            <w:tcW w:w="2018" w:type="dxa"/>
            <w:shd w:val="clear" w:color="auto" w:fill="FFFFFF"/>
          </w:tcPr>
          <w:p w14:paraId="1EAAFEEC" w14:textId="77777777" w:rsidR="000960C3" w:rsidRPr="00670790" w:rsidRDefault="000960C3" w:rsidP="007A3104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21025AE2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II - IV եռամսյակներ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72655DF3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35D228EA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վերլուծական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նյութեր</w:t>
            </w:r>
          </w:p>
        </w:tc>
      </w:tr>
      <w:tr w:rsidR="000960C3" w:rsidRPr="00670790" w14:paraId="5965FC31" w14:textId="77777777" w:rsidTr="00D970C6">
        <w:trPr>
          <w:gridAfter w:val="1"/>
          <w:wAfter w:w="8" w:type="dxa"/>
          <w:jc w:val="center"/>
        </w:trPr>
        <w:tc>
          <w:tcPr>
            <w:tcW w:w="14644" w:type="dxa"/>
            <w:gridSpan w:val="7"/>
            <w:shd w:val="clear" w:color="auto" w:fill="FFFFFF"/>
          </w:tcPr>
          <w:p w14:paraId="5AE3349B" w14:textId="77777777" w:rsidR="000960C3" w:rsidRPr="00670790" w:rsidRDefault="002C0BEC" w:rsidP="007A3104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 Արտաքին տնտեսական գործունեություն իրականացնելու համար անհրաժեշտ էլեկտրոնային փաստաթղթերի փոխադարձ ճանաչում</w:t>
            </w:r>
          </w:p>
        </w:tc>
      </w:tr>
      <w:tr w:rsidR="00DF345A" w:rsidRPr="00670790" w14:paraId="47128014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3888D47E" w14:textId="77777777" w:rsidR="000960C3" w:rsidRPr="00670790" w:rsidRDefault="002C0BEC" w:rsidP="00841F16">
            <w:pPr>
              <w:pStyle w:val="Bodytext20"/>
              <w:shd w:val="clear" w:color="auto" w:fill="auto"/>
              <w:tabs>
                <w:tab w:val="left" w:pos="554"/>
              </w:tabs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3.1.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Արտաքին տնտեսական գործունեություն իրականացնելու համար անհրաժեշտ փաստաթղթերում, ինչպես նաեւ Միության տարածքում ձեւակերպվող էլեկտրոնային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փաստաթղթերում պարունակվող տեղեկությունների միասնականացում եւ ներդաշնակեցում՝ դրանց փոխադարձ ճանաչման նպատակով</w:t>
            </w:r>
          </w:p>
        </w:tc>
        <w:tc>
          <w:tcPr>
            <w:tcW w:w="2018" w:type="dxa"/>
            <w:shd w:val="clear" w:color="auto" w:fill="FFFFFF"/>
          </w:tcPr>
          <w:p w14:paraId="744CC6CD" w14:textId="77777777" w:rsidR="000960C3" w:rsidRPr="00670790" w:rsidRDefault="002C0BEC" w:rsidP="00841F16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3.2 կետ</w:t>
            </w:r>
          </w:p>
        </w:tc>
        <w:tc>
          <w:tcPr>
            <w:tcW w:w="2158" w:type="dxa"/>
            <w:shd w:val="clear" w:color="auto" w:fill="FFFFFF"/>
          </w:tcPr>
          <w:p w14:paraId="4073AF4B" w14:textId="77777777" w:rsidR="000960C3" w:rsidRPr="00670790" w:rsidRDefault="000960C3" w:rsidP="00841F16">
            <w:pPr>
              <w:spacing w:after="4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31189DCC" w14:textId="77777777" w:rsidR="000960C3" w:rsidRPr="00670790" w:rsidRDefault="000960C3" w:rsidP="00841F16">
            <w:pPr>
              <w:spacing w:after="4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186A74E0" w14:textId="77777777" w:rsidR="000960C3" w:rsidRPr="00670790" w:rsidRDefault="000960C3" w:rsidP="00841F16">
            <w:pPr>
              <w:spacing w:after="4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16228B" w:rsidRPr="00670790" w14:paraId="18C97387" w14:textId="77777777" w:rsidTr="00841F16">
        <w:trPr>
          <w:gridAfter w:val="1"/>
          <w:wAfter w:w="8" w:type="dxa"/>
          <w:trHeight w:val="3583"/>
          <w:jc w:val="center"/>
        </w:trPr>
        <w:tc>
          <w:tcPr>
            <w:tcW w:w="4815" w:type="dxa"/>
            <w:gridSpan w:val="2"/>
            <w:vMerge w:val="restart"/>
            <w:shd w:val="clear" w:color="auto" w:fill="FFFFFF"/>
          </w:tcPr>
          <w:p w14:paraId="2BC85CC7" w14:textId="77777777" w:rsidR="0016228B" w:rsidRPr="00670790" w:rsidRDefault="0016228B" w:rsidP="00841F16">
            <w:pPr>
              <w:pStyle w:val="Bodytext20"/>
              <w:shd w:val="clear" w:color="auto" w:fill="auto"/>
              <w:tabs>
                <w:tab w:val="left" w:pos="1139"/>
              </w:tabs>
              <w:spacing w:before="0" w:line="240" w:lineRule="auto"/>
              <w:ind w:left="56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3.1.1.</w:t>
            </w:r>
            <w:r w:rsidR="00670790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Արտաքին տնտեսական </w:t>
            </w:r>
            <w:r w:rsidR="005430B2" w:rsidRPr="00670790">
              <w:rPr>
                <w:rStyle w:val="Bodytext21"/>
                <w:rFonts w:ascii="Sylfaen" w:hAnsi="Sylfaen"/>
                <w:sz w:val="20"/>
                <w:szCs w:val="24"/>
              </w:rPr>
              <w:t>գործունեություն իրականացնելու համար անհրաժեշտ տեղեկությունների ներդաշնակեցման համար գործիքների զարգացում՝ Միության տվյալների մոդելի զարգացման շրջանակում՝ հաշվի առնելով տվյալների մոդելների,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ինչպես նա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էլեկտրոնային փաստաթղթերի կառուցվածքների մասնագրի ստեղծման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զարգացման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բնագավառում փորձը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առաջարկությունները, այդ թվում՝ ՄԱԿ-ի Ա</w:t>
            </w:r>
            <w:r w:rsidR="00C47B7D" w:rsidRPr="00670790">
              <w:rPr>
                <w:rStyle w:val="Bodytext21"/>
                <w:rFonts w:ascii="Sylfaen" w:hAnsi="Sylfaen"/>
                <w:sz w:val="20"/>
                <w:szCs w:val="24"/>
              </w:rPr>
              <w:t>Է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ՊԿ-ի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Համաշխարհային մաքսային կազմակերպության փորձը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առաջարկությունները</w:t>
            </w:r>
          </w:p>
          <w:p w14:paraId="409C0C25" w14:textId="77777777" w:rsidR="0016228B" w:rsidRPr="00670790" w:rsidRDefault="0016228B" w:rsidP="00841F16">
            <w:pPr>
              <w:pStyle w:val="Bodytext20"/>
              <w:shd w:val="clear" w:color="auto" w:fill="auto"/>
              <w:tabs>
                <w:tab w:val="left" w:pos="598"/>
              </w:tabs>
              <w:spacing w:before="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3.2.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Էլեկտրոնային փաստաթղթերի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(կամ) թեմատիկ բլոկներով ներկայացված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(կամ) Հանձնաժողովի կոլեգիայի որոշումներով սահմանված տեղեկությունների </w:t>
            </w:r>
            <w:r w:rsidR="00CD2ACE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համաձայնեցված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կազմով էլեկտրոնային տեսքով փաստաթղթերի կառուցվածքների մշակում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թարմացում</w:t>
            </w:r>
          </w:p>
        </w:tc>
        <w:tc>
          <w:tcPr>
            <w:tcW w:w="2018" w:type="dxa"/>
            <w:shd w:val="clear" w:color="auto" w:fill="FFFFFF"/>
          </w:tcPr>
          <w:p w14:paraId="3D8AB6B7" w14:textId="77777777" w:rsidR="0016228B" w:rsidRPr="00670790" w:rsidRDefault="0016228B" w:rsidP="00841F1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2158" w:type="dxa"/>
            <w:vMerge w:val="restart"/>
            <w:shd w:val="clear" w:color="auto" w:fill="FFFFFF"/>
          </w:tcPr>
          <w:p w14:paraId="0D906B11" w14:textId="77777777" w:rsidR="0016228B" w:rsidRPr="00670790" w:rsidRDefault="0016228B" w:rsidP="00841F1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395" w:type="dxa"/>
            <w:gridSpan w:val="2"/>
            <w:vMerge w:val="restart"/>
            <w:shd w:val="clear" w:color="auto" w:fill="FFFFFF"/>
          </w:tcPr>
          <w:p w14:paraId="786823D2" w14:textId="77777777" w:rsidR="0016228B" w:rsidRPr="00670790" w:rsidRDefault="0016228B" w:rsidP="00841F1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vMerge w:val="restart"/>
            <w:shd w:val="clear" w:color="auto" w:fill="FFFFFF"/>
          </w:tcPr>
          <w:p w14:paraId="4E33156A" w14:textId="77777777" w:rsidR="0016228B" w:rsidRPr="00670790" w:rsidRDefault="0016228B" w:rsidP="00841F1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տեղեկատվական պորտալում հրապարակված՝ Միության տվյալների մոդել</w:t>
            </w:r>
          </w:p>
        </w:tc>
      </w:tr>
      <w:tr w:rsidR="0016228B" w:rsidRPr="00670790" w14:paraId="6E90A3A7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vMerge/>
            <w:shd w:val="clear" w:color="auto" w:fill="FFFFFF"/>
          </w:tcPr>
          <w:p w14:paraId="0361CABA" w14:textId="77777777" w:rsidR="0016228B" w:rsidRPr="00670790" w:rsidRDefault="0016228B" w:rsidP="00841F16">
            <w:pPr>
              <w:pStyle w:val="Bodytext20"/>
              <w:shd w:val="clear" w:color="auto" w:fill="auto"/>
              <w:spacing w:before="0" w:line="240" w:lineRule="auto"/>
              <w:ind w:left="560"/>
              <w:jc w:val="left"/>
              <w:rPr>
                <w:rStyle w:val="Bodytext21"/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2018" w:type="dxa"/>
            <w:shd w:val="clear" w:color="auto" w:fill="FFFFFF"/>
          </w:tcPr>
          <w:p w14:paraId="59AAFC63" w14:textId="77777777" w:rsidR="0016228B" w:rsidRPr="00670790" w:rsidRDefault="0016228B" w:rsidP="00841F1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1"/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3.3 կետ</w:t>
            </w:r>
          </w:p>
        </w:tc>
        <w:tc>
          <w:tcPr>
            <w:tcW w:w="2158" w:type="dxa"/>
            <w:vMerge/>
            <w:shd w:val="clear" w:color="auto" w:fill="FFFFFF"/>
          </w:tcPr>
          <w:p w14:paraId="0FA1525C" w14:textId="77777777" w:rsidR="0016228B" w:rsidRPr="00670790" w:rsidRDefault="0016228B" w:rsidP="00841F1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1"/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2395" w:type="dxa"/>
            <w:gridSpan w:val="2"/>
            <w:vMerge/>
            <w:shd w:val="clear" w:color="auto" w:fill="FFFFFF"/>
          </w:tcPr>
          <w:p w14:paraId="3AE15895" w14:textId="77777777" w:rsidR="0016228B" w:rsidRPr="00670790" w:rsidRDefault="0016228B" w:rsidP="00841F1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Style w:val="Bodytext21"/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3258" w:type="dxa"/>
            <w:vMerge/>
            <w:shd w:val="clear" w:color="auto" w:fill="FFFFFF"/>
          </w:tcPr>
          <w:p w14:paraId="721018B4" w14:textId="77777777" w:rsidR="0016228B" w:rsidRPr="00670790" w:rsidRDefault="0016228B" w:rsidP="00841F1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Style w:val="Bodytext21"/>
                <w:rFonts w:ascii="Sylfaen" w:hAnsi="Sylfaen" w:cs="Sylfaen"/>
                <w:sz w:val="20"/>
                <w:szCs w:val="24"/>
              </w:rPr>
            </w:pPr>
          </w:p>
        </w:tc>
      </w:tr>
      <w:tr w:rsidR="00DF345A" w:rsidRPr="00670790" w14:paraId="4E2B5DC9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3DE33E05" w14:textId="77777777" w:rsidR="000960C3" w:rsidRPr="00670790" w:rsidRDefault="002C0BEC" w:rsidP="00841F16">
            <w:pPr>
              <w:pStyle w:val="Bodytext20"/>
              <w:shd w:val="clear" w:color="auto" w:fill="auto"/>
              <w:tabs>
                <w:tab w:val="left" w:pos="1154"/>
              </w:tabs>
              <w:spacing w:before="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3.2.1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Էլեկտրոնային փաստաթղթի տեսքով տրվող՝ ապրանքների արտահանման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(կամ) ներմուծման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լիցենզիաների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թույլտվությունների կառուցվածքի թարմացում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դրանց հաստատման ապահովում</w:t>
            </w:r>
          </w:p>
        </w:tc>
        <w:tc>
          <w:tcPr>
            <w:tcW w:w="2018" w:type="dxa"/>
            <w:shd w:val="clear" w:color="auto" w:fill="FFFFFF"/>
          </w:tcPr>
          <w:p w14:paraId="51CF2580" w14:textId="77777777" w:rsidR="000960C3" w:rsidRPr="00670790" w:rsidRDefault="000960C3" w:rsidP="00841F16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12DE779E" w14:textId="77777777" w:rsidR="000960C3" w:rsidRPr="00670790" w:rsidRDefault="002C0BEC" w:rsidP="00841F1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III եռամսյակ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7B9FB340" w14:textId="77777777" w:rsidR="000960C3" w:rsidRPr="00670790" w:rsidRDefault="002C0BEC" w:rsidP="00841F1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38AC89B3" w14:textId="77777777" w:rsidR="000960C3" w:rsidRPr="00670790" w:rsidRDefault="002C0BEC" w:rsidP="00841F1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Հանձնաժողովի կոլեգիայի որոշման նախագիծ</w:t>
            </w:r>
          </w:p>
        </w:tc>
      </w:tr>
      <w:tr w:rsidR="0016228B" w:rsidRPr="00670790" w14:paraId="1ADEB678" w14:textId="77777777" w:rsidTr="00841F16">
        <w:trPr>
          <w:gridAfter w:val="1"/>
          <w:wAfter w:w="8" w:type="dxa"/>
          <w:trHeight w:val="1388"/>
          <w:jc w:val="center"/>
        </w:trPr>
        <w:tc>
          <w:tcPr>
            <w:tcW w:w="4815" w:type="dxa"/>
            <w:gridSpan w:val="2"/>
            <w:vMerge w:val="restart"/>
            <w:shd w:val="clear" w:color="auto" w:fill="FFFFFF"/>
          </w:tcPr>
          <w:p w14:paraId="70B9C5FA" w14:textId="77777777" w:rsidR="0016228B" w:rsidRPr="00670790" w:rsidRDefault="0016228B" w:rsidP="00D970C6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3.2.2.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«Արտադրանքի պետական գրանցման վկայականների մասին» </w:t>
            </w:r>
            <w:r w:rsidR="00086AF2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Եվրասիական տնտեսական հանձնաժողովի կոլեգիայի 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br/>
            </w:r>
            <w:r w:rsidR="00086AF2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2017 թվականի հունիսի 30-ի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թիվ 80 որոշման մեջ փոփոխությունների կատարում</w:t>
            </w:r>
          </w:p>
          <w:p w14:paraId="21ECFF7C" w14:textId="77777777" w:rsidR="0016228B" w:rsidRPr="00670790" w:rsidRDefault="0016228B" w:rsidP="00D970C6">
            <w:pPr>
              <w:pStyle w:val="Bodytext20"/>
              <w:shd w:val="clear" w:color="auto" w:fill="auto"/>
              <w:tabs>
                <w:tab w:val="left" w:pos="53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3.3.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անդամ չհանդիսացող պետությունների լիազորված մարմինների կողմից տրված՝ անդամ պետությունների տարածքներում արտաքին տնտեսական գործունեություն իրականացնելու համար անհրաժեշտ փաստաթղթերի տեղեկությունների օգտագործում</w:t>
            </w:r>
          </w:p>
        </w:tc>
        <w:tc>
          <w:tcPr>
            <w:tcW w:w="2018" w:type="dxa"/>
            <w:shd w:val="clear" w:color="auto" w:fill="FFFFFF"/>
          </w:tcPr>
          <w:p w14:paraId="1C11EEAC" w14:textId="77777777" w:rsidR="0016228B" w:rsidRPr="00670790" w:rsidRDefault="0016228B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2158" w:type="dxa"/>
            <w:vMerge w:val="restart"/>
            <w:shd w:val="clear" w:color="auto" w:fill="FFFFFF"/>
          </w:tcPr>
          <w:p w14:paraId="76FDFFEB" w14:textId="77777777" w:rsidR="0016228B" w:rsidRPr="00670790" w:rsidRDefault="0016228B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մեկ տարվա ընթացքում, սակայն 2019 թվականի </w:t>
            </w:r>
            <w:r w:rsidR="00841F16">
              <w:rPr>
                <w:rStyle w:val="Bodytext21"/>
                <w:rFonts w:ascii="Sylfaen" w:hAnsi="Sylfaen"/>
                <w:sz w:val="20"/>
                <w:szCs w:val="24"/>
              </w:rPr>
              <w:br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հունիսի 1-ից ոչ շուտ</w:t>
            </w:r>
          </w:p>
        </w:tc>
        <w:tc>
          <w:tcPr>
            <w:tcW w:w="2395" w:type="dxa"/>
            <w:gridSpan w:val="2"/>
            <w:vMerge w:val="restart"/>
            <w:shd w:val="clear" w:color="auto" w:fill="FFFFFF"/>
          </w:tcPr>
          <w:p w14:paraId="094FC67F" w14:textId="77777777" w:rsidR="0016228B" w:rsidRPr="00670790" w:rsidRDefault="0016228B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vMerge w:val="restart"/>
            <w:shd w:val="clear" w:color="auto" w:fill="FFFFFF"/>
          </w:tcPr>
          <w:p w14:paraId="547EADCF" w14:textId="77777777" w:rsidR="0016228B" w:rsidRPr="00670790" w:rsidRDefault="0016228B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Հանձնաժողովի կոլեգիայի որոշման նախագիծ</w:t>
            </w:r>
          </w:p>
        </w:tc>
      </w:tr>
      <w:tr w:rsidR="0016228B" w:rsidRPr="00670790" w14:paraId="3D995DFB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vMerge/>
            <w:shd w:val="clear" w:color="auto" w:fill="FFFFFF"/>
          </w:tcPr>
          <w:p w14:paraId="6D0ACC05" w14:textId="77777777" w:rsidR="0016228B" w:rsidRPr="00670790" w:rsidRDefault="0016228B" w:rsidP="00670790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Style w:val="Bodytext21"/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2018" w:type="dxa"/>
            <w:shd w:val="clear" w:color="auto" w:fill="FFFFFF"/>
          </w:tcPr>
          <w:p w14:paraId="5241BF05" w14:textId="77777777" w:rsidR="0016228B" w:rsidRPr="00670790" w:rsidRDefault="0016228B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"/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3.4 կետ</w:t>
            </w:r>
          </w:p>
        </w:tc>
        <w:tc>
          <w:tcPr>
            <w:tcW w:w="2158" w:type="dxa"/>
            <w:vMerge/>
            <w:shd w:val="clear" w:color="auto" w:fill="FFFFFF"/>
          </w:tcPr>
          <w:p w14:paraId="3F4A0F8A" w14:textId="77777777" w:rsidR="0016228B" w:rsidRPr="00670790" w:rsidRDefault="0016228B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"/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2395" w:type="dxa"/>
            <w:gridSpan w:val="2"/>
            <w:vMerge/>
            <w:shd w:val="clear" w:color="auto" w:fill="FFFFFF"/>
          </w:tcPr>
          <w:p w14:paraId="1742EA1E" w14:textId="77777777" w:rsidR="0016228B" w:rsidRPr="00670790" w:rsidRDefault="0016228B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Style w:val="Bodytext21"/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3258" w:type="dxa"/>
            <w:vMerge/>
            <w:shd w:val="clear" w:color="auto" w:fill="FFFFFF"/>
          </w:tcPr>
          <w:p w14:paraId="7D1C3139" w14:textId="77777777" w:rsidR="0016228B" w:rsidRPr="00670790" w:rsidRDefault="0016228B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Style w:val="Bodytext21"/>
                <w:rFonts w:ascii="Sylfaen" w:hAnsi="Sylfaen" w:cs="Sylfaen"/>
                <w:sz w:val="20"/>
                <w:szCs w:val="24"/>
              </w:rPr>
            </w:pPr>
          </w:p>
        </w:tc>
      </w:tr>
      <w:tr w:rsidR="00DF345A" w:rsidRPr="00670790" w14:paraId="7F1E2466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3FB72CD7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65"/>
              </w:tabs>
              <w:spacing w:before="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3.3.1.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Անդամ պետությունների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Վիետնամի Սոցիալիստական Հանրապետության միջ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ապրանքների ծագման </w:t>
            </w:r>
            <w:r w:rsidR="00911B18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սերտիֆիկացման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="00911B18" w:rsidRPr="00670790">
              <w:rPr>
                <w:rStyle w:val="Bodytext21"/>
                <w:rFonts w:ascii="Sylfaen" w:hAnsi="Sylfaen"/>
                <w:sz w:val="20"/>
                <w:szCs w:val="24"/>
              </w:rPr>
              <w:t>վերիֆիկացման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էլեկտրոնային համակարգի գործունեության համար իրավական հիմքի ստեղծում</w:t>
            </w:r>
          </w:p>
        </w:tc>
        <w:tc>
          <w:tcPr>
            <w:tcW w:w="2018" w:type="dxa"/>
            <w:shd w:val="clear" w:color="auto" w:fill="FFFFFF"/>
          </w:tcPr>
          <w:p w14:paraId="714018F5" w14:textId="77777777" w:rsidR="000960C3" w:rsidRPr="00670790" w:rsidRDefault="000960C3" w:rsidP="00D970C6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430A5B93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line="240" w:lineRule="auto"/>
              <w:ind w:left="20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7F67F7E1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529D7F01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համաձայնագրի նախագիծ</w:t>
            </w:r>
          </w:p>
        </w:tc>
      </w:tr>
      <w:tr w:rsidR="00DF345A" w:rsidRPr="00670790" w14:paraId="0AF06989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4267517E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539"/>
              </w:tabs>
              <w:spacing w:before="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3.4.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Արտաքին տնտեսական գործունեության սուբյեկտների եզակի նույնականացման ապահովում</w:t>
            </w:r>
          </w:p>
        </w:tc>
        <w:tc>
          <w:tcPr>
            <w:tcW w:w="2018" w:type="dxa"/>
            <w:shd w:val="clear" w:color="auto" w:fill="FFFFFF"/>
          </w:tcPr>
          <w:p w14:paraId="10AE331B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3.5 կետ</w:t>
            </w:r>
          </w:p>
        </w:tc>
        <w:tc>
          <w:tcPr>
            <w:tcW w:w="2158" w:type="dxa"/>
            <w:shd w:val="clear" w:color="auto" w:fill="FFFFFF"/>
          </w:tcPr>
          <w:p w14:paraId="05EB4E9B" w14:textId="77777777" w:rsidR="000960C3" w:rsidRPr="00670790" w:rsidRDefault="000960C3" w:rsidP="00D970C6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2F3341D6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5C718B0D" w14:textId="77777777" w:rsidR="000960C3" w:rsidRPr="00670790" w:rsidRDefault="000960C3" w:rsidP="00D970C6">
            <w:pPr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DF345A" w:rsidRPr="00670790" w14:paraId="4CEE86F6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440D7141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24"/>
              </w:tabs>
              <w:spacing w:before="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3.</w:t>
            </w:r>
            <w:r w:rsidR="00291768" w:rsidRPr="00670790">
              <w:rPr>
                <w:rStyle w:val="Bodytext21"/>
                <w:rFonts w:ascii="Sylfaen" w:hAnsi="Sylfaen"/>
                <w:sz w:val="20"/>
                <w:szCs w:val="24"/>
              </w:rPr>
              <w:t>4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.</w:t>
            </w:r>
            <w:r w:rsidR="00291768" w:rsidRPr="00670790">
              <w:rPr>
                <w:rStyle w:val="Bodytext21"/>
                <w:rFonts w:ascii="Sylfaen" w:hAnsi="Sylfaen"/>
                <w:sz w:val="20"/>
                <w:szCs w:val="24"/>
              </w:rPr>
              <w:t>1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շրջանակներում արտաքին տնտեսական գործունեության մասնակիցների նույնականացման միասնական համակարգի ստեղծում</w:t>
            </w:r>
          </w:p>
        </w:tc>
        <w:tc>
          <w:tcPr>
            <w:tcW w:w="2018" w:type="dxa"/>
            <w:shd w:val="clear" w:color="auto" w:fill="FFFFFF"/>
          </w:tcPr>
          <w:p w14:paraId="52BEA533" w14:textId="77777777" w:rsidR="000960C3" w:rsidRPr="00670790" w:rsidRDefault="000960C3" w:rsidP="00D970C6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76D48684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line="240" w:lineRule="auto"/>
              <w:ind w:left="20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523972DC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00F833F9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«Միության շրջանակներում արտաքին տնտեսական գործունեության մասնակիցների նույնականացման միասնական համակարգի մասին» համաձայնագրի նախագիծ, նույնականացման միասնական համակարգի ստեղծման մասին փաստաթղթերի նախագծեր</w:t>
            </w:r>
          </w:p>
        </w:tc>
      </w:tr>
      <w:tr w:rsidR="00B74DFB" w:rsidRPr="00670790" w14:paraId="586F34C9" w14:textId="77777777" w:rsidTr="00D970C6">
        <w:trPr>
          <w:gridAfter w:val="1"/>
          <w:wAfter w:w="8" w:type="dxa"/>
          <w:jc w:val="center"/>
        </w:trPr>
        <w:tc>
          <w:tcPr>
            <w:tcW w:w="14644" w:type="dxa"/>
            <w:gridSpan w:val="7"/>
            <w:shd w:val="clear" w:color="auto" w:fill="FFFFFF"/>
          </w:tcPr>
          <w:p w14:paraId="75BC6B59" w14:textId="77777777" w:rsidR="00B74DFB" w:rsidRPr="00670790" w:rsidRDefault="00B74DFB" w:rsidP="00670790">
            <w:pPr>
              <w:spacing w:after="120"/>
              <w:ind w:left="109" w:right="124"/>
              <w:jc w:val="center"/>
              <w:rPr>
                <w:rFonts w:ascii="Sylfaen" w:hAnsi="Sylfaen" w:cs="Sylfaen"/>
                <w:sz w:val="20"/>
              </w:rPr>
            </w:pPr>
            <w:r w:rsidRPr="00670790">
              <w:rPr>
                <w:rStyle w:val="Bodytext21"/>
                <w:rFonts w:ascii="Sylfaen" w:eastAsia="Arial Unicode MS" w:hAnsi="Sylfaen"/>
                <w:sz w:val="20"/>
                <w:szCs w:val="24"/>
              </w:rPr>
              <w:lastRenderedPageBreak/>
              <w:t>4. Տեղեկատվական փոխգործակցության կազմակերպում</w:t>
            </w:r>
          </w:p>
        </w:tc>
      </w:tr>
      <w:tr w:rsidR="00B74DFB" w:rsidRPr="00670790" w14:paraId="204D090F" w14:textId="77777777" w:rsidTr="00D970C6">
        <w:trPr>
          <w:gridAfter w:val="1"/>
          <w:wAfter w:w="8" w:type="dxa"/>
          <w:jc w:val="center"/>
        </w:trPr>
        <w:tc>
          <w:tcPr>
            <w:tcW w:w="4804" w:type="dxa"/>
            <w:shd w:val="clear" w:color="auto" w:fill="FFFFFF"/>
          </w:tcPr>
          <w:p w14:paraId="3D48DBCF" w14:textId="77777777" w:rsidR="00B74DFB" w:rsidRPr="00670790" w:rsidRDefault="00B74DFB" w:rsidP="00D970C6">
            <w:pPr>
              <w:pStyle w:val="Bodytext20"/>
              <w:shd w:val="clear" w:color="auto" w:fill="auto"/>
              <w:tabs>
                <w:tab w:val="left" w:pos="569"/>
              </w:tabs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«Մեկ պատուհանի» ազգային մեխանիզմների շրջանակներում շահագրգիռ անձանց եւ պետական մարմինների փոխգործակցության ընթացակարգերի միասնականացում</w:t>
            </w:r>
          </w:p>
        </w:tc>
        <w:tc>
          <w:tcPr>
            <w:tcW w:w="2029" w:type="dxa"/>
            <w:gridSpan w:val="2"/>
            <w:shd w:val="clear" w:color="auto" w:fill="FFFFFF"/>
          </w:tcPr>
          <w:p w14:paraId="2F257768" w14:textId="77777777" w:rsidR="00B74DFB" w:rsidRPr="00670790" w:rsidRDefault="00B74DFB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670790">
              <w:rPr>
                <w:rStyle w:val="Bodytext21"/>
                <w:rFonts w:ascii="Sylfaen" w:eastAsia="Arial Unicode MS" w:hAnsi="Sylfaen"/>
                <w:sz w:val="20"/>
                <w:szCs w:val="24"/>
              </w:rPr>
              <w:t>4.1 կետ</w:t>
            </w:r>
          </w:p>
        </w:tc>
        <w:tc>
          <w:tcPr>
            <w:tcW w:w="7811" w:type="dxa"/>
            <w:gridSpan w:val="4"/>
            <w:shd w:val="clear" w:color="auto" w:fill="FFFFFF"/>
          </w:tcPr>
          <w:p w14:paraId="4B629723" w14:textId="77777777" w:rsidR="00B74DFB" w:rsidRPr="00670790" w:rsidRDefault="00B74DFB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DF345A" w:rsidRPr="00670790" w14:paraId="06439D85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46615B24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24"/>
              </w:tabs>
              <w:spacing w:before="0" w:after="120" w:line="240" w:lineRule="auto"/>
              <w:ind w:left="54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4.1.1.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B2G փոխգործակցության ընթացակարգերի իրագործմանը ներկայացվող միասնականացված պահանջների մշակում՝ էլեկտրոնային տարբերակով, Հանձնաժողովի կողմից հաստատվող ցանկին համապատասխան</w:t>
            </w:r>
          </w:p>
        </w:tc>
        <w:tc>
          <w:tcPr>
            <w:tcW w:w="2018" w:type="dxa"/>
            <w:shd w:val="clear" w:color="auto" w:fill="FFFFFF"/>
          </w:tcPr>
          <w:p w14:paraId="1FF253FD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2E8CD792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6C36BA87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0A9EB99E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DF345A" w:rsidRPr="00670790" w14:paraId="1D238B15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6AFEB6DA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59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4.2.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«Մեկ պատուհանի» ազգային մեխանիզմների շրջանակներում միջգերատեսչական տեղեկատվական փոխգործակցության ընթացակարգերի օպտիմալացում</w:t>
            </w:r>
          </w:p>
        </w:tc>
        <w:tc>
          <w:tcPr>
            <w:tcW w:w="2018" w:type="dxa"/>
            <w:shd w:val="clear" w:color="auto" w:fill="FFFFFF"/>
          </w:tcPr>
          <w:p w14:paraId="48B9CA99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4.2 կետ</w:t>
            </w:r>
          </w:p>
        </w:tc>
        <w:tc>
          <w:tcPr>
            <w:tcW w:w="2158" w:type="dxa"/>
            <w:shd w:val="clear" w:color="auto" w:fill="FFFFFF"/>
          </w:tcPr>
          <w:p w14:paraId="1A9E1DBC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3EE77A15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514347BA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DF345A" w:rsidRPr="00670790" w14:paraId="273CB4A7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779B564E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4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</w:t>
            </w:r>
            <w:r w:rsidR="00291768" w:rsidRPr="00670790">
              <w:rPr>
                <w:rStyle w:val="Bodytext21"/>
                <w:rFonts w:ascii="Sylfaen" w:hAnsi="Sylfaen"/>
                <w:sz w:val="20"/>
                <w:szCs w:val="24"/>
              </w:rPr>
              <w:t>2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.</w:t>
            </w:r>
            <w:r w:rsidR="00291768" w:rsidRPr="00670790">
              <w:rPr>
                <w:rStyle w:val="Bodytext21"/>
                <w:rFonts w:ascii="Sylfaen" w:hAnsi="Sylfaen"/>
                <w:sz w:val="20"/>
                <w:szCs w:val="24"/>
              </w:rPr>
              <w:t>1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B2G միասնականացված ընթացակարգերի իրագործման ժամանակ «մեկ պատուհանի» սկզբունքն ապահովող՝ անդամ պետություններում միջգերատեսչական տեղեկատվական փոխգործակցության (G2G) իրագործում</w:t>
            </w:r>
          </w:p>
        </w:tc>
        <w:tc>
          <w:tcPr>
            <w:tcW w:w="2018" w:type="dxa"/>
            <w:shd w:val="clear" w:color="auto" w:fill="FFFFFF"/>
          </w:tcPr>
          <w:p w14:paraId="1D4AD896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5B63BBD8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հունիս, դեկտեմբեր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1C2A4701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1CF2BCAB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B74DFB" w:rsidRPr="00670790" w14:paraId="37550787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5EEB3DE9" w14:textId="77777777" w:rsidR="00D970C6" w:rsidRDefault="002C0BEC" w:rsidP="00D970C6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jc w:val="left"/>
              <w:rPr>
                <w:rStyle w:val="Bodytext21"/>
                <w:rFonts w:ascii="Sylfaen" w:hAnsi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4.3.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շրջանակներում՝ «մեկ պատուհանի» ազգային մեխանիզմների գործունեության ապահովման ընթացքում գործողության մեջ դրված ընդհանուր գործընթացների օպտիմալացում եւ իրագործում</w:t>
            </w:r>
          </w:p>
          <w:p w14:paraId="01B30C49" w14:textId="77777777" w:rsidR="00841F16" w:rsidRPr="00841F16" w:rsidRDefault="00841F16" w:rsidP="00D970C6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018" w:type="dxa"/>
            <w:shd w:val="clear" w:color="auto" w:fill="FFFFFF"/>
          </w:tcPr>
          <w:p w14:paraId="4CEAEA91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4.3 կետ</w:t>
            </w:r>
          </w:p>
        </w:tc>
        <w:tc>
          <w:tcPr>
            <w:tcW w:w="2158" w:type="dxa"/>
            <w:shd w:val="clear" w:color="auto" w:fill="FFFFFF"/>
          </w:tcPr>
          <w:p w14:paraId="6B35904C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00ED995E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3621520A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B74DFB" w:rsidRPr="00670790" w14:paraId="09B7B202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540E8655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4.3.1.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Եվրասիական տնտեսական հանձնաժողովի կոլեգիայի 2015 թվականի ապրիլի 14-ի թիվ 29 որոշմամբ հաստատված՝ Եվրասիական տնտեսական միության շրջանակներում ընդհանուր այնպիսի գործընթացների ցանկում (այսուհետ՝ ընդհանուր գործընթացների ցանկ) փոփոխություններ կատարելու մասով առաջարկությունների հավաքագրում, վերլուծություն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համաձայնեցում, որոնք գործողության մեջ են դրված «մեկ պատուհանի» ազգային մեխանիզմների գործունեության ապահովման ընթացքում</w:t>
            </w:r>
          </w:p>
        </w:tc>
        <w:tc>
          <w:tcPr>
            <w:tcW w:w="2018" w:type="dxa"/>
            <w:shd w:val="clear" w:color="auto" w:fill="FFFFFF"/>
          </w:tcPr>
          <w:p w14:paraId="4C443EE0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712CE29A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61FE15DE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6B99E373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ակտերի նախագծեր</w:t>
            </w:r>
          </w:p>
        </w:tc>
      </w:tr>
      <w:tr w:rsidR="00B74DFB" w:rsidRPr="00670790" w14:paraId="1F9BA075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6734BAAF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54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4.3.2.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Ընդհանուր գործընթացների իրագործման կանոնների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այնպիսի ընդհանուր գործընթացների ցանկի իրագործ</w:t>
            </w:r>
            <w:r w:rsidR="00D65C86" w:rsidRPr="00670790">
              <w:rPr>
                <w:rStyle w:val="Bodytext21"/>
                <w:rFonts w:ascii="Sylfaen" w:hAnsi="Sylfaen"/>
                <w:sz w:val="20"/>
                <w:szCs w:val="24"/>
              </w:rPr>
              <w:t>ու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մն </w:t>
            </w:r>
            <w:r w:rsidR="00D65C86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ապահովելու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համար անհրաժեշտ տեխնոլոգիական փաստաթղթերի նախապատրաստում, որոնք կարող են գործողության մեջ դրվել «մեկ պատուհանի» ազգային մեխանիզմների գործունեության ապահովման ընթացքում</w:t>
            </w:r>
          </w:p>
        </w:tc>
        <w:tc>
          <w:tcPr>
            <w:tcW w:w="2018" w:type="dxa"/>
            <w:shd w:val="clear" w:color="auto" w:fill="FFFFFF"/>
          </w:tcPr>
          <w:p w14:paraId="6CEAC21C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052593A7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0D9E1B4D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058A2434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ակտերի նախագծեր</w:t>
            </w:r>
          </w:p>
        </w:tc>
      </w:tr>
      <w:tr w:rsidR="00B74DFB" w:rsidRPr="00670790" w14:paraId="7F06B055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30675982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54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4.3.3.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շրջանակներում՝ Միության ինտեգրված տեղեկատվական համակարգի Հանձնաժողովի ինտեգրացիոն հատվածում «մեկ պատուհանի» ազգային մեխանիզմների գործունեության ապահովման ընթացքում գործողության մեջ դրված ընդհանուր գործընթացների իրագործում</w:t>
            </w:r>
          </w:p>
        </w:tc>
        <w:tc>
          <w:tcPr>
            <w:tcW w:w="2018" w:type="dxa"/>
            <w:shd w:val="clear" w:color="auto" w:fill="FFFFFF"/>
          </w:tcPr>
          <w:p w14:paraId="07E1A220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76156D8E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2F18C8D0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</w:t>
            </w:r>
          </w:p>
        </w:tc>
        <w:tc>
          <w:tcPr>
            <w:tcW w:w="3258" w:type="dxa"/>
            <w:shd w:val="clear" w:color="auto" w:fill="FFFFFF"/>
          </w:tcPr>
          <w:p w14:paraId="64DCA083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B74DFB" w:rsidRPr="00670790" w14:paraId="0425D874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3EA7988D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54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4.3.4.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Միության շրջանակներում՝ </w:t>
            </w:r>
            <w:r w:rsidR="005445B5"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ինտեգրվա</w:t>
            </w:r>
            <w:r w:rsidR="00286507" w:rsidRPr="00670790">
              <w:rPr>
                <w:rStyle w:val="Bodytext21"/>
                <w:rFonts w:ascii="Sylfaen" w:hAnsi="Sylfaen"/>
                <w:sz w:val="20"/>
                <w:szCs w:val="24"/>
              </w:rPr>
              <w:t>ծ</w:t>
            </w:r>
            <w:r w:rsidR="005445B5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տեղեկատվական համակարգի անդամ պետությունների ազգային հատվածներում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«մեկ պատուհանի» ազգային մեխանիզմների գործունեության ապահովման ընթացքում գործողության մեջ դրված ընդհանուր գործընթացների իրագործում </w:t>
            </w:r>
          </w:p>
        </w:tc>
        <w:tc>
          <w:tcPr>
            <w:tcW w:w="2018" w:type="dxa"/>
            <w:shd w:val="clear" w:color="auto" w:fill="FFFFFF"/>
          </w:tcPr>
          <w:p w14:paraId="3E9433D0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56947D31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19939758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4E21DCF1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B74DFB" w:rsidRPr="00670790" w14:paraId="7D65E675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3AED97E2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56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4.4.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Շահագրգիռ անձանց կողմից «մեկ պատուհանի» ազգային մեխանիզմների օգտագործման ընթացակարգերի պարզեցում</w:t>
            </w:r>
          </w:p>
        </w:tc>
        <w:tc>
          <w:tcPr>
            <w:tcW w:w="2018" w:type="dxa"/>
            <w:shd w:val="clear" w:color="auto" w:fill="FFFFFF"/>
          </w:tcPr>
          <w:p w14:paraId="47E8865A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4.4 կետ</w:t>
            </w:r>
          </w:p>
        </w:tc>
        <w:tc>
          <w:tcPr>
            <w:tcW w:w="2158" w:type="dxa"/>
            <w:shd w:val="clear" w:color="auto" w:fill="FFFFFF"/>
          </w:tcPr>
          <w:p w14:paraId="3E770EF3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78855B76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2F12C03E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B74DFB" w:rsidRPr="00670790" w14:paraId="78299863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494711D6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69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</w:t>
            </w:r>
            <w:r w:rsidR="008F25CB" w:rsidRPr="00670790">
              <w:rPr>
                <w:rStyle w:val="Bodytext21"/>
                <w:rFonts w:ascii="Sylfaen" w:hAnsi="Sylfaen"/>
                <w:sz w:val="20"/>
                <w:szCs w:val="24"/>
              </w:rPr>
              <w:t>4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.</w:t>
            </w:r>
            <w:r w:rsidR="008F25CB" w:rsidRPr="00670790">
              <w:rPr>
                <w:rStyle w:val="Bodytext21"/>
                <w:rFonts w:ascii="Sylfaen" w:hAnsi="Sylfaen"/>
                <w:sz w:val="20"/>
                <w:szCs w:val="24"/>
              </w:rPr>
              <w:t>1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B2G միասնականացված ընթացակարգերի մասին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տեղեկատվություն ստանալիս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օգտագործելիս շահագրգիռ անձանց համար հավասար պայմանների ապահովման նպատակով էլեկտրոնային տեսքով B2G միասնականացված ընթացակարգերի կատալոգի թարմացում</w:t>
            </w:r>
          </w:p>
        </w:tc>
        <w:tc>
          <w:tcPr>
            <w:tcW w:w="2018" w:type="dxa"/>
            <w:shd w:val="clear" w:color="auto" w:fill="FFFFFF"/>
          </w:tcPr>
          <w:p w14:paraId="468417FB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5498DED6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07A98BBE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0E629CE4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  <w:tr w:rsidR="00B74DFB" w:rsidRPr="00670790" w14:paraId="1E9205EB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6EC80BB1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4.5.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Միության՝ «մեկ պատուհանի» ազգային մեխանիզմների գործունեությունն ապահովելու համար անհրաժեշտ նորմատիվ-տեղեկատվական տեղեկությունների միասնական համակարգի ձ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ավորում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զարգացում</w:t>
            </w:r>
          </w:p>
        </w:tc>
        <w:tc>
          <w:tcPr>
            <w:tcW w:w="2018" w:type="dxa"/>
            <w:shd w:val="clear" w:color="auto" w:fill="FFFFFF"/>
          </w:tcPr>
          <w:p w14:paraId="0B757DB7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4.5 կետ</w:t>
            </w:r>
          </w:p>
        </w:tc>
        <w:tc>
          <w:tcPr>
            <w:tcW w:w="2158" w:type="dxa"/>
            <w:shd w:val="clear" w:color="auto" w:fill="FFFFFF"/>
          </w:tcPr>
          <w:p w14:paraId="35648510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6C517766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0C5E73ED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B74DFB" w:rsidRPr="00670790" w14:paraId="684008D1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62F9D266" w14:textId="77777777" w:rsidR="000960C3" w:rsidRDefault="002C0BEC" w:rsidP="00D970C6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60"/>
              <w:jc w:val="left"/>
              <w:rPr>
                <w:rStyle w:val="Bodytext21"/>
                <w:rFonts w:ascii="Sylfaen" w:hAnsi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4.5.1.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Միության նորմատիվ-տեղեկատվական տեղեկությունների միասնական համակարգի կազմում ներառելու համար տեղեկատուների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դասակարգիչների ձ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ավորում</w:t>
            </w:r>
          </w:p>
          <w:p w14:paraId="25097E94" w14:textId="77777777" w:rsidR="00D970C6" w:rsidRPr="00670790" w:rsidRDefault="00D970C6" w:rsidP="00D970C6">
            <w:pPr>
              <w:pStyle w:val="Bodytext20"/>
              <w:shd w:val="clear" w:color="auto" w:fill="auto"/>
              <w:tabs>
                <w:tab w:val="left" w:pos="1139"/>
              </w:tabs>
              <w:spacing w:before="0" w:after="120" w:line="240" w:lineRule="auto"/>
              <w:ind w:left="56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2018" w:type="dxa"/>
            <w:shd w:val="clear" w:color="auto" w:fill="FFFFFF"/>
          </w:tcPr>
          <w:p w14:paraId="7849C057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4.5.1</w:t>
            </w:r>
          </w:p>
        </w:tc>
        <w:tc>
          <w:tcPr>
            <w:tcW w:w="2158" w:type="dxa"/>
            <w:shd w:val="clear" w:color="auto" w:fill="FFFFFF"/>
          </w:tcPr>
          <w:p w14:paraId="4064BBDF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738833FF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4B3FC39C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մարմինների ակտերի նախագծեր</w:t>
            </w:r>
          </w:p>
        </w:tc>
      </w:tr>
      <w:tr w:rsidR="000960C3" w:rsidRPr="00670790" w14:paraId="24E5086A" w14:textId="77777777" w:rsidTr="00D970C6">
        <w:trPr>
          <w:gridAfter w:val="1"/>
          <w:wAfter w:w="8" w:type="dxa"/>
          <w:jc w:val="center"/>
        </w:trPr>
        <w:tc>
          <w:tcPr>
            <w:tcW w:w="14644" w:type="dxa"/>
            <w:gridSpan w:val="7"/>
            <w:shd w:val="clear" w:color="auto" w:fill="FFFFFF"/>
          </w:tcPr>
          <w:p w14:paraId="7B9F2F43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5. Հասկացութային ապարատի ձեւավորում</w:t>
            </w:r>
          </w:p>
        </w:tc>
      </w:tr>
      <w:tr w:rsidR="00B74DFB" w:rsidRPr="00670790" w14:paraId="270ABB71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018093B8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59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5.1.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Եվրասիական տնտեսական բարձրագույն խորհրդի 2014 թվականի մայիսի 29-ի թիվ 68 որոշմամբ հաստատված՝ Արտաքին տնտեսական գործունեության կարգավորման համակարգում </w:t>
            </w:r>
            <w:r w:rsidR="001435A5" w:rsidRPr="00670790">
              <w:rPr>
                <w:rStyle w:val="Bodytext21"/>
                <w:rFonts w:ascii="Sylfaen" w:hAnsi="Sylfaen"/>
                <w:sz w:val="20"/>
                <w:szCs w:val="24"/>
              </w:rPr>
              <w:t>«մեկ պատուհանի» մեխանիզմի զարգացման հիմնական ուղղություններն (այսուհետ՝ Հիմնական ուղղություններ) իրագործելիս օգտագործվող եզրույթների բառարանի վարում (թարմացում)</w:t>
            </w:r>
          </w:p>
        </w:tc>
        <w:tc>
          <w:tcPr>
            <w:tcW w:w="2018" w:type="dxa"/>
            <w:shd w:val="clear" w:color="auto" w:fill="FFFFFF"/>
          </w:tcPr>
          <w:p w14:paraId="3CAF98B7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5.2 կետ</w:t>
            </w:r>
          </w:p>
        </w:tc>
        <w:tc>
          <w:tcPr>
            <w:tcW w:w="2158" w:type="dxa"/>
            <w:shd w:val="clear" w:color="auto" w:fill="FFFFFF"/>
          </w:tcPr>
          <w:p w14:paraId="37827807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234377CA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6E5752A7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բառարանի հետ կապված առաջարկներ</w:t>
            </w:r>
          </w:p>
        </w:tc>
      </w:tr>
      <w:tr w:rsidR="0016228B" w:rsidRPr="00670790" w14:paraId="7840C21A" w14:textId="77777777" w:rsidTr="00D970C6">
        <w:trPr>
          <w:gridAfter w:val="1"/>
          <w:wAfter w:w="8" w:type="dxa"/>
          <w:jc w:val="center"/>
        </w:trPr>
        <w:tc>
          <w:tcPr>
            <w:tcW w:w="14644" w:type="dxa"/>
            <w:gridSpan w:val="7"/>
            <w:shd w:val="clear" w:color="auto" w:fill="FFFFFF"/>
          </w:tcPr>
          <w:p w14:paraId="61C5B1BE" w14:textId="77777777" w:rsidR="0016228B" w:rsidRPr="00670790" w:rsidRDefault="0016228B" w:rsidP="00670790">
            <w:pPr>
              <w:spacing w:after="120"/>
              <w:ind w:left="109" w:right="124"/>
              <w:jc w:val="center"/>
              <w:rPr>
                <w:rFonts w:ascii="Sylfaen" w:hAnsi="Sylfaen" w:cs="Sylfaen"/>
                <w:sz w:val="20"/>
              </w:rPr>
            </w:pPr>
            <w:r w:rsidRPr="00670790">
              <w:rPr>
                <w:rStyle w:val="Bodytext21"/>
                <w:rFonts w:ascii="Sylfaen" w:eastAsia="Arial Unicode MS" w:hAnsi="Sylfaen"/>
                <w:sz w:val="20"/>
                <w:szCs w:val="24"/>
              </w:rPr>
              <w:t>6. Միջոցառումների</w:t>
            </w:r>
            <w:r w:rsidR="001435A5" w:rsidRPr="00670790">
              <w:rPr>
                <w:rStyle w:val="Bodytext21"/>
                <w:rFonts w:ascii="Sylfaen" w:eastAsia="Arial Unicode MS" w:hAnsi="Sylfaen"/>
                <w:sz w:val="20"/>
                <w:szCs w:val="24"/>
              </w:rPr>
              <w:t xml:space="preserve"> պլանի իրագործումն ապահովող կազմակերպչական մեխանիզմ (կառավարման մեխանիզմ)</w:t>
            </w:r>
          </w:p>
        </w:tc>
      </w:tr>
      <w:tr w:rsidR="00DF345A" w:rsidRPr="00670790" w14:paraId="548312C8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676357DA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6.1.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Կառավարման մեխանիզմի կազմակերպչական կառուցվածքի կատարելագործում</w:t>
            </w:r>
          </w:p>
        </w:tc>
        <w:tc>
          <w:tcPr>
            <w:tcW w:w="2018" w:type="dxa"/>
            <w:shd w:val="clear" w:color="auto" w:fill="FFFFFF"/>
          </w:tcPr>
          <w:p w14:paraId="692E4280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6.5 կետ</w:t>
            </w:r>
          </w:p>
        </w:tc>
        <w:tc>
          <w:tcPr>
            <w:tcW w:w="2158" w:type="dxa"/>
            <w:shd w:val="clear" w:color="auto" w:fill="FFFFFF"/>
          </w:tcPr>
          <w:p w14:paraId="2EBA0F74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32EF9EA5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2DA6010D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DF345A" w:rsidRPr="00670790" w14:paraId="36806C9E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4374724D" w14:textId="77777777" w:rsidR="000960C3" w:rsidRDefault="002C0BEC" w:rsidP="00D970C6">
            <w:pPr>
              <w:pStyle w:val="Bodytext20"/>
              <w:shd w:val="clear" w:color="auto" w:fill="auto"/>
              <w:tabs>
                <w:tab w:val="left" w:pos="1124"/>
              </w:tabs>
              <w:spacing w:before="0" w:after="120" w:line="240" w:lineRule="auto"/>
              <w:ind w:left="580"/>
              <w:jc w:val="left"/>
              <w:rPr>
                <w:rStyle w:val="Bodytext21"/>
                <w:rFonts w:ascii="Sylfaen" w:hAnsi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6.1.1.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Եվրասիական տնտեսական </w:t>
            </w:r>
            <w:r w:rsidR="001435A5"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հանձնաժողովի կոլեգիայի 2018 թվականի հունիսի 26-ի թիվ 114 կարգադրությամբ հաստատված՝ Արտաքին տնտեսական գործունեության կարգավորման համակարգում «մեկ պատուհանի» մեխանիզմի զարգացման հիմնական ուղղությունների իրագործման միջոցառումների պլանի կատարման հարցերով աշխատանքային խմբի (այսուհետ՝ աշխատանքային խումբ) կազմի թարմացում</w:t>
            </w:r>
          </w:p>
          <w:p w14:paraId="6551C02C" w14:textId="77777777" w:rsidR="00D970C6" w:rsidRDefault="00D970C6" w:rsidP="00D970C6">
            <w:pPr>
              <w:pStyle w:val="Bodytext20"/>
              <w:shd w:val="clear" w:color="auto" w:fill="auto"/>
              <w:tabs>
                <w:tab w:val="left" w:pos="1124"/>
              </w:tabs>
              <w:spacing w:before="0" w:after="120" w:line="240" w:lineRule="auto"/>
              <w:ind w:left="580"/>
              <w:jc w:val="left"/>
              <w:rPr>
                <w:rStyle w:val="Bodytext21"/>
                <w:rFonts w:ascii="Sylfaen" w:hAnsi="Sylfaen"/>
                <w:sz w:val="20"/>
                <w:szCs w:val="24"/>
              </w:rPr>
            </w:pPr>
          </w:p>
          <w:p w14:paraId="0C464DC6" w14:textId="77777777" w:rsidR="00D970C6" w:rsidRPr="00670790" w:rsidRDefault="00D970C6" w:rsidP="00D970C6">
            <w:pPr>
              <w:pStyle w:val="Bodytext20"/>
              <w:shd w:val="clear" w:color="auto" w:fill="auto"/>
              <w:tabs>
                <w:tab w:val="left" w:pos="1124"/>
              </w:tabs>
              <w:spacing w:before="0" w:after="120" w:line="240" w:lineRule="auto"/>
              <w:ind w:left="58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2018" w:type="dxa"/>
            <w:shd w:val="clear" w:color="auto" w:fill="FFFFFF"/>
          </w:tcPr>
          <w:p w14:paraId="00226D17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43BFBBC2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հունիս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2D92E85B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77E8BBFA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Հանձնաժողովի կոլեգիայի </w:t>
            </w:r>
            <w:r w:rsidR="00DE48AC" w:rsidRPr="00670790">
              <w:rPr>
                <w:rStyle w:val="Bodytext21"/>
                <w:rFonts w:ascii="Sylfaen" w:hAnsi="Sylfaen"/>
                <w:sz w:val="20"/>
                <w:szCs w:val="24"/>
              </w:rPr>
              <w:t>կարգադրության</w:t>
            </w:r>
            <w:r w:rsidR="00D518DE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նախագիծ</w:t>
            </w:r>
          </w:p>
        </w:tc>
      </w:tr>
      <w:tr w:rsidR="00B74DFB" w:rsidRPr="00670790" w14:paraId="418F7B7A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77D3BA8B" w14:textId="77777777" w:rsidR="00B74DFB" w:rsidRPr="00670790" w:rsidRDefault="00B74DFB" w:rsidP="00670790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4176" w:type="dxa"/>
            <w:gridSpan w:val="2"/>
            <w:shd w:val="clear" w:color="auto" w:fill="FFFFFF"/>
          </w:tcPr>
          <w:p w14:paraId="10A85BD6" w14:textId="77777777" w:rsidR="00B74DFB" w:rsidRPr="00670790" w:rsidRDefault="00B74DFB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 Կազմակերպչական հարցեր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25D7E59A" w14:textId="77777777" w:rsidR="00B74DFB" w:rsidRPr="00670790" w:rsidRDefault="00B74DFB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66901C03" w14:textId="77777777" w:rsidR="00B74DFB" w:rsidRPr="00670790" w:rsidRDefault="00B74DFB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B74DFB" w:rsidRPr="00670790" w14:paraId="79819C9B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vMerge w:val="restart"/>
            <w:shd w:val="clear" w:color="auto" w:fill="FFFFFF"/>
          </w:tcPr>
          <w:p w14:paraId="3880CFBD" w14:textId="77777777" w:rsidR="00B74DFB" w:rsidRPr="00670790" w:rsidRDefault="00B74DFB" w:rsidP="00D970C6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«Մեկ պատուհանի» մեխանիզմի մասսայականացում՝ աշխատանք ԶԼՄ-ների հետ, Եվրասիական տնտեսական բարձրագույն խորհրդի 2015 թվականի մայիսի 8-ի թիվ 19 որոշմամբ հաստատված՝ Արտաքին տնտեսական գործունեության կարգավորման համակարգում 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br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«</w:t>
            </w:r>
            <w:r w:rsidR="001435A5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մեկ պատուհանի» մեխանիզմի զարգացման հիմնական ուղղությունների իրագործման հիմնական ուղղությունների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="001435A5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միջոցառումների պլանի (այսուհետ՝ միջոցառումների պլան) իրագործման հարցերով բաց քննարկումների, սեմինարների, համաժողովների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="001435A5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կլոր</w:t>
            </w:r>
            <w:r w:rsidR="00670790" w:rsidRPr="00670790">
              <w:rPr>
                <w:rFonts w:ascii="Sylfaen" w:hAnsi="Sylfaen"/>
                <w:sz w:val="20"/>
                <w:szCs w:val="24"/>
              </w:rPr>
              <w:t xml:space="preserve"> </w:t>
            </w:r>
            <w:r w:rsidR="001435A5" w:rsidRPr="00670790">
              <w:rPr>
                <w:rStyle w:val="Bodytext21"/>
                <w:rFonts w:ascii="Sylfaen" w:hAnsi="Sylfaen"/>
                <w:sz w:val="20"/>
                <w:szCs w:val="24"/>
              </w:rPr>
              <w:t>սեղանների կազմակերպում</w:t>
            </w:r>
          </w:p>
        </w:tc>
        <w:tc>
          <w:tcPr>
            <w:tcW w:w="2018" w:type="dxa"/>
            <w:shd w:val="clear" w:color="auto" w:fill="FFFFFF"/>
          </w:tcPr>
          <w:p w14:paraId="40AE4606" w14:textId="77777777" w:rsidR="00B74DFB" w:rsidRPr="00670790" w:rsidRDefault="00B74DFB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7.1 կետ</w:t>
            </w:r>
          </w:p>
        </w:tc>
        <w:tc>
          <w:tcPr>
            <w:tcW w:w="2158" w:type="dxa"/>
            <w:shd w:val="clear" w:color="auto" w:fill="FFFFFF"/>
          </w:tcPr>
          <w:p w14:paraId="78C12F24" w14:textId="77777777" w:rsidR="00B74DFB" w:rsidRPr="00670790" w:rsidRDefault="00B74DFB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263A658D" w14:textId="77777777" w:rsidR="00B74DFB" w:rsidRPr="00670790" w:rsidRDefault="00B74DFB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2956943C" w14:textId="77777777" w:rsidR="00B74DFB" w:rsidRPr="00670790" w:rsidRDefault="00B74DFB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B74DFB" w:rsidRPr="00670790" w14:paraId="619994BE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vMerge/>
            <w:shd w:val="clear" w:color="auto" w:fill="FFFFFF"/>
          </w:tcPr>
          <w:p w14:paraId="7C61EC34" w14:textId="77777777" w:rsidR="00B74DFB" w:rsidRPr="00670790" w:rsidRDefault="00B74DFB" w:rsidP="006707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2018" w:type="dxa"/>
            <w:shd w:val="clear" w:color="auto" w:fill="FFFFFF"/>
          </w:tcPr>
          <w:p w14:paraId="53AF7782" w14:textId="77777777" w:rsidR="00B74DFB" w:rsidRPr="00670790" w:rsidRDefault="00B74DFB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0D88905E" w14:textId="77777777" w:rsidR="00B74DFB" w:rsidRPr="00670790" w:rsidRDefault="00B74DFB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gridSpan w:val="2"/>
            <w:shd w:val="clear" w:color="auto" w:fill="FFFFFF"/>
          </w:tcPr>
          <w:p w14:paraId="4B172D54" w14:textId="77777777" w:rsidR="00B74DFB" w:rsidRPr="00670790" w:rsidRDefault="00B74DFB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5332DEC9" w14:textId="77777777" w:rsidR="00B74DFB" w:rsidRPr="00670790" w:rsidRDefault="00B74DFB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DF345A" w:rsidRPr="00670790" w14:paraId="7540F6E0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5BEC210D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65"/>
              </w:tabs>
              <w:spacing w:before="0" w:after="120" w:line="240" w:lineRule="auto"/>
              <w:ind w:left="60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7.1.1.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Կլոր սեղանների, </w:t>
            </w:r>
            <w:r w:rsidR="001435A5" w:rsidRPr="00670790">
              <w:rPr>
                <w:rStyle w:val="Bodytext21"/>
                <w:rFonts w:ascii="Sylfaen" w:hAnsi="Sylfaen"/>
                <w:sz w:val="20"/>
                <w:szCs w:val="24"/>
              </w:rPr>
              <w:t>աշխատանքային խմբերի, խորհրդակցությունների կամ այլ միջոցառումների կազմակերպում՝ «մեկ պատուհանի» մեխանիզմի իրագործվող ազգային ծրագրերը գործնականում ցուցադրելու համար</w:t>
            </w:r>
          </w:p>
        </w:tc>
        <w:tc>
          <w:tcPr>
            <w:tcW w:w="2018" w:type="dxa"/>
            <w:shd w:val="clear" w:color="auto" w:fill="FFFFFF"/>
          </w:tcPr>
          <w:p w14:paraId="0CBCDC5F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445EEA86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0857F17F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30D84E4F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DF345A" w:rsidRPr="00670790" w14:paraId="5CDEC2CF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584BE8D5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09"/>
              </w:tabs>
              <w:spacing w:before="0" w:after="120" w:line="240" w:lineRule="auto"/>
              <w:ind w:left="60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7.1.2.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Բիզնես գործընթացների օպտիմալացման գործիքների քննարկման համար կլոր սեղանի </w:t>
            </w:r>
            <w:r w:rsidR="001435A5" w:rsidRPr="00670790">
              <w:rPr>
                <w:rStyle w:val="Bodytext21"/>
                <w:rFonts w:ascii="Sylfaen" w:hAnsi="Sylfaen"/>
                <w:sz w:val="20"/>
                <w:szCs w:val="24"/>
              </w:rPr>
              <w:t>անցկացում</w:t>
            </w:r>
          </w:p>
        </w:tc>
        <w:tc>
          <w:tcPr>
            <w:tcW w:w="2018" w:type="dxa"/>
            <w:shd w:val="clear" w:color="auto" w:fill="FFFFFF"/>
          </w:tcPr>
          <w:p w14:paraId="73301E26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180191CA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սեպտեմբեր</w:t>
            </w:r>
          </w:p>
        </w:tc>
        <w:tc>
          <w:tcPr>
            <w:tcW w:w="2395" w:type="dxa"/>
            <w:gridSpan w:val="2"/>
            <w:shd w:val="clear" w:color="auto" w:fill="FFFFFF"/>
          </w:tcPr>
          <w:p w14:paraId="0F42C123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58" w:type="dxa"/>
            <w:shd w:val="clear" w:color="auto" w:fill="FFFFFF"/>
          </w:tcPr>
          <w:p w14:paraId="0EF80B86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B74DFB" w:rsidRPr="00670790" w14:paraId="347C5211" w14:textId="77777777" w:rsidTr="00D970C6">
        <w:trPr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68E462B4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56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7.2.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Հիմնական ուղղությունների իրագործման մասով կատարված աշխատանքի վերաբերյալ հաշվետվությունների նախապատրաստում եւ հրապարակում</w:t>
            </w:r>
          </w:p>
        </w:tc>
        <w:tc>
          <w:tcPr>
            <w:tcW w:w="2018" w:type="dxa"/>
            <w:shd w:val="clear" w:color="auto" w:fill="FFFFFF"/>
          </w:tcPr>
          <w:p w14:paraId="1CAB75A0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7.2 կետ</w:t>
            </w:r>
          </w:p>
        </w:tc>
        <w:tc>
          <w:tcPr>
            <w:tcW w:w="2158" w:type="dxa"/>
            <w:shd w:val="clear" w:color="auto" w:fill="FFFFFF"/>
          </w:tcPr>
          <w:p w14:paraId="78CC339E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78" w:type="dxa"/>
            <w:shd w:val="clear" w:color="auto" w:fill="FFFFFF"/>
          </w:tcPr>
          <w:p w14:paraId="4CE532F4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  <w:tc>
          <w:tcPr>
            <w:tcW w:w="3283" w:type="dxa"/>
            <w:gridSpan w:val="3"/>
            <w:shd w:val="clear" w:color="auto" w:fill="FFFFFF"/>
          </w:tcPr>
          <w:p w14:paraId="0FE08C8A" w14:textId="77777777" w:rsidR="000960C3" w:rsidRPr="00670790" w:rsidRDefault="000960C3" w:rsidP="00670790">
            <w:pPr>
              <w:spacing w:after="12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B74DFB" w:rsidRPr="00670790" w14:paraId="5130B6A5" w14:textId="77777777" w:rsidTr="00D970C6">
        <w:trPr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2065180A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24"/>
              </w:tabs>
              <w:spacing w:before="0" w:after="120" w:line="240" w:lineRule="auto"/>
              <w:ind w:left="60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7.2.1.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Հիմնական ուղղությունների իրագործման հարցերով թեմատիկ տեղեկատվական ռեսուրսի զարգացում</w:t>
            </w:r>
            <w:r w:rsidR="0093007B" w:rsidRPr="00670790">
              <w:rPr>
                <w:rStyle w:val="Bodytext21"/>
                <w:rFonts w:ascii="Sylfaen" w:hAnsi="Sylfaen"/>
                <w:sz w:val="20"/>
                <w:szCs w:val="24"/>
              </w:rPr>
              <w:t>՝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Միության տեղեկատվական պորտալում</w:t>
            </w:r>
          </w:p>
        </w:tc>
        <w:tc>
          <w:tcPr>
            <w:tcW w:w="2018" w:type="dxa"/>
            <w:shd w:val="clear" w:color="auto" w:fill="FFFFFF"/>
          </w:tcPr>
          <w:p w14:paraId="61580482" w14:textId="77777777" w:rsidR="000960C3" w:rsidRPr="00670790" w:rsidRDefault="000960C3" w:rsidP="00670790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08B1D702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հունիս, դեկտեմբեր</w:t>
            </w:r>
          </w:p>
        </w:tc>
        <w:tc>
          <w:tcPr>
            <w:tcW w:w="2378" w:type="dxa"/>
            <w:shd w:val="clear" w:color="auto" w:fill="FFFFFF"/>
          </w:tcPr>
          <w:p w14:paraId="29920ACB" w14:textId="77777777" w:rsidR="000960C3" w:rsidRPr="00670790" w:rsidRDefault="002C0BEC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</w:t>
            </w:r>
          </w:p>
        </w:tc>
        <w:tc>
          <w:tcPr>
            <w:tcW w:w="3283" w:type="dxa"/>
            <w:gridSpan w:val="3"/>
            <w:shd w:val="clear" w:color="auto" w:fill="FFFFFF"/>
          </w:tcPr>
          <w:p w14:paraId="62B4E7E2" w14:textId="77777777" w:rsidR="000960C3" w:rsidRPr="00670790" w:rsidRDefault="004E5A7A" w:rsidP="00670790">
            <w:pPr>
              <w:pStyle w:val="Bodytext20"/>
              <w:shd w:val="clear" w:color="auto" w:fill="auto"/>
              <w:spacing w:before="0" w:after="12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</w:t>
            </w:r>
            <w:r w:rsidR="002C0BEC" w:rsidRPr="00670790">
              <w:rPr>
                <w:rStyle w:val="Bodytext21"/>
                <w:rFonts w:ascii="Sylfaen" w:hAnsi="Sylfaen"/>
                <w:sz w:val="20"/>
                <w:szCs w:val="24"/>
              </w:rPr>
              <w:t>իմնական ուղղությունների իրագործման հարցերով թեմատիկ տեղեկատվական ռեսուրս</w:t>
            </w:r>
            <w:r w:rsidR="0093007B" w:rsidRPr="00670790">
              <w:rPr>
                <w:rStyle w:val="Bodytext21"/>
                <w:rFonts w:ascii="Sylfaen" w:hAnsi="Sylfaen"/>
                <w:sz w:val="20"/>
                <w:szCs w:val="24"/>
              </w:rPr>
              <w:t>՝</w:t>
            </w:r>
            <w:r w:rsidR="002C0BEC"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Միության տեղեկատվական պորտալում</w:t>
            </w:r>
          </w:p>
        </w:tc>
      </w:tr>
      <w:tr w:rsidR="00B74DFB" w:rsidRPr="00670790" w14:paraId="437D2A67" w14:textId="77777777" w:rsidTr="00D970C6">
        <w:trPr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54DBC735" w14:textId="77777777" w:rsidR="000960C3" w:rsidRPr="00670790" w:rsidRDefault="00D970C6" w:rsidP="00D970C6">
            <w:pPr>
              <w:pStyle w:val="Bodytext20"/>
              <w:shd w:val="clear" w:color="auto" w:fill="auto"/>
              <w:tabs>
                <w:tab w:val="left" w:pos="554"/>
              </w:tabs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>
              <w:rPr>
                <w:rStyle w:val="Bodytext21"/>
                <w:rFonts w:ascii="Sylfaen" w:hAnsi="Sylfaen"/>
                <w:sz w:val="20"/>
                <w:szCs w:val="24"/>
              </w:rPr>
              <w:t>7.3.</w:t>
            </w:r>
            <w:r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="002C0BEC" w:rsidRPr="00670790">
              <w:rPr>
                <w:rStyle w:val="Bodytext21"/>
                <w:rFonts w:ascii="Sylfaen" w:hAnsi="Sylfaen"/>
                <w:sz w:val="20"/>
                <w:szCs w:val="24"/>
              </w:rPr>
              <w:t>Աշխատանքային խմբի նիստերի կազմակերպում</w:t>
            </w:r>
          </w:p>
        </w:tc>
        <w:tc>
          <w:tcPr>
            <w:tcW w:w="2018" w:type="dxa"/>
            <w:shd w:val="clear" w:color="auto" w:fill="FFFFFF"/>
          </w:tcPr>
          <w:p w14:paraId="0E763258" w14:textId="77777777" w:rsidR="000960C3" w:rsidRPr="00670790" w:rsidRDefault="000960C3" w:rsidP="00D970C6">
            <w:pPr>
              <w:spacing w:after="4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677617A2" w14:textId="77777777" w:rsidR="000960C3" w:rsidRPr="00670790" w:rsidRDefault="000960C3" w:rsidP="00D970C6">
            <w:pPr>
              <w:spacing w:after="4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78" w:type="dxa"/>
            <w:shd w:val="clear" w:color="auto" w:fill="FFFFFF"/>
          </w:tcPr>
          <w:p w14:paraId="38758E80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*</w:t>
            </w:r>
          </w:p>
        </w:tc>
        <w:tc>
          <w:tcPr>
            <w:tcW w:w="3283" w:type="dxa"/>
            <w:gridSpan w:val="3"/>
            <w:shd w:val="clear" w:color="auto" w:fill="FFFFFF"/>
          </w:tcPr>
          <w:p w14:paraId="10E88684" w14:textId="77777777" w:rsidR="000960C3" w:rsidRPr="00670790" w:rsidRDefault="000960C3" w:rsidP="00D970C6">
            <w:pPr>
              <w:spacing w:after="40"/>
              <w:ind w:left="109" w:right="124"/>
              <w:rPr>
                <w:rFonts w:ascii="Sylfaen" w:hAnsi="Sylfaen" w:cs="Sylfaen"/>
                <w:sz w:val="20"/>
              </w:rPr>
            </w:pPr>
          </w:p>
        </w:tc>
      </w:tr>
      <w:tr w:rsidR="00B74DFB" w:rsidRPr="00670790" w14:paraId="62E935FE" w14:textId="77777777" w:rsidTr="00D970C6">
        <w:trPr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33D090F4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09"/>
              </w:tabs>
              <w:spacing w:before="0" w:after="40" w:line="240" w:lineRule="auto"/>
              <w:ind w:left="60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7.3.1.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Համակարգող խորհրդի կազմում աշխատանքային խմբի նիստեր</w:t>
            </w:r>
          </w:p>
        </w:tc>
        <w:tc>
          <w:tcPr>
            <w:tcW w:w="2018" w:type="dxa"/>
            <w:shd w:val="clear" w:color="auto" w:fill="FFFFFF"/>
          </w:tcPr>
          <w:p w14:paraId="6355AAD1" w14:textId="77777777" w:rsidR="000960C3" w:rsidRPr="00670790" w:rsidRDefault="000960C3" w:rsidP="00D970C6">
            <w:pPr>
              <w:spacing w:after="4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68870D62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78" w:type="dxa"/>
            <w:shd w:val="clear" w:color="auto" w:fill="FFFFFF"/>
          </w:tcPr>
          <w:p w14:paraId="2019534D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83" w:type="dxa"/>
            <w:gridSpan w:val="3"/>
            <w:shd w:val="clear" w:color="auto" w:fill="FFFFFF"/>
          </w:tcPr>
          <w:p w14:paraId="069D7DA1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նիստերի արձանագրություններ</w:t>
            </w:r>
          </w:p>
        </w:tc>
      </w:tr>
      <w:tr w:rsidR="00B74DFB" w:rsidRPr="00670790" w14:paraId="0E3247E5" w14:textId="77777777" w:rsidTr="00D970C6">
        <w:trPr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27C94D6E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09"/>
              </w:tabs>
              <w:spacing w:before="0" w:after="40" w:line="240" w:lineRule="auto"/>
              <w:ind w:left="60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7.3.2.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Առանձին թեմատիկ բլոկների կազմում աշխատանքային խմբի նիստեր</w:t>
            </w:r>
          </w:p>
        </w:tc>
        <w:tc>
          <w:tcPr>
            <w:tcW w:w="2018" w:type="dxa"/>
            <w:shd w:val="clear" w:color="auto" w:fill="FFFFFF"/>
          </w:tcPr>
          <w:p w14:paraId="70AC4DF9" w14:textId="77777777" w:rsidR="000960C3" w:rsidRPr="00670790" w:rsidRDefault="000960C3" w:rsidP="00D970C6">
            <w:pPr>
              <w:spacing w:after="4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1D384192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յուրաքանչյուր եռամսյակ</w:t>
            </w:r>
          </w:p>
        </w:tc>
        <w:tc>
          <w:tcPr>
            <w:tcW w:w="2378" w:type="dxa"/>
            <w:shd w:val="clear" w:color="auto" w:fill="FFFFFF"/>
          </w:tcPr>
          <w:p w14:paraId="1238381D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83" w:type="dxa"/>
            <w:gridSpan w:val="3"/>
            <w:shd w:val="clear" w:color="auto" w:fill="FFFFFF"/>
          </w:tcPr>
          <w:p w14:paraId="11CD5B3F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նիստերի արձանագրություններ</w:t>
            </w:r>
          </w:p>
        </w:tc>
      </w:tr>
      <w:tr w:rsidR="00B74DFB" w:rsidRPr="00670790" w14:paraId="5FFC46A6" w14:textId="77777777" w:rsidTr="00D970C6">
        <w:trPr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39FCE506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1109"/>
              </w:tabs>
              <w:spacing w:before="0" w:after="40" w:line="240" w:lineRule="auto"/>
              <w:ind w:left="59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7.3.3.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Փաստաթղթերը էլեկտրոնային տարբերակով ձ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ակերպելու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օգտագործելու հարցով Հանձնաժողովի մասնագիտական դեպարտամենտների համար խորհրդատվությունների </w:t>
            </w:r>
            <w:r w:rsidR="00EC541A" w:rsidRPr="00670790">
              <w:rPr>
                <w:rStyle w:val="Bodytext21"/>
                <w:rFonts w:ascii="Sylfaen" w:hAnsi="Sylfaen"/>
                <w:sz w:val="20"/>
                <w:szCs w:val="24"/>
              </w:rPr>
              <w:t>անցկացում</w:t>
            </w:r>
          </w:p>
        </w:tc>
        <w:tc>
          <w:tcPr>
            <w:tcW w:w="2018" w:type="dxa"/>
            <w:shd w:val="clear" w:color="auto" w:fill="FFFFFF"/>
          </w:tcPr>
          <w:p w14:paraId="35EADFF0" w14:textId="77777777" w:rsidR="000960C3" w:rsidRPr="00670790" w:rsidRDefault="000960C3" w:rsidP="00D970C6">
            <w:pPr>
              <w:spacing w:after="4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0E9DBBFA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մեկ տարվա ընթացքում</w:t>
            </w:r>
          </w:p>
        </w:tc>
        <w:tc>
          <w:tcPr>
            <w:tcW w:w="2378" w:type="dxa"/>
            <w:shd w:val="clear" w:color="auto" w:fill="FFFFFF"/>
          </w:tcPr>
          <w:p w14:paraId="54412BBA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</w:t>
            </w:r>
          </w:p>
        </w:tc>
        <w:tc>
          <w:tcPr>
            <w:tcW w:w="3283" w:type="dxa"/>
            <w:gridSpan w:val="3"/>
            <w:shd w:val="clear" w:color="auto" w:fill="FFFFFF"/>
          </w:tcPr>
          <w:p w14:paraId="63376A77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նիստերի արձանագրություններ, «Փաստաթղթերը էլեկտրոնային տարբերակով ձ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ակերպելը </w:t>
            </w:r>
            <w:r w:rsidR="00670790" w:rsidRPr="00670790">
              <w:rPr>
                <w:rStyle w:val="Bodytext21"/>
                <w:rFonts w:ascii="Sylfaen" w:hAnsi="Sylfaen"/>
                <w:sz w:val="20"/>
                <w:szCs w:val="24"/>
              </w:rPr>
              <w:t>եւ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օգտագործելը» թեմայով </w:t>
            </w:r>
            <w:r w:rsidR="00A37565" w:rsidRPr="00670790">
              <w:rPr>
                <w:rStyle w:val="Bodytext21"/>
                <w:rFonts w:ascii="Sylfaen" w:hAnsi="Sylfaen"/>
                <w:sz w:val="20"/>
                <w:szCs w:val="24"/>
              </w:rPr>
              <w:t>շնորհանդես</w:t>
            </w:r>
          </w:p>
        </w:tc>
      </w:tr>
      <w:tr w:rsidR="00B74DFB" w:rsidRPr="00670790" w14:paraId="4450EFB1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6C2F2BF6" w14:textId="77777777" w:rsidR="000960C3" w:rsidRPr="00670790" w:rsidRDefault="002C0BEC" w:rsidP="00D970C6">
            <w:pPr>
              <w:pStyle w:val="Bodytext20"/>
              <w:shd w:val="clear" w:color="auto" w:fill="auto"/>
              <w:tabs>
                <w:tab w:val="left" w:pos="539"/>
              </w:tabs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7.4.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Միջոցառումների պլանի կատարման հարցերով աշխատանքային խմբի աշխատանքի պլանի նախապատրաստում</w:t>
            </w:r>
          </w:p>
        </w:tc>
        <w:tc>
          <w:tcPr>
            <w:tcW w:w="2018" w:type="dxa"/>
            <w:shd w:val="clear" w:color="auto" w:fill="FFFFFF"/>
          </w:tcPr>
          <w:p w14:paraId="68B67E84" w14:textId="77777777" w:rsidR="000960C3" w:rsidRPr="00670790" w:rsidRDefault="000960C3" w:rsidP="00D970C6">
            <w:pPr>
              <w:spacing w:after="4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3C207B6D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hուլիս</w:t>
            </w:r>
          </w:p>
        </w:tc>
        <w:tc>
          <w:tcPr>
            <w:tcW w:w="2378" w:type="dxa"/>
            <w:shd w:val="clear" w:color="auto" w:fill="FFFFFF"/>
          </w:tcPr>
          <w:p w14:paraId="452BC689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75" w:type="dxa"/>
            <w:gridSpan w:val="2"/>
            <w:shd w:val="clear" w:color="auto" w:fill="FFFFFF"/>
          </w:tcPr>
          <w:p w14:paraId="3B6C499D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աշխատանքային խմբի աշխատանք</w:t>
            </w:r>
            <w:r w:rsidR="00EC541A" w:rsidRPr="00670790">
              <w:rPr>
                <w:rStyle w:val="Bodytext21"/>
                <w:rFonts w:ascii="Sylfaen" w:hAnsi="Sylfaen"/>
                <w:sz w:val="20"/>
                <w:szCs w:val="24"/>
              </w:rPr>
              <w:t>ի</w:t>
            </w: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 xml:space="preserve"> պլան</w:t>
            </w:r>
          </w:p>
        </w:tc>
      </w:tr>
      <w:tr w:rsidR="00B74DFB" w:rsidRPr="00670790" w14:paraId="7EEFEBAB" w14:textId="77777777" w:rsidTr="00D970C6">
        <w:trPr>
          <w:gridAfter w:val="1"/>
          <w:wAfter w:w="8" w:type="dxa"/>
          <w:jc w:val="center"/>
        </w:trPr>
        <w:tc>
          <w:tcPr>
            <w:tcW w:w="4815" w:type="dxa"/>
            <w:gridSpan w:val="2"/>
            <w:shd w:val="clear" w:color="auto" w:fill="FFFFFF"/>
          </w:tcPr>
          <w:p w14:paraId="7008231A" w14:textId="77777777" w:rsidR="000960C3" w:rsidRPr="00670790" w:rsidRDefault="00EC541A" w:rsidP="00D970C6">
            <w:pPr>
              <w:pStyle w:val="Bodytext20"/>
              <w:shd w:val="clear" w:color="auto" w:fill="auto"/>
              <w:tabs>
                <w:tab w:val="left" w:pos="539"/>
              </w:tabs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7</w:t>
            </w:r>
            <w:r w:rsidR="002C0BEC" w:rsidRPr="00670790">
              <w:rPr>
                <w:rStyle w:val="Bodytext21"/>
                <w:rFonts w:ascii="Sylfaen" w:hAnsi="Sylfaen"/>
                <w:sz w:val="20"/>
                <w:szCs w:val="24"/>
              </w:rPr>
              <w:t>.5.</w:t>
            </w:r>
            <w:r w:rsidR="00D970C6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="002C0BEC" w:rsidRPr="00670790">
              <w:rPr>
                <w:rStyle w:val="Bodytext21"/>
                <w:rFonts w:ascii="Sylfaen" w:hAnsi="Sylfaen"/>
                <w:sz w:val="20"/>
                <w:szCs w:val="24"/>
              </w:rPr>
              <w:t>Միջոցառումների պլանի կատարման 2020 թվականի մանրամասնեցված պլանի նախագծի նախապատրաստում</w:t>
            </w:r>
          </w:p>
        </w:tc>
        <w:tc>
          <w:tcPr>
            <w:tcW w:w="2018" w:type="dxa"/>
            <w:shd w:val="clear" w:color="auto" w:fill="FFFFFF"/>
          </w:tcPr>
          <w:p w14:paraId="0337996E" w14:textId="77777777" w:rsidR="000960C3" w:rsidRPr="00670790" w:rsidRDefault="000960C3" w:rsidP="00D970C6">
            <w:pPr>
              <w:spacing w:after="4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158" w:type="dxa"/>
            <w:shd w:val="clear" w:color="auto" w:fill="FFFFFF"/>
          </w:tcPr>
          <w:p w14:paraId="0705C38B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378" w:type="dxa"/>
            <w:shd w:val="clear" w:color="auto" w:fill="FFFFFF"/>
          </w:tcPr>
          <w:p w14:paraId="032B4FEB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275" w:type="dxa"/>
            <w:gridSpan w:val="2"/>
            <w:shd w:val="clear" w:color="auto" w:fill="FFFFFF"/>
          </w:tcPr>
          <w:p w14:paraId="2FA5991E" w14:textId="77777777" w:rsidR="000960C3" w:rsidRPr="00670790" w:rsidRDefault="002C0BEC" w:rsidP="00D970C6">
            <w:pPr>
              <w:pStyle w:val="Bodytext20"/>
              <w:shd w:val="clear" w:color="auto" w:fill="auto"/>
              <w:spacing w:before="0" w:after="40" w:line="240" w:lineRule="auto"/>
              <w:ind w:left="109" w:right="12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670790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</w:tbl>
    <w:p w14:paraId="5530EBEA" w14:textId="77777777" w:rsidR="000960C3" w:rsidRDefault="000960C3" w:rsidP="00D970C6">
      <w:pPr>
        <w:spacing w:after="40" w:line="360" w:lineRule="auto"/>
        <w:jc w:val="both"/>
        <w:rPr>
          <w:rFonts w:ascii="Sylfaen" w:hAnsi="Sylfaen" w:cs="Sylfaen"/>
        </w:rPr>
      </w:pPr>
    </w:p>
    <w:p w14:paraId="50D76652" w14:textId="77777777" w:rsidR="00D970C6" w:rsidRPr="00D970C6" w:rsidRDefault="00670790" w:rsidP="00670790">
      <w:pPr>
        <w:tabs>
          <w:tab w:val="left" w:pos="567"/>
        </w:tabs>
        <w:spacing w:after="160" w:line="360" w:lineRule="auto"/>
        <w:jc w:val="both"/>
        <w:rPr>
          <w:rFonts w:ascii="Sylfaen" w:hAnsi="Sylfaen"/>
          <w:sz w:val="20"/>
        </w:rPr>
      </w:pPr>
      <w:r w:rsidRPr="00670790">
        <w:rPr>
          <w:rFonts w:ascii="Sylfaen" w:hAnsi="Sylfaen"/>
          <w:sz w:val="20"/>
        </w:rPr>
        <w:sym w:font="Symbol" w:char="F02A"/>
      </w:r>
      <w:r w:rsidRPr="00670790">
        <w:rPr>
          <w:rFonts w:ascii="Sylfaen" w:hAnsi="Sylfaen"/>
          <w:sz w:val="20"/>
        </w:rPr>
        <w:tab/>
        <w:t>Նշվում է Եվրասիական տնտեսական բարձրագույն խորհրդի 2015 թվականի մայիսի 8-ի թիվ 19 որոշմամբ հաստատված՝ Արտաքին տնտեսական գործունեության կարգավորման համակարգում «մեկ պատուհանի» մեխանիզմի զարգացման հիմնական ուղղությունների իրագործման միջոցառումների պլանում միջոցառումների ցանկի (XII բաժին) կետը:</w:t>
      </w:r>
    </w:p>
    <w:sectPr w:rsidR="00D970C6" w:rsidRPr="00D970C6" w:rsidSect="007A3104">
      <w:footerReference w:type="default" r:id="rId7"/>
      <w:pgSz w:w="16840" w:h="11907" w:orient="landscape" w:code="9"/>
      <w:pgMar w:top="1418" w:right="1418" w:bottom="1418" w:left="1418" w:header="0" w:footer="81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36A6E" w14:textId="77777777" w:rsidR="00B51F68" w:rsidRDefault="00B51F68" w:rsidP="000960C3">
      <w:r>
        <w:separator/>
      </w:r>
    </w:p>
  </w:endnote>
  <w:endnote w:type="continuationSeparator" w:id="0">
    <w:p w14:paraId="2D8D2F2E" w14:textId="77777777" w:rsidR="00B51F68" w:rsidRDefault="00B51F68" w:rsidP="0009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2842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3671DC60" w14:textId="77777777" w:rsidR="007A3104" w:rsidRPr="007A3104" w:rsidRDefault="00F21AD6" w:rsidP="007A3104">
        <w:pPr>
          <w:pStyle w:val="Footer"/>
          <w:jc w:val="center"/>
          <w:rPr>
            <w:rFonts w:ascii="Sylfaen" w:hAnsi="Sylfaen"/>
          </w:rPr>
        </w:pPr>
        <w:r w:rsidRPr="007A3104">
          <w:rPr>
            <w:rFonts w:ascii="Sylfaen" w:hAnsi="Sylfaen"/>
          </w:rPr>
          <w:fldChar w:fldCharType="begin"/>
        </w:r>
        <w:r w:rsidR="007A3104" w:rsidRPr="007A3104">
          <w:rPr>
            <w:rFonts w:ascii="Sylfaen" w:hAnsi="Sylfaen"/>
          </w:rPr>
          <w:instrText xml:space="preserve"> PAGE   \* MERGEFORMAT </w:instrText>
        </w:r>
        <w:r w:rsidRPr="007A3104">
          <w:rPr>
            <w:rFonts w:ascii="Sylfaen" w:hAnsi="Sylfaen"/>
          </w:rPr>
          <w:fldChar w:fldCharType="separate"/>
        </w:r>
        <w:r w:rsidR="007F3ED3">
          <w:rPr>
            <w:rFonts w:ascii="Sylfaen" w:hAnsi="Sylfaen"/>
            <w:noProof/>
          </w:rPr>
          <w:t>4</w:t>
        </w:r>
        <w:r w:rsidRPr="007A3104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5D74F" w14:textId="77777777" w:rsidR="00B51F68" w:rsidRDefault="00B51F68"/>
  </w:footnote>
  <w:footnote w:type="continuationSeparator" w:id="0">
    <w:p w14:paraId="3FD7C4AF" w14:textId="77777777" w:rsidR="00B51F68" w:rsidRDefault="00B51F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0C3"/>
    <w:rsid w:val="00086AF2"/>
    <w:rsid w:val="000960C3"/>
    <w:rsid w:val="000D65CA"/>
    <w:rsid w:val="001435A5"/>
    <w:rsid w:val="0016228B"/>
    <w:rsid w:val="00185D9F"/>
    <w:rsid w:val="001D481D"/>
    <w:rsid w:val="00286507"/>
    <w:rsid w:val="00291768"/>
    <w:rsid w:val="002C0BEC"/>
    <w:rsid w:val="00393339"/>
    <w:rsid w:val="00415C98"/>
    <w:rsid w:val="00496D43"/>
    <w:rsid w:val="004D69FC"/>
    <w:rsid w:val="004E5A7A"/>
    <w:rsid w:val="004F1846"/>
    <w:rsid w:val="004F4A35"/>
    <w:rsid w:val="005430B2"/>
    <w:rsid w:val="005445B5"/>
    <w:rsid w:val="00572F41"/>
    <w:rsid w:val="00595F12"/>
    <w:rsid w:val="005B7813"/>
    <w:rsid w:val="006003A4"/>
    <w:rsid w:val="00620FF0"/>
    <w:rsid w:val="00670790"/>
    <w:rsid w:val="00671106"/>
    <w:rsid w:val="006A5164"/>
    <w:rsid w:val="00746C29"/>
    <w:rsid w:val="00771DF3"/>
    <w:rsid w:val="007A3104"/>
    <w:rsid w:val="007F3ED3"/>
    <w:rsid w:val="00803EB8"/>
    <w:rsid w:val="00810818"/>
    <w:rsid w:val="00841F16"/>
    <w:rsid w:val="008B2D7F"/>
    <w:rsid w:val="008F25CB"/>
    <w:rsid w:val="00911952"/>
    <w:rsid w:val="00911B18"/>
    <w:rsid w:val="00912F81"/>
    <w:rsid w:val="00924BF6"/>
    <w:rsid w:val="0093007B"/>
    <w:rsid w:val="00943A19"/>
    <w:rsid w:val="0094426B"/>
    <w:rsid w:val="00951065"/>
    <w:rsid w:val="009E1198"/>
    <w:rsid w:val="00A37565"/>
    <w:rsid w:val="00A43434"/>
    <w:rsid w:val="00A61302"/>
    <w:rsid w:val="00A64122"/>
    <w:rsid w:val="00A94AC0"/>
    <w:rsid w:val="00AC3A0B"/>
    <w:rsid w:val="00B51F68"/>
    <w:rsid w:val="00B64AF4"/>
    <w:rsid w:val="00B74DFB"/>
    <w:rsid w:val="00BC3778"/>
    <w:rsid w:val="00C47B7D"/>
    <w:rsid w:val="00CD2ACE"/>
    <w:rsid w:val="00D518DE"/>
    <w:rsid w:val="00D65C86"/>
    <w:rsid w:val="00D849A6"/>
    <w:rsid w:val="00D970C6"/>
    <w:rsid w:val="00DE48AC"/>
    <w:rsid w:val="00DE79D4"/>
    <w:rsid w:val="00DF345A"/>
    <w:rsid w:val="00E51840"/>
    <w:rsid w:val="00EC541A"/>
    <w:rsid w:val="00F0214B"/>
    <w:rsid w:val="00F21AD6"/>
    <w:rsid w:val="00FB1BA9"/>
    <w:rsid w:val="00FB3CBC"/>
    <w:rsid w:val="00FB41D7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8DC6"/>
  <w15:docId w15:val="{790FA230-C8E1-4360-B3CA-7905BB6E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60C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60C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96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96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2">
    <w:name w:val="Table caption (2)_"/>
    <w:basedOn w:val="DefaultParagraphFont"/>
    <w:link w:val="Tablecaption20"/>
    <w:rsid w:val="00096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096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96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096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096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096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">
    <w:name w:val="Body text (2) + 14 pt"/>
    <w:aliases w:val="Bold"/>
    <w:basedOn w:val="Bodytext2"/>
    <w:rsid w:val="00096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96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096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0960C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960C3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0960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0960C3"/>
    <w:pPr>
      <w:shd w:val="clear" w:color="auto" w:fill="FFFFFF"/>
      <w:spacing w:before="12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0960C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0960C3"/>
    <w:pPr>
      <w:shd w:val="clear" w:color="auto" w:fill="FFFFFF"/>
      <w:spacing w:line="281" w:lineRule="exact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46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7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3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10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3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6ED7F-B14E-4A14-A586-609367E9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Inga Hakobyan</cp:lastModifiedBy>
  <cp:revision>50</cp:revision>
  <dcterms:created xsi:type="dcterms:W3CDTF">2019-08-21T10:54:00Z</dcterms:created>
  <dcterms:modified xsi:type="dcterms:W3CDTF">2022-08-01T12:01:00Z</dcterms:modified>
</cp:coreProperties>
</file>