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5D" w:rsidRPr="00234538" w:rsidRDefault="00F35298" w:rsidP="00817A4C">
      <w:pPr>
        <w:pStyle w:val="a0"/>
        <w:shd w:val="clear" w:color="auto" w:fill="auto"/>
        <w:spacing w:after="160"/>
        <w:ind w:left="4820" w:right="-8" w:firstLine="0"/>
        <w:jc w:val="center"/>
        <w:rPr>
          <w:rFonts w:ascii="Sylfaen" w:hAnsi="Sylfaen" w:cs="Sylfaen"/>
          <w:sz w:val="24"/>
          <w:szCs w:val="24"/>
        </w:rPr>
      </w:pPr>
      <w:r w:rsidRPr="00234538">
        <w:rPr>
          <w:rFonts w:ascii="Sylfaen" w:hAnsi="Sylfaen"/>
          <w:sz w:val="24"/>
          <w:szCs w:val="24"/>
        </w:rPr>
        <w:t>ՀԱՍՏԱՏՎԱԾ Է</w:t>
      </w:r>
    </w:p>
    <w:p w:rsidR="00292E5D" w:rsidRPr="00234538" w:rsidRDefault="00F35298" w:rsidP="00817A4C">
      <w:pPr>
        <w:pStyle w:val="a0"/>
        <w:shd w:val="clear" w:color="auto" w:fill="auto"/>
        <w:spacing w:after="160"/>
        <w:ind w:left="4820" w:right="-8" w:firstLine="0"/>
        <w:jc w:val="center"/>
        <w:rPr>
          <w:rFonts w:ascii="Sylfaen" w:hAnsi="Sylfaen" w:cs="Sylfaen"/>
          <w:sz w:val="24"/>
          <w:szCs w:val="24"/>
        </w:rPr>
      </w:pPr>
      <w:r w:rsidRPr="00234538">
        <w:rPr>
          <w:rFonts w:ascii="Sylfaen" w:hAnsi="Sylfaen"/>
          <w:sz w:val="24"/>
          <w:szCs w:val="24"/>
        </w:rPr>
        <w:t>Եվրասիական մ</w:t>
      </w:r>
      <w:bookmarkStart w:id="0" w:name="_GoBack"/>
      <w:bookmarkEnd w:id="0"/>
      <w:r w:rsidRPr="00234538">
        <w:rPr>
          <w:rFonts w:ascii="Sylfaen" w:hAnsi="Sylfaen"/>
          <w:sz w:val="24"/>
          <w:szCs w:val="24"/>
        </w:rPr>
        <w:t>իջկառավարական խորհրդի</w:t>
      </w:r>
      <w:r w:rsidR="009B0063">
        <w:rPr>
          <w:rFonts w:ascii="Sylfaen" w:hAnsi="Sylfaen" w:cs="Sylfaen"/>
          <w:sz w:val="24"/>
          <w:szCs w:val="24"/>
        </w:rPr>
        <w:br/>
      </w:r>
      <w:r w:rsidR="009B0063">
        <w:rPr>
          <w:rFonts w:ascii="Sylfaen" w:hAnsi="Sylfaen"/>
          <w:sz w:val="24"/>
          <w:szCs w:val="24"/>
        </w:rPr>
        <w:tab/>
      </w:r>
      <w:r w:rsidRPr="00234538">
        <w:rPr>
          <w:rFonts w:ascii="Sylfaen" w:hAnsi="Sylfaen"/>
          <w:sz w:val="24"/>
          <w:szCs w:val="24"/>
        </w:rPr>
        <w:t>թվականի թիվ</w:t>
      </w:r>
      <w:r w:rsidR="009B0063">
        <w:rPr>
          <w:rFonts w:ascii="Sylfaen" w:hAnsi="Sylfaen"/>
          <w:sz w:val="24"/>
          <w:szCs w:val="24"/>
        </w:rPr>
        <w:tab/>
      </w:r>
      <w:r w:rsidRPr="00234538">
        <w:rPr>
          <w:rFonts w:ascii="Sylfaen" w:hAnsi="Sylfaen"/>
          <w:sz w:val="24"/>
          <w:szCs w:val="24"/>
        </w:rPr>
        <w:t>որոշմամբ</w:t>
      </w:r>
    </w:p>
    <w:p w:rsidR="00977195" w:rsidRPr="00234538" w:rsidRDefault="00977195" w:rsidP="00234538">
      <w:pPr>
        <w:pStyle w:val="40"/>
        <w:shd w:val="clear" w:color="auto" w:fill="auto"/>
        <w:spacing w:after="160" w:line="360" w:lineRule="auto"/>
        <w:rPr>
          <w:rFonts w:ascii="Sylfaen" w:hAnsi="Sylfaen" w:cs="Sylfaen"/>
          <w:sz w:val="24"/>
          <w:szCs w:val="24"/>
        </w:rPr>
      </w:pPr>
    </w:p>
    <w:p w:rsidR="00977195" w:rsidRPr="00234538" w:rsidRDefault="00F35298" w:rsidP="00234538">
      <w:pPr>
        <w:pStyle w:val="40"/>
        <w:shd w:val="clear" w:color="auto" w:fill="auto"/>
        <w:spacing w:after="160" w:line="360" w:lineRule="auto"/>
        <w:rPr>
          <w:rFonts w:ascii="Sylfaen" w:hAnsi="Sylfaen" w:cs="Sylfaen"/>
          <w:sz w:val="24"/>
          <w:szCs w:val="24"/>
        </w:rPr>
      </w:pPr>
      <w:r w:rsidRPr="00234538">
        <w:rPr>
          <w:rFonts w:ascii="Sylfaen" w:hAnsi="Sylfaen"/>
          <w:sz w:val="24"/>
          <w:szCs w:val="24"/>
        </w:rPr>
        <w:t>ՀԱՅԵՑԱԿԱՐԳ</w:t>
      </w:r>
    </w:p>
    <w:p w:rsidR="00292E5D" w:rsidRPr="00234538" w:rsidRDefault="00F35298" w:rsidP="00234538">
      <w:pPr>
        <w:pStyle w:val="40"/>
        <w:shd w:val="clear" w:color="auto" w:fill="auto"/>
        <w:spacing w:after="160" w:line="360" w:lineRule="auto"/>
        <w:rPr>
          <w:rFonts w:ascii="Sylfaen" w:hAnsi="Sylfaen" w:cs="Sylfaen"/>
          <w:sz w:val="24"/>
          <w:szCs w:val="24"/>
        </w:rPr>
      </w:pPr>
      <w:r w:rsidRPr="00234538">
        <w:rPr>
          <w:rFonts w:ascii="Sylfaen" w:hAnsi="Sylfaen"/>
          <w:sz w:val="24"/>
          <w:szCs w:val="24"/>
        </w:rPr>
        <w:t>անդրսահմանային տեղեկատվական փոխգործակցության</w:t>
      </w:r>
    </w:p>
    <w:p w:rsidR="00977195" w:rsidRPr="00234538" w:rsidRDefault="00977195" w:rsidP="00234538">
      <w:pPr>
        <w:pStyle w:val="a0"/>
        <w:shd w:val="clear" w:color="auto" w:fill="auto"/>
        <w:spacing w:after="160"/>
        <w:ind w:firstLine="0"/>
        <w:jc w:val="center"/>
        <w:rPr>
          <w:rFonts w:ascii="Sylfaen" w:hAnsi="Sylfaen" w:cs="Sylfaen"/>
          <w:sz w:val="24"/>
          <w:szCs w:val="24"/>
        </w:rPr>
      </w:pPr>
    </w:p>
    <w:p w:rsidR="00292E5D" w:rsidRPr="00234538" w:rsidRDefault="00F35298" w:rsidP="00234538">
      <w:pPr>
        <w:pStyle w:val="a0"/>
        <w:shd w:val="clear" w:color="auto" w:fill="auto"/>
        <w:spacing w:after="160"/>
        <w:ind w:firstLine="0"/>
        <w:jc w:val="center"/>
        <w:rPr>
          <w:rFonts w:ascii="Sylfaen" w:hAnsi="Sylfaen" w:cs="Sylfaen"/>
          <w:sz w:val="24"/>
          <w:szCs w:val="24"/>
        </w:rPr>
      </w:pPr>
      <w:r w:rsidRPr="00234538">
        <w:rPr>
          <w:rFonts w:ascii="Sylfaen" w:hAnsi="Sylfaen"/>
          <w:sz w:val="24"/>
          <w:szCs w:val="24"/>
        </w:rPr>
        <w:t>I. Ընդհանուր դրույթներ</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w:t>
      </w:r>
      <w:r w:rsidR="00B173D1">
        <w:rPr>
          <w:rFonts w:ascii="Sylfaen" w:hAnsi="Sylfaen"/>
          <w:sz w:val="24"/>
          <w:szCs w:val="24"/>
        </w:rPr>
        <w:tab/>
      </w:r>
      <w:r w:rsidRPr="00234538">
        <w:rPr>
          <w:rFonts w:ascii="Sylfaen" w:hAnsi="Sylfaen"/>
          <w:sz w:val="24"/>
          <w:szCs w:val="24"/>
        </w:rPr>
        <w:t xml:space="preserve">Եվրասիական տնտեսական միության (այսուհետ՝ Միություն) շրջանակներում տեղեկատվական փոխգործակցությունը կարգավորվում է «Եվրասիական տնտեսական միության մասին» 2014 թվականի մայիսի 29-ի պայմանագրի 23-րդ հոդվածով: Միության շրջանակներում տեղեկատվական փոխգործակցության </w:t>
      </w:r>
      <w:r w:rsidR="009B0063">
        <w:rPr>
          <w:rFonts w:ascii="Sylfaen" w:hAnsi="Sylfaen"/>
          <w:sz w:val="24"/>
          <w:szCs w:val="24"/>
        </w:rPr>
        <w:t>եւ</w:t>
      </w:r>
      <w:r w:rsidRPr="00234538">
        <w:rPr>
          <w:rFonts w:ascii="Sylfaen" w:hAnsi="Sylfaen"/>
          <w:sz w:val="24"/>
          <w:szCs w:val="24"/>
        </w:rPr>
        <w:t xml:space="preserve"> դրա իրականացումը համակարգելու հիմնարար սկզբունքները սահմանվում են «Եվրասիական տնտեսական միության շրջանակներում տեղեկատվական-հաղորդակցական տեխնոլոգիաների եւ տեղեկատվական փոխգործակցության մասին» արձանագրությանը (նշված պայմանագրի թիվ 3 հավելված) համապատասխան:</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w:t>
      </w:r>
      <w:r w:rsidR="00B173D1">
        <w:rPr>
          <w:rFonts w:ascii="Sylfaen" w:hAnsi="Sylfaen"/>
          <w:sz w:val="24"/>
          <w:szCs w:val="24"/>
        </w:rPr>
        <w:tab/>
      </w:r>
      <w:r w:rsidRPr="00234538">
        <w:rPr>
          <w:rFonts w:ascii="Sylfaen" w:hAnsi="Sylfaen"/>
          <w:sz w:val="24"/>
          <w:szCs w:val="24"/>
        </w:rPr>
        <w:t xml:space="preserve">Միության շրջանակներում տեղեկատվական փոխգործակցության իրականացման հիմնական մեխանիզմը վստահության անդրսահմանային տարածքն է, որի նպատակները, խնդիրները </w:t>
      </w:r>
      <w:r w:rsidR="009B0063">
        <w:rPr>
          <w:rFonts w:ascii="Sylfaen" w:hAnsi="Sylfaen"/>
          <w:sz w:val="24"/>
          <w:szCs w:val="24"/>
        </w:rPr>
        <w:t>եւ</w:t>
      </w:r>
      <w:r w:rsidRPr="00234538">
        <w:rPr>
          <w:rFonts w:ascii="Sylfaen" w:hAnsi="Sylfaen"/>
          <w:sz w:val="24"/>
          <w:szCs w:val="24"/>
        </w:rPr>
        <w:t xml:space="preserve"> տարրերը սահմանվում են </w:t>
      </w:r>
      <w:r w:rsidRPr="00DD5C33">
        <w:rPr>
          <w:rFonts w:ascii="Sylfaen" w:hAnsi="Sylfaen"/>
          <w:spacing w:val="2"/>
          <w:sz w:val="24"/>
          <w:szCs w:val="24"/>
        </w:rPr>
        <w:t xml:space="preserve">Եվրասիական տնտեսական հանձնաժողովի կոլեգիայի 2016 թվականի սեպտեմբերի 27-ի թիվ 105 որոշմամբ հաստատված՝ Վստահության անդրսահմանային տարածքի զարգացման ռազմավարությամբ (այսուհետ՝ Ռազմավարություն) </w:t>
      </w:r>
      <w:r w:rsidR="009B0063" w:rsidRPr="00DD5C33">
        <w:rPr>
          <w:rFonts w:ascii="Sylfaen" w:hAnsi="Sylfaen"/>
          <w:spacing w:val="2"/>
          <w:sz w:val="24"/>
          <w:szCs w:val="24"/>
        </w:rPr>
        <w:t>եւ</w:t>
      </w:r>
      <w:r w:rsidRPr="00DD5C33">
        <w:rPr>
          <w:rFonts w:ascii="Sylfaen" w:hAnsi="Sylfaen"/>
          <w:spacing w:val="2"/>
          <w:sz w:val="24"/>
          <w:szCs w:val="24"/>
        </w:rPr>
        <w:t xml:space="preserve"> Եվրասիական տնտեսական հանձնաժողովի</w:t>
      </w:r>
      <w:r w:rsidRPr="00234538">
        <w:rPr>
          <w:rFonts w:ascii="Sylfaen" w:hAnsi="Sylfaen"/>
          <w:sz w:val="24"/>
          <w:szCs w:val="24"/>
        </w:rPr>
        <w:t xml:space="preserve"> խորհրդի 2014 թվականի սեպտեմբերի 18-ի թիվ 73 որոշմամբ հաստատված՝ Միջպետական տեղեկատվական փոխգործակցության ժամանակ ծառայությունների </w:t>
      </w:r>
      <w:r w:rsidR="009B0063">
        <w:rPr>
          <w:rFonts w:ascii="Sylfaen" w:hAnsi="Sylfaen"/>
          <w:sz w:val="24"/>
          <w:szCs w:val="24"/>
        </w:rPr>
        <w:t>եւ</w:t>
      </w:r>
      <w:r w:rsidRPr="00234538">
        <w:rPr>
          <w:rFonts w:ascii="Sylfaen" w:hAnsi="Sylfaen"/>
          <w:sz w:val="24"/>
          <w:szCs w:val="24"/>
        </w:rPr>
        <w:t xml:space="preserve"> </w:t>
      </w:r>
      <w:r w:rsidRPr="00234538">
        <w:rPr>
          <w:rFonts w:ascii="Sylfaen" w:hAnsi="Sylfaen"/>
          <w:sz w:val="24"/>
          <w:szCs w:val="24"/>
        </w:rPr>
        <w:lastRenderedPageBreak/>
        <w:t xml:space="preserve">իրավաբանական ուժ ունեցող էլեկտրոնային փաստաթղթերի օգտագործման հայեցակարգով: Ռազմավարության III բաժնին համապատասխան՝ Միության շրջանակներում միջպետական տեղեկատվական փոխգործակցության իրականացման համար իրավական, կազմակերպչական </w:t>
      </w:r>
      <w:r w:rsidR="009B0063">
        <w:rPr>
          <w:rFonts w:ascii="Sylfaen" w:hAnsi="Sylfaen"/>
          <w:sz w:val="24"/>
          <w:szCs w:val="24"/>
        </w:rPr>
        <w:t>եւ</w:t>
      </w:r>
      <w:r w:rsidRPr="00234538">
        <w:rPr>
          <w:rFonts w:ascii="Sylfaen" w:hAnsi="Sylfaen"/>
          <w:sz w:val="24"/>
          <w:szCs w:val="24"/>
        </w:rPr>
        <w:t xml:space="preserve"> տեխնիկական պայմաններն ստեղծվում են վստահության անդրսահմանային տարածքի տարրերի ձ</w:t>
      </w:r>
      <w:r w:rsidR="009B0063">
        <w:rPr>
          <w:rFonts w:ascii="Sylfaen" w:hAnsi="Sylfaen"/>
          <w:sz w:val="24"/>
          <w:szCs w:val="24"/>
        </w:rPr>
        <w:t>եւ</w:t>
      </w:r>
      <w:r w:rsidRPr="00234538">
        <w:rPr>
          <w:rFonts w:ascii="Sylfaen" w:hAnsi="Sylfaen"/>
          <w:sz w:val="24"/>
          <w:szCs w:val="24"/>
        </w:rPr>
        <w:t>ավորման հաշվին:</w:t>
      </w:r>
    </w:p>
    <w:p w:rsidR="00292E5D" w:rsidRPr="00B173D1" w:rsidRDefault="00F35298" w:rsidP="00234538">
      <w:pPr>
        <w:pStyle w:val="a0"/>
        <w:shd w:val="clear" w:color="auto" w:fill="auto"/>
        <w:spacing w:after="160"/>
        <w:ind w:firstLine="567"/>
        <w:jc w:val="both"/>
        <w:rPr>
          <w:rFonts w:ascii="Sylfaen" w:hAnsi="Sylfaen" w:cs="Sylfaen"/>
          <w:sz w:val="24"/>
          <w:szCs w:val="24"/>
        </w:rPr>
      </w:pPr>
      <w:r w:rsidRPr="00B173D1">
        <w:rPr>
          <w:rFonts w:ascii="Sylfaen" w:hAnsi="Sylfaen"/>
          <w:sz w:val="24"/>
          <w:szCs w:val="24"/>
        </w:rPr>
        <w:t>Սույն հայեցակարգի դրույթների իրականացման ժամանակ կարող են օգտագործվել Ռազմավարության առաջին փուլի իրականացման շրջանակներում ստեղծված՝ վստահության անդրսահմանային տարածքի համապատասխան տարրերը: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Սույն հայեցակարգի՝</w:t>
      </w:r>
      <w:r w:rsidR="00202DE2" w:rsidRPr="00234538">
        <w:rPr>
          <w:rFonts w:ascii="Sylfaen" w:hAnsi="Sylfaen"/>
          <w:sz w:val="24"/>
          <w:szCs w:val="24"/>
        </w:rPr>
        <w:t xml:space="preserve"> </w:t>
      </w:r>
      <w:r w:rsidRPr="00234538">
        <w:rPr>
          <w:rFonts w:ascii="Sylfaen" w:hAnsi="Sylfaen"/>
          <w:sz w:val="24"/>
          <w:szCs w:val="24"/>
        </w:rPr>
        <w:t>անդամ պետությունների իրավաբանական անձանց (տնտեսավարող սուբյեկտների)՝ միմյանց միջ</w:t>
      </w:r>
      <w:r w:rsidR="009B0063">
        <w:rPr>
          <w:rFonts w:ascii="Sylfaen" w:hAnsi="Sylfaen"/>
          <w:sz w:val="24"/>
          <w:szCs w:val="24"/>
        </w:rPr>
        <w:t>եւ</w:t>
      </w:r>
      <w:r w:rsidRPr="00234538">
        <w:rPr>
          <w:rFonts w:ascii="Sylfaen" w:hAnsi="Sylfaen"/>
          <w:sz w:val="24"/>
          <w:szCs w:val="24"/>
        </w:rPr>
        <w:t xml:space="preserve"> տեղեկատվական փոխգործակցության մասով դրույթները կրում են հանձնարարական բնույթ:</w:t>
      </w:r>
    </w:p>
    <w:p w:rsidR="00292E5D" w:rsidRPr="00DD5C33" w:rsidRDefault="00F35298" w:rsidP="00B173D1">
      <w:pPr>
        <w:pStyle w:val="a0"/>
        <w:shd w:val="clear" w:color="auto" w:fill="auto"/>
        <w:tabs>
          <w:tab w:val="left" w:pos="1134"/>
        </w:tabs>
        <w:spacing w:after="160"/>
        <w:ind w:firstLine="567"/>
        <w:jc w:val="both"/>
        <w:rPr>
          <w:rFonts w:ascii="Sylfaen" w:hAnsi="Sylfaen" w:cs="Sylfaen"/>
          <w:spacing w:val="-4"/>
          <w:sz w:val="24"/>
          <w:szCs w:val="24"/>
        </w:rPr>
      </w:pPr>
      <w:r w:rsidRPr="00DD5C33">
        <w:rPr>
          <w:rFonts w:ascii="Sylfaen" w:hAnsi="Sylfaen"/>
          <w:spacing w:val="-4"/>
          <w:sz w:val="24"/>
          <w:szCs w:val="24"/>
        </w:rPr>
        <w:t>3.</w:t>
      </w:r>
      <w:r w:rsidR="00B173D1" w:rsidRPr="00DD5C33">
        <w:rPr>
          <w:rFonts w:ascii="Sylfaen" w:hAnsi="Sylfaen"/>
          <w:spacing w:val="-4"/>
          <w:sz w:val="24"/>
          <w:szCs w:val="24"/>
        </w:rPr>
        <w:tab/>
      </w:r>
      <w:r w:rsidRPr="00DD5C33">
        <w:rPr>
          <w:rFonts w:ascii="Sylfaen" w:hAnsi="Sylfaen"/>
          <w:spacing w:val="-4"/>
          <w:sz w:val="24"/>
          <w:szCs w:val="24"/>
        </w:rPr>
        <w:t>Էլեկտրոնային փաստաթղթերի պաշտպանության տարբեր մեխանիզմներ օգտագործող էլեկտրոնային փոխգործակցության սուբյեկտների միջեւ էլեկտրոնային փաստաթղթերի տեղեկատվական փոխանակումը կարող է ապահովվել տեղեկատվական փոխգործակցության ապահովման տարբեր մեխանիզմների, այդ թվում՝ վստահված երրորդ կողմի մեխանիզմների օգտագործմամբ։</w:t>
      </w:r>
    </w:p>
    <w:p w:rsidR="00292E5D" w:rsidRDefault="00F35298" w:rsidP="00234538">
      <w:pPr>
        <w:pStyle w:val="a0"/>
        <w:shd w:val="clear" w:color="auto" w:fill="auto"/>
        <w:spacing w:after="160"/>
        <w:ind w:firstLine="567"/>
        <w:jc w:val="both"/>
        <w:rPr>
          <w:rFonts w:ascii="Sylfaen" w:hAnsi="Sylfaen"/>
          <w:sz w:val="24"/>
          <w:szCs w:val="24"/>
        </w:rPr>
      </w:pPr>
      <w:r w:rsidRPr="00234538">
        <w:rPr>
          <w:rFonts w:ascii="Sylfaen" w:hAnsi="Sylfaen"/>
          <w:sz w:val="24"/>
          <w:szCs w:val="24"/>
        </w:rPr>
        <w:t xml:space="preserve">Միության անդամ պետությունները (այսուհետ՝ անդամ պետություններ) ապահովում են էլեկտրոնային փոխգործակցության սուբյեկտների՝ վստահված երրորդ կողմերի ծառայություններից օգտվելու իրավունքը: Անդամ պետությունների իրավաբանական անձինք (տնտեսավարող սուբյեկտները) իրավունք ունեն ինքնուրույն ընտրելու էլեկտրոնային փաստաթղթերի պաշտպանության մեխանիզմները՝ հաշվի առնելով անդամ պետությունների օրենսդրության </w:t>
      </w:r>
      <w:r w:rsidR="009B0063">
        <w:rPr>
          <w:rFonts w:ascii="Sylfaen" w:hAnsi="Sylfaen"/>
          <w:sz w:val="24"/>
          <w:szCs w:val="24"/>
        </w:rPr>
        <w:t>եւ</w:t>
      </w:r>
      <w:r w:rsidRPr="00234538">
        <w:rPr>
          <w:rFonts w:ascii="Sylfaen" w:hAnsi="Sylfaen"/>
          <w:sz w:val="24"/>
          <w:szCs w:val="24"/>
        </w:rPr>
        <w:t xml:space="preserve"> միջազգային պայմանագրերի պահանջները, ինչպես նա</w:t>
      </w:r>
      <w:r w:rsidR="009B0063">
        <w:rPr>
          <w:rFonts w:ascii="Sylfaen" w:hAnsi="Sylfaen"/>
          <w:sz w:val="24"/>
          <w:szCs w:val="24"/>
        </w:rPr>
        <w:t>եւ</w:t>
      </w:r>
      <w:r w:rsidRPr="00234538">
        <w:rPr>
          <w:rFonts w:ascii="Sylfaen" w:hAnsi="Sylfaen"/>
          <w:sz w:val="24"/>
          <w:szCs w:val="24"/>
        </w:rPr>
        <w:t xml:space="preserve"> էլեկտրոնային փոխգործակցության գործընթացի հետ կապված ռիսկերի </w:t>
      </w:r>
      <w:r w:rsidR="009B0063">
        <w:rPr>
          <w:rFonts w:ascii="Sylfaen" w:hAnsi="Sylfaen"/>
          <w:sz w:val="24"/>
          <w:szCs w:val="24"/>
        </w:rPr>
        <w:t>եւ</w:t>
      </w:r>
      <w:r w:rsidRPr="00234538">
        <w:rPr>
          <w:rFonts w:ascii="Sylfaen" w:hAnsi="Sylfaen"/>
          <w:sz w:val="24"/>
          <w:szCs w:val="24"/>
        </w:rPr>
        <w:t xml:space="preserve"> սեփական նախապատվությունների գնահատումը:</w:t>
      </w:r>
    </w:p>
    <w:p w:rsidR="00DD5C33" w:rsidRPr="00234538" w:rsidRDefault="00DD5C33" w:rsidP="00234538">
      <w:pPr>
        <w:pStyle w:val="a0"/>
        <w:shd w:val="clear" w:color="auto" w:fill="auto"/>
        <w:spacing w:after="160"/>
        <w:ind w:firstLine="567"/>
        <w:jc w:val="both"/>
        <w:rPr>
          <w:rFonts w:ascii="Sylfaen" w:hAnsi="Sylfaen" w:cs="Sylfaen"/>
          <w:sz w:val="24"/>
          <w:szCs w:val="24"/>
        </w:rPr>
      </w:pP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lastRenderedPageBreak/>
        <w:t>4.</w:t>
      </w:r>
      <w:r w:rsidR="00B173D1">
        <w:rPr>
          <w:rFonts w:ascii="Sylfaen" w:hAnsi="Sylfaen"/>
          <w:sz w:val="24"/>
          <w:szCs w:val="24"/>
        </w:rPr>
        <w:tab/>
      </w:r>
      <w:r w:rsidRPr="00234538">
        <w:rPr>
          <w:rFonts w:ascii="Sylfaen" w:hAnsi="Sylfaen"/>
          <w:sz w:val="24"/>
          <w:szCs w:val="24"/>
        </w:rPr>
        <w:t xml:space="preserve">Սույն հայեցակարգով սահմանվում են անդամ պետությունների իրավաբանական անձանց (տնտեսավարող սուբյեկտների)՝ միմյանց </w:t>
      </w:r>
      <w:r w:rsidR="009B0063">
        <w:rPr>
          <w:rFonts w:ascii="Sylfaen" w:hAnsi="Sylfaen"/>
          <w:sz w:val="24"/>
          <w:szCs w:val="24"/>
        </w:rPr>
        <w:t>եւ</w:t>
      </w:r>
      <w:r w:rsidRPr="00234538">
        <w:rPr>
          <w:rFonts w:ascii="Sylfaen" w:hAnsi="Sylfaen"/>
          <w:sz w:val="24"/>
          <w:szCs w:val="24"/>
        </w:rPr>
        <w:t xml:space="preserve"> անդամ պետությունների լիազորված մարմինների միջ</w:t>
      </w:r>
      <w:r w:rsidR="009B0063">
        <w:rPr>
          <w:rFonts w:ascii="Sylfaen" w:hAnsi="Sylfaen"/>
          <w:sz w:val="24"/>
          <w:szCs w:val="24"/>
        </w:rPr>
        <w:t>եւ</w:t>
      </w:r>
      <w:r w:rsidRPr="00234538">
        <w:rPr>
          <w:rFonts w:ascii="Sylfaen" w:hAnsi="Sylfaen"/>
          <w:sz w:val="24"/>
          <w:szCs w:val="24"/>
        </w:rPr>
        <w:t xml:space="preserve"> տեղեկատվական փոխգործակցության կազմակերպման ընդհանուր մոտեցումները:</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5.</w:t>
      </w:r>
      <w:r w:rsidR="00B173D1">
        <w:rPr>
          <w:rFonts w:ascii="Sylfaen" w:hAnsi="Sylfaen"/>
          <w:sz w:val="24"/>
          <w:szCs w:val="24"/>
        </w:rPr>
        <w:tab/>
      </w:r>
      <w:r w:rsidRPr="00234538">
        <w:rPr>
          <w:rFonts w:ascii="Sylfaen" w:hAnsi="Sylfaen"/>
          <w:sz w:val="24"/>
          <w:szCs w:val="24"/>
        </w:rPr>
        <w:t>Սույն հայեցակարգի նպատակներով օգտագործվում են հասկացություններ, որոնք ունեն հետ</w:t>
      </w:r>
      <w:r w:rsidR="009B0063">
        <w:rPr>
          <w:rFonts w:ascii="Sylfaen" w:hAnsi="Sylfaen"/>
          <w:sz w:val="24"/>
          <w:szCs w:val="24"/>
        </w:rPr>
        <w:t>եւ</w:t>
      </w:r>
      <w:r w:rsidRPr="00234538">
        <w:rPr>
          <w:rFonts w:ascii="Sylfaen" w:hAnsi="Sylfaen"/>
          <w:sz w:val="24"/>
          <w:szCs w:val="24"/>
        </w:rPr>
        <w:t>յալ իմաստը`</w:t>
      </w:r>
    </w:p>
    <w:p w:rsidR="00292E5D" w:rsidRPr="00234538" w:rsidRDefault="000A20F7" w:rsidP="00234538">
      <w:pPr>
        <w:pStyle w:val="a0"/>
        <w:shd w:val="clear" w:color="auto" w:fill="auto"/>
        <w:spacing w:after="160"/>
        <w:ind w:firstLine="567"/>
        <w:jc w:val="both"/>
        <w:rPr>
          <w:rFonts w:ascii="Sylfaen" w:hAnsi="Sylfaen" w:cs="Sylfaen"/>
          <w:sz w:val="24"/>
          <w:szCs w:val="24"/>
        </w:rPr>
      </w:pPr>
      <w:r w:rsidRPr="00234538">
        <w:rPr>
          <w:rFonts w:ascii="Sylfaen" w:hAnsi="Sylfaen"/>
          <w:b/>
          <w:sz w:val="24"/>
          <w:szCs w:val="24"/>
        </w:rPr>
        <w:t>տեղեկատվական փոխգործակցության ապահովման մեխանիզմներ</w:t>
      </w:r>
      <w:r w:rsidR="00F35298" w:rsidRPr="00234538">
        <w:rPr>
          <w:rFonts w:ascii="Sylfaen" w:hAnsi="Sylfaen"/>
          <w:sz w:val="24"/>
          <w:szCs w:val="24"/>
        </w:rPr>
        <w:t xml:space="preserve">՝ անդրսահմանային տեղեկատվական փոխգործակցության ժամանակ վստահության ապահովման նպատակով իրագործվող՝ տեղեկատվական-տեխնոլոգիական </w:t>
      </w:r>
      <w:r w:rsidR="009B0063">
        <w:rPr>
          <w:rFonts w:ascii="Sylfaen" w:hAnsi="Sylfaen"/>
          <w:sz w:val="24"/>
          <w:szCs w:val="24"/>
        </w:rPr>
        <w:t>եւ</w:t>
      </w:r>
      <w:r w:rsidR="00F35298" w:rsidRPr="00234538">
        <w:rPr>
          <w:rFonts w:ascii="Sylfaen" w:hAnsi="Sylfaen"/>
          <w:sz w:val="24"/>
          <w:szCs w:val="24"/>
        </w:rPr>
        <w:t xml:space="preserve"> կազմակերպաիրավական լուծումների ամբողջություն.</w:t>
      </w:r>
    </w:p>
    <w:p w:rsidR="00292E5D" w:rsidRPr="00234538" w:rsidRDefault="000A20F7" w:rsidP="00234538">
      <w:pPr>
        <w:pStyle w:val="a0"/>
        <w:shd w:val="clear" w:color="auto" w:fill="auto"/>
        <w:spacing w:after="160"/>
        <w:ind w:firstLine="567"/>
        <w:jc w:val="both"/>
        <w:rPr>
          <w:rFonts w:ascii="Sylfaen" w:hAnsi="Sylfaen" w:cs="Sylfaen"/>
          <w:sz w:val="24"/>
          <w:szCs w:val="24"/>
        </w:rPr>
      </w:pPr>
      <w:r w:rsidRPr="00234538">
        <w:rPr>
          <w:rFonts w:ascii="Sylfaen" w:hAnsi="Sylfaen"/>
          <w:b/>
          <w:bCs/>
          <w:sz w:val="24"/>
          <w:szCs w:val="24"/>
        </w:rPr>
        <w:t>էլեկտրոնային փոխգործակցության սուբյեկտների նույնականացման սխեմա</w:t>
      </w:r>
      <w:r w:rsidR="00F35298" w:rsidRPr="00234538">
        <w:rPr>
          <w:rFonts w:ascii="Sylfaen" w:hAnsi="Sylfaen"/>
          <w:sz w:val="24"/>
          <w:szCs w:val="24"/>
        </w:rPr>
        <w:t xml:space="preserve">՝ տեքստային </w:t>
      </w:r>
      <w:r w:rsidR="009B0063">
        <w:rPr>
          <w:rFonts w:ascii="Sylfaen" w:hAnsi="Sylfaen"/>
          <w:sz w:val="24"/>
          <w:szCs w:val="24"/>
        </w:rPr>
        <w:t>եւ</w:t>
      </w:r>
      <w:r w:rsidR="00F35298" w:rsidRPr="00234538">
        <w:rPr>
          <w:rFonts w:ascii="Sylfaen" w:hAnsi="Sylfaen"/>
          <w:sz w:val="24"/>
          <w:szCs w:val="24"/>
        </w:rPr>
        <w:t xml:space="preserve"> (կամ) գրաֆիկական նկարագրություն, որը թույլ է տալիս ստանալ էլեկտրոնային փոխգործակցության սուբյեկտների նույնականացման փուլերի, մեթոդների </w:t>
      </w:r>
      <w:r w:rsidR="009B0063">
        <w:rPr>
          <w:rFonts w:ascii="Sylfaen" w:hAnsi="Sylfaen"/>
          <w:sz w:val="24"/>
          <w:szCs w:val="24"/>
        </w:rPr>
        <w:t>եւ</w:t>
      </w:r>
      <w:r w:rsidR="00F35298" w:rsidRPr="00234538">
        <w:rPr>
          <w:rFonts w:ascii="Sylfaen" w:hAnsi="Sylfaen"/>
          <w:sz w:val="24"/>
          <w:szCs w:val="24"/>
        </w:rPr>
        <w:t xml:space="preserve"> եղանակների մասին ամբողջական պատկերը՝ օգտագործելով նույնականացման </w:t>
      </w:r>
      <w:r w:rsidR="009B0063">
        <w:rPr>
          <w:rFonts w:ascii="Sylfaen" w:hAnsi="Sylfaen"/>
          <w:sz w:val="24"/>
          <w:szCs w:val="24"/>
        </w:rPr>
        <w:t>եւ</w:t>
      </w:r>
      <w:r w:rsidR="00F35298" w:rsidRPr="00234538">
        <w:rPr>
          <w:rFonts w:ascii="Sylfaen" w:hAnsi="Sylfaen"/>
          <w:sz w:val="24"/>
          <w:szCs w:val="24"/>
        </w:rPr>
        <w:t xml:space="preserve"> իսկորոշման մեխանիզմը.</w:t>
      </w:r>
    </w:p>
    <w:p w:rsidR="00292E5D" w:rsidRPr="00234538" w:rsidRDefault="000A20F7" w:rsidP="00234538">
      <w:pPr>
        <w:pStyle w:val="a0"/>
        <w:shd w:val="clear" w:color="auto" w:fill="auto"/>
        <w:spacing w:after="160"/>
        <w:ind w:firstLine="567"/>
        <w:jc w:val="both"/>
        <w:rPr>
          <w:rFonts w:ascii="Sylfaen" w:hAnsi="Sylfaen" w:cs="Sylfaen"/>
          <w:sz w:val="24"/>
          <w:szCs w:val="24"/>
        </w:rPr>
      </w:pPr>
      <w:r w:rsidRPr="00234538">
        <w:rPr>
          <w:rFonts w:ascii="Sylfaen" w:hAnsi="Sylfaen"/>
          <w:b/>
          <w:sz w:val="24"/>
          <w:szCs w:val="24"/>
        </w:rPr>
        <w:t>անդրսահմանային տեղեկատվական փոխգործակցություն</w:t>
      </w:r>
      <w:r w:rsidRPr="00234538">
        <w:rPr>
          <w:rFonts w:ascii="Sylfaen" w:hAnsi="Sylfaen"/>
          <w:bCs/>
          <w:sz w:val="24"/>
          <w:szCs w:val="24"/>
        </w:rPr>
        <w:t>՝</w:t>
      </w:r>
      <w:r w:rsidR="00F35298" w:rsidRPr="00234538">
        <w:rPr>
          <w:rFonts w:ascii="Sylfaen" w:hAnsi="Sylfaen"/>
          <w:sz w:val="24"/>
          <w:szCs w:val="24"/>
        </w:rPr>
        <w:t xml:space="preserve"> տարբեր անդամ պետությունների սուբյեկտ-ռեզիդենտների միջ</w:t>
      </w:r>
      <w:r w:rsidR="009B0063">
        <w:rPr>
          <w:rFonts w:ascii="Sylfaen" w:hAnsi="Sylfaen"/>
          <w:sz w:val="24"/>
          <w:szCs w:val="24"/>
        </w:rPr>
        <w:t>եւ</w:t>
      </w:r>
      <w:r w:rsidR="00F35298" w:rsidRPr="00234538">
        <w:rPr>
          <w:rFonts w:ascii="Sylfaen" w:hAnsi="Sylfaen"/>
          <w:sz w:val="24"/>
          <w:szCs w:val="24"/>
        </w:rPr>
        <w:t xml:space="preserve"> տեղեկատվության փոխանակման գործընթաց, որն սկսվում է այն անդամ պետության տարածքում, որի ռեզիդենտն է տեղեկատվության ուղարկողը, </w:t>
      </w:r>
      <w:r w:rsidR="009B0063">
        <w:rPr>
          <w:rFonts w:ascii="Sylfaen" w:hAnsi="Sylfaen"/>
          <w:sz w:val="24"/>
          <w:szCs w:val="24"/>
        </w:rPr>
        <w:t>եւ</w:t>
      </w:r>
      <w:r w:rsidR="00F35298" w:rsidRPr="00234538">
        <w:rPr>
          <w:rFonts w:ascii="Sylfaen" w:hAnsi="Sylfaen"/>
          <w:sz w:val="24"/>
          <w:szCs w:val="24"/>
        </w:rPr>
        <w:t xml:space="preserve"> ավարտվում է այն անդամ պետության տարածքում, որի ռեզիդենտն է տեղեկատվության ստացողը.</w:t>
      </w:r>
    </w:p>
    <w:p w:rsidR="00292E5D" w:rsidRDefault="000A20F7" w:rsidP="00234538">
      <w:pPr>
        <w:pStyle w:val="a0"/>
        <w:shd w:val="clear" w:color="auto" w:fill="auto"/>
        <w:spacing w:after="160"/>
        <w:ind w:firstLine="567"/>
        <w:jc w:val="both"/>
        <w:rPr>
          <w:rFonts w:ascii="Sylfaen" w:hAnsi="Sylfaen"/>
          <w:spacing w:val="-4"/>
          <w:sz w:val="24"/>
          <w:szCs w:val="24"/>
        </w:rPr>
      </w:pPr>
      <w:r w:rsidRPr="00DD5C33">
        <w:rPr>
          <w:rFonts w:ascii="Sylfaen" w:hAnsi="Sylfaen"/>
          <w:b/>
          <w:bCs/>
          <w:spacing w:val="-4"/>
          <w:sz w:val="24"/>
          <w:szCs w:val="24"/>
        </w:rPr>
        <w:t>էլեկտրոնային փոխգործակցության սուբյեկտների միջ</w:t>
      </w:r>
      <w:r w:rsidR="009B0063" w:rsidRPr="00DD5C33">
        <w:rPr>
          <w:rFonts w:ascii="Sylfaen" w:hAnsi="Sylfaen"/>
          <w:b/>
          <w:bCs/>
          <w:spacing w:val="-4"/>
          <w:sz w:val="24"/>
          <w:szCs w:val="24"/>
        </w:rPr>
        <w:t>եւ</w:t>
      </w:r>
      <w:r w:rsidRPr="00DD5C33">
        <w:rPr>
          <w:rFonts w:ascii="Sylfaen" w:hAnsi="Sylfaen"/>
          <w:b/>
          <w:bCs/>
          <w:spacing w:val="-4"/>
          <w:sz w:val="24"/>
          <w:szCs w:val="24"/>
        </w:rPr>
        <w:t xml:space="preserve"> համաձայնագիր</w:t>
      </w:r>
      <w:r w:rsidR="00F35298" w:rsidRPr="00DD5C33">
        <w:rPr>
          <w:rFonts w:ascii="Sylfaen" w:hAnsi="Sylfaen"/>
          <w:spacing w:val="-4"/>
          <w:sz w:val="24"/>
          <w:szCs w:val="24"/>
        </w:rPr>
        <w:t xml:space="preserve">՝ էլեկտրոնային փոխգործակցության երկու </w:t>
      </w:r>
      <w:r w:rsidR="009B0063" w:rsidRPr="00DD5C33">
        <w:rPr>
          <w:rFonts w:ascii="Sylfaen" w:hAnsi="Sylfaen"/>
          <w:spacing w:val="-4"/>
          <w:sz w:val="24"/>
          <w:szCs w:val="24"/>
        </w:rPr>
        <w:t>եւ</w:t>
      </w:r>
      <w:r w:rsidR="00F35298" w:rsidRPr="00DD5C33">
        <w:rPr>
          <w:rFonts w:ascii="Sylfaen" w:hAnsi="Sylfaen"/>
          <w:spacing w:val="-4"/>
          <w:sz w:val="24"/>
          <w:szCs w:val="24"/>
        </w:rPr>
        <w:t xml:space="preserve"> ավելի սուբյեկտների (համաձայնության մասնակիցների) միջ</w:t>
      </w:r>
      <w:r w:rsidR="009B0063" w:rsidRPr="00DD5C33">
        <w:rPr>
          <w:rFonts w:ascii="Sylfaen" w:hAnsi="Sylfaen"/>
          <w:spacing w:val="-4"/>
          <w:sz w:val="24"/>
          <w:szCs w:val="24"/>
        </w:rPr>
        <w:t>եւ</w:t>
      </w:r>
      <w:r w:rsidR="00F35298" w:rsidRPr="00DD5C33">
        <w:rPr>
          <w:rFonts w:ascii="Sylfaen" w:hAnsi="Sylfaen"/>
          <w:spacing w:val="-4"/>
          <w:sz w:val="24"/>
          <w:szCs w:val="24"/>
        </w:rPr>
        <w:t xml:space="preserve"> տեղեկատվական փոխգործակցությունը կազմակերպելու կարգի մասին գրավոր կամ բանավոր կերպով այնպիսի պայմանավորվածություն, որը չի հակասում այն անդամ պետությունների օրենսդրության պահանջներին, որոնց իրավազորության տակ են գտնվում նշված սուբյեկտները:</w:t>
      </w:r>
    </w:p>
    <w:p w:rsidR="00DD5C33" w:rsidRPr="00DD5C33" w:rsidRDefault="00DD5C33" w:rsidP="00234538">
      <w:pPr>
        <w:pStyle w:val="a0"/>
        <w:shd w:val="clear" w:color="auto" w:fill="auto"/>
        <w:spacing w:after="160"/>
        <w:ind w:firstLine="567"/>
        <w:jc w:val="both"/>
        <w:rPr>
          <w:rFonts w:ascii="Sylfaen" w:hAnsi="Sylfaen" w:cs="Sylfaen"/>
          <w:spacing w:val="-4"/>
          <w:sz w:val="24"/>
          <w:szCs w:val="24"/>
        </w:rPr>
      </w:pP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DD5C33">
        <w:rPr>
          <w:rFonts w:ascii="Sylfaen" w:hAnsi="Sylfaen"/>
          <w:spacing w:val="-2"/>
          <w:sz w:val="24"/>
          <w:szCs w:val="24"/>
        </w:rPr>
        <w:lastRenderedPageBreak/>
        <w:t>Սույն հայեցակարգում օգտագործվող մյուս հասկացությունները կիրառվում են «Եվրասիական տնտեսական միության մասին» 2014 թվականի մայիսի 29-ի պայմանագրով սահմանված իմաստներով</w:t>
      </w:r>
      <w:r w:rsidRPr="00234538">
        <w:rPr>
          <w:rFonts w:ascii="Sylfaen" w:hAnsi="Sylfaen"/>
          <w:sz w:val="24"/>
          <w:szCs w:val="24"/>
        </w:rPr>
        <w:t>:</w:t>
      </w:r>
    </w:p>
    <w:p w:rsidR="00977195" w:rsidRPr="00234538" w:rsidRDefault="00977195" w:rsidP="00234538">
      <w:pPr>
        <w:pStyle w:val="a0"/>
        <w:shd w:val="clear" w:color="auto" w:fill="auto"/>
        <w:spacing w:after="160"/>
        <w:ind w:firstLine="567"/>
        <w:jc w:val="both"/>
        <w:rPr>
          <w:rFonts w:ascii="Sylfaen" w:hAnsi="Sylfaen" w:cs="Sylfaen"/>
          <w:sz w:val="24"/>
          <w:szCs w:val="24"/>
        </w:rPr>
      </w:pPr>
    </w:p>
    <w:p w:rsidR="00292E5D" w:rsidRPr="00234538" w:rsidRDefault="00F35298" w:rsidP="00B173D1">
      <w:pPr>
        <w:pStyle w:val="a0"/>
        <w:shd w:val="clear" w:color="auto" w:fill="auto"/>
        <w:spacing w:after="160"/>
        <w:ind w:left="567" w:right="559" w:firstLine="0"/>
        <w:jc w:val="center"/>
        <w:rPr>
          <w:rFonts w:ascii="Sylfaen" w:hAnsi="Sylfaen" w:cs="Sylfaen"/>
          <w:sz w:val="24"/>
          <w:szCs w:val="24"/>
        </w:rPr>
      </w:pPr>
      <w:r w:rsidRPr="00234538">
        <w:rPr>
          <w:rFonts w:ascii="Sylfaen" w:hAnsi="Sylfaen"/>
          <w:sz w:val="24"/>
          <w:szCs w:val="24"/>
        </w:rPr>
        <w:t>II. Անդամ պետությունների իրավաբանական անձանց (տնտեսավարող սուբյեկտների) տեղեկատվական փոխգործակցության իրականացման ընդհանուր մոտեցումները</w:t>
      </w:r>
    </w:p>
    <w:p w:rsidR="00292E5D" w:rsidRPr="00234538" w:rsidRDefault="00F35298" w:rsidP="00234538">
      <w:pPr>
        <w:pStyle w:val="a0"/>
        <w:shd w:val="clear" w:color="auto" w:fill="auto"/>
        <w:spacing w:after="160"/>
        <w:ind w:firstLine="0"/>
        <w:jc w:val="center"/>
        <w:rPr>
          <w:rFonts w:ascii="Sylfaen" w:hAnsi="Sylfaen" w:cs="Sylfaen"/>
          <w:sz w:val="24"/>
          <w:szCs w:val="24"/>
        </w:rPr>
      </w:pPr>
      <w:r w:rsidRPr="00234538">
        <w:rPr>
          <w:rFonts w:ascii="Sylfaen" w:hAnsi="Sylfaen"/>
          <w:sz w:val="24"/>
          <w:szCs w:val="24"/>
        </w:rPr>
        <w:t>1. Տեղեկատվական փոխգործակցության ապահովման մեխանիզմները</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6.</w:t>
      </w:r>
      <w:r w:rsidR="00B173D1">
        <w:rPr>
          <w:rFonts w:ascii="Sylfaen" w:hAnsi="Sylfaen"/>
          <w:sz w:val="24"/>
          <w:szCs w:val="24"/>
        </w:rPr>
        <w:tab/>
      </w:r>
      <w:r w:rsidRPr="00234538">
        <w:rPr>
          <w:rFonts w:ascii="Sylfaen" w:hAnsi="Sylfaen"/>
          <w:sz w:val="24"/>
          <w:szCs w:val="24"/>
        </w:rPr>
        <w:t>Անդամ պետությունների իրավաբանական անձանց (տնտեսավարող սուբյեկտների)՝ միմյանց միջ</w:t>
      </w:r>
      <w:r w:rsidR="009B0063">
        <w:rPr>
          <w:rFonts w:ascii="Sylfaen" w:hAnsi="Sylfaen"/>
          <w:sz w:val="24"/>
          <w:szCs w:val="24"/>
        </w:rPr>
        <w:t>եւ</w:t>
      </w:r>
      <w:r w:rsidRPr="00234538">
        <w:rPr>
          <w:rFonts w:ascii="Sylfaen" w:hAnsi="Sylfaen"/>
          <w:sz w:val="24"/>
          <w:szCs w:val="24"/>
        </w:rPr>
        <w:t xml:space="preserve"> տեղեկատվական փոխգործակցությունը (այսուհետ՝ B2B տեսակի հարաբերություններ) իրականացվում է տեղեկատվական փոխգործակցության ապահովման մեխանիզմների, այդ թվում՝ էլեկտրոնային տեսքով տեղեկատվության փաստաթղթավորման՝ իրականացնող մեխանիզմների՝ В2В տեսակի հարաբերություններին բնորոշ մեխանիզմների օգտագործմամբ՝ անդամ պետությունների օրենսդրությանը համապատասխան:</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7.</w:t>
      </w:r>
      <w:r w:rsidR="00B173D1">
        <w:rPr>
          <w:rFonts w:ascii="Sylfaen" w:hAnsi="Sylfaen"/>
          <w:sz w:val="24"/>
          <w:szCs w:val="24"/>
        </w:rPr>
        <w:tab/>
      </w:r>
      <w:r w:rsidRPr="00234538">
        <w:rPr>
          <w:rFonts w:ascii="Sylfaen" w:hAnsi="Sylfaen"/>
          <w:sz w:val="24"/>
          <w:szCs w:val="24"/>
        </w:rPr>
        <w:t xml:space="preserve">Անդամ պետությունների իրավաբանական անձինք (տնտեսավարող սուբյեկտները) իրավունք ունեն օգտագործելու տեղեկատվական փոխգործակցության ապահովման ցանկացած մեխանիզմ՝ անդամ պետությունների օրենսդրությանը </w:t>
      </w:r>
      <w:r w:rsidR="009B0063">
        <w:rPr>
          <w:rFonts w:ascii="Sylfaen" w:hAnsi="Sylfaen"/>
          <w:sz w:val="24"/>
          <w:szCs w:val="24"/>
        </w:rPr>
        <w:t>եւ</w:t>
      </w:r>
      <w:r w:rsidRPr="00234538">
        <w:rPr>
          <w:rFonts w:ascii="Sylfaen" w:hAnsi="Sylfaen"/>
          <w:sz w:val="24"/>
          <w:szCs w:val="24"/>
        </w:rPr>
        <w:t xml:space="preserve">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համաձայնագրերին համապատասխան:</w:t>
      </w:r>
    </w:p>
    <w:p w:rsidR="00292E5D" w:rsidRDefault="00F35298" w:rsidP="00B173D1">
      <w:pPr>
        <w:pStyle w:val="a0"/>
        <w:shd w:val="clear" w:color="auto" w:fill="auto"/>
        <w:tabs>
          <w:tab w:val="left" w:pos="1134"/>
        </w:tabs>
        <w:spacing w:after="160"/>
        <w:ind w:firstLine="567"/>
        <w:jc w:val="both"/>
        <w:rPr>
          <w:rFonts w:ascii="Sylfaen" w:hAnsi="Sylfaen"/>
          <w:sz w:val="24"/>
          <w:szCs w:val="24"/>
        </w:rPr>
      </w:pPr>
      <w:r w:rsidRPr="00234538">
        <w:rPr>
          <w:rFonts w:ascii="Sylfaen" w:hAnsi="Sylfaen"/>
          <w:sz w:val="24"/>
          <w:szCs w:val="24"/>
        </w:rPr>
        <w:t>8.</w:t>
      </w:r>
      <w:r w:rsidR="00B173D1">
        <w:rPr>
          <w:rFonts w:ascii="Sylfaen" w:hAnsi="Sylfaen"/>
          <w:sz w:val="24"/>
          <w:szCs w:val="24"/>
        </w:rPr>
        <w:tab/>
      </w:r>
      <w:r w:rsidRPr="00234538">
        <w:rPr>
          <w:rFonts w:ascii="Sylfaen" w:hAnsi="Sylfaen"/>
          <w:sz w:val="24"/>
          <w:szCs w:val="24"/>
        </w:rPr>
        <w:t xml:space="preserve">Տեղեկատվական փոխգործակցության ապահովման մեխանիզմներում կարող են գործածվել վստահության անդրսահմանային տարածքի տարրեր, որոնք համապատասխանում են Եվրասիական տնտեսական հանձնաժողովի խորհրդի 2018 թվականի դեկտեմբերի 5-ի թիվ 96 որոշմամբ հաստատված՝ Վստահության անդրսահմանային տարածքի ստեղծմանը, զարգացմանը </w:t>
      </w:r>
      <w:r w:rsidR="009B0063">
        <w:rPr>
          <w:rFonts w:ascii="Sylfaen" w:hAnsi="Sylfaen"/>
          <w:sz w:val="24"/>
          <w:szCs w:val="24"/>
        </w:rPr>
        <w:t>եւ</w:t>
      </w:r>
      <w:r w:rsidRPr="00234538">
        <w:rPr>
          <w:rFonts w:ascii="Sylfaen" w:hAnsi="Sylfaen"/>
          <w:sz w:val="24"/>
          <w:szCs w:val="24"/>
        </w:rPr>
        <w:t xml:space="preserve"> գործունեությանը ներկայացվող պահանջներին (այսուհետ՝ Պահանջներ):</w:t>
      </w:r>
    </w:p>
    <w:p w:rsidR="00B173D1" w:rsidRPr="00234538" w:rsidRDefault="00B173D1" w:rsidP="00B173D1">
      <w:pPr>
        <w:pStyle w:val="a0"/>
        <w:shd w:val="clear" w:color="auto" w:fill="auto"/>
        <w:tabs>
          <w:tab w:val="left" w:pos="1134"/>
        </w:tabs>
        <w:spacing w:after="160"/>
        <w:ind w:firstLine="567"/>
        <w:jc w:val="both"/>
        <w:rPr>
          <w:rFonts w:ascii="Sylfaen" w:hAnsi="Sylfaen" w:cs="Sylfaen"/>
          <w:sz w:val="24"/>
          <w:szCs w:val="24"/>
        </w:rPr>
      </w:pP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lastRenderedPageBreak/>
        <w:t>9.</w:t>
      </w:r>
      <w:r w:rsidR="00B173D1">
        <w:rPr>
          <w:rFonts w:ascii="Sylfaen" w:hAnsi="Sylfaen"/>
          <w:sz w:val="24"/>
          <w:szCs w:val="24"/>
        </w:rPr>
        <w:tab/>
      </w:r>
      <w:r w:rsidRPr="00234538">
        <w:rPr>
          <w:rFonts w:ascii="Sylfaen" w:hAnsi="Sylfaen"/>
          <w:sz w:val="24"/>
          <w:szCs w:val="24"/>
        </w:rPr>
        <w:t>В2В տեսակի հարաբերություններում էլեկտրոնային փոխգործակցության սուբյեկտների կողմից օգտագործվող տեղեկատվական փոխգործակցության ապահովման մեխանիզմները կարող են ապահովել փոխգործակցող կողմերի պահանջներին համապատասխանող՝ նախապես տրված պարամետրերի շրջանակներում (այսուհետ՝ հուսալիության տրված աստիճան) հետ</w:t>
      </w:r>
      <w:r w:rsidR="009B0063">
        <w:rPr>
          <w:rFonts w:ascii="Sylfaen" w:hAnsi="Sylfaen"/>
          <w:sz w:val="24"/>
          <w:szCs w:val="24"/>
        </w:rPr>
        <w:t>եւ</w:t>
      </w:r>
      <w:r w:rsidRPr="00234538">
        <w:rPr>
          <w:rFonts w:ascii="Sylfaen" w:hAnsi="Sylfaen"/>
          <w:sz w:val="24"/>
          <w:szCs w:val="24"/>
        </w:rPr>
        <w:t>յալ գործառույթների կատարումը</w:t>
      </w:r>
      <w:r w:rsidR="00D00360" w:rsidRPr="00234538">
        <w:rPr>
          <w:rFonts w:ascii="Sylfaen" w:hAnsi="Sylfaen"/>
          <w:sz w:val="24"/>
          <w:szCs w:val="24"/>
        </w:rPr>
        <w:t>.</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փոխգործակցության սուբյեկտների նույնականացում </w:t>
      </w:r>
      <w:r w:rsidR="009B0063">
        <w:rPr>
          <w:rFonts w:ascii="Sylfaen" w:hAnsi="Sylfaen"/>
          <w:sz w:val="24"/>
          <w:szCs w:val="24"/>
        </w:rPr>
        <w:t>եւ</w:t>
      </w:r>
      <w:r w:rsidRPr="00234538">
        <w:rPr>
          <w:rFonts w:ascii="Sylfaen" w:hAnsi="Sylfaen"/>
          <w:sz w:val="24"/>
          <w:szCs w:val="24"/>
        </w:rPr>
        <w:t xml:space="preserve"> իսկորոշում՝ պահպանելով հուսալիության տրված աստիճանը.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տվյալների, այդ թվում՝ էլեկտրոնային փաստաթղթերի փոխանցում՝ պահպանելով հուսալիության տրված աստիճանը.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իրենց կողմից կատարված գործողություններից, այդ թվում՝ էլեկտրոնային փոխգործակցության սուբյեկտին փոխանցված էլեկտրոնային փաստաթուղթ</w:t>
      </w:r>
      <w:r w:rsidR="00E81EFA" w:rsidRPr="00234538">
        <w:rPr>
          <w:rFonts w:ascii="Sylfaen" w:hAnsi="Sylfaen"/>
          <w:sz w:val="24"/>
          <w:szCs w:val="24"/>
        </w:rPr>
        <w:t>ն</w:t>
      </w:r>
      <w:r w:rsidRPr="00234538">
        <w:rPr>
          <w:rFonts w:ascii="Sylfaen" w:hAnsi="Sylfaen"/>
          <w:sz w:val="24"/>
          <w:szCs w:val="24"/>
        </w:rPr>
        <w:t xml:space="preserve"> էլեկտրոնային թվային ստորագրությամբ (էլեկտրոնային ստորագրությամբ) (այսուհետ՝ էլեկտրոնային ստորագրություն) ստորագրելուց չհրաժար</w:t>
      </w:r>
      <w:r w:rsidR="00265EED" w:rsidRPr="00234538">
        <w:rPr>
          <w:rFonts w:ascii="Sylfaen" w:hAnsi="Sylfaen"/>
          <w:sz w:val="24"/>
          <w:szCs w:val="24"/>
        </w:rPr>
        <w:t>վելու</w:t>
      </w:r>
      <w:r w:rsidRPr="00234538">
        <w:rPr>
          <w:rFonts w:ascii="Sylfaen" w:hAnsi="Sylfaen"/>
          <w:sz w:val="24"/>
          <w:szCs w:val="24"/>
        </w:rPr>
        <w:t xml:space="preserve"> հուսալիության տրված աստիճանով ապացույց.</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տեղեկատվության պաշտպանության միջոցների օգտագործում, որոնցով </w:t>
      </w:r>
      <w:r w:rsidRPr="00B173D1">
        <w:rPr>
          <w:rFonts w:ascii="Sylfaen" w:hAnsi="Sylfaen"/>
          <w:spacing w:val="-4"/>
          <w:sz w:val="24"/>
          <w:szCs w:val="24"/>
        </w:rPr>
        <w:t xml:space="preserve">ապահովվում են տվյալների, այդ թվում՝ ծածկագրման բանալիների </w:t>
      </w:r>
      <w:r w:rsidR="009B0063" w:rsidRPr="00B173D1">
        <w:rPr>
          <w:rFonts w:ascii="Sylfaen" w:hAnsi="Sylfaen"/>
          <w:spacing w:val="-4"/>
          <w:sz w:val="24"/>
          <w:szCs w:val="24"/>
        </w:rPr>
        <w:t>եւ</w:t>
      </w:r>
      <w:r w:rsidRPr="00B173D1">
        <w:rPr>
          <w:rFonts w:ascii="Sylfaen" w:hAnsi="Sylfaen"/>
          <w:spacing w:val="-4"/>
          <w:sz w:val="24"/>
          <w:szCs w:val="24"/>
        </w:rPr>
        <w:t xml:space="preserve"> էլեկտրոնային ստորագրության (առկայության դեպքում) պահպանումը, փոխգործակցող սուբյեկտների նույնականացումը, տվյալների փոխանցումը, էլեկտրոնային փաստաթղթի՝ էլեկտրոնային ստորագրությամբ ստորագրումը </w:t>
      </w:r>
      <w:r w:rsidR="009B0063" w:rsidRPr="00B173D1">
        <w:rPr>
          <w:rFonts w:ascii="Sylfaen" w:hAnsi="Sylfaen"/>
          <w:spacing w:val="-4"/>
          <w:sz w:val="24"/>
          <w:szCs w:val="24"/>
        </w:rPr>
        <w:t>եւ</w:t>
      </w:r>
      <w:r w:rsidRPr="00B173D1">
        <w:rPr>
          <w:rFonts w:ascii="Sylfaen" w:hAnsi="Sylfaen"/>
          <w:spacing w:val="-4"/>
          <w:sz w:val="24"/>
          <w:szCs w:val="24"/>
        </w:rPr>
        <w:t xml:space="preserve"> էլեկտրոնային ստորագրության ստուգումը՝ պահպանելով հուսալիության տրված աստիճանը.</w:t>
      </w:r>
    </w:p>
    <w:p w:rsidR="00292E5D" w:rsidRDefault="00F35298" w:rsidP="00234538">
      <w:pPr>
        <w:pStyle w:val="a0"/>
        <w:shd w:val="clear" w:color="auto" w:fill="auto"/>
        <w:spacing w:after="160"/>
        <w:ind w:firstLine="567"/>
        <w:jc w:val="both"/>
        <w:rPr>
          <w:rFonts w:ascii="Sylfaen" w:hAnsi="Sylfaen"/>
          <w:spacing w:val="4"/>
          <w:sz w:val="24"/>
          <w:szCs w:val="24"/>
        </w:rPr>
      </w:pPr>
      <w:r w:rsidRPr="00B173D1">
        <w:rPr>
          <w:rFonts w:ascii="Sylfaen" w:hAnsi="Sylfaen"/>
          <w:spacing w:val="4"/>
          <w:sz w:val="24"/>
          <w:szCs w:val="24"/>
        </w:rPr>
        <w:t xml:space="preserve">տեղեկատվական փոխգործակցության շրջանակներում տեղեկատվության տրամադրման ամսաթվի </w:t>
      </w:r>
      <w:r w:rsidR="009B0063" w:rsidRPr="00B173D1">
        <w:rPr>
          <w:rFonts w:ascii="Sylfaen" w:hAnsi="Sylfaen"/>
          <w:spacing w:val="4"/>
          <w:sz w:val="24"/>
          <w:szCs w:val="24"/>
        </w:rPr>
        <w:t>եւ</w:t>
      </w:r>
      <w:r w:rsidRPr="00B173D1">
        <w:rPr>
          <w:rFonts w:ascii="Sylfaen" w:hAnsi="Sylfaen"/>
          <w:spacing w:val="4"/>
          <w:sz w:val="24"/>
          <w:szCs w:val="24"/>
        </w:rPr>
        <w:t xml:space="preserve"> ժամի ֆիքսում՝ պահպանելով հուսալիության տրված</w:t>
      </w:r>
      <w:r w:rsidR="009B0063" w:rsidRPr="00B173D1">
        <w:rPr>
          <w:rFonts w:ascii="Sylfaen" w:hAnsi="Sylfaen"/>
          <w:spacing w:val="4"/>
          <w:sz w:val="24"/>
          <w:szCs w:val="24"/>
        </w:rPr>
        <w:t xml:space="preserve"> </w:t>
      </w:r>
      <w:r w:rsidRPr="00B173D1">
        <w:rPr>
          <w:rFonts w:ascii="Sylfaen" w:hAnsi="Sylfaen"/>
          <w:spacing w:val="4"/>
          <w:sz w:val="24"/>
          <w:szCs w:val="24"/>
        </w:rPr>
        <w:t>աստիճանը.</w:t>
      </w:r>
    </w:p>
    <w:p w:rsidR="00B173D1" w:rsidRPr="00B173D1" w:rsidRDefault="00B173D1" w:rsidP="00234538">
      <w:pPr>
        <w:pStyle w:val="a0"/>
        <w:shd w:val="clear" w:color="auto" w:fill="auto"/>
        <w:spacing w:after="160"/>
        <w:ind w:firstLine="567"/>
        <w:jc w:val="both"/>
        <w:rPr>
          <w:rFonts w:ascii="Sylfaen" w:hAnsi="Sylfaen" w:cs="Sylfaen"/>
          <w:spacing w:val="4"/>
          <w:sz w:val="24"/>
          <w:szCs w:val="24"/>
        </w:rPr>
      </w:pP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lastRenderedPageBreak/>
        <w:t xml:space="preserve">էլեկտրոնային թվային ստորագրություն օգտագործող էլեկտրոնային փոխգործակցության սուբյեկտի՝ տեղեկատվական փոխգործակցության շրջանակներում իր կողմից փոխանցվող էլեկտրոնային փաստաթղթերը ստորագրելու </w:t>
      </w:r>
      <w:r w:rsidR="009B0063">
        <w:rPr>
          <w:rFonts w:ascii="Sylfaen" w:hAnsi="Sylfaen"/>
          <w:sz w:val="24"/>
          <w:szCs w:val="24"/>
        </w:rPr>
        <w:t>եւ</w:t>
      </w:r>
      <w:r w:rsidRPr="00234538">
        <w:rPr>
          <w:rFonts w:ascii="Sylfaen" w:hAnsi="Sylfaen"/>
          <w:sz w:val="24"/>
          <w:szCs w:val="24"/>
        </w:rPr>
        <w:t xml:space="preserve"> (կամ) փոխանցելու լիազորությունների ստուգում.</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փոխանցված տվյալների, այդ թվում՝ էլեկտրոնային փաստաթղթերի իսկության ստուգում՝ տրված ժամանակահատվածը լրանալուն պես:</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10.</w:t>
      </w:r>
      <w:r w:rsidR="00B173D1">
        <w:rPr>
          <w:rFonts w:ascii="Sylfaen" w:hAnsi="Sylfaen"/>
          <w:sz w:val="24"/>
          <w:szCs w:val="24"/>
        </w:rPr>
        <w:tab/>
      </w:r>
      <w:r w:rsidRPr="00234538">
        <w:rPr>
          <w:rFonts w:ascii="Sylfaen" w:hAnsi="Sylfaen"/>
          <w:sz w:val="24"/>
          <w:szCs w:val="24"/>
        </w:rPr>
        <w:t>В2В տեսակի հարաբերությունների շրջանակներում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համաձայնագրերով կարող </w:t>
      </w:r>
      <w:r w:rsidR="00F51640" w:rsidRPr="00234538">
        <w:rPr>
          <w:rFonts w:ascii="Sylfaen" w:hAnsi="Sylfaen"/>
          <w:sz w:val="24"/>
          <w:szCs w:val="24"/>
        </w:rPr>
        <w:t>է</w:t>
      </w:r>
      <w:r w:rsidRPr="00234538">
        <w:rPr>
          <w:rFonts w:ascii="Sylfaen" w:hAnsi="Sylfaen"/>
          <w:sz w:val="24"/>
          <w:szCs w:val="24"/>
        </w:rPr>
        <w:t xml:space="preserve"> սահմանվել սույն հայեցակարգի 9-րդ կետում նշված գործառույթների կատարման կարգը:</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11.</w:t>
      </w:r>
      <w:r w:rsidR="00B173D1">
        <w:rPr>
          <w:rFonts w:ascii="Sylfaen" w:hAnsi="Sylfaen"/>
          <w:sz w:val="24"/>
          <w:szCs w:val="24"/>
        </w:rPr>
        <w:tab/>
      </w:r>
      <w:r w:rsidRPr="00234538">
        <w:rPr>
          <w:rFonts w:ascii="Sylfaen" w:hAnsi="Sylfaen"/>
          <w:sz w:val="24"/>
          <w:szCs w:val="24"/>
        </w:rPr>
        <w:t xml:space="preserve">Տեղեկատվական փոխգործակցության ապահովման մեխանիզմների օգտագործմամբ կատարվող գործառույթները </w:t>
      </w:r>
      <w:r w:rsidR="009B0063">
        <w:rPr>
          <w:rFonts w:ascii="Sylfaen" w:hAnsi="Sylfaen"/>
          <w:sz w:val="24"/>
          <w:szCs w:val="24"/>
        </w:rPr>
        <w:t>եւ</w:t>
      </w:r>
      <w:r w:rsidRPr="00234538">
        <w:rPr>
          <w:rFonts w:ascii="Sylfaen" w:hAnsi="Sylfaen"/>
          <w:sz w:val="24"/>
          <w:szCs w:val="24"/>
        </w:rPr>
        <w:t xml:space="preserve"> B2B տեսակի հարաբերությունների շրջանակներում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համաձայնագրերով նախատեսված՝ դրանց կատարման կարգը սահմանվում են էլեկտրոնային փոխգործակցության սուբյեկտների կողմից ինքնուրույն՝ ելնելով այն անդամ պետությունների օրենսդրության պահանջներից, որոնց իրավազորության տակ են գտնվում նշված սուբյեկտները, ինչպես նա</w:t>
      </w:r>
      <w:r w:rsidR="009B0063">
        <w:rPr>
          <w:rFonts w:ascii="Sylfaen" w:hAnsi="Sylfaen"/>
          <w:sz w:val="24"/>
          <w:szCs w:val="24"/>
        </w:rPr>
        <w:t>եւ</w:t>
      </w:r>
      <w:r w:rsidRPr="00234538">
        <w:rPr>
          <w:rFonts w:ascii="Sylfaen" w:hAnsi="Sylfaen"/>
          <w:sz w:val="24"/>
          <w:szCs w:val="24"/>
        </w:rPr>
        <w:t xml:space="preserve"> տեղեկատվական փոխգործակցության համար թույլատրելի ռիսկերի գնահատումից: Խորհուրդ է տրվում, որ նշված գործառույթների կազմ</w:t>
      </w:r>
      <w:r w:rsidR="00E81EFA" w:rsidRPr="00234538">
        <w:rPr>
          <w:rFonts w:ascii="Sylfaen" w:hAnsi="Sylfaen"/>
          <w:sz w:val="24"/>
          <w:szCs w:val="24"/>
        </w:rPr>
        <w:t>ն</w:t>
      </w:r>
      <w:r w:rsidRPr="00234538">
        <w:rPr>
          <w:rFonts w:ascii="Sylfaen" w:hAnsi="Sylfaen"/>
          <w:sz w:val="24"/>
          <w:szCs w:val="24"/>
        </w:rPr>
        <w:t xml:space="preserve"> ամբողջ չափով համապատասխանի սույն հայեցակարգի 9-րդ կետում բերված գործառույթների կազմին, իսկ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համաձայնագրերով սահմանվի դրանց կատարման կարգը:</w:t>
      </w:r>
    </w:p>
    <w:p w:rsidR="00292E5D" w:rsidRPr="00DD5C33" w:rsidRDefault="00F35298" w:rsidP="00B173D1">
      <w:pPr>
        <w:pStyle w:val="a0"/>
        <w:shd w:val="clear" w:color="auto" w:fill="auto"/>
        <w:tabs>
          <w:tab w:val="left" w:pos="1134"/>
        </w:tabs>
        <w:spacing w:after="160"/>
        <w:ind w:firstLine="567"/>
        <w:jc w:val="both"/>
        <w:rPr>
          <w:rFonts w:ascii="Sylfaen" w:hAnsi="Sylfaen" w:cs="Sylfaen"/>
          <w:sz w:val="24"/>
          <w:szCs w:val="24"/>
        </w:rPr>
      </w:pPr>
      <w:r w:rsidRPr="00DD5C33">
        <w:rPr>
          <w:rFonts w:ascii="Sylfaen" w:hAnsi="Sylfaen"/>
          <w:sz w:val="24"/>
          <w:szCs w:val="24"/>
        </w:rPr>
        <w:t>12.</w:t>
      </w:r>
      <w:r w:rsidR="00B173D1" w:rsidRPr="00DD5C33">
        <w:rPr>
          <w:rFonts w:ascii="Sylfaen" w:hAnsi="Sylfaen"/>
          <w:sz w:val="24"/>
          <w:szCs w:val="24"/>
        </w:rPr>
        <w:tab/>
      </w:r>
      <w:r w:rsidRPr="00DD5C33">
        <w:rPr>
          <w:rFonts w:ascii="Sylfaen" w:hAnsi="Sylfaen"/>
          <w:sz w:val="24"/>
          <w:szCs w:val="24"/>
        </w:rPr>
        <w:t>В2В տեսակի հարաբերությունների շրջանակներում էլեկտրոնային փոխգործակցության սուբյեկտները կարող են կիրառել տեղեկատվական փոխգործակցության ապահովման մեխանիզմներ, որոնք, պայմանագրերի հիման վրա, տրամադրվում են անդամ պետությունների՝ էլեկտրոնային տեսքով տեղեկատվության փաստաթղթավորման ընդհանուր ենթակառուցվածքի օպերատորների կողմից՝</w:t>
      </w:r>
      <w:r w:rsidR="009B0063" w:rsidRPr="00DD5C33">
        <w:rPr>
          <w:rFonts w:ascii="Sylfaen" w:hAnsi="Sylfaen"/>
          <w:sz w:val="24"/>
          <w:szCs w:val="24"/>
        </w:rPr>
        <w:t xml:space="preserve"> </w:t>
      </w:r>
      <w:r w:rsidRPr="00DD5C33">
        <w:rPr>
          <w:rFonts w:ascii="Sylfaen" w:hAnsi="Sylfaen"/>
          <w:sz w:val="24"/>
          <w:szCs w:val="24"/>
        </w:rPr>
        <w:t xml:space="preserve">անդամ պետությունների օրենսդրությանը համապատասխան: </w:t>
      </w:r>
    </w:p>
    <w:p w:rsidR="00292E5D" w:rsidRPr="00234538" w:rsidRDefault="00F35298" w:rsidP="00B173D1">
      <w:pPr>
        <w:pStyle w:val="a0"/>
        <w:shd w:val="clear" w:color="auto" w:fill="auto"/>
        <w:spacing w:after="160"/>
        <w:ind w:left="567" w:right="559" w:firstLine="0"/>
        <w:jc w:val="center"/>
        <w:rPr>
          <w:rFonts w:ascii="Sylfaen" w:hAnsi="Sylfaen" w:cs="Sylfaen"/>
          <w:sz w:val="24"/>
          <w:szCs w:val="24"/>
        </w:rPr>
      </w:pPr>
      <w:r w:rsidRPr="00234538">
        <w:rPr>
          <w:rFonts w:ascii="Sylfaen" w:hAnsi="Sylfaen"/>
          <w:sz w:val="24"/>
          <w:szCs w:val="24"/>
        </w:rPr>
        <w:lastRenderedPageBreak/>
        <w:t>2. Էլեկտրոնային փոխգործակցության սուբյեկտների նույնականացումը՝ B2B տեսակի հարաբերությունների շրջանակներում</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13.</w:t>
      </w:r>
      <w:r w:rsidR="00B173D1">
        <w:rPr>
          <w:rFonts w:ascii="Sylfaen" w:hAnsi="Sylfaen"/>
          <w:sz w:val="24"/>
          <w:szCs w:val="24"/>
        </w:rPr>
        <w:tab/>
      </w:r>
      <w:r w:rsidRPr="00234538">
        <w:rPr>
          <w:rFonts w:ascii="Sylfaen" w:hAnsi="Sylfaen"/>
          <w:sz w:val="24"/>
          <w:szCs w:val="24"/>
        </w:rPr>
        <w:t xml:space="preserve">Անդամ պետությունների իրավաբանական անձինք (տնտեսավարող սուբյեկտները) տեղեկատվական փոխգործակցության ժամանակ փոխադարձ նույնականացման նպատակներով կարող են օգտագործել էլեկտրոնային փոխգործակցության սուբյեկտների նույնականացման ցանկացած եղանակ, որը նախատեսված է անդամ պետությունների օրենսդրությամբ </w:t>
      </w:r>
      <w:r w:rsidR="009B0063">
        <w:rPr>
          <w:rFonts w:ascii="Sylfaen" w:hAnsi="Sylfaen"/>
          <w:sz w:val="24"/>
          <w:szCs w:val="24"/>
        </w:rPr>
        <w:t>եւ</w:t>
      </w:r>
      <w:r w:rsidRPr="00234538">
        <w:rPr>
          <w:rFonts w:ascii="Sylfaen" w:hAnsi="Sylfaen"/>
          <w:sz w:val="24"/>
          <w:szCs w:val="24"/>
        </w:rPr>
        <w:t xml:space="preserve">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համաձայնագրերով:</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14.</w:t>
      </w:r>
      <w:r w:rsidR="00B173D1">
        <w:rPr>
          <w:rFonts w:ascii="Sylfaen" w:hAnsi="Sylfaen"/>
          <w:sz w:val="24"/>
          <w:szCs w:val="24"/>
        </w:rPr>
        <w:tab/>
      </w:r>
      <w:r w:rsidRPr="00234538">
        <w:rPr>
          <w:rFonts w:ascii="Sylfaen" w:hAnsi="Sylfaen"/>
          <w:sz w:val="24"/>
          <w:szCs w:val="24"/>
        </w:rPr>
        <w:t>Տեղեկատվական փոխգործակցության ժամանակ կիրառվող՝ անդամ պետությունների իրավաբանական անձանց (տնտեսավարող սուբյեկտների) նույնականացման եղանակները կարող են հիմնվել ինչպես անդամ պետությունների վստահության ազգային տարածքների տարրերի, այնպես էլ վստահության անդրսահմանային տարածքի՝ Պահանջներին համապատասխանող տարրերի վրա:</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15.</w:t>
      </w:r>
      <w:r w:rsidR="00B173D1">
        <w:rPr>
          <w:rFonts w:ascii="Sylfaen" w:hAnsi="Sylfaen"/>
          <w:sz w:val="24"/>
          <w:szCs w:val="24"/>
        </w:rPr>
        <w:tab/>
      </w:r>
      <w:r w:rsidRPr="00234538">
        <w:rPr>
          <w:rFonts w:ascii="Sylfaen" w:hAnsi="Sylfaen"/>
          <w:sz w:val="24"/>
          <w:szCs w:val="24"/>
        </w:rPr>
        <w:t xml:space="preserve">Խորհուրդ է տրվում, որ B2B տեսակի հարաբերությունների շրջանակներում էլեկտրոնային փոխգործակցության սուբյեկտների կողմից կիրառվող նույնականացման եղանակները հիմնվեն էլեկտրոնային ստորագրության ստուգման բանալիների հավաստագրերի օգտագործման վրա, որոնք իրագործվում են վստահության անդրսահմանային տարածքի կազմի մեջ մտնող՝ անդամ պետությունների հավաստագրման կենտրոնների կողմից </w:t>
      </w:r>
      <w:r w:rsidR="009B0063">
        <w:rPr>
          <w:rFonts w:ascii="Sylfaen" w:hAnsi="Sylfaen"/>
          <w:sz w:val="24"/>
          <w:szCs w:val="24"/>
        </w:rPr>
        <w:t>եւ</w:t>
      </w:r>
      <w:r w:rsidRPr="00234538">
        <w:rPr>
          <w:rFonts w:ascii="Sylfaen" w:hAnsi="Sylfaen"/>
          <w:sz w:val="24"/>
          <w:szCs w:val="24"/>
        </w:rPr>
        <w:t xml:space="preserve"> համապատասխանում են Պահանջներին:</w:t>
      </w:r>
    </w:p>
    <w:p w:rsidR="00977195" w:rsidRPr="00234538" w:rsidRDefault="00977195" w:rsidP="00234538">
      <w:pPr>
        <w:pStyle w:val="a0"/>
        <w:shd w:val="clear" w:color="auto" w:fill="auto"/>
        <w:spacing w:after="160"/>
        <w:ind w:firstLine="0"/>
        <w:jc w:val="center"/>
        <w:rPr>
          <w:rFonts w:ascii="Sylfaen" w:hAnsi="Sylfaen" w:cs="Sylfaen"/>
          <w:sz w:val="24"/>
          <w:szCs w:val="24"/>
        </w:rPr>
      </w:pPr>
    </w:p>
    <w:p w:rsidR="00292E5D" w:rsidRPr="00234538" w:rsidRDefault="00F35298" w:rsidP="00B173D1">
      <w:pPr>
        <w:pStyle w:val="a0"/>
        <w:shd w:val="clear" w:color="auto" w:fill="auto"/>
        <w:spacing w:after="160"/>
        <w:ind w:right="-8" w:firstLine="0"/>
        <w:jc w:val="center"/>
        <w:rPr>
          <w:rFonts w:ascii="Sylfaen" w:hAnsi="Sylfaen" w:cs="Sylfaen"/>
          <w:sz w:val="24"/>
          <w:szCs w:val="24"/>
        </w:rPr>
      </w:pPr>
      <w:r w:rsidRPr="00234538">
        <w:rPr>
          <w:rFonts w:ascii="Sylfaen" w:hAnsi="Sylfaen"/>
          <w:sz w:val="24"/>
          <w:szCs w:val="24"/>
        </w:rPr>
        <w:t>3. Տեղեկատվական փոխգործակցության ապահովման մեխանիզմները՝ В2В տեսակի հարաբերությունների շրջանակներում</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16.</w:t>
      </w:r>
      <w:r w:rsidR="00B173D1">
        <w:rPr>
          <w:rFonts w:ascii="Sylfaen" w:hAnsi="Sylfaen"/>
          <w:sz w:val="24"/>
          <w:szCs w:val="24"/>
        </w:rPr>
        <w:tab/>
      </w:r>
      <w:r w:rsidRPr="00234538">
        <w:rPr>
          <w:rFonts w:ascii="Sylfaen" w:hAnsi="Sylfaen"/>
          <w:sz w:val="24"/>
          <w:szCs w:val="24"/>
        </w:rPr>
        <w:t>В2В տեսակի հարաբերությունները կարող են իրականացվել տեղեկատվական փոխգործակցության ապահովման հետեւյալ մեխանիզմների օգտագործման միջոցով</w:t>
      </w:r>
      <w:r w:rsidR="00F51640" w:rsidRPr="00234538">
        <w:rPr>
          <w:rFonts w:ascii="Sylfaen" w:hAnsi="Sylfaen"/>
          <w:sz w:val="24"/>
          <w:szCs w:val="24"/>
        </w:rPr>
        <w:t>.</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lastRenderedPageBreak/>
        <w:t xml:space="preserve">փոխգործակցող իրավաբանական անձանց (տնտեսավարող սուբյեկտների) ներկայացուցիչներ հանդիսացող էլեկտրոնային փոխգործակցության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մեխանիզմներ, ինչպես նա</w:t>
      </w:r>
      <w:r w:rsidR="009B0063">
        <w:rPr>
          <w:rFonts w:ascii="Sylfaen" w:hAnsi="Sylfaen"/>
          <w:sz w:val="24"/>
          <w:szCs w:val="24"/>
        </w:rPr>
        <w:t>եւ</w:t>
      </w:r>
      <w:r w:rsidRPr="00234538">
        <w:rPr>
          <w:rFonts w:ascii="Sylfaen" w:hAnsi="Sylfaen"/>
          <w:sz w:val="24"/>
          <w:szCs w:val="24"/>
        </w:rPr>
        <w:t xml:space="preserve"> անհրաժեշտության դեպքում էլեկտրոնային ստորագրության ստուգման բանալիների հավաստագրերի կառավարման մեխանիզմներ</w:t>
      </w:r>
      <w:r w:rsidR="0065159B" w:rsidRPr="00234538">
        <w:rPr>
          <w:rFonts w:ascii="Sylfaen" w:hAnsi="Sylfaen"/>
          <w:sz w:val="24"/>
          <w:szCs w:val="24"/>
        </w:rPr>
        <w:t>,</w:t>
      </w:r>
      <w:r w:rsidRPr="00234538">
        <w:rPr>
          <w:rFonts w:ascii="Sylfaen" w:hAnsi="Sylfaen"/>
          <w:sz w:val="24"/>
          <w:szCs w:val="24"/>
        </w:rPr>
        <w:t xml:space="preserve"> ներառյալ այդպիսի հավաստագրերի ստեղծման, տրամադրման, գործողության դադարեցման, հետկանչի ու դրանց կարգավիճակի մասին տեղեկատվության տրամադրման հետ կապված գործառույթները.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ստորագրության ստեղծման </w:t>
      </w:r>
      <w:r w:rsidR="009B0063">
        <w:rPr>
          <w:rFonts w:ascii="Sylfaen" w:hAnsi="Sylfaen"/>
          <w:sz w:val="24"/>
          <w:szCs w:val="24"/>
        </w:rPr>
        <w:t>եւ</w:t>
      </w:r>
      <w:r w:rsidRPr="00234538">
        <w:rPr>
          <w:rFonts w:ascii="Sylfaen" w:hAnsi="Sylfaen"/>
          <w:sz w:val="24"/>
          <w:szCs w:val="24"/>
        </w:rPr>
        <w:t xml:space="preserve"> ստուգման մեխանիզմ, որով ստորագրվել են էլեկտրոնային փոխգործակցության սուբյեկտների կողմից ստեղծված էլեկտրոնային փաստաթղթերը.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էլեկտրոնային ստորագրության ստուգման բանալիների հավաստագրերի կարգավիճակի ստուգման մեխանիզմ.</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լիազորությունների ստուգման մեխանիզմ՝ 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համաձայնագրով սահմանված կանոններին համապատասխան.</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ժամանակի նշումների տրամադրման մեխանիզմ՝ տեղեկատվական փոխգործակցության տարբեր փուլերում այդ մեխանիզմին տեղեկատվություն տրամադրելու ամսաթվի </w:t>
      </w:r>
      <w:r w:rsidR="009B0063">
        <w:rPr>
          <w:rFonts w:ascii="Sylfaen" w:hAnsi="Sylfaen"/>
          <w:sz w:val="24"/>
          <w:szCs w:val="24"/>
        </w:rPr>
        <w:t>եւ</w:t>
      </w:r>
      <w:r w:rsidRPr="00234538">
        <w:rPr>
          <w:rFonts w:ascii="Sylfaen" w:hAnsi="Sylfaen"/>
          <w:sz w:val="24"/>
          <w:szCs w:val="24"/>
        </w:rPr>
        <w:t xml:space="preserve"> ժամի ամրագրման մեխանիզմ.</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տվյալների, այդ թվում՝ էլեկտրոնային փաստաթղթերի արխիվային պահպանման մեխանիզմ, որով ապահովվում է փոխանցված տվյալների, այդ թվում՝ էլեկտրոնային փաստաթղթերի իսկության ստուգումը՝</w:t>
      </w:r>
      <w:r w:rsidR="009B0063">
        <w:rPr>
          <w:rFonts w:ascii="Sylfaen" w:hAnsi="Sylfaen"/>
          <w:sz w:val="24"/>
          <w:szCs w:val="24"/>
        </w:rPr>
        <w:t xml:space="preserve"> </w:t>
      </w:r>
      <w:r w:rsidRPr="00234538">
        <w:rPr>
          <w:rFonts w:ascii="Sylfaen" w:hAnsi="Sylfaen"/>
          <w:sz w:val="24"/>
          <w:szCs w:val="24"/>
        </w:rPr>
        <w:t>տրված ժամանակահատվածը լրանալուն պես.</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տվյալների, այդ թվում՝ էլեկտրոնային փաստաթղթերի</w:t>
      </w:r>
      <w:r w:rsidR="009B0063">
        <w:rPr>
          <w:rFonts w:ascii="Sylfaen" w:hAnsi="Sylfaen"/>
          <w:sz w:val="24"/>
          <w:szCs w:val="24"/>
        </w:rPr>
        <w:t xml:space="preserve"> </w:t>
      </w:r>
      <w:r w:rsidRPr="00234538">
        <w:rPr>
          <w:rFonts w:ascii="Sylfaen" w:hAnsi="Sylfaen"/>
          <w:sz w:val="24"/>
          <w:szCs w:val="24"/>
        </w:rPr>
        <w:t>փոխանցման մեխանիզմ.</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չհրաժարվելու մեխանիզմ՝ էլեկտրոնային փոխգործակցության սուբյեկտների կողմից կատարված գործողությունների էլեկտրոնային ապացույցների՝ երրորդ </w:t>
      </w:r>
      <w:r w:rsidRPr="00234538">
        <w:rPr>
          <w:rFonts w:ascii="Sylfaen" w:hAnsi="Sylfaen"/>
          <w:sz w:val="24"/>
          <w:szCs w:val="24"/>
        </w:rPr>
        <w:lastRenderedPageBreak/>
        <w:t>կողմի համար ձ</w:t>
      </w:r>
      <w:r w:rsidR="009B0063">
        <w:rPr>
          <w:rFonts w:ascii="Sylfaen" w:hAnsi="Sylfaen"/>
          <w:sz w:val="24"/>
          <w:szCs w:val="24"/>
        </w:rPr>
        <w:t>եւ</w:t>
      </w:r>
      <w:r w:rsidRPr="00234538">
        <w:rPr>
          <w:rFonts w:ascii="Sylfaen" w:hAnsi="Sylfaen"/>
          <w:sz w:val="24"/>
          <w:szCs w:val="24"/>
        </w:rPr>
        <w:t>ավորման (տրամադրման) մեխանիզմ, այդ թվում՝ էլեկտրոնային փաստաթուղթը</w:t>
      </w:r>
      <w:r w:rsidR="009B0063">
        <w:rPr>
          <w:rFonts w:ascii="Sylfaen" w:hAnsi="Sylfaen"/>
          <w:sz w:val="24"/>
          <w:szCs w:val="24"/>
        </w:rPr>
        <w:t xml:space="preserve"> </w:t>
      </w:r>
      <w:r w:rsidRPr="00234538">
        <w:rPr>
          <w:rFonts w:ascii="Sylfaen" w:hAnsi="Sylfaen"/>
          <w:sz w:val="24"/>
          <w:szCs w:val="24"/>
        </w:rPr>
        <w:t xml:space="preserve">էլեկտրոնային ստորագրությամբ ստորագրելու </w:t>
      </w:r>
      <w:r w:rsidR="009B0063">
        <w:rPr>
          <w:rFonts w:ascii="Sylfaen" w:hAnsi="Sylfaen"/>
          <w:sz w:val="24"/>
          <w:szCs w:val="24"/>
        </w:rPr>
        <w:t>եւ</w:t>
      </w:r>
      <w:r w:rsidRPr="00234538">
        <w:rPr>
          <w:rFonts w:ascii="Sylfaen" w:hAnsi="Sylfaen"/>
          <w:sz w:val="24"/>
          <w:szCs w:val="24"/>
        </w:rPr>
        <w:t xml:space="preserve"> այն փոխանցելու (ստանալու) մեխանիզմ</w:t>
      </w:r>
      <w:r w:rsidR="00265EED" w:rsidRPr="00234538">
        <w:rPr>
          <w:rFonts w:ascii="Sylfaen" w:hAnsi="Sylfaen"/>
          <w:sz w:val="24"/>
          <w:szCs w:val="24"/>
        </w:rPr>
        <w:t>:</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17.</w:t>
      </w:r>
      <w:r w:rsidR="00B173D1">
        <w:rPr>
          <w:rFonts w:ascii="Sylfaen" w:hAnsi="Sylfaen"/>
          <w:sz w:val="24"/>
          <w:szCs w:val="24"/>
        </w:rPr>
        <w:tab/>
      </w:r>
      <w:r w:rsidRPr="00234538">
        <w:rPr>
          <w:rFonts w:ascii="Sylfaen" w:hAnsi="Sylfaen"/>
          <w:sz w:val="24"/>
          <w:szCs w:val="24"/>
        </w:rPr>
        <w:t xml:space="preserve">Սույն հայեցակարգի 16-րդ կետում նշված մեխանիզմներն իրականացվում են անմիջապես էլեկտրոնային փոխգործակցության սուբյեկտների, հավաստագրման կենտրոնների կամ վստահված երրորդ կողմերի կողմից, որոնք հանդիսանում են անդամ պետությունների վստահության ազգային տարածքների տարրեր կամ վստահության անդրսահմանային տարածքի տարրեր՝ ելնելով այն անդամ պետությունների օրենսդրությունից, որոնց իրավազորության տակ են գտնվում նշված սուբյեկտները, </w:t>
      </w:r>
      <w:r w:rsidR="009B0063">
        <w:rPr>
          <w:rFonts w:ascii="Sylfaen" w:hAnsi="Sylfaen"/>
          <w:sz w:val="24"/>
          <w:szCs w:val="24"/>
        </w:rPr>
        <w:t>եւ</w:t>
      </w:r>
      <w:r w:rsidRPr="00234538">
        <w:rPr>
          <w:rFonts w:ascii="Sylfaen" w:hAnsi="Sylfaen"/>
          <w:sz w:val="24"/>
          <w:szCs w:val="24"/>
        </w:rPr>
        <w:t xml:space="preserve"> այդպիսի տեղեկատվական փոխգործակցության ժամանակ թույլատրելի ռիսկերի գնահատումից: Էլեկտրոնային փոխգործակցության սուբյեկտների կողմից օգտագործվող վստահության անդրսահմանային տարածքի տարրերը պետք է համապատասխանեն Պահանջներին:</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18.</w:t>
      </w:r>
      <w:r w:rsidR="00B173D1">
        <w:rPr>
          <w:rFonts w:ascii="Sylfaen" w:hAnsi="Sylfaen"/>
          <w:sz w:val="24"/>
          <w:szCs w:val="24"/>
        </w:rPr>
        <w:tab/>
      </w:r>
      <w:r w:rsidRPr="00234538">
        <w:rPr>
          <w:rFonts w:ascii="Sylfaen" w:hAnsi="Sylfaen"/>
          <w:sz w:val="24"/>
          <w:szCs w:val="24"/>
        </w:rPr>
        <w:t>Փոխանցվող տվյալների, այդ թվում՝ էլեկտրոնային փաստաթղթերի պաշտպանության տարբեր մեխանիզմներ օգտագործող` էլեկտրոնային փոխգործակցության սուբյեկտների միջեւ տեղեկատվական փոխգործակցությունը կարող է ապահովվել</w:t>
      </w:r>
      <w:r w:rsidR="00265EED" w:rsidRPr="00234538">
        <w:rPr>
          <w:rFonts w:ascii="Sylfaen" w:hAnsi="Sylfaen"/>
          <w:sz w:val="24"/>
          <w:szCs w:val="24"/>
        </w:rPr>
        <w:t xml:space="preserve"> </w:t>
      </w:r>
      <w:r w:rsidRPr="00234538">
        <w:rPr>
          <w:rFonts w:ascii="Sylfaen" w:hAnsi="Sylfaen"/>
          <w:sz w:val="24"/>
          <w:szCs w:val="24"/>
        </w:rPr>
        <w:t>էլեկտրոնային տեսքով տեղեկատվության փաստաթղթավորման ընդհանուր ենթակառուցվածքի օպերատորների կողմից տրամադրվող մեխանիզմների օգտագործմամբ։ Եթե օգտագործվում են էլեկտրոնային տեսքով տեղեկատվության փաստաթղթավորման ընդհանուր ենթակառուցվածքի օպերատորների կողմից տրամադրվող մեխանիզմներ, ապա պետությունը, որի ռեզիդենտն է իրավաբանական անձը, ապահովում է էլեկտրոնային տեսքով տեղեկատվության փաստաթղթավորման ընդհանուր ենթակառուցվածքի օպերատորների կողմից օգտագործվող վստահության անդրսահմանային տարածքի տարրերի նկատմամբ վստահության երաշխիքներ:</w:t>
      </w:r>
    </w:p>
    <w:p w:rsidR="00DD5C33" w:rsidRDefault="00DD5C33">
      <w:pPr>
        <w:rPr>
          <w:rFonts w:ascii="Sylfaen" w:eastAsia="Times New Roman" w:hAnsi="Sylfaen" w:cs="Sylfaen"/>
        </w:rPr>
      </w:pPr>
      <w:r>
        <w:rPr>
          <w:rFonts w:ascii="Sylfaen" w:hAnsi="Sylfaen" w:cs="Sylfaen"/>
        </w:rPr>
        <w:br w:type="page"/>
      </w:r>
    </w:p>
    <w:p w:rsidR="00292E5D" w:rsidRPr="00234538" w:rsidRDefault="00F35298" w:rsidP="00B173D1">
      <w:pPr>
        <w:pStyle w:val="a0"/>
        <w:shd w:val="clear" w:color="auto" w:fill="auto"/>
        <w:spacing w:after="160"/>
        <w:ind w:right="-8" w:firstLine="0"/>
        <w:jc w:val="center"/>
        <w:rPr>
          <w:rFonts w:ascii="Sylfaen" w:hAnsi="Sylfaen" w:cs="Sylfaen"/>
          <w:sz w:val="24"/>
          <w:szCs w:val="24"/>
        </w:rPr>
      </w:pPr>
      <w:r w:rsidRPr="00234538">
        <w:rPr>
          <w:rFonts w:ascii="Sylfaen" w:hAnsi="Sylfaen"/>
          <w:sz w:val="24"/>
          <w:szCs w:val="24"/>
        </w:rPr>
        <w:lastRenderedPageBreak/>
        <w:t>III. Անդամ պետությունների լիազորված մարմինների հետ անդամ պետությունների իրավաբանական անձանց (տնտեսավարող սուբյեկտների) տեղեկատվական փոխգործակցության իրականացման ընդհանուր մոտեցումները</w:t>
      </w:r>
    </w:p>
    <w:p w:rsidR="00292E5D" w:rsidRPr="00234538" w:rsidRDefault="00F35298" w:rsidP="00B173D1">
      <w:pPr>
        <w:pStyle w:val="a0"/>
        <w:shd w:val="clear" w:color="auto" w:fill="auto"/>
        <w:spacing w:after="160"/>
        <w:ind w:right="-8" w:firstLine="0"/>
        <w:jc w:val="center"/>
        <w:rPr>
          <w:rFonts w:ascii="Sylfaen" w:hAnsi="Sylfaen" w:cs="Sylfaen"/>
          <w:sz w:val="24"/>
          <w:szCs w:val="24"/>
        </w:rPr>
      </w:pPr>
      <w:r w:rsidRPr="00234538">
        <w:rPr>
          <w:rFonts w:ascii="Sylfaen" w:hAnsi="Sylfaen"/>
          <w:sz w:val="24"/>
          <w:szCs w:val="24"/>
        </w:rPr>
        <w:t>1. Անդամ պետությունների լիազորված մարմինների հետ անդամ պետությունների իրավաբանական անձանց (տնտեսավարող սուբյեկտների) տեղեկատվական փոխգործակցության կազմակերպման ընդհանուր սկզբունքները</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19.</w:t>
      </w:r>
      <w:r w:rsidR="00B173D1">
        <w:rPr>
          <w:rFonts w:ascii="Sylfaen" w:hAnsi="Sylfaen"/>
          <w:sz w:val="24"/>
          <w:szCs w:val="24"/>
        </w:rPr>
        <w:tab/>
      </w:r>
      <w:r w:rsidRPr="00234538">
        <w:rPr>
          <w:rFonts w:ascii="Sylfaen" w:hAnsi="Sylfaen"/>
          <w:sz w:val="24"/>
          <w:szCs w:val="24"/>
        </w:rPr>
        <w:t>Անդամ պետությունների լիազորված մարմինների հետ անդամ պետությունների իրավաբանական անձանց (տնտեսավարող սուբյեկտների) տեղեկատվական փոխգործակցության (այսուհետ՝ B2G տեսակի հարաբերություններ) կազմակերպումն իրականացվում է հետ</w:t>
      </w:r>
      <w:r w:rsidR="009B0063">
        <w:rPr>
          <w:rFonts w:ascii="Sylfaen" w:hAnsi="Sylfaen"/>
          <w:sz w:val="24"/>
          <w:szCs w:val="24"/>
        </w:rPr>
        <w:t>եւ</w:t>
      </w:r>
      <w:r w:rsidRPr="00234538">
        <w:rPr>
          <w:rFonts w:ascii="Sylfaen" w:hAnsi="Sylfaen"/>
          <w:sz w:val="24"/>
          <w:szCs w:val="24"/>
        </w:rPr>
        <w:t>յալ սկզբունքների հիման վրա</w:t>
      </w:r>
      <w:r w:rsidR="00265EED" w:rsidRPr="00234538">
        <w:rPr>
          <w:rFonts w:ascii="Sylfaen" w:hAnsi="Sylfaen"/>
          <w:sz w:val="24"/>
          <w:szCs w:val="24"/>
        </w:rPr>
        <w:t>.</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B2G տեսակի հարաբերություններն իրականացվում են այն անդամ պետության օրենսդրության պահանջներին համապատասխան, որի լիազորված մարմնի հետ պլանավորվում է փոխգործակցությունը, </w:t>
      </w:r>
      <w:r w:rsidR="009B0063">
        <w:rPr>
          <w:rFonts w:ascii="Sylfaen" w:hAnsi="Sylfaen"/>
          <w:sz w:val="24"/>
          <w:szCs w:val="24"/>
        </w:rPr>
        <w:t>եւ</w:t>
      </w:r>
      <w:r w:rsidRPr="00234538">
        <w:rPr>
          <w:rFonts w:ascii="Sylfaen" w:hAnsi="Sylfaen"/>
          <w:sz w:val="24"/>
          <w:szCs w:val="24"/>
        </w:rPr>
        <w:t xml:space="preserve"> Միության իրավունքի պահանջներին համապատասխան, որոնցով կարգավորվում են այն հարաբերությունները, որոնց շրջանակներում կազմակերպվում է տեղեկատվական փոխգործակցությունը.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B2G տեսակի հարաբերությունների իրականացման ժամանակ գլխավորապես հարկ է օգտագործել էլեկտրոնային տեսքով տեղեկատվության փաստաթղթավորման ընդհանուր ենթակառուցվածքի մեխանիզմները, որոնք տրամադրվում են Եվրասիական տնտեսական հանձնաժողովի (այսուհետ՝ Հանձնաժողով) կողմից հաստատվող՝ էլեկտրոնային տեսքով տեղեկատվության փաստաթղթավորման ընդհանուր ենթակառուցվածքի տարրերի ցանկում ներառված՝ վստահության անդրսահմանային տարածքի տարրերի օպերատորների կողմից.</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տեսքով տեղեկատվության փաստաթղթավորման ընդհանուր ենթակառուցվածքի մեխանիզմներ տրամադրող՝ էլեկտրոնային տեսքով տեղեկատվության փաստաթղթավորման ընդհանուր ենթակառուցվածքի </w:t>
      </w:r>
      <w:r w:rsidRPr="00234538">
        <w:rPr>
          <w:rFonts w:ascii="Sylfaen" w:hAnsi="Sylfaen"/>
          <w:sz w:val="24"/>
          <w:szCs w:val="24"/>
        </w:rPr>
        <w:lastRenderedPageBreak/>
        <w:t xml:space="preserve">օպերատորներ կարող են հանդիսանալ անդամ պետությունների պետական մարմինները </w:t>
      </w:r>
      <w:r w:rsidR="009B0063">
        <w:rPr>
          <w:rFonts w:ascii="Sylfaen" w:hAnsi="Sylfaen"/>
          <w:sz w:val="24"/>
          <w:szCs w:val="24"/>
        </w:rPr>
        <w:t>եւ</w:t>
      </w:r>
      <w:r w:rsidRPr="00234538">
        <w:rPr>
          <w:rFonts w:ascii="Sylfaen" w:hAnsi="Sylfaen"/>
          <w:sz w:val="24"/>
          <w:szCs w:val="24"/>
        </w:rPr>
        <w:t xml:space="preserve"> կազմակերպությունները, անդամ պետությունների ոչ պետական կազմակերպությունները, ինչպես նա</w:t>
      </w:r>
      <w:r w:rsidR="009B0063">
        <w:rPr>
          <w:rFonts w:ascii="Sylfaen" w:hAnsi="Sylfaen"/>
          <w:sz w:val="24"/>
          <w:szCs w:val="24"/>
        </w:rPr>
        <w:t>եւ</w:t>
      </w:r>
      <w:r w:rsidRPr="00234538">
        <w:rPr>
          <w:rFonts w:ascii="Sylfaen" w:hAnsi="Sylfaen"/>
          <w:sz w:val="24"/>
          <w:szCs w:val="24"/>
        </w:rPr>
        <w:t xml:space="preserve"> Հանձնաժողովը.</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վստահության անդրսահմանային տարածքի տարրերը պետք է համապատասխանեն Պահանջներին՝ անկախ այն բանից, թե որ օպերատորների կողմից են դրանք շահագործվում.</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B2G տեսակի հարաբերությունների ապահովման մեխանիզմների հուսալիության մակարդակը սահմանվում է՝ ելնելով Միության իրավունքի՝ այն հարաբերությունները կարգավորող պահանջներից, որոնց շրջանակներում իրականացվում է տեղեկատվական փոխգործակցությունը, կամ այն անդամ պետության օրենսդրության պահանջներից, որի լիազորված մարմնի հետ պլանավորում են փոխգործակցել անդամ պետության իրավաբանական անձինք (տնտեսավարող սուբյեկտները): Նշված պահանջների բացակայության դեպքում հուսալիության մակարդակը որոշվում է` ելնելով համապատասխան անդամ պետության լիազորված մարմնի այն պահանջներից, որոնք սահմանվել են այդպիսի տեղեկատվական փոխգործակցության համար թույլատրելի ռիսկերի գնահատման հիման վրա.</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տեսքով տեղեկատվության փաստաթղթավորման ընդհանուր ենթակառուցվածքի օպերատորների կողմից էլեկտրոնային տեսքով տեղեկատվության փաստաթղթավորման այն մեխանիզմների տրամադրման պայմանները, որոնք գտնվում են որոշակի անդամ պետության իրավազորության շրջանակներում, </w:t>
      </w:r>
      <w:r w:rsidR="009B0063">
        <w:rPr>
          <w:rFonts w:ascii="Sylfaen" w:hAnsi="Sylfaen"/>
          <w:sz w:val="24"/>
          <w:szCs w:val="24"/>
        </w:rPr>
        <w:t>եւ</w:t>
      </w:r>
      <w:r w:rsidRPr="00234538">
        <w:rPr>
          <w:rFonts w:ascii="Sylfaen" w:hAnsi="Sylfaen"/>
          <w:sz w:val="24"/>
          <w:szCs w:val="24"/>
        </w:rPr>
        <w:t xml:space="preserve"> նշված օպերատորների ծառայությունների վճարման կարգը սահմանվում </w:t>
      </w:r>
      <w:r w:rsidR="00637239" w:rsidRPr="00234538">
        <w:rPr>
          <w:rFonts w:ascii="Sylfaen" w:hAnsi="Sylfaen"/>
          <w:sz w:val="24"/>
          <w:szCs w:val="24"/>
        </w:rPr>
        <w:t>է</w:t>
      </w:r>
      <w:r w:rsidRPr="00234538">
        <w:rPr>
          <w:rFonts w:ascii="Sylfaen" w:hAnsi="Sylfaen"/>
          <w:sz w:val="24"/>
          <w:szCs w:val="24"/>
        </w:rPr>
        <w:t xml:space="preserve"> այդ անդամ պետության օրենսդրությամբ՝ ինքնուրույն կերպով, եթե Միության օրենքով այլ բան սահմանված չէ.</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տեսքով տեղեկատվության փաստաթղթավորման ընդհանուր ենթակառուցվածքի օպերատորները պատասխանվություն են կրում ոչ պատշաճ որակի ծառայություններ մատուցելու </w:t>
      </w:r>
      <w:r w:rsidR="009B0063">
        <w:rPr>
          <w:rFonts w:ascii="Sylfaen" w:hAnsi="Sylfaen"/>
          <w:sz w:val="24"/>
          <w:szCs w:val="24"/>
        </w:rPr>
        <w:t>եւ</w:t>
      </w:r>
      <w:r w:rsidRPr="00234538">
        <w:rPr>
          <w:rFonts w:ascii="Sylfaen" w:hAnsi="Sylfaen"/>
          <w:sz w:val="24"/>
          <w:szCs w:val="24"/>
        </w:rPr>
        <w:t xml:space="preserve"> երրորդ անձանց հասցրած վնասի համար՝ Պահանջների 18-րդ </w:t>
      </w:r>
      <w:r w:rsidR="009B0063">
        <w:rPr>
          <w:rFonts w:ascii="Sylfaen" w:hAnsi="Sylfaen"/>
          <w:sz w:val="24"/>
          <w:szCs w:val="24"/>
        </w:rPr>
        <w:t>եւ</w:t>
      </w:r>
      <w:r w:rsidRPr="00234538">
        <w:rPr>
          <w:rFonts w:ascii="Sylfaen" w:hAnsi="Sylfaen"/>
          <w:sz w:val="24"/>
          <w:szCs w:val="24"/>
        </w:rPr>
        <w:t xml:space="preserve"> 19-րդ կետերին համապատասխան:</w:t>
      </w:r>
    </w:p>
    <w:p w:rsidR="00292E5D" w:rsidRPr="00234538" w:rsidRDefault="00F35298" w:rsidP="00B173D1">
      <w:pPr>
        <w:pStyle w:val="a0"/>
        <w:shd w:val="clear" w:color="auto" w:fill="auto"/>
        <w:spacing w:after="160"/>
        <w:ind w:left="567" w:right="559" w:firstLine="0"/>
        <w:jc w:val="center"/>
        <w:rPr>
          <w:rFonts w:ascii="Sylfaen" w:hAnsi="Sylfaen" w:cs="Sylfaen"/>
          <w:sz w:val="24"/>
          <w:szCs w:val="24"/>
        </w:rPr>
      </w:pPr>
      <w:r w:rsidRPr="00234538">
        <w:rPr>
          <w:rFonts w:ascii="Sylfaen" w:hAnsi="Sylfaen"/>
          <w:sz w:val="24"/>
          <w:szCs w:val="24"/>
        </w:rPr>
        <w:lastRenderedPageBreak/>
        <w:t>2. Էլեկտրոնային փոխգործակցության սուբյեկտների նույնականացումը՝ B2G տեսակի հարաբերությունների շրջանակներում</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20.</w:t>
      </w:r>
      <w:r w:rsidR="00B173D1">
        <w:rPr>
          <w:rFonts w:ascii="Sylfaen" w:hAnsi="Sylfaen"/>
          <w:sz w:val="24"/>
          <w:szCs w:val="24"/>
        </w:rPr>
        <w:tab/>
      </w:r>
      <w:r w:rsidRPr="00234538">
        <w:rPr>
          <w:rFonts w:ascii="Sylfaen" w:hAnsi="Sylfaen"/>
          <w:sz w:val="24"/>
          <w:szCs w:val="24"/>
        </w:rPr>
        <w:t>B2G տեսակի հարաբերությունների դեպքում օգտագործվում են էլեկտրոնային փոխգործակցության սուբյեկտների նույնականացման այն եղանակները, որոնք սահմանվել են տվյալ տեսակի տեղեկատվական փոխգործակցության համար այն անդամ պետության օրենսդրությամբ, որի լիազորված մարմնի հետ պլանավորում են փոխգործակցել անդամ պետությունների իրավաբանական անձինք (տնտեսավարող սուբյեկտները):</w:t>
      </w:r>
    </w:p>
    <w:p w:rsidR="00292E5D" w:rsidRPr="00234538" w:rsidRDefault="00DD5C33" w:rsidP="00B173D1">
      <w:pPr>
        <w:pStyle w:val="a0"/>
        <w:shd w:val="clear" w:color="auto" w:fill="auto"/>
        <w:tabs>
          <w:tab w:val="left" w:pos="1134"/>
        </w:tabs>
        <w:spacing w:after="160"/>
        <w:ind w:firstLine="567"/>
        <w:jc w:val="both"/>
        <w:rPr>
          <w:rFonts w:ascii="Sylfaen" w:hAnsi="Sylfaen" w:cs="Sylfaen"/>
          <w:sz w:val="24"/>
          <w:szCs w:val="24"/>
        </w:rPr>
      </w:pPr>
      <w:r>
        <w:rPr>
          <w:rFonts w:ascii="Sylfaen" w:hAnsi="Sylfaen"/>
          <w:sz w:val="24"/>
          <w:szCs w:val="24"/>
        </w:rPr>
        <w:t>21.</w:t>
      </w:r>
      <w:r w:rsidR="00B173D1">
        <w:rPr>
          <w:rFonts w:ascii="Sylfaen" w:hAnsi="Sylfaen"/>
          <w:sz w:val="24"/>
          <w:szCs w:val="24"/>
        </w:rPr>
        <w:tab/>
      </w:r>
      <w:r w:rsidR="00F35298" w:rsidRPr="00234538">
        <w:rPr>
          <w:rFonts w:ascii="Sylfaen" w:hAnsi="Sylfaen"/>
          <w:sz w:val="24"/>
          <w:szCs w:val="24"/>
        </w:rPr>
        <w:t xml:space="preserve">Խորհուրդ է տրվում, որ էլեկտրոնային փոխգործակցության սուբյեկտների նույնականացման կիրառվող եղանակները հիմնվեն էլեկտրոնային ստորագրության ստուգման բանալիների հավաստագրերի ստեղծման </w:t>
      </w:r>
      <w:r w:rsidR="009B0063">
        <w:rPr>
          <w:rFonts w:ascii="Sylfaen" w:hAnsi="Sylfaen"/>
          <w:sz w:val="24"/>
          <w:szCs w:val="24"/>
        </w:rPr>
        <w:t>եւ</w:t>
      </w:r>
      <w:r w:rsidR="00F35298" w:rsidRPr="00234538">
        <w:rPr>
          <w:rFonts w:ascii="Sylfaen" w:hAnsi="Sylfaen"/>
          <w:sz w:val="24"/>
          <w:szCs w:val="24"/>
        </w:rPr>
        <w:t xml:space="preserve"> տրամադրման այն մեխանիզմների օգտագործման վրա, որոնք իրագործվում են վստահության անդրսահմանային տարածքի կազմի մեջ մտնող անդամ պետությունների հավաստագրման կենտրոնների կողմից </w:t>
      </w:r>
      <w:r w:rsidR="009B0063">
        <w:rPr>
          <w:rFonts w:ascii="Sylfaen" w:hAnsi="Sylfaen"/>
          <w:sz w:val="24"/>
          <w:szCs w:val="24"/>
        </w:rPr>
        <w:t>եւ</w:t>
      </w:r>
      <w:r w:rsidR="00F35298" w:rsidRPr="00234538">
        <w:rPr>
          <w:rFonts w:ascii="Sylfaen" w:hAnsi="Sylfaen"/>
          <w:sz w:val="24"/>
          <w:szCs w:val="24"/>
        </w:rPr>
        <w:t xml:space="preserve"> համապատասխանում են Պահանջներին:</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22.</w:t>
      </w:r>
      <w:r w:rsidR="00B173D1">
        <w:rPr>
          <w:rFonts w:ascii="Sylfaen" w:hAnsi="Sylfaen"/>
          <w:sz w:val="24"/>
          <w:szCs w:val="24"/>
        </w:rPr>
        <w:tab/>
      </w:r>
      <w:r w:rsidRPr="00234538">
        <w:rPr>
          <w:rFonts w:ascii="Sylfaen" w:hAnsi="Sylfaen"/>
          <w:sz w:val="24"/>
          <w:szCs w:val="24"/>
        </w:rPr>
        <w:t xml:space="preserve">Էլեկտրոնային փոխգործակցության սուբյեկտների նույնականացումն ապահովվում է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մեխանիզմի միջոցով: Էլեկտրոնային տեսքով տեղեկատվության փաստաթղթավորման ընդհանուր ենթակառուցվածքի՝ նշված մեխանիզմը տրամադրող օպերատորներ</w:t>
      </w:r>
      <w:r w:rsidR="00E81EFA" w:rsidRPr="00234538">
        <w:rPr>
          <w:rFonts w:ascii="Sylfaen" w:hAnsi="Sylfaen"/>
          <w:sz w:val="24"/>
          <w:szCs w:val="24"/>
        </w:rPr>
        <w:t>ն</w:t>
      </w:r>
      <w:r w:rsidRPr="00234538">
        <w:rPr>
          <w:rFonts w:ascii="Sylfaen" w:hAnsi="Sylfaen"/>
          <w:sz w:val="24"/>
          <w:szCs w:val="24"/>
        </w:rPr>
        <w:t xml:space="preserve"> էլեկտրոնային փոխգործակցության սուբյեկտներին մատուցում են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ծառայություններ՝ էլեկտրոնային փոխգործակցության սուբյեկտների նույնականացման սխեմային համապատասխան, որը նախատեսված է տվյալ տեսակի տեղեկատվական փոխգործակցության համար այն անդամ պետության օրենսդրությամբ, որի իրավազորության շրջանակներում են դրանք գտնվում։</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23.</w:t>
      </w:r>
      <w:r w:rsidR="00B173D1">
        <w:rPr>
          <w:rFonts w:ascii="Sylfaen" w:hAnsi="Sylfaen"/>
          <w:sz w:val="24"/>
          <w:szCs w:val="24"/>
        </w:rPr>
        <w:tab/>
      </w:r>
      <w:r w:rsidRPr="00234538">
        <w:rPr>
          <w:rFonts w:ascii="Sylfaen" w:hAnsi="Sylfaen"/>
          <w:sz w:val="24"/>
          <w:szCs w:val="24"/>
        </w:rPr>
        <w:t xml:space="preserve">Հանձնաժողովը վարում է էլեկտրոնային փոխգործակցության սուբյեկտների նույնականցման սխեմաների ռեեստրը, որոնց օգտագործումը թույլատրելի է անդամ պետություններում սուբյեկտների նույնականացման </w:t>
      </w:r>
      <w:r w:rsidR="009B0063">
        <w:rPr>
          <w:rFonts w:ascii="Sylfaen" w:hAnsi="Sylfaen"/>
          <w:sz w:val="24"/>
          <w:szCs w:val="24"/>
        </w:rPr>
        <w:t>եւ</w:t>
      </w:r>
      <w:r w:rsidRPr="00234538">
        <w:rPr>
          <w:rFonts w:ascii="Sylfaen" w:hAnsi="Sylfaen"/>
          <w:sz w:val="24"/>
          <w:szCs w:val="24"/>
        </w:rPr>
        <w:t xml:space="preserve"> </w:t>
      </w:r>
      <w:r w:rsidRPr="00234538">
        <w:rPr>
          <w:rFonts w:ascii="Sylfaen" w:hAnsi="Sylfaen"/>
          <w:sz w:val="24"/>
          <w:szCs w:val="24"/>
        </w:rPr>
        <w:lastRenderedPageBreak/>
        <w:t>իսկորոշման մեխանիզմներում տեղեկատվական փոխգործակցության որոշակի տեսակների համար: Տեղեկ</w:t>
      </w:r>
      <w:r w:rsidR="00637239" w:rsidRPr="00234538">
        <w:rPr>
          <w:rFonts w:ascii="Sylfaen" w:hAnsi="Sylfaen"/>
          <w:sz w:val="24"/>
          <w:szCs w:val="24"/>
        </w:rPr>
        <w:t>ա</w:t>
      </w:r>
      <w:r w:rsidRPr="00234538">
        <w:rPr>
          <w:rFonts w:ascii="Sylfaen" w:hAnsi="Sylfaen"/>
          <w:sz w:val="24"/>
          <w:szCs w:val="24"/>
        </w:rPr>
        <w:t xml:space="preserve">տվական փոխգործակցության որոշակի տեսակների </w:t>
      </w:r>
      <w:r w:rsidRPr="00DD5C33">
        <w:rPr>
          <w:rFonts w:ascii="Sylfaen" w:hAnsi="Sylfaen"/>
          <w:spacing w:val="2"/>
          <w:sz w:val="24"/>
          <w:szCs w:val="24"/>
        </w:rPr>
        <w:t>համար էլեկտրոնային փոխգործակցության սուբյեկտների նույնականացման՝ անդամ պետություններում օգտագործվող սխեմաների մասին տեղեկատվությունը տրամադրվում է անդամ պետությունների կողմից՝ տվյալ ցանկում ընդգրկելու նպատակով:</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24.</w:t>
      </w:r>
      <w:r w:rsidR="00B173D1">
        <w:rPr>
          <w:rFonts w:ascii="Sylfaen" w:hAnsi="Sylfaen"/>
          <w:sz w:val="24"/>
          <w:szCs w:val="24"/>
        </w:rPr>
        <w:tab/>
      </w:r>
      <w:r w:rsidRPr="00234538">
        <w:rPr>
          <w:rFonts w:ascii="Sylfaen" w:hAnsi="Sylfaen"/>
          <w:sz w:val="24"/>
          <w:szCs w:val="24"/>
        </w:rPr>
        <w:t xml:space="preserve">Անդամ պետությունները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ազգային մեխանիզմների միջ</w:t>
      </w:r>
      <w:r w:rsidR="009B0063">
        <w:rPr>
          <w:rFonts w:ascii="Sylfaen" w:hAnsi="Sylfaen"/>
          <w:sz w:val="24"/>
          <w:szCs w:val="24"/>
        </w:rPr>
        <w:t>եւ</w:t>
      </w:r>
      <w:r w:rsidRPr="00234538">
        <w:rPr>
          <w:rFonts w:ascii="Sylfaen" w:hAnsi="Sylfaen"/>
          <w:sz w:val="24"/>
          <w:szCs w:val="24"/>
        </w:rPr>
        <w:t xml:space="preserve"> վստահություն հաստատելու նպատակով ջանքեր են գործադրում:</w:t>
      </w:r>
    </w:p>
    <w:p w:rsidR="00977195" w:rsidRPr="00234538" w:rsidRDefault="00977195" w:rsidP="00234538">
      <w:pPr>
        <w:pStyle w:val="a0"/>
        <w:shd w:val="clear" w:color="auto" w:fill="auto"/>
        <w:spacing w:after="160"/>
        <w:ind w:firstLine="567"/>
        <w:jc w:val="both"/>
        <w:rPr>
          <w:rFonts w:ascii="Sylfaen" w:hAnsi="Sylfaen" w:cs="Sylfaen"/>
          <w:sz w:val="24"/>
          <w:szCs w:val="24"/>
        </w:rPr>
      </w:pPr>
    </w:p>
    <w:p w:rsidR="00292E5D" w:rsidRPr="00234538" w:rsidRDefault="00F35298" w:rsidP="00B173D1">
      <w:pPr>
        <w:pStyle w:val="a0"/>
        <w:shd w:val="clear" w:color="auto" w:fill="auto"/>
        <w:spacing w:after="160"/>
        <w:ind w:left="567" w:right="559" w:firstLine="0"/>
        <w:jc w:val="center"/>
        <w:rPr>
          <w:rFonts w:ascii="Sylfaen" w:hAnsi="Sylfaen" w:cs="Sylfaen"/>
          <w:sz w:val="24"/>
          <w:szCs w:val="24"/>
        </w:rPr>
      </w:pPr>
      <w:r w:rsidRPr="00234538">
        <w:rPr>
          <w:rFonts w:ascii="Sylfaen" w:hAnsi="Sylfaen"/>
          <w:sz w:val="24"/>
          <w:szCs w:val="24"/>
        </w:rPr>
        <w:t>3. Տեղեկատվական փոխգործակցության ապահովման մեխանիզմները՝ B2G տեսակի հարաբերությունների շրջանակներում</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25.</w:t>
      </w:r>
      <w:r w:rsidR="00B173D1">
        <w:rPr>
          <w:rFonts w:ascii="Sylfaen" w:hAnsi="Sylfaen"/>
          <w:sz w:val="24"/>
          <w:szCs w:val="24"/>
        </w:rPr>
        <w:tab/>
      </w:r>
      <w:r w:rsidRPr="00234538">
        <w:rPr>
          <w:rFonts w:ascii="Sylfaen" w:hAnsi="Sylfaen"/>
          <w:sz w:val="24"/>
          <w:szCs w:val="24"/>
        </w:rPr>
        <w:t>B2G տեսակի հարաբերություններն իրականացվում են</w:t>
      </w:r>
      <w:r w:rsidR="009B0063">
        <w:rPr>
          <w:rFonts w:ascii="Sylfaen" w:hAnsi="Sylfaen"/>
          <w:sz w:val="24"/>
          <w:szCs w:val="24"/>
        </w:rPr>
        <w:t xml:space="preserve"> </w:t>
      </w:r>
      <w:r w:rsidRPr="00234538">
        <w:rPr>
          <w:rFonts w:ascii="Sylfaen" w:hAnsi="Sylfaen"/>
          <w:sz w:val="24"/>
          <w:szCs w:val="24"/>
        </w:rPr>
        <w:t>տեղեկատվական փոխգործակցության ապահովման հետեւյալ մեխանիզմների օգտագործման միջոցով</w:t>
      </w:r>
      <w:r w:rsidR="0065159B" w:rsidRPr="00234538">
        <w:rPr>
          <w:rFonts w:ascii="Sylfaen" w:hAnsi="Sylfaen"/>
          <w:sz w:val="24"/>
          <w:szCs w:val="24"/>
        </w:rPr>
        <w:t>.</w:t>
      </w: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t xml:space="preserve">էլեկտրոնային փոխգործակցության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մեխանիզմ՝ փոխգործակցող իրավաբանական անձանց (տնտեսավարող սուբյեկտների) ներկայացուցիչներ հանդիսացող սուբյեկտների նույնականացման </w:t>
      </w:r>
      <w:r w:rsidR="009B0063">
        <w:rPr>
          <w:rFonts w:ascii="Sylfaen" w:hAnsi="Sylfaen"/>
          <w:sz w:val="24"/>
          <w:szCs w:val="24"/>
        </w:rPr>
        <w:t>եւ</w:t>
      </w:r>
      <w:r w:rsidRPr="00234538">
        <w:rPr>
          <w:rFonts w:ascii="Sylfaen" w:hAnsi="Sylfaen"/>
          <w:sz w:val="24"/>
          <w:szCs w:val="24"/>
        </w:rPr>
        <w:t xml:space="preserve"> իսկորոշման մեխանիզմ, ինչպես նա</w:t>
      </w:r>
      <w:r w:rsidR="009B0063">
        <w:rPr>
          <w:rFonts w:ascii="Sylfaen" w:hAnsi="Sylfaen"/>
          <w:sz w:val="24"/>
          <w:szCs w:val="24"/>
        </w:rPr>
        <w:t>եւ</w:t>
      </w:r>
      <w:r w:rsidRPr="00234538">
        <w:rPr>
          <w:rFonts w:ascii="Sylfaen" w:hAnsi="Sylfaen"/>
          <w:sz w:val="24"/>
          <w:szCs w:val="24"/>
        </w:rPr>
        <w:t xml:space="preserve"> անհրաժեշտության դեպքում էլեկտրոնային ստորագրության ստուգման բանալիների հավաստագրերի կառավարման մեխանիզմ</w:t>
      </w:r>
      <w:r w:rsidR="0065159B" w:rsidRPr="00234538">
        <w:rPr>
          <w:rFonts w:ascii="Sylfaen" w:hAnsi="Sylfaen"/>
          <w:sz w:val="24"/>
          <w:szCs w:val="24"/>
        </w:rPr>
        <w:t>,</w:t>
      </w:r>
      <w:r w:rsidRPr="00234538">
        <w:rPr>
          <w:rFonts w:ascii="Sylfaen" w:hAnsi="Sylfaen"/>
          <w:sz w:val="24"/>
          <w:szCs w:val="24"/>
        </w:rPr>
        <w:t xml:space="preserve"> ներառյալ այդպիսի հավաստագրերի ստեղծման, տրամադրման, գործողության դադարեցման, հետկանչի ու դրանց կարգավիճակի մասին տեղեկատվության տրամադրման հետ կապված գործառույթները.</w:t>
      </w:r>
    </w:p>
    <w:p w:rsidR="00292E5D" w:rsidRDefault="00F35298" w:rsidP="00234538">
      <w:pPr>
        <w:pStyle w:val="a0"/>
        <w:shd w:val="clear" w:color="auto" w:fill="auto"/>
        <w:spacing w:after="160"/>
        <w:ind w:firstLine="567"/>
        <w:jc w:val="both"/>
        <w:rPr>
          <w:rFonts w:ascii="Sylfaen" w:hAnsi="Sylfaen"/>
          <w:sz w:val="24"/>
          <w:szCs w:val="24"/>
        </w:rPr>
      </w:pPr>
      <w:r w:rsidRPr="00234538">
        <w:rPr>
          <w:rFonts w:ascii="Sylfaen" w:hAnsi="Sylfaen"/>
          <w:sz w:val="24"/>
          <w:szCs w:val="24"/>
        </w:rPr>
        <w:t xml:space="preserve">էլեկտրոնային ստորագրության ստեղծման </w:t>
      </w:r>
      <w:r w:rsidR="009B0063">
        <w:rPr>
          <w:rFonts w:ascii="Sylfaen" w:hAnsi="Sylfaen"/>
          <w:sz w:val="24"/>
          <w:szCs w:val="24"/>
        </w:rPr>
        <w:t>եւ</w:t>
      </w:r>
      <w:r w:rsidRPr="00234538">
        <w:rPr>
          <w:rFonts w:ascii="Sylfaen" w:hAnsi="Sylfaen"/>
          <w:sz w:val="24"/>
          <w:szCs w:val="24"/>
        </w:rPr>
        <w:t xml:space="preserve"> ստուգման մեխանիզմ, որով ստորագրվել են էլեկտրոնային փոխգործակցության սուբյեկտների կողմից ստեղծված էլեկտրոնային փաստաթղթերը.</w:t>
      </w:r>
    </w:p>
    <w:p w:rsidR="00DD5C33" w:rsidRPr="00107E2A" w:rsidRDefault="00DD5C33" w:rsidP="002E1CB7">
      <w:pPr>
        <w:pStyle w:val="a0"/>
        <w:shd w:val="clear" w:color="auto" w:fill="auto"/>
        <w:spacing w:after="160"/>
        <w:ind w:firstLine="0"/>
        <w:jc w:val="both"/>
        <w:rPr>
          <w:rFonts w:ascii="Sylfaen" w:hAnsi="Sylfaen" w:cs="Sylfaen"/>
          <w:sz w:val="24"/>
          <w:szCs w:val="24"/>
        </w:rPr>
      </w:pPr>
    </w:p>
    <w:p w:rsidR="00292E5D" w:rsidRPr="00234538" w:rsidRDefault="00F35298" w:rsidP="00234538">
      <w:pPr>
        <w:pStyle w:val="a0"/>
        <w:shd w:val="clear" w:color="auto" w:fill="auto"/>
        <w:spacing w:after="160"/>
        <w:ind w:firstLine="567"/>
        <w:jc w:val="both"/>
        <w:rPr>
          <w:rFonts w:ascii="Sylfaen" w:hAnsi="Sylfaen" w:cs="Sylfaen"/>
          <w:sz w:val="24"/>
          <w:szCs w:val="24"/>
        </w:rPr>
      </w:pPr>
      <w:r w:rsidRPr="00234538">
        <w:rPr>
          <w:rFonts w:ascii="Sylfaen" w:hAnsi="Sylfaen"/>
          <w:sz w:val="24"/>
          <w:szCs w:val="24"/>
        </w:rPr>
        <w:lastRenderedPageBreak/>
        <w:t>էլեկտրոնային ստորագրության ստուգման բանալիների հավաստագրերի կարգավիճակի ստուգման մեխանիզմ.</w:t>
      </w:r>
    </w:p>
    <w:p w:rsidR="00292E5D" w:rsidRPr="00234538" w:rsidRDefault="00F35298" w:rsidP="00DD5C33">
      <w:pPr>
        <w:pStyle w:val="a0"/>
        <w:shd w:val="clear" w:color="auto" w:fill="auto"/>
        <w:spacing w:after="160" w:line="336" w:lineRule="auto"/>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լիազորությունների ստուգման մեխանիզմ այն անդամ պետության լիազորված մարմինների կողմից սահմանված կանոններին համապատասխան, որոնց հետ պլանավորում են փոխգործակցել անդամ պետությունների իրավաբանական անձինք (տնտեսավարող սուբյեկտները).</w:t>
      </w:r>
    </w:p>
    <w:p w:rsidR="00292E5D" w:rsidRPr="00234538" w:rsidRDefault="00F35298" w:rsidP="00DD5C33">
      <w:pPr>
        <w:pStyle w:val="a0"/>
        <w:shd w:val="clear" w:color="auto" w:fill="auto"/>
        <w:spacing w:after="160" w:line="336" w:lineRule="auto"/>
        <w:ind w:firstLine="567"/>
        <w:jc w:val="both"/>
        <w:rPr>
          <w:rFonts w:ascii="Sylfaen" w:hAnsi="Sylfaen" w:cs="Sylfaen"/>
          <w:sz w:val="24"/>
          <w:szCs w:val="24"/>
        </w:rPr>
      </w:pPr>
      <w:r w:rsidRPr="00234538">
        <w:rPr>
          <w:rFonts w:ascii="Sylfaen" w:hAnsi="Sylfaen"/>
          <w:sz w:val="24"/>
          <w:szCs w:val="24"/>
        </w:rPr>
        <w:t xml:space="preserve">ժամանակի նշումների տրամադրման մեխանիզմ՝ անդամ պետությունների իրավաբանական անձանց (տնտեսավարող սուբյեկտների)՝ անդամ պետությունների լիազորված մարմինների հետ տեղեկատվական փոխգործակցության տարբեր փուլերում այդ մեխանիզմին տեղեկատվություն տրամադրելու ամսաթվի </w:t>
      </w:r>
      <w:r w:rsidR="009B0063">
        <w:rPr>
          <w:rFonts w:ascii="Sylfaen" w:hAnsi="Sylfaen"/>
          <w:sz w:val="24"/>
          <w:szCs w:val="24"/>
        </w:rPr>
        <w:t>եւ</w:t>
      </w:r>
      <w:r w:rsidRPr="00234538">
        <w:rPr>
          <w:rFonts w:ascii="Sylfaen" w:hAnsi="Sylfaen"/>
          <w:sz w:val="24"/>
          <w:szCs w:val="24"/>
        </w:rPr>
        <w:t xml:space="preserve"> ժամի ֆիքսման մեխանիզմ.</w:t>
      </w:r>
    </w:p>
    <w:p w:rsidR="00292E5D" w:rsidRPr="00234538" w:rsidRDefault="00F35298" w:rsidP="00DD5C33">
      <w:pPr>
        <w:pStyle w:val="a0"/>
        <w:shd w:val="clear" w:color="auto" w:fill="auto"/>
        <w:spacing w:after="160" w:line="336" w:lineRule="auto"/>
        <w:ind w:firstLine="567"/>
        <w:jc w:val="both"/>
        <w:rPr>
          <w:rFonts w:ascii="Sylfaen" w:hAnsi="Sylfaen" w:cs="Sylfaen"/>
          <w:sz w:val="24"/>
          <w:szCs w:val="24"/>
        </w:rPr>
      </w:pPr>
      <w:r w:rsidRPr="00234538">
        <w:rPr>
          <w:rFonts w:ascii="Sylfaen" w:hAnsi="Sylfaen"/>
          <w:sz w:val="24"/>
          <w:szCs w:val="24"/>
        </w:rPr>
        <w:t>տվյալների, այդ թվում՝ էլեկտրոնային փաստաթղթերի արխիվային պահպանության մեխանիզմ՝ փոխանցված տվյալների, այդ թվում՝ էլեկտրոնային փաստաթղթերի իսկության ստուգման մեխանիզմ՝ տրված ժամանակահատվածը լրանալուն պես.</w:t>
      </w:r>
    </w:p>
    <w:p w:rsidR="00292E5D" w:rsidRPr="00234538" w:rsidRDefault="00F35298" w:rsidP="00DD5C33">
      <w:pPr>
        <w:pStyle w:val="a0"/>
        <w:shd w:val="clear" w:color="auto" w:fill="auto"/>
        <w:spacing w:after="160" w:line="336" w:lineRule="auto"/>
        <w:ind w:firstLine="567"/>
        <w:jc w:val="both"/>
        <w:rPr>
          <w:rFonts w:ascii="Sylfaen" w:hAnsi="Sylfaen" w:cs="Sylfaen"/>
          <w:sz w:val="24"/>
          <w:szCs w:val="24"/>
        </w:rPr>
      </w:pPr>
      <w:r w:rsidRPr="00234538">
        <w:rPr>
          <w:rFonts w:ascii="Sylfaen" w:hAnsi="Sylfaen"/>
          <w:sz w:val="24"/>
          <w:szCs w:val="24"/>
        </w:rPr>
        <w:t>էլեկտրոնային փոխգործակցության սուբյեկտների միջ</w:t>
      </w:r>
      <w:r w:rsidR="009B0063">
        <w:rPr>
          <w:rFonts w:ascii="Sylfaen" w:hAnsi="Sylfaen"/>
          <w:sz w:val="24"/>
          <w:szCs w:val="24"/>
        </w:rPr>
        <w:t>եւ</w:t>
      </w:r>
      <w:r w:rsidRPr="00234538">
        <w:rPr>
          <w:rFonts w:ascii="Sylfaen" w:hAnsi="Sylfaen"/>
          <w:sz w:val="24"/>
          <w:szCs w:val="24"/>
        </w:rPr>
        <w:t xml:space="preserve"> տվյալների, այդ թվում՝ էլեկտրոնային փաստաթղթերի փոխանցման մեխանիզմ՝ հասնելով այն անդամ պետության լիազորված մարմնի կողմից տրված՝ փոխանցվող տվյալների պաշտպանության բնութագրերին, այդ թվում՝ գաղտնիությանը, ամբողջականությանը, հասանելիությանը, հեղինակային պատկանելիության հաստատմանը, որոնց հետ պլանավորում են փոխգործակցել անդամ պետությունների իրավաբանական անձինք (տնտեսավարող սուբյեկտները).</w:t>
      </w:r>
    </w:p>
    <w:p w:rsidR="00292E5D" w:rsidRPr="00234538" w:rsidRDefault="00F35298" w:rsidP="00DD5C33">
      <w:pPr>
        <w:pStyle w:val="a0"/>
        <w:shd w:val="clear" w:color="auto" w:fill="auto"/>
        <w:spacing w:after="160" w:line="336" w:lineRule="auto"/>
        <w:ind w:firstLine="567"/>
        <w:jc w:val="both"/>
        <w:rPr>
          <w:rFonts w:ascii="Sylfaen" w:hAnsi="Sylfaen" w:cs="Sylfaen"/>
          <w:sz w:val="24"/>
          <w:szCs w:val="24"/>
        </w:rPr>
      </w:pPr>
      <w:r w:rsidRPr="00234538">
        <w:rPr>
          <w:rFonts w:ascii="Sylfaen" w:hAnsi="Sylfaen"/>
          <w:sz w:val="24"/>
          <w:szCs w:val="24"/>
        </w:rPr>
        <w:t>չհրաժարվելու մեխանիզմ՝ B2G տեսակի հարաբերություններում մասնակցություն ունեցող էլեկտրոնային փոխգործակցության սուբյեկտների կողմից կատարված գործողությունների էլեկտրոնային ապացույցների՝ երրորդ կողմի համար ձ</w:t>
      </w:r>
      <w:r w:rsidR="009B0063">
        <w:rPr>
          <w:rFonts w:ascii="Sylfaen" w:hAnsi="Sylfaen"/>
          <w:sz w:val="24"/>
          <w:szCs w:val="24"/>
        </w:rPr>
        <w:t>եւ</w:t>
      </w:r>
      <w:r w:rsidRPr="00234538">
        <w:rPr>
          <w:rFonts w:ascii="Sylfaen" w:hAnsi="Sylfaen"/>
          <w:sz w:val="24"/>
          <w:szCs w:val="24"/>
        </w:rPr>
        <w:t>ավորման (տրամադրման) մեխանիզմ, այդ թվում՝ էլեկտրոնային փաստաթուղթը</w:t>
      </w:r>
      <w:r w:rsidR="009B0063">
        <w:rPr>
          <w:rFonts w:ascii="Sylfaen" w:hAnsi="Sylfaen"/>
          <w:sz w:val="24"/>
          <w:szCs w:val="24"/>
        </w:rPr>
        <w:t xml:space="preserve"> </w:t>
      </w:r>
      <w:r w:rsidRPr="00234538">
        <w:rPr>
          <w:rFonts w:ascii="Sylfaen" w:hAnsi="Sylfaen"/>
          <w:sz w:val="24"/>
          <w:szCs w:val="24"/>
        </w:rPr>
        <w:t xml:space="preserve">էլեկտրոնային ստորագրությամբ ստորագրելու </w:t>
      </w:r>
      <w:r w:rsidR="009B0063">
        <w:rPr>
          <w:rFonts w:ascii="Sylfaen" w:hAnsi="Sylfaen"/>
          <w:sz w:val="24"/>
          <w:szCs w:val="24"/>
        </w:rPr>
        <w:t>եւ</w:t>
      </w:r>
      <w:r w:rsidRPr="00234538">
        <w:rPr>
          <w:rFonts w:ascii="Sylfaen" w:hAnsi="Sylfaen"/>
          <w:sz w:val="24"/>
          <w:szCs w:val="24"/>
        </w:rPr>
        <w:t xml:space="preserve"> այն փոխանցելու (ստանալու) մեխանիզմ.</w:t>
      </w:r>
    </w:p>
    <w:p w:rsidR="00292E5D" w:rsidRPr="00DD5C33" w:rsidRDefault="00F35298" w:rsidP="00234538">
      <w:pPr>
        <w:pStyle w:val="a0"/>
        <w:shd w:val="clear" w:color="auto" w:fill="auto"/>
        <w:spacing w:after="160"/>
        <w:ind w:firstLine="567"/>
        <w:jc w:val="both"/>
        <w:rPr>
          <w:rFonts w:ascii="Sylfaen" w:hAnsi="Sylfaen" w:cs="Sylfaen"/>
          <w:spacing w:val="-4"/>
          <w:sz w:val="24"/>
          <w:szCs w:val="24"/>
        </w:rPr>
      </w:pPr>
      <w:r w:rsidRPr="00234538">
        <w:rPr>
          <w:rFonts w:ascii="Sylfaen" w:hAnsi="Sylfaen"/>
          <w:sz w:val="24"/>
          <w:szCs w:val="24"/>
        </w:rPr>
        <w:lastRenderedPageBreak/>
        <w:t xml:space="preserve">էլեկտրոնային տեսքով տեղեկատվության փաստաթղթավորման ընդհանուր </w:t>
      </w:r>
      <w:r w:rsidRPr="00DD5C33">
        <w:rPr>
          <w:rFonts w:ascii="Sylfaen" w:hAnsi="Sylfaen"/>
          <w:spacing w:val="-4"/>
          <w:sz w:val="24"/>
          <w:szCs w:val="24"/>
        </w:rPr>
        <w:t xml:space="preserve">ենթակառուցվածքի տարրերի՝ Հանձնաժողովի կողմից հաստատվող ցանկի վարման մեխանիզմ՝ էլեկտրոնային փոխգործակցության սուբյեկտներին ցանկում պարունակվող տեղեկատվությանն ազատ հասանելիության տրամադրման, ցանկում պարունակվող տեղեկություններն արդիական վիճակում պահելու գործառույթներ </w:t>
      </w:r>
      <w:r w:rsidR="009B0063" w:rsidRPr="00DD5C33">
        <w:rPr>
          <w:rFonts w:ascii="Sylfaen" w:hAnsi="Sylfaen"/>
          <w:spacing w:val="-4"/>
          <w:sz w:val="24"/>
          <w:szCs w:val="24"/>
        </w:rPr>
        <w:t>եւ</w:t>
      </w:r>
      <w:r w:rsidRPr="00DD5C33">
        <w:rPr>
          <w:rFonts w:ascii="Sylfaen" w:hAnsi="Sylfaen"/>
          <w:spacing w:val="-4"/>
          <w:sz w:val="24"/>
          <w:szCs w:val="24"/>
        </w:rPr>
        <w:t xml:space="preserve"> այլ գործառույթներ, որոնք անհրաժեշտ են ցանկի վարման համար:</w:t>
      </w:r>
    </w:p>
    <w:p w:rsidR="00292E5D" w:rsidRPr="00234538" w:rsidRDefault="00F35298" w:rsidP="00B173D1">
      <w:pPr>
        <w:pStyle w:val="a0"/>
        <w:shd w:val="clear" w:color="auto" w:fill="auto"/>
        <w:tabs>
          <w:tab w:val="left" w:pos="1134"/>
        </w:tabs>
        <w:spacing w:after="160"/>
        <w:ind w:firstLine="567"/>
        <w:jc w:val="both"/>
        <w:rPr>
          <w:rFonts w:ascii="Sylfaen" w:hAnsi="Sylfaen" w:cs="Sylfaen"/>
          <w:sz w:val="24"/>
          <w:szCs w:val="24"/>
        </w:rPr>
      </w:pPr>
      <w:r w:rsidRPr="00234538">
        <w:rPr>
          <w:rFonts w:ascii="Sylfaen" w:hAnsi="Sylfaen"/>
          <w:sz w:val="24"/>
          <w:szCs w:val="24"/>
        </w:rPr>
        <w:t>26.</w:t>
      </w:r>
      <w:r w:rsidR="00B173D1">
        <w:rPr>
          <w:rFonts w:ascii="Sylfaen" w:hAnsi="Sylfaen"/>
          <w:sz w:val="24"/>
          <w:szCs w:val="24"/>
        </w:rPr>
        <w:tab/>
      </w:r>
      <w:r w:rsidRPr="00234538">
        <w:rPr>
          <w:rFonts w:ascii="Sylfaen" w:hAnsi="Sylfaen"/>
          <w:sz w:val="24"/>
          <w:szCs w:val="24"/>
        </w:rPr>
        <w:t>Սույն հայեցակարգի 24-րդ կետում նշված մեխանիզմներն իրականացվում են վստահության անդրսահմանային տարածքի տարրերով, որոնք պետք է համապատասխանեն Պահանջներին:</w:t>
      </w:r>
    </w:p>
    <w:p w:rsidR="00292E5D" w:rsidRDefault="00F35298" w:rsidP="00B173D1">
      <w:pPr>
        <w:pStyle w:val="a0"/>
        <w:shd w:val="clear" w:color="auto" w:fill="auto"/>
        <w:tabs>
          <w:tab w:val="left" w:pos="1134"/>
        </w:tabs>
        <w:spacing w:after="160"/>
        <w:ind w:firstLine="567"/>
        <w:jc w:val="both"/>
        <w:rPr>
          <w:rFonts w:ascii="Sylfaen" w:hAnsi="Sylfaen"/>
          <w:sz w:val="24"/>
          <w:szCs w:val="24"/>
        </w:rPr>
      </w:pPr>
      <w:r w:rsidRPr="00234538">
        <w:rPr>
          <w:rFonts w:ascii="Sylfaen" w:hAnsi="Sylfaen"/>
          <w:sz w:val="24"/>
          <w:szCs w:val="24"/>
        </w:rPr>
        <w:t>27.</w:t>
      </w:r>
      <w:r w:rsidR="00B173D1">
        <w:rPr>
          <w:rFonts w:ascii="Sylfaen" w:hAnsi="Sylfaen"/>
          <w:sz w:val="24"/>
          <w:szCs w:val="24"/>
        </w:rPr>
        <w:tab/>
      </w:r>
      <w:r w:rsidRPr="00234538">
        <w:rPr>
          <w:rFonts w:ascii="Sylfaen" w:hAnsi="Sylfaen"/>
          <w:sz w:val="24"/>
          <w:szCs w:val="24"/>
        </w:rPr>
        <w:t xml:space="preserve">Անդամ պետություններն անցկացնում են B2G տեսակի հարաբերությունների շրջանակներում տեղեկատվական փոխգործակցության ապահովման մեխանիզմների օգտագործման ժամանակ առաջացող ռիսկերի պարբերական գնահատում </w:t>
      </w:r>
      <w:r w:rsidR="009B0063">
        <w:rPr>
          <w:rFonts w:ascii="Sylfaen" w:hAnsi="Sylfaen"/>
          <w:sz w:val="24"/>
          <w:szCs w:val="24"/>
        </w:rPr>
        <w:t>եւ</w:t>
      </w:r>
      <w:r w:rsidRPr="00234538">
        <w:rPr>
          <w:rFonts w:ascii="Sylfaen" w:hAnsi="Sylfaen"/>
          <w:sz w:val="24"/>
          <w:szCs w:val="24"/>
        </w:rPr>
        <w:t xml:space="preserve"> մշակում են փոխընդունելի միջոցներ՝ տվյալ ռիսկերի թույլատրելի մակարդակին հասնելու համար: Այդպիսի ռիսկերի ռեեստրի վարումը, հաշվի առնելով</w:t>
      </w:r>
      <w:r w:rsidR="009B0063">
        <w:rPr>
          <w:rFonts w:ascii="Sylfaen" w:hAnsi="Sylfaen"/>
          <w:sz w:val="24"/>
          <w:szCs w:val="24"/>
        </w:rPr>
        <w:t xml:space="preserve"> </w:t>
      </w:r>
      <w:r w:rsidRPr="00234538">
        <w:rPr>
          <w:rFonts w:ascii="Sylfaen" w:hAnsi="Sylfaen"/>
          <w:sz w:val="24"/>
          <w:szCs w:val="24"/>
        </w:rPr>
        <w:t>անդամ պետությունների լիազորված մարմինների կողմից սահմանված՝ դրանց նկարագրության միասնականացված ձ</w:t>
      </w:r>
      <w:r w:rsidR="009B0063">
        <w:rPr>
          <w:rFonts w:ascii="Sylfaen" w:hAnsi="Sylfaen"/>
          <w:sz w:val="24"/>
          <w:szCs w:val="24"/>
        </w:rPr>
        <w:t>եւ</w:t>
      </w:r>
      <w:r w:rsidRPr="00234538">
        <w:rPr>
          <w:rFonts w:ascii="Sylfaen" w:hAnsi="Sylfaen"/>
          <w:sz w:val="24"/>
          <w:szCs w:val="24"/>
        </w:rPr>
        <w:t>աչափը, ապահովվում է Հանձնաժողովի կողմից:</w:t>
      </w:r>
    </w:p>
    <w:p w:rsidR="00817A4C" w:rsidRPr="00234538" w:rsidRDefault="00817A4C" w:rsidP="00817A4C">
      <w:pPr>
        <w:pStyle w:val="a0"/>
        <w:shd w:val="clear" w:color="auto" w:fill="auto"/>
        <w:tabs>
          <w:tab w:val="left" w:pos="1134"/>
        </w:tabs>
        <w:spacing w:after="160"/>
        <w:ind w:firstLine="567"/>
        <w:jc w:val="center"/>
        <w:rPr>
          <w:rFonts w:ascii="Sylfaen" w:hAnsi="Sylfaen" w:cs="Sylfaen"/>
          <w:sz w:val="24"/>
          <w:szCs w:val="24"/>
        </w:rPr>
      </w:pPr>
      <w:r>
        <w:rPr>
          <w:rFonts w:ascii="Sylfaen" w:hAnsi="Sylfaen" w:cs="Sylfaen"/>
          <w:noProof/>
          <w:sz w:val="24"/>
          <w:szCs w:val="24"/>
          <w:lang w:val="en-US" w:eastAsia="en-US" w:bidi="ar-SA"/>
        </w:rPr>
        <w:drawing>
          <wp:inline distT="0" distB="0" distL="0" distR="0">
            <wp:extent cx="2796540" cy="434340"/>
            <wp:effectExtent l="1905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96540" cy="434340"/>
                    </a:xfrm>
                    <a:prstGeom prst="rect">
                      <a:avLst/>
                    </a:prstGeom>
                    <a:noFill/>
                    <a:ln w="9525">
                      <a:noFill/>
                      <a:miter lim="800000"/>
                      <a:headEnd/>
                      <a:tailEnd/>
                    </a:ln>
                  </pic:spPr>
                </pic:pic>
              </a:graphicData>
            </a:graphic>
          </wp:inline>
        </w:drawing>
      </w:r>
    </w:p>
    <w:sectPr w:rsidR="00817A4C" w:rsidRPr="00234538" w:rsidSect="007C2BA4">
      <w:footerReference w:type="default" r:id="rId8"/>
      <w:pgSz w:w="11900" w:h="16840" w:code="9"/>
      <w:pgMar w:top="1418" w:right="1418" w:bottom="1418" w:left="1418" w:header="0" w:footer="23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3ED" w:rsidRDefault="00CC53ED" w:rsidP="00292E5D">
      <w:r>
        <w:separator/>
      </w:r>
    </w:p>
  </w:endnote>
  <w:endnote w:type="continuationSeparator" w:id="0">
    <w:p w:rsidR="00CC53ED" w:rsidRDefault="00CC53ED" w:rsidP="0029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n AMU">
    <w:altName w:val="Arial Unicode MS"/>
    <w:panose1 w:val="01000000000000000000"/>
    <w:charset w:val="CC"/>
    <w:family w:val="auto"/>
    <w:pitch w:val="variable"/>
    <w:sig w:usb0="A1002EA7" w:usb1="5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38991094"/>
      <w:docPartObj>
        <w:docPartGallery w:val="Page Numbers (Bottom of Page)"/>
        <w:docPartUnique/>
      </w:docPartObj>
    </w:sdtPr>
    <w:sdtEndPr/>
    <w:sdtContent>
      <w:p w:rsidR="007C2BA4" w:rsidRDefault="00A7516A">
        <w:pPr>
          <w:pStyle w:val="Footer"/>
          <w:jc w:val="center"/>
        </w:pPr>
        <w:r w:rsidRPr="007C2BA4">
          <w:rPr>
            <w:rFonts w:ascii="Sylfaen" w:hAnsi="Sylfaen"/>
          </w:rPr>
          <w:fldChar w:fldCharType="begin"/>
        </w:r>
        <w:r w:rsidR="007C2BA4" w:rsidRPr="007C2BA4">
          <w:rPr>
            <w:rFonts w:ascii="Sylfaen" w:hAnsi="Sylfaen"/>
          </w:rPr>
          <w:instrText xml:space="preserve"> PAGE   \* MERGEFORMAT </w:instrText>
        </w:r>
        <w:r w:rsidRPr="007C2BA4">
          <w:rPr>
            <w:rFonts w:ascii="Sylfaen" w:hAnsi="Sylfaen"/>
          </w:rPr>
          <w:fldChar w:fldCharType="separate"/>
        </w:r>
        <w:r w:rsidR="00495ABD">
          <w:rPr>
            <w:rFonts w:ascii="Sylfaen" w:hAnsi="Sylfaen"/>
            <w:noProof/>
          </w:rPr>
          <w:t>15</w:t>
        </w:r>
        <w:r w:rsidRPr="007C2BA4">
          <w:rPr>
            <w:rFonts w:ascii="Sylfaen" w:hAnsi="Sylfaen"/>
          </w:rPr>
          <w:fldChar w:fldCharType="end"/>
        </w:r>
      </w:p>
    </w:sdtContent>
  </w:sdt>
  <w:p w:rsidR="007C2BA4" w:rsidRDefault="007C2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3ED" w:rsidRDefault="00CC53ED"/>
  </w:footnote>
  <w:footnote w:type="continuationSeparator" w:id="0">
    <w:p w:rsidR="00CC53ED" w:rsidRDefault="00CC53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92E5D"/>
    <w:rsid w:val="0003155D"/>
    <w:rsid w:val="0006767C"/>
    <w:rsid w:val="000A20F7"/>
    <w:rsid w:val="000E1754"/>
    <w:rsid w:val="00107E2A"/>
    <w:rsid w:val="00202DE2"/>
    <w:rsid w:val="00234538"/>
    <w:rsid w:val="00245E3C"/>
    <w:rsid w:val="00265EED"/>
    <w:rsid w:val="00292E5D"/>
    <w:rsid w:val="002A32A1"/>
    <w:rsid w:val="002E1CB7"/>
    <w:rsid w:val="003E740F"/>
    <w:rsid w:val="00495ABD"/>
    <w:rsid w:val="00540692"/>
    <w:rsid w:val="005F0FC5"/>
    <w:rsid w:val="00637239"/>
    <w:rsid w:val="0064738C"/>
    <w:rsid w:val="0065159B"/>
    <w:rsid w:val="007C2BA4"/>
    <w:rsid w:val="007E6135"/>
    <w:rsid w:val="00817A4C"/>
    <w:rsid w:val="008366D8"/>
    <w:rsid w:val="008451C0"/>
    <w:rsid w:val="00977195"/>
    <w:rsid w:val="009B0063"/>
    <w:rsid w:val="009C770E"/>
    <w:rsid w:val="009F3E05"/>
    <w:rsid w:val="00A7516A"/>
    <w:rsid w:val="00A94715"/>
    <w:rsid w:val="00AE55F3"/>
    <w:rsid w:val="00B173D1"/>
    <w:rsid w:val="00B41C35"/>
    <w:rsid w:val="00B9227F"/>
    <w:rsid w:val="00C31864"/>
    <w:rsid w:val="00C65691"/>
    <w:rsid w:val="00CB0CEE"/>
    <w:rsid w:val="00CC53ED"/>
    <w:rsid w:val="00CD58F8"/>
    <w:rsid w:val="00D00360"/>
    <w:rsid w:val="00DD5C33"/>
    <w:rsid w:val="00E81EFA"/>
    <w:rsid w:val="00EC5F99"/>
    <w:rsid w:val="00ED071A"/>
    <w:rsid w:val="00F304BC"/>
    <w:rsid w:val="00F35298"/>
    <w:rsid w:val="00F51640"/>
    <w:rsid w:val="00F6132A"/>
    <w:rsid w:val="00FA790E"/>
    <w:rsid w:val="00FC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07E98-A0DC-4E4E-A5D8-9FFE8332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92E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292E5D"/>
    <w:rPr>
      <w:rFonts w:ascii="Times New Roman" w:eastAsia="Times New Roman" w:hAnsi="Times New Roman" w:cs="Times New Roman"/>
      <w:b w:val="0"/>
      <w:bCs w:val="0"/>
      <w:i w:val="0"/>
      <w:iCs w:val="0"/>
      <w:smallCaps w:val="0"/>
      <w:strike w:val="0"/>
      <w:sz w:val="30"/>
      <w:szCs w:val="30"/>
      <w:u w:val="none"/>
    </w:rPr>
  </w:style>
  <w:style w:type="character" w:customStyle="1" w:styleId="a1">
    <w:name w:val="Подпись к таблице_"/>
    <w:basedOn w:val="DefaultParagraphFont"/>
    <w:link w:val="a2"/>
    <w:rsid w:val="00292E5D"/>
    <w:rPr>
      <w:rFonts w:ascii="Arial" w:eastAsia="Arial" w:hAnsi="Arial" w:cs="Arial"/>
      <w:b w:val="0"/>
      <w:bCs w:val="0"/>
      <w:i w:val="0"/>
      <w:iCs w:val="0"/>
      <w:smallCaps w:val="0"/>
      <w:strike w:val="0"/>
      <w:color w:val="2369CA"/>
      <w:sz w:val="20"/>
      <w:szCs w:val="20"/>
      <w:u w:val="none"/>
    </w:rPr>
  </w:style>
  <w:style w:type="character" w:customStyle="1" w:styleId="a3">
    <w:name w:val="Другое_"/>
    <w:basedOn w:val="DefaultParagraphFont"/>
    <w:link w:val="a4"/>
    <w:rsid w:val="00292E5D"/>
    <w:rPr>
      <w:rFonts w:ascii="Times New Roman" w:eastAsia="Times New Roman" w:hAnsi="Times New Roman" w:cs="Times New Roman"/>
      <w:b w:val="0"/>
      <w:bCs w:val="0"/>
      <w:i w:val="0"/>
      <w:iCs w:val="0"/>
      <w:smallCaps w:val="0"/>
      <w:strike w:val="0"/>
      <w:sz w:val="30"/>
      <w:szCs w:val="30"/>
      <w:u w:val="none"/>
    </w:rPr>
  </w:style>
  <w:style w:type="character" w:customStyle="1" w:styleId="4">
    <w:name w:val="Основной текст (4)_"/>
    <w:basedOn w:val="DefaultParagraphFont"/>
    <w:link w:val="40"/>
    <w:rsid w:val="00292E5D"/>
    <w:rPr>
      <w:rFonts w:ascii="Times New Roman" w:eastAsia="Times New Roman" w:hAnsi="Times New Roman" w:cs="Times New Roman"/>
      <w:b/>
      <w:bCs/>
      <w:i w:val="0"/>
      <w:iCs w:val="0"/>
      <w:smallCaps w:val="0"/>
      <w:strike w:val="0"/>
      <w:sz w:val="26"/>
      <w:szCs w:val="26"/>
      <w:u w:val="none"/>
    </w:rPr>
  </w:style>
  <w:style w:type="paragraph" w:customStyle="1" w:styleId="a0">
    <w:name w:val="Основной текст"/>
    <w:basedOn w:val="Normal"/>
    <w:link w:val="a"/>
    <w:rsid w:val="00292E5D"/>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a2">
    <w:name w:val="Подпись к таблице"/>
    <w:basedOn w:val="Normal"/>
    <w:link w:val="a1"/>
    <w:rsid w:val="00292E5D"/>
    <w:pPr>
      <w:shd w:val="clear" w:color="auto" w:fill="FFFFFF"/>
    </w:pPr>
    <w:rPr>
      <w:rFonts w:ascii="Arial" w:eastAsia="Arial" w:hAnsi="Arial" w:cs="Arial"/>
      <w:color w:val="2369CA"/>
      <w:sz w:val="20"/>
      <w:szCs w:val="20"/>
    </w:rPr>
  </w:style>
  <w:style w:type="paragraph" w:customStyle="1" w:styleId="a4">
    <w:name w:val="Другое"/>
    <w:basedOn w:val="Normal"/>
    <w:link w:val="a3"/>
    <w:rsid w:val="00292E5D"/>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40">
    <w:name w:val="Основной текст (4)"/>
    <w:basedOn w:val="Normal"/>
    <w:link w:val="4"/>
    <w:rsid w:val="00292E5D"/>
    <w:pPr>
      <w:shd w:val="clear" w:color="auto" w:fill="FFFFFF"/>
      <w:spacing w:after="1000" w:line="276" w:lineRule="auto"/>
      <w:jc w:val="center"/>
    </w:pPr>
    <w:rPr>
      <w:rFonts w:ascii="Times New Roman" w:eastAsia="Times New Roman" w:hAnsi="Times New Roman" w:cs="Times New Roman"/>
      <w:b/>
      <w:bCs/>
      <w:sz w:val="26"/>
      <w:szCs w:val="26"/>
    </w:rPr>
  </w:style>
  <w:style w:type="paragraph" w:styleId="CommentText">
    <w:name w:val="annotation text"/>
    <w:basedOn w:val="Normal"/>
    <w:link w:val="CommentTextChar"/>
    <w:uiPriority w:val="99"/>
    <w:semiHidden/>
    <w:unhideWhenUsed/>
    <w:rsid w:val="000A20F7"/>
    <w:rPr>
      <w:sz w:val="20"/>
      <w:szCs w:val="20"/>
    </w:rPr>
  </w:style>
  <w:style w:type="character" w:customStyle="1" w:styleId="CommentTextChar">
    <w:name w:val="Comment Text Char"/>
    <w:basedOn w:val="DefaultParagraphFont"/>
    <w:link w:val="CommentText"/>
    <w:uiPriority w:val="99"/>
    <w:semiHidden/>
    <w:rsid w:val="000A20F7"/>
    <w:rPr>
      <w:color w:val="000000"/>
      <w:sz w:val="20"/>
      <w:szCs w:val="20"/>
    </w:rPr>
  </w:style>
  <w:style w:type="character" w:styleId="CommentReference">
    <w:name w:val="annotation reference"/>
    <w:basedOn w:val="DefaultParagraphFont"/>
    <w:uiPriority w:val="99"/>
    <w:semiHidden/>
    <w:unhideWhenUsed/>
    <w:rsid w:val="000A20F7"/>
    <w:rPr>
      <w:sz w:val="16"/>
      <w:szCs w:val="16"/>
    </w:rPr>
  </w:style>
  <w:style w:type="paragraph" w:styleId="BalloonText">
    <w:name w:val="Balloon Text"/>
    <w:basedOn w:val="Normal"/>
    <w:link w:val="BalloonTextChar"/>
    <w:uiPriority w:val="99"/>
    <w:semiHidden/>
    <w:unhideWhenUsed/>
    <w:rsid w:val="00CD5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8F8"/>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F51640"/>
    <w:rPr>
      <w:b/>
      <w:bCs/>
    </w:rPr>
  </w:style>
  <w:style w:type="character" w:customStyle="1" w:styleId="CommentSubjectChar">
    <w:name w:val="Comment Subject Char"/>
    <w:basedOn w:val="CommentTextChar"/>
    <w:link w:val="CommentSubject"/>
    <w:uiPriority w:val="99"/>
    <w:semiHidden/>
    <w:rsid w:val="00F51640"/>
    <w:rPr>
      <w:b/>
      <w:bCs/>
      <w:color w:val="000000"/>
      <w:sz w:val="20"/>
      <w:szCs w:val="20"/>
    </w:rPr>
  </w:style>
  <w:style w:type="table" w:styleId="TableGrid">
    <w:name w:val="Table Grid"/>
    <w:basedOn w:val="TableNormal"/>
    <w:uiPriority w:val="59"/>
    <w:unhideWhenUsed/>
    <w:rsid w:val="009B00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C2BA4"/>
    <w:pPr>
      <w:tabs>
        <w:tab w:val="center" w:pos="4677"/>
        <w:tab w:val="right" w:pos="9355"/>
      </w:tabs>
    </w:pPr>
  </w:style>
  <w:style w:type="character" w:customStyle="1" w:styleId="HeaderChar">
    <w:name w:val="Header Char"/>
    <w:basedOn w:val="DefaultParagraphFont"/>
    <w:link w:val="Header"/>
    <w:uiPriority w:val="99"/>
    <w:semiHidden/>
    <w:rsid w:val="007C2BA4"/>
    <w:rPr>
      <w:color w:val="000000"/>
    </w:rPr>
  </w:style>
  <w:style w:type="paragraph" w:styleId="Footer">
    <w:name w:val="footer"/>
    <w:basedOn w:val="Normal"/>
    <w:link w:val="FooterChar"/>
    <w:uiPriority w:val="99"/>
    <w:unhideWhenUsed/>
    <w:rsid w:val="007C2BA4"/>
    <w:pPr>
      <w:tabs>
        <w:tab w:val="center" w:pos="4677"/>
        <w:tab w:val="right" w:pos="9355"/>
      </w:tabs>
    </w:pPr>
  </w:style>
  <w:style w:type="character" w:customStyle="1" w:styleId="FooterChar">
    <w:name w:val="Footer Char"/>
    <w:basedOn w:val="DefaultParagraphFont"/>
    <w:link w:val="Footer"/>
    <w:uiPriority w:val="99"/>
    <w:rsid w:val="007C2B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BD808-26AD-4C42-895D-E6D8F949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 Ivanyan</cp:lastModifiedBy>
  <cp:revision>15</cp:revision>
  <dcterms:created xsi:type="dcterms:W3CDTF">2020-03-23T09:31:00Z</dcterms:created>
  <dcterms:modified xsi:type="dcterms:W3CDTF">2022-08-02T06:54:00Z</dcterms:modified>
</cp:coreProperties>
</file>