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88" w:rsidRPr="00805A84" w:rsidRDefault="000A6F47" w:rsidP="00805A84">
      <w:pPr>
        <w:pStyle w:val="Heading30"/>
        <w:shd w:val="clear" w:color="auto" w:fill="auto"/>
        <w:spacing w:after="160" w:line="360" w:lineRule="auto"/>
        <w:ind w:left="5103" w:right="-8"/>
        <w:outlineLvl w:val="9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ՀԱՍՏԱՏՎԱԾ Է</w:t>
      </w:r>
    </w:p>
    <w:p w:rsidR="00461088" w:rsidRPr="00805A84" w:rsidRDefault="000A6F47" w:rsidP="00805A84">
      <w:pPr>
        <w:pStyle w:val="Heading30"/>
        <w:shd w:val="clear" w:color="auto" w:fill="auto"/>
        <w:spacing w:after="160" w:line="360" w:lineRule="auto"/>
        <w:ind w:left="5103" w:right="-8"/>
        <w:outlineLvl w:val="9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25D6B">
        <w:rPr>
          <w:rFonts w:ascii="Sylfaen" w:hAnsi="Sylfaen"/>
          <w:sz w:val="24"/>
          <w:szCs w:val="24"/>
        </w:rPr>
        <w:br/>
      </w:r>
      <w:r w:rsidRPr="00805A84">
        <w:rPr>
          <w:rFonts w:ascii="Sylfaen" w:hAnsi="Sylfaen"/>
          <w:sz w:val="24"/>
          <w:szCs w:val="24"/>
        </w:rPr>
        <w:t xml:space="preserve">2019 թվականի սեպտեմբերի 17-ի </w:t>
      </w:r>
      <w:bookmarkStart w:id="0" w:name="_GoBack"/>
      <w:bookmarkEnd w:id="0"/>
      <w:r w:rsidRPr="00805A84">
        <w:rPr>
          <w:rFonts w:ascii="Sylfaen" w:hAnsi="Sylfaen"/>
          <w:sz w:val="24"/>
          <w:szCs w:val="24"/>
        </w:rPr>
        <w:t>թիվ 154 որոշմամբ</w:t>
      </w:r>
    </w:p>
    <w:p w:rsidR="00C425B1" w:rsidRPr="00805A84" w:rsidRDefault="00C425B1" w:rsidP="00805A84">
      <w:pPr>
        <w:pStyle w:val="Bodytext30"/>
        <w:shd w:val="clear" w:color="auto" w:fill="auto"/>
        <w:spacing w:before="0" w:after="160" w:line="360" w:lineRule="auto"/>
        <w:ind w:left="334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61088" w:rsidRPr="00805A84" w:rsidRDefault="000A6F47" w:rsidP="00805A84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805A84">
        <w:rPr>
          <w:rStyle w:val="Bodytext3Spacing2pt"/>
          <w:rFonts w:ascii="Sylfaen" w:hAnsi="Sylfaen"/>
          <w:b/>
          <w:spacing w:val="0"/>
          <w:sz w:val="24"/>
          <w:szCs w:val="24"/>
        </w:rPr>
        <w:t>ՏԵՂԵԿԱԳԻՐՔ</w:t>
      </w:r>
    </w:p>
    <w:p w:rsidR="00461088" w:rsidRDefault="000A6F47" w:rsidP="00805A84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սանիտարահամաճարակաբանական վերահսկողության (հսկողության) ենթակա ապրանքների տեսակների</w:t>
      </w:r>
    </w:p>
    <w:p w:rsidR="00D25D6B" w:rsidRPr="00805A84" w:rsidRDefault="00D25D6B" w:rsidP="00805A84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461088" w:rsidRPr="00805A84" w:rsidRDefault="00C425B1" w:rsidP="00805A84">
      <w:pPr>
        <w:pStyle w:val="Heading30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I. Մանրամասնեցված տեղեկությունները տեղեկագրքից</w:t>
      </w:r>
    </w:p>
    <w:tbl>
      <w:tblPr>
        <w:tblOverlap w:val="never"/>
        <w:tblW w:w="94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6237"/>
        <w:gridCol w:w="1984"/>
      </w:tblGrid>
      <w:tr w:rsidR="00461088" w:rsidRPr="00805A84" w:rsidTr="00D25D6B">
        <w:trPr>
          <w:tblHeader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Արտադրանքի տեսակի ծածկագիրը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ԵԱՏՄ ԱՏԳ ԱԱ ծածկագիրը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Սննդամթերք (մարդու կողմից սննդի մեջ օգտագործվող մթերքներ՝ բնական կամ վերամշակված տեսքով), այդ թվում՝ գենային ինժեներիայի եղանակով ձ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ափոխված (տրանսգենային) օրգանիզմների օգտագործմամբ ստացված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C425B1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02-05-ից, 07-25-ից, 27-29-ից, 32-35-ից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Արտադրանք (ապրանքներ) երեխաների համար՝ խաղեր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խաղալիքներ, անկողնու սպիտակեղեն, հագուստեղեն, կոշկեղեն, ուսումնական ձեռնարկներ, կահույք, մանկասայլակներ, պայուսակներ (մեջքի պայուսակներ, թիկնապայուսակներ, թղթապայուսակներ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այլն), օրագրեր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համանման արտադրատեսակներ, տետրեր, գրասենյակային այլ արտադրանք (ապրանքներ) թղթից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ստվարաթղթից, գրասենյակային պարագաներ կամ դպրոցական արհեստական պոլիմերային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սինթետիկ նյութեր՝ մանկական տեսականու արտադրանք (ապրանքներ) պատրաստելու համար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32-ից, 34-ից, 39-ից, 40-ից, 42-44-ից,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46-ից, 48-56-ից,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60-65-ից, 87-ից,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94-ից,</w:t>
            </w:r>
            <w:r w:rsidR="00D25D6B"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95-ից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Կենցաղային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խմելու ջրամատակարարման ոլորտում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կեղտաջրերի մաքրման ժամանակ, լողավազաններում օգտագործվող հումքեր, սարքավորումներ, նյութեր, սարքեր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25-ից, 38-40-ից,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48-ից, 84-ից, 85-ից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Օծանելիքակոսմետիկական միջոցներ, բերանի խոռոչի հիգիենայի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33-ից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Քիմիական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նավթաքիմիական արտադրանք՝ արտադրական նշանակության, կենցաղային քիմիայի արտադրանք (ապրանքներ), լաքաներկային նյութեր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32-34-ից, 38-ից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060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Պոլիմերային, սինթետիկ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 նյութեր՝ նախատեսված շինարարությունում, տրանսպորտում կիրառելու համար, ինչպես նա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կահույքի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տնային գործածության իրերի պատրաստման համար. կահույք. քիմիական մանրաթելեր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մանածագործական օժանդակ նյութեր պարունակող մանածագործական, կարի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տրիկոտաժե նյութեր. արհեստական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սինթետիկ կաշիներ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մանածագործական նյութեր հագուստի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կոշիկի պատրաստման համար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32-ից, 39-ից, 40-ից, 42-46-ից, 48-ից,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50-60-ից, 69-ից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94-ից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Մեքենաշինության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սարքաշինության արտադրանք՝ արտադրական, բժշկական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կենցաղային նշանակության</w:t>
            </w:r>
            <w:r w:rsidR="00AA0997" w:rsidRPr="00805A84">
              <w:rPr>
                <w:rStyle w:val="Bodytext211pt"/>
                <w:rFonts w:ascii="Sylfaen" w:hAnsi="Sylfaen"/>
                <w:sz w:val="20"/>
                <w:szCs w:val="24"/>
              </w:rPr>
              <w:t>,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բացի տրանսպորտային միջոցների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կենցաղային տեխնիկայի պահեստային մասերի</w:t>
            </w:r>
            <w:r w:rsidR="00AA0997" w:rsidRPr="00805A84">
              <w:rPr>
                <w:rStyle w:val="Bodytext211pt"/>
                <w:rFonts w:ascii="Sylfaen" w:hAnsi="Sylfaen"/>
                <w:sz w:val="20"/>
                <w:szCs w:val="24"/>
              </w:rPr>
              <w:t>ց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(բացառությամբ՝ խմելու ջրի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սննդամթերքի հետ շփում ունեցողների)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38-ից, 84-ից, 85-ից, 90-ից 94-ից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Հրատարակչական արտադրանք՝ ուսումնական հրատարակություններ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ձեռնարկներ՝ հանրակրթական</w:t>
            </w:r>
            <w:r w:rsidR="00873CE0"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միջին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բարձրագույն ուսումնական հաստատությունների համար, գրքեր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ամսագրեր երեխաների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դեռահասների համար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48-ից, 49-ից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Արտադրատեսակներ՝ բնական հումքից, որոնք արտադրության ընթացքում ենթարկվում են մշակման (ներկման, տոգորման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այլն)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25-ից, 43-ից, 44-ից, 46-ից, 50-53-ից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Մարդու մաշկի հետ շփվող արտադրատեսակների համար (արտադրատեսակներ) նյութեր, հագուստեղեն, կոշկեղեն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30-ից, 39-ից, 40-ից, 42-ից, 43-ից, 48-ից, 50-65-ից, 67-ից, 68-ից, 82-ից, 96-ից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Իոնացնող, այդ թվում</w:t>
            </w:r>
            <w:r w:rsidR="00AA0997" w:rsidRPr="00805A84">
              <w:rPr>
                <w:rStyle w:val="Bodytext211pt"/>
                <w:rFonts w:ascii="Sylfaen" w:hAnsi="Sylfaen"/>
                <w:sz w:val="20"/>
                <w:szCs w:val="24"/>
              </w:rPr>
              <w:t>՝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գեներացնող, ճառագայթման աղբյուր հանդիսացող արտադրանք, արտադրատեսակներ, ինչպես նա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ռադիոակտիվ նյութեր պարունակող արտադրատեսակներ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արտադրանք (ապրանքներ)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25-ից, 26-ից, 28-ից, 68-ից, 69-ից, 72-ից, 74-76-ից, 78-81-ից, 84-ից, 87-ից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Շինարարական հումք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նյութեր, որոնցում ռադիոակտիվ նյութերի պարունակությունը կանոնակարգվում է հիգիենիկ նորմատիվներով, այդ թվում՝ կրկնակի վերամշակման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ժողովրդական տնտեսության մեջ օգտագործման համար արտադրական թափոնները, ս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գունավոր մետաղների ջարդոններ (մետաղաջարդոն)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25-ից, 26-ից, 28-ից, 68-ից, 69-ից, 72-ից, 74-76-ից, 78-81-ից, 84-ից, 87-ից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Ծխախոտային արտադրատեսակներ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ծխախոտային հումք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24-ից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Անհատական պաշտպանության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39-ից, 40-ից, 64-ից, 65-ից 90-ից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Թունաքիմիկատներ (պեստիցիդներ)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ագրոքիմիկատներ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31-ից, 38-ից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Սննդամթերքի հետ շփվող նյութեր, արտադրատեսակներ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39-ից, 40-ից,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44-48-ից, 56-ից,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63-ից, 69-ից, 70-ից, 73-ից, 74-ից, 76-ից, 82-ից, 85-ից, 96-ից</w:t>
            </w:r>
          </w:p>
          <w:p w:rsidR="00D25D6B" w:rsidRPr="00805A84" w:rsidRDefault="00D25D6B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Օդի նախապատրաստման, մաքրման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զտման համար նախատեսված սարքավորումներ, նյութեր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38-40-ից, 48-ից,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52-56-ից, 59-ից, </w:t>
            </w:r>
            <w:r w:rsidR="00D25D6B">
              <w:rPr>
                <w:rStyle w:val="Bodytext211pt"/>
                <w:rFonts w:ascii="Sylfaen" w:hAnsi="Sylfaen"/>
                <w:sz w:val="20"/>
                <w:szCs w:val="24"/>
              </w:rPr>
              <w:br/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60-ից, 84-ից, 85-ից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Հակասառցակեղ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ային ազդանյութեր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38-ից</w:t>
            </w:r>
          </w:p>
        </w:tc>
      </w:tr>
      <w:tr w:rsidR="00461088" w:rsidRPr="00805A84" w:rsidTr="00D25D6B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990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Այլ արտադրանք (ապրանքներ), որոնց նկատմամբ Եվրասիական տնտեսական միության անդամ պետություններից մեկի կողմից սահմանվել են ժամանակավոր սանիտարական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02-96-ից</w:t>
            </w:r>
          </w:p>
        </w:tc>
      </w:tr>
    </w:tbl>
    <w:p w:rsidR="00461088" w:rsidRPr="00805A84" w:rsidRDefault="00461088" w:rsidP="00805A84">
      <w:pPr>
        <w:spacing w:after="160" w:line="360" w:lineRule="auto"/>
        <w:jc w:val="both"/>
        <w:rPr>
          <w:rFonts w:ascii="Sylfaen" w:hAnsi="Sylfaen"/>
        </w:rPr>
      </w:pPr>
    </w:p>
    <w:p w:rsidR="00461088" w:rsidRPr="00805A84" w:rsidRDefault="00C425B1" w:rsidP="00805A84">
      <w:pPr>
        <w:pStyle w:val="Heading30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II. Տեղեկագրքի անձնագիրը</w:t>
      </w:r>
    </w:p>
    <w:tbl>
      <w:tblPr>
        <w:tblOverlap w:val="never"/>
        <w:tblW w:w="96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902"/>
        <w:gridCol w:w="11"/>
        <w:gridCol w:w="5894"/>
      </w:tblGrid>
      <w:tr w:rsidR="00805A84" w:rsidRPr="00805A84" w:rsidTr="00805A84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Համարը՝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ը/կ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805A84" w:rsidRPr="00805A84" w:rsidTr="00805A84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Ծածկագիրը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025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Տիպը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1՝ տեղեկագիրքը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սանիտարահամաճարակաբանական վերահսկողության (հսկողության) ենթակա արտադրանքի տեսակների տեղեկագիրքը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Հապավումը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ՍՀՃՎԱՏՏ 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Նշագիրը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ՄՏ 025-2019 (խմբ. 1)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ընդունման (հաստատման) մասին ակտի վավերապայմանները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հանձնաժողովի կոլեգիայի 2019 թվականի սեպտեմբերի 17-ի</w:t>
            </w:r>
            <w:r w:rsidR="001E2A12"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ArialUnicodeMS"/>
                <w:rFonts w:ascii="Sylfaen" w:hAnsi="Sylfaen"/>
                <w:szCs w:val="24"/>
              </w:rPr>
              <w:t>թիվ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154 որոշումը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Տեղեկագիրքը (դասակարգիչը) գործողության մեջ դնելու (կիրառումն սկսելու) ամսաթիվը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2019 թվականի հոկտեմբերի 19-ը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կիրառումը դադարեցնելու մասին ակտի վավերապայմանները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461088" w:rsidP="00D25D6B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 (դասակարգչի) կիրառման ավարտի ամսաթիվը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461088" w:rsidP="00D25D6B">
            <w:pPr>
              <w:spacing w:after="60"/>
              <w:rPr>
                <w:rFonts w:ascii="Sylfaen" w:hAnsi="Sylfaen"/>
                <w:sz w:val="20"/>
              </w:rPr>
            </w:pP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Օպերատորը (օպերատորները)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D25D6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հանձնաժողով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Նշանակությունը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նախատեսված է սանիտարահամաճարակաբանական վերահսկողության (հսկողության) ենթակա արտադրանքի տեսակների վերաբերյալ տեղեկությունների համակարգման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ծածկագրման համար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Անոտացիան (կիրառության ոլորտը)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օգտագործվում է էլեկտրոնային փաստաթղթերի (տեղեկությունների) ձ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ավորման ժամանակ՝ Եվրասիական տնտեսական միության շրջանակներում ընդհանուր գործընթացներ</w:t>
            </w:r>
            <w:r w:rsidR="001E2A12" w:rsidRPr="00805A84">
              <w:rPr>
                <w:rStyle w:val="Bodytext211pt"/>
                <w:rFonts w:ascii="Sylfaen" w:hAnsi="Sylfaen"/>
                <w:sz w:val="20"/>
                <w:szCs w:val="24"/>
              </w:rPr>
              <w:t>ն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իրագործելիս տեղեկատվական փոխգործակցությունը ապահովելու համար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Առանցքային բառերը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արտադրանք, արտադրանքի տեսակ, ապրանքային խումբ, սանիտարահամաճարակաբանական վերահսկողություն (հսկողություն)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Սանիտարական միջոցառումները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15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Միջազգային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(միջպետական, տարածաշրջանային) դասակարգման կիրառումը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2՝ տեղեկագրքի մշակման ժամանակ միջազգային (միջպետական, տարածաշրջանային) դասակարգիչներ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(կամ) ստանդարտներ չեն կիրառվել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միության անդամ պետությունների պետական տեղեկագրքերի (դասակարգիչների) առկայությունը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2՝ տեղեկագիրքը չունի նմանակներ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միության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անդամ պետություններում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Համակարգման (դասակարգման) մեթոդը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1՝ համակարգման հաջորդական մեթոդը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Վարման մեթոդիկան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1՝ վարման կենտրոնացված ընթացակարգը։</w:t>
            </w:r>
          </w:p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արժեքների ավելացումը, փոփոխումը կամ հանումը կատարվում է օպերատորի կողմից՝ Եվրասիական տնտեսական հանձնաժողովի ակտին համապատասխան: Օպերատորն ապահովում է արդիական տեղեկությունների տեղադրումը Եվրասիական տնտեսական միության նորմատիվ տեղեկատվական տեղեկությունների միասնական համակարգի ռեսուրսներում: Արժեքը հանելու դեպքում տեղեկագրքի գրառումը նշվում է որպես չգործող </w:t>
            </w:r>
            <w:r w:rsidR="00C70A6B"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այն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հանելու օրվանից՝ նշելով տեղեկագրքի գրառման գործողության ավարտը կանոնակարգող՝ Եվրասիական տնտեսական հանձնաժողովի ակտի մասին տեղեկությունները: Տեղեկագրքի ծածկագրերը եզակի են, տեղեկագրքի ծածկագրերի, այդ թվում՝ չգործող ծածկագրերի կրկնակի օգտագործումը չի թույլատրվում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Կառուցվածքը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տեղեկագրքի կառուցվածքի վերաբերյալ տեղեկատվությունը (դաշտերի կազմը, դրանց արժեքների տիրույթները 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 xml:space="preserve"> ձ</w:t>
            </w:r>
            <w:r w:rsidR="00805A84" w:rsidRPr="00805A84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կանոնները) ներկայացված է սույն տեղեկագրքի III բաժնում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Տվյալների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գաղտնիության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աստիճանը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տեղեկագրքից տեղեկությունները համարվում են բաց հասանելիությամբ տեղեկատվություն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lastRenderedPageBreak/>
              <w:t>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Վերանայման սահմանված պարբերականությունը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սահմանված չէ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Փոփոխությունները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-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Հղումը</w:t>
            </w:r>
            <w:r w:rsidRPr="00805A8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տեղեկագրքից (դասակարգչից) մանրամաս</w:t>
            </w:r>
            <w:r w:rsidR="001E2A12" w:rsidRPr="00805A84">
              <w:rPr>
                <w:rStyle w:val="Bodytext211pt"/>
                <w:rFonts w:ascii="Sylfaen" w:hAnsi="Sylfaen"/>
                <w:sz w:val="20"/>
                <w:szCs w:val="24"/>
              </w:rPr>
              <w:t>ն</w:t>
            </w: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եցված տեղեկություններին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տեղեկագրքից մանրամասնեցված տեղեկությունները ներկայացված են սույն տեղեկագրքի I բաժնում</w:t>
            </w:r>
          </w:p>
        </w:tc>
      </w:tr>
      <w:tr w:rsidR="00805A84" w:rsidRPr="00805A84" w:rsidTr="00805A84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805A84">
            <w:pPr>
              <w:pStyle w:val="Bodytext20"/>
              <w:shd w:val="clear" w:color="auto" w:fill="auto"/>
              <w:spacing w:before="0" w:after="120" w:line="240" w:lineRule="auto"/>
              <w:ind w:left="9" w:firstLine="14"/>
              <w:jc w:val="center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Տեղեկագրքից (դասակարգչից) տեղեկությունները ներկայացնելու եղանակը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805A84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805A84">
              <w:rPr>
                <w:rStyle w:val="Bodytext211pt"/>
                <w:rFonts w:ascii="Sylfaen" w:hAnsi="Sylfaen"/>
                <w:sz w:val="20"/>
                <w:szCs w:val="24"/>
              </w:rPr>
              <w:t>Եվրասիական տնտեսական միության տեղեկատվական պորտալում հրապարակելը</w:t>
            </w:r>
          </w:p>
        </w:tc>
      </w:tr>
    </w:tbl>
    <w:p w:rsidR="00461088" w:rsidRPr="00805A84" w:rsidRDefault="00461088" w:rsidP="00805A84">
      <w:pPr>
        <w:spacing w:after="160" w:line="360" w:lineRule="auto"/>
        <w:jc w:val="both"/>
        <w:rPr>
          <w:rFonts w:ascii="Sylfaen" w:hAnsi="Sylfaen"/>
        </w:rPr>
      </w:pPr>
    </w:p>
    <w:p w:rsidR="00461088" w:rsidRPr="00805A84" w:rsidRDefault="00C425B1" w:rsidP="009E544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III. Տեղեկագրքի կառուցվածքի նկարագրությունը</w:t>
      </w:r>
    </w:p>
    <w:p w:rsidR="00461088" w:rsidRPr="00805A84" w:rsidRDefault="009E544B" w:rsidP="009E54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C425B1" w:rsidRPr="00805A84">
        <w:rPr>
          <w:rFonts w:ascii="Sylfaen" w:hAnsi="Sylfaen"/>
          <w:sz w:val="24"/>
          <w:szCs w:val="24"/>
        </w:rPr>
        <w:t xml:space="preserve">Սույն բաժնով սահմանվում են տեղեկագրքի կառուցվածքն ու վավերապայմանների կազմը, այդ թվում՝ վավերապայմանների արժեքների տիրույթները </w:t>
      </w:r>
      <w:r w:rsidR="00805A84">
        <w:rPr>
          <w:rFonts w:ascii="Sylfaen" w:hAnsi="Sylfaen"/>
          <w:sz w:val="24"/>
          <w:szCs w:val="24"/>
        </w:rPr>
        <w:t>եւ</w:t>
      </w:r>
      <w:r w:rsidR="00C425B1" w:rsidRPr="00805A84">
        <w:rPr>
          <w:rFonts w:ascii="Sylfaen" w:hAnsi="Sylfaen"/>
          <w:sz w:val="24"/>
          <w:szCs w:val="24"/>
        </w:rPr>
        <w:t xml:space="preserve"> դրանց ձ</w:t>
      </w:r>
      <w:r w:rsidR="00805A84">
        <w:rPr>
          <w:rFonts w:ascii="Sylfaen" w:hAnsi="Sylfaen"/>
          <w:sz w:val="24"/>
          <w:szCs w:val="24"/>
        </w:rPr>
        <w:t>եւ</w:t>
      </w:r>
      <w:r w:rsidR="00C425B1" w:rsidRPr="00805A84">
        <w:rPr>
          <w:rFonts w:ascii="Sylfaen" w:hAnsi="Sylfaen"/>
          <w:sz w:val="24"/>
          <w:szCs w:val="24"/>
        </w:rPr>
        <w:t>ավորման կանոնները։</w:t>
      </w:r>
    </w:p>
    <w:p w:rsidR="00461088" w:rsidRPr="00805A84" w:rsidRDefault="009E544B" w:rsidP="009E54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C425B1" w:rsidRPr="00805A84">
        <w:rPr>
          <w:rFonts w:ascii="Sylfaen" w:hAnsi="Sylfaen"/>
          <w:sz w:val="24"/>
          <w:szCs w:val="24"/>
        </w:rPr>
        <w:t xml:space="preserve">Տեղեկագրքի կառուցվածքը </w:t>
      </w:r>
      <w:r w:rsidR="00805A84">
        <w:rPr>
          <w:rFonts w:ascii="Sylfaen" w:hAnsi="Sylfaen"/>
          <w:sz w:val="24"/>
          <w:szCs w:val="24"/>
        </w:rPr>
        <w:t>եւ</w:t>
      </w:r>
      <w:r w:rsidR="00C425B1" w:rsidRPr="00805A84">
        <w:rPr>
          <w:rFonts w:ascii="Sylfaen" w:hAnsi="Sylfaen"/>
          <w:sz w:val="24"/>
          <w:szCs w:val="24"/>
        </w:rPr>
        <w:t xml:space="preserve"> վավերապայմանների կազմը ներկայացված են աղյուսակում, որտեղ ձ</w:t>
      </w:r>
      <w:r w:rsidR="00805A84">
        <w:rPr>
          <w:rFonts w:ascii="Sylfaen" w:hAnsi="Sylfaen"/>
          <w:sz w:val="24"/>
          <w:szCs w:val="24"/>
        </w:rPr>
        <w:t>եւ</w:t>
      </w:r>
      <w:r w:rsidR="00C425B1" w:rsidRPr="00805A84">
        <w:rPr>
          <w:rFonts w:ascii="Sylfaen" w:hAnsi="Sylfaen"/>
          <w:sz w:val="24"/>
          <w:szCs w:val="24"/>
        </w:rPr>
        <w:t>ավորվում են հետ</w:t>
      </w:r>
      <w:r w:rsidR="00805A84">
        <w:rPr>
          <w:rFonts w:ascii="Sylfaen" w:hAnsi="Sylfaen"/>
          <w:sz w:val="24"/>
          <w:szCs w:val="24"/>
        </w:rPr>
        <w:t>եւ</w:t>
      </w:r>
      <w:r w:rsidR="00C425B1" w:rsidRPr="00805A84">
        <w:rPr>
          <w:rFonts w:ascii="Sylfaen" w:hAnsi="Sylfaen"/>
          <w:sz w:val="24"/>
          <w:szCs w:val="24"/>
        </w:rPr>
        <w:t>յալ դաշտերը (</w:t>
      </w:r>
      <w:r w:rsidR="003613D8" w:rsidRPr="00805A84">
        <w:rPr>
          <w:rFonts w:ascii="Sylfaen" w:hAnsi="Sylfaen"/>
          <w:sz w:val="24"/>
          <w:szCs w:val="24"/>
        </w:rPr>
        <w:t>սյունակները</w:t>
      </w:r>
      <w:r w:rsidR="00C425B1" w:rsidRPr="00805A84">
        <w:rPr>
          <w:rFonts w:ascii="Sylfaen" w:hAnsi="Sylfaen"/>
          <w:sz w:val="24"/>
          <w:szCs w:val="24"/>
        </w:rPr>
        <w:t>)՝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 xml:space="preserve">«վավերապայմանի անվանումը»՝ վավերապայմանի հերթական համարը 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 xml:space="preserve"> ընդունված կամ պաշտոնական բառային նշագիրը.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«վավերապայմանի արժեքի տիրույթը»՝ վավերապայմանի իմաստը (իմաստաբանական նշանակությունը) պարզաբանող տեքստը.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«վավերապայմանի արժեքի ձ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 xml:space="preserve">ավորման կանոնները»՝ վավերապայմանի նշանակությունը հստակեցնող 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 xml:space="preserve"> դրա ձ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>ավորման (լրացման) կանոնները սահմանող տեքստը կամ վավերապայմանի հնարավոր արժեքների բառային նկարագրությունը.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 xml:space="preserve">«բազմ.»՝ վավերապայմանի բազմաքանակությունը (վավերապայմանի պարտադիր (կամընտրական) լինելը 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461088" w:rsidRPr="00805A84" w:rsidRDefault="009E544B" w:rsidP="009E544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ab/>
      </w:r>
      <w:r w:rsidR="00C425B1" w:rsidRPr="00805A84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805A84">
        <w:rPr>
          <w:rFonts w:ascii="Sylfaen" w:hAnsi="Sylfaen"/>
          <w:sz w:val="24"/>
          <w:szCs w:val="24"/>
        </w:rPr>
        <w:t>եւ</w:t>
      </w:r>
      <w:r w:rsidR="00C425B1" w:rsidRPr="00805A84">
        <w:rPr>
          <w:rFonts w:ascii="Sylfaen" w:hAnsi="Sylfaen"/>
          <w:sz w:val="24"/>
          <w:szCs w:val="24"/>
        </w:rPr>
        <w:t>յալ նշագրերը</w:t>
      </w:r>
      <w:r w:rsidR="001E2A12" w:rsidRPr="00805A84">
        <w:rPr>
          <w:rFonts w:ascii="Sylfaen" w:hAnsi="Sylfaen"/>
          <w:sz w:val="24"/>
          <w:szCs w:val="24"/>
        </w:rPr>
        <w:t>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n..*՝ վավերապայմանը պարտադիր է, պետք է կրկնվի ոչ պակաս, քան n անգամ (n &gt; 1).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n..m</w:t>
      </w:r>
      <w:r w:rsidR="001E2A12" w:rsidRPr="00805A84">
        <w:rPr>
          <w:rFonts w:ascii="Sylfaen" w:hAnsi="Sylfaen"/>
          <w:sz w:val="24"/>
          <w:szCs w:val="24"/>
        </w:rPr>
        <w:t>՝</w:t>
      </w:r>
      <w:r w:rsidRPr="00805A84">
        <w:rPr>
          <w:rFonts w:ascii="Sylfaen" w:hAnsi="Sylfaen"/>
          <w:sz w:val="24"/>
          <w:szCs w:val="24"/>
        </w:rPr>
        <w:t xml:space="preserve"> վավերապայմանը պարտադիր է, պետք է կրկնվի ոչ պակաս, քան n անգամ, 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 xml:space="preserve"> ոչ ավելի, քան m անգամ (n &gt; </w:t>
      </w:r>
      <w:smartTag w:uri="urn:schemas-microsoft-com:office:smarttags" w:element="metricconverter">
        <w:smartTagPr>
          <w:attr w:name="ProductID" w:val="1, m"/>
        </w:smartTagPr>
        <w:r w:rsidRPr="00805A84">
          <w:rPr>
            <w:rFonts w:ascii="Sylfaen" w:hAnsi="Sylfaen"/>
            <w:sz w:val="24"/>
            <w:szCs w:val="24"/>
          </w:rPr>
          <w:t>1, m</w:t>
        </w:r>
      </w:smartTag>
      <w:r w:rsidRPr="00805A84">
        <w:rPr>
          <w:rFonts w:ascii="Sylfaen" w:hAnsi="Sylfaen"/>
          <w:sz w:val="24"/>
          <w:szCs w:val="24"/>
        </w:rPr>
        <w:t xml:space="preserve"> &gt; n).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461088" w:rsidRPr="00805A84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461088" w:rsidRDefault="000A6F47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>0..m՝ վավերապայմանը կամընտրական է, կարող է կրկնվել ոչ ավելի, քան m անգամ (m &gt; 1):</w:t>
      </w:r>
    </w:p>
    <w:p w:rsidR="00D25D6B" w:rsidRDefault="00D25D6B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5D6B" w:rsidRPr="00805A84" w:rsidRDefault="00D25D6B" w:rsidP="00805A8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  <w:sectPr w:rsidR="00D25D6B" w:rsidRPr="00805A84" w:rsidSect="00D25D6B">
          <w:footerReference w:type="default" r:id="rId7"/>
          <w:pgSz w:w="11907" w:h="16840" w:code="9"/>
          <w:pgMar w:top="1418" w:right="1418" w:bottom="1418" w:left="1418" w:header="567" w:footer="513" w:gutter="0"/>
          <w:pgNumType w:start="1"/>
          <w:cols w:space="720"/>
          <w:noEndnote/>
          <w:titlePg/>
          <w:docGrid w:linePitch="360"/>
        </w:sectPr>
      </w:pPr>
    </w:p>
    <w:p w:rsidR="00461088" w:rsidRPr="00805A84" w:rsidRDefault="000A6F47" w:rsidP="009E2487">
      <w:pPr>
        <w:pStyle w:val="Heading30"/>
        <w:shd w:val="clear" w:color="auto" w:fill="auto"/>
        <w:spacing w:after="160" w:line="360" w:lineRule="auto"/>
        <w:ind w:right="340"/>
        <w:jc w:val="right"/>
        <w:outlineLvl w:val="9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lastRenderedPageBreak/>
        <w:t>Աղյուսակ</w:t>
      </w:r>
    </w:p>
    <w:p w:rsidR="00461088" w:rsidRPr="00805A84" w:rsidRDefault="000A6F47" w:rsidP="009E2487">
      <w:pPr>
        <w:pStyle w:val="Heading30"/>
        <w:shd w:val="clear" w:color="auto" w:fill="auto"/>
        <w:spacing w:after="160" w:line="360" w:lineRule="auto"/>
        <w:ind w:left="100"/>
        <w:outlineLvl w:val="9"/>
        <w:rPr>
          <w:rFonts w:ascii="Sylfaen" w:hAnsi="Sylfaen"/>
          <w:sz w:val="24"/>
          <w:szCs w:val="24"/>
        </w:rPr>
      </w:pPr>
      <w:r w:rsidRPr="00805A84">
        <w:rPr>
          <w:rFonts w:ascii="Sylfaen" w:hAnsi="Sylfaen"/>
          <w:sz w:val="24"/>
          <w:szCs w:val="24"/>
        </w:rPr>
        <w:t xml:space="preserve">Տեղեկագրքի կառուցվածքը </w:t>
      </w:r>
      <w:r w:rsidR="00805A84">
        <w:rPr>
          <w:rFonts w:ascii="Sylfaen" w:hAnsi="Sylfaen"/>
          <w:sz w:val="24"/>
          <w:szCs w:val="24"/>
        </w:rPr>
        <w:t>եւ</w:t>
      </w:r>
      <w:r w:rsidRPr="00805A84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148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11"/>
        <w:gridCol w:w="254"/>
        <w:gridCol w:w="207"/>
        <w:gridCol w:w="3825"/>
        <w:gridCol w:w="4213"/>
        <w:gridCol w:w="5221"/>
        <w:gridCol w:w="841"/>
      </w:tblGrid>
      <w:tr w:rsidR="00461088" w:rsidRPr="009E544B" w:rsidTr="00D25D6B">
        <w:trPr>
          <w:tblHeader/>
          <w:jc w:val="center"/>
        </w:trPr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088" w:rsidRPr="009E544B" w:rsidRDefault="000A6F47" w:rsidP="009E54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Վավերապայմանի անվանումը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Վավերապայմանի արժեքի տիրույթը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Վավերապայմանի արժեքի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Բազմ.</w:t>
            </w:r>
          </w:p>
        </w:tc>
      </w:tr>
      <w:tr w:rsidR="00461088" w:rsidRPr="009E544B" w:rsidTr="00D25D6B">
        <w:trPr>
          <w:jc w:val="center"/>
        </w:trPr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475"/>
              </w:tabs>
              <w:spacing w:before="0" w:after="120" w:line="240" w:lineRule="auto"/>
              <w:ind w:left="49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Սանիտարահամաճարակաբանական վերահսկողության (հսկողության) ենթակա արտադրանքի տեսակի մասին տեղեկությունները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վավերապայմանների արժեքների տիրույթներով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են ներդրված վավերապայմանների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483382" w:rsidRPr="009E544B" w:rsidTr="00D25D6B">
        <w:trPr>
          <w:jc w:val="center"/>
        </w:trPr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1.1.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Արտադրանքի տեսակի ծածկագիրը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տողը՝ հետ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 [0-9]{3}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ծածկագրային նշագիրը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ավորվում է ծածկագրման հաջորդական մեթոդի օգտագործմամբ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241" w:type="dxa"/>
            <w:gridSpan w:val="2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1.2.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Նկարագրությունը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տողը։ Նվազագույն երկարությունը՝ 1. Առավելագույն երկարությունը՝ 1 000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անվանումը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ավորվում է որպես ռուսերեն</w:t>
            </w:r>
            <w:r w:rsidR="001E2A12" w:rsidRPr="009E544B">
              <w:rPr>
                <w:rStyle w:val="Bodytext211pt"/>
                <w:rFonts w:ascii="Sylfaen" w:hAnsi="Sylfaen"/>
                <w:sz w:val="20"/>
                <w:szCs w:val="24"/>
              </w:rPr>
              <w:t>ով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կազմված տեքստ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483382" w:rsidRPr="009E544B" w:rsidTr="00D25D6B">
        <w:trPr>
          <w:jc w:val="center"/>
        </w:trPr>
        <w:tc>
          <w:tcPr>
            <w:tcW w:w="241" w:type="dxa"/>
            <w:gridSpan w:val="2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234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1.3.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Ապրանքների ծածկագրերի մասին տեղեկությունները՝ ԵԱՏՄ ԱՏԳ ԱԱ–ին համապատասխան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վավերապայմանների արժեքների տիրույթներով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են ներդրված վավերապայմանների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1..*</w:t>
            </w:r>
          </w:p>
        </w:tc>
      </w:tr>
      <w:tr w:rsidR="00483382" w:rsidRPr="009E544B" w:rsidTr="00D25D6B">
        <w:trPr>
          <w:jc w:val="center"/>
        </w:trPr>
        <w:tc>
          <w:tcPr>
            <w:tcW w:w="241" w:type="dxa"/>
            <w:gridSpan w:val="2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288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1.3.1.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Ապրանքի ծածկագիրը՝ ԵԱՏՄ ԱՏԳ ԱԱ–ին համապատասխան</w:t>
            </w:r>
            <w:r w:rsidR="001E2A12" w:rsidRPr="009E544B">
              <w:rPr>
                <w:rStyle w:val="Bodytext211pt"/>
                <w:rFonts w:ascii="Sylfaen" w:hAnsi="Sylfaen"/>
                <w:sz w:val="20"/>
                <w:szCs w:val="24"/>
              </w:rPr>
              <w:t>,</w:t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որը համապատասխանում է ծածկագրերի ընդգրկույթի սկզբին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տողը՝ հետ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</w:t>
            </w:r>
          </w:p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\d {2} |\d {4} |\d {6} |\d </w:t>
            </w:r>
            <w:r w:rsidRPr="009E544B">
              <w:rPr>
                <w:rStyle w:val="Bodytext211pt0"/>
                <w:rFonts w:ascii="Sylfaen" w:hAnsi="Sylfaen"/>
                <w:sz w:val="20"/>
                <w:szCs w:val="24"/>
              </w:rPr>
              <w:t>{8,1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0}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ծածկագրային նշագիրը պարունակում է ծածկագիրը ԵԱՏՄ ԱՏԳ ԱԱ-ից՝ 2, 4, 6, 8, 9 կամ 10 նիշերի մակարդակով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241" w:type="dxa"/>
            <w:gridSpan w:val="2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54" w:type="dxa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363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1.3.2.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Ապրանքի ծածկագիրը՝ ԵԱՏՄ ԱՏԳ ԱԱ–ին համապատասխան</w:t>
            </w:r>
            <w:r w:rsidR="001E2A12" w:rsidRPr="009E544B">
              <w:rPr>
                <w:rStyle w:val="Bodytext211pt"/>
                <w:rFonts w:ascii="Sylfaen" w:hAnsi="Sylfaen"/>
                <w:sz w:val="20"/>
                <w:szCs w:val="24"/>
              </w:rPr>
              <w:t>,</w:t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որը համապատասխանում է ծածկագրերի ընդգրկույթի վերջին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տողը՝ հետ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</w:t>
            </w:r>
          </w:p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\d{2} |\d{4} |\d{6} |\d{8,10}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ծածկագրային նշագիրը պարունակում է ծածկագիրը ԵԱՏՄ ԱՏԳ ԱԱ-ից՝ 2, 4, 6, 8, 9 կամ 10 նիշերի մակարդակով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483382" w:rsidRPr="009E544B" w:rsidTr="00D25D6B">
        <w:trPr>
          <w:jc w:val="center"/>
        </w:trPr>
        <w:tc>
          <w:tcPr>
            <w:tcW w:w="241" w:type="dxa"/>
            <w:gridSpan w:val="2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54" w:type="dxa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258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1.3.3.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Ծածկագրերի ընդգրկույթի կիրառման հատկանիշը՝ ԵԱՏՄ ԱՏԳ ԱԱ-ին համապատասխան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այն հատկանիշը, որը սահմանում է, որ նշվում է ծածկագրերի ընդգրկույթը</w:t>
            </w:r>
            <w:r w:rsidR="001E2A12" w:rsidRPr="009E544B">
              <w:rPr>
                <w:rStyle w:val="Bodytext211pt"/>
                <w:rFonts w:ascii="Sylfaen" w:hAnsi="Sylfaen"/>
                <w:sz w:val="20"/>
                <w:szCs w:val="24"/>
              </w:rPr>
              <w:t>՝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ԵԱՏՄ ԱՏԳ ԱԱ-ին համապատասխան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լրացվում է 1 արժեքով այն դեպքում, երբ նշվում է ծածկագրերի ընդգրկույթը</w:t>
            </w:r>
            <w:r w:rsidR="001E2A12" w:rsidRPr="009E544B">
              <w:rPr>
                <w:rStyle w:val="Bodytext211pt"/>
                <w:rFonts w:ascii="Sylfaen" w:hAnsi="Sylfaen"/>
                <w:sz w:val="20"/>
                <w:szCs w:val="24"/>
              </w:rPr>
              <w:t>՝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ԵԱՏՄ ԱՏԳ ԱԱ-ին համապատասխան, մյուս դեպքերում լրացվում է 0 արժեքով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C425B1" w:rsidRPr="009E544B" w:rsidTr="00D25D6B">
        <w:trPr>
          <w:jc w:val="center"/>
        </w:trPr>
        <w:tc>
          <w:tcPr>
            <w:tcW w:w="49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363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1.3.4.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Ծածկագրի ոչ լրիվ կիրառման հատկանիշը ԵԱՏՄ ԱՏԳ ԱԱ-ին համապատասխան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այն հատկանիշը, որը սահմանում է, որ արտադրանքին համապատասխանում են ոչ բոլոր՝ ԵԱՏՄ ԱՏԳ ԱԱ-ին համապատասխան խմբին (ապրանքային դիրքին, ենթադիրքին, ստորաենթադիրքին) (խմբերի, ապրանքային դիրքերի, ենթադիրքերի, ստորաենթադիրքերի ընդգրկույթին) պատկանող ապրանքները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լրացվում է 1 արժեքով այն դեպքում, երբ արտադրանքի տեսակին համապատասխանում են ոչ բոլոր՝ ԵԱՏՄ ԱՏԳ ԱԱ-ին համապատասխան խմբին (ապրանքային դիրքին, ենթադիրքին, ստորաենթադիրքին) (խմբերի, ապրանքային դիրքերի, ենթադիրքերի, ստորաենթադիրքերի ընդգրկույթին) պատկանող ապրանքները, մյուս դեպքերում լրացվում է 0 արժեքով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230" w:type="dxa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670"/>
              </w:tabs>
              <w:spacing w:before="0" w:after="120" w:line="240" w:lineRule="auto"/>
              <w:ind w:left="140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1.4.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Ծանոթագրություն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տողը։ Նվազագույն երկարությունը՝ 1. Առավելագույն երկարությունը՝ 500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ավորվում է որպես ռուսերեն</w:t>
            </w:r>
            <w:r w:rsidR="001E2A12" w:rsidRPr="009E544B">
              <w:rPr>
                <w:rStyle w:val="Bodytext211pt"/>
                <w:rFonts w:ascii="Sylfaen" w:hAnsi="Sylfaen"/>
                <w:sz w:val="20"/>
                <w:szCs w:val="24"/>
              </w:rPr>
              <w:t>ով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կազմված տեքստ 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պարունակում է արտադրանքի տեսակին վերաբերող սահմանափակումների նկարագրությունը, տեղեկագրքի դիրքի կիրառման ոլորտի նկարագրությունը կամ պարունակում է տեղեկագրքի դիրքին վերաբերող այլ ծանոթագրությունների նկարագրությունը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0..*</w:t>
            </w:r>
          </w:p>
        </w:tc>
      </w:tr>
      <w:tr w:rsidR="00483382" w:rsidRPr="009E544B" w:rsidTr="00D25D6B">
        <w:trPr>
          <w:jc w:val="center"/>
        </w:trPr>
        <w:tc>
          <w:tcPr>
            <w:tcW w:w="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ա)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«ծանոթագրության տեսակի ծածկագիրը» ատրիբուտը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տողը՝ հետ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յալ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անմուշին համապատասխան՝ d{1}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լրացվում է 1 արժեքով այն դեպքում, երբ ծանոթագրությունը պարունակում է արտադրանքի տեսակի նկատմամբ կիրառվող սահմանափակումների նկարագրությունը</w:t>
            </w:r>
            <w:r w:rsidR="00793119" w:rsidRPr="009E544B">
              <w:rPr>
                <w:rStyle w:val="Bodytext211pt"/>
                <w:rFonts w:ascii="Sylfaen" w:hAnsi="Sylfaen"/>
                <w:sz w:val="20"/>
                <w:szCs w:val="24"/>
              </w:rPr>
              <w:t>.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լրացվում է 2 արժեքով, եթե ծանոթագրությունը պարունակում է տեղեկագրքի դիրքի կիրառման ոլորտի նկարագրությունը</w:t>
            </w:r>
            <w:r w:rsidR="00793119" w:rsidRPr="009E544B">
              <w:rPr>
                <w:rStyle w:val="Bodytext211pt"/>
                <w:rFonts w:ascii="Sylfaen" w:hAnsi="Sylfaen"/>
                <w:sz w:val="20"/>
                <w:szCs w:val="24"/>
              </w:rPr>
              <w:t>.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 լրացվում է 0 արժեքով՝ այլ դեպքերում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230" w:type="dxa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670"/>
              </w:tabs>
              <w:spacing w:before="0" w:after="120" w:line="240" w:lineRule="auto"/>
              <w:ind w:left="140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Տեղեկագրքի գրառման մասին տեղեկությունները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վավերապայմանների արժեքների տիրույթներով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են ներդրված վավերապայմանների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378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1.5.1.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Գործողության սկզբի ամսաթիվը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ամսաթիվը՝ ԳՕՍՏ ԻՍՕ 8601–2001-ին համապատասխան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համապատասխանում է Եվրասիական տնտեսական միության մարմնի ակտում նշված՝ գործողության մեկնարկի ամսաթվին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49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1.5.2.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Գործողության մեկնարկը կանոնակարգող ակտի մասին տեղեկությունները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վավերապայմանների արժեքների տիրույթներով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են ներդրված վավերապայմանների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70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907"/>
              </w:tabs>
              <w:spacing w:before="0" w:after="120" w:line="240" w:lineRule="auto"/>
              <w:ind w:left="198" w:hanging="83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1.5.2.1.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Ակտի տեսակը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նորմալացված տողը: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անմուշը՝ \d{5}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61088" w:rsidRPr="009E544B" w:rsidTr="00D25D6B">
        <w:trPr>
          <w:jc w:val="center"/>
        </w:trPr>
        <w:tc>
          <w:tcPr>
            <w:tcW w:w="702" w:type="dxa"/>
            <w:gridSpan w:val="4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907"/>
              </w:tabs>
              <w:spacing w:before="0" w:after="120" w:line="240" w:lineRule="auto"/>
              <w:ind w:left="198" w:hanging="141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1.5.2.2.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Ակտի համարը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պայմանանշանների տողը։ Նվազագույն երկարությունը՝ </w:t>
            </w:r>
            <w:r w:rsidR="003613D8"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1 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Առավելագույն երկարությունը՝ 50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61088" w:rsidRPr="009E544B" w:rsidTr="00D25D6B">
        <w:trPr>
          <w:jc w:val="center"/>
        </w:trPr>
        <w:tc>
          <w:tcPr>
            <w:tcW w:w="702" w:type="dxa"/>
            <w:gridSpan w:val="4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907"/>
              </w:tabs>
              <w:spacing w:before="0" w:after="120" w:line="240" w:lineRule="auto"/>
              <w:ind w:left="198" w:hanging="141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1.5.2.3.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Ակտի ամսաթիվը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ամսաթիվը՝ ԳՕՍՏ ԻՍՕ 8601–2001-ին համապատասխան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83382" w:rsidRPr="009E544B" w:rsidTr="00D25D6B">
        <w:trPr>
          <w:jc w:val="center"/>
        </w:trPr>
        <w:tc>
          <w:tcPr>
            <w:tcW w:w="495" w:type="dxa"/>
            <w:gridSpan w:val="3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1.5.3.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Գործողության ավարտի ամսաթիվը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ամսաթիվը՝ ԳՕՍՏ ԻՍՕ 8601–2001-ին համապատասխան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483382" w:rsidRPr="009E544B" w:rsidTr="00D25D6B">
        <w:trPr>
          <w:jc w:val="center"/>
        </w:trPr>
        <w:tc>
          <w:tcPr>
            <w:tcW w:w="49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1.5.4.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Գործողության ավարտը կանոնակարգող ակտի մասին տեղեկությունները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է ներդրված վավերապայմանների արժեքների տիրույթներով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որոշվում են ներդրված վավերապայմանների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ավորման կանոններով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0..1</w:t>
            </w:r>
          </w:p>
        </w:tc>
      </w:tr>
      <w:tr w:rsidR="00483382" w:rsidRPr="009E544B" w:rsidTr="00D25D6B">
        <w:trPr>
          <w:jc w:val="center"/>
        </w:trPr>
        <w:tc>
          <w:tcPr>
            <w:tcW w:w="70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907"/>
              </w:tabs>
              <w:spacing w:before="0" w:after="120" w:line="240" w:lineRule="auto"/>
              <w:ind w:left="140" w:hanging="83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1.5.4.1.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Ակտի տեսակը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պայմանանշանների նորմալացված տողը։ Ձ</w:t>
            </w:r>
            <w:r w:rsidR="00805A84" w:rsidRPr="009E544B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անմուշը՝ \d{5}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61088" w:rsidRPr="009E544B" w:rsidTr="00D25D6B">
        <w:trPr>
          <w:jc w:val="center"/>
        </w:trPr>
        <w:tc>
          <w:tcPr>
            <w:tcW w:w="702" w:type="dxa"/>
            <w:gridSpan w:val="4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907"/>
              </w:tabs>
              <w:spacing w:before="0" w:after="120" w:line="240" w:lineRule="auto"/>
              <w:ind w:left="140" w:hanging="83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1.5.4.2.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Ակտի համարը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պայմանանշանների տողը։ Նվազագույն երկարությունը՝ </w:t>
            </w:r>
            <w:r w:rsidR="003613D8" w:rsidRPr="009E544B">
              <w:rPr>
                <w:rStyle w:val="Bodytext211pt"/>
                <w:rFonts w:ascii="Sylfaen" w:hAnsi="Sylfaen"/>
                <w:sz w:val="20"/>
                <w:szCs w:val="24"/>
              </w:rPr>
              <w:t xml:space="preserve">1 </w:t>
            </w: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Առավելագույն երկարությունը՝ 50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  <w:tr w:rsidR="00461088" w:rsidRPr="009E544B" w:rsidTr="00D25D6B">
        <w:trPr>
          <w:jc w:val="center"/>
        </w:trPr>
        <w:tc>
          <w:tcPr>
            <w:tcW w:w="702" w:type="dxa"/>
            <w:gridSpan w:val="4"/>
            <w:shd w:val="clear" w:color="auto" w:fill="FFFFFF"/>
          </w:tcPr>
          <w:p w:rsidR="00461088" w:rsidRPr="009E544B" w:rsidRDefault="00461088" w:rsidP="009E544B">
            <w:pPr>
              <w:spacing w:after="120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9E544B" w:rsidP="009E544B">
            <w:pPr>
              <w:pStyle w:val="Bodytext20"/>
              <w:shd w:val="clear" w:color="auto" w:fill="auto"/>
              <w:tabs>
                <w:tab w:val="left" w:pos="907"/>
              </w:tabs>
              <w:spacing w:before="0" w:after="120" w:line="240" w:lineRule="auto"/>
              <w:ind w:left="140" w:hanging="83"/>
              <w:rPr>
                <w:rFonts w:ascii="Sylfaen" w:hAnsi="Sylfaen"/>
                <w:sz w:val="20"/>
                <w:szCs w:val="24"/>
              </w:rPr>
            </w:pPr>
            <w:r>
              <w:rPr>
                <w:rStyle w:val="Bodytext211pt"/>
                <w:rFonts w:ascii="Sylfaen" w:hAnsi="Sylfaen"/>
                <w:sz w:val="20"/>
                <w:szCs w:val="24"/>
              </w:rPr>
              <w:t>1.5.4.3.</w:t>
            </w:r>
            <w:r>
              <w:rPr>
                <w:rStyle w:val="Bodytext211pt"/>
                <w:rFonts w:ascii="Sylfaen" w:hAnsi="Sylfaen"/>
                <w:sz w:val="20"/>
                <w:szCs w:val="24"/>
              </w:rPr>
              <w:tab/>
            </w:r>
            <w:r w:rsidR="000A6F47" w:rsidRPr="009E544B">
              <w:rPr>
                <w:rStyle w:val="Bodytext211pt"/>
                <w:rFonts w:ascii="Sylfaen" w:hAnsi="Sylfaen"/>
                <w:sz w:val="20"/>
                <w:szCs w:val="24"/>
              </w:rPr>
              <w:t>Ակտի ամսաթիվը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ամսաթիվը՝ ԳՕՍՏ ԻՍՕ 8601–2001-ին համապատասխան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88" w:rsidRPr="009E544B" w:rsidRDefault="000A6F47" w:rsidP="00D25D6B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0"/>
                <w:szCs w:val="24"/>
              </w:rPr>
            </w:pPr>
            <w:r w:rsidRPr="009E544B">
              <w:rPr>
                <w:rStyle w:val="Bodytext211pt"/>
                <w:rFonts w:ascii="Sylfaen" w:hAnsi="Sylfaen"/>
                <w:sz w:val="20"/>
                <w:szCs w:val="24"/>
              </w:rPr>
              <w:t>1</w:t>
            </w:r>
          </w:p>
        </w:tc>
      </w:tr>
    </w:tbl>
    <w:p w:rsidR="00461088" w:rsidRPr="00805A84" w:rsidRDefault="00461088" w:rsidP="00805A84">
      <w:pPr>
        <w:spacing w:after="160" w:line="360" w:lineRule="auto"/>
        <w:jc w:val="both"/>
        <w:rPr>
          <w:rFonts w:ascii="Sylfaen" w:hAnsi="Sylfaen"/>
        </w:rPr>
      </w:pPr>
    </w:p>
    <w:sectPr w:rsidR="00461088" w:rsidRPr="00805A84" w:rsidSect="00D25D6B">
      <w:footerReference w:type="default" r:id="rId8"/>
      <w:pgSz w:w="16840" w:h="11907" w:code="9"/>
      <w:pgMar w:top="1418" w:right="1418" w:bottom="1418" w:left="1418" w:header="0" w:footer="6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BEA" w:rsidRDefault="00926BEA" w:rsidP="00461088">
      <w:r>
        <w:separator/>
      </w:r>
    </w:p>
  </w:endnote>
  <w:endnote w:type="continuationSeparator" w:id="0">
    <w:p w:rsidR="00926BEA" w:rsidRDefault="00926BEA" w:rsidP="0046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499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47A1B" w:rsidRPr="00A47A1B" w:rsidRDefault="003208BE">
        <w:pPr>
          <w:pStyle w:val="Footer"/>
          <w:jc w:val="center"/>
          <w:rPr>
            <w:rFonts w:ascii="Sylfaen" w:hAnsi="Sylfaen"/>
          </w:rPr>
        </w:pPr>
        <w:r w:rsidRPr="00A47A1B">
          <w:rPr>
            <w:rFonts w:ascii="Sylfaen" w:hAnsi="Sylfaen"/>
          </w:rPr>
          <w:fldChar w:fldCharType="begin"/>
        </w:r>
        <w:r w:rsidR="00A47A1B" w:rsidRPr="00A47A1B">
          <w:rPr>
            <w:rFonts w:ascii="Sylfaen" w:hAnsi="Sylfaen"/>
          </w:rPr>
          <w:instrText xml:space="preserve"> PAGE   \* MERGEFORMAT </w:instrText>
        </w:r>
        <w:r w:rsidRPr="00A47A1B">
          <w:rPr>
            <w:rFonts w:ascii="Sylfaen" w:hAnsi="Sylfaen"/>
          </w:rPr>
          <w:fldChar w:fldCharType="separate"/>
        </w:r>
        <w:r w:rsidR="00A4318C">
          <w:rPr>
            <w:rFonts w:ascii="Sylfaen" w:hAnsi="Sylfaen"/>
            <w:noProof/>
          </w:rPr>
          <w:t>6</w:t>
        </w:r>
        <w:r w:rsidRPr="00A47A1B">
          <w:rPr>
            <w:rFonts w:ascii="Sylfaen" w:hAnsi="Sylfae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499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47A1B" w:rsidRPr="009E2487" w:rsidRDefault="003208BE">
        <w:pPr>
          <w:pStyle w:val="Footer"/>
          <w:jc w:val="center"/>
          <w:rPr>
            <w:rFonts w:ascii="Sylfaen" w:hAnsi="Sylfaen"/>
          </w:rPr>
        </w:pPr>
        <w:r w:rsidRPr="009E2487">
          <w:rPr>
            <w:rFonts w:ascii="Sylfaen" w:hAnsi="Sylfaen"/>
          </w:rPr>
          <w:fldChar w:fldCharType="begin"/>
        </w:r>
        <w:r w:rsidR="00A47A1B" w:rsidRPr="009E2487">
          <w:rPr>
            <w:rFonts w:ascii="Sylfaen" w:hAnsi="Sylfaen"/>
          </w:rPr>
          <w:instrText xml:space="preserve"> PAGE   \* MERGEFORMAT </w:instrText>
        </w:r>
        <w:r w:rsidRPr="009E2487">
          <w:rPr>
            <w:rFonts w:ascii="Sylfaen" w:hAnsi="Sylfaen"/>
          </w:rPr>
          <w:fldChar w:fldCharType="separate"/>
        </w:r>
        <w:r w:rsidR="00A4318C">
          <w:rPr>
            <w:rFonts w:ascii="Sylfaen" w:hAnsi="Sylfaen"/>
            <w:noProof/>
          </w:rPr>
          <w:t>9</w:t>
        </w:r>
        <w:r w:rsidRPr="009E248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BEA" w:rsidRDefault="00926BEA"/>
  </w:footnote>
  <w:footnote w:type="continuationSeparator" w:id="0">
    <w:p w:rsidR="00926BEA" w:rsidRDefault="00926B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4AC6"/>
    <w:multiLevelType w:val="multilevel"/>
    <w:tmpl w:val="9B629E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716435"/>
    <w:multiLevelType w:val="multilevel"/>
    <w:tmpl w:val="18B6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681238"/>
    <w:multiLevelType w:val="multilevel"/>
    <w:tmpl w:val="EE142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088"/>
    <w:rsid w:val="00041CFD"/>
    <w:rsid w:val="00084E0A"/>
    <w:rsid w:val="000A6F47"/>
    <w:rsid w:val="000B77EE"/>
    <w:rsid w:val="0017428C"/>
    <w:rsid w:val="0019794C"/>
    <w:rsid w:val="001E2A12"/>
    <w:rsid w:val="001F512E"/>
    <w:rsid w:val="002759E0"/>
    <w:rsid w:val="00294A15"/>
    <w:rsid w:val="002C5B97"/>
    <w:rsid w:val="003208BE"/>
    <w:rsid w:val="003613D8"/>
    <w:rsid w:val="00362731"/>
    <w:rsid w:val="003C6712"/>
    <w:rsid w:val="003D3BD4"/>
    <w:rsid w:val="004119E1"/>
    <w:rsid w:val="00461088"/>
    <w:rsid w:val="00483382"/>
    <w:rsid w:val="004A65A4"/>
    <w:rsid w:val="005842B7"/>
    <w:rsid w:val="00590E37"/>
    <w:rsid w:val="005A27A5"/>
    <w:rsid w:val="0061270E"/>
    <w:rsid w:val="00637880"/>
    <w:rsid w:val="006D7A89"/>
    <w:rsid w:val="0072399D"/>
    <w:rsid w:val="007415D0"/>
    <w:rsid w:val="007552E4"/>
    <w:rsid w:val="00793119"/>
    <w:rsid w:val="00802490"/>
    <w:rsid w:val="00805A84"/>
    <w:rsid w:val="00873CE0"/>
    <w:rsid w:val="00901884"/>
    <w:rsid w:val="00926BEA"/>
    <w:rsid w:val="009560DA"/>
    <w:rsid w:val="009A4BF2"/>
    <w:rsid w:val="009E2487"/>
    <w:rsid w:val="009E544B"/>
    <w:rsid w:val="00A4318C"/>
    <w:rsid w:val="00A47A1B"/>
    <w:rsid w:val="00AA0997"/>
    <w:rsid w:val="00B068F2"/>
    <w:rsid w:val="00B70018"/>
    <w:rsid w:val="00B70A84"/>
    <w:rsid w:val="00B75C98"/>
    <w:rsid w:val="00C425B1"/>
    <w:rsid w:val="00C61424"/>
    <w:rsid w:val="00C70A6B"/>
    <w:rsid w:val="00CC68A0"/>
    <w:rsid w:val="00CD6583"/>
    <w:rsid w:val="00D25D6B"/>
    <w:rsid w:val="00DD555E"/>
    <w:rsid w:val="00DE51F9"/>
    <w:rsid w:val="00EA3422"/>
    <w:rsid w:val="00EE43E8"/>
    <w:rsid w:val="00F006C3"/>
    <w:rsid w:val="00F273A4"/>
    <w:rsid w:val="00F64B09"/>
    <w:rsid w:val="00F85721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A99DD21E-6352-4C6D-8333-887E3CE7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6108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108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61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61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461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61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461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UnicodeMS">
    <w:name w:val="Body text (2) + Arial Unicode MS"/>
    <w:aliases w:val="10 pt"/>
    <w:basedOn w:val="Bodytext2"/>
    <w:rsid w:val="0046108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461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461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61088"/>
    <w:pPr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6108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610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61088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461088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61088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pacing w:val="3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99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99D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1F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1F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47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A1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7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A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26</cp:revision>
  <dcterms:created xsi:type="dcterms:W3CDTF">2020-09-09T08:26:00Z</dcterms:created>
  <dcterms:modified xsi:type="dcterms:W3CDTF">2022-07-21T10:44:00Z</dcterms:modified>
</cp:coreProperties>
</file>