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1"/>
        <w:ind w:left="6846"/>
      </w:pPr>
      <w:r>
        <w:rPr>
          <w:w w:val="110"/>
        </w:rPr>
        <w:t>Հավելված</w:t>
      </w:r>
    </w:p>
    <w:p>
      <w:pPr>
        <w:spacing w:line="280" w:lineRule="auto" w:before="48"/>
        <w:ind w:left="5833" w:right="1188" w:hanging="377"/>
        <w:jc w:val="left"/>
        <w:rPr>
          <w:sz w:val="24"/>
          <w:szCs w:val="24"/>
        </w:rPr>
      </w:pPr>
      <w:r>
        <w:rPr>
          <w:w w:val="105"/>
          <w:sz w:val="24"/>
          <w:szCs w:val="24"/>
        </w:rPr>
        <w:t>ՀՀ կառավարության 2022 թվականի հունիսի 17-ի N 887-Ա որոշման</w:t>
      </w:r>
    </w:p>
    <w:p>
      <w:pPr>
        <w:pStyle w:val="BodyText"/>
        <w:rPr>
          <w:sz w:val="26"/>
        </w:rPr>
      </w:pPr>
    </w:p>
    <w:p>
      <w:pPr>
        <w:pStyle w:val="BodyText"/>
        <w:tabs>
          <w:tab w:pos="7316" w:val="left" w:leader="none"/>
        </w:tabs>
        <w:spacing w:before="202"/>
        <w:ind w:left="2094"/>
      </w:pPr>
      <w:r>
        <w:rPr>
          <w:spacing w:val="-3"/>
        </w:rPr>
        <w:t>Yerevan,</w:t>
      </w:r>
      <w:r>
        <w:rPr>
          <w:spacing w:val="5"/>
        </w:rPr>
        <w:t> </w:t>
      </w:r>
      <w:r>
        <w:rPr>
          <w:spacing w:val="-3"/>
        </w:rPr>
        <w:t>2022</w:t>
        <w:tab/>
        <w:t>Երևան, 2022 թ.</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spacing w:after="0"/>
        <w:rPr>
          <w:sz w:val="20"/>
        </w:rPr>
        <w:sectPr>
          <w:type w:val="continuous"/>
          <w:pgSz w:w="11910" w:h="16840"/>
          <w:pgMar w:top="860" w:bottom="280" w:left="1100" w:right="200"/>
        </w:sectPr>
      </w:pPr>
    </w:p>
    <w:p>
      <w:pPr>
        <w:pStyle w:val="BodyText"/>
        <w:spacing w:line="266" w:lineRule="auto" w:before="92"/>
        <w:ind w:left="97" w:right="16"/>
        <w:jc w:val="center"/>
      </w:pPr>
      <w:r>
        <w:rPr/>
        <w:t>THE </w:t>
      </w:r>
      <w:r>
        <w:rPr>
          <w:spacing w:val="-4"/>
        </w:rPr>
        <w:t>GOVERNMENT </w:t>
      </w:r>
      <w:r>
        <w:rPr>
          <w:spacing w:val="-3"/>
        </w:rPr>
        <w:t>OF THE REPUBLIC </w:t>
      </w:r>
      <w:r>
        <w:rPr/>
        <w:t>OF </w:t>
      </w:r>
      <w:r>
        <w:rPr>
          <w:spacing w:val="-4"/>
        </w:rPr>
        <w:t>ARMENIA </w:t>
      </w:r>
      <w:r>
        <w:rPr>
          <w:spacing w:val="-3"/>
        </w:rPr>
        <w:t>ACTING </w:t>
      </w:r>
      <w:r>
        <w:rPr/>
        <w:t>ON </w:t>
      </w:r>
      <w:r>
        <w:rPr>
          <w:spacing w:val="-3"/>
        </w:rPr>
        <w:t>BEHALF </w:t>
      </w:r>
      <w:r>
        <w:rPr/>
        <w:t>OF THE </w:t>
      </w:r>
      <w:r>
        <w:rPr>
          <w:spacing w:val="-3"/>
        </w:rPr>
        <w:t>REPUBLIC </w:t>
      </w:r>
      <w:r>
        <w:rPr/>
        <w:t>OF </w:t>
      </w:r>
      <w:r>
        <w:rPr>
          <w:spacing w:val="-3"/>
        </w:rPr>
        <w:t>ARMENIA</w:t>
      </w:r>
    </w:p>
    <w:p>
      <w:pPr>
        <w:pStyle w:val="BodyText"/>
        <w:spacing w:line="251" w:lineRule="exact"/>
        <w:ind w:left="92" w:right="16"/>
        <w:jc w:val="center"/>
      </w:pPr>
      <w:r>
        <w:rPr/>
        <w:t>(AS THE GOVERNMENT)</w:t>
      </w:r>
    </w:p>
    <w:p>
      <w:pPr>
        <w:pStyle w:val="BodyText"/>
        <w:spacing w:line="266" w:lineRule="auto" w:before="92"/>
        <w:ind w:left="119" w:right="248" w:hanging="3"/>
        <w:jc w:val="center"/>
      </w:pPr>
      <w:r>
        <w:rPr/>
        <w:br w:type="column"/>
      </w:r>
      <w:r>
        <w:rPr>
          <w:spacing w:val="-4"/>
        </w:rPr>
        <w:t>ՀԱՅԱՍՏԱՆԻ ՀԱՆՐԱՊԵՏՈՒԹՅԱՆ ԿԱՌԱՎԱՐՈՒԹՅՈՒՆԸ, </w:t>
      </w:r>
      <w:r>
        <w:rPr>
          <w:spacing w:val="-3"/>
        </w:rPr>
        <w:t>ՈՐԸ </w:t>
      </w:r>
      <w:r>
        <w:rPr>
          <w:spacing w:val="-4"/>
        </w:rPr>
        <w:t>ԳՈՐԾՈՒՄ </w:t>
      </w:r>
      <w:r>
        <w:rPr/>
        <w:t>Է </w:t>
      </w:r>
      <w:r>
        <w:rPr>
          <w:spacing w:val="-4"/>
        </w:rPr>
        <w:t>ՀԱՅԱՍՏԱՆԻ ՀԱՆՐԱՊԵՏՈՒԹՅԱՆ</w:t>
      </w:r>
      <w:r>
        <w:rPr>
          <w:spacing w:val="-41"/>
        </w:rPr>
        <w:t> </w:t>
      </w:r>
      <w:r>
        <w:rPr>
          <w:spacing w:val="-4"/>
        </w:rPr>
        <w:t>ԱՆՈՒՆԻՑ </w:t>
      </w:r>
      <w:r>
        <w:rPr>
          <w:spacing w:val="-3"/>
        </w:rPr>
        <w:t>(ՈՐՊԵՍ</w:t>
      </w:r>
      <w:r>
        <w:rPr>
          <w:spacing w:val="-1"/>
        </w:rPr>
        <w:t> </w:t>
      </w:r>
      <w:r>
        <w:rPr>
          <w:spacing w:val="-4"/>
        </w:rPr>
        <w:t>ԿԱՌԱՎԱՐՈՒԹՅՈՒՆ)</w:t>
      </w:r>
    </w:p>
    <w:p>
      <w:pPr>
        <w:spacing w:after="0" w:line="266" w:lineRule="auto"/>
        <w:jc w:val="center"/>
        <w:sectPr>
          <w:type w:val="continuous"/>
          <w:pgSz w:w="11910" w:h="16840"/>
          <w:pgMar w:top="860" w:bottom="280" w:left="1100" w:right="200"/>
          <w:cols w:num="2" w:equalWidth="0">
            <w:col w:w="5406" w:space="227"/>
            <w:col w:w="4977"/>
          </w:cols>
        </w:sectPr>
      </w:pPr>
    </w:p>
    <w:p>
      <w:pPr>
        <w:pStyle w:val="BodyText"/>
        <w:spacing w:before="9"/>
        <w:rPr>
          <w:sz w:val="10"/>
        </w:rPr>
      </w:pPr>
    </w:p>
    <w:p>
      <w:pPr>
        <w:pStyle w:val="BodyText"/>
        <w:tabs>
          <w:tab w:pos="7894" w:val="left" w:leader="none"/>
        </w:tabs>
        <w:spacing w:before="92"/>
        <w:ind w:left="2507"/>
      </w:pPr>
      <w:r>
        <w:rPr>
          <w:spacing w:val="-3"/>
        </w:rPr>
        <w:t>AND</w:t>
        <w:tab/>
      </w:r>
      <w:r>
        <w:rPr/>
        <w:t>ԵՎ</w:t>
      </w:r>
    </w:p>
    <w:p>
      <w:pPr>
        <w:pStyle w:val="BodyText"/>
        <w:spacing w:before="5"/>
        <w:rPr>
          <w:sz w:val="13"/>
        </w:rPr>
      </w:pPr>
    </w:p>
    <w:p>
      <w:pPr>
        <w:spacing w:after="0"/>
        <w:rPr>
          <w:sz w:val="13"/>
        </w:rPr>
        <w:sectPr>
          <w:type w:val="continuous"/>
          <w:pgSz w:w="11910" w:h="16840"/>
          <w:pgMar w:top="860" w:bottom="280" w:left="1100" w:right="200"/>
        </w:sectPr>
      </w:pPr>
    </w:p>
    <w:p>
      <w:pPr>
        <w:pStyle w:val="BodyText"/>
        <w:spacing w:line="266" w:lineRule="auto" w:before="92"/>
        <w:ind w:left="1657" w:right="24" w:firstLine="194"/>
      </w:pPr>
      <w:r>
        <w:rPr>
          <w:spacing w:val="-4"/>
        </w:rPr>
        <w:t>ARMPOWER </w:t>
      </w:r>
      <w:r>
        <w:rPr/>
        <w:t>CJSC (AS</w:t>
      </w:r>
      <w:r>
        <w:rPr>
          <w:spacing w:val="-25"/>
        </w:rPr>
        <w:t> </w:t>
      </w:r>
      <w:r>
        <w:rPr/>
        <w:t>THE</w:t>
      </w:r>
      <w:r>
        <w:rPr>
          <w:spacing w:val="-27"/>
        </w:rPr>
        <w:t> </w:t>
      </w:r>
      <w:r>
        <w:rPr>
          <w:spacing w:val="-3"/>
        </w:rPr>
        <w:t>DEVELOPER)</w:t>
      </w:r>
    </w:p>
    <w:p>
      <w:pPr>
        <w:pStyle w:val="BodyText"/>
        <w:spacing w:line="266" w:lineRule="auto" w:before="92"/>
        <w:ind w:left="1657" w:right="464" w:firstLine="271"/>
      </w:pPr>
      <w:r>
        <w:rPr/>
        <w:br w:type="column"/>
      </w:r>
      <w:r>
        <w:rPr/>
        <w:t>«ԱՐՄՓԱՈՒԵՐ» ՓԲԸ-Ն (ՈՐՊԵՍ ԿԱՌՈՒՑԱՊԱՏՈՂ)</w:t>
      </w:r>
    </w:p>
    <w:p>
      <w:pPr>
        <w:spacing w:after="0" w:line="266" w:lineRule="auto"/>
        <w:sectPr>
          <w:type w:val="continuous"/>
          <w:pgSz w:w="11910" w:h="16840"/>
          <w:pgMar w:top="860" w:bottom="280" w:left="1100" w:right="200"/>
          <w:cols w:num="2" w:equalWidth="0">
            <w:col w:w="3868" w:space="1090"/>
            <w:col w:w="5652"/>
          </w:cols>
        </w:sectPr>
      </w:pPr>
    </w:p>
    <w:p>
      <w:pPr>
        <w:pStyle w:val="BodyText"/>
        <w:rPr>
          <w:sz w:val="11"/>
        </w:rPr>
      </w:pPr>
    </w:p>
    <w:p>
      <w:pPr>
        <w:pStyle w:val="BodyText"/>
        <w:tabs>
          <w:tab w:pos="7894" w:val="left" w:leader="none"/>
        </w:tabs>
        <w:spacing w:before="92"/>
        <w:ind w:left="2507"/>
      </w:pPr>
      <w:r>
        <w:rPr>
          <w:spacing w:val="-3"/>
        </w:rPr>
        <w:t>AND</w:t>
        <w:tab/>
      </w:r>
      <w:r>
        <w:rPr/>
        <w:t>ԵՎ</w:t>
      </w:r>
    </w:p>
    <w:p>
      <w:pPr>
        <w:pStyle w:val="BodyText"/>
        <w:spacing w:before="7"/>
        <w:rPr>
          <w:sz w:val="13"/>
        </w:rPr>
      </w:pPr>
    </w:p>
    <w:p>
      <w:pPr>
        <w:spacing w:after="0"/>
        <w:rPr>
          <w:sz w:val="13"/>
        </w:rPr>
        <w:sectPr>
          <w:type w:val="continuous"/>
          <w:pgSz w:w="11910" w:h="16840"/>
          <w:pgMar w:top="860" w:bottom="280" w:left="1100" w:right="200"/>
        </w:sectPr>
      </w:pPr>
    </w:p>
    <w:p>
      <w:pPr>
        <w:pStyle w:val="BodyText"/>
        <w:spacing w:line="264" w:lineRule="auto" w:before="92"/>
        <w:ind w:left="1796" w:right="27" w:firstLine="307"/>
      </w:pPr>
      <w:r>
        <w:rPr>
          <w:spacing w:val="-3"/>
        </w:rPr>
        <w:t>RENCO </w:t>
      </w:r>
      <w:r>
        <w:rPr/>
        <w:t>S.P.A (AS</w:t>
      </w:r>
      <w:r>
        <w:rPr>
          <w:spacing w:val="-23"/>
        </w:rPr>
        <w:t> </w:t>
      </w:r>
      <w:r>
        <w:rPr/>
        <w:t>THE</w:t>
      </w:r>
      <w:r>
        <w:rPr>
          <w:spacing w:val="-25"/>
        </w:rPr>
        <w:t> </w:t>
      </w:r>
      <w:r>
        <w:rPr>
          <w:spacing w:val="-3"/>
        </w:rPr>
        <w:t>SPONSOR)</w:t>
      </w:r>
    </w:p>
    <w:p>
      <w:pPr>
        <w:pStyle w:val="BodyText"/>
        <w:spacing w:line="264" w:lineRule="auto" w:before="92"/>
        <w:ind w:left="1796" w:right="821" w:firstLine="372"/>
      </w:pPr>
      <w:r>
        <w:rPr/>
        <w:br w:type="column"/>
      </w:r>
      <w:r>
        <w:rPr/>
        <w:t>«ՌԵՆԿՈ» Ս.Պ.Ա (ՈՐՊԵՍ ՀՈՎԱՆԱՎՈՐ)</w:t>
      </w:r>
    </w:p>
    <w:p>
      <w:pPr>
        <w:spacing w:after="0" w:line="264" w:lineRule="auto"/>
        <w:sectPr>
          <w:type w:val="continuous"/>
          <w:pgSz w:w="11910" w:h="16840"/>
          <w:pgMar w:top="860" w:bottom="280" w:left="1100" w:right="200"/>
          <w:cols w:num="2" w:equalWidth="0">
            <w:col w:w="3727" w:space="1335"/>
            <w:col w:w="5548"/>
          </w:cols>
        </w:sectPr>
      </w:pPr>
    </w:p>
    <w:p>
      <w:pPr>
        <w:pStyle w:val="BodyText"/>
        <w:rPr>
          <w:sz w:val="20"/>
        </w:rPr>
      </w:pPr>
    </w:p>
    <w:p>
      <w:pPr>
        <w:pStyle w:val="BodyText"/>
        <w:rPr>
          <w:sz w:val="20"/>
        </w:rPr>
      </w:pPr>
    </w:p>
    <w:p>
      <w:pPr>
        <w:spacing w:after="0"/>
        <w:rPr>
          <w:sz w:val="20"/>
        </w:rPr>
        <w:sectPr>
          <w:type w:val="continuous"/>
          <w:pgSz w:w="11910" w:h="16840"/>
          <w:pgMar w:top="860" w:bottom="280" w:left="1100" w:right="200"/>
        </w:sectPr>
      </w:pPr>
    </w:p>
    <w:p>
      <w:pPr>
        <w:pStyle w:val="BodyText"/>
        <w:spacing w:before="9"/>
      </w:pPr>
    </w:p>
    <w:p>
      <w:pPr>
        <w:pStyle w:val="BodyText"/>
        <w:ind w:left="1818"/>
      </w:pPr>
      <w:r>
        <w:rPr/>
        <w:t>AGREEMENT No. 4</w:t>
      </w:r>
    </w:p>
    <w:p>
      <w:pPr>
        <w:pStyle w:val="BodyText"/>
        <w:spacing w:line="264" w:lineRule="auto" w:before="28"/>
        <w:ind w:left="1184" w:right="14" w:firstLine="204"/>
      </w:pPr>
      <w:r>
        <w:rPr/>
        <w:t>ON </w:t>
      </w:r>
      <w:r>
        <w:rPr>
          <w:spacing w:val="-3"/>
        </w:rPr>
        <w:t>MAKING </w:t>
      </w:r>
      <w:r>
        <w:rPr>
          <w:spacing w:val="-4"/>
        </w:rPr>
        <w:t>AMENDMENT </w:t>
      </w:r>
      <w:r>
        <w:rPr/>
        <w:t>TO </w:t>
      </w:r>
      <w:r>
        <w:rPr>
          <w:spacing w:val="-4"/>
        </w:rPr>
        <w:t>FRAMEWORK </w:t>
      </w:r>
      <w:r>
        <w:rPr>
          <w:spacing w:val="-3"/>
        </w:rPr>
        <w:t>AGREEMENT</w:t>
      </w:r>
    </w:p>
    <w:p>
      <w:pPr>
        <w:pStyle w:val="BodyText"/>
        <w:spacing w:before="9"/>
      </w:pPr>
      <w:r>
        <w:rPr/>
        <w:br w:type="column"/>
      </w:r>
      <w:r>
        <w:rPr/>
      </w:r>
    </w:p>
    <w:p>
      <w:pPr>
        <w:pStyle w:val="BodyText"/>
        <w:spacing w:line="266" w:lineRule="auto"/>
        <w:ind w:left="1184" w:right="469" w:hanging="1"/>
        <w:jc w:val="center"/>
      </w:pPr>
      <w:r>
        <w:rPr>
          <w:spacing w:val="-4"/>
        </w:rPr>
        <w:t>ՀԱՄԱՁԱՅՆԱԳԻՐ </w:t>
      </w:r>
      <w:r>
        <w:rPr>
          <w:spacing w:val="-3"/>
        </w:rPr>
        <w:t>ԹԻՎ </w:t>
      </w:r>
      <w:r>
        <w:rPr/>
        <w:t>4 </w:t>
      </w:r>
      <w:r>
        <w:rPr>
          <w:spacing w:val="-4"/>
        </w:rPr>
        <w:t>ՇՐՋԱՆԱԿԱՅԻՆ ՀԱՄԱՁԱՅՆԱԳՐՈՒՄ ՓՈՓՈԽՈՒԹՅՈՒՆ ԿԱՏԱՐԵԼՈՒ </w:t>
      </w:r>
      <w:r>
        <w:rPr>
          <w:spacing w:val="-3"/>
        </w:rPr>
        <w:t>ՄԱՍԻՆ</w:t>
      </w:r>
    </w:p>
    <w:p>
      <w:pPr>
        <w:spacing w:after="0" w:line="266" w:lineRule="auto"/>
        <w:jc w:val="center"/>
        <w:sectPr>
          <w:type w:val="continuous"/>
          <w:pgSz w:w="11910" w:h="16840"/>
          <w:pgMar w:top="860" w:bottom="280" w:left="1100" w:right="200"/>
          <w:cols w:num="2" w:equalWidth="0">
            <w:col w:w="4342" w:space="444"/>
            <w:col w:w="5824"/>
          </w:cols>
        </w:sectPr>
      </w:pPr>
    </w:p>
    <w:p>
      <w:pPr>
        <w:pStyle w:val="BodyText"/>
        <w:spacing w:before="1"/>
        <w:rPr>
          <w:sz w:val="11"/>
        </w:rPr>
      </w:pPr>
    </w:p>
    <w:p>
      <w:pPr>
        <w:pStyle w:val="BodyText"/>
        <w:spacing w:before="91"/>
        <w:ind w:left="2648"/>
      </w:pPr>
      <w:r>
        <w:rPr>
          <w:w w:val="110"/>
        </w:rPr>
        <w:t>to</w:t>
      </w:r>
    </w:p>
    <w:p>
      <w:pPr>
        <w:pStyle w:val="BodyText"/>
        <w:spacing w:before="5"/>
        <w:rPr>
          <w:sz w:val="13"/>
        </w:rPr>
      </w:pPr>
    </w:p>
    <w:p>
      <w:pPr>
        <w:spacing w:after="0"/>
        <w:rPr>
          <w:sz w:val="13"/>
        </w:rPr>
        <w:sectPr>
          <w:type w:val="continuous"/>
          <w:pgSz w:w="11910" w:h="16840"/>
          <w:pgMar w:top="860" w:bottom="280" w:left="1100" w:right="200"/>
        </w:sectPr>
      </w:pPr>
    </w:p>
    <w:p>
      <w:pPr>
        <w:pStyle w:val="BodyText"/>
        <w:spacing w:before="92"/>
        <w:ind w:left="1746" w:hanging="960"/>
      </w:pPr>
      <w:r>
        <w:rPr>
          <w:w w:val="105"/>
        </w:rPr>
        <w:t>Design, Develop, Finance, Construct, Own,</w:t>
      </w:r>
    </w:p>
    <w:p>
      <w:pPr>
        <w:pStyle w:val="BodyText"/>
        <w:spacing w:line="264" w:lineRule="auto" w:before="28"/>
        <w:ind w:left="1721" w:right="1646"/>
        <w:jc w:val="center"/>
      </w:pPr>
      <w:r>
        <w:rPr>
          <w:w w:val="105"/>
        </w:rPr>
        <w:t>Operate and Maintain a 250MW Gas-Fired</w:t>
      </w:r>
    </w:p>
    <w:p>
      <w:pPr>
        <w:pStyle w:val="BodyText"/>
        <w:spacing w:line="266" w:lineRule="auto" w:before="2"/>
        <w:ind w:left="1367" w:right="1297"/>
        <w:jc w:val="center"/>
      </w:pPr>
      <w:r>
        <w:rPr>
          <w:w w:val="105"/>
        </w:rPr>
        <w:t>Combined Cycle Power Plant in the territory of Yerevan,</w:t>
      </w:r>
    </w:p>
    <w:p>
      <w:pPr>
        <w:pStyle w:val="BodyText"/>
        <w:spacing w:line="251" w:lineRule="exact"/>
        <w:ind w:left="1799"/>
      </w:pPr>
      <w:r>
        <w:rPr>
          <w:w w:val="105"/>
        </w:rPr>
        <w:t>Republic of Armenia</w:t>
      </w:r>
    </w:p>
    <w:p>
      <w:pPr>
        <w:pStyle w:val="BodyText"/>
        <w:spacing w:line="266" w:lineRule="auto" w:before="28"/>
        <w:ind w:left="73" w:right="2"/>
        <w:jc w:val="center"/>
      </w:pPr>
      <w:r>
        <w:rPr>
          <w:w w:val="105"/>
        </w:rPr>
        <w:t>(as </w:t>
      </w:r>
      <w:r>
        <w:rPr>
          <w:spacing w:val="-3"/>
          <w:w w:val="105"/>
        </w:rPr>
        <w:t>amended and </w:t>
      </w:r>
      <w:r>
        <w:rPr>
          <w:w w:val="105"/>
        </w:rPr>
        <w:t>restated on 13 </w:t>
      </w:r>
      <w:r>
        <w:rPr>
          <w:spacing w:val="-3"/>
          <w:w w:val="105"/>
        </w:rPr>
        <w:t>November 2018 and </w:t>
      </w:r>
      <w:r>
        <w:rPr>
          <w:w w:val="105"/>
        </w:rPr>
        <w:t>further </w:t>
      </w:r>
      <w:r>
        <w:rPr>
          <w:spacing w:val="-3"/>
          <w:w w:val="105"/>
        </w:rPr>
        <w:t>amended </w:t>
      </w:r>
      <w:r>
        <w:rPr>
          <w:w w:val="105"/>
        </w:rPr>
        <w:t>on 14 </w:t>
      </w:r>
      <w:r>
        <w:rPr>
          <w:spacing w:val="-3"/>
          <w:w w:val="105"/>
        </w:rPr>
        <w:t>December 2018, </w:t>
      </w:r>
      <w:r>
        <w:rPr>
          <w:w w:val="105"/>
        </w:rPr>
        <w:t>22 April </w:t>
      </w:r>
      <w:r>
        <w:rPr>
          <w:spacing w:val="-3"/>
          <w:w w:val="105"/>
        </w:rPr>
        <w:t>2021 and </w:t>
      </w:r>
      <w:r>
        <w:rPr>
          <w:w w:val="105"/>
        </w:rPr>
        <w:t>7 </w:t>
      </w:r>
      <w:r>
        <w:rPr>
          <w:spacing w:val="-3"/>
          <w:w w:val="105"/>
        </w:rPr>
        <w:t>October 2021)</w:t>
      </w:r>
    </w:p>
    <w:p>
      <w:pPr>
        <w:pStyle w:val="BodyText"/>
        <w:spacing w:line="266" w:lineRule="auto" w:before="92"/>
        <w:ind w:left="128" w:right="130" w:hanging="3"/>
        <w:jc w:val="center"/>
      </w:pPr>
      <w:r>
        <w:rPr/>
        <w:br w:type="column"/>
      </w:r>
      <w:r>
        <w:rPr>
          <w:spacing w:val="-3"/>
          <w:w w:val="105"/>
        </w:rPr>
        <w:t>Հայաստանի </w:t>
      </w:r>
      <w:r>
        <w:rPr>
          <w:spacing w:val="-4"/>
          <w:w w:val="105"/>
        </w:rPr>
        <w:t>Հանրապետությունում՝ Երևան </w:t>
      </w:r>
      <w:r>
        <w:rPr>
          <w:spacing w:val="-3"/>
          <w:w w:val="105"/>
        </w:rPr>
        <w:t>քաղաքի տարածքում </w:t>
      </w:r>
      <w:r>
        <w:rPr>
          <w:w w:val="105"/>
        </w:rPr>
        <w:t>250 ՄՎտ </w:t>
      </w:r>
      <w:r>
        <w:rPr>
          <w:spacing w:val="-3"/>
          <w:w w:val="105"/>
        </w:rPr>
        <w:t>գազային վառելիքով </w:t>
      </w:r>
      <w:r>
        <w:rPr>
          <w:spacing w:val="-4"/>
          <w:w w:val="105"/>
        </w:rPr>
        <w:t>կոմբինացված </w:t>
      </w:r>
      <w:r>
        <w:rPr>
          <w:spacing w:val="-3"/>
          <w:w w:val="105"/>
        </w:rPr>
        <w:t>ցիկլով էլեկտրակայան նախագծելու, զարգացնելու, </w:t>
      </w:r>
      <w:r>
        <w:rPr>
          <w:spacing w:val="-4"/>
          <w:w w:val="105"/>
        </w:rPr>
        <w:t>ֆինանսավորելու, </w:t>
      </w:r>
      <w:r>
        <w:rPr>
          <w:spacing w:val="-3"/>
          <w:w w:val="105"/>
        </w:rPr>
        <w:t>կառուցելու, </w:t>
      </w:r>
      <w:r>
        <w:rPr>
          <w:spacing w:val="-4"/>
          <w:w w:val="105"/>
        </w:rPr>
        <w:t>սեփականության </w:t>
      </w:r>
      <w:r>
        <w:rPr>
          <w:spacing w:val="-3"/>
          <w:w w:val="105"/>
        </w:rPr>
        <w:t>իրավունքով տիրապետելու, գործարկելու </w:t>
      </w:r>
      <w:r>
        <w:rPr>
          <w:w w:val="105"/>
        </w:rPr>
        <w:t>և </w:t>
      </w:r>
      <w:r>
        <w:rPr>
          <w:spacing w:val="-3"/>
          <w:w w:val="105"/>
        </w:rPr>
        <w:t>պահպանելու վերաբերյալ</w:t>
      </w:r>
    </w:p>
    <w:p>
      <w:pPr>
        <w:pStyle w:val="BodyText"/>
        <w:tabs>
          <w:tab w:pos="4519" w:val="left" w:leader="none"/>
        </w:tabs>
        <w:spacing w:line="266" w:lineRule="auto"/>
        <w:ind w:left="109" w:right="114" w:firstLine="4"/>
        <w:jc w:val="center"/>
      </w:pPr>
      <w:r>
        <w:rPr>
          <w:spacing w:val="-4"/>
          <w:w w:val="105"/>
        </w:rPr>
        <w:t>(փոփոխված </w:t>
      </w:r>
      <w:r>
        <w:rPr>
          <w:w w:val="105"/>
        </w:rPr>
        <w:t>և </w:t>
      </w:r>
      <w:r>
        <w:rPr>
          <w:spacing w:val="-4"/>
          <w:w w:val="105"/>
        </w:rPr>
        <w:t>վերաշարադրված՝ </w:t>
      </w:r>
      <w:r>
        <w:rPr>
          <w:spacing w:val="-3"/>
          <w:w w:val="105"/>
        </w:rPr>
        <w:t>2018 </w:t>
      </w:r>
      <w:r>
        <w:rPr>
          <w:w w:val="105"/>
        </w:rPr>
        <w:t>թ.-ի </w:t>
      </w:r>
      <w:r>
        <w:rPr>
          <w:spacing w:val="-3"/>
          <w:w w:val="105"/>
        </w:rPr>
        <w:t>նոյեմբերի </w:t>
      </w:r>
      <w:r>
        <w:rPr>
          <w:w w:val="105"/>
        </w:rPr>
        <w:t>13-ին և</w:t>
      </w:r>
      <w:r>
        <w:rPr>
          <w:spacing w:val="-40"/>
          <w:w w:val="105"/>
        </w:rPr>
        <w:t> </w:t>
      </w:r>
      <w:r>
        <w:rPr>
          <w:spacing w:val="-3"/>
          <w:w w:val="105"/>
        </w:rPr>
        <w:t>այնուհետև</w:t>
      </w:r>
      <w:r>
        <w:rPr>
          <w:spacing w:val="-12"/>
          <w:w w:val="105"/>
        </w:rPr>
        <w:t> </w:t>
      </w:r>
      <w:r>
        <w:rPr>
          <w:spacing w:val="-4"/>
          <w:w w:val="105"/>
        </w:rPr>
        <w:t>փոփոխված</w:t>
        <w:tab/>
      </w:r>
      <w:r>
        <w:rPr>
          <w:spacing w:val="-3"/>
        </w:rPr>
        <w:t>2018 </w:t>
      </w:r>
      <w:r>
        <w:rPr>
          <w:w w:val="105"/>
        </w:rPr>
        <w:t>թ.-ի </w:t>
      </w:r>
      <w:r>
        <w:rPr>
          <w:spacing w:val="-3"/>
          <w:w w:val="105"/>
        </w:rPr>
        <w:t>դեկտեմբերի 14-ին, 2021 </w:t>
      </w:r>
      <w:r>
        <w:rPr>
          <w:w w:val="105"/>
        </w:rPr>
        <w:t>թ.-ի </w:t>
      </w:r>
      <w:r>
        <w:rPr>
          <w:spacing w:val="-3"/>
          <w:w w:val="105"/>
        </w:rPr>
        <w:t>ապրիլի 22-ին</w:t>
      </w:r>
      <w:r>
        <w:rPr>
          <w:spacing w:val="-40"/>
          <w:w w:val="105"/>
        </w:rPr>
        <w:t> </w:t>
      </w:r>
      <w:r>
        <w:rPr>
          <w:w w:val="105"/>
        </w:rPr>
        <w:t>և </w:t>
      </w:r>
      <w:r>
        <w:rPr>
          <w:spacing w:val="-3"/>
          <w:w w:val="105"/>
        </w:rPr>
        <w:t>2021 </w:t>
      </w:r>
      <w:r>
        <w:rPr>
          <w:w w:val="105"/>
        </w:rPr>
        <w:t>թ.-ի </w:t>
      </w:r>
      <w:r>
        <w:rPr>
          <w:spacing w:val="-3"/>
          <w:w w:val="105"/>
        </w:rPr>
        <w:t>հոկտեմբերի</w:t>
      </w:r>
      <w:r>
        <w:rPr>
          <w:spacing w:val="-17"/>
          <w:w w:val="105"/>
        </w:rPr>
        <w:t> </w:t>
      </w:r>
      <w:r>
        <w:rPr>
          <w:spacing w:val="-3"/>
          <w:w w:val="105"/>
        </w:rPr>
        <w:t>7-ին)</w:t>
      </w:r>
    </w:p>
    <w:p>
      <w:pPr>
        <w:spacing w:after="0" w:line="266" w:lineRule="auto"/>
        <w:jc w:val="center"/>
        <w:sectPr>
          <w:type w:val="continuous"/>
          <w:pgSz w:w="11910" w:h="16840"/>
          <w:pgMar w:top="860" w:bottom="280" w:left="1100" w:right="200"/>
          <w:cols w:num="2" w:equalWidth="0">
            <w:col w:w="5414" w:space="92"/>
            <w:col w:w="5104"/>
          </w:cols>
        </w:sectPr>
      </w:pPr>
    </w:p>
    <w:p>
      <w:pPr>
        <w:pStyle w:val="BodyText"/>
        <w:tabs>
          <w:tab w:pos="4876" w:val="left" w:leader="none"/>
        </w:tabs>
        <w:spacing w:line="684" w:lineRule="auto" w:before="71"/>
        <w:ind w:left="447" w:right="980"/>
      </w:pPr>
      <w:r>
        <w:rPr>
          <w:spacing w:val="-3"/>
        </w:rPr>
        <w:t>THIS AGREEMENT </w:t>
      </w:r>
      <w:r>
        <w:rPr/>
        <w:t>is made</w:t>
      </w:r>
      <w:r>
        <w:rPr>
          <w:spacing w:val="10"/>
        </w:rPr>
        <w:t> </w:t>
      </w:r>
      <w:r>
        <w:rPr/>
        <w:t>at Yerevan</w:t>
        <w:tab/>
      </w:r>
      <w:r>
        <w:rPr>
          <w:spacing w:val="-3"/>
        </w:rPr>
        <w:t>ՍՈՒՅՆ </w:t>
      </w:r>
      <w:r>
        <w:rPr>
          <w:spacing w:val="-4"/>
        </w:rPr>
        <w:t>ՀԱՄԱՁԱՅՆԱԳԻՐԸ </w:t>
      </w:r>
      <w:r>
        <w:rPr/>
        <w:t>կնքվել է Երևանում </w:t>
      </w:r>
      <w:r>
        <w:rPr>
          <w:spacing w:val="-3"/>
        </w:rPr>
        <w:t>BETWEEN:</w:t>
      </w:r>
    </w:p>
    <w:p>
      <w:pPr>
        <w:spacing w:after="0" w:line="684" w:lineRule="auto"/>
        <w:sectPr>
          <w:footerReference w:type="default" r:id="rId5"/>
          <w:pgSz w:w="11910" w:h="16840"/>
          <w:pgMar w:footer="1569" w:header="0" w:top="1440" w:bottom="1760" w:left="1100" w:right="200"/>
          <w:pgNumType w:start="2"/>
        </w:sectPr>
      </w:pPr>
    </w:p>
    <w:p>
      <w:pPr>
        <w:pStyle w:val="BodyText"/>
        <w:spacing w:line="340" w:lineRule="auto"/>
        <w:ind w:left="807" w:hanging="360"/>
        <w:jc w:val="both"/>
      </w:pPr>
      <w:r>
        <w:rPr>
          <w:w w:val="105"/>
        </w:rPr>
        <w:t>(1) THE </w:t>
      </w:r>
      <w:r>
        <w:rPr>
          <w:spacing w:val="-4"/>
          <w:w w:val="105"/>
        </w:rPr>
        <w:t>GOVERNMENT </w:t>
      </w:r>
      <w:r>
        <w:rPr>
          <w:w w:val="105"/>
        </w:rPr>
        <w:t>OF THE </w:t>
      </w:r>
      <w:r>
        <w:rPr>
          <w:spacing w:val="-3"/>
          <w:w w:val="105"/>
        </w:rPr>
        <w:t>REPUBLIC </w:t>
      </w:r>
      <w:r>
        <w:rPr>
          <w:w w:val="105"/>
        </w:rPr>
        <w:t>OF </w:t>
      </w:r>
      <w:r>
        <w:rPr>
          <w:spacing w:val="-4"/>
          <w:w w:val="105"/>
        </w:rPr>
        <w:t>ARMENIA, </w:t>
      </w:r>
      <w:r>
        <w:rPr>
          <w:spacing w:val="-3"/>
          <w:w w:val="105"/>
        </w:rPr>
        <w:t>ACTING </w:t>
      </w:r>
      <w:r>
        <w:rPr>
          <w:w w:val="105"/>
        </w:rPr>
        <w:t>ON </w:t>
      </w:r>
      <w:r>
        <w:rPr>
          <w:spacing w:val="-3"/>
          <w:w w:val="105"/>
        </w:rPr>
        <w:t>BEHALF OF </w:t>
      </w:r>
      <w:r>
        <w:rPr>
          <w:w w:val="105"/>
        </w:rPr>
        <w:t>THE </w:t>
      </w:r>
      <w:r>
        <w:rPr>
          <w:spacing w:val="-3"/>
          <w:w w:val="105"/>
        </w:rPr>
        <w:t>REPUBLIC</w:t>
      </w:r>
      <w:r>
        <w:rPr>
          <w:spacing w:val="-42"/>
          <w:w w:val="105"/>
        </w:rPr>
        <w:t> </w:t>
      </w:r>
      <w:r>
        <w:rPr>
          <w:w w:val="105"/>
        </w:rPr>
        <w:t>OF </w:t>
      </w:r>
      <w:r>
        <w:rPr>
          <w:spacing w:val="-3"/>
          <w:w w:val="105"/>
        </w:rPr>
        <w:t>ARMENIA </w:t>
      </w:r>
      <w:r>
        <w:rPr>
          <w:w w:val="105"/>
        </w:rPr>
        <w:t>having its administrative office</w:t>
      </w:r>
      <w:r>
        <w:rPr>
          <w:spacing w:val="-12"/>
          <w:w w:val="105"/>
        </w:rPr>
        <w:t> </w:t>
      </w:r>
      <w:r>
        <w:rPr>
          <w:w w:val="105"/>
        </w:rPr>
        <w:t>at</w:t>
      </w:r>
      <w:r>
        <w:rPr>
          <w:spacing w:val="-14"/>
          <w:w w:val="105"/>
        </w:rPr>
        <w:t> </w:t>
      </w:r>
      <w:r>
        <w:rPr>
          <w:w w:val="105"/>
        </w:rPr>
        <w:t>Republic</w:t>
      </w:r>
      <w:r>
        <w:rPr>
          <w:spacing w:val="-12"/>
          <w:w w:val="105"/>
        </w:rPr>
        <w:t> </w:t>
      </w:r>
      <w:r>
        <w:rPr>
          <w:w w:val="105"/>
        </w:rPr>
        <w:t>Square,</w:t>
      </w:r>
      <w:r>
        <w:rPr>
          <w:spacing w:val="-14"/>
          <w:w w:val="105"/>
        </w:rPr>
        <w:t> </w:t>
      </w:r>
      <w:r>
        <w:rPr>
          <w:w w:val="105"/>
        </w:rPr>
        <w:t>Government House 1, 0010 Yerevan, Republic of Armenia, hereinafter referred to as the </w:t>
      </w:r>
      <w:r>
        <w:rPr>
          <w:spacing w:val="-3"/>
          <w:w w:val="105"/>
        </w:rPr>
        <w:t>"Government" </w:t>
      </w:r>
      <w:r>
        <w:rPr>
          <w:w w:val="105"/>
        </w:rPr>
        <w:t>(which expression</w:t>
      </w:r>
      <w:r>
        <w:rPr>
          <w:spacing w:val="-27"/>
          <w:w w:val="105"/>
        </w:rPr>
        <w:t> </w:t>
      </w:r>
      <w:r>
        <w:rPr>
          <w:w w:val="105"/>
        </w:rPr>
        <w:t>shall, unless the context requires otherwise, include its successors and permitted assigns);</w:t>
      </w:r>
    </w:p>
    <w:p>
      <w:pPr>
        <w:pStyle w:val="ListParagraph"/>
        <w:numPr>
          <w:ilvl w:val="0"/>
          <w:numId w:val="1"/>
        </w:numPr>
        <w:tabs>
          <w:tab w:pos="629" w:val="left" w:leader="none"/>
        </w:tabs>
        <w:spacing w:line="340" w:lineRule="auto" w:before="0" w:after="0"/>
        <w:ind w:left="628" w:right="631" w:hanging="458"/>
        <w:jc w:val="both"/>
        <w:rPr>
          <w:sz w:val="22"/>
          <w:szCs w:val="22"/>
        </w:rPr>
      </w:pPr>
      <w:r>
        <w:rPr>
          <w:spacing w:val="-4"/>
          <w:w w:val="90"/>
          <w:sz w:val="22"/>
          <w:szCs w:val="22"/>
        </w:rPr>
        <w:br w:type="column"/>
      </w:r>
      <w:r>
        <w:rPr>
          <w:spacing w:val="-4"/>
          <w:w w:val="105"/>
          <w:sz w:val="22"/>
          <w:szCs w:val="22"/>
        </w:rPr>
        <w:t>ՀԱՅԱՍՏԱՆԻ ՀԱՆՐԱՊԵՏՈՒԹՅԱՆ ԿԱՌԱՎԱ- ՐՈՒԹՅԱՆ, </w:t>
      </w:r>
      <w:r>
        <w:rPr>
          <w:spacing w:val="-3"/>
          <w:w w:val="105"/>
          <w:sz w:val="22"/>
          <w:szCs w:val="22"/>
        </w:rPr>
        <w:t>ՈՐԸ </w:t>
      </w:r>
      <w:r>
        <w:rPr>
          <w:spacing w:val="-4"/>
          <w:w w:val="105"/>
          <w:sz w:val="22"/>
          <w:szCs w:val="22"/>
        </w:rPr>
        <w:t>ԳՈՐԾՈՒՄ </w:t>
      </w:r>
      <w:r>
        <w:rPr>
          <w:w w:val="105"/>
          <w:sz w:val="22"/>
          <w:szCs w:val="22"/>
        </w:rPr>
        <w:t>Է </w:t>
      </w:r>
      <w:r>
        <w:rPr>
          <w:spacing w:val="-4"/>
          <w:w w:val="105"/>
          <w:sz w:val="22"/>
          <w:szCs w:val="22"/>
        </w:rPr>
        <w:t>ՀԱՅԱՍՏԱՆԻ ՀԱՆՐԱՊԵՏՈՒԹՅԱՆ ԱՆՈՒՆԻՑ, </w:t>
      </w:r>
      <w:r>
        <w:rPr>
          <w:w w:val="105"/>
          <w:sz w:val="22"/>
          <w:szCs w:val="22"/>
        </w:rPr>
        <w:t>և որի վարչա- կան նստավայրը գտնվում է՝ Հայաստանի Հան- րապետություն, 0010 Երևան,</w:t>
      </w:r>
      <w:r>
        <w:rPr>
          <w:spacing w:val="-27"/>
          <w:w w:val="105"/>
          <w:sz w:val="22"/>
          <w:szCs w:val="22"/>
        </w:rPr>
        <w:t> </w:t>
      </w:r>
      <w:r>
        <w:rPr>
          <w:w w:val="105"/>
          <w:sz w:val="22"/>
          <w:szCs w:val="22"/>
        </w:rPr>
        <w:t>Հանրապետության հրապարակ, Կառավարական տուն 1 հասցեում, այսուհետ՝ </w:t>
      </w:r>
      <w:r>
        <w:rPr>
          <w:spacing w:val="-3"/>
          <w:w w:val="105"/>
          <w:sz w:val="22"/>
          <w:szCs w:val="22"/>
        </w:rPr>
        <w:t>«Կառավարություն» </w:t>
      </w:r>
      <w:r>
        <w:rPr>
          <w:w w:val="105"/>
          <w:sz w:val="22"/>
          <w:szCs w:val="22"/>
        </w:rPr>
        <w:t>(ինչպիսի արտա- հայտությունը ներառում է նաև դրա իրավա- հաջորդներին և թույլատրելի ցեսիոներներին, եթե համատեքստից այլ բան չի</w:t>
      </w:r>
      <w:r>
        <w:rPr>
          <w:spacing w:val="-17"/>
          <w:w w:val="105"/>
          <w:sz w:val="22"/>
          <w:szCs w:val="22"/>
        </w:rPr>
        <w:t> </w:t>
      </w:r>
      <w:r>
        <w:rPr>
          <w:w w:val="105"/>
          <w:sz w:val="22"/>
          <w:szCs w:val="22"/>
        </w:rPr>
        <w:t>բխում),</w:t>
      </w:r>
    </w:p>
    <w:p>
      <w:pPr>
        <w:spacing w:after="0" w:line="340" w:lineRule="auto"/>
        <w:jc w:val="both"/>
        <w:rPr>
          <w:sz w:val="22"/>
          <w:szCs w:val="22"/>
        </w:rPr>
        <w:sectPr>
          <w:type w:val="continuous"/>
          <w:pgSz w:w="11910" w:h="16840"/>
          <w:pgMar w:top="860" w:bottom="280" w:left="1100" w:right="200"/>
          <w:cols w:num="2" w:equalWidth="0">
            <w:col w:w="4395" w:space="40"/>
            <w:col w:w="6175"/>
          </w:cols>
        </w:sectPr>
      </w:pPr>
    </w:p>
    <w:p>
      <w:pPr>
        <w:pStyle w:val="BodyText"/>
        <w:spacing w:before="11"/>
        <w:rPr>
          <w:sz w:val="23"/>
        </w:rPr>
      </w:pPr>
    </w:p>
    <w:p>
      <w:pPr>
        <w:spacing w:after="0"/>
        <w:rPr>
          <w:sz w:val="23"/>
        </w:rPr>
        <w:sectPr>
          <w:type w:val="continuous"/>
          <w:pgSz w:w="11910" w:h="16840"/>
          <w:pgMar w:top="860" w:bottom="280" w:left="1100" w:right="200"/>
        </w:sectPr>
      </w:pPr>
    </w:p>
    <w:p>
      <w:pPr>
        <w:pStyle w:val="ListParagraph"/>
        <w:numPr>
          <w:ilvl w:val="0"/>
          <w:numId w:val="1"/>
        </w:numPr>
        <w:tabs>
          <w:tab w:pos="808" w:val="left" w:leader="none"/>
        </w:tabs>
        <w:spacing w:line="340" w:lineRule="auto" w:before="91" w:after="0"/>
        <w:ind w:left="808" w:right="0" w:hanging="360"/>
        <w:jc w:val="both"/>
        <w:rPr>
          <w:sz w:val="22"/>
        </w:rPr>
      </w:pPr>
      <w:r>
        <w:rPr>
          <w:spacing w:val="-4"/>
          <w:sz w:val="22"/>
        </w:rPr>
        <w:t>ARMPOWER </w:t>
      </w:r>
      <w:r>
        <w:rPr>
          <w:sz w:val="22"/>
        </w:rPr>
        <w:t>CJSC, a company incorporated and registered in the Republic of Armenia pursuant to Armenian law (with company number 286.120.924562), and having its registered office at Vazgen Sargsyan Street 10, Kentron, 0010 Yerevan, Armenia, hereinafter referred to as the "Developer" (which expression shall, unless the context requires otherwise, include its successors and permitted assigns);</w:t>
      </w:r>
      <w:r>
        <w:rPr>
          <w:spacing w:val="-3"/>
          <w:sz w:val="22"/>
        </w:rPr>
        <w:t> </w:t>
      </w:r>
      <w:r>
        <w:rPr>
          <w:sz w:val="22"/>
        </w:rPr>
        <w:t>and</w:t>
      </w:r>
    </w:p>
    <w:p>
      <w:pPr>
        <w:pStyle w:val="ListParagraph"/>
        <w:numPr>
          <w:ilvl w:val="0"/>
          <w:numId w:val="2"/>
        </w:numPr>
        <w:tabs>
          <w:tab w:pos="629" w:val="left" w:leader="none"/>
        </w:tabs>
        <w:spacing w:line="340" w:lineRule="auto" w:before="91" w:after="0"/>
        <w:ind w:left="628" w:right="633" w:hanging="458"/>
        <w:jc w:val="both"/>
        <w:rPr>
          <w:sz w:val="22"/>
          <w:szCs w:val="22"/>
        </w:rPr>
      </w:pPr>
      <w:r>
        <w:rPr>
          <w:spacing w:val="-3"/>
          <w:w w:val="80"/>
          <w:sz w:val="22"/>
          <w:szCs w:val="22"/>
        </w:rPr>
        <w:br w:type="column"/>
      </w:r>
      <w:r>
        <w:rPr>
          <w:spacing w:val="-4"/>
          <w:w w:val="105"/>
          <w:sz w:val="22"/>
          <w:szCs w:val="22"/>
        </w:rPr>
        <w:t>«ԱՐՄՓԱՈՒԵՐ» </w:t>
      </w:r>
      <w:r>
        <w:rPr>
          <w:spacing w:val="-3"/>
          <w:w w:val="105"/>
          <w:sz w:val="22"/>
          <w:szCs w:val="22"/>
        </w:rPr>
        <w:t>ՓԲԸ-ի, </w:t>
      </w:r>
      <w:r>
        <w:rPr>
          <w:w w:val="105"/>
          <w:sz w:val="22"/>
          <w:szCs w:val="22"/>
        </w:rPr>
        <w:t>Հայաստանի Հանրա- պետության օրենքների համաձայն Հայաստանի </w:t>
      </w:r>
      <w:r>
        <w:rPr>
          <w:spacing w:val="-3"/>
          <w:w w:val="105"/>
          <w:sz w:val="22"/>
          <w:szCs w:val="22"/>
        </w:rPr>
        <w:t>Հանրապետությունում հիմնադրված </w:t>
      </w:r>
      <w:r>
        <w:rPr>
          <w:w w:val="105"/>
          <w:sz w:val="22"/>
          <w:szCs w:val="22"/>
        </w:rPr>
        <w:t>և </w:t>
      </w:r>
      <w:r>
        <w:rPr>
          <w:spacing w:val="-3"/>
          <w:w w:val="105"/>
          <w:sz w:val="22"/>
          <w:szCs w:val="22"/>
        </w:rPr>
        <w:t>գրանցված </w:t>
      </w:r>
      <w:r>
        <w:rPr>
          <w:spacing w:val="-7"/>
          <w:w w:val="105"/>
          <w:sz w:val="22"/>
          <w:szCs w:val="22"/>
        </w:rPr>
        <w:t>ընկերության</w:t>
      </w:r>
      <w:r>
        <w:rPr>
          <w:spacing w:val="-28"/>
          <w:w w:val="105"/>
          <w:sz w:val="22"/>
          <w:szCs w:val="22"/>
        </w:rPr>
        <w:t> </w:t>
      </w:r>
      <w:r>
        <w:rPr>
          <w:spacing w:val="-7"/>
          <w:w w:val="105"/>
          <w:sz w:val="22"/>
          <w:szCs w:val="22"/>
        </w:rPr>
        <w:t>(գրանցման</w:t>
      </w:r>
      <w:r>
        <w:rPr>
          <w:spacing w:val="-27"/>
          <w:w w:val="105"/>
          <w:sz w:val="22"/>
          <w:szCs w:val="22"/>
        </w:rPr>
        <w:t> </w:t>
      </w:r>
      <w:r>
        <w:rPr>
          <w:spacing w:val="-6"/>
          <w:w w:val="105"/>
          <w:sz w:val="22"/>
          <w:szCs w:val="22"/>
        </w:rPr>
        <w:t>համարը՝</w:t>
      </w:r>
      <w:r>
        <w:rPr>
          <w:spacing w:val="-27"/>
          <w:w w:val="105"/>
          <w:sz w:val="22"/>
          <w:szCs w:val="22"/>
        </w:rPr>
        <w:t> </w:t>
      </w:r>
      <w:r>
        <w:rPr>
          <w:w w:val="105"/>
          <w:sz w:val="22"/>
          <w:szCs w:val="22"/>
        </w:rPr>
        <w:t>286.120.924562), որի գտնվելու վայրն է՝ ՀՀ, ք. Երևան, Կենտրոն 0010, Վազգեն Սարգսյանի փող. 10 հասցեն, այսուհետ՝ </w:t>
      </w:r>
      <w:r>
        <w:rPr>
          <w:spacing w:val="-4"/>
          <w:w w:val="105"/>
          <w:sz w:val="22"/>
          <w:szCs w:val="22"/>
        </w:rPr>
        <w:t>«Կառուցապատող» </w:t>
      </w:r>
      <w:r>
        <w:rPr>
          <w:w w:val="105"/>
          <w:sz w:val="22"/>
          <w:szCs w:val="22"/>
        </w:rPr>
        <w:t>(ինչպիսի արտա- հայտությունը ներառում է նաև դրա իրավա- հաջորդներին և թույլատրելի ցեսիոներներին, եթե համատեքստից այլ բան չի բխում),</w:t>
      </w:r>
      <w:r>
        <w:rPr>
          <w:spacing w:val="-30"/>
          <w:w w:val="105"/>
          <w:sz w:val="22"/>
          <w:szCs w:val="22"/>
        </w:rPr>
        <w:t> </w:t>
      </w:r>
      <w:r>
        <w:rPr>
          <w:w w:val="105"/>
          <w:sz w:val="22"/>
          <w:szCs w:val="22"/>
        </w:rPr>
        <w:t>և</w:t>
      </w:r>
    </w:p>
    <w:p>
      <w:pPr>
        <w:spacing w:after="0" w:line="340" w:lineRule="auto"/>
        <w:jc w:val="both"/>
        <w:rPr>
          <w:sz w:val="22"/>
          <w:szCs w:val="22"/>
        </w:rPr>
        <w:sectPr>
          <w:type w:val="continuous"/>
          <w:pgSz w:w="11910" w:h="16840"/>
          <w:pgMar w:top="860" w:bottom="280" w:left="1100" w:right="200"/>
          <w:cols w:num="2" w:equalWidth="0">
            <w:col w:w="4395" w:space="40"/>
            <w:col w:w="6175"/>
          </w:cols>
        </w:sectPr>
      </w:pPr>
    </w:p>
    <w:p>
      <w:pPr>
        <w:pStyle w:val="BodyText"/>
        <w:spacing w:before="2"/>
        <w:rPr>
          <w:sz w:val="24"/>
        </w:rPr>
      </w:pPr>
    </w:p>
    <w:p>
      <w:pPr>
        <w:spacing w:after="0"/>
        <w:rPr>
          <w:sz w:val="24"/>
        </w:rPr>
        <w:sectPr>
          <w:type w:val="continuous"/>
          <w:pgSz w:w="11910" w:h="16840"/>
          <w:pgMar w:top="860" w:bottom="280" w:left="1100" w:right="200"/>
        </w:sectPr>
      </w:pPr>
    </w:p>
    <w:p>
      <w:pPr>
        <w:pStyle w:val="ListParagraph"/>
        <w:numPr>
          <w:ilvl w:val="0"/>
          <w:numId w:val="2"/>
        </w:numPr>
        <w:tabs>
          <w:tab w:pos="808" w:val="left" w:leader="none"/>
        </w:tabs>
        <w:spacing w:line="340" w:lineRule="auto" w:before="91" w:after="0"/>
        <w:ind w:left="808" w:right="0" w:hanging="360"/>
        <w:jc w:val="both"/>
        <w:rPr>
          <w:sz w:val="22"/>
        </w:rPr>
      </w:pPr>
      <w:r>
        <w:rPr>
          <w:spacing w:val="-3"/>
          <w:w w:val="105"/>
          <w:sz w:val="22"/>
        </w:rPr>
        <w:t>RENCO </w:t>
      </w:r>
      <w:r>
        <w:rPr>
          <w:w w:val="105"/>
          <w:sz w:val="22"/>
        </w:rPr>
        <w:t>S.p.A, a public company incorporated and registered in Italy pursuant to Italian law (with company number 13250670158) and being legally</w:t>
      </w:r>
      <w:r>
        <w:rPr>
          <w:spacing w:val="-36"/>
          <w:w w:val="105"/>
          <w:sz w:val="22"/>
        </w:rPr>
        <w:t> </w:t>
      </w:r>
      <w:r>
        <w:rPr>
          <w:w w:val="105"/>
          <w:sz w:val="22"/>
        </w:rPr>
        <w:t>based</w:t>
      </w:r>
      <w:r>
        <w:rPr>
          <w:spacing w:val="-35"/>
          <w:w w:val="105"/>
          <w:sz w:val="22"/>
        </w:rPr>
        <w:t> </w:t>
      </w:r>
      <w:r>
        <w:rPr>
          <w:w w:val="105"/>
          <w:sz w:val="22"/>
        </w:rPr>
        <w:t>at</w:t>
      </w:r>
      <w:r>
        <w:rPr>
          <w:spacing w:val="-37"/>
          <w:w w:val="105"/>
          <w:sz w:val="22"/>
        </w:rPr>
        <w:t> </w:t>
      </w:r>
      <w:r>
        <w:rPr>
          <w:w w:val="105"/>
          <w:sz w:val="22"/>
        </w:rPr>
        <w:t>Viale</w:t>
      </w:r>
      <w:r>
        <w:rPr>
          <w:spacing w:val="-37"/>
          <w:w w:val="105"/>
          <w:sz w:val="22"/>
        </w:rPr>
        <w:t> </w:t>
      </w:r>
      <w:r>
        <w:rPr>
          <w:w w:val="105"/>
          <w:sz w:val="22"/>
        </w:rPr>
        <w:t>Venezia</w:t>
      </w:r>
      <w:r>
        <w:rPr>
          <w:spacing w:val="-36"/>
          <w:w w:val="105"/>
          <w:sz w:val="22"/>
        </w:rPr>
        <w:t> </w:t>
      </w:r>
      <w:r>
        <w:rPr>
          <w:w w:val="105"/>
          <w:sz w:val="22"/>
        </w:rPr>
        <w:t>53,</w:t>
      </w:r>
      <w:r>
        <w:rPr>
          <w:spacing w:val="-36"/>
          <w:w w:val="105"/>
          <w:sz w:val="22"/>
        </w:rPr>
        <w:t> </w:t>
      </w:r>
      <w:r>
        <w:rPr>
          <w:w w:val="105"/>
          <w:sz w:val="22"/>
        </w:rPr>
        <w:t>61121</w:t>
      </w:r>
    </w:p>
    <w:p>
      <w:pPr>
        <w:pStyle w:val="BodyText"/>
        <w:spacing w:line="340" w:lineRule="auto" w:before="4"/>
        <w:ind w:left="807"/>
        <w:jc w:val="both"/>
      </w:pPr>
      <w:r>
        <w:rPr>
          <w:w w:val="105"/>
        </w:rPr>
        <w:t>– Pesaro, Italy, hereinafter referred to as the "Sponsor" (which expression shall, unless the context requires</w:t>
      </w:r>
    </w:p>
    <w:p>
      <w:pPr>
        <w:pStyle w:val="ListParagraph"/>
        <w:numPr>
          <w:ilvl w:val="0"/>
          <w:numId w:val="3"/>
        </w:numPr>
        <w:tabs>
          <w:tab w:pos="631" w:val="left" w:leader="none"/>
        </w:tabs>
        <w:spacing w:line="340" w:lineRule="auto" w:before="91" w:after="0"/>
        <w:ind w:left="630" w:right="628" w:hanging="459"/>
        <w:jc w:val="both"/>
        <w:rPr>
          <w:sz w:val="22"/>
          <w:szCs w:val="22"/>
        </w:rPr>
      </w:pPr>
      <w:r>
        <w:rPr>
          <w:spacing w:val="-5"/>
          <w:w w:val="80"/>
          <w:sz w:val="22"/>
          <w:szCs w:val="22"/>
        </w:rPr>
        <w:br w:type="column"/>
      </w:r>
      <w:r>
        <w:rPr>
          <w:spacing w:val="-7"/>
          <w:w w:val="105"/>
          <w:sz w:val="22"/>
          <w:szCs w:val="22"/>
        </w:rPr>
        <w:t>«ՌԵՆԿՈ»  Ս.պ.Ա-ի, </w:t>
      </w:r>
      <w:r>
        <w:rPr>
          <w:spacing w:val="-5"/>
          <w:w w:val="105"/>
          <w:sz w:val="22"/>
          <w:szCs w:val="22"/>
        </w:rPr>
        <w:t>Իտալիայի օրենքների </w:t>
      </w:r>
      <w:r>
        <w:rPr>
          <w:spacing w:val="-4"/>
          <w:w w:val="105"/>
          <w:sz w:val="22"/>
          <w:szCs w:val="22"/>
        </w:rPr>
        <w:t>համաձայն</w:t>
      </w:r>
      <w:r>
        <w:rPr>
          <w:spacing w:val="-20"/>
          <w:w w:val="105"/>
          <w:sz w:val="22"/>
          <w:szCs w:val="22"/>
        </w:rPr>
        <w:t> </w:t>
      </w:r>
      <w:r>
        <w:rPr>
          <w:spacing w:val="-4"/>
          <w:w w:val="105"/>
          <w:sz w:val="22"/>
          <w:szCs w:val="22"/>
        </w:rPr>
        <w:t>Իտալիայում</w:t>
      </w:r>
      <w:r>
        <w:rPr>
          <w:spacing w:val="-19"/>
          <w:w w:val="105"/>
          <w:sz w:val="22"/>
          <w:szCs w:val="22"/>
        </w:rPr>
        <w:t> </w:t>
      </w:r>
      <w:r>
        <w:rPr>
          <w:spacing w:val="-5"/>
          <w:w w:val="105"/>
          <w:sz w:val="22"/>
          <w:szCs w:val="22"/>
        </w:rPr>
        <w:t>հիմնադրված</w:t>
      </w:r>
      <w:r>
        <w:rPr>
          <w:spacing w:val="-21"/>
          <w:w w:val="105"/>
          <w:sz w:val="22"/>
          <w:szCs w:val="22"/>
        </w:rPr>
        <w:t> </w:t>
      </w:r>
      <w:r>
        <w:rPr>
          <w:w w:val="105"/>
          <w:sz w:val="22"/>
          <w:szCs w:val="22"/>
        </w:rPr>
        <w:t>և</w:t>
      </w:r>
      <w:r>
        <w:rPr>
          <w:spacing w:val="-16"/>
          <w:w w:val="105"/>
          <w:sz w:val="22"/>
          <w:szCs w:val="22"/>
        </w:rPr>
        <w:t> </w:t>
      </w:r>
      <w:r>
        <w:rPr>
          <w:spacing w:val="-4"/>
          <w:w w:val="105"/>
          <w:sz w:val="22"/>
          <w:szCs w:val="22"/>
        </w:rPr>
        <w:t>գրանցված </w:t>
      </w:r>
      <w:r>
        <w:rPr>
          <w:w w:val="105"/>
          <w:sz w:val="22"/>
          <w:szCs w:val="22"/>
        </w:rPr>
        <w:t>բաց բաժնետիրական ընկերության (գրանցման համարը՝ 13250670158), որի իրավաբանական գտնվելու վայրն է՝ Իտալիա, 61121-Պեզարո, </w:t>
      </w:r>
      <w:r>
        <w:rPr>
          <w:spacing w:val="-6"/>
          <w:w w:val="105"/>
          <w:sz w:val="22"/>
          <w:szCs w:val="22"/>
        </w:rPr>
        <w:t>Վիալե Վենեցիա </w:t>
      </w:r>
      <w:r>
        <w:rPr>
          <w:spacing w:val="-5"/>
          <w:w w:val="105"/>
          <w:sz w:val="22"/>
          <w:szCs w:val="22"/>
        </w:rPr>
        <w:t>53, </w:t>
      </w:r>
      <w:r>
        <w:rPr>
          <w:spacing w:val="-6"/>
          <w:w w:val="105"/>
          <w:sz w:val="22"/>
          <w:szCs w:val="22"/>
        </w:rPr>
        <w:t>հասցեն,</w:t>
      </w:r>
      <w:r>
        <w:rPr>
          <w:spacing w:val="13"/>
          <w:w w:val="105"/>
          <w:sz w:val="22"/>
          <w:szCs w:val="22"/>
        </w:rPr>
        <w:t> </w:t>
      </w:r>
      <w:r>
        <w:rPr>
          <w:spacing w:val="-6"/>
          <w:w w:val="105"/>
          <w:sz w:val="22"/>
          <w:szCs w:val="22"/>
        </w:rPr>
        <w:t>այսուհետ՝</w:t>
      </w:r>
    </w:p>
    <w:p>
      <w:pPr>
        <w:pStyle w:val="BodyText"/>
        <w:tabs>
          <w:tab w:pos="2231" w:val="left" w:leader="none"/>
          <w:tab w:pos="3477" w:val="left" w:leader="none"/>
        </w:tabs>
        <w:spacing w:line="340" w:lineRule="auto" w:before="5"/>
        <w:ind w:left="630" w:right="633"/>
      </w:pPr>
      <w:r>
        <w:rPr>
          <w:spacing w:val="-9"/>
          <w:w w:val="105"/>
        </w:rPr>
        <w:t>«Հովանավոր»</w:t>
        <w:tab/>
      </w:r>
      <w:r>
        <w:rPr>
          <w:w w:val="105"/>
        </w:rPr>
        <w:t>(ինչպիսի</w:t>
        <w:tab/>
        <w:t>արտահայտությունը ներառում է նաև դրա իրավահաջորդներին</w:t>
      </w:r>
      <w:r>
        <w:rPr>
          <w:spacing w:val="53"/>
          <w:w w:val="105"/>
        </w:rPr>
        <w:t> </w:t>
      </w:r>
      <w:r>
        <w:rPr>
          <w:w w:val="105"/>
        </w:rPr>
        <w:t>և</w:t>
      </w:r>
    </w:p>
    <w:p>
      <w:pPr>
        <w:spacing w:after="0" w:line="340" w:lineRule="auto"/>
        <w:sectPr>
          <w:type w:val="continuous"/>
          <w:pgSz w:w="11910" w:h="16840"/>
          <w:pgMar w:top="860" w:bottom="280" w:left="1100" w:right="200"/>
          <w:cols w:num="2" w:equalWidth="0">
            <w:col w:w="4393" w:space="40"/>
            <w:col w:w="6177"/>
          </w:cols>
        </w:sectPr>
      </w:pPr>
    </w:p>
    <w:p>
      <w:pPr>
        <w:pStyle w:val="BodyText"/>
        <w:spacing w:line="340" w:lineRule="auto" w:before="71"/>
        <w:ind w:left="807"/>
      </w:pPr>
      <w:r>
        <w:rPr>
          <w:w w:val="105"/>
        </w:rPr>
        <w:t>otherwise, include its successors and permitted assigns).</w:t>
      </w:r>
    </w:p>
    <w:p>
      <w:pPr>
        <w:pStyle w:val="BodyText"/>
        <w:spacing w:line="340" w:lineRule="auto" w:before="71"/>
        <w:ind w:left="632" w:right="560"/>
      </w:pPr>
      <w:r>
        <w:rPr/>
        <w:br w:type="column"/>
      </w:r>
      <w:r>
        <w:rPr>
          <w:w w:val="105"/>
        </w:rPr>
        <w:t>թույլատրելի ցեսիոներներին, եթե համատեքստից այլ բան չի բխում)</w:t>
      </w:r>
    </w:p>
    <w:p>
      <w:pPr>
        <w:pStyle w:val="BodyText"/>
        <w:spacing w:before="5"/>
        <w:rPr>
          <w:sz w:val="31"/>
        </w:rPr>
      </w:pPr>
    </w:p>
    <w:p>
      <w:pPr>
        <w:pStyle w:val="BodyText"/>
        <w:ind w:left="174"/>
      </w:pPr>
      <w:r>
        <w:rPr/>
        <w:t>ՄԻՋԵՎ</w:t>
      </w:r>
    </w:p>
    <w:p>
      <w:pPr>
        <w:spacing w:after="0"/>
        <w:sectPr>
          <w:pgSz w:w="11910" w:h="16840"/>
          <w:pgMar w:header="0" w:footer="1569" w:top="1440" w:bottom="1760" w:left="1100" w:right="200"/>
          <w:cols w:num="2" w:equalWidth="0">
            <w:col w:w="4391" w:space="40"/>
            <w:col w:w="6179"/>
          </w:cols>
        </w:sectPr>
      </w:pPr>
    </w:p>
    <w:p>
      <w:pPr>
        <w:pStyle w:val="BodyText"/>
        <w:rPr>
          <w:sz w:val="20"/>
        </w:rPr>
      </w:pPr>
    </w:p>
    <w:p>
      <w:pPr>
        <w:pStyle w:val="BodyText"/>
        <w:spacing w:before="7"/>
        <w:rPr>
          <w:sz w:val="20"/>
        </w:rPr>
      </w:pPr>
    </w:p>
    <w:p>
      <w:pPr>
        <w:pStyle w:val="BodyText"/>
        <w:tabs>
          <w:tab w:pos="4604" w:val="left" w:leader="none"/>
        </w:tabs>
        <w:ind w:left="447"/>
      </w:pPr>
      <w:r>
        <w:rPr>
          <w:spacing w:val="-6"/>
        </w:rPr>
        <w:t>WHEREAS:</w:t>
        <w:tab/>
      </w:r>
      <w:r>
        <w:rPr>
          <w:spacing w:val="-5"/>
        </w:rPr>
        <w:t>ՀԱՇՎԻ </w:t>
      </w:r>
      <w:r>
        <w:rPr>
          <w:spacing w:val="-6"/>
        </w:rPr>
        <w:t>ԱՌՆԵԼՈՎ,</w:t>
      </w:r>
      <w:r>
        <w:rPr>
          <w:spacing w:val="-16"/>
        </w:rPr>
        <w:t> </w:t>
      </w:r>
      <w:r>
        <w:rPr>
          <w:spacing w:val="-6"/>
        </w:rPr>
        <w:t>ՈՐ.</w:t>
      </w:r>
    </w:p>
    <w:p>
      <w:pPr>
        <w:pStyle w:val="BodyText"/>
        <w:rPr>
          <w:sz w:val="20"/>
        </w:rPr>
      </w:pPr>
    </w:p>
    <w:p>
      <w:pPr>
        <w:spacing w:after="0"/>
        <w:rPr>
          <w:sz w:val="20"/>
        </w:rPr>
        <w:sectPr>
          <w:type w:val="continuous"/>
          <w:pgSz w:w="11910" w:h="16840"/>
          <w:pgMar w:top="860" w:bottom="280" w:left="1100" w:right="200"/>
        </w:sectPr>
      </w:pPr>
    </w:p>
    <w:p>
      <w:pPr>
        <w:pStyle w:val="BodyText"/>
        <w:spacing w:before="7"/>
        <w:rPr>
          <w:sz w:val="20"/>
        </w:rPr>
      </w:pPr>
    </w:p>
    <w:p>
      <w:pPr>
        <w:pStyle w:val="ListParagraph"/>
        <w:numPr>
          <w:ilvl w:val="1"/>
          <w:numId w:val="3"/>
        </w:numPr>
        <w:tabs>
          <w:tab w:pos="1168" w:val="left" w:leader="none"/>
        </w:tabs>
        <w:spacing w:line="340" w:lineRule="auto" w:before="0" w:after="0"/>
        <w:ind w:left="448" w:right="0" w:firstLine="0"/>
        <w:jc w:val="both"/>
        <w:rPr>
          <w:sz w:val="22"/>
        </w:rPr>
      </w:pPr>
      <w:r>
        <w:rPr>
          <w:w w:val="105"/>
          <w:sz w:val="22"/>
        </w:rPr>
        <w:t>On 27 April 2017 the Parties and the Sponsor have entered into Framework Agreement to Design, Develop, Finance, Construct,  Own,  Operate  and  Maintain a 250MW Gas-Fired Combined Cycle Power Plant in the territory of Yerevan, Republic of Armenia, which has been amended and restated on 13 November 2018</w:t>
      </w:r>
      <w:r>
        <w:rPr>
          <w:spacing w:val="-12"/>
          <w:w w:val="105"/>
          <w:sz w:val="22"/>
        </w:rPr>
        <w:t> </w:t>
      </w:r>
      <w:r>
        <w:rPr>
          <w:w w:val="105"/>
          <w:sz w:val="22"/>
        </w:rPr>
        <w:t>and</w:t>
      </w:r>
      <w:r>
        <w:rPr>
          <w:spacing w:val="-11"/>
          <w:w w:val="105"/>
          <w:sz w:val="22"/>
        </w:rPr>
        <w:t> </w:t>
      </w:r>
      <w:r>
        <w:rPr>
          <w:w w:val="105"/>
          <w:sz w:val="22"/>
        </w:rPr>
        <w:t>further</w:t>
      </w:r>
      <w:r>
        <w:rPr>
          <w:spacing w:val="-16"/>
          <w:w w:val="105"/>
          <w:sz w:val="22"/>
        </w:rPr>
        <w:t> </w:t>
      </w:r>
      <w:r>
        <w:rPr>
          <w:w w:val="105"/>
          <w:sz w:val="22"/>
        </w:rPr>
        <w:t>amended</w:t>
      </w:r>
      <w:r>
        <w:rPr>
          <w:spacing w:val="-14"/>
          <w:w w:val="105"/>
          <w:sz w:val="22"/>
        </w:rPr>
        <w:t> </w:t>
      </w:r>
      <w:r>
        <w:rPr>
          <w:w w:val="105"/>
          <w:sz w:val="22"/>
        </w:rPr>
        <w:t>on</w:t>
      </w:r>
      <w:r>
        <w:rPr>
          <w:spacing w:val="-12"/>
          <w:w w:val="105"/>
          <w:sz w:val="22"/>
        </w:rPr>
        <w:t> </w:t>
      </w:r>
      <w:r>
        <w:rPr>
          <w:w w:val="105"/>
          <w:sz w:val="22"/>
        </w:rPr>
        <w:t>14</w:t>
      </w:r>
      <w:r>
        <w:rPr>
          <w:spacing w:val="-14"/>
          <w:w w:val="105"/>
          <w:sz w:val="22"/>
        </w:rPr>
        <w:t> </w:t>
      </w:r>
      <w:r>
        <w:rPr>
          <w:w w:val="105"/>
          <w:sz w:val="22"/>
        </w:rPr>
        <w:t>December 2018, 22 April 2021 and 7 October 2021 (the </w:t>
      </w:r>
      <w:r>
        <w:rPr>
          <w:spacing w:val="-3"/>
          <w:w w:val="105"/>
          <w:sz w:val="22"/>
        </w:rPr>
        <w:t>“Framework</w:t>
      </w:r>
      <w:r>
        <w:rPr>
          <w:spacing w:val="-15"/>
          <w:w w:val="105"/>
          <w:sz w:val="22"/>
        </w:rPr>
        <w:t> </w:t>
      </w:r>
      <w:r>
        <w:rPr>
          <w:spacing w:val="-2"/>
          <w:w w:val="105"/>
          <w:sz w:val="22"/>
        </w:rPr>
        <w:t>Agreement”).</w:t>
      </w:r>
    </w:p>
    <w:p>
      <w:pPr>
        <w:pStyle w:val="BodyText"/>
        <w:spacing w:before="7"/>
        <w:rPr>
          <w:sz w:val="20"/>
        </w:rPr>
      </w:pPr>
      <w:r>
        <w:rPr/>
        <w:br w:type="column"/>
      </w:r>
      <w:r>
        <w:rPr>
          <w:sz w:val="20"/>
        </w:rPr>
      </w:r>
    </w:p>
    <w:p>
      <w:pPr>
        <w:pStyle w:val="BodyText"/>
        <w:spacing w:line="340" w:lineRule="auto"/>
        <w:ind w:left="170" w:right="630"/>
        <w:jc w:val="both"/>
      </w:pPr>
      <w:r>
        <w:rPr>
          <w:w w:val="105"/>
        </w:rPr>
        <w:t>(А)</w:t>
      </w:r>
      <w:r>
        <w:rPr>
          <w:spacing w:val="36"/>
          <w:w w:val="105"/>
        </w:rPr>
        <w:t> </w:t>
      </w:r>
      <w:r>
        <w:rPr>
          <w:spacing w:val="-4"/>
          <w:w w:val="105"/>
        </w:rPr>
        <w:t>Կողմերը </w:t>
      </w:r>
      <w:r>
        <w:rPr>
          <w:w w:val="105"/>
        </w:rPr>
        <w:t>և </w:t>
      </w:r>
      <w:r>
        <w:rPr>
          <w:spacing w:val="-5"/>
          <w:w w:val="105"/>
        </w:rPr>
        <w:t>Հովանավորը 2017 </w:t>
      </w:r>
      <w:r>
        <w:rPr>
          <w:spacing w:val="-4"/>
          <w:w w:val="105"/>
        </w:rPr>
        <w:t>թ.-ի ապրիլի </w:t>
      </w:r>
      <w:r>
        <w:rPr>
          <w:spacing w:val="-5"/>
          <w:w w:val="105"/>
        </w:rPr>
        <w:t>27-ին </w:t>
      </w:r>
      <w:r>
        <w:rPr>
          <w:spacing w:val="-3"/>
          <w:w w:val="105"/>
        </w:rPr>
        <w:t>կնքել </w:t>
      </w:r>
      <w:r>
        <w:rPr>
          <w:w w:val="105"/>
        </w:rPr>
        <w:t>են շրջանակային համաձայնագիր՝ Հայաստանի Հանրապետությունում՝ Երևան քաղաքի տարածքում 250 ՄՎտ գազային վառելիքով կոմբինացված ցիկլով էլեկտրակայան նախագծելու, զարգացնելու, </w:t>
      </w:r>
      <w:r>
        <w:rPr>
          <w:spacing w:val="-3"/>
          <w:w w:val="105"/>
        </w:rPr>
        <w:t>ֆինան- սավորելու, կառուցելու, սեփականության իրավունքով տիրապետելու, գործարկելու </w:t>
      </w:r>
      <w:r>
        <w:rPr>
          <w:w w:val="105"/>
        </w:rPr>
        <w:t>և </w:t>
      </w:r>
      <w:r>
        <w:rPr>
          <w:spacing w:val="-3"/>
          <w:w w:val="105"/>
        </w:rPr>
        <w:t>պահպանելու </w:t>
      </w:r>
      <w:r>
        <w:rPr>
          <w:w w:val="105"/>
        </w:rPr>
        <w:t>վերա- </w:t>
      </w:r>
      <w:r>
        <w:rPr>
          <w:spacing w:val="-3"/>
          <w:w w:val="105"/>
        </w:rPr>
        <w:t>բերյալ, </w:t>
      </w:r>
      <w:r>
        <w:rPr>
          <w:w w:val="105"/>
        </w:rPr>
        <w:t>որը փոփոխվել և վերաշարադրվել է 2018 թ.-ի նոյեմբերի 13-ին և այնուհետև փոփոխվել է 2018 թ.-ի </w:t>
      </w:r>
      <w:r>
        <w:rPr>
          <w:spacing w:val="-3"/>
          <w:w w:val="105"/>
        </w:rPr>
        <w:t>դեկտեմբերի</w:t>
      </w:r>
      <w:r>
        <w:rPr>
          <w:spacing w:val="-10"/>
          <w:w w:val="105"/>
        </w:rPr>
        <w:t> </w:t>
      </w:r>
      <w:r>
        <w:rPr>
          <w:spacing w:val="-3"/>
          <w:w w:val="105"/>
        </w:rPr>
        <w:t>14-ին,</w:t>
      </w:r>
      <w:r>
        <w:rPr>
          <w:spacing w:val="-10"/>
          <w:w w:val="105"/>
        </w:rPr>
        <w:t> </w:t>
      </w:r>
      <w:r>
        <w:rPr>
          <w:spacing w:val="-3"/>
          <w:w w:val="105"/>
        </w:rPr>
        <w:t>2021</w:t>
      </w:r>
      <w:r>
        <w:rPr>
          <w:spacing w:val="-14"/>
          <w:w w:val="105"/>
        </w:rPr>
        <w:t> </w:t>
      </w:r>
      <w:r>
        <w:rPr>
          <w:w w:val="105"/>
        </w:rPr>
        <w:t>թ.-ի</w:t>
      </w:r>
      <w:r>
        <w:rPr>
          <w:spacing w:val="-10"/>
          <w:w w:val="105"/>
        </w:rPr>
        <w:t> </w:t>
      </w:r>
      <w:r>
        <w:rPr>
          <w:spacing w:val="-3"/>
          <w:w w:val="105"/>
        </w:rPr>
        <w:t>ապրիլի</w:t>
      </w:r>
      <w:r>
        <w:rPr>
          <w:spacing w:val="-10"/>
          <w:w w:val="105"/>
        </w:rPr>
        <w:t> </w:t>
      </w:r>
      <w:r>
        <w:rPr>
          <w:w w:val="105"/>
        </w:rPr>
        <w:t>22-ին</w:t>
      </w:r>
      <w:r>
        <w:rPr>
          <w:spacing w:val="-11"/>
          <w:w w:val="105"/>
        </w:rPr>
        <w:t> </w:t>
      </w:r>
      <w:r>
        <w:rPr>
          <w:w w:val="105"/>
        </w:rPr>
        <w:t>և</w:t>
      </w:r>
      <w:r>
        <w:rPr>
          <w:spacing w:val="-11"/>
          <w:w w:val="105"/>
        </w:rPr>
        <w:t> </w:t>
      </w:r>
      <w:r>
        <w:rPr>
          <w:spacing w:val="-3"/>
          <w:w w:val="105"/>
        </w:rPr>
        <w:t>2021</w:t>
      </w:r>
      <w:r>
        <w:rPr>
          <w:spacing w:val="-10"/>
          <w:w w:val="105"/>
        </w:rPr>
        <w:t> </w:t>
      </w:r>
      <w:r>
        <w:rPr>
          <w:w w:val="105"/>
        </w:rPr>
        <w:t>թ.-ի </w:t>
      </w:r>
      <w:r>
        <w:rPr>
          <w:spacing w:val="-7"/>
          <w:w w:val="105"/>
        </w:rPr>
        <w:t>հոկտեմբերի </w:t>
      </w:r>
      <w:r>
        <w:rPr>
          <w:spacing w:val="-6"/>
          <w:w w:val="105"/>
        </w:rPr>
        <w:t>7-ին </w:t>
      </w:r>
      <w:r>
        <w:rPr>
          <w:spacing w:val="-9"/>
          <w:w w:val="105"/>
        </w:rPr>
        <w:t>(«Շրջանակային</w:t>
      </w:r>
      <w:r>
        <w:rPr>
          <w:spacing w:val="-40"/>
          <w:w w:val="105"/>
        </w:rPr>
        <w:t> </w:t>
      </w:r>
      <w:r>
        <w:rPr>
          <w:spacing w:val="-9"/>
          <w:w w:val="105"/>
        </w:rPr>
        <w:t>Համաձայնագիր»):</w:t>
      </w:r>
    </w:p>
    <w:p>
      <w:pPr>
        <w:spacing w:after="0" w:line="340" w:lineRule="auto"/>
        <w:jc w:val="both"/>
        <w:sectPr>
          <w:type w:val="continuous"/>
          <w:pgSz w:w="11910" w:h="16840"/>
          <w:pgMar w:top="860" w:bottom="280" w:left="1100" w:right="200"/>
          <w:cols w:num="2" w:equalWidth="0">
            <w:col w:w="4395" w:space="40"/>
            <w:col w:w="6175"/>
          </w:cols>
        </w:sectPr>
      </w:pPr>
    </w:p>
    <w:p>
      <w:pPr>
        <w:pStyle w:val="BodyText"/>
        <w:spacing w:before="1"/>
        <w:rPr>
          <w:sz w:val="24"/>
        </w:rPr>
      </w:pPr>
    </w:p>
    <w:p>
      <w:pPr>
        <w:spacing w:after="0"/>
        <w:rPr>
          <w:sz w:val="24"/>
        </w:rPr>
        <w:sectPr>
          <w:type w:val="continuous"/>
          <w:pgSz w:w="11910" w:h="16840"/>
          <w:pgMar w:top="860" w:bottom="280" w:left="1100" w:right="200"/>
        </w:sectPr>
      </w:pPr>
    </w:p>
    <w:p>
      <w:pPr>
        <w:pStyle w:val="ListParagraph"/>
        <w:numPr>
          <w:ilvl w:val="1"/>
          <w:numId w:val="3"/>
        </w:numPr>
        <w:tabs>
          <w:tab w:pos="1168" w:val="left" w:leader="none"/>
        </w:tabs>
        <w:spacing w:line="340" w:lineRule="auto" w:before="92" w:after="0"/>
        <w:ind w:left="448" w:right="0" w:firstLine="0"/>
        <w:jc w:val="both"/>
        <w:rPr>
          <w:sz w:val="22"/>
        </w:rPr>
      </w:pPr>
      <w:r>
        <w:rPr>
          <w:w w:val="105"/>
          <w:sz w:val="22"/>
        </w:rPr>
        <w:t>Following the requirements of Section</w:t>
      </w:r>
      <w:r>
        <w:rPr>
          <w:spacing w:val="-23"/>
          <w:w w:val="105"/>
          <w:sz w:val="22"/>
        </w:rPr>
        <w:t> </w:t>
      </w:r>
      <w:r>
        <w:rPr>
          <w:w w:val="105"/>
          <w:sz w:val="22"/>
        </w:rPr>
        <w:t>5</w:t>
      </w:r>
      <w:r>
        <w:rPr>
          <w:spacing w:val="-23"/>
          <w:w w:val="105"/>
          <w:sz w:val="22"/>
        </w:rPr>
        <w:t> </w:t>
      </w:r>
      <w:r>
        <w:rPr>
          <w:w w:val="105"/>
          <w:sz w:val="22"/>
        </w:rPr>
        <w:t>of</w:t>
      </w:r>
      <w:r>
        <w:rPr>
          <w:spacing w:val="-25"/>
          <w:w w:val="105"/>
          <w:sz w:val="22"/>
        </w:rPr>
        <w:t> </w:t>
      </w:r>
      <w:r>
        <w:rPr>
          <w:w w:val="105"/>
          <w:sz w:val="22"/>
        </w:rPr>
        <w:t>the</w:t>
      </w:r>
      <w:r>
        <w:rPr>
          <w:spacing w:val="-25"/>
          <w:w w:val="105"/>
          <w:sz w:val="22"/>
        </w:rPr>
        <w:t> </w:t>
      </w:r>
      <w:r>
        <w:rPr>
          <w:w w:val="105"/>
          <w:sz w:val="22"/>
        </w:rPr>
        <w:t>Network</w:t>
      </w:r>
      <w:r>
        <w:rPr>
          <w:spacing w:val="-23"/>
          <w:w w:val="105"/>
          <w:sz w:val="22"/>
        </w:rPr>
        <w:t> </w:t>
      </w:r>
      <w:r>
        <w:rPr>
          <w:w w:val="105"/>
          <w:sz w:val="22"/>
        </w:rPr>
        <w:t>Rules</w:t>
      </w:r>
      <w:r>
        <w:rPr>
          <w:spacing w:val="-25"/>
          <w:w w:val="105"/>
          <w:sz w:val="22"/>
        </w:rPr>
        <w:t> </w:t>
      </w:r>
      <w:r>
        <w:rPr>
          <w:w w:val="105"/>
          <w:sz w:val="22"/>
        </w:rPr>
        <w:t>of</w:t>
      </w:r>
      <w:r>
        <w:rPr>
          <w:spacing w:val="-23"/>
          <w:w w:val="105"/>
          <w:sz w:val="22"/>
        </w:rPr>
        <w:t> </w:t>
      </w:r>
      <w:r>
        <w:rPr>
          <w:w w:val="105"/>
          <w:sz w:val="22"/>
        </w:rPr>
        <w:t>Electrical Energy</w:t>
      </w:r>
      <w:r>
        <w:rPr>
          <w:spacing w:val="-11"/>
          <w:w w:val="105"/>
          <w:sz w:val="22"/>
        </w:rPr>
        <w:t> </w:t>
      </w:r>
      <w:r>
        <w:rPr>
          <w:w w:val="105"/>
          <w:sz w:val="22"/>
        </w:rPr>
        <w:t>System</w:t>
      </w:r>
      <w:r>
        <w:rPr>
          <w:spacing w:val="-13"/>
          <w:w w:val="105"/>
          <w:sz w:val="22"/>
        </w:rPr>
        <w:t> </w:t>
      </w:r>
      <w:r>
        <w:rPr>
          <w:w w:val="105"/>
          <w:sz w:val="22"/>
        </w:rPr>
        <w:t>of</w:t>
      </w:r>
      <w:r>
        <w:rPr>
          <w:spacing w:val="-11"/>
          <w:w w:val="105"/>
          <w:sz w:val="22"/>
        </w:rPr>
        <w:t> </w:t>
      </w:r>
      <w:r>
        <w:rPr>
          <w:w w:val="105"/>
          <w:sz w:val="22"/>
        </w:rPr>
        <w:t>the</w:t>
      </w:r>
      <w:r>
        <w:rPr>
          <w:spacing w:val="-13"/>
          <w:w w:val="105"/>
          <w:sz w:val="22"/>
        </w:rPr>
        <w:t> </w:t>
      </w:r>
      <w:r>
        <w:rPr>
          <w:w w:val="105"/>
          <w:sz w:val="22"/>
        </w:rPr>
        <w:t>Republic</w:t>
      </w:r>
      <w:r>
        <w:rPr>
          <w:spacing w:val="-11"/>
          <w:w w:val="105"/>
          <w:sz w:val="22"/>
        </w:rPr>
        <w:t> </w:t>
      </w:r>
      <w:r>
        <w:rPr>
          <w:w w:val="105"/>
          <w:sz w:val="22"/>
        </w:rPr>
        <w:t>of</w:t>
      </w:r>
      <w:r>
        <w:rPr>
          <w:spacing w:val="-11"/>
          <w:w w:val="105"/>
          <w:sz w:val="22"/>
        </w:rPr>
        <w:t> </w:t>
      </w:r>
      <w:r>
        <w:rPr>
          <w:w w:val="105"/>
          <w:sz w:val="22"/>
        </w:rPr>
        <w:t>Armenia approved by PSRC Resolution No. 161-N dated 17 May 2017, the Developer has connected the Plant to the 220kV “YerTPP-1” overhead line and 220kV “Nairi” overhead line of the 220kV transmission network of High-Voltage Electrical Networks</w:t>
      </w:r>
      <w:r>
        <w:rPr>
          <w:spacing w:val="-16"/>
          <w:w w:val="105"/>
          <w:sz w:val="22"/>
        </w:rPr>
        <w:t> </w:t>
      </w:r>
      <w:r>
        <w:rPr>
          <w:w w:val="105"/>
          <w:sz w:val="22"/>
        </w:rPr>
        <w:t>CJSC.</w:t>
      </w:r>
    </w:p>
    <w:p>
      <w:pPr>
        <w:pStyle w:val="ListParagraph"/>
        <w:numPr>
          <w:ilvl w:val="0"/>
          <w:numId w:val="4"/>
        </w:numPr>
        <w:tabs>
          <w:tab w:pos="891" w:val="left" w:leader="none"/>
        </w:tabs>
        <w:spacing w:line="340" w:lineRule="auto" w:before="92" w:after="0"/>
        <w:ind w:left="171" w:right="632" w:firstLine="0"/>
        <w:jc w:val="both"/>
        <w:rPr>
          <w:sz w:val="22"/>
          <w:szCs w:val="22"/>
        </w:rPr>
      </w:pPr>
      <w:r>
        <w:rPr>
          <w:spacing w:val="1"/>
          <w:w w:val="99"/>
          <w:sz w:val="22"/>
          <w:szCs w:val="22"/>
        </w:rPr>
        <w:br w:type="column"/>
      </w:r>
      <w:r>
        <w:rPr>
          <w:w w:val="105"/>
          <w:sz w:val="22"/>
          <w:szCs w:val="22"/>
        </w:rPr>
        <w:t>Ելնելով ՀԾԿՀ 2017 թվականի մայիսի 17-ի</w:t>
      </w:r>
      <w:r>
        <w:rPr>
          <w:spacing w:val="-27"/>
          <w:w w:val="105"/>
          <w:sz w:val="22"/>
          <w:szCs w:val="22"/>
        </w:rPr>
        <w:t> </w:t>
      </w:r>
      <w:r>
        <w:rPr>
          <w:w w:val="105"/>
          <w:sz w:val="22"/>
          <w:szCs w:val="22"/>
        </w:rPr>
        <w:t>թիվ 161-N որոշմամբ հաստատված Հայաստանի Հանրա- պետության էլեկտրաէներգետիկական համակարգի ցանցային կանոնների 5-րդ բաժնի պահանջներից, Կառուցապատողը միացրել է Կայանը «Բարձրավոլտ էլեկտրացանցեր» ՓԲԸ-ի 220 կՎ հաղորդման ցանցի 220 կՎ «ԵրՋԷԿ-1» օդային գծին և 220 կՎ «Նաիրի» օդային</w:t>
      </w:r>
      <w:r>
        <w:rPr>
          <w:spacing w:val="-6"/>
          <w:w w:val="105"/>
          <w:sz w:val="22"/>
          <w:szCs w:val="22"/>
        </w:rPr>
        <w:t> </w:t>
      </w:r>
      <w:r>
        <w:rPr>
          <w:w w:val="105"/>
          <w:sz w:val="22"/>
          <w:szCs w:val="22"/>
        </w:rPr>
        <w:t>գծին:</w:t>
      </w:r>
    </w:p>
    <w:p>
      <w:pPr>
        <w:spacing w:after="0" w:line="340" w:lineRule="auto"/>
        <w:jc w:val="both"/>
        <w:rPr>
          <w:sz w:val="22"/>
          <w:szCs w:val="22"/>
        </w:rPr>
        <w:sectPr>
          <w:type w:val="continuous"/>
          <w:pgSz w:w="11910" w:h="16840"/>
          <w:pgMar w:top="860" w:bottom="280" w:left="1100" w:right="200"/>
          <w:cols w:num="2" w:equalWidth="0">
            <w:col w:w="4394" w:space="40"/>
            <w:col w:w="6176"/>
          </w:cols>
        </w:sectPr>
      </w:pPr>
    </w:p>
    <w:p>
      <w:pPr>
        <w:pStyle w:val="BodyText"/>
        <w:rPr>
          <w:sz w:val="24"/>
        </w:rPr>
      </w:pPr>
    </w:p>
    <w:p>
      <w:pPr>
        <w:spacing w:after="0"/>
        <w:rPr>
          <w:sz w:val="24"/>
        </w:rPr>
        <w:sectPr>
          <w:type w:val="continuous"/>
          <w:pgSz w:w="11910" w:h="16840"/>
          <w:pgMar w:top="860" w:bottom="280" w:left="1100" w:right="200"/>
        </w:sectPr>
      </w:pPr>
    </w:p>
    <w:p>
      <w:pPr>
        <w:pStyle w:val="ListParagraph"/>
        <w:numPr>
          <w:ilvl w:val="0"/>
          <w:numId w:val="4"/>
        </w:numPr>
        <w:tabs>
          <w:tab w:pos="1168" w:val="left" w:leader="none"/>
        </w:tabs>
        <w:spacing w:line="340" w:lineRule="auto" w:before="92" w:after="0"/>
        <w:ind w:left="448" w:right="0" w:firstLine="0"/>
        <w:jc w:val="both"/>
        <w:rPr>
          <w:sz w:val="22"/>
        </w:rPr>
      </w:pPr>
      <w:r>
        <w:rPr>
          <w:w w:val="105"/>
          <w:sz w:val="22"/>
        </w:rPr>
        <w:t>The Parties wish to amend the definition of the term “Delivery Point” in the Framework</w:t>
      </w:r>
      <w:r>
        <w:rPr>
          <w:spacing w:val="-7"/>
          <w:w w:val="105"/>
          <w:sz w:val="22"/>
        </w:rPr>
        <w:t> </w:t>
      </w:r>
      <w:r>
        <w:rPr>
          <w:w w:val="105"/>
          <w:sz w:val="22"/>
        </w:rPr>
        <w:t>Agreement.</w:t>
      </w:r>
    </w:p>
    <w:p>
      <w:pPr>
        <w:pStyle w:val="ListParagraph"/>
        <w:numPr>
          <w:ilvl w:val="0"/>
          <w:numId w:val="5"/>
        </w:numPr>
        <w:tabs>
          <w:tab w:pos="892" w:val="left" w:leader="none"/>
        </w:tabs>
        <w:spacing w:line="340" w:lineRule="auto" w:before="92" w:after="0"/>
        <w:ind w:left="170" w:right="632" w:firstLine="0"/>
        <w:jc w:val="both"/>
        <w:rPr>
          <w:sz w:val="22"/>
          <w:szCs w:val="22"/>
        </w:rPr>
      </w:pPr>
      <w:r>
        <w:rPr>
          <w:w w:val="99"/>
          <w:sz w:val="22"/>
          <w:szCs w:val="22"/>
        </w:rPr>
        <w:br w:type="column"/>
      </w:r>
      <w:r>
        <w:rPr>
          <w:w w:val="105"/>
          <w:sz w:val="22"/>
          <w:szCs w:val="22"/>
        </w:rPr>
        <w:t>Կողմերը ցանկանում են փոփոխել Շրջանա- կային Համաձայնագրի «Մատակարարման Կետ» եզրույթի</w:t>
      </w:r>
      <w:r>
        <w:rPr>
          <w:spacing w:val="-3"/>
          <w:w w:val="105"/>
          <w:sz w:val="22"/>
          <w:szCs w:val="22"/>
        </w:rPr>
        <w:t> </w:t>
      </w:r>
      <w:r>
        <w:rPr>
          <w:w w:val="105"/>
          <w:sz w:val="22"/>
          <w:szCs w:val="22"/>
        </w:rPr>
        <w:t>սահմանումը:</w:t>
      </w:r>
    </w:p>
    <w:p>
      <w:pPr>
        <w:spacing w:after="0" w:line="340" w:lineRule="auto"/>
        <w:jc w:val="both"/>
        <w:rPr>
          <w:sz w:val="22"/>
          <w:szCs w:val="22"/>
        </w:rPr>
        <w:sectPr>
          <w:type w:val="continuous"/>
          <w:pgSz w:w="11910" w:h="16840"/>
          <w:pgMar w:top="860" w:bottom="280" w:left="1100" w:right="200"/>
          <w:cols w:num="2" w:equalWidth="0">
            <w:col w:w="4395" w:space="40"/>
            <w:col w:w="6175"/>
          </w:cols>
        </w:sectPr>
      </w:pPr>
    </w:p>
    <w:p>
      <w:pPr>
        <w:pStyle w:val="BodyText"/>
        <w:spacing w:before="6"/>
        <w:rPr>
          <w:sz w:val="23"/>
        </w:rPr>
      </w:pPr>
    </w:p>
    <w:p>
      <w:pPr>
        <w:pStyle w:val="BodyText"/>
        <w:tabs>
          <w:tab w:pos="4605" w:val="left" w:leader="none"/>
          <w:tab w:pos="6078" w:val="left" w:leader="none"/>
          <w:tab w:pos="7081" w:val="left" w:leader="none"/>
          <w:tab w:pos="7599" w:val="left" w:leader="none"/>
          <w:tab w:pos="8865" w:val="left" w:leader="none"/>
        </w:tabs>
        <w:spacing w:before="91"/>
        <w:ind w:left="447"/>
      </w:pPr>
      <w:r>
        <w:rPr>
          <w:spacing w:val="-3"/>
        </w:rPr>
        <w:t>NOW, </w:t>
      </w:r>
      <w:r>
        <w:rPr/>
        <w:t>IT IS </w:t>
      </w:r>
      <w:r>
        <w:rPr>
          <w:spacing w:val="-4"/>
        </w:rPr>
        <w:t>AGREED</w:t>
      </w:r>
      <w:r>
        <w:rPr>
          <w:spacing w:val="-27"/>
        </w:rPr>
        <w:t> </w:t>
      </w:r>
      <w:r>
        <w:rPr/>
        <w:t>AS</w:t>
      </w:r>
      <w:r>
        <w:rPr>
          <w:spacing w:val="-9"/>
        </w:rPr>
        <w:t> </w:t>
      </w:r>
      <w:r>
        <w:rPr>
          <w:spacing w:val="-4"/>
        </w:rPr>
        <w:t>FOLLOWS:</w:t>
        <w:tab/>
        <w:t>ՍՈՒՅՆՈՎ</w:t>
        <w:tab/>
      </w:r>
      <w:r>
        <w:rPr>
          <w:spacing w:val="-3"/>
        </w:rPr>
        <w:t>ՁԵՌՔ</w:t>
        <w:tab/>
      </w:r>
      <w:r>
        <w:rPr/>
        <w:t>Է</w:t>
        <w:tab/>
      </w:r>
      <w:r>
        <w:rPr>
          <w:spacing w:val="-3"/>
        </w:rPr>
        <w:t>ԲԵՐՎԵԼ</w:t>
        <w:tab/>
      </w:r>
      <w:r>
        <w:rPr>
          <w:spacing w:val="-4"/>
        </w:rPr>
        <w:t>ՀԵՏԵՎՅԱԼ</w:t>
      </w:r>
    </w:p>
    <w:p>
      <w:pPr>
        <w:pStyle w:val="BodyText"/>
        <w:spacing w:before="107"/>
        <w:ind w:left="4604"/>
      </w:pPr>
      <w:r>
        <w:rPr/>
        <w:t>ՀԱՄԱՁԱՅՆՈՒԹՅՈՒՆԸ.</w:t>
      </w:r>
    </w:p>
    <w:p>
      <w:pPr>
        <w:spacing w:after="0"/>
        <w:sectPr>
          <w:type w:val="continuous"/>
          <w:pgSz w:w="11910" w:h="16840"/>
          <w:pgMar w:top="860" w:bottom="280" w:left="1100" w:right="200"/>
        </w:sectPr>
      </w:pPr>
    </w:p>
    <w:p>
      <w:pPr>
        <w:pStyle w:val="BodyText"/>
        <w:tabs>
          <w:tab w:pos="6737" w:val="left" w:leader="none"/>
        </w:tabs>
        <w:spacing w:before="71"/>
        <w:ind w:left="1895"/>
      </w:pPr>
      <w:r>
        <w:rPr>
          <w:spacing w:val="-3"/>
        </w:rPr>
        <w:t>ARTICLE</w:t>
      </w:r>
      <w:r>
        <w:rPr>
          <w:spacing w:val="-11"/>
        </w:rPr>
        <w:t> </w:t>
      </w:r>
      <w:r>
        <w:rPr/>
        <w:t>1</w:t>
        <w:tab/>
      </w:r>
      <w:r>
        <w:rPr>
          <w:spacing w:val="-3"/>
        </w:rPr>
        <w:t>ՀՈԴՎԱԾ</w:t>
      </w:r>
      <w:r>
        <w:rPr>
          <w:spacing w:val="-5"/>
        </w:rPr>
        <w:t> </w:t>
      </w:r>
      <w:r>
        <w:rPr/>
        <w:t>1</w:t>
      </w:r>
    </w:p>
    <w:p>
      <w:pPr>
        <w:pStyle w:val="BodyText"/>
        <w:rPr>
          <w:sz w:val="24"/>
        </w:rPr>
      </w:pPr>
    </w:p>
    <w:p>
      <w:pPr>
        <w:pStyle w:val="ListParagraph"/>
        <w:numPr>
          <w:ilvl w:val="1"/>
          <w:numId w:val="5"/>
        </w:numPr>
        <w:tabs>
          <w:tab w:pos="1155" w:val="left" w:leader="none"/>
          <w:tab w:pos="1156" w:val="left" w:leader="none"/>
          <w:tab w:pos="4604" w:val="left" w:leader="none"/>
        </w:tabs>
        <w:spacing w:line="240" w:lineRule="auto" w:before="191" w:after="0"/>
        <w:ind w:left="1156" w:right="0" w:hanging="708"/>
        <w:jc w:val="left"/>
        <w:rPr>
          <w:sz w:val="22"/>
          <w:szCs w:val="22"/>
        </w:rPr>
      </w:pPr>
      <w:r>
        <w:rPr>
          <w:spacing w:val="-3"/>
          <w:sz w:val="22"/>
          <w:szCs w:val="22"/>
        </w:rPr>
        <w:t>DEFINITIONS</w:t>
        <w:tab/>
      </w:r>
      <w:r>
        <w:rPr>
          <w:sz w:val="22"/>
          <w:szCs w:val="22"/>
        </w:rPr>
        <w:t>1.</w:t>
      </w:r>
      <w:r>
        <w:rPr>
          <w:spacing w:val="31"/>
          <w:sz w:val="22"/>
          <w:szCs w:val="22"/>
        </w:rPr>
        <w:t> </w:t>
      </w:r>
      <w:r>
        <w:rPr>
          <w:spacing w:val="-4"/>
          <w:sz w:val="22"/>
          <w:szCs w:val="22"/>
        </w:rPr>
        <w:t>ՍԱՀՄԱՆՈՒՄՆԵՐ</w:t>
      </w:r>
    </w:p>
    <w:p>
      <w:pPr>
        <w:pStyle w:val="BodyText"/>
        <w:rPr>
          <w:sz w:val="20"/>
        </w:rPr>
      </w:pPr>
    </w:p>
    <w:p>
      <w:pPr>
        <w:spacing w:after="0"/>
        <w:rPr>
          <w:sz w:val="20"/>
        </w:rPr>
        <w:sectPr>
          <w:pgSz w:w="11910" w:h="16840"/>
          <w:pgMar w:header="0" w:footer="1569" w:top="1440" w:bottom="1760" w:left="1100" w:right="200"/>
        </w:sectPr>
      </w:pPr>
    </w:p>
    <w:p>
      <w:pPr>
        <w:pStyle w:val="BodyText"/>
        <w:spacing w:before="7"/>
        <w:rPr>
          <w:sz w:val="20"/>
        </w:rPr>
      </w:pPr>
    </w:p>
    <w:p>
      <w:pPr>
        <w:pStyle w:val="ListParagraph"/>
        <w:numPr>
          <w:ilvl w:val="2"/>
          <w:numId w:val="5"/>
        </w:numPr>
        <w:tabs>
          <w:tab w:pos="1167" w:val="left" w:leader="none"/>
          <w:tab w:pos="1168" w:val="left" w:leader="none"/>
        </w:tabs>
        <w:spacing w:line="340" w:lineRule="auto" w:before="0" w:after="0"/>
        <w:ind w:left="448" w:right="0" w:firstLine="0"/>
        <w:jc w:val="left"/>
        <w:rPr>
          <w:sz w:val="22"/>
        </w:rPr>
      </w:pPr>
      <w:r>
        <w:rPr>
          <w:w w:val="105"/>
          <w:sz w:val="22"/>
        </w:rPr>
        <w:t>In this Agreement unless the context otherwise</w:t>
      </w:r>
      <w:r>
        <w:rPr>
          <w:spacing w:val="-6"/>
          <w:w w:val="105"/>
          <w:sz w:val="22"/>
        </w:rPr>
        <w:t> </w:t>
      </w:r>
      <w:r>
        <w:rPr>
          <w:w w:val="105"/>
          <w:sz w:val="22"/>
        </w:rPr>
        <w:t>requires:</w:t>
      </w:r>
    </w:p>
    <w:p>
      <w:pPr>
        <w:pStyle w:val="BodyText"/>
        <w:spacing w:before="7"/>
        <w:rPr>
          <w:sz w:val="20"/>
        </w:rPr>
      </w:pPr>
      <w:r>
        <w:rPr/>
        <w:br w:type="column"/>
      </w:r>
      <w:r>
        <w:rPr>
          <w:sz w:val="20"/>
        </w:rPr>
      </w:r>
    </w:p>
    <w:p>
      <w:pPr>
        <w:pStyle w:val="ListParagraph"/>
        <w:numPr>
          <w:ilvl w:val="1"/>
          <w:numId w:val="6"/>
        </w:numPr>
        <w:tabs>
          <w:tab w:pos="892" w:val="left" w:leader="none"/>
          <w:tab w:pos="894" w:val="left" w:leader="none"/>
        </w:tabs>
        <w:spacing w:line="340" w:lineRule="auto" w:before="0" w:after="0"/>
        <w:ind w:left="173" w:right="632" w:firstLine="0"/>
        <w:jc w:val="left"/>
        <w:rPr>
          <w:sz w:val="22"/>
          <w:szCs w:val="22"/>
        </w:rPr>
      </w:pPr>
      <w:r>
        <w:rPr>
          <w:w w:val="105"/>
          <w:sz w:val="22"/>
          <w:szCs w:val="22"/>
        </w:rPr>
        <w:t>Սույն Համաձայնագրում, եթե համատեքստից այլ բան չի</w:t>
      </w:r>
      <w:r>
        <w:rPr>
          <w:spacing w:val="-10"/>
          <w:w w:val="105"/>
          <w:sz w:val="22"/>
          <w:szCs w:val="22"/>
        </w:rPr>
        <w:t> </w:t>
      </w:r>
      <w:r>
        <w:rPr>
          <w:w w:val="105"/>
          <w:sz w:val="22"/>
          <w:szCs w:val="22"/>
        </w:rPr>
        <w:t>բխում՝</w:t>
      </w:r>
    </w:p>
    <w:p>
      <w:pPr>
        <w:spacing w:after="0" w:line="340" w:lineRule="auto"/>
        <w:jc w:val="left"/>
        <w:rPr>
          <w:sz w:val="22"/>
          <w:szCs w:val="22"/>
        </w:rPr>
        <w:sectPr>
          <w:type w:val="continuous"/>
          <w:pgSz w:w="11910" w:h="16840"/>
          <w:pgMar w:top="860" w:bottom="280" w:left="1100" w:right="200"/>
          <w:cols w:num="2" w:equalWidth="0">
            <w:col w:w="4392" w:space="40"/>
            <w:col w:w="6178"/>
          </w:cols>
        </w:sectPr>
      </w:pPr>
    </w:p>
    <w:p>
      <w:pPr>
        <w:pStyle w:val="BodyText"/>
        <w:spacing w:before="6"/>
        <w:rPr>
          <w:sz w:val="23"/>
        </w:rPr>
      </w:pPr>
    </w:p>
    <w:p>
      <w:pPr>
        <w:spacing w:after="0"/>
        <w:rPr>
          <w:sz w:val="23"/>
        </w:rPr>
        <w:sectPr>
          <w:type w:val="continuous"/>
          <w:pgSz w:w="11910" w:h="16840"/>
          <w:pgMar w:top="860" w:bottom="280" w:left="1100" w:right="200"/>
        </w:sectPr>
      </w:pPr>
    </w:p>
    <w:p>
      <w:pPr>
        <w:pStyle w:val="ListParagraph"/>
        <w:numPr>
          <w:ilvl w:val="2"/>
          <w:numId w:val="6"/>
        </w:numPr>
        <w:tabs>
          <w:tab w:pos="808" w:val="left" w:leader="none"/>
        </w:tabs>
        <w:spacing w:line="340" w:lineRule="auto" w:before="91" w:after="0"/>
        <w:ind w:left="808" w:right="0" w:hanging="360"/>
        <w:jc w:val="both"/>
        <w:rPr>
          <w:sz w:val="22"/>
        </w:rPr>
      </w:pPr>
      <w:r>
        <w:rPr>
          <w:spacing w:val="-3"/>
          <w:w w:val="105"/>
          <w:sz w:val="22"/>
        </w:rPr>
        <w:t>“Framework Agreement” </w:t>
      </w:r>
      <w:r>
        <w:rPr>
          <w:w w:val="105"/>
          <w:sz w:val="22"/>
        </w:rPr>
        <w:t>has the meaning given to it in point (A) of the recitals of this</w:t>
      </w:r>
      <w:r>
        <w:rPr>
          <w:spacing w:val="-12"/>
          <w:w w:val="105"/>
          <w:sz w:val="22"/>
        </w:rPr>
        <w:t> </w:t>
      </w:r>
      <w:r>
        <w:rPr>
          <w:w w:val="105"/>
          <w:sz w:val="22"/>
        </w:rPr>
        <w:t>Agreement;</w:t>
      </w:r>
    </w:p>
    <w:p>
      <w:pPr>
        <w:pStyle w:val="BodyText"/>
        <w:spacing w:line="340" w:lineRule="auto" w:before="91"/>
        <w:ind w:left="530" w:right="633" w:hanging="360"/>
        <w:jc w:val="both"/>
      </w:pPr>
      <w:r>
        <w:rPr/>
        <w:br w:type="column"/>
      </w:r>
      <w:r>
        <w:rPr>
          <w:w w:val="105"/>
        </w:rPr>
        <w:t>(а) «Շրջանակային Համաձայնագիր» նշանակում է սույն Համաձայնագրի նախաբանի «Ա» կետում դրան վերագրված նշանակությունը.</w:t>
      </w:r>
    </w:p>
    <w:p>
      <w:pPr>
        <w:spacing w:after="0" w:line="340" w:lineRule="auto"/>
        <w:jc w:val="both"/>
        <w:sectPr>
          <w:type w:val="continuous"/>
          <w:pgSz w:w="11910" w:h="16840"/>
          <w:pgMar w:top="860" w:bottom="280" w:left="1100" w:right="200"/>
          <w:cols w:num="2" w:equalWidth="0">
            <w:col w:w="4395" w:space="40"/>
            <w:col w:w="6175"/>
          </w:cols>
        </w:sectPr>
      </w:pPr>
    </w:p>
    <w:p>
      <w:pPr>
        <w:pStyle w:val="BodyText"/>
        <w:spacing w:before="7"/>
        <w:rPr>
          <w:sz w:val="23"/>
        </w:rPr>
      </w:pPr>
    </w:p>
    <w:p>
      <w:pPr>
        <w:pStyle w:val="ListParagraph"/>
        <w:numPr>
          <w:ilvl w:val="2"/>
          <w:numId w:val="6"/>
        </w:numPr>
        <w:tabs>
          <w:tab w:pos="808" w:val="left" w:leader="none"/>
          <w:tab w:pos="4605" w:val="left" w:leader="none"/>
          <w:tab w:pos="7226" w:val="left" w:leader="none"/>
          <w:tab w:pos="8870" w:val="left" w:leader="none"/>
          <w:tab w:pos="9462" w:val="left" w:leader="none"/>
        </w:tabs>
        <w:spacing w:line="240" w:lineRule="auto" w:before="91" w:after="0"/>
        <w:ind w:left="808" w:right="0" w:hanging="360"/>
        <w:jc w:val="left"/>
        <w:rPr>
          <w:sz w:val="22"/>
          <w:szCs w:val="22"/>
        </w:rPr>
      </w:pPr>
      <w:r>
        <w:rPr>
          <w:spacing w:val="-3"/>
          <w:w w:val="105"/>
          <w:sz w:val="22"/>
          <w:szCs w:val="22"/>
        </w:rPr>
        <w:t>“Agreement” </w:t>
      </w:r>
      <w:r>
        <w:rPr>
          <w:w w:val="105"/>
          <w:sz w:val="22"/>
          <w:szCs w:val="22"/>
        </w:rPr>
        <w:t>means</w:t>
      </w:r>
      <w:r>
        <w:rPr>
          <w:spacing w:val="-17"/>
          <w:w w:val="105"/>
          <w:sz w:val="22"/>
          <w:szCs w:val="22"/>
        </w:rPr>
        <w:t> </w:t>
      </w:r>
      <w:r>
        <w:rPr>
          <w:w w:val="105"/>
          <w:sz w:val="22"/>
          <w:szCs w:val="22"/>
        </w:rPr>
        <w:t>this</w:t>
      </w:r>
      <w:r>
        <w:rPr>
          <w:spacing w:val="-9"/>
          <w:w w:val="105"/>
          <w:sz w:val="22"/>
          <w:szCs w:val="22"/>
        </w:rPr>
        <w:t> </w:t>
      </w:r>
      <w:r>
        <w:rPr>
          <w:w w:val="105"/>
          <w:sz w:val="22"/>
          <w:szCs w:val="22"/>
        </w:rPr>
        <w:t>agreement.</w:t>
        <w:tab/>
        <w:t>(b)</w:t>
      </w:r>
      <w:r>
        <w:rPr>
          <w:spacing w:val="15"/>
          <w:w w:val="105"/>
          <w:sz w:val="22"/>
          <w:szCs w:val="22"/>
        </w:rPr>
        <w:t> </w:t>
      </w:r>
      <w:r>
        <w:rPr>
          <w:spacing w:val="-3"/>
          <w:w w:val="105"/>
          <w:sz w:val="22"/>
          <w:szCs w:val="22"/>
        </w:rPr>
        <w:t>«Համաձայնագիր»</w:t>
        <w:tab/>
      </w:r>
      <w:r>
        <w:rPr>
          <w:w w:val="105"/>
          <w:sz w:val="22"/>
          <w:szCs w:val="22"/>
        </w:rPr>
        <w:t>նշանակում</w:t>
        <w:tab/>
        <w:t>է</w:t>
        <w:tab/>
        <w:t>սույն</w:t>
      </w:r>
    </w:p>
    <w:p>
      <w:pPr>
        <w:pStyle w:val="BodyText"/>
        <w:spacing w:before="107"/>
        <w:ind w:left="4954" w:right="3815"/>
        <w:jc w:val="center"/>
      </w:pPr>
      <w:r>
        <w:rPr>
          <w:w w:val="105"/>
        </w:rPr>
        <w:t>համաձայնագիրը:</w:t>
      </w:r>
    </w:p>
    <w:p>
      <w:pPr>
        <w:pStyle w:val="BodyText"/>
        <w:spacing w:before="5"/>
        <w:rPr>
          <w:sz w:val="26"/>
        </w:rPr>
      </w:pPr>
    </w:p>
    <w:p>
      <w:pPr>
        <w:spacing w:after="0"/>
        <w:rPr>
          <w:sz w:val="26"/>
        </w:rPr>
        <w:sectPr>
          <w:type w:val="continuous"/>
          <w:pgSz w:w="11910" w:h="16840"/>
          <w:pgMar w:top="860" w:bottom="280" w:left="1100" w:right="200"/>
        </w:sectPr>
      </w:pPr>
    </w:p>
    <w:p>
      <w:pPr>
        <w:pStyle w:val="ListParagraph"/>
        <w:numPr>
          <w:ilvl w:val="1"/>
          <w:numId w:val="6"/>
        </w:numPr>
        <w:tabs>
          <w:tab w:pos="1168" w:val="left" w:leader="none"/>
        </w:tabs>
        <w:spacing w:line="340" w:lineRule="auto" w:before="163" w:after="0"/>
        <w:ind w:left="448" w:right="0" w:firstLine="0"/>
        <w:jc w:val="both"/>
        <w:rPr>
          <w:sz w:val="22"/>
        </w:rPr>
      </w:pPr>
      <w:r>
        <w:rPr>
          <w:w w:val="105"/>
          <w:sz w:val="22"/>
        </w:rPr>
        <w:t>Terms defined in the Framework Agreement (whether directly or by reference) shall, unless otherwise defined herein, have the same meaning in this Agreement.</w:t>
      </w:r>
    </w:p>
    <w:p>
      <w:pPr>
        <w:pStyle w:val="BodyText"/>
        <w:spacing w:line="316" w:lineRule="auto" w:before="91"/>
        <w:ind w:left="170" w:right="631"/>
        <w:jc w:val="both"/>
      </w:pPr>
      <w:r>
        <w:rPr/>
        <w:br w:type="column"/>
      </w:r>
      <w:r>
        <w:rPr>
          <w:w w:val="105"/>
        </w:rPr>
        <w:t>1.2.  Շրջանակային  Համաձայնագրում  սահման- ված եզրույթները (լինի դա ուղղակիորեն, թե՝ հղու- մով), սույն Համաձայնագրում այլ կերպ սահմանված չլինելու դեպքում, ունեն նույն նշանակությունը սույն Համաձայնագրում:</w:t>
      </w:r>
    </w:p>
    <w:p>
      <w:pPr>
        <w:spacing w:after="0" w:line="316" w:lineRule="auto"/>
        <w:jc w:val="both"/>
        <w:sectPr>
          <w:type w:val="continuous"/>
          <w:pgSz w:w="11910" w:h="16840"/>
          <w:pgMar w:top="860" w:bottom="280" w:left="1100" w:right="200"/>
          <w:cols w:num="2" w:equalWidth="0">
            <w:col w:w="4395" w:space="40"/>
            <w:col w:w="6175"/>
          </w:cols>
        </w:sectPr>
      </w:pPr>
    </w:p>
    <w:p>
      <w:pPr>
        <w:pStyle w:val="BodyText"/>
        <w:spacing w:before="8"/>
        <w:rPr>
          <w:sz w:val="23"/>
        </w:rPr>
      </w:pPr>
    </w:p>
    <w:p>
      <w:pPr>
        <w:pStyle w:val="ListParagraph"/>
        <w:numPr>
          <w:ilvl w:val="0"/>
          <w:numId w:val="6"/>
        </w:numPr>
        <w:tabs>
          <w:tab w:pos="1155" w:val="left" w:leader="none"/>
          <w:tab w:pos="1156" w:val="left" w:leader="none"/>
          <w:tab w:pos="4604" w:val="left" w:leader="none"/>
        </w:tabs>
        <w:spacing w:line="240" w:lineRule="auto" w:before="92" w:after="0"/>
        <w:ind w:left="1156" w:right="0" w:hanging="708"/>
        <w:jc w:val="left"/>
        <w:rPr>
          <w:sz w:val="22"/>
          <w:szCs w:val="22"/>
        </w:rPr>
      </w:pPr>
      <w:r>
        <w:rPr>
          <w:spacing w:val="-4"/>
          <w:sz w:val="22"/>
          <w:szCs w:val="22"/>
        </w:rPr>
        <w:t>AMENDMENT</w:t>
        <w:tab/>
      </w:r>
      <w:r>
        <w:rPr>
          <w:sz w:val="22"/>
          <w:szCs w:val="22"/>
        </w:rPr>
        <w:t>2.</w:t>
      </w:r>
      <w:r>
        <w:rPr>
          <w:spacing w:val="28"/>
          <w:sz w:val="22"/>
          <w:szCs w:val="22"/>
        </w:rPr>
        <w:t> </w:t>
      </w:r>
      <w:r>
        <w:rPr>
          <w:spacing w:val="-4"/>
          <w:sz w:val="22"/>
          <w:szCs w:val="22"/>
        </w:rPr>
        <w:t>ՓՈՓՈԽՈՒԹՅՈՒՆ</w:t>
      </w:r>
    </w:p>
    <w:p>
      <w:pPr>
        <w:pStyle w:val="BodyText"/>
        <w:spacing w:before="4"/>
        <w:rPr>
          <w:sz w:val="26"/>
        </w:rPr>
      </w:pPr>
    </w:p>
    <w:p>
      <w:pPr>
        <w:spacing w:after="0"/>
        <w:rPr>
          <w:sz w:val="26"/>
        </w:rPr>
        <w:sectPr>
          <w:type w:val="continuous"/>
          <w:pgSz w:w="11910" w:h="16840"/>
          <w:pgMar w:top="860" w:bottom="280" w:left="1100" w:right="200"/>
        </w:sectPr>
      </w:pPr>
    </w:p>
    <w:p>
      <w:pPr>
        <w:pStyle w:val="BodyText"/>
        <w:spacing w:line="316" w:lineRule="auto" w:before="92"/>
        <w:ind w:left="447"/>
        <w:jc w:val="both"/>
      </w:pPr>
      <w:r>
        <w:rPr>
          <w:w w:val="105"/>
        </w:rPr>
        <w:t>The Parties and the Sponsor hereby agree to amend and read Article 5.2(a) of the Framework Agreement as follows:</w:t>
      </w:r>
    </w:p>
    <w:p>
      <w:pPr>
        <w:pStyle w:val="BodyText"/>
        <w:spacing w:line="316" w:lineRule="auto" w:before="92"/>
        <w:ind w:left="170" w:right="633"/>
        <w:jc w:val="both"/>
      </w:pPr>
      <w:r>
        <w:rPr/>
        <w:br w:type="column"/>
      </w:r>
      <w:r>
        <w:rPr>
          <w:w w:val="105"/>
        </w:rPr>
        <w:t>Կողմերը և Հովանավորը սույնով համաձայնվում են փոփոխել և վերաշարադրել Շրջանակային Համա- ձայնագրի 5.2(a) Հոդվածն ՝ ըստ հետևյալի.</w:t>
      </w:r>
    </w:p>
    <w:p>
      <w:pPr>
        <w:spacing w:after="0" w:line="316" w:lineRule="auto"/>
        <w:jc w:val="both"/>
        <w:sectPr>
          <w:type w:val="continuous"/>
          <w:pgSz w:w="11910" w:h="16840"/>
          <w:pgMar w:top="860" w:bottom="280" w:left="1100" w:right="200"/>
          <w:cols w:num="2" w:equalWidth="0">
            <w:col w:w="4395" w:space="40"/>
            <w:col w:w="6175"/>
          </w:cols>
        </w:sectPr>
      </w:pPr>
    </w:p>
    <w:p>
      <w:pPr>
        <w:pStyle w:val="BodyText"/>
        <w:spacing w:line="292" w:lineRule="auto" w:before="188"/>
        <w:ind w:left="447"/>
        <w:jc w:val="both"/>
      </w:pPr>
      <w:r>
        <w:rPr>
          <w:i/>
          <w:sz w:val="23"/>
        </w:rPr>
        <w:t>“</w:t>
      </w:r>
      <w:r>
        <w:rPr/>
        <w:t>(a)</w:t>
      </w:r>
      <w:r>
        <w:rPr>
          <w:spacing w:val="10"/>
        </w:rPr>
        <w:t> </w:t>
      </w:r>
      <w:r>
        <w:rPr/>
        <w:t>The Developer shall be permitted to connect and remain connected to the 220kV transmission network of High-Voltage Electrical Networks CJSC, and to deliver electrical energy (capacity) to any delimitation point between the Developer and High-Voltage Electrical Networks CJSC (each such point hereinafter referred to as the "Delivery Point"), and the Government shall grant, or procure the grant of all necessary rights of way and easements, as reasonably required by the</w:t>
      </w:r>
      <w:r>
        <w:rPr>
          <w:spacing w:val="-17"/>
        </w:rPr>
        <w:t> </w:t>
      </w:r>
      <w:r>
        <w:rPr/>
        <w:t>Developer.”</w:t>
      </w:r>
    </w:p>
    <w:p>
      <w:pPr>
        <w:pStyle w:val="Heading2"/>
        <w:spacing w:line="302" w:lineRule="auto" w:before="188"/>
        <w:ind w:right="628"/>
        <w:jc w:val="both"/>
      </w:pPr>
      <w:r>
        <w:rPr>
          <w:i w:val="0"/>
        </w:rPr>
        <w:br w:type="column"/>
      </w:r>
      <w:r>
        <w:rPr>
          <w:i/>
          <w:w w:val="105"/>
        </w:rPr>
        <w:t>«(а) Կառուցապատողին թույլատրվում է միանալ և </w:t>
      </w:r>
      <w:r>
        <w:rPr>
          <w:spacing w:val="-6"/>
          <w:w w:val="105"/>
        </w:rPr>
        <w:t>մնալ միացած «Բարձրավոլտ </w:t>
      </w:r>
      <w:r>
        <w:rPr>
          <w:spacing w:val="-7"/>
          <w:w w:val="105"/>
        </w:rPr>
        <w:t>էլեկտրացանցեր» </w:t>
      </w:r>
      <w:r>
        <w:rPr>
          <w:spacing w:val="-6"/>
          <w:w w:val="105"/>
        </w:rPr>
        <w:t>ՓԲԸ-ի </w:t>
      </w:r>
      <w:r>
        <w:rPr>
          <w:w w:val="105"/>
        </w:rPr>
        <w:t>220 կՎ հաղորդման ցանցին և առաքել </w:t>
      </w:r>
      <w:r>
        <w:rPr>
          <w:spacing w:val="-7"/>
          <w:w w:val="105"/>
        </w:rPr>
        <w:t>էլեկտրական էներգիա </w:t>
      </w:r>
      <w:r>
        <w:rPr>
          <w:spacing w:val="-6"/>
          <w:w w:val="105"/>
        </w:rPr>
        <w:t>(հզորություն) </w:t>
      </w:r>
      <w:r>
        <w:rPr>
          <w:spacing w:val="-7"/>
          <w:w w:val="105"/>
        </w:rPr>
        <w:t>Կառուցապատողի </w:t>
      </w:r>
      <w:r>
        <w:rPr>
          <w:w w:val="105"/>
        </w:rPr>
        <w:t>և </w:t>
      </w:r>
      <w:r>
        <w:rPr>
          <w:spacing w:val="-6"/>
          <w:w w:val="105"/>
        </w:rPr>
        <w:t>«Բարձրա- </w:t>
      </w:r>
      <w:r>
        <w:rPr>
          <w:spacing w:val="-5"/>
          <w:w w:val="105"/>
        </w:rPr>
        <w:t>վոլտ </w:t>
      </w:r>
      <w:r>
        <w:rPr>
          <w:w w:val="105"/>
        </w:rPr>
        <w:t>էլեկտրացանցեր» ՓԲԸ-ի միջև սահմանազատ- ման ցանկացած կետ (յուրաքանչյուր այդպիսի կետը այսուհետ՝</w:t>
      </w:r>
      <w:r>
        <w:rPr>
          <w:spacing w:val="-15"/>
          <w:w w:val="105"/>
        </w:rPr>
        <w:t> </w:t>
      </w:r>
      <w:r>
        <w:rPr>
          <w:w w:val="105"/>
        </w:rPr>
        <w:t>«Մատակարարման</w:t>
      </w:r>
      <w:r>
        <w:rPr>
          <w:spacing w:val="-19"/>
          <w:w w:val="105"/>
        </w:rPr>
        <w:t> </w:t>
      </w:r>
      <w:r>
        <w:rPr>
          <w:w w:val="105"/>
        </w:rPr>
        <w:t>Կետ»),</w:t>
      </w:r>
      <w:r>
        <w:rPr>
          <w:spacing w:val="-16"/>
          <w:w w:val="105"/>
        </w:rPr>
        <w:t> </w:t>
      </w:r>
      <w:r>
        <w:rPr>
          <w:w w:val="105"/>
        </w:rPr>
        <w:t>և</w:t>
      </w:r>
      <w:r>
        <w:rPr>
          <w:spacing w:val="-17"/>
          <w:w w:val="105"/>
        </w:rPr>
        <w:t> </w:t>
      </w:r>
      <w:r>
        <w:rPr>
          <w:w w:val="105"/>
        </w:rPr>
        <w:t>Կառավարու- թյունը Հայաստանի Հանրապետության օրենսդրու- թյանը համապատասխան՝ շնորհում է կամ ապահո- վում է շնորհումը բոլոր անհրաժեշտ տարանցման և սերվիտուտի իրավունքների, որոնք ողջամտորեն պահանջվում են Կառուցապատողի</w:t>
      </w:r>
      <w:r>
        <w:rPr>
          <w:spacing w:val="-14"/>
          <w:w w:val="105"/>
        </w:rPr>
        <w:t> </w:t>
      </w:r>
      <w:r>
        <w:rPr>
          <w:w w:val="105"/>
        </w:rPr>
        <w:t>կողմից:»</w:t>
      </w:r>
    </w:p>
    <w:p>
      <w:pPr>
        <w:spacing w:after="0" w:line="302" w:lineRule="auto"/>
        <w:jc w:val="both"/>
        <w:sectPr>
          <w:type w:val="continuous"/>
          <w:pgSz w:w="11910" w:h="16840"/>
          <w:pgMar w:top="860" w:bottom="280" w:left="1100" w:right="200"/>
          <w:cols w:num="2" w:equalWidth="0">
            <w:col w:w="4396" w:space="40"/>
            <w:col w:w="6174"/>
          </w:cols>
        </w:sectPr>
      </w:pPr>
    </w:p>
    <w:p>
      <w:pPr>
        <w:pStyle w:val="ListParagraph"/>
        <w:numPr>
          <w:ilvl w:val="0"/>
          <w:numId w:val="6"/>
        </w:numPr>
        <w:tabs>
          <w:tab w:pos="1155" w:val="left" w:leader="none"/>
          <w:tab w:pos="1156" w:val="left" w:leader="none"/>
        </w:tabs>
        <w:spacing w:line="340" w:lineRule="auto" w:before="71" w:after="0"/>
        <w:ind w:left="1156" w:right="38" w:hanging="708"/>
        <w:jc w:val="left"/>
        <w:rPr>
          <w:sz w:val="22"/>
        </w:rPr>
      </w:pPr>
      <w:r>
        <w:rPr>
          <w:spacing w:val="-4"/>
          <w:sz w:val="22"/>
        </w:rPr>
        <w:t>INCORPORATION </w:t>
      </w:r>
      <w:r>
        <w:rPr>
          <w:spacing w:val="-3"/>
          <w:sz w:val="22"/>
        </w:rPr>
        <w:t>BY REFERENCE</w:t>
      </w:r>
    </w:p>
    <w:p>
      <w:pPr>
        <w:pStyle w:val="BodyText"/>
        <w:spacing w:before="71"/>
        <w:ind w:left="447"/>
      </w:pPr>
      <w:r>
        <w:rPr/>
        <w:br w:type="column"/>
      </w:r>
      <w:r>
        <w:rPr/>
        <w:t>3. ՆԵՐԱՌՈՒՄՆԵՐ ՀՂՄԱՄԲ</w:t>
      </w:r>
    </w:p>
    <w:p>
      <w:pPr>
        <w:spacing w:after="0"/>
        <w:sectPr>
          <w:pgSz w:w="11910" w:h="16840"/>
          <w:pgMar w:header="0" w:footer="1569" w:top="1440" w:bottom="1760" w:left="1100" w:right="200"/>
          <w:cols w:num="2" w:equalWidth="0">
            <w:col w:w="3317" w:space="840"/>
            <w:col w:w="6453"/>
          </w:cols>
        </w:sectPr>
      </w:pPr>
    </w:p>
    <w:p>
      <w:pPr>
        <w:pStyle w:val="BodyText"/>
        <w:spacing w:before="3"/>
        <w:rPr>
          <w:sz w:val="17"/>
        </w:rPr>
      </w:pPr>
    </w:p>
    <w:p>
      <w:pPr>
        <w:spacing w:after="0"/>
        <w:rPr>
          <w:sz w:val="17"/>
        </w:rPr>
        <w:sectPr>
          <w:type w:val="continuous"/>
          <w:pgSz w:w="11910" w:h="16840"/>
          <w:pgMar w:top="860" w:bottom="280" w:left="1100" w:right="200"/>
        </w:sectPr>
      </w:pPr>
    </w:p>
    <w:p>
      <w:pPr>
        <w:pStyle w:val="BodyText"/>
        <w:spacing w:line="316" w:lineRule="auto" w:before="91"/>
        <w:ind w:left="447" w:right="38"/>
        <w:jc w:val="both"/>
      </w:pPr>
      <w:r>
        <w:rPr>
          <w:w w:val="105"/>
        </w:rPr>
        <w:t>Articles 18.3(b)-(h) (Arbitration), 19 (Representations and Warranties),</w:t>
      </w:r>
    </w:p>
    <w:p>
      <w:pPr>
        <w:pStyle w:val="BodyText"/>
        <w:tabs>
          <w:tab w:pos="2340" w:val="left" w:leader="none"/>
          <w:tab w:pos="3289" w:val="left" w:leader="none"/>
        </w:tabs>
        <w:spacing w:line="252" w:lineRule="exact"/>
        <w:ind w:left="447"/>
      </w:pPr>
      <w:r>
        <w:rPr/>
        <w:t>20.1</w:t>
      </w:r>
      <w:r>
        <w:rPr>
          <w:spacing w:val="1"/>
        </w:rPr>
        <w:t> </w:t>
      </w:r>
      <w:r>
        <w:rPr/>
        <w:t>(Notices),</w:t>
        <w:tab/>
        <w:t>20.3</w:t>
        <w:tab/>
        <w:t>(Invalidity),</w:t>
      </w:r>
    </w:p>
    <w:p>
      <w:pPr>
        <w:pStyle w:val="BodyText"/>
        <w:spacing w:before="78"/>
        <w:ind w:left="447"/>
      </w:pPr>
      <w:r>
        <w:rPr>
          <w:w w:val="105"/>
        </w:rPr>
        <w:t>20.7 (Variation), 20.9 (Entire Agreement),</w:t>
      </w:r>
    </w:p>
    <w:p>
      <w:pPr>
        <w:pStyle w:val="BodyText"/>
        <w:spacing w:line="316" w:lineRule="auto" w:before="81"/>
        <w:ind w:left="447" w:right="38"/>
        <w:jc w:val="both"/>
      </w:pPr>
      <w:r>
        <w:rPr>
          <w:w w:val="105"/>
        </w:rPr>
        <w:t>20.11 (Sovereign Immunity), 20.12 (Further assurance), 20.14 (Governing law), 20.15 (Contract Language) of Framework Agreement shall be deemed incorporated in this Agreement by reference and shall apply as if the references therein to "the Agreement", "this Agreement" or “the present contract” were references to this Agreement.</w:t>
      </w:r>
    </w:p>
    <w:p>
      <w:pPr>
        <w:pStyle w:val="BodyText"/>
        <w:spacing w:line="316" w:lineRule="auto" w:before="91"/>
        <w:ind w:left="447" w:right="628"/>
        <w:jc w:val="both"/>
      </w:pPr>
      <w:r>
        <w:rPr/>
        <w:br w:type="column"/>
      </w:r>
      <w:r>
        <w:rPr>
          <w:w w:val="105"/>
        </w:rPr>
        <w:t>Շրջանակային Համաձայնագրի Հոդվածներ 18.3(b)-(h)-ն</w:t>
      </w:r>
      <w:r>
        <w:rPr>
          <w:spacing w:val="-26"/>
          <w:w w:val="105"/>
        </w:rPr>
        <w:t> </w:t>
      </w:r>
      <w:r>
        <w:rPr>
          <w:w w:val="105"/>
        </w:rPr>
        <w:t>(Արբիտրաժ),</w:t>
      </w:r>
      <w:r>
        <w:rPr>
          <w:spacing w:val="-26"/>
          <w:w w:val="105"/>
        </w:rPr>
        <w:t> </w:t>
      </w:r>
      <w:r>
        <w:rPr>
          <w:w w:val="105"/>
        </w:rPr>
        <w:t>19-ը</w:t>
      </w:r>
      <w:r>
        <w:rPr>
          <w:spacing w:val="-26"/>
          <w:w w:val="105"/>
        </w:rPr>
        <w:t> </w:t>
      </w:r>
      <w:r>
        <w:rPr>
          <w:w w:val="105"/>
        </w:rPr>
        <w:t>(Հավաստումներ</w:t>
      </w:r>
      <w:r>
        <w:rPr>
          <w:spacing w:val="-30"/>
          <w:w w:val="105"/>
        </w:rPr>
        <w:t> </w:t>
      </w:r>
      <w:r>
        <w:rPr>
          <w:w w:val="105"/>
        </w:rPr>
        <w:t>և Երաշխավորումներ), 20.1-ը (Ծանուցումներ), 20.3-ը</w:t>
      </w:r>
      <w:r>
        <w:rPr>
          <w:spacing w:val="-30"/>
          <w:w w:val="105"/>
        </w:rPr>
        <w:t> </w:t>
      </w:r>
      <w:r>
        <w:rPr>
          <w:w w:val="105"/>
        </w:rPr>
        <w:t>(Անվավերություն),</w:t>
      </w:r>
      <w:r>
        <w:rPr>
          <w:spacing w:val="-31"/>
          <w:w w:val="105"/>
        </w:rPr>
        <w:t> </w:t>
      </w:r>
      <w:r>
        <w:rPr>
          <w:w w:val="105"/>
        </w:rPr>
        <w:t>20.7-ը</w:t>
      </w:r>
      <w:r>
        <w:rPr>
          <w:spacing w:val="-30"/>
          <w:w w:val="105"/>
        </w:rPr>
        <w:t> </w:t>
      </w:r>
      <w:r>
        <w:rPr>
          <w:w w:val="105"/>
        </w:rPr>
        <w:t>(Փոփոխություն), </w:t>
      </w:r>
      <w:r>
        <w:rPr>
          <w:spacing w:val="-6"/>
          <w:w w:val="105"/>
        </w:rPr>
        <w:t>20.9-ը </w:t>
      </w:r>
      <w:r>
        <w:rPr>
          <w:spacing w:val="-7"/>
          <w:w w:val="105"/>
        </w:rPr>
        <w:t>(Ամբողջական պայմանագիր), </w:t>
      </w:r>
      <w:r>
        <w:rPr>
          <w:spacing w:val="-6"/>
          <w:w w:val="105"/>
        </w:rPr>
        <w:t>20.11-ը </w:t>
      </w:r>
      <w:r>
        <w:rPr>
          <w:w w:val="105"/>
        </w:rPr>
        <w:t>(Ինքնիշխան Անձեռնմխելիությունը), 20.12-ը (Լրացուցիչ երաշխիքներ), 20.14-ը (Կարգավորող իրավունքը), 20.15-ը (Համաձայնագրի Լեզուն) համարվում սույն Համաձայնագրում ներառված հղումով և կիրառվում են այնպես, ինչպես եթե դրանցում հղումները «Համաձայնագրին»</w:t>
      </w:r>
      <w:r>
        <w:rPr>
          <w:spacing w:val="12"/>
          <w:w w:val="105"/>
        </w:rPr>
        <w:t> </w:t>
      </w:r>
      <w:r>
        <w:rPr>
          <w:w w:val="105"/>
        </w:rPr>
        <w:t>կամ</w:t>
      </w:r>
    </w:p>
    <w:p>
      <w:pPr>
        <w:pStyle w:val="BodyText"/>
        <w:spacing w:line="319" w:lineRule="auto"/>
        <w:ind w:left="447" w:right="635"/>
        <w:jc w:val="both"/>
      </w:pPr>
      <w:r>
        <w:rPr>
          <w:w w:val="105"/>
        </w:rPr>
        <w:t>«սույն Համաձայնագրին» վերաբերեին սույն Համաձայնագրին:</w:t>
      </w:r>
    </w:p>
    <w:p>
      <w:pPr>
        <w:spacing w:after="0" w:line="319" w:lineRule="auto"/>
        <w:jc w:val="both"/>
        <w:sectPr>
          <w:type w:val="continuous"/>
          <w:pgSz w:w="11910" w:h="16840"/>
          <w:pgMar w:top="860" w:bottom="280" w:left="1100" w:right="200"/>
          <w:cols w:num="2" w:equalWidth="0">
            <w:col w:w="4434" w:space="150"/>
            <w:col w:w="6026"/>
          </w:cols>
        </w:sectPr>
      </w:pPr>
    </w:p>
    <w:p>
      <w:pPr>
        <w:pStyle w:val="BodyText"/>
        <w:spacing w:before="5"/>
        <w:rPr>
          <w:sz w:val="14"/>
        </w:rPr>
      </w:pPr>
    </w:p>
    <w:p>
      <w:pPr>
        <w:pStyle w:val="ListParagraph"/>
        <w:numPr>
          <w:ilvl w:val="0"/>
          <w:numId w:val="6"/>
        </w:numPr>
        <w:tabs>
          <w:tab w:pos="1155" w:val="left" w:leader="none"/>
          <w:tab w:pos="1156" w:val="left" w:leader="none"/>
          <w:tab w:pos="4604" w:val="left" w:leader="none"/>
        </w:tabs>
        <w:spacing w:line="240" w:lineRule="auto" w:before="91" w:after="0"/>
        <w:ind w:left="1156" w:right="0" w:hanging="708"/>
        <w:jc w:val="left"/>
        <w:rPr>
          <w:sz w:val="22"/>
          <w:szCs w:val="22"/>
        </w:rPr>
      </w:pPr>
      <w:r>
        <w:rPr>
          <w:spacing w:val="-4"/>
          <w:sz w:val="22"/>
          <w:szCs w:val="22"/>
        </w:rPr>
        <w:t>MISCELLANEOUS</w:t>
      </w:r>
      <w:r>
        <w:rPr>
          <w:spacing w:val="-19"/>
          <w:sz w:val="22"/>
          <w:szCs w:val="22"/>
        </w:rPr>
        <w:t> </w:t>
      </w:r>
      <w:r>
        <w:rPr>
          <w:spacing w:val="-3"/>
          <w:sz w:val="22"/>
          <w:szCs w:val="22"/>
        </w:rPr>
        <w:t>PROVISIONS</w:t>
        <w:tab/>
      </w:r>
      <w:r>
        <w:rPr>
          <w:sz w:val="22"/>
          <w:szCs w:val="22"/>
        </w:rPr>
        <w:t>4. ԱՅԼ</w:t>
      </w:r>
      <w:r>
        <w:rPr>
          <w:spacing w:val="-34"/>
          <w:sz w:val="22"/>
          <w:szCs w:val="22"/>
        </w:rPr>
        <w:t> </w:t>
      </w:r>
      <w:r>
        <w:rPr>
          <w:spacing w:val="-4"/>
          <w:sz w:val="22"/>
          <w:szCs w:val="22"/>
        </w:rPr>
        <w:t>ԴՐՈՒՅԹՆԵՐ</w:t>
      </w:r>
    </w:p>
    <w:p>
      <w:pPr>
        <w:pStyle w:val="BodyText"/>
        <w:rPr>
          <w:sz w:val="20"/>
        </w:rPr>
      </w:pPr>
    </w:p>
    <w:p>
      <w:pPr>
        <w:spacing w:after="0"/>
        <w:rPr>
          <w:sz w:val="20"/>
        </w:rPr>
        <w:sectPr>
          <w:type w:val="continuous"/>
          <w:pgSz w:w="11910" w:h="16840"/>
          <w:pgMar w:top="860" w:bottom="280" w:left="1100" w:right="200"/>
        </w:sectPr>
      </w:pPr>
    </w:p>
    <w:p>
      <w:pPr>
        <w:pStyle w:val="BodyText"/>
        <w:spacing w:before="7"/>
        <w:rPr>
          <w:sz w:val="20"/>
        </w:rPr>
      </w:pPr>
    </w:p>
    <w:p>
      <w:pPr>
        <w:pStyle w:val="BodyText"/>
        <w:spacing w:line="340" w:lineRule="auto"/>
        <w:ind w:left="447"/>
        <w:jc w:val="both"/>
      </w:pPr>
      <w:r>
        <w:rPr>
          <w:w w:val="105"/>
        </w:rPr>
        <w:t>This Agreement shall come into effect upon being executed by the Parties and</w:t>
      </w:r>
      <w:r>
        <w:rPr>
          <w:spacing w:val="-24"/>
          <w:w w:val="105"/>
        </w:rPr>
        <w:t> </w:t>
      </w:r>
      <w:r>
        <w:rPr>
          <w:w w:val="105"/>
        </w:rPr>
        <w:t>the Sponsor</w:t>
      </w:r>
      <w:r>
        <w:rPr>
          <w:spacing w:val="-13"/>
          <w:w w:val="105"/>
        </w:rPr>
        <w:t> </w:t>
      </w:r>
      <w:r>
        <w:rPr>
          <w:w w:val="105"/>
        </w:rPr>
        <w:t>and</w:t>
      </w:r>
      <w:r>
        <w:rPr>
          <w:spacing w:val="-10"/>
          <w:w w:val="105"/>
        </w:rPr>
        <w:t> </w:t>
      </w:r>
      <w:r>
        <w:rPr>
          <w:w w:val="105"/>
        </w:rPr>
        <w:t>shall</w:t>
      </w:r>
      <w:r>
        <w:rPr>
          <w:spacing w:val="-12"/>
          <w:w w:val="105"/>
        </w:rPr>
        <w:t> </w:t>
      </w:r>
      <w:r>
        <w:rPr>
          <w:w w:val="105"/>
        </w:rPr>
        <w:t>comprise</w:t>
      </w:r>
      <w:r>
        <w:rPr>
          <w:spacing w:val="-10"/>
          <w:w w:val="105"/>
        </w:rPr>
        <w:t> </w:t>
      </w:r>
      <w:r>
        <w:rPr>
          <w:w w:val="105"/>
        </w:rPr>
        <w:t>an</w:t>
      </w:r>
      <w:r>
        <w:rPr>
          <w:spacing w:val="-10"/>
          <w:w w:val="105"/>
        </w:rPr>
        <w:t> </w:t>
      </w:r>
      <w:r>
        <w:rPr>
          <w:w w:val="105"/>
        </w:rPr>
        <w:t>integral</w:t>
      </w:r>
      <w:r>
        <w:rPr>
          <w:spacing w:val="-12"/>
          <w:w w:val="105"/>
        </w:rPr>
        <w:t> </w:t>
      </w:r>
      <w:r>
        <w:rPr>
          <w:w w:val="105"/>
        </w:rPr>
        <w:t>part of the Framework</w:t>
      </w:r>
      <w:r>
        <w:rPr>
          <w:spacing w:val="-9"/>
          <w:w w:val="105"/>
        </w:rPr>
        <w:t> </w:t>
      </w:r>
      <w:r>
        <w:rPr>
          <w:w w:val="105"/>
        </w:rPr>
        <w:t>Agreement.</w:t>
      </w:r>
    </w:p>
    <w:p>
      <w:pPr>
        <w:pStyle w:val="BodyText"/>
        <w:spacing w:before="7"/>
        <w:rPr>
          <w:sz w:val="20"/>
        </w:rPr>
      </w:pPr>
      <w:r>
        <w:rPr/>
        <w:br w:type="column"/>
      </w:r>
      <w:r>
        <w:rPr>
          <w:sz w:val="20"/>
        </w:rPr>
      </w:r>
    </w:p>
    <w:p>
      <w:pPr>
        <w:pStyle w:val="BodyText"/>
        <w:spacing w:line="340" w:lineRule="auto"/>
        <w:ind w:left="169" w:right="632"/>
        <w:jc w:val="both"/>
      </w:pPr>
      <w:r>
        <w:rPr>
          <w:w w:val="105"/>
        </w:rPr>
        <w:t>Սույն</w:t>
      </w:r>
      <w:r>
        <w:rPr>
          <w:spacing w:val="-8"/>
          <w:w w:val="105"/>
        </w:rPr>
        <w:t> </w:t>
      </w:r>
      <w:r>
        <w:rPr>
          <w:w w:val="105"/>
        </w:rPr>
        <w:t>Համաձայնագիրն</w:t>
      </w:r>
      <w:r>
        <w:rPr>
          <w:spacing w:val="-10"/>
          <w:w w:val="105"/>
        </w:rPr>
        <w:t> </w:t>
      </w:r>
      <w:r>
        <w:rPr>
          <w:w w:val="105"/>
        </w:rPr>
        <w:t>ուժի</w:t>
      </w:r>
      <w:r>
        <w:rPr>
          <w:spacing w:val="-7"/>
          <w:w w:val="105"/>
        </w:rPr>
        <w:t> </w:t>
      </w:r>
      <w:r>
        <w:rPr>
          <w:w w:val="105"/>
        </w:rPr>
        <w:t>մեջ</w:t>
      </w:r>
      <w:r>
        <w:rPr>
          <w:spacing w:val="-11"/>
          <w:w w:val="105"/>
        </w:rPr>
        <w:t> </w:t>
      </w:r>
      <w:r>
        <w:rPr>
          <w:w w:val="105"/>
        </w:rPr>
        <w:t>է</w:t>
      </w:r>
      <w:r>
        <w:rPr>
          <w:spacing w:val="-7"/>
          <w:w w:val="105"/>
        </w:rPr>
        <w:t> </w:t>
      </w:r>
      <w:r>
        <w:rPr>
          <w:w w:val="105"/>
        </w:rPr>
        <w:t>մտնում</w:t>
      </w:r>
      <w:r>
        <w:rPr>
          <w:spacing w:val="-9"/>
          <w:w w:val="105"/>
        </w:rPr>
        <w:t> </w:t>
      </w:r>
      <w:r>
        <w:rPr>
          <w:w w:val="105"/>
        </w:rPr>
        <w:t>Կողմերի</w:t>
      </w:r>
      <w:r>
        <w:rPr>
          <w:spacing w:val="-7"/>
          <w:w w:val="105"/>
        </w:rPr>
        <w:t> </w:t>
      </w:r>
      <w:r>
        <w:rPr>
          <w:w w:val="105"/>
        </w:rPr>
        <w:t>և Հովանավորի կողմից ստորագրելու պահից և հանդիսանում է Շրջանակային Համաձայնագրի անբաժանելի</w:t>
      </w:r>
      <w:r>
        <w:rPr>
          <w:spacing w:val="-3"/>
          <w:w w:val="105"/>
        </w:rPr>
        <w:t> </w:t>
      </w:r>
      <w:r>
        <w:rPr>
          <w:w w:val="105"/>
        </w:rPr>
        <w:t>մասը:</w:t>
      </w:r>
    </w:p>
    <w:p>
      <w:pPr>
        <w:spacing w:after="0" w:line="340" w:lineRule="auto"/>
        <w:jc w:val="both"/>
        <w:sectPr>
          <w:type w:val="continuous"/>
          <w:pgSz w:w="11910" w:h="16840"/>
          <w:pgMar w:top="860" w:bottom="280" w:left="1100" w:right="200"/>
          <w:cols w:num="2" w:equalWidth="0">
            <w:col w:w="4396" w:space="40"/>
            <w:col w:w="6174"/>
          </w:cols>
        </w:sectPr>
      </w:pPr>
    </w:p>
    <w:p>
      <w:pPr>
        <w:pStyle w:val="BodyText"/>
        <w:spacing w:before="7"/>
        <w:rPr>
          <w:sz w:val="23"/>
        </w:rPr>
      </w:pPr>
    </w:p>
    <w:p>
      <w:pPr>
        <w:spacing w:after="0"/>
        <w:rPr>
          <w:sz w:val="23"/>
        </w:rPr>
        <w:sectPr>
          <w:type w:val="continuous"/>
          <w:pgSz w:w="11910" w:h="16840"/>
          <w:pgMar w:top="860" w:bottom="280" w:left="1100" w:right="200"/>
        </w:sectPr>
      </w:pPr>
    </w:p>
    <w:p>
      <w:pPr>
        <w:pStyle w:val="BodyText"/>
        <w:spacing w:line="340" w:lineRule="auto" w:before="92"/>
        <w:ind w:left="447"/>
        <w:jc w:val="both"/>
      </w:pPr>
      <w:r>
        <w:rPr>
          <w:w w:val="105"/>
        </w:rPr>
        <w:t>IN </w:t>
      </w:r>
      <w:r>
        <w:rPr>
          <w:spacing w:val="-4"/>
          <w:w w:val="105"/>
        </w:rPr>
        <w:t>WITNESS </w:t>
      </w:r>
      <w:r>
        <w:rPr>
          <w:spacing w:val="-3"/>
          <w:w w:val="105"/>
        </w:rPr>
        <w:t>WHEREOF, </w:t>
      </w:r>
      <w:r>
        <w:rPr>
          <w:w w:val="105"/>
        </w:rPr>
        <w:t>the Parties and the</w:t>
      </w:r>
      <w:r>
        <w:rPr>
          <w:spacing w:val="-7"/>
          <w:w w:val="105"/>
        </w:rPr>
        <w:t> </w:t>
      </w:r>
      <w:r>
        <w:rPr>
          <w:w w:val="105"/>
        </w:rPr>
        <w:t>Sponsor,</w:t>
      </w:r>
      <w:r>
        <w:rPr>
          <w:spacing w:val="-8"/>
          <w:w w:val="105"/>
        </w:rPr>
        <w:t> </w:t>
      </w:r>
      <w:r>
        <w:rPr>
          <w:w w:val="105"/>
        </w:rPr>
        <w:t>intending</w:t>
      </w:r>
      <w:r>
        <w:rPr>
          <w:spacing w:val="-7"/>
          <w:w w:val="105"/>
        </w:rPr>
        <w:t> </w:t>
      </w:r>
      <w:r>
        <w:rPr>
          <w:w w:val="105"/>
        </w:rPr>
        <w:t>to</w:t>
      </w:r>
      <w:r>
        <w:rPr>
          <w:spacing w:val="-10"/>
          <w:w w:val="105"/>
        </w:rPr>
        <w:t> </w:t>
      </w:r>
      <w:r>
        <w:rPr>
          <w:w w:val="105"/>
        </w:rPr>
        <w:t>be</w:t>
      </w:r>
      <w:r>
        <w:rPr>
          <w:spacing w:val="-9"/>
          <w:w w:val="105"/>
        </w:rPr>
        <w:t> </w:t>
      </w:r>
      <w:r>
        <w:rPr>
          <w:w w:val="105"/>
        </w:rPr>
        <w:t>legally</w:t>
      </w:r>
      <w:r>
        <w:rPr>
          <w:spacing w:val="-6"/>
          <w:w w:val="105"/>
        </w:rPr>
        <w:t> </w:t>
      </w:r>
      <w:r>
        <w:rPr>
          <w:w w:val="105"/>
        </w:rPr>
        <w:t>bound, have caused this Agreement to be duly executed on the dates indicated next to their signatures below by their duly authorised</w:t>
      </w:r>
      <w:r>
        <w:rPr>
          <w:spacing w:val="-3"/>
          <w:w w:val="105"/>
        </w:rPr>
        <w:t> </w:t>
      </w:r>
      <w:r>
        <w:rPr>
          <w:w w:val="105"/>
        </w:rPr>
        <w:t>representatives:</w:t>
      </w:r>
    </w:p>
    <w:p>
      <w:pPr>
        <w:pStyle w:val="BodyText"/>
        <w:tabs>
          <w:tab w:pos="617" w:val="left" w:leader="none"/>
          <w:tab w:pos="2424" w:val="left" w:leader="none"/>
          <w:tab w:pos="4206" w:val="left" w:leader="none"/>
          <w:tab w:pos="5411" w:val="left" w:leader="none"/>
        </w:tabs>
        <w:spacing w:before="92"/>
        <w:ind w:left="172"/>
      </w:pPr>
      <w:r>
        <w:rPr/>
        <w:br w:type="column"/>
      </w:r>
      <w:r>
        <w:rPr/>
        <w:t>Ի</w:t>
        <w:tab/>
      </w:r>
      <w:r>
        <w:rPr>
          <w:spacing w:val="-4"/>
        </w:rPr>
        <w:t>ՀԱՍՏԱՏՈՒՄՆ</w:t>
        <w:tab/>
        <w:t>ՎԵՐՈԳՐՅԱԼԻ</w:t>
        <w:tab/>
      </w:r>
      <w:r>
        <w:rPr/>
        <w:t>Կողմերը</w:t>
        <w:tab/>
        <w:t>և</w:t>
      </w:r>
    </w:p>
    <w:p>
      <w:pPr>
        <w:pStyle w:val="BodyText"/>
        <w:spacing w:line="340" w:lineRule="auto" w:before="107"/>
        <w:ind w:left="172" w:right="632"/>
        <w:jc w:val="both"/>
      </w:pPr>
      <w:r>
        <w:rPr>
          <w:w w:val="105"/>
        </w:rPr>
        <w:t>Հովանավորը, մտադրված լինելով իրավաբանորեն պարտավորվել, ապահովեցին սույն Համաձայնագրի պատշաճ ստորագրումն իրենց պատշաճ լիազորված ներկայացուցիչների միջոցով՝ ստորև դրված ստորագրությունների կողքին նշված ամսաթվերին.</w:t>
      </w:r>
    </w:p>
    <w:p>
      <w:pPr>
        <w:spacing w:after="0" w:line="340" w:lineRule="auto"/>
        <w:jc w:val="both"/>
        <w:sectPr>
          <w:type w:val="continuous"/>
          <w:pgSz w:w="11910" w:h="16840"/>
          <w:pgMar w:top="860" w:bottom="280" w:left="1100" w:right="200"/>
          <w:cols w:num="2" w:equalWidth="0">
            <w:col w:w="4393" w:space="40"/>
            <w:col w:w="6177"/>
          </w:cols>
        </w:sectPr>
      </w:pPr>
    </w:p>
    <w:p>
      <w:pPr>
        <w:pStyle w:val="BodyText"/>
        <w:spacing w:before="7"/>
        <w:rPr>
          <w:sz w:val="16"/>
        </w:rPr>
      </w:pPr>
    </w:p>
    <w:p>
      <w:pPr>
        <w:pStyle w:val="Heading2"/>
        <w:tabs>
          <w:tab w:pos="5606" w:val="left" w:leader="none"/>
        </w:tabs>
        <w:ind w:left="1311"/>
        <w:rPr>
          <w:i/>
        </w:rPr>
      </w:pPr>
      <w:r>
        <w:rPr>
          <w:i/>
        </w:rPr>
        <w:t>[Signature</w:t>
      </w:r>
      <w:r>
        <w:rPr>
          <w:i/>
          <w:spacing w:val="-24"/>
        </w:rPr>
        <w:t> </w:t>
      </w:r>
      <w:r>
        <w:rPr>
          <w:i/>
        </w:rPr>
        <w:t>pages</w:t>
      </w:r>
      <w:r>
        <w:rPr>
          <w:i/>
          <w:spacing w:val="-24"/>
        </w:rPr>
        <w:t> </w:t>
      </w:r>
      <w:r>
        <w:rPr>
          <w:i/>
        </w:rPr>
        <w:t>follow]</w:t>
        <w:tab/>
      </w:r>
      <w:r>
        <w:rPr>
          <w:i/>
          <w:w w:val="105"/>
        </w:rPr>
        <w:t>[Ստորագրման էջերը՝</w:t>
      </w:r>
      <w:r>
        <w:rPr>
          <w:i/>
          <w:spacing w:val="-17"/>
          <w:w w:val="105"/>
        </w:rPr>
        <w:t> </w:t>
      </w:r>
      <w:r>
        <w:rPr>
          <w:i/>
          <w:w w:val="105"/>
        </w:rPr>
        <w:t>հաջորդիվ]</w:t>
      </w:r>
    </w:p>
    <w:p>
      <w:pPr>
        <w:spacing w:after="0"/>
        <w:sectPr>
          <w:type w:val="continuous"/>
          <w:pgSz w:w="11910" w:h="16840"/>
          <w:pgMar w:top="860" w:bottom="280" w:left="1100" w:right="200"/>
        </w:sectPr>
      </w:pPr>
    </w:p>
    <w:p>
      <w:pPr>
        <w:pStyle w:val="BodyText"/>
        <w:rPr>
          <w:i/>
          <w:sz w:val="20"/>
        </w:rPr>
      </w:pPr>
    </w:p>
    <w:p>
      <w:pPr>
        <w:spacing w:after="0"/>
        <w:rPr>
          <w:sz w:val="20"/>
        </w:rPr>
        <w:sectPr>
          <w:pgSz w:w="11910" w:h="16840"/>
          <w:pgMar w:header="0" w:footer="1569" w:top="1580" w:bottom="1760" w:left="1100" w:right="200"/>
        </w:sectPr>
      </w:pPr>
    </w:p>
    <w:p>
      <w:pPr>
        <w:pStyle w:val="BodyText"/>
        <w:spacing w:before="4"/>
        <w:rPr>
          <w:i/>
          <w:sz w:val="20"/>
        </w:rPr>
      </w:pPr>
    </w:p>
    <w:p>
      <w:pPr>
        <w:pStyle w:val="BodyText"/>
        <w:ind w:left="447"/>
      </w:pPr>
      <w:r>
        <w:rPr/>
        <w:t>SIGNED by the GOVERNMENT OF THE</w:t>
      </w:r>
    </w:p>
    <w:p>
      <w:pPr>
        <w:pStyle w:val="BodyText"/>
        <w:spacing w:line="340" w:lineRule="auto" w:before="107"/>
        <w:ind w:left="447"/>
      </w:pPr>
      <w:r>
        <w:rPr/>
        <w:t>REPUBLIC OF ARMENIA (acting on behalf of the REPUBLIC OF ARMENIA)</w:t>
      </w:r>
    </w:p>
    <w:p>
      <w:pPr>
        <w:pStyle w:val="BodyText"/>
        <w:spacing w:before="4"/>
        <w:rPr>
          <w:sz w:val="20"/>
        </w:rPr>
      </w:pPr>
      <w:r>
        <w:rPr/>
        <w:br w:type="column"/>
      </w:r>
      <w:r>
        <w:rPr>
          <w:sz w:val="20"/>
        </w:rPr>
      </w:r>
    </w:p>
    <w:p>
      <w:pPr>
        <w:pStyle w:val="BodyText"/>
        <w:ind w:left="172"/>
      </w:pPr>
      <w:r>
        <w:rPr/>
        <w:t>ՍՏՈՐԱԳՐՎԵԼ է ՀԱՅԱՍՏԱՆԻ ՀԱՆՐԱՊԵՏՈՒԹՅԱՆ</w:t>
      </w:r>
    </w:p>
    <w:p>
      <w:pPr>
        <w:pStyle w:val="BodyText"/>
        <w:tabs>
          <w:tab w:pos="2543" w:val="left" w:leader="none"/>
          <w:tab w:pos="3734" w:val="left" w:leader="none"/>
          <w:tab w:pos="4447" w:val="left" w:leader="none"/>
          <w:tab w:pos="5521" w:val="left" w:leader="none"/>
        </w:tabs>
        <w:spacing w:line="340" w:lineRule="auto" w:before="107"/>
        <w:ind w:left="172" w:right="635"/>
      </w:pPr>
      <w:r>
        <w:rPr>
          <w:spacing w:val="-4"/>
        </w:rPr>
        <w:t>ԿԱՌԱՎԱՐՈՒԹՅԱՆ</w:t>
        <w:tab/>
      </w:r>
      <w:r>
        <w:rPr>
          <w:spacing w:val="-3"/>
        </w:rPr>
        <w:t>ԿՈՂՄԻՑ</w:t>
        <w:tab/>
      </w:r>
      <w:r>
        <w:rPr/>
        <w:t>(որը</w:t>
        <w:tab/>
        <w:t>գործում</w:t>
        <w:tab/>
        <w:t>է </w:t>
      </w:r>
      <w:r>
        <w:rPr>
          <w:spacing w:val="-4"/>
        </w:rPr>
        <w:t>ՀԱՅԱՍՏԱՆԻ ՀԱՆՐԱՊԵՏՈՒԹՅԱՆ</w:t>
      </w:r>
      <w:r>
        <w:rPr>
          <w:spacing w:val="-6"/>
        </w:rPr>
        <w:t> </w:t>
      </w:r>
      <w:r>
        <w:rPr/>
        <w:t>անունից)</w:t>
      </w:r>
    </w:p>
    <w:p>
      <w:pPr>
        <w:spacing w:after="0" w:line="340" w:lineRule="auto"/>
        <w:sectPr>
          <w:type w:val="continuous"/>
          <w:pgSz w:w="11910" w:h="16840"/>
          <w:pgMar w:top="860" w:bottom="280" w:left="1100" w:right="200"/>
          <w:cols w:num="2" w:equalWidth="0">
            <w:col w:w="4304" w:space="40"/>
            <w:col w:w="6266"/>
          </w:cols>
        </w:sect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BodyText"/>
        <w:tabs>
          <w:tab w:pos="1359" w:val="left" w:leader="none"/>
        </w:tabs>
        <w:spacing w:line="340" w:lineRule="auto" w:before="92"/>
        <w:ind w:left="1360" w:right="1956" w:hanging="912"/>
      </w:pPr>
      <w:r>
        <w:rPr>
          <w:w w:val="105"/>
        </w:rPr>
        <w:t>By:</w:t>
        <w:tab/>
        <w:t>Gnel Sanosyan, Minister of Territorial Administration and Infrastructure of</w:t>
      </w:r>
      <w:r>
        <w:rPr>
          <w:spacing w:val="-37"/>
          <w:w w:val="105"/>
        </w:rPr>
        <w:t> </w:t>
      </w:r>
      <w:r>
        <w:rPr>
          <w:w w:val="105"/>
        </w:rPr>
        <w:t>the Republic of Armenia, as an authorised</w:t>
      </w:r>
      <w:r>
        <w:rPr>
          <w:spacing w:val="-23"/>
          <w:w w:val="105"/>
        </w:rPr>
        <w:t> </w:t>
      </w:r>
      <w:r>
        <w:rPr>
          <w:w w:val="105"/>
        </w:rPr>
        <w:t>representative</w:t>
      </w:r>
    </w:p>
    <w:p>
      <w:pPr>
        <w:pStyle w:val="BodyText"/>
        <w:spacing w:line="340" w:lineRule="auto" w:before="1"/>
        <w:ind w:left="1360" w:right="1372"/>
      </w:pPr>
      <w:r>
        <w:rPr>
          <w:w w:val="105"/>
        </w:rPr>
        <w:t>Հայաստանի Հանրապետության տարածքային կառավարման և ենթակառուցվածքների նախարար Գնել Սանոսյանի կողմից՝ որպես լիազորված ներկայացուցիչ</w:t>
      </w:r>
    </w:p>
    <w:p>
      <w:pPr>
        <w:pStyle w:val="BodyText"/>
        <w:spacing w:before="6"/>
        <w:rPr>
          <w:sz w:val="23"/>
        </w:rPr>
      </w:pPr>
    </w:p>
    <w:p>
      <w:pPr>
        <w:spacing w:after="0"/>
        <w:rPr>
          <w:sz w:val="23"/>
        </w:rPr>
        <w:sectPr>
          <w:type w:val="continuous"/>
          <w:pgSz w:w="11910" w:h="16840"/>
          <w:pgMar w:top="860" w:bottom="280" w:left="1100" w:right="200"/>
        </w:sectPr>
      </w:pPr>
    </w:p>
    <w:p>
      <w:pPr>
        <w:pStyle w:val="BodyText"/>
        <w:spacing w:line="340" w:lineRule="auto" w:before="92"/>
        <w:ind w:left="447"/>
      </w:pPr>
      <w:r>
        <w:rPr>
          <w:w w:val="105"/>
        </w:rPr>
        <w:t>Signature: </w:t>
      </w:r>
      <w:r>
        <w:rPr/>
        <w:t>Ստորագրություն.</w:t>
      </w:r>
    </w:p>
    <w:p>
      <w:pPr>
        <w:pStyle w:val="BodyText"/>
        <w:spacing w:line="340" w:lineRule="auto" w:before="92"/>
        <w:ind w:left="447" w:right="3448"/>
      </w:pPr>
      <w:r>
        <w:rPr/>
        <w:br w:type="column"/>
      </w:r>
      <w:r>
        <w:rPr>
          <w:w w:val="105"/>
        </w:rPr>
        <w:t>Date: Ամսաթիվ.</w:t>
      </w:r>
    </w:p>
    <w:p>
      <w:pPr>
        <w:spacing w:after="0" w:line="340" w:lineRule="auto"/>
        <w:sectPr>
          <w:type w:val="continuous"/>
          <w:pgSz w:w="11910" w:h="16840"/>
          <w:pgMar w:top="860" w:bottom="280" w:left="1100" w:right="200"/>
          <w:cols w:num="2" w:equalWidth="0">
            <w:col w:w="2293" w:space="2903"/>
            <w:col w:w="5414"/>
          </w:cols>
        </w:sectPr>
      </w:pPr>
    </w:p>
    <w:p>
      <w:pPr>
        <w:pStyle w:val="BodyText"/>
        <w:rPr>
          <w:sz w:val="20"/>
        </w:rPr>
      </w:pPr>
    </w:p>
    <w:p>
      <w:pPr>
        <w:pStyle w:val="BodyText"/>
        <w:spacing w:before="8"/>
        <w:rPr>
          <w:sz w:val="28"/>
        </w:rPr>
      </w:pPr>
    </w:p>
    <w:p>
      <w:pPr>
        <w:pStyle w:val="BodyText"/>
        <w:tabs>
          <w:tab w:pos="4515" w:val="left" w:leader="none"/>
        </w:tabs>
        <w:spacing w:before="91"/>
        <w:ind w:left="447"/>
      </w:pPr>
      <w:r>
        <w:rPr>
          <w:spacing w:val="1"/>
        </w:rPr>
        <w:t>SIGNED  </w:t>
      </w:r>
      <w:r>
        <w:rPr>
          <w:spacing w:val="2"/>
        </w:rPr>
        <w:t>by</w:t>
      </w:r>
      <w:r>
        <w:rPr>
          <w:spacing w:val="-27"/>
        </w:rPr>
        <w:t> </w:t>
      </w:r>
      <w:r>
        <w:rPr/>
        <w:t>ARMPOWER</w:t>
      </w:r>
      <w:r>
        <w:rPr>
          <w:spacing w:val="5"/>
        </w:rPr>
        <w:t> </w:t>
      </w:r>
      <w:r>
        <w:rPr>
          <w:spacing w:val="1"/>
        </w:rPr>
        <w:t>CJSC</w:t>
        <w:tab/>
      </w:r>
      <w:r>
        <w:rPr>
          <w:spacing w:val="-4"/>
        </w:rPr>
        <w:t>ՍՏՈՐԱԳՐՎԵԼ </w:t>
      </w:r>
      <w:r>
        <w:rPr/>
        <w:t>է </w:t>
      </w:r>
      <w:r>
        <w:rPr>
          <w:spacing w:val="-4"/>
        </w:rPr>
        <w:t>«ԱՐՄՓԱՈՒԵՐ» </w:t>
      </w:r>
      <w:r>
        <w:rPr/>
        <w:t>ՓԲԸ-Ի</w:t>
      </w:r>
      <w:r>
        <w:rPr>
          <w:spacing w:val="-17"/>
        </w:rPr>
        <w:t> </w:t>
      </w:r>
      <w:r>
        <w:rPr>
          <w:spacing w:val="-4"/>
        </w:rPr>
        <w:t>ԿՈՂՄԻՑ</w:t>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1910" w:h="16840"/>
          <w:pgMar w:header="0" w:footer="1569" w:top="1580" w:bottom="1760" w:left="1100" w:right="200"/>
        </w:sectPr>
      </w:pPr>
    </w:p>
    <w:p>
      <w:pPr>
        <w:pStyle w:val="BodyText"/>
        <w:spacing w:before="3"/>
        <w:rPr>
          <w:sz w:val="23"/>
        </w:rPr>
      </w:pPr>
    </w:p>
    <w:p>
      <w:pPr>
        <w:pStyle w:val="BodyText"/>
        <w:tabs>
          <w:tab w:pos="1339" w:val="left" w:leader="none"/>
        </w:tabs>
        <w:spacing w:line="340" w:lineRule="auto"/>
        <w:ind w:left="1340" w:right="38" w:hanging="893"/>
      </w:pPr>
      <w:r>
        <w:rPr>
          <w:w w:val="105"/>
        </w:rPr>
        <w:t>By:</w:t>
        <w:tab/>
        <w:t>Francesco Giustozzi Ֆրանչեսկո</w:t>
      </w:r>
      <w:r>
        <w:rPr>
          <w:spacing w:val="-21"/>
          <w:w w:val="105"/>
        </w:rPr>
        <w:t> </w:t>
      </w:r>
      <w:r>
        <w:rPr>
          <w:w w:val="105"/>
        </w:rPr>
        <w:t>Ջիուստոցցի</w:t>
      </w:r>
    </w:p>
    <w:p>
      <w:pPr>
        <w:pStyle w:val="BodyText"/>
        <w:spacing w:before="3"/>
        <w:rPr>
          <w:sz w:val="23"/>
        </w:rPr>
      </w:pPr>
      <w:r>
        <w:rPr/>
        <w:br w:type="column"/>
      </w:r>
      <w:r>
        <w:rPr>
          <w:sz w:val="23"/>
        </w:rPr>
      </w:r>
    </w:p>
    <w:p>
      <w:pPr>
        <w:pStyle w:val="BodyText"/>
        <w:spacing w:line="340" w:lineRule="auto"/>
        <w:ind w:left="447" w:right="2414"/>
      </w:pPr>
      <w:r>
        <w:rPr>
          <w:w w:val="105"/>
        </w:rPr>
        <w:t>as Chief Executive Officer կողմից՝ որպես գլխավոր գործադիր տնօրեն</w:t>
      </w:r>
    </w:p>
    <w:p>
      <w:pPr>
        <w:spacing w:after="0" w:line="340" w:lineRule="auto"/>
        <w:sectPr>
          <w:type w:val="continuous"/>
          <w:pgSz w:w="11910" w:h="16840"/>
          <w:pgMar w:top="860" w:bottom="280" w:left="1100" w:right="200"/>
          <w:cols w:num="2" w:equalWidth="0">
            <w:col w:w="3835" w:space="1424"/>
            <w:col w:w="5351"/>
          </w:cols>
        </w:sectPr>
      </w:pPr>
    </w:p>
    <w:p>
      <w:pPr>
        <w:pStyle w:val="BodyText"/>
        <w:rPr>
          <w:sz w:val="20"/>
        </w:rPr>
      </w:pPr>
    </w:p>
    <w:p>
      <w:pPr>
        <w:pStyle w:val="BodyText"/>
        <w:rPr>
          <w:sz w:val="20"/>
        </w:rPr>
      </w:pPr>
    </w:p>
    <w:p>
      <w:pPr>
        <w:pStyle w:val="BodyText"/>
        <w:spacing w:before="8"/>
        <w:rPr>
          <w:sz w:val="12"/>
        </w:rPr>
      </w:pPr>
    </w:p>
    <w:p>
      <w:pPr>
        <w:pStyle w:val="BodyText"/>
        <w:spacing w:line="20" w:lineRule="exact"/>
        <w:ind w:left="1335"/>
        <w:rPr>
          <w:sz w:val="2"/>
        </w:rPr>
      </w:pPr>
      <w:r>
        <w:rPr>
          <w:sz w:val="2"/>
        </w:rPr>
        <w:pict>
          <v:group style="width:176.1pt;height:.45pt;mso-position-horizontal-relative:char;mso-position-vertical-relative:line" coordorigin="0,0" coordsize="3522,9">
            <v:line style="position:absolute" from="0,4" to="3522,4" stroked="true" strokeweight=".441618pt" strokecolor="#000000">
              <v:stroke dashstyle="solid"/>
            </v:line>
          </v:group>
        </w:pict>
      </w:r>
      <w:r>
        <w:rPr>
          <w:sz w:val="2"/>
        </w:rPr>
      </w:r>
    </w:p>
    <w:p>
      <w:pPr>
        <w:pStyle w:val="BodyText"/>
        <w:rPr>
          <w:sz w:val="20"/>
        </w:rPr>
      </w:pPr>
    </w:p>
    <w:p>
      <w:pPr>
        <w:spacing w:after="0"/>
        <w:rPr>
          <w:sz w:val="20"/>
        </w:rPr>
        <w:sectPr>
          <w:type w:val="continuous"/>
          <w:pgSz w:w="11910" w:h="16840"/>
          <w:pgMar w:top="860" w:bottom="280" w:left="1100" w:right="200"/>
        </w:sectPr>
      </w:pPr>
    </w:p>
    <w:p>
      <w:pPr>
        <w:pStyle w:val="BodyText"/>
        <w:spacing w:before="7"/>
        <w:rPr>
          <w:sz w:val="19"/>
        </w:rPr>
      </w:pPr>
    </w:p>
    <w:p>
      <w:pPr>
        <w:pStyle w:val="BodyText"/>
        <w:spacing w:line="340" w:lineRule="auto" w:before="1"/>
        <w:ind w:left="447"/>
      </w:pPr>
      <w:r>
        <w:rPr>
          <w:w w:val="105"/>
        </w:rPr>
        <w:t>Signature: </w:t>
      </w:r>
      <w:r>
        <w:rPr/>
        <w:t>Ստորագրություն.</w:t>
      </w:r>
    </w:p>
    <w:p>
      <w:pPr>
        <w:pStyle w:val="BodyText"/>
        <w:spacing w:before="7"/>
        <w:rPr>
          <w:sz w:val="19"/>
        </w:rPr>
      </w:pPr>
      <w:r>
        <w:rPr/>
        <w:br w:type="column"/>
      </w:r>
      <w:r>
        <w:rPr>
          <w:sz w:val="19"/>
        </w:rPr>
      </w:r>
    </w:p>
    <w:p>
      <w:pPr>
        <w:pStyle w:val="BodyText"/>
        <w:spacing w:line="340" w:lineRule="auto" w:before="1"/>
        <w:ind w:left="447" w:right="3385"/>
      </w:pPr>
      <w:r>
        <w:rPr>
          <w:w w:val="105"/>
        </w:rPr>
        <w:t>Date: Ամսաթիվ.</w:t>
      </w:r>
    </w:p>
    <w:p>
      <w:pPr>
        <w:spacing w:after="0" w:line="340" w:lineRule="auto"/>
        <w:sectPr>
          <w:type w:val="continuous"/>
          <w:pgSz w:w="11910" w:h="16840"/>
          <w:pgMar w:top="860" w:bottom="280" w:left="1100" w:right="200"/>
          <w:cols w:num="2" w:equalWidth="0">
            <w:col w:w="2293" w:space="2966"/>
            <w:col w:w="535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p>
    <w:p>
      <w:pPr>
        <w:spacing w:after="0"/>
        <w:rPr>
          <w:sz w:val="28"/>
        </w:rPr>
        <w:sectPr>
          <w:type w:val="continuous"/>
          <w:pgSz w:w="11910" w:h="16840"/>
          <w:pgMar w:top="860" w:bottom="280" w:left="1100" w:right="200"/>
        </w:sectPr>
      </w:pPr>
    </w:p>
    <w:p>
      <w:pPr>
        <w:pStyle w:val="BodyText"/>
        <w:tabs>
          <w:tab w:pos="1339" w:val="left" w:leader="none"/>
        </w:tabs>
        <w:spacing w:line="340" w:lineRule="auto" w:before="91"/>
        <w:ind w:left="1340" w:right="38" w:hanging="893"/>
      </w:pPr>
      <w:r>
        <w:rPr>
          <w:w w:val="105"/>
        </w:rPr>
        <w:t>By:</w:t>
        <w:tab/>
        <w:t>Ruben Gyozalyan Ռուբեն</w:t>
      </w:r>
      <w:r>
        <w:rPr>
          <w:spacing w:val="-16"/>
          <w:w w:val="105"/>
        </w:rPr>
        <w:t> </w:t>
      </w:r>
      <w:r>
        <w:rPr>
          <w:w w:val="105"/>
        </w:rPr>
        <w:t>Գյոզալյան</w:t>
      </w:r>
    </w:p>
    <w:p>
      <w:pPr>
        <w:pStyle w:val="BodyText"/>
        <w:spacing w:line="340" w:lineRule="auto" w:before="91"/>
        <w:ind w:left="447" w:right="1749"/>
      </w:pPr>
      <w:r>
        <w:rPr/>
        <w:br w:type="column"/>
      </w:r>
      <w:r>
        <w:rPr>
          <w:w w:val="105"/>
        </w:rPr>
        <w:t>as Chief Financial Officer կողմից՝ որպես ֆինանսական տնօրեն</w:t>
      </w:r>
    </w:p>
    <w:p>
      <w:pPr>
        <w:spacing w:after="0" w:line="340" w:lineRule="auto"/>
        <w:sectPr>
          <w:type w:val="continuous"/>
          <w:pgSz w:w="11910" w:h="16840"/>
          <w:pgMar w:top="860" w:bottom="280" w:left="1100" w:right="200"/>
          <w:cols w:num="2" w:equalWidth="0">
            <w:col w:w="3242" w:space="2016"/>
            <w:col w:w="5352"/>
          </w:cols>
        </w:sectPr>
      </w:pPr>
    </w:p>
    <w:p>
      <w:pPr>
        <w:pStyle w:val="BodyText"/>
        <w:spacing w:before="5"/>
        <w:rPr>
          <w:sz w:val="21"/>
        </w:rPr>
      </w:pPr>
    </w:p>
    <w:p>
      <w:pPr>
        <w:pStyle w:val="BodyText"/>
        <w:spacing w:line="20" w:lineRule="exact"/>
        <w:ind w:left="1335"/>
        <w:rPr>
          <w:sz w:val="2"/>
        </w:rPr>
      </w:pPr>
      <w:r>
        <w:rPr>
          <w:sz w:val="2"/>
        </w:rPr>
        <w:pict>
          <v:group style="width:176.1pt;height:.45pt;mso-position-horizontal-relative:char;mso-position-vertical-relative:line" coordorigin="0,0" coordsize="3522,9">
            <v:line style="position:absolute" from="0,4" to="3522,4" stroked="true" strokeweight=".441618pt" strokecolor="#000000">
              <v:stroke dashstyle="solid"/>
            </v:line>
          </v:group>
        </w:pict>
      </w:r>
      <w:r>
        <w:rPr>
          <w:sz w:val="2"/>
        </w:rPr>
      </w:r>
    </w:p>
    <w:p>
      <w:pPr>
        <w:pStyle w:val="BodyText"/>
        <w:rPr>
          <w:sz w:val="20"/>
        </w:rPr>
      </w:pPr>
    </w:p>
    <w:p>
      <w:pPr>
        <w:spacing w:after="0"/>
        <w:rPr>
          <w:sz w:val="20"/>
        </w:rPr>
        <w:sectPr>
          <w:type w:val="continuous"/>
          <w:pgSz w:w="11910" w:h="16840"/>
          <w:pgMar w:top="860" w:bottom="280" w:left="1100" w:right="200"/>
        </w:sectPr>
      </w:pPr>
    </w:p>
    <w:p>
      <w:pPr>
        <w:pStyle w:val="BodyText"/>
        <w:spacing w:before="7"/>
        <w:rPr>
          <w:sz w:val="19"/>
        </w:rPr>
      </w:pPr>
    </w:p>
    <w:p>
      <w:pPr>
        <w:pStyle w:val="BodyText"/>
        <w:spacing w:line="340" w:lineRule="auto" w:before="1"/>
        <w:ind w:left="447"/>
      </w:pPr>
      <w:r>
        <w:rPr>
          <w:w w:val="105"/>
        </w:rPr>
        <w:t>Signature: </w:t>
      </w:r>
      <w:r>
        <w:rPr/>
        <w:t>Ստորագրություն.</w:t>
      </w:r>
    </w:p>
    <w:p>
      <w:pPr>
        <w:pStyle w:val="BodyText"/>
        <w:spacing w:before="7"/>
        <w:rPr>
          <w:sz w:val="19"/>
        </w:rPr>
      </w:pPr>
      <w:r>
        <w:rPr/>
        <w:br w:type="column"/>
      </w:r>
      <w:r>
        <w:rPr>
          <w:sz w:val="19"/>
        </w:rPr>
      </w:r>
    </w:p>
    <w:p>
      <w:pPr>
        <w:pStyle w:val="BodyText"/>
        <w:spacing w:line="340" w:lineRule="auto" w:before="1"/>
        <w:ind w:left="447" w:right="3385"/>
      </w:pPr>
      <w:r>
        <w:rPr>
          <w:w w:val="105"/>
        </w:rPr>
        <w:t>Date: Ամսաթիվ.</w:t>
      </w:r>
    </w:p>
    <w:p>
      <w:pPr>
        <w:spacing w:after="0" w:line="340" w:lineRule="auto"/>
        <w:sectPr>
          <w:type w:val="continuous"/>
          <w:pgSz w:w="11910" w:h="16840"/>
          <w:pgMar w:top="860" w:bottom="280" w:left="1100" w:right="200"/>
          <w:cols w:num="2" w:equalWidth="0">
            <w:col w:w="2293" w:space="2966"/>
            <w:col w:w="5351"/>
          </w:cols>
        </w:sectPr>
      </w:pPr>
    </w:p>
    <w:p>
      <w:pPr>
        <w:pStyle w:val="BodyText"/>
        <w:tabs>
          <w:tab w:pos="4515" w:val="left" w:leader="none"/>
        </w:tabs>
        <w:spacing w:before="71"/>
        <w:ind w:left="448"/>
      </w:pPr>
      <w:r>
        <w:rPr>
          <w:spacing w:val="1"/>
        </w:rPr>
        <w:t>SIGNED  </w:t>
      </w:r>
      <w:r>
        <w:rPr>
          <w:spacing w:val="2"/>
        </w:rPr>
        <w:t>by</w:t>
      </w:r>
      <w:r>
        <w:rPr>
          <w:spacing w:val="-28"/>
        </w:rPr>
        <w:t> </w:t>
      </w:r>
      <w:r>
        <w:rPr/>
        <w:t>RENCO</w:t>
      </w:r>
      <w:r>
        <w:rPr>
          <w:spacing w:val="3"/>
        </w:rPr>
        <w:t> </w:t>
      </w:r>
      <w:r>
        <w:rPr>
          <w:spacing w:val="2"/>
        </w:rPr>
        <w:t>S.p.A</w:t>
        <w:tab/>
      </w:r>
      <w:r>
        <w:rPr>
          <w:spacing w:val="-4"/>
        </w:rPr>
        <w:t>ՍՏՈՐԱԳՐՎԵԼ </w:t>
      </w:r>
      <w:r>
        <w:rPr/>
        <w:t>է </w:t>
      </w:r>
      <w:r>
        <w:rPr>
          <w:spacing w:val="-4"/>
        </w:rPr>
        <w:t>«ՌԵՆԿՈ» </w:t>
      </w:r>
      <w:r>
        <w:rPr>
          <w:spacing w:val="-3"/>
        </w:rPr>
        <w:t>Ս.Պ.Ա-Ի</w:t>
      </w:r>
      <w:r>
        <w:rPr>
          <w:spacing w:val="-8"/>
        </w:rPr>
        <w:t> </w:t>
      </w:r>
      <w:r>
        <w:rPr>
          <w:spacing w:val="-4"/>
        </w:rPr>
        <w:t>ԿՈՂՄԻՑ</w:t>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footerReference w:type="default" r:id="rId6"/>
          <w:pgSz w:w="11910" w:h="16840"/>
          <w:pgMar w:footer="0" w:header="0" w:top="1440" w:bottom="280" w:left="1100" w:right="200"/>
        </w:sectPr>
      </w:pPr>
    </w:p>
    <w:p>
      <w:pPr>
        <w:pStyle w:val="BodyText"/>
        <w:spacing w:before="3"/>
        <w:rPr>
          <w:sz w:val="23"/>
        </w:rPr>
      </w:pPr>
    </w:p>
    <w:p>
      <w:pPr>
        <w:pStyle w:val="BodyText"/>
        <w:tabs>
          <w:tab w:pos="1342" w:val="left" w:leader="none"/>
        </w:tabs>
        <w:spacing w:line="340" w:lineRule="auto"/>
        <w:ind w:left="1343" w:right="38" w:hanging="896"/>
      </w:pPr>
      <w:r>
        <w:rPr>
          <w:w w:val="105"/>
        </w:rPr>
        <w:t>By:</w:t>
        <w:tab/>
        <w:t>Giovanni Rubini Ջիովաննի</w:t>
      </w:r>
      <w:r>
        <w:rPr>
          <w:spacing w:val="-6"/>
          <w:w w:val="105"/>
        </w:rPr>
        <w:t> </w:t>
      </w:r>
      <w:r>
        <w:rPr>
          <w:w w:val="105"/>
        </w:rPr>
        <w:t>Ռուբինի</w:t>
      </w:r>
    </w:p>
    <w:p>
      <w:pPr>
        <w:pStyle w:val="BodyText"/>
        <w:spacing w:before="3"/>
        <w:rPr>
          <w:sz w:val="23"/>
        </w:rPr>
      </w:pPr>
      <w:r>
        <w:rPr/>
        <w:br w:type="column"/>
      </w:r>
      <w:r>
        <w:rPr>
          <w:sz w:val="23"/>
        </w:rPr>
      </w:r>
    </w:p>
    <w:p>
      <w:pPr>
        <w:pStyle w:val="BodyText"/>
        <w:spacing w:line="340" w:lineRule="auto"/>
        <w:ind w:left="447" w:right="2407"/>
      </w:pPr>
      <w:r>
        <w:rPr>
          <w:w w:val="105"/>
        </w:rPr>
        <w:t>as Chief Executive Officer կողմից՝ որպես գլխավոր գործադիր տնօրեն</w:t>
      </w:r>
    </w:p>
    <w:p>
      <w:pPr>
        <w:spacing w:after="0" w:line="340" w:lineRule="auto"/>
        <w:sectPr>
          <w:type w:val="continuous"/>
          <w:pgSz w:w="11910" w:h="16840"/>
          <w:pgMar w:top="860" w:bottom="280" w:left="1100" w:right="200"/>
          <w:cols w:num="2" w:equalWidth="0">
            <w:col w:w="3370" w:space="1896"/>
            <w:col w:w="5344"/>
          </w:cols>
        </w:sectPr>
      </w:pPr>
    </w:p>
    <w:p>
      <w:pPr>
        <w:pStyle w:val="BodyText"/>
        <w:spacing w:before="4"/>
        <w:rPr>
          <w:sz w:val="21"/>
        </w:rPr>
      </w:pPr>
    </w:p>
    <w:p>
      <w:pPr>
        <w:pStyle w:val="BodyText"/>
        <w:spacing w:line="20" w:lineRule="exact"/>
        <w:ind w:left="1338"/>
        <w:rPr>
          <w:sz w:val="2"/>
        </w:rPr>
      </w:pPr>
      <w:r>
        <w:rPr>
          <w:sz w:val="2"/>
        </w:rPr>
        <w:pict>
          <v:group style="width:176.1pt;height:.45pt;mso-position-horizontal-relative:char;mso-position-vertical-relative:line" coordorigin="0,0" coordsize="3522,9">
            <v:line style="position:absolute" from="0,4" to="3522,4" stroked="true" strokeweight=".44163pt" strokecolor="#000000">
              <v:stroke dashstyle="solid"/>
            </v:line>
          </v:group>
        </w:pict>
      </w:r>
      <w:r>
        <w:rPr>
          <w:sz w:val="2"/>
        </w:rPr>
      </w:r>
    </w:p>
    <w:p>
      <w:pPr>
        <w:pStyle w:val="BodyText"/>
        <w:rPr>
          <w:sz w:val="20"/>
        </w:rPr>
      </w:pPr>
    </w:p>
    <w:p>
      <w:pPr>
        <w:spacing w:after="0"/>
        <w:rPr>
          <w:sz w:val="20"/>
        </w:rPr>
        <w:sectPr>
          <w:type w:val="continuous"/>
          <w:pgSz w:w="11910" w:h="16840"/>
          <w:pgMar w:top="860" w:bottom="280" w:left="1100" w:right="200"/>
        </w:sectPr>
      </w:pPr>
    </w:p>
    <w:p>
      <w:pPr>
        <w:pStyle w:val="BodyText"/>
        <w:spacing w:before="7"/>
        <w:rPr>
          <w:sz w:val="19"/>
        </w:rPr>
      </w:pPr>
    </w:p>
    <w:p>
      <w:pPr>
        <w:pStyle w:val="BodyText"/>
        <w:spacing w:line="340" w:lineRule="auto" w:before="1"/>
        <w:ind w:left="447"/>
      </w:pPr>
      <w:r>
        <w:rPr>
          <w:w w:val="105"/>
        </w:rPr>
        <w:t>Signature: </w:t>
      </w:r>
      <w:r>
        <w:rPr/>
        <w:t>Ստորագրություն.</w:t>
      </w:r>
    </w:p>
    <w:p>
      <w:pPr>
        <w:pStyle w:val="BodyText"/>
        <w:spacing w:before="7"/>
        <w:rPr>
          <w:sz w:val="19"/>
        </w:rPr>
      </w:pPr>
      <w:r>
        <w:rPr/>
        <w:br w:type="column"/>
      </w:r>
      <w:r>
        <w:rPr>
          <w:sz w:val="19"/>
        </w:rPr>
      </w:r>
    </w:p>
    <w:p>
      <w:pPr>
        <w:pStyle w:val="BodyText"/>
        <w:spacing w:line="340" w:lineRule="auto" w:before="1"/>
        <w:ind w:left="447" w:right="3379"/>
      </w:pPr>
      <w:r>
        <w:rPr>
          <w:w w:val="105"/>
        </w:rPr>
        <w:t>Date: Ամսաթիվ.</w:t>
      </w:r>
    </w:p>
    <w:p>
      <w:pPr>
        <w:spacing w:after="0" w:line="340" w:lineRule="auto"/>
        <w:sectPr>
          <w:type w:val="continuous"/>
          <w:pgSz w:w="11910" w:h="16840"/>
          <w:pgMar w:top="860" w:bottom="280" w:left="1100" w:right="200"/>
          <w:cols w:num="2" w:equalWidth="0">
            <w:col w:w="2292" w:space="2973"/>
            <w:col w:w="534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280" w:lineRule="auto" w:before="215"/>
        <w:ind w:right="4480" w:hanging="134"/>
      </w:pPr>
      <w:r>
        <w:rPr>
          <w:w w:val="105"/>
        </w:rPr>
        <w:t>ՀԱՅԱՍՏԱՆԻ ՀԱՆՐԱՊԵՏՈՒԹՅԱՆ ՎԱՐՉԱՊԵՏԻ ԱՇԽԱՏԱԿԱԶՄԻ</w:t>
      </w:r>
    </w:p>
    <w:p>
      <w:pPr>
        <w:tabs>
          <w:tab w:pos="6702" w:val="left" w:leader="none"/>
        </w:tabs>
        <w:spacing w:before="5"/>
        <w:ind w:left="1545" w:right="0" w:firstLine="0"/>
        <w:jc w:val="left"/>
        <w:rPr>
          <w:sz w:val="24"/>
          <w:szCs w:val="24"/>
        </w:rPr>
      </w:pPr>
      <w:r>
        <w:rPr>
          <w:w w:val="105"/>
          <w:sz w:val="24"/>
          <w:szCs w:val="24"/>
        </w:rPr>
        <w:t>ՂԵԿԱՎԱՐ</w:t>
        <w:tab/>
        <w:t>Ա.</w:t>
      </w:r>
      <w:r>
        <w:rPr>
          <w:spacing w:val="3"/>
          <w:w w:val="105"/>
          <w:sz w:val="24"/>
          <w:szCs w:val="24"/>
        </w:rPr>
        <w:t> </w:t>
      </w:r>
      <w:r>
        <w:rPr>
          <w:w w:val="105"/>
          <w:sz w:val="24"/>
          <w:szCs w:val="24"/>
        </w:rPr>
        <w:t>ՀԱՐՈՒԹՅՈՒՆՅԱՆ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spacing w:before="91"/>
        <w:ind w:left="0" w:right="1237" w:firstLine="0"/>
        <w:jc w:val="right"/>
        <w:rPr>
          <w:sz w:val="20"/>
        </w:rPr>
      </w:pPr>
      <w:r>
        <w:rPr>
          <w:w w:val="110"/>
          <w:sz w:val="20"/>
        </w:rPr>
        <w:t>8</w:t>
      </w:r>
    </w:p>
    <w:p>
      <w:pPr>
        <w:pStyle w:val="BodyText"/>
        <w:spacing w:before="11"/>
        <w:rPr>
          <w:sz w:val="18"/>
        </w:rPr>
      </w:pPr>
    </w:p>
    <w:p>
      <w:pPr>
        <w:spacing w:before="94"/>
        <w:ind w:left="0" w:right="761" w:firstLine="0"/>
        <w:jc w:val="right"/>
        <w:rPr>
          <w:rFonts w:ascii="Arial"/>
          <w:sz w:val="18"/>
        </w:rPr>
      </w:pPr>
      <w:r>
        <w:rPr/>
        <w:drawing>
          <wp:anchor distT="0" distB="0" distL="0" distR="0" allowOverlap="1" layoutInCell="1" locked="0" behindDoc="0" simplePos="0" relativeHeight="1096">
            <wp:simplePos x="0" y="0"/>
            <wp:positionH relativeFrom="page">
              <wp:posOffset>6197964</wp:posOffset>
            </wp:positionH>
            <wp:positionV relativeFrom="paragraph">
              <wp:posOffset>231725</wp:posOffset>
            </wp:positionV>
            <wp:extent cx="957330" cy="30670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957330" cy="306705"/>
                    </a:xfrm>
                    <a:prstGeom prst="rect">
                      <a:avLst/>
                    </a:prstGeom>
                  </pic:spPr>
                </pic:pic>
              </a:graphicData>
            </a:graphic>
          </wp:anchor>
        </w:drawing>
      </w:r>
      <w:r>
        <w:rPr>
          <w:rFonts w:ascii="Arial"/>
          <w:w w:val="95"/>
          <w:sz w:val="18"/>
        </w:rPr>
        <w:t>17.06.2022</w:t>
      </w:r>
    </w:p>
    <w:sectPr>
      <w:type w:val="continuous"/>
      <w:pgSz w:w="11910" w:h="16840"/>
      <w:pgMar w:top="860" w:bottom="280" w:left="110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5.799988pt;margin-top:752.484192pt;width:9.550pt;height:13.05pt;mso-position-horizontal-relative:page;mso-position-vertical-relative:page;z-index:-10504" type="#_x0000_t202" filled="false" stroked="false">
          <v:textbox inset="0,0,0,0">
            <w:txbxContent>
              <w:p>
                <w:pPr>
                  <w:spacing w:before="10"/>
                  <w:ind w:left="40" w:right="0" w:firstLine="0"/>
                  <w:jc w:val="left"/>
                  <w:rPr>
                    <w:sz w:val="20"/>
                  </w:rPr>
                </w:pPr>
                <w:r>
                  <w:rPr/>
                  <w:fldChar w:fldCharType="begin"/>
                </w:r>
                <w:r>
                  <w:rPr>
                    <w:w w:val="110"/>
                    <w:sz w:val="20"/>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73" w:hanging="720"/>
        <w:jc w:val="right"/>
      </w:pPr>
      <w:rPr>
        <w:rFonts w:hint="default"/>
      </w:rPr>
    </w:lvl>
    <w:lvl w:ilvl="1">
      <w:start w:val="1"/>
      <w:numFmt w:val="decimal"/>
      <w:lvlText w:val="%1.%2."/>
      <w:lvlJc w:val="left"/>
      <w:pPr>
        <w:ind w:left="173" w:hanging="720"/>
        <w:jc w:val="right"/>
      </w:pPr>
      <w:rPr>
        <w:rFonts w:hint="default" w:ascii="Times New Roman" w:hAnsi="Times New Roman" w:eastAsia="Times New Roman" w:cs="Times New Roman"/>
        <w:w w:val="100"/>
        <w:sz w:val="22"/>
        <w:szCs w:val="22"/>
      </w:rPr>
    </w:lvl>
    <w:lvl w:ilvl="2">
      <w:start w:val="1"/>
      <w:numFmt w:val="lowerLetter"/>
      <w:lvlText w:val="(%3)"/>
      <w:lvlJc w:val="left"/>
      <w:pPr>
        <w:ind w:left="808" w:hanging="360"/>
        <w:jc w:val="left"/>
      </w:pPr>
      <w:rPr>
        <w:rFonts w:hint="default" w:ascii="Times New Roman" w:hAnsi="Times New Roman" w:eastAsia="Times New Roman" w:cs="Times New Roman"/>
        <w:w w:val="98"/>
        <w:sz w:val="22"/>
        <w:szCs w:val="22"/>
      </w:rPr>
    </w:lvl>
    <w:lvl w:ilvl="3">
      <w:start w:val="0"/>
      <w:numFmt w:val="bullet"/>
      <w:lvlText w:val="•"/>
      <w:lvlJc w:val="left"/>
      <w:pPr>
        <w:ind w:left="613" w:hanging="360"/>
      </w:pPr>
      <w:rPr>
        <w:rFonts w:hint="default"/>
      </w:rPr>
    </w:lvl>
    <w:lvl w:ilvl="4">
      <w:start w:val="0"/>
      <w:numFmt w:val="bullet"/>
      <w:lvlText w:val="•"/>
      <w:lvlJc w:val="left"/>
      <w:pPr>
        <w:ind w:left="520" w:hanging="360"/>
      </w:pPr>
      <w:rPr>
        <w:rFonts w:hint="default"/>
      </w:rPr>
    </w:lvl>
    <w:lvl w:ilvl="5">
      <w:start w:val="0"/>
      <w:numFmt w:val="bullet"/>
      <w:lvlText w:val="•"/>
      <w:lvlJc w:val="left"/>
      <w:pPr>
        <w:ind w:left="427" w:hanging="360"/>
      </w:pPr>
      <w:rPr>
        <w:rFonts w:hint="default"/>
      </w:rPr>
    </w:lvl>
    <w:lvl w:ilvl="6">
      <w:start w:val="0"/>
      <w:numFmt w:val="bullet"/>
      <w:lvlText w:val="•"/>
      <w:lvlJc w:val="left"/>
      <w:pPr>
        <w:ind w:left="334" w:hanging="360"/>
      </w:pPr>
      <w:rPr>
        <w:rFonts w:hint="default"/>
      </w:rPr>
    </w:lvl>
    <w:lvl w:ilvl="7">
      <w:start w:val="0"/>
      <w:numFmt w:val="bullet"/>
      <w:lvlText w:val="•"/>
      <w:lvlJc w:val="left"/>
      <w:pPr>
        <w:ind w:left="241" w:hanging="360"/>
      </w:pPr>
      <w:rPr>
        <w:rFonts w:hint="default"/>
      </w:rPr>
    </w:lvl>
    <w:lvl w:ilvl="8">
      <w:start w:val="0"/>
      <w:numFmt w:val="bullet"/>
      <w:lvlText w:val="•"/>
      <w:lvlJc w:val="left"/>
      <w:pPr>
        <w:ind w:left="148" w:hanging="360"/>
      </w:pPr>
      <w:rPr>
        <w:rFonts w:hint="default"/>
      </w:rPr>
    </w:lvl>
  </w:abstractNum>
  <w:abstractNum w:abstractNumId="4">
    <w:multiLevelType w:val="hybridMultilevel"/>
    <w:lvl w:ilvl="0">
      <w:start w:val="3"/>
      <w:numFmt w:val="upperLetter"/>
      <w:lvlText w:val="(%1)"/>
      <w:lvlJc w:val="left"/>
      <w:pPr>
        <w:ind w:left="170" w:hanging="721"/>
        <w:jc w:val="left"/>
      </w:pPr>
      <w:rPr>
        <w:rFonts w:hint="default" w:ascii="Times New Roman" w:hAnsi="Times New Roman" w:eastAsia="Times New Roman" w:cs="Times New Roman"/>
        <w:w w:val="97"/>
        <w:sz w:val="22"/>
        <w:szCs w:val="22"/>
      </w:rPr>
    </w:lvl>
    <w:lvl w:ilvl="1">
      <w:start w:val="1"/>
      <w:numFmt w:val="decimal"/>
      <w:lvlText w:val="%2"/>
      <w:lvlJc w:val="left"/>
      <w:pPr>
        <w:ind w:left="1156" w:hanging="708"/>
        <w:jc w:val="left"/>
      </w:pPr>
      <w:rPr>
        <w:rFonts w:hint="default" w:ascii="Times New Roman" w:hAnsi="Times New Roman" w:eastAsia="Times New Roman" w:cs="Times New Roman"/>
        <w:w w:val="100"/>
        <w:sz w:val="22"/>
        <w:szCs w:val="22"/>
      </w:rPr>
    </w:lvl>
    <w:lvl w:ilvl="2">
      <w:start w:val="1"/>
      <w:numFmt w:val="decimal"/>
      <w:lvlText w:val="%2.%3."/>
      <w:lvlJc w:val="left"/>
      <w:pPr>
        <w:ind w:left="448" w:hanging="720"/>
        <w:jc w:val="left"/>
      </w:pPr>
      <w:rPr>
        <w:rFonts w:hint="default" w:ascii="Times New Roman" w:hAnsi="Times New Roman" w:eastAsia="Times New Roman" w:cs="Times New Roman"/>
        <w:w w:val="100"/>
        <w:sz w:val="22"/>
        <w:szCs w:val="22"/>
      </w:rPr>
    </w:lvl>
    <w:lvl w:ilvl="3">
      <w:start w:val="0"/>
      <w:numFmt w:val="bullet"/>
      <w:lvlText w:val="•"/>
      <w:lvlJc w:val="left"/>
      <w:pPr>
        <w:ind w:left="1009" w:hanging="720"/>
      </w:pPr>
      <w:rPr>
        <w:rFonts w:hint="default"/>
      </w:rPr>
    </w:lvl>
    <w:lvl w:ilvl="4">
      <w:start w:val="0"/>
      <w:numFmt w:val="bullet"/>
      <w:lvlText w:val="•"/>
      <w:lvlJc w:val="left"/>
      <w:pPr>
        <w:ind w:left="859" w:hanging="720"/>
      </w:pPr>
      <w:rPr>
        <w:rFonts w:hint="default"/>
      </w:rPr>
    </w:lvl>
    <w:lvl w:ilvl="5">
      <w:start w:val="0"/>
      <w:numFmt w:val="bullet"/>
      <w:lvlText w:val="•"/>
      <w:lvlJc w:val="left"/>
      <w:pPr>
        <w:ind w:left="708" w:hanging="720"/>
      </w:pPr>
      <w:rPr>
        <w:rFonts w:hint="default"/>
      </w:rPr>
    </w:lvl>
    <w:lvl w:ilvl="6">
      <w:start w:val="0"/>
      <w:numFmt w:val="bullet"/>
      <w:lvlText w:val="•"/>
      <w:lvlJc w:val="left"/>
      <w:pPr>
        <w:ind w:left="558" w:hanging="720"/>
      </w:pPr>
      <w:rPr>
        <w:rFonts w:hint="default"/>
      </w:rPr>
    </w:lvl>
    <w:lvl w:ilvl="7">
      <w:start w:val="0"/>
      <w:numFmt w:val="bullet"/>
      <w:lvlText w:val="•"/>
      <w:lvlJc w:val="left"/>
      <w:pPr>
        <w:ind w:left="408" w:hanging="720"/>
      </w:pPr>
      <w:rPr>
        <w:rFonts w:hint="default"/>
      </w:rPr>
    </w:lvl>
    <w:lvl w:ilvl="8">
      <w:start w:val="0"/>
      <w:numFmt w:val="bullet"/>
      <w:lvlText w:val="•"/>
      <w:lvlJc w:val="left"/>
      <w:pPr>
        <w:ind w:left="257" w:hanging="720"/>
      </w:pPr>
      <w:rPr>
        <w:rFonts w:hint="default"/>
      </w:rPr>
    </w:lvl>
  </w:abstractNum>
  <w:abstractNum w:abstractNumId="3">
    <w:multiLevelType w:val="hybridMultilevel"/>
    <w:lvl w:ilvl="0">
      <w:start w:val="2"/>
      <w:numFmt w:val="upperLetter"/>
      <w:lvlText w:val="(%1)"/>
      <w:lvlJc w:val="left"/>
      <w:pPr>
        <w:ind w:left="171" w:hanging="720"/>
        <w:jc w:val="right"/>
      </w:pPr>
      <w:rPr>
        <w:rFonts w:hint="default" w:ascii="Times New Roman" w:hAnsi="Times New Roman" w:eastAsia="Times New Roman" w:cs="Times New Roman"/>
        <w:w w:val="90"/>
        <w:sz w:val="22"/>
        <w:szCs w:val="22"/>
      </w:rPr>
    </w:lvl>
    <w:lvl w:ilvl="1">
      <w:start w:val="0"/>
      <w:numFmt w:val="bullet"/>
      <w:lvlText w:val="•"/>
      <w:lvlJc w:val="left"/>
      <w:pPr>
        <w:ind w:left="779" w:hanging="720"/>
      </w:pPr>
      <w:rPr>
        <w:rFonts w:hint="default"/>
      </w:rPr>
    </w:lvl>
    <w:lvl w:ilvl="2">
      <w:start w:val="0"/>
      <w:numFmt w:val="bullet"/>
      <w:lvlText w:val="•"/>
      <w:lvlJc w:val="left"/>
      <w:pPr>
        <w:ind w:left="1378" w:hanging="720"/>
      </w:pPr>
      <w:rPr>
        <w:rFonts w:hint="default"/>
      </w:rPr>
    </w:lvl>
    <w:lvl w:ilvl="3">
      <w:start w:val="0"/>
      <w:numFmt w:val="bullet"/>
      <w:lvlText w:val="•"/>
      <w:lvlJc w:val="left"/>
      <w:pPr>
        <w:ind w:left="1977" w:hanging="720"/>
      </w:pPr>
      <w:rPr>
        <w:rFonts w:hint="default"/>
      </w:rPr>
    </w:lvl>
    <w:lvl w:ilvl="4">
      <w:start w:val="0"/>
      <w:numFmt w:val="bullet"/>
      <w:lvlText w:val="•"/>
      <w:lvlJc w:val="left"/>
      <w:pPr>
        <w:ind w:left="2577" w:hanging="720"/>
      </w:pPr>
      <w:rPr>
        <w:rFonts w:hint="default"/>
      </w:rPr>
    </w:lvl>
    <w:lvl w:ilvl="5">
      <w:start w:val="0"/>
      <w:numFmt w:val="bullet"/>
      <w:lvlText w:val="•"/>
      <w:lvlJc w:val="left"/>
      <w:pPr>
        <w:ind w:left="3176" w:hanging="720"/>
      </w:pPr>
      <w:rPr>
        <w:rFonts w:hint="default"/>
      </w:rPr>
    </w:lvl>
    <w:lvl w:ilvl="6">
      <w:start w:val="0"/>
      <w:numFmt w:val="bullet"/>
      <w:lvlText w:val="•"/>
      <w:lvlJc w:val="left"/>
      <w:pPr>
        <w:ind w:left="3775" w:hanging="720"/>
      </w:pPr>
      <w:rPr>
        <w:rFonts w:hint="default"/>
      </w:rPr>
    </w:lvl>
    <w:lvl w:ilvl="7">
      <w:start w:val="0"/>
      <w:numFmt w:val="bullet"/>
      <w:lvlText w:val="•"/>
      <w:lvlJc w:val="left"/>
      <w:pPr>
        <w:ind w:left="4374" w:hanging="720"/>
      </w:pPr>
      <w:rPr>
        <w:rFonts w:hint="default"/>
      </w:rPr>
    </w:lvl>
    <w:lvl w:ilvl="8">
      <w:start w:val="0"/>
      <w:numFmt w:val="bullet"/>
      <w:lvlText w:val="•"/>
      <w:lvlJc w:val="left"/>
      <w:pPr>
        <w:ind w:left="4974" w:hanging="720"/>
      </w:pPr>
      <w:rPr>
        <w:rFonts w:hint="default"/>
      </w:rPr>
    </w:lvl>
  </w:abstractNum>
  <w:abstractNum w:abstractNumId="2">
    <w:multiLevelType w:val="hybridMultilevel"/>
    <w:lvl w:ilvl="0">
      <w:start w:val="3"/>
      <w:numFmt w:val="decimal"/>
      <w:lvlText w:val="(%1)"/>
      <w:lvlJc w:val="left"/>
      <w:pPr>
        <w:ind w:left="630" w:hanging="459"/>
        <w:jc w:val="left"/>
      </w:pPr>
      <w:rPr>
        <w:rFonts w:hint="default" w:ascii="Times New Roman" w:hAnsi="Times New Roman" w:eastAsia="Times New Roman" w:cs="Times New Roman"/>
        <w:w w:val="98"/>
        <w:sz w:val="22"/>
        <w:szCs w:val="22"/>
      </w:rPr>
    </w:lvl>
    <w:lvl w:ilvl="1">
      <w:start w:val="1"/>
      <w:numFmt w:val="upperLetter"/>
      <w:lvlText w:val="(%2)"/>
      <w:lvlJc w:val="left"/>
      <w:pPr>
        <w:ind w:left="448" w:hanging="720"/>
        <w:jc w:val="left"/>
      </w:pPr>
      <w:rPr>
        <w:rFonts w:hint="default" w:ascii="Times New Roman" w:hAnsi="Times New Roman" w:eastAsia="Times New Roman" w:cs="Times New Roman"/>
        <w:w w:val="98"/>
        <w:sz w:val="22"/>
        <w:szCs w:val="22"/>
      </w:rPr>
    </w:lvl>
    <w:lvl w:ilvl="2">
      <w:start w:val="0"/>
      <w:numFmt w:val="bullet"/>
      <w:lvlText w:val="•"/>
      <w:lvlJc w:val="left"/>
      <w:pPr>
        <w:ind w:left="564" w:hanging="720"/>
      </w:pPr>
      <w:rPr>
        <w:rFonts w:hint="default"/>
      </w:rPr>
    </w:lvl>
    <w:lvl w:ilvl="3">
      <w:start w:val="0"/>
      <w:numFmt w:val="bullet"/>
      <w:lvlText w:val="•"/>
      <w:lvlJc w:val="left"/>
      <w:pPr>
        <w:ind w:left="489" w:hanging="720"/>
      </w:pPr>
      <w:rPr>
        <w:rFonts w:hint="default"/>
      </w:rPr>
    </w:lvl>
    <w:lvl w:ilvl="4">
      <w:start w:val="0"/>
      <w:numFmt w:val="bullet"/>
      <w:lvlText w:val="•"/>
      <w:lvlJc w:val="left"/>
      <w:pPr>
        <w:ind w:left="413" w:hanging="720"/>
      </w:pPr>
      <w:rPr>
        <w:rFonts w:hint="default"/>
      </w:rPr>
    </w:lvl>
    <w:lvl w:ilvl="5">
      <w:start w:val="0"/>
      <w:numFmt w:val="bullet"/>
      <w:lvlText w:val="•"/>
      <w:lvlJc w:val="left"/>
      <w:pPr>
        <w:ind w:left="338" w:hanging="720"/>
      </w:pPr>
      <w:rPr>
        <w:rFonts w:hint="default"/>
      </w:rPr>
    </w:lvl>
    <w:lvl w:ilvl="6">
      <w:start w:val="0"/>
      <w:numFmt w:val="bullet"/>
      <w:lvlText w:val="•"/>
      <w:lvlJc w:val="left"/>
      <w:pPr>
        <w:ind w:left="263" w:hanging="720"/>
      </w:pPr>
      <w:rPr>
        <w:rFonts w:hint="default"/>
      </w:rPr>
    </w:lvl>
    <w:lvl w:ilvl="7">
      <w:start w:val="0"/>
      <w:numFmt w:val="bullet"/>
      <w:lvlText w:val="•"/>
      <w:lvlJc w:val="left"/>
      <w:pPr>
        <w:ind w:left="187" w:hanging="720"/>
      </w:pPr>
      <w:rPr>
        <w:rFonts w:hint="default"/>
      </w:rPr>
    </w:lvl>
    <w:lvl w:ilvl="8">
      <w:start w:val="0"/>
      <w:numFmt w:val="bullet"/>
      <w:lvlText w:val="•"/>
      <w:lvlJc w:val="left"/>
      <w:pPr>
        <w:ind w:left="112" w:hanging="720"/>
      </w:pPr>
      <w:rPr>
        <w:rFonts w:hint="default"/>
      </w:rPr>
    </w:lvl>
  </w:abstractNum>
  <w:abstractNum w:abstractNumId="1">
    <w:multiLevelType w:val="hybridMultilevel"/>
    <w:lvl w:ilvl="0">
      <w:start w:val="2"/>
      <w:numFmt w:val="decimal"/>
      <w:lvlText w:val="(%1)"/>
      <w:lvlJc w:val="left"/>
      <w:pPr>
        <w:ind w:left="628" w:hanging="459"/>
        <w:jc w:val="right"/>
      </w:pPr>
      <w:rPr>
        <w:rFonts w:hint="default" w:ascii="Times New Roman" w:hAnsi="Times New Roman" w:eastAsia="Times New Roman" w:cs="Times New Roman"/>
        <w:w w:val="98"/>
        <w:sz w:val="22"/>
        <w:szCs w:val="22"/>
      </w:rPr>
    </w:lvl>
    <w:lvl w:ilvl="1">
      <w:start w:val="0"/>
      <w:numFmt w:val="bullet"/>
      <w:lvlText w:val="•"/>
      <w:lvlJc w:val="left"/>
      <w:pPr>
        <w:ind w:left="800" w:hanging="459"/>
      </w:pPr>
      <w:rPr>
        <w:rFonts w:hint="default"/>
      </w:rPr>
    </w:lvl>
    <w:lvl w:ilvl="2">
      <w:start w:val="0"/>
      <w:numFmt w:val="bullet"/>
      <w:lvlText w:val="•"/>
      <w:lvlJc w:val="left"/>
      <w:pPr>
        <w:ind w:left="706" w:hanging="459"/>
      </w:pPr>
      <w:rPr>
        <w:rFonts w:hint="default"/>
      </w:rPr>
    </w:lvl>
    <w:lvl w:ilvl="3">
      <w:start w:val="0"/>
      <w:numFmt w:val="bullet"/>
      <w:lvlText w:val="•"/>
      <w:lvlJc w:val="left"/>
      <w:pPr>
        <w:ind w:left="613" w:hanging="459"/>
      </w:pPr>
      <w:rPr>
        <w:rFonts w:hint="default"/>
      </w:rPr>
    </w:lvl>
    <w:lvl w:ilvl="4">
      <w:start w:val="0"/>
      <w:numFmt w:val="bullet"/>
      <w:lvlText w:val="•"/>
      <w:lvlJc w:val="left"/>
      <w:pPr>
        <w:ind w:left="519" w:hanging="459"/>
      </w:pPr>
      <w:rPr>
        <w:rFonts w:hint="default"/>
      </w:rPr>
    </w:lvl>
    <w:lvl w:ilvl="5">
      <w:start w:val="0"/>
      <w:numFmt w:val="bullet"/>
      <w:lvlText w:val="•"/>
      <w:lvlJc w:val="left"/>
      <w:pPr>
        <w:ind w:left="426" w:hanging="459"/>
      </w:pPr>
      <w:rPr>
        <w:rFonts w:hint="default"/>
      </w:rPr>
    </w:lvl>
    <w:lvl w:ilvl="6">
      <w:start w:val="0"/>
      <w:numFmt w:val="bullet"/>
      <w:lvlText w:val="•"/>
      <w:lvlJc w:val="left"/>
      <w:pPr>
        <w:ind w:left="332" w:hanging="459"/>
      </w:pPr>
      <w:rPr>
        <w:rFonts w:hint="default"/>
      </w:rPr>
    </w:lvl>
    <w:lvl w:ilvl="7">
      <w:start w:val="0"/>
      <w:numFmt w:val="bullet"/>
      <w:lvlText w:val="•"/>
      <w:lvlJc w:val="left"/>
      <w:pPr>
        <w:ind w:left="239" w:hanging="459"/>
      </w:pPr>
      <w:rPr>
        <w:rFonts w:hint="default"/>
      </w:rPr>
    </w:lvl>
    <w:lvl w:ilvl="8">
      <w:start w:val="0"/>
      <w:numFmt w:val="bullet"/>
      <w:lvlText w:val="•"/>
      <w:lvlJc w:val="left"/>
      <w:pPr>
        <w:ind w:left="145" w:hanging="459"/>
      </w:pPr>
      <w:rPr>
        <w:rFonts w:hint="default"/>
      </w:rPr>
    </w:lvl>
  </w:abstractNum>
  <w:abstractNum w:abstractNumId="0">
    <w:multiLevelType w:val="hybridMultilevel"/>
    <w:lvl w:ilvl="0">
      <w:start w:val="1"/>
      <w:numFmt w:val="decimal"/>
      <w:lvlText w:val="(%1)"/>
      <w:lvlJc w:val="left"/>
      <w:pPr>
        <w:ind w:left="628" w:hanging="459"/>
        <w:jc w:val="right"/>
      </w:pPr>
      <w:rPr>
        <w:rFonts w:hint="default" w:ascii="Times New Roman" w:hAnsi="Times New Roman" w:eastAsia="Times New Roman" w:cs="Times New Roman"/>
        <w:w w:val="98"/>
        <w:sz w:val="22"/>
        <w:szCs w:val="22"/>
      </w:rPr>
    </w:lvl>
    <w:lvl w:ilvl="1">
      <w:start w:val="0"/>
      <w:numFmt w:val="bullet"/>
      <w:lvlText w:val="•"/>
      <w:lvlJc w:val="left"/>
      <w:pPr>
        <w:ind w:left="1175" w:hanging="459"/>
      </w:pPr>
      <w:rPr>
        <w:rFonts w:hint="default"/>
      </w:rPr>
    </w:lvl>
    <w:lvl w:ilvl="2">
      <w:start w:val="0"/>
      <w:numFmt w:val="bullet"/>
      <w:lvlText w:val="•"/>
      <w:lvlJc w:val="left"/>
      <w:pPr>
        <w:ind w:left="1730" w:hanging="459"/>
      </w:pPr>
      <w:rPr>
        <w:rFonts w:hint="default"/>
      </w:rPr>
    </w:lvl>
    <w:lvl w:ilvl="3">
      <w:start w:val="0"/>
      <w:numFmt w:val="bullet"/>
      <w:lvlText w:val="•"/>
      <w:lvlJc w:val="left"/>
      <w:pPr>
        <w:ind w:left="2285" w:hanging="459"/>
      </w:pPr>
      <w:rPr>
        <w:rFonts w:hint="default"/>
      </w:rPr>
    </w:lvl>
    <w:lvl w:ilvl="4">
      <w:start w:val="0"/>
      <w:numFmt w:val="bullet"/>
      <w:lvlText w:val="•"/>
      <w:lvlJc w:val="left"/>
      <w:pPr>
        <w:ind w:left="2840" w:hanging="459"/>
      </w:pPr>
      <w:rPr>
        <w:rFonts w:hint="default"/>
      </w:rPr>
    </w:lvl>
    <w:lvl w:ilvl="5">
      <w:start w:val="0"/>
      <w:numFmt w:val="bullet"/>
      <w:lvlText w:val="•"/>
      <w:lvlJc w:val="left"/>
      <w:pPr>
        <w:ind w:left="3396" w:hanging="459"/>
      </w:pPr>
      <w:rPr>
        <w:rFonts w:hint="default"/>
      </w:rPr>
    </w:lvl>
    <w:lvl w:ilvl="6">
      <w:start w:val="0"/>
      <w:numFmt w:val="bullet"/>
      <w:lvlText w:val="•"/>
      <w:lvlJc w:val="left"/>
      <w:pPr>
        <w:ind w:left="3951" w:hanging="459"/>
      </w:pPr>
      <w:rPr>
        <w:rFonts w:hint="default"/>
      </w:rPr>
    </w:lvl>
    <w:lvl w:ilvl="7">
      <w:start w:val="0"/>
      <w:numFmt w:val="bullet"/>
      <w:lvlText w:val="•"/>
      <w:lvlJc w:val="left"/>
      <w:pPr>
        <w:ind w:left="4506" w:hanging="459"/>
      </w:pPr>
      <w:rPr>
        <w:rFonts w:hint="default"/>
      </w:rPr>
    </w:lvl>
    <w:lvl w:ilvl="8">
      <w:start w:val="0"/>
      <w:numFmt w:val="bullet"/>
      <w:lvlText w:val="•"/>
      <w:lvlJc w:val="left"/>
      <w:pPr>
        <w:ind w:left="5061" w:hanging="459"/>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5"/>
      <w:ind w:left="473"/>
      <w:outlineLvl w:val="1"/>
    </w:pPr>
    <w:rPr>
      <w:rFonts w:ascii="Times New Roman" w:hAnsi="Times New Roman" w:eastAsia="Times New Roman" w:cs="Times New Roman"/>
      <w:sz w:val="24"/>
      <w:szCs w:val="24"/>
    </w:rPr>
  </w:style>
  <w:style w:styleId="Heading2" w:type="paragraph">
    <w:name w:val="Heading 2"/>
    <w:basedOn w:val="Normal"/>
    <w:uiPriority w:val="1"/>
    <w:qFormat/>
    <w:pPr>
      <w:spacing w:before="94"/>
      <w:ind w:left="169"/>
      <w:outlineLvl w:val="2"/>
    </w:pPr>
    <w:rPr>
      <w:rFonts w:ascii="Times New Roman" w:hAnsi="Times New Roman" w:eastAsia="Times New Roman" w:cs="Times New Roman"/>
      <w:i/>
      <w:sz w:val="23"/>
      <w:szCs w:val="23"/>
    </w:rPr>
  </w:style>
  <w:style w:styleId="ListParagraph" w:type="paragraph">
    <w:name w:val="List Paragraph"/>
    <w:basedOn w:val="Normal"/>
    <w:uiPriority w:val="1"/>
    <w:qFormat/>
    <w:pPr>
      <w:spacing w:before="91"/>
      <w:ind w:left="44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LiannaH</dc:creator>
  <dc:title>Microsoft Word - LK-182.1</dc:title>
  <dcterms:created xsi:type="dcterms:W3CDTF">2022-06-17T10:31:10Z</dcterms:created>
  <dcterms:modified xsi:type="dcterms:W3CDTF">2022-06-17T10:31:10Z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LastSaved">
    <vt:filetime>2022-06-17T00:00:00Z</vt:filetime>
  </property>
</Properties>
</file>