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80C3" w14:textId="7752FE95" w:rsidR="0079259F" w:rsidRDefault="0079259F" w:rsidP="00FC60C0">
      <w:pPr>
        <w:spacing w:after="0" w:line="276" w:lineRule="auto"/>
        <w:rPr>
          <w:lang w:val="en-US"/>
        </w:rPr>
      </w:pPr>
    </w:p>
    <w:p w14:paraId="31DEBD4C" w14:textId="77777777" w:rsidR="0079259F" w:rsidRDefault="0079259F" w:rsidP="00FC60C0">
      <w:pPr>
        <w:spacing w:after="0" w:line="276" w:lineRule="auto"/>
      </w:pPr>
    </w:p>
    <w:sdt>
      <w:sdtPr>
        <w:id w:val="289711386"/>
        <w:docPartObj>
          <w:docPartGallery w:val="Cover Pages"/>
          <w:docPartUnique/>
        </w:docPartObj>
      </w:sdtPr>
      <w:sdtEndPr/>
      <w:sdtContent>
        <w:p w14:paraId="2959CDA1" w14:textId="71FC7814" w:rsidR="005D72F4" w:rsidRPr="002D7DB7" w:rsidRDefault="005D72F4" w:rsidP="00FC60C0">
          <w:pPr>
            <w:spacing w:after="0" w:line="276" w:lineRule="auto"/>
          </w:pPr>
        </w:p>
        <w:p w14:paraId="4C5DA447" w14:textId="5CA42CC4" w:rsidR="000B3E97" w:rsidRPr="000B3E97" w:rsidRDefault="00F27A4C">
          <w:pPr>
            <w:pStyle w:val="mechtex"/>
            <w:ind w:left="5760"/>
            <w:jc w:val="left"/>
            <w:rPr>
              <w:rFonts w:ascii="GHEA Grapalat" w:hAnsi="GHEA Grapalat"/>
              <w:spacing w:val="-8"/>
              <w:lang w:val="hy-AM"/>
            </w:rPr>
          </w:pPr>
          <w:r w:rsidRPr="000B3E97">
            <w:rPr>
              <w:rFonts w:ascii="GHEA Grapalat" w:hAnsi="GHEA Grapalat"/>
              <w:noProof/>
              <w:lang w:val="hy-AM" w:eastAsia="hy-AM"/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559B78E7" wp14:editId="678558A6">
                    <wp:simplePos x="0" y="0"/>
                    <wp:positionH relativeFrom="column">
                      <wp:posOffset>1958975</wp:posOffset>
                    </wp:positionH>
                    <wp:positionV relativeFrom="paragraph">
                      <wp:posOffset>6548120</wp:posOffset>
                    </wp:positionV>
                    <wp:extent cx="2640965" cy="293370"/>
                    <wp:effectExtent l="0" t="0" r="27305" b="11430"/>
                    <wp:wrapSquare wrapText="bothSides"/>
                    <wp:docPr id="2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0965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93FBC9" w14:textId="4625E1BC" w:rsidR="00736CD7" w:rsidRDefault="00736CD7">
                                <w:r>
                                  <w:fldChar w:fldCharType="begin"/>
                                </w:r>
                                <w:r>
                                  <w:instrText xml:space="preserve"> TIME \@ "d MMMM, yyyy" </w:instrText>
                                </w:r>
                                <w:r>
                                  <w:fldChar w:fldCharType="separate"/>
                                </w:r>
                                <w:r w:rsidR="00827AD8">
                                  <w:rPr>
                                    <w:noProof/>
                                  </w:rPr>
                                  <w:t>3 Սեպտեմբեր, 2020</w:t>
                                </w:r>
                                <w:r>
                                  <w:fldChar w:fldCharType="end"/>
                                </w:r>
                                <w:r>
                                  <w:t>, Երևան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9B78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4.25pt;margin-top:515.6pt;width:207.95pt;height:23.1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" strokecolor="white">
                    <v:textbox>
                      <w:txbxContent>
                        <w:p w14:paraId="0E93FBC9" w14:textId="4625E1BC" w:rsidR="00736CD7" w:rsidRDefault="00736CD7">
                          <w:r>
                            <w:fldChar w:fldCharType="begin"/>
                          </w:r>
                          <w:r>
                            <w:instrText xml:space="preserve"> TIME \@ "d MMMM, yyyy" </w:instrText>
                          </w:r>
                          <w:r>
                            <w:fldChar w:fldCharType="separate"/>
                          </w:r>
                          <w:r w:rsidR="00827AD8">
                            <w:rPr>
                              <w:noProof/>
                            </w:rPr>
                            <w:t>3 Սեպտեմբեր, 2020</w:t>
                          </w:r>
                          <w:r>
                            <w:fldChar w:fldCharType="end"/>
                          </w:r>
                          <w:r>
                            <w:t>, Երևան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0B3E97">
            <w:rPr>
              <w:rFonts w:ascii="GHEA Grapalat" w:hAnsi="GHEA Grapalat"/>
              <w:noProof/>
              <w:lang w:val="hy-AM" w:eastAsia="hy-AM"/>
            </w:rPr>
            <mc:AlternateContent>
              <mc:Choice Requires="wps">
                <w:drawing>
                  <wp:anchor distT="0" distB="0" distL="182880" distR="182880" simplePos="0" relativeHeight="251655168" behindDoc="0" locked="0" layoutInCell="1" allowOverlap="1" wp14:anchorId="2959D207" wp14:editId="40C56301">
                    <wp:simplePos x="0" y="0"/>
                    <wp:positionH relativeFrom="margin">
                      <wp:posOffset>335280</wp:posOffset>
                    </wp:positionH>
                    <wp:positionV relativeFrom="page">
                      <wp:posOffset>1989455</wp:posOffset>
                    </wp:positionV>
                    <wp:extent cx="5775960" cy="2842895"/>
                    <wp:effectExtent l="0" t="0" r="15240" b="14605"/>
                    <wp:wrapSquare wrapText="bothSides"/>
                    <wp:docPr id="131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75960" cy="2842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59D232" w14:textId="77777777" w:rsidR="00736CD7" w:rsidRPr="005D72F4" w:rsidRDefault="00C33E13" w:rsidP="005D72F4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GHEA Grapalat" w:hAnsi="GHEA Grapalat"/>
                                    <w:color w:val="6076B4" w:themeColor="accent1"/>
                                    <w:sz w:val="180"/>
                                    <w:szCs w:val="180"/>
                                  </w:rPr>
                                </w:pPr>
                                <w:sdt>
                                  <w:sdtPr>
                                    <w:rPr>
                                      <w:rFonts w:ascii="GHEA Grapalat" w:hAnsi="GHEA Grapalat" w:cs="GHEA Grapalat"/>
                                      <w:color w:val="000000"/>
                                      <w:sz w:val="32"/>
                                      <w:szCs w:val="32"/>
                                    </w:rPr>
                                    <w:alias w:val="Title"/>
                                    <w:tag w:val=""/>
                                    <w:id w:val="92954658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36CD7">
                                      <w:rPr>
                                        <w:rFonts w:ascii="GHEA Grapalat" w:hAnsi="GHEA Grapalat" w:cs="GHEA Grapalat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ՌԱԶՄԱՎԱՐՈՒԹՅՈՒՆ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GHEA Grapalat" w:hAnsi="GHEA Grapalat"/>
                                    <w:color w:val="000000"/>
                                    <w:sz w:val="32"/>
                                    <w:szCs w:val="32"/>
                                  </w:rPr>
                                  <w:alias w:val="Subtitle"/>
                                  <w:tag w:val=""/>
                                  <w:id w:val="-31309940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959D233" w14:textId="77777777" w:rsidR="00736CD7" w:rsidRPr="005D72F4" w:rsidRDefault="00736CD7" w:rsidP="005D72F4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rFonts w:ascii="GHEA Grapalat" w:hAnsi="GHEA Grapalat"/>
                                        <w:caps/>
                                        <w:color w:val="31440F" w:themeColor="accent5" w:themeShade="80"/>
                                        <w:sz w:val="44"/>
                                        <w:szCs w:val="44"/>
                                      </w:rPr>
                                    </w:pPr>
                                    <w:r w:rsidRPr="005D72F4">
                                      <w:rPr>
                                        <w:rFonts w:ascii="GHEA Grapalat" w:hAnsi="GHEA Grapalat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ՓՈՔՐ ԵՎ ՄԻՋԻՆ ՁԵՌՆԱՐԿԱՏԻՐՈՒԹՅԱՆ ԶԱՐԳԱՑՄԱՆ 2020-2024 ԹՎԱԿԱՆՆԵՐԻ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HEA Grapalat" w:hAnsi="GHEA Grapalat"/>
                                    <w:caps/>
                                    <w:color w:val="63891F" w:themeColor="accent5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73860944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959D234" w14:textId="77777777" w:rsidR="00736CD7" w:rsidRPr="005D72F4" w:rsidRDefault="00736CD7" w:rsidP="005D72F4">
                                    <w:pPr>
                                      <w:pStyle w:val="NoSpacing"/>
                                      <w:spacing w:before="600" w:after="40"/>
                                      <w:jc w:val="right"/>
                                      <w:rPr>
                                        <w:rFonts w:ascii="GHEA Grapalat" w:hAnsi="GHEA Grapalat"/>
                                        <w:caps/>
                                        <w:color w:val="63891F" w:themeColor="accent5"/>
                                        <w:sz w:val="40"/>
                                        <w:szCs w:val="40"/>
                                      </w:rPr>
                                    </w:pPr>
                                    <w:r w:rsidRPr="005D72F4">
                                      <w:rPr>
                                        <w:rFonts w:ascii="GHEA Grapalat" w:hAnsi="GHEA Grapalat" w:cs="Arial"/>
                                        <w:caps/>
                                        <w:color w:val="63891F" w:themeColor="accent5"/>
                                        <w:sz w:val="28"/>
                                        <w:szCs w:val="28"/>
                                        <w:lang w:val="hy-AM"/>
                                      </w:rPr>
                                      <w:t>հհ Էկոնոմիկայի Նախարարություն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59D207" id="Text Box 131" o:spid="_x0000_s1027" type="#_x0000_t202" style="position:absolute;left:0;text-align:left;margin-left:26.4pt;margin-top:156.65pt;width:454.8pt;height:223.85pt;z-index:25165516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" filled="f" stroked="f" strokeweight=".5pt">
                    <v:path arrowok="t"/>
                    <v:textbox inset="0,0,0,0">
                      <w:txbxContent>
                        <w:p w14:paraId="2959D232" w14:textId="77777777" w:rsidR="00736CD7" w:rsidRPr="005D72F4" w:rsidRDefault="00A04105" w:rsidP="005D72F4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GHEA Grapalat" w:hAnsi="GHEA Grapalat"/>
                              <w:color w:val="6076B4" w:themeColor="accent1"/>
                              <w:sz w:val="180"/>
                              <w:szCs w:val="180"/>
                            </w:rPr>
                          </w:pPr>
                          <w:sdt>
                            <w:sdtPr>
                              <w:rPr>
                                <w:rFonts w:ascii="GHEA Grapalat" w:hAnsi="GHEA Grapalat" w:cs="GHEA Grapalat"/>
                                <w:color w:val="000000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92954658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36CD7">
                                <w:rPr>
                                  <w:rFonts w:ascii="GHEA Grapalat" w:hAnsi="GHEA Grapalat" w:cs="GHEA Grapalat"/>
                                  <w:color w:val="000000"/>
                                  <w:sz w:val="32"/>
                                  <w:szCs w:val="32"/>
                                </w:rPr>
                                <w:t>ՌԱԶՄԱՎԱՐՈՒԹՅՈՒՆ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GHEA Grapalat" w:hAnsi="GHEA Grapalat"/>
                              <w:color w:val="000000"/>
                              <w:sz w:val="32"/>
                              <w:szCs w:val="32"/>
                            </w:rPr>
                            <w:alias w:val="Subtitle"/>
                            <w:tag w:val=""/>
                            <w:id w:val="-31309940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959D233" w14:textId="77777777" w:rsidR="00736CD7" w:rsidRPr="005D72F4" w:rsidRDefault="00736CD7" w:rsidP="005D72F4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rFonts w:ascii="GHEA Grapalat" w:hAnsi="GHEA Grapalat"/>
                                  <w:caps/>
                                  <w:color w:val="31440F" w:themeColor="accent5" w:themeShade="80"/>
                                  <w:sz w:val="44"/>
                                  <w:szCs w:val="44"/>
                                </w:rPr>
                              </w:pPr>
                              <w:r w:rsidRPr="005D72F4">
                                <w:rPr>
                                  <w:rFonts w:ascii="GHEA Grapalat" w:hAnsi="GHEA Grapalat"/>
                                  <w:color w:val="000000"/>
                                  <w:sz w:val="32"/>
                                  <w:szCs w:val="32"/>
                                </w:rPr>
                                <w:t>ՓՈՔՐ ԵՎ ՄԻՋԻՆ ՁԵՌՆԱՐԿԱՏԻՐՈՒԹՅԱՆ ԶԱՐԳԱՑՄԱՆ 2020-2024 ԹՎԱԿԱՆՆԵՐԻ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GHEA Grapalat" w:hAnsi="GHEA Grapalat"/>
                              <w:caps/>
                              <w:color w:val="63891F" w:themeColor="accent5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7386094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959D234" w14:textId="77777777" w:rsidR="00736CD7" w:rsidRPr="005D72F4" w:rsidRDefault="00736CD7" w:rsidP="005D72F4">
                              <w:pPr>
                                <w:pStyle w:val="NoSpacing"/>
                                <w:spacing w:before="600" w:after="40"/>
                                <w:jc w:val="right"/>
                                <w:rPr>
                                  <w:rFonts w:ascii="GHEA Grapalat" w:hAnsi="GHEA Grapalat"/>
                                  <w:caps/>
                                  <w:color w:val="63891F" w:themeColor="accent5"/>
                                  <w:sz w:val="40"/>
                                  <w:szCs w:val="40"/>
                                </w:rPr>
                              </w:pPr>
                              <w:r w:rsidRPr="005D72F4">
                                <w:rPr>
                                  <w:rFonts w:ascii="GHEA Grapalat" w:hAnsi="GHEA Grapalat" w:cs="Arial"/>
                                  <w:caps/>
                                  <w:color w:val="63891F" w:themeColor="accent5"/>
                                  <w:sz w:val="28"/>
                                  <w:szCs w:val="28"/>
                                  <w:lang w:val="hy-AM"/>
                                </w:rPr>
                                <w:t>հհ Էկոնոմիկայի Նախարարություն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0B3E97" w:rsidRPr="000B3E97">
            <w:rPr>
              <w:rFonts w:ascii="GHEA Grapalat" w:eastAsia="Calibri" w:hAnsi="GHEA Grapalat" w:cs="Times New Roman"/>
              <w:lang w:val="hy-AM"/>
            </w:rPr>
            <w:t xml:space="preserve">          </w:t>
          </w:r>
          <w:r w:rsidR="000B3E97" w:rsidRPr="000B3E97">
            <w:rPr>
              <w:rFonts w:ascii="GHEA Grapalat" w:hAnsi="GHEA Grapalat"/>
              <w:spacing w:val="-8"/>
              <w:lang w:val="hy-AM"/>
            </w:rPr>
            <w:t>Հավելված N 1</w:t>
          </w:r>
        </w:p>
        <w:p w14:paraId="3F742351" w14:textId="0687F2C7" w:rsidR="000B3E97" w:rsidRPr="000B3E97" w:rsidRDefault="000B3E97">
          <w:pPr>
            <w:pStyle w:val="mechtex"/>
            <w:ind w:left="3600" w:firstLine="720"/>
            <w:jc w:val="left"/>
            <w:rPr>
              <w:rFonts w:ascii="GHEA Grapalat" w:hAnsi="GHEA Grapalat"/>
              <w:spacing w:val="-6"/>
              <w:lang w:val="hy-AM"/>
            </w:rPr>
          </w:pPr>
          <w:r w:rsidRPr="000B3E97">
            <w:rPr>
              <w:rFonts w:ascii="GHEA Grapalat" w:hAnsi="GHEA Grapalat"/>
              <w:spacing w:val="-6"/>
              <w:lang w:val="hy-AM"/>
            </w:rPr>
            <w:t xml:space="preserve">       </w:t>
          </w:r>
          <w:r w:rsidRPr="000B3E97">
            <w:rPr>
              <w:rFonts w:ascii="GHEA Grapalat" w:hAnsi="GHEA Grapalat"/>
              <w:spacing w:val="-6"/>
              <w:lang w:val="hy-AM"/>
            </w:rPr>
            <w:tab/>
            <w:t xml:space="preserve">    ՀՀ կառավարության 2020 թվականի</w:t>
          </w:r>
        </w:p>
        <w:p w14:paraId="657BA700" w14:textId="58B5A839" w:rsidR="000B3E97" w:rsidRPr="000B3E97" w:rsidRDefault="000B3E97">
          <w:pPr>
            <w:pStyle w:val="mechtex"/>
            <w:jc w:val="left"/>
            <w:rPr>
              <w:rFonts w:ascii="GHEA Grapalat" w:hAnsi="GHEA Grapalat" w:cs="Sylfaen"/>
              <w:lang w:val="hy-AM"/>
            </w:rPr>
          </w:pPr>
          <w:r w:rsidRPr="000B3E97">
            <w:rPr>
              <w:rFonts w:ascii="GHEA Grapalat" w:hAnsi="GHEA Grapalat"/>
              <w:spacing w:val="-2"/>
              <w:lang w:val="hy-AM"/>
            </w:rPr>
            <w:tab/>
          </w:r>
          <w:r w:rsidRPr="000B3E97">
            <w:rPr>
              <w:rFonts w:ascii="GHEA Grapalat" w:hAnsi="GHEA Grapalat"/>
              <w:spacing w:val="-2"/>
              <w:lang w:val="hy-AM"/>
            </w:rPr>
            <w:tab/>
          </w:r>
          <w:r w:rsidRPr="000B3E97">
            <w:rPr>
              <w:rFonts w:ascii="GHEA Grapalat" w:hAnsi="GHEA Grapalat"/>
              <w:spacing w:val="-2"/>
              <w:lang w:val="hy-AM"/>
            </w:rPr>
            <w:tab/>
          </w:r>
          <w:r w:rsidRPr="000B3E97">
            <w:rPr>
              <w:rFonts w:ascii="GHEA Grapalat" w:hAnsi="GHEA Grapalat"/>
              <w:spacing w:val="-2"/>
              <w:lang w:val="hy-AM"/>
            </w:rPr>
            <w:tab/>
          </w:r>
          <w:r w:rsidRPr="000B3E97">
            <w:rPr>
              <w:rFonts w:ascii="GHEA Grapalat" w:hAnsi="GHEA Grapalat"/>
              <w:spacing w:val="-2"/>
              <w:lang w:val="hy-AM"/>
            </w:rPr>
            <w:tab/>
          </w:r>
          <w:r w:rsidRPr="000B3E97">
            <w:rPr>
              <w:rFonts w:ascii="GHEA Grapalat" w:hAnsi="GHEA Grapalat"/>
              <w:spacing w:val="-2"/>
              <w:lang w:val="hy-AM"/>
            </w:rPr>
            <w:tab/>
            <w:t xml:space="preserve">             </w:t>
          </w:r>
          <w:r w:rsidR="00827AD8" w:rsidRPr="00827AD8">
            <w:rPr>
              <w:rFonts w:ascii="GHEA Grapalat" w:hAnsi="GHEA Grapalat"/>
              <w:spacing w:val="-2"/>
              <w:lang w:val="hy-AM"/>
            </w:rPr>
            <w:t xml:space="preserve">  </w:t>
          </w:r>
          <w:r w:rsidR="00827AD8">
            <w:rPr>
              <w:rFonts w:ascii="GHEA Grapalat" w:hAnsi="GHEA Grapalat"/>
              <w:spacing w:val="-2"/>
            </w:rPr>
            <w:t xml:space="preserve"> </w:t>
          </w:r>
          <w:proofErr w:type="spellStart"/>
          <w:proofErr w:type="gramStart"/>
          <w:r>
            <w:rPr>
              <w:rFonts w:ascii="GHEA Grapalat" w:hAnsi="GHEA Grapalat" w:cs="Sylfaen"/>
              <w:spacing w:val="-4"/>
              <w:lang w:val="fr-FR"/>
            </w:rPr>
            <w:t>օգոստոս</w:t>
          </w:r>
          <w:r w:rsidRPr="000B3E97">
            <w:rPr>
              <w:rFonts w:ascii="GHEA Grapalat" w:hAnsi="GHEA Grapalat" w:cs="Sylfaen"/>
              <w:spacing w:val="-4"/>
              <w:lang w:val="fr-FR"/>
            </w:rPr>
            <w:t>ի</w:t>
          </w:r>
          <w:proofErr w:type="spellEnd"/>
          <w:proofErr w:type="gramEnd"/>
          <w:r>
            <w:rPr>
              <w:rFonts w:ascii="GHEA Grapalat" w:hAnsi="GHEA Grapalat" w:cs="Sylfaen"/>
              <w:spacing w:val="-2"/>
              <w:lang w:val="pt-BR"/>
            </w:rPr>
            <w:t xml:space="preserve"> 27</w:t>
          </w:r>
          <w:r w:rsidRPr="000B3E97">
            <w:rPr>
              <w:rFonts w:ascii="GHEA Grapalat" w:hAnsi="GHEA Grapalat" w:cs="Sylfaen"/>
              <w:spacing w:val="-2"/>
              <w:lang w:val="pt-BR"/>
            </w:rPr>
            <w:t>-</w:t>
          </w:r>
          <w:r w:rsidRPr="000B3E97">
            <w:rPr>
              <w:rFonts w:ascii="GHEA Grapalat" w:hAnsi="GHEA Grapalat"/>
              <w:spacing w:val="-2"/>
              <w:lang w:val="hy-AM"/>
            </w:rPr>
            <w:t xml:space="preserve">ի N </w:t>
          </w:r>
          <w:r w:rsidR="006D6E85">
            <w:rPr>
              <w:rFonts w:ascii="GHEA Grapalat" w:hAnsi="GHEA Grapalat"/>
              <w:spacing w:val="-2"/>
              <w:lang w:val="hy-AM"/>
            </w:rPr>
            <w:t>1443</w:t>
          </w:r>
          <w:r w:rsidRPr="000B3E97">
            <w:rPr>
              <w:rFonts w:ascii="GHEA Grapalat" w:hAnsi="GHEA Grapalat"/>
              <w:spacing w:val="-2"/>
              <w:lang w:val="hy-AM"/>
            </w:rPr>
            <w:t>-</w:t>
          </w:r>
          <w:r>
            <w:rPr>
              <w:rFonts w:ascii="GHEA Grapalat" w:hAnsi="GHEA Grapalat"/>
              <w:spacing w:val="-2"/>
              <w:lang w:val="hy-AM"/>
            </w:rPr>
            <w:t>Լ</w:t>
          </w:r>
          <w:r w:rsidRPr="000B3E97">
            <w:rPr>
              <w:rFonts w:ascii="GHEA Grapalat" w:hAnsi="GHEA Grapalat"/>
              <w:spacing w:val="-2"/>
              <w:lang w:val="hy-AM"/>
            </w:rPr>
            <w:t xml:space="preserve"> որոշման</w:t>
          </w:r>
        </w:p>
        <w:p w14:paraId="2959CDA2" w14:textId="110A1F40" w:rsidR="005D72F4" w:rsidRPr="002D7DB7" w:rsidRDefault="00A13F66" w:rsidP="000B3E97">
          <w:pPr>
            <w:spacing w:after="0" w:line="240" w:lineRule="auto"/>
            <w:jc w:val="right"/>
          </w:pPr>
          <w:r w:rsidRPr="00A13F66">
            <w:rPr>
              <w:noProof/>
            </w:rPr>
            <w:t xml:space="preserve"> </w:t>
          </w:r>
          <w:r w:rsidR="00714055" w:rsidRPr="002D7DB7">
            <w:rPr>
              <w:noProof/>
              <w:lang w:eastAsia="hy-AM"/>
            </w:rPr>
            <w:drawing>
              <wp:anchor distT="0" distB="0" distL="114300" distR="114300" simplePos="0" relativeHeight="251663360" behindDoc="1" locked="0" layoutInCell="1" allowOverlap="1" wp14:anchorId="2959D204" wp14:editId="2959D205">
                <wp:simplePos x="0" y="0"/>
                <wp:positionH relativeFrom="column">
                  <wp:posOffset>5276215</wp:posOffset>
                </wp:positionH>
                <wp:positionV relativeFrom="paragraph">
                  <wp:posOffset>4605103</wp:posOffset>
                </wp:positionV>
                <wp:extent cx="720725" cy="749935"/>
                <wp:effectExtent l="0" t="0" r="3175" b="0"/>
                <wp:wrapTight wrapText="bothSides">
                  <wp:wrapPolygon edited="0">
                    <wp:start x="14273" y="0"/>
                    <wp:lineTo x="0" y="0"/>
                    <wp:lineTo x="0" y="19753"/>
                    <wp:lineTo x="6280" y="20850"/>
                    <wp:lineTo x="13131" y="20850"/>
                    <wp:lineTo x="21124" y="19204"/>
                    <wp:lineTo x="21124" y="4938"/>
                    <wp:lineTo x="19982" y="0"/>
                    <wp:lineTo x="14273" y="0"/>
                  </wp:wrapPolygon>
                </wp:wrapTight>
                <wp:docPr id="114" name="Google Shape;114;p16" descr="arevtri naxara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Google Shape;114;p16" descr="arevtri naxarar2"/>
                        <pic:cNvPicPr preferRelativeResize="0"/>
                      </pic:nvPicPr>
                      <pic:blipFill rotWithShape="1">
                        <a:blip r:embed="rId8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2072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D72F4" w:rsidRPr="002D7DB7">
            <w:br w:type="page"/>
          </w:r>
        </w:p>
      </w:sdtContent>
    </w:sdt>
    <w:p w14:paraId="2959CDA3" w14:textId="77777777" w:rsidR="00B90636" w:rsidRPr="002D7DB7" w:rsidRDefault="00B90636" w:rsidP="00FC60C0">
      <w:pPr>
        <w:spacing w:after="0" w:line="276" w:lineRule="auto"/>
      </w:pPr>
    </w:p>
    <w:sdt>
      <w:sdtPr>
        <w:rPr>
          <w:rFonts w:ascii="GHEA Grapalat" w:eastAsiaTheme="minorHAnsi" w:hAnsi="GHEA Grapalat" w:cs="Arial"/>
          <w:color w:val="auto"/>
          <w:sz w:val="24"/>
          <w:szCs w:val="24"/>
        </w:rPr>
        <w:id w:val="19841951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59CDA4" w14:textId="77777777" w:rsidR="00DA7FD4" w:rsidRPr="000B3E97" w:rsidRDefault="00DA7FD4" w:rsidP="00FC60C0">
          <w:pPr>
            <w:pStyle w:val="TOCHeading"/>
            <w:numPr>
              <w:ilvl w:val="0"/>
              <w:numId w:val="0"/>
            </w:numPr>
            <w:spacing w:after="0" w:line="276" w:lineRule="auto"/>
            <w:ind w:left="432"/>
            <w:rPr>
              <w:rFonts w:ascii="GHEA Grapalat" w:eastAsiaTheme="minorEastAsia" w:hAnsi="GHEA Grapalat" w:cstheme="minorBidi"/>
              <w:sz w:val="24"/>
              <w:szCs w:val="24"/>
            </w:rPr>
          </w:pPr>
          <w:r w:rsidRPr="000B3E97">
            <w:rPr>
              <w:rFonts w:ascii="GHEA Grapalat" w:hAnsi="GHEA Grapalat"/>
              <w:sz w:val="24"/>
              <w:szCs w:val="24"/>
            </w:rPr>
            <w:t>Բովանդակություն</w:t>
          </w:r>
        </w:p>
        <w:p w14:paraId="18510224" w14:textId="5F73CA8A" w:rsidR="00513747" w:rsidRPr="000B3E97" w:rsidRDefault="00B27438">
          <w:pPr>
            <w:pStyle w:val="TOC1"/>
            <w:tabs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r w:rsidRPr="000B3E97">
            <w:rPr>
              <w:rFonts w:ascii="GHEA Grapalat" w:hAnsi="GHEA Grapalat"/>
            </w:rPr>
            <w:fldChar w:fldCharType="begin"/>
          </w:r>
          <w:r w:rsidRPr="000B3E97">
            <w:rPr>
              <w:rFonts w:ascii="GHEA Grapalat" w:eastAsiaTheme="minorEastAsia" w:hAnsi="GHEA Grapalat"/>
            </w:rPr>
            <w:instrText xml:space="preserve"> TOC \o "1-3" \h \z \u </w:instrText>
          </w:r>
          <w:r w:rsidRPr="000B3E97">
            <w:rPr>
              <w:rFonts w:ascii="GHEA Grapalat" w:hAnsi="GHEA Grapalat"/>
            </w:rPr>
            <w:fldChar w:fldCharType="separate"/>
          </w:r>
          <w:hyperlink w:anchor="_Toc47118485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Օգտագործվող հապավումներ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_Toc47118485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2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76CBD4CC" w14:textId="54C4693C" w:rsidR="00513747" w:rsidRPr="000B3E97" w:rsidRDefault="00C33E13">
          <w:pPr>
            <w:pStyle w:val="TOC1"/>
            <w:tabs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86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Ներածություն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_Toc47118486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3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4AF9F62" w14:textId="2D83BBE5" w:rsidR="00513747" w:rsidRPr="000B3E97" w:rsidRDefault="00C33E13">
          <w:pPr>
            <w:pStyle w:val="TOC1"/>
            <w:tabs>
              <w:tab w:val="left" w:pos="960"/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87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1</w:t>
            </w:r>
            <w:r w:rsidR="00513747" w:rsidRPr="000B3E97">
              <w:rPr>
                <w:rFonts w:ascii="GHEA Grapalat" w:eastAsiaTheme="minorEastAsia" w:hAnsi="GHEA Grapalat" w:cstheme="minorBidi"/>
                <w:b w:val="0"/>
                <w:bCs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513747" w:rsidRPr="00DC729D">
              <w:rPr>
                <w:rStyle w:val="Hyperlink"/>
                <w:rFonts w:ascii="GHEA Grapalat" w:hAnsi="GHEA Grapalat"/>
                <w:noProof/>
                <w:spacing w:val="-6"/>
              </w:rPr>
              <w:t xml:space="preserve">Կորոնավիրուսի (COVID-19) </w:t>
            </w:r>
            <w:r w:rsidR="00A5071D">
              <w:rPr>
                <w:rStyle w:val="Hyperlink"/>
                <w:rFonts w:ascii="GHEA Grapalat" w:hAnsi="GHEA Grapalat"/>
                <w:noProof/>
                <w:spacing w:val="-6"/>
              </w:rPr>
              <w:t>հետԵՎ</w:t>
            </w:r>
            <w:r w:rsidR="00513747" w:rsidRPr="00DC729D">
              <w:rPr>
                <w:rStyle w:val="Hyperlink"/>
                <w:rFonts w:ascii="GHEA Grapalat" w:hAnsi="GHEA Grapalat"/>
                <w:noProof/>
                <w:spacing w:val="-6"/>
              </w:rPr>
              <w:t xml:space="preserve">անքները ՓՄՁ ոլորտի սուբյեկտների համար </w:t>
            </w:r>
            <w:r w:rsidR="00DC729D" w:rsidRPr="00DC729D">
              <w:rPr>
                <w:rStyle w:val="Hyperlink"/>
                <w:rFonts w:ascii="GHEA Grapalat" w:hAnsi="GHEA Grapalat"/>
                <w:noProof/>
                <w:spacing w:val="-6"/>
              </w:rPr>
              <w:t>ԵՎ</w:t>
            </w:r>
            <w:r w:rsidR="00513747" w:rsidRPr="00DC729D">
              <w:rPr>
                <w:rStyle w:val="Hyperlink"/>
                <w:rFonts w:ascii="GHEA Grapalat" w:hAnsi="GHEA Grapalat"/>
                <w:noProof/>
                <w:spacing w:val="-6"/>
              </w:rPr>
              <w:t xml:space="preserve"> դրանց հաղթահարման անհրաժեշտությունը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_Toc47118487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4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0821D16" w14:textId="252C31D4" w:rsidR="00513747" w:rsidRPr="000B3E97" w:rsidRDefault="00C33E13">
          <w:pPr>
            <w:pStyle w:val="TOC1"/>
            <w:tabs>
              <w:tab w:val="left" w:pos="960"/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88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2</w:t>
            </w:r>
            <w:r w:rsidR="00513747" w:rsidRPr="000B3E97">
              <w:rPr>
                <w:rFonts w:ascii="GHEA Grapalat" w:eastAsiaTheme="minorEastAsia" w:hAnsi="GHEA Grapalat" w:cstheme="minorBidi"/>
                <w:b w:val="0"/>
                <w:bCs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>ՓՄՁ ցուցանիշներ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_Toc47118488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7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7AA2AE74" w14:textId="74E52E33" w:rsidR="00513747" w:rsidRPr="000B3E97" w:rsidRDefault="00C33E13">
          <w:pPr>
            <w:pStyle w:val="TOC1"/>
            <w:tabs>
              <w:tab w:val="left" w:pos="960"/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89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3</w:t>
            </w:r>
            <w:r w:rsidR="00513747" w:rsidRPr="000B3E97">
              <w:rPr>
                <w:rFonts w:ascii="GHEA Grapalat" w:eastAsiaTheme="minorEastAsia" w:hAnsi="GHEA Grapalat" w:cstheme="minorBidi"/>
                <w:b w:val="0"/>
                <w:bCs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Ռազմավարության տեսլականը </w:t>
            </w:r>
            <w:r w:rsidR="00DC729D">
              <w:rPr>
                <w:rStyle w:val="Hyperlink"/>
                <w:rFonts w:ascii="GHEA Grapalat" w:hAnsi="GHEA Grapalat"/>
                <w:noProof/>
              </w:rPr>
              <w:t>ԵՎ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առաքելությունը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_Toc47118489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9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E0B93B2" w14:textId="4C18EA03" w:rsidR="00513747" w:rsidRPr="000B3E97" w:rsidRDefault="00C33E13" w:rsidP="00DC729D">
          <w:pPr>
            <w:pStyle w:val="TOC2"/>
            <w:rPr>
              <w:rFonts w:eastAsiaTheme="minorEastAsia" w:cstheme="minorBidi"/>
              <w:sz w:val="22"/>
              <w:szCs w:val="22"/>
              <w:lang w:val="en-US"/>
            </w:rPr>
          </w:pPr>
          <w:hyperlink w:anchor="_Toc47118490" w:history="1">
            <w:r w:rsidR="00513747" w:rsidRPr="000B3E97">
              <w:rPr>
                <w:rStyle w:val="Hyperlink"/>
              </w:rPr>
              <w:t>3.1</w:t>
            </w:r>
            <w:r w:rsidR="00513747" w:rsidRPr="000B3E97">
              <w:rPr>
                <w:rFonts w:eastAsiaTheme="minorEastAsia" w:cstheme="minorBidi"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</w:rPr>
              <w:t xml:space="preserve">Նպատակները </w:t>
            </w:r>
            <w:r w:rsidR="00DC729D" w:rsidRPr="00DC729D">
              <w:rPr>
                <w:rStyle w:val="Hyperlink"/>
                <w:sz w:val="16"/>
                <w:szCs w:val="16"/>
              </w:rPr>
              <w:t>ԵՎ</w:t>
            </w:r>
            <w:r w:rsidR="00513747" w:rsidRPr="000B3E97">
              <w:rPr>
                <w:rStyle w:val="Hyperlink"/>
              </w:rPr>
              <w:t xml:space="preserve"> թիրախները</w:t>
            </w:r>
            <w:r w:rsidR="00513747" w:rsidRPr="000B3E97">
              <w:rPr>
                <w:webHidden/>
              </w:rPr>
              <w:tab/>
            </w:r>
            <w:r w:rsidR="00513747" w:rsidRPr="000B3E97">
              <w:rPr>
                <w:webHidden/>
              </w:rPr>
              <w:fldChar w:fldCharType="begin"/>
            </w:r>
            <w:r w:rsidR="00513747" w:rsidRPr="000B3E97">
              <w:rPr>
                <w:webHidden/>
              </w:rPr>
              <w:instrText xml:space="preserve"> PAGEREF _Toc47118490 \h </w:instrText>
            </w:r>
            <w:r w:rsidR="00513747" w:rsidRPr="000B3E97">
              <w:rPr>
                <w:webHidden/>
              </w:rPr>
            </w:r>
            <w:r w:rsidR="00513747" w:rsidRPr="000B3E97">
              <w:rPr>
                <w:webHidden/>
              </w:rPr>
              <w:fldChar w:fldCharType="separate"/>
            </w:r>
            <w:r w:rsidR="00DC729D">
              <w:rPr>
                <w:webHidden/>
              </w:rPr>
              <w:t>9</w:t>
            </w:r>
            <w:r w:rsidR="00513747" w:rsidRPr="000B3E97">
              <w:rPr>
                <w:webHidden/>
              </w:rPr>
              <w:fldChar w:fldCharType="end"/>
            </w:r>
          </w:hyperlink>
        </w:p>
        <w:p w14:paraId="2D2E01BC" w14:textId="22C43074" w:rsidR="00513747" w:rsidRPr="000B3E97" w:rsidRDefault="00C33E13">
          <w:pPr>
            <w:pStyle w:val="TOC1"/>
            <w:tabs>
              <w:tab w:val="left" w:pos="960"/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91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4</w:t>
            </w:r>
            <w:r w:rsidR="00513747" w:rsidRPr="000B3E97">
              <w:rPr>
                <w:rFonts w:ascii="GHEA Grapalat" w:eastAsiaTheme="minorEastAsia" w:hAnsi="GHEA Grapalat" w:cstheme="minorBidi"/>
                <w:b w:val="0"/>
                <w:bCs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Հիմնական ուղղություններ </w:t>
            </w:r>
            <w:r w:rsidR="00DC729D">
              <w:rPr>
                <w:rStyle w:val="Hyperlink"/>
                <w:rFonts w:ascii="GHEA Grapalat" w:hAnsi="GHEA Grapalat"/>
                <w:noProof/>
              </w:rPr>
              <w:t>ԵՎ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առաջնահերթ գործողություններ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_Toc47118491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10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9055C9E" w14:textId="6313A8C1" w:rsidR="00513747" w:rsidRPr="000B3E97" w:rsidRDefault="00C33E13" w:rsidP="00DC729D">
          <w:pPr>
            <w:pStyle w:val="TOC2"/>
            <w:rPr>
              <w:rFonts w:eastAsiaTheme="minorEastAsia" w:cstheme="minorBidi"/>
              <w:sz w:val="22"/>
              <w:szCs w:val="22"/>
              <w:lang w:val="en-US"/>
            </w:rPr>
          </w:pPr>
          <w:hyperlink w:anchor="_Toc47118492" w:history="1">
            <w:r w:rsidR="00513747" w:rsidRPr="000B3E97">
              <w:rPr>
                <w:rStyle w:val="Hyperlink"/>
              </w:rPr>
              <w:t>4.1</w:t>
            </w:r>
            <w:r w:rsidR="00513747" w:rsidRPr="000B3E97">
              <w:rPr>
                <w:rFonts w:eastAsiaTheme="minorEastAsia" w:cstheme="minorBidi"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</w:rPr>
              <w:t>Ֆինանսական ռեսուրսների հասանելիության ավելացում</w:t>
            </w:r>
            <w:r w:rsidR="00513747" w:rsidRPr="000B3E97">
              <w:rPr>
                <w:webHidden/>
              </w:rPr>
              <w:tab/>
            </w:r>
            <w:r w:rsidR="00513747" w:rsidRPr="000B3E97">
              <w:rPr>
                <w:webHidden/>
              </w:rPr>
              <w:fldChar w:fldCharType="begin"/>
            </w:r>
            <w:r w:rsidR="00513747" w:rsidRPr="000B3E97">
              <w:rPr>
                <w:webHidden/>
              </w:rPr>
              <w:instrText xml:space="preserve"> PAGEREF _Toc47118492 \h </w:instrText>
            </w:r>
            <w:r w:rsidR="00513747" w:rsidRPr="000B3E97">
              <w:rPr>
                <w:webHidden/>
              </w:rPr>
            </w:r>
            <w:r w:rsidR="00513747" w:rsidRPr="000B3E97">
              <w:rPr>
                <w:webHidden/>
              </w:rPr>
              <w:fldChar w:fldCharType="separate"/>
            </w:r>
            <w:r w:rsidR="00DC729D">
              <w:rPr>
                <w:webHidden/>
              </w:rPr>
              <w:t>10</w:t>
            </w:r>
            <w:r w:rsidR="00513747" w:rsidRPr="000B3E97">
              <w:rPr>
                <w:webHidden/>
              </w:rPr>
              <w:fldChar w:fldCharType="end"/>
            </w:r>
          </w:hyperlink>
        </w:p>
        <w:p w14:paraId="3DBEF2A3" w14:textId="53FB8554" w:rsidR="00513747" w:rsidRPr="00DC729D" w:rsidRDefault="00C33E13" w:rsidP="00DC729D">
          <w:pPr>
            <w:pStyle w:val="TOC2"/>
            <w:rPr>
              <w:rFonts w:eastAsiaTheme="minorEastAsia" w:cstheme="minorBidi"/>
              <w:sz w:val="22"/>
              <w:szCs w:val="22"/>
              <w:lang w:val="en-US"/>
            </w:rPr>
          </w:pPr>
          <w:hyperlink w:anchor="_Toc47118493" w:history="1">
            <w:r w:rsidR="00513747" w:rsidRPr="00DC729D">
              <w:rPr>
                <w:rStyle w:val="Hyperlink"/>
              </w:rPr>
              <w:t>4.2</w:t>
            </w:r>
            <w:r w:rsidR="00513747" w:rsidRPr="00DC729D">
              <w:rPr>
                <w:rFonts w:eastAsiaTheme="minorEastAsia" w:cstheme="minorBidi"/>
                <w:sz w:val="22"/>
                <w:szCs w:val="22"/>
                <w:lang w:val="en-US"/>
              </w:rPr>
              <w:tab/>
            </w:r>
            <w:r w:rsidR="00513747" w:rsidRPr="00DC729D">
              <w:rPr>
                <w:rStyle w:val="Hyperlink"/>
              </w:rPr>
              <w:t xml:space="preserve">ՓՄՁ սուբյեկտների կարողությունների զարգացում </w:t>
            </w:r>
            <w:r w:rsidR="00DC729D" w:rsidRPr="00DC729D">
              <w:rPr>
                <w:rStyle w:val="Hyperlink"/>
                <w:sz w:val="16"/>
                <w:szCs w:val="16"/>
              </w:rPr>
              <w:t>ԵՎ</w:t>
            </w:r>
            <w:r w:rsidR="00513747" w:rsidRPr="00DC729D">
              <w:rPr>
                <w:rStyle w:val="Hyperlink"/>
              </w:rPr>
              <w:t xml:space="preserve"> ձեռնարկատիրական մշակույթի խթանում</w:t>
            </w:r>
            <w:r w:rsidR="00513747" w:rsidRPr="00DC729D">
              <w:rPr>
                <w:webHidden/>
              </w:rPr>
              <w:tab/>
            </w:r>
            <w:r w:rsidR="00513747" w:rsidRPr="00DC729D">
              <w:rPr>
                <w:webHidden/>
              </w:rPr>
              <w:fldChar w:fldCharType="begin"/>
            </w:r>
            <w:r w:rsidR="00513747" w:rsidRPr="00DC729D">
              <w:rPr>
                <w:webHidden/>
              </w:rPr>
              <w:instrText xml:space="preserve"> PAGEREF _Toc47118493 \h </w:instrText>
            </w:r>
            <w:r w:rsidR="00513747" w:rsidRPr="00DC729D">
              <w:rPr>
                <w:webHidden/>
              </w:rPr>
            </w:r>
            <w:r w:rsidR="00513747" w:rsidRPr="00DC729D">
              <w:rPr>
                <w:webHidden/>
              </w:rPr>
              <w:fldChar w:fldCharType="separate"/>
            </w:r>
            <w:r w:rsidR="00DC729D">
              <w:rPr>
                <w:webHidden/>
              </w:rPr>
              <w:t>14</w:t>
            </w:r>
            <w:r w:rsidR="00513747" w:rsidRPr="00DC729D">
              <w:rPr>
                <w:webHidden/>
              </w:rPr>
              <w:fldChar w:fldCharType="end"/>
            </w:r>
          </w:hyperlink>
        </w:p>
        <w:p w14:paraId="616F3DDD" w14:textId="151223D7" w:rsidR="00513747" w:rsidRPr="000B3E97" w:rsidRDefault="00C33E13" w:rsidP="00DC729D">
          <w:pPr>
            <w:pStyle w:val="TOC2"/>
            <w:rPr>
              <w:rFonts w:eastAsiaTheme="minorEastAsia" w:cstheme="minorBidi"/>
              <w:sz w:val="22"/>
              <w:szCs w:val="22"/>
              <w:lang w:val="en-US"/>
            </w:rPr>
          </w:pPr>
          <w:hyperlink w:anchor="_Toc47118494" w:history="1">
            <w:r w:rsidR="00513747" w:rsidRPr="000B3E97">
              <w:rPr>
                <w:rStyle w:val="Hyperlink"/>
              </w:rPr>
              <w:t>4.3</w:t>
            </w:r>
            <w:r w:rsidR="00513747" w:rsidRPr="000B3E97">
              <w:rPr>
                <w:rFonts w:eastAsiaTheme="minorEastAsia" w:cstheme="minorBidi"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</w:rPr>
              <w:t>ՓՄՁ սուբյեկտների համար շուկաների հասանելիության ապահովում</w:t>
            </w:r>
            <w:r w:rsidR="00513747" w:rsidRPr="000B3E97">
              <w:rPr>
                <w:webHidden/>
              </w:rPr>
              <w:tab/>
            </w:r>
            <w:r w:rsidR="00513747" w:rsidRPr="000B3E97">
              <w:rPr>
                <w:webHidden/>
              </w:rPr>
              <w:fldChar w:fldCharType="begin"/>
            </w:r>
            <w:r w:rsidR="00513747" w:rsidRPr="000B3E97">
              <w:rPr>
                <w:webHidden/>
              </w:rPr>
              <w:instrText xml:space="preserve"> PAGEREF _Toc47118494 \h </w:instrText>
            </w:r>
            <w:r w:rsidR="00513747" w:rsidRPr="000B3E97">
              <w:rPr>
                <w:webHidden/>
              </w:rPr>
            </w:r>
            <w:r w:rsidR="00513747" w:rsidRPr="000B3E97">
              <w:rPr>
                <w:webHidden/>
              </w:rPr>
              <w:fldChar w:fldCharType="separate"/>
            </w:r>
            <w:r w:rsidR="00DC729D">
              <w:rPr>
                <w:webHidden/>
              </w:rPr>
              <w:t>17</w:t>
            </w:r>
            <w:r w:rsidR="00513747" w:rsidRPr="000B3E97">
              <w:rPr>
                <w:webHidden/>
              </w:rPr>
              <w:fldChar w:fldCharType="end"/>
            </w:r>
          </w:hyperlink>
        </w:p>
        <w:p w14:paraId="03A541A6" w14:textId="3198FDBC" w:rsidR="00513747" w:rsidRPr="000B3E97" w:rsidRDefault="00C33E13" w:rsidP="00DC729D">
          <w:pPr>
            <w:pStyle w:val="TOC2"/>
            <w:rPr>
              <w:rFonts w:eastAsiaTheme="minorEastAsia" w:cstheme="minorBidi"/>
              <w:sz w:val="22"/>
              <w:szCs w:val="22"/>
              <w:lang w:val="en-US"/>
            </w:rPr>
          </w:pPr>
          <w:hyperlink w:anchor="_Toc47118495" w:history="1">
            <w:r w:rsidR="00513747" w:rsidRPr="000B3E97">
              <w:rPr>
                <w:rStyle w:val="Hyperlink"/>
              </w:rPr>
              <w:t>4.4</w:t>
            </w:r>
            <w:r w:rsidR="00513747" w:rsidRPr="000B3E97">
              <w:rPr>
                <w:rFonts w:eastAsiaTheme="minorEastAsia" w:cstheme="minorBidi"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</w:rPr>
              <w:t xml:space="preserve">ՓՄՁ զարգացման համար ինստիտուցիոնալ </w:t>
            </w:r>
            <w:r w:rsidR="00DC729D" w:rsidRPr="00DC729D">
              <w:rPr>
                <w:rStyle w:val="Hyperlink"/>
                <w:sz w:val="16"/>
                <w:szCs w:val="16"/>
              </w:rPr>
              <w:t>ԵՎ</w:t>
            </w:r>
            <w:r w:rsidR="00513747" w:rsidRPr="000B3E97">
              <w:rPr>
                <w:rStyle w:val="Hyperlink"/>
              </w:rPr>
              <w:t xml:space="preserve"> իրավական բարենպաստ միջավայրի ապահովում</w:t>
            </w:r>
            <w:r w:rsidR="00513747" w:rsidRPr="000B3E97">
              <w:rPr>
                <w:webHidden/>
              </w:rPr>
              <w:tab/>
            </w:r>
            <w:r w:rsidR="00513747" w:rsidRPr="000B3E97">
              <w:rPr>
                <w:webHidden/>
              </w:rPr>
              <w:fldChar w:fldCharType="begin"/>
            </w:r>
            <w:r w:rsidR="00513747" w:rsidRPr="000B3E97">
              <w:rPr>
                <w:webHidden/>
              </w:rPr>
              <w:instrText xml:space="preserve"> PAGEREF _Toc47118495 \h </w:instrText>
            </w:r>
            <w:r w:rsidR="00513747" w:rsidRPr="000B3E97">
              <w:rPr>
                <w:webHidden/>
              </w:rPr>
            </w:r>
            <w:r w:rsidR="00513747" w:rsidRPr="000B3E97">
              <w:rPr>
                <w:webHidden/>
              </w:rPr>
              <w:fldChar w:fldCharType="separate"/>
            </w:r>
            <w:r w:rsidR="00DC729D">
              <w:rPr>
                <w:webHidden/>
              </w:rPr>
              <w:t>19</w:t>
            </w:r>
            <w:r w:rsidR="00513747" w:rsidRPr="000B3E97">
              <w:rPr>
                <w:webHidden/>
              </w:rPr>
              <w:fldChar w:fldCharType="end"/>
            </w:r>
          </w:hyperlink>
        </w:p>
        <w:p w14:paraId="75D4222B" w14:textId="6DA214D1" w:rsidR="00513747" w:rsidRPr="000B3E97" w:rsidRDefault="00C33E13">
          <w:pPr>
            <w:pStyle w:val="TOC1"/>
            <w:tabs>
              <w:tab w:val="left" w:pos="960"/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96" w:history="1">
            <w:r w:rsidR="00513747" w:rsidRPr="000B3E97">
              <w:rPr>
                <w:rStyle w:val="Hyperlink"/>
                <w:rFonts w:ascii="GHEA Grapalat" w:hAnsi="GHEA Grapalat"/>
                <w:noProof/>
              </w:rPr>
              <w:t>5</w:t>
            </w:r>
            <w:r w:rsidR="00513747" w:rsidRPr="000B3E97">
              <w:rPr>
                <w:rFonts w:ascii="GHEA Grapalat" w:eastAsiaTheme="minorEastAsia" w:hAnsi="GHEA Grapalat" w:cstheme="minorBidi"/>
                <w:b w:val="0"/>
                <w:bCs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>Ռ</w:t>
            </w:r>
            <w:r w:rsidR="00513747" w:rsidRPr="00E91189">
              <w:rPr>
                <w:rStyle w:val="Hyperlink"/>
                <w:rFonts w:ascii="GHEA Grapalat" w:hAnsi="GHEA Grapalat"/>
                <w:noProof/>
                <w:spacing w:val="-4"/>
              </w:rPr>
              <w:t>ազմավարության իրականացման ընթացքի նկատմամբ մոնի</w:t>
            </w:r>
            <w:r w:rsidR="00E91189" w:rsidRPr="00E91189">
              <w:rPr>
                <w:rStyle w:val="Hyperlink"/>
                <w:rFonts w:ascii="GHEA Grapalat" w:hAnsi="GHEA Grapalat"/>
                <w:noProof/>
                <w:spacing w:val="-4"/>
              </w:rPr>
              <w:t>Թ</w:t>
            </w:r>
            <w:r w:rsidR="00513747" w:rsidRPr="00E91189">
              <w:rPr>
                <w:rStyle w:val="Hyperlink"/>
                <w:rFonts w:ascii="GHEA Grapalat" w:hAnsi="GHEA Grapalat"/>
                <w:noProof/>
                <w:spacing w:val="-4"/>
              </w:rPr>
              <w:t xml:space="preserve">որինգ, գնահատում </w:t>
            </w:r>
            <w:r w:rsidR="00DC729D" w:rsidRPr="00E91189">
              <w:rPr>
                <w:rStyle w:val="Hyperlink"/>
                <w:rFonts w:ascii="GHEA Grapalat" w:hAnsi="GHEA Grapalat"/>
                <w:noProof/>
                <w:spacing w:val="-4"/>
                <w:szCs w:val="18"/>
              </w:rPr>
              <w:t>ԵՎ</w:t>
            </w:r>
            <w:r w:rsidR="00513747" w:rsidRPr="00E91189">
              <w:rPr>
                <w:rStyle w:val="Hyperlink"/>
                <w:rFonts w:ascii="GHEA Grapalat" w:hAnsi="GHEA Grapalat"/>
                <w:noProof/>
                <w:spacing w:val="-4"/>
              </w:rPr>
              <w:t xml:space="preserve"> հաշվ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>ետվողականություն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_Toc47118496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22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62FB38B" w14:textId="7E6BB3DA" w:rsidR="00513747" w:rsidRPr="000B3E97" w:rsidRDefault="00C33E13">
          <w:pPr>
            <w:pStyle w:val="TOC1"/>
            <w:tabs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97" w:history="1"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Հավելված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1  </w:t>
            </w:r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ՓՄՁ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հիմնական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տնտեսական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ցուցանիշներ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_Toc47118497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24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F07D94D" w14:textId="1389D34A" w:rsidR="00513747" w:rsidRPr="000B3E97" w:rsidRDefault="00C33E13">
          <w:pPr>
            <w:pStyle w:val="TOC1"/>
            <w:tabs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98" w:history="1"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Հավելված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/>
                <w:noProof/>
                <w:lang w:val="ru-RU"/>
              </w:rPr>
              <w:t>2</w:t>
            </w:r>
            <w:r w:rsidR="00513747" w:rsidRPr="000B3E97">
              <w:rPr>
                <w:rStyle w:val="Hyperlink"/>
                <w:rFonts w:ascii="GHEA Grapalat" w:hAnsi="GHEA Grapalat"/>
                <w:noProof/>
              </w:rPr>
              <w:t xml:space="preserve">. </w:t>
            </w:r>
            <w:r w:rsidR="00513747" w:rsidRPr="000B3E97">
              <w:rPr>
                <w:rStyle w:val="Hyperlink"/>
                <w:rFonts w:ascii="GHEA Grapalat" w:hAnsi="GHEA Grapalat"/>
                <w:noProof/>
                <w:lang w:val="en-US"/>
              </w:rPr>
              <w:t>SWOT</w:t>
            </w:r>
            <w:r w:rsidR="00513747" w:rsidRPr="000B3E97">
              <w:rPr>
                <w:rStyle w:val="Hyperlink"/>
                <w:rFonts w:ascii="GHEA Grapalat" w:hAnsi="GHEA Grapalat"/>
                <w:noProof/>
                <w:lang w:val="ru-RU"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/>
                <w:noProof/>
                <w:lang w:val="en-US"/>
              </w:rPr>
              <w:t xml:space="preserve"> </w:t>
            </w:r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վերլուծություն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_Toc47118498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30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7B2837D6" w14:textId="00E0BAC7" w:rsidR="00513747" w:rsidRPr="000B3E97" w:rsidRDefault="00C33E13">
          <w:pPr>
            <w:pStyle w:val="TOC1"/>
            <w:tabs>
              <w:tab w:val="right" w:leader="dot" w:pos="10457"/>
            </w:tabs>
            <w:rPr>
              <w:rFonts w:ascii="GHEA Grapalat" w:eastAsiaTheme="minorEastAsia" w:hAnsi="GHEA Grapalat" w:cstheme="minorBidi"/>
              <w:b w:val="0"/>
              <w:bCs w:val="0"/>
              <w:caps w:val="0"/>
              <w:noProof/>
              <w:sz w:val="22"/>
              <w:szCs w:val="22"/>
              <w:lang w:val="en-US"/>
            </w:rPr>
          </w:pPr>
          <w:hyperlink w:anchor="_Toc47118499" w:history="1">
            <w:r w:rsidR="00513747" w:rsidRPr="000B3E97">
              <w:rPr>
                <w:rStyle w:val="Hyperlink"/>
                <w:rFonts w:ascii="GHEA Grapalat" w:hAnsi="GHEA Grapalat" w:cs="Arial"/>
                <w:noProof/>
              </w:rPr>
              <w:t>Հավելված 3  ՀՀ ՓՄՁ միջավայրի գնահատումն ըստ միջազգային համաթվերի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tab/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513747" w:rsidRPr="000B3E97">
              <w:rPr>
                <w:rFonts w:ascii="GHEA Grapalat" w:hAnsi="GHEA Grapalat"/>
                <w:noProof/>
                <w:webHidden/>
              </w:rPr>
              <w:instrText xml:space="preserve"> PAGEREF _Toc47118499 \h </w:instrText>
            </w:r>
            <w:r w:rsidR="00513747" w:rsidRPr="000B3E97">
              <w:rPr>
                <w:rFonts w:ascii="GHEA Grapalat" w:hAnsi="GHEA Grapalat"/>
                <w:noProof/>
                <w:webHidden/>
              </w:rPr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DC729D">
              <w:rPr>
                <w:rFonts w:ascii="GHEA Grapalat" w:hAnsi="GHEA Grapalat"/>
                <w:noProof/>
                <w:webHidden/>
              </w:rPr>
              <w:t>31</w:t>
            </w:r>
            <w:r w:rsidR="00513747" w:rsidRPr="000B3E97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2959CDB6" w14:textId="5F95FE7E" w:rsidR="00DA7FD4" w:rsidRPr="002D7DB7" w:rsidRDefault="00B27438" w:rsidP="00FC60C0">
          <w:pPr>
            <w:spacing w:after="0" w:line="276" w:lineRule="auto"/>
          </w:pPr>
          <w:r w:rsidRPr="000B3E97">
            <w:rPr>
              <w:sz w:val="20"/>
            </w:rPr>
            <w:fldChar w:fldCharType="end"/>
          </w:r>
        </w:p>
      </w:sdtContent>
    </w:sdt>
    <w:p w14:paraId="2959CDB7" w14:textId="77777777" w:rsidR="00DA7FD4" w:rsidRDefault="00DA7FD4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5B27E1F6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241490C2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440215A7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1F0583D5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319F45E4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4649088E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7ADA096C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19A86C46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6D4E6C74" w14:textId="77777777" w:rsidR="007E593C" w:rsidRDefault="007E593C" w:rsidP="00FC60C0">
      <w:pPr>
        <w:spacing w:after="0"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6156C284" w14:textId="77777777" w:rsidR="00CA552F" w:rsidRDefault="00CA552F">
      <w:pPr>
        <w:spacing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  <w:bookmarkStart w:id="0" w:name="_Toc17467291"/>
      <w:r>
        <w:rPr>
          <w:szCs w:val="28"/>
        </w:rPr>
        <w:br w:type="page"/>
      </w:r>
    </w:p>
    <w:p w14:paraId="69A8E109" w14:textId="12DDC838" w:rsidR="008C5060" w:rsidRPr="002D7DB7" w:rsidRDefault="008C5060" w:rsidP="00FC60C0">
      <w:pPr>
        <w:pStyle w:val="Heading1"/>
        <w:numPr>
          <w:ilvl w:val="0"/>
          <w:numId w:val="0"/>
        </w:numPr>
        <w:spacing w:after="0" w:line="480" w:lineRule="auto"/>
      </w:pPr>
      <w:bookmarkStart w:id="1" w:name="_Toc47118485"/>
      <w:r w:rsidRPr="002D7DB7">
        <w:lastRenderedPageBreak/>
        <w:t>Օգտագործվող հապավումներ</w:t>
      </w:r>
      <w:bookmarkEnd w:id="1"/>
    </w:p>
    <w:p w14:paraId="2202BD4B" w14:textId="77777777" w:rsidR="00441A4F" w:rsidRDefault="00441A4F" w:rsidP="00441A4F">
      <w:pPr>
        <w:spacing w:after="0" w:line="48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8499"/>
      </w:tblGrid>
      <w:tr w:rsidR="00441A4F" w14:paraId="53A30760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3CCECE6" w14:textId="2BB54FD3" w:rsidR="00441A4F" w:rsidRDefault="00441A4F" w:rsidP="00441A4F">
            <w:pPr>
              <w:spacing w:line="480" w:lineRule="auto"/>
              <w:ind w:firstLine="0"/>
            </w:pPr>
            <w:r w:rsidRPr="002D7DB7">
              <w:t>ԵԱՏՄ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67A8D93E" w14:textId="6B5F5ED9" w:rsidR="00441A4F" w:rsidRDefault="00441A4F" w:rsidP="00441A4F">
            <w:pPr>
              <w:spacing w:line="480" w:lineRule="auto"/>
              <w:ind w:firstLine="0"/>
            </w:pPr>
            <w:r w:rsidRPr="002D7DB7">
              <w:t>Եվրասիական տնտեսական միության</w:t>
            </w:r>
          </w:p>
        </w:tc>
      </w:tr>
      <w:tr w:rsidR="00441A4F" w14:paraId="522D109C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AC22AF6" w14:textId="2E52ACB7" w:rsidR="00441A4F" w:rsidRPr="002D7DB7" w:rsidRDefault="00441A4F" w:rsidP="00441A4F">
            <w:pPr>
              <w:spacing w:line="480" w:lineRule="auto"/>
              <w:ind w:firstLine="0"/>
            </w:pPr>
            <w:r w:rsidRPr="002D7DB7">
              <w:t xml:space="preserve">ՏՀԶԿ </w:t>
            </w:r>
            <w:r>
              <w:rPr>
                <w:lang w:val="ru-RU"/>
              </w:rPr>
              <w:t>(</w:t>
            </w:r>
            <w:r w:rsidRPr="002D7DB7">
              <w:t>OECD</w:t>
            </w:r>
            <w:r>
              <w:rPr>
                <w:lang w:val="ru-RU"/>
              </w:rPr>
              <w:t>)</w:t>
            </w:r>
            <w:r w:rsidRPr="002D7DB7">
              <w:t xml:space="preserve"> </w:t>
            </w:r>
            <w:r>
              <w:t xml:space="preserve"> 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65F70FFB" w14:textId="34B8A9D2" w:rsidR="00441A4F" w:rsidRPr="002D7DB7" w:rsidRDefault="00441A4F" w:rsidP="00441A4F">
            <w:pPr>
              <w:spacing w:line="480" w:lineRule="auto"/>
              <w:ind w:firstLine="0"/>
            </w:pPr>
            <w:r w:rsidRPr="002D7DB7">
              <w:t>Տնտեսական համագործակցության և զարգացման կազմակերպություն</w:t>
            </w:r>
          </w:p>
        </w:tc>
      </w:tr>
      <w:tr w:rsidR="00441A4F" w14:paraId="46389C84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0B4A4E7" w14:textId="3A7F49DA" w:rsidR="00441A4F" w:rsidRPr="002D7DB7" w:rsidRDefault="00441A4F" w:rsidP="00441A4F">
            <w:pPr>
              <w:spacing w:line="480" w:lineRule="auto"/>
              <w:ind w:firstLine="0"/>
            </w:pPr>
            <w:r>
              <w:t>ԳՄՀԸ</w:t>
            </w:r>
            <w:r>
              <w:rPr>
                <w:lang w:val="ru-RU"/>
              </w:rPr>
              <w:t xml:space="preserve"> </w:t>
            </w:r>
            <w:r w:rsidRPr="00441A4F">
              <w:t>(GIZ)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2D26D7FC" w14:textId="7086AC5A" w:rsidR="00441A4F" w:rsidRPr="002D7DB7" w:rsidRDefault="00441A4F" w:rsidP="00441A4F">
            <w:pPr>
              <w:spacing w:line="480" w:lineRule="auto"/>
              <w:ind w:firstLine="0"/>
            </w:pPr>
            <w:r w:rsidRPr="00441A4F">
              <w:t>Գերմանական միջազգային համագործակցության ընկերության</w:t>
            </w:r>
          </w:p>
        </w:tc>
      </w:tr>
      <w:tr w:rsidR="00441A4F" w14:paraId="5171D6CC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6667690" w14:textId="4DBC975D" w:rsidR="00441A4F" w:rsidRPr="00441A4F" w:rsidRDefault="00441A4F" w:rsidP="00441A4F">
            <w:pPr>
              <w:spacing w:line="480" w:lineRule="auto"/>
              <w:ind w:firstLine="0"/>
              <w:rPr>
                <w:lang w:val="en-US"/>
              </w:rPr>
            </w:pPr>
            <w:r w:rsidRPr="002D7DB7">
              <w:t>ՀԲ</w:t>
            </w:r>
            <w:r>
              <w:rPr>
                <w:lang w:val="en-US"/>
              </w:rPr>
              <w:t xml:space="preserve"> (WB)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73DF1D3E" w14:textId="3356CFDF" w:rsidR="00441A4F" w:rsidRPr="00441A4F" w:rsidRDefault="00441A4F" w:rsidP="00441A4F">
            <w:pPr>
              <w:spacing w:line="480" w:lineRule="auto"/>
              <w:ind w:firstLine="0"/>
            </w:pPr>
            <w:r w:rsidRPr="002D7DB7">
              <w:t>Համաշխարհային բանկ</w:t>
            </w:r>
          </w:p>
        </w:tc>
      </w:tr>
      <w:tr w:rsidR="00441A4F" w14:paraId="4A595E8F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F766713" w14:textId="29B30094" w:rsidR="00441A4F" w:rsidRPr="00441A4F" w:rsidRDefault="00441A4F" w:rsidP="00441A4F">
            <w:pPr>
              <w:spacing w:line="480" w:lineRule="auto"/>
              <w:ind w:firstLine="0"/>
              <w:rPr>
                <w:lang w:val="en-US"/>
              </w:rPr>
            </w:pPr>
            <w:r w:rsidRPr="002D7DB7">
              <w:rPr>
                <w:rFonts w:cstheme="minorBidi"/>
              </w:rPr>
              <w:t>ԵՆԲ</w:t>
            </w:r>
            <w:r>
              <w:rPr>
                <w:rFonts w:cstheme="minorBidi"/>
                <w:lang w:val="en-US"/>
              </w:rPr>
              <w:t xml:space="preserve"> (</w:t>
            </w:r>
            <w:r w:rsidRPr="00441A4F">
              <w:rPr>
                <w:rFonts w:cstheme="minorBidi"/>
                <w:lang w:val="en-US"/>
              </w:rPr>
              <w:t>EIB</w:t>
            </w:r>
            <w:r>
              <w:rPr>
                <w:rFonts w:cstheme="minorBidi"/>
                <w:lang w:val="en-US"/>
              </w:rPr>
              <w:t>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6C5D1772" w14:textId="47B2D9AA" w:rsidR="00441A4F" w:rsidRPr="002D7DB7" w:rsidRDefault="00441A4F" w:rsidP="00FF55A7">
            <w:pPr>
              <w:spacing w:line="480" w:lineRule="auto"/>
              <w:ind w:firstLine="0"/>
            </w:pPr>
            <w:r w:rsidRPr="002D7DB7">
              <w:rPr>
                <w:rFonts w:cstheme="minorBidi"/>
              </w:rPr>
              <w:t>Եվրոպական ներդրումային բանկ</w:t>
            </w:r>
          </w:p>
        </w:tc>
      </w:tr>
      <w:tr w:rsidR="00441A4F" w14:paraId="61FC42D3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94A5DD2" w14:textId="6FED7C93" w:rsidR="00441A4F" w:rsidRPr="002D7DB7" w:rsidRDefault="00FF55A7" w:rsidP="00FF55A7">
            <w:pPr>
              <w:spacing w:line="480" w:lineRule="auto"/>
              <w:ind w:firstLine="0"/>
            </w:pPr>
            <w:r w:rsidRPr="002D7DB7">
              <w:t xml:space="preserve">ԵՄ </w:t>
            </w:r>
            <w:r w:rsidRPr="00FF55A7">
              <w:t>(EU)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44FE11C3" w14:textId="5987BEE2" w:rsidR="00441A4F" w:rsidRPr="00FF55A7" w:rsidRDefault="00FF55A7" w:rsidP="00441A4F">
            <w:pPr>
              <w:spacing w:line="480" w:lineRule="auto"/>
              <w:ind w:firstLine="0"/>
            </w:pPr>
            <w:r>
              <w:t>Եվրոպական Միություն</w:t>
            </w:r>
          </w:p>
        </w:tc>
      </w:tr>
      <w:tr w:rsidR="00441A4F" w14:paraId="29B1B989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0C99285" w14:textId="4ED3E13C" w:rsidR="00441A4F" w:rsidRPr="002D7DB7" w:rsidRDefault="00FF55A7" w:rsidP="00FF55A7">
            <w:pPr>
              <w:spacing w:line="480" w:lineRule="auto"/>
              <w:ind w:firstLine="0"/>
            </w:pPr>
            <w:r w:rsidRPr="00FF55A7">
              <w:t>ԻՀ (IC)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5006A340" w14:textId="44AD7E52" w:rsidR="00441A4F" w:rsidRPr="002D7DB7" w:rsidRDefault="00FF55A7" w:rsidP="00441A4F">
            <w:pPr>
              <w:spacing w:line="480" w:lineRule="auto"/>
              <w:ind w:firstLine="0"/>
            </w:pPr>
            <w:r w:rsidRPr="00FF55A7">
              <w:t>Ինտերնետ և հեռահաղորդակցում</w:t>
            </w:r>
          </w:p>
        </w:tc>
      </w:tr>
      <w:tr w:rsidR="00FF55A7" w14:paraId="33CF0C0C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C451D70" w14:textId="10088C4A" w:rsidR="00FF55A7" w:rsidRPr="002D7DB7" w:rsidRDefault="00FF55A7" w:rsidP="00441A4F">
            <w:pPr>
              <w:spacing w:line="480" w:lineRule="auto"/>
              <w:ind w:firstLine="0"/>
            </w:pPr>
            <w:r>
              <w:t>ՆԱԿ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228718CC" w14:textId="32FAA84F" w:rsidR="00FF55A7" w:rsidRPr="002D7DB7" w:rsidRDefault="00FF55A7" w:rsidP="00441A4F">
            <w:pPr>
              <w:spacing w:line="480" w:lineRule="auto"/>
              <w:ind w:firstLine="0"/>
            </w:pPr>
            <w:r w:rsidRPr="002D7DB7">
              <w:t>«Ներդրումների աջակցման կենտրոն»</w:t>
            </w:r>
            <w:r>
              <w:t xml:space="preserve"> </w:t>
            </w:r>
            <w:r w:rsidRPr="002D7DB7">
              <w:t>հիմնադրամ</w:t>
            </w:r>
          </w:p>
        </w:tc>
      </w:tr>
      <w:tr w:rsidR="00FF55A7" w14:paraId="76CE3588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9267D0A" w14:textId="0F77DF37" w:rsidR="00FF55A7" w:rsidRDefault="00FF55A7" w:rsidP="00441A4F">
            <w:pPr>
              <w:spacing w:line="480" w:lineRule="auto"/>
              <w:ind w:firstLine="0"/>
            </w:pPr>
            <w:r w:rsidRPr="002D7DB7">
              <w:t>ՍՁ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749798CF" w14:textId="7E7BEE11" w:rsidR="00FF55A7" w:rsidRPr="002D7DB7" w:rsidRDefault="00FF55A7" w:rsidP="00FF55A7">
            <w:pPr>
              <w:spacing w:line="480" w:lineRule="auto"/>
              <w:ind w:firstLine="0"/>
            </w:pPr>
            <w:r w:rsidRPr="002D7DB7">
              <w:t>Սոցիալ</w:t>
            </w:r>
            <w:r w:rsidR="00FF6FFC">
              <w:t>ակ</w:t>
            </w:r>
            <w:r w:rsidRPr="002D7DB7">
              <w:t>ան ձեռնարկատիրություն</w:t>
            </w:r>
          </w:p>
        </w:tc>
      </w:tr>
      <w:tr w:rsidR="00FF55A7" w14:paraId="03BF5064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DC7E131" w14:textId="71CD3B20" w:rsidR="00FF55A7" w:rsidRDefault="006B6A91" w:rsidP="00441A4F">
            <w:pPr>
              <w:spacing w:line="480" w:lineRule="auto"/>
              <w:ind w:firstLine="0"/>
            </w:pPr>
            <w:r w:rsidRPr="002D7DB7">
              <w:t xml:space="preserve">ՓՄՁ </w:t>
            </w:r>
            <w:r>
              <w:tab/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5816F4EF" w14:textId="719C48AC" w:rsidR="00FF55A7" w:rsidRPr="002D7DB7" w:rsidRDefault="006B6A91" w:rsidP="00441A4F">
            <w:pPr>
              <w:spacing w:line="480" w:lineRule="auto"/>
              <w:ind w:firstLine="0"/>
            </w:pPr>
            <w:r w:rsidRPr="002D7DB7">
              <w:t>Փոքր և միջին ձեռնարկատիրություն</w:t>
            </w:r>
          </w:p>
        </w:tc>
      </w:tr>
      <w:tr w:rsidR="00FF55A7" w14:paraId="75FB832E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857C995" w14:textId="7A9B3782" w:rsidR="00FF55A7" w:rsidRPr="006B6A91" w:rsidRDefault="006B6A91" w:rsidP="00441A4F">
            <w:pPr>
              <w:spacing w:line="480" w:lineRule="auto"/>
              <w:ind w:firstLine="0"/>
              <w:rPr>
                <w:lang w:val="ru-RU"/>
              </w:rPr>
            </w:pPr>
            <w:r w:rsidRPr="002D7DB7">
              <w:t>ՓԲԱ</w:t>
            </w:r>
            <w: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SBA</w:t>
            </w:r>
            <w:r>
              <w:rPr>
                <w:lang w:val="ru-RU"/>
              </w:rPr>
              <w:t>)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5ADD470C" w14:textId="1811CB76" w:rsidR="00FF55A7" w:rsidRPr="002D7DB7" w:rsidRDefault="006B6A91" w:rsidP="00441A4F">
            <w:pPr>
              <w:spacing w:line="480" w:lineRule="auto"/>
              <w:ind w:firstLine="0"/>
            </w:pPr>
            <w:r w:rsidRPr="002D7DB7">
              <w:t>Փոքր Բիզնեսի Ակտ</w:t>
            </w:r>
          </w:p>
        </w:tc>
      </w:tr>
      <w:tr w:rsidR="00FF55A7" w14:paraId="01CDEEC5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D1A7A42" w14:textId="45F55FB1" w:rsidR="00FF55A7" w:rsidRPr="000A2235" w:rsidRDefault="000A2235" w:rsidP="00441A4F">
            <w:pPr>
              <w:spacing w:line="480" w:lineRule="auto"/>
              <w:ind w:firstLine="0"/>
            </w:pPr>
            <w:r>
              <w:t>ՏՏ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5BD126E4" w14:textId="3B8AB5A5" w:rsidR="00FF55A7" w:rsidRPr="002D7DB7" w:rsidRDefault="000A2235" w:rsidP="00441A4F">
            <w:pPr>
              <w:spacing w:line="480" w:lineRule="auto"/>
              <w:ind w:firstLine="0"/>
            </w:pPr>
            <w:r w:rsidRPr="002D7DB7">
              <w:rPr>
                <w:rFonts w:cstheme="minorBidi"/>
              </w:rPr>
              <w:t>Տեղեկատվական տեխնոլոգիաներ</w:t>
            </w:r>
          </w:p>
        </w:tc>
      </w:tr>
      <w:tr w:rsidR="000A2235" w14:paraId="2BFE3B0B" w14:textId="77777777" w:rsidTr="000A2235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3844633" w14:textId="31CE87C7" w:rsidR="000A2235" w:rsidRDefault="000A2235" w:rsidP="00441A4F">
            <w:pPr>
              <w:spacing w:line="480" w:lineRule="auto"/>
              <w:ind w:firstLine="0"/>
            </w:pPr>
            <w:r w:rsidRPr="002D7DB7">
              <w:rPr>
                <w:rFonts w:cstheme="minorBidi"/>
              </w:rPr>
              <w:t>ՄԿՈՒ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</w:tcPr>
          <w:p w14:paraId="369D4767" w14:textId="77777777" w:rsidR="000A2235" w:rsidRPr="002D7DB7" w:rsidRDefault="000A2235" w:rsidP="000A2235">
            <w:pPr>
              <w:spacing w:line="480" w:lineRule="auto"/>
              <w:ind w:firstLine="0"/>
            </w:pPr>
            <w:r w:rsidRPr="002D7DB7">
              <w:rPr>
                <w:rFonts w:cstheme="minorBidi"/>
              </w:rPr>
              <w:t xml:space="preserve">Մասնագիտական կրթություն և ուսում </w:t>
            </w:r>
          </w:p>
          <w:p w14:paraId="5485CC5F" w14:textId="77777777" w:rsidR="000A2235" w:rsidRPr="002D7DB7" w:rsidRDefault="000A2235" w:rsidP="00441A4F">
            <w:pPr>
              <w:spacing w:line="480" w:lineRule="auto"/>
              <w:ind w:firstLine="0"/>
              <w:rPr>
                <w:rFonts w:cstheme="minorBidi"/>
              </w:rPr>
            </w:pPr>
          </w:p>
        </w:tc>
      </w:tr>
    </w:tbl>
    <w:p w14:paraId="7470DEBF" w14:textId="0321E274" w:rsidR="00441A4F" w:rsidRPr="002D7DB7" w:rsidRDefault="00441A4F" w:rsidP="00441A4F">
      <w:pPr>
        <w:spacing w:after="0" w:line="480" w:lineRule="auto"/>
        <w:ind w:firstLine="720"/>
      </w:pPr>
      <w:r>
        <w:t xml:space="preserve"> </w:t>
      </w:r>
    </w:p>
    <w:p w14:paraId="1B617BAF" w14:textId="77777777" w:rsidR="00CA552F" w:rsidRDefault="00CA552F">
      <w:pPr>
        <w:spacing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</w:rPr>
      </w:pPr>
      <w:r>
        <w:br w:type="page"/>
      </w:r>
    </w:p>
    <w:p w14:paraId="2959CDB9" w14:textId="6821C006" w:rsidR="003C1160" w:rsidRDefault="5894FF83" w:rsidP="00FC60C0">
      <w:pPr>
        <w:pStyle w:val="Heading1"/>
        <w:numPr>
          <w:ilvl w:val="0"/>
          <w:numId w:val="0"/>
        </w:numPr>
        <w:spacing w:after="0" w:line="276" w:lineRule="auto"/>
      </w:pPr>
      <w:bookmarkStart w:id="2" w:name="_Toc47118486"/>
      <w:r w:rsidRPr="002D7DB7">
        <w:lastRenderedPageBreak/>
        <w:t>Ներածություն</w:t>
      </w:r>
      <w:bookmarkEnd w:id="0"/>
      <w:bookmarkEnd w:id="2"/>
    </w:p>
    <w:p w14:paraId="71D0A029" w14:textId="77777777" w:rsidR="00CA552F" w:rsidRPr="00CA552F" w:rsidRDefault="00CA552F" w:rsidP="00CA552F"/>
    <w:p w14:paraId="2959CDBA" w14:textId="5F33A3F9" w:rsidR="003C1160" w:rsidRPr="002D7DB7" w:rsidRDefault="00BA33F4" w:rsidP="00FC60C0">
      <w:pPr>
        <w:pStyle w:val="Normal1"/>
        <w:spacing w:line="276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ՀՀ Կառավարությունը 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 xml:space="preserve">բարձր է գնահատում </w:t>
      </w:r>
      <w:r w:rsidR="00F60744" w:rsidRPr="002D7DB7">
        <w:rPr>
          <w:rFonts w:ascii="GHEA Grapalat" w:eastAsiaTheme="minorEastAsia" w:hAnsi="GHEA Grapalat" w:cstheme="minorBidi"/>
          <w:sz w:val="24"/>
          <w:szCs w:val="24"/>
        </w:rPr>
        <w:t>ՓՄՁ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 xml:space="preserve"> ներուժը Հայաստանի կայուն և ներառական աճի գործընթացում։ </w:t>
      </w:r>
      <w:r w:rsidR="5894FF83" w:rsidRPr="002D7DB7">
        <w:rPr>
          <w:rFonts w:ascii="GHEA Grapalat" w:eastAsiaTheme="minorEastAsia" w:hAnsi="GHEA Grapalat" w:cstheme="minorBidi"/>
          <w:sz w:val="24"/>
          <w:szCs w:val="24"/>
        </w:rPr>
        <w:t>Սույն ռազմավարությունը սահմանում է ՓՄՁ զարգացմանն ուղղված քաղաքականության շրջանակը, նպատակները, ակնկալվող արդյունքները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 xml:space="preserve"> և նախատեսվող </w:t>
      </w:r>
      <w:r w:rsidR="5894FF83" w:rsidRPr="002D7DB7">
        <w:rPr>
          <w:rFonts w:ascii="GHEA Grapalat" w:eastAsiaTheme="minorEastAsia" w:hAnsi="GHEA Grapalat" w:cstheme="minorBidi"/>
          <w:sz w:val="24"/>
          <w:szCs w:val="24"/>
        </w:rPr>
        <w:t>միջոցառումները 2020-2024թթ</w:t>
      </w:r>
      <w:r w:rsidR="003025BF" w:rsidRPr="002D7DB7">
        <w:rPr>
          <w:rFonts w:ascii="GHEA Grapalat" w:eastAsiaTheme="minorEastAsia" w:hAnsi="GHEA Grapalat" w:cstheme="minorBidi"/>
          <w:sz w:val="24"/>
          <w:szCs w:val="24"/>
        </w:rPr>
        <w:t>.</w:t>
      </w:r>
      <w:r w:rsidR="5894FF83" w:rsidRPr="002D7DB7">
        <w:rPr>
          <w:rFonts w:ascii="GHEA Grapalat" w:eastAsiaTheme="minorEastAsia" w:hAnsi="GHEA Grapalat" w:cstheme="minorBidi"/>
          <w:sz w:val="24"/>
          <w:szCs w:val="24"/>
        </w:rPr>
        <w:t xml:space="preserve"> համար: </w:t>
      </w:r>
    </w:p>
    <w:p w14:paraId="2959CDBB" w14:textId="77777777" w:rsidR="003C1160" w:rsidRPr="002D7DB7" w:rsidRDefault="5894FF83" w:rsidP="00FC60C0">
      <w:pPr>
        <w:pStyle w:val="Normal1"/>
        <w:spacing w:line="276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Ռազմավարությունն իրականացվելու է ըստ տարեկան գործողությունների ծրագրերի, իսկ 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>դրա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 իրականացման համակարգման, մշտադիտարկման և գնահատման գործառույթը վերապահված է ՀՀ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 xml:space="preserve"> էկոնոմիկայի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 նախարարությանը:</w:t>
      </w:r>
    </w:p>
    <w:p w14:paraId="2959CDBC" w14:textId="71D0AD0E" w:rsidR="003C1160" w:rsidRPr="002D7DB7" w:rsidRDefault="5894FF83" w:rsidP="00FC60C0">
      <w:pPr>
        <w:pStyle w:val="Normal1"/>
        <w:spacing w:line="276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Ռազմավարության նպատակն է նպաստել բարեփոխումներին ՓՄՁ մրցունակության բարձրացման համար առանցքային ոլորտներում, ինչպիսիք են կարգավորող և ինստիտուցիոնալ դաշտը, ռեսուրսների, այդ թվում ֆինանսների հասանելիությունը, մարդկային կապիտալի զարգացումը, շուկաների հասանելիությունը, ձեռնարկատիրական մշակույթի զարգացումը։ </w:t>
      </w:r>
      <w:r w:rsidR="00045D11" w:rsidRPr="002D7DB7">
        <w:rPr>
          <w:rFonts w:ascii="GHEA Grapalat" w:eastAsiaTheme="minorEastAsia" w:hAnsi="GHEA Grapalat" w:cstheme="minorBidi"/>
          <w:sz w:val="24"/>
          <w:szCs w:val="24"/>
        </w:rPr>
        <w:t>Կառավարության նպատակն է ձևավորել միջավայր</w:t>
      </w:r>
      <w:r w:rsidR="005E71D8" w:rsidRPr="002D7DB7">
        <w:rPr>
          <w:rFonts w:ascii="GHEA Grapalat" w:eastAsiaTheme="minorEastAsia" w:hAnsi="GHEA Grapalat" w:cstheme="minorBidi"/>
          <w:sz w:val="24"/>
          <w:szCs w:val="24"/>
        </w:rPr>
        <w:t>, որը կնպաստի նորարարության ներթափանցմանը բոլոր ոլորտներում։</w:t>
      </w:r>
    </w:p>
    <w:p w14:paraId="2959CDBD" w14:textId="793A8A04" w:rsidR="003C1160" w:rsidRPr="002D7DB7" w:rsidRDefault="5894FF83" w:rsidP="00FC60C0">
      <w:pPr>
        <w:pStyle w:val="Normal1"/>
        <w:tabs>
          <w:tab w:val="decimal" w:pos="990"/>
        </w:tabs>
        <w:spacing w:line="276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Ռազմավարության մշակման նպատակով ուսումնասիրվել են </w:t>
      </w:r>
      <w:r w:rsidR="00F715D8" w:rsidRPr="002D7DB7">
        <w:rPr>
          <w:rFonts w:ascii="GHEA Grapalat" w:eastAsiaTheme="minorEastAsia" w:hAnsi="GHEA Grapalat" w:cstheme="minorBidi"/>
          <w:sz w:val="24"/>
          <w:szCs w:val="24"/>
        </w:rPr>
        <w:t xml:space="preserve">ներկա տնտեսական վիճակը, բիզնես և ինստիտուցիոնալ միջավայրերը, 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>հիմնվելով այդ թվում</w:t>
      </w:r>
      <w:r w:rsidR="0065325F" w:rsidRPr="002D7DB7">
        <w:rPr>
          <w:rFonts w:ascii="GHEA Grapalat" w:hAnsi="GHEA Grapalat"/>
        </w:rPr>
        <w:t xml:space="preserve"> </w:t>
      </w:r>
      <w:r w:rsidR="0065325F" w:rsidRPr="002D7DB7">
        <w:rPr>
          <w:rFonts w:ascii="GHEA Grapalat" w:eastAsiaTheme="minorEastAsia" w:hAnsi="GHEA Grapalat" w:cstheme="minorBidi"/>
          <w:sz w:val="24"/>
          <w:szCs w:val="24"/>
        </w:rPr>
        <w:t xml:space="preserve">ՏՀԶԿ 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(OECD) կողմից իրականացվող Եվրոպայի </w:t>
      </w:r>
      <w:r w:rsidR="00644352" w:rsidRPr="002D7DB7">
        <w:rPr>
          <w:rFonts w:ascii="GHEA Grapalat" w:eastAsiaTheme="minorEastAsia" w:hAnsi="GHEA Grapalat" w:cstheme="minorBidi"/>
          <w:sz w:val="24"/>
          <w:szCs w:val="24"/>
        </w:rPr>
        <w:t>ՓԲԱ</w:t>
      </w:r>
      <w:r w:rsidR="00BA436C" w:rsidRPr="00BA436C">
        <w:rPr>
          <w:rFonts w:ascii="GHEA Grapalat" w:eastAsiaTheme="minorEastAsia" w:hAnsi="GHEA Grapalat" w:cstheme="minorBidi"/>
          <w:sz w:val="24"/>
          <w:szCs w:val="24"/>
        </w:rPr>
        <w:t xml:space="preserve"> </w:t>
      </w:r>
      <w:r w:rsidR="00B52564" w:rsidRPr="00B52564">
        <w:rPr>
          <w:rFonts w:ascii="GHEA Grapalat" w:eastAsiaTheme="minorEastAsia" w:hAnsi="GHEA Grapalat" w:cstheme="minorBidi"/>
          <w:sz w:val="24"/>
          <w:szCs w:val="24"/>
        </w:rPr>
        <w:t>(SBA)</w:t>
      </w:r>
      <w:r w:rsidR="00644352" w:rsidRPr="002D7DB7">
        <w:rPr>
          <w:rFonts w:ascii="GHEA Grapalat" w:eastAsiaTheme="minorEastAsia" w:hAnsi="GHEA Grapalat" w:cstheme="minorBidi"/>
          <w:sz w:val="24"/>
          <w:szCs w:val="24"/>
        </w:rPr>
        <w:t xml:space="preserve">-ի 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>գնահատման արդյունքներ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>ին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>, ԵՄ</w:t>
      </w:r>
      <w:r w:rsidR="00BA436C" w:rsidRPr="00BA436C">
        <w:rPr>
          <w:rFonts w:ascii="GHEA Grapalat" w:eastAsiaTheme="minorEastAsia" w:hAnsi="GHEA Grapalat" w:cstheme="minorBidi"/>
          <w:sz w:val="24"/>
          <w:szCs w:val="24"/>
        </w:rPr>
        <w:t xml:space="preserve"> </w:t>
      </w:r>
      <w:r w:rsidR="00523ADD" w:rsidRPr="00523ADD">
        <w:rPr>
          <w:rFonts w:ascii="GHEA Grapalat" w:eastAsiaTheme="minorEastAsia" w:hAnsi="GHEA Grapalat" w:cstheme="minorBidi"/>
          <w:sz w:val="24"/>
          <w:szCs w:val="24"/>
        </w:rPr>
        <w:t xml:space="preserve">(EU) 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>ֆինանսավորմամբ՝ Հայկական բիզնես կոալիցայի կողմից իրականացված հետազոտության արդյունքներ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>ին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, ինչպես նաև </w:t>
      </w:r>
      <w:r w:rsidR="00523ADD" w:rsidRPr="00523ADD">
        <w:rPr>
          <w:rFonts w:ascii="GHEA Grapalat" w:eastAsiaTheme="minorEastAsia" w:hAnsi="GHEA Grapalat" w:cstheme="minorBidi"/>
          <w:sz w:val="24"/>
          <w:szCs w:val="24"/>
        </w:rPr>
        <w:t xml:space="preserve">ԳՄՀԸ (GIZ) 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կողմից ֆինանսավորված </w:t>
      </w:r>
      <w:r w:rsidR="002D7DB7" w:rsidRPr="002D7DB7">
        <w:rPr>
          <w:rFonts w:ascii="GHEA Grapalat" w:eastAsiaTheme="minorEastAsia" w:hAnsi="GHEA Grapalat" w:cstheme="minorBidi"/>
          <w:sz w:val="24"/>
          <w:szCs w:val="24"/>
        </w:rPr>
        <w:t>ԸԴՎԱՅԶ (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>ADWISE</w:t>
      </w:r>
      <w:r w:rsidR="002D7DB7" w:rsidRPr="002D7DB7">
        <w:rPr>
          <w:rFonts w:ascii="GHEA Grapalat" w:eastAsiaTheme="minorEastAsia" w:hAnsi="GHEA Grapalat" w:cstheme="minorBidi"/>
          <w:sz w:val="24"/>
          <w:szCs w:val="24"/>
        </w:rPr>
        <w:t>)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 խորհրդատվական ընկերության կողմից իրականացված ՓՄՁ ռազմավարության գնահատման վերլուծությ</w:t>
      </w:r>
      <w:r w:rsidR="00C7568D" w:rsidRPr="002D7DB7">
        <w:rPr>
          <w:rFonts w:ascii="GHEA Grapalat" w:eastAsiaTheme="minorEastAsia" w:hAnsi="GHEA Grapalat" w:cstheme="minorBidi"/>
          <w:sz w:val="24"/>
          <w:szCs w:val="24"/>
        </w:rPr>
        <w:t>ա</w:t>
      </w:r>
      <w:r w:rsidRPr="002D7DB7">
        <w:rPr>
          <w:rFonts w:ascii="GHEA Grapalat" w:eastAsiaTheme="minorEastAsia" w:hAnsi="GHEA Grapalat" w:cstheme="minorBidi"/>
          <w:sz w:val="24"/>
          <w:szCs w:val="24"/>
        </w:rPr>
        <w:t xml:space="preserve">նը: </w:t>
      </w:r>
    </w:p>
    <w:p w14:paraId="2959CDBE" w14:textId="430751B0" w:rsidR="003C1160" w:rsidRPr="002D7DB7" w:rsidRDefault="5894FF83" w:rsidP="00FC60C0">
      <w:pPr>
        <w:spacing w:after="0" w:line="276" w:lineRule="auto"/>
      </w:pPr>
      <w:r w:rsidRPr="002D7DB7">
        <w:t xml:space="preserve">Ռազմավարության մշակման փուլում քննարկումներ են իրականացվել նաև պետական գերատեսչությունների, միջազգային և ՓՄՁ շահերը ներկայացնող հասարակական կառույցների, ՓՄՁ աջակցության ծրագրեր իրականացնող մասնավոր հատվածի ներկայացուցիչների  հետ, որը հնարավորություն է տվել բոլոր շահառուների կարիքների արտացոլման և </w:t>
      </w:r>
      <w:r w:rsidR="00CC6767" w:rsidRPr="002D7DB7">
        <w:t xml:space="preserve">բոլոր կողմերի ի թիվս պետական մարմինների և միջազգային կազմակերպությունների </w:t>
      </w:r>
      <w:r w:rsidR="00992636" w:rsidRPr="002D7DB7">
        <w:t xml:space="preserve">ջանքերի միասնականացմանը։ </w:t>
      </w:r>
    </w:p>
    <w:p w14:paraId="2959CDBF" w14:textId="35A95ECE" w:rsidR="00CA552F" w:rsidRDefault="006040E8" w:rsidP="00FC60C0">
      <w:pPr>
        <w:spacing w:after="0" w:line="276" w:lineRule="auto"/>
      </w:pPr>
      <w:r w:rsidRPr="002D7DB7">
        <w:t xml:space="preserve">Ռազմավարությունը մշակվել է </w:t>
      </w:r>
      <w:r w:rsidR="00BA436C" w:rsidRPr="00523ADD">
        <w:rPr>
          <w:rFonts w:eastAsiaTheme="minorEastAsia" w:cstheme="minorBidi"/>
        </w:rPr>
        <w:t xml:space="preserve">ԳՄՀԸ (GIZ) </w:t>
      </w:r>
      <w:r w:rsidRPr="002D7DB7">
        <w:t xml:space="preserve">և </w:t>
      </w:r>
      <w:r w:rsidR="00BA436C" w:rsidRPr="00BA436C">
        <w:t>ՏՀԶԿ</w:t>
      </w:r>
      <w:r w:rsidR="00BA436C">
        <w:t xml:space="preserve"> (OECD) </w:t>
      </w:r>
      <w:r w:rsidR="00863FBB" w:rsidRPr="002D7DB7">
        <w:t>գործակցությամբ։</w:t>
      </w:r>
    </w:p>
    <w:p w14:paraId="3DA6D16A" w14:textId="77777777" w:rsidR="00CA552F" w:rsidRDefault="00CA552F">
      <w:pPr>
        <w:spacing w:line="276" w:lineRule="auto"/>
        <w:ind w:firstLine="0"/>
        <w:jc w:val="left"/>
      </w:pPr>
      <w:r>
        <w:br w:type="page"/>
      </w:r>
    </w:p>
    <w:p w14:paraId="333AE3BC" w14:textId="75B44B6F" w:rsidR="00077A36" w:rsidRDefault="00FE5437" w:rsidP="00FE5437">
      <w:pPr>
        <w:pStyle w:val="Heading1"/>
        <w:spacing w:after="0" w:line="276" w:lineRule="auto"/>
      </w:pPr>
      <w:bookmarkStart w:id="3" w:name="_Toc47118487"/>
      <w:bookmarkStart w:id="4" w:name="_Toc17467292"/>
      <w:r w:rsidRPr="00C35AA0">
        <w:lastRenderedPageBreak/>
        <w:t>Կորոնավիրուսի (COVID-19)</w:t>
      </w:r>
      <w:r>
        <w:t xml:space="preserve"> հետևանքները ՓՄՁ ոլորտի սուբյեկտների համար և դրանց հաղթահարման անհրաժեշտությունը</w:t>
      </w:r>
      <w:bookmarkEnd w:id="3"/>
      <w:r>
        <w:t xml:space="preserve"> </w:t>
      </w:r>
    </w:p>
    <w:p w14:paraId="68DE0B6D" w14:textId="52DA158F" w:rsidR="00FE5437" w:rsidRDefault="00FE5437" w:rsidP="00A755CA">
      <w:pPr>
        <w:spacing w:line="276" w:lineRule="auto"/>
        <w:ind w:firstLine="720"/>
      </w:pPr>
      <w:r w:rsidRPr="00C35AA0">
        <w:t>Կորոնավիրուսի (COVID-19) բռնկումը համաշխարհային</w:t>
      </w:r>
      <w:r>
        <w:t xml:space="preserve"> տնտեսության մեջ</w:t>
      </w:r>
      <w:r w:rsidRPr="00C35AA0">
        <w:t xml:space="preserve"> առաջաց</w:t>
      </w:r>
      <w:r>
        <w:t>րել է</w:t>
      </w:r>
      <w:r w:rsidRPr="00C35AA0">
        <w:t xml:space="preserve"> արտակարգ իրավիճակ և գլոբալ տնտեսական</w:t>
      </w:r>
      <w:r>
        <w:t xml:space="preserve"> աճի</w:t>
      </w:r>
      <w:r w:rsidRPr="00C35AA0">
        <w:t xml:space="preserve"> դանդաղում</w:t>
      </w:r>
      <w:r>
        <w:t>,</w:t>
      </w:r>
      <w:r w:rsidRPr="00C35AA0">
        <w:t xml:space="preserve"> </w:t>
      </w:r>
      <w:r w:rsidRPr="007D3B64">
        <w:t xml:space="preserve">քանի որ </w:t>
      </w:r>
      <w:r>
        <w:t>առկա</w:t>
      </w:r>
      <w:r w:rsidRPr="007D3B64">
        <w:t xml:space="preserve"> սահմանափակումները վնասում են </w:t>
      </w:r>
      <w:r>
        <w:t xml:space="preserve">տնտեսության </w:t>
      </w:r>
      <w:r w:rsidRPr="007D3B64">
        <w:t>արտահանմանն ուղղված արդյունաբերության և գյուղատնտեսության առանցքային ոլորտներ</w:t>
      </w:r>
      <w:r>
        <w:t>ը</w:t>
      </w:r>
      <w:r w:rsidRPr="007D3B64">
        <w:t>, զբոսաշրջությ</w:t>
      </w:r>
      <w:r>
        <w:t>ա</w:t>
      </w:r>
      <w:r w:rsidRPr="007D3B64">
        <w:t>նն ու հյուր</w:t>
      </w:r>
      <w:r>
        <w:t>անոցային տնտեսությանը։</w:t>
      </w:r>
      <w:r w:rsidRPr="004245B3">
        <w:t xml:space="preserve"> </w:t>
      </w:r>
      <w:r>
        <w:t>Կազմակերպությունները</w:t>
      </w:r>
      <w:r w:rsidRPr="004245B3">
        <w:t xml:space="preserve"> ճգնաժամի պատճառով բախվ</w:t>
      </w:r>
      <w:r>
        <w:t xml:space="preserve">ել </w:t>
      </w:r>
      <w:r w:rsidRPr="004245B3">
        <w:t>են մի շարք խնդիրների</w:t>
      </w:r>
      <w:r>
        <w:t>, որոնցից են ինչպես</w:t>
      </w:r>
      <w:r w:rsidRPr="004245B3">
        <w:t xml:space="preserve"> աշխատողների </w:t>
      </w:r>
      <w:r w:rsidR="00FB6458">
        <w:t>աշխատավայրում լինելու հետ կապված</w:t>
      </w:r>
      <w:r w:rsidRPr="004245B3">
        <w:t xml:space="preserve"> սահմանափակումներ</w:t>
      </w:r>
      <w:r>
        <w:t>ը</w:t>
      </w:r>
      <w:r w:rsidRPr="004245B3">
        <w:t xml:space="preserve"> </w:t>
      </w:r>
      <w:r>
        <w:t xml:space="preserve">և </w:t>
      </w:r>
      <w:r w:rsidRPr="004245B3">
        <w:t>մատակարար</w:t>
      </w:r>
      <w:r>
        <w:t xml:space="preserve">ման </w:t>
      </w:r>
      <w:r w:rsidRPr="004245B3">
        <w:t>շղթա</w:t>
      </w:r>
      <w:r>
        <w:t>ներ</w:t>
      </w:r>
      <w:r w:rsidRPr="004245B3">
        <w:t>ի խափանումներ</w:t>
      </w:r>
      <w:r>
        <w:t>ը, այնպես էլ</w:t>
      </w:r>
      <w:r w:rsidRPr="004245B3">
        <w:t xml:space="preserve"> </w:t>
      </w:r>
      <w:r>
        <w:t>պահանջարկի անկումը՝</w:t>
      </w:r>
      <w:r w:rsidRPr="004245B3">
        <w:t xml:space="preserve"> սպառողների </w:t>
      </w:r>
      <w:r>
        <w:t>վարքագծային փոփոխության</w:t>
      </w:r>
      <w:r w:rsidRPr="004245B3">
        <w:t xml:space="preserve"> </w:t>
      </w:r>
      <w:r>
        <w:t xml:space="preserve">և </w:t>
      </w:r>
      <w:r w:rsidRPr="004245B3">
        <w:t xml:space="preserve">կառավարության կողմից կիրառվող </w:t>
      </w:r>
      <w:r>
        <w:t>սահմանափակումների հետևանքով։</w:t>
      </w:r>
      <w:r w:rsidRPr="004245B3">
        <w:t xml:space="preserve"> </w:t>
      </w:r>
      <w:r>
        <w:t>Չնայած այն հանգամանքին, որ նշված խնդիրները բնորոշ են թե՛ խոշոր, թե՛ փոքր և միջին ձեռնարկություններին, ճ</w:t>
      </w:r>
      <w:r w:rsidRPr="00512F39">
        <w:t xml:space="preserve">գնաժամը հատկապես ծանր </w:t>
      </w:r>
      <w:r>
        <w:t xml:space="preserve">է </w:t>
      </w:r>
      <w:r w:rsidRPr="00512F39">
        <w:t xml:space="preserve">հարվածում </w:t>
      </w:r>
      <w:r>
        <w:t>ՓՄՁ ոլորտին, քանի որ վերջիններս</w:t>
      </w:r>
      <w:r w:rsidRPr="00A45307">
        <w:t xml:space="preserve"> սահմանափակ կարողություն ունեն </w:t>
      </w:r>
      <w:r>
        <w:t>դիմակայելու</w:t>
      </w:r>
      <w:r w:rsidRPr="00A45307">
        <w:t xml:space="preserve"> </w:t>
      </w:r>
      <w:r>
        <w:t>ցնցումներին,</w:t>
      </w:r>
      <w:r w:rsidRPr="00A45307">
        <w:t xml:space="preserve"> </w:t>
      </w:r>
      <w:r>
        <w:t xml:space="preserve">ունեն </w:t>
      </w:r>
      <w:r w:rsidRPr="00A45307">
        <w:t xml:space="preserve">հաճախորդների </w:t>
      </w:r>
      <w:r>
        <w:t xml:space="preserve">և մատակարարման ցանցի անհամեմատ </w:t>
      </w:r>
      <w:r w:rsidRPr="00A45307">
        <w:t xml:space="preserve">ավելի փոքր </w:t>
      </w:r>
      <w:r>
        <w:t>քանակ,</w:t>
      </w:r>
      <w:r w:rsidRPr="00A45307">
        <w:t xml:space="preserve"> կանխիկ</w:t>
      </w:r>
      <w:r>
        <w:t>ի փոքր</w:t>
      </w:r>
      <w:r w:rsidRPr="00A45307">
        <w:t xml:space="preserve"> պահուստներ և սահմանափակ վարկային տարբերակներ</w:t>
      </w:r>
      <w:r w:rsidRPr="00A755CA">
        <w:t>: ՓՄՁ-ները գերակշռում են այն ճյուղերում, որոնք առավելապես են տուժել ճգնաժամից, ինչպիսիք են տրանսպորտը, արտադրությունը, շինարարությունը, մեծածախ և մանրածախ առևտուրը, զբոսաշրջությունը, հյուրանոցային տնտեսությունը, մասնագիտական ծառայությունները և սպասարկման այլ ծառայությունները։</w:t>
      </w:r>
    </w:p>
    <w:p w14:paraId="29694751" w14:textId="7368F869" w:rsidR="00FE5437" w:rsidRDefault="00FE5437" w:rsidP="00A755CA">
      <w:pPr>
        <w:spacing w:line="276" w:lineRule="auto"/>
        <w:ind w:firstLine="720"/>
      </w:pPr>
      <w:r w:rsidRPr="006A21A7">
        <w:t xml:space="preserve">COVID-19- ի բռնկումը շարունակում է խափանումներ առաջացնել </w:t>
      </w:r>
      <w:r>
        <w:t>ՓՄՁ ոլորտի սուբյեկտների համար՝</w:t>
      </w:r>
      <w:r w:rsidRPr="006A21A7">
        <w:t xml:space="preserve"> հիմնարարորեն փոխ</w:t>
      </w:r>
      <w:r>
        <w:t>ելով</w:t>
      </w:r>
      <w:r w:rsidRPr="006A21A7">
        <w:t xml:space="preserve"> բիզնեսով զբաղվելու ձևը </w:t>
      </w:r>
      <w:r>
        <w:t>ներկայում և</w:t>
      </w:r>
      <w:r w:rsidRPr="006A21A7">
        <w:t xml:space="preserve"> ապագայում:</w:t>
      </w:r>
      <w:r>
        <w:t xml:space="preserve"> Ճգնաժամը հատուկ ըն</w:t>
      </w:r>
      <w:r w:rsidR="00FF6FFC">
        <w:t>դ</w:t>
      </w:r>
      <w:r>
        <w:t>գծեց ներկայումս ՓՄՁ ոլորտի սուբյեկտների գիտելիքների պակասը՝ բիզնեսի ղեկավարման, ֆինանսական գրագիտության, ճգնաժամային մարտահրավերներին դիմակայման և նոր միջավայրին հարմարեցման բնագավառներում՝ մատնանշելով ՓՄՁ-ների համար կարողությունների</w:t>
      </w:r>
      <w:r w:rsidRPr="001248FB">
        <w:t xml:space="preserve"> զարգացման ծրագրեր</w:t>
      </w:r>
      <w:r>
        <w:t xml:space="preserve">ի կենսական անհրաժեշտությունը։ </w:t>
      </w:r>
      <w:r w:rsidRPr="002D7947">
        <w:t>Որպեսզի գոյատևեն հատկապես փոքր և միջին ձեռնարկությունները</w:t>
      </w:r>
      <w:r>
        <w:t>,</w:t>
      </w:r>
      <w:r w:rsidRPr="002D7947">
        <w:t xml:space="preserve"> պետք է կարողանան իրենց գործառնությունները հարմարեցնել նոր միջավայրին</w:t>
      </w:r>
      <w:r>
        <w:t>, քանի որ</w:t>
      </w:r>
      <w:r w:rsidRPr="0025698C">
        <w:t xml:space="preserve"> </w:t>
      </w:r>
      <w:r>
        <w:t>ներկայումս</w:t>
      </w:r>
      <w:r w:rsidRPr="004546B9">
        <w:t xml:space="preserve"> կայացված յուրաքանչյուր որոշում կարող է ազդել բիզնեսի՝ </w:t>
      </w:r>
      <w:r w:rsidR="00FB6458">
        <w:t>ոչ միայն աճի</w:t>
      </w:r>
      <w:r w:rsidRPr="004546B9">
        <w:t xml:space="preserve"> կարողության</w:t>
      </w:r>
      <w:r w:rsidR="00FB6458">
        <w:t>, այլև գոյության</w:t>
      </w:r>
      <w:r w:rsidRPr="004546B9">
        <w:t xml:space="preserve"> վրա:</w:t>
      </w:r>
      <w:r>
        <w:t xml:space="preserve"> </w:t>
      </w:r>
      <w:r w:rsidR="00FB6458">
        <w:t>Անհրաժեշտ</w:t>
      </w:r>
      <w:r>
        <w:t xml:space="preserve"> է</w:t>
      </w:r>
      <w:r w:rsidRPr="004546B9">
        <w:t xml:space="preserve"> արտակարգ ճկունություն, համակարգում և </w:t>
      </w:r>
      <w:r>
        <w:t xml:space="preserve">ունակություն դիմակայելու ճգնաժամային և հետճգնաժամային ցնցումներին, ինչը հնարավոր է միայն </w:t>
      </w:r>
      <w:r w:rsidRPr="001248FB">
        <w:t xml:space="preserve">ՓՄՁ-ներին ճգնաժամի ընթացքում հմտությունների </w:t>
      </w:r>
      <w:r>
        <w:t xml:space="preserve">զարգացման հնարավորության և </w:t>
      </w:r>
      <w:r w:rsidRPr="001248FB">
        <w:t xml:space="preserve">հասանելիության </w:t>
      </w:r>
      <w:r w:rsidR="00FB6458">
        <w:t>ապահովման</w:t>
      </w:r>
      <w:r>
        <w:t xml:space="preserve"> միջոցով։ Անհրաժեշտ է</w:t>
      </w:r>
      <w:r w:rsidRPr="0025698C">
        <w:t xml:space="preserve"> </w:t>
      </w:r>
      <w:r>
        <w:t>կրթել</w:t>
      </w:r>
      <w:r w:rsidRPr="0025698C">
        <w:t xml:space="preserve"> ՓՄՁ-ներին՝ օգնելու</w:t>
      </w:r>
      <w:r>
        <w:t xml:space="preserve"> ձեռնարկ</w:t>
      </w:r>
      <w:r w:rsidRPr="0025698C">
        <w:t>ել գործողություններ</w:t>
      </w:r>
      <w:r>
        <w:t>,</w:t>
      </w:r>
      <w:r w:rsidRPr="0025698C">
        <w:t xml:space="preserve"> որդեգրել նոր աշխատանքային գործընթացներ, արագացնել թվայնացումը և գտնել նոր շուկաներ: Նման քաղաքականությունները նպատակ ունեն լուծելու հրատապ կարճաժամկետ </w:t>
      </w:r>
      <w:r>
        <w:t>մարտահրավերներ</w:t>
      </w:r>
      <w:r w:rsidRPr="0025698C">
        <w:t xml:space="preserve">, </w:t>
      </w:r>
      <w:r>
        <w:t>սակայն</w:t>
      </w:r>
      <w:r w:rsidRPr="0025698C">
        <w:t xml:space="preserve"> նպաստում </w:t>
      </w:r>
      <w:r>
        <w:t xml:space="preserve">են նաև </w:t>
      </w:r>
      <w:r w:rsidRPr="0025698C">
        <w:t>ՓՄՁ-ների կայունության ամրապնդմանը և աջակց</w:t>
      </w:r>
      <w:r>
        <w:t>ում</w:t>
      </w:r>
      <w:r w:rsidRPr="0025698C">
        <w:t xml:space="preserve"> դրանց հետագա աճին: </w:t>
      </w:r>
    </w:p>
    <w:p w14:paraId="46E1A56C" w14:textId="1D0EC643" w:rsidR="00FE5437" w:rsidRDefault="00FE5437" w:rsidP="00A755CA">
      <w:pPr>
        <w:spacing w:line="276" w:lineRule="auto"/>
        <w:ind w:firstLine="720"/>
      </w:pPr>
      <w:r>
        <w:t>Միևնույն ժամանակ, ձեռներեցությունը այլընտրանք է կորցրած աշխատանքի, արտագնա աշխատանքների հնարավորությունների սահման</w:t>
      </w:r>
      <w:r w:rsidR="00FF6FFC">
        <w:t>ա</w:t>
      </w:r>
      <w:r>
        <w:t xml:space="preserve">փակման և տնտեսության տարաբնույթ ոլորտներում անձնակազմի կրճատումների պայմաններում։ Հասարակության մոտ </w:t>
      </w:r>
      <w:r>
        <w:lastRenderedPageBreak/>
        <w:t xml:space="preserve">ձեռներեցական հնարավորությունների շուրջ իրազեկման, ձեռներեցական ունակությունների զարգացումն այլևս ավելի քան հրատապ է։ </w:t>
      </w:r>
    </w:p>
    <w:p w14:paraId="59940683" w14:textId="06252BCE" w:rsidR="00FE5437" w:rsidRDefault="00FE5437" w:rsidP="00CA552F">
      <w:pPr>
        <w:shd w:val="clear" w:color="auto" w:fill="FFFFFF" w:themeFill="background1"/>
        <w:spacing w:line="276" w:lineRule="auto"/>
        <w:ind w:firstLine="720"/>
      </w:pPr>
      <w:r w:rsidRPr="006A21A7">
        <w:t xml:space="preserve"> </w:t>
      </w:r>
      <w:r>
        <w:t>Ճգնաժամը ցույց տվեց, որ անհրաժեշտ է</w:t>
      </w:r>
      <w:r w:rsidRPr="00DE374F">
        <w:t xml:space="preserve"> վերանայել և վերակազմավորել </w:t>
      </w:r>
      <w:r>
        <w:t xml:space="preserve">կազմակերպությունների </w:t>
      </w:r>
      <w:r w:rsidRPr="00DE374F">
        <w:t>ներքին բիզնես գործընթացները</w:t>
      </w:r>
      <w:r>
        <w:t>՝ հ</w:t>
      </w:r>
      <w:r w:rsidRPr="00DE374F">
        <w:t xml:space="preserve">նարավորության սահմաններում </w:t>
      </w:r>
      <w:r>
        <w:t>իրականացնելով</w:t>
      </w:r>
      <w:r w:rsidRPr="00DE374F">
        <w:t xml:space="preserve"> հեռավոր աշխատանքային պայմանավորվածություններ</w:t>
      </w:r>
      <w:r>
        <w:t>,</w:t>
      </w:r>
      <w:r w:rsidRPr="00DE374F">
        <w:t xml:space="preserve"> օգտագործելով տեղեկատվական և հաղորդակցական տեխնոլոգիաներ, </w:t>
      </w:r>
      <w:r w:rsidR="009158DF" w:rsidRPr="00A755CA">
        <w:t>(</w:t>
      </w:r>
      <w:r w:rsidRPr="00DE374F">
        <w:t>հեռակոնֆերանսի ծրագրակազմը, ակնթարթային հաղորդագրությունների մատուցման ծառայությունները, ամպ</w:t>
      </w:r>
      <w:r>
        <w:t xml:space="preserve">ային </w:t>
      </w:r>
      <w:r w:rsidRPr="006A21A7">
        <w:t xml:space="preserve">(cloud-based) </w:t>
      </w:r>
      <w:r w:rsidRPr="00DE374F">
        <w:t>ֆայլերի փոխանակման համակարգերը, համատեղ աշխատանքային ծրագրերը և այլն</w:t>
      </w:r>
      <w:r w:rsidR="009158DF" w:rsidRPr="00A755CA">
        <w:t>)</w:t>
      </w:r>
      <w:r w:rsidRPr="00DE374F">
        <w:t xml:space="preserve">: Եթե ​​հեռավար աշխատանքային պայմանավորվածությունները հնարավոր չեն, ապա ձեռնարկությունները պետք է ընդունեն ողջամիտ նախազգուշական միջոցներ, որպեսզի աշխատատեղերը լինեն հիգիենիկ և անվտանգ, </w:t>
      </w:r>
      <w:r w:rsidRPr="006A21A7">
        <w:t>(</w:t>
      </w:r>
      <w:r w:rsidRPr="00DE374F">
        <w:t>օրինակ`</w:t>
      </w:r>
      <w:r w:rsidRPr="006A21A7">
        <w:t xml:space="preserve"> </w:t>
      </w:r>
      <w:r w:rsidRPr="00DE374F">
        <w:t>աշխատատեղերը պարբերաբար մաքրելով, ձեռքի մաքրման և օճառի</w:t>
      </w:r>
      <w:r w:rsidRPr="006A21A7">
        <w:t xml:space="preserve">, </w:t>
      </w:r>
      <w:r>
        <w:t>ախտահանող միջոցների</w:t>
      </w:r>
      <w:r w:rsidRPr="00DE374F">
        <w:t xml:space="preserve"> առկայություն ապահովելով</w:t>
      </w:r>
      <w:r w:rsidRPr="006A21A7">
        <w:t>)</w:t>
      </w:r>
      <w:r w:rsidRPr="00DE374F">
        <w:t xml:space="preserve"> անձնակազմին </w:t>
      </w:r>
      <w:r>
        <w:t>հրահանգել</w:t>
      </w:r>
      <w:r w:rsidRPr="00DE374F">
        <w:t xml:space="preserve"> խուսափել ձեռք</w:t>
      </w:r>
      <w:r>
        <w:t>սեղմ</w:t>
      </w:r>
      <w:r w:rsidRPr="00DE374F">
        <w:t>ումներից</w:t>
      </w:r>
      <w:r>
        <w:t xml:space="preserve"> և</w:t>
      </w:r>
      <w:r w:rsidRPr="00DE374F">
        <w:t xml:space="preserve"> պահպանել նվազագույն հեռավորություն</w:t>
      </w:r>
      <w:r>
        <w:t>, աշխատակիցների համար սահմանել ճկուն և հերթափոխային</w:t>
      </w:r>
      <w:r w:rsidRPr="00DE374F">
        <w:t xml:space="preserve"> աշխատանքային ժամեր: Չնայած այդ միջոցները կարճաժամկետ հեռանկարում կարող են ներառել լրաց</w:t>
      </w:r>
      <w:r>
        <w:t>ո</w:t>
      </w:r>
      <w:r w:rsidRPr="00DE374F">
        <w:t>ւցիչ ծախսեր, դրանք հետագայում կնվազեցնեն փոքր բիզնեսի ծախսերը:</w:t>
      </w:r>
      <w:r w:rsidRPr="00416306">
        <w:t xml:space="preserve"> </w:t>
      </w:r>
    </w:p>
    <w:p w14:paraId="1ECAA71C" w14:textId="5B0E404C" w:rsidR="00FE5437" w:rsidRDefault="00FE5437" w:rsidP="00CA552F">
      <w:pPr>
        <w:shd w:val="clear" w:color="auto" w:fill="FFFFFF" w:themeFill="background1"/>
        <w:spacing w:line="276" w:lineRule="auto"/>
        <w:ind w:firstLine="720"/>
      </w:pPr>
      <w:r>
        <w:t xml:space="preserve">Նշված միջոցառումները առաջացնում են նաև ՀՀ աշխատանքային օրենսգրքի համապատասխան ուսումնասիրության և ճկունության գնահատման անհրաժեշտություն։ Ճգնաժամը ցույց տվեց ներկայիս օրենսգրքում առկա բացթողումները՝ հեռավար աշխատանքի կազմակերպման կարգի, պարապուրդի, արտակարգ իրավիճակներում աշխատողների վարձատրության և այլ դրույթների շուրջ։ Հաշվի առնելով, որ ճգնաժամային իրավիճակներում հնարավոր են որոշ կազմակերպությունների գործունեության տեսակների </w:t>
      </w:r>
      <w:r w:rsidRPr="00286A41">
        <w:t>անորոշ ժամանակով դադարեց</w:t>
      </w:r>
      <w:r>
        <w:t xml:space="preserve">ման դեպքեր, անհրաժեշտ է գործող օրենսդրությունը </w:t>
      </w:r>
      <w:r w:rsidR="00E10234">
        <w:t>վերանայել ու նոր լուծումներ առաջարկել</w:t>
      </w:r>
      <w:r>
        <w:t xml:space="preserve">՝ խուսափելու կազմակերպությունների վրա </w:t>
      </w:r>
      <w:r w:rsidRPr="00286A41">
        <w:t>անհավասար մեխանիզմներ</w:t>
      </w:r>
      <w:r>
        <w:t>ի</w:t>
      </w:r>
      <w:r w:rsidRPr="00286A41">
        <w:t xml:space="preserve"> </w:t>
      </w:r>
      <w:r>
        <w:t xml:space="preserve">կիրառումից և </w:t>
      </w:r>
      <w:r w:rsidRPr="00286A41">
        <w:t>լրացուցիչ բեռ սահմանելո</w:t>
      </w:r>
      <w:r>
        <w:t>ւ դեպքերից։</w:t>
      </w:r>
      <w:r w:rsidRPr="00286A41">
        <w:t xml:space="preserve"> </w:t>
      </w:r>
    </w:p>
    <w:p w14:paraId="5F7996A4" w14:textId="292737CA" w:rsidR="00FE5437" w:rsidRPr="00CA552F" w:rsidRDefault="00FE5437" w:rsidP="00CA552F">
      <w:pPr>
        <w:shd w:val="clear" w:color="auto" w:fill="FFFFFF" w:themeFill="background1"/>
        <w:spacing w:line="276" w:lineRule="auto"/>
        <w:ind w:firstLine="720"/>
      </w:pPr>
      <w:r w:rsidRPr="004546B9">
        <w:t xml:space="preserve">COVID-19 ճգնաժամը ազդում է բոլորի վրա, բայց այն հարվածում է կանանց </w:t>
      </w:r>
      <w:r>
        <w:t xml:space="preserve">առավել ընդգծված </w:t>
      </w:r>
      <w:r w:rsidRPr="004546B9">
        <w:t>ձևերով</w:t>
      </w:r>
      <w:r>
        <w:t>։</w:t>
      </w:r>
      <w:r w:rsidRPr="004546B9">
        <w:t xml:space="preserve"> </w:t>
      </w:r>
      <w:r>
        <w:t xml:space="preserve">ՓՄՁ-ներում կանայք և տղամարդիկ անհավասարաչափ են կենտրոնացած, թե </w:t>
      </w:r>
      <w:r w:rsidRPr="005B58E5">
        <w:t>՛</w:t>
      </w:r>
      <w:r>
        <w:t xml:space="preserve"> որպես աշխատող, թե</w:t>
      </w:r>
      <w:r w:rsidRPr="005B58E5">
        <w:t>՛</w:t>
      </w:r>
      <w:r w:rsidRPr="006862E5">
        <w:t xml:space="preserve"> </w:t>
      </w:r>
      <w:r w:rsidRPr="005B58E5">
        <w:t>որպես բիզնեսի սեփականատերեր</w:t>
      </w:r>
      <w:r>
        <w:t>։</w:t>
      </w:r>
      <w:r w:rsidRPr="006862E5">
        <w:t xml:space="preserve"> </w:t>
      </w:r>
      <w:r w:rsidRPr="005B58E5">
        <w:t>Հետազոտությունները ցույց են տալիս, որ կանայք հաճախ աշխատում են պա</w:t>
      </w:r>
      <w:r>
        <w:t>յմանագրային</w:t>
      </w:r>
      <w:r w:rsidRPr="005B58E5">
        <w:t xml:space="preserve"> կամ ժամանակավոր հիմունքներով</w:t>
      </w:r>
      <w:r w:rsidR="00E10234">
        <w:t>, ներգրավված են առավելապես ծառայությունների մատուցման ոլորտում</w:t>
      </w:r>
      <w:r w:rsidRPr="005B58E5">
        <w:t xml:space="preserve"> և, հետևաբար, առաջինն</w:t>
      </w:r>
      <w:r w:rsidR="00E10234">
        <w:t>երից</w:t>
      </w:r>
      <w:r w:rsidRPr="005B58E5">
        <w:t xml:space="preserve"> են, ո</w:t>
      </w:r>
      <w:r w:rsidR="00E10234">
        <w:t>վ</w:t>
      </w:r>
      <w:r w:rsidRPr="005B58E5">
        <w:t xml:space="preserve"> կորցնում </w:t>
      </w:r>
      <w:r w:rsidR="00E10234">
        <w:t>է</w:t>
      </w:r>
      <w:r w:rsidRPr="005B58E5">
        <w:t xml:space="preserve"> աշխատանքը ճգնաժամի պայմաններում</w:t>
      </w:r>
      <w:r>
        <w:t xml:space="preserve">։ </w:t>
      </w:r>
      <w:r w:rsidRPr="00A45307">
        <w:t xml:space="preserve">Կանանց կողմից </w:t>
      </w:r>
      <w:r>
        <w:t>ղեկավարվող</w:t>
      </w:r>
      <w:r w:rsidRPr="00A45307">
        <w:t xml:space="preserve"> ՓՄՁ-ների պարագայում</w:t>
      </w:r>
      <w:r>
        <w:t xml:space="preserve"> ճգնաժամին</w:t>
      </w:r>
      <w:r w:rsidRPr="00A45307">
        <w:t xml:space="preserve"> դիմացկունության պակասը սրվում է նրանց ֆինանսական ծառայությունների և ակտիվների ցածր տեղեկատվության, տեղեկատվական և հաղորդակցական տեխնոլոգիաների (ՏՀՏ) և բիզնես ցանցերի ավելի ցածր հասանելիության պատճառով, որոնք ավելի մատչելի են տղամարդկանց համար</w:t>
      </w:r>
      <w:r>
        <w:t xml:space="preserve">։ </w:t>
      </w:r>
      <w:r w:rsidRPr="006862E5">
        <w:t xml:space="preserve">Հետևաբար անհրաժեշտ է ապահովել, որ կանայք օգտվեն առկա կամ նոր </w:t>
      </w:r>
      <w:r>
        <w:t>հնարավորություններից</w:t>
      </w:r>
      <w:r w:rsidRPr="006862E5">
        <w:t>`</w:t>
      </w:r>
      <w:r>
        <w:t xml:space="preserve"> խրախուսական մեխանիզմների և հատուկ ուղղվածությամբ ծրագրերի </w:t>
      </w:r>
      <w:r w:rsidRPr="00CA552F">
        <w:t>անցկացման միջոցով առավելապես խթանել նրանց տնտեսական ակտիվությունը։</w:t>
      </w:r>
    </w:p>
    <w:p w14:paraId="5694F7A1" w14:textId="63A55326" w:rsidR="00FE5437" w:rsidRPr="00CA552F" w:rsidRDefault="00FE5437" w:rsidP="00CA552F">
      <w:pPr>
        <w:shd w:val="clear" w:color="auto" w:fill="FFFFFF" w:themeFill="background1"/>
        <w:spacing w:line="276" w:lineRule="auto"/>
      </w:pPr>
      <w:r w:rsidRPr="00CA552F">
        <w:lastRenderedPageBreak/>
        <w:t xml:space="preserve">ՓՄՁ-ների և </w:t>
      </w:r>
      <w:r w:rsidR="00E10234" w:rsidRPr="00CA552F">
        <w:t>նրանց</w:t>
      </w:r>
      <w:r w:rsidRPr="00CA552F">
        <w:t xml:space="preserve"> հետ փոխկապակցված կազմակերպությունների մոտ ճգնաժամի հետևանքով առաջացող ֆինանսական միջոցների անբավարարո</w:t>
      </w:r>
      <w:r w:rsidR="00FF6FFC">
        <w:t>ւթյու</w:t>
      </w:r>
      <w:r w:rsidRPr="00CA552F">
        <w:t xml:space="preserve">նը </w:t>
      </w:r>
      <w:r w:rsidR="00E10234" w:rsidRPr="00CA552F">
        <w:t>կտրուկ ավելացնելու է</w:t>
      </w:r>
      <w:r w:rsidRPr="00CA552F">
        <w:t xml:space="preserve"> </w:t>
      </w:r>
      <w:r w:rsidR="00E10234" w:rsidRPr="00CA552F">
        <w:t>մի շարք</w:t>
      </w:r>
      <w:r w:rsidR="00FF6FFC">
        <w:t xml:space="preserve"> </w:t>
      </w:r>
      <w:r w:rsidRPr="00CA552F">
        <w:t xml:space="preserve">կազմակերպությունների գործունեության ժամանակավոր դադարեցման, </w:t>
      </w:r>
      <w:r w:rsidR="00E10234" w:rsidRPr="00CA552F">
        <w:t>ինչպես</w:t>
      </w:r>
      <w:r w:rsidRPr="00CA552F">
        <w:t xml:space="preserve"> նաև՝ սն</w:t>
      </w:r>
      <w:r w:rsidR="00FF6FFC">
        <w:t>ա</w:t>
      </w:r>
      <w:r w:rsidRPr="00CA552F">
        <w:t>նկացման</w:t>
      </w:r>
      <w:r w:rsidR="00E10234" w:rsidRPr="00CA552F">
        <w:t xml:space="preserve"> դեպքերը։</w:t>
      </w:r>
      <w:r w:rsidR="00E10234" w:rsidRPr="00CA552F" w:rsidDel="00E10234">
        <w:t xml:space="preserve"> </w:t>
      </w:r>
      <w:r w:rsidRPr="00CA552F">
        <w:t>Անհրաժեշտություն է առաջանում ուսումնասիրել սնանկության գործընթացին վերաբերող օրենսդրական կարգավորումները և ինստիտուցիոնալ դաշտը</w:t>
      </w:r>
      <w:r w:rsidR="00E10234" w:rsidRPr="00CA552F">
        <w:t>,</w:t>
      </w:r>
      <w:r w:rsidRPr="00CA552F">
        <w:t xml:space="preserve"> ՀՀ-ում և բարելավել սնանկության կանխարգելման պրակտիկան, ինչպես նաև տեսանելի դարձնել «երկրորդ հնարավորությամբ» ձեռնարկատիրությամբ զբաղվելը։</w:t>
      </w:r>
    </w:p>
    <w:p w14:paraId="2BECC477" w14:textId="5873BA6F" w:rsidR="00FE5437" w:rsidRPr="00CA552F" w:rsidRDefault="00FE5437" w:rsidP="00CA552F">
      <w:pPr>
        <w:shd w:val="clear" w:color="auto" w:fill="FFFFFF" w:themeFill="background1"/>
        <w:spacing w:after="0" w:line="276" w:lineRule="auto"/>
        <w:ind w:firstLine="720"/>
        <w:textAlignment w:val="top"/>
      </w:pPr>
      <w:r w:rsidRPr="00CA552F">
        <w:t>Ճգնաժամի հետևանքով առաջացած ապրանքների և ծառայությունների մատուցման նոր նրբությունները</w:t>
      </w:r>
      <w:r w:rsidR="00E10234" w:rsidRPr="00CA552F">
        <w:t>, ներկրվող հումքի հասանելիության բարդությունները</w:t>
      </w:r>
      <w:r w:rsidR="007C18D7" w:rsidRPr="00CA552F">
        <w:t xml:space="preserve"> հնարավորություն են ստեղծում</w:t>
      </w:r>
      <w:r w:rsidR="00FF6FFC">
        <w:t xml:space="preserve"> </w:t>
      </w:r>
      <w:r w:rsidRPr="00CA552F">
        <w:t xml:space="preserve">փոքր </w:t>
      </w:r>
      <w:r w:rsidRPr="00CA552F">
        <w:rPr>
          <w:shd w:val="clear" w:color="auto" w:fill="FFFFFF" w:themeFill="background1"/>
        </w:rPr>
        <w:t>ձեռնարկություններ</w:t>
      </w:r>
      <w:r w:rsidR="007C18D7" w:rsidRPr="00CA552F">
        <w:rPr>
          <w:shd w:val="clear" w:color="auto" w:fill="FFFFFF" w:themeFill="background1"/>
        </w:rPr>
        <w:t>ի</w:t>
      </w:r>
      <w:r w:rsidRPr="00CA552F">
        <w:rPr>
          <w:shd w:val="clear" w:color="auto" w:fill="FFFFFF" w:themeFill="background1"/>
        </w:rPr>
        <w:t xml:space="preserve"> </w:t>
      </w:r>
      <w:r w:rsidR="007C18D7" w:rsidRPr="00CA552F">
        <w:rPr>
          <w:shd w:val="clear" w:color="auto" w:fill="FFFFFF" w:themeFill="background1"/>
        </w:rPr>
        <w:t>համար</w:t>
      </w:r>
      <w:r w:rsidRPr="00CA552F">
        <w:rPr>
          <w:shd w:val="clear" w:color="auto" w:fill="FFFFFF" w:themeFill="background1"/>
        </w:rPr>
        <w:t xml:space="preserve"> արագ դիրքավոր</w:t>
      </w:r>
      <w:r w:rsidR="007C18D7" w:rsidRPr="00CA552F">
        <w:rPr>
          <w:shd w:val="clear" w:color="auto" w:fill="FFFFFF" w:themeFill="background1"/>
        </w:rPr>
        <w:t>ման</w:t>
      </w:r>
      <w:r w:rsidRPr="00CA552F">
        <w:rPr>
          <w:shd w:val="clear" w:color="auto" w:fill="FFFFFF" w:themeFill="background1"/>
        </w:rPr>
        <w:t xml:space="preserve">՝ </w:t>
      </w:r>
      <w:r w:rsidR="007C18D7" w:rsidRPr="00CA552F">
        <w:rPr>
          <w:shd w:val="clear" w:color="auto" w:fill="FFFFFF" w:themeFill="background1"/>
        </w:rPr>
        <w:t>հիմնվելով</w:t>
      </w:r>
      <w:r w:rsidRPr="00CA552F">
        <w:rPr>
          <w:shd w:val="clear" w:color="auto" w:fill="FFFFFF" w:themeFill="background1"/>
        </w:rPr>
        <w:t xml:space="preserve"> իրենց ճկունությ</w:t>
      </w:r>
      <w:r w:rsidR="007C18D7" w:rsidRPr="00CA552F">
        <w:rPr>
          <w:shd w:val="clear" w:color="auto" w:fill="FFFFFF" w:themeFill="background1"/>
        </w:rPr>
        <w:t>ան</w:t>
      </w:r>
      <w:r w:rsidRPr="00CA552F">
        <w:rPr>
          <w:shd w:val="clear" w:color="auto" w:fill="FFFFFF" w:themeFill="background1"/>
        </w:rPr>
        <w:t xml:space="preserve"> և արագ հարմարվելու ունակությ</w:t>
      </w:r>
      <w:r w:rsidR="007C18D7" w:rsidRPr="00CA552F">
        <w:rPr>
          <w:shd w:val="clear" w:color="auto" w:fill="FFFFFF" w:themeFill="background1"/>
        </w:rPr>
        <w:t>ա</w:t>
      </w:r>
      <w:r w:rsidRPr="00CA552F">
        <w:rPr>
          <w:shd w:val="clear" w:color="auto" w:fill="FFFFFF" w:themeFill="background1"/>
        </w:rPr>
        <w:t>ն</w:t>
      </w:r>
      <w:r w:rsidR="007C18D7" w:rsidRPr="00CA552F">
        <w:rPr>
          <w:shd w:val="clear" w:color="auto" w:fill="FFFFFF" w:themeFill="background1"/>
        </w:rPr>
        <w:t xml:space="preserve"> վրա</w:t>
      </w:r>
      <w:r w:rsidRPr="00CA552F">
        <w:rPr>
          <w:shd w:val="clear" w:color="auto" w:fill="FFFFFF" w:themeFill="background1"/>
        </w:rPr>
        <w:t>: Փոքր ձեռնարկությունները կարող են ապահովել իրենց դիրքերը շուկայում՝</w:t>
      </w:r>
      <w:r w:rsidRPr="00CA552F">
        <w:t xml:space="preserve"> </w:t>
      </w:r>
      <w:r w:rsidR="007C18D7" w:rsidRPr="00CA552F">
        <w:t>ինտեգրվելով</w:t>
      </w:r>
      <w:r w:rsidRPr="00CA552F">
        <w:t xml:space="preserve"> տարբեր արժե</w:t>
      </w:r>
      <w:r w:rsidR="007C18D7" w:rsidRPr="00CA552F">
        <w:t>շղթաներում երկարաժամկետ հեռանկար ապահովելով ոլորտին։</w:t>
      </w:r>
    </w:p>
    <w:p w14:paraId="2E2F62A3" w14:textId="2CC0A21F" w:rsidR="007C18D7" w:rsidRDefault="007C18D7" w:rsidP="00CA552F">
      <w:pPr>
        <w:shd w:val="clear" w:color="auto" w:fill="FFFFFF" w:themeFill="background1"/>
        <w:spacing w:after="0" w:line="276" w:lineRule="auto"/>
        <w:ind w:firstLine="720"/>
        <w:textAlignment w:val="top"/>
      </w:pPr>
      <w:r w:rsidRPr="00CA552F">
        <w:t>Այն գործողությունները, որոնք ձեռնարկվել են` ուղղված արտահանման խթանմանը, առկա խոչընդոտների բացահայտմանն ու չեզոքացմանը, ներառյալ տեխնիկական աջակցությունը, կարողությունների զարգացումը,</w:t>
      </w:r>
      <w:r w:rsidRPr="00CE3447">
        <w:t xml:space="preserve"> </w:t>
      </w:r>
      <w:r>
        <w:t>օրենսդրական դաշտի ուսումնասիրությունները,</w:t>
      </w:r>
      <w:r w:rsidRPr="00CE3447">
        <w:t xml:space="preserve"> այժմ ավելի կարևոր են, քան երբևէ</w:t>
      </w:r>
      <w:r>
        <w:t>։ Ճգնաժամի պայմաններում առավել ընդգծվում են փոքր և միջին</w:t>
      </w:r>
      <w:r w:rsidRPr="00CE3447">
        <w:t xml:space="preserve"> ձեռներեցների</w:t>
      </w:r>
      <w:r>
        <w:t xml:space="preserve"> հնարավորությունների ապահովման անհրաժեշտությունը </w:t>
      </w:r>
      <w:r w:rsidRPr="00CE3447">
        <w:t xml:space="preserve">լուծելու այնպիսի բարդ խնդիրներ, ինչպիսիք են </w:t>
      </w:r>
      <w:r>
        <w:t>պայմանագրային պարտավորությունների կատարումը</w:t>
      </w:r>
      <w:r w:rsidRPr="00CE3447">
        <w:t xml:space="preserve">, նյութատեխնիկական ապահովումը, </w:t>
      </w:r>
      <w:r>
        <w:t xml:space="preserve">լոգիստիկան, ծավալային խնդիրները, </w:t>
      </w:r>
      <w:r w:rsidRPr="00CE3447">
        <w:t xml:space="preserve">շուկայի պահանջները և </w:t>
      </w:r>
      <w:r>
        <w:t>այլն</w:t>
      </w:r>
      <w:r w:rsidRPr="00CE3447">
        <w:t>:</w:t>
      </w:r>
      <w:r>
        <w:t xml:space="preserve"> </w:t>
      </w:r>
    </w:p>
    <w:p w14:paraId="3539CF11" w14:textId="547AE1EB" w:rsidR="00FE5437" w:rsidRPr="00623009" w:rsidRDefault="00FE5437" w:rsidP="00A755CA">
      <w:pPr>
        <w:shd w:val="clear" w:color="auto" w:fill="FFFFFF"/>
        <w:spacing w:after="0" w:line="276" w:lineRule="auto"/>
        <w:ind w:firstLine="720"/>
        <w:textAlignment w:val="top"/>
      </w:pPr>
      <w:r>
        <w:t>Ճգնաժամը առավել ընդգծեց նաև ՓՄՁ</w:t>
      </w:r>
      <w:r w:rsidRPr="00623009">
        <w:t xml:space="preserve"> </w:t>
      </w:r>
      <w:r>
        <w:t>վիճակագրական տվյալների հավաքագրման</w:t>
      </w:r>
      <w:r w:rsidRPr="00623009">
        <w:t xml:space="preserve"> </w:t>
      </w:r>
      <w:r>
        <w:t xml:space="preserve">մանրամասնության ու </w:t>
      </w:r>
      <w:r w:rsidRPr="00623009">
        <w:t>որակի բարձրացման անհրաժեշտությունը</w:t>
      </w:r>
      <w:r>
        <w:t>՝</w:t>
      </w:r>
      <w:r w:rsidRPr="00623009">
        <w:t xml:space="preserve"> </w:t>
      </w:r>
      <w:r>
        <w:t xml:space="preserve"> տնտեսական հետևանքների գնահատման, մ</w:t>
      </w:r>
      <w:r w:rsidRPr="00623009">
        <w:t>ոնիտորինգի</w:t>
      </w:r>
      <w:r>
        <w:t xml:space="preserve"> և</w:t>
      </w:r>
      <w:r w:rsidRPr="00623009">
        <w:t xml:space="preserve"> քաղաքականության մ</w:t>
      </w:r>
      <w:r>
        <w:t xml:space="preserve">շակման </w:t>
      </w:r>
      <w:r w:rsidRPr="00623009">
        <w:t>բարելավման համար</w:t>
      </w:r>
      <w:r>
        <w:t>։</w:t>
      </w:r>
      <w:r w:rsidRPr="0076446F">
        <w:t xml:space="preserve"> ՓՄՁ-ները տնտեսական աճի, նորարարությունների, աշխատատեղերի ստեղծման և սոցիալական ինտեգրման ապահովման բանալին</w:t>
      </w:r>
      <w:r>
        <w:t xml:space="preserve"> են հանդիսանում</w:t>
      </w:r>
      <w:r w:rsidRPr="0076446F">
        <w:t xml:space="preserve">: </w:t>
      </w:r>
      <w:r w:rsidRPr="007C18D7">
        <w:t>Այնուամենայնիվ, պաշտոնական վիճակագրության մեջ ՓՄՁ-ները ներկայումս կարող են նույնականացվել միայն զբաղվածության չափի հետ` պարունակելով տվյալներ գրանցված կազմակերպությունների,</w:t>
      </w:r>
      <w:r w:rsidR="007C18D7" w:rsidRPr="00A755CA">
        <w:t xml:space="preserve"> շրջանառության,</w:t>
      </w:r>
      <w:r w:rsidRPr="007C18D7">
        <w:t xml:space="preserve"> ոլորտների և աշխատակիցների թվաքանակի վերաբերյալ: Անհրաժեշտ գործողություններ է պետք ձեռնարկել բարելավելու</w:t>
      </w:r>
      <w:r w:rsidRPr="00623009">
        <w:t xml:space="preserve"> պաշտոնական գործունեության վիճակագրությունը հավաքելու, ներդաշնակելու, վերլուծելու և </w:t>
      </w:r>
      <w:r w:rsidR="007C18D7">
        <w:t xml:space="preserve">ներկայացնելու </w:t>
      </w:r>
      <w:r w:rsidRPr="00623009">
        <w:t>կարողություն</w:t>
      </w:r>
      <w:r>
        <w:t>ներ</w:t>
      </w:r>
      <w:r w:rsidRPr="00623009">
        <w:t>ը</w:t>
      </w:r>
      <w:r>
        <w:t>՝</w:t>
      </w:r>
      <w:r w:rsidRPr="00623009">
        <w:t xml:space="preserve"> ՓՄՁ-ի կատարողականը չափելու համար</w:t>
      </w:r>
      <w:r>
        <w:t xml:space="preserve">։ </w:t>
      </w:r>
    </w:p>
    <w:p w14:paraId="2AA26FC0" w14:textId="033F2B07" w:rsidR="00CA552F" w:rsidRDefault="00CA552F">
      <w:pPr>
        <w:spacing w:line="276" w:lineRule="auto"/>
        <w:ind w:firstLine="0"/>
        <w:jc w:val="left"/>
      </w:pPr>
      <w:r>
        <w:br w:type="page"/>
      </w:r>
    </w:p>
    <w:p w14:paraId="2959CDC1" w14:textId="48D87630" w:rsidR="00631BAE" w:rsidRPr="002D7DB7" w:rsidRDefault="003025BF" w:rsidP="00FC60C0">
      <w:pPr>
        <w:pStyle w:val="Heading1"/>
        <w:spacing w:after="0" w:line="276" w:lineRule="auto"/>
        <w:rPr>
          <w:sz w:val="32"/>
          <w:szCs w:val="28"/>
        </w:rPr>
      </w:pPr>
      <w:bookmarkStart w:id="5" w:name="_Toc47118488"/>
      <w:r w:rsidRPr="002D7DB7">
        <w:rPr>
          <w:szCs w:val="28"/>
        </w:rPr>
        <w:lastRenderedPageBreak/>
        <w:t>Փ</w:t>
      </w:r>
      <w:r w:rsidRPr="002D7DB7">
        <w:t>ՄՁ ցուցանիշներ</w:t>
      </w:r>
      <w:bookmarkEnd w:id="4"/>
      <w:bookmarkEnd w:id="5"/>
    </w:p>
    <w:p w14:paraId="2959CDC2" w14:textId="0253E905" w:rsidR="00867E7D" w:rsidRPr="002D7DB7" w:rsidRDefault="00AA04A5" w:rsidP="00FC60C0">
      <w:pPr>
        <w:spacing w:after="0" w:line="276" w:lineRule="auto"/>
        <w:ind w:firstLine="0"/>
        <w:rPr>
          <w:rFonts w:eastAsiaTheme="minorEastAsia" w:cstheme="minorBidi"/>
        </w:rPr>
      </w:pPr>
      <w:r>
        <w:rPr>
          <w:rFonts w:eastAsiaTheme="minorEastAsia" w:cstheme="minorBidi"/>
        </w:rPr>
        <w:t>ՓՄՁ</w:t>
      </w:r>
      <w:r w:rsidR="5894FF83" w:rsidRPr="002D7DB7">
        <w:rPr>
          <w:rFonts w:eastAsiaTheme="minorEastAsia" w:cstheme="minorBidi"/>
        </w:rPr>
        <w:t xml:space="preserve"> Հայաստանի տնտեսության մրցունակության բարձրացման, ներառականության և կայուն զարգացման ապահովման կարևորագույն գործոններից է: ՀՀ Կառավարության 2019 թվականի ծրագրում մեծապես կարևորվում է ՓՄՁ զարգացումը, որը համարվում է ներառական տնտեսական աճի նախադրյալ։</w:t>
      </w:r>
    </w:p>
    <w:p w14:paraId="2959CDC3" w14:textId="470F8B50" w:rsidR="00455A29" w:rsidRPr="002D7DB7" w:rsidRDefault="00867E7D" w:rsidP="00FC60C0">
      <w:pPr>
        <w:spacing w:after="0" w:line="276" w:lineRule="auto"/>
        <w:rPr>
          <w:rFonts w:eastAsiaTheme="minorEastAsia" w:cstheme="minorBidi"/>
          <w:b/>
          <w:bCs/>
        </w:rPr>
      </w:pPr>
      <w:r w:rsidRPr="002D7DB7">
        <w:rPr>
          <w:rFonts w:eastAsiaTheme="minorEastAsia" w:cstheme="minorBidi"/>
        </w:rPr>
        <w:t xml:space="preserve">2011 թվականին ՀՀ-ում ՓՄՁ սահմանումը աշխատողների միջին ցուցակային թվաքանակի մասով համապատասխանեցվեց Եվրամիության անդամ երկրներում գործող ՓՄՁ սահմանման հետ, որի համաձայն, ՓՄՁ սուբյեկտները </w:t>
      </w:r>
      <w:r w:rsidR="00E7221F" w:rsidRPr="002D7DB7">
        <w:rPr>
          <w:rFonts w:eastAsiaTheme="minorEastAsia" w:cstheme="minorBidi"/>
        </w:rPr>
        <w:t xml:space="preserve"> վարչական նպատակներով </w:t>
      </w:r>
      <w:r w:rsidRPr="002D7DB7">
        <w:rPr>
          <w:rFonts w:eastAsiaTheme="minorEastAsia" w:cstheme="minorBidi"/>
        </w:rPr>
        <w:t>դասակարգվում են ըստ ստորև ներկայացված չափանիշների.</w:t>
      </w:r>
    </w:p>
    <w:p w14:paraId="2959CDC4" w14:textId="594FE2C1" w:rsidR="002C1806" w:rsidRPr="002D7DB7" w:rsidRDefault="002C1806" w:rsidP="00BA1059">
      <w:pPr>
        <w:pStyle w:val="Caption"/>
        <w:spacing w:before="240"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1</w:t>
      </w:r>
      <w:r w:rsidR="00C07F77" w:rsidRPr="002D7DB7">
        <w:fldChar w:fldCharType="end"/>
      </w:r>
      <w:r w:rsidRPr="002D7DB7">
        <w:t xml:space="preserve">Հայաստանում միկրո, փոքր և միջին </w:t>
      </w:r>
      <w:r w:rsidR="001C1FF2">
        <w:t>կազմակերպություններ</w:t>
      </w:r>
      <w:r w:rsidRPr="002D7DB7">
        <w:t>ի սահմանումը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1310"/>
        <w:gridCol w:w="2712"/>
        <w:gridCol w:w="3244"/>
        <w:gridCol w:w="3191"/>
      </w:tblGrid>
      <w:tr w:rsidR="00867E7D" w:rsidRPr="002D7DB7" w14:paraId="2959CDC9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959CDC5" w14:textId="77777777" w:rsidR="00867E7D" w:rsidRPr="002D7DB7" w:rsidRDefault="00867E7D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</w:rPr>
            </w:pPr>
          </w:p>
        </w:tc>
        <w:tc>
          <w:tcPr>
            <w:tcW w:w="0" w:type="auto"/>
          </w:tcPr>
          <w:p w14:paraId="2959CDC6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7DB7">
              <w:t>աշխատողների միջին ցուցակային թվաքանակը</w:t>
            </w:r>
          </w:p>
        </w:tc>
        <w:tc>
          <w:tcPr>
            <w:tcW w:w="0" w:type="auto"/>
          </w:tcPr>
          <w:p w14:paraId="2959CDC7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7DB7">
              <w:t>նախորդ տարվա գործունեությունից ստացված հասույթը</w:t>
            </w:r>
          </w:p>
        </w:tc>
        <w:tc>
          <w:tcPr>
            <w:tcW w:w="0" w:type="auto"/>
          </w:tcPr>
          <w:p w14:paraId="2959CDC8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7DB7">
              <w:t>կամ նախորդ տարեվերջի դրությամբ ակտիվների հաշվեկշռային արժեքը</w:t>
            </w:r>
          </w:p>
        </w:tc>
      </w:tr>
      <w:tr w:rsidR="003025BF" w:rsidRPr="002D7DB7" w14:paraId="2959CDCE" w14:textId="77777777" w:rsidTr="00F7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9CDCA" w14:textId="5D18577F" w:rsidR="00867E7D" w:rsidRPr="002D7DB7" w:rsidRDefault="0057268E" w:rsidP="00FC60C0">
            <w:pPr>
              <w:spacing w:line="276" w:lineRule="auto"/>
              <w:ind w:firstLine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Գ</w:t>
            </w:r>
            <w:r w:rsidR="5894FF83" w:rsidRPr="002D7DB7">
              <w:rPr>
                <w:rFonts w:eastAsiaTheme="minorEastAsia" w:cstheme="minorBidi"/>
              </w:rPr>
              <w:t>երփոքր</w:t>
            </w:r>
          </w:p>
        </w:tc>
        <w:tc>
          <w:tcPr>
            <w:tcW w:w="0" w:type="auto"/>
          </w:tcPr>
          <w:p w14:paraId="2959CDCB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0-9</w:t>
            </w:r>
          </w:p>
        </w:tc>
        <w:tc>
          <w:tcPr>
            <w:tcW w:w="0" w:type="auto"/>
          </w:tcPr>
          <w:p w14:paraId="2959CDCC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&lt;100 միլիոն ՀՀ դրամ</w:t>
            </w:r>
          </w:p>
        </w:tc>
        <w:tc>
          <w:tcPr>
            <w:tcW w:w="0" w:type="auto"/>
          </w:tcPr>
          <w:p w14:paraId="2959CDCD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&lt;100 միլիոն ՀՀ դրամ</w:t>
            </w:r>
          </w:p>
        </w:tc>
      </w:tr>
      <w:tr w:rsidR="00867E7D" w:rsidRPr="002D7DB7" w14:paraId="2959CDD3" w14:textId="77777777" w:rsidTr="00DA7FD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9CDCF" w14:textId="27DAB8E7" w:rsidR="00867E7D" w:rsidRPr="002D7DB7" w:rsidRDefault="00B51668" w:rsidP="00FC60C0">
            <w:pPr>
              <w:spacing w:line="276" w:lineRule="auto"/>
              <w:ind w:firstLine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Փ</w:t>
            </w:r>
            <w:r w:rsidR="5894FF83" w:rsidRPr="002D7DB7">
              <w:rPr>
                <w:rFonts w:eastAsiaTheme="minorEastAsia" w:cstheme="minorBidi"/>
              </w:rPr>
              <w:t>ոքր</w:t>
            </w:r>
          </w:p>
        </w:tc>
        <w:tc>
          <w:tcPr>
            <w:tcW w:w="0" w:type="auto"/>
          </w:tcPr>
          <w:p w14:paraId="2959CDD0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10-49</w:t>
            </w:r>
          </w:p>
        </w:tc>
        <w:tc>
          <w:tcPr>
            <w:tcW w:w="0" w:type="auto"/>
          </w:tcPr>
          <w:p w14:paraId="2959CDD1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&lt;500 միլիոն ՀՀ դրամ</w:t>
            </w:r>
          </w:p>
        </w:tc>
        <w:tc>
          <w:tcPr>
            <w:tcW w:w="0" w:type="auto"/>
          </w:tcPr>
          <w:p w14:paraId="2959CDD2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&lt;500 միլիոն ՀՀ դրամ</w:t>
            </w:r>
          </w:p>
        </w:tc>
      </w:tr>
      <w:tr w:rsidR="003025BF" w:rsidRPr="002D7DB7" w14:paraId="2959CDD8" w14:textId="77777777" w:rsidTr="00F7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9CDD4" w14:textId="77777777" w:rsidR="00867E7D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միջին</w:t>
            </w:r>
          </w:p>
        </w:tc>
        <w:tc>
          <w:tcPr>
            <w:tcW w:w="0" w:type="auto"/>
          </w:tcPr>
          <w:p w14:paraId="2959CDD5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50-249</w:t>
            </w:r>
          </w:p>
        </w:tc>
        <w:tc>
          <w:tcPr>
            <w:tcW w:w="0" w:type="auto"/>
          </w:tcPr>
          <w:p w14:paraId="2959CDD6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&lt;1.5 մլրդ. ՀՀ դրամ</w:t>
            </w:r>
          </w:p>
        </w:tc>
        <w:tc>
          <w:tcPr>
            <w:tcW w:w="0" w:type="auto"/>
          </w:tcPr>
          <w:p w14:paraId="2959CDD7" w14:textId="77777777" w:rsidR="00867E7D" w:rsidRPr="002D7DB7" w:rsidRDefault="5894FF83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2D7DB7">
              <w:rPr>
                <w:rFonts w:eastAsiaTheme="minorEastAsia" w:cstheme="minorBidi"/>
              </w:rPr>
              <w:t>&lt;1.0 մլրդ. ՀՀ դրամ</w:t>
            </w:r>
          </w:p>
        </w:tc>
      </w:tr>
    </w:tbl>
    <w:p w14:paraId="2959CDD9" w14:textId="72CD4503" w:rsidR="00867E7D" w:rsidRPr="002D7DB7" w:rsidRDefault="00867E7D" w:rsidP="00FC60C0">
      <w:pPr>
        <w:spacing w:before="120"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2018թ.-ին «Աջակցություն ՓՄՁ Զարգացմանը Հայաստանում»  ծրագրի շրջանակում, առաջին անգամ</w:t>
      </w:r>
      <w:r w:rsidR="00E7221F" w:rsidRPr="002D7DB7">
        <w:rPr>
          <w:rFonts w:eastAsiaTheme="minorEastAsia" w:cstheme="minorBidi"/>
        </w:rPr>
        <w:t xml:space="preserve"> ԱՐՄՍՏԱՏ-ի կողմից պատրաստվել և </w:t>
      </w:r>
      <w:r w:rsidRPr="002D7DB7">
        <w:rPr>
          <w:rFonts w:eastAsiaTheme="minorEastAsia" w:cstheme="minorBidi"/>
        </w:rPr>
        <w:t xml:space="preserve"> հրապարակվել է</w:t>
      </w:r>
      <w:r w:rsidR="00E7221F" w:rsidRPr="002D7DB7">
        <w:rPr>
          <w:rFonts w:eastAsiaTheme="minorEastAsia" w:cstheme="minorBidi"/>
        </w:rPr>
        <w:t xml:space="preserve"> «</w:t>
      </w:r>
      <w:r w:rsidR="00AA04A5">
        <w:rPr>
          <w:rFonts w:eastAsiaTheme="minorEastAsia" w:cstheme="minorBidi"/>
        </w:rPr>
        <w:t>ՓՄՁ</w:t>
      </w:r>
      <w:r w:rsidR="00E7221F" w:rsidRPr="002D7DB7">
        <w:rPr>
          <w:rFonts w:eastAsiaTheme="minorEastAsia" w:cstheme="minorBidi"/>
        </w:rPr>
        <w:t xml:space="preserve"> Հայաստանի Հանրապետությունում</w:t>
      </w:r>
      <w:r w:rsidR="00E7221F" w:rsidRPr="002D7DB7">
        <w:rPr>
          <w:rFonts w:ascii="Cambria Math" w:eastAsia="MS Mincho" w:hAnsi="Cambria Math" w:cs="Cambria Math"/>
        </w:rPr>
        <w:t>․</w:t>
      </w:r>
      <w:r w:rsidR="00E7221F" w:rsidRPr="002D7DB7">
        <w:rPr>
          <w:rFonts w:eastAsia="MS Mincho" w:cs="MS Mincho"/>
        </w:rPr>
        <w:t xml:space="preserve"> 2018</w:t>
      </w:r>
      <w:r w:rsidR="00E7221F" w:rsidRPr="002D7DB7">
        <w:rPr>
          <w:rFonts w:eastAsiaTheme="minorEastAsia" w:cstheme="minorBidi"/>
        </w:rPr>
        <w:t>» տեղեկագիրը</w:t>
      </w:r>
      <w:r w:rsidR="00DC5BDD">
        <w:rPr>
          <w:rFonts w:eastAsiaTheme="minorEastAsia" w:cstheme="minorBidi"/>
        </w:rPr>
        <w:t xml:space="preserve">։ Շարունակաբար </w:t>
      </w:r>
      <w:r w:rsidR="00DC5BDD" w:rsidRPr="00364637">
        <w:rPr>
          <w:rFonts w:eastAsiaTheme="minorEastAsia" w:cstheme="minorBidi"/>
        </w:rPr>
        <w:t>2019</w:t>
      </w:r>
      <w:r w:rsidR="00DC5BDD">
        <w:rPr>
          <w:rFonts w:eastAsiaTheme="minorEastAsia" w:cstheme="minorBidi"/>
        </w:rPr>
        <w:t xml:space="preserve">թ-ին հրապարակվել են </w:t>
      </w:r>
      <w:r w:rsidR="00DC5BDD" w:rsidRPr="00364637">
        <w:rPr>
          <w:rFonts w:eastAsiaTheme="minorEastAsia" w:cstheme="minorBidi"/>
        </w:rPr>
        <w:t>2018</w:t>
      </w:r>
      <w:r w:rsidR="00DC5BDD">
        <w:rPr>
          <w:rFonts w:eastAsiaTheme="minorEastAsia" w:cstheme="minorBidi"/>
        </w:rPr>
        <w:t>թ-ը ամփոփող տեղեկագիրը,</w:t>
      </w:r>
      <w:r w:rsidR="00BB162E" w:rsidRPr="002D7DB7">
        <w:rPr>
          <w:rFonts w:eastAsiaTheme="minorEastAsia" w:cstheme="minorBidi"/>
        </w:rPr>
        <w:t xml:space="preserve"> </w:t>
      </w:r>
      <w:r w:rsidR="00DC5BDD">
        <w:rPr>
          <w:rFonts w:eastAsiaTheme="minorEastAsia" w:cstheme="minorBidi"/>
        </w:rPr>
        <w:t xml:space="preserve"> </w:t>
      </w:r>
      <w:r w:rsidR="00BB162E" w:rsidRPr="002D7DB7">
        <w:rPr>
          <w:rFonts w:eastAsiaTheme="minorEastAsia" w:cstheme="minorBidi"/>
        </w:rPr>
        <w:t>որի հիմնական ցուցանիշները ներկայացված են ստորև</w:t>
      </w:r>
      <w:r w:rsidRPr="002D7DB7">
        <w:rPr>
          <w:rFonts w:eastAsiaTheme="minorEastAsia" w:cstheme="minorBidi"/>
        </w:rPr>
        <w:t>: Հրապարակման մեջ օգտագործվել է ՓՄՁ դասակարգումը բացառապես աշխատողների թվաքանակով</w:t>
      </w:r>
      <w:r w:rsidR="002E5E44" w:rsidRPr="002D7DB7">
        <w:rPr>
          <w:rFonts w:eastAsiaTheme="minorEastAsia" w:cstheme="minorBidi"/>
        </w:rPr>
        <w:t xml:space="preserve"> որոշվող չափերով՝ համաձայն վիճակագրական նպատակներով ՓՄՁ դասակարգման համար կիրառվող միջազգայնորեն ընդունված չափորոշիչների</w:t>
      </w:r>
      <w:r w:rsidRPr="002D7DB7">
        <w:rPr>
          <w:rFonts w:eastAsiaTheme="minorEastAsia" w:cstheme="minorBidi"/>
        </w:rPr>
        <w:t xml:space="preserve">: </w:t>
      </w:r>
    </w:p>
    <w:p w14:paraId="2959CDDA" w14:textId="14F2E7FC" w:rsidR="00923F8E" w:rsidRPr="002D7DB7" w:rsidRDefault="00867E7D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  <w:b/>
          <w:bCs/>
        </w:rPr>
        <w:t>201</w:t>
      </w:r>
      <w:r w:rsidR="00E83BC7" w:rsidRPr="00364637">
        <w:rPr>
          <w:rFonts w:eastAsiaTheme="minorEastAsia" w:cstheme="minorBidi"/>
          <w:b/>
          <w:bCs/>
        </w:rPr>
        <w:t>8</w:t>
      </w:r>
      <w:r w:rsidRPr="002D7DB7">
        <w:rPr>
          <w:rFonts w:eastAsiaTheme="minorEastAsia" w:cstheme="minorBidi"/>
          <w:b/>
          <w:bCs/>
        </w:rPr>
        <w:t xml:space="preserve"> թվականին գերփոքր, փոքր և միջին </w:t>
      </w:r>
      <w:r w:rsidR="001C1FF2">
        <w:rPr>
          <w:rFonts w:eastAsiaTheme="minorEastAsia" w:cstheme="minorBidi"/>
          <w:b/>
          <w:bCs/>
        </w:rPr>
        <w:t>կազմակերպություններ</w:t>
      </w:r>
      <w:r w:rsidRPr="002D7DB7">
        <w:rPr>
          <w:rFonts w:eastAsiaTheme="minorEastAsia" w:cstheme="minorBidi"/>
          <w:b/>
          <w:bCs/>
        </w:rPr>
        <w:t xml:space="preserve">ի </w:t>
      </w:r>
      <w:r w:rsidR="001000A8" w:rsidRPr="002D7DB7">
        <w:rPr>
          <w:rFonts w:eastAsiaTheme="minorEastAsia" w:cstheme="minorBidi"/>
          <w:b/>
          <w:bCs/>
        </w:rPr>
        <w:t xml:space="preserve">կողմից արտադրված ավելացված արժեքի կշիռը ՀՀ  </w:t>
      </w:r>
      <w:r w:rsidRPr="002D7DB7">
        <w:rPr>
          <w:rFonts w:eastAsiaTheme="minorEastAsia" w:cstheme="minorBidi"/>
          <w:b/>
          <w:bCs/>
        </w:rPr>
        <w:t>ընդհանուր</w:t>
      </w:r>
      <w:r w:rsidR="001000A8" w:rsidRPr="002D7DB7">
        <w:rPr>
          <w:rFonts w:eastAsiaTheme="minorEastAsia" w:cstheme="minorBidi"/>
          <w:b/>
          <w:bCs/>
        </w:rPr>
        <w:t xml:space="preserve"> տնտեսության</w:t>
      </w:r>
      <w:r w:rsidRPr="002D7DB7">
        <w:rPr>
          <w:rFonts w:eastAsiaTheme="minorEastAsia" w:cstheme="minorBidi"/>
          <w:b/>
          <w:bCs/>
        </w:rPr>
        <w:t xml:space="preserve"> ՀՆԱ-ում կազմել է 2</w:t>
      </w:r>
      <w:r w:rsidR="00E83BC7" w:rsidRPr="00364637">
        <w:rPr>
          <w:rFonts w:eastAsiaTheme="minorEastAsia" w:cstheme="minorBidi"/>
          <w:b/>
          <w:bCs/>
        </w:rPr>
        <w:t>3</w:t>
      </w:r>
      <w:r w:rsidRPr="002D7DB7">
        <w:rPr>
          <w:rFonts w:eastAsiaTheme="minorEastAsia" w:cstheme="minorBidi"/>
          <w:b/>
          <w:bCs/>
        </w:rPr>
        <w:t>.</w:t>
      </w:r>
      <w:r w:rsidR="006E0FB4" w:rsidRPr="002D7DB7">
        <w:rPr>
          <w:rFonts w:eastAsiaTheme="minorEastAsia" w:cstheme="minorBidi"/>
          <w:b/>
          <w:bCs/>
        </w:rPr>
        <w:t>6</w:t>
      </w:r>
      <w:r w:rsidRPr="002D7DB7">
        <w:rPr>
          <w:rFonts w:eastAsiaTheme="minorEastAsia" w:cstheme="minorBidi"/>
          <w:b/>
          <w:bCs/>
        </w:rPr>
        <w:t xml:space="preserve"> տոկոս</w:t>
      </w:r>
      <w:r w:rsidRPr="002D7DB7">
        <w:rPr>
          <w:rFonts w:eastAsiaTheme="minorEastAsia" w:cstheme="minorBidi"/>
        </w:rPr>
        <w:t xml:space="preserve">։ </w:t>
      </w:r>
    </w:p>
    <w:p w14:paraId="0899AAA0" w14:textId="77777777" w:rsidR="00FC60C0" w:rsidRPr="00142A4D" w:rsidRDefault="00FC60C0" w:rsidP="00FC60C0">
      <w:pPr>
        <w:pStyle w:val="Caption"/>
        <w:spacing w:after="0" w:line="276" w:lineRule="auto"/>
      </w:pPr>
    </w:p>
    <w:p w14:paraId="2959CDDB" w14:textId="6E9412EC" w:rsidR="002C1806" w:rsidRPr="002D7DB7" w:rsidRDefault="002C1806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2</w:t>
      </w:r>
      <w:r w:rsidR="00C07F77" w:rsidRPr="002D7DB7">
        <w:fldChar w:fldCharType="end"/>
      </w:r>
      <w:r w:rsidR="00C7568D" w:rsidRPr="002D7DB7">
        <w:t xml:space="preserve"> ՓՄՁ-ների </w:t>
      </w:r>
      <w:r w:rsidR="00C7568D" w:rsidRPr="00CA552F">
        <w:rPr>
          <w:shd w:val="clear" w:color="auto" w:fill="FFFFFF" w:themeFill="background1"/>
        </w:rPr>
        <w:t>կողմից 201</w:t>
      </w:r>
      <w:r w:rsidR="00992C69" w:rsidRPr="00CA552F">
        <w:rPr>
          <w:shd w:val="clear" w:color="auto" w:fill="FFFFFF" w:themeFill="background1"/>
        </w:rPr>
        <w:t>8</w:t>
      </w:r>
      <w:r w:rsidR="00C7568D" w:rsidRPr="00CA552F">
        <w:rPr>
          <w:shd w:val="clear" w:color="auto" w:fill="FFFFFF" w:themeFill="background1"/>
        </w:rPr>
        <w:t xml:space="preserve"> թվականին</w:t>
      </w:r>
      <w:r w:rsidR="00C7568D" w:rsidRPr="002D7DB7">
        <w:t xml:space="preserve"> ստեղծվ</w:t>
      </w:r>
      <w:r w:rsidR="00663F21" w:rsidRPr="002D7DB7">
        <w:t>ած ավելացված արժեքի մասնաբաժինը ՀՆԱ-ում</w:t>
      </w:r>
      <w:r w:rsidR="00BB162E" w:rsidRPr="002D7DB7">
        <w:t>՝</w:t>
      </w:r>
      <w:r w:rsidR="00663F21" w:rsidRPr="002D7DB7">
        <w:t xml:space="preserve"> ըստ ոլորտների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1254"/>
        <w:gridCol w:w="2258"/>
        <w:gridCol w:w="2565"/>
        <w:gridCol w:w="2186"/>
      </w:tblGrid>
      <w:tr w:rsidR="006E0FB4" w:rsidRPr="002D7DB7" w14:paraId="2959CDE0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4" w:type="dxa"/>
          </w:tcPr>
          <w:p w14:paraId="2959CDDC" w14:textId="77777777" w:rsidR="006E0FB4" w:rsidRPr="002D7DB7" w:rsidRDefault="006E0FB4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</w:rPr>
            </w:pPr>
            <w:r w:rsidRPr="002D7DB7">
              <w:rPr>
                <w:rFonts w:eastAsiaTheme="minorEastAsia" w:cstheme="minorBidi"/>
              </w:rPr>
              <w:t>Առևտուր</w:t>
            </w:r>
          </w:p>
        </w:tc>
        <w:tc>
          <w:tcPr>
            <w:tcW w:w="2258" w:type="dxa"/>
          </w:tcPr>
          <w:p w14:paraId="2959CDDD" w14:textId="77777777" w:rsidR="006E0FB4" w:rsidRPr="002D7DB7" w:rsidRDefault="006E0FB4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2D7DB7">
              <w:rPr>
                <w:rFonts w:eastAsiaTheme="minorEastAsia" w:cstheme="minorBidi"/>
              </w:rPr>
              <w:t>Ծառայություններ</w:t>
            </w:r>
          </w:p>
        </w:tc>
        <w:tc>
          <w:tcPr>
            <w:tcW w:w="2565" w:type="dxa"/>
          </w:tcPr>
          <w:p w14:paraId="2959CDDE" w14:textId="77777777" w:rsidR="006E0FB4" w:rsidRPr="002D7DB7" w:rsidRDefault="006E0FB4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2D7DB7">
              <w:rPr>
                <w:rFonts w:eastAsiaTheme="minorEastAsia" w:cstheme="minorBidi"/>
              </w:rPr>
              <w:t>Արդյունաբերություն</w:t>
            </w:r>
          </w:p>
        </w:tc>
        <w:tc>
          <w:tcPr>
            <w:tcW w:w="2186" w:type="dxa"/>
          </w:tcPr>
          <w:p w14:paraId="2959CDDF" w14:textId="77777777" w:rsidR="006E0FB4" w:rsidRPr="002D7DB7" w:rsidRDefault="006E0FB4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2D7DB7">
              <w:rPr>
                <w:rFonts w:eastAsiaTheme="minorEastAsia" w:cstheme="minorBidi"/>
              </w:rPr>
              <w:t>Շինարարություն</w:t>
            </w:r>
          </w:p>
        </w:tc>
      </w:tr>
      <w:tr w:rsidR="006E0FB4" w:rsidRPr="002D7DB7" w14:paraId="2959CDE5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2959CDE1" w14:textId="2CF29A91" w:rsidR="006E0FB4" w:rsidRPr="002D7DB7" w:rsidRDefault="00E83BC7" w:rsidP="00FC60C0">
            <w:pPr>
              <w:spacing w:line="276" w:lineRule="auto"/>
              <w:ind w:firstLine="0"/>
              <w:jc w:val="center"/>
              <w:rPr>
                <w:rFonts w:eastAsiaTheme="minorEastAsia" w:cstheme="minorBidi"/>
                <w:b w:val="0"/>
                <w:bCs w:val="0"/>
                <w:lang w:val="en-US"/>
              </w:rPr>
            </w:pPr>
            <w:r>
              <w:rPr>
                <w:rFonts w:eastAsiaTheme="minorEastAsia" w:cstheme="minorBidi"/>
                <w:b w:val="0"/>
                <w:lang w:val="en-US"/>
              </w:rPr>
              <w:t>7.4</w:t>
            </w:r>
            <w:r w:rsidR="006E0FB4" w:rsidRPr="002D7DB7">
              <w:rPr>
                <w:rFonts w:eastAsiaTheme="minorEastAsia" w:cstheme="minorBidi"/>
                <w:b w:val="0"/>
              </w:rPr>
              <w:t xml:space="preserve"> %</w:t>
            </w:r>
          </w:p>
        </w:tc>
        <w:tc>
          <w:tcPr>
            <w:tcW w:w="2258" w:type="dxa"/>
          </w:tcPr>
          <w:p w14:paraId="2959CDE2" w14:textId="72207A4C" w:rsidR="006E0FB4" w:rsidRPr="002D7DB7" w:rsidRDefault="00E83BC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>
              <w:rPr>
                <w:rFonts w:eastAsiaTheme="minorEastAsia" w:cstheme="minorBidi"/>
                <w:lang w:val="en-US"/>
              </w:rPr>
              <w:t>7.5</w:t>
            </w:r>
            <w:r w:rsidR="006E0FB4" w:rsidRPr="002D7DB7">
              <w:rPr>
                <w:rFonts w:eastAsiaTheme="minorEastAsia" w:cstheme="minorBidi"/>
              </w:rPr>
              <w:t>%</w:t>
            </w:r>
          </w:p>
        </w:tc>
        <w:tc>
          <w:tcPr>
            <w:tcW w:w="2565" w:type="dxa"/>
          </w:tcPr>
          <w:p w14:paraId="2959CDE3" w14:textId="6300BCB4" w:rsidR="006E0FB4" w:rsidRPr="002D7DB7" w:rsidRDefault="006E0FB4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 w:rsidRPr="002D7DB7">
              <w:rPr>
                <w:rFonts w:eastAsiaTheme="minorEastAsia" w:cstheme="minorBidi"/>
              </w:rPr>
              <w:t>5.</w:t>
            </w:r>
            <w:r w:rsidR="00E83BC7">
              <w:rPr>
                <w:rFonts w:eastAsiaTheme="minorEastAsia" w:cstheme="minorBidi"/>
                <w:lang w:val="en-US"/>
              </w:rPr>
              <w:t>4</w:t>
            </w:r>
            <w:r w:rsidRPr="002D7DB7">
              <w:rPr>
                <w:rFonts w:eastAsiaTheme="minorEastAsia" w:cstheme="minorBidi"/>
              </w:rPr>
              <w:t xml:space="preserve"> %</w:t>
            </w:r>
          </w:p>
        </w:tc>
        <w:tc>
          <w:tcPr>
            <w:tcW w:w="2186" w:type="dxa"/>
          </w:tcPr>
          <w:p w14:paraId="2959CDE4" w14:textId="2E54326A" w:rsidR="006E0FB4" w:rsidRPr="002D7DB7" w:rsidRDefault="00E83BC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>
              <w:rPr>
                <w:rFonts w:eastAsiaTheme="minorEastAsia" w:cstheme="minorBidi"/>
                <w:lang w:val="en-US"/>
              </w:rPr>
              <w:t>3.3</w:t>
            </w:r>
            <w:r w:rsidR="006E0FB4" w:rsidRPr="002D7DB7">
              <w:rPr>
                <w:rFonts w:eastAsiaTheme="minorEastAsia" w:cstheme="minorBidi"/>
              </w:rPr>
              <w:t>%</w:t>
            </w:r>
          </w:p>
        </w:tc>
      </w:tr>
    </w:tbl>
    <w:p w14:paraId="2959CDE6" w14:textId="0B5E8536" w:rsidR="00867E7D" w:rsidRPr="002D7DB7" w:rsidRDefault="5894FF83" w:rsidP="00FC60C0">
      <w:pPr>
        <w:spacing w:before="120"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Հատկանշական է, որ ՀՀ կառավարության ծրագրում ՀՀ տնտեսության և մասնավորապես</w:t>
      </w:r>
      <w:r w:rsidR="00663F21" w:rsidRPr="002D7DB7">
        <w:rPr>
          <w:rFonts w:eastAsiaTheme="minorEastAsia" w:cstheme="minorBidi"/>
        </w:rPr>
        <w:t>,</w:t>
      </w:r>
      <w:r w:rsidRPr="002D7DB7">
        <w:rPr>
          <w:rFonts w:eastAsiaTheme="minorEastAsia" w:cstheme="minorBidi"/>
        </w:rPr>
        <w:t xml:space="preserve"> ՓՄՁ զարգացման համար կարևոր ոլորտ նախանշված զբոսաշրջության ոլորտի գլխավոր բաղադրիչ մաս կազմող կացության և հանրային սննդի կազմակերպման բաժնում ստեղծված ավելացված արժեքի 9</w:t>
      </w:r>
      <w:r w:rsidR="006A075F" w:rsidRPr="00364637">
        <w:rPr>
          <w:rFonts w:eastAsiaTheme="minorEastAsia" w:cstheme="minorBidi"/>
        </w:rPr>
        <w:t>5</w:t>
      </w:r>
      <w:r w:rsidRPr="002D7DB7">
        <w:rPr>
          <w:rFonts w:eastAsiaTheme="minorEastAsia" w:cstheme="minorBidi"/>
        </w:rPr>
        <w:t>.</w:t>
      </w:r>
      <w:r w:rsidR="003E4B87" w:rsidRPr="00A755CA">
        <w:rPr>
          <w:rFonts w:eastAsiaTheme="minorEastAsia" w:cstheme="minorBidi"/>
        </w:rPr>
        <w:t>4</w:t>
      </w:r>
      <w:r w:rsidRPr="002D7DB7">
        <w:rPr>
          <w:rFonts w:eastAsiaTheme="minorEastAsia" w:cstheme="minorBidi"/>
        </w:rPr>
        <w:t xml:space="preserve"> տոկոսը ստեղծվում է ՓՄՁ-ների կողմից:</w:t>
      </w:r>
    </w:p>
    <w:p w14:paraId="2959CDE7" w14:textId="1F61A993" w:rsidR="002B7983" w:rsidRPr="002D7DB7" w:rsidRDefault="00867E7D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201</w:t>
      </w:r>
      <w:r w:rsidR="003E4B87" w:rsidRPr="00A755CA">
        <w:rPr>
          <w:rFonts w:eastAsiaTheme="minorEastAsia" w:cstheme="minorBidi"/>
        </w:rPr>
        <w:t>8</w:t>
      </w:r>
      <w:r w:rsidRPr="002D7DB7">
        <w:rPr>
          <w:rFonts w:eastAsiaTheme="minorEastAsia" w:cstheme="minorBidi"/>
        </w:rPr>
        <w:t xml:space="preserve"> թվականին ՀՀ-ում </w:t>
      </w:r>
      <w:r w:rsidR="00663F21" w:rsidRPr="002D7DB7">
        <w:rPr>
          <w:rFonts w:eastAsiaTheme="minorEastAsia" w:cstheme="minorBidi"/>
        </w:rPr>
        <w:t xml:space="preserve">գործող </w:t>
      </w:r>
      <w:r w:rsidR="001000A8" w:rsidRPr="002D7DB7">
        <w:rPr>
          <w:rFonts w:eastAsiaTheme="minorEastAsia" w:cstheme="minorBidi"/>
        </w:rPr>
        <w:t xml:space="preserve">ՓՄՁ շրջանակի </w:t>
      </w:r>
      <w:r w:rsidR="007B486C">
        <w:rPr>
          <w:rFonts w:eastAsiaTheme="minorEastAsia" w:cstheme="minorBidi"/>
        </w:rPr>
        <w:t>տնտեսավարող</w:t>
      </w:r>
      <w:r w:rsidR="001000A8" w:rsidRPr="002D7DB7">
        <w:rPr>
          <w:rFonts w:eastAsiaTheme="minorEastAsia" w:cstheme="minorBidi"/>
        </w:rPr>
        <w:t xml:space="preserve">ների </w:t>
      </w:r>
      <w:r w:rsidRPr="002D7DB7">
        <w:rPr>
          <w:rFonts w:eastAsiaTheme="minorEastAsia" w:cstheme="minorBidi"/>
        </w:rPr>
        <w:t xml:space="preserve">քանակը կազմել է </w:t>
      </w:r>
      <w:r w:rsidR="006A075F" w:rsidRPr="00364637">
        <w:rPr>
          <w:rFonts w:eastAsiaTheme="minorEastAsia" w:cstheme="minorBidi"/>
        </w:rPr>
        <w:t>68780</w:t>
      </w:r>
      <w:r w:rsidRPr="002D7DB7">
        <w:rPr>
          <w:rFonts w:eastAsiaTheme="minorEastAsia" w:cstheme="minorBidi"/>
        </w:rPr>
        <w:t xml:space="preserve">, որից միայն </w:t>
      </w:r>
      <w:r w:rsidR="006A075F" w:rsidRPr="00364637">
        <w:rPr>
          <w:rFonts w:eastAsiaTheme="minorEastAsia" w:cstheme="minorBidi"/>
        </w:rPr>
        <w:t>126</w:t>
      </w:r>
      <w:r w:rsidRPr="002D7DB7">
        <w:rPr>
          <w:rFonts w:eastAsiaTheme="minorEastAsia" w:cstheme="minorBidi"/>
        </w:rPr>
        <w:t xml:space="preserve">-ն են (շուրջ 0.18 տոկոս) դասվել որպես խոշոր </w:t>
      </w:r>
      <w:r w:rsidR="007B486C">
        <w:rPr>
          <w:rFonts w:eastAsiaTheme="minorEastAsia" w:cstheme="minorBidi"/>
        </w:rPr>
        <w:t>տնտեսավարող</w:t>
      </w:r>
      <w:r w:rsidRPr="002D7DB7">
        <w:rPr>
          <w:rFonts w:eastAsiaTheme="minorEastAsia" w:cstheme="minorBidi"/>
        </w:rPr>
        <w:t>ներ։ ՓՄՁ-ների 52.1 տոկոսը</w:t>
      </w:r>
      <w:r w:rsidR="003025BF" w:rsidRPr="002D7DB7">
        <w:rPr>
          <w:rFonts w:eastAsiaTheme="minorEastAsia" w:cstheme="minorBidi"/>
        </w:rPr>
        <w:t xml:space="preserve"> գործունեություն են ծավալում Երևանում</w:t>
      </w:r>
      <w:r w:rsidRPr="002D7DB7">
        <w:rPr>
          <w:rFonts w:eastAsiaTheme="minorEastAsia" w:cstheme="minorBidi"/>
        </w:rPr>
        <w:t xml:space="preserve">: </w:t>
      </w:r>
    </w:p>
    <w:p w14:paraId="2959CDE8" w14:textId="6022F7BE" w:rsidR="0059191C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lastRenderedPageBreak/>
        <w:t xml:space="preserve">ՀՀ </w:t>
      </w:r>
      <w:r w:rsidR="001000A8" w:rsidRPr="002D7DB7">
        <w:rPr>
          <w:rFonts w:eastAsiaTheme="minorEastAsia" w:cstheme="minorBidi"/>
        </w:rPr>
        <w:t xml:space="preserve"> ՓՄՁ ոլորտի տնտես</w:t>
      </w:r>
      <w:r w:rsidR="00A16131">
        <w:rPr>
          <w:rFonts w:eastAsiaTheme="minorEastAsia" w:cstheme="minorBidi"/>
        </w:rPr>
        <w:t>ա</w:t>
      </w:r>
      <w:r w:rsidR="001000A8" w:rsidRPr="002D7DB7">
        <w:rPr>
          <w:rFonts w:eastAsiaTheme="minorEastAsia" w:cstheme="minorBidi"/>
        </w:rPr>
        <w:t xml:space="preserve">վարողների </w:t>
      </w:r>
      <w:r w:rsidRPr="002D7DB7">
        <w:rPr>
          <w:rFonts w:eastAsiaTheme="minorEastAsia" w:cstheme="minorBidi"/>
        </w:rPr>
        <w:t xml:space="preserve">մեկ </w:t>
      </w:r>
      <w:r w:rsidR="001000A8" w:rsidRPr="002D7DB7">
        <w:rPr>
          <w:rFonts w:eastAsiaTheme="minorEastAsia" w:cstheme="minorBidi"/>
        </w:rPr>
        <w:t xml:space="preserve">վարձու աշխատողի հաշվով </w:t>
      </w:r>
      <w:r w:rsidRPr="002D7DB7">
        <w:rPr>
          <w:rFonts w:eastAsiaTheme="minorEastAsia" w:cstheme="minorBidi"/>
        </w:rPr>
        <w:t>ստեղծ</w:t>
      </w:r>
      <w:r w:rsidR="001000A8" w:rsidRPr="002D7DB7">
        <w:rPr>
          <w:rFonts w:eastAsiaTheme="minorEastAsia" w:cstheme="minorBidi"/>
        </w:rPr>
        <w:t>վ</w:t>
      </w:r>
      <w:r w:rsidRPr="002D7DB7">
        <w:rPr>
          <w:rFonts w:eastAsiaTheme="minorEastAsia" w:cstheme="minorBidi"/>
        </w:rPr>
        <w:t>ած ավելացված արժեքը</w:t>
      </w:r>
      <w:r w:rsidR="001000A8" w:rsidRPr="002D7DB7">
        <w:rPr>
          <w:rFonts w:eastAsiaTheme="minorEastAsia" w:cstheme="minorBidi"/>
        </w:rPr>
        <w:t xml:space="preserve"> 201</w:t>
      </w:r>
      <w:r w:rsidR="003E30BE" w:rsidRPr="00364637">
        <w:rPr>
          <w:rFonts w:eastAsiaTheme="minorEastAsia" w:cstheme="minorBidi"/>
        </w:rPr>
        <w:t>8</w:t>
      </w:r>
      <w:r w:rsidR="001000A8" w:rsidRPr="002D7DB7">
        <w:rPr>
          <w:rFonts w:eastAsiaTheme="minorEastAsia" w:cstheme="minorBidi"/>
        </w:rPr>
        <w:t>թ</w:t>
      </w:r>
      <w:r w:rsidR="001000A8" w:rsidRPr="002D7DB7">
        <w:rPr>
          <w:rFonts w:ascii="Cambria Math" w:eastAsia="MS Mincho" w:hAnsi="Cambria Math" w:cs="Cambria Math"/>
        </w:rPr>
        <w:t>․</w:t>
      </w:r>
      <w:r w:rsidRPr="002D7DB7">
        <w:rPr>
          <w:rFonts w:eastAsiaTheme="minorEastAsia" w:cstheme="minorBidi"/>
        </w:rPr>
        <w:t xml:space="preserve"> տարեկան կտրվածքով կազմ</w:t>
      </w:r>
      <w:r w:rsidR="001000A8" w:rsidRPr="002D7DB7">
        <w:rPr>
          <w:rFonts w:eastAsiaTheme="minorEastAsia" w:cstheme="minorBidi"/>
        </w:rPr>
        <w:t xml:space="preserve">ել </w:t>
      </w:r>
      <w:r w:rsidRPr="002D7DB7">
        <w:rPr>
          <w:rFonts w:eastAsiaTheme="minorEastAsia" w:cstheme="minorBidi"/>
        </w:rPr>
        <w:t xml:space="preserve">է շուրջ </w:t>
      </w:r>
      <w:r w:rsidR="00952F9A" w:rsidRPr="00364637">
        <w:rPr>
          <w:rFonts w:eastAsiaTheme="minorEastAsia" w:cstheme="minorBidi"/>
        </w:rPr>
        <w:t>6.66</w:t>
      </w:r>
      <w:r w:rsidR="001000A8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 մլն. ՀՀ դրամ (</w:t>
      </w:r>
      <w:r w:rsidR="001000A8" w:rsidRPr="002D7DB7">
        <w:rPr>
          <w:rFonts w:eastAsiaTheme="minorEastAsia" w:cstheme="minorBidi"/>
        </w:rPr>
        <w:t xml:space="preserve">շուրջ </w:t>
      </w:r>
      <w:r w:rsidRPr="002D7DB7">
        <w:rPr>
          <w:rFonts w:eastAsiaTheme="minorEastAsia" w:cstheme="minorBidi"/>
        </w:rPr>
        <w:t>1</w:t>
      </w:r>
      <w:r w:rsidR="00A16131" w:rsidRPr="00364637">
        <w:rPr>
          <w:rFonts w:eastAsiaTheme="minorEastAsia" w:cstheme="minorBidi"/>
        </w:rPr>
        <w:t>3</w:t>
      </w:r>
      <w:r w:rsidRPr="002D7DB7">
        <w:rPr>
          <w:rFonts w:eastAsiaTheme="minorEastAsia" w:cstheme="minorBidi"/>
        </w:rPr>
        <w:t>.7 հազ. ԱՄՆ դոլար), խոշոր ընկերություններում այն կազմ</w:t>
      </w:r>
      <w:r w:rsidR="001000A8" w:rsidRPr="002D7DB7">
        <w:rPr>
          <w:rFonts w:eastAsiaTheme="minorEastAsia" w:cstheme="minorBidi"/>
        </w:rPr>
        <w:t xml:space="preserve">ել </w:t>
      </w:r>
      <w:r w:rsidRPr="002D7DB7">
        <w:rPr>
          <w:rFonts w:eastAsiaTheme="minorEastAsia" w:cstheme="minorBidi"/>
        </w:rPr>
        <w:t xml:space="preserve">է </w:t>
      </w:r>
      <w:r w:rsidR="00952F9A" w:rsidRPr="00364637">
        <w:rPr>
          <w:rFonts w:eastAsiaTheme="minorEastAsia" w:cstheme="minorBidi"/>
        </w:rPr>
        <w:t>9.55</w:t>
      </w:r>
      <w:r w:rsidRPr="002D7DB7">
        <w:rPr>
          <w:rFonts w:eastAsiaTheme="minorEastAsia" w:cstheme="minorBidi"/>
        </w:rPr>
        <w:t xml:space="preserve"> մլն</w:t>
      </w:r>
      <w:r w:rsidRPr="002D7DB7">
        <w:rPr>
          <w:rFonts w:ascii="Cambria Math" w:eastAsia="MS Mincho" w:hAnsi="Cambria Math" w:cs="Cambria Math"/>
        </w:rPr>
        <w:t>․</w:t>
      </w:r>
      <w:r w:rsidRPr="002D7DB7">
        <w:rPr>
          <w:rFonts w:eastAsiaTheme="minorEastAsia" w:cstheme="minorBidi"/>
        </w:rPr>
        <w:t xml:space="preserve"> ՀՀ դրամ (մոտ </w:t>
      </w:r>
      <w:r w:rsidR="00A16131" w:rsidRPr="00364637">
        <w:rPr>
          <w:rFonts w:eastAsiaTheme="minorEastAsia" w:cstheme="minorBidi"/>
        </w:rPr>
        <w:t>19.7</w:t>
      </w:r>
      <w:r w:rsidRPr="002D7DB7">
        <w:rPr>
          <w:rFonts w:eastAsiaTheme="minorEastAsia" w:cstheme="minorBidi"/>
        </w:rPr>
        <w:t xml:space="preserve"> հազ. ԱՄՆ դոլար): Ստորև աղյուսակում </w:t>
      </w:r>
      <w:r w:rsidR="00863FBB" w:rsidRPr="002D7DB7">
        <w:rPr>
          <w:rFonts w:eastAsiaTheme="minorEastAsia" w:cstheme="minorBidi"/>
        </w:rPr>
        <w:t>ներկայացված են</w:t>
      </w:r>
      <w:r w:rsidR="00C9282F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201</w:t>
      </w:r>
      <w:r w:rsidR="009A7B9A" w:rsidRPr="00364637">
        <w:rPr>
          <w:rFonts w:eastAsiaTheme="minorEastAsia" w:cstheme="minorBidi"/>
        </w:rPr>
        <w:t>8</w:t>
      </w:r>
      <w:r w:rsidRPr="002D7DB7">
        <w:rPr>
          <w:rFonts w:eastAsiaTheme="minorEastAsia" w:cstheme="minorBidi"/>
        </w:rPr>
        <w:t>թ. ՓՄՁ արտադրողականությունն ըստ ոլորտների`</w:t>
      </w:r>
    </w:p>
    <w:p w14:paraId="2959CDE9" w14:textId="6F6E573D" w:rsidR="00663F21" w:rsidRPr="002D7DB7" w:rsidRDefault="00CA0B6C" w:rsidP="00BA1059">
      <w:pPr>
        <w:pStyle w:val="Caption"/>
        <w:spacing w:before="240" w:after="0" w:line="276" w:lineRule="auto"/>
      </w:pPr>
      <w:r w:rsidRPr="002D7DB7">
        <w:rPr>
          <w:i w:val="0"/>
          <w:iCs w:val="0"/>
        </w:rPr>
        <w:t xml:space="preserve">Աղյուսակ </w:t>
      </w:r>
      <w:r w:rsidR="00C07F77" w:rsidRPr="002D7DB7">
        <w:rPr>
          <w:i w:val="0"/>
          <w:iCs w:val="0"/>
        </w:rPr>
        <w:fldChar w:fldCharType="begin"/>
      </w:r>
      <w:r w:rsidRPr="002D7DB7">
        <w:rPr>
          <w:i w:val="0"/>
          <w:iCs w:val="0"/>
        </w:rPr>
        <w:instrText xml:space="preserve"> SEQ Աղյուսակ \* ARABIC </w:instrText>
      </w:r>
      <w:r w:rsidR="00C07F77" w:rsidRPr="002D7DB7">
        <w:rPr>
          <w:i w:val="0"/>
          <w:iCs w:val="0"/>
        </w:rPr>
        <w:fldChar w:fldCharType="separate"/>
      </w:r>
      <w:r w:rsidR="00DC729D">
        <w:rPr>
          <w:i w:val="0"/>
          <w:iCs w:val="0"/>
          <w:noProof/>
        </w:rPr>
        <w:t>3</w:t>
      </w:r>
      <w:r w:rsidR="00C07F77" w:rsidRPr="002D7DB7">
        <w:rPr>
          <w:i w:val="0"/>
          <w:iCs w:val="0"/>
        </w:rPr>
        <w:fldChar w:fldCharType="end"/>
      </w:r>
      <w:r w:rsidRPr="002D7DB7">
        <w:rPr>
          <w:i w:val="0"/>
          <w:iCs w:val="0"/>
        </w:rPr>
        <w:t xml:space="preserve"> ՓՄՁ արտադրողականությունն ըստ տնտեսական գործունեության տեսակների դասակարգչի (ՏԳՏԴ խմբ.2) բաժիններ</w:t>
      </w:r>
      <w:r w:rsidR="00663F21" w:rsidRPr="00CA552F">
        <w:rPr>
          <w:i w:val="0"/>
        </w:rPr>
        <w:t>ի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6331"/>
        <w:gridCol w:w="4126"/>
      </w:tblGrid>
      <w:tr w:rsidR="002B7983" w:rsidRPr="002D7DB7" w14:paraId="2959CDEC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98" w:type="dxa"/>
            <w:hideMark/>
          </w:tcPr>
          <w:p w14:paraId="2959CDEA" w14:textId="77777777" w:rsidR="002B7983" w:rsidRPr="002D7DB7" w:rsidRDefault="5894FF83" w:rsidP="00FC60C0">
            <w:pPr>
              <w:spacing w:line="276" w:lineRule="auto"/>
              <w:ind w:firstLine="0"/>
              <w:jc w:val="center"/>
              <w:rPr>
                <w:rFonts w:eastAsiaTheme="minorEastAsia" w:cstheme="minorBidi"/>
                <w:b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ՏԳՏԴ</w:t>
            </w:r>
          </w:p>
        </w:tc>
        <w:tc>
          <w:tcPr>
            <w:tcW w:w="4185" w:type="dxa"/>
          </w:tcPr>
          <w:p w14:paraId="2959CDEB" w14:textId="77777777" w:rsidR="002B7983" w:rsidRPr="002D7DB7" w:rsidRDefault="5894FF83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1 աշխատողի տարեկան արտադրողականությունը` մլն. դրամ</w:t>
            </w:r>
          </w:p>
        </w:tc>
      </w:tr>
      <w:tr w:rsidR="002B7983" w:rsidRPr="002D7DB7" w14:paraId="2959CDEF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2959CDED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 xml:space="preserve">Հանքագործական արդյունաբերություն </w:t>
            </w:r>
          </w:p>
        </w:tc>
        <w:tc>
          <w:tcPr>
            <w:tcW w:w="4185" w:type="dxa"/>
          </w:tcPr>
          <w:p w14:paraId="2959CDEE" w14:textId="38871103" w:rsidR="002B7983" w:rsidRPr="00A755CA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  <w:lang w:val="en-US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10.3</w:t>
            </w:r>
          </w:p>
        </w:tc>
      </w:tr>
      <w:tr w:rsidR="002B7983" w:rsidRPr="002D7DB7" w14:paraId="2959CDF2" w14:textId="77777777" w:rsidTr="00DA7F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0" w14:textId="4BBC2777" w:rsidR="002B7983" w:rsidRPr="002D7DB7" w:rsidRDefault="000D0846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>
              <w:rPr>
                <w:rFonts w:eastAsiaTheme="minorEastAsia" w:cstheme="minorBidi"/>
                <w:sz w:val="20"/>
              </w:rPr>
              <w:t>Մ</w:t>
            </w:r>
            <w:r w:rsidR="5894FF83" w:rsidRPr="002D7DB7">
              <w:rPr>
                <w:rFonts w:eastAsiaTheme="minorEastAsia" w:cstheme="minorBidi"/>
                <w:sz w:val="20"/>
              </w:rPr>
              <w:t>շակող արդյունաբերություն</w:t>
            </w:r>
          </w:p>
        </w:tc>
        <w:tc>
          <w:tcPr>
            <w:tcW w:w="4185" w:type="dxa"/>
          </w:tcPr>
          <w:p w14:paraId="2959CDF1" w14:textId="30A46387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5.9</w:t>
            </w:r>
          </w:p>
        </w:tc>
      </w:tr>
      <w:tr w:rsidR="002B7983" w:rsidRPr="002D7DB7" w14:paraId="2959CDF5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3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Էլեկտրականության, գազի, գոլորշու և լավորակ օդի մատակարարում</w:t>
            </w:r>
          </w:p>
        </w:tc>
        <w:tc>
          <w:tcPr>
            <w:tcW w:w="4185" w:type="dxa"/>
          </w:tcPr>
          <w:p w14:paraId="2959CDF4" w14:textId="2D8AF7CD" w:rsidR="002B7983" w:rsidRPr="00A755CA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  <w:lang w:val="en-US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15.8</w:t>
            </w:r>
          </w:p>
        </w:tc>
      </w:tr>
      <w:tr w:rsidR="00931A25" w:rsidRPr="002D7DB7" w14:paraId="7050F1E4" w14:textId="77777777" w:rsidTr="00DA7FD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1451EFAC" w14:textId="6C5CABD1" w:rsidR="00931A25" w:rsidRPr="002D7DB7" w:rsidRDefault="00931A25" w:rsidP="00FC60C0">
            <w:pPr>
              <w:spacing w:line="276" w:lineRule="auto"/>
              <w:ind w:firstLine="0"/>
              <w:rPr>
                <w:rFonts w:eastAsiaTheme="minorEastAsia" w:cstheme="minorBidi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Ջրամատակարարում, կոյուղի, թափոնների կառավարում և վերամշակում</w:t>
            </w:r>
          </w:p>
        </w:tc>
        <w:tc>
          <w:tcPr>
            <w:tcW w:w="4185" w:type="dxa"/>
          </w:tcPr>
          <w:p w14:paraId="266448FE" w14:textId="77777777" w:rsidR="00931A25" w:rsidRPr="002D7DB7" w:rsidRDefault="00931A25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</w:p>
        </w:tc>
      </w:tr>
      <w:tr w:rsidR="002B7983" w:rsidRPr="002D7DB7" w14:paraId="2959CDF8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6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Շինարարություն</w:t>
            </w:r>
          </w:p>
        </w:tc>
        <w:tc>
          <w:tcPr>
            <w:tcW w:w="4185" w:type="dxa"/>
          </w:tcPr>
          <w:p w14:paraId="2959CDF7" w14:textId="4751516F" w:rsidR="002B7983" w:rsidRPr="002D7DB7" w:rsidRDefault="5894FF83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1</w:t>
            </w:r>
            <w:r w:rsidR="000D0846">
              <w:rPr>
                <w:rFonts w:eastAsiaTheme="minorEastAsia" w:cstheme="minorBidi"/>
                <w:sz w:val="20"/>
                <w:lang w:val="en-US"/>
              </w:rPr>
              <w:t>1.3</w:t>
            </w:r>
          </w:p>
        </w:tc>
      </w:tr>
      <w:tr w:rsidR="002B7983" w:rsidRPr="002D7DB7" w14:paraId="2959CDFB" w14:textId="77777777" w:rsidTr="00DA7FD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9" w14:textId="6AC42829" w:rsidR="002B7983" w:rsidRPr="002D7DB7" w:rsidRDefault="002B79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Մեծածախ և մանրածախ առևտուր</w:t>
            </w:r>
            <w:r w:rsidR="007001F0" w:rsidRPr="002D7DB7">
              <w:rPr>
                <w:rFonts w:eastAsiaTheme="minorEastAsia" w:cstheme="minorBidi"/>
                <w:sz w:val="20"/>
              </w:rPr>
              <w:t xml:space="preserve">, </w:t>
            </w:r>
            <w:r w:rsidRPr="002D7DB7">
              <w:rPr>
                <w:rFonts w:eastAsiaTheme="minorEastAsia" w:cstheme="minorBidi"/>
                <w:sz w:val="20"/>
              </w:rPr>
              <w:t xml:space="preserve"> ավտոմեքենաների և մոտոցիկլների</w:t>
            </w:r>
            <w:r w:rsidR="00FF6FFC">
              <w:rPr>
                <w:rFonts w:eastAsiaTheme="minorEastAsia" w:cstheme="minorBidi"/>
                <w:sz w:val="20"/>
              </w:rPr>
              <w:t xml:space="preserve"> </w:t>
            </w:r>
            <w:r w:rsidRPr="002D7DB7">
              <w:rPr>
                <w:rFonts w:eastAsiaTheme="minorEastAsia" w:cstheme="minorBidi"/>
                <w:sz w:val="20"/>
              </w:rPr>
              <w:t>նորոգում</w:t>
            </w:r>
          </w:p>
        </w:tc>
        <w:tc>
          <w:tcPr>
            <w:tcW w:w="4185" w:type="dxa"/>
          </w:tcPr>
          <w:p w14:paraId="2959CDFA" w14:textId="15ADE0A0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6.5</w:t>
            </w:r>
          </w:p>
        </w:tc>
      </w:tr>
      <w:tr w:rsidR="002B7983" w:rsidRPr="002D7DB7" w14:paraId="2959CDFE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C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Փոխադրումներ և պահեստային տնտեսություն</w:t>
            </w:r>
          </w:p>
        </w:tc>
        <w:tc>
          <w:tcPr>
            <w:tcW w:w="4185" w:type="dxa"/>
          </w:tcPr>
          <w:p w14:paraId="2959CDFD" w14:textId="4A8F10AC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10.07</w:t>
            </w:r>
          </w:p>
        </w:tc>
      </w:tr>
      <w:tr w:rsidR="002B7983" w:rsidRPr="002D7DB7" w14:paraId="2959CE01" w14:textId="77777777" w:rsidTr="00DA7FD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DFF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Կացության և հանրային սննդի կազմակերպում</w:t>
            </w:r>
          </w:p>
        </w:tc>
        <w:tc>
          <w:tcPr>
            <w:tcW w:w="4185" w:type="dxa"/>
          </w:tcPr>
          <w:p w14:paraId="2959CE00" w14:textId="6D7F7950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3.86</w:t>
            </w:r>
          </w:p>
        </w:tc>
      </w:tr>
      <w:tr w:rsidR="002B7983" w:rsidRPr="002D7DB7" w14:paraId="2959CE04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02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Տեղեկատվություն և կապ</w:t>
            </w:r>
          </w:p>
        </w:tc>
        <w:tc>
          <w:tcPr>
            <w:tcW w:w="4185" w:type="dxa"/>
          </w:tcPr>
          <w:p w14:paraId="2959CE03" w14:textId="02BFA813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7.34</w:t>
            </w:r>
          </w:p>
        </w:tc>
      </w:tr>
      <w:tr w:rsidR="002B7983" w:rsidRPr="002D7DB7" w14:paraId="2959CE07" w14:textId="77777777" w:rsidTr="00DA7FD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05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Անշարժ գույքի հետ կապված գործունեություն</w:t>
            </w:r>
          </w:p>
        </w:tc>
        <w:tc>
          <w:tcPr>
            <w:tcW w:w="4185" w:type="dxa"/>
          </w:tcPr>
          <w:p w14:paraId="2959CE06" w14:textId="3F622F86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6.97</w:t>
            </w:r>
            <w:r w:rsidR="00931A25" w:rsidRPr="002D7DB7">
              <w:rPr>
                <w:rFonts w:eastAsiaTheme="minorEastAsia" w:cstheme="minorBidi"/>
                <w:sz w:val="20"/>
              </w:rPr>
              <w:t xml:space="preserve"> </w:t>
            </w:r>
          </w:p>
        </w:tc>
      </w:tr>
      <w:tr w:rsidR="002B7983" w:rsidRPr="002D7DB7" w14:paraId="2959CE0A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08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Մասնագիտական, գիտական և տեխնիկական գործունեություն</w:t>
            </w:r>
          </w:p>
        </w:tc>
        <w:tc>
          <w:tcPr>
            <w:tcW w:w="4185" w:type="dxa"/>
          </w:tcPr>
          <w:p w14:paraId="2959CE09" w14:textId="34C5FA07" w:rsidR="002B7983" w:rsidRPr="00A755CA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  <w:lang w:val="en-US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4.97</w:t>
            </w:r>
          </w:p>
        </w:tc>
      </w:tr>
      <w:tr w:rsidR="002B7983" w:rsidRPr="002D7DB7" w14:paraId="2959CE0D" w14:textId="77777777" w:rsidTr="00DA7FD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0B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Վարչարարական և օժանդակ գործունեություն</w:t>
            </w:r>
          </w:p>
        </w:tc>
        <w:tc>
          <w:tcPr>
            <w:tcW w:w="4185" w:type="dxa"/>
          </w:tcPr>
          <w:p w14:paraId="2959CE0C" w14:textId="2A15A9EC" w:rsidR="002B7983" w:rsidRPr="002D7DB7" w:rsidRDefault="5894FF83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4.</w:t>
            </w:r>
            <w:r w:rsidR="000D0846">
              <w:rPr>
                <w:rFonts w:eastAsiaTheme="minorEastAsia" w:cstheme="minorBidi"/>
                <w:sz w:val="20"/>
                <w:lang w:val="en-US"/>
              </w:rPr>
              <w:t>22</w:t>
            </w:r>
          </w:p>
        </w:tc>
      </w:tr>
      <w:tr w:rsidR="002B7983" w:rsidRPr="002D7DB7" w14:paraId="2959CE10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0E" w14:textId="0245A60F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Համակարգիչների, անձնական օգտագործման և կենցաղային</w:t>
            </w:r>
            <w:r w:rsidR="00FF6FFC">
              <w:rPr>
                <w:rFonts w:eastAsiaTheme="minorEastAsia" w:cstheme="minorBidi"/>
                <w:sz w:val="20"/>
              </w:rPr>
              <w:t xml:space="preserve"> </w:t>
            </w:r>
            <w:r w:rsidRPr="002D7DB7">
              <w:rPr>
                <w:rFonts w:eastAsiaTheme="minorEastAsia" w:cstheme="minorBidi"/>
                <w:sz w:val="20"/>
              </w:rPr>
              <w:t>արտադրատեսակների նորոգում</w:t>
            </w:r>
          </w:p>
        </w:tc>
        <w:tc>
          <w:tcPr>
            <w:tcW w:w="4185" w:type="dxa"/>
          </w:tcPr>
          <w:p w14:paraId="2959CE0F" w14:textId="420AD6EC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i/>
                <w:iCs/>
                <w:sz w:val="20"/>
              </w:rPr>
            </w:pPr>
            <w:r>
              <w:rPr>
                <w:rFonts w:eastAsiaTheme="minorEastAsia" w:cstheme="minorBidi"/>
                <w:sz w:val="20"/>
                <w:lang w:val="en-US"/>
              </w:rPr>
              <w:t>4.3</w:t>
            </w:r>
          </w:p>
        </w:tc>
      </w:tr>
      <w:tr w:rsidR="002B7983" w:rsidRPr="002D7DB7" w14:paraId="2959CE13" w14:textId="77777777" w:rsidTr="00DA7FD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959CE11" w14:textId="77777777" w:rsidR="002B7983" w:rsidRPr="002D7DB7" w:rsidRDefault="5894FF83" w:rsidP="00FC60C0">
            <w:pPr>
              <w:spacing w:line="276" w:lineRule="auto"/>
              <w:ind w:firstLine="0"/>
              <w:rPr>
                <w:rFonts w:eastAsiaTheme="minorEastAsia" w:cstheme="minorBidi"/>
                <w:sz w:val="20"/>
              </w:rPr>
            </w:pPr>
            <w:r w:rsidRPr="002D7DB7">
              <w:rPr>
                <w:rFonts w:eastAsiaTheme="minorEastAsia" w:cstheme="minorBidi"/>
                <w:sz w:val="20"/>
              </w:rPr>
              <w:t>Ընդամենը/միջին</w:t>
            </w:r>
          </w:p>
        </w:tc>
        <w:tc>
          <w:tcPr>
            <w:tcW w:w="4185" w:type="dxa"/>
          </w:tcPr>
          <w:p w14:paraId="2959CE12" w14:textId="273CE67E" w:rsidR="002B7983" w:rsidRPr="002D7DB7" w:rsidRDefault="000D0846" w:rsidP="00FC60C0">
            <w:pPr>
              <w:spacing w:line="276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/>
                <w:sz w:val="20"/>
              </w:rPr>
            </w:pPr>
            <w:r>
              <w:rPr>
                <w:rFonts w:eastAsiaTheme="minorEastAsia" w:cstheme="minorBidi"/>
                <w:b/>
                <w:sz w:val="20"/>
                <w:lang w:val="en-US"/>
              </w:rPr>
              <w:t>6</w:t>
            </w:r>
            <w:r w:rsidR="5894FF83" w:rsidRPr="002D7DB7">
              <w:rPr>
                <w:rFonts w:eastAsiaTheme="minorEastAsia" w:cstheme="minorBidi"/>
                <w:b/>
                <w:sz w:val="20"/>
              </w:rPr>
              <w:t>.</w:t>
            </w:r>
            <w:r>
              <w:rPr>
                <w:rFonts w:eastAsiaTheme="minorEastAsia" w:cstheme="minorBidi"/>
                <w:b/>
                <w:sz w:val="20"/>
                <w:lang w:val="en-US"/>
              </w:rPr>
              <w:t>6</w:t>
            </w:r>
            <w:r w:rsidR="00931A25" w:rsidRPr="002D7DB7">
              <w:rPr>
                <w:rFonts w:eastAsiaTheme="minorEastAsia" w:cstheme="minorBidi"/>
                <w:b/>
                <w:sz w:val="20"/>
              </w:rPr>
              <w:t xml:space="preserve"> </w:t>
            </w:r>
          </w:p>
        </w:tc>
      </w:tr>
    </w:tbl>
    <w:p w14:paraId="2959CE14" w14:textId="534F2B13" w:rsidR="00795F5C" w:rsidRPr="002D7DB7" w:rsidRDefault="002B7983" w:rsidP="00FC60C0">
      <w:pPr>
        <w:spacing w:before="120"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Հայաստանում 1000 բնակչի հաշվով ՓՄՁ միջին խտությունը </w:t>
      </w:r>
      <w:r w:rsidR="00CF154B" w:rsidRPr="002D7DB7">
        <w:rPr>
          <w:rFonts w:eastAsiaTheme="minorEastAsia" w:cstheme="minorBidi"/>
        </w:rPr>
        <w:t>ցածր է</w:t>
      </w:r>
      <w:r w:rsidR="00931A25" w:rsidRPr="002D7DB7">
        <w:rPr>
          <w:rFonts w:eastAsiaTheme="minorEastAsia" w:cstheme="minorBidi"/>
        </w:rPr>
        <w:t xml:space="preserve"> և</w:t>
      </w:r>
      <w:r w:rsidR="00CF154B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կազմում է 2</w:t>
      </w:r>
      <w:r w:rsidR="000D0846" w:rsidRPr="00364637">
        <w:rPr>
          <w:rFonts w:eastAsiaTheme="minorEastAsia" w:cstheme="minorBidi"/>
        </w:rPr>
        <w:t>3</w:t>
      </w:r>
      <w:r w:rsidRPr="002D7DB7">
        <w:rPr>
          <w:rFonts w:eastAsiaTheme="minorEastAsia" w:cstheme="minorBidi"/>
        </w:rPr>
        <w:t xml:space="preserve">.1: ՓՄՁ-ների կեսից ավելին գործունեություն են ծավալում Երևանում, որտեղ ՓՄՁ-ների խտությունը 1000 բնակչի հաշվով </w:t>
      </w:r>
      <w:r w:rsidR="003E30BE" w:rsidRPr="00364637">
        <w:rPr>
          <w:rFonts w:eastAsiaTheme="minorEastAsia" w:cstheme="minorBidi"/>
        </w:rPr>
        <w:t>3</w:t>
      </w:r>
      <w:r w:rsidR="009D475F" w:rsidRPr="00A755CA">
        <w:rPr>
          <w:rFonts w:eastAsiaTheme="minorEastAsia" w:cstheme="minorBidi"/>
        </w:rPr>
        <w:t>3</w:t>
      </w:r>
      <w:r w:rsidRPr="002D7DB7">
        <w:rPr>
          <w:rFonts w:eastAsiaTheme="minorEastAsia" w:cstheme="minorBidi"/>
        </w:rPr>
        <w:t xml:space="preserve"> է, իսկ մարզերում նույն ցուցանիշը զգալիորեն ցածր է: Երևանից դուրս գտնվող ՓՄՁ-</w:t>
      </w:r>
      <w:r w:rsidR="00D41537" w:rsidRPr="002D7DB7">
        <w:rPr>
          <w:rFonts w:eastAsiaTheme="minorEastAsia" w:cstheme="minorBidi"/>
        </w:rPr>
        <w:t>ներ</w:t>
      </w:r>
      <w:r w:rsidRPr="002D7DB7">
        <w:rPr>
          <w:rFonts w:eastAsiaTheme="minorEastAsia" w:cstheme="minorBidi"/>
        </w:rPr>
        <w:t xml:space="preserve">ի մեջ աչքի </w:t>
      </w:r>
      <w:r w:rsidR="00D41537" w:rsidRPr="002D7DB7">
        <w:rPr>
          <w:rFonts w:eastAsiaTheme="minorEastAsia" w:cstheme="minorBidi"/>
        </w:rPr>
        <w:t xml:space="preserve">է </w:t>
      </w:r>
      <w:r w:rsidRPr="002D7DB7">
        <w:rPr>
          <w:rFonts w:eastAsiaTheme="minorEastAsia" w:cstheme="minorBidi"/>
        </w:rPr>
        <w:t>ընկնում Կոտայքի մարզը, որտեղ գտնվում է ՓՄՁ սուբյեկտների 8</w:t>
      </w:r>
      <w:r w:rsidR="009D475F" w:rsidRPr="00A755CA">
        <w:rPr>
          <w:rFonts w:eastAsiaTheme="minorEastAsia" w:cstheme="minorBidi"/>
        </w:rPr>
        <w:t>.6</w:t>
      </w:r>
      <w:r w:rsidRPr="002D7DB7">
        <w:rPr>
          <w:rFonts w:eastAsiaTheme="minorEastAsia" w:cstheme="minorBidi"/>
        </w:rPr>
        <w:t xml:space="preserve"> տոկոսը, իսկ ՓՄՁ խտությունը 1000 բնակչի հաշվով </w:t>
      </w:r>
      <w:r w:rsidR="003E30BE" w:rsidRPr="00364637">
        <w:rPr>
          <w:rFonts w:eastAsiaTheme="minorEastAsia" w:cstheme="minorBidi"/>
        </w:rPr>
        <w:t>23.4</w:t>
      </w:r>
      <w:r w:rsidRPr="002D7DB7">
        <w:rPr>
          <w:rFonts w:eastAsiaTheme="minorEastAsia" w:cstheme="minorBidi"/>
        </w:rPr>
        <w:t xml:space="preserve"> է</w:t>
      </w:r>
      <w:r w:rsidR="00441F0F" w:rsidRPr="002D7DB7">
        <w:rPr>
          <w:rFonts w:eastAsiaTheme="minorEastAsia" w:cstheme="minorBidi"/>
          <w:vertAlign w:val="superscript"/>
        </w:rPr>
        <w:footnoteReference w:id="2"/>
      </w:r>
      <w:r w:rsidRPr="002D7DB7">
        <w:rPr>
          <w:rFonts w:eastAsiaTheme="minorEastAsia" w:cstheme="minorBidi"/>
        </w:rPr>
        <w:t>։</w:t>
      </w:r>
    </w:p>
    <w:p w14:paraId="2959CE15" w14:textId="5F60D7D0" w:rsidR="008F488C" w:rsidRPr="002D7DB7" w:rsidRDefault="008F488C" w:rsidP="00FC60C0">
      <w:pPr>
        <w:spacing w:after="0" w:line="276" w:lineRule="auto"/>
        <w:rPr>
          <w:rStyle w:val="Hyperlink"/>
          <w:color w:val="auto"/>
          <w:u w:val="none"/>
        </w:rPr>
      </w:pPr>
      <w:r w:rsidRPr="002D7DB7">
        <w:rPr>
          <w:rStyle w:val="Hyperlink"/>
          <w:color w:val="auto"/>
          <w:u w:val="none"/>
        </w:rPr>
        <w:t>2018 թվականին Հայաստանում 1000 բնակչին բաժին ընկնող ստեղծվող ընկերությունների թիվը կազմել է</w:t>
      </w:r>
      <w:r w:rsidR="009D475F" w:rsidRPr="00A755CA">
        <w:rPr>
          <w:rStyle w:val="Hyperlink"/>
          <w:color w:val="auto"/>
          <w:u w:val="none"/>
        </w:rPr>
        <w:t xml:space="preserve"> </w:t>
      </w:r>
      <w:r w:rsidR="009D475F" w:rsidRPr="00CA552F">
        <w:rPr>
          <w:rStyle w:val="Hyperlink"/>
          <w:color w:val="auto"/>
          <w:u w:val="none"/>
        </w:rPr>
        <w:t>9.8</w:t>
      </w:r>
      <w:r w:rsidRPr="00CA552F">
        <w:rPr>
          <w:rStyle w:val="Hyperlink"/>
          <w:color w:val="auto"/>
          <w:u w:val="none"/>
        </w:rPr>
        <w:t>։</w:t>
      </w:r>
      <w:r w:rsidRPr="002D7DB7">
        <w:rPr>
          <w:rStyle w:val="Hyperlink"/>
          <w:color w:val="auto"/>
          <w:u w:val="none"/>
        </w:rPr>
        <w:t xml:space="preserve"> Համաձայն </w:t>
      </w:r>
      <w:r w:rsidR="00E418DC" w:rsidRPr="002D7DB7">
        <w:t>ՀԲ</w:t>
      </w:r>
      <w:r w:rsidR="00E418DC" w:rsidRPr="003346A4">
        <w:t xml:space="preserve"> (WB)</w:t>
      </w:r>
      <w:r w:rsidRPr="002D7DB7">
        <w:rPr>
          <w:rStyle w:val="Hyperlink"/>
          <w:color w:val="auto"/>
          <w:u w:val="none"/>
        </w:rPr>
        <w:t xml:space="preserve"> զեկույցի բարձր-միջին եկամուտ ունեցող երկրներում այս ցուցանիշը հասնում է 30-ի</w:t>
      </w:r>
      <w:r w:rsidR="00931A25" w:rsidRPr="002D7DB7">
        <w:rPr>
          <w:rStyle w:val="Hyperlink"/>
          <w:color w:val="auto"/>
          <w:u w:val="none"/>
        </w:rPr>
        <w:t>։</w:t>
      </w:r>
      <w:r w:rsidRPr="002D7DB7">
        <w:rPr>
          <w:rStyle w:val="Hyperlink"/>
          <w:color w:val="auto"/>
          <w:u w:val="none"/>
        </w:rPr>
        <w:t xml:space="preserve"> </w:t>
      </w:r>
      <w:r w:rsidR="00931A25" w:rsidRPr="002D7DB7">
        <w:rPr>
          <w:rStyle w:val="Hyperlink"/>
          <w:color w:val="auto"/>
          <w:u w:val="none"/>
        </w:rPr>
        <w:t xml:space="preserve"> Այժմ </w:t>
      </w:r>
      <w:r w:rsidRPr="002D7DB7">
        <w:rPr>
          <w:rStyle w:val="Hyperlink"/>
          <w:color w:val="auto"/>
          <w:u w:val="none"/>
        </w:rPr>
        <w:t xml:space="preserve">ՀՀ ցուցանիշը համապատասխանում է ցածր-միջին եկամուտ ունեցող երկրների ցուցանիշին։ </w:t>
      </w:r>
    </w:p>
    <w:p w14:paraId="2959CE16" w14:textId="56BEA317" w:rsidR="00DE7A99" w:rsidRDefault="00672A31" w:rsidP="00FC60C0">
      <w:pPr>
        <w:spacing w:after="0" w:line="276" w:lineRule="auto"/>
        <w:ind w:firstLine="360"/>
      </w:pPr>
      <w:r>
        <w:t xml:space="preserve">  </w:t>
      </w:r>
      <w:r w:rsidR="00931A25" w:rsidRPr="002D7DB7">
        <w:t>Ո</w:t>
      </w:r>
      <w:r w:rsidR="00DE7A99" w:rsidRPr="002D7DB7">
        <w:t xml:space="preserve">լորտի և միջավայրի </w:t>
      </w:r>
      <w:r w:rsidR="00931A25" w:rsidRPr="002D7DB7">
        <w:t xml:space="preserve">ավելի մանրամասն </w:t>
      </w:r>
      <w:r w:rsidR="00DE7A99" w:rsidRPr="002D7DB7">
        <w:t>վերլուծությունը ներկայացված է Հավելված 1-ում</w:t>
      </w:r>
      <w:r w:rsidR="00041B3E" w:rsidRPr="002D7DB7">
        <w:t>, իսկ Ուժեղ/Թույլ կողմերի, Հնարավորությու</w:t>
      </w:r>
      <w:r w:rsidR="00775128" w:rsidRPr="002D7DB7">
        <w:t>ն</w:t>
      </w:r>
      <w:r w:rsidR="00041B3E" w:rsidRPr="002D7DB7">
        <w:t>ների և Ռիսկերի վերլո</w:t>
      </w:r>
      <w:r w:rsidR="00775128" w:rsidRPr="002D7DB7">
        <w:t>ւ</w:t>
      </w:r>
      <w:r w:rsidR="00041B3E" w:rsidRPr="002D7DB7">
        <w:t>ծությունը՝ Հավելված 2-ում</w:t>
      </w:r>
      <w:r w:rsidR="00DE7A99" w:rsidRPr="002D7DB7">
        <w:t>։</w:t>
      </w:r>
    </w:p>
    <w:p w14:paraId="6A8392ED" w14:textId="77777777" w:rsidR="00CA552F" w:rsidRPr="002D7DB7" w:rsidRDefault="00CA552F" w:rsidP="00FC60C0">
      <w:pPr>
        <w:spacing w:after="0" w:line="276" w:lineRule="auto"/>
        <w:ind w:firstLine="360"/>
      </w:pPr>
    </w:p>
    <w:p w14:paraId="2959CE17" w14:textId="72916AAF" w:rsidR="002328F2" w:rsidRDefault="002328F2" w:rsidP="00FC60C0">
      <w:pPr>
        <w:pStyle w:val="Heading1"/>
        <w:spacing w:after="0" w:line="276" w:lineRule="auto"/>
      </w:pPr>
      <w:bookmarkStart w:id="6" w:name="_Toc17467293"/>
      <w:bookmarkStart w:id="7" w:name="_Toc47118489"/>
      <w:r w:rsidRPr="002D7DB7">
        <w:t>Ռազմավարության տեսլականը և առաքելությունը</w:t>
      </w:r>
      <w:bookmarkEnd w:id="6"/>
      <w:bookmarkEnd w:id="7"/>
    </w:p>
    <w:p w14:paraId="49D68EDB" w14:textId="77777777" w:rsidR="0059087C" w:rsidRDefault="0059087C" w:rsidP="0059087C">
      <w:pPr>
        <w:spacing w:after="0" w:line="276" w:lineRule="auto"/>
        <w:ind w:firstLine="432"/>
      </w:pPr>
    </w:p>
    <w:p w14:paraId="2959CE18" w14:textId="2C476410" w:rsidR="002328F2" w:rsidRPr="002D7DB7" w:rsidRDefault="5894FF83" w:rsidP="0059087C">
      <w:pPr>
        <w:spacing w:after="0" w:line="276" w:lineRule="auto"/>
        <w:ind w:firstLine="432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ՀՀ կառավարության կողմից ամրագրված ներառական տնտեսության զարգացման՝ կայուն զբաղվածության ապահովման և հասարակության միջին խավի ձևավորման մեջ կարևորագույն դեր են խաղում մրցունակ </w:t>
      </w:r>
      <w:r w:rsidR="00A16CF4">
        <w:rPr>
          <w:rFonts w:eastAsiaTheme="minorEastAsia" w:cstheme="minorBidi"/>
        </w:rPr>
        <w:t>ՓՄՁ-երը</w:t>
      </w:r>
      <w:r w:rsidRPr="002D7DB7">
        <w:rPr>
          <w:rFonts w:eastAsiaTheme="minorEastAsia" w:cstheme="minorBidi"/>
        </w:rPr>
        <w:t>:</w:t>
      </w:r>
      <w:r w:rsidRPr="002D7DB7">
        <w:rPr>
          <w:rFonts w:ascii="Courier New" w:eastAsiaTheme="minorEastAsia" w:hAnsi="Courier New" w:cs="Courier New"/>
        </w:rPr>
        <w:t> </w:t>
      </w:r>
    </w:p>
    <w:p w14:paraId="2959CE19" w14:textId="77777777" w:rsidR="00A22285" w:rsidRPr="002D7DB7" w:rsidRDefault="5894FF83" w:rsidP="00FC60C0">
      <w:pPr>
        <w:spacing w:after="0" w:line="276" w:lineRule="auto"/>
        <w:rPr>
          <w:rStyle w:val="IntenseEmphasis"/>
          <w:rFonts w:eastAsiaTheme="minorEastAsia" w:cstheme="minorBidi"/>
          <w:b w:val="0"/>
          <w:bCs w:val="0"/>
          <w:i w:val="0"/>
          <w:iCs w:val="0"/>
        </w:rPr>
      </w:pPr>
      <w:r w:rsidRPr="002D7DB7">
        <w:rPr>
          <w:rStyle w:val="IntenseEmphasis"/>
          <w:rFonts w:eastAsiaTheme="minorEastAsia" w:cstheme="minorBidi"/>
          <w:b w:val="0"/>
          <w:bCs w:val="0"/>
          <w:i w:val="0"/>
          <w:iCs w:val="0"/>
        </w:rPr>
        <w:t>Ռազմավարության տեսլականն է`</w:t>
      </w:r>
    </w:p>
    <w:p w14:paraId="2959CE1A" w14:textId="043F453A" w:rsidR="00A22285" w:rsidRPr="002D7DB7" w:rsidRDefault="5894FF83" w:rsidP="00FC60C0">
      <w:pPr>
        <w:spacing w:after="0" w:line="276" w:lineRule="auto"/>
        <w:rPr>
          <w:rStyle w:val="IntenseEmphasis"/>
          <w:rFonts w:eastAsiaTheme="minorEastAsia" w:cstheme="minorBidi"/>
        </w:rPr>
      </w:pPr>
      <w:r w:rsidRPr="002D7DB7">
        <w:rPr>
          <w:rStyle w:val="IntenseEmphasis"/>
          <w:rFonts w:eastAsiaTheme="minorEastAsia" w:cstheme="minorBidi"/>
        </w:rPr>
        <w:t>Հայաստանի Հանրապետության ՓՄՁ-ները ունեն նորարարական գաղափարներ և տեխնոլոգիա</w:t>
      </w:r>
      <w:r w:rsidR="00931A25" w:rsidRPr="002D7DB7">
        <w:rPr>
          <w:rStyle w:val="IntenseEmphasis"/>
          <w:rFonts w:eastAsiaTheme="minorEastAsia" w:cstheme="minorBidi"/>
        </w:rPr>
        <w:t>ներ</w:t>
      </w:r>
      <w:r w:rsidRPr="002D7DB7">
        <w:rPr>
          <w:rStyle w:val="IntenseEmphasis"/>
          <w:rFonts w:eastAsiaTheme="minorEastAsia" w:cstheme="minorBidi"/>
        </w:rPr>
        <w:t xml:space="preserve"> ընդունելու, ներդնելու և գեներացնելու բարձր ունակություն, միջազգայնորեն մրցունակ են և ներառված ինչպես տարածաշրջանային, այնպես և գլոբալ արժեշղթաներում, իսկ մշակույթը, գործարար և ներդրումային միջավայրը նպաստում են ձեռներեցությամբ զբաղվելուն։</w:t>
      </w:r>
    </w:p>
    <w:p w14:paraId="2959CE1B" w14:textId="77777777" w:rsidR="00A22285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Ռազմավարության առաքելությունն է՝</w:t>
      </w:r>
      <w:r w:rsidRPr="002D7DB7">
        <w:rPr>
          <w:rFonts w:ascii="Courier New" w:eastAsiaTheme="minorEastAsia" w:hAnsi="Courier New" w:cs="Courier New"/>
        </w:rPr>
        <w:t> </w:t>
      </w:r>
    </w:p>
    <w:p w14:paraId="2959CE1C" w14:textId="71F549F6" w:rsidR="00A53DC0" w:rsidRPr="002D7DB7" w:rsidRDefault="5894FF83" w:rsidP="00FC60C0">
      <w:pPr>
        <w:spacing w:after="0" w:line="276" w:lineRule="auto"/>
        <w:rPr>
          <w:rFonts w:eastAsiaTheme="minorEastAsia" w:cstheme="minorBidi"/>
          <w:b/>
          <w:bCs/>
          <w:i/>
          <w:iCs/>
        </w:rPr>
      </w:pPr>
      <w:r w:rsidRPr="002D7DB7">
        <w:rPr>
          <w:rStyle w:val="IntenseEmphasis"/>
          <w:rFonts w:eastAsiaTheme="minorEastAsia" w:cstheme="minorBidi"/>
        </w:rPr>
        <w:t xml:space="preserve"> </w:t>
      </w:r>
      <w:r w:rsidR="00931A25" w:rsidRPr="002D7DB7">
        <w:rPr>
          <w:rStyle w:val="IntenseEmphasis"/>
          <w:rFonts w:eastAsiaTheme="minorEastAsia" w:cstheme="minorBidi"/>
        </w:rPr>
        <w:t>ն</w:t>
      </w:r>
      <w:r w:rsidRPr="002D7DB7">
        <w:rPr>
          <w:rStyle w:val="IntenseEmphasis"/>
          <w:rFonts w:eastAsiaTheme="minorEastAsia" w:cstheme="minorBidi"/>
        </w:rPr>
        <w:t xml:space="preserve">որարարական և մրցունակ ՓՄՁ-ների ձևավորման և աճի համար </w:t>
      </w:r>
      <w:r w:rsidR="00931A25" w:rsidRPr="002D7DB7">
        <w:rPr>
          <w:rStyle w:val="IntenseEmphasis"/>
          <w:rFonts w:eastAsiaTheme="minorEastAsia" w:cstheme="minorBidi"/>
        </w:rPr>
        <w:t xml:space="preserve">ստեղծել </w:t>
      </w:r>
      <w:r w:rsidRPr="002D7DB7">
        <w:rPr>
          <w:rStyle w:val="IntenseEmphasis"/>
          <w:rFonts w:eastAsiaTheme="minorEastAsia" w:cstheme="minorBidi"/>
        </w:rPr>
        <w:t>բարենպաստ միջավայր։</w:t>
      </w:r>
      <w:r w:rsidRPr="002D7DB7">
        <w:rPr>
          <w:rStyle w:val="IntenseEmphasis"/>
          <w:rFonts w:ascii="Courier New" w:eastAsiaTheme="minorEastAsia" w:hAnsi="Courier New" w:cs="Courier New"/>
        </w:rPr>
        <w:t> </w:t>
      </w:r>
    </w:p>
    <w:p w14:paraId="2959CE1D" w14:textId="5D2EF922" w:rsidR="00A53DC0" w:rsidRDefault="5894FF83" w:rsidP="00FC60C0">
      <w:pPr>
        <w:pStyle w:val="Heading2"/>
        <w:spacing w:after="0" w:line="276" w:lineRule="auto"/>
      </w:pPr>
      <w:bookmarkStart w:id="8" w:name="_Toc17467294"/>
      <w:bookmarkStart w:id="9" w:name="_Toc47118490"/>
      <w:r w:rsidRPr="002D7DB7">
        <w:t>Նպատակները և թիրախները</w:t>
      </w:r>
      <w:bookmarkEnd w:id="8"/>
      <w:bookmarkEnd w:id="9"/>
    </w:p>
    <w:p w14:paraId="2959CE1E" w14:textId="39FC1E85" w:rsidR="00E27E2D" w:rsidRPr="002D7DB7" w:rsidRDefault="005B341E" w:rsidP="00FC60C0">
      <w:pPr>
        <w:spacing w:after="0" w:line="276" w:lineRule="auto"/>
        <w:rPr>
          <w:rFonts w:eastAsiaTheme="minorEastAsia" w:cstheme="minorBidi"/>
          <w:b/>
          <w:bCs/>
        </w:rPr>
      </w:pPr>
      <w:r w:rsidRPr="002D7DB7">
        <w:rPr>
          <w:rFonts w:eastAsiaTheme="minorEastAsia" w:cstheme="minorBidi"/>
        </w:rPr>
        <w:t>Ռ</w:t>
      </w:r>
      <w:r w:rsidR="5894FF83" w:rsidRPr="002D7DB7">
        <w:rPr>
          <w:rFonts w:eastAsiaTheme="minorEastAsia" w:cstheme="minorBidi"/>
        </w:rPr>
        <w:t xml:space="preserve">ազմավարությունը նպատակ է հետապնդում միջնաժամկետում նպաստել Հայաստանում ձեռներեցության զարգացմանը, ՓՄՁ-ների արտադրողականության բարձրացմանը, աջակցել </w:t>
      </w:r>
      <w:r w:rsidR="005759B8">
        <w:rPr>
          <w:rFonts w:eastAsiaTheme="minorEastAsia" w:cstheme="minorBidi"/>
        </w:rPr>
        <w:t>ՓՄՁ-երի</w:t>
      </w:r>
      <w:r w:rsidR="5894FF83" w:rsidRPr="002D7DB7">
        <w:rPr>
          <w:rFonts w:eastAsiaTheme="minorEastAsia" w:cstheme="minorBidi"/>
        </w:rPr>
        <w:t xml:space="preserve"> մրցունակության աճին, ներքին և միջազգային թիրախային շուկաներում`</w:t>
      </w:r>
      <w:r w:rsidR="005B35A2" w:rsidRPr="002D7DB7">
        <w:rPr>
          <w:rFonts w:eastAsiaTheme="minorEastAsia" w:cstheme="minorBidi"/>
        </w:rPr>
        <w:t xml:space="preserve"> </w:t>
      </w:r>
      <w:r w:rsidR="5894FF83" w:rsidRPr="002D7DB7">
        <w:rPr>
          <w:rFonts w:eastAsiaTheme="minorEastAsia" w:cstheme="minorBidi"/>
        </w:rPr>
        <w:t>մասնավոր նախաձեռնողականության, առավել արտադրողական տեխնոլոգիաների ներդրման ու նորարարական գաղափարների ընդունման, ներդրման և գեներացման միջոցով:</w:t>
      </w:r>
    </w:p>
    <w:p w14:paraId="2959CE1F" w14:textId="77777777" w:rsidR="00E27E2D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Արդյունքում կապահովվի ՀՀ տնտեսության կայուն և ներառական զարգացմանը նպաստող նորարարական և մրցունակ ՓՄՁ-ների ձևավորումը և զարգացումը։</w:t>
      </w:r>
    </w:p>
    <w:p w14:paraId="692F7C5D" w14:textId="7858D527" w:rsidR="004739C7" w:rsidRPr="0059087C" w:rsidRDefault="5894FF83" w:rsidP="0059087C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  <w:b/>
          <w:bCs/>
        </w:rPr>
        <w:t>ՓՄՁ-ների արտադրողականության ավելացում</w:t>
      </w:r>
      <w:r w:rsidRPr="002D7DB7">
        <w:rPr>
          <w:rFonts w:eastAsiaTheme="minorEastAsia" w:cstheme="minorBidi"/>
        </w:rPr>
        <w:t>։ ՀՀ</w:t>
      </w:r>
      <w:r w:rsidR="000E6CA4" w:rsidRPr="002D7DB7">
        <w:rPr>
          <w:rFonts w:eastAsiaTheme="minorEastAsia" w:cstheme="minorBidi"/>
        </w:rPr>
        <w:t>-ի</w:t>
      </w:r>
      <w:r w:rsidR="00581283" w:rsidRPr="002D7DB7">
        <w:rPr>
          <w:rFonts w:eastAsiaTheme="minorEastAsia" w:cstheme="minorBidi"/>
        </w:rPr>
        <w:t xml:space="preserve"> </w:t>
      </w:r>
      <w:r w:rsidR="003B62A9" w:rsidRPr="002D7DB7">
        <w:rPr>
          <w:rFonts w:eastAsiaTheme="minorEastAsia" w:cstheme="minorBidi"/>
        </w:rPr>
        <w:t>ՓՄՁ-ների</w:t>
      </w:r>
      <w:r w:rsidR="00581283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մեկ աշխատողի ստեղծած ավելացված արժեքը տարեկան կտրվածքով կազմում է </w:t>
      </w:r>
      <w:r w:rsidR="00650DDF" w:rsidRPr="00364637">
        <w:rPr>
          <w:rFonts w:eastAsiaTheme="minorEastAsia" w:cstheme="minorBidi"/>
        </w:rPr>
        <w:t>6.7</w:t>
      </w:r>
      <w:r w:rsidRPr="002D7DB7">
        <w:rPr>
          <w:rFonts w:eastAsiaTheme="minorEastAsia" w:cstheme="minorBidi"/>
        </w:rPr>
        <w:t xml:space="preserve"> մլն. ՀՀ դրամ (մոտ 1</w:t>
      </w:r>
      <w:r w:rsidR="00650DDF" w:rsidRPr="00364637">
        <w:rPr>
          <w:rFonts w:eastAsiaTheme="minorEastAsia" w:cstheme="minorBidi"/>
        </w:rPr>
        <w:t>3</w:t>
      </w:r>
      <w:r w:rsidRPr="002D7DB7">
        <w:rPr>
          <w:rFonts w:ascii="Cambria Math" w:eastAsia="MS Mincho" w:hAnsi="Cambria Math" w:cs="Cambria Math"/>
        </w:rPr>
        <w:t>․</w:t>
      </w:r>
      <w:r w:rsidR="00650DDF" w:rsidRPr="00364637">
        <w:rPr>
          <w:rFonts w:eastAsiaTheme="minorEastAsia" w:cstheme="minorBidi"/>
        </w:rPr>
        <w:t>7</w:t>
      </w:r>
      <w:r w:rsidRPr="002D7DB7">
        <w:rPr>
          <w:rFonts w:eastAsiaTheme="minorEastAsia" w:cstheme="minorBidi"/>
        </w:rPr>
        <w:t xml:space="preserve"> հազ. ԱՄՆ դոլար):</w:t>
      </w:r>
      <w:r w:rsidR="00581283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Նշված ցուցանիշ</w:t>
      </w:r>
      <w:r w:rsidR="00D94F6A" w:rsidRPr="002D7DB7">
        <w:rPr>
          <w:rFonts w:eastAsiaTheme="minorEastAsia" w:cstheme="minorBidi"/>
        </w:rPr>
        <w:t xml:space="preserve">ը </w:t>
      </w:r>
      <w:r w:rsidR="00523E11" w:rsidRPr="002D7DB7">
        <w:rPr>
          <w:rFonts w:eastAsiaTheme="minorEastAsia" w:cstheme="minorBidi"/>
        </w:rPr>
        <w:t>գրեթե 2</w:t>
      </w:r>
      <w:r w:rsidR="008F488C" w:rsidRPr="002D7DB7">
        <w:rPr>
          <w:rFonts w:ascii="Cambria Math" w:eastAsiaTheme="minorEastAsia" w:hAnsi="Cambria Math" w:cs="Cambria Math"/>
        </w:rPr>
        <w:t>․</w:t>
      </w:r>
      <w:r w:rsidR="00523E11" w:rsidRPr="002D7DB7">
        <w:rPr>
          <w:rFonts w:eastAsiaTheme="minorEastAsia" w:cstheme="minorBidi"/>
        </w:rPr>
        <w:t>5 անգամ</w:t>
      </w:r>
      <w:r w:rsidRPr="002D7DB7">
        <w:rPr>
          <w:rFonts w:eastAsiaTheme="minorEastAsia" w:cstheme="minorBidi"/>
        </w:rPr>
        <w:t xml:space="preserve"> զիջում </w:t>
      </w:r>
      <w:r w:rsidR="00C20630" w:rsidRPr="002D7DB7">
        <w:rPr>
          <w:rFonts w:eastAsiaTheme="minorEastAsia" w:cstheme="minorBidi"/>
        </w:rPr>
        <w:t>է</w:t>
      </w:r>
      <w:r w:rsidR="00581283" w:rsidRPr="002D7DB7">
        <w:rPr>
          <w:rFonts w:eastAsiaTheme="minorEastAsia" w:cstheme="minorBidi"/>
        </w:rPr>
        <w:t xml:space="preserve"> </w:t>
      </w:r>
      <w:r w:rsidR="00BA781B" w:rsidRPr="002D7DB7">
        <w:rPr>
          <w:rFonts w:eastAsiaTheme="minorEastAsia" w:cstheme="minorBidi"/>
        </w:rPr>
        <w:t xml:space="preserve">ՏՀԶԿ </w:t>
      </w:r>
      <w:r w:rsidR="00D94F6A" w:rsidRPr="002D7DB7">
        <w:rPr>
          <w:rFonts w:eastAsiaTheme="minorEastAsia" w:cstheme="minorBidi"/>
        </w:rPr>
        <w:t>երկրների</w:t>
      </w:r>
      <w:r w:rsidR="00C20630" w:rsidRPr="002D7DB7">
        <w:rPr>
          <w:rFonts w:eastAsiaTheme="minorEastAsia" w:cstheme="minorBidi"/>
        </w:rPr>
        <w:t xml:space="preserve"> միջիններին</w:t>
      </w:r>
      <w:r w:rsidR="00523E11" w:rsidRPr="002D7DB7">
        <w:rPr>
          <w:rFonts w:eastAsiaTheme="minorEastAsia" w:cstheme="minorBidi"/>
        </w:rPr>
        <w:t>։ Նպատակ ունենալով բարձրացնել Հայաստանի ՓՄՁ-ների մրցունակությունը, այսինքն</w:t>
      </w:r>
      <w:r w:rsidR="000E6CA4" w:rsidRPr="002D7DB7">
        <w:rPr>
          <w:rFonts w:eastAsiaTheme="minorEastAsia" w:cstheme="minorBidi"/>
        </w:rPr>
        <w:t>՝</w:t>
      </w:r>
      <w:r w:rsidR="00523E11" w:rsidRPr="002D7DB7">
        <w:rPr>
          <w:rFonts w:eastAsiaTheme="minorEastAsia" w:cstheme="minorBidi"/>
        </w:rPr>
        <w:t xml:space="preserve"> կրճատել արտադրողականության </w:t>
      </w:r>
      <w:r w:rsidR="000E6CA4" w:rsidRPr="002D7DB7">
        <w:rPr>
          <w:rFonts w:eastAsiaTheme="minorEastAsia" w:cstheme="minorBidi"/>
        </w:rPr>
        <w:t>ճեղքը,</w:t>
      </w:r>
      <w:r w:rsidR="00523E11" w:rsidRPr="002D7DB7">
        <w:rPr>
          <w:rFonts w:eastAsiaTheme="minorEastAsia" w:cstheme="minorBidi"/>
        </w:rPr>
        <w:t xml:space="preserve"> և ելնելով </w:t>
      </w:r>
      <w:r w:rsidR="00400389" w:rsidRPr="002D7DB7">
        <w:rPr>
          <w:rFonts w:eastAsiaTheme="minorEastAsia" w:cstheme="minorBidi"/>
        </w:rPr>
        <w:t>երկարաժամկետ</w:t>
      </w:r>
      <w:r w:rsidR="00523E11" w:rsidRPr="002D7DB7">
        <w:rPr>
          <w:rFonts w:eastAsiaTheme="minorEastAsia" w:cstheme="minorBidi"/>
        </w:rPr>
        <w:t xml:space="preserve"> տնտեսական աճի թիրախից</w:t>
      </w:r>
      <w:r w:rsidR="000E6CA4" w:rsidRPr="002D7DB7">
        <w:rPr>
          <w:rFonts w:eastAsiaTheme="minorEastAsia" w:cstheme="minorBidi"/>
        </w:rPr>
        <w:t xml:space="preserve"> </w:t>
      </w:r>
      <w:r w:rsidR="000E6CA4" w:rsidRPr="0059087C">
        <w:rPr>
          <w:rFonts w:eastAsiaTheme="minorEastAsia" w:cstheme="minorBidi"/>
        </w:rPr>
        <w:t>(</w:t>
      </w:r>
      <w:r w:rsidR="00DC3DF1" w:rsidRPr="0059087C">
        <w:rPr>
          <w:rFonts w:eastAsiaTheme="minorEastAsia" w:cstheme="minorBidi"/>
        </w:rPr>
        <w:t>7</w:t>
      </w:r>
      <w:r w:rsidR="000E6CA4" w:rsidRPr="0059087C">
        <w:rPr>
          <w:rFonts w:eastAsiaTheme="minorEastAsia" w:cstheme="minorBidi"/>
        </w:rPr>
        <w:t>% տարեկան իրական ՀՆԱ-ի աճ</w:t>
      </w:r>
      <w:r w:rsidR="00DC3DF1" w:rsidRPr="0059087C">
        <w:rPr>
          <w:rFonts w:eastAsiaTheme="minorEastAsia" w:cstheme="minorBidi"/>
        </w:rPr>
        <w:t xml:space="preserve"> 2021 թվականի համար</w:t>
      </w:r>
      <w:r w:rsidR="0059087C" w:rsidRPr="0059087C">
        <w:rPr>
          <w:rFonts w:eastAsiaTheme="minorEastAsia" w:cstheme="minorBidi"/>
        </w:rPr>
        <w:t>, 6.4</w:t>
      </w:r>
      <w:r w:rsidR="002705C2" w:rsidRPr="0059087C">
        <w:rPr>
          <w:rFonts w:eastAsiaTheme="minorEastAsia" w:cstheme="minorBidi"/>
        </w:rPr>
        <w:t>% 2022 թվականի համար և 5.1% 2023 թվականի համար</w:t>
      </w:r>
      <w:r w:rsidR="0059087C" w:rsidRPr="0059087C">
        <w:rPr>
          <w:rStyle w:val="FootnoteReference"/>
          <w:rFonts w:eastAsiaTheme="minorEastAsia" w:cstheme="minorBidi"/>
        </w:rPr>
        <w:footnoteReference w:id="3"/>
      </w:r>
      <w:r w:rsidR="000E6CA4" w:rsidRPr="0059087C">
        <w:rPr>
          <w:rFonts w:eastAsiaTheme="minorEastAsia" w:cstheme="minorBidi"/>
        </w:rPr>
        <w:t>)</w:t>
      </w:r>
      <w:r w:rsidR="008F488C" w:rsidRPr="0059087C">
        <w:rPr>
          <w:rFonts w:eastAsiaTheme="minorEastAsia" w:cstheme="minorBidi"/>
        </w:rPr>
        <w:t>՝</w:t>
      </w:r>
      <w:r w:rsidR="00523E11" w:rsidRPr="0059087C">
        <w:rPr>
          <w:rFonts w:eastAsiaTheme="minorEastAsia" w:cstheme="minorBidi"/>
        </w:rPr>
        <w:t xml:space="preserve"> ռազմավարության համար որոշվել են հետևյալ </w:t>
      </w:r>
      <w:r w:rsidR="000E6CA4" w:rsidRPr="0059087C">
        <w:rPr>
          <w:rFonts w:eastAsiaTheme="minorEastAsia" w:cstheme="minorBidi"/>
        </w:rPr>
        <w:t>թիրախները՝</w:t>
      </w:r>
    </w:p>
    <w:p w14:paraId="3F839789" w14:textId="450035FC" w:rsidR="00992C69" w:rsidRPr="0059087C" w:rsidRDefault="000E6CA4" w:rsidP="00992C69">
      <w:pPr>
        <w:spacing w:after="0" w:line="276" w:lineRule="auto"/>
        <w:rPr>
          <w:rStyle w:val="IntenseEmphasis"/>
          <w:color w:val="000000" w:themeColor="text1"/>
        </w:rPr>
      </w:pPr>
      <w:r w:rsidRPr="0059087C">
        <w:rPr>
          <w:rStyle w:val="IntenseEmphasis"/>
          <w:color w:val="000000" w:themeColor="text1"/>
        </w:rPr>
        <w:t>Արտադրողականության աճ՝</w:t>
      </w:r>
      <w:r w:rsidR="00992C69" w:rsidRPr="0059087C">
        <w:rPr>
          <w:rStyle w:val="IntenseEmphasis"/>
          <w:color w:val="000000" w:themeColor="text1"/>
        </w:rPr>
        <w:t xml:space="preserve"> 2021-202</w:t>
      </w:r>
      <w:r w:rsidR="00DC3DF1" w:rsidRPr="0059087C">
        <w:rPr>
          <w:rStyle w:val="IntenseEmphasis"/>
          <w:color w:val="000000" w:themeColor="text1"/>
        </w:rPr>
        <w:t>3</w:t>
      </w:r>
      <w:r w:rsidR="00992C69" w:rsidRPr="0059087C">
        <w:rPr>
          <w:rStyle w:val="IntenseEmphasis"/>
          <w:color w:val="000000" w:themeColor="text1"/>
        </w:rPr>
        <w:t xml:space="preserve"> թվերի համար միջինում տարեկան 3%</w:t>
      </w:r>
      <w:r w:rsidR="00874E57" w:rsidRPr="0059087C">
        <w:rPr>
          <w:rStyle w:val="IntenseEmphasis"/>
          <w:color w:val="000000" w:themeColor="text1"/>
        </w:rPr>
        <w:t>,</w:t>
      </w:r>
      <w:r w:rsidR="00992C69" w:rsidRPr="0059087C">
        <w:rPr>
          <w:rStyle w:val="IntenseEmphasis"/>
          <w:color w:val="000000" w:themeColor="text1"/>
        </w:rPr>
        <w:t xml:space="preserve"> իսկ </w:t>
      </w:r>
      <w:r w:rsidR="00CA552F" w:rsidRPr="0059087C">
        <w:rPr>
          <w:rStyle w:val="IntenseEmphasis"/>
          <w:color w:val="000000" w:themeColor="text1"/>
        </w:rPr>
        <w:t xml:space="preserve">                 </w:t>
      </w:r>
      <w:r w:rsidR="00DC3DF1" w:rsidRPr="0059087C">
        <w:rPr>
          <w:rStyle w:val="IntenseEmphasis"/>
          <w:color w:val="000000" w:themeColor="text1"/>
        </w:rPr>
        <w:t xml:space="preserve">  </w:t>
      </w:r>
      <w:r w:rsidR="00992C69" w:rsidRPr="0059087C">
        <w:rPr>
          <w:rStyle w:val="IntenseEmphasis"/>
          <w:color w:val="000000" w:themeColor="text1"/>
        </w:rPr>
        <w:t>2024 թվ</w:t>
      </w:r>
      <w:r w:rsidR="002705C2" w:rsidRPr="0059087C">
        <w:rPr>
          <w:rStyle w:val="IntenseEmphasis"/>
          <w:color w:val="000000" w:themeColor="text1"/>
        </w:rPr>
        <w:t>ականի</w:t>
      </w:r>
      <w:r w:rsidR="00992C69" w:rsidRPr="0059087C">
        <w:rPr>
          <w:rStyle w:val="IntenseEmphasis"/>
          <w:color w:val="000000" w:themeColor="text1"/>
        </w:rPr>
        <w:t xml:space="preserve"> համար </w:t>
      </w:r>
      <w:r w:rsidR="00DC3DF1" w:rsidRPr="0059087C">
        <w:rPr>
          <w:rStyle w:val="IntenseEmphasis"/>
          <w:color w:val="000000" w:themeColor="text1"/>
        </w:rPr>
        <w:t>7</w:t>
      </w:r>
      <w:r w:rsidR="0059087C" w:rsidRPr="006506ED">
        <w:rPr>
          <w:rStyle w:val="IntenseEmphasis"/>
          <w:rFonts w:ascii="Cambria Math" w:hAnsi="Cambria Math" w:cs="Cambria Math"/>
          <w:color w:val="000000" w:themeColor="text1"/>
        </w:rPr>
        <w:t>․</w:t>
      </w:r>
      <w:r w:rsidR="0059087C" w:rsidRPr="006506ED">
        <w:rPr>
          <w:rStyle w:val="IntenseEmphasis"/>
          <w:color w:val="000000" w:themeColor="text1"/>
        </w:rPr>
        <w:t>5</w:t>
      </w:r>
      <w:r w:rsidR="00992C69" w:rsidRPr="0059087C">
        <w:rPr>
          <w:rStyle w:val="IntenseEmphasis"/>
          <w:color w:val="000000" w:themeColor="text1"/>
        </w:rPr>
        <w:t>%</w:t>
      </w:r>
      <w:r w:rsidR="00CA552F" w:rsidRPr="0059087C">
        <w:rPr>
          <w:rStyle w:val="IntenseEmphasis"/>
          <w:color w:val="000000" w:themeColor="text1"/>
        </w:rPr>
        <w:t>։</w:t>
      </w:r>
    </w:p>
    <w:p w14:paraId="2959CE22" w14:textId="50A4AD90" w:rsidR="000E6CA4" w:rsidRPr="00CA552F" w:rsidRDefault="00CA552F" w:rsidP="00CA552F">
      <w:pPr>
        <w:spacing w:after="0" w:line="276" w:lineRule="auto"/>
        <w:ind w:firstLine="0"/>
        <w:rPr>
          <w:rStyle w:val="IntenseEmphasis"/>
          <w:color w:val="000000" w:themeColor="text1"/>
        </w:rPr>
      </w:pPr>
      <w:r w:rsidRPr="0059087C">
        <w:rPr>
          <w:rStyle w:val="IntenseEmphasis"/>
          <w:color w:val="000000" w:themeColor="text1"/>
        </w:rPr>
        <w:t xml:space="preserve">        </w:t>
      </w:r>
      <w:r w:rsidR="000E6CA4" w:rsidRPr="0059087C">
        <w:rPr>
          <w:rStyle w:val="IntenseEmphasis"/>
          <w:color w:val="000000" w:themeColor="text1"/>
        </w:rPr>
        <w:t xml:space="preserve">ՓՄՁ-ում զբաղվածների աճ՝ </w:t>
      </w:r>
      <w:r w:rsidR="00992C69" w:rsidRPr="0059087C">
        <w:rPr>
          <w:rStyle w:val="IntenseEmphasis"/>
          <w:color w:val="000000" w:themeColor="text1"/>
        </w:rPr>
        <w:t xml:space="preserve">տարեկան միջինում </w:t>
      </w:r>
      <w:r w:rsidR="00DC3DF1" w:rsidRPr="0059087C">
        <w:rPr>
          <w:rStyle w:val="IntenseEmphasis"/>
          <w:color w:val="000000" w:themeColor="text1"/>
        </w:rPr>
        <w:t>2.5</w:t>
      </w:r>
      <w:r w:rsidR="00992C69" w:rsidRPr="0059087C">
        <w:rPr>
          <w:rStyle w:val="IntenseEmphasis"/>
          <w:color w:val="000000" w:themeColor="text1"/>
        </w:rPr>
        <w:t xml:space="preserve"> %</w:t>
      </w:r>
      <w:r w:rsidRPr="0059087C">
        <w:rPr>
          <w:rStyle w:val="IntenseEmphasis"/>
          <w:color w:val="000000" w:themeColor="text1"/>
        </w:rPr>
        <w:t>։</w:t>
      </w:r>
    </w:p>
    <w:p w14:paraId="2959CE23" w14:textId="35D67DC5" w:rsidR="000922EB" w:rsidRPr="002D7DB7" w:rsidRDefault="000922EB" w:rsidP="00FC60C0">
      <w:pPr>
        <w:spacing w:after="0" w:line="276" w:lineRule="auto"/>
        <w:rPr>
          <w:rStyle w:val="IntenseEmphasis"/>
        </w:rPr>
      </w:pPr>
      <w:r w:rsidRPr="002D7DB7">
        <w:rPr>
          <w:rStyle w:val="IntenseEmphasis"/>
        </w:rPr>
        <w:t>Գլոբալ Ձեռնարկատիրության ցուցիչ (Global</w:t>
      </w:r>
      <w:r w:rsidR="00641FCA" w:rsidRPr="002D7DB7">
        <w:rPr>
          <w:rStyle w:val="IntenseEmphasis"/>
        </w:rPr>
        <w:t xml:space="preserve"> </w:t>
      </w:r>
      <w:r w:rsidRPr="002D7DB7">
        <w:rPr>
          <w:rStyle w:val="IntenseEmphasis"/>
        </w:rPr>
        <w:t>enterpreneurship</w:t>
      </w:r>
      <w:r w:rsidR="00641FCA" w:rsidRPr="002D7DB7">
        <w:rPr>
          <w:rStyle w:val="IntenseEmphasis"/>
        </w:rPr>
        <w:t xml:space="preserve"> </w:t>
      </w:r>
      <w:r w:rsidRPr="002D7DB7">
        <w:rPr>
          <w:rStyle w:val="IntenseEmphasis"/>
        </w:rPr>
        <w:t>index</w:t>
      </w:r>
      <w:r w:rsidRPr="002D7DB7">
        <w:rPr>
          <w:rStyle w:val="IntenseEmphasis"/>
          <w:vertAlign w:val="superscript"/>
        </w:rPr>
        <w:footnoteReference w:id="4"/>
      </w:r>
      <w:r w:rsidRPr="002D7DB7">
        <w:rPr>
          <w:rStyle w:val="IntenseEmphasis"/>
        </w:rPr>
        <w:t>) 40 (միավոր)</w:t>
      </w:r>
      <w:r w:rsidR="00CA552F">
        <w:rPr>
          <w:rStyle w:val="IntenseEmphasis"/>
        </w:rPr>
        <w:t>։</w:t>
      </w:r>
    </w:p>
    <w:p w14:paraId="2959CE24" w14:textId="413A1CBD" w:rsidR="00E27E2D" w:rsidRDefault="000E6CA4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lastRenderedPageBreak/>
        <w:t>Արդյունքում, ռ</w:t>
      </w:r>
      <w:r w:rsidR="5894FF83" w:rsidRPr="002D7DB7">
        <w:rPr>
          <w:rFonts w:eastAsiaTheme="minorEastAsia" w:cstheme="minorBidi"/>
        </w:rPr>
        <w:t>ազմավարության գործողության ավարտին</w:t>
      </w:r>
      <w:r w:rsidR="00CC0CCE" w:rsidRPr="002D7DB7">
        <w:rPr>
          <w:rFonts w:eastAsiaTheme="minorEastAsia" w:cstheme="minorBidi"/>
        </w:rPr>
        <w:t xml:space="preserve"> մեկ զբաղվածի կողմից</w:t>
      </w:r>
      <w:r w:rsidR="00DE7A99" w:rsidRPr="002D7DB7">
        <w:rPr>
          <w:rFonts w:eastAsiaTheme="minorEastAsia" w:cstheme="minorBidi"/>
        </w:rPr>
        <w:t>,</w:t>
      </w:r>
      <w:r w:rsidR="000B6453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2017 թվականի</w:t>
      </w:r>
      <w:r w:rsidR="00931A25" w:rsidRPr="002D7DB7">
        <w:rPr>
          <w:rFonts w:eastAsiaTheme="minorEastAsia" w:cstheme="minorBidi"/>
        </w:rPr>
        <w:t>ն ստեղծված</w:t>
      </w:r>
      <w:r w:rsidRPr="002D7DB7">
        <w:rPr>
          <w:rFonts w:eastAsiaTheme="minorEastAsia" w:cstheme="minorBidi"/>
        </w:rPr>
        <w:t xml:space="preserve"> 8,1 մլն դրամ </w:t>
      </w:r>
      <w:r w:rsidR="00BB162E" w:rsidRPr="002D7DB7">
        <w:rPr>
          <w:rFonts w:eastAsiaTheme="minorEastAsia" w:cstheme="minorBidi"/>
        </w:rPr>
        <w:t xml:space="preserve">ստեղծված ավելացված արժեքի </w:t>
      </w:r>
      <w:r w:rsidRPr="002D7DB7">
        <w:rPr>
          <w:rFonts w:eastAsiaTheme="minorEastAsia" w:cstheme="minorBidi"/>
        </w:rPr>
        <w:t xml:space="preserve">ցուցանիշը կազմելու է 12 մլն դրամ։ Միաժամանակ այդ ժամանակահատվածում ՓՄՁ-ում ստեղծվելու է </w:t>
      </w:r>
      <w:r w:rsidR="00450356" w:rsidRPr="00450356">
        <w:rPr>
          <w:rFonts w:eastAsiaTheme="minorEastAsia" w:cstheme="minorBidi"/>
        </w:rPr>
        <w:t>23</w:t>
      </w:r>
      <w:r w:rsidRPr="002D7DB7">
        <w:rPr>
          <w:rFonts w:eastAsiaTheme="minorEastAsia" w:cstheme="minorBidi"/>
        </w:rPr>
        <w:t xml:space="preserve"> հազար նոր աշխատատեղ։ Հաշվի առնելով </w:t>
      </w:r>
      <w:r w:rsidR="001E6684" w:rsidRPr="002D7DB7">
        <w:rPr>
          <w:rFonts w:eastAsiaTheme="minorEastAsia" w:cstheme="minorBidi"/>
        </w:rPr>
        <w:t>ՏՀԶ</w:t>
      </w:r>
      <w:r w:rsidR="00E50C42" w:rsidRPr="002D7DB7">
        <w:rPr>
          <w:rFonts w:eastAsiaTheme="minorEastAsia" w:cstheme="minorBidi"/>
        </w:rPr>
        <w:t>Կ</w:t>
      </w:r>
      <w:r w:rsidR="001E6684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երկրների արտադրողականության աճի </w:t>
      </w:r>
      <w:r w:rsidR="00BB162E" w:rsidRPr="002D7DB7">
        <w:rPr>
          <w:rFonts w:eastAsiaTheme="minorEastAsia" w:cstheme="minorBidi"/>
        </w:rPr>
        <w:t xml:space="preserve">ավելի </w:t>
      </w:r>
      <w:r w:rsidRPr="002D7DB7">
        <w:rPr>
          <w:rFonts w:eastAsiaTheme="minorEastAsia" w:cstheme="minorBidi"/>
        </w:rPr>
        <w:t>ցածր տեմպերը</w:t>
      </w:r>
      <w:r w:rsidR="00BB162E" w:rsidRPr="002D7DB7">
        <w:rPr>
          <w:rFonts w:eastAsiaTheme="minorEastAsia" w:cstheme="minorBidi"/>
        </w:rPr>
        <w:t>՝</w:t>
      </w:r>
      <w:r w:rsidRPr="002D7DB7">
        <w:rPr>
          <w:rFonts w:eastAsiaTheme="minorEastAsia" w:cstheme="minorBidi"/>
        </w:rPr>
        <w:t xml:space="preserve"> ակնկալվում է, որ արտադրողականության ճեղքը կնվազի մոտ 20%-ով։ </w:t>
      </w:r>
      <w:r w:rsidR="006C36CA" w:rsidRPr="002D7DB7">
        <w:rPr>
          <w:rFonts w:eastAsiaTheme="minorEastAsia" w:cstheme="minorBidi"/>
        </w:rPr>
        <w:t xml:space="preserve">Ակնկալվում է, որ տվյալ աշխատատեղերը բաշխվելու են նորաստեղծ ընկերությունների և գործող </w:t>
      </w:r>
      <w:r w:rsidR="003B3DDA" w:rsidRPr="002D7DB7">
        <w:rPr>
          <w:rFonts w:eastAsiaTheme="minorEastAsia" w:cstheme="minorBidi"/>
        </w:rPr>
        <w:t xml:space="preserve">աճող </w:t>
      </w:r>
      <w:r w:rsidR="006C36CA" w:rsidRPr="002D7DB7">
        <w:rPr>
          <w:rFonts w:eastAsiaTheme="minorEastAsia" w:cstheme="minorBidi"/>
        </w:rPr>
        <w:t>ընկերությունների</w:t>
      </w:r>
      <w:r w:rsidR="003B3DDA" w:rsidRPr="002D7DB7">
        <w:rPr>
          <w:rFonts w:eastAsiaTheme="minorEastAsia" w:cstheme="minorBidi"/>
        </w:rPr>
        <w:t xml:space="preserve"> միջև։</w:t>
      </w:r>
    </w:p>
    <w:p w14:paraId="0F39C387" w14:textId="77777777" w:rsidR="00CA552F" w:rsidRPr="002D7DB7" w:rsidRDefault="00CA552F" w:rsidP="00FC60C0">
      <w:pPr>
        <w:spacing w:after="0" w:line="276" w:lineRule="auto"/>
        <w:rPr>
          <w:rFonts w:eastAsiaTheme="minorEastAsia" w:cstheme="minorBidi"/>
        </w:rPr>
      </w:pPr>
    </w:p>
    <w:p w14:paraId="2959CE25" w14:textId="586F7934" w:rsidR="003C1160" w:rsidRDefault="003C1160" w:rsidP="00FC60C0">
      <w:pPr>
        <w:pStyle w:val="Heading1"/>
        <w:spacing w:after="0" w:line="276" w:lineRule="auto"/>
      </w:pPr>
      <w:bookmarkStart w:id="10" w:name="_Toc17467295"/>
      <w:bookmarkStart w:id="11" w:name="_Toc47118491"/>
      <w:r w:rsidRPr="002D7DB7">
        <w:t>Հիմնական ուղղություններ և առաջնահերթ գործողություններ</w:t>
      </w:r>
      <w:bookmarkEnd w:id="10"/>
      <w:bookmarkEnd w:id="11"/>
    </w:p>
    <w:p w14:paraId="2959CE26" w14:textId="62C2A032" w:rsidR="0065556B" w:rsidRPr="002D7DB7" w:rsidRDefault="00BC582F" w:rsidP="00FC60C0">
      <w:pPr>
        <w:spacing w:after="0" w:line="276" w:lineRule="auto"/>
        <w:rPr>
          <w:rFonts w:eastAsiaTheme="minorEastAsia" w:cstheme="minorBidi"/>
        </w:rPr>
      </w:pPr>
      <w:r w:rsidRPr="002D7DB7">
        <w:t xml:space="preserve">ՀՀ-ում ՓՄՁ ոլորտի ուժեղացման, մրցունակության բարձրացման համար կարևորվել են հետևյալ ռազմավարական ուղղությունները՝ </w:t>
      </w:r>
    </w:p>
    <w:p w14:paraId="2959CE27" w14:textId="77777777" w:rsidR="0065556B" w:rsidRPr="002D7DB7" w:rsidRDefault="5894FF83" w:rsidP="00FC60C0">
      <w:pPr>
        <w:pStyle w:val="ListParagraph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2D7DB7">
        <w:rPr>
          <w:sz w:val="24"/>
          <w:szCs w:val="24"/>
        </w:rPr>
        <w:t>Ֆինանսական ռեսուր</w:t>
      </w:r>
      <w:r w:rsidR="00400389" w:rsidRPr="002D7DB7">
        <w:rPr>
          <w:sz w:val="24"/>
          <w:szCs w:val="24"/>
        </w:rPr>
        <w:t>ս</w:t>
      </w:r>
      <w:r w:rsidRPr="002D7DB7">
        <w:rPr>
          <w:sz w:val="24"/>
          <w:szCs w:val="24"/>
        </w:rPr>
        <w:t>ների հասանելիության ավելացում</w:t>
      </w:r>
    </w:p>
    <w:p w14:paraId="2959CE28" w14:textId="024A2E6F" w:rsidR="0065556B" w:rsidRPr="002D7DB7" w:rsidRDefault="5894FF83" w:rsidP="00FC60C0">
      <w:pPr>
        <w:pStyle w:val="ListParagraph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2D7DB7">
        <w:rPr>
          <w:sz w:val="24"/>
          <w:szCs w:val="24"/>
        </w:rPr>
        <w:t>ՓՄՁ սուբյեկտների</w:t>
      </w:r>
      <w:r w:rsidR="0065527E" w:rsidRPr="002D7DB7">
        <w:rPr>
          <w:sz w:val="24"/>
          <w:szCs w:val="24"/>
        </w:rPr>
        <w:t xml:space="preserve"> </w:t>
      </w:r>
      <w:r w:rsidRPr="002D7DB7">
        <w:rPr>
          <w:sz w:val="24"/>
          <w:szCs w:val="24"/>
        </w:rPr>
        <w:t xml:space="preserve">կարողությունների և ձեռնարկատիրական մշակույթի զարգացում </w:t>
      </w:r>
    </w:p>
    <w:p w14:paraId="2959CE29" w14:textId="72E3F924" w:rsidR="0065556B" w:rsidRPr="002D7DB7" w:rsidRDefault="5894FF83" w:rsidP="00FC60C0">
      <w:pPr>
        <w:pStyle w:val="ListParagraph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2D7DB7">
        <w:rPr>
          <w:sz w:val="24"/>
          <w:szCs w:val="24"/>
        </w:rPr>
        <w:t>ՓՄՁ սուբյեկտների</w:t>
      </w:r>
      <w:r w:rsidR="0065527E" w:rsidRPr="002D7DB7">
        <w:rPr>
          <w:sz w:val="24"/>
          <w:szCs w:val="24"/>
        </w:rPr>
        <w:t xml:space="preserve"> </w:t>
      </w:r>
      <w:r w:rsidRPr="002D7DB7">
        <w:rPr>
          <w:sz w:val="24"/>
          <w:szCs w:val="24"/>
        </w:rPr>
        <w:t>համար շուկաների հասանելիության ապահովում</w:t>
      </w:r>
    </w:p>
    <w:p w14:paraId="2959CE2A" w14:textId="77777777" w:rsidR="0065556B" w:rsidRPr="002D7DB7" w:rsidRDefault="5894FF83" w:rsidP="00FC60C0">
      <w:pPr>
        <w:pStyle w:val="ListParagraph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2D7DB7">
        <w:rPr>
          <w:sz w:val="24"/>
          <w:szCs w:val="24"/>
        </w:rPr>
        <w:t>ՓՄՁ զարգացման համար բարենպաստ ինստիտուցիոնալ և իրավական միջավայրի ապահովում</w:t>
      </w:r>
    </w:p>
    <w:p w14:paraId="2959CE2B" w14:textId="73658A78" w:rsidR="0059191C" w:rsidRDefault="5894FF83" w:rsidP="00FC60C0">
      <w:pPr>
        <w:pStyle w:val="Heading2"/>
        <w:spacing w:after="0" w:line="276" w:lineRule="auto"/>
      </w:pPr>
      <w:bookmarkStart w:id="12" w:name="_Toc17467296"/>
      <w:bookmarkStart w:id="13" w:name="_Toc47118492"/>
      <w:r w:rsidRPr="002D7DB7">
        <w:t>Ֆինանսական ռեսուրսների հասանելիության ավելացում</w:t>
      </w:r>
      <w:bookmarkEnd w:id="12"/>
      <w:bookmarkEnd w:id="13"/>
    </w:p>
    <w:p w14:paraId="2959CE2C" w14:textId="06CEB012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Համաձայն </w:t>
      </w:r>
      <w:r w:rsidR="00B52F6A" w:rsidRPr="002D7DB7">
        <w:rPr>
          <w:rFonts w:eastAsiaTheme="minorEastAsia" w:cstheme="minorBidi"/>
        </w:rPr>
        <w:t xml:space="preserve">Եվրոպական Ներդրումային Բանկի </w:t>
      </w:r>
      <w:r w:rsidRPr="002D7DB7">
        <w:rPr>
          <w:rFonts w:eastAsiaTheme="minorEastAsia" w:cstheme="minorBidi"/>
        </w:rPr>
        <w:t>Վարկավորման հետազոտության (2016թ.), ՓՄՁ-ների վարկավորման դժվարությունները կապված են մի շարք նշանակալի խոչընդոտների հետ, որոնք են՝ վարկունակությունը և/կամ լավ վարկային պատմության բացակայությունը, բիզնես պլան մշակելու կարողությունների պակասը (ֆինանսավորում պահանջող բիզնեսի կենսունակության և իրագործելիության պատշաճ ներկայացման դժվարություններ), համապատասխան գրավի բացակայություն (գրավի արժեքի համապատասխանություն, իրացվելիության աստիճան, գերադասելի է անշարժ գույք) և այլն:</w:t>
      </w:r>
    </w:p>
    <w:p w14:paraId="2959CE2D" w14:textId="19901B7F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Ըստ «ՓՄՁ </w:t>
      </w:r>
      <w:r w:rsidR="0039174B">
        <w:rPr>
          <w:rFonts w:eastAsiaTheme="minorEastAsia" w:cstheme="minorBidi"/>
        </w:rPr>
        <w:t>ֆ</w:t>
      </w:r>
      <w:r w:rsidRPr="002D7DB7">
        <w:rPr>
          <w:rFonts w:eastAsiaTheme="minorEastAsia" w:cstheme="minorBidi"/>
        </w:rPr>
        <w:t>ինա</w:t>
      </w:r>
      <w:r w:rsidR="008D349E" w:rsidRPr="002D7DB7">
        <w:rPr>
          <w:rFonts w:eastAsiaTheme="minorEastAsia" w:cstheme="minorBidi"/>
        </w:rPr>
        <w:t>ն</w:t>
      </w:r>
      <w:r w:rsidRPr="002D7DB7">
        <w:rPr>
          <w:rFonts w:eastAsiaTheme="minorEastAsia" w:cstheme="minorBidi"/>
        </w:rPr>
        <w:t>սական ֆորում» կենտրոնի տվյալների՝ Հայաստանում ՓՄՁ ֆինանսական միջոցների բացը ՀՆԱ-ի նկատմամբ կազմում է 10</w:t>
      </w:r>
      <w:r w:rsidRPr="002D7DB7">
        <w:rPr>
          <w:rFonts w:ascii="Cambria Math" w:eastAsia="MS Mincho" w:hAnsi="Cambria Math" w:cs="Cambria Math"/>
        </w:rPr>
        <w:t>․</w:t>
      </w:r>
      <w:r w:rsidRPr="002D7DB7">
        <w:rPr>
          <w:rFonts w:eastAsiaTheme="minorEastAsia" w:cstheme="minorBidi"/>
        </w:rPr>
        <w:t>84%, որը համեմատաբար ավելի ցածր է, քան տարածաշրջանի մնացած երկրների համապատասխան ցուցանիշը։ Այդ կենտրոնի կողմից հաշվարկվող մեկ այլ ցուցանիշ «ֆինանսապես սահմանափակված ընկերությունների մասնաբաժինը» Հայաստանի համար բավական բարձր է և կազմում է 37.26%</w:t>
      </w:r>
      <w:r w:rsidR="009225A2" w:rsidRPr="002D7DB7">
        <w:rPr>
          <w:rStyle w:val="FootnoteReference"/>
          <w:rFonts w:eastAsiaTheme="minorEastAsia" w:cstheme="minorBidi"/>
        </w:rPr>
        <w:footnoteReference w:id="5"/>
      </w:r>
      <w:r w:rsidRPr="002D7DB7">
        <w:rPr>
          <w:rFonts w:eastAsiaTheme="minorEastAsia" w:cstheme="minorBidi"/>
        </w:rPr>
        <w:t xml:space="preserve">։ </w:t>
      </w:r>
    </w:p>
    <w:p w14:paraId="2959CE2E" w14:textId="1167E904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Համաձայն «</w:t>
      </w:r>
      <w:r w:rsidR="00A755CA" w:rsidRPr="00A755CA">
        <w:rPr>
          <w:rFonts w:eastAsiaTheme="minorEastAsia" w:cstheme="minorBidi"/>
        </w:rPr>
        <w:t>SME Policy Index</w:t>
      </w:r>
      <w:r w:rsidRPr="002D7DB7">
        <w:rPr>
          <w:rFonts w:eastAsiaTheme="minorEastAsia" w:cstheme="minorBidi"/>
        </w:rPr>
        <w:t>» 20</w:t>
      </w:r>
      <w:r w:rsidR="000D7CF4" w:rsidRPr="002D7DB7">
        <w:rPr>
          <w:rFonts w:eastAsiaTheme="minorEastAsia" w:cstheme="minorBidi"/>
        </w:rPr>
        <w:t>20</w:t>
      </w:r>
      <w:r w:rsidRPr="002D7DB7">
        <w:rPr>
          <w:rFonts w:eastAsiaTheme="minorEastAsia" w:cstheme="minorBidi"/>
        </w:rPr>
        <w:t xml:space="preserve"> թվականի համար արված վերլուծության՝ Հայաստանում ՓՄՁ-ների համար ֆինանսական միջոցների հասանելիությունը դեռ սահմանափակ է և բանկային ֆինանսավորումը շարունակում է լինել գերակշռող։ Հայաստանին այդ գործա</w:t>
      </w:r>
      <w:r w:rsidR="009918A1" w:rsidRPr="002D7DB7">
        <w:rPr>
          <w:rFonts w:eastAsiaTheme="minorEastAsia" w:cstheme="minorBidi"/>
        </w:rPr>
        <w:t>կ</w:t>
      </w:r>
      <w:r w:rsidRPr="002D7DB7">
        <w:rPr>
          <w:rFonts w:eastAsiaTheme="minorEastAsia" w:cstheme="minorBidi"/>
        </w:rPr>
        <w:t xml:space="preserve">ցի մասով տրվում է </w:t>
      </w:r>
      <w:r w:rsidR="00D7647B" w:rsidRPr="002D7DB7">
        <w:rPr>
          <w:rFonts w:eastAsiaTheme="minorEastAsia" w:cstheme="minorBidi"/>
        </w:rPr>
        <w:t>3.81</w:t>
      </w:r>
      <w:r w:rsidRPr="002D7DB7">
        <w:rPr>
          <w:rFonts w:eastAsiaTheme="minorEastAsia" w:cstheme="minorBidi"/>
        </w:rPr>
        <w:t xml:space="preserve"> միավոր՝ 5 հնարավորից</w:t>
      </w:r>
      <w:r w:rsidR="000903ED" w:rsidRPr="002D7DB7">
        <w:rPr>
          <w:rStyle w:val="FootnoteReference"/>
          <w:rFonts w:eastAsiaTheme="minorEastAsia" w:cstheme="minorBidi"/>
        </w:rPr>
        <w:footnoteReference w:id="6"/>
      </w:r>
      <w:r w:rsidRPr="002D7DB7">
        <w:rPr>
          <w:rFonts w:eastAsiaTheme="minorEastAsia" w:cstheme="minorBidi"/>
        </w:rPr>
        <w:t>։</w:t>
      </w:r>
    </w:p>
    <w:p w14:paraId="2959CE2F" w14:textId="45E87FC6" w:rsidR="009225A2" w:rsidRPr="002D7DB7" w:rsidRDefault="009225A2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lastRenderedPageBreak/>
        <w:t>Ըստ «Համաշխա</w:t>
      </w:r>
      <w:r w:rsidR="009918A1" w:rsidRPr="002D7DB7">
        <w:rPr>
          <w:rFonts w:eastAsiaTheme="minorEastAsia" w:cstheme="minorBidi"/>
        </w:rPr>
        <w:t>ր</w:t>
      </w:r>
      <w:r w:rsidRPr="002D7DB7">
        <w:rPr>
          <w:rFonts w:eastAsiaTheme="minorEastAsia" w:cstheme="minorBidi"/>
        </w:rPr>
        <w:t>հային մրցունակության համաթվի</w:t>
      </w:r>
      <w:r w:rsidR="000D7CF4" w:rsidRPr="002D7DB7">
        <w:rPr>
          <w:rFonts w:eastAsiaTheme="minorEastAsia" w:cstheme="minorBidi"/>
        </w:rPr>
        <w:t>» 2019</w:t>
      </w:r>
      <w:r w:rsidRPr="002D7DB7">
        <w:rPr>
          <w:rFonts w:eastAsiaTheme="minorEastAsia" w:cstheme="minorBidi"/>
        </w:rPr>
        <w:t xml:space="preserve"> թվականի </w:t>
      </w:r>
      <w:r w:rsidR="00501BE2" w:rsidRPr="002D7DB7">
        <w:rPr>
          <w:rFonts w:eastAsiaTheme="minorEastAsia" w:cstheme="minorBidi"/>
        </w:rPr>
        <w:t>հաշվետվության</w:t>
      </w:r>
      <w:r w:rsidR="000903ED" w:rsidRPr="002D7DB7">
        <w:rPr>
          <w:rStyle w:val="FootnoteReference"/>
          <w:rFonts w:eastAsiaTheme="minorEastAsia" w:cstheme="minorBidi"/>
        </w:rPr>
        <w:footnoteReference w:id="7"/>
      </w:r>
      <w:r w:rsidR="000903ED" w:rsidRPr="002D7DB7">
        <w:rPr>
          <w:rFonts w:eastAsiaTheme="minorEastAsia" w:cstheme="minorBidi"/>
        </w:rPr>
        <w:t xml:space="preserve"> «ՓՄՁ ֆինանսավորում ենթահամաթվով 140 երկրների շարքում Հայաստանը զբաղեցնում է </w:t>
      </w:r>
      <w:r w:rsidR="0057268E" w:rsidRPr="002D7DB7">
        <w:rPr>
          <w:rFonts w:eastAsiaTheme="minorEastAsia" w:cstheme="minorBidi"/>
        </w:rPr>
        <w:t>52</w:t>
      </w:r>
      <w:r w:rsidR="000903ED" w:rsidRPr="002D7DB7">
        <w:rPr>
          <w:rFonts w:eastAsiaTheme="minorEastAsia" w:cstheme="minorBidi"/>
        </w:rPr>
        <w:t xml:space="preserve">-րդ տեղը, իսկ «Ֆինանսական համակարգի կայունություն» և «Ֆինանսական համակարգի զարգացվածություն» ենթահամաթվերում համապատասխանաբար </w:t>
      </w:r>
      <w:r w:rsidR="0057268E" w:rsidRPr="002D7DB7">
        <w:rPr>
          <w:rFonts w:eastAsiaTheme="minorEastAsia" w:cstheme="minorBidi"/>
        </w:rPr>
        <w:t>56</w:t>
      </w:r>
      <w:r w:rsidR="000903ED" w:rsidRPr="002D7DB7">
        <w:rPr>
          <w:rFonts w:eastAsiaTheme="minorEastAsia" w:cstheme="minorBidi"/>
        </w:rPr>
        <w:t xml:space="preserve">-րդ և </w:t>
      </w:r>
      <w:r w:rsidR="0057268E" w:rsidRPr="002D7DB7">
        <w:rPr>
          <w:rFonts w:eastAsiaTheme="minorEastAsia" w:cstheme="minorBidi"/>
        </w:rPr>
        <w:t>69</w:t>
      </w:r>
      <w:r w:rsidR="000903ED" w:rsidRPr="002D7DB7">
        <w:rPr>
          <w:rFonts w:eastAsiaTheme="minorEastAsia" w:cstheme="minorBidi"/>
        </w:rPr>
        <w:t xml:space="preserve">-րդ հորիզոնականները։ </w:t>
      </w:r>
    </w:p>
    <w:p w14:paraId="2959CE30" w14:textId="06ED7DDD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Համաձայն ԵՆԲ 2016թ. վարկավորման հետազոտության զեկույցի, բանկերը հանդիսանում են ՓՄՁ ֆինանսավորման հիմնական աղբյուրը, իսկ ֆինանսավորումը հիմնականում իրականացվում է վարկերի միջոցով: </w:t>
      </w:r>
      <w:r w:rsidR="00D81935" w:rsidRPr="002D7DB7">
        <w:rPr>
          <w:rFonts w:eastAsiaTheme="minorEastAsia" w:cstheme="minorBidi"/>
        </w:rPr>
        <w:t>Բացի այդ</w:t>
      </w:r>
      <w:r w:rsidR="00D35AF6" w:rsidRPr="002D7DB7">
        <w:rPr>
          <w:rFonts w:eastAsiaTheme="minorEastAsia" w:cstheme="minorBidi"/>
        </w:rPr>
        <w:t>,</w:t>
      </w:r>
      <w:r w:rsidR="0093034A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ՓՄՁ-ների շրջանում</w:t>
      </w:r>
      <w:r w:rsidR="00D81935" w:rsidRPr="002D7DB7">
        <w:rPr>
          <w:rFonts w:eastAsiaTheme="minorEastAsia" w:cstheme="minorBidi"/>
        </w:rPr>
        <w:t xml:space="preserve"> ցածր է</w:t>
      </w:r>
      <w:r w:rsidRPr="002D7DB7">
        <w:rPr>
          <w:rFonts w:eastAsiaTheme="minorEastAsia" w:cstheme="minorBidi"/>
        </w:rPr>
        <w:t xml:space="preserve"> ժամանակակից ֆինանսական տեխնոլոգիաների </w:t>
      </w:r>
      <w:r w:rsidR="002F33AF" w:rsidRPr="002D7DB7">
        <w:rPr>
          <w:rFonts w:eastAsiaTheme="minorEastAsia" w:cstheme="minorBidi"/>
        </w:rPr>
        <w:t xml:space="preserve">և </w:t>
      </w:r>
      <w:r w:rsidRPr="002D7DB7">
        <w:rPr>
          <w:rFonts w:eastAsiaTheme="minorEastAsia" w:cstheme="minorBidi"/>
        </w:rPr>
        <w:t xml:space="preserve">գործիքների առկայության և դրանց միջոցով ֆինանսների ներգրավման </w:t>
      </w:r>
      <w:r w:rsidR="002F33AF" w:rsidRPr="002D7DB7">
        <w:rPr>
          <w:rFonts w:eastAsiaTheme="minorEastAsia" w:cstheme="minorBidi"/>
        </w:rPr>
        <w:t xml:space="preserve">առանձնահատկությունների </w:t>
      </w:r>
      <w:r w:rsidRPr="002D7DB7">
        <w:rPr>
          <w:rFonts w:eastAsiaTheme="minorEastAsia" w:cstheme="minorBidi"/>
        </w:rPr>
        <w:t>մասին տեղեկա</w:t>
      </w:r>
      <w:r w:rsidR="002F33AF" w:rsidRPr="002D7DB7">
        <w:rPr>
          <w:rFonts w:eastAsiaTheme="minorEastAsia" w:cstheme="minorBidi"/>
        </w:rPr>
        <w:t xml:space="preserve">ցվածության </w:t>
      </w:r>
      <w:r w:rsidRPr="002D7DB7">
        <w:rPr>
          <w:rFonts w:eastAsiaTheme="minorEastAsia" w:cstheme="minorBidi"/>
        </w:rPr>
        <w:t xml:space="preserve">մակարդակը, </w:t>
      </w:r>
      <w:r w:rsidR="00976DA4" w:rsidRPr="002D7DB7">
        <w:rPr>
          <w:rFonts w:eastAsiaTheme="minorEastAsia" w:cstheme="minorBidi"/>
        </w:rPr>
        <w:t xml:space="preserve">ինչի արդյունքում չի ձևավորվում </w:t>
      </w:r>
      <w:r w:rsidRPr="002D7DB7">
        <w:rPr>
          <w:rFonts w:eastAsiaTheme="minorEastAsia" w:cstheme="minorBidi"/>
        </w:rPr>
        <w:t xml:space="preserve">նման գործիքների </w:t>
      </w:r>
      <w:r w:rsidR="00976DA4" w:rsidRPr="002D7DB7">
        <w:rPr>
          <w:rFonts w:eastAsiaTheme="minorEastAsia" w:cstheme="minorBidi"/>
        </w:rPr>
        <w:t>նկատմամբ ակտիվ պահանջարկը</w:t>
      </w:r>
      <w:r w:rsidRPr="002D7DB7">
        <w:rPr>
          <w:rFonts w:eastAsiaTheme="minorEastAsia" w:cstheme="minorBidi"/>
        </w:rPr>
        <w:t>։ Ըստ էության բացակայում են նաև սփյուռքում առկա ֆինանսական ռեսուրսների` ՀՀ տնտեսության մեջ ներգրավման պարզ, վստահելի և մատչելի մեխանիզմները։</w:t>
      </w:r>
      <w:r w:rsidR="000903ED" w:rsidRPr="002D7DB7">
        <w:rPr>
          <w:rFonts w:eastAsiaTheme="minorEastAsia" w:cstheme="minorBidi"/>
        </w:rPr>
        <w:t xml:space="preserve"> Ուստի, ՓՄՁ-ների շրջանում անհրաժեշտ է բարձրացնել և՛ ֆինանսական հաշվետվությունների որակը և՛ ֆինանսական հոսքերի կառավարման, այդ թվում՝ արտաքին ֆինանսավորման հնարավորությունների արդյունավետ կիրառության, հմտությունները։</w:t>
      </w:r>
    </w:p>
    <w:p w14:paraId="2959CE31" w14:textId="78F3F3FE" w:rsidR="0065556B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Մյուս կողմից՝ Հայաստանում գործող սնանկության գործընթացի ցածր արդյունավետության</w:t>
      </w:r>
      <w:r w:rsidR="00D73030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հետևանքով </w:t>
      </w:r>
      <w:r w:rsidR="000903ED" w:rsidRPr="002D7DB7">
        <w:rPr>
          <w:rFonts w:eastAsiaTheme="minorEastAsia" w:cstheme="minorBidi"/>
        </w:rPr>
        <w:t>ֆինանսական և այլ ակտիվներ ուղղվում են պարտքերի մարմանը, և ոչ կազմակերպության առողջացմանը</w:t>
      </w:r>
      <w:r w:rsidRPr="002D7DB7">
        <w:rPr>
          <w:rFonts w:eastAsiaTheme="minorEastAsia" w:cstheme="minorBidi"/>
        </w:rPr>
        <w:t>։</w:t>
      </w:r>
    </w:p>
    <w:p w14:paraId="41E46257" w14:textId="77777777" w:rsidR="007C18D7" w:rsidRPr="002D7DB7" w:rsidRDefault="007C18D7" w:rsidP="00FC60C0">
      <w:pPr>
        <w:spacing w:after="0" w:line="276" w:lineRule="auto"/>
        <w:rPr>
          <w:rFonts w:eastAsiaTheme="minorEastAsia" w:cstheme="minorBidi"/>
        </w:rPr>
      </w:pPr>
    </w:p>
    <w:p w14:paraId="2959CE32" w14:textId="7F8F0A5A" w:rsidR="00365BD6" w:rsidRPr="00A755CA" w:rsidRDefault="00365BD6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4</w:t>
      </w:r>
      <w:r w:rsidR="00C07F77" w:rsidRPr="002D7DB7">
        <w:fldChar w:fldCharType="end"/>
      </w:r>
      <w:r w:rsidR="00001B07">
        <w:t xml:space="preserve"> </w:t>
      </w:r>
      <w:r w:rsidRPr="002D7DB7">
        <w:t>Ֆինանսների հասանելիության ավելացման ցուցիչներ</w:t>
      </w:r>
    </w:p>
    <w:tbl>
      <w:tblPr>
        <w:tblW w:w="10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3469"/>
        <w:gridCol w:w="1600"/>
        <w:gridCol w:w="940"/>
        <w:gridCol w:w="1101"/>
        <w:gridCol w:w="1453"/>
      </w:tblGrid>
      <w:tr w:rsidR="00331E68" w:rsidRPr="00892FB6" w14:paraId="32F5778B" w14:textId="77777777" w:rsidTr="00331E68">
        <w:trPr>
          <w:trHeight w:val="6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4557CE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466775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Չափիչ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0FBC360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Երկրների</w:t>
            </w:r>
            <w:proofErr w:type="spellEnd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5832BD7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435BB82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Գնահատական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C67535A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Թիրախային</w:t>
            </w:r>
            <w:proofErr w:type="spellEnd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</w:tr>
      <w:tr w:rsidR="00331E68" w:rsidRPr="00892FB6" w14:paraId="78B120AF" w14:textId="77777777" w:rsidTr="00331E6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DF7CCCA" w14:textId="77777777" w:rsidR="00331E68" w:rsidRPr="00892FB6" w:rsidRDefault="00331E68" w:rsidP="00331E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Ֆինանսների</w:t>
            </w:r>
            <w:proofErr w:type="spellEnd"/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6782B2F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B1DA70D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B9E9D07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EFAE065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97F6E24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1E68" w:rsidRPr="00892FB6" w14:paraId="5DC5A872" w14:textId="77777777" w:rsidTr="00331E68">
        <w:trPr>
          <w:trHeight w:val="51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CFF6" w14:textId="5A630316" w:rsidR="00331E68" w:rsidRPr="00892FB6" w:rsidRDefault="00A755CA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SME Policy Index 2020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E9E8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ՓՄՁ-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ֆինանսավորման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57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9ED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F5D4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3.81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97D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331E68" w:rsidRPr="00892FB6" w14:paraId="18E4FA35" w14:textId="77777777" w:rsidTr="00331E68">
        <w:trPr>
          <w:trHeight w:val="7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DD0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համաթիվ</w:t>
            </w:r>
            <w:proofErr w:type="spellEnd"/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35C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ՓՄՁ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ֆինանսավորում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D00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3BE7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0420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F86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1E68" w:rsidRPr="00892FB6" w14:paraId="4A8FA9DC" w14:textId="77777777" w:rsidTr="00331E68">
        <w:trPr>
          <w:trHeight w:val="51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6C4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D9EF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համակարգի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զարգացվածություն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94E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0A4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8356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91B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1E68" w:rsidRPr="00892FB6" w14:paraId="3A2B869E" w14:textId="77777777" w:rsidTr="00331E68">
        <w:trPr>
          <w:trHeight w:val="51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29BA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F03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Վենչուրային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կապիտալի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8A0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234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F69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BB4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1E68" w:rsidRPr="00892FB6" w14:paraId="2FA5AE2A" w14:textId="77777777" w:rsidTr="00331E68">
        <w:trPr>
          <w:trHeight w:val="51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727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SME Finance forum 2018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F26" w14:textId="3423E8A8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Միկրո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և ՓՄՁ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բաց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ՀՆԱ-ի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նկատմամբ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F53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7AD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272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10.84%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81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8%</w:t>
            </w:r>
          </w:p>
        </w:tc>
      </w:tr>
      <w:tr w:rsidR="00331E68" w:rsidRPr="00892FB6" w14:paraId="13DE37D5" w14:textId="77777777" w:rsidTr="008113F2">
        <w:trPr>
          <w:trHeight w:val="1052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0DF" w14:textId="77777777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5CB" w14:textId="401505AB" w:rsidR="00331E68" w:rsidRPr="00892FB6" w:rsidRDefault="00331E68" w:rsidP="00331E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Նույն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չափի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FF2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կազմակերպություններ</w:t>
            </w: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մեջ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սահմանափակություն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ունեցողների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տոկոս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216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C1B4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FCD2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37.26%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361" w14:textId="77777777" w:rsidR="00331E68" w:rsidRPr="00892FB6" w:rsidRDefault="00331E68" w:rsidP="00331E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92FB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20%</w:t>
            </w:r>
          </w:p>
        </w:tc>
      </w:tr>
    </w:tbl>
    <w:p w14:paraId="2959CE66" w14:textId="69D8FF69" w:rsidR="0065556B" w:rsidRPr="002D7DB7" w:rsidRDefault="5894FF83" w:rsidP="00FC60C0">
      <w:pPr>
        <w:shd w:val="clear" w:color="auto" w:fill="E3E5E6" w:themeFill="accent6" w:themeFillTint="33"/>
        <w:spacing w:before="120" w:after="0" w:line="276" w:lineRule="auto"/>
      </w:pPr>
      <w:r w:rsidRPr="002D7DB7">
        <w:lastRenderedPageBreak/>
        <w:t xml:space="preserve">Առաջնահերթ գործողություն </w:t>
      </w:r>
      <w:r w:rsidR="00FB5655" w:rsidRPr="002D7DB7">
        <w:t>1</w:t>
      </w:r>
      <w:r w:rsidRPr="002D7DB7">
        <w:t xml:space="preserve">։ ՓՄՁ Պետական աջակցության գործիքակազմի արդյունավետության և </w:t>
      </w:r>
      <w:r w:rsidR="003C06A4" w:rsidRPr="002D7DB7">
        <w:t>ծածկույթի</w:t>
      </w:r>
      <w:r w:rsidR="002F4827" w:rsidRPr="002D7DB7">
        <w:t xml:space="preserve"> </w:t>
      </w:r>
      <w:r w:rsidRPr="002D7DB7">
        <w:t>ընդլայնում</w:t>
      </w:r>
      <w:r w:rsidR="00922CCC" w:rsidRPr="002D7DB7">
        <w:t xml:space="preserve">՝ </w:t>
      </w:r>
      <w:r w:rsidR="00F02316" w:rsidRPr="002D7DB7">
        <w:t>օգտագործելով համագործակցության</w:t>
      </w:r>
      <w:r w:rsidR="000D14DF">
        <w:t xml:space="preserve"> բոլոր</w:t>
      </w:r>
      <w:r w:rsidR="00F02316" w:rsidRPr="002D7DB7">
        <w:t xml:space="preserve"> հնարավորությունները</w:t>
      </w:r>
    </w:p>
    <w:p w14:paraId="6570BF33" w14:textId="2EC5578E" w:rsidR="00E638E5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Աջակցության </w:t>
      </w:r>
      <w:r w:rsidR="00365BD6" w:rsidRPr="002D7DB7">
        <w:rPr>
          <w:rFonts w:eastAsiaTheme="minorEastAsia" w:cstheme="minorBidi"/>
        </w:rPr>
        <w:t xml:space="preserve">ներկա </w:t>
      </w:r>
      <w:r w:rsidRPr="002D7DB7">
        <w:rPr>
          <w:rFonts w:eastAsiaTheme="minorEastAsia" w:cstheme="minorBidi"/>
        </w:rPr>
        <w:t>գործիքակազմը</w:t>
      </w:r>
      <w:r w:rsidR="00205DC1" w:rsidRPr="002D7DB7">
        <w:rPr>
          <w:rStyle w:val="FootnoteReference"/>
          <w:rFonts w:eastAsiaTheme="minorEastAsia" w:cstheme="minorBidi"/>
        </w:rPr>
        <w:footnoteReference w:id="8"/>
      </w:r>
      <w:r w:rsidRPr="002D7DB7">
        <w:rPr>
          <w:rFonts w:eastAsiaTheme="minorEastAsia" w:cstheme="minorBidi"/>
        </w:rPr>
        <w:t xml:space="preserve"> հնարավորություն է ընձեռում մարզերում գործող ՓՄՁ-ներին մասնակի լուծել գրավի հետ կապված խնդիրները և ստեղծել ավելացված արժեք իրենց համայնքի, մարզի և հանրապետության մասշտաբով։ Պետական քաղաքականությունը կարևորում է ՓՄՁ-ի դերը հատկապես մարզերում տնտեսական ակտիվության բարձրացման համար։ Կառավարությունը մտադիր է ավելացնել </w:t>
      </w:r>
      <w:r w:rsidR="00877FB5" w:rsidRPr="002D7DB7">
        <w:rPr>
          <w:rFonts w:eastAsiaTheme="minorEastAsia" w:cstheme="minorBidi"/>
        </w:rPr>
        <w:t xml:space="preserve">վարկային երաշխավորությունների </w:t>
      </w:r>
      <w:r w:rsidRPr="002D7DB7">
        <w:rPr>
          <w:rFonts w:eastAsiaTheme="minorEastAsia" w:cstheme="minorBidi"/>
        </w:rPr>
        <w:t>առկա դրամագլուխը, ինչպես միջազգային գործընկերների հետ համատեղ իրականացվող ծրագրերի այնպես և պետական բյուջեի միջոցներով</w:t>
      </w:r>
      <w:r w:rsidR="00365BD6" w:rsidRPr="002D7DB7">
        <w:rPr>
          <w:rFonts w:eastAsiaTheme="minorEastAsia" w:cstheme="minorBidi"/>
        </w:rPr>
        <w:t xml:space="preserve">, </w:t>
      </w:r>
      <w:r w:rsidR="004B078E" w:rsidRPr="002D7DB7">
        <w:rPr>
          <w:rFonts w:eastAsiaTheme="minorEastAsia" w:cstheme="minorBidi"/>
        </w:rPr>
        <w:t xml:space="preserve">բացի այդ անհրաժեշտ է գնահատել </w:t>
      </w:r>
      <w:r w:rsidR="007933BB" w:rsidRPr="002D7DB7">
        <w:rPr>
          <w:rFonts w:eastAsiaTheme="minorEastAsia" w:cstheme="minorBidi"/>
        </w:rPr>
        <w:t>Սփյուռքի ներկայացուցիչների և հայաստանյան ՓՄՁ-ների կապ</w:t>
      </w:r>
      <w:r w:rsidR="009C367E" w:rsidRPr="002D7DB7">
        <w:rPr>
          <w:rFonts w:eastAsiaTheme="minorEastAsia" w:cstheme="minorBidi"/>
        </w:rPr>
        <w:t xml:space="preserve"> ստեղծելու </w:t>
      </w:r>
      <w:r w:rsidR="00C25179" w:rsidRPr="002D7DB7">
        <w:rPr>
          <w:rFonts w:eastAsiaTheme="minorEastAsia" w:cstheme="minorBidi"/>
        </w:rPr>
        <w:t>գործում պետական աջակցության կառույցի հնարավոր դերակատարումը</w:t>
      </w:r>
      <w:r w:rsidR="00BB5AB4" w:rsidRPr="002D7DB7">
        <w:rPr>
          <w:rFonts w:eastAsiaTheme="minorEastAsia" w:cstheme="minorBidi"/>
        </w:rPr>
        <w:t>։</w:t>
      </w:r>
    </w:p>
    <w:p w14:paraId="2959CE67" w14:textId="232B62ED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Միաժամանակ՝ աշխատելով ֆինանսական շուկայի սուբյեկտների հետ, մշակվելու են ռիսկերի բաշխման սխեմաներ, ինչի արդյունքում </w:t>
      </w:r>
      <w:r w:rsidR="00AE710F" w:rsidRPr="002D7DB7">
        <w:rPr>
          <w:rFonts w:eastAsiaTheme="minorEastAsia" w:cstheme="minorBidi"/>
        </w:rPr>
        <w:t xml:space="preserve">մեկ միավոր երաշխավորության դիմաց բանկի </w:t>
      </w:r>
      <w:r w:rsidR="00970933">
        <w:rPr>
          <w:rFonts w:eastAsiaTheme="minorEastAsia" w:cstheme="minorBidi"/>
        </w:rPr>
        <w:t xml:space="preserve">կողմից </w:t>
      </w:r>
      <w:r w:rsidR="00AE710F" w:rsidRPr="002D7DB7">
        <w:rPr>
          <w:rFonts w:eastAsiaTheme="minorEastAsia" w:cstheme="minorBidi"/>
        </w:rPr>
        <w:t xml:space="preserve">տրամադրվելու է 4 միավոր վարկ, ներկայումս 1:1 հարաբերակցության փոխարեն։ Այլ կերպ ասած, </w:t>
      </w:r>
      <w:r w:rsidRPr="002D7DB7">
        <w:rPr>
          <w:rFonts w:eastAsiaTheme="minorEastAsia" w:cstheme="minorBidi"/>
        </w:rPr>
        <w:t>ավելացվելու է դրամագլխի միջոցների երաշխավորությամբ տրամադրվող վարկերի ծավալը և ծրագրերի գնահատման արդյունավետությունը</w:t>
      </w:r>
      <w:r w:rsidR="00AE710F" w:rsidRPr="002D7DB7">
        <w:rPr>
          <w:rFonts w:eastAsiaTheme="minorEastAsia" w:cstheme="minorBidi"/>
        </w:rPr>
        <w:t xml:space="preserve">, քանի որ </w:t>
      </w:r>
      <w:r w:rsidR="007D73AD" w:rsidRPr="002D7DB7">
        <w:rPr>
          <w:rFonts w:eastAsiaTheme="minorEastAsia" w:cstheme="minorBidi"/>
        </w:rPr>
        <w:t>ծրագիրը գնահատվելու է և</w:t>
      </w:r>
      <w:r w:rsidR="00C14AB3" w:rsidRPr="002D7DB7">
        <w:rPr>
          <w:rFonts w:eastAsiaTheme="minorEastAsia" w:cstheme="minorBidi"/>
        </w:rPr>
        <w:t>՛</w:t>
      </w:r>
      <w:r w:rsidR="007D73AD" w:rsidRPr="002D7DB7">
        <w:rPr>
          <w:rFonts w:eastAsiaTheme="minorEastAsia" w:cstheme="minorBidi"/>
        </w:rPr>
        <w:t xml:space="preserve"> </w:t>
      </w:r>
      <w:r w:rsidR="00AE710F" w:rsidRPr="002D7DB7">
        <w:rPr>
          <w:rFonts w:eastAsiaTheme="minorEastAsia" w:cstheme="minorBidi"/>
        </w:rPr>
        <w:t>բանկ</w:t>
      </w:r>
      <w:r w:rsidR="007D73AD" w:rsidRPr="002D7DB7">
        <w:rPr>
          <w:rFonts w:eastAsiaTheme="minorEastAsia" w:cstheme="minorBidi"/>
        </w:rPr>
        <w:t>ի և</w:t>
      </w:r>
      <w:r w:rsidR="00C14AB3" w:rsidRPr="002D7DB7">
        <w:rPr>
          <w:rFonts w:eastAsiaTheme="minorEastAsia" w:cstheme="minorBidi"/>
        </w:rPr>
        <w:t>՛</w:t>
      </w:r>
      <w:r w:rsidR="007D73AD" w:rsidRPr="002D7DB7">
        <w:rPr>
          <w:rFonts w:eastAsiaTheme="minorEastAsia" w:cstheme="minorBidi"/>
        </w:rPr>
        <w:t xml:space="preserve"> </w:t>
      </w:r>
      <w:r w:rsidR="007E0F23" w:rsidRPr="002D7DB7">
        <w:rPr>
          <w:rFonts w:eastAsiaTheme="minorEastAsia" w:cstheme="minorBidi"/>
        </w:rPr>
        <w:t xml:space="preserve">պետական աջակցության մարմնի կողմից։ </w:t>
      </w:r>
      <w:r w:rsidR="00FF5908" w:rsidRPr="002D7DB7">
        <w:rPr>
          <w:rFonts w:eastAsiaTheme="minorEastAsia" w:cstheme="minorBidi"/>
        </w:rPr>
        <w:t xml:space="preserve">Մյուս կողմից նախատեսվում է ընդլայնել աջակցության ծրագրերի գործիքակազմը՝ </w:t>
      </w:r>
      <w:r w:rsidR="00FF2B8C" w:rsidRPr="002D7DB7">
        <w:rPr>
          <w:rFonts w:eastAsiaTheme="minorEastAsia" w:cstheme="minorBidi"/>
        </w:rPr>
        <w:t xml:space="preserve">ներդնելով </w:t>
      </w:r>
      <w:r w:rsidR="005B6DB5" w:rsidRPr="002D7DB7">
        <w:rPr>
          <w:rFonts w:eastAsiaTheme="minorEastAsia" w:cstheme="minorBidi"/>
        </w:rPr>
        <w:t>նորար</w:t>
      </w:r>
      <w:r w:rsidR="00FF6FFC">
        <w:rPr>
          <w:rFonts w:eastAsiaTheme="minorEastAsia" w:cstheme="minorBidi"/>
        </w:rPr>
        <w:t>ար</w:t>
      </w:r>
      <w:r w:rsidR="005B6DB5" w:rsidRPr="002D7DB7">
        <w:rPr>
          <w:rFonts w:eastAsiaTheme="minorEastAsia" w:cstheme="minorBidi"/>
        </w:rPr>
        <w:t>ությ</w:t>
      </w:r>
      <w:r w:rsidR="00FF2B8C" w:rsidRPr="002D7DB7">
        <w:rPr>
          <w:rFonts w:eastAsiaTheme="minorEastAsia" w:cstheme="minorBidi"/>
        </w:rPr>
        <w:t>ունը</w:t>
      </w:r>
      <w:r w:rsidR="005B6DB5" w:rsidRPr="002D7DB7">
        <w:rPr>
          <w:rFonts w:eastAsiaTheme="minorEastAsia" w:cstheme="minorBidi"/>
        </w:rPr>
        <w:t xml:space="preserve"> թիրախավորող </w:t>
      </w:r>
      <w:r w:rsidR="001F086E" w:rsidRPr="002D7DB7">
        <w:rPr>
          <w:rFonts w:eastAsiaTheme="minorEastAsia" w:cstheme="minorBidi"/>
        </w:rPr>
        <w:t>ֆինանսական գործիք։</w:t>
      </w:r>
    </w:p>
    <w:p w14:paraId="2959CE68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</w:t>
      </w:r>
      <w:r w:rsidR="00FB5655" w:rsidRPr="002D7DB7">
        <w:t>2</w:t>
      </w:r>
      <w:r w:rsidRPr="002D7DB7">
        <w:t>։ Անշարժ գույքին այլընտրանքային գրավի կիրառությանը առնչվող օրենսդրական և ինստիտուցիոնալ դաշտի զարգացում</w:t>
      </w:r>
    </w:p>
    <w:p w14:paraId="2959CE69" w14:textId="63BCA425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ՀՀ կառավարությունը մտադիր է վերլուծել շուկայում առկա այլընտրանքային գրավով ապահովված վարկերի և ֆինանսական այլ գործիքների (ակտիվների հիմքով ֆինանսավորում՝ ֆակտորինգ, լիզինգ, դրամական հոսքեր) կիրառության հնարավորությունները և խոչընդոտները ու համագործակցելով շահագրգիռ կողմերի հետ մշակել բարեփոխումների օրակարգ, որը կներառի և՛ ֆինանսական հաստատությունների աշխատակիցների կարողությունների բարձրացման, և՛ օրենսդրական համապատասխան փոփոխությունների փաթեթ և՛ ՓՄՁ-ների շրջանում իրազեկվածության ավելացում։ Արդյունքում ակնկալվում է ՓՄՁ-ի կողմից նշված ֆինանսական գործիքների կիրառության ավելացում</w:t>
      </w:r>
      <w:r w:rsidR="00314300" w:rsidRPr="002D7DB7">
        <w:rPr>
          <w:rFonts w:eastAsiaTheme="minorEastAsia" w:cstheme="minorBidi"/>
        </w:rPr>
        <w:t xml:space="preserve">, այդ թվում լիզինգային գործարքների </w:t>
      </w:r>
      <w:r w:rsidR="006A11D9" w:rsidRPr="002D7DB7">
        <w:rPr>
          <w:rFonts w:eastAsiaTheme="minorEastAsia" w:cstheme="minorBidi"/>
        </w:rPr>
        <w:t>պորտֆելի աճ՝ 50%</w:t>
      </w:r>
      <w:r w:rsidRPr="002D7DB7">
        <w:rPr>
          <w:rFonts w:eastAsiaTheme="minorEastAsia" w:cstheme="minorBidi"/>
        </w:rPr>
        <w:t>։</w:t>
      </w:r>
    </w:p>
    <w:p w14:paraId="2959CE6A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</w:t>
      </w:r>
      <w:r w:rsidR="00FB5655" w:rsidRPr="002D7DB7">
        <w:t>3</w:t>
      </w:r>
      <w:r w:rsidRPr="002D7DB7">
        <w:t>։ Ֆինանսական գրագիտության բարձրացում և թափանցիկ գործարարության մշակույթի զարգացում</w:t>
      </w:r>
    </w:p>
    <w:p w14:paraId="2959CE6B" w14:textId="71BA2C44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Այս նպատակով կառավարությունը մտադիր է տեղեկատվական արշավ իրականացնել՝ ուղղված թափանցիկ գործելաոճի</w:t>
      </w:r>
      <w:r w:rsidR="00926F04" w:rsidRPr="002D7DB7">
        <w:rPr>
          <w:rFonts w:eastAsiaTheme="minorEastAsia" w:cstheme="minorBidi"/>
        </w:rPr>
        <w:t xml:space="preserve"> </w:t>
      </w:r>
      <w:r w:rsidR="008B075F" w:rsidRPr="002D7DB7">
        <w:rPr>
          <w:rFonts w:eastAsiaTheme="minorEastAsia" w:cstheme="minorBidi"/>
        </w:rPr>
        <w:t>և կորպորատիվ կառավարման</w:t>
      </w:r>
      <w:r w:rsidRPr="002D7DB7">
        <w:rPr>
          <w:rFonts w:eastAsiaTheme="minorEastAsia" w:cstheme="minorBidi"/>
        </w:rPr>
        <w:t xml:space="preserve"> խթանմանը և նախատեսել տեխնիկական կարողությունների բարձրացմանն ուղղված կրթական ծրագրեր։ Մյուս կողմից </w:t>
      </w:r>
      <w:r w:rsidRPr="002D7DB7">
        <w:rPr>
          <w:rFonts w:eastAsiaTheme="minorEastAsia" w:cstheme="minorBidi"/>
        </w:rPr>
        <w:lastRenderedPageBreak/>
        <w:t>անհրաժեշտ է նվազեցնել «օրինապահ» և «ստանդարտներին» համապատասխան հաշվառում իրականացնելու ծախսերը բիզնեսի համար։ Դրա շրջանակներում կառավարությունը դիտարկելու է ՏՏ լուծումների օգտագործման խրախուսման հնարավորությունները և իրականացնելու է համապատասխան կրթական ծրագրեր։</w:t>
      </w:r>
    </w:p>
    <w:p w14:paraId="0E411349" w14:textId="527ED3BF" w:rsidR="00833EB9" w:rsidRPr="002D7DB7" w:rsidRDefault="00A740D7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Բացի այդ </w:t>
      </w:r>
      <w:r w:rsidR="00CB27A8" w:rsidRPr="002D7DB7">
        <w:rPr>
          <w:rFonts w:eastAsiaTheme="minorEastAsia" w:cstheme="minorBidi"/>
        </w:rPr>
        <w:t xml:space="preserve">կարևորվելու է </w:t>
      </w:r>
      <w:r w:rsidRPr="002D7DB7">
        <w:rPr>
          <w:rFonts w:eastAsiaTheme="minorEastAsia" w:cstheme="minorBidi"/>
        </w:rPr>
        <w:t>ֆ</w:t>
      </w:r>
      <w:r w:rsidR="00055EF6" w:rsidRPr="002D7DB7">
        <w:rPr>
          <w:rFonts w:eastAsiaTheme="minorEastAsia" w:cstheme="minorBidi"/>
        </w:rPr>
        <w:t>ինանսական ոլորտի աշխատակիցների</w:t>
      </w:r>
      <w:r w:rsidR="00CB27A8" w:rsidRPr="002D7DB7">
        <w:rPr>
          <w:rFonts w:eastAsiaTheme="minorEastAsia" w:cstheme="minorBidi"/>
        </w:rPr>
        <w:t xml:space="preserve"> և տեխնոլոգիական կարողությունների ավելացումը</w:t>
      </w:r>
      <w:r w:rsidR="00B94C10" w:rsidRPr="002D7DB7">
        <w:rPr>
          <w:rFonts w:eastAsiaTheme="minorEastAsia" w:cstheme="minorBidi"/>
        </w:rPr>
        <w:t>՝</w:t>
      </w:r>
      <w:r w:rsidR="00CB27A8" w:rsidRPr="002D7DB7">
        <w:rPr>
          <w:rFonts w:eastAsiaTheme="minorEastAsia" w:cstheme="minorBidi"/>
        </w:rPr>
        <w:t xml:space="preserve"> </w:t>
      </w:r>
      <w:r w:rsidR="00055EF6" w:rsidRPr="002D7DB7">
        <w:rPr>
          <w:rFonts w:eastAsiaTheme="minorEastAsia" w:cstheme="minorBidi"/>
        </w:rPr>
        <w:t xml:space="preserve">ՓՄՁ-ների գնահատման կարողությունների զարգացմանն </w:t>
      </w:r>
      <w:r w:rsidR="001D1FA9" w:rsidRPr="002D7DB7">
        <w:rPr>
          <w:rFonts w:eastAsiaTheme="minorEastAsia" w:cstheme="minorBidi"/>
        </w:rPr>
        <w:t>ուղ</w:t>
      </w:r>
      <w:r w:rsidR="00FF6FFC">
        <w:rPr>
          <w:rFonts w:eastAsiaTheme="minorEastAsia" w:cstheme="minorBidi"/>
        </w:rPr>
        <w:t>ղ</w:t>
      </w:r>
      <w:r w:rsidR="001D1FA9" w:rsidRPr="002D7DB7">
        <w:rPr>
          <w:rFonts w:eastAsiaTheme="minorEastAsia" w:cstheme="minorBidi"/>
        </w:rPr>
        <w:t>ված։</w:t>
      </w:r>
    </w:p>
    <w:p w14:paraId="2959CE6C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Արդյունքում ակնկալվում է ֆինանսական հաստատությունների կողմից գնահատվող ռիսկի մակարդակի նվազում և ներդրումային ֆոնդերի գործունեության ակտիվացում ՓՄՁ-ի ծրագրերում։ </w:t>
      </w:r>
    </w:p>
    <w:p w14:paraId="2959CE6D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</w:t>
      </w:r>
      <w:r w:rsidR="004001A2" w:rsidRPr="002D7DB7">
        <w:t>4</w:t>
      </w:r>
      <w:r w:rsidRPr="002D7DB7">
        <w:t xml:space="preserve">։ Ֆինանսական շուկայի դիվերսիֆիկացիայի համար բարենպաստ պայմանների ստեղծում՝ ներդրումային/վենչուրային հիմնադրամներ, բիզնես-հրեշտակներ, այլընտրանքային ֆինանսավորման գործիքներ </w:t>
      </w:r>
    </w:p>
    <w:p w14:paraId="2959CE6E" w14:textId="77777777" w:rsidR="0065556B" w:rsidRPr="002D7DB7" w:rsidRDefault="0065556B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մտադիր է գնահատել ՓՄՁ համար այլընտրանքային ֆինանսավորման (բաժնեմասնակցային, </w:t>
      </w:r>
      <w:r w:rsidR="005C7F66" w:rsidRPr="002D7DB7">
        <w:rPr>
          <w:rFonts w:eastAsiaTheme="minorEastAsia" w:cstheme="minorBidi"/>
        </w:rPr>
        <w:t>զանգվածային (crowdfunding)</w:t>
      </w:r>
      <w:r w:rsidRPr="002D7DB7">
        <w:rPr>
          <w:rFonts w:eastAsiaTheme="minorEastAsia" w:cstheme="minorBidi"/>
        </w:rPr>
        <w:t xml:space="preserve">, վենչուրային) հասանելիությունը, վերհանել և վերացնել առկա օրենսդրական բացերը և խոչընդոտները, իրականացնել իրազեկման բարձրացմանն ուղղված արշավ և, անհրաժեշտության դեպքում, մշակել այլընտրանքային միջոցների ներգրավման մեխանիզմ (մասնավորապես՝ սփյուռքից) կամ աջակցել այդպիսի մեխանիզմի կայացմանը։ Մասնավորապես՝ ՀՀ կառավարությունը նախատեսում է աջակցել ՓՄՁ ուղղվածություն ունեցող ներդրումային ֆոնդերի կայացմանը՝ վերացնելով օրենսդրական և ինստիտուցիոնալ դաշտի խոչընդոտները և առավելագույնս օգտագործելով համագործակցության հնարավորությունները։ </w:t>
      </w:r>
    </w:p>
    <w:p w14:paraId="2959CE6F" w14:textId="10ACAB68" w:rsidR="000903ED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ՓՄՁ ուղղվածություն ունեցող</w:t>
      </w:r>
      <w:r w:rsidR="00B53BB1" w:rsidRPr="002D7DB7">
        <w:rPr>
          <w:rFonts w:eastAsiaTheme="minorEastAsia" w:cstheme="minorBidi"/>
        </w:rPr>
        <w:t xml:space="preserve"> </w:t>
      </w:r>
      <w:r w:rsidR="00141CAA" w:rsidRPr="002D7DB7">
        <w:rPr>
          <w:rFonts w:eastAsiaTheme="minorEastAsia" w:cstheme="minorBidi"/>
        </w:rPr>
        <w:t xml:space="preserve">համապատասխան տեխնոլոգիաների տիրապետող </w:t>
      </w:r>
      <w:r w:rsidRPr="002D7DB7">
        <w:rPr>
          <w:rFonts w:eastAsiaTheme="minorEastAsia" w:cstheme="minorBidi"/>
        </w:rPr>
        <w:t xml:space="preserve"> ներդրումային ֆոնդերի մուտքը ՀՀ շուկա կնպաստի առկա ֆինանսավորման բացի կրճատմանը և ձեռնարկատիրական մշակույթի զարգացմանը։ </w:t>
      </w:r>
    </w:p>
    <w:p w14:paraId="4B387BF7" w14:textId="11A50785" w:rsidR="00BA1059" w:rsidRDefault="00BA1059" w:rsidP="00FC60C0">
      <w:pPr>
        <w:spacing w:after="0" w:line="276" w:lineRule="auto"/>
        <w:rPr>
          <w:rFonts w:eastAsiaTheme="minorEastAsia" w:cstheme="minorBidi"/>
        </w:rPr>
      </w:pPr>
    </w:p>
    <w:p w14:paraId="2959CE70" w14:textId="77777777" w:rsidR="004001A2" w:rsidRPr="002D7DB7" w:rsidRDefault="004001A2" w:rsidP="00FC60C0">
      <w:pPr>
        <w:shd w:val="clear" w:color="auto" w:fill="E3E5E6" w:themeFill="accent6" w:themeFillTint="33"/>
        <w:spacing w:before="120" w:after="0" w:line="276" w:lineRule="auto"/>
      </w:pPr>
      <w:r w:rsidRPr="002D7DB7">
        <w:t>Առաջնահերթ գործողություն 5։ Սնանկության համակարգի բարեփոխում</w:t>
      </w:r>
    </w:p>
    <w:p w14:paraId="2959CE71" w14:textId="2155F2E2" w:rsidR="004001A2" w:rsidRPr="002D7DB7" w:rsidRDefault="004001A2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համապարփակ ուսումնասիրել սնանկության գործընթացին վերաբերող օրենսդրական կարգավորումները և ինստիտուցիոնալ դաշտը ՀՀ-ում և բոլոր շահագրգիռ կողմերի հետ համատեղ մշակել փոփոխությունների ցանկ՝ նպատակ ունենալով պարզեցնել և արագացնել առկա գործընթացը, ամրապնդել վարկատուների իրավունքները</w:t>
      </w:r>
      <w:r w:rsidR="00F91B9B" w:rsidRPr="002D7DB7">
        <w:rPr>
          <w:rFonts w:eastAsiaTheme="minorEastAsia" w:cstheme="minorBidi"/>
        </w:rPr>
        <w:t xml:space="preserve">, </w:t>
      </w:r>
      <w:r w:rsidRPr="002D7DB7">
        <w:rPr>
          <w:rFonts w:eastAsiaTheme="minorEastAsia" w:cstheme="minorBidi"/>
        </w:rPr>
        <w:t>բարձրացնել միջոցների վերականգնման մակարդակը</w:t>
      </w:r>
      <w:r w:rsidR="00A50A48" w:rsidRPr="002D7DB7">
        <w:rPr>
          <w:rFonts w:eastAsiaTheme="minorEastAsia" w:cstheme="minorBidi"/>
        </w:rPr>
        <w:t>, բարելավել սնանկության կանխարգելման պրակտիկան</w:t>
      </w:r>
      <w:r w:rsidR="002B3673" w:rsidRPr="002D7DB7">
        <w:rPr>
          <w:rFonts w:eastAsiaTheme="minorEastAsia" w:cstheme="minorBidi"/>
        </w:rPr>
        <w:t xml:space="preserve">, ինչպես նաև տեսանելի դարձնել </w:t>
      </w:r>
      <w:r w:rsidR="00BB57BE" w:rsidRPr="002D7DB7">
        <w:rPr>
          <w:rFonts w:eastAsiaTheme="minorEastAsia" w:cstheme="minorBidi"/>
        </w:rPr>
        <w:t>«</w:t>
      </w:r>
      <w:r w:rsidR="002B3673" w:rsidRPr="002D7DB7">
        <w:rPr>
          <w:rFonts w:eastAsiaTheme="minorEastAsia" w:cstheme="minorBidi"/>
        </w:rPr>
        <w:t>երկրորդ հնարավորությամբ</w:t>
      </w:r>
      <w:r w:rsidR="00BB57BE" w:rsidRPr="002D7DB7">
        <w:rPr>
          <w:rFonts w:eastAsiaTheme="minorEastAsia" w:cstheme="minorBidi"/>
        </w:rPr>
        <w:t>»</w:t>
      </w:r>
      <w:r w:rsidR="002B3673" w:rsidRPr="002D7DB7">
        <w:rPr>
          <w:rFonts w:eastAsiaTheme="minorEastAsia" w:cstheme="minorBidi"/>
        </w:rPr>
        <w:t xml:space="preserve"> </w:t>
      </w:r>
      <w:r w:rsidR="00BB57BE" w:rsidRPr="002D7DB7">
        <w:rPr>
          <w:rFonts w:eastAsiaTheme="minorEastAsia" w:cstheme="minorBidi"/>
        </w:rPr>
        <w:t>ձեռնարկատիրությամբ զբաղվելը</w:t>
      </w:r>
      <w:r w:rsidRPr="002D7DB7">
        <w:rPr>
          <w:rFonts w:eastAsiaTheme="minorEastAsia" w:cstheme="minorBidi"/>
        </w:rPr>
        <w:t>։</w:t>
      </w:r>
    </w:p>
    <w:p w14:paraId="2959CE72" w14:textId="3EE34A93" w:rsidR="004001A2" w:rsidRPr="002D7DB7" w:rsidRDefault="004001A2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Արդյունքում ակնկալվում է նվազեցնել ոչ արդյունավետ ակտիվներում սառեցված ֆինանսական միջոցների ծավալը, </w:t>
      </w:r>
      <w:r w:rsidR="007C70F8" w:rsidRPr="002D7DB7">
        <w:rPr>
          <w:rFonts w:eastAsiaTheme="minorEastAsia" w:cstheme="minorBidi"/>
        </w:rPr>
        <w:t>և</w:t>
      </w:r>
      <w:r w:rsidRPr="002D7DB7">
        <w:rPr>
          <w:rFonts w:eastAsiaTheme="minorEastAsia" w:cstheme="minorBidi"/>
        </w:rPr>
        <w:t xml:space="preserve"> ֆինանսական համակարգի կողմից գնահատվող ռիսկի մակարդակը։ Կարևորվում է արդյունավետ սնանկության գործընթացների շնորհիվ հեռանկար ունեցող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>ի համար</w:t>
      </w:r>
      <w:r w:rsidR="006D038F" w:rsidRPr="002D7DB7">
        <w:rPr>
          <w:rFonts w:eastAsiaTheme="minorEastAsia" w:cstheme="minorBidi"/>
        </w:rPr>
        <w:t xml:space="preserve"> </w:t>
      </w:r>
      <w:r w:rsidR="00BB1B31" w:rsidRPr="002D7DB7">
        <w:rPr>
          <w:rFonts w:eastAsiaTheme="minorEastAsia" w:cstheme="minorBidi"/>
        </w:rPr>
        <w:t xml:space="preserve"> </w:t>
      </w:r>
      <w:r w:rsidR="006D038F" w:rsidRPr="002D7DB7">
        <w:rPr>
          <w:rFonts w:eastAsiaTheme="minorEastAsia" w:cstheme="minorBidi"/>
        </w:rPr>
        <w:t xml:space="preserve">կիրառել </w:t>
      </w:r>
      <w:r w:rsidRPr="002D7DB7">
        <w:rPr>
          <w:rFonts w:eastAsiaTheme="minorEastAsia" w:cstheme="minorBidi"/>
        </w:rPr>
        <w:t>պարտքի վերակառուցման մեխանիզմներ</w:t>
      </w:r>
      <w:r w:rsidR="006D038F" w:rsidRPr="002D7DB7">
        <w:rPr>
          <w:rFonts w:eastAsiaTheme="minorEastAsia" w:cstheme="minorBidi"/>
        </w:rPr>
        <w:t xml:space="preserve">։ </w:t>
      </w:r>
    </w:p>
    <w:p w14:paraId="2959CE73" w14:textId="77777777" w:rsidR="004001A2" w:rsidRPr="002D7DB7" w:rsidRDefault="004001A2" w:rsidP="00FC60C0">
      <w:pPr>
        <w:spacing w:after="0" w:line="276" w:lineRule="auto"/>
        <w:rPr>
          <w:rFonts w:eastAsiaTheme="minorEastAsia" w:cstheme="minorBidi"/>
        </w:rPr>
      </w:pPr>
    </w:p>
    <w:p w14:paraId="2959CE74" w14:textId="36777F94" w:rsidR="0059191C" w:rsidRPr="002D7DB7" w:rsidRDefault="5894FF83" w:rsidP="00FC60C0">
      <w:pPr>
        <w:pStyle w:val="Heading2"/>
        <w:spacing w:after="0" w:line="276" w:lineRule="auto"/>
      </w:pPr>
      <w:bookmarkStart w:id="14" w:name="_Toc17467297"/>
      <w:bookmarkStart w:id="15" w:name="_Toc47118493"/>
      <w:r w:rsidRPr="002D7DB7">
        <w:lastRenderedPageBreak/>
        <w:t>ՓՄՁ սուբյեկտների</w:t>
      </w:r>
      <w:r w:rsidR="006D038F" w:rsidRPr="002D7DB7">
        <w:t xml:space="preserve"> </w:t>
      </w:r>
      <w:r w:rsidRPr="002D7DB7">
        <w:t xml:space="preserve">կարողությունների զարգացում և ձեռնարկատիրական մշակույթի </w:t>
      </w:r>
      <w:r w:rsidR="000903ED" w:rsidRPr="002D7DB7">
        <w:t>խթ</w:t>
      </w:r>
      <w:r w:rsidRPr="002D7DB7">
        <w:t>անում</w:t>
      </w:r>
      <w:bookmarkEnd w:id="14"/>
      <w:bookmarkEnd w:id="15"/>
    </w:p>
    <w:p w14:paraId="2959CE75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Մրցունակ ՓՄՁ-ների ստեղծման և զարգացման համար առանցքային է տեխնիկական և մարդկային կարողությունների առկայությունը։ Սակայն ՓՄՁ-ների զգալի մասը կարիք ունի կարողությունների զարգացման, մասնավորապես՝ նոր մոտեցումների և տեխնոլոգիաների, շուկայավարման, հաշվապահական հաշվառման, ռազմավարական պլանավորման և ֆինանսական կառավարման</w:t>
      </w:r>
      <w:r w:rsidR="00141CAA" w:rsidRPr="002D7DB7">
        <w:rPr>
          <w:rFonts w:eastAsiaTheme="minorEastAsia" w:cstheme="minorBidi"/>
        </w:rPr>
        <w:t>,</w:t>
      </w:r>
      <w:r w:rsidRPr="002D7DB7">
        <w:rPr>
          <w:rFonts w:eastAsiaTheme="minorEastAsia" w:cstheme="minorBidi"/>
        </w:rPr>
        <w:t xml:space="preserve"> ձեռնարկատիրական անհրաժեշտ կրթության:</w:t>
      </w:r>
    </w:p>
    <w:p w14:paraId="2959CE76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Պետական քաղաքականության հիմնական շեշտը դրվելու է ՓՄՁ-ներում տեխնոլոգիական բացը հնարավորինս նվազեցնելու, ՓՄՁ-ների` տեխնոլոգիաների ներդրման և կիրառման կարողությունների բարձրացման վրա: </w:t>
      </w:r>
    </w:p>
    <w:p w14:paraId="2959CE77" w14:textId="0D3D32D3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ՓՄՁ-ներում նորարարությունը խթանելու նպատակով առաջին հերթին անհրաժեշտ է իրենց շրջանում բարձրացնել ստեղծվող արժեքի և մրցունակության բարձրացման համար նորարարության կարևորության վերաբերյալ</w:t>
      </w:r>
      <w:r w:rsidR="00CC0CCE" w:rsidRPr="002D7DB7">
        <w:rPr>
          <w:rFonts w:eastAsiaTheme="minorEastAsia" w:cstheme="minorBidi"/>
        </w:rPr>
        <w:t xml:space="preserve"> իրազեկությունը</w:t>
      </w:r>
      <w:r w:rsidRPr="002D7DB7">
        <w:rPr>
          <w:rFonts w:eastAsiaTheme="minorEastAsia" w:cstheme="minorBidi"/>
        </w:rPr>
        <w:t xml:space="preserve"> և որոշակիորեն խրախուսել նորարարության նկատմամբ</w:t>
      </w:r>
      <w:r w:rsidR="00CC0CCE" w:rsidRPr="002D7DB7">
        <w:rPr>
          <w:rFonts w:eastAsiaTheme="minorEastAsia" w:cstheme="minorBidi"/>
        </w:rPr>
        <w:t xml:space="preserve"> պահանջարկը</w:t>
      </w:r>
      <w:r w:rsidRPr="002D7DB7">
        <w:rPr>
          <w:rFonts w:eastAsiaTheme="minorEastAsia" w:cstheme="minorBidi"/>
        </w:rPr>
        <w:t>: Այդ թվում՝ կարևորվելու է էներգաարդյունավետության բարձրացմանը նպաստող նախագծերի իրագործումը։</w:t>
      </w:r>
    </w:p>
    <w:p w14:paraId="2959CE78" w14:textId="483339C3" w:rsidR="0065556B" w:rsidRPr="002D7DB7" w:rsidRDefault="0065556B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Համաձայն </w:t>
      </w:r>
      <w:r w:rsidR="0039141C" w:rsidRPr="002D7DB7">
        <w:rPr>
          <w:rFonts w:eastAsiaTheme="minorEastAsia" w:cstheme="minorBidi"/>
        </w:rPr>
        <w:t>2019</w:t>
      </w:r>
      <w:r w:rsidRPr="002D7DB7">
        <w:rPr>
          <w:rFonts w:eastAsiaTheme="minorEastAsia" w:cstheme="minorBidi"/>
        </w:rPr>
        <w:t xml:space="preserve"> թվականի Համաշխարհային տնտեսական ֆորումի հաշվետվության՝</w:t>
      </w:r>
      <w:r w:rsidR="00C302B7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Հայաստանն ունի բավականին նպաստավոր դիրք Համաշխարհային մրցունակության համաթվի «ԻՀ տեխնոլոգի</w:t>
      </w:r>
      <w:r w:rsidR="003437D8" w:rsidRPr="002D7DB7">
        <w:rPr>
          <w:rFonts w:eastAsiaTheme="minorEastAsia" w:cstheme="minorBidi"/>
        </w:rPr>
        <w:t>աների ընդունում</w:t>
      </w:r>
      <w:r w:rsidR="00642E7E" w:rsidRPr="002D7DB7">
        <w:rPr>
          <w:rFonts w:eastAsiaTheme="minorEastAsia" w:cstheme="minorBidi"/>
        </w:rPr>
        <w:t>» չափորոշիչով</w:t>
      </w:r>
      <w:r w:rsidR="00E47807" w:rsidRPr="002D7DB7">
        <w:rPr>
          <w:rFonts w:eastAsiaTheme="minorEastAsia" w:cstheme="minorBidi"/>
        </w:rPr>
        <w:t>՝ զբաղեցնելով</w:t>
      </w:r>
      <w:r w:rsidR="00A003FD" w:rsidRPr="002D7DB7">
        <w:rPr>
          <w:rFonts w:eastAsiaTheme="minorEastAsia" w:cstheme="minorBidi"/>
        </w:rPr>
        <w:t xml:space="preserve"> </w:t>
      </w:r>
      <w:r w:rsidR="0039141C" w:rsidRPr="002D7DB7">
        <w:rPr>
          <w:rFonts w:eastAsiaTheme="minorEastAsia" w:cstheme="minorBidi"/>
        </w:rPr>
        <w:t>59</w:t>
      </w:r>
      <w:r w:rsidRPr="002D7DB7">
        <w:rPr>
          <w:rFonts w:eastAsiaTheme="minorEastAsia" w:cstheme="minorBidi"/>
        </w:rPr>
        <w:t>-րդ տեղը: Սակայն իր դիրքով հետ է մնում հարևան Վրաստանից (</w:t>
      </w:r>
      <w:r w:rsidR="0039141C" w:rsidRPr="002D7DB7">
        <w:rPr>
          <w:rFonts w:eastAsiaTheme="minorEastAsia" w:cstheme="minorBidi"/>
        </w:rPr>
        <w:t>55</w:t>
      </w:r>
      <w:r w:rsidRPr="002D7DB7">
        <w:rPr>
          <w:rFonts w:eastAsiaTheme="minorEastAsia" w:cstheme="minorBidi"/>
        </w:rPr>
        <w:t xml:space="preserve">-րդ տեղ), Մոլդովայից (48-րդ տեղ) և Ղազախստանից (44-րդ տեղ): «Նորարարական կարողություններ» ցուցանիշով Հայաստանը զբաղեցնում է </w:t>
      </w:r>
      <w:r w:rsidR="0039141C" w:rsidRPr="002D7DB7">
        <w:rPr>
          <w:rFonts w:eastAsiaTheme="minorEastAsia" w:cstheme="minorBidi"/>
        </w:rPr>
        <w:t>62-</w:t>
      </w:r>
      <w:r w:rsidRPr="002D7DB7">
        <w:rPr>
          <w:rFonts w:eastAsiaTheme="minorEastAsia" w:cstheme="minorBidi"/>
        </w:rPr>
        <w:t>րդ տեղը՝ առաջ անցնելով իր երկու հարևաններից</w:t>
      </w:r>
      <w:r w:rsidR="00A003FD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(Վրաստան` </w:t>
      </w:r>
      <w:r w:rsidR="0039141C" w:rsidRPr="002D7DB7">
        <w:rPr>
          <w:rFonts w:eastAsiaTheme="minorEastAsia" w:cstheme="minorBidi"/>
        </w:rPr>
        <w:t>91</w:t>
      </w:r>
      <w:r w:rsidRPr="002D7DB7">
        <w:rPr>
          <w:rFonts w:eastAsiaTheme="minorEastAsia" w:cstheme="minorBidi"/>
        </w:rPr>
        <w:t xml:space="preserve">-րդ տեղ և Ադրբեջան` </w:t>
      </w:r>
      <w:r w:rsidR="0039141C" w:rsidRPr="002D7DB7">
        <w:rPr>
          <w:rFonts w:eastAsiaTheme="minorEastAsia" w:cstheme="minorBidi"/>
        </w:rPr>
        <w:t>68</w:t>
      </w:r>
      <w:r w:rsidRPr="002D7DB7">
        <w:rPr>
          <w:rFonts w:eastAsiaTheme="minorEastAsia" w:cstheme="minorBidi"/>
        </w:rPr>
        <w:t>-րդ տեղ):</w:t>
      </w:r>
    </w:p>
    <w:p w14:paraId="79026297" w14:textId="77777777" w:rsidR="001E786F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Չնայած միջին մասնագիտական կրթության ոլորտում ընթացող բարեփոխումներին, աշխատանքի շուկայում դեռևս անհամապատասխանություն կա առկա աշխատուժի և պահանջված հմտությունների միջև:</w:t>
      </w:r>
    </w:p>
    <w:p w14:paraId="2959CE7B" w14:textId="2C02B0C2" w:rsidR="001D7825" w:rsidRDefault="004F31D1" w:rsidP="00BA1059">
      <w:pPr>
        <w:pStyle w:val="Caption"/>
        <w:spacing w:before="240"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5</w:t>
      </w:r>
      <w:r w:rsidR="00C07F77" w:rsidRPr="002D7DB7">
        <w:fldChar w:fldCharType="end"/>
      </w:r>
      <w:r w:rsidR="00917BA2" w:rsidRPr="002D7DB7">
        <w:tab/>
        <w:t>ՓՄՁ սուբյեկտների կարողությունների զարգացում և ձեռնարկատիրական մշակույթի խթանում ուղղության ցու</w:t>
      </w:r>
      <w:r w:rsidR="006C3AD4" w:rsidRPr="002D7DB7">
        <w:t>ց</w:t>
      </w:r>
      <w:r w:rsidR="00917BA2" w:rsidRPr="002D7DB7">
        <w:t>իչների համակարգ</w:t>
      </w:r>
    </w:p>
    <w:p w14:paraId="43101C6B" w14:textId="104FC53B" w:rsidR="004739C7" w:rsidRDefault="004739C7" w:rsidP="004739C7"/>
    <w:p w14:paraId="5F4E2D37" w14:textId="77777777" w:rsidR="004739C7" w:rsidRPr="004739C7" w:rsidRDefault="004739C7" w:rsidP="004739C7"/>
    <w:tbl>
      <w:tblPr>
        <w:tblW w:w="10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5"/>
        <w:gridCol w:w="2373"/>
        <w:gridCol w:w="1767"/>
        <w:gridCol w:w="823"/>
        <w:gridCol w:w="1103"/>
        <w:gridCol w:w="1044"/>
      </w:tblGrid>
      <w:tr w:rsidR="00C06C68" w:rsidRPr="0079770D" w14:paraId="0FC97276" w14:textId="77777777" w:rsidTr="0079770D">
        <w:trPr>
          <w:trHeight w:val="6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75D6736" w14:textId="77777777" w:rsidR="00C06C68" w:rsidRPr="0079770D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54D79FB" w14:textId="77777777" w:rsidR="00C06C68" w:rsidRPr="0079770D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Ուղղություն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84D533A" w14:textId="77777777" w:rsidR="00C06C68" w:rsidRPr="0079770D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Երկրների</w:t>
            </w:r>
            <w:proofErr w:type="spellEnd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97E7EA9" w14:textId="77777777" w:rsidR="00C06C68" w:rsidRPr="0079770D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4CDE1C7" w14:textId="77777777" w:rsidR="00C06C68" w:rsidRPr="0079770D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95B549B" w14:textId="5E266B47" w:rsidR="00C06C68" w:rsidRPr="0079770D" w:rsidRDefault="00C06C68" w:rsidP="00BA105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9770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Թիրախմիավոր</w:t>
            </w:r>
            <w:proofErr w:type="spellEnd"/>
          </w:p>
        </w:tc>
      </w:tr>
      <w:tr w:rsidR="00C06C68" w:rsidRPr="00BC6727" w14:paraId="08A09E35" w14:textId="77777777" w:rsidTr="0079770D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E38DC87" w14:textId="77777777" w:rsidR="00C06C68" w:rsidRPr="001C1FF2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C1FF2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Կարողությունների զարգացում և ձեռնարկատիրական մշակույթ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67101B5" w14:textId="77777777" w:rsidR="00C06C68" w:rsidRPr="001C1FF2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C1FF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85B4E5A" w14:textId="77777777" w:rsidR="00C06C68" w:rsidRPr="001C1FF2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C1FF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1D9A51E" w14:textId="77777777" w:rsidR="00C06C68" w:rsidRPr="001C1FF2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C1FF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5A0423E" w14:textId="77777777" w:rsidR="00C06C68" w:rsidRPr="001C1FF2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C1FF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01A3645" w14:textId="77777777" w:rsidR="00C06C68" w:rsidRPr="001C1FF2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1C1FF2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06C68" w:rsidRPr="00BC6727" w14:paraId="7B4D571D" w14:textId="77777777" w:rsidTr="0079770D">
        <w:trPr>
          <w:trHeight w:val="76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005" w14:textId="237A4B85" w:rsidR="00C06C68" w:rsidRPr="00BC6727" w:rsidRDefault="00A755CA" w:rsidP="00C06C6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SME Policy Index 2020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7A7A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Ձեռնարկատիրական</w:t>
            </w:r>
            <w:proofErr w:type="spellEnd"/>
            <w:r w:rsidRPr="00BC6727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ուսումնառություն</w:t>
            </w:r>
            <w:proofErr w:type="spellEnd"/>
            <w:r w:rsidRPr="00BC6727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և</w:t>
            </w:r>
            <w:r w:rsidRPr="00BC6727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կանանց</w:t>
            </w:r>
            <w:proofErr w:type="spellEnd"/>
            <w:r w:rsidRPr="00BC6727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ձեռներեցություն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D88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ԱլԳ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, 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60D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DAAD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367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C06C68" w:rsidRPr="00BC6727" w14:paraId="45850834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E56D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408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Ձեռնարկատիրական</w:t>
            </w:r>
            <w:proofErr w:type="spellEnd"/>
            <w:r w:rsidRPr="00BC6727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հմտություններ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428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ԱլԳ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, 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F91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A786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BDA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4.5</w:t>
            </w:r>
          </w:p>
        </w:tc>
      </w:tr>
      <w:tr w:rsidR="00C06C68" w:rsidRPr="00BC6727" w14:paraId="179A1122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A99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2E7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Նորարարություն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129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ԱլԳ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, 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422F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D912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2C5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3.5</w:t>
            </w:r>
          </w:p>
        </w:tc>
      </w:tr>
      <w:tr w:rsidR="00C06C68" w:rsidRPr="00BC6727" w14:paraId="3885CFDA" w14:textId="77777777" w:rsidTr="0079770D">
        <w:trPr>
          <w:trHeight w:val="510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65C" w14:textId="77777777" w:rsidR="00C06C68" w:rsidRPr="00BC6727" w:rsidRDefault="00C06C68" w:rsidP="00C06C6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Համաշխարհային</w:t>
            </w:r>
            <w:proofErr w:type="spellEnd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մրցունակության</w:t>
            </w:r>
            <w:proofErr w:type="spellEnd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համաթիվ</w:t>
            </w:r>
            <w:proofErr w:type="spellEnd"/>
            <w:r w:rsidRPr="00BC67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2018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2F5" w14:textId="0630415B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Ինովացիոն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կապի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տեխնոլոգիաներ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8F0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Աշխարհ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10D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FC99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15B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C68" w:rsidRPr="00BC6727" w14:paraId="6BD340C3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B857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826C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Հմտություններ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881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Աշխարհ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80C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56BD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63B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C68" w:rsidRPr="00BC6727" w14:paraId="0AAD8BAF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784C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AE0A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Աշխատաշուկայի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զարգավածություն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27A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Աշխարհ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8AE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7431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27E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C68" w:rsidRPr="00BC6727" w14:paraId="7D299D41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7F3B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F49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Բիզնես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դինամիկա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018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Աշխարհ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B3D5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FEA5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AFB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C68" w:rsidRPr="00BC6727" w14:paraId="324D1AE1" w14:textId="77777777" w:rsidTr="0079770D">
        <w:trPr>
          <w:trHeight w:val="36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128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FD3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Ձեռնարկատիրական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մշակույթ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8C0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Աշխարհ</w:t>
            </w:r>
            <w:proofErr w:type="spellEnd"/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B8F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1F73" w14:textId="77777777" w:rsidR="00C06C68" w:rsidRPr="00BC6727" w:rsidRDefault="00C06C68" w:rsidP="00C06C6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8F3" w14:textId="77777777" w:rsidR="00C06C68" w:rsidRPr="00BC6727" w:rsidRDefault="00C06C68" w:rsidP="00C06C6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C6727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2959CEBB" w14:textId="77777777" w:rsidR="0065556B" w:rsidRPr="002D7DB7" w:rsidRDefault="0065556B" w:rsidP="00FC60C0">
      <w:pPr>
        <w:shd w:val="clear" w:color="auto" w:fill="E3E5E6" w:themeFill="accent6" w:themeFillTint="33"/>
        <w:spacing w:before="120" w:after="0" w:line="276" w:lineRule="auto"/>
      </w:pPr>
      <w:r w:rsidRPr="00DC1F07">
        <w:rPr>
          <w:sz w:val="22"/>
          <w:szCs w:val="22"/>
        </w:rPr>
        <w:t>Առաջնահերթ</w:t>
      </w:r>
      <w:r w:rsidRPr="002D7DB7">
        <w:t xml:space="preserve"> գործողություն 1։ Նորարարության ներդնումը և կիրառումը թիրախավորող աջակցության գործիքի մշակում և ներդնում պետական աջակցության կառույցների միջոցով</w:t>
      </w:r>
    </w:p>
    <w:p w14:paraId="2959CEBC" w14:textId="33EC26B9" w:rsidR="0065556B" w:rsidRPr="002D7DB7" w:rsidRDefault="0065556B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բարելավել</w:t>
      </w:r>
      <w:r w:rsidR="00786037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ՓՄՁ-ներին տրամադր</w:t>
      </w:r>
      <w:r w:rsidR="00831443" w:rsidRPr="002D7DB7">
        <w:rPr>
          <w:rFonts w:eastAsiaTheme="minorEastAsia" w:cstheme="minorBidi"/>
        </w:rPr>
        <w:t>վ</w:t>
      </w:r>
      <w:r w:rsidRPr="002D7DB7">
        <w:rPr>
          <w:rFonts w:eastAsiaTheme="minorEastAsia" w:cstheme="minorBidi"/>
        </w:rPr>
        <w:t xml:space="preserve">ող աջակցության թիրախավորումը` նպատակ ունենալով աջակցել արտադրողականության ավելացմանը նպաստող </w:t>
      </w:r>
      <w:r w:rsidRPr="002D7DB7">
        <w:t>նորարական ծրագրերի իրագործմանը։</w:t>
      </w:r>
      <w:r w:rsidR="00B96CBD" w:rsidRPr="002D7DB7">
        <w:t xml:space="preserve"> Մասնավորապես իրագործվելու են միասնական </w:t>
      </w:r>
      <w:r w:rsidR="00B70D9B" w:rsidRPr="002D7DB7">
        <w:t>օգտ</w:t>
      </w:r>
      <w:r w:rsidR="00847AFB">
        <w:t>ա</w:t>
      </w:r>
      <w:r w:rsidR="00B70D9B" w:rsidRPr="002D7DB7">
        <w:t>գործման</w:t>
      </w:r>
      <w:r w:rsidR="00786037" w:rsidRPr="002D7DB7">
        <w:t xml:space="preserve"> </w:t>
      </w:r>
      <w:r w:rsidR="00B70D9B" w:rsidRPr="002D7DB7">
        <w:t>տեխնոլոգիական կենտրոնների հիմնման ծրագրեր</w:t>
      </w:r>
      <w:r w:rsidR="005F4E78" w:rsidRPr="002D7DB7">
        <w:t xml:space="preserve">, </w:t>
      </w:r>
      <w:r w:rsidR="00B72942" w:rsidRPr="002D7DB7">
        <w:t>նորար</w:t>
      </w:r>
      <w:r w:rsidR="00831443" w:rsidRPr="002D7DB7">
        <w:t>ար</w:t>
      </w:r>
      <w:r w:rsidR="00B72942" w:rsidRPr="002D7DB7">
        <w:t xml:space="preserve">ության աուդիտի և խորհրդատվության </w:t>
      </w:r>
      <w:r w:rsidR="0092226F" w:rsidRPr="002D7DB7">
        <w:t xml:space="preserve">աջակցության միջոցառումներ, նորարարության </w:t>
      </w:r>
      <w:r w:rsidR="00BA4AB5" w:rsidRPr="002D7DB7">
        <w:t>կիրառումը խրախուսող ծրագրեր</w:t>
      </w:r>
      <w:r w:rsidR="00B70D9B" w:rsidRPr="002D7DB7">
        <w:t>։</w:t>
      </w:r>
    </w:p>
    <w:p w14:paraId="2959CEBD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  <w:rPr>
          <w:rFonts w:cstheme="minorBidi"/>
        </w:rPr>
      </w:pPr>
      <w:r w:rsidRPr="002D7DB7">
        <w:rPr>
          <w:rFonts w:cstheme="minorBidi"/>
        </w:rPr>
        <w:t xml:space="preserve">Առաջնահերթ գործողություն 2։ ՓՄՁ ոլորտում գործող հանրային կառույցների և բիզնեսի զարգացման ծառայություններ մատուցող կազմակերպությունների հետ համագործակցության ընդլայնում՝ ՓՄՁ-ում կարողությունների բացը լրացնելու ուղղությամբ։ </w:t>
      </w:r>
    </w:p>
    <w:p w14:paraId="2959CEBE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Մատչելի և որակյալ խորհրդատվական ծառայությունները կարող են էականորեն կրճատել ՓՄՁ-ների համար վարկերի ներգրավման տրանզակցիոն ծախսերը, բարձրացնել կառավարման մակարդակը, խթանել նորարարության կիրառումը՝ արդյունքում ավելացնելով ընկերությունների մրցունակությունը։ Կառավարությունը մշակելու է </w:t>
      </w:r>
      <w:r w:rsidR="00141CAA" w:rsidRPr="002D7DB7">
        <w:rPr>
          <w:rFonts w:eastAsiaTheme="minorEastAsia" w:cstheme="minorBidi"/>
        </w:rPr>
        <w:t xml:space="preserve">խորհրդատուների և </w:t>
      </w:r>
      <w:r w:rsidRPr="002D7DB7">
        <w:rPr>
          <w:rFonts w:eastAsiaTheme="minorEastAsia" w:cstheme="minorBidi"/>
        </w:rPr>
        <w:t>մենթորների հարթակ գործարկելու մեխանիզմ, որտեղ ներգրավված կլինեն Հայաստանի և Սփյուռքի փորձառու մասնագետները</w:t>
      </w:r>
      <w:r w:rsidR="00141CAA" w:rsidRPr="002D7DB7">
        <w:rPr>
          <w:rFonts w:eastAsiaTheme="minorEastAsia" w:cstheme="minorBidi"/>
        </w:rPr>
        <w:t xml:space="preserve">, այդ հարթակի միջոցով </w:t>
      </w:r>
      <w:r w:rsidRPr="002D7DB7">
        <w:rPr>
          <w:rFonts w:eastAsiaTheme="minorEastAsia" w:cstheme="minorBidi"/>
        </w:rPr>
        <w:t>ներուժ ունեցող ՓՄՁ-ները կստանան աճի իմպուլս։</w:t>
      </w:r>
    </w:p>
    <w:p w14:paraId="2959CEBF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3։ Ձեռնարկատերերի և ՓՄՁ-ում զբաղվածների որակավորման բարձրացմանն ուղղված միջավայրի կայացում </w:t>
      </w:r>
    </w:p>
    <w:p w14:paraId="2959CEC0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իրականացնել աշխատուժի կարողությունների պահանջարկի գնահատում ՓՄՁ-ներում և ստացված տեղեկությունների հիման վրա գործարար միջավայրի ներկայացուցիչների հետ համատեղ մշակել կրթական հաստատությունների (մասնավորապես</w:t>
      </w:r>
      <w:r w:rsidR="004F31D1" w:rsidRPr="002D7DB7">
        <w:rPr>
          <w:rFonts w:eastAsiaTheme="minorEastAsia" w:cstheme="minorBidi"/>
        </w:rPr>
        <w:t>՝</w:t>
      </w:r>
      <w:r w:rsidRPr="002D7DB7">
        <w:rPr>
          <w:rFonts w:eastAsiaTheme="minorEastAsia" w:cstheme="minorBidi"/>
        </w:rPr>
        <w:t xml:space="preserve"> ՄԿՈՒ) կրթական ծրագրեր և դասընթացներ։</w:t>
      </w:r>
    </w:p>
    <w:p w14:paraId="2959CEC1" w14:textId="7CEC45ED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Միաժամանակ, հիմք ընդունելով ՓՄՁ-ներում առկա տեխնիկական գիտելիքի պահանջարկը՝ կառավարությունը աջակցելու է լավագույն փորձագետների ներգրավմանը՝ համապատասխան կարողությունների զարգացման, փորձի փոխանակման նպատակներով։</w:t>
      </w:r>
      <w:r w:rsidR="00382F44" w:rsidRPr="002D7DB7">
        <w:rPr>
          <w:rFonts w:eastAsiaTheme="minorEastAsia" w:cstheme="minorBidi"/>
        </w:rPr>
        <w:t xml:space="preserve"> </w:t>
      </w:r>
      <w:r w:rsidR="000C4516" w:rsidRPr="002D7DB7">
        <w:rPr>
          <w:rFonts w:eastAsiaTheme="minorEastAsia" w:cstheme="minorBidi"/>
        </w:rPr>
        <w:t>Մ</w:t>
      </w:r>
      <w:r w:rsidR="00382F44" w:rsidRPr="002D7DB7">
        <w:rPr>
          <w:rFonts w:eastAsiaTheme="minorEastAsia" w:cstheme="minorBidi"/>
        </w:rPr>
        <w:t>շակվելու է «</w:t>
      </w:r>
      <w:r w:rsidR="000718BB">
        <w:rPr>
          <w:rFonts w:eastAsiaTheme="minorEastAsia" w:cstheme="minorBidi"/>
        </w:rPr>
        <w:t>Ձ</w:t>
      </w:r>
      <w:r w:rsidR="00382F44" w:rsidRPr="002D7DB7">
        <w:rPr>
          <w:rFonts w:eastAsiaTheme="minorEastAsia" w:cstheme="minorBidi"/>
        </w:rPr>
        <w:t>եռնարկատիրություն» կրթական ծրագիր</w:t>
      </w:r>
      <w:r w:rsidR="000C4516" w:rsidRPr="002D7DB7">
        <w:rPr>
          <w:rFonts w:eastAsiaTheme="minorEastAsia" w:cstheme="minorBidi"/>
        </w:rPr>
        <w:t xml:space="preserve">ը, որը </w:t>
      </w:r>
      <w:r w:rsidR="00293857" w:rsidRPr="002D7DB7">
        <w:rPr>
          <w:rFonts w:eastAsiaTheme="minorEastAsia" w:cstheme="minorBidi"/>
        </w:rPr>
        <w:t>լայնորեն հասանելի կդարձվի ԲՈՒՀ-երում, վերապատրաստման կենտրոններում և այլն։</w:t>
      </w:r>
      <w:r w:rsidR="00382F44" w:rsidRPr="002D7DB7">
        <w:rPr>
          <w:rFonts w:eastAsiaTheme="minorEastAsia" w:cstheme="minorBidi"/>
        </w:rPr>
        <w:t xml:space="preserve"> </w:t>
      </w:r>
    </w:p>
    <w:p w14:paraId="2959CEC2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lastRenderedPageBreak/>
        <w:t>Առաջնահերթ գործողություն 4։ ՓՄՁ-ի կողմից գիտության, տեղեկատվական տեխնոլոգիաների և տեխնոլոգիական լուծումների նկատմամբ պահանջարկի խրախուսման ծրագրի մշակում և իրագործում</w:t>
      </w:r>
    </w:p>
    <w:p w14:paraId="2959CEC3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խթանել ՓՄՁ-ների պահանջների բավարարմանը ուղղված նորարական գաղափարները և աջակցել գիտական ոլորտի, ՏՏ ընկերությունների և ՓՄՁ-ների միջև կապերի ամրապնդմանը, այդ թվում տեխնոպարկերի ռեսուրսների օգտագործմամբ։</w:t>
      </w:r>
    </w:p>
    <w:p w14:paraId="2959CEC4" w14:textId="0447F27D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Անհրաժեշտ է բարձրացնել իրազեկվածության մակարդակը ՓՄՁ-ներում ՏՏ և ավտոմատացման լուծումների, «կանաչ» տեխնոլոգիաների, </w:t>
      </w:r>
      <w:r w:rsidR="00E578FA">
        <w:rPr>
          <w:rFonts w:eastAsiaTheme="minorEastAsia" w:cstheme="minorBidi"/>
        </w:rPr>
        <w:t>Հորիզոն</w:t>
      </w:r>
      <w:r w:rsidRPr="002D7DB7">
        <w:rPr>
          <w:rFonts w:eastAsiaTheme="minorEastAsia" w:cstheme="minorBidi"/>
        </w:rPr>
        <w:t xml:space="preserve"> 2020 և այլ ծրագրերի կողմից ընձեռվող հնարավորությունների</w:t>
      </w:r>
      <w:r w:rsidR="007E3005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վերաբերյալ</w:t>
      </w:r>
      <w:r w:rsidR="004F31D1" w:rsidRPr="002D7DB7">
        <w:rPr>
          <w:rFonts w:eastAsiaTheme="minorEastAsia" w:cstheme="minorBidi"/>
        </w:rPr>
        <w:t xml:space="preserve">, </w:t>
      </w:r>
      <w:r w:rsidRPr="002D7DB7">
        <w:rPr>
          <w:rFonts w:eastAsiaTheme="minorEastAsia" w:cstheme="minorBidi"/>
        </w:rPr>
        <w:t>խրախուսել ՓՄՁ-ներում նման ծրագրերը և աջակցել դրանց իրականացման համար անհրաժեշտ կարողությունների ձևավորմանը։</w:t>
      </w:r>
    </w:p>
    <w:p w14:paraId="2959CEC5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ՀՀ կառավարությունը նպատակ ունի ՏՏ համայնքի հետ համատեղ աջակցել ՓՄՁ-ներում ՏՏ և ավտոմատացման լուծումների մասին տեղեկացվածության մակարդակի բարձրացմանը և աջակցել սկսնակ ձեռներեցների կողմից համապատասխան լուծումների կիրառությանը առաջին քայլեր կատարելիս։</w:t>
      </w:r>
    </w:p>
    <w:p w14:paraId="2959CEC6" w14:textId="010A7125" w:rsidR="0065556B" w:rsidRPr="002D7DB7" w:rsidDel="004C4C45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Հաշվի առնելով փոքր </w:t>
      </w:r>
      <w:r w:rsidR="003F525C">
        <w:rPr>
          <w:rFonts w:eastAsiaTheme="minorEastAsia" w:cstheme="minorBidi"/>
        </w:rPr>
        <w:t>կազմակերպության</w:t>
      </w:r>
      <w:r w:rsidRPr="002D7DB7">
        <w:rPr>
          <w:rFonts w:eastAsiaTheme="minorEastAsia" w:cstheme="minorBidi"/>
        </w:rPr>
        <w:t xml:space="preserve"> համար տեխնոլոգիայի ներմուծման դժվարությունը կառավարությունը իրականացնելու է ռեսուրսների, գիտահետազոտական և տեխնոլոգիական ենթակառուցվածքների համատեղ օգտագործման, ինկուբատորների և կլաստերների ձևավորման ծրագրեր։ </w:t>
      </w:r>
    </w:p>
    <w:p w14:paraId="2959CEC7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5։ Ձեռնարկատիրական մշակույթի զարգացում</w:t>
      </w:r>
    </w:p>
    <w:p w14:paraId="2959CEC8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կրթական համակարգի բոլոր մակարդակներում նպատակ է ունենալու տեսանելի դարձնել ձեռներեցությունը շրջանավարտներին՝ որպես կարիերայի տեսակ, նպաստել ձեռներեցին հատուկ մտածողության և հատկանիշների զարգացմանը (առաջնորդություն, պատասխանատվություն, պրոակտիվություն, ռիսկի դիմելու պատրաստակամություն և այլն), նպաստել աշակերտների/ուսանողների ձեռնարկատիրական հմտությունների զարգացմանը (թիմային աշխատանք, հաղորդակցություն և ներկայացման հմտություններ, ծրագրերի կառավարում, ժամանակի կառավարում և այլն)։</w:t>
      </w:r>
    </w:p>
    <w:p w14:paraId="2959CEC9" w14:textId="334251EB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Բնակչության լայն շրջանում ձեռներեցությամբ զբաղվելը խթանելու նպատակով Կառավարությունը շարունակելու է հանրայնացնել «Հաջողակ գործարարների» պատմությունները և իրականացնել </w:t>
      </w:r>
      <w:r w:rsidR="00863FBB" w:rsidRPr="002D7DB7">
        <w:rPr>
          <w:rFonts w:eastAsiaTheme="minorEastAsia" w:cstheme="minorBidi"/>
        </w:rPr>
        <w:t>ս</w:t>
      </w:r>
      <w:r w:rsidRPr="002D7DB7">
        <w:rPr>
          <w:rFonts w:eastAsiaTheme="minorEastAsia" w:cstheme="minorBidi"/>
        </w:rPr>
        <w:t>կսնակ ձեռնարկատե</w:t>
      </w:r>
      <w:r w:rsidR="00EA0FED" w:rsidRPr="002D7DB7">
        <w:rPr>
          <w:rFonts w:eastAsiaTheme="minorEastAsia" w:cstheme="minorBidi"/>
        </w:rPr>
        <w:t>րե</w:t>
      </w:r>
      <w:r w:rsidRPr="002D7DB7">
        <w:rPr>
          <w:rFonts w:eastAsiaTheme="minorEastAsia" w:cstheme="minorBidi"/>
        </w:rPr>
        <w:t>ր</w:t>
      </w:r>
      <w:r w:rsidR="00863FBB" w:rsidRPr="002D7DB7">
        <w:rPr>
          <w:rFonts w:eastAsiaTheme="minorEastAsia" w:cstheme="minorBidi"/>
        </w:rPr>
        <w:t xml:space="preserve">ի համար հնարավոր աջակցության </w:t>
      </w:r>
      <w:r w:rsidRPr="002D7DB7">
        <w:rPr>
          <w:rFonts w:eastAsiaTheme="minorEastAsia" w:cstheme="minorBidi"/>
        </w:rPr>
        <w:t>ծրագր</w:t>
      </w:r>
      <w:r w:rsidR="00863FBB" w:rsidRPr="002D7DB7">
        <w:rPr>
          <w:rFonts w:eastAsiaTheme="minorEastAsia" w:cstheme="minorBidi"/>
        </w:rPr>
        <w:t>երի տեսանելիության և մատչելիության բարձրացմ</w:t>
      </w:r>
      <w:r w:rsidR="00811576" w:rsidRPr="002D7DB7">
        <w:rPr>
          <w:rFonts w:eastAsiaTheme="minorEastAsia" w:cstheme="minorBidi"/>
        </w:rPr>
        <w:t>ան</w:t>
      </w:r>
      <w:r w:rsidR="00863FBB" w:rsidRPr="002D7DB7">
        <w:rPr>
          <w:rFonts w:eastAsiaTheme="minorEastAsia" w:cstheme="minorBidi"/>
        </w:rPr>
        <w:t xml:space="preserve"> միջոցառումներ</w:t>
      </w:r>
      <w:r w:rsidRPr="002D7DB7">
        <w:rPr>
          <w:rFonts w:eastAsiaTheme="minorEastAsia" w:cstheme="minorBidi"/>
        </w:rPr>
        <w:t xml:space="preserve">։ Մյուս կողմից անհրաժեշտ է ավելացնել հասանելի, ոչ ֆորմալ կրթության և մասնագիտական վերապատրաստումների վերաբերյալ իրազեկվածության մակարդակը ՓՄՁ շրջանում և բարձրացնել </w:t>
      </w:r>
      <w:r w:rsidR="000404D6" w:rsidRPr="002D7DB7">
        <w:rPr>
          <w:rFonts w:eastAsiaTheme="minorEastAsia" w:cstheme="minorBidi"/>
        </w:rPr>
        <w:t xml:space="preserve">շարունակական </w:t>
      </w:r>
      <w:r w:rsidR="00AF1C1A" w:rsidRPr="002D7DB7">
        <w:rPr>
          <w:rFonts w:eastAsiaTheme="minorEastAsia" w:cstheme="minorBidi"/>
        </w:rPr>
        <w:t xml:space="preserve">կրթության </w:t>
      </w:r>
      <w:r w:rsidRPr="002D7DB7">
        <w:rPr>
          <w:rFonts w:eastAsiaTheme="minorEastAsia" w:cstheme="minorBidi"/>
        </w:rPr>
        <w:t>մշակույթը</w:t>
      </w:r>
      <w:r w:rsidR="005C078F" w:rsidRPr="002D7DB7">
        <w:rPr>
          <w:rFonts w:eastAsiaTheme="minorEastAsia" w:cstheme="minorBidi"/>
        </w:rPr>
        <w:t xml:space="preserve"> և որակը</w:t>
      </w:r>
      <w:r w:rsidRPr="002D7DB7">
        <w:rPr>
          <w:rFonts w:eastAsiaTheme="minorEastAsia" w:cstheme="minorBidi"/>
        </w:rPr>
        <w:t>։</w:t>
      </w:r>
    </w:p>
    <w:p w14:paraId="2959CECA" w14:textId="7ED5B15B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Հաշվի առնելով սկսնակ ձեռնարկատերերի շրջանում կանանց</w:t>
      </w:r>
      <w:r w:rsidR="00781E82" w:rsidRPr="002D7DB7">
        <w:rPr>
          <w:rStyle w:val="FootnoteReference"/>
          <w:rFonts w:eastAsiaTheme="minorEastAsia" w:cstheme="minorBidi"/>
        </w:rPr>
        <w:footnoteReference w:id="9"/>
      </w:r>
      <w:r w:rsidRPr="002D7DB7">
        <w:rPr>
          <w:rFonts w:eastAsiaTheme="minorEastAsia" w:cstheme="minorBidi"/>
        </w:rPr>
        <w:t xml:space="preserve"> և երիտասարդների համեմատաբար ցածր ներկայացվածությունը` կարևորվելու է թիրախավորված </w:t>
      </w:r>
      <w:r w:rsidRPr="002D7DB7">
        <w:rPr>
          <w:rFonts w:eastAsiaTheme="minorEastAsia" w:cstheme="minorBidi"/>
        </w:rPr>
        <w:lastRenderedPageBreak/>
        <w:t>միջոցառումների իրականացումը՝ ուղղված կանանց և երիտասարդության շրջանում ձեռներեցության ավելացմանը՝ հատկապես մարզերում։</w:t>
      </w:r>
      <w:r w:rsidR="00CD5166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Այն ներառելու է իրազեկման, ուսուցողական, մենթորների ներգրավման միջոցառումներ։ </w:t>
      </w:r>
      <w:r w:rsidR="005C078F" w:rsidRPr="002D7DB7">
        <w:rPr>
          <w:rFonts w:eastAsiaTheme="minorEastAsia" w:cstheme="minorBidi"/>
        </w:rPr>
        <w:t>Կարևորվելու է հայրենադարձների ինտեգրումը երկրի ձեռնարկատիրական համայնքում։</w:t>
      </w:r>
    </w:p>
    <w:p w14:paraId="2959CECB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6։ Սոցիալական ձեռնարկատիրության տեսանելիության բարձրացում</w:t>
      </w:r>
    </w:p>
    <w:p w14:paraId="2959CECC" w14:textId="09EE7A05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մտադրված է բարձրացնել իրազեկվածությունը սոցիալական ձեռնարկատիրության վերաբերյալ բոլոր շահագրգիռ կողմերի մոտ</w:t>
      </w:r>
      <w:r w:rsidR="000D378B" w:rsidRPr="002D7DB7">
        <w:rPr>
          <w:rFonts w:eastAsiaTheme="minorEastAsia" w:cstheme="minorBidi"/>
        </w:rPr>
        <w:t xml:space="preserve">, </w:t>
      </w:r>
      <w:r w:rsidRPr="002D7DB7">
        <w:rPr>
          <w:rFonts w:eastAsiaTheme="minorEastAsia" w:cstheme="minorBidi"/>
        </w:rPr>
        <w:t>ինչպես</w:t>
      </w:r>
      <w:r w:rsidR="009832A7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նաև ստեղծել ցանց միջազգային կազմակերպությունների, </w:t>
      </w:r>
      <w:r w:rsidR="00973341" w:rsidRPr="002D7DB7">
        <w:rPr>
          <w:rFonts w:eastAsiaTheme="minorEastAsia" w:cstheme="minorBidi"/>
        </w:rPr>
        <w:t>ՍՁ</w:t>
      </w:r>
      <w:r w:rsidRPr="002D7DB7">
        <w:rPr>
          <w:rFonts w:eastAsiaTheme="minorEastAsia" w:cstheme="minorBidi"/>
        </w:rPr>
        <w:t xml:space="preserve"> սուբյեկտների, հասարակական կազմակերպությունների միջև։ </w:t>
      </w:r>
    </w:p>
    <w:p w14:paraId="2959CECD" w14:textId="060B9803" w:rsidR="00226FCA" w:rsidRPr="002D7DB7" w:rsidRDefault="00AB4DDE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Տվյալ ռազմավարությ</w:t>
      </w:r>
      <w:r w:rsidR="00775B7D" w:rsidRPr="002D7DB7">
        <w:rPr>
          <w:rFonts w:eastAsiaTheme="minorEastAsia" w:cstheme="minorBidi"/>
        </w:rPr>
        <w:t>ունը</w:t>
      </w:r>
      <w:r w:rsidR="009832A7" w:rsidRPr="002D7DB7">
        <w:rPr>
          <w:rFonts w:eastAsiaTheme="minorEastAsia" w:cstheme="minorBidi"/>
        </w:rPr>
        <w:t xml:space="preserve"> </w:t>
      </w:r>
      <w:r w:rsidR="00775B7D" w:rsidRPr="002D7DB7">
        <w:rPr>
          <w:rFonts w:eastAsiaTheme="minorEastAsia" w:cstheme="minorBidi"/>
        </w:rPr>
        <w:t>կ</w:t>
      </w:r>
      <w:r w:rsidR="00226FCA" w:rsidRPr="002D7DB7">
        <w:rPr>
          <w:rFonts w:eastAsiaTheme="minorEastAsia" w:cstheme="minorBidi"/>
        </w:rPr>
        <w:t>արևոր</w:t>
      </w:r>
      <w:r w:rsidR="00775B7D" w:rsidRPr="002D7DB7">
        <w:rPr>
          <w:rFonts w:eastAsiaTheme="minorEastAsia" w:cstheme="minorBidi"/>
        </w:rPr>
        <w:t xml:space="preserve">ում է </w:t>
      </w:r>
      <w:r w:rsidR="0042758E" w:rsidRPr="002D7DB7">
        <w:rPr>
          <w:rFonts w:eastAsiaTheme="minorEastAsia" w:cstheme="minorBidi"/>
        </w:rPr>
        <w:t xml:space="preserve">սոցիալական </w:t>
      </w:r>
      <w:r w:rsidR="001C1FF2">
        <w:rPr>
          <w:rFonts w:eastAsiaTheme="minorEastAsia" w:cstheme="minorBidi"/>
        </w:rPr>
        <w:t>կազմակերպություններ</w:t>
      </w:r>
      <w:r w:rsidR="0042758E" w:rsidRPr="002D7DB7">
        <w:rPr>
          <w:rFonts w:eastAsiaTheme="minorEastAsia" w:cstheme="minorBidi"/>
        </w:rPr>
        <w:t>ում արտադրողականության ավելաց</w:t>
      </w:r>
      <w:r w:rsidR="00775B7D" w:rsidRPr="002D7DB7">
        <w:rPr>
          <w:rFonts w:eastAsiaTheme="minorEastAsia" w:cstheme="minorBidi"/>
        </w:rPr>
        <w:t>ումը</w:t>
      </w:r>
      <w:r w:rsidR="0042758E" w:rsidRPr="002D7DB7">
        <w:rPr>
          <w:rFonts w:eastAsiaTheme="minorEastAsia" w:cstheme="minorBidi"/>
        </w:rPr>
        <w:t>,</w:t>
      </w:r>
      <w:r w:rsidR="00A95E50" w:rsidRPr="002D7DB7">
        <w:rPr>
          <w:rFonts w:eastAsiaTheme="minorEastAsia" w:cstheme="minorBidi"/>
        </w:rPr>
        <w:t xml:space="preserve"> իրենց ֆինանսական կայունությունը,</w:t>
      </w:r>
      <w:r w:rsidR="0042758E" w:rsidRPr="002D7DB7">
        <w:rPr>
          <w:rFonts w:eastAsiaTheme="minorEastAsia" w:cstheme="minorBidi"/>
        </w:rPr>
        <w:t xml:space="preserve"> </w:t>
      </w:r>
      <w:r w:rsidR="00A95E50" w:rsidRPr="002D7DB7">
        <w:rPr>
          <w:rFonts w:eastAsiaTheme="minorEastAsia" w:cstheme="minorBidi"/>
        </w:rPr>
        <w:t>ինչի</w:t>
      </w:r>
      <w:r w:rsidR="0042758E" w:rsidRPr="002D7DB7">
        <w:rPr>
          <w:rFonts w:eastAsiaTheme="minorEastAsia" w:cstheme="minorBidi"/>
        </w:rPr>
        <w:t xml:space="preserve"> նպատակով իրականացվելու է կարողությունների և հմտությունների բարձրացման ծրագիր։</w:t>
      </w:r>
    </w:p>
    <w:p w14:paraId="2959CECE" w14:textId="1920E229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Զուգահեռաբար ուսումնասիրելու և լրամշակ</w:t>
      </w:r>
      <w:r w:rsidR="00EE28AD" w:rsidRPr="002D7DB7">
        <w:rPr>
          <w:rFonts w:eastAsiaTheme="minorEastAsia" w:cstheme="minorBidi"/>
        </w:rPr>
        <w:t>վ</w:t>
      </w:r>
      <w:r w:rsidRPr="002D7DB7">
        <w:rPr>
          <w:rFonts w:eastAsiaTheme="minorEastAsia" w:cstheme="minorBidi"/>
        </w:rPr>
        <w:t xml:space="preserve">ելու են օրենսդրական բացերը և խոչընդոտները </w:t>
      </w:r>
      <w:r w:rsidR="00C83A53" w:rsidRPr="002D7DB7">
        <w:rPr>
          <w:rFonts w:eastAsiaTheme="minorEastAsia" w:cstheme="minorBidi"/>
        </w:rPr>
        <w:t>ՍՁ</w:t>
      </w:r>
      <w:r w:rsidRPr="002D7DB7">
        <w:rPr>
          <w:rFonts w:eastAsiaTheme="minorEastAsia" w:cstheme="minorBidi"/>
        </w:rPr>
        <w:t xml:space="preserve"> զարգացման համար։</w:t>
      </w:r>
    </w:p>
    <w:p w14:paraId="2959CECF" w14:textId="5EAEA129" w:rsidR="007636C2" w:rsidRPr="002D7DB7" w:rsidRDefault="5894FF83" w:rsidP="00FC60C0">
      <w:pPr>
        <w:pStyle w:val="Heading2"/>
        <w:spacing w:before="360" w:after="0" w:line="276" w:lineRule="auto"/>
      </w:pPr>
      <w:bookmarkStart w:id="16" w:name="_Toc17467298"/>
      <w:bookmarkStart w:id="17" w:name="_Toc47118494"/>
      <w:r w:rsidRPr="002D7DB7">
        <w:t>ՓՄՁ սուբյեկտների համար շուկաների հասանելիության ապահովում</w:t>
      </w:r>
      <w:bookmarkEnd w:id="16"/>
      <w:bookmarkEnd w:id="17"/>
    </w:p>
    <w:p w14:paraId="2959CED0" w14:textId="17EB5D58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Շուկաների հասանելիությունը թույլ է տալիս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>ին աճել՝ օգտագործելով իրենց առավելագույն կարողությունները, այսինքն բարձրացնելով արտադրողականությունը՝ հասնել մրցունակ և կայուն դիրքի։ Հաշվի առնելով, որ Հայաստանն ունի փոքր ներքին շուկա ուստի որպես քաղաքականության հիմնական առաջնահերթություն, կարևորվում է արտահանման հաշվին տնտեսական աճի ապահովումը:</w:t>
      </w:r>
    </w:p>
    <w:p w14:paraId="2959CED1" w14:textId="61F0CB1E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Անհրաժեշտ է նշել, որ ինչպես Հայաստանում, այնպես էլ աշխարհի շատ երկրներում</w:t>
      </w:r>
      <w:r w:rsidR="00EE28AD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արտահանման գործարքներում</w:t>
      </w:r>
      <w:r w:rsidR="00CC0CCE" w:rsidRPr="002D7DB7">
        <w:rPr>
          <w:rFonts w:eastAsiaTheme="minorEastAsia" w:cstheme="minorBidi"/>
        </w:rPr>
        <w:t xml:space="preserve"> ՓՄՁ-ներն</w:t>
      </w:r>
      <w:r w:rsidRPr="002D7DB7">
        <w:rPr>
          <w:rFonts w:eastAsiaTheme="minorEastAsia" w:cstheme="minorBidi"/>
        </w:rPr>
        <w:t xml:space="preserve"> ունեն թույլ դերակատարում, ինչը պայմանավորված է ՓՄՁ-ների</w:t>
      </w:r>
      <w:r w:rsidR="00CC0CCE" w:rsidRPr="002D7DB7">
        <w:rPr>
          <w:rFonts w:eastAsiaTheme="minorEastAsia" w:cstheme="minorBidi"/>
        </w:rPr>
        <w:t>ն բնորոշ</w:t>
      </w:r>
      <w:r w:rsidRPr="002D7DB7">
        <w:rPr>
          <w:rFonts w:eastAsiaTheme="minorEastAsia" w:cstheme="minorBidi"/>
        </w:rPr>
        <w:t xml:space="preserve"> մի շարք խնդիրներով, մասնավորապես՝</w:t>
      </w:r>
    </w:p>
    <w:p w14:paraId="2959CED2" w14:textId="2859F275" w:rsidR="0065556B" w:rsidRPr="002D7DB7" w:rsidRDefault="003B62A9" w:rsidP="00FC60C0">
      <w:pPr>
        <w:pStyle w:val="ListParagraph"/>
        <w:numPr>
          <w:ilvl w:val="0"/>
          <w:numId w:val="31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ա</w:t>
      </w:r>
      <w:r w:rsidR="5894FF83" w:rsidRPr="002D7DB7">
        <w:rPr>
          <w:rFonts w:cstheme="minorBidi"/>
          <w:sz w:val="24"/>
        </w:rPr>
        <w:t>րտաքին շուկաներում ՓՄՁ-ների արտադրանքի ցածր մրցունակությունը՝ որակի</w:t>
      </w:r>
      <w:r w:rsidR="00CC0CCE" w:rsidRPr="002D7DB7">
        <w:rPr>
          <w:rFonts w:cstheme="minorBidi"/>
          <w:sz w:val="24"/>
        </w:rPr>
        <w:t xml:space="preserve"> համապատասխան</w:t>
      </w:r>
      <w:r w:rsidR="5894FF83" w:rsidRPr="002D7DB7">
        <w:rPr>
          <w:rFonts w:cstheme="minorBidi"/>
          <w:sz w:val="24"/>
        </w:rPr>
        <w:t xml:space="preserve"> ստանդարտներին չբավարարելու պատճառով</w:t>
      </w:r>
    </w:p>
    <w:p w14:paraId="2959CED3" w14:textId="77777777" w:rsidR="0065556B" w:rsidRPr="002D7DB7" w:rsidRDefault="5894FF83" w:rsidP="00FC60C0">
      <w:pPr>
        <w:pStyle w:val="ListParagraph"/>
        <w:numPr>
          <w:ilvl w:val="0"/>
          <w:numId w:val="31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ՓՄՁ-ների համար արդյունավետ մարքեթինգի</w:t>
      </w:r>
      <w:r w:rsidR="003B62A9" w:rsidRPr="002D7DB7">
        <w:rPr>
          <w:rFonts w:cstheme="minorBidi"/>
          <w:sz w:val="24"/>
        </w:rPr>
        <w:t xml:space="preserve"> և լոգիստիկայի</w:t>
      </w:r>
      <w:r w:rsidRPr="002D7DB7">
        <w:rPr>
          <w:rFonts w:cstheme="minorBidi"/>
          <w:sz w:val="24"/>
        </w:rPr>
        <w:t xml:space="preserve"> իրագործման խնդիրներ </w:t>
      </w:r>
    </w:p>
    <w:p w14:paraId="2959CED4" w14:textId="77777777" w:rsidR="0065556B" w:rsidRPr="002D7DB7" w:rsidRDefault="003B62A9" w:rsidP="00FC60C0">
      <w:pPr>
        <w:pStyle w:val="ListParagraph"/>
        <w:numPr>
          <w:ilvl w:val="0"/>
          <w:numId w:val="31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ա</w:t>
      </w:r>
      <w:r w:rsidR="5894FF83" w:rsidRPr="002D7DB7">
        <w:rPr>
          <w:rFonts w:cstheme="minorBidi"/>
          <w:sz w:val="24"/>
        </w:rPr>
        <w:t>րտաքին շուկաների վերաբերյալ տեղեկատվության պակաս</w:t>
      </w:r>
    </w:p>
    <w:p w14:paraId="2959CED5" w14:textId="77777777" w:rsidR="0065556B" w:rsidRPr="002D7DB7" w:rsidRDefault="003B62A9" w:rsidP="00FC60C0">
      <w:pPr>
        <w:pStyle w:val="ListParagraph"/>
        <w:numPr>
          <w:ilvl w:val="0"/>
          <w:numId w:val="31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ա</w:t>
      </w:r>
      <w:r w:rsidR="5894FF83" w:rsidRPr="002D7DB7">
        <w:rPr>
          <w:rFonts w:cstheme="minorBidi"/>
          <w:sz w:val="24"/>
        </w:rPr>
        <w:t>րտաքին շուկաների համար ՓՄՁ-ների արտադրանքի ոչ բավարար ծավալ, կանոնավոր մատակարարումներ իրականացնելու դժվարություն</w:t>
      </w:r>
    </w:p>
    <w:p w14:paraId="2959CED6" w14:textId="43057A37" w:rsidR="00536720" w:rsidRPr="001C1FF2" w:rsidRDefault="00536720" w:rsidP="00BA1059">
      <w:pPr>
        <w:pStyle w:val="Caption"/>
        <w:spacing w:before="240"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6</w:t>
      </w:r>
      <w:r w:rsidR="00C07F77" w:rsidRPr="002D7DB7">
        <w:fldChar w:fldCharType="end"/>
      </w:r>
      <w:r w:rsidRPr="002D7DB7">
        <w:t xml:space="preserve"> ՓՄՁ-ների շուկաների հասանելիության ցուցանիշներ</w:t>
      </w:r>
    </w:p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3255"/>
        <w:gridCol w:w="2015"/>
        <w:gridCol w:w="1640"/>
        <w:gridCol w:w="960"/>
        <w:gridCol w:w="1360"/>
        <w:gridCol w:w="1470"/>
      </w:tblGrid>
      <w:tr w:rsidR="007B3F5F" w:rsidRPr="007B3F5F" w14:paraId="7831DCC6" w14:textId="77777777" w:rsidTr="00C226E1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112C41F" w14:textId="77777777" w:rsidR="007B3F5F" w:rsidRPr="007B3F5F" w:rsidRDefault="007B3F5F" w:rsidP="007B3F5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B3F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Շուկաների</w:t>
            </w:r>
            <w:proofErr w:type="spellEnd"/>
            <w:r w:rsidRPr="007B3F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3F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հասանելիություն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7FA9F52" w14:textId="77777777" w:rsidR="007B3F5F" w:rsidRPr="007B3F5F" w:rsidRDefault="007B3F5F" w:rsidP="007B3F5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B3F5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4BEE043" w14:textId="77777777" w:rsidR="007B3F5F" w:rsidRPr="007B3F5F" w:rsidRDefault="007B3F5F" w:rsidP="007B3F5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B3F5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AE2B27" w14:textId="77777777" w:rsidR="007B3F5F" w:rsidRPr="007B3F5F" w:rsidRDefault="007B3F5F" w:rsidP="007B3F5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B3F5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9BA5594" w14:textId="77777777" w:rsidR="007B3F5F" w:rsidRPr="007B3F5F" w:rsidRDefault="007B3F5F" w:rsidP="007B3F5F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B3F5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71E383" w14:textId="77777777" w:rsidR="007B3F5F" w:rsidRPr="007B3F5F" w:rsidRDefault="007B3F5F" w:rsidP="007B3F5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3F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7B3F5F" w:rsidRPr="00F0061D" w14:paraId="6ED37872" w14:textId="77777777" w:rsidTr="00C226E1">
        <w:trPr>
          <w:trHeight w:val="6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BEF7D02" w14:textId="77777777" w:rsidR="007B3F5F" w:rsidRPr="00F0061D" w:rsidRDefault="007B3F5F" w:rsidP="007B3F5F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D9B90EB" w14:textId="77777777" w:rsidR="007B3F5F" w:rsidRPr="00F0061D" w:rsidRDefault="007B3F5F" w:rsidP="007B3F5F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Ուղղություն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4133D04" w14:textId="77777777" w:rsidR="007B3F5F" w:rsidRPr="00F0061D" w:rsidRDefault="007B3F5F" w:rsidP="007B3F5F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Երկրների</w:t>
            </w:r>
            <w:proofErr w:type="spellEnd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118C4C1" w14:textId="77777777" w:rsidR="007B3F5F" w:rsidRPr="00F0061D" w:rsidRDefault="007B3F5F" w:rsidP="007B3F5F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E40F528" w14:textId="77777777" w:rsidR="007B3F5F" w:rsidRPr="00F0061D" w:rsidRDefault="007B3F5F" w:rsidP="007B3F5F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D09DF97" w14:textId="77777777" w:rsidR="007B3F5F" w:rsidRPr="00F0061D" w:rsidRDefault="007B3F5F" w:rsidP="007B3F5F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Թիրախային</w:t>
            </w:r>
            <w:proofErr w:type="spellEnd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61D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</w:tr>
      <w:tr w:rsidR="007B3F5F" w:rsidRPr="00F0061D" w14:paraId="09CA2265" w14:textId="77777777" w:rsidTr="00C226E1">
        <w:trPr>
          <w:trHeight w:val="3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B064" w14:textId="25AFEFB4" w:rsidR="007B3F5F" w:rsidRPr="00F0061D" w:rsidRDefault="00A755CA" w:rsidP="007B3F5F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SME Policy Index 2020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34A" w14:textId="77777777" w:rsidR="007B3F5F" w:rsidRPr="00F0061D" w:rsidRDefault="007B3F5F" w:rsidP="007B3F5F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</w:t>
            </w:r>
            <w:r w:rsidRPr="00F0061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F0061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միջազգայնացում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1E2" w14:textId="77777777" w:rsidR="007B3F5F" w:rsidRPr="00F0061D" w:rsidRDefault="007B3F5F" w:rsidP="007B3F5F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A731" w14:textId="77777777" w:rsidR="007B3F5F" w:rsidRPr="00F0061D" w:rsidRDefault="007B3F5F" w:rsidP="007B3F5F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F58" w14:textId="77777777" w:rsidR="007B3F5F" w:rsidRPr="00F0061D" w:rsidRDefault="007B3F5F" w:rsidP="007B3F5F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3D1" w14:textId="77777777" w:rsidR="007B3F5F" w:rsidRPr="00F0061D" w:rsidRDefault="007B3F5F" w:rsidP="007B3F5F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0061D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</w:tr>
    </w:tbl>
    <w:p w14:paraId="2959CEE3" w14:textId="77777777" w:rsidR="00A5551A" w:rsidRPr="002D7DB7" w:rsidRDefault="00A5551A" w:rsidP="00FC60C0">
      <w:pPr>
        <w:pStyle w:val="ListParagraph"/>
        <w:spacing w:line="276" w:lineRule="auto"/>
        <w:ind w:left="1296" w:firstLine="0"/>
        <w:rPr>
          <w:sz w:val="24"/>
        </w:rPr>
      </w:pPr>
    </w:p>
    <w:p w14:paraId="2959CEE4" w14:textId="572E6240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lastRenderedPageBreak/>
        <w:t>Առաջնահերթ գործողություն 1։</w:t>
      </w:r>
      <w:r w:rsidR="00CC0CCE" w:rsidRPr="002D7DB7">
        <w:t xml:space="preserve"> Շարունակական աջակցությու</w:t>
      </w:r>
      <w:r w:rsidR="00FF6FFC">
        <w:t>ն</w:t>
      </w:r>
      <w:r w:rsidR="00CC0CCE" w:rsidRPr="002D7DB7">
        <w:t xml:space="preserve"> </w:t>
      </w:r>
      <w:r w:rsidRPr="002D7DB7">
        <w:t xml:space="preserve">ՓՄՁ-ներին նոր շուկաներ մուտք գործելիս </w:t>
      </w:r>
    </w:p>
    <w:p w14:paraId="2959CEE5" w14:textId="4F97F9ED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մտադիր է բարձրացնել ՓՄՁ-ների համար արտահանման և ներմուծման ընթացակարգերի վերաբերյալ տեղեկատվության հասանելիությունը և մատչելիությունը, ինչպես նաև իրականացնել արտաքին շուկաներում առկա հնարավորությունների (գործող առևտրային ռեժիմների և շուկաների վերաբերյալ </w:t>
      </w:r>
      <w:r w:rsidR="00186D1D" w:rsidRPr="002D7DB7">
        <w:rPr>
          <w:rFonts w:eastAsiaTheme="minorEastAsia" w:cstheme="minorBidi"/>
        </w:rPr>
        <w:t>տեղեկատվություն</w:t>
      </w:r>
      <w:r w:rsidRPr="002D7DB7">
        <w:rPr>
          <w:rFonts w:eastAsiaTheme="minorEastAsia" w:cstheme="minorBidi"/>
        </w:rPr>
        <w:t>) և ռիսկերի վերաբերյալ ՓՄՁ շրջանում տեղեկատվության տարածման աշխատանքներ։</w:t>
      </w:r>
    </w:p>
    <w:p w14:paraId="2959CEE7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2։ Արտաքին շուկաներում ՓՄՁ-ների տեսանելիության բարձրացում՝ առևտրի և ներդրումների խթանման նպատակով</w:t>
      </w:r>
    </w:p>
    <w:p w14:paraId="2959CEE8" w14:textId="6189B73E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ՀՀ կառավարությունը ուղղակիորեն աջակցելու է հայկական ՓՄՁ-ների արտաքին շուկաներում </w:t>
      </w:r>
      <w:r w:rsidR="004263F4" w:rsidRPr="002D7DB7">
        <w:rPr>
          <w:rFonts w:eastAsiaTheme="minorEastAsia" w:cstheme="minorBidi"/>
        </w:rPr>
        <w:t>ներկայացվածության</w:t>
      </w:r>
      <w:r w:rsidR="00146665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բարձրացմանը։ Այս նպատակով, բացի արդեն գործող աջակցության գործիքներից, այն է</w:t>
      </w:r>
      <w:r w:rsidR="00AE4FC0" w:rsidRPr="002D7DB7">
        <w:rPr>
          <w:rFonts w:eastAsiaTheme="minorEastAsia" w:cstheme="minorBidi"/>
        </w:rPr>
        <w:t>՝</w:t>
      </w:r>
      <w:r w:rsidRPr="002D7DB7">
        <w:rPr>
          <w:rFonts w:eastAsiaTheme="minorEastAsia" w:cstheme="minorBidi"/>
        </w:rPr>
        <w:t xml:space="preserve"> աջակցություն ցուցահանդեսներին և գործարար համաժողովներին մասնակցությանը, կառավարությունը մտադիր է մասնավոր հատվածի հետ քննարկել գործիքակազմի, ինչպես նաև դրա ավելի նպատակային թիրախավորման հնարավորությունները և մշակել համապատասխան գործողությունների ծրագիր։</w:t>
      </w:r>
    </w:p>
    <w:p w14:paraId="7B47A175" w14:textId="0C8A9EAF" w:rsidR="00AD6B6F" w:rsidRPr="002D7DB7" w:rsidRDefault="00AD6B6F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լայնորեն աջակցելու է </w:t>
      </w:r>
      <w:r w:rsidR="00320E74" w:rsidRPr="002D7DB7">
        <w:rPr>
          <w:rFonts w:eastAsiaTheme="minorEastAsia" w:cstheme="minorBidi"/>
        </w:rPr>
        <w:t xml:space="preserve">ՓՄՁ-ների </w:t>
      </w:r>
      <w:r w:rsidRPr="002D7DB7">
        <w:rPr>
          <w:rFonts w:eastAsiaTheme="minorEastAsia" w:cstheme="minorBidi"/>
        </w:rPr>
        <w:t xml:space="preserve">թվային ներկայացվածությանը  </w:t>
      </w:r>
      <w:r w:rsidR="00320E74" w:rsidRPr="002D7DB7">
        <w:rPr>
          <w:rFonts w:eastAsiaTheme="minorEastAsia" w:cstheme="minorBidi"/>
        </w:rPr>
        <w:t>առևտրային հարթակներում։</w:t>
      </w:r>
    </w:p>
    <w:p w14:paraId="2959CEE9" w14:textId="6817647F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3։ Թիրախային շուկաների</w:t>
      </w:r>
      <w:r w:rsidR="009572E5" w:rsidRPr="002D7DB7">
        <w:t xml:space="preserve"> բացահայտման և</w:t>
      </w:r>
      <w:r w:rsidRPr="002D7DB7">
        <w:t xml:space="preserve"> պահանջների</w:t>
      </w:r>
      <w:r w:rsidR="00C743A3" w:rsidRPr="002D7DB7">
        <w:t>ն</w:t>
      </w:r>
      <w:r w:rsidRPr="002D7DB7">
        <w:t xml:space="preserve"> համապատասխանեցման գործընթացի աջակցություն </w:t>
      </w:r>
    </w:p>
    <w:p w14:paraId="2959CEEA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աջակցել հայկական ՓՄՁ-ներին արտաքին շուկաներում առկա պահանջները հատկորոշելու և դրանց համապատասխանությունը ապահովելու և ապացուցելու գործում։ Այս առումով կառավարությունը մշակելու է համապատասխան գործիքների և քայլերի փաթեթ, որը կներկայացնի մասնավոր հատվածի քննարկմանը։</w:t>
      </w:r>
    </w:p>
    <w:p w14:paraId="2959CEEB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4։ Լոգիստիկ/պահեստային տնտեսությունների կայացում</w:t>
      </w:r>
    </w:p>
    <w:p w14:paraId="2959CEEC" w14:textId="1B2AA0F8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մտադիր է մշակել գործիքակազմ, որը կաջակցի ՀՀ-ում ՓՄՁ-ներին լոգիստիկ, պահեստային և այլ հարակից ծառայություններ մատուցող լոգիստիկ/արտահանման</w:t>
      </w:r>
      <w:r w:rsidR="00DE1AD9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կենտրոնների կայացմանը։</w:t>
      </w:r>
    </w:p>
    <w:p w14:paraId="2959CEED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5։ Էլեկտրոնային առևտրի ընդլայնման համար նպաստավոր միջավայրի ձևավորում</w:t>
      </w:r>
    </w:p>
    <w:p w14:paraId="2959CEEE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Այս գործողության շրջանակներում կառավարությունը մտադիր </w:t>
      </w:r>
      <w:r w:rsidR="00D67743" w:rsidRPr="002D7DB7">
        <w:rPr>
          <w:rFonts w:eastAsiaTheme="minorEastAsia" w:cstheme="minorBidi"/>
        </w:rPr>
        <w:t xml:space="preserve">է </w:t>
      </w:r>
      <w:r w:rsidRPr="002D7DB7">
        <w:rPr>
          <w:rFonts w:eastAsiaTheme="minorEastAsia" w:cstheme="minorBidi"/>
        </w:rPr>
        <w:t xml:space="preserve">ուսումնասիրել վճարային համակարգերի և փոստային ծառայությունների շուկան, անհրաժեշտության դեպքում մշակել ինստիտուցիոնալ և օրենսդրական բարեփոխումների օրակարգ։ Ի լրումն մշակվելու է ձեռնարկ համաշխարհային և տարածաշրջանային էլեկտրոնային հարթակներում արտադրանքի վաճառքի բոլոր փուլերի վերաբերյալ, ինչպես նաև խթանվելու է մարզերում գործող ՓՄՁ-ների արտադրանքի էլեկտրոնային վաճառքը հանրապետության տարածքում։ </w:t>
      </w:r>
    </w:p>
    <w:p w14:paraId="2959CEEF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6։ Խթանել ՓՄՁ-ների մասնակցությունը պետական գնումներին</w:t>
      </w:r>
    </w:p>
    <w:p w14:paraId="2959CEF0" w14:textId="647759CA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մտադիր է բարձրացնել պետական գնումների և դրանց ընթացակարգերի վերաբերյալ տեղեկատվության մատչելիությունը ՓՄՁ-ի համար և դիտարկել </w:t>
      </w:r>
      <w:r w:rsidRPr="002D7DB7">
        <w:rPr>
          <w:rFonts w:eastAsiaTheme="minorEastAsia" w:cstheme="minorBidi"/>
        </w:rPr>
        <w:lastRenderedPageBreak/>
        <w:t>ՓՄՁ-ի համար վարչական խոչընդոտների վերացման հնարավորությունը</w:t>
      </w:r>
      <w:r w:rsidR="007E313D" w:rsidRPr="002D7DB7">
        <w:rPr>
          <w:rFonts w:eastAsiaTheme="minorEastAsia" w:cstheme="minorBidi"/>
        </w:rPr>
        <w:t>, ինչպես նաև վեր հանել ԵԱՏՄ անդամ երկրների պետական գնումներին հայկական ընկերությունների մասնակցության հնարավորությունները</w:t>
      </w:r>
      <w:r w:rsidRPr="002D7DB7">
        <w:rPr>
          <w:rFonts w:eastAsiaTheme="minorEastAsia" w:cstheme="minorBidi"/>
        </w:rPr>
        <w:t>։</w:t>
      </w:r>
    </w:p>
    <w:p w14:paraId="2959CEF1" w14:textId="3A5BBB33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7: Նպաստել ՓՄՁ-ների ինտեգրմանը խոշոր </w:t>
      </w:r>
      <w:r w:rsidR="001C1FF2">
        <w:t>կազմակերպություններ</w:t>
      </w:r>
      <w:r w:rsidRPr="002D7DB7">
        <w:t>ի արժեքի շղթայում</w:t>
      </w:r>
    </w:p>
    <w:p w14:paraId="01650CCD" w14:textId="0916C633" w:rsidR="00BF353C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Զարգացած տնտեսություններում աճի և զարգացման անհրաժեշտ նախապայման է ՓՄՁ-ների ընդգրկումը խոշոր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 xml:space="preserve">ի արժեքային շղթաներում։ </w:t>
      </w:r>
      <w:r w:rsidR="00BF353C" w:rsidRPr="002D7DB7">
        <w:rPr>
          <w:rFonts w:eastAsiaTheme="minorEastAsia" w:cstheme="minorBidi"/>
        </w:rPr>
        <w:t>Ուսումնասիրվելու են խոշոր և փոքր ընկերությունների համագործակցության խոչընդոտները և մշակվելու է բարեփոխումների օրակարգ։</w:t>
      </w:r>
    </w:p>
    <w:p w14:paraId="2959CEF4" w14:textId="67C60544" w:rsidR="00BD6C23" w:rsidRPr="002D7DB7" w:rsidRDefault="5894FF83" w:rsidP="00FC60C0">
      <w:pPr>
        <w:spacing w:after="0" w:line="276" w:lineRule="auto"/>
      </w:pPr>
      <w:r w:rsidRPr="002D7DB7">
        <w:rPr>
          <w:rFonts w:eastAsiaTheme="minorEastAsia" w:cstheme="minorBidi"/>
        </w:rPr>
        <w:t xml:space="preserve">Կառավարությունը նպատակ ունի կապող օղակ հանդիսանալ խոշոր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>ի, արտահանողների և տեղական ՓՄՁ-ներ համագործակցության կայացման համար։ ՓՄՁ-ներին</w:t>
      </w:r>
      <w:r w:rsidR="00623DA7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պետք է ցուցաբերվի աջակցություն խոշոր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 xml:space="preserve">ի պահանջները հասկանալու և շուկայում տեսանելիության բարձրացման հարցում։ Ավելին, անհրաժեշտ է խրախուսել ՓՄՁ-ների միավորումը, քանի որ նրանց </w:t>
      </w:r>
      <w:r w:rsidR="00B701E4" w:rsidRPr="002D7DB7">
        <w:rPr>
          <w:rFonts w:eastAsiaTheme="minorEastAsia" w:cstheme="minorBidi"/>
        </w:rPr>
        <w:t>առանձնացված</w:t>
      </w:r>
      <w:r w:rsidR="00A32F94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կարողությունները կարող են բավարար չլինել մեծ շուկաներում անհատական գործունեության համար:</w:t>
      </w:r>
      <w:r w:rsidR="004A2B9C" w:rsidRPr="002D7DB7">
        <w:rPr>
          <w:rFonts w:eastAsiaTheme="minorEastAsia" w:cstheme="minorBidi"/>
        </w:rPr>
        <w:t xml:space="preserve"> </w:t>
      </w:r>
    </w:p>
    <w:p w14:paraId="5F36D4FF" w14:textId="7203DA72" w:rsidR="00631607" w:rsidRPr="002D7DB7" w:rsidRDefault="00631607" w:rsidP="00FC60C0">
      <w:pPr>
        <w:pStyle w:val="Heading2"/>
        <w:spacing w:after="0" w:line="276" w:lineRule="auto"/>
      </w:pPr>
      <w:bookmarkStart w:id="18" w:name="_Toc17467299"/>
      <w:bookmarkStart w:id="19" w:name="_Toc47118495"/>
      <w:r w:rsidRPr="002D7DB7">
        <w:t>ՓՄՁ զարգացման համար ինստիտուցիոնալ և իրավական բարենպաստ միջավայրի ապահովում</w:t>
      </w:r>
      <w:bookmarkEnd w:id="18"/>
      <w:bookmarkEnd w:id="19"/>
      <w:r w:rsidRPr="002D7DB7">
        <w:tab/>
      </w:r>
      <w:r w:rsidRPr="002D7DB7">
        <w:tab/>
      </w:r>
      <w:r w:rsidRPr="002D7DB7">
        <w:tab/>
      </w:r>
      <w:r w:rsidRPr="002D7DB7">
        <w:tab/>
      </w:r>
      <w:r w:rsidRPr="002D7DB7">
        <w:tab/>
      </w:r>
    </w:p>
    <w:p w14:paraId="2959CEF5" w14:textId="47ECB70A" w:rsidR="0065556B" w:rsidRPr="002D7DB7" w:rsidRDefault="5894FF83" w:rsidP="00FC60C0">
      <w:pPr>
        <w:spacing w:after="0" w:line="276" w:lineRule="auto"/>
        <w:rPr>
          <w:rFonts w:eastAsiaTheme="minorEastAsia" w:cstheme="minorBidi"/>
          <w:u w:val="single"/>
        </w:rPr>
      </w:pPr>
      <w:r w:rsidRPr="002D7DB7">
        <w:rPr>
          <w:rFonts w:eastAsiaTheme="minorEastAsia" w:cstheme="minorBidi"/>
          <w:u w:val="single"/>
        </w:rPr>
        <w:t>Ինստիտուցիոնալ բարենպաստ միջավայրի ապահովում</w:t>
      </w:r>
    </w:p>
    <w:p w14:paraId="2959CEF6" w14:textId="0C351F8A" w:rsidR="0065556B" w:rsidRPr="002D7DB7" w:rsidRDefault="0065556B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ՀՀ կառավարությունը նախատեսում է ՓՄՁ զարգացմանը նպաստող էկոհամակարգի բարելավման ուղղությամբ իրականացնել համապարփակ միջոցառումներ՝ հիմքում դնելով պետական, մասնավոր և միջազգային կազմակերպությունների կամ ծրագրերի շրջանակներում ՓՄՁ աջակցությանն ուղղված ծրագրեր իրականացնող կառույցների աշխատանքի ներդաշնակեցումը: Կառավարությունը կնպաստի պետական, այդ թվում` տարածքային մակարդակում գործող</w:t>
      </w:r>
      <w:r w:rsidR="004772B6" w:rsidRPr="002D7DB7">
        <w:rPr>
          <w:rFonts w:eastAsiaTheme="minorEastAsia" w:cstheme="minorBidi"/>
        </w:rPr>
        <w:t>,</w:t>
      </w:r>
      <w:r w:rsidRPr="002D7DB7">
        <w:rPr>
          <w:rFonts w:eastAsiaTheme="minorEastAsia" w:cstheme="minorBidi"/>
        </w:rPr>
        <w:t xml:space="preserve"> կառույցների կարողությունների զարգացմանը, գործառույթների և դրանց կողմից առաջարկվող պրոդուկտների դիվերսիֆիկացմանը, հատկապես այն ոլորտներում, որոնք</w:t>
      </w:r>
      <w:r w:rsidR="00C92754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 xml:space="preserve">պահանջված են ՓՄՁ-ների կողմից, սակայն չեն իրականացվում կամ իրականացվում են մասամբ՝ մասնավոր և/կամ միջազգային կառույցների կողմից: </w:t>
      </w:r>
    </w:p>
    <w:p w14:paraId="2959CEF7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Պրոդուկտների/ծառայությունների մշակման ընթացքում հիմնական սկզբունքները կլինեն դրանց հասանելիությունը ՓՄՁ-ների լայն շրջանակներին, հատկապես մարզերում, հիմնականում ծառայությունների թվայնացման հաշվին՝ պահելով շահառուների հետ շարունակական արդյունավետ երկխոսություն: </w:t>
      </w:r>
    </w:p>
    <w:p w14:paraId="2959CEF8" w14:textId="4ACA343F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Նպատակ ունենալով խրախուսել երկրի բնակչության ստեղծարար կարողությունների ներդրումը նորաստեղծ </w:t>
      </w:r>
      <w:r w:rsidR="001C1FF2">
        <w:rPr>
          <w:rFonts w:eastAsiaTheme="minorEastAsia" w:cstheme="minorBidi"/>
        </w:rPr>
        <w:t>կազմակերպություններ</w:t>
      </w:r>
      <w:r w:rsidRPr="002D7DB7">
        <w:rPr>
          <w:rFonts w:eastAsiaTheme="minorEastAsia" w:cstheme="minorBidi"/>
        </w:rPr>
        <w:t xml:space="preserve">ում՝ կառավարությունը ներդնելու է «մեկ պատուհան» ընթացակարգը, որը կմիավորի խորհրդատվական, ֆինանսական, ինչպես նաև մենթորների ծառայությունները։ </w:t>
      </w:r>
    </w:p>
    <w:p w14:paraId="2959CEF9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Առանձնահատուկ ուշադրություն կդարձվի վիճակագրական տվյալների որակի և մատչելիության բարձրացմանը՝ հաշվի առնելով դրանց կարևորությունը ինչպես </w:t>
      </w:r>
      <w:r w:rsidRPr="002D7DB7">
        <w:rPr>
          <w:rFonts w:eastAsiaTheme="minorEastAsia" w:cstheme="minorBidi"/>
        </w:rPr>
        <w:lastRenderedPageBreak/>
        <w:t xml:space="preserve">կառավարության համար արդյունավետ քաղաքականության մշակման, այնպես էլ ՓՄՁ-ների համար՝ իրենց գործունեությանն առնչվող որոշումներ կայացնելու տեսանկյուններից: </w:t>
      </w:r>
    </w:p>
    <w:p w14:paraId="2959CEFA" w14:textId="01EF1D7B" w:rsidR="00536720" w:rsidRPr="001C1FF2" w:rsidRDefault="00536720" w:rsidP="00BA1059">
      <w:pPr>
        <w:pStyle w:val="Caption"/>
        <w:spacing w:before="240"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7</w:t>
      </w:r>
      <w:r w:rsidR="00C07F77" w:rsidRPr="002D7DB7">
        <w:fldChar w:fldCharType="end"/>
      </w:r>
      <w:r w:rsidRPr="002D7DB7">
        <w:t xml:space="preserve"> Ինստիտուցիոնալ և իրավական բարենպաստ միջավայրի ցուցիչների համակարգ</w:t>
      </w:r>
    </w:p>
    <w:tbl>
      <w:tblPr>
        <w:tblW w:w="10805" w:type="dxa"/>
        <w:tblInd w:w="93" w:type="dxa"/>
        <w:tblLook w:val="04A0" w:firstRow="1" w:lastRow="0" w:firstColumn="1" w:lastColumn="0" w:noHBand="0" w:noVBand="1"/>
      </w:tblPr>
      <w:tblGrid>
        <w:gridCol w:w="1976"/>
        <w:gridCol w:w="3211"/>
        <w:gridCol w:w="1640"/>
        <w:gridCol w:w="960"/>
        <w:gridCol w:w="1450"/>
        <w:gridCol w:w="1568"/>
      </w:tblGrid>
      <w:tr w:rsidR="00E30F30" w:rsidRPr="009D0145" w14:paraId="520BDD84" w14:textId="77777777" w:rsidTr="00E30F30">
        <w:trPr>
          <w:trHeight w:val="485"/>
        </w:trPr>
        <w:tc>
          <w:tcPr>
            <w:tcW w:w="10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5F062D1" w14:textId="297C1DF9" w:rsidR="00E30F30" w:rsidRPr="008E517A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Ինստիտուցի</w:t>
            </w:r>
            <w:proofErr w:type="spellEnd"/>
            <w:r w:rsidR="00FF6FFC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ո</w:t>
            </w:r>
            <w:proofErr w:type="spellStart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նալ</w:t>
            </w:r>
            <w:proofErr w:type="spellEnd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օրենսդրական</w:t>
            </w:r>
            <w:proofErr w:type="spellEnd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51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միջավայր</w:t>
            </w:r>
            <w:proofErr w:type="spellEnd"/>
            <w:r w:rsidRPr="008E517A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30F30" w:rsidRPr="009D0145" w14:paraId="6F58031B" w14:textId="77777777" w:rsidTr="00E30F30">
        <w:trPr>
          <w:trHeight w:val="6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C3DF8E1" w14:textId="77777777" w:rsidR="00E30F30" w:rsidRPr="009D0145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081A71A" w14:textId="77777777" w:rsidR="00E30F30" w:rsidRPr="009D0145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Ուղղություն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8F488B4" w14:textId="77777777" w:rsidR="00E30F30" w:rsidRPr="009D0145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Երկրների</w:t>
            </w:r>
            <w:proofErr w:type="spellEnd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82D4FB0" w14:textId="77777777" w:rsidR="00E30F30" w:rsidRPr="009D0145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D56D4CD" w14:textId="77777777" w:rsidR="00E30F30" w:rsidRPr="009D0145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72E895A" w14:textId="77777777" w:rsidR="00E30F30" w:rsidRPr="009D0145" w:rsidRDefault="00E30F30" w:rsidP="00E30F3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Թիրախային</w:t>
            </w:r>
            <w:proofErr w:type="spellEnd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014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միավոր</w:t>
            </w:r>
            <w:proofErr w:type="spellEnd"/>
          </w:p>
        </w:tc>
      </w:tr>
      <w:tr w:rsidR="00E30F30" w:rsidRPr="009D0145" w14:paraId="4C3381C9" w14:textId="77777777" w:rsidTr="00E30F30">
        <w:trPr>
          <w:trHeight w:val="51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29B" w14:textId="698BA3AE" w:rsidR="00E30F30" w:rsidRPr="009D0145" w:rsidRDefault="00A755CA" w:rsidP="00E30F30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SME Policy Index 2020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7816" w14:textId="77777777" w:rsidR="00E30F30" w:rsidRPr="009D0145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Սնանկություն</w:t>
            </w:r>
            <w:proofErr w:type="spellEnd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երկրորդ</w:t>
            </w:r>
            <w:proofErr w:type="spellEnd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հնարավորություն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B2D" w14:textId="77777777" w:rsidR="00E30F30" w:rsidRPr="009D0145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641" w14:textId="77777777" w:rsidR="00E30F30" w:rsidRPr="009D0145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DB56" w14:textId="77777777" w:rsidR="00E30F30" w:rsidRPr="009D0145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645" w14:textId="77777777" w:rsidR="00E30F30" w:rsidRPr="009D0145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9D01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</w:tr>
      <w:tr w:rsidR="00E30F30" w:rsidRPr="00404ACF" w14:paraId="02BD3EA3" w14:textId="77777777" w:rsidTr="00E30F30">
        <w:trPr>
          <w:trHeight w:val="765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B5C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579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</w:t>
            </w:r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մշակման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ինստիտուցիոնալ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կարգավորման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շրջանակ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94F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30A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7F9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DEA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E30F30" w:rsidRPr="00404ACF" w14:paraId="67350857" w14:textId="77777777" w:rsidTr="00E30F30">
        <w:trPr>
          <w:trHeight w:val="51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93A9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6D4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Գործարար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միջավայր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</w:t>
            </w:r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19E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9D9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E8FD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ED4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E30F30" w:rsidRPr="00404ACF" w14:paraId="3F4CFA7E" w14:textId="77777777" w:rsidTr="00E30F30">
        <w:trPr>
          <w:trHeight w:val="36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DCD3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814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Աջակցության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A05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3F1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523E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1BA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E30F30" w:rsidRPr="00404ACF" w14:paraId="4E88EC4D" w14:textId="77777777" w:rsidTr="00E30F30">
        <w:trPr>
          <w:trHeight w:val="36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7929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504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գնումներ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9FD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051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B38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3.61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1C5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E30F30" w:rsidRPr="00404ACF" w14:paraId="3C886FA6" w14:textId="77777777" w:rsidTr="00E30F30">
        <w:trPr>
          <w:trHeight w:val="51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4D8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3F1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Ստանդարտներ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և</w:t>
            </w:r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տեխնիկական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կարգավորումներ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FF6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EA10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C68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E64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</w:tr>
      <w:tr w:rsidR="00E30F30" w:rsidRPr="00404ACF" w14:paraId="15116219" w14:textId="77777777" w:rsidTr="00E30F30">
        <w:trPr>
          <w:trHeight w:val="51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DBE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515" w14:textId="77777777" w:rsidR="00E30F30" w:rsidRPr="00404ACF" w:rsidRDefault="00E30F30" w:rsidP="00E30F30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</w:t>
            </w:r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ները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4AC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կանաչ</w:t>
            </w:r>
            <w:proofErr w:type="spellEnd"/>
            <w:r w:rsidRPr="00404AC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տնտեսության</w:t>
            </w:r>
            <w:proofErr w:type="spellEnd"/>
            <w:r w:rsidRPr="00404AC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մեջ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7F0D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6F2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A7DC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382" w14:textId="77777777" w:rsidR="00E30F30" w:rsidRPr="00404ACF" w:rsidRDefault="00E30F30" w:rsidP="00E30F30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04A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</w:tbl>
    <w:p w14:paraId="2959CF31" w14:textId="77777777" w:rsidR="00A5551A" w:rsidRPr="002D7DB7" w:rsidRDefault="00A5551A" w:rsidP="00FC60C0">
      <w:pPr>
        <w:spacing w:after="0" w:line="276" w:lineRule="auto"/>
        <w:rPr>
          <w:rFonts w:eastAsiaTheme="minorEastAsia" w:cstheme="minorBidi"/>
        </w:rPr>
      </w:pPr>
    </w:p>
    <w:p w14:paraId="2959CF32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  <w:rPr>
          <w:rFonts w:eastAsiaTheme="minorEastAsia" w:cstheme="minorBidi"/>
        </w:rPr>
      </w:pPr>
      <w:r w:rsidRPr="002D7DB7">
        <w:t>Առաջնահերթ գործողություն 1։ Մասնավոր-պետություն երկխոսության մեխանիզմների կայացում և կիրառություն</w:t>
      </w:r>
      <w:r w:rsidRPr="002D7DB7">
        <w:rPr>
          <w:rFonts w:eastAsiaTheme="minorEastAsia" w:cstheme="minorBidi"/>
        </w:rPr>
        <w:t>։</w:t>
      </w:r>
    </w:p>
    <w:p w14:paraId="2959CF33" w14:textId="39EDBA03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մտադիր է կայացնել մասնավոր-պետություն երկխոսության մի շարք մեխանիզմներ, որոնց թվին է դասվելու ՓՄՁ խորհրդի նոր աշխատակարգը, </w:t>
      </w:r>
      <w:r w:rsidR="00100D8E" w:rsidRPr="002D7DB7">
        <w:rPr>
          <w:rFonts w:eastAsiaTheme="minorEastAsia" w:cstheme="minorBidi"/>
        </w:rPr>
        <w:t>առցանց</w:t>
      </w:r>
      <w:r w:rsidRPr="002D7DB7">
        <w:rPr>
          <w:rFonts w:eastAsiaTheme="minorEastAsia" w:cstheme="minorBidi"/>
        </w:rPr>
        <w:t xml:space="preserve"> հարթակները։ Կառավարությունը մտադիր է նաև մասնավոր հատվածի հետ քննարկել հնարավոր այլ մեթոդներով հետադարձ կապի հաստատումը և մշակել համապատասխան լուծումների փաթեթ։</w:t>
      </w:r>
      <w:r w:rsidR="001F3C3E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Արդյունքում ՓՄՁ-ին առնչվող պետական քաղաքականությունը կիրագործի</w:t>
      </w:r>
      <w:r w:rsidR="00977F89" w:rsidRPr="002D7DB7">
        <w:rPr>
          <w:rFonts w:eastAsiaTheme="minorEastAsia" w:cstheme="minorBidi"/>
        </w:rPr>
        <w:t xml:space="preserve"> «Սկզբից </w:t>
      </w:r>
      <w:r w:rsidR="00A0466F" w:rsidRPr="002D7DB7">
        <w:rPr>
          <w:rFonts w:eastAsiaTheme="minorEastAsia" w:cstheme="minorBidi"/>
        </w:rPr>
        <w:t>մ</w:t>
      </w:r>
      <w:r w:rsidR="00977F89" w:rsidRPr="002D7DB7">
        <w:rPr>
          <w:rFonts w:eastAsiaTheme="minorEastAsia" w:cstheme="minorBidi"/>
        </w:rPr>
        <w:t>տածիր</w:t>
      </w:r>
      <w:r w:rsidR="00A0466F" w:rsidRPr="002D7DB7">
        <w:rPr>
          <w:rFonts w:eastAsiaTheme="minorEastAsia" w:cstheme="minorBidi"/>
        </w:rPr>
        <w:t xml:space="preserve"> փոքրի մասին»</w:t>
      </w:r>
      <w:r w:rsidR="00977F89" w:rsidRPr="002D7DB7">
        <w:rPr>
          <w:rFonts w:eastAsiaTheme="minorEastAsia" w:cstheme="minorBidi"/>
        </w:rPr>
        <w:t xml:space="preserve"> </w:t>
      </w:r>
      <w:r w:rsidR="00A0466F" w:rsidRPr="002D7DB7">
        <w:rPr>
          <w:rFonts w:eastAsiaTheme="minorEastAsia" w:cstheme="minorBidi"/>
        </w:rPr>
        <w:t>(</w:t>
      </w:r>
      <w:r w:rsidRPr="002D7DB7">
        <w:rPr>
          <w:rFonts w:eastAsiaTheme="minorEastAsia" w:cstheme="minorBidi"/>
        </w:rPr>
        <w:t>«Think Small First»</w:t>
      </w:r>
      <w:r w:rsidR="00A0466F" w:rsidRPr="002D7DB7">
        <w:rPr>
          <w:rFonts w:eastAsiaTheme="minorEastAsia" w:cstheme="minorBidi"/>
        </w:rPr>
        <w:t>)</w:t>
      </w:r>
      <w:r w:rsidRPr="002D7DB7">
        <w:rPr>
          <w:rFonts w:eastAsiaTheme="minorEastAsia" w:cstheme="minorBidi"/>
        </w:rPr>
        <w:t xml:space="preserve"> սկզբունքը։ Այս գործողության իրականացման ճանապարհին կարևորվելու է բիզնես անդամակցության վրա հիմնված կազմակերպությունների դերի բարձրացումը։</w:t>
      </w:r>
    </w:p>
    <w:p w14:paraId="2959CF34" w14:textId="7005EAFD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2։ Պետական աջակցության կառույցների կարողությունների զարգացում և </w:t>
      </w:r>
      <w:r w:rsidR="00D32830" w:rsidRPr="002D7DB7">
        <w:t xml:space="preserve">նրանց գործունեության </w:t>
      </w:r>
      <w:r w:rsidRPr="002D7DB7">
        <w:t>արդյունավետության և թափանցիկության բարձրացում՝ կորպորատիվ կառավարման, հաշվետվողականության մեխանիզմների ներդրմամբ։</w:t>
      </w:r>
    </w:p>
    <w:p w14:paraId="2959CF35" w14:textId="2A22D274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</w:t>
      </w:r>
      <w:r w:rsidR="00F20BF0" w:rsidRPr="002D7DB7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մտադիր է զգալիորեն հզորացնել ՓՄՁ աջակցություն տրամադրող կառույցներում առկա մարդկային և ֆինանսական կարողությունները</w:t>
      </w:r>
      <w:r w:rsidR="00E76D65" w:rsidRPr="002D7DB7">
        <w:rPr>
          <w:rFonts w:eastAsiaTheme="minorEastAsia" w:cstheme="minorBidi"/>
        </w:rPr>
        <w:t xml:space="preserve">՝ </w:t>
      </w:r>
      <w:r w:rsidRPr="002D7DB7">
        <w:rPr>
          <w:rFonts w:eastAsiaTheme="minorEastAsia" w:cstheme="minorBidi"/>
        </w:rPr>
        <w:t>հետևյալ հիմնական ուղղություններ</w:t>
      </w:r>
      <w:r w:rsidR="00E76D65" w:rsidRPr="002D7DB7">
        <w:rPr>
          <w:rFonts w:eastAsiaTheme="minorEastAsia" w:cstheme="minorBidi"/>
        </w:rPr>
        <w:t>ով</w:t>
      </w:r>
      <w:r w:rsidRPr="002D7DB7">
        <w:rPr>
          <w:rFonts w:eastAsiaTheme="minorEastAsia" w:cstheme="minorBidi"/>
        </w:rPr>
        <w:t>՝</w:t>
      </w:r>
    </w:p>
    <w:p w14:paraId="2959CF36" w14:textId="77777777" w:rsidR="0065556B" w:rsidRPr="002D7DB7" w:rsidRDefault="00822DFD" w:rsidP="00FC60C0">
      <w:pPr>
        <w:pStyle w:val="ListParagraph"/>
        <w:numPr>
          <w:ilvl w:val="0"/>
          <w:numId w:val="32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ս</w:t>
      </w:r>
      <w:r w:rsidR="5894FF83" w:rsidRPr="002D7DB7">
        <w:rPr>
          <w:rFonts w:cstheme="minorBidi"/>
          <w:sz w:val="24"/>
        </w:rPr>
        <w:t>կսնակ ձեռներեցներին պատշաճ աջակցության տրամադրում՝ ինտեգրված «մեկ պատուհան» գործընթացում</w:t>
      </w:r>
    </w:p>
    <w:p w14:paraId="2959CF37" w14:textId="54652EC2" w:rsidR="0065556B" w:rsidRPr="002D7DB7" w:rsidRDefault="00822DFD" w:rsidP="00FC60C0">
      <w:pPr>
        <w:pStyle w:val="ListParagraph"/>
        <w:numPr>
          <w:ilvl w:val="0"/>
          <w:numId w:val="32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ձ</w:t>
      </w:r>
      <w:r w:rsidR="5894FF83" w:rsidRPr="002D7DB7">
        <w:rPr>
          <w:rFonts w:cstheme="minorBidi"/>
          <w:sz w:val="24"/>
        </w:rPr>
        <w:t xml:space="preserve">եռներեցների թիրախային խմբերի (սոցիալական </w:t>
      </w:r>
      <w:r w:rsidR="001C1FF2">
        <w:rPr>
          <w:rFonts w:cstheme="minorBidi"/>
          <w:sz w:val="24"/>
        </w:rPr>
        <w:t>ձեռնարկատիրության սուբյեկտներ</w:t>
      </w:r>
      <w:r w:rsidR="5894FF83" w:rsidRPr="002D7DB7">
        <w:rPr>
          <w:rFonts w:cstheme="minorBidi"/>
          <w:sz w:val="24"/>
        </w:rPr>
        <w:t>, նորարարական ծրագրեր, արտահանման ուղղված ծրագրեր) աջակցության պրոդուկտների մշակում և ներդնում</w:t>
      </w:r>
    </w:p>
    <w:p w14:paraId="2959CF38" w14:textId="5929E30B" w:rsidR="0065556B" w:rsidRPr="002D7DB7" w:rsidRDefault="00822DFD" w:rsidP="00FC60C0">
      <w:pPr>
        <w:pStyle w:val="ListParagraph"/>
        <w:numPr>
          <w:ilvl w:val="0"/>
          <w:numId w:val="32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lastRenderedPageBreak/>
        <w:t>գ</w:t>
      </w:r>
      <w:r w:rsidR="5894FF83" w:rsidRPr="002D7DB7">
        <w:rPr>
          <w:rFonts w:cstheme="minorBidi"/>
          <w:sz w:val="24"/>
        </w:rPr>
        <w:t xml:space="preserve">ործող ՓՄՁ-ների մոտ </w:t>
      </w:r>
      <w:r w:rsidRPr="002D7DB7">
        <w:rPr>
          <w:rFonts w:cstheme="minorBidi"/>
          <w:sz w:val="24"/>
        </w:rPr>
        <w:t>ծագող</w:t>
      </w:r>
      <w:r w:rsidR="00F773E5" w:rsidRPr="002D7DB7">
        <w:rPr>
          <w:rFonts w:cstheme="minorBidi"/>
          <w:sz w:val="24"/>
        </w:rPr>
        <w:t xml:space="preserve"> </w:t>
      </w:r>
      <w:r w:rsidR="5894FF83" w:rsidRPr="002D7DB7">
        <w:rPr>
          <w:rFonts w:cstheme="minorBidi"/>
          <w:sz w:val="24"/>
        </w:rPr>
        <w:t>հարցերի և խնդիրներին արձագանքման համար անհրաժեշտ կարողությունների զարգացում</w:t>
      </w:r>
    </w:p>
    <w:p w14:paraId="2959CF39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3։ Վիճակագրության բարելավում</w:t>
      </w:r>
    </w:p>
    <w:p w14:paraId="2959CF3A" w14:textId="2E14ED50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Քաղաքականության և ռազմավարության որակը բարելավելու նպատակով կառավարությունը մտադիր է զգալիորեն բարելավել ՓՄՁ վերաբերյալ առկա վիճակագրությունը և վերլուծական արդյունքը։ Այս նպատակին հասնելու համար նախատեսվում է</w:t>
      </w:r>
      <w:r w:rsidR="00F773E5" w:rsidRPr="002D7DB7">
        <w:rPr>
          <w:rFonts w:eastAsiaTheme="minorEastAsia" w:cstheme="minorBidi"/>
        </w:rPr>
        <w:t xml:space="preserve"> </w:t>
      </w:r>
      <w:r w:rsidR="001D0880" w:rsidRPr="002D7DB7">
        <w:rPr>
          <w:rFonts w:eastAsiaTheme="minorEastAsia" w:cstheme="minorBidi"/>
        </w:rPr>
        <w:t>ի</w:t>
      </w:r>
      <w:r w:rsidRPr="002D7DB7">
        <w:rPr>
          <w:rFonts w:eastAsiaTheme="minorEastAsia" w:cstheme="minorBidi"/>
        </w:rPr>
        <w:t xml:space="preserve">րականացնել պարբերական հարցումներ, առկա խնդիրների </w:t>
      </w:r>
      <w:r w:rsidR="009302B3" w:rsidRPr="002D7DB7">
        <w:rPr>
          <w:rFonts w:eastAsiaTheme="minorEastAsia" w:cstheme="minorBidi"/>
        </w:rPr>
        <w:t xml:space="preserve">վերհանման </w:t>
      </w:r>
      <w:r w:rsidRPr="002D7DB7">
        <w:rPr>
          <w:rFonts w:eastAsiaTheme="minorEastAsia" w:cstheme="minorBidi"/>
        </w:rPr>
        <w:t>և հետադարձ կապի ապահովման նպատակով</w:t>
      </w:r>
      <w:r w:rsidR="001D0880" w:rsidRPr="002D7DB7">
        <w:rPr>
          <w:rFonts w:eastAsiaTheme="minorEastAsia" w:cstheme="minorBidi"/>
        </w:rPr>
        <w:t>, էականորեն բ</w:t>
      </w:r>
      <w:r w:rsidRPr="002D7DB7">
        <w:rPr>
          <w:rFonts w:eastAsiaTheme="minorEastAsia" w:cstheme="minorBidi"/>
        </w:rPr>
        <w:t>արելավել պաշտոնական վիճակագրությունը</w:t>
      </w:r>
      <w:r w:rsidR="001D0880" w:rsidRPr="002D7DB7">
        <w:rPr>
          <w:rFonts w:eastAsiaTheme="minorEastAsia" w:cstheme="minorBidi"/>
        </w:rPr>
        <w:t xml:space="preserve">, օպերատիվ տեղեկությունների հավաքագրման մեխանիզմները, ինչպես նաև ապահովել </w:t>
      </w:r>
      <w:r w:rsidRPr="002D7DB7">
        <w:rPr>
          <w:rFonts w:eastAsiaTheme="minorEastAsia" w:cstheme="minorBidi"/>
        </w:rPr>
        <w:t>ՀՀ ֆինանսական սեկտորում ՓՄՁ-ի վարկերի վերաբերյալ քանակական և որակական տեղեկատվության առկայութ</w:t>
      </w:r>
      <w:r w:rsidR="008B0877" w:rsidRPr="002D7DB7">
        <w:rPr>
          <w:rFonts w:eastAsiaTheme="minorEastAsia" w:cstheme="minorBidi"/>
        </w:rPr>
        <w:t>յ</w:t>
      </w:r>
      <w:r w:rsidRPr="002D7DB7">
        <w:rPr>
          <w:rFonts w:eastAsiaTheme="minorEastAsia" w:cstheme="minorBidi"/>
        </w:rPr>
        <w:t xml:space="preserve">ունը։ </w:t>
      </w:r>
    </w:p>
    <w:p w14:paraId="2959CF3B" w14:textId="49DADDB9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Մյուս կողմից ՓՄՁ-ներին ռազմավարական որոշումների համար կարևոր է տնտեսական, </w:t>
      </w:r>
      <w:r w:rsidR="00CA701B" w:rsidRPr="002D7DB7">
        <w:rPr>
          <w:rFonts w:eastAsiaTheme="minorEastAsia" w:cstheme="minorBidi"/>
        </w:rPr>
        <w:t xml:space="preserve">ժողովրդագրական </w:t>
      </w:r>
      <w:r w:rsidRPr="002D7DB7">
        <w:rPr>
          <w:rFonts w:eastAsiaTheme="minorEastAsia" w:cstheme="minorBidi"/>
        </w:rPr>
        <w:t xml:space="preserve">և այլ վիճակագրական տվյալների մատչելիությունը և որակը, ինչի համար շահագրգիռ կողմերին անհրաժեշտ է ներգրավել </w:t>
      </w:r>
      <w:r w:rsidR="00CA701B" w:rsidRPr="002D7DB7">
        <w:rPr>
          <w:rFonts w:eastAsiaTheme="minorEastAsia" w:cstheme="minorBidi"/>
        </w:rPr>
        <w:t>ԱՐՄՍՏԱՏ-ի</w:t>
      </w:r>
      <w:r w:rsidRPr="002D7DB7">
        <w:rPr>
          <w:rFonts w:eastAsiaTheme="minorEastAsia" w:cstheme="minorBidi"/>
        </w:rPr>
        <w:t xml:space="preserve"> աշխատանքային ծրագրերի մշակմանը</w:t>
      </w:r>
      <w:r w:rsidR="001D0880" w:rsidRPr="002D7DB7">
        <w:rPr>
          <w:rFonts w:eastAsiaTheme="minorEastAsia" w:cstheme="minorBidi"/>
        </w:rPr>
        <w:t>, ինչպես նաև դիտարկել տեղեկատվության հավաքագրման և տարածման այլընտրանքային եղանակները</w:t>
      </w:r>
      <w:r w:rsidRPr="002D7DB7">
        <w:rPr>
          <w:rFonts w:eastAsiaTheme="minorEastAsia" w:cstheme="minorBidi"/>
        </w:rPr>
        <w:t xml:space="preserve">։ </w:t>
      </w:r>
    </w:p>
    <w:p w14:paraId="2959CF3C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 4։ ՓՄՁ-ի աջակցության ոլորտում ծրագրեր իրականացնող դոնորների աշխատանքի համակարգում։</w:t>
      </w:r>
    </w:p>
    <w:p w14:paraId="2959CF3D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Կառավարությունը սերտորեն և ակտիվորեն կհամագործակցի միջազգային հանրության հետ` ռեսուրսների մոբիլիզացման արդյունավետ գործընթաց հիմնելու համար: Այն կոչված է լինելու ապահովել միջազգային դոնոր համայնքի միջոցներով պետական ֆինանսավորման լրացումը ժամանակին և միասնական մոտեցմամբ: Ռեսուրսների մոբիլիզացման գործընթացն առաջնորդվելու է ՓՄՁ ռազմավարությամբ և դրա հիման վրա մշակված գործողությունների ծրագրերով:</w:t>
      </w:r>
      <w:r w:rsidR="009302B3" w:rsidRPr="002D7DB7">
        <w:rPr>
          <w:rFonts w:eastAsiaTheme="minorEastAsia" w:cstheme="minorBidi"/>
        </w:rPr>
        <w:t xml:space="preserve"> Գործող ծրագրերի վերաբերյալ մանրամասն տեղեկատվությունը պետք է հասանելի դառնա «մեկ պատուհան» համակարգի շրջանակներում</w:t>
      </w:r>
      <w:r w:rsidR="0045696C" w:rsidRPr="002D7DB7">
        <w:rPr>
          <w:rFonts w:eastAsiaTheme="minorEastAsia" w:cstheme="minorBidi"/>
        </w:rPr>
        <w:t>։</w:t>
      </w:r>
    </w:p>
    <w:p w14:paraId="2959CF3E" w14:textId="77777777" w:rsidR="0065556B" w:rsidRPr="002D7DB7" w:rsidRDefault="0065556B" w:rsidP="00FC60C0">
      <w:pPr>
        <w:spacing w:after="0" w:line="276" w:lineRule="auto"/>
        <w:ind w:firstLine="0"/>
        <w:rPr>
          <w:rFonts w:eastAsiaTheme="minorEastAsia" w:cstheme="minorBidi"/>
          <w:u w:val="single"/>
        </w:rPr>
      </w:pPr>
      <w:r w:rsidRPr="002D7DB7">
        <w:rPr>
          <w:rFonts w:eastAsiaTheme="minorEastAsia" w:cstheme="minorBidi"/>
          <w:u w:val="single"/>
        </w:rPr>
        <w:t>Իրավական բարենպաստ միջավայրի ապահովում</w:t>
      </w:r>
    </w:p>
    <w:p w14:paraId="2959CF3F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Չնայած ընդհանուր բարենպաստ մթնոլորտին` գործարար միջավայրը ձևավորող օրենսդրությունն ունի շարունակական բարելավման անհրաժեշտություն: </w:t>
      </w:r>
    </w:p>
    <w:p w14:paraId="2959CF40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Ստեղծված տնտեսական իրողությունների պայմաններում անհրաժեշտ է վերանայել որոշ կարգավորումներ, որոնց դեպքում ՓՄՁ սուբյեկտները ունենում են զարգացման լուրջ դժվարություններ: Այդ դժվարությունների հաղթահարման համար սույն ռազմավարությամբ նախատեսված գործողությունները կիրականացվեն հետևյալ մի քանի ուղղությամբ.</w:t>
      </w:r>
    </w:p>
    <w:p w14:paraId="2959CF41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>Առաջնահերթ գործողություն</w:t>
      </w:r>
      <w:r w:rsidR="005604C2" w:rsidRPr="002D7DB7">
        <w:t xml:space="preserve"> 1</w:t>
      </w:r>
      <w:r w:rsidRPr="002D7DB7">
        <w:t>։ ՓՄՁ ազդեցության գնահատման մեխանիզմների մշակում</w:t>
      </w:r>
      <w:r w:rsidR="005604C2" w:rsidRPr="002D7DB7">
        <w:t xml:space="preserve"> և գործադրում</w:t>
      </w:r>
    </w:p>
    <w:p w14:paraId="2959CF42" w14:textId="77777777" w:rsidR="0065556B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Կառավարությունը մտադիր է մշակել ՓՄՁ կարգավորման ազդեցության գնահատման մեխանիզմներ։ Նման մեխանիզմի առկայությունը թույլ կտա վերհանել գործող կամ առաջարկվող կարգավորումների ազդեցությունը ՓՄՁ համայնքի տեսանկյունից և քննարկման առարկա դարձնել առավել խնդրահարույց կարգավորումները։ </w:t>
      </w:r>
    </w:p>
    <w:p w14:paraId="2959CF43" w14:textId="77777777" w:rsidR="0065556B" w:rsidRPr="002D7DB7" w:rsidRDefault="5894FF83" w:rsidP="00FC60C0">
      <w:pPr>
        <w:shd w:val="clear" w:color="auto" w:fill="E3E5E6" w:themeFill="accent6" w:themeFillTint="33"/>
        <w:spacing w:after="0" w:line="276" w:lineRule="auto"/>
      </w:pPr>
      <w:r w:rsidRPr="002D7DB7">
        <w:t xml:space="preserve">Առաջնահերթ գործողություն </w:t>
      </w:r>
      <w:r w:rsidR="005604C2" w:rsidRPr="002D7DB7">
        <w:t>2</w:t>
      </w:r>
      <w:r w:rsidRPr="002D7DB7">
        <w:t>։ Հարկային/մաքսային/այլ վարչարարական բեռի գնահատում և պարզեցում ՓՄՁ-ների համար</w:t>
      </w:r>
    </w:p>
    <w:p w14:paraId="2959CF44" w14:textId="6C78EC74" w:rsidR="0065556B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lastRenderedPageBreak/>
        <w:t>Կառավարությունը մտադիր է իրականացնել վարչարարական բեռի խորքային գնահատում, վեր հանել բեռի առաջացման հիմքերը, մասնավոր հատվածի հետ քննարկումների արդյունքում մշակել հնարավոր լուծումների փաթեթ և փոխադարձ համաձայնությամբ իրականացնել առավել բարձր ազդեցություն ունեցող լուծումները։</w:t>
      </w:r>
    </w:p>
    <w:p w14:paraId="4BB37863" w14:textId="77777777" w:rsidR="00404ACF" w:rsidRPr="002D7DB7" w:rsidRDefault="00404ACF" w:rsidP="00FC60C0">
      <w:pPr>
        <w:spacing w:after="0" w:line="276" w:lineRule="auto"/>
        <w:rPr>
          <w:rFonts w:eastAsiaTheme="minorEastAsia" w:cstheme="minorBidi"/>
        </w:rPr>
      </w:pPr>
    </w:p>
    <w:p w14:paraId="2959CF45" w14:textId="50B8AE89" w:rsidR="003C1160" w:rsidRPr="002D7DB7" w:rsidRDefault="003C1160" w:rsidP="00FC60C0">
      <w:pPr>
        <w:pStyle w:val="Heading1"/>
        <w:spacing w:after="0" w:line="276" w:lineRule="auto"/>
      </w:pPr>
      <w:bookmarkStart w:id="20" w:name="_Toc17467300"/>
      <w:bookmarkStart w:id="21" w:name="_Toc47118496"/>
      <w:r w:rsidRPr="002D7DB7">
        <w:t>Ռազմավարության իրականացման ընթացքի նկատմամբ մոնիտորինգ, գնահատում</w:t>
      </w:r>
      <w:r w:rsidR="001228E0" w:rsidRPr="002D7DB7">
        <w:t xml:space="preserve"> </w:t>
      </w:r>
      <w:r w:rsidRPr="002D7DB7">
        <w:t>և հաշվետվողականություն</w:t>
      </w:r>
      <w:bookmarkEnd w:id="20"/>
      <w:bookmarkEnd w:id="21"/>
    </w:p>
    <w:p w14:paraId="2959CF46" w14:textId="4CDF82A2" w:rsidR="00E257F5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 xml:space="preserve">ՓՄՁ զարգացման ռազմավարության իրականացումը բնութագրվում է նախատեսված միջոցառումների և գործողությունների բազմաբովանդակությամբ և ծավալով, ինչը պահանջում է ներգրավված պատասխանատու մարմինների օպերատիվ հաշվետվողականության կազմակերպում և </w:t>
      </w:r>
      <w:r w:rsidR="00C369B0" w:rsidRPr="002D7DB7">
        <w:rPr>
          <w:rFonts w:eastAsiaTheme="minorEastAsia" w:cstheme="minorBidi"/>
        </w:rPr>
        <w:t>համակարգում</w:t>
      </w:r>
      <w:r w:rsidRPr="002D7DB7">
        <w:rPr>
          <w:rFonts w:eastAsiaTheme="minorEastAsia" w:cstheme="minorBidi"/>
        </w:rPr>
        <w:t xml:space="preserve">: Մեկ այլ կարևոր սկզբունք է՝ </w:t>
      </w:r>
      <w:r w:rsidR="00C369B0" w:rsidRPr="002D7DB7">
        <w:rPr>
          <w:rFonts w:eastAsiaTheme="minorEastAsia" w:cstheme="minorBidi"/>
        </w:rPr>
        <w:t xml:space="preserve">ՓՄՁ հանրության ներկայացուցիչների հետ </w:t>
      </w:r>
      <w:r w:rsidRPr="002D7DB7">
        <w:rPr>
          <w:rFonts w:eastAsiaTheme="minorEastAsia" w:cstheme="minorBidi"/>
        </w:rPr>
        <w:t>շարունակական երկխոսությունը:</w:t>
      </w:r>
    </w:p>
    <w:p w14:paraId="2959CF47" w14:textId="77777777" w:rsidR="00E257F5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Ռազմավարության իրականացման մոնիտորինգի նպատակով գործողությունների իրականացման համար պատասխանատու կամ համակատարող մարմինները եռամսյակային պարբերականությամբ հաշվետվություններ կտրամադրեն սույն ռազմավարության իրականացման համար պատասխանատու լիազոր մարմնին` ՀՀ էկոնոմիկայի նախարարությանը: Վերջինս կիրականացնի ընթացիկ մոնի</w:t>
      </w:r>
      <w:r w:rsidR="0067737F" w:rsidRPr="002D7DB7">
        <w:rPr>
          <w:rFonts w:eastAsiaTheme="minorEastAsia" w:cstheme="minorBidi"/>
        </w:rPr>
        <w:t>տ</w:t>
      </w:r>
      <w:r w:rsidRPr="002D7DB7">
        <w:rPr>
          <w:rFonts w:eastAsiaTheme="minorEastAsia" w:cstheme="minorBidi"/>
        </w:rPr>
        <w:t>որինգ, որը ենթադրում է.</w:t>
      </w:r>
    </w:p>
    <w:p w14:paraId="2959CF48" w14:textId="50CE9E99" w:rsidR="00E257F5" w:rsidRPr="002D7DB7" w:rsidRDefault="5894FF83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 xml:space="preserve">Գործողությունների ծրագրով նախատեսված </w:t>
      </w:r>
      <w:r w:rsidR="000A1711" w:rsidRPr="002D7DB7">
        <w:rPr>
          <w:rFonts w:cstheme="minorBidi"/>
          <w:sz w:val="24"/>
        </w:rPr>
        <w:t>կետերի</w:t>
      </w:r>
      <w:r w:rsidR="00981E49" w:rsidRPr="002D7DB7">
        <w:rPr>
          <w:rFonts w:cstheme="minorBidi"/>
          <w:sz w:val="24"/>
        </w:rPr>
        <w:t xml:space="preserve"> </w:t>
      </w:r>
      <w:r w:rsidRPr="002D7DB7">
        <w:rPr>
          <w:rFonts w:cstheme="minorBidi"/>
          <w:sz w:val="24"/>
        </w:rPr>
        <w:t>կատարման ամբողջականության գնահատում,</w:t>
      </w:r>
    </w:p>
    <w:p w14:paraId="21A741A7" w14:textId="1996A271" w:rsidR="0016234E" w:rsidRPr="002D7DB7" w:rsidRDefault="0016234E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Հավելված 1 -ում ամփո</w:t>
      </w:r>
      <w:r w:rsidR="00FF6FFC">
        <w:rPr>
          <w:rFonts w:cstheme="minorBidi"/>
          <w:sz w:val="24"/>
        </w:rPr>
        <w:t>փ</w:t>
      </w:r>
      <w:r w:rsidRPr="002D7DB7">
        <w:rPr>
          <w:rFonts w:cstheme="minorBidi"/>
          <w:sz w:val="24"/>
        </w:rPr>
        <w:t>ված ցուցանիշներ</w:t>
      </w:r>
      <w:r w:rsidR="0091423F" w:rsidRPr="002D7DB7">
        <w:rPr>
          <w:rFonts w:cstheme="minorBidi"/>
          <w:sz w:val="24"/>
        </w:rPr>
        <w:t>ով արձանագրված արդյունքների գնահատում,</w:t>
      </w:r>
    </w:p>
    <w:p w14:paraId="2959CF49" w14:textId="77777777" w:rsidR="00E257F5" w:rsidRPr="002D7DB7" w:rsidRDefault="5894FF83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 xml:space="preserve">Առանձին գործողությունների չկատարման պատճառների վերհանում, </w:t>
      </w:r>
    </w:p>
    <w:p w14:paraId="2959CF4A" w14:textId="77777777" w:rsidR="00E257F5" w:rsidRPr="002D7DB7" w:rsidRDefault="5894FF83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ՓՄՁ ոլորտի օպերատիվ վիճակագրության և հետադարձ կապի հիման վրա միտումների դուրս բերում և վերլուծություն,</w:t>
      </w:r>
    </w:p>
    <w:p w14:paraId="2959CF4B" w14:textId="2637C932" w:rsidR="00E257F5" w:rsidRPr="00142A4D" w:rsidRDefault="5894FF83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142A4D">
        <w:rPr>
          <w:rFonts w:cstheme="minorBidi"/>
          <w:sz w:val="24"/>
        </w:rPr>
        <w:t>Ռազմավարությանը կից մշակվելու է ՓՄՁ ոլորտին առնչվող միջազգային համաթվերի մատրից</w:t>
      </w:r>
      <w:r w:rsidR="00474073" w:rsidRPr="00142A4D">
        <w:rPr>
          <w:rFonts w:cstheme="minorBidi"/>
          <w:sz w:val="24"/>
        </w:rPr>
        <w:t>ա</w:t>
      </w:r>
      <w:r w:rsidRPr="00142A4D">
        <w:rPr>
          <w:rFonts w:cstheme="minorBidi"/>
          <w:sz w:val="24"/>
        </w:rPr>
        <w:t>, որը կարտացոլի յուրաքանչյուրի մասով Կառավարության երկարաժամկետ թիրախը</w:t>
      </w:r>
    </w:p>
    <w:p w14:paraId="2959CF4C" w14:textId="77777777" w:rsidR="00E257F5" w:rsidRPr="002D7DB7" w:rsidRDefault="5894FF83" w:rsidP="00FC60C0">
      <w:pPr>
        <w:pStyle w:val="ListParagraph"/>
        <w:numPr>
          <w:ilvl w:val="0"/>
          <w:numId w:val="34"/>
        </w:numPr>
        <w:spacing w:line="276" w:lineRule="auto"/>
        <w:rPr>
          <w:sz w:val="24"/>
        </w:rPr>
      </w:pPr>
      <w:r w:rsidRPr="002D7DB7">
        <w:rPr>
          <w:rFonts w:cstheme="minorBidi"/>
          <w:sz w:val="24"/>
        </w:rPr>
        <w:t>Վերոնշյալի հիման վրա գործողությունների ծրագրի ճշգրտում անհրաժեշտության դեպքում։</w:t>
      </w:r>
    </w:p>
    <w:p w14:paraId="2959CF4D" w14:textId="42E27961" w:rsidR="00E257F5" w:rsidRPr="002D7DB7" w:rsidRDefault="5894FF83" w:rsidP="00FC60C0">
      <w:pPr>
        <w:spacing w:before="120"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Վերոնշյալի արդյունքում կկազմվեն համապատասխան ընթացիկ հաշվետվություններ, վերլուծական տեղեկանքներ և առաջարկություններ, որոնք, ըստ անհրաժեշտության կքննարկվեն ՓՄՁ զարգացման ենթախորհրդի,</w:t>
      </w:r>
      <w:r w:rsidR="00FF6FFC">
        <w:rPr>
          <w:rFonts w:eastAsiaTheme="minorEastAsia" w:cstheme="minorBidi"/>
        </w:rPr>
        <w:t xml:space="preserve"> </w:t>
      </w:r>
      <w:r w:rsidRPr="002D7DB7">
        <w:rPr>
          <w:rFonts w:eastAsiaTheme="minorEastAsia" w:cstheme="minorBidi"/>
        </w:rPr>
        <w:t>կամ ՓՄՁ զարգացման խորհրդի նիստում, որտեղ կհրավիրվեն նաև գործողության կատարման համար պատասխանատու գերատեսչության պաշտոնյաներ:</w:t>
      </w:r>
    </w:p>
    <w:p w14:paraId="2959CF4E" w14:textId="77777777" w:rsidR="00E257F5" w:rsidRPr="002D7DB7" w:rsidRDefault="5894FF83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t>Հաշվետու տարվան հաջորդող տարվա սկզբին լիազոր մարմինը կկազմի հաշվետվություն, որտեղ արտացոլված կլինեն նախատեսված և փաստացի թիրախային ցուցանիշների շեղումները, գործողությունների կատարման կարգավիճակը: Հաշվետվությանը զուգահեռ կձևավորվի տարեկան գործողությունների հաջորդ ծրագրի նախագիծը և, ըստ անհրաժեշտության, կկատարվի ռեսուրսների վերանայում:</w:t>
      </w:r>
    </w:p>
    <w:p w14:paraId="2959CF4F" w14:textId="58B274C3" w:rsidR="00B90636" w:rsidRPr="002D7DB7" w:rsidRDefault="00E257F5" w:rsidP="00FC60C0">
      <w:pPr>
        <w:spacing w:after="0" w:line="276" w:lineRule="auto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lastRenderedPageBreak/>
        <w:t>Հաշվետվությունը և տարեկան գործողությունների հաջորդ ծրագրի նախագիծը կքննարկվեն ՓՄՁ զարգացման ենթախորհ</w:t>
      </w:r>
      <w:r w:rsidR="00C77AF4" w:rsidRPr="002D7DB7">
        <w:rPr>
          <w:rFonts w:eastAsiaTheme="minorEastAsia" w:cstheme="minorBidi"/>
        </w:rPr>
        <w:t>ր</w:t>
      </w:r>
      <w:r w:rsidRPr="002D7DB7">
        <w:rPr>
          <w:rFonts w:eastAsiaTheme="minorEastAsia" w:cstheme="minorBidi"/>
        </w:rPr>
        <w:t>դում, ըստ անհրաժեշտության, նաև Խորհրդում, կհրապարակվեն նաև ՀՀ էկոնոմիկայի նախարարության կայքում և e-draft համակարգում, այնուհետև սահմանված կարգով կներկայացվեն ՀՀ վարչապետի աշխատակազմ:</w:t>
      </w:r>
    </w:p>
    <w:p w14:paraId="2959CF50" w14:textId="77777777" w:rsidR="00B90636" w:rsidRPr="002D7DB7" w:rsidRDefault="00B90636" w:rsidP="00FC60C0">
      <w:pPr>
        <w:spacing w:after="0" w:line="276" w:lineRule="auto"/>
        <w:ind w:firstLine="0"/>
        <w:jc w:val="left"/>
        <w:rPr>
          <w:rFonts w:eastAsiaTheme="minorEastAsia" w:cstheme="minorBidi"/>
        </w:rPr>
      </w:pPr>
      <w:r w:rsidRPr="002D7DB7">
        <w:rPr>
          <w:rFonts w:eastAsiaTheme="minorEastAsia" w:cstheme="minorBidi"/>
        </w:rPr>
        <w:br w:type="page"/>
      </w:r>
    </w:p>
    <w:p w14:paraId="2959CF5A" w14:textId="5A11E482" w:rsidR="008C2C81" w:rsidRPr="002D7DB7" w:rsidRDefault="004E7D85" w:rsidP="003D251E">
      <w:pPr>
        <w:pStyle w:val="Heading1"/>
        <w:numPr>
          <w:ilvl w:val="0"/>
          <w:numId w:val="0"/>
        </w:numPr>
        <w:ind w:left="432" w:hanging="432"/>
      </w:pPr>
      <w:bookmarkStart w:id="22" w:name="_Toc17467303"/>
      <w:bookmarkStart w:id="23" w:name="_Toc47118497"/>
      <w:r w:rsidRPr="002D7DB7">
        <w:rPr>
          <w:rFonts w:ascii="Arial" w:hAnsi="Arial" w:cs="Arial"/>
        </w:rPr>
        <w:lastRenderedPageBreak/>
        <w:t>Հավելված</w:t>
      </w:r>
      <w:r w:rsidRPr="002D7DB7">
        <w:t xml:space="preserve"> 1  </w:t>
      </w:r>
      <w:r w:rsidR="008C2C81" w:rsidRPr="002D7DB7">
        <w:rPr>
          <w:rFonts w:ascii="Arial" w:hAnsi="Arial" w:cs="Arial"/>
        </w:rPr>
        <w:t>ՓՄՁ</w:t>
      </w:r>
      <w:r w:rsidR="00580ED1" w:rsidRPr="002D7DB7">
        <w:t xml:space="preserve"> </w:t>
      </w:r>
      <w:r w:rsidR="00D45265" w:rsidRPr="002D7DB7">
        <w:rPr>
          <w:rFonts w:ascii="Arial" w:hAnsi="Arial" w:cs="Arial"/>
        </w:rPr>
        <w:t>հիմնական</w:t>
      </w:r>
      <w:r w:rsidR="00580ED1" w:rsidRPr="002D7DB7">
        <w:t xml:space="preserve"> </w:t>
      </w:r>
      <w:r w:rsidR="008C2C81" w:rsidRPr="002D7DB7">
        <w:rPr>
          <w:rFonts w:ascii="Arial" w:hAnsi="Arial" w:cs="Arial"/>
        </w:rPr>
        <w:t>տնտեսական</w:t>
      </w:r>
      <w:r w:rsidR="00580ED1" w:rsidRPr="002D7DB7">
        <w:t xml:space="preserve"> </w:t>
      </w:r>
      <w:r w:rsidR="008C2C81" w:rsidRPr="002D7DB7">
        <w:rPr>
          <w:rFonts w:ascii="Arial" w:hAnsi="Arial" w:cs="Arial"/>
        </w:rPr>
        <w:t>ցուցանիշներ</w:t>
      </w:r>
      <w:bookmarkEnd w:id="22"/>
      <w:bookmarkEnd w:id="23"/>
    </w:p>
    <w:p w14:paraId="2959CF5B" w14:textId="2B6B1BC6" w:rsidR="00D45265" w:rsidRPr="002D7DB7" w:rsidRDefault="00D45265" w:rsidP="00FC60C0">
      <w:pPr>
        <w:pStyle w:val="Caption"/>
        <w:spacing w:after="0" w:line="276" w:lineRule="auto"/>
      </w:pPr>
      <w:r w:rsidRPr="002D7DB7"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1</w:t>
      </w:r>
      <w:r w:rsidR="00C07F77" w:rsidRPr="002D7DB7">
        <w:fldChar w:fldCharType="end"/>
      </w:r>
      <w:r w:rsidR="00580ED1" w:rsidRPr="002D7DB7">
        <w:t xml:space="preserve"> </w:t>
      </w:r>
      <w:r w:rsidRPr="002D7DB7">
        <w:t>Տնտեսավարողների քանակի կառուցվածքն ըստ</w:t>
      </w:r>
      <w:r w:rsidR="00580ED1" w:rsidRPr="002D7DB7">
        <w:t xml:space="preserve"> </w:t>
      </w:r>
      <w:r w:rsidRPr="002D7DB7">
        <w:t>ՀՀ մարզերի և Երևան քաղաքի</w:t>
      </w:r>
    </w:p>
    <w:p w14:paraId="2959CF5E" w14:textId="2D133B81" w:rsidR="008C2C81" w:rsidRPr="002D7DB7" w:rsidRDefault="008C2C81" w:rsidP="00BA1059">
      <w:pPr>
        <w:spacing w:after="0" w:line="276" w:lineRule="auto"/>
      </w:pPr>
      <w:bookmarkStart w:id="24" w:name="_Toc1404922"/>
      <w:r w:rsidRPr="002D7DB7">
        <w:rPr>
          <w:i/>
          <w:sz w:val="18"/>
          <w:szCs w:val="18"/>
        </w:rPr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Pr="002D7DB7">
        <w:rPr>
          <w:i/>
          <w:sz w:val="18"/>
          <w:szCs w:val="18"/>
        </w:rPr>
        <w:t xml:space="preserve"> 201</w:t>
      </w:r>
      <w:r w:rsidR="00F55516" w:rsidRPr="00364637">
        <w:rPr>
          <w:i/>
          <w:sz w:val="18"/>
          <w:szCs w:val="18"/>
        </w:rPr>
        <w:t>9</w:t>
      </w:r>
      <w:r w:rsidRPr="002D7DB7">
        <w:rPr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bookmarkEnd w:id="24"/>
    <w:p w14:paraId="2959CF5F" w14:textId="1ACA661F" w:rsidR="00D45265" w:rsidRPr="002D7DB7" w:rsidRDefault="00D45265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8</w:t>
      </w:r>
      <w:r w:rsidR="00C07F77" w:rsidRPr="002D7DB7">
        <w:fldChar w:fldCharType="end"/>
      </w:r>
      <w:r w:rsidR="00580ED1" w:rsidRPr="002D7DB7">
        <w:t xml:space="preserve"> </w:t>
      </w:r>
      <w:r w:rsidRPr="002D7DB7">
        <w:rPr>
          <w:sz w:val="24"/>
        </w:rPr>
        <w:t>Տնտեսավարողների քանակն ըստ տնտեսական գործունեության տեսակների դասակարգչի բաժինների ու տնտեսավարողների չափերի, 201</w:t>
      </w:r>
      <w:r w:rsidR="00F55516" w:rsidRPr="00364637">
        <w:rPr>
          <w:sz w:val="24"/>
        </w:rPr>
        <w:t>8</w:t>
      </w:r>
      <w:r w:rsidRPr="002D7DB7">
        <w:rPr>
          <w:sz w:val="24"/>
        </w:rPr>
        <w:t>թ.</w:t>
      </w:r>
    </w:p>
    <w:tbl>
      <w:tblPr>
        <w:tblStyle w:val="ListTable3-Accent61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6769"/>
        <w:gridCol w:w="1230"/>
        <w:gridCol w:w="972"/>
        <w:gridCol w:w="781"/>
        <w:gridCol w:w="705"/>
      </w:tblGrid>
      <w:tr w:rsidR="008C2C81" w:rsidRPr="002D7DB7" w14:paraId="2959CF64" w14:textId="77777777" w:rsidTr="00386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noWrap/>
            <w:hideMark/>
          </w:tcPr>
          <w:p w14:paraId="2959CF60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rPr>
                <w:b w:val="0"/>
                <w:bCs w:val="0"/>
                <w:i/>
                <w:color w:val="000000"/>
                <w:sz w:val="20"/>
              </w:rPr>
            </w:pPr>
            <w:r w:rsidRPr="002D7DB7">
              <w:rPr>
                <w:rFonts w:eastAsiaTheme="minorEastAsia"/>
                <w:color w:val="000000" w:themeColor="text1"/>
              </w:rPr>
              <w:t>ՏԳՏԴ խմբ.2</w:t>
            </w:r>
          </w:p>
        </w:tc>
        <w:tc>
          <w:tcPr>
            <w:tcW w:w="0" w:type="auto"/>
            <w:vMerge w:val="restart"/>
            <w:hideMark/>
          </w:tcPr>
          <w:p w14:paraId="2959CF61" w14:textId="77777777" w:rsidR="008C2C81" w:rsidRPr="002D7DB7" w:rsidRDefault="008C2C81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Ընդամենը</w:t>
            </w:r>
          </w:p>
          <w:p w14:paraId="2959CF62" w14:textId="77777777" w:rsidR="008C2C81" w:rsidRPr="002D7DB7" w:rsidRDefault="008C2C81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(+խոշոր)</w:t>
            </w:r>
          </w:p>
        </w:tc>
        <w:tc>
          <w:tcPr>
            <w:tcW w:w="0" w:type="auto"/>
            <w:gridSpan w:val="3"/>
            <w:hideMark/>
          </w:tcPr>
          <w:p w14:paraId="2959CF63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այդ թվում</w:t>
            </w:r>
          </w:p>
        </w:tc>
      </w:tr>
      <w:tr w:rsidR="008C2C81" w:rsidRPr="002D7DB7" w14:paraId="2959CF6A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959CF65" w14:textId="77777777" w:rsidR="008C2C81" w:rsidRPr="002D7DB7" w:rsidRDefault="008C2C81" w:rsidP="00FC60C0">
            <w:pPr>
              <w:spacing w:line="276" w:lineRule="auto"/>
              <w:ind w:firstLine="0"/>
              <w:rPr>
                <w:b w:val="0"/>
                <w:bCs w:val="0"/>
                <w:i/>
                <w:color w:val="00000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14:paraId="2959CF66" w14:textId="77777777" w:rsidR="008C2C81" w:rsidRPr="002D7DB7" w:rsidRDefault="008C2C81" w:rsidP="00FC60C0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/>
                <w:sz w:val="20"/>
              </w:rPr>
            </w:pPr>
          </w:p>
        </w:tc>
        <w:tc>
          <w:tcPr>
            <w:tcW w:w="0" w:type="auto"/>
            <w:noWrap/>
            <w:hideMark/>
          </w:tcPr>
          <w:p w14:paraId="2959CF67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2D7DB7">
              <w:rPr>
                <w:bCs/>
                <w:i/>
                <w:color w:val="000000"/>
                <w:sz w:val="18"/>
              </w:rPr>
              <w:t>գերփոքր</w:t>
            </w:r>
          </w:p>
        </w:tc>
        <w:tc>
          <w:tcPr>
            <w:tcW w:w="0" w:type="auto"/>
            <w:hideMark/>
          </w:tcPr>
          <w:p w14:paraId="2959CF68" w14:textId="77777777" w:rsidR="008C2C81" w:rsidRPr="002D7DB7" w:rsidRDefault="008C2C81" w:rsidP="00FC60C0">
            <w:pPr>
              <w:spacing w:line="276" w:lineRule="auto"/>
              <w:ind w:right="-1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2D7DB7">
              <w:rPr>
                <w:bCs/>
                <w:i/>
                <w:color w:val="000000"/>
                <w:sz w:val="18"/>
              </w:rPr>
              <w:t>փոքր</w:t>
            </w:r>
          </w:p>
        </w:tc>
        <w:tc>
          <w:tcPr>
            <w:tcW w:w="0" w:type="auto"/>
            <w:hideMark/>
          </w:tcPr>
          <w:p w14:paraId="2959CF69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2D7DB7">
              <w:rPr>
                <w:bCs/>
                <w:i/>
                <w:color w:val="000000"/>
                <w:sz w:val="18"/>
              </w:rPr>
              <w:t>միջին</w:t>
            </w:r>
          </w:p>
        </w:tc>
      </w:tr>
      <w:tr w:rsidR="008C2C81" w:rsidRPr="002D7DB7" w14:paraId="2959CF70" w14:textId="77777777" w:rsidTr="0038657B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6B" w14:textId="3D21DDAB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B. </w:t>
            </w:r>
            <w:r w:rsidRPr="002D7DB7">
              <w:rPr>
                <w:rFonts w:cs="Sylfaen"/>
                <w:color w:val="000000"/>
                <w:sz w:val="18"/>
              </w:rPr>
              <w:t>Հանքագործական</w:t>
            </w:r>
            <w:r w:rsidR="00580ED1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արդյունաբերություն</w:t>
            </w:r>
            <w:r w:rsidR="00580ED1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580ED1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բացահանքերի</w:t>
            </w:r>
            <w:r w:rsidR="00580ED1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շահագործում</w:t>
            </w:r>
          </w:p>
        </w:tc>
        <w:tc>
          <w:tcPr>
            <w:tcW w:w="0" w:type="auto"/>
          </w:tcPr>
          <w:p w14:paraId="2959CF6C" w14:textId="3729A41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314</w:t>
            </w:r>
          </w:p>
        </w:tc>
        <w:tc>
          <w:tcPr>
            <w:tcW w:w="0" w:type="auto"/>
            <w:noWrap/>
          </w:tcPr>
          <w:p w14:paraId="2959CF6D" w14:textId="5389ADCC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267</w:t>
            </w:r>
          </w:p>
        </w:tc>
        <w:tc>
          <w:tcPr>
            <w:tcW w:w="0" w:type="auto"/>
            <w:noWrap/>
          </w:tcPr>
          <w:p w14:paraId="2959CF6E" w14:textId="63DD4CF7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3</w:t>
            </w:r>
            <w:r w:rsidR="008C2C81" w:rsidRPr="002D7DB7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noWrap/>
          </w:tcPr>
          <w:p w14:paraId="2959CF6F" w14:textId="3BDE821D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5</w:t>
            </w:r>
          </w:p>
        </w:tc>
      </w:tr>
      <w:tr w:rsidR="008C2C81" w:rsidRPr="002D7DB7" w14:paraId="2959CF76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71" w14:textId="7D0A3CF0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C. </w:t>
            </w:r>
            <w:r w:rsidRPr="002D7DB7">
              <w:rPr>
                <w:rFonts w:cs="Sylfaen"/>
                <w:color w:val="000000"/>
                <w:sz w:val="18"/>
              </w:rPr>
              <w:t>Մշակող</w:t>
            </w:r>
            <w:r w:rsidR="00580ED1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արդյունաբերություն</w:t>
            </w:r>
          </w:p>
        </w:tc>
        <w:tc>
          <w:tcPr>
            <w:tcW w:w="0" w:type="auto"/>
          </w:tcPr>
          <w:p w14:paraId="2959CF72" w14:textId="623258F7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6 741</w:t>
            </w:r>
          </w:p>
        </w:tc>
        <w:tc>
          <w:tcPr>
            <w:tcW w:w="0" w:type="auto"/>
            <w:noWrap/>
          </w:tcPr>
          <w:p w14:paraId="2959CF73" w14:textId="408BF20B" w:rsidR="008C2C81" w:rsidRPr="00A755CA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 w:rsidRPr="002D7DB7">
              <w:rPr>
                <w:color w:val="000000"/>
                <w:sz w:val="20"/>
              </w:rPr>
              <w:t xml:space="preserve">5 </w:t>
            </w:r>
            <w:r w:rsidR="00A86C96">
              <w:rPr>
                <w:color w:val="000000"/>
                <w:sz w:val="20"/>
                <w:lang w:val="en-US"/>
              </w:rPr>
              <w:t>837</w:t>
            </w:r>
          </w:p>
        </w:tc>
        <w:tc>
          <w:tcPr>
            <w:tcW w:w="0" w:type="auto"/>
            <w:noWrap/>
          </w:tcPr>
          <w:p w14:paraId="2959CF74" w14:textId="53D16291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691</w:t>
            </w:r>
          </w:p>
        </w:tc>
        <w:tc>
          <w:tcPr>
            <w:tcW w:w="0" w:type="auto"/>
            <w:noWrap/>
          </w:tcPr>
          <w:p w14:paraId="2959CF75" w14:textId="22BF34F6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167</w:t>
            </w:r>
          </w:p>
        </w:tc>
      </w:tr>
      <w:tr w:rsidR="008C2C81" w:rsidRPr="002D7DB7" w14:paraId="2959CF7C" w14:textId="77777777" w:rsidTr="0038657B">
        <w:trPr>
          <w:trHeight w:hRule="exact"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77" w14:textId="4152F46A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D. </w:t>
            </w:r>
            <w:r w:rsidRPr="002D7DB7">
              <w:rPr>
                <w:rFonts w:cs="Sylfaen"/>
                <w:color w:val="000000"/>
                <w:sz w:val="18"/>
              </w:rPr>
              <w:t>Էլեկտրականության</w:t>
            </w:r>
            <w:r w:rsidRPr="002D7DB7">
              <w:rPr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color w:val="000000"/>
                <w:sz w:val="18"/>
              </w:rPr>
              <w:t>գազի</w:t>
            </w:r>
            <w:r w:rsidRPr="002D7DB7">
              <w:rPr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color w:val="000000"/>
                <w:sz w:val="18"/>
              </w:rPr>
              <w:t>գոլորշու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լավորակ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օդի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մատակարարում</w:t>
            </w:r>
          </w:p>
        </w:tc>
        <w:tc>
          <w:tcPr>
            <w:tcW w:w="0" w:type="auto"/>
          </w:tcPr>
          <w:p w14:paraId="2959CF78" w14:textId="1C5F8481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249</w:t>
            </w:r>
          </w:p>
        </w:tc>
        <w:tc>
          <w:tcPr>
            <w:tcW w:w="0" w:type="auto"/>
            <w:noWrap/>
          </w:tcPr>
          <w:p w14:paraId="2959CF79" w14:textId="176B191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132</w:t>
            </w:r>
          </w:p>
        </w:tc>
        <w:tc>
          <w:tcPr>
            <w:tcW w:w="0" w:type="auto"/>
            <w:noWrap/>
          </w:tcPr>
          <w:p w14:paraId="2959CF7A" w14:textId="02AF359F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107</w:t>
            </w:r>
          </w:p>
        </w:tc>
        <w:tc>
          <w:tcPr>
            <w:tcW w:w="0" w:type="auto"/>
            <w:noWrap/>
          </w:tcPr>
          <w:p w14:paraId="2959CF7B" w14:textId="77777777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4</w:t>
            </w:r>
          </w:p>
        </w:tc>
      </w:tr>
      <w:tr w:rsidR="008C2C81" w:rsidRPr="002D7DB7" w14:paraId="2959CF82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7D" w14:textId="50522702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E. </w:t>
            </w:r>
            <w:r w:rsidRPr="002D7DB7">
              <w:rPr>
                <w:rFonts w:cs="Sylfaen"/>
                <w:color w:val="000000"/>
                <w:sz w:val="18"/>
              </w:rPr>
              <w:t>Ջրամատակարարում</w:t>
            </w:r>
            <w:r w:rsidRPr="002D7DB7">
              <w:rPr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color w:val="000000"/>
                <w:sz w:val="18"/>
              </w:rPr>
              <w:t>կոյուղի</w:t>
            </w:r>
            <w:r w:rsidRPr="002D7DB7">
              <w:rPr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color w:val="000000"/>
                <w:sz w:val="18"/>
              </w:rPr>
              <w:t>թափոնների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կառավարում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վերամշակում</w:t>
            </w:r>
          </w:p>
        </w:tc>
        <w:tc>
          <w:tcPr>
            <w:tcW w:w="0" w:type="auto"/>
          </w:tcPr>
          <w:p w14:paraId="2959CF7E" w14:textId="16A8BE33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83</w:t>
            </w:r>
          </w:p>
        </w:tc>
        <w:tc>
          <w:tcPr>
            <w:tcW w:w="0" w:type="auto"/>
            <w:noWrap/>
          </w:tcPr>
          <w:p w14:paraId="2959CF7F" w14:textId="62956F2A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63</w:t>
            </w:r>
          </w:p>
        </w:tc>
        <w:tc>
          <w:tcPr>
            <w:tcW w:w="0" w:type="auto"/>
            <w:noWrap/>
          </w:tcPr>
          <w:p w14:paraId="2959CF80" w14:textId="19D6776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0" w:type="auto"/>
            <w:noWrap/>
          </w:tcPr>
          <w:p w14:paraId="2959CF81" w14:textId="77777777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-</w:t>
            </w:r>
          </w:p>
        </w:tc>
      </w:tr>
      <w:tr w:rsidR="008C2C81" w:rsidRPr="002D7DB7" w14:paraId="2959CF88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83" w14:textId="77777777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F. </w:t>
            </w:r>
            <w:r w:rsidRPr="002D7DB7">
              <w:rPr>
                <w:rFonts w:cs="Sylfaen"/>
                <w:color w:val="000000"/>
                <w:sz w:val="18"/>
              </w:rPr>
              <w:t>Շինարարություն</w:t>
            </w:r>
          </w:p>
        </w:tc>
        <w:tc>
          <w:tcPr>
            <w:tcW w:w="0" w:type="auto"/>
          </w:tcPr>
          <w:p w14:paraId="2959CF84" w14:textId="53B049EB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1 517</w:t>
            </w:r>
          </w:p>
        </w:tc>
        <w:tc>
          <w:tcPr>
            <w:tcW w:w="0" w:type="auto"/>
            <w:noWrap/>
          </w:tcPr>
          <w:p w14:paraId="2959CF85" w14:textId="2D10947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1 120</w:t>
            </w:r>
          </w:p>
        </w:tc>
        <w:tc>
          <w:tcPr>
            <w:tcW w:w="0" w:type="auto"/>
            <w:noWrap/>
          </w:tcPr>
          <w:p w14:paraId="2959CF86" w14:textId="701D4A43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313</w:t>
            </w:r>
          </w:p>
        </w:tc>
        <w:tc>
          <w:tcPr>
            <w:tcW w:w="0" w:type="auto"/>
            <w:noWrap/>
          </w:tcPr>
          <w:p w14:paraId="2959CF87" w14:textId="2EB6D7CA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75</w:t>
            </w:r>
          </w:p>
        </w:tc>
      </w:tr>
      <w:tr w:rsidR="008C2C81" w:rsidRPr="002D7DB7" w14:paraId="2959CF8E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89" w14:textId="06ADDE38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G. </w:t>
            </w:r>
            <w:r w:rsidRPr="002D7DB7">
              <w:rPr>
                <w:rFonts w:cs="Sylfaen"/>
                <w:color w:val="000000"/>
                <w:sz w:val="18"/>
              </w:rPr>
              <w:t>Մեծածախ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մանրածախ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առևտուր</w:t>
            </w:r>
            <w:r w:rsidRPr="002D7DB7">
              <w:rPr>
                <w:color w:val="000000"/>
                <w:sz w:val="18"/>
              </w:rPr>
              <w:t>.</w:t>
            </w:r>
            <w:r w:rsidR="00742FB6" w:rsidRPr="002D7DB7">
              <w:rPr>
                <w:color w:val="000000"/>
                <w:sz w:val="18"/>
              </w:rPr>
              <w:t xml:space="preserve"> </w:t>
            </w:r>
            <w:r w:rsidRPr="002D7DB7">
              <w:rPr>
                <w:color w:val="000000"/>
                <w:sz w:val="18"/>
              </w:rPr>
              <w:t xml:space="preserve"> </w:t>
            </w:r>
            <w:r w:rsidR="00742FB6" w:rsidRPr="002D7DB7">
              <w:rPr>
                <w:rFonts w:cs="Sylfaen"/>
                <w:color w:val="000000"/>
                <w:sz w:val="18"/>
              </w:rPr>
              <w:t>Ա</w:t>
            </w:r>
            <w:r w:rsidRPr="002D7DB7">
              <w:rPr>
                <w:rFonts w:cs="Sylfaen"/>
                <w:color w:val="000000"/>
                <w:sz w:val="18"/>
              </w:rPr>
              <w:t>վտոմեքենաների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մոտոցիկլների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նորոգում</w:t>
            </w:r>
          </w:p>
        </w:tc>
        <w:tc>
          <w:tcPr>
            <w:tcW w:w="0" w:type="auto"/>
          </w:tcPr>
          <w:p w14:paraId="2959CF8A" w14:textId="37812624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>4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>4 093</w:t>
            </w:r>
          </w:p>
        </w:tc>
        <w:tc>
          <w:tcPr>
            <w:tcW w:w="0" w:type="auto"/>
            <w:noWrap/>
          </w:tcPr>
          <w:p w14:paraId="2959CF8B" w14:textId="70A11109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42 940</w:t>
            </w:r>
          </w:p>
        </w:tc>
        <w:tc>
          <w:tcPr>
            <w:tcW w:w="0" w:type="auto"/>
            <w:noWrap/>
          </w:tcPr>
          <w:p w14:paraId="2959CF8C" w14:textId="6E177DE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998</w:t>
            </w:r>
          </w:p>
        </w:tc>
        <w:tc>
          <w:tcPr>
            <w:tcW w:w="0" w:type="auto"/>
            <w:noWrap/>
          </w:tcPr>
          <w:p w14:paraId="2959CF8D" w14:textId="1646F073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1</w:t>
            </w:r>
            <w:r w:rsidR="00A86C96">
              <w:rPr>
                <w:color w:val="000000"/>
                <w:sz w:val="20"/>
                <w:lang w:val="en-US"/>
              </w:rPr>
              <w:t>33</w:t>
            </w:r>
          </w:p>
        </w:tc>
      </w:tr>
      <w:tr w:rsidR="008C2C81" w:rsidRPr="002D7DB7" w14:paraId="2959CF94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8F" w14:textId="308B599A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H. </w:t>
            </w:r>
            <w:r w:rsidRPr="002D7DB7">
              <w:rPr>
                <w:rFonts w:cs="Sylfaen"/>
                <w:color w:val="000000"/>
                <w:sz w:val="18"/>
              </w:rPr>
              <w:t>Փոխադրումներ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պահեստային</w:t>
            </w:r>
            <w:r w:rsidR="00742FB6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տնտեսություն</w:t>
            </w:r>
          </w:p>
        </w:tc>
        <w:tc>
          <w:tcPr>
            <w:tcW w:w="0" w:type="auto"/>
          </w:tcPr>
          <w:p w14:paraId="2959CF90" w14:textId="3A832F4A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 xml:space="preserve">1 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>739</w:t>
            </w:r>
          </w:p>
        </w:tc>
        <w:tc>
          <w:tcPr>
            <w:tcW w:w="0" w:type="auto"/>
            <w:noWrap/>
          </w:tcPr>
          <w:p w14:paraId="2959CF91" w14:textId="55B9F69C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1 489</w:t>
            </w:r>
          </w:p>
        </w:tc>
        <w:tc>
          <w:tcPr>
            <w:tcW w:w="0" w:type="auto"/>
            <w:noWrap/>
          </w:tcPr>
          <w:p w14:paraId="2959CF92" w14:textId="5A369882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205</w:t>
            </w:r>
          </w:p>
        </w:tc>
        <w:tc>
          <w:tcPr>
            <w:tcW w:w="0" w:type="auto"/>
            <w:noWrap/>
          </w:tcPr>
          <w:p w14:paraId="2959CF93" w14:textId="7B85AB42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34</w:t>
            </w:r>
          </w:p>
        </w:tc>
      </w:tr>
      <w:tr w:rsidR="008C2C81" w:rsidRPr="002D7DB7" w14:paraId="2959CF9A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95" w14:textId="47D5ACAF" w:rsidR="008C2C81" w:rsidRPr="00FF6FFC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I.</w:t>
            </w:r>
            <w:r w:rsidRPr="002D7DB7">
              <w:rPr>
                <w:rFonts w:cs="Sylfaen"/>
                <w:color w:val="000000"/>
                <w:sz w:val="18"/>
              </w:rPr>
              <w:t>Կացության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հանրային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սննդի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կազմակերպում</w:t>
            </w:r>
          </w:p>
        </w:tc>
        <w:tc>
          <w:tcPr>
            <w:tcW w:w="0" w:type="auto"/>
          </w:tcPr>
          <w:p w14:paraId="2959CF96" w14:textId="520802BB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4 053</w:t>
            </w:r>
          </w:p>
        </w:tc>
        <w:tc>
          <w:tcPr>
            <w:tcW w:w="0" w:type="auto"/>
            <w:noWrap/>
          </w:tcPr>
          <w:p w14:paraId="2959CF97" w14:textId="185D8E3D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3 444</w:t>
            </w:r>
          </w:p>
        </w:tc>
        <w:tc>
          <w:tcPr>
            <w:tcW w:w="0" w:type="auto"/>
            <w:noWrap/>
          </w:tcPr>
          <w:p w14:paraId="2959CF98" w14:textId="58266684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532</w:t>
            </w:r>
          </w:p>
        </w:tc>
        <w:tc>
          <w:tcPr>
            <w:tcW w:w="0" w:type="auto"/>
            <w:noWrap/>
          </w:tcPr>
          <w:p w14:paraId="2959CF99" w14:textId="5437C42C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72</w:t>
            </w:r>
          </w:p>
        </w:tc>
      </w:tr>
      <w:tr w:rsidR="008C2C81" w:rsidRPr="002D7DB7" w14:paraId="2959CFA0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9B" w14:textId="4219CD93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J. </w:t>
            </w:r>
            <w:r w:rsidRPr="002D7DB7">
              <w:rPr>
                <w:rFonts w:cs="Sylfaen"/>
                <w:color w:val="000000"/>
                <w:sz w:val="18"/>
              </w:rPr>
              <w:t>Տեղեկատվություն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կապ</w:t>
            </w:r>
          </w:p>
        </w:tc>
        <w:tc>
          <w:tcPr>
            <w:tcW w:w="0" w:type="auto"/>
          </w:tcPr>
          <w:p w14:paraId="2959CF9C" w14:textId="7A6DAD3D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2 161</w:t>
            </w:r>
          </w:p>
        </w:tc>
        <w:tc>
          <w:tcPr>
            <w:tcW w:w="0" w:type="auto"/>
            <w:noWrap/>
          </w:tcPr>
          <w:p w14:paraId="2959CF9D" w14:textId="5C9BF485" w:rsidR="008C2C81" w:rsidRPr="00A755CA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 w:rsidRPr="002D7DB7">
              <w:rPr>
                <w:color w:val="000000"/>
                <w:sz w:val="20"/>
              </w:rPr>
              <w:t xml:space="preserve">1 </w:t>
            </w:r>
            <w:r w:rsidR="00A86C96">
              <w:rPr>
                <w:color w:val="000000"/>
                <w:sz w:val="20"/>
                <w:lang w:val="en-US"/>
              </w:rPr>
              <w:t>817</w:t>
            </w:r>
          </w:p>
        </w:tc>
        <w:tc>
          <w:tcPr>
            <w:tcW w:w="0" w:type="auto"/>
            <w:noWrap/>
          </w:tcPr>
          <w:p w14:paraId="2959CF9E" w14:textId="660079CA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288</w:t>
            </w:r>
          </w:p>
        </w:tc>
        <w:tc>
          <w:tcPr>
            <w:tcW w:w="0" w:type="auto"/>
            <w:noWrap/>
          </w:tcPr>
          <w:p w14:paraId="2959CF9F" w14:textId="3B4D34AB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4</w:t>
            </w:r>
            <w:r w:rsidR="00A86C96">
              <w:rPr>
                <w:color w:val="000000"/>
                <w:sz w:val="20"/>
                <w:lang w:val="en-US"/>
              </w:rPr>
              <w:t>5</w:t>
            </w:r>
          </w:p>
        </w:tc>
      </w:tr>
      <w:tr w:rsidR="008C2C81" w:rsidRPr="002D7DB7" w14:paraId="2959CFA6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A1" w14:textId="76C15DC9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L. </w:t>
            </w:r>
            <w:r w:rsidRPr="002D7DB7">
              <w:rPr>
                <w:rFonts w:cs="Sylfaen"/>
                <w:color w:val="000000"/>
                <w:sz w:val="18"/>
              </w:rPr>
              <w:t>Անշարժ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գույքի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հետ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կապված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2959CFA2" w14:textId="1BEA4862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>1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 xml:space="preserve"> 764</w:t>
            </w:r>
          </w:p>
        </w:tc>
        <w:tc>
          <w:tcPr>
            <w:tcW w:w="0" w:type="auto"/>
            <w:noWrap/>
          </w:tcPr>
          <w:p w14:paraId="2959CFA3" w14:textId="05E79D4A" w:rsidR="008C2C81" w:rsidRPr="00A755CA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 w:rsidRPr="002D7DB7">
              <w:rPr>
                <w:color w:val="000000"/>
                <w:sz w:val="20"/>
              </w:rPr>
              <w:t xml:space="preserve">1 </w:t>
            </w:r>
            <w:r w:rsidR="00A86C96">
              <w:rPr>
                <w:color w:val="000000"/>
                <w:sz w:val="20"/>
                <w:lang w:val="en-US"/>
              </w:rPr>
              <w:t>647</w:t>
            </w:r>
          </w:p>
        </w:tc>
        <w:tc>
          <w:tcPr>
            <w:tcW w:w="0" w:type="auto"/>
            <w:noWrap/>
          </w:tcPr>
          <w:p w14:paraId="2959CFA4" w14:textId="2189D083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109</w:t>
            </w:r>
          </w:p>
        </w:tc>
        <w:tc>
          <w:tcPr>
            <w:tcW w:w="0" w:type="auto"/>
            <w:noWrap/>
          </w:tcPr>
          <w:p w14:paraId="2959CFA5" w14:textId="3F110702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</w:tr>
      <w:tr w:rsidR="008C2C81" w:rsidRPr="002D7DB7" w14:paraId="2959CFAC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A7" w14:textId="6A9DD1E3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M. </w:t>
            </w:r>
            <w:r w:rsidRPr="002D7DB7">
              <w:rPr>
                <w:rFonts w:cs="Sylfaen"/>
                <w:color w:val="000000"/>
                <w:sz w:val="18"/>
              </w:rPr>
              <w:t>Մասնագիտական</w:t>
            </w:r>
            <w:r w:rsidRPr="002D7DB7">
              <w:rPr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color w:val="000000"/>
                <w:sz w:val="18"/>
              </w:rPr>
              <w:t>գիտական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տեխնիկական</w:t>
            </w:r>
            <w:r w:rsidR="00140B02" w:rsidRPr="002D7DB7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2959CFA8" w14:textId="0B46B444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 xml:space="preserve">3 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>607</w:t>
            </w:r>
          </w:p>
        </w:tc>
        <w:tc>
          <w:tcPr>
            <w:tcW w:w="0" w:type="auto"/>
            <w:noWrap/>
          </w:tcPr>
          <w:p w14:paraId="2959CFA9" w14:textId="327E54B1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3 369</w:t>
            </w:r>
          </w:p>
        </w:tc>
        <w:tc>
          <w:tcPr>
            <w:tcW w:w="0" w:type="auto"/>
            <w:noWrap/>
          </w:tcPr>
          <w:p w14:paraId="2959CFAA" w14:textId="3383E8C9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208</w:t>
            </w:r>
          </w:p>
        </w:tc>
        <w:tc>
          <w:tcPr>
            <w:tcW w:w="0" w:type="auto"/>
            <w:noWrap/>
          </w:tcPr>
          <w:p w14:paraId="2959CFAB" w14:textId="668642BB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2</w:t>
            </w:r>
            <w:r w:rsidR="00A86C96">
              <w:rPr>
                <w:color w:val="000000"/>
                <w:sz w:val="20"/>
                <w:lang w:val="en-US"/>
              </w:rPr>
              <w:t>9</w:t>
            </w:r>
          </w:p>
        </w:tc>
      </w:tr>
      <w:tr w:rsidR="008C2C81" w:rsidRPr="002D7DB7" w14:paraId="2959CFB2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AD" w14:textId="5537E878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 xml:space="preserve">N. </w:t>
            </w:r>
            <w:r w:rsidRPr="002D7DB7">
              <w:rPr>
                <w:rFonts w:cs="Sylfaen"/>
                <w:color w:val="000000"/>
                <w:sz w:val="18"/>
              </w:rPr>
              <w:t>Վարչարարական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և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օժանդակ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2959CFAE" w14:textId="47BAE65C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 xml:space="preserve">1 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>971</w:t>
            </w:r>
          </w:p>
        </w:tc>
        <w:tc>
          <w:tcPr>
            <w:tcW w:w="0" w:type="auto"/>
            <w:noWrap/>
          </w:tcPr>
          <w:p w14:paraId="2959CFAF" w14:textId="514034F7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 xml:space="preserve">1 </w:t>
            </w:r>
            <w:r w:rsidR="00A86C96">
              <w:rPr>
                <w:color w:val="000000"/>
                <w:sz w:val="20"/>
                <w:lang w:val="en-US"/>
              </w:rPr>
              <w:t>747</w:t>
            </w:r>
          </w:p>
        </w:tc>
        <w:tc>
          <w:tcPr>
            <w:tcW w:w="0" w:type="auto"/>
            <w:noWrap/>
          </w:tcPr>
          <w:p w14:paraId="2959CFB0" w14:textId="273CCE89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171</w:t>
            </w:r>
          </w:p>
        </w:tc>
        <w:tc>
          <w:tcPr>
            <w:tcW w:w="0" w:type="auto"/>
            <w:noWrap/>
          </w:tcPr>
          <w:p w14:paraId="2959CFB1" w14:textId="62CC1956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48</w:t>
            </w:r>
          </w:p>
        </w:tc>
      </w:tr>
      <w:tr w:rsidR="008C2C81" w:rsidRPr="002D7DB7" w14:paraId="2959CFB8" w14:textId="77777777" w:rsidTr="0038657B">
        <w:trPr>
          <w:trHeight w:hRule="exact"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B3" w14:textId="3F8451C0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i/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S.</w:t>
            </w:r>
            <w:r w:rsidRPr="002D7DB7">
              <w:rPr>
                <w:rFonts w:cs="Sylfaen"/>
                <w:color w:val="000000"/>
                <w:sz w:val="18"/>
              </w:rPr>
              <w:t>Սպասարկման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այլ</w:t>
            </w:r>
            <w:r w:rsidR="00FF6FFC">
              <w:rPr>
                <w:rFonts w:cs="Sylfaen"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color w:val="000000"/>
                <w:sz w:val="18"/>
              </w:rPr>
              <w:t>ծառայություններ</w:t>
            </w:r>
            <w:r w:rsidRPr="002D7DB7">
              <w:rPr>
                <w:i/>
                <w:color w:val="000000"/>
                <w:sz w:val="18"/>
              </w:rPr>
              <w:t xml:space="preserve">.  </w:t>
            </w:r>
            <w:r w:rsidRPr="002D7DB7">
              <w:rPr>
                <w:rFonts w:cs="Sylfaen"/>
                <w:i/>
                <w:color w:val="000000"/>
                <w:sz w:val="18"/>
              </w:rPr>
              <w:t>Համակարգիչների</w:t>
            </w:r>
            <w:r w:rsidRPr="002D7DB7">
              <w:rPr>
                <w:i/>
                <w:color w:val="000000"/>
                <w:sz w:val="18"/>
              </w:rPr>
              <w:t xml:space="preserve">, </w:t>
            </w:r>
            <w:r w:rsidRPr="002D7DB7">
              <w:rPr>
                <w:rFonts w:cs="Sylfaen"/>
                <w:i/>
                <w:color w:val="000000"/>
                <w:sz w:val="18"/>
              </w:rPr>
              <w:t>անձնական</w:t>
            </w:r>
            <w:r w:rsidR="00FF6FFC">
              <w:rPr>
                <w:rFonts w:cs="Sylfaen"/>
                <w:i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i/>
                <w:color w:val="000000"/>
                <w:sz w:val="18"/>
              </w:rPr>
              <w:t>օգտագործման</w:t>
            </w:r>
            <w:r w:rsidR="00FF6FFC">
              <w:rPr>
                <w:rFonts w:cs="Sylfaen"/>
                <w:i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i/>
                <w:color w:val="000000"/>
                <w:sz w:val="18"/>
              </w:rPr>
              <w:t>և</w:t>
            </w:r>
            <w:r w:rsidR="00FF6FFC">
              <w:rPr>
                <w:rFonts w:cs="Sylfaen"/>
                <w:i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i/>
                <w:color w:val="000000"/>
                <w:sz w:val="18"/>
              </w:rPr>
              <w:t>կենցաղային</w:t>
            </w:r>
            <w:r w:rsidR="00FF6FFC">
              <w:rPr>
                <w:rFonts w:cs="Sylfaen"/>
                <w:i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i/>
                <w:color w:val="000000"/>
                <w:sz w:val="18"/>
              </w:rPr>
              <w:t>արտադրատեսակների</w:t>
            </w:r>
            <w:r w:rsidR="00FF6FFC">
              <w:rPr>
                <w:rFonts w:cs="Sylfaen"/>
                <w:i/>
                <w:color w:val="000000"/>
                <w:sz w:val="18"/>
              </w:rPr>
              <w:t xml:space="preserve"> </w:t>
            </w:r>
            <w:r w:rsidRPr="002D7DB7">
              <w:rPr>
                <w:rFonts w:cs="Sylfaen"/>
                <w:i/>
                <w:color w:val="000000"/>
                <w:sz w:val="18"/>
              </w:rPr>
              <w:t>նորոգում</w:t>
            </w:r>
            <w:r w:rsidRPr="002D7DB7">
              <w:rPr>
                <w:rStyle w:val="FootnoteReference"/>
                <w:rFonts w:cs="Sylfaen"/>
                <w:i/>
                <w:color w:val="000000"/>
                <w:sz w:val="18"/>
              </w:rPr>
              <w:footnoteReference w:id="10"/>
            </w:r>
          </w:p>
        </w:tc>
        <w:tc>
          <w:tcPr>
            <w:tcW w:w="0" w:type="auto"/>
          </w:tcPr>
          <w:p w14:paraId="2959CFB4" w14:textId="4AF4E197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488</w:t>
            </w:r>
          </w:p>
        </w:tc>
        <w:tc>
          <w:tcPr>
            <w:tcW w:w="0" w:type="auto"/>
            <w:noWrap/>
          </w:tcPr>
          <w:p w14:paraId="2959CFB5" w14:textId="2F7F4688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475</w:t>
            </w:r>
          </w:p>
        </w:tc>
        <w:tc>
          <w:tcPr>
            <w:tcW w:w="0" w:type="auto"/>
            <w:noWrap/>
          </w:tcPr>
          <w:p w14:paraId="2959CFB6" w14:textId="40C19FBB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1</w:t>
            </w:r>
            <w:r w:rsidR="00A86C96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0" w:type="auto"/>
            <w:noWrap/>
          </w:tcPr>
          <w:p w14:paraId="2959CFB7" w14:textId="77777777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1</w:t>
            </w:r>
          </w:p>
        </w:tc>
      </w:tr>
      <w:tr w:rsidR="008C2C81" w:rsidRPr="002D7DB7" w14:paraId="2959CFBE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9CFB9" w14:textId="77777777" w:rsidR="008C2C81" w:rsidRPr="002D7DB7" w:rsidRDefault="008C2C81" w:rsidP="00FC60C0">
            <w:pPr>
              <w:spacing w:line="276" w:lineRule="auto"/>
              <w:ind w:firstLine="0"/>
              <w:contextualSpacing/>
              <w:rPr>
                <w:b w:val="0"/>
                <w:color w:val="000000"/>
                <w:sz w:val="18"/>
              </w:rPr>
            </w:pPr>
            <w:r w:rsidRPr="002D7DB7">
              <w:rPr>
                <w:rFonts w:cs="Sylfaen"/>
                <w:color w:val="000000"/>
              </w:rPr>
              <w:t>Ընդամենը</w:t>
            </w:r>
          </w:p>
        </w:tc>
        <w:tc>
          <w:tcPr>
            <w:tcW w:w="0" w:type="auto"/>
          </w:tcPr>
          <w:p w14:paraId="2959CFBA" w14:textId="5F1997FB" w:rsidR="008C2C81" w:rsidRPr="002D7DB7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68 780</w:t>
            </w:r>
          </w:p>
        </w:tc>
        <w:tc>
          <w:tcPr>
            <w:tcW w:w="0" w:type="auto"/>
            <w:noWrap/>
          </w:tcPr>
          <w:p w14:paraId="2959CFBB" w14:textId="73E86A39" w:rsidR="008C2C81" w:rsidRPr="00A755CA" w:rsidRDefault="00A86C96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64 344</w:t>
            </w:r>
          </w:p>
        </w:tc>
        <w:tc>
          <w:tcPr>
            <w:tcW w:w="0" w:type="auto"/>
            <w:noWrap/>
          </w:tcPr>
          <w:p w14:paraId="2959CFBC" w14:textId="363FF815" w:rsidR="008C2C81" w:rsidRPr="002D7DB7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b/>
                <w:bCs/>
                <w:color w:val="000000"/>
                <w:sz w:val="20"/>
              </w:rPr>
              <w:t xml:space="preserve">3 </w:t>
            </w:r>
            <w:r w:rsidR="00A86C96">
              <w:rPr>
                <w:b/>
                <w:bCs/>
                <w:color w:val="000000"/>
                <w:sz w:val="20"/>
                <w:lang w:val="en-US"/>
              </w:rPr>
              <w:t>686</w:t>
            </w:r>
          </w:p>
        </w:tc>
        <w:tc>
          <w:tcPr>
            <w:tcW w:w="0" w:type="auto"/>
            <w:noWrap/>
          </w:tcPr>
          <w:p w14:paraId="2959CFBD" w14:textId="77777777" w:rsidR="008C2C81" w:rsidRPr="00A755CA" w:rsidRDefault="008C2C81" w:rsidP="00FC60C0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n-US"/>
              </w:rPr>
            </w:pPr>
            <w:r w:rsidRPr="002D7DB7">
              <w:rPr>
                <w:b/>
                <w:bCs/>
                <w:color w:val="000000"/>
                <w:sz w:val="20"/>
              </w:rPr>
              <w:t>515</w:t>
            </w:r>
          </w:p>
        </w:tc>
      </w:tr>
    </w:tbl>
    <w:p w14:paraId="2959CFBF" w14:textId="4F1CFC58" w:rsidR="008C2C81" w:rsidRPr="002D7DB7" w:rsidRDefault="008C2C81" w:rsidP="00FC60C0">
      <w:pPr>
        <w:spacing w:before="240" w:after="0" w:line="276" w:lineRule="auto"/>
        <w:rPr>
          <w:rFonts w:eastAsia="MS Mincho" w:cs="MS Mincho"/>
          <w:i/>
          <w:sz w:val="18"/>
          <w:szCs w:val="18"/>
        </w:rPr>
      </w:pPr>
      <w:bookmarkStart w:id="25" w:name="_Toc1404937"/>
      <w:r w:rsidRPr="002D7DB7">
        <w:rPr>
          <w:i/>
          <w:sz w:val="18"/>
          <w:szCs w:val="18"/>
        </w:rPr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Pr="002D7DB7">
        <w:rPr>
          <w:i/>
          <w:sz w:val="18"/>
          <w:szCs w:val="18"/>
        </w:rPr>
        <w:t xml:space="preserve"> 201</w:t>
      </w:r>
      <w:r w:rsidR="00BE43E8" w:rsidRPr="00364637">
        <w:rPr>
          <w:i/>
          <w:sz w:val="18"/>
          <w:szCs w:val="18"/>
        </w:rPr>
        <w:t>9</w:t>
      </w:r>
      <w:r w:rsidRPr="002D7DB7">
        <w:rPr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bookmarkEnd w:id="25"/>
    <w:p w14:paraId="2959CFC0" w14:textId="163E45CB" w:rsidR="00D45265" w:rsidRPr="002D7DB7" w:rsidRDefault="00D45265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9</w:t>
      </w:r>
      <w:r w:rsidR="00C07F77" w:rsidRPr="002D7DB7">
        <w:fldChar w:fldCharType="end"/>
      </w:r>
      <w:r w:rsidRPr="002D7DB7">
        <w:t>Համախառն ավելացված արժեքի մասնաբաժինը ՀՆԱ-ում ըստ տնտեսական գործունեության տեսակների դասակարգչի բաժինների ու տնտեսավարողների չափերի, 201</w:t>
      </w:r>
      <w:r w:rsidR="00BE43E8" w:rsidRPr="00364637">
        <w:t>8</w:t>
      </w:r>
      <w:r w:rsidRPr="002D7DB7">
        <w:t>թ.</w:t>
      </w:r>
    </w:p>
    <w:tbl>
      <w:tblPr>
        <w:tblStyle w:val="ListTable3-Accent61"/>
        <w:tblW w:w="10260" w:type="dxa"/>
        <w:tblLook w:val="04A0" w:firstRow="1" w:lastRow="0" w:firstColumn="1" w:lastColumn="0" w:noHBand="0" w:noVBand="1"/>
      </w:tblPr>
      <w:tblGrid>
        <w:gridCol w:w="5850"/>
        <w:gridCol w:w="1440"/>
        <w:gridCol w:w="1710"/>
        <w:gridCol w:w="1260"/>
      </w:tblGrid>
      <w:tr w:rsidR="008C2C81" w:rsidRPr="002D7DB7" w14:paraId="2959CFC5" w14:textId="77777777" w:rsidTr="00A84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50" w:type="dxa"/>
            <w:vMerge w:val="restart"/>
          </w:tcPr>
          <w:p w14:paraId="2959CFC1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rPr>
                <w:b w:val="0"/>
                <w:bCs w:val="0"/>
                <w:color w:val="000000"/>
              </w:rPr>
            </w:pPr>
            <w:r w:rsidRPr="002D7DB7">
              <w:rPr>
                <w:rFonts w:eastAsiaTheme="minorEastAsia"/>
                <w:color w:val="000000" w:themeColor="text1"/>
              </w:rPr>
              <w:t>ՏԳՏԴ խմբ.2</w:t>
            </w:r>
          </w:p>
        </w:tc>
        <w:tc>
          <w:tcPr>
            <w:tcW w:w="1440" w:type="dxa"/>
            <w:vMerge w:val="restart"/>
          </w:tcPr>
          <w:p w14:paraId="2959CFC2" w14:textId="77777777" w:rsidR="008C2C81" w:rsidRPr="002D7DB7" w:rsidRDefault="008C2C81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Ընդամենը</w:t>
            </w:r>
          </w:p>
          <w:p w14:paraId="2959CFC3" w14:textId="77777777" w:rsidR="008C2C81" w:rsidRPr="002D7DB7" w:rsidRDefault="008C2C81" w:rsidP="00FC60C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2D7DB7">
              <w:rPr>
                <w:color w:val="000000"/>
                <w:sz w:val="20"/>
              </w:rPr>
              <w:t>(+խոշոր)</w:t>
            </w:r>
          </w:p>
        </w:tc>
        <w:tc>
          <w:tcPr>
            <w:tcW w:w="2970" w:type="dxa"/>
            <w:gridSpan w:val="2"/>
          </w:tcPr>
          <w:p w14:paraId="2959CFC4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այդ թվում</w:t>
            </w:r>
          </w:p>
        </w:tc>
      </w:tr>
      <w:tr w:rsidR="008C2C81" w:rsidRPr="002D7DB7" w14:paraId="2959CFCA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vMerge/>
          </w:tcPr>
          <w:p w14:paraId="2959CFC6" w14:textId="77777777" w:rsidR="008C2C81" w:rsidRPr="002D7DB7" w:rsidRDefault="008C2C81" w:rsidP="00FC60C0">
            <w:pPr>
              <w:spacing w:line="276" w:lineRule="auto"/>
              <w:ind w:firstLine="0"/>
              <w:rPr>
                <w:b w:val="0"/>
                <w:bCs w:val="0"/>
                <w:color w:val="000000"/>
              </w:rPr>
            </w:pPr>
          </w:p>
        </w:tc>
        <w:tc>
          <w:tcPr>
            <w:tcW w:w="1440" w:type="dxa"/>
            <w:vMerge/>
          </w:tcPr>
          <w:p w14:paraId="2959CFC7" w14:textId="77777777" w:rsidR="008C2C81" w:rsidRPr="002D7DB7" w:rsidRDefault="008C2C81" w:rsidP="00FC60C0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</w:tcPr>
          <w:p w14:paraId="2959CFC8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D7DB7">
              <w:rPr>
                <w:rFonts w:eastAsiaTheme="minorEastAsia"/>
                <w:color w:val="000000" w:themeColor="text1"/>
              </w:rPr>
              <w:t>գերփոքր, փոքր</w:t>
            </w:r>
          </w:p>
        </w:tc>
        <w:tc>
          <w:tcPr>
            <w:tcW w:w="1260" w:type="dxa"/>
          </w:tcPr>
          <w:p w14:paraId="2959CFC9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D7DB7">
              <w:rPr>
                <w:rFonts w:eastAsiaTheme="minorEastAsia"/>
                <w:color w:val="000000" w:themeColor="text1"/>
              </w:rPr>
              <w:t>միջին</w:t>
            </w:r>
          </w:p>
        </w:tc>
      </w:tr>
      <w:tr w:rsidR="00A86C96" w:rsidRPr="002D7DB7" w14:paraId="2959CFCF" w14:textId="77777777" w:rsidTr="00A755C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CB" w14:textId="77777777" w:rsidR="00A86C96" w:rsidRPr="002D7DB7" w:rsidRDefault="00A86C96" w:rsidP="00A86C96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B. Հանքագործական արդյունաբերություն և բացահանքերի շահագործում</w:t>
            </w:r>
          </w:p>
        </w:tc>
        <w:tc>
          <w:tcPr>
            <w:tcW w:w="1440" w:type="dxa"/>
            <w:vAlign w:val="center"/>
          </w:tcPr>
          <w:p w14:paraId="2959CFCC" w14:textId="42D038EC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710" w:type="dxa"/>
            <w:noWrap/>
            <w:vAlign w:val="center"/>
          </w:tcPr>
          <w:p w14:paraId="2959CFCD" w14:textId="492495F1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0" w:type="dxa"/>
            <w:noWrap/>
            <w:vAlign w:val="center"/>
          </w:tcPr>
          <w:p w14:paraId="2959CFCE" w14:textId="1B992116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0.1</w:t>
            </w:r>
          </w:p>
        </w:tc>
      </w:tr>
      <w:tr w:rsidR="00A86C96" w:rsidRPr="002D7DB7" w14:paraId="2959CFD4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D0" w14:textId="77777777" w:rsidR="00A86C96" w:rsidRPr="002D7DB7" w:rsidRDefault="00A86C96" w:rsidP="00A86C96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C. Մշակող արդյունաբերություն</w:t>
            </w:r>
          </w:p>
        </w:tc>
        <w:tc>
          <w:tcPr>
            <w:tcW w:w="1440" w:type="dxa"/>
            <w:vAlign w:val="center"/>
          </w:tcPr>
          <w:p w14:paraId="2959CFD1" w14:textId="5C96F6FF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1710" w:type="dxa"/>
            <w:noWrap/>
            <w:vAlign w:val="center"/>
          </w:tcPr>
          <w:p w14:paraId="2959CFD2" w14:textId="268E82B5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60" w:type="dxa"/>
            <w:noWrap/>
            <w:vAlign w:val="center"/>
          </w:tcPr>
          <w:p w14:paraId="2959CFD3" w14:textId="44392D13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1.9</w:t>
            </w:r>
          </w:p>
        </w:tc>
      </w:tr>
      <w:tr w:rsidR="00A86C96" w:rsidRPr="002D7DB7" w14:paraId="2959CFD9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D5" w14:textId="77777777" w:rsidR="00A86C96" w:rsidRPr="002D7DB7" w:rsidRDefault="00A86C96" w:rsidP="00A86C96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D. Էլեկտրականության, գազի, գոլորշու և լավորակ օդի մատակարարում</w:t>
            </w:r>
          </w:p>
        </w:tc>
        <w:tc>
          <w:tcPr>
            <w:tcW w:w="1440" w:type="dxa"/>
            <w:vAlign w:val="center"/>
          </w:tcPr>
          <w:p w14:paraId="2959CFD6" w14:textId="60830B24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10" w:type="dxa"/>
            <w:noWrap/>
            <w:vAlign w:val="center"/>
          </w:tcPr>
          <w:p w14:paraId="2959CFD7" w14:textId="1E4F4ABB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260" w:type="dxa"/>
            <w:noWrap/>
            <w:vAlign w:val="center"/>
          </w:tcPr>
          <w:p w14:paraId="2959CFD8" w14:textId="62F2BBED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0.4</w:t>
            </w:r>
          </w:p>
        </w:tc>
      </w:tr>
      <w:tr w:rsidR="00A86C96" w:rsidRPr="002D7DB7" w14:paraId="2959CFDE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DA" w14:textId="77777777" w:rsidR="00A86C96" w:rsidRPr="002D7DB7" w:rsidRDefault="00A86C96" w:rsidP="00A86C96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E. Ջրամատակարարում, կոյուղի, թափոնների կառավարում և վերամշակում</w:t>
            </w:r>
          </w:p>
        </w:tc>
        <w:tc>
          <w:tcPr>
            <w:tcW w:w="1440" w:type="dxa"/>
            <w:vAlign w:val="center"/>
          </w:tcPr>
          <w:p w14:paraId="2959CFDB" w14:textId="152064B1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710" w:type="dxa"/>
            <w:noWrap/>
            <w:vAlign w:val="center"/>
          </w:tcPr>
          <w:p w14:paraId="2959CFDC" w14:textId="16C39BDE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2959CFDD" w14:textId="693F44A6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86C96" w:rsidRPr="002D7DB7" w14:paraId="2959CFE3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DF" w14:textId="77777777" w:rsidR="00A86C96" w:rsidRPr="002D7DB7" w:rsidRDefault="00A86C96" w:rsidP="00A86C96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F. Շինարարություն</w:t>
            </w:r>
          </w:p>
        </w:tc>
        <w:tc>
          <w:tcPr>
            <w:tcW w:w="1440" w:type="dxa"/>
            <w:vAlign w:val="center"/>
          </w:tcPr>
          <w:p w14:paraId="2959CFE0" w14:textId="3B398C91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710" w:type="dxa"/>
            <w:noWrap/>
            <w:vAlign w:val="center"/>
          </w:tcPr>
          <w:p w14:paraId="2959CFE1" w14:textId="29D25E9C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60" w:type="dxa"/>
            <w:noWrap/>
            <w:vAlign w:val="center"/>
          </w:tcPr>
          <w:p w14:paraId="2959CFE2" w14:textId="0684488A" w:rsidR="00A86C96" w:rsidRPr="002D7DB7" w:rsidRDefault="00A86C96" w:rsidP="00A86C96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BA1059" w:rsidRPr="002D7DB7" w14:paraId="60173D6B" w14:textId="77777777" w:rsidTr="00BA1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shd w:val="clear" w:color="auto" w:fill="758085" w:themeFill="accent6"/>
          </w:tcPr>
          <w:p w14:paraId="772B0EEC" w14:textId="7C1890E2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rFonts w:eastAsiaTheme="minorEastAsia"/>
                <w:color w:val="000000" w:themeColor="text1"/>
              </w:rPr>
              <w:lastRenderedPageBreak/>
              <w:t>ՏԳՏԴ խմբ.2</w:t>
            </w:r>
          </w:p>
        </w:tc>
        <w:tc>
          <w:tcPr>
            <w:tcW w:w="1440" w:type="dxa"/>
            <w:shd w:val="clear" w:color="auto" w:fill="758085" w:themeFill="accent6"/>
          </w:tcPr>
          <w:p w14:paraId="557B3AAB" w14:textId="77777777" w:rsidR="00BA1059" w:rsidRPr="002D7DB7" w:rsidRDefault="00BA1059" w:rsidP="00BA105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D7DB7">
              <w:rPr>
                <w:color w:val="000000"/>
                <w:sz w:val="20"/>
              </w:rPr>
              <w:t>Ընդամենը</w:t>
            </w:r>
          </w:p>
          <w:p w14:paraId="49E86F97" w14:textId="738682AB" w:rsidR="00BA1059" w:rsidRPr="00303A8F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2D7DB7">
              <w:rPr>
                <w:color w:val="000000"/>
                <w:sz w:val="20"/>
              </w:rPr>
              <w:t>(+խոշոր)</w:t>
            </w:r>
          </w:p>
        </w:tc>
        <w:tc>
          <w:tcPr>
            <w:tcW w:w="1710" w:type="dxa"/>
            <w:shd w:val="clear" w:color="auto" w:fill="758085" w:themeFill="accent6"/>
            <w:noWrap/>
          </w:tcPr>
          <w:p w14:paraId="750DD76F" w14:textId="0A4FBE14" w:rsidR="00BA1059" w:rsidRPr="00303A8F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2D7DB7">
              <w:rPr>
                <w:color w:val="000000"/>
                <w:sz w:val="20"/>
              </w:rPr>
              <w:t>այդ թվում</w:t>
            </w:r>
          </w:p>
        </w:tc>
        <w:tc>
          <w:tcPr>
            <w:tcW w:w="1260" w:type="dxa"/>
            <w:shd w:val="clear" w:color="auto" w:fill="758085" w:themeFill="accent6"/>
            <w:noWrap/>
          </w:tcPr>
          <w:p w14:paraId="2F0EA686" w14:textId="303BC4BB" w:rsidR="00BA1059" w:rsidRPr="00303A8F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2D7DB7">
              <w:rPr>
                <w:rFonts w:eastAsiaTheme="minorEastAsia"/>
                <w:color w:val="000000" w:themeColor="text1"/>
              </w:rPr>
              <w:t>ՏԳՏԴ խմբ.2</w:t>
            </w:r>
          </w:p>
        </w:tc>
      </w:tr>
      <w:tr w:rsidR="00BA1059" w:rsidRPr="002D7DB7" w14:paraId="6C53E85A" w14:textId="77777777" w:rsidTr="00BA10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shd w:val="clear" w:color="auto" w:fill="758085" w:themeFill="accent6"/>
          </w:tcPr>
          <w:p w14:paraId="6522C431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40" w:type="dxa"/>
            <w:shd w:val="clear" w:color="auto" w:fill="758085" w:themeFill="accent6"/>
          </w:tcPr>
          <w:p w14:paraId="01CD6F16" w14:textId="77777777" w:rsidR="00BA1059" w:rsidRPr="002D7DB7" w:rsidRDefault="00BA1059" w:rsidP="00BA105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10" w:type="dxa"/>
            <w:noWrap/>
          </w:tcPr>
          <w:p w14:paraId="412B45F5" w14:textId="0102D499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D7DB7">
              <w:rPr>
                <w:rFonts w:eastAsiaTheme="minorEastAsia"/>
                <w:color w:val="000000" w:themeColor="text1"/>
              </w:rPr>
              <w:t>գերփոքր, փոքր</w:t>
            </w:r>
          </w:p>
        </w:tc>
        <w:tc>
          <w:tcPr>
            <w:tcW w:w="1260" w:type="dxa"/>
            <w:noWrap/>
          </w:tcPr>
          <w:p w14:paraId="34278CDE" w14:textId="64A2ABCD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D7DB7">
              <w:rPr>
                <w:rFonts w:eastAsiaTheme="minorEastAsia"/>
                <w:color w:val="000000" w:themeColor="text1"/>
              </w:rPr>
              <w:t>միջին</w:t>
            </w:r>
          </w:p>
        </w:tc>
      </w:tr>
      <w:tr w:rsidR="00BA1059" w:rsidRPr="002D7DB7" w14:paraId="2959CFE8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E4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G. Մեծածախ և մանրածախ առևտուր. ավտոմեքենաների և մոտոցիկլների նորոգում</w:t>
            </w:r>
          </w:p>
        </w:tc>
        <w:tc>
          <w:tcPr>
            <w:tcW w:w="1440" w:type="dxa"/>
            <w:vAlign w:val="center"/>
          </w:tcPr>
          <w:p w14:paraId="2959CFE5" w14:textId="1BDF7CA6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710" w:type="dxa"/>
            <w:noWrap/>
            <w:vAlign w:val="center"/>
          </w:tcPr>
          <w:p w14:paraId="2959CFE6" w14:textId="67BDADB7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1260" w:type="dxa"/>
            <w:noWrap/>
            <w:vAlign w:val="center"/>
          </w:tcPr>
          <w:p w14:paraId="2959CFE7" w14:textId="72BE3545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1.6</w:t>
            </w:r>
          </w:p>
        </w:tc>
      </w:tr>
      <w:tr w:rsidR="00BA1059" w:rsidRPr="002D7DB7" w14:paraId="2959CFED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E9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H. Փոխադրումներ և պահեստային տնտեսություն</w:t>
            </w:r>
          </w:p>
        </w:tc>
        <w:tc>
          <w:tcPr>
            <w:tcW w:w="1440" w:type="dxa"/>
            <w:vAlign w:val="center"/>
          </w:tcPr>
          <w:p w14:paraId="2959CFEA" w14:textId="060E9893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710" w:type="dxa"/>
            <w:noWrap/>
            <w:vAlign w:val="center"/>
          </w:tcPr>
          <w:p w14:paraId="2959CFEB" w14:textId="78FFE04B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60" w:type="dxa"/>
            <w:noWrap/>
            <w:vAlign w:val="center"/>
          </w:tcPr>
          <w:p w14:paraId="2959CFEC" w14:textId="0B4C937D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0.6</w:t>
            </w:r>
          </w:p>
        </w:tc>
      </w:tr>
      <w:tr w:rsidR="00BA1059" w:rsidRPr="002D7DB7" w14:paraId="2959CFF2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EE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I.Կացության և հանրային սննդի կազմակերպում</w:t>
            </w:r>
          </w:p>
        </w:tc>
        <w:tc>
          <w:tcPr>
            <w:tcW w:w="1440" w:type="dxa"/>
            <w:vAlign w:val="center"/>
          </w:tcPr>
          <w:p w14:paraId="2959CFEF" w14:textId="13C2C7CD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710" w:type="dxa"/>
            <w:noWrap/>
            <w:vAlign w:val="center"/>
          </w:tcPr>
          <w:p w14:paraId="2959CFF0" w14:textId="3277CF73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60" w:type="dxa"/>
            <w:noWrap/>
            <w:vAlign w:val="center"/>
          </w:tcPr>
          <w:p w14:paraId="2959CFF1" w14:textId="395E4FA9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0.6</w:t>
            </w:r>
          </w:p>
        </w:tc>
      </w:tr>
      <w:tr w:rsidR="00BA1059" w:rsidRPr="002D7DB7" w14:paraId="2959CFF7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F3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J. Տեղեկատվություն և կապ</w:t>
            </w:r>
          </w:p>
        </w:tc>
        <w:tc>
          <w:tcPr>
            <w:tcW w:w="1440" w:type="dxa"/>
            <w:vAlign w:val="center"/>
          </w:tcPr>
          <w:p w14:paraId="2959CFF4" w14:textId="7222DAE9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710" w:type="dxa"/>
            <w:noWrap/>
            <w:vAlign w:val="center"/>
          </w:tcPr>
          <w:p w14:paraId="2959CFF5" w14:textId="3E3518A7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60" w:type="dxa"/>
            <w:noWrap/>
            <w:vAlign w:val="center"/>
          </w:tcPr>
          <w:p w14:paraId="2959CFF6" w14:textId="15FF89D3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0.6</w:t>
            </w:r>
          </w:p>
        </w:tc>
      </w:tr>
      <w:tr w:rsidR="00BA1059" w:rsidRPr="002D7DB7" w14:paraId="2959CFFC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F8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L. Անշարժ գույքի հետ կապված գործունեություն</w:t>
            </w:r>
          </w:p>
        </w:tc>
        <w:tc>
          <w:tcPr>
            <w:tcW w:w="1440" w:type="dxa"/>
            <w:vAlign w:val="center"/>
          </w:tcPr>
          <w:p w14:paraId="2959CFF9" w14:textId="07571E40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710" w:type="dxa"/>
            <w:noWrap/>
            <w:vAlign w:val="center"/>
          </w:tcPr>
          <w:p w14:paraId="2959CFFA" w14:textId="34303260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260" w:type="dxa"/>
            <w:noWrap/>
            <w:vAlign w:val="center"/>
          </w:tcPr>
          <w:p w14:paraId="2959CFFB" w14:textId="38095E66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0.1</w:t>
            </w:r>
          </w:p>
        </w:tc>
      </w:tr>
      <w:tr w:rsidR="00BA1059" w:rsidRPr="002D7DB7" w14:paraId="2959D001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CFFD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M. Մասնագիտական, գիտական և տեխնիկական գործունեություն</w:t>
            </w:r>
          </w:p>
        </w:tc>
        <w:tc>
          <w:tcPr>
            <w:tcW w:w="1440" w:type="dxa"/>
            <w:vAlign w:val="center"/>
          </w:tcPr>
          <w:p w14:paraId="2959CFFE" w14:textId="5A773A82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10" w:type="dxa"/>
            <w:noWrap/>
            <w:vAlign w:val="center"/>
          </w:tcPr>
          <w:p w14:paraId="2959CFFF" w14:textId="2B0C63B2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260" w:type="dxa"/>
            <w:noWrap/>
            <w:vAlign w:val="center"/>
          </w:tcPr>
          <w:p w14:paraId="2959D000" w14:textId="15596EAC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0.2</w:t>
            </w:r>
          </w:p>
        </w:tc>
      </w:tr>
      <w:tr w:rsidR="00BA1059" w:rsidRPr="002D7DB7" w14:paraId="2959D006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D002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N. Վարչարարական և օժանդակ գործունեություն</w:t>
            </w:r>
          </w:p>
        </w:tc>
        <w:tc>
          <w:tcPr>
            <w:tcW w:w="1440" w:type="dxa"/>
            <w:vAlign w:val="center"/>
          </w:tcPr>
          <w:p w14:paraId="2959D003" w14:textId="22F76925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710" w:type="dxa"/>
            <w:noWrap/>
            <w:vAlign w:val="center"/>
          </w:tcPr>
          <w:p w14:paraId="2959D004" w14:textId="08896DD0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260" w:type="dxa"/>
            <w:noWrap/>
            <w:vAlign w:val="center"/>
          </w:tcPr>
          <w:p w14:paraId="2959D005" w14:textId="1B466EF9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0.2</w:t>
            </w:r>
          </w:p>
        </w:tc>
      </w:tr>
      <w:tr w:rsidR="00BA1059" w:rsidRPr="002D7DB7" w14:paraId="2959D00B" w14:textId="77777777" w:rsidTr="00A755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D007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S95. Համակարգիչների, անձնական օգտագործման և կենցաղային արտադրատեսակների նորոգում</w:t>
            </w:r>
          </w:p>
        </w:tc>
        <w:tc>
          <w:tcPr>
            <w:tcW w:w="1440" w:type="dxa"/>
            <w:vAlign w:val="center"/>
          </w:tcPr>
          <w:p w14:paraId="2959D008" w14:textId="781C18F3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b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710" w:type="dxa"/>
            <w:noWrap/>
            <w:vAlign w:val="center"/>
          </w:tcPr>
          <w:p w14:paraId="2959D009" w14:textId="68F621F4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260" w:type="dxa"/>
            <w:noWrap/>
            <w:vAlign w:val="center"/>
          </w:tcPr>
          <w:p w14:paraId="2959D00A" w14:textId="45817B43" w:rsidR="00BA1059" w:rsidRPr="002D7DB7" w:rsidRDefault="00BA1059" w:rsidP="00BA1059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303A8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BA1059" w:rsidRPr="002D7DB7" w14:paraId="2959D010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959D00C" w14:textId="77777777" w:rsidR="00BA1059" w:rsidRPr="002D7DB7" w:rsidRDefault="00BA1059" w:rsidP="00BA1059">
            <w:pPr>
              <w:spacing w:line="276" w:lineRule="auto"/>
              <w:ind w:firstLine="0"/>
              <w:contextualSpacing/>
              <w:rPr>
                <w:b w:val="0"/>
                <w:color w:val="000000"/>
                <w:sz w:val="18"/>
              </w:rPr>
            </w:pPr>
            <w:r w:rsidRPr="002D7DB7">
              <w:rPr>
                <w:color w:val="000000"/>
                <w:sz w:val="18"/>
              </w:rPr>
              <w:t>Ընդամենը</w:t>
            </w:r>
          </w:p>
        </w:tc>
        <w:tc>
          <w:tcPr>
            <w:tcW w:w="1440" w:type="dxa"/>
            <w:vAlign w:val="center"/>
          </w:tcPr>
          <w:p w14:paraId="2959D00D" w14:textId="13628937" w:rsidR="00BA1059" w:rsidRPr="002D7DB7" w:rsidRDefault="00BA1059" w:rsidP="00BA1059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303A8F">
              <w:rPr>
                <w:b/>
                <w:bCs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1710" w:type="dxa"/>
            <w:noWrap/>
            <w:vAlign w:val="center"/>
          </w:tcPr>
          <w:p w14:paraId="2959D00E" w14:textId="4636CE95" w:rsidR="00BA1059" w:rsidRPr="002D7DB7" w:rsidRDefault="00BA1059" w:rsidP="00BA1059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303A8F">
              <w:rPr>
                <w:b/>
                <w:bCs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260" w:type="dxa"/>
            <w:noWrap/>
            <w:vAlign w:val="center"/>
          </w:tcPr>
          <w:p w14:paraId="2959D00F" w14:textId="3FA00E88" w:rsidR="00BA1059" w:rsidRPr="002D7DB7" w:rsidRDefault="00BA1059" w:rsidP="00BA1059">
            <w:pPr>
              <w:spacing w:line="276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303A8F">
              <w:rPr>
                <w:b/>
                <w:bCs/>
                <w:color w:val="000000"/>
                <w:sz w:val="18"/>
                <w:szCs w:val="18"/>
              </w:rPr>
              <w:t>7.7</w:t>
            </w:r>
          </w:p>
        </w:tc>
      </w:tr>
    </w:tbl>
    <w:p w14:paraId="2959D011" w14:textId="7A5A6087" w:rsidR="008C2C81" w:rsidRPr="002D7DB7" w:rsidRDefault="008C2C81" w:rsidP="00FC60C0">
      <w:pPr>
        <w:spacing w:before="240" w:after="0" w:line="276" w:lineRule="auto"/>
        <w:ind w:left="-90" w:hanging="360"/>
        <w:rPr>
          <w:rFonts w:eastAsia="MS Mincho" w:cs="MS Mincho"/>
          <w:i/>
          <w:sz w:val="18"/>
          <w:szCs w:val="18"/>
        </w:rPr>
      </w:pPr>
      <w:r w:rsidRPr="002D7DB7">
        <w:rPr>
          <w:i/>
          <w:sz w:val="18"/>
          <w:szCs w:val="18"/>
        </w:rPr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Pr="002D7DB7">
        <w:rPr>
          <w:i/>
          <w:sz w:val="18"/>
          <w:szCs w:val="18"/>
        </w:rPr>
        <w:t xml:space="preserve"> 201</w:t>
      </w:r>
      <w:r w:rsidR="00BE43E8" w:rsidRPr="00364637">
        <w:rPr>
          <w:i/>
          <w:sz w:val="18"/>
          <w:szCs w:val="18"/>
        </w:rPr>
        <w:t>9</w:t>
      </w:r>
      <w:r w:rsidRPr="002D7DB7">
        <w:rPr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p w14:paraId="2959D012" w14:textId="77777777" w:rsidR="001D7825" w:rsidRPr="002D7DB7" w:rsidRDefault="001D7825" w:rsidP="00FC60C0">
      <w:pPr>
        <w:pStyle w:val="Caption"/>
        <w:spacing w:after="0" w:line="276" w:lineRule="auto"/>
      </w:pPr>
    </w:p>
    <w:p w14:paraId="2959D016" w14:textId="0CEAF842" w:rsidR="00D45265" w:rsidRPr="002D7DB7" w:rsidRDefault="00D45265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10</w:t>
      </w:r>
      <w:r w:rsidR="00C07F77" w:rsidRPr="002D7DB7">
        <w:fldChar w:fldCharType="end"/>
      </w:r>
      <w:r w:rsidRPr="002D7DB7">
        <w:t>ՓՄՁ-ների թիվն ու խտությունը 1000 բնակչի հաշվով ըստ մարզերի</w:t>
      </w:r>
    </w:p>
    <w:tbl>
      <w:tblPr>
        <w:tblStyle w:val="ListTable3-Accent61"/>
        <w:tblW w:w="9828" w:type="dxa"/>
        <w:tblLook w:val="04A0" w:firstRow="1" w:lastRow="0" w:firstColumn="1" w:lastColumn="0" w:noHBand="0" w:noVBand="1"/>
      </w:tblPr>
      <w:tblGrid>
        <w:gridCol w:w="2198"/>
        <w:gridCol w:w="2342"/>
        <w:gridCol w:w="1182"/>
        <w:gridCol w:w="1943"/>
        <w:gridCol w:w="2163"/>
      </w:tblGrid>
      <w:tr w:rsidR="008C2C81" w:rsidRPr="002D7DB7" w14:paraId="2959D01D" w14:textId="77777777" w:rsidTr="00D4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8" w:type="dxa"/>
          </w:tcPr>
          <w:p w14:paraId="2959D017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Մարզ</w:t>
            </w:r>
          </w:p>
        </w:tc>
        <w:tc>
          <w:tcPr>
            <w:tcW w:w="2342" w:type="dxa"/>
          </w:tcPr>
          <w:p w14:paraId="2959D018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Բնակչության թիվը՝</w:t>
            </w:r>
          </w:p>
          <w:p w14:paraId="2959D019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(հազ</w:t>
            </w:r>
            <w:r w:rsidRPr="002D7DB7">
              <w:rPr>
                <w:rFonts w:ascii="Cambria Math" w:eastAsia="MS Mincho" w:hAnsi="Cambria Math" w:cs="Cambria Math"/>
                <w:sz w:val="20"/>
                <w:szCs w:val="18"/>
              </w:rPr>
              <w:t>․</w:t>
            </w:r>
            <w:r w:rsidRPr="002D7DB7">
              <w:rPr>
                <w:rFonts w:eastAsiaTheme="minorEastAsia"/>
                <w:sz w:val="20"/>
                <w:szCs w:val="18"/>
              </w:rPr>
              <w:t xml:space="preserve"> մարդ)</w:t>
            </w:r>
          </w:p>
        </w:tc>
        <w:tc>
          <w:tcPr>
            <w:tcW w:w="1182" w:type="dxa"/>
          </w:tcPr>
          <w:p w14:paraId="2959D01A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ՓՄՁ-ների թիվ</w:t>
            </w:r>
          </w:p>
        </w:tc>
        <w:tc>
          <w:tcPr>
            <w:tcW w:w="1943" w:type="dxa"/>
          </w:tcPr>
          <w:p w14:paraId="2959D01B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ՓՄՁ խտություն 1000 բնակչի հաշվով</w:t>
            </w:r>
          </w:p>
        </w:tc>
        <w:tc>
          <w:tcPr>
            <w:tcW w:w="2163" w:type="dxa"/>
          </w:tcPr>
          <w:p w14:paraId="2959D01C" w14:textId="77777777" w:rsidR="008C2C81" w:rsidRPr="002D7DB7" w:rsidRDefault="008C2C81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2D7DB7">
              <w:rPr>
                <w:rFonts w:eastAsiaTheme="minorEastAsia"/>
                <w:sz w:val="20"/>
                <w:szCs w:val="18"/>
              </w:rPr>
              <w:t>ՓՄՁ-ների քանակն ընդհանուրի մեջ (տոկոս)</w:t>
            </w:r>
          </w:p>
        </w:tc>
      </w:tr>
      <w:tr w:rsidR="00980CAF" w:rsidRPr="002D7DB7" w14:paraId="2959D023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1E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Երևան</w:t>
            </w:r>
          </w:p>
        </w:tc>
        <w:tc>
          <w:tcPr>
            <w:tcW w:w="2342" w:type="dxa"/>
            <w:vAlign w:val="center"/>
          </w:tcPr>
          <w:p w14:paraId="2959D01F" w14:textId="7836152C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1081.8</w:t>
            </w:r>
          </w:p>
        </w:tc>
        <w:tc>
          <w:tcPr>
            <w:tcW w:w="1182" w:type="dxa"/>
            <w:vAlign w:val="bottom"/>
          </w:tcPr>
          <w:p w14:paraId="2959D020" w14:textId="4DD73C2F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35662</w:t>
            </w:r>
          </w:p>
        </w:tc>
        <w:tc>
          <w:tcPr>
            <w:tcW w:w="1943" w:type="dxa"/>
            <w:vAlign w:val="center"/>
          </w:tcPr>
          <w:p w14:paraId="2959D021" w14:textId="2EDC4F0F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2163" w:type="dxa"/>
            <w:vAlign w:val="center"/>
          </w:tcPr>
          <w:p w14:paraId="2959D022" w14:textId="54D1CB8A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51.9%</w:t>
            </w:r>
          </w:p>
        </w:tc>
      </w:tr>
      <w:tr w:rsidR="00980CAF" w:rsidRPr="002D7DB7" w14:paraId="2959D029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24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Արագածոտն</w:t>
            </w:r>
          </w:p>
        </w:tc>
        <w:tc>
          <w:tcPr>
            <w:tcW w:w="2342" w:type="dxa"/>
            <w:vAlign w:val="center"/>
          </w:tcPr>
          <w:p w14:paraId="2959D025" w14:textId="0F7A45DA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125.4</w:t>
            </w:r>
          </w:p>
        </w:tc>
        <w:tc>
          <w:tcPr>
            <w:tcW w:w="1182" w:type="dxa"/>
            <w:vAlign w:val="bottom"/>
          </w:tcPr>
          <w:p w14:paraId="2959D026" w14:textId="60D67211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943" w:type="dxa"/>
            <w:vAlign w:val="center"/>
          </w:tcPr>
          <w:p w14:paraId="2959D027" w14:textId="1DE2E705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2163" w:type="dxa"/>
            <w:vAlign w:val="center"/>
          </w:tcPr>
          <w:p w14:paraId="2959D028" w14:textId="24C5736D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2.6%</w:t>
            </w:r>
          </w:p>
        </w:tc>
      </w:tr>
      <w:tr w:rsidR="00980CAF" w:rsidRPr="002D7DB7" w14:paraId="2959D02F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2A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Արարատ</w:t>
            </w:r>
          </w:p>
        </w:tc>
        <w:tc>
          <w:tcPr>
            <w:tcW w:w="2342" w:type="dxa"/>
            <w:vAlign w:val="center"/>
          </w:tcPr>
          <w:p w14:paraId="2959D02B" w14:textId="45E9D073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256.7</w:t>
            </w:r>
          </w:p>
        </w:tc>
        <w:tc>
          <w:tcPr>
            <w:tcW w:w="1182" w:type="dxa"/>
            <w:vAlign w:val="bottom"/>
          </w:tcPr>
          <w:p w14:paraId="2959D02C" w14:textId="35EE99EE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1943" w:type="dxa"/>
            <w:vAlign w:val="center"/>
          </w:tcPr>
          <w:p w14:paraId="2959D02D" w14:textId="1D94043F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2163" w:type="dxa"/>
            <w:vAlign w:val="center"/>
          </w:tcPr>
          <w:p w14:paraId="2959D02E" w14:textId="5273B4FC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6.2%</w:t>
            </w:r>
          </w:p>
        </w:tc>
      </w:tr>
      <w:tr w:rsidR="00980CAF" w:rsidRPr="002D7DB7" w14:paraId="2959D035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30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Արմավիր</w:t>
            </w:r>
          </w:p>
        </w:tc>
        <w:tc>
          <w:tcPr>
            <w:tcW w:w="2342" w:type="dxa"/>
            <w:vAlign w:val="center"/>
          </w:tcPr>
          <w:p w14:paraId="2959D031" w14:textId="3BF3080E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263.9</w:t>
            </w:r>
          </w:p>
        </w:tc>
        <w:tc>
          <w:tcPr>
            <w:tcW w:w="1182" w:type="dxa"/>
            <w:vAlign w:val="bottom"/>
          </w:tcPr>
          <w:p w14:paraId="2959D032" w14:textId="7588D920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3943</w:t>
            </w:r>
          </w:p>
        </w:tc>
        <w:tc>
          <w:tcPr>
            <w:tcW w:w="1943" w:type="dxa"/>
            <w:vAlign w:val="center"/>
          </w:tcPr>
          <w:p w14:paraId="2959D033" w14:textId="1DFE8AE0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2163" w:type="dxa"/>
            <w:vAlign w:val="center"/>
          </w:tcPr>
          <w:p w14:paraId="2959D034" w14:textId="49227CBB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5.7%</w:t>
            </w:r>
          </w:p>
        </w:tc>
      </w:tr>
      <w:tr w:rsidR="00980CAF" w:rsidRPr="002D7DB7" w14:paraId="2959D03B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36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Գեղարքունիք</w:t>
            </w:r>
          </w:p>
        </w:tc>
        <w:tc>
          <w:tcPr>
            <w:tcW w:w="2342" w:type="dxa"/>
            <w:vAlign w:val="center"/>
          </w:tcPr>
          <w:p w14:paraId="2959D037" w14:textId="4B17E51B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228.3</w:t>
            </w:r>
          </w:p>
        </w:tc>
        <w:tc>
          <w:tcPr>
            <w:tcW w:w="1182" w:type="dxa"/>
            <w:vAlign w:val="bottom"/>
          </w:tcPr>
          <w:p w14:paraId="2959D038" w14:textId="6EBD081C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2763</w:t>
            </w:r>
          </w:p>
        </w:tc>
        <w:tc>
          <w:tcPr>
            <w:tcW w:w="1943" w:type="dxa"/>
            <w:vAlign w:val="center"/>
          </w:tcPr>
          <w:p w14:paraId="2959D039" w14:textId="64ED0910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2163" w:type="dxa"/>
            <w:vAlign w:val="center"/>
          </w:tcPr>
          <w:p w14:paraId="2959D03A" w14:textId="7481A46B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4.0%</w:t>
            </w:r>
          </w:p>
        </w:tc>
      </w:tr>
      <w:tr w:rsidR="00980CAF" w:rsidRPr="002D7DB7" w14:paraId="2959D041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3C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Լոռի</w:t>
            </w:r>
          </w:p>
        </w:tc>
        <w:tc>
          <w:tcPr>
            <w:tcW w:w="2342" w:type="dxa"/>
            <w:vAlign w:val="center"/>
          </w:tcPr>
          <w:p w14:paraId="2959D03D" w14:textId="2C8D9582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1182" w:type="dxa"/>
            <w:vAlign w:val="bottom"/>
          </w:tcPr>
          <w:p w14:paraId="2959D03E" w14:textId="4EAD60C9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4254</w:t>
            </w:r>
          </w:p>
        </w:tc>
        <w:tc>
          <w:tcPr>
            <w:tcW w:w="1943" w:type="dxa"/>
            <w:vAlign w:val="center"/>
          </w:tcPr>
          <w:p w14:paraId="2959D03F" w14:textId="6C66E093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2163" w:type="dxa"/>
            <w:vAlign w:val="center"/>
          </w:tcPr>
          <w:p w14:paraId="2959D040" w14:textId="41C25446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6.2%</w:t>
            </w:r>
          </w:p>
        </w:tc>
      </w:tr>
      <w:tr w:rsidR="00980CAF" w:rsidRPr="002D7DB7" w14:paraId="2959D047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42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Կոտայք</w:t>
            </w:r>
          </w:p>
        </w:tc>
        <w:tc>
          <w:tcPr>
            <w:tcW w:w="2342" w:type="dxa"/>
            <w:vAlign w:val="center"/>
          </w:tcPr>
          <w:p w14:paraId="2959D043" w14:textId="5727D86C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251.6</w:t>
            </w:r>
          </w:p>
        </w:tc>
        <w:tc>
          <w:tcPr>
            <w:tcW w:w="1182" w:type="dxa"/>
            <w:vAlign w:val="bottom"/>
          </w:tcPr>
          <w:p w14:paraId="2959D044" w14:textId="2EA67CA7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5890</w:t>
            </w:r>
          </w:p>
        </w:tc>
        <w:tc>
          <w:tcPr>
            <w:tcW w:w="1943" w:type="dxa"/>
            <w:vAlign w:val="center"/>
          </w:tcPr>
          <w:p w14:paraId="2959D045" w14:textId="4408EF34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2163" w:type="dxa"/>
            <w:vAlign w:val="center"/>
          </w:tcPr>
          <w:p w14:paraId="2959D046" w14:textId="25CD843F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8.6%</w:t>
            </w:r>
          </w:p>
        </w:tc>
      </w:tr>
      <w:tr w:rsidR="00980CAF" w:rsidRPr="002D7DB7" w14:paraId="2959D04D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48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Շիրակ</w:t>
            </w:r>
          </w:p>
        </w:tc>
        <w:tc>
          <w:tcPr>
            <w:tcW w:w="2342" w:type="dxa"/>
            <w:vAlign w:val="center"/>
          </w:tcPr>
          <w:p w14:paraId="2959D049" w14:textId="58571D02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233.3</w:t>
            </w:r>
          </w:p>
        </w:tc>
        <w:tc>
          <w:tcPr>
            <w:tcW w:w="1182" w:type="dxa"/>
            <w:vAlign w:val="bottom"/>
          </w:tcPr>
          <w:p w14:paraId="2959D04A" w14:textId="2100B171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1943" w:type="dxa"/>
            <w:vAlign w:val="center"/>
          </w:tcPr>
          <w:p w14:paraId="2959D04B" w14:textId="32A3FC1E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2163" w:type="dxa"/>
            <w:vAlign w:val="center"/>
          </w:tcPr>
          <w:p w14:paraId="2959D04C" w14:textId="580BC9FD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4.7%</w:t>
            </w:r>
          </w:p>
        </w:tc>
      </w:tr>
      <w:tr w:rsidR="00980CAF" w:rsidRPr="002D7DB7" w14:paraId="2959D053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4E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Սյունիք</w:t>
            </w:r>
          </w:p>
        </w:tc>
        <w:tc>
          <w:tcPr>
            <w:tcW w:w="2342" w:type="dxa"/>
            <w:vAlign w:val="center"/>
          </w:tcPr>
          <w:p w14:paraId="2959D04F" w14:textId="5750C680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137.6</w:t>
            </w:r>
          </w:p>
        </w:tc>
        <w:tc>
          <w:tcPr>
            <w:tcW w:w="1182" w:type="dxa"/>
            <w:vAlign w:val="bottom"/>
          </w:tcPr>
          <w:p w14:paraId="2959D050" w14:textId="50DC034D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3176</w:t>
            </w:r>
          </w:p>
        </w:tc>
        <w:tc>
          <w:tcPr>
            <w:tcW w:w="1943" w:type="dxa"/>
            <w:vAlign w:val="center"/>
          </w:tcPr>
          <w:p w14:paraId="2959D051" w14:textId="237782E8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2163" w:type="dxa"/>
            <w:vAlign w:val="center"/>
          </w:tcPr>
          <w:p w14:paraId="2959D052" w14:textId="3AE5C145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4.6%</w:t>
            </w:r>
          </w:p>
        </w:tc>
      </w:tr>
      <w:tr w:rsidR="00980CAF" w:rsidRPr="002D7DB7" w14:paraId="2959D059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54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Վայոց ձոր</w:t>
            </w:r>
          </w:p>
        </w:tc>
        <w:tc>
          <w:tcPr>
            <w:tcW w:w="2342" w:type="dxa"/>
            <w:vAlign w:val="center"/>
          </w:tcPr>
          <w:p w14:paraId="2959D055" w14:textId="1B343661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82" w:type="dxa"/>
            <w:vAlign w:val="bottom"/>
          </w:tcPr>
          <w:p w14:paraId="2959D056" w14:textId="3D16F790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943" w:type="dxa"/>
            <w:vAlign w:val="center"/>
          </w:tcPr>
          <w:p w14:paraId="2959D057" w14:textId="35241E5D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163" w:type="dxa"/>
            <w:vAlign w:val="center"/>
          </w:tcPr>
          <w:p w14:paraId="2959D058" w14:textId="45ADA176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1.8%</w:t>
            </w:r>
          </w:p>
        </w:tc>
      </w:tr>
      <w:tr w:rsidR="00980CAF" w:rsidRPr="002D7DB7" w14:paraId="2959D05F" w14:textId="77777777" w:rsidTr="00A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5A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Տավուշ</w:t>
            </w:r>
          </w:p>
        </w:tc>
        <w:tc>
          <w:tcPr>
            <w:tcW w:w="2342" w:type="dxa"/>
            <w:vAlign w:val="center"/>
          </w:tcPr>
          <w:p w14:paraId="2959D05B" w14:textId="3118173E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122.2</w:t>
            </w:r>
          </w:p>
        </w:tc>
        <w:tc>
          <w:tcPr>
            <w:tcW w:w="1182" w:type="dxa"/>
            <w:vAlign w:val="bottom"/>
          </w:tcPr>
          <w:p w14:paraId="2959D05C" w14:textId="0440642B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2501</w:t>
            </w:r>
          </w:p>
        </w:tc>
        <w:tc>
          <w:tcPr>
            <w:tcW w:w="1943" w:type="dxa"/>
            <w:vAlign w:val="center"/>
          </w:tcPr>
          <w:p w14:paraId="2959D05D" w14:textId="354F7367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2163" w:type="dxa"/>
            <w:vAlign w:val="center"/>
          </w:tcPr>
          <w:p w14:paraId="2959D05E" w14:textId="440B0F95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3.6%</w:t>
            </w:r>
          </w:p>
        </w:tc>
      </w:tr>
      <w:tr w:rsidR="00980CAF" w:rsidRPr="002D7DB7" w14:paraId="2959D065" w14:textId="77777777" w:rsidTr="00A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959D060" w14:textId="77777777" w:rsidR="00980CAF" w:rsidRPr="002D7DB7" w:rsidRDefault="00980CAF" w:rsidP="00980CAF">
            <w:pPr>
              <w:spacing w:line="276" w:lineRule="auto"/>
              <w:ind w:firstLine="0"/>
              <w:rPr>
                <w:rFonts w:eastAsiaTheme="minorEastAsia"/>
                <w:b w:val="0"/>
                <w:sz w:val="18"/>
                <w:szCs w:val="18"/>
              </w:rPr>
            </w:pPr>
            <w:r w:rsidRPr="002D7DB7">
              <w:rPr>
                <w:rFonts w:eastAsiaTheme="minorEastAsia"/>
                <w:sz w:val="18"/>
                <w:szCs w:val="18"/>
              </w:rPr>
              <w:t>Ընդամենը</w:t>
            </w:r>
          </w:p>
        </w:tc>
        <w:tc>
          <w:tcPr>
            <w:tcW w:w="2342" w:type="dxa"/>
            <w:vAlign w:val="center"/>
          </w:tcPr>
          <w:p w14:paraId="2959D061" w14:textId="7761A6CF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2965.3</w:t>
            </w:r>
          </w:p>
        </w:tc>
        <w:tc>
          <w:tcPr>
            <w:tcW w:w="1182" w:type="dxa"/>
            <w:vAlign w:val="bottom"/>
          </w:tcPr>
          <w:p w14:paraId="2959D062" w14:textId="2FCF4B11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68654</w:t>
            </w:r>
          </w:p>
        </w:tc>
        <w:tc>
          <w:tcPr>
            <w:tcW w:w="1943" w:type="dxa"/>
            <w:vAlign w:val="center"/>
          </w:tcPr>
          <w:p w14:paraId="2959D063" w14:textId="3E7F9056" w:rsidR="00980CAF" w:rsidRPr="002D7DB7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23.15</w:t>
            </w:r>
          </w:p>
        </w:tc>
        <w:tc>
          <w:tcPr>
            <w:tcW w:w="2163" w:type="dxa"/>
          </w:tcPr>
          <w:p w14:paraId="2959D064" w14:textId="71AED07B" w:rsidR="00980CAF" w:rsidRPr="00A755CA" w:rsidRDefault="00980CAF" w:rsidP="00980CAF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  <w:lang w:val="en-US"/>
              </w:rPr>
            </w:pPr>
            <w:r>
              <w:rPr>
                <w:rFonts w:eastAsiaTheme="minorEastAsia"/>
                <w:b/>
                <w:sz w:val="20"/>
                <w:szCs w:val="18"/>
                <w:lang w:val="en-US"/>
              </w:rPr>
              <w:t>100%</w:t>
            </w:r>
          </w:p>
        </w:tc>
      </w:tr>
    </w:tbl>
    <w:p w14:paraId="2959D066" w14:textId="4F2BB694" w:rsidR="008C2C81" w:rsidRPr="002D7DB7" w:rsidRDefault="008C2C81" w:rsidP="00FC60C0">
      <w:pPr>
        <w:spacing w:before="240" w:after="0" w:line="276" w:lineRule="auto"/>
        <w:ind w:left="-90"/>
        <w:rPr>
          <w:rFonts w:eastAsia="MS Mincho" w:cs="MS Mincho"/>
          <w:i/>
          <w:sz w:val="18"/>
          <w:szCs w:val="18"/>
        </w:rPr>
      </w:pPr>
      <w:r w:rsidRPr="002D7DB7">
        <w:rPr>
          <w:rFonts w:cs="Sylfaen"/>
          <w:i/>
          <w:sz w:val="18"/>
          <w:szCs w:val="18"/>
        </w:rPr>
        <w:t>Աղբյուր՝</w:t>
      </w:r>
      <w:r w:rsidR="00E15D99" w:rsidRPr="002D7DB7">
        <w:rPr>
          <w:rFonts w:cs="Sylfaen"/>
          <w:i/>
          <w:sz w:val="18"/>
          <w:szCs w:val="18"/>
        </w:rPr>
        <w:t xml:space="preserve">ԱՐՄՍՏԱՏ </w:t>
      </w:r>
      <w:r w:rsidR="00AA04A5">
        <w:rPr>
          <w:rFonts w:cs="Sylfaen"/>
          <w:i/>
          <w:sz w:val="18"/>
          <w:szCs w:val="18"/>
        </w:rPr>
        <w:t>ՓՄՁ</w:t>
      </w:r>
      <w:r w:rsidR="00E15D99" w:rsidRPr="002D7DB7">
        <w:rPr>
          <w:rFonts w:cs="Sylfaen"/>
          <w:i/>
          <w:sz w:val="18"/>
          <w:szCs w:val="18"/>
        </w:rPr>
        <w:t xml:space="preserve"> Հայաստանի Հանրապետությունում</w:t>
      </w:r>
      <w:r w:rsidR="00E15D99"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  <w:r w:rsidR="00013882">
        <w:rPr>
          <w:i/>
          <w:sz w:val="18"/>
          <w:szCs w:val="18"/>
        </w:rPr>
        <w:t xml:space="preserve"> 2019</w:t>
      </w:r>
      <w:r w:rsidRPr="002D7DB7">
        <w:rPr>
          <w:rFonts w:cs="Sylfaen"/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p w14:paraId="2959D067" w14:textId="5E54819A" w:rsidR="001D7825" w:rsidRPr="002D7DB7" w:rsidRDefault="001D7825" w:rsidP="00FC60C0">
      <w:pPr>
        <w:pStyle w:val="Caption"/>
        <w:spacing w:after="0" w:line="276" w:lineRule="auto"/>
      </w:pPr>
      <w:r w:rsidRPr="002D7DB7">
        <w:lastRenderedPageBreak/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2</w:t>
      </w:r>
      <w:r w:rsidR="00C07F77" w:rsidRPr="002D7DB7">
        <w:fldChar w:fldCharType="end"/>
      </w:r>
      <w:r w:rsidRPr="002D7DB7">
        <w:t>Վարձու աշխատողների թվաքանակն ըստ ՏԳՏԴ խմբ.2 բաժինների ու տնտեսավարողների չափերի</w:t>
      </w:r>
      <w:r w:rsidR="00A755CA">
        <w:t>, 2018</w:t>
      </w:r>
      <w:r w:rsidRPr="002D7DB7">
        <w:t>թ.</w:t>
      </w:r>
    </w:p>
    <w:p w14:paraId="2959D068" w14:textId="3ED0FFD2" w:rsidR="008C2C81" w:rsidRPr="002D7DB7" w:rsidRDefault="003649A5" w:rsidP="00FC60C0">
      <w:pPr>
        <w:spacing w:after="0" w:line="276" w:lineRule="auto"/>
        <w:rPr>
          <w:rFonts w:eastAsiaTheme="minorEastAsia"/>
          <w:color w:val="42558C" w:themeColor="accent1" w:themeShade="BF"/>
        </w:rPr>
      </w:pPr>
      <w:r>
        <w:rPr>
          <w:noProof/>
          <w:lang w:eastAsia="hy-AM"/>
        </w:rPr>
        <w:drawing>
          <wp:inline distT="0" distB="0" distL="0" distR="0" wp14:anchorId="06596D2B" wp14:editId="5F52A149">
            <wp:extent cx="5857875" cy="36195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59D069" w14:textId="73C5DAC0" w:rsidR="008C2C81" w:rsidRPr="002D7DB7" w:rsidRDefault="001A6E39" w:rsidP="00FC60C0">
      <w:pPr>
        <w:spacing w:after="0" w:line="276" w:lineRule="auto"/>
        <w:jc w:val="center"/>
        <w:rPr>
          <w:i/>
          <w:sz w:val="18"/>
          <w:szCs w:val="18"/>
        </w:rPr>
      </w:pPr>
      <w:r w:rsidRPr="002D7DB7">
        <w:rPr>
          <w:noProof/>
          <w:lang w:eastAsia="hy-AM"/>
        </w:rPr>
        <w:drawing>
          <wp:inline distT="0" distB="0" distL="0" distR="0" wp14:anchorId="2959D20E" wp14:editId="16927DA4">
            <wp:extent cx="4527468" cy="2447578"/>
            <wp:effectExtent l="0" t="0" r="698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801" r="1701"/>
                    <a:stretch/>
                  </pic:blipFill>
                  <pic:spPr bwMode="auto">
                    <a:xfrm>
                      <a:off x="0" y="0"/>
                      <a:ext cx="4549030" cy="2459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7A4C" w:rsidRPr="002D7DB7">
        <w:rPr>
          <w:noProof/>
          <w:lang w:eastAsia="hy-AM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9D210" wp14:editId="09E00FAB">
                <wp:simplePos x="0" y="0"/>
                <wp:positionH relativeFrom="column">
                  <wp:posOffset>396875</wp:posOffset>
                </wp:positionH>
                <wp:positionV relativeFrom="paragraph">
                  <wp:posOffset>292100</wp:posOffset>
                </wp:positionV>
                <wp:extent cx="5993130" cy="457200"/>
                <wp:effectExtent l="0" t="0" r="762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13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9D235" w14:textId="55A54AED" w:rsidR="00736CD7" w:rsidRPr="001360F8" w:rsidRDefault="00736CD7" w:rsidP="00D45265">
                            <w:pPr>
                              <w:pStyle w:val="Caption"/>
                              <w:rPr>
                                <w:rFonts w:eastAsiaTheme="minorHAnsi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Գծապատկեր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Գծապատկեր \* ARABIC </w:instrText>
                            </w:r>
                            <w:r>
                              <w:fldChar w:fldCharType="separate"/>
                            </w:r>
                            <w:r w:rsidR="00DC729D"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Կազմակերպություններ</w:t>
                            </w:r>
                            <w:r w:rsidRPr="00D45265">
                              <w:t>ի զբաղվածության, շրջանառության և արտադրության քանակները՝ ըստ չափերի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D210" id="Text Box 31" o:spid="_x0000_s1028" type="#_x0000_t202" style="position:absolute;left:0;text-align:left;margin-left:31.25pt;margin-top:23pt;width:471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" stroked="f">
                <v:path arrowok="t"/>
                <v:textbox inset="0,0,0,0">
                  <w:txbxContent>
                    <w:p w14:paraId="2959D235" w14:textId="55A54AED" w:rsidR="00736CD7" w:rsidRPr="001360F8" w:rsidRDefault="00736CD7" w:rsidP="00D45265">
                      <w:pPr>
                        <w:pStyle w:val="Caption"/>
                        <w:rPr>
                          <w:rFonts w:eastAsiaTheme="minorHAnsi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Գծապատկեր </w:t>
                      </w:r>
                      <w:r>
                        <w:fldChar w:fldCharType="begin"/>
                      </w:r>
                      <w:r>
                        <w:instrText xml:space="preserve"> SEQ Գծապատկեր \* ARABIC </w:instrText>
                      </w:r>
                      <w:r>
                        <w:fldChar w:fldCharType="separate"/>
                      </w:r>
                      <w:r w:rsidR="00DC729D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Կազմակերպություններ</w:t>
                      </w:r>
                      <w:r w:rsidRPr="00D45265">
                        <w:t>ի զբաղվածության, շրջանառության և արտադրության քանակները՝ ըստ չափերի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59D06A" w14:textId="6E6F1656" w:rsidR="008C2C81" w:rsidRPr="002D7DB7" w:rsidRDefault="00F27A4C" w:rsidP="00FC60C0">
      <w:pPr>
        <w:spacing w:after="0" w:line="276" w:lineRule="auto"/>
        <w:rPr>
          <w:rFonts w:eastAsiaTheme="minorEastAsia"/>
        </w:rPr>
      </w:pPr>
      <w:r w:rsidRPr="002D7DB7">
        <w:rPr>
          <w:noProof/>
          <w:lang w:eastAsia="hy-A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9D211" wp14:editId="791D72F0">
                <wp:simplePos x="0" y="0"/>
                <wp:positionH relativeFrom="column">
                  <wp:posOffset>289560</wp:posOffset>
                </wp:positionH>
                <wp:positionV relativeFrom="paragraph">
                  <wp:posOffset>319405</wp:posOffset>
                </wp:positionV>
                <wp:extent cx="6365240" cy="297180"/>
                <wp:effectExtent l="0" t="0" r="0" b="7620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240" cy="2971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9D236" w14:textId="2B49D604" w:rsidR="00736CD7" w:rsidRPr="00BC1414" w:rsidRDefault="00736CD7" w:rsidP="001A6E39">
                            <w:pPr>
                              <w:pStyle w:val="Caption"/>
                              <w:rPr>
                                <w:rFonts w:eastAsiaTheme="minorHAnsi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Գծապատկեր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Գծապատկեր \* ARABIC </w:instrText>
                            </w:r>
                            <w:r>
                              <w:fldChar w:fldCharType="separate"/>
                            </w:r>
                            <w:r w:rsidR="00DC729D"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1A6E39">
                              <w:t>ՓՄՁ-ների համար ֆինանսների հասանելիությունըորպես խոչընդոտ 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D211" id="Text Box 33" o:spid="_x0000_s1029" type="#_x0000_t202" style="position:absolute;left:0;text-align:left;margin-left:22.8pt;margin-top:25.15pt;width:501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" stroked="f">
                <v:path arrowok="t"/>
                <v:textbox inset="0,0,0,0">
                  <w:txbxContent>
                    <w:p w14:paraId="2959D236" w14:textId="2B49D604" w:rsidR="00736CD7" w:rsidRPr="00BC1414" w:rsidRDefault="00736CD7" w:rsidP="001A6E39">
                      <w:pPr>
                        <w:pStyle w:val="Caption"/>
                        <w:rPr>
                          <w:rFonts w:eastAsiaTheme="minorHAnsi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Գծապատկեր </w:t>
                      </w:r>
                      <w:r>
                        <w:fldChar w:fldCharType="begin"/>
                      </w:r>
                      <w:r>
                        <w:instrText xml:space="preserve"> SEQ Գծապատկեր \* ARABIC </w:instrText>
                      </w:r>
                      <w:r>
                        <w:fldChar w:fldCharType="separate"/>
                      </w:r>
                      <w:r w:rsidR="00DC729D"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1A6E39">
                        <w:t>ՓՄՁ-ների համար ֆինանսների հասանելիությունըորպես խոչընդոտ 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C81" w:rsidRPr="002D7DB7">
        <w:rPr>
          <w:i/>
          <w:sz w:val="18"/>
          <w:szCs w:val="18"/>
        </w:rPr>
        <w:t>Աղբյուր՝ Հայաստանի 2018թ</w:t>
      </w:r>
      <w:r w:rsidR="008C2C81" w:rsidRPr="002D7DB7">
        <w:rPr>
          <w:rFonts w:ascii="Cambria Math" w:hAnsi="Cambria Math" w:cs="Cambria Math"/>
          <w:i/>
          <w:sz w:val="18"/>
          <w:szCs w:val="18"/>
        </w:rPr>
        <w:t>․</w:t>
      </w:r>
      <w:r w:rsidR="008C2C81" w:rsidRPr="002D7DB7">
        <w:rPr>
          <w:i/>
          <w:sz w:val="18"/>
          <w:szCs w:val="18"/>
        </w:rPr>
        <w:t xml:space="preserve"> ՓՄՁ ցուցանիշների ՏՀԶԿ ժողովածու</w:t>
      </w:r>
    </w:p>
    <w:p w14:paraId="2959D06B" w14:textId="01603819" w:rsidR="008C2C81" w:rsidRPr="002D7DB7" w:rsidRDefault="00F27A4C" w:rsidP="00FC60C0">
      <w:pPr>
        <w:spacing w:after="0" w:line="276" w:lineRule="auto"/>
        <w:jc w:val="center"/>
        <w:rPr>
          <w:sz w:val="18"/>
          <w:szCs w:val="18"/>
        </w:rPr>
      </w:pPr>
      <w:r w:rsidRPr="002D7DB7">
        <w:rPr>
          <w:noProof/>
          <w:lang w:eastAsia="hy-AM"/>
        </w:rPr>
        <mc:AlternateContent>
          <mc:Choice Requires="wpg">
            <w:drawing>
              <wp:inline distT="0" distB="0" distL="0" distR="0" wp14:anchorId="2959D213" wp14:editId="04BFF117">
                <wp:extent cx="6393815" cy="1485900"/>
                <wp:effectExtent l="0" t="0" r="0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1485900"/>
                          <a:chOff x="1068" y="-542"/>
                          <a:chExt cx="10024" cy="3162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4" y="330"/>
                            <a:ext cx="9708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" y="-542"/>
                            <a:ext cx="9635" cy="3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7C34CE" id="Group 3" o:spid="_x0000_s1026" style="width:503.45pt;height:117pt;mso-position-horizontal-relative:char;mso-position-vertical-relative:line" coordorigin="1068,-542" coordsize="10024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Mn10AAHBFaADAAAAAElFTkSu&#10;QmCC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84;top:330;width:9708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">
                  <v:imagedata r:id="rId13" o:title=""/>
                </v:shape>
                <v:shape id="Picture 4" o:spid="_x0000_s1028" type="#_x0000_t75" style="position:absolute;left:1068;top:-542;width:9635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">
                  <v:imagedata r:id="rId14" o:title="" croptop="6780f"/>
                </v:shape>
                <w10:anchorlock/>
              </v:group>
            </w:pict>
          </mc:Fallback>
        </mc:AlternateContent>
      </w:r>
    </w:p>
    <w:p w14:paraId="2959D06C" w14:textId="77777777" w:rsidR="008C2C81" w:rsidRPr="002D7DB7" w:rsidRDefault="008C2C81" w:rsidP="00FC60C0">
      <w:pPr>
        <w:spacing w:after="0" w:line="276" w:lineRule="auto"/>
        <w:rPr>
          <w:noProof/>
        </w:rPr>
      </w:pPr>
      <w:r w:rsidRPr="002D7DB7">
        <w:rPr>
          <w:i/>
          <w:sz w:val="18"/>
          <w:szCs w:val="18"/>
        </w:rPr>
        <w:lastRenderedPageBreak/>
        <w:t>Աղբյուր՝ ԳՄՁԳՀ/BEEPS  հետազոտություն</w:t>
      </w:r>
    </w:p>
    <w:p w14:paraId="2959D06D" w14:textId="17500A16" w:rsidR="001A6E39" w:rsidRPr="002D7DB7" w:rsidRDefault="001A6E39" w:rsidP="00FC60C0">
      <w:pPr>
        <w:pStyle w:val="Caption"/>
        <w:spacing w:after="0" w:line="276" w:lineRule="auto"/>
      </w:pPr>
      <w:r w:rsidRPr="002D7DB7"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5</w:t>
      </w:r>
      <w:r w:rsidR="00C07F77" w:rsidRPr="002D7DB7">
        <w:fldChar w:fldCharType="end"/>
      </w:r>
      <w:r w:rsidR="00B966AF" w:rsidRPr="002D7DB7">
        <w:t xml:space="preserve"> </w:t>
      </w:r>
      <w:r w:rsidRPr="002D7DB7">
        <w:t>Խնդիրներ, որոնք սահմանափակում են վարկավորման հասանելիությունը ՓՄՁ-ների համար (պակաս կարևոր-խիստ կարևոր)</w:t>
      </w:r>
    </w:p>
    <w:p w14:paraId="2959D06E" w14:textId="587F91D8" w:rsidR="008C2C81" w:rsidRPr="002D7DB7" w:rsidRDefault="001A6E39" w:rsidP="00FC60C0">
      <w:pPr>
        <w:spacing w:after="0" w:line="276" w:lineRule="auto"/>
        <w:rPr>
          <w:i/>
          <w:sz w:val="18"/>
          <w:szCs w:val="18"/>
        </w:rPr>
      </w:pPr>
      <w:r w:rsidRPr="002D7DB7">
        <w:rPr>
          <w:noProof/>
          <w:lang w:eastAsia="hy-AM"/>
        </w:rPr>
        <w:drawing>
          <wp:inline distT="0" distB="0" distL="0" distR="0" wp14:anchorId="2959D214" wp14:editId="2959D215">
            <wp:extent cx="6646545" cy="4029710"/>
            <wp:effectExtent l="0" t="0" r="1905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C81" w:rsidRPr="002D7DB7">
        <w:rPr>
          <w:i/>
          <w:sz w:val="18"/>
          <w:szCs w:val="18"/>
        </w:rPr>
        <w:t>Աղբյուր՝ ԳՄՁԳՀ/BEEPS  հետազոտություն</w:t>
      </w:r>
    </w:p>
    <w:p w14:paraId="2959D06F" w14:textId="7E36A263" w:rsidR="001A6E39" w:rsidRDefault="001A6E39" w:rsidP="00FC60C0">
      <w:pPr>
        <w:pStyle w:val="Caption"/>
        <w:spacing w:after="0" w:line="276" w:lineRule="auto"/>
      </w:pPr>
      <w:r w:rsidRPr="002D7DB7"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6</w:t>
      </w:r>
      <w:r w:rsidR="00C07F77" w:rsidRPr="002D7DB7">
        <w:fldChar w:fldCharType="end"/>
      </w:r>
      <w:r w:rsidRPr="002D7DB7">
        <w:t>Միջին ամսական անվանական աշխատավարձն ըստ ՀՀ մարզերի և Երևան քաղաքի ու ՓՄՁ տնտեսավարողների չափերի</w:t>
      </w:r>
      <w:r w:rsidR="00013882">
        <w:t>, 2018</w:t>
      </w:r>
      <w:r w:rsidRPr="002D7DB7">
        <w:t>թ.</w:t>
      </w:r>
    </w:p>
    <w:p w14:paraId="527AC9A9" w14:textId="7E03A1BE" w:rsidR="00013882" w:rsidRPr="00013882" w:rsidRDefault="00013882" w:rsidP="00013882">
      <w:r>
        <w:rPr>
          <w:noProof/>
          <w:lang w:eastAsia="hy-AM"/>
        </w:rPr>
        <w:drawing>
          <wp:inline distT="0" distB="0" distL="0" distR="0" wp14:anchorId="6C60FFBD" wp14:editId="603FF077">
            <wp:extent cx="5765484" cy="2625090"/>
            <wp:effectExtent l="0" t="0" r="6985" b="381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959D070" w14:textId="56AF65F0" w:rsidR="001A6E39" w:rsidRPr="002D7DB7" w:rsidRDefault="001A6E39" w:rsidP="00FC60C0">
      <w:pPr>
        <w:spacing w:before="240" w:after="0" w:line="276" w:lineRule="auto"/>
        <w:ind w:left="-90"/>
        <w:rPr>
          <w:i/>
          <w:sz w:val="18"/>
          <w:szCs w:val="18"/>
        </w:rPr>
      </w:pPr>
    </w:p>
    <w:p w14:paraId="2959D071" w14:textId="137C8251" w:rsidR="008C2C81" w:rsidRPr="002D7DB7" w:rsidRDefault="008C2C81" w:rsidP="00FC60C0">
      <w:pPr>
        <w:spacing w:before="240" w:after="0" w:line="276" w:lineRule="auto"/>
        <w:ind w:left="-90"/>
        <w:rPr>
          <w:rFonts w:eastAsia="MS Mincho" w:cs="MS Mincho"/>
          <w:sz w:val="16"/>
          <w:szCs w:val="16"/>
        </w:rPr>
      </w:pPr>
      <w:r w:rsidRPr="002D7DB7">
        <w:rPr>
          <w:i/>
          <w:sz w:val="16"/>
          <w:szCs w:val="16"/>
        </w:rPr>
        <w:t xml:space="preserve">Աղբյուր՝ </w:t>
      </w:r>
      <w:r w:rsidR="00E15D99" w:rsidRPr="002D7DB7">
        <w:rPr>
          <w:i/>
          <w:sz w:val="16"/>
          <w:szCs w:val="16"/>
        </w:rPr>
        <w:t xml:space="preserve">ԱՐՄՍՏԱՏ </w:t>
      </w:r>
      <w:r w:rsidR="00AA04A5">
        <w:rPr>
          <w:i/>
          <w:sz w:val="16"/>
          <w:szCs w:val="16"/>
        </w:rPr>
        <w:t>ՓՄՁ</w:t>
      </w:r>
      <w:r w:rsidR="00E15D99" w:rsidRPr="002D7DB7">
        <w:rPr>
          <w:i/>
          <w:sz w:val="16"/>
          <w:szCs w:val="16"/>
        </w:rPr>
        <w:t xml:space="preserve"> Հայաստանի Հանրապետությունում</w:t>
      </w:r>
      <w:r w:rsidR="00013882">
        <w:rPr>
          <w:i/>
          <w:sz w:val="16"/>
          <w:szCs w:val="16"/>
        </w:rPr>
        <w:t xml:space="preserve"> 2019</w:t>
      </w:r>
      <w:r w:rsidRPr="002D7DB7">
        <w:rPr>
          <w:i/>
          <w:sz w:val="16"/>
          <w:szCs w:val="16"/>
        </w:rPr>
        <w:t>թ</w:t>
      </w:r>
      <w:r w:rsidRPr="002D7DB7">
        <w:rPr>
          <w:rFonts w:ascii="Cambria Math" w:eastAsia="MS Mincho" w:hAnsi="Cambria Math" w:cs="Cambria Math"/>
          <w:i/>
          <w:sz w:val="16"/>
          <w:szCs w:val="16"/>
        </w:rPr>
        <w:t>․</w:t>
      </w:r>
    </w:p>
    <w:p w14:paraId="2959D072" w14:textId="18936A47" w:rsidR="00314FE7" w:rsidRPr="002D7DB7" w:rsidRDefault="00314FE7" w:rsidP="00FC60C0">
      <w:pPr>
        <w:pStyle w:val="Caption"/>
        <w:spacing w:after="0" w:line="276" w:lineRule="auto"/>
      </w:pPr>
      <w:r w:rsidRPr="002D7DB7">
        <w:lastRenderedPageBreak/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7</w:t>
      </w:r>
      <w:r w:rsidR="00C07F77" w:rsidRPr="002D7DB7">
        <w:fldChar w:fldCharType="end"/>
      </w:r>
      <w:r w:rsidRPr="002D7DB7">
        <w:t>Նոր ստեղծված տնտեսավարողների քանակի կառուցվածքն ըստ ՀՀ մարզերի և Երևան քաղաքի ու տնտեսավարողների չափերի</w:t>
      </w:r>
    </w:p>
    <w:p w14:paraId="2959D073" w14:textId="5A65AC6C" w:rsidR="008C2C81" w:rsidRDefault="003649A5" w:rsidP="00FC60C0">
      <w:pPr>
        <w:spacing w:before="240" w:after="0" w:line="276" w:lineRule="auto"/>
        <w:ind w:left="-90"/>
        <w:rPr>
          <w:rFonts w:ascii="Cambria Math" w:eastAsia="MS Mincho" w:hAnsi="Cambria Math" w:cs="Cambria Math"/>
          <w:i/>
          <w:sz w:val="18"/>
          <w:szCs w:val="18"/>
        </w:rPr>
      </w:pPr>
      <w:r>
        <w:rPr>
          <w:noProof/>
          <w:lang w:eastAsia="hy-AM"/>
        </w:rPr>
        <w:drawing>
          <wp:inline distT="0" distB="0" distL="0" distR="0" wp14:anchorId="185DB6BF" wp14:editId="5E388564">
            <wp:extent cx="6426200" cy="353377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C2C81" w:rsidRPr="002D7DB7">
        <w:rPr>
          <w:i/>
          <w:sz w:val="18"/>
          <w:szCs w:val="18"/>
        </w:rPr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="008C2C81" w:rsidRPr="002D7DB7">
        <w:rPr>
          <w:i/>
          <w:sz w:val="18"/>
          <w:szCs w:val="18"/>
        </w:rPr>
        <w:t xml:space="preserve"> 201</w:t>
      </w:r>
      <w:r w:rsidRPr="00364637">
        <w:rPr>
          <w:i/>
          <w:sz w:val="18"/>
          <w:szCs w:val="18"/>
        </w:rPr>
        <w:t>9</w:t>
      </w:r>
      <w:r w:rsidR="008C2C81" w:rsidRPr="002D7DB7">
        <w:rPr>
          <w:i/>
          <w:sz w:val="18"/>
          <w:szCs w:val="18"/>
        </w:rPr>
        <w:t>թ</w:t>
      </w:r>
      <w:r w:rsidR="008C2C81"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p w14:paraId="1C17E13B" w14:textId="77777777" w:rsidR="003649A5" w:rsidRPr="002D7DB7" w:rsidRDefault="003649A5" w:rsidP="00FC60C0">
      <w:pPr>
        <w:spacing w:before="240" w:after="0" w:line="276" w:lineRule="auto"/>
        <w:ind w:left="-90"/>
        <w:rPr>
          <w:rFonts w:eastAsia="MS Mincho" w:cs="MS Mincho"/>
          <w:i/>
          <w:sz w:val="18"/>
          <w:szCs w:val="18"/>
        </w:rPr>
      </w:pPr>
    </w:p>
    <w:p w14:paraId="2959D074" w14:textId="0BB723A1" w:rsidR="00314FE7" w:rsidRPr="002D7DB7" w:rsidRDefault="00314FE7" w:rsidP="00FC60C0">
      <w:pPr>
        <w:pStyle w:val="Caption"/>
        <w:spacing w:after="0" w:line="276" w:lineRule="auto"/>
      </w:pPr>
      <w:r w:rsidRPr="002D7DB7">
        <w:t xml:space="preserve">Աղյուսակ </w:t>
      </w:r>
      <w:r w:rsidR="00C07F77" w:rsidRPr="002D7DB7">
        <w:fldChar w:fldCharType="begin"/>
      </w:r>
      <w:r w:rsidRPr="002D7DB7">
        <w:instrText xml:space="preserve"> SEQ Աղյուսակ \* ARABIC </w:instrText>
      </w:r>
      <w:r w:rsidR="00C07F77" w:rsidRPr="002D7DB7">
        <w:fldChar w:fldCharType="separate"/>
      </w:r>
      <w:r w:rsidR="00DC729D">
        <w:rPr>
          <w:noProof/>
        </w:rPr>
        <w:t>11</w:t>
      </w:r>
      <w:r w:rsidR="00C07F77" w:rsidRPr="002D7DB7">
        <w:fldChar w:fldCharType="end"/>
      </w:r>
      <w:r w:rsidR="003649A5" w:rsidRPr="00364637">
        <w:t xml:space="preserve"> </w:t>
      </w:r>
      <w:r w:rsidRPr="002D7DB7">
        <w:t>Տնտեսավարողների կողմից արտադրված ապրանքների ու մատուցված ծառայությունների ծավալը (շրջանառությունը) ըստ ՀՀ մարզերի և Երևան քաղաքի ու տնտեսավարողների չափերի, 201</w:t>
      </w:r>
      <w:r w:rsidR="003649A5" w:rsidRPr="00364637">
        <w:t>8</w:t>
      </w:r>
      <w:r w:rsidRPr="002D7DB7">
        <w:t>թ.</w:t>
      </w:r>
    </w:p>
    <w:tbl>
      <w:tblPr>
        <w:tblStyle w:val="LightGrid-Accent6"/>
        <w:tblW w:w="4445" w:type="pct"/>
        <w:tblLook w:val="04A0" w:firstRow="1" w:lastRow="0" w:firstColumn="1" w:lastColumn="0" w:noHBand="0" w:noVBand="1"/>
      </w:tblPr>
      <w:tblGrid>
        <w:gridCol w:w="1357"/>
        <w:gridCol w:w="1128"/>
        <w:gridCol w:w="1910"/>
        <w:gridCol w:w="1693"/>
        <w:gridCol w:w="1964"/>
        <w:gridCol w:w="1235"/>
      </w:tblGrid>
      <w:tr w:rsidR="00314FE7" w:rsidRPr="002D7DB7" w14:paraId="2959D078" w14:textId="77777777" w:rsidTr="00524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Merge w:val="restart"/>
            <w:hideMark/>
          </w:tcPr>
          <w:p w14:paraId="2959D075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  <w:hideMark/>
          </w:tcPr>
          <w:p w14:paraId="2959D076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3692" w:type="pct"/>
            <w:gridSpan w:val="4"/>
            <w:vAlign w:val="center"/>
            <w:hideMark/>
          </w:tcPr>
          <w:p w14:paraId="2959D077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այդ թվում</w:t>
            </w:r>
          </w:p>
        </w:tc>
      </w:tr>
      <w:tr w:rsidR="00314FE7" w:rsidRPr="002D7DB7" w14:paraId="2959D07E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Merge/>
            <w:hideMark/>
          </w:tcPr>
          <w:p w14:paraId="2959D079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14:paraId="2959D07A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8" w:type="pct"/>
            <w:gridSpan w:val="2"/>
            <w:noWrap/>
            <w:vAlign w:val="center"/>
            <w:hideMark/>
          </w:tcPr>
          <w:p w14:paraId="2959D07B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գերփոքր</w:t>
            </w:r>
          </w:p>
        </w:tc>
        <w:tc>
          <w:tcPr>
            <w:tcW w:w="1087" w:type="pct"/>
            <w:vMerge w:val="restart"/>
            <w:vAlign w:val="center"/>
            <w:hideMark/>
          </w:tcPr>
          <w:p w14:paraId="2959D07C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577" w:type="pct"/>
            <w:vMerge w:val="restart"/>
            <w:vAlign w:val="center"/>
            <w:hideMark/>
          </w:tcPr>
          <w:p w14:paraId="2959D07D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միջին</w:t>
            </w:r>
          </w:p>
        </w:tc>
      </w:tr>
      <w:tr w:rsidR="00314FE7" w:rsidRPr="002D7DB7" w14:paraId="2959D085" w14:textId="77777777" w:rsidTr="00A755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Merge/>
            <w:hideMark/>
          </w:tcPr>
          <w:p w14:paraId="2959D07F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hideMark/>
          </w:tcPr>
          <w:p w14:paraId="2959D080" w14:textId="77777777" w:rsidR="00314FE7" w:rsidRPr="002D7DB7" w:rsidRDefault="00314FE7" w:rsidP="00FC60C0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pct"/>
            <w:noWrap/>
            <w:hideMark/>
          </w:tcPr>
          <w:p w14:paraId="2959D081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941" w:type="pct"/>
            <w:hideMark/>
          </w:tcPr>
          <w:p w14:paraId="2959D082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որից՝              վարձու աշխատող չունեցողներ</w:t>
            </w:r>
          </w:p>
        </w:tc>
        <w:tc>
          <w:tcPr>
            <w:tcW w:w="1087" w:type="pct"/>
            <w:vMerge/>
            <w:hideMark/>
          </w:tcPr>
          <w:p w14:paraId="2959D083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hideMark/>
          </w:tcPr>
          <w:p w14:paraId="2959D084" w14:textId="77777777" w:rsidR="00314FE7" w:rsidRPr="002D7DB7" w:rsidRDefault="00314FE7" w:rsidP="00FC60C0">
            <w:pPr>
              <w:spacing w:line="276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24F3A" w:rsidRPr="002D7DB7" w14:paraId="2959D08C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86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Երևան</w:t>
            </w:r>
          </w:p>
        </w:tc>
        <w:tc>
          <w:tcPr>
            <w:tcW w:w="577" w:type="pct"/>
          </w:tcPr>
          <w:p w14:paraId="2959D087" w14:textId="20C506F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4 595 431.6 </w:t>
            </w:r>
          </w:p>
        </w:tc>
        <w:tc>
          <w:tcPr>
            <w:tcW w:w="1087" w:type="pct"/>
            <w:noWrap/>
          </w:tcPr>
          <w:p w14:paraId="2959D088" w14:textId="41A8A96A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913 438.5 </w:t>
            </w:r>
          </w:p>
        </w:tc>
        <w:tc>
          <w:tcPr>
            <w:tcW w:w="941" w:type="pct"/>
            <w:noWrap/>
          </w:tcPr>
          <w:p w14:paraId="2959D089" w14:textId="7E781B20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92 934.3 </w:t>
            </w:r>
          </w:p>
        </w:tc>
        <w:tc>
          <w:tcPr>
            <w:tcW w:w="1087" w:type="pct"/>
            <w:noWrap/>
          </w:tcPr>
          <w:p w14:paraId="2959D08A" w14:textId="60B58FB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922 931.1 </w:t>
            </w:r>
          </w:p>
        </w:tc>
        <w:tc>
          <w:tcPr>
            <w:tcW w:w="577" w:type="pct"/>
            <w:noWrap/>
          </w:tcPr>
          <w:p w14:paraId="2959D08B" w14:textId="30581BE7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1 062 323.7 </w:t>
            </w:r>
          </w:p>
        </w:tc>
      </w:tr>
      <w:tr w:rsidR="00524F3A" w:rsidRPr="002D7DB7" w14:paraId="2959D093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8D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Արագածոտն</w:t>
            </w:r>
          </w:p>
        </w:tc>
        <w:tc>
          <w:tcPr>
            <w:tcW w:w="577" w:type="pct"/>
          </w:tcPr>
          <w:p w14:paraId="2959D08E" w14:textId="3F334961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48 338.5 </w:t>
            </w:r>
          </w:p>
        </w:tc>
        <w:tc>
          <w:tcPr>
            <w:tcW w:w="1087" w:type="pct"/>
            <w:noWrap/>
          </w:tcPr>
          <w:p w14:paraId="2959D08F" w14:textId="2D92EDA0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21 956.1 </w:t>
            </w:r>
          </w:p>
        </w:tc>
        <w:tc>
          <w:tcPr>
            <w:tcW w:w="941" w:type="pct"/>
            <w:noWrap/>
          </w:tcPr>
          <w:p w14:paraId="2959D090" w14:textId="78B2CF5D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5 153.9 </w:t>
            </w:r>
          </w:p>
        </w:tc>
        <w:tc>
          <w:tcPr>
            <w:tcW w:w="1087" w:type="pct"/>
            <w:noWrap/>
          </w:tcPr>
          <w:p w14:paraId="2959D091" w14:textId="7ECA247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11 307.0 </w:t>
            </w:r>
          </w:p>
        </w:tc>
        <w:tc>
          <w:tcPr>
            <w:tcW w:w="577" w:type="pct"/>
            <w:noWrap/>
          </w:tcPr>
          <w:p w14:paraId="2959D092" w14:textId="2BE69312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15 075.5 </w:t>
            </w:r>
          </w:p>
        </w:tc>
      </w:tr>
      <w:tr w:rsidR="00524F3A" w:rsidRPr="002D7DB7" w14:paraId="2959D09A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94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577" w:type="pct"/>
          </w:tcPr>
          <w:p w14:paraId="2959D095" w14:textId="47A4F447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272 202.6 </w:t>
            </w:r>
          </w:p>
        </w:tc>
        <w:tc>
          <w:tcPr>
            <w:tcW w:w="1087" w:type="pct"/>
            <w:noWrap/>
          </w:tcPr>
          <w:p w14:paraId="2959D096" w14:textId="1E3C205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56 009.9 </w:t>
            </w:r>
          </w:p>
        </w:tc>
        <w:tc>
          <w:tcPr>
            <w:tcW w:w="941" w:type="pct"/>
            <w:noWrap/>
          </w:tcPr>
          <w:p w14:paraId="2959D097" w14:textId="03B237BA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14 537.9 </w:t>
            </w:r>
          </w:p>
        </w:tc>
        <w:tc>
          <w:tcPr>
            <w:tcW w:w="1087" w:type="pct"/>
            <w:noWrap/>
          </w:tcPr>
          <w:p w14:paraId="2959D098" w14:textId="671086ED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45 343.8 </w:t>
            </w:r>
          </w:p>
        </w:tc>
        <w:tc>
          <w:tcPr>
            <w:tcW w:w="577" w:type="pct"/>
            <w:noWrap/>
          </w:tcPr>
          <w:p w14:paraId="2959D099" w14:textId="00152052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20 553.3 </w:t>
            </w:r>
          </w:p>
        </w:tc>
      </w:tr>
      <w:tr w:rsidR="00524F3A" w:rsidRPr="002D7DB7" w14:paraId="2959D0A1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9B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577" w:type="pct"/>
          </w:tcPr>
          <w:p w14:paraId="2959D09C" w14:textId="4585A4AF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136 114.1 </w:t>
            </w:r>
          </w:p>
        </w:tc>
        <w:tc>
          <w:tcPr>
            <w:tcW w:w="1087" w:type="pct"/>
            <w:noWrap/>
          </w:tcPr>
          <w:p w14:paraId="2959D09D" w14:textId="330B9E93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55 744.7 </w:t>
            </w:r>
          </w:p>
        </w:tc>
        <w:tc>
          <w:tcPr>
            <w:tcW w:w="941" w:type="pct"/>
            <w:noWrap/>
          </w:tcPr>
          <w:p w14:paraId="2959D09E" w14:textId="5FCF3C13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13 921.1 </w:t>
            </w:r>
          </w:p>
        </w:tc>
        <w:tc>
          <w:tcPr>
            <w:tcW w:w="1087" w:type="pct"/>
            <w:noWrap/>
          </w:tcPr>
          <w:p w14:paraId="2959D09F" w14:textId="2C409A77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34 638.0 </w:t>
            </w:r>
          </w:p>
        </w:tc>
        <w:tc>
          <w:tcPr>
            <w:tcW w:w="577" w:type="pct"/>
            <w:noWrap/>
          </w:tcPr>
          <w:p w14:paraId="2959D0A0" w14:textId="4572A0D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17 788.6 </w:t>
            </w:r>
          </w:p>
        </w:tc>
      </w:tr>
      <w:tr w:rsidR="00524F3A" w:rsidRPr="002D7DB7" w14:paraId="2959D0A8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A2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Գեղարքունիք</w:t>
            </w:r>
          </w:p>
        </w:tc>
        <w:tc>
          <w:tcPr>
            <w:tcW w:w="577" w:type="pct"/>
          </w:tcPr>
          <w:p w14:paraId="2959D0A3" w14:textId="59916199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51 008.3 </w:t>
            </w:r>
          </w:p>
        </w:tc>
        <w:tc>
          <w:tcPr>
            <w:tcW w:w="1087" w:type="pct"/>
            <w:noWrap/>
          </w:tcPr>
          <w:p w14:paraId="2959D0A4" w14:textId="395A1056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31 363.4 </w:t>
            </w:r>
          </w:p>
        </w:tc>
        <w:tc>
          <w:tcPr>
            <w:tcW w:w="941" w:type="pct"/>
            <w:noWrap/>
          </w:tcPr>
          <w:p w14:paraId="2959D0A5" w14:textId="4F31805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7 766.7 </w:t>
            </w:r>
          </w:p>
        </w:tc>
        <w:tc>
          <w:tcPr>
            <w:tcW w:w="1087" w:type="pct"/>
            <w:noWrap/>
          </w:tcPr>
          <w:p w14:paraId="2959D0A6" w14:textId="39158649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16 077.2 </w:t>
            </w:r>
          </w:p>
        </w:tc>
        <w:tc>
          <w:tcPr>
            <w:tcW w:w="577" w:type="pct"/>
            <w:noWrap/>
          </w:tcPr>
          <w:p w14:paraId="2959D0A7" w14:textId="09CD81F4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937.4 </w:t>
            </w:r>
          </w:p>
        </w:tc>
      </w:tr>
      <w:tr w:rsidR="00524F3A" w:rsidRPr="002D7DB7" w14:paraId="2959D0AF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A9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577" w:type="pct"/>
          </w:tcPr>
          <w:p w14:paraId="2959D0AA" w14:textId="2BFF228B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129 028.5 </w:t>
            </w:r>
          </w:p>
        </w:tc>
        <w:tc>
          <w:tcPr>
            <w:tcW w:w="1087" w:type="pct"/>
            <w:noWrap/>
          </w:tcPr>
          <w:p w14:paraId="2959D0AB" w14:textId="75DCEB1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45 085.0 </w:t>
            </w:r>
          </w:p>
        </w:tc>
        <w:tc>
          <w:tcPr>
            <w:tcW w:w="941" w:type="pct"/>
            <w:noWrap/>
          </w:tcPr>
          <w:p w14:paraId="2959D0AC" w14:textId="766C4509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10 474.6 </w:t>
            </w:r>
          </w:p>
        </w:tc>
        <w:tc>
          <w:tcPr>
            <w:tcW w:w="1087" w:type="pct"/>
            <w:noWrap/>
          </w:tcPr>
          <w:p w14:paraId="2959D0AD" w14:textId="32A16634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24 767.8 </w:t>
            </w:r>
          </w:p>
        </w:tc>
        <w:tc>
          <w:tcPr>
            <w:tcW w:w="577" w:type="pct"/>
            <w:noWrap/>
          </w:tcPr>
          <w:p w14:paraId="2959D0AE" w14:textId="74DA9D26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13 539.3 </w:t>
            </w:r>
          </w:p>
        </w:tc>
      </w:tr>
      <w:tr w:rsidR="00524F3A" w:rsidRPr="002D7DB7" w14:paraId="2959D0B6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B0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Կոտայք</w:t>
            </w:r>
          </w:p>
        </w:tc>
        <w:tc>
          <w:tcPr>
            <w:tcW w:w="577" w:type="pct"/>
          </w:tcPr>
          <w:p w14:paraId="2959D0B1" w14:textId="01CBA6DB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429 096.7 </w:t>
            </w:r>
          </w:p>
        </w:tc>
        <w:tc>
          <w:tcPr>
            <w:tcW w:w="1087" w:type="pct"/>
            <w:noWrap/>
          </w:tcPr>
          <w:p w14:paraId="2959D0B2" w14:textId="7CCCD05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183 918.0 </w:t>
            </w:r>
          </w:p>
        </w:tc>
        <w:tc>
          <w:tcPr>
            <w:tcW w:w="941" w:type="pct"/>
            <w:noWrap/>
          </w:tcPr>
          <w:p w14:paraId="2959D0B3" w14:textId="58615699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17 171.3 </w:t>
            </w:r>
          </w:p>
        </w:tc>
        <w:tc>
          <w:tcPr>
            <w:tcW w:w="1087" w:type="pct"/>
            <w:noWrap/>
          </w:tcPr>
          <w:p w14:paraId="2959D0B4" w14:textId="294416F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76 590.0 </w:t>
            </w:r>
          </w:p>
        </w:tc>
        <w:tc>
          <w:tcPr>
            <w:tcW w:w="577" w:type="pct"/>
            <w:noWrap/>
          </w:tcPr>
          <w:p w14:paraId="2959D0B5" w14:textId="343173A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94 190.5 </w:t>
            </w:r>
          </w:p>
        </w:tc>
      </w:tr>
      <w:tr w:rsidR="00524F3A" w:rsidRPr="002D7DB7" w14:paraId="2959D0BD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B7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Շիրակ</w:t>
            </w:r>
          </w:p>
        </w:tc>
        <w:tc>
          <w:tcPr>
            <w:tcW w:w="577" w:type="pct"/>
          </w:tcPr>
          <w:p w14:paraId="2959D0B8" w14:textId="682E551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85 617.0 </w:t>
            </w:r>
          </w:p>
        </w:tc>
        <w:tc>
          <w:tcPr>
            <w:tcW w:w="1087" w:type="pct"/>
            <w:noWrap/>
          </w:tcPr>
          <w:p w14:paraId="2959D0B9" w14:textId="5483062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38 911.8 </w:t>
            </w:r>
          </w:p>
        </w:tc>
        <w:tc>
          <w:tcPr>
            <w:tcW w:w="941" w:type="pct"/>
            <w:noWrap/>
          </w:tcPr>
          <w:p w14:paraId="2959D0BA" w14:textId="41900C37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7 447.8 </w:t>
            </w:r>
          </w:p>
        </w:tc>
        <w:tc>
          <w:tcPr>
            <w:tcW w:w="1087" w:type="pct"/>
            <w:noWrap/>
          </w:tcPr>
          <w:p w14:paraId="2959D0BB" w14:textId="4E31721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21 984.5 </w:t>
            </w:r>
          </w:p>
        </w:tc>
        <w:tc>
          <w:tcPr>
            <w:tcW w:w="577" w:type="pct"/>
            <w:noWrap/>
          </w:tcPr>
          <w:p w14:paraId="2959D0BC" w14:textId="59F2F3EF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20 332.9 </w:t>
            </w:r>
          </w:p>
        </w:tc>
      </w:tr>
      <w:tr w:rsidR="00524F3A" w:rsidRPr="002D7DB7" w14:paraId="2959D0C4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BE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Սյունիք</w:t>
            </w:r>
          </w:p>
        </w:tc>
        <w:tc>
          <w:tcPr>
            <w:tcW w:w="577" w:type="pct"/>
          </w:tcPr>
          <w:p w14:paraId="2959D0BF" w14:textId="5885034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363 529.4 </w:t>
            </w:r>
          </w:p>
        </w:tc>
        <w:tc>
          <w:tcPr>
            <w:tcW w:w="1087" w:type="pct"/>
            <w:noWrap/>
          </w:tcPr>
          <w:p w14:paraId="2959D0C0" w14:textId="01DB5A0B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38 339.7 </w:t>
            </w:r>
          </w:p>
        </w:tc>
        <w:tc>
          <w:tcPr>
            <w:tcW w:w="941" w:type="pct"/>
            <w:noWrap/>
          </w:tcPr>
          <w:p w14:paraId="2959D0C1" w14:textId="571A01A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7 492.0 </w:t>
            </w:r>
          </w:p>
        </w:tc>
        <w:tc>
          <w:tcPr>
            <w:tcW w:w="1087" w:type="pct"/>
            <w:noWrap/>
          </w:tcPr>
          <w:p w14:paraId="2959D0C2" w14:textId="1BBE6393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28 895.7 </w:t>
            </w:r>
          </w:p>
        </w:tc>
        <w:tc>
          <w:tcPr>
            <w:tcW w:w="577" w:type="pct"/>
            <w:noWrap/>
          </w:tcPr>
          <w:p w14:paraId="2959D0C3" w14:textId="71FECB33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37 264.7 </w:t>
            </w:r>
          </w:p>
        </w:tc>
      </w:tr>
      <w:tr w:rsidR="00524F3A" w:rsidRPr="002D7DB7" w14:paraId="2959D0CB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C5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Վայոց ձոր</w:t>
            </w:r>
          </w:p>
        </w:tc>
        <w:tc>
          <w:tcPr>
            <w:tcW w:w="577" w:type="pct"/>
          </w:tcPr>
          <w:p w14:paraId="2959D0C6" w14:textId="56C66AB2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32 954.0 </w:t>
            </w:r>
          </w:p>
        </w:tc>
        <w:tc>
          <w:tcPr>
            <w:tcW w:w="1087" w:type="pct"/>
            <w:noWrap/>
          </w:tcPr>
          <w:p w14:paraId="2959D0C7" w14:textId="14F82295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12 785.0 </w:t>
            </w:r>
          </w:p>
        </w:tc>
        <w:tc>
          <w:tcPr>
            <w:tcW w:w="941" w:type="pct"/>
            <w:noWrap/>
          </w:tcPr>
          <w:p w14:paraId="2959D0C8" w14:textId="0E536188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2 902.0 </w:t>
            </w:r>
          </w:p>
        </w:tc>
        <w:tc>
          <w:tcPr>
            <w:tcW w:w="1087" w:type="pct"/>
            <w:noWrap/>
          </w:tcPr>
          <w:p w14:paraId="2959D0C9" w14:textId="2FD1691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8 822.4 </w:t>
            </w:r>
          </w:p>
        </w:tc>
        <w:tc>
          <w:tcPr>
            <w:tcW w:w="577" w:type="pct"/>
            <w:noWrap/>
          </w:tcPr>
          <w:p w14:paraId="2959D0CA" w14:textId="0FBA34B0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2 906.9 </w:t>
            </w:r>
          </w:p>
        </w:tc>
      </w:tr>
      <w:tr w:rsidR="00524F3A" w:rsidRPr="002D7DB7" w14:paraId="2959D0D2" w14:textId="77777777" w:rsidTr="0052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CC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Տավուշ</w:t>
            </w:r>
          </w:p>
        </w:tc>
        <w:tc>
          <w:tcPr>
            <w:tcW w:w="577" w:type="pct"/>
          </w:tcPr>
          <w:p w14:paraId="2959D0CD" w14:textId="7583EB6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54 116.4 </w:t>
            </w:r>
          </w:p>
        </w:tc>
        <w:tc>
          <w:tcPr>
            <w:tcW w:w="1087" w:type="pct"/>
            <w:noWrap/>
          </w:tcPr>
          <w:p w14:paraId="2959D0CE" w14:textId="60EB83DF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31 816.6 </w:t>
            </w:r>
          </w:p>
        </w:tc>
        <w:tc>
          <w:tcPr>
            <w:tcW w:w="941" w:type="pct"/>
            <w:noWrap/>
          </w:tcPr>
          <w:p w14:paraId="2959D0CF" w14:textId="0FBD7FF9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5 461.6 </w:t>
            </w:r>
          </w:p>
        </w:tc>
        <w:tc>
          <w:tcPr>
            <w:tcW w:w="1087" w:type="pct"/>
            <w:noWrap/>
          </w:tcPr>
          <w:p w14:paraId="2959D0D0" w14:textId="73E32AFA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10 928.4 </w:t>
            </w:r>
          </w:p>
        </w:tc>
        <w:tc>
          <w:tcPr>
            <w:tcW w:w="577" w:type="pct"/>
            <w:noWrap/>
          </w:tcPr>
          <w:p w14:paraId="2959D0D1" w14:textId="6CF4A983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4C6E85">
              <w:rPr>
                <w:sz w:val="18"/>
                <w:szCs w:val="18"/>
              </w:rPr>
              <w:t xml:space="preserve"> 8 310.4 </w:t>
            </w:r>
          </w:p>
        </w:tc>
      </w:tr>
      <w:tr w:rsidR="00524F3A" w:rsidRPr="002D7DB7" w14:paraId="2959D0D9" w14:textId="77777777" w:rsidTr="00524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959D0D3" w14:textId="77777777" w:rsidR="00524F3A" w:rsidRPr="002D7DB7" w:rsidRDefault="00524F3A" w:rsidP="00524F3A">
            <w:pPr>
              <w:spacing w:line="276" w:lineRule="auto"/>
              <w:ind w:firstLine="0"/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</w:pPr>
            <w:r w:rsidRPr="002D7DB7"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577" w:type="pct"/>
          </w:tcPr>
          <w:p w14:paraId="2959D0D4" w14:textId="0117E7A0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6 197 437.1 </w:t>
            </w:r>
          </w:p>
        </w:tc>
        <w:tc>
          <w:tcPr>
            <w:tcW w:w="1087" w:type="pct"/>
            <w:noWrap/>
          </w:tcPr>
          <w:p w14:paraId="2959D0D5" w14:textId="0D1DA14C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1 429 368.7 </w:t>
            </w:r>
          </w:p>
        </w:tc>
        <w:tc>
          <w:tcPr>
            <w:tcW w:w="941" w:type="pct"/>
            <w:noWrap/>
          </w:tcPr>
          <w:p w14:paraId="2959D0D6" w14:textId="44C18E9E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185 263.2 </w:t>
            </w:r>
          </w:p>
        </w:tc>
        <w:tc>
          <w:tcPr>
            <w:tcW w:w="1087" w:type="pct"/>
            <w:noWrap/>
          </w:tcPr>
          <w:p w14:paraId="2959D0D7" w14:textId="5089169B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1 202 285.9 </w:t>
            </w:r>
          </w:p>
        </w:tc>
        <w:tc>
          <w:tcPr>
            <w:tcW w:w="577" w:type="pct"/>
            <w:noWrap/>
          </w:tcPr>
          <w:p w14:paraId="2959D0D8" w14:textId="36351A51" w:rsidR="00524F3A" w:rsidRPr="002D7DB7" w:rsidRDefault="00524F3A" w:rsidP="00524F3A">
            <w:pPr>
              <w:spacing w:line="276" w:lineRule="auto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E85">
              <w:rPr>
                <w:b/>
                <w:sz w:val="18"/>
                <w:szCs w:val="18"/>
              </w:rPr>
              <w:t xml:space="preserve"> 1 293 223.2 </w:t>
            </w:r>
          </w:p>
        </w:tc>
      </w:tr>
    </w:tbl>
    <w:p w14:paraId="2959D0DA" w14:textId="2E3F5F62" w:rsidR="008C2C81" w:rsidRPr="002D7DB7" w:rsidRDefault="008C2C81" w:rsidP="00FC60C0">
      <w:pPr>
        <w:spacing w:before="240" w:after="0" w:line="276" w:lineRule="auto"/>
        <w:ind w:left="-90"/>
        <w:rPr>
          <w:rFonts w:eastAsia="MS Mincho" w:cs="MS Mincho"/>
          <w:i/>
          <w:sz w:val="18"/>
          <w:szCs w:val="18"/>
        </w:rPr>
      </w:pPr>
      <w:r w:rsidRPr="002D7DB7">
        <w:rPr>
          <w:i/>
          <w:sz w:val="18"/>
          <w:szCs w:val="18"/>
        </w:rPr>
        <w:lastRenderedPageBreak/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Pr="002D7DB7">
        <w:rPr>
          <w:i/>
          <w:sz w:val="18"/>
          <w:szCs w:val="18"/>
        </w:rPr>
        <w:t xml:space="preserve"> 201</w:t>
      </w:r>
      <w:r w:rsidR="00524F3A" w:rsidRPr="00364637">
        <w:rPr>
          <w:i/>
          <w:sz w:val="18"/>
          <w:szCs w:val="18"/>
        </w:rPr>
        <w:t>9</w:t>
      </w:r>
      <w:r w:rsidRPr="002D7DB7">
        <w:rPr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p w14:paraId="2959D0DB" w14:textId="7C6EC95F" w:rsidR="008C2C81" w:rsidRPr="002D7DB7" w:rsidRDefault="008C2C81" w:rsidP="00FC60C0">
      <w:pPr>
        <w:pStyle w:val="Caption"/>
        <w:spacing w:after="0" w:line="276" w:lineRule="auto"/>
      </w:pPr>
      <w:r w:rsidRPr="002D7DB7">
        <w:t xml:space="preserve">Գծապատկեր </w:t>
      </w:r>
      <w:r w:rsidR="00C07F77" w:rsidRPr="002D7DB7">
        <w:fldChar w:fldCharType="begin"/>
      </w:r>
      <w:r w:rsidRPr="002D7DB7">
        <w:instrText xml:space="preserve"> SEQ Գծապատկեր \* ARABIC </w:instrText>
      </w:r>
      <w:r w:rsidR="00C07F77" w:rsidRPr="002D7DB7">
        <w:fldChar w:fldCharType="separate"/>
      </w:r>
      <w:r w:rsidR="00DC729D">
        <w:rPr>
          <w:noProof/>
        </w:rPr>
        <w:t>8</w:t>
      </w:r>
      <w:r w:rsidR="00C07F77" w:rsidRPr="002D7DB7">
        <w:fldChar w:fldCharType="end"/>
      </w:r>
      <w:r w:rsidR="00314FE7" w:rsidRPr="002D7DB7">
        <w:t>Վարձու աշխատողների թվաքանակի կառուցվածքն ըստ ՀՀ մարզերի և Երևան քաղաքի ու տնտեսավարողների չափերի, 201</w:t>
      </w:r>
      <w:r w:rsidR="00013882">
        <w:t>8</w:t>
      </w:r>
      <w:r w:rsidR="00314FE7" w:rsidRPr="002D7DB7">
        <w:t>թ.</w:t>
      </w:r>
    </w:p>
    <w:p w14:paraId="2959D0DC" w14:textId="00346C73" w:rsidR="00A84AD9" w:rsidRPr="002D7DB7" w:rsidRDefault="00524F3A" w:rsidP="00FC60C0">
      <w:pPr>
        <w:spacing w:before="240" w:after="0" w:line="276" w:lineRule="auto"/>
        <w:ind w:left="-90"/>
        <w:rPr>
          <w:i/>
          <w:sz w:val="18"/>
          <w:szCs w:val="18"/>
        </w:rPr>
      </w:pPr>
      <w:r>
        <w:rPr>
          <w:noProof/>
          <w:lang w:eastAsia="hy-AM"/>
        </w:rPr>
        <w:drawing>
          <wp:inline distT="0" distB="0" distL="0" distR="0" wp14:anchorId="2185D8AB" wp14:editId="26D5D258">
            <wp:extent cx="6324600" cy="245745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959D0DD" w14:textId="5332D8A3" w:rsidR="008C2C81" w:rsidRPr="002D7DB7" w:rsidRDefault="008C2C81" w:rsidP="00FC60C0">
      <w:pPr>
        <w:spacing w:before="240" w:after="0" w:line="276" w:lineRule="auto"/>
        <w:ind w:left="-90"/>
        <w:rPr>
          <w:rFonts w:eastAsia="MS Mincho" w:cs="MS Mincho"/>
          <w:i/>
          <w:sz w:val="18"/>
          <w:szCs w:val="18"/>
        </w:rPr>
      </w:pPr>
      <w:r w:rsidRPr="002D7DB7">
        <w:rPr>
          <w:i/>
          <w:sz w:val="18"/>
          <w:szCs w:val="18"/>
        </w:rPr>
        <w:t xml:space="preserve">Աղբյուր՝ </w:t>
      </w:r>
      <w:r w:rsidR="00E15D99" w:rsidRPr="002D7DB7">
        <w:rPr>
          <w:i/>
          <w:sz w:val="18"/>
          <w:szCs w:val="18"/>
        </w:rPr>
        <w:t xml:space="preserve">ԱՐՄՍՏԱՏ </w:t>
      </w:r>
      <w:r w:rsidR="00AA04A5">
        <w:rPr>
          <w:i/>
          <w:sz w:val="18"/>
          <w:szCs w:val="18"/>
        </w:rPr>
        <w:t>ՓՄՁ</w:t>
      </w:r>
      <w:r w:rsidR="00E15D99" w:rsidRPr="002D7DB7">
        <w:rPr>
          <w:i/>
          <w:sz w:val="18"/>
          <w:szCs w:val="18"/>
        </w:rPr>
        <w:t xml:space="preserve"> Հայաստանի Հանրապետությունում</w:t>
      </w:r>
      <w:r w:rsidRPr="002D7DB7">
        <w:rPr>
          <w:i/>
          <w:sz w:val="18"/>
          <w:szCs w:val="18"/>
        </w:rPr>
        <w:t xml:space="preserve"> 201</w:t>
      </w:r>
      <w:r w:rsidR="00524F3A" w:rsidRPr="00364637">
        <w:rPr>
          <w:i/>
          <w:sz w:val="18"/>
          <w:szCs w:val="18"/>
        </w:rPr>
        <w:t>9</w:t>
      </w:r>
      <w:r w:rsidRPr="002D7DB7">
        <w:rPr>
          <w:i/>
          <w:sz w:val="18"/>
          <w:szCs w:val="18"/>
        </w:rPr>
        <w:t>թ</w:t>
      </w:r>
      <w:r w:rsidRPr="002D7DB7">
        <w:rPr>
          <w:rFonts w:ascii="Cambria Math" w:eastAsia="MS Mincho" w:hAnsi="Cambria Math" w:cs="Cambria Math"/>
          <w:i/>
          <w:sz w:val="18"/>
          <w:szCs w:val="18"/>
        </w:rPr>
        <w:t>․</w:t>
      </w:r>
    </w:p>
    <w:p w14:paraId="2959D0DE" w14:textId="77777777" w:rsidR="008C2C81" w:rsidRPr="002D7DB7" w:rsidRDefault="008C2C81" w:rsidP="00FC60C0">
      <w:pPr>
        <w:spacing w:before="240" w:after="0" w:line="276" w:lineRule="auto"/>
        <w:ind w:left="-90"/>
        <w:rPr>
          <w:rFonts w:eastAsiaTheme="minorEastAsia"/>
          <w:color w:val="42558C" w:themeColor="accent1" w:themeShade="BF"/>
        </w:rPr>
      </w:pPr>
    </w:p>
    <w:p w14:paraId="2959D0DF" w14:textId="77777777" w:rsidR="008C2C81" w:rsidRPr="002D7DB7" w:rsidRDefault="008C2C81" w:rsidP="00FC60C0">
      <w:pPr>
        <w:spacing w:after="0" w:line="276" w:lineRule="auto"/>
        <w:ind w:firstLine="0"/>
        <w:jc w:val="left"/>
        <w:rPr>
          <w:rFonts w:eastAsiaTheme="minorEastAsia" w:cstheme="minorBidi"/>
        </w:rPr>
        <w:sectPr w:rsidR="008C2C81" w:rsidRPr="002D7DB7" w:rsidSect="00CA552F">
          <w:headerReference w:type="default" r:id="rId19"/>
          <w:footerReference w:type="default" r:id="rId20"/>
          <w:footerReference w:type="first" r:id="rId21"/>
          <w:pgSz w:w="11907" w:h="16839" w:code="9"/>
          <w:pgMar w:top="720" w:right="720" w:bottom="360" w:left="720" w:header="144" w:footer="720" w:gutter="0"/>
          <w:pgNumType w:start="0"/>
          <w:cols w:space="720"/>
          <w:titlePg/>
          <w:docGrid w:linePitch="360"/>
        </w:sectPr>
      </w:pPr>
    </w:p>
    <w:p w14:paraId="2959D0E1" w14:textId="36820638" w:rsidR="0038657B" w:rsidRPr="002D7DB7" w:rsidRDefault="004E7D85" w:rsidP="003D251E">
      <w:pPr>
        <w:pStyle w:val="Heading1"/>
        <w:numPr>
          <w:ilvl w:val="0"/>
          <w:numId w:val="0"/>
        </w:numPr>
        <w:ind w:left="432" w:hanging="432"/>
      </w:pPr>
      <w:bookmarkStart w:id="26" w:name="_Toc17467305"/>
      <w:bookmarkStart w:id="27" w:name="_Toc47118498"/>
      <w:r w:rsidRPr="002D7DB7">
        <w:rPr>
          <w:rFonts w:ascii="Arial" w:hAnsi="Arial" w:cs="Arial"/>
        </w:rPr>
        <w:lastRenderedPageBreak/>
        <w:t>Հավելված</w:t>
      </w:r>
      <w:r>
        <w:t xml:space="preserve"> </w:t>
      </w:r>
      <w:r>
        <w:rPr>
          <w:lang w:val="ru-RU"/>
        </w:rPr>
        <w:t>2</w:t>
      </w:r>
      <w:r>
        <w:rPr>
          <w:rFonts w:asciiTheme="minorHAnsi" w:hAnsiTheme="minorHAnsi"/>
        </w:rPr>
        <w:t xml:space="preserve">. </w:t>
      </w:r>
      <w:proofErr w:type="gramStart"/>
      <w:r w:rsidR="0038657B" w:rsidRPr="002D7DB7">
        <w:rPr>
          <w:lang w:val="en-US"/>
        </w:rPr>
        <w:t>SWOT</w:t>
      </w:r>
      <w:r>
        <w:rPr>
          <w:lang w:val="ru-RU"/>
        </w:rPr>
        <w:t xml:space="preserve"> </w:t>
      </w:r>
      <w:r w:rsidR="0038657B" w:rsidRPr="002D7DB7">
        <w:rPr>
          <w:lang w:val="en-US"/>
        </w:rPr>
        <w:t xml:space="preserve"> </w:t>
      </w:r>
      <w:r w:rsidR="0038657B" w:rsidRPr="002D7DB7">
        <w:rPr>
          <w:rFonts w:ascii="Arial" w:hAnsi="Arial" w:cs="Arial"/>
        </w:rPr>
        <w:t>վերլուծություն</w:t>
      </w:r>
      <w:bookmarkEnd w:id="26"/>
      <w:bookmarkEnd w:id="27"/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33"/>
        <w:gridCol w:w="7756"/>
      </w:tblGrid>
      <w:tr w:rsidR="0038657B" w:rsidRPr="002D7DB7" w14:paraId="2959D0FA" w14:textId="77777777" w:rsidTr="0038657B">
        <w:tc>
          <w:tcPr>
            <w:tcW w:w="2480" w:type="pct"/>
          </w:tcPr>
          <w:p w14:paraId="2959D0E2" w14:textId="0C9F3EBC" w:rsidR="0038657B" w:rsidRPr="002D7DB7" w:rsidRDefault="0038657B" w:rsidP="00FC60C0">
            <w:pPr>
              <w:spacing w:line="276" w:lineRule="auto"/>
              <w:ind w:left="720"/>
              <w:rPr>
                <w:color w:val="42558C" w:themeColor="accent1" w:themeShade="BF"/>
              </w:rPr>
            </w:pPr>
            <w:r w:rsidRPr="002D7DB7">
              <w:rPr>
                <w:color w:val="42558C" w:themeColor="accent1" w:themeShade="BF"/>
              </w:rPr>
              <w:t>Ուժեղ կողմեր</w:t>
            </w:r>
          </w:p>
          <w:p w14:paraId="2959D0E3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Կազմակերպություն գրանցելու արագ ընթացակարգ </w:t>
            </w:r>
          </w:p>
          <w:p w14:paraId="2959D0E4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ՓՄՁ-ների կարգավորման բարենպաստ դաշտ</w:t>
            </w:r>
          </w:p>
          <w:p w14:paraId="2959D0E5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Կառավարության կողմից ՓՄՁ աջակցության գործիքակազմի առկայություն</w:t>
            </w:r>
          </w:p>
          <w:p w14:paraId="2959D0E6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Կապի և ինտերնետի զարգացած ենթակառուցվածք և բարձր որակ, նորարարական և կապի տեխնոլոգիաների հասանելիություն</w:t>
            </w:r>
          </w:p>
          <w:p w14:paraId="2959D0E7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Մի շարք էլեկտրոնային հարթակների առկայություն (e-draft, e-gov) և շարունակական ընդլայնում</w:t>
            </w:r>
          </w:p>
          <w:p w14:paraId="2959D0E8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Զարգացած Այ-Թի ոլորտ</w:t>
            </w:r>
          </w:p>
          <w:p w14:paraId="2959D0E9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ՓՄՁ-ի համար պարզ հարկային ռեժիմի առկայություն</w:t>
            </w:r>
          </w:p>
          <w:p w14:paraId="2959D0EA" w14:textId="77777777" w:rsidR="0038657B" w:rsidRPr="002D7DB7" w:rsidRDefault="0038657B" w:rsidP="00FC60C0">
            <w:pPr>
              <w:spacing w:line="276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20" w:type="pct"/>
          </w:tcPr>
          <w:p w14:paraId="2959D0EB" w14:textId="77777777" w:rsidR="0038657B" w:rsidRPr="002D7DB7" w:rsidRDefault="0038657B" w:rsidP="00FC60C0">
            <w:pPr>
              <w:spacing w:line="276" w:lineRule="auto"/>
              <w:ind w:left="720"/>
              <w:rPr>
                <w:color w:val="42558C" w:themeColor="accent1" w:themeShade="BF"/>
              </w:rPr>
            </w:pPr>
            <w:r w:rsidRPr="002D7DB7">
              <w:rPr>
                <w:color w:val="42558C" w:themeColor="accent1" w:themeShade="BF"/>
              </w:rPr>
              <w:t xml:space="preserve">                          Թույլ կողմեր</w:t>
            </w:r>
          </w:p>
          <w:p w14:paraId="2959D0EC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Գործարար կարողությունների ցածր մակարդակ և փորձի պակաս</w:t>
            </w:r>
          </w:p>
          <w:p w14:paraId="2959D0ED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Թույլ զարգացած ենթակառուցվածքներ, հատկապես մարզերում</w:t>
            </w:r>
          </w:p>
          <w:p w14:paraId="2959D0EE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Ցածր արտադրողականություն </w:t>
            </w:r>
          </w:p>
          <w:p w14:paraId="2959D0EF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Ֆինանսների ցածր հասանելիություն</w:t>
            </w:r>
          </w:p>
          <w:p w14:paraId="2959D0F0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Հարկային և մաքսային վարչարարություն</w:t>
            </w:r>
          </w:p>
          <w:p w14:paraId="2959D0F1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Որակյալ կադրերի սակավություն, աշխատուժի հետ իրավական հարաբերությունների բարդություն </w:t>
            </w:r>
          </w:p>
          <w:p w14:paraId="2959D0F2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Արտաքին շուկաների վերաբերյալ տեղեկացվածության ցածր մակարդակ </w:t>
            </w:r>
          </w:p>
          <w:p w14:paraId="2959D0F3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Լոգիստիկ խնդիրներով պայմանավորված արտահանման/ներմուծման բարդություններ</w:t>
            </w:r>
          </w:p>
          <w:p w14:paraId="2959D0F4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Խորհրդատվական ծառայությունների բարձր գին ՓՄՁ-ների համար</w:t>
            </w:r>
          </w:p>
          <w:p w14:paraId="2959D0F5" w14:textId="43603279" w:rsidR="0038657B" w:rsidRPr="002D7DB7" w:rsidRDefault="00447BFD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Կազմակերպության</w:t>
            </w:r>
            <w:r w:rsidR="0038657B" w:rsidRPr="002D7DB7">
              <w:rPr>
                <w:sz w:val="18"/>
                <w:szCs w:val="22"/>
              </w:rPr>
              <w:t xml:space="preserve"> փակման ընթացակարգի բարդություն</w:t>
            </w:r>
          </w:p>
          <w:p w14:paraId="2959D0F6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ՓՄՁ-ների կենտրոնացում Երևանում</w:t>
            </w:r>
          </w:p>
          <w:p w14:paraId="2959D0F7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Ընկերությունների սնանկության գործընթացի անարդյունավետություն</w:t>
            </w:r>
          </w:p>
          <w:p w14:paraId="2959D0F8" w14:textId="61475A5B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 Աջակցության գործիքակազմի վերաբերյալ </w:t>
            </w:r>
            <w:r w:rsidR="007B486C">
              <w:rPr>
                <w:sz w:val="18"/>
                <w:szCs w:val="22"/>
              </w:rPr>
              <w:t>տնտեսավարող</w:t>
            </w:r>
            <w:r w:rsidRPr="002D7DB7">
              <w:rPr>
                <w:sz w:val="18"/>
                <w:szCs w:val="22"/>
              </w:rPr>
              <w:t>ների տեղեկացվածության ցածր մակարդակ</w:t>
            </w:r>
          </w:p>
          <w:p w14:paraId="2959D0F9" w14:textId="77777777" w:rsidR="0038657B" w:rsidRPr="002D7DB7" w:rsidRDefault="0038657B" w:rsidP="00FC60C0">
            <w:pPr>
              <w:spacing w:line="276" w:lineRule="auto"/>
              <w:rPr>
                <w:sz w:val="20"/>
              </w:rPr>
            </w:pPr>
          </w:p>
        </w:tc>
      </w:tr>
      <w:tr w:rsidR="0038657B" w:rsidRPr="002D7DB7" w14:paraId="2959D10F" w14:textId="77777777" w:rsidTr="0038657B">
        <w:tc>
          <w:tcPr>
            <w:tcW w:w="2480" w:type="pct"/>
          </w:tcPr>
          <w:p w14:paraId="2959D0FB" w14:textId="77777777" w:rsidR="0038657B" w:rsidRPr="002D7DB7" w:rsidRDefault="0038657B" w:rsidP="00FC60C0">
            <w:pPr>
              <w:spacing w:line="276" w:lineRule="auto"/>
              <w:ind w:left="720"/>
              <w:rPr>
                <w:color w:val="42558C" w:themeColor="accent1" w:themeShade="BF"/>
              </w:rPr>
            </w:pPr>
            <w:r w:rsidRPr="002D7DB7">
              <w:rPr>
                <w:color w:val="42558C" w:themeColor="accent1" w:themeShade="BF"/>
              </w:rPr>
              <w:t xml:space="preserve">                  Հնարավորություններ</w:t>
            </w:r>
          </w:p>
          <w:p w14:paraId="2959D0FC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>Այլընտրանքային ֆինանսավորման մեխանիզմների զարգացում</w:t>
            </w:r>
          </w:p>
          <w:p w14:paraId="2959D0FD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 xml:space="preserve">Առկա բարենպաստ առևտրային ռեժիմների արդյունավետ օգտագործում, կառույցների առկայություն </w:t>
            </w:r>
          </w:p>
          <w:p w14:paraId="2959D0FE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 xml:space="preserve">ՓՄՁ-ների համար խորհրդատվական ծառայությունների և աջակցող կառույցների առկայություն </w:t>
            </w:r>
          </w:p>
          <w:p w14:paraId="2959D0FF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 xml:space="preserve">Էլեկտրոնային առևտրի զարգացում </w:t>
            </w:r>
          </w:p>
          <w:p w14:paraId="2959D100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>Պետություն-մասնավոր հատված երկխոսության կայացում</w:t>
            </w:r>
          </w:p>
          <w:p w14:paraId="2959D101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 xml:space="preserve">Կրթական համակարգի շուկայի պահանջներին համապատասխանեցում </w:t>
            </w:r>
          </w:p>
          <w:p w14:paraId="2959D102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>Տեխնոլոգիաների և նորարար գաղափարների ներմուծում</w:t>
            </w:r>
          </w:p>
          <w:p w14:paraId="2959D103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18"/>
              </w:rPr>
            </w:pPr>
            <w:r w:rsidRPr="002D7DB7">
              <w:rPr>
                <w:sz w:val="18"/>
                <w:szCs w:val="18"/>
              </w:rPr>
              <w:t>Օժանդակող ենթակառուցվածքների/գործիքների արդյունավետ շահագործում</w:t>
            </w:r>
          </w:p>
          <w:p w14:paraId="2959D104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20"/>
              </w:rPr>
            </w:pPr>
            <w:r w:rsidRPr="002D7DB7">
              <w:rPr>
                <w:sz w:val="18"/>
                <w:szCs w:val="18"/>
              </w:rPr>
              <w:t xml:space="preserve"> Անդամակցության վրա հիմնված կազմակերպությունների դերի բարձրացումը</w:t>
            </w:r>
          </w:p>
          <w:p w14:paraId="2959D105" w14:textId="77777777" w:rsidR="00F45840" w:rsidRPr="002D7DB7" w:rsidRDefault="00F45840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ԵԱՏՄ և ԵՄ շուկաների բարձր հասանելիություն, ազատ առևտրի համաձայնագրեր</w:t>
            </w:r>
          </w:p>
          <w:p w14:paraId="2959D106" w14:textId="77777777" w:rsidR="00F45840" w:rsidRPr="002D7DB7" w:rsidRDefault="00F45840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GSP+ և REX համակարգերին անդամակցություն, օն-լայն հայտարարագրման համակարգ</w:t>
            </w:r>
          </w:p>
        </w:tc>
        <w:tc>
          <w:tcPr>
            <w:tcW w:w="2520" w:type="pct"/>
          </w:tcPr>
          <w:p w14:paraId="2959D107" w14:textId="5436768E" w:rsidR="0038657B" w:rsidRPr="002D7DB7" w:rsidRDefault="0038657B" w:rsidP="00FC60C0">
            <w:pPr>
              <w:spacing w:line="276" w:lineRule="auto"/>
              <w:ind w:left="720"/>
              <w:rPr>
                <w:color w:val="42558C" w:themeColor="accent1" w:themeShade="BF"/>
              </w:rPr>
            </w:pPr>
            <w:r w:rsidRPr="002D7DB7">
              <w:rPr>
                <w:color w:val="42558C" w:themeColor="accent1" w:themeShade="BF"/>
              </w:rPr>
              <w:t>Ռիսկեր</w:t>
            </w:r>
          </w:p>
          <w:p w14:paraId="2959D108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Արտաքին անբարենպաստ պայմանների ի հայտ գալը (ֆինանսական ճգնաժամ, հիմնական գործընկեր երկրներում աճի դանդաղում, արտարժույթային ռիսկեր և այլ) </w:t>
            </w:r>
          </w:p>
          <w:p w14:paraId="2959D109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Լրացուցիչ լոգիստիկ խնդիրներով պայմանավորված մրցունակության անկում</w:t>
            </w:r>
          </w:p>
          <w:p w14:paraId="2959D10A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Տարածաշրջանում աշխարհաքաղաքական անկայունություն</w:t>
            </w:r>
          </w:p>
          <w:p w14:paraId="2959D10B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 xml:space="preserve">ՓՄՁ-ների կողմից արտահանման և տեխնոլոգիաների ընդունման և ներդրման անբավարար մակարդակ </w:t>
            </w:r>
          </w:p>
          <w:p w14:paraId="2959D10C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Արտագաղթի հետևանքով կրճատվող աշխատուժ</w:t>
            </w:r>
          </w:p>
          <w:p w14:paraId="2959D10D" w14:textId="77777777" w:rsidR="0038657B" w:rsidRPr="002D7DB7" w:rsidRDefault="0038657B" w:rsidP="00FC60C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76" w:lineRule="auto"/>
              <w:ind w:left="342" w:hanging="270"/>
              <w:jc w:val="left"/>
              <w:rPr>
                <w:sz w:val="18"/>
                <w:szCs w:val="22"/>
              </w:rPr>
            </w:pPr>
            <w:r w:rsidRPr="002D7DB7">
              <w:rPr>
                <w:sz w:val="18"/>
                <w:szCs w:val="22"/>
              </w:rPr>
              <w:t>Նորարարությանը դիմադրող բիզնես միջավայր</w:t>
            </w:r>
          </w:p>
          <w:p w14:paraId="2959D10E" w14:textId="77777777" w:rsidR="0038657B" w:rsidRPr="002D7DB7" w:rsidRDefault="0038657B" w:rsidP="00FC60C0">
            <w:pPr>
              <w:spacing w:line="276" w:lineRule="auto"/>
              <w:rPr>
                <w:sz w:val="20"/>
              </w:rPr>
            </w:pPr>
          </w:p>
        </w:tc>
      </w:tr>
    </w:tbl>
    <w:p w14:paraId="14E49B6C" w14:textId="049B9531" w:rsidR="004E7D85" w:rsidRPr="002D7DB7" w:rsidRDefault="00BA1059" w:rsidP="00BA1059">
      <w:pPr>
        <w:pStyle w:val="Heading1"/>
        <w:numPr>
          <w:ilvl w:val="0"/>
          <w:numId w:val="0"/>
        </w:numPr>
        <w:ind w:left="432" w:hanging="432"/>
      </w:pPr>
      <w:bookmarkStart w:id="28" w:name="_Toc17467301"/>
      <w:r>
        <w:rPr>
          <w:rFonts w:ascii="Arial" w:hAnsi="Arial" w:cs="Arial"/>
          <w:szCs w:val="28"/>
        </w:rPr>
        <w:br w:type="page"/>
      </w:r>
      <w:bookmarkStart w:id="29" w:name="_Toc47118499"/>
      <w:r w:rsidR="004E7D85" w:rsidRPr="00BA1059">
        <w:rPr>
          <w:rFonts w:ascii="Arial" w:hAnsi="Arial" w:cs="Arial"/>
        </w:rPr>
        <w:lastRenderedPageBreak/>
        <w:t xml:space="preserve">Հավելված </w:t>
      </w:r>
      <w:bookmarkEnd w:id="28"/>
      <w:r w:rsidR="00790672" w:rsidRPr="00BA1059">
        <w:rPr>
          <w:rFonts w:ascii="Arial" w:hAnsi="Arial" w:cs="Arial"/>
        </w:rPr>
        <w:t>3</w:t>
      </w:r>
      <w:r w:rsidR="004E7D85" w:rsidRPr="00BA1059">
        <w:rPr>
          <w:rFonts w:ascii="Arial" w:hAnsi="Arial" w:cs="Arial"/>
        </w:rPr>
        <w:t xml:space="preserve">  ՀՀ ՓՄՁ միջավայրի </w:t>
      </w:r>
      <w:r w:rsidR="004E7D85" w:rsidRPr="002D7DB7">
        <w:rPr>
          <w:rFonts w:ascii="Arial" w:hAnsi="Arial" w:cs="Arial"/>
        </w:rPr>
        <w:t>գնահատումն</w:t>
      </w:r>
      <w:r w:rsidR="004E7D85" w:rsidRPr="00BA1059">
        <w:rPr>
          <w:rFonts w:ascii="Arial" w:hAnsi="Arial" w:cs="Arial"/>
        </w:rPr>
        <w:t xml:space="preserve"> </w:t>
      </w:r>
      <w:r w:rsidR="004E7D85" w:rsidRPr="002D7DB7">
        <w:rPr>
          <w:rFonts w:ascii="Arial" w:hAnsi="Arial" w:cs="Arial"/>
        </w:rPr>
        <w:t>ըստ</w:t>
      </w:r>
      <w:r w:rsidR="004E7D85" w:rsidRPr="00BA1059">
        <w:rPr>
          <w:rFonts w:ascii="Arial" w:hAnsi="Arial" w:cs="Arial"/>
        </w:rPr>
        <w:t xml:space="preserve"> </w:t>
      </w:r>
      <w:r w:rsidR="004E7D85" w:rsidRPr="002D7DB7">
        <w:rPr>
          <w:rFonts w:ascii="Arial" w:hAnsi="Arial" w:cs="Arial"/>
        </w:rPr>
        <w:t>միջազգային</w:t>
      </w:r>
      <w:r w:rsidR="004E7D85" w:rsidRPr="00BA1059">
        <w:rPr>
          <w:rFonts w:ascii="Arial" w:hAnsi="Arial" w:cs="Arial"/>
        </w:rPr>
        <w:t xml:space="preserve"> </w:t>
      </w:r>
      <w:r w:rsidR="004E7D85" w:rsidRPr="002D7DB7">
        <w:rPr>
          <w:rFonts w:ascii="Arial" w:hAnsi="Arial" w:cs="Arial"/>
        </w:rPr>
        <w:t>համաթվերի</w:t>
      </w:r>
      <w:bookmarkEnd w:id="29"/>
    </w:p>
    <w:tbl>
      <w:tblPr>
        <w:tblW w:w="15665" w:type="dxa"/>
        <w:tblInd w:w="103" w:type="dxa"/>
        <w:tblLook w:val="04A0" w:firstRow="1" w:lastRow="0" w:firstColumn="1" w:lastColumn="0" w:noHBand="0" w:noVBand="1"/>
      </w:tblPr>
      <w:tblGrid>
        <w:gridCol w:w="2106"/>
        <w:gridCol w:w="2556"/>
        <w:gridCol w:w="1408"/>
        <w:gridCol w:w="871"/>
        <w:gridCol w:w="1110"/>
        <w:gridCol w:w="4104"/>
        <w:gridCol w:w="3510"/>
      </w:tblGrid>
      <w:tr w:rsidR="008B1492" w:rsidRPr="00BA1059" w14:paraId="2447D0B7" w14:textId="77777777" w:rsidTr="00BA044B">
        <w:trPr>
          <w:trHeight w:val="49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47B87BBE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Զեկույց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0B7006A9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Ուղղություն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63BC44AE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թիվ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48A3A565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r w:rsidRPr="00BA1059"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/>
              </w:rPr>
              <w:t xml:space="preserve">ՀՀ </w:t>
            </w:r>
            <w:proofErr w:type="spellStart"/>
            <w:r w:rsidRPr="00BA1059"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/>
              </w:rPr>
              <w:t>դիրքը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490CF9E5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/>
              </w:rPr>
              <w:t>Միավոր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B9E1"/>
            <w:hideMark/>
          </w:tcPr>
          <w:p w14:paraId="11DB96BE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Բնութագիր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9FB9E1"/>
            <w:hideMark/>
          </w:tcPr>
          <w:p w14:paraId="3032B49E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Կարճ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val="en-US"/>
              </w:rPr>
              <w:t>նկարագիր</w:t>
            </w:r>
            <w:proofErr w:type="spellEnd"/>
          </w:p>
        </w:tc>
      </w:tr>
      <w:tr w:rsidR="008B1492" w:rsidRPr="00BA044B" w14:paraId="211CDB7A" w14:textId="77777777" w:rsidTr="00BA044B">
        <w:trPr>
          <w:trHeight w:val="300"/>
        </w:trPr>
        <w:tc>
          <w:tcPr>
            <w:tcW w:w="156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FDCF0"/>
            <w:hideMark/>
          </w:tcPr>
          <w:p w14:paraId="721EC29C" w14:textId="77777777" w:rsidR="008B1492" w:rsidRPr="00BA044B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Ֆինանսական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միջոցների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հասանելիություն</w:t>
            </w:r>
            <w:proofErr w:type="spellEnd"/>
          </w:p>
        </w:tc>
      </w:tr>
      <w:tr w:rsidR="008B1492" w:rsidRPr="00BA044B" w14:paraId="5FB4469A" w14:textId="77777777" w:rsidTr="00BA044B">
        <w:trPr>
          <w:trHeight w:val="145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6B1C9416" w14:textId="0962357F" w:rsidR="008B1492" w:rsidRPr="00BA044B" w:rsidRDefault="008059ED" w:rsidP="008059E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SME Policy Index</w:t>
            </w:r>
            <w:r w:rsidR="008B1492"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2020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269F5B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ՓՄՁ-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ների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հասանելիություն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6056D7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9462ABA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3E2050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  <w:r w:rsidRPr="00BA044B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en-US"/>
              </w:rPr>
              <w:t>․</w:t>
            </w: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81/5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0E6AC44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Ալտերնատիվ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գործիքները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սակավ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դժվար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բանկային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մատչելի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հատկապես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գրավի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           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երաշխիքային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առկայությունը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խնդիր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նշվում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գրագիտության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բավարար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B6953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բանկային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պահանջները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առաջարկվող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գործիքների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բազմազանությունը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գրագիտության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միջազգային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համաթվերի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68E10D22" w14:textId="77777777" w:rsidTr="00BA044B">
        <w:trPr>
          <w:trHeight w:val="73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22057DA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մրցունակության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7B2453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ՓՄՁ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ֆինանսավորում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D16F94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565AA2E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83E5F9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51.8/100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BE5ABCD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զգալիորեն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բարելավվել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ՀՀ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բարձրանալով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81-րդից: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94B1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Հարցում</w:t>
            </w:r>
            <w:proofErr w:type="spellEnd"/>
            <w:r w:rsidRPr="00BA1059">
              <w:rPr>
                <w:rFonts w:ascii="Cambria Math" w:eastAsia="Times New Roman" w:hAnsi="Cambria Math" w:cs="Cambria Math"/>
                <w:color w:val="000000"/>
                <w:sz w:val="16"/>
                <w:szCs w:val="18"/>
                <w:lang w:val="en-US"/>
              </w:rPr>
              <w:t>․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որքանո՞վ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է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հեշտ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երկրում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ՓՄՁ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-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համար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իրենց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անհրաժեշտ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ֆինանսների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ներգրավումը</w:t>
            </w:r>
            <w:proofErr w:type="spellEnd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0F3D4B23" w14:textId="77777777" w:rsidTr="00BA044B">
        <w:trPr>
          <w:trHeight w:val="975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1CC1D27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2B384B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համակարգի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կայունություն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BF6E20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94B05CE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E2A9E0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89.9/100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3FE6058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զգալիորեն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բարելավվել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ՀՀ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բարձրանալով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68-րդից: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2E0F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Բանկային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համակարգի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կայունության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լիկվիդայնության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պորտֆելի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դրսևորման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միջինացված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7EF226A6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8244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5158CB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համակարգի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զարգացվածություն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6C4342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01196AF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DCE7B3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60.2/100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55A877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զգալիորեն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բարելավվել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ՀՀ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բարձրանալով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87-րդից: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B8B7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միջինացված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5CA2CFEA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1A70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2310FE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Վենչուրային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կապիտալի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հասանելիություն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F3C0DC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DE849C2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362442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38.5/100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BDCB01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զգալիորեն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բարելավվել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ՀՀ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բարձրանալով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72-</w:t>
            </w:r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րդից:ԱլԳ</w:t>
            </w:r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66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Հարցում</w:t>
            </w:r>
            <w:proofErr w:type="spellEnd"/>
            <w:r w:rsidRPr="00BA1059">
              <w:rPr>
                <w:rFonts w:ascii="Cambria Math" w:eastAsia="Times New Roman" w:hAnsi="Cambria Math" w:cs="Cambria Math"/>
                <w:color w:val="000000"/>
                <w:sz w:val="16"/>
                <w:szCs w:val="18"/>
                <w:lang w:val="en-US"/>
              </w:rPr>
              <w:t>․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ինովացիոն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և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բարձր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ռիսկային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սթարտ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-</w:t>
            </w:r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ափ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-</w:t>
            </w:r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որքա՞ն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վենչուրային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ֆինանսա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վորում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ստանալ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657FD6E4" w14:textId="77777777" w:rsidTr="00BA044B">
        <w:trPr>
          <w:trHeight w:val="49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F1D5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7E4C06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Բանկային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համակարգի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կայունություն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DB64C1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592075D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E31620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69.4/100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78AD8A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ՀՀ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բարելավվել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է 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տասը</w:t>
            </w:r>
            <w:proofErr w:type="spellEnd"/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62901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Հարցում</w:t>
            </w:r>
            <w:proofErr w:type="spellEnd"/>
            <w:r w:rsidRPr="00BA1059">
              <w:rPr>
                <w:rFonts w:ascii="Cambria Math" w:eastAsia="Times New Roman" w:hAnsi="Cambria Math" w:cs="Cambria Math"/>
                <w:color w:val="000000"/>
                <w:sz w:val="16"/>
                <w:szCs w:val="18"/>
                <w:lang w:val="en-US"/>
              </w:rPr>
              <w:t>․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որքանո՞վ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եք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բանկային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համակարգը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համարում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կայուն</w:t>
            </w:r>
            <w:proofErr w:type="spellEnd"/>
            <w:r w:rsidRPr="00BA1059">
              <w:rPr>
                <w:rFonts w:eastAsia="Times New Roman" w:cs="GHEA Grapalat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7AA256BD" w14:textId="77777777" w:rsidTr="00BA044B">
        <w:trPr>
          <w:trHeight w:val="49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3C64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2B9E59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Վարկային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բաց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0A97EE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175AAAD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A216B04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-1.20%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F134CD3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առումով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Վրաստանին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7025D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-ՀՆԱ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տոկոսային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հարաբերություն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4CF1EB82" w14:textId="77777777" w:rsidTr="00BA044B">
        <w:trPr>
          <w:trHeight w:val="97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40E6904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SME Finance forum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8394110" w14:textId="5240FA75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ՀՆԱ-ի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համեմատ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միկրո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և ՓՄՁ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բաց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782042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1E5A02F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13F137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10</w:t>
            </w:r>
            <w:r w:rsidRPr="00BA044B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en-US"/>
              </w:rPr>
              <w:t>․</w:t>
            </w: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84%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BD9FD98" w14:textId="21D52DD4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Տարածաշրջանի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Հայաստանում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ամենափոքրը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r w:rsidR="00FF6FFC">
              <w:rPr>
                <w:rFonts w:eastAsia="Times New Roman" w:cs="Times New Roman"/>
                <w:color w:val="000000"/>
                <w:sz w:val="16"/>
                <w:szCs w:val="18"/>
              </w:rPr>
              <w:t>ս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ակայն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տեսանկյունից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տարբերություն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կանանց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տղամարդկանց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(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հօգուտ</w:t>
            </w:r>
            <w:proofErr w:type="spellEnd"/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տղամարդկանց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)։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26964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ՓՄՁ-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միջոցների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պահանջարկի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ինստիտուտների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կողմից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առաջարկի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բացասական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տարբերություն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214166B9" w14:textId="77777777" w:rsidTr="00BA044B">
        <w:trPr>
          <w:trHeight w:val="97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77E4AD5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ADA0D7D" w14:textId="254B2123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Նույն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մեծության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1FF2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կազմակերպություններ</w:t>
            </w: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մեջ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ֆինանսական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սահմանափակումներ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ունեցողներ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A44411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780D5AE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492705E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37.26%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0ED9F2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Սահմանափակումը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պայմանավորված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կա՛մ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ձեռնտու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պայմաններով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կա՛մ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մերժում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ստանալու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հանգամանքով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FE002" w14:textId="0A4BD0E5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կազմակերպությունները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որոնք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՛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դիմել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բանկ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մերժում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ստացել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կա՛մ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չեն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դիմել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իրենց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ձեռնտու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լինելու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պատճառով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7AE97630" w14:textId="77777777" w:rsidTr="00BA044B">
        <w:trPr>
          <w:trHeight w:val="300"/>
        </w:trPr>
        <w:tc>
          <w:tcPr>
            <w:tcW w:w="156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FDCF0"/>
            <w:hideMark/>
          </w:tcPr>
          <w:p w14:paraId="650E914F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Հմտություններ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ձեռնարկատիրական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մշակույթ</w:t>
            </w:r>
            <w:proofErr w:type="spellEnd"/>
          </w:p>
        </w:tc>
      </w:tr>
      <w:tr w:rsidR="008B1492" w:rsidRPr="00BA044B" w14:paraId="272D1BDB" w14:textId="77777777" w:rsidTr="00BA044B">
        <w:trPr>
          <w:trHeight w:val="121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6967FE41" w14:textId="17AAF3D9" w:rsidR="008B1492" w:rsidRPr="00BA044B" w:rsidRDefault="00A755CA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SME Policy Index 2020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591F65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Ձեռնարկատիրական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ուսումնառություն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կանանց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ձեռներեցություն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BA3D1E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6B764A7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49D322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  <w:r w:rsidRPr="00BA044B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en-US"/>
              </w:rPr>
              <w:t>․</w:t>
            </w: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84/5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D9B14E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ձեռներեցությունը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դպրոցական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ինչպես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պետական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ստացող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Առաջարկվում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առավել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ուշադրություն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դարձնել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միջազգային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փորձի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փոխանակմանը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DEE5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առկայությունը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իրականացումը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դասընթացների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արդյունավետությունը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պետության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կողմից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լրացուցիչ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օժանդակությունը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3FD153D0" w14:textId="77777777" w:rsidTr="00BA044B">
        <w:trPr>
          <w:trHeight w:val="1215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0892666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36EEF4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Ձեռնարկատիրական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հմտություններ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1DD842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A23A975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528A67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3.37/5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3867C6A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Չնայած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իրականացվող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ծրագրերին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առաջարկվում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շարունակաբար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եղած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կրթական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որակն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տեխնոլոգիական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կրթական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ծրագրեր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առցանց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դասընթացներ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FEB44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հաշվի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առնելով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անկախ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փորձագիտական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ուսումնասիրությունը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պահանջվող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հմտությունների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թրեյնինգների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որակի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2074D591" w14:textId="77777777" w:rsidTr="00BA044B">
        <w:trPr>
          <w:trHeight w:val="145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930A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61D15B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Նորարարություն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4D7088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86E6D2B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F5EF3E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  <w:r w:rsidRPr="00BA044B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en-US"/>
              </w:rPr>
              <w:t>․</w:t>
            </w: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96/5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8BF79F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էկոհամակարգի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տարբեր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մասնակիցներին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ինչպես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վերջիններիս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խրախուսումը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Սակայն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ֆինանսավորումը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դեռ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սահմանափակ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տեխնոլոգիական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սթարտ-ափ-երի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թույլ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բիզնես-կրթություն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օղակների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կապը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720DF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ըստ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նորարարությանն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օժանդակող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միջոցառումների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առկայությամբ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42DA7F34" w14:textId="77777777" w:rsidTr="00BA044B">
        <w:trPr>
          <w:trHeight w:val="73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3D31EB4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մրցունակության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F1ACC5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Ինովացիոն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կապի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տեխնոլոգիաներ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21E1A7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7EB3B66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65299E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62/100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9E7790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ցուցանիշն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ապրել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երեք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Վրաստանին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Մոլդովային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AE54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Համացանցի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հեռախոսային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կապի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օգտագործման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տարածվածություն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որակ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13891249" w14:textId="77777777" w:rsidTr="00BA044B">
        <w:trPr>
          <w:trHeight w:val="495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534EC06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F376F4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Ինովացիոն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էկոհամակարգ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CB4E46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2AB8662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94F293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51/100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CEC944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1EA5E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դինամիկայի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ինովացիոն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կարողությունների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միջինացված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125526C6" w14:textId="77777777" w:rsidTr="00BA044B">
        <w:trPr>
          <w:trHeight w:val="121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F30D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C519C6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Հմտություններ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1E9A4F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B69415C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FFD4CC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66.8/100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377266A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ցուցանիշն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ապրել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Վրաստանին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98C3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անհարժեշտ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հմտություններով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աշխատակից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գտնելու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հեշտությունը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թվային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տեխնոլոգիաների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իմացության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թրեյնինգների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քննադատական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մտածողությունը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0BF5B206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D390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1414C6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Ինովացիոն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կարողություններ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11D189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444EE0F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36D9EC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39.4/100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F71E0C8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94F5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Համագործակցային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դաշտի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հետազոտությունների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պատենտավորման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առևտրայնացման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04F0FE8A" w14:textId="77777777" w:rsidTr="00BA044B">
        <w:trPr>
          <w:trHeight w:val="121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B359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802EE0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Աշխատաշուկայի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զարգացվածություն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371F05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51DE7C2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750F97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66.5/100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87FD534" w14:textId="1999A17C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Չնայած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ունեցել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</w:t>
            </w:r>
            <w:proofErr w:type="spellEnd"/>
            <w:r w:rsidR="00FF6FFC">
              <w:rPr>
                <w:rFonts w:eastAsia="Times New Roman" w:cs="Times New Roman"/>
                <w:color w:val="000000"/>
                <w:sz w:val="16"/>
                <w:szCs w:val="18"/>
              </w:rPr>
              <w:t>ր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շարունակում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2E67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աշխատանքային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աշխատավարձի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աշխատանքի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արդյունավետության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կապը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աշխատաշուկայի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ճկունությունը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համագործակցության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29EFC3AA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19F5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82BAB9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Բիզնես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դինամիկա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E61D26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9D0EB59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EE15E7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62.5/100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6F1F0B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ունեցել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առաջընթաց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հինգ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C957D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Գործառնական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պահանջների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ձեռնարկատիրական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մշակույթի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միջինացված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է:</w:t>
            </w:r>
          </w:p>
        </w:tc>
      </w:tr>
      <w:tr w:rsidR="008B1492" w:rsidRPr="00BA044B" w14:paraId="34C7107D" w14:textId="77777777" w:rsidTr="00BA044B">
        <w:trPr>
          <w:trHeight w:val="121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20FC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193EF8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Ձեռնարկատիրական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մշակույթ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359DF2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9D26FFF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91F768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53.9/100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7123025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նախորդ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տարվա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համեմատությամբ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 ՀՀ</w:t>
            </w:r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գրանցել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աճ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տասնչորս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կետով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սակայն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DC9E5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Ձեռնարկատիրական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ռիսկի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հանդեպ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վերաբերմունք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նորարարական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գաղափարների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իրագործման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տեմպ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եղած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կազմակերպությունների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նորարար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լուծումների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կիրառելու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փորձ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5079A7F0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04B0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8DB072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Մասնագիտական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դասընթացների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որակ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5AF866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9C38EF5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E5024A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48.3/100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39BA1E5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Ուկրաինային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E85A4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Աշխատուժ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համաթվի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բնութագրում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վերապատրաստման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դասընթացների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արդյունավետությունը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5E9B825E" w14:textId="77777777" w:rsidTr="00BA044B">
        <w:trPr>
          <w:trHeight w:val="97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C875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550F6B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Անհրաժեշտ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հմտություններով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աշխատուժի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առկայություն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E148ED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5B96E5C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5CB6A2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50.5/100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7B3625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Ուկրաինայից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12C40" w14:textId="35D4BFAE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ցուցանիշը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բնութագրում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թե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կազմակերպությունների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որքանով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մատչելի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իրենց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անհրաժեշտ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մասնագիտական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հմտություննե</w:t>
            </w:r>
            <w:proofErr w:type="spellEnd"/>
            <w:r w:rsidR="00FF6FFC">
              <w:rPr>
                <w:rFonts w:eastAsia="Times New Roman" w:cs="Times New Roman"/>
                <w:color w:val="000000"/>
                <w:sz w:val="16"/>
                <w:szCs w:val="18"/>
              </w:rPr>
              <w:t>ր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աշխատակից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գտնելը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4EE3B679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5384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AADA7E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Տեղական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մրցակցություն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30E4EA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6EB8C46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57110BA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63/100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D9B8B5C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բավական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առաջատար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դիրք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տարածաշրջանում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զիջելով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E0F75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համաթիվը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բնութագրում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մրցակցությունը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ծառայությունների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կապի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մասնագիտական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ծառայությունների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առևտրի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656C5C10" w14:textId="77777777" w:rsidTr="00BA044B">
        <w:trPr>
          <w:trHeight w:val="73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10DC17E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Գլոբալ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ձեռներեցության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68E9C0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Ձեռներեցություն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80412C8" w14:textId="3DCA4170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="00FF6FF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F514785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C316A0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22.8/100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EBD1E34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տարածաշրջանում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միայն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Մոլդովայից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C894F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կրթական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ֆինանսական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համակարգերը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շուկայի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կառուցվածքն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ենթակառուցվածքները</w:t>
            </w:r>
            <w:proofErr w:type="spellEnd"/>
          </w:p>
        </w:tc>
      </w:tr>
      <w:tr w:rsidR="008B1492" w:rsidRPr="00BA044B" w14:paraId="0482D25C" w14:textId="77777777" w:rsidTr="00BA044B">
        <w:trPr>
          <w:trHeight w:val="300"/>
        </w:trPr>
        <w:tc>
          <w:tcPr>
            <w:tcW w:w="1215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FDCF0"/>
            <w:hideMark/>
          </w:tcPr>
          <w:p w14:paraId="0914ACC7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Շուկաների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հասանելիություն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FDCF0"/>
            <w:hideMark/>
          </w:tcPr>
          <w:p w14:paraId="79351566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8"/>
                <w:lang w:val="en-US"/>
              </w:rPr>
              <w:t> </w:t>
            </w:r>
          </w:p>
        </w:tc>
      </w:tr>
      <w:tr w:rsidR="008B1492" w:rsidRPr="00BA044B" w14:paraId="4D376E6D" w14:textId="77777777" w:rsidTr="00BA044B">
        <w:trPr>
          <w:trHeight w:val="97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29CCC0E8" w14:textId="145993D7" w:rsidR="008B1492" w:rsidRPr="00BA044B" w:rsidRDefault="00A755CA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SME Policy Index 2020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F11419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ՓՄՁ-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ների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միջազգայնացում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40D6E3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249BDDF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205ECF3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2.86/5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860176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հիմնական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խնդիրներ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մաքսային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վարչարարությունն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բավարար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համապատասխանությունը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համաշխարհային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արժեշղթային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F485A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Արտահանումը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խրախուսող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կառույցների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առկայություն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համաշխարհային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արժեշղթայի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կապ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6F50F20C" w14:textId="77777777" w:rsidTr="00BA044B">
        <w:trPr>
          <w:trHeight w:val="73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62941B3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մրցունակության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6E61CF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Շուկաների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հասանելիության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աստիճան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4F160A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B16DB36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6E484F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55.2/100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7CD526A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բավական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F9B2C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Մաքսազերծման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գործընթացի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պարզություն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տարիֆների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մաքսատուրքերի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</w:t>
            </w:r>
            <w:proofErr w:type="spellEnd"/>
          </w:p>
        </w:tc>
      </w:tr>
      <w:tr w:rsidR="008B1492" w:rsidRPr="00BA044B" w14:paraId="622B8CCF" w14:textId="77777777" w:rsidTr="00BA044B">
        <w:trPr>
          <w:trHeight w:val="300"/>
        </w:trPr>
        <w:tc>
          <w:tcPr>
            <w:tcW w:w="1215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FDCF0"/>
            <w:hideMark/>
          </w:tcPr>
          <w:p w14:paraId="0F62BB5C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Ինստիտուցիոնալ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իրավական</w:t>
            </w:r>
            <w:proofErr w:type="spellEnd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  <w:t>կարգավորումներ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FDCF0"/>
            <w:hideMark/>
          </w:tcPr>
          <w:p w14:paraId="59BA7BC8" w14:textId="77777777" w:rsidR="008B1492" w:rsidRPr="00BA1059" w:rsidRDefault="008B1492" w:rsidP="008B14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8"/>
                <w:lang w:val="en-US"/>
              </w:rPr>
              <w:t> </w:t>
            </w:r>
          </w:p>
        </w:tc>
      </w:tr>
      <w:tr w:rsidR="008B1492" w:rsidRPr="00BA044B" w14:paraId="259CE8C5" w14:textId="77777777" w:rsidTr="00BA044B">
        <w:trPr>
          <w:trHeight w:val="169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3BC5C348" w14:textId="4B8967EF" w:rsidR="008B1492" w:rsidRPr="00BA044B" w:rsidRDefault="00A755CA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SME Policy Index 2020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CE17215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Սնանկացում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երկրորդ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հնարավորություն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FE249B2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732291B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A5F927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2.40/5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F8234F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Թույլ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կողմեր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վերակազմավորման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առողջացման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բացակայությունը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միջազգային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ստանդարտներին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ամբողջական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համապատասխանությունը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պարտատերերի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շահերի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պաշտպանության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ցածր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երկրորդ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անգամ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սկսելու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դեպքում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մեխանիզմների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սահմանափակումները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6FD3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Պրոցեսի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ժամանակատարության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սնանկացող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առողջացման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հնարավորության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։</w:t>
            </w:r>
          </w:p>
        </w:tc>
      </w:tr>
      <w:tr w:rsidR="008B1492" w:rsidRPr="00BA044B" w14:paraId="38FF5364" w14:textId="77777777" w:rsidTr="00BA044B">
        <w:trPr>
          <w:trHeight w:val="975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FDCF0"/>
            <w:hideMark/>
          </w:tcPr>
          <w:p w14:paraId="0F9A937A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81874DB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ՓՄՁ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քաղաքականության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մշակման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ինստիտուցիոնալ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կարգավորման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շրջանակ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D47BE9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4686AB2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4D20A7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3.76/5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8E7CB2C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արձանագրել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աճ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2016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թվականի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նկատմամբ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պայմանավորված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ինստիտուցիոնալ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օրենսդրական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դաշտի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տեղաշարժերով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A3851" w14:textId="133D4D9E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Բնութագրում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ՓՄՁ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զարգացման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անհրաժեշտ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ինստիտուցիոնալ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օրեն</w:t>
            </w:r>
            <w:proofErr w:type="spellEnd"/>
            <w:r w:rsidR="00FF6FFC">
              <w:rPr>
                <w:rFonts w:eastAsia="Times New Roman" w:cs="Times New Roman"/>
                <w:color w:val="000000"/>
                <w:sz w:val="16"/>
                <w:szCs w:val="18"/>
              </w:rPr>
              <w:t>ս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ռազմավարական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բարեփոխումների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իրականացումը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3622533F" w14:textId="77777777" w:rsidTr="00BA044B">
        <w:trPr>
          <w:trHeight w:val="97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F069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51D5BF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Գործարար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միջավայր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ՓՄՁ-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ների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25F30D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8E23EFD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A974C4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3.57/5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956D80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հետընթաց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գրանցել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պայմանավորված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պետական</w:t>
            </w:r>
            <w:proofErr w:type="spellEnd"/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ծառայությունների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էլեկտրոնային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աշխատանքի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որակով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տվյալների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բազայի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սահմանափակմամբ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A44E9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գրանցելու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վարելու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գործընթացում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եղած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լուծումների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հասանելիություն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8B1492" w:rsidRPr="00BA044B" w14:paraId="2A2308F7" w14:textId="77777777" w:rsidTr="00BA044B">
        <w:trPr>
          <w:trHeight w:val="97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05EF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3A91E9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Աջակցության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A06C14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030718B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D80AB4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4.00/5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C387F9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Դրական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ներքին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շուկայում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աջակցման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մասնավոր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պետական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կառույցների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գործունեությունը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միջազգային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դոնորների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ներգրավվածությունը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39CC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Ենթակառուցվածքների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օժանդակող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ծառայությունների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հարցման</w:t>
            </w:r>
            <w:proofErr w:type="spellEnd"/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արդյունքներ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423954AF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BB0D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A5B078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Պետական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գնումներ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13CE2C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7D55F49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FB54FA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3.61/5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9BEB016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Առաջարկվում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բանակցությունների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ժամանակ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ներառել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անկախ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փորձագետներ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ինչպես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նաև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ավելացնել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նոր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բազային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չափանիշներ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բացի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ամենացածր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608B8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ընթացակարգը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մոնիտորինգի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մեխանիզմները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18AFFEB0" w14:textId="77777777" w:rsidTr="00BA044B">
        <w:trPr>
          <w:trHeight w:val="97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28F3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1EE3D4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Ստանդարտներ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տեխնիկական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կարգավորումներ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BB19B0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794DA92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491DF1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2.66/5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2B285D35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բավական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անկում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ունեցել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՝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պայմանավորված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միջազգային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ճանաչման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համաձայնագրերին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ՀՀ-ի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մասնակցության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ցածր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ցուցանիշով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պասիվությամբ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:</w:t>
            </w:r>
            <w:proofErr w:type="gramEnd"/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C8AA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Հիմնականում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արդյունքների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միջոցով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որոշվում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եղած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մոնիտորինգային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համակարգերի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արդյունավետությունը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398A4092" w14:textId="77777777" w:rsidTr="00BA044B">
        <w:trPr>
          <w:trHeight w:val="735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A6D7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AD7668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ՓՄՁ-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ները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կանաչ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մեջ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484DDCC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ԱլԳ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, 6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83DC104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44226B21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2.40/5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7749F0F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Որպես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հիմնական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խնդիր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նշվում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մասին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ձեռներեցների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մոտ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տեղեկացվածության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պակասը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։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70CFE" w14:textId="2D40DC51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Գնահատում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խրախուսող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մեխանիզմների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առկայությունը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</w:t>
            </w:r>
            <w:proofErr w:type="spellEnd"/>
            <w:r w:rsidR="00FF6FFC">
              <w:rPr>
                <w:rFonts w:eastAsia="Times New Roman" w:cs="Times New Roman"/>
                <w:color w:val="000000"/>
                <w:sz w:val="16"/>
                <w:szCs w:val="18"/>
              </w:rPr>
              <w:t>տ</w:t>
            </w:r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իրականացումը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2163E7A0" w14:textId="77777777" w:rsidTr="00BA044B">
        <w:trPr>
          <w:trHeight w:val="735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FDCF0"/>
            <w:hideMark/>
          </w:tcPr>
          <w:p w14:paraId="07DBE1C8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մրցունակության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197166B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Մակրոտնտեսական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կայունություն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2E7F132A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5C0EF611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4502D2C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75/100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185CE5A7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զբաղեցնում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 է</w:t>
            </w:r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առաջին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տեղը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2E47A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Ինֆլյացիայի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պետական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պարտքի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դինամիկա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5A76076E" w14:textId="77777777" w:rsidTr="00BA044B">
        <w:trPr>
          <w:trHeight w:val="735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F0"/>
            <w:hideMark/>
          </w:tcPr>
          <w:p w14:paraId="10B9ADA9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47D947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Սնանկության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համակարգի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կարգավորում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674B10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B78F96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0C411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46.9/100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2AC448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ՀՀ-ն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զգալիորեն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հետ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մնում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երկրներից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8FAB0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Արդյունավետ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որը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կազմակերպության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առողջացման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վերակառուցման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հնարավորություն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տալիս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։</w:t>
            </w:r>
          </w:p>
        </w:tc>
      </w:tr>
      <w:tr w:rsidR="008B1492" w:rsidRPr="00BA044B" w14:paraId="4F07B119" w14:textId="77777777" w:rsidTr="00BA044B">
        <w:trPr>
          <w:trHeight w:val="735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7EA7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3BAB976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Սնանկությունից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առողջացման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մակարդակ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1D69C2CE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Աշխարհ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141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D6311A1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5CA8418D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41.1/100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3DE7A600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Այս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ենթահամաթվով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ԱլԳ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երկրների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շարքում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 ՀՀ</w:t>
            </w:r>
            <w:proofErr w:type="gram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-ն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զիջում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Վրաստանին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Ադրբեջանին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8176D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Սնանկության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գործընթացում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վերակազմավորված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առողջացած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կազմակերպությունների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մակարդակ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  <w:tr w:rsidR="008B1492" w:rsidRPr="00BA044B" w14:paraId="15D63178" w14:textId="77777777" w:rsidTr="00BA044B">
        <w:trPr>
          <w:trHeight w:val="960"/>
        </w:trPr>
        <w:tc>
          <w:tcPr>
            <w:tcW w:w="2106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FDCF0"/>
            <w:hideMark/>
          </w:tcPr>
          <w:p w14:paraId="7521F9B3" w14:textId="51E61861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Ներառական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զարգացման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համաթիվ</w:t>
            </w:r>
            <w:proofErr w:type="spellEnd"/>
            <w:r w:rsidRPr="00BA04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2017</w:t>
            </w:r>
          </w:p>
        </w:tc>
        <w:tc>
          <w:tcPr>
            <w:tcW w:w="2556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33753E44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Փոքր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բիզնեսի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սեփականատիրություն</w:t>
            </w:r>
            <w:proofErr w:type="spellEnd"/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33E2824F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Ցածր-միջին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եկամուտ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ունեցող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երկրներ</w:t>
            </w:r>
            <w:proofErr w:type="spellEnd"/>
            <w:r w:rsidRPr="00BA044B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 37</w:t>
            </w:r>
          </w:p>
        </w:tc>
        <w:tc>
          <w:tcPr>
            <w:tcW w:w="871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13ADCEBE" w14:textId="77777777" w:rsidR="008B1492" w:rsidRPr="00BA044B" w:rsidRDefault="008B1492" w:rsidP="008B1492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0DE111CA" w14:textId="77777777" w:rsidR="008B1492" w:rsidRPr="00BA044B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A044B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4.43/7</w:t>
            </w:r>
          </w:p>
        </w:tc>
        <w:tc>
          <w:tcPr>
            <w:tcW w:w="4104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0E741FCB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Ձեռներեցություն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համաթվի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ենթահամաթիվ</w:t>
            </w:r>
            <w:proofErr w:type="spellEnd"/>
          </w:p>
        </w:tc>
        <w:tc>
          <w:tcPr>
            <w:tcW w:w="35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46512" w14:textId="77777777" w:rsidR="008B1492" w:rsidRPr="00BA1059" w:rsidRDefault="008B1492" w:rsidP="008B14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</w:pP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մեջ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ամփոփում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բիզնես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սկսելու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իրականացնելու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իրավական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հարկային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կարգավորումների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բարդրությունը</w:t>
            </w:r>
            <w:proofErr w:type="spellEnd"/>
            <w:r w:rsidRPr="00BA1059">
              <w:rPr>
                <w:rFonts w:eastAsia="Times New Roman" w:cs="Times New Roman"/>
                <w:color w:val="000000"/>
                <w:sz w:val="16"/>
                <w:szCs w:val="18"/>
                <w:lang w:val="en-US"/>
              </w:rPr>
              <w:t>։</w:t>
            </w:r>
          </w:p>
        </w:tc>
      </w:tr>
    </w:tbl>
    <w:p w14:paraId="55347879" w14:textId="5B93E789" w:rsidR="008B1492" w:rsidRPr="00BA044B" w:rsidRDefault="008B1492" w:rsidP="008B1492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18"/>
          <w:szCs w:val="18"/>
          <w:lang w:val="en-US"/>
        </w:rPr>
      </w:pPr>
    </w:p>
    <w:p w14:paraId="2959D1FB" w14:textId="3A4BB8C2" w:rsidR="001A6E39" w:rsidRPr="002D7DB7" w:rsidRDefault="004E7D85" w:rsidP="004E7D85">
      <w:pPr>
        <w:spacing w:line="276" w:lineRule="auto"/>
        <w:ind w:firstLine="0"/>
        <w:jc w:val="left"/>
        <w:sectPr w:rsidR="001A6E39" w:rsidRPr="002D7DB7" w:rsidSect="00CA552F">
          <w:pgSz w:w="16839" w:h="11907" w:orient="landscape" w:code="9"/>
          <w:pgMar w:top="360" w:right="720" w:bottom="90" w:left="720" w:header="144" w:footer="0" w:gutter="432"/>
          <w:cols w:space="720"/>
          <w:docGrid w:linePitch="360"/>
        </w:sectPr>
      </w:pPr>
      <w:r>
        <w:br w:type="page"/>
      </w:r>
    </w:p>
    <w:p w14:paraId="2959D1FC" w14:textId="07DBCBD4" w:rsidR="008C2C81" w:rsidRPr="002D7DB7" w:rsidRDefault="008C2C81" w:rsidP="00FC60C0">
      <w:pPr>
        <w:spacing w:after="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215"/>
      </w:tblGrid>
      <w:tr w:rsidR="008C2C81" w:rsidRPr="002D7DB7" w14:paraId="2959D201" w14:textId="77777777" w:rsidTr="008C2C81">
        <w:tc>
          <w:tcPr>
            <w:tcW w:w="5341" w:type="dxa"/>
          </w:tcPr>
          <w:p w14:paraId="2959D1FD" w14:textId="5426670F" w:rsidR="008C2C81" w:rsidRPr="002D7DB7" w:rsidRDefault="00BA1059" w:rsidP="00FC60C0">
            <w:pPr>
              <w:spacing w:line="276" w:lineRule="auto"/>
              <w:ind w:firstLine="0"/>
            </w:pPr>
            <w:r w:rsidRPr="002D7DB7">
              <w:rPr>
                <w:rFonts w:cstheme="minorBidi"/>
                <w:noProof/>
                <w:lang w:eastAsia="hy-AM"/>
              </w:rPr>
              <w:drawing>
                <wp:anchor distT="0" distB="0" distL="114300" distR="114300" simplePos="0" relativeHeight="251644928" behindDoc="0" locked="0" layoutInCell="1" allowOverlap="1" wp14:anchorId="2959D21C" wp14:editId="63311F43">
                  <wp:simplePos x="0" y="0"/>
                  <wp:positionH relativeFrom="margin">
                    <wp:posOffset>231140</wp:posOffset>
                  </wp:positionH>
                  <wp:positionV relativeFrom="margin">
                    <wp:posOffset>-3175</wp:posOffset>
                  </wp:positionV>
                  <wp:extent cx="2221865" cy="568960"/>
                  <wp:effectExtent l="0" t="0" r="6985" b="2540"/>
                  <wp:wrapSquare wrapText="bothSides"/>
                  <wp:docPr id="1" name="Picture 1" descr="C:\Users\kochi_nun\Desktop\EU4Business_horizontal_high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chi_nun\Desktop\EU4Business_horizontal_high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59D1FE" w14:textId="77777777" w:rsidR="008C2C81" w:rsidRPr="002D7DB7" w:rsidRDefault="008C2C81" w:rsidP="00FC60C0">
            <w:pPr>
              <w:spacing w:line="276" w:lineRule="auto"/>
              <w:ind w:firstLine="0"/>
              <w:jc w:val="left"/>
            </w:pPr>
          </w:p>
          <w:p w14:paraId="2959D1FF" w14:textId="77777777" w:rsidR="008C2C81" w:rsidRPr="002D7DB7" w:rsidRDefault="008C2C81" w:rsidP="00FC60C0">
            <w:pPr>
              <w:spacing w:line="276" w:lineRule="auto"/>
              <w:ind w:firstLine="0"/>
            </w:pPr>
          </w:p>
        </w:tc>
        <w:tc>
          <w:tcPr>
            <w:tcW w:w="5342" w:type="dxa"/>
          </w:tcPr>
          <w:p w14:paraId="2959D200" w14:textId="77777777" w:rsidR="008C2C81" w:rsidRPr="002D7DB7" w:rsidRDefault="008C2C81" w:rsidP="00FC60C0">
            <w:pPr>
              <w:spacing w:line="276" w:lineRule="auto"/>
              <w:ind w:firstLine="0"/>
              <w:jc w:val="right"/>
            </w:pPr>
            <w:r w:rsidRPr="002D7DB7">
              <w:rPr>
                <w:rFonts w:cstheme="minorBidi"/>
                <w:noProof/>
                <w:lang w:eastAsia="hy-AM"/>
              </w:rPr>
              <w:drawing>
                <wp:inline distT="0" distB="0" distL="0" distR="0" wp14:anchorId="2959D21E" wp14:editId="2959D21F">
                  <wp:extent cx="1793052" cy="596337"/>
                  <wp:effectExtent l="0" t="0" r="0" b="0"/>
                  <wp:docPr id="2" name="Picture 2" descr="C:\Users\kochi_nun\Desktop\CooperationAM_GIZ_ARM_highr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chi_nun\Desktop\CooperationAM_GIZ_ARM_highr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63" cy="60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9D202" w14:textId="3727F583" w:rsidR="008C2C81" w:rsidRPr="002D7DB7" w:rsidRDefault="008C2C81" w:rsidP="00FC60C0">
      <w:pPr>
        <w:spacing w:after="0" w:line="276" w:lineRule="auto"/>
      </w:pPr>
      <w:r w:rsidRPr="002D7DB7">
        <w:t>Սույն ռազմավարությունը</w:t>
      </w:r>
      <w:r w:rsidR="005A7740" w:rsidRPr="002D7DB7">
        <w:t xml:space="preserve"> </w:t>
      </w:r>
      <w:r w:rsidRPr="002D7DB7">
        <w:t>պատրաստվել է Եվրոպական միության ֆինանսական աջակցությամբ: Բովանդակության համար պատասխանատվություն է կրում ՀՀ կառավարությունը, և այն որևէ կերպ չի արտահայտում Եվրոպական միության տեսակետները:</w:t>
      </w:r>
    </w:p>
    <w:p w14:paraId="2959D203" w14:textId="29956C09" w:rsidR="000B3E97" w:rsidRDefault="000B3E97" w:rsidP="00FC60C0">
      <w:pPr>
        <w:spacing w:after="0" w:line="276" w:lineRule="auto"/>
        <w:rPr>
          <w:rFonts w:asciiTheme="minorHAnsi" w:eastAsiaTheme="minorEastAsia" w:hAnsiTheme="minorHAnsi" w:cstheme="minorBidi"/>
        </w:rPr>
      </w:pPr>
    </w:p>
    <w:p w14:paraId="3A6418CB" w14:textId="77777777" w:rsidR="000B3E97" w:rsidRPr="000B3E97" w:rsidRDefault="000B3E97" w:rsidP="000B3E97">
      <w:pPr>
        <w:rPr>
          <w:rFonts w:asciiTheme="minorHAnsi" w:eastAsiaTheme="minorEastAsia" w:hAnsiTheme="minorHAnsi" w:cstheme="minorBidi"/>
        </w:rPr>
      </w:pPr>
    </w:p>
    <w:p w14:paraId="0ACD27A9" w14:textId="77777777" w:rsidR="000B3E97" w:rsidRPr="000B3E97" w:rsidRDefault="000B3E97" w:rsidP="000B3E97">
      <w:pPr>
        <w:rPr>
          <w:rFonts w:asciiTheme="minorHAnsi" w:eastAsiaTheme="minorEastAsia" w:hAnsiTheme="minorHAnsi" w:cstheme="minorBidi"/>
        </w:rPr>
      </w:pPr>
    </w:p>
    <w:p w14:paraId="645E679D" w14:textId="7B773F47" w:rsidR="000B3E97" w:rsidRDefault="000B3E97" w:rsidP="000B3E97">
      <w:pPr>
        <w:rPr>
          <w:rFonts w:asciiTheme="minorHAnsi" w:eastAsiaTheme="minorEastAsia" w:hAnsiTheme="minorHAnsi" w:cstheme="minorBidi"/>
        </w:rPr>
      </w:pPr>
    </w:p>
    <w:p w14:paraId="5AB3FCE9" w14:textId="2CD676A5" w:rsidR="000B3E97" w:rsidRPr="00DC729D" w:rsidRDefault="000B3E97" w:rsidP="000B3E97">
      <w:pPr>
        <w:pStyle w:val="mechtex"/>
        <w:ind w:firstLine="720"/>
        <w:jc w:val="left"/>
        <w:rPr>
          <w:rFonts w:ascii="GHEA Grapalat" w:hAnsi="GHEA Grapalat" w:cs="Arial Armenian"/>
          <w:lang w:val="hy-AM"/>
        </w:rPr>
      </w:pPr>
      <w:r w:rsidRPr="00DC729D">
        <w:rPr>
          <w:rFonts w:ascii="GHEA Grapalat" w:hAnsi="GHEA Grapalat" w:cs="Sylfaen"/>
          <w:lang w:val="hy-AM"/>
        </w:rPr>
        <w:t>ՀԱՅԱՍՏԱՆԻ</w:t>
      </w:r>
      <w:r w:rsidRPr="00DC729D">
        <w:rPr>
          <w:rFonts w:ascii="GHEA Grapalat" w:hAnsi="GHEA Grapalat" w:cs="Arial Armenian"/>
          <w:lang w:val="hy-AM"/>
        </w:rPr>
        <w:t xml:space="preserve"> </w:t>
      </w:r>
      <w:r w:rsidRPr="00DC729D">
        <w:rPr>
          <w:rFonts w:ascii="GHEA Grapalat" w:hAnsi="GHEA Grapalat" w:cs="Sylfaen"/>
          <w:lang w:val="hy-AM"/>
        </w:rPr>
        <w:t>ՀԱՆՐԱՊԵՏՈՒԹՅԱՆ</w:t>
      </w:r>
    </w:p>
    <w:p w14:paraId="45FA4A0A" w14:textId="4299F164" w:rsidR="000B3E97" w:rsidRPr="00DC729D" w:rsidRDefault="00827AD8" w:rsidP="000B3E97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 w:rsidRPr="00827AD8">
        <w:rPr>
          <w:rFonts w:ascii="GHEA Grapalat" w:hAnsi="GHEA Grapalat"/>
          <w:lang w:val="hy-AM"/>
        </w:rPr>
        <w:t xml:space="preserve">  </w:t>
      </w:r>
      <w:r w:rsidR="000B3E97" w:rsidRPr="00DC729D">
        <w:rPr>
          <w:rFonts w:ascii="GHEA Grapalat" w:hAnsi="GHEA Grapalat"/>
          <w:lang w:val="hy-AM"/>
        </w:rPr>
        <w:t xml:space="preserve">  </w:t>
      </w:r>
      <w:r w:rsidR="000B3E97" w:rsidRPr="00DC729D">
        <w:rPr>
          <w:rFonts w:ascii="GHEA Grapalat" w:hAnsi="GHEA Grapalat" w:cs="Sylfaen"/>
          <w:lang w:val="hy-AM"/>
        </w:rPr>
        <w:t>ՎԱՐՉԱՊԵՏԻ ԱՇԽԱՏԱԿԱԶՄԻ</w:t>
      </w:r>
    </w:p>
    <w:p w14:paraId="28C39289" w14:textId="54B131F5" w:rsidR="008C2C81" w:rsidRPr="00827AD8" w:rsidRDefault="000B3E97" w:rsidP="00827AD8">
      <w:pPr>
        <w:pStyle w:val="mechtex"/>
        <w:rPr>
          <w:rFonts w:ascii="GHEA Grapalat" w:hAnsi="GHEA Grapalat"/>
          <w:lang w:val="hy-AM"/>
        </w:rPr>
      </w:pPr>
      <w:r w:rsidRPr="00DC729D">
        <w:rPr>
          <w:rFonts w:ascii="GHEA Grapalat" w:hAnsi="GHEA Grapalat" w:cs="Sylfaen"/>
          <w:lang w:val="hy-AM"/>
        </w:rPr>
        <w:t xml:space="preserve">               </w:t>
      </w:r>
      <w:r w:rsidR="00827AD8" w:rsidRPr="00827AD8">
        <w:rPr>
          <w:rFonts w:ascii="GHEA Grapalat" w:hAnsi="GHEA Grapalat" w:cs="Sylfaen"/>
          <w:lang w:val="hy-AM"/>
        </w:rPr>
        <w:t xml:space="preserve">    </w:t>
      </w:r>
      <w:r w:rsidR="00827AD8">
        <w:rPr>
          <w:rFonts w:ascii="GHEA Grapalat" w:hAnsi="GHEA Grapalat" w:cs="Sylfaen"/>
        </w:rPr>
        <w:t xml:space="preserve">  </w:t>
      </w:r>
      <w:r w:rsidR="00827AD8" w:rsidRPr="00827AD8">
        <w:rPr>
          <w:rFonts w:ascii="GHEA Grapalat" w:hAnsi="GHEA Grapalat" w:cs="Sylfaen"/>
          <w:lang w:val="hy-AM"/>
        </w:rPr>
        <w:t xml:space="preserve">  </w:t>
      </w:r>
      <w:r w:rsidRPr="00DC729D">
        <w:rPr>
          <w:rFonts w:ascii="GHEA Grapalat" w:hAnsi="GHEA Grapalat" w:cs="Sylfaen"/>
          <w:lang w:val="hy-AM"/>
        </w:rPr>
        <w:t xml:space="preserve">  ՂԵԿԱՎԱՐ</w:t>
      </w:r>
      <w:r w:rsidRPr="00DC729D">
        <w:rPr>
          <w:rFonts w:ascii="GHEA Grapalat" w:hAnsi="GHEA Grapalat" w:cs="Arial Armenian"/>
          <w:lang w:val="hy-AM"/>
        </w:rPr>
        <w:tab/>
        <w:t xml:space="preserve">                                                         </w:t>
      </w:r>
      <w:r w:rsidRPr="00DC729D">
        <w:rPr>
          <w:rFonts w:ascii="GHEA Grapalat" w:hAnsi="GHEA Grapalat" w:cs="Arial Armenian"/>
          <w:lang w:val="hy-AM"/>
        </w:rPr>
        <w:tab/>
      </w:r>
      <w:r w:rsidR="00827AD8" w:rsidRPr="00DC729D">
        <w:rPr>
          <w:rFonts w:ascii="GHEA Grapalat" w:hAnsi="GHEA Grapalat" w:cs="Arial Armenian"/>
          <w:lang w:val="hy-AM"/>
        </w:rPr>
        <w:t>Է</w:t>
      </w:r>
      <w:r w:rsidR="00827AD8" w:rsidRPr="00DC729D">
        <w:rPr>
          <w:rFonts w:ascii="GHEA Grapalat" w:hAnsi="GHEA Grapalat" w:cs="Sylfaen"/>
          <w:lang w:val="hy-AM"/>
        </w:rPr>
        <w:t>.</w:t>
      </w:r>
      <w:r w:rsidR="00827AD8" w:rsidRPr="00DC729D">
        <w:rPr>
          <w:rFonts w:ascii="GHEA Grapalat" w:hAnsi="GHEA Grapalat" w:cs="Arial Armenian"/>
          <w:lang w:val="hy-AM"/>
        </w:rPr>
        <w:t xml:space="preserve"> ԱՂԱՋԱՆ</w:t>
      </w:r>
      <w:r w:rsidR="00827AD8" w:rsidRPr="00DC729D">
        <w:rPr>
          <w:rFonts w:ascii="GHEA Grapalat" w:hAnsi="GHEA Grapalat" w:cs="Sylfaen"/>
          <w:lang w:val="hy-AM"/>
        </w:rPr>
        <w:t>ՅԱՆ</w:t>
      </w:r>
      <w:r w:rsidRPr="00DC729D">
        <w:rPr>
          <w:rFonts w:ascii="GHEA Grapalat" w:hAnsi="GHEA Grapalat" w:cs="Arial Armenian"/>
          <w:lang w:val="hy-AM"/>
        </w:rPr>
        <w:tab/>
      </w:r>
      <w:r w:rsidRPr="00DC729D">
        <w:rPr>
          <w:rFonts w:ascii="GHEA Grapalat" w:hAnsi="GHEA Grapalat" w:cs="Arial Armenian"/>
          <w:lang w:val="hy-AM"/>
        </w:rPr>
        <w:tab/>
      </w:r>
      <w:r w:rsidRPr="00F26C15">
        <w:rPr>
          <w:rFonts w:ascii="GHEA Grapalat" w:hAnsi="GHEA Grapalat" w:cs="Arial Armenian"/>
          <w:lang w:val="hy-AM"/>
        </w:rPr>
        <w:t xml:space="preserve"> </w:t>
      </w:r>
    </w:p>
    <w:sectPr w:rsidR="008C2C81" w:rsidRPr="00827AD8" w:rsidSect="005D72F4">
      <w:pgSz w:w="11907" w:h="16839" w:code="9"/>
      <w:pgMar w:top="720" w:right="720" w:bottom="720" w:left="720" w:header="14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3D95" w14:textId="77777777" w:rsidR="00C33E13" w:rsidRDefault="00C33E13" w:rsidP="00A22285">
      <w:r>
        <w:separator/>
      </w:r>
    </w:p>
  </w:endnote>
  <w:endnote w:type="continuationSeparator" w:id="0">
    <w:p w14:paraId="5BD5E4B3" w14:textId="77777777" w:rsidR="00C33E13" w:rsidRDefault="00C33E13" w:rsidP="00A22285">
      <w:r>
        <w:continuationSeparator/>
      </w:r>
    </w:p>
  </w:endnote>
  <w:endnote w:type="continuationNotice" w:id="1">
    <w:p w14:paraId="0023AB21" w14:textId="77777777" w:rsidR="00C33E13" w:rsidRDefault="00C33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5569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9D225" w14:textId="19601900" w:rsidR="00736CD7" w:rsidRDefault="0073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59D226" w14:textId="77777777" w:rsidR="00736CD7" w:rsidRDefault="00736CD7" w:rsidP="00A22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D227" w14:textId="77777777" w:rsidR="00736CD7" w:rsidRDefault="00736C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FD154" w14:textId="77777777" w:rsidR="00C33E13" w:rsidRDefault="00C33E13" w:rsidP="00A22285">
      <w:r>
        <w:separator/>
      </w:r>
    </w:p>
  </w:footnote>
  <w:footnote w:type="continuationSeparator" w:id="0">
    <w:p w14:paraId="4A89C772" w14:textId="77777777" w:rsidR="00C33E13" w:rsidRDefault="00C33E13" w:rsidP="00A22285">
      <w:r>
        <w:continuationSeparator/>
      </w:r>
    </w:p>
  </w:footnote>
  <w:footnote w:type="continuationNotice" w:id="1">
    <w:p w14:paraId="1ECA92CE" w14:textId="77777777" w:rsidR="00C33E13" w:rsidRDefault="00C33E13">
      <w:pPr>
        <w:spacing w:after="0" w:line="240" w:lineRule="auto"/>
      </w:pPr>
    </w:p>
  </w:footnote>
  <w:footnote w:id="2">
    <w:p w14:paraId="2959D228" w14:textId="51248A73" w:rsidR="00736CD7" w:rsidRPr="00DA7FD4" w:rsidRDefault="00736CD7" w:rsidP="00DA7FD4">
      <w:pPr>
        <w:rPr>
          <w:i/>
          <w:iCs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rPr>
          <w:i/>
          <w:iCs/>
          <w:sz w:val="22"/>
          <w:szCs w:val="22"/>
        </w:rPr>
        <w:t>ԱՄՍՏԱՏ</w:t>
      </w:r>
      <w:r w:rsidRPr="00DA7FD4">
        <w:rPr>
          <w:i/>
          <w:iCs/>
          <w:sz w:val="22"/>
          <w:szCs w:val="22"/>
        </w:rPr>
        <w:t>, Փոքր և միջին ձեռնարկատիրությունը Հայաստանի Հանրապետությունում, 201</w:t>
      </w:r>
      <w:r>
        <w:rPr>
          <w:i/>
          <w:iCs/>
          <w:sz w:val="22"/>
          <w:szCs w:val="22"/>
          <w:lang w:val="en-US"/>
        </w:rPr>
        <w:t>9</w:t>
      </w:r>
    </w:p>
  </w:footnote>
  <w:footnote w:id="3">
    <w:p w14:paraId="7A67C434" w14:textId="6018D6DF" w:rsidR="0059087C" w:rsidRPr="0059087C" w:rsidRDefault="0059087C" w:rsidP="0059087C">
      <w:pPr>
        <w:spacing w:after="0" w:line="276" w:lineRule="auto"/>
        <w:rPr>
          <w:rFonts w:eastAsiaTheme="minorEastAsia" w:cstheme="minorBidi"/>
        </w:rPr>
      </w:pPr>
      <w:r>
        <w:rPr>
          <w:rStyle w:val="FootnoteReference"/>
        </w:rPr>
        <w:footnoteRef/>
      </w:r>
      <w:r>
        <w:t xml:space="preserve"> </w:t>
      </w:r>
      <w:r w:rsidRPr="0059087C">
        <w:rPr>
          <w:rFonts w:eastAsiaTheme="minorEastAsia"/>
          <w:sz w:val="20"/>
          <w:szCs w:val="20"/>
        </w:rPr>
        <w:t xml:space="preserve">Հայաստանի </w:t>
      </w:r>
      <w:r w:rsidR="00DC5F53">
        <w:rPr>
          <w:rFonts w:eastAsiaTheme="minorEastAsia"/>
          <w:sz w:val="20"/>
          <w:szCs w:val="20"/>
        </w:rPr>
        <w:t>Հ</w:t>
      </w:r>
      <w:r w:rsidRPr="0059087C">
        <w:rPr>
          <w:rFonts w:eastAsiaTheme="minorEastAsia"/>
          <w:sz w:val="20"/>
          <w:szCs w:val="20"/>
        </w:rPr>
        <w:t>անրապետության 2021-2023 թվականների պետական միջնաժամկետ ծախսերի ծրագիր</w:t>
      </w:r>
    </w:p>
    <w:p w14:paraId="0D44A312" w14:textId="6C5DBBA0" w:rsidR="0059087C" w:rsidRDefault="0059087C">
      <w:pPr>
        <w:pStyle w:val="FootnoteText"/>
      </w:pPr>
    </w:p>
  </w:footnote>
  <w:footnote w:id="4">
    <w:p w14:paraId="2959D229" w14:textId="5AAF8423" w:rsidR="00736CD7" w:rsidRPr="00F213EC" w:rsidRDefault="00736CD7" w:rsidP="000922EB">
      <w:pPr>
        <w:pStyle w:val="FootnoteText"/>
      </w:pPr>
      <w:r>
        <w:rPr>
          <w:rStyle w:val="FootnoteReference"/>
        </w:rPr>
        <w:footnoteRef/>
      </w:r>
      <w:r w:rsidRPr="00450356">
        <w:t xml:space="preserve">2018 </w:t>
      </w:r>
      <w:r>
        <w:t>թվականի զեկույցում Հայաստանը ունի 22</w:t>
      </w:r>
      <w:r w:rsidRPr="00F213EC">
        <w:rPr>
          <w:rFonts w:ascii="Cambria Math" w:hAnsi="Cambria Math" w:cs="Cambria Math"/>
        </w:rPr>
        <w:t>․</w:t>
      </w:r>
      <w:r w:rsidRPr="00F213EC">
        <w:t>8 միավոր, զբաղեցնելով 88</w:t>
      </w:r>
      <w:r w:rsidRPr="00450356">
        <w:t>-</w:t>
      </w:r>
      <w:r w:rsidRPr="00F213EC">
        <w:t>րդ դիրքը</w:t>
      </w:r>
    </w:p>
  </w:footnote>
  <w:footnote w:id="5">
    <w:p w14:paraId="2959D22A" w14:textId="1A6D1C4B" w:rsidR="00736CD7" w:rsidRPr="000903ED" w:rsidRDefault="00736CD7">
      <w:pPr>
        <w:pStyle w:val="FootnoteText"/>
        <w:rPr>
          <w:rFonts w:ascii="Sylfaen" w:hAnsi="Sylfaen"/>
          <w:sz w:val="16"/>
          <w:szCs w:val="16"/>
        </w:rPr>
      </w:pPr>
      <w:r w:rsidRPr="000903ED">
        <w:rPr>
          <w:rStyle w:val="FootnoteReference"/>
          <w:sz w:val="16"/>
        </w:rPr>
        <w:footnoteRef/>
      </w:r>
      <w:r w:rsidRPr="000903ED">
        <w:rPr>
          <w:rFonts w:ascii="Sylfaen" w:hAnsi="Sylfaen"/>
          <w:color w:val="000000"/>
          <w:sz w:val="16"/>
          <w:szCs w:val="16"/>
          <w:shd w:val="clear" w:color="auto" w:fill="FFFFFF"/>
        </w:rPr>
        <w:t>https://www.weforum.org/reports/the-inclusive-development-index-2018</w:t>
      </w:r>
    </w:p>
  </w:footnote>
  <w:footnote w:id="6">
    <w:p w14:paraId="2959D22B" w14:textId="77777777" w:rsidR="00736CD7" w:rsidRPr="000903ED" w:rsidRDefault="00736CD7">
      <w:pPr>
        <w:pStyle w:val="FootnoteText"/>
        <w:rPr>
          <w:rFonts w:ascii="Sylfaen" w:hAnsi="Sylfaen"/>
          <w:sz w:val="16"/>
          <w:szCs w:val="16"/>
        </w:rPr>
      </w:pPr>
      <w:r w:rsidRPr="000903ED">
        <w:rPr>
          <w:rStyle w:val="FootnoteReference"/>
          <w:rFonts w:ascii="Sylfaen" w:hAnsi="Sylfaen"/>
          <w:sz w:val="16"/>
          <w:szCs w:val="16"/>
        </w:rPr>
        <w:footnoteRef/>
      </w:r>
      <w:r w:rsidRPr="000903ED">
        <w:rPr>
          <w:rFonts w:ascii="Sylfaen" w:hAnsi="Sylfaen"/>
          <w:sz w:val="16"/>
          <w:szCs w:val="16"/>
        </w:rPr>
        <w:t xml:space="preserve"> https://ec.europa.eu/docsroom/documents/18721/attachments/1/translations/en/renditions/pdf</w:t>
      </w:r>
    </w:p>
  </w:footnote>
  <w:footnote w:id="7">
    <w:p w14:paraId="2959D22C" w14:textId="66E31A19" w:rsidR="00736CD7" w:rsidRPr="000903ED" w:rsidRDefault="00736CD7">
      <w:pPr>
        <w:pStyle w:val="FootnoteText"/>
      </w:pPr>
      <w:r w:rsidRPr="000903ED">
        <w:rPr>
          <w:rStyle w:val="FootnoteReference"/>
          <w:sz w:val="16"/>
        </w:rPr>
        <w:footnoteRef/>
      </w:r>
      <w:r w:rsidRPr="000903ED">
        <w:rPr>
          <w:rFonts w:ascii="Sylfaen" w:hAnsi="Sylfaen"/>
          <w:sz w:val="16"/>
          <w:szCs w:val="16"/>
        </w:rPr>
        <w:t>http://reports.weforum.org/global-competitiveness-report-2018/competitiveness-rankings/</w:t>
      </w:r>
    </w:p>
  </w:footnote>
  <w:footnote w:id="8">
    <w:p w14:paraId="2959D22D" w14:textId="7F78428C" w:rsidR="00736CD7" w:rsidRPr="00AE54EE" w:rsidRDefault="00736CD7">
      <w:pPr>
        <w:pStyle w:val="FootnoteText"/>
      </w:pPr>
      <w:r>
        <w:rPr>
          <w:rStyle w:val="FootnoteReference"/>
        </w:rPr>
        <w:footnoteRef/>
      </w:r>
      <w:r>
        <w:t xml:space="preserve"> «Ներդրումների աջակցման կենտրոն հիմնադրամի» միջոցով իրականացվում է </w:t>
      </w:r>
      <w:r w:rsidRPr="00AE54EE">
        <w:t>սկսնակ գործարարներին և ՓՄՁ սուբյեկտներին վարկային երաշխավորությունների տրամադր</w:t>
      </w:r>
      <w:r>
        <w:t>ում մ</w:t>
      </w:r>
      <w:r w:rsidRPr="00AE54EE">
        <w:t>իջոցով գրավադրման խնդրի</w:t>
      </w:r>
    </w:p>
  </w:footnote>
  <w:footnote w:id="9">
    <w:p w14:paraId="2959D22F" w14:textId="42C8AAC0" w:rsidR="00736CD7" w:rsidRPr="001B711C" w:rsidRDefault="00736CD7">
      <w:pPr>
        <w:pStyle w:val="FootnoteText"/>
      </w:pPr>
      <w:r>
        <w:rPr>
          <w:rStyle w:val="FootnoteReference"/>
        </w:rPr>
        <w:footnoteRef/>
      </w:r>
      <w:r>
        <w:t xml:space="preserve">Համաձայն «Հայաստանում Աշխատաշուկայի երիտասարդակենտրոն և գենդերազգայուն հետազոտության» </w:t>
      </w:r>
      <w:r w:rsidRPr="001B711C">
        <w:t xml:space="preserve">2018 </w:t>
      </w:r>
      <w:r>
        <w:t>ձեռնարկատերերի 29,6</w:t>
      </w:r>
      <w:r w:rsidRPr="001B711C">
        <w:t>%</w:t>
      </w:r>
      <w:r>
        <w:t xml:space="preserve"> տոկոսն է իգական սեռի</w:t>
      </w:r>
    </w:p>
  </w:footnote>
  <w:footnote w:id="10">
    <w:p w14:paraId="2959D231" w14:textId="77777777" w:rsidR="00736CD7" w:rsidRPr="008C01FA" w:rsidRDefault="00736CD7" w:rsidP="008C2C81">
      <w:pPr>
        <w:pStyle w:val="FootnoteText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D224" w14:textId="77777777" w:rsidR="00736CD7" w:rsidRPr="00DA7FD4" w:rsidRDefault="00736CD7" w:rsidP="00607F1A">
    <w:pPr>
      <w:pStyle w:val="Header"/>
      <w:jc w:val="right"/>
      <w:rPr>
        <w:rFonts w:ascii="MS Mincho" w:eastAsia="MS Mincho" w:hAnsi="MS Mincho" w:cs="MS Mincho"/>
        <w:i/>
        <w:iCs/>
        <w:color w:val="BFBFBF" w:themeColor="background1" w:themeShade="BF"/>
      </w:rPr>
    </w:pPr>
    <w:r w:rsidRPr="00DA7FD4">
      <w:rPr>
        <w:i/>
        <w:iCs/>
        <w:color w:val="BFBFBF" w:themeColor="background1" w:themeShade="BF"/>
      </w:rPr>
      <w:t>ՓՄՁ զարգացման ռազմավարություն 2020-2024 թթ</w:t>
    </w:r>
    <w:r w:rsidRPr="00607F1A">
      <w:rPr>
        <w:rFonts w:ascii="MS Mincho" w:eastAsia="MS Mincho" w:hAnsi="MS Mincho" w:cs="MS Mincho"/>
        <w:i/>
        <w:iCs/>
        <w:color w:val="BFBFBF" w:themeColor="background1" w:themeShade="BF"/>
      </w:rPr>
      <w:t>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176"/>
    <w:multiLevelType w:val="hybridMultilevel"/>
    <w:tmpl w:val="AB50C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92C66"/>
    <w:multiLevelType w:val="hybridMultilevel"/>
    <w:tmpl w:val="0650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45DE"/>
    <w:multiLevelType w:val="hybridMultilevel"/>
    <w:tmpl w:val="1BE8E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23274"/>
    <w:multiLevelType w:val="hybridMultilevel"/>
    <w:tmpl w:val="B088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0CFF"/>
    <w:multiLevelType w:val="hybridMultilevel"/>
    <w:tmpl w:val="C38EC3EE"/>
    <w:lvl w:ilvl="0" w:tplc="490E35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B47"/>
    <w:multiLevelType w:val="hybridMultilevel"/>
    <w:tmpl w:val="4C12A4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656"/>
    <w:multiLevelType w:val="hybridMultilevel"/>
    <w:tmpl w:val="2700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54C3E"/>
    <w:multiLevelType w:val="hybridMultilevel"/>
    <w:tmpl w:val="5B926F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0192133"/>
    <w:multiLevelType w:val="hybridMultilevel"/>
    <w:tmpl w:val="B6F69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2066FEE"/>
    <w:multiLevelType w:val="hybridMultilevel"/>
    <w:tmpl w:val="8662E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12F37"/>
    <w:multiLevelType w:val="hybridMultilevel"/>
    <w:tmpl w:val="2EF4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A90629"/>
    <w:multiLevelType w:val="hybridMultilevel"/>
    <w:tmpl w:val="31504ECC"/>
    <w:lvl w:ilvl="0" w:tplc="45E82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1615"/>
    <w:multiLevelType w:val="hybridMultilevel"/>
    <w:tmpl w:val="D404593A"/>
    <w:lvl w:ilvl="0" w:tplc="7500E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0B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07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ED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26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2C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A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CF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26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4B5B96"/>
    <w:multiLevelType w:val="hybridMultilevel"/>
    <w:tmpl w:val="9DDC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C63F4"/>
    <w:multiLevelType w:val="multilevel"/>
    <w:tmpl w:val="992810B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634043"/>
    <w:multiLevelType w:val="multilevel"/>
    <w:tmpl w:val="6D6088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4C64047"/>
    <w:multiLevelType w:val="hybridMultilevel"/>
    <w:tmpl w:val="2612F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6773798"/>
    <w:multiLevelType w:val="hybridMultilevel"/>
    <w:tmpl w:val="EF7E44A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377119F2"/>
    <w:multiLevelType w:val="hybridMultilevel"/>
    <w:tmpl w:val="41AA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375A3"/>
    <w:multiLevelType w:val="hybridMultilevel"/>
    <w:tmpl w:val="5F24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141BD"/>
    <w:multiLevelType w:val="multilevel"/>
    <w:tmpl w:val="D206EA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038662A"/>
    <w:multiLevelType w:val="hybridMultilevel"/>
    <w:tmpl w:val="2EAE4E92"/>
    <w:lvl w:ilvl="0" w:tplc="CB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8D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A2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8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6F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8F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67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B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03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92AAF"/>
    <w:multiLevelType w:val="hybridMultilevel"/>
    <w:tmpl w:val="692C51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77E02"/>
    <w:multiLevelType w:val="hybridMultilevel"/>
    <w:tmpl w:val="3AAA0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FC30FB"/>
    <w:multiLevelType w:val="hybridMultilevel"/>
    <w:tmpl w:val="8B8C1956"/>
    <w:lvl w:ilvl="0" w:tplc="CF2C4A2A">
      <w:start w:val="1"/>
      <w:numFmt w:val="upperRoman"/>
      <w:lvlText w:val="%1."/>
      <w:lvlJc w:val="left"/>
      <w:pPr>
        <w:ind w:left="85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498122E0"/>
    <w:multiLevelType w:val="hybridMultilevel"/>
    <w:tmpl w:val="3112DB02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4BDA2ADA"/>
    <w:multiLevelType w:val="hybridMultilevel"/>
    <w:tmpl w:val="2ECE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E1D62"/>
    <w:multiLevelType w:val="hybridMultilevel"/>
    <w:tmpl w:val="CD468FB4"/>
    <w:lvl w:ilvl="0" w:tplc="77CC6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F7E86"/>
    <w:multiLevelType w:val="hybridMultilevel"/>
    <w:tmpl w:val="50E01C36"/>
    <w:lvl w:ilvl="0" w:tplc="44D627C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608A9"/>
    <w:multiLevelType w:val="hybridMultilevel"/>
    <w:tmpl w:val="B1D0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35F58"/>
    <w:multiLevelType w:val="hybridMultilevel"/>
    <w:tmpl w:val="032049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6CCC16A9"/>
    <w:multiLevelType w:val="hybridMultilevel"/>
    <w:tmpl w:val="DD8AAB46"/>
    <w:lvl w:ilvl="0" w:tplc="17661F58">
      <w:numFmt w:val="bullet"/>
      <w:lvlText w:val="-"/>
      <w:lvlJc w:val="left"/>
      <w:pPr>
        <w:ind w:left="936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6F1300E0"/>
    <w:multiLevelType w:val="hybridMultilevel"/>
    <w:tmpl w:val="691E3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8D3896"/>
    <w:multiLevelType w:val="hybridMultilevel"/>
    <w:tmpl w:val="5A70D900"/>
    <w:lvl w:ilvl="0" w:tplc="FC9C7FE8"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07E2C"/>
    <w:multiLevelType w:val="hybridMultilevel"/>
    <w:tmpl w:val="2B28199A"/>
    <w:lvl w:ilvl="0" w:tplc="43128E3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6F1001"/>
    <w:multiLevelType w:val="hybridMultilevel"/>
    <w:tmpl w:val="8A240616"/>
    <w:lvl w:ilvl="0" w:tplc="640EE4E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75ACE"/>
    <w:multiLevelType w:val="hybridMultilevel"/>
    <w:tmpl w:val="B4521E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5690F53"/>
    <w:multiLevelType w:val="multilevel"/>
    <w:tmpl w:val="196A6646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38" w15:restartNumberingAfterBreak="0">
    <w:nsid w:val="79FE6114"/>
    <w:multiLevelType w:val="hybridMultilevel"/>
    <w:tmpl w:val="CDD4C172"/>
    <w:lvl w:ilvl="0" w:tplc="CD90C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0"/>
  </w:num>
  <w:num w:numId="5">
    <w:abstractNumId w:val="13"/>
  </w:num>
  <w:num w:numId="6">
    <w:abstractNumId w:val="26"/>
  </w:num>
  <w:num w:numId="7">
    <w:abstractNumId w:val="6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32"/>
  </w:num>
  <w:num w:numId="13">
    <w:abstractNumId w:val="29"/>
  </w:num>
  <w:num w:numId="14">
    <w:abstractNumId w:val="27"/>
  </w:num>
  <w:num w:numId="15">
    <w:abstractNumId w:val="34"/>
  </w:num>
  <w:num w:numId="16">
    <w:abstractNumId w:val="4"/>
  </w:num>
  <w:num w:numId="17">
    <w:abstractNumId w:val="35"/>
  </w:num>
  <w:num w:numId="18">
    <w:abstractNumId w:val="28"/>
  </w:num>
  <w:num w:numId="19">
    <w:abstractNumId w:val="36"/>
  </w:num>
  <w:num w:numId="20">
    <w:abstractNumId w:val="16"/>
  </w:num>
  <w:num w:numId="21">
    <w:abstractNumId w:val="9"/>
  </w:num>
  <w:num w:numId="22">
    <w:abstractNumId w:val="8"/>
  </w:num>
  <w:num w:numId="23">
    <w:abstractNumId w:val="2"/>
  </w:num>
  <w:num w:numId="24">
    <w:abstractNumId w:val="5"/>
  </w:num>
  <w:num w:numId="25">
    <w:abstractNumId w:val="22"/>
  </w:num>
  <w:num w:numId="26">
    <w:abstractNumId w:val="3"/>
  </w:num>
  <w:num w:numId="27">
    <w:abstractNumId w:val="37"/>
  </w:num>
  <w:num w:numId="28">
    <w:abstractNumId w:val="19"/>
  </w:num>
  <w:num w:numId="29">
    <w:abstractNumId w:val="18"/>
  </w:num>
  <w:num w:numId="30">
    <w:abstractNumId w:val="1"/>
  </w:num>
  <w:num w:numId="31">
    <w:abstractNumId w:val="17"/>
  </w:num>
  <w:num w:numId="32">
    <w:abstractNumId w:val="7"/>
  </w:num>
  <w:num w:numId="33">
    <w:abstractNumId w:val="30"/>
  </w:num>
  <w:num w:numId="34">
    <w:abstractNumId w:val="31"/>
  </w:num>
  <w:num w:numId="35">
    <w:abstractNumId w:val="14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15"/>
  </w:num>
  <w:num w:numId="41">
    <w:abstractNumId w:val="25"/>
  </w:num>
  <w:num w:numId="42">
    <w:abstractNumId w:val="15"/>
  </w:num>
  <w:num w:numId="43">
    <w:abstractNumId w:val="12"/>
  </w:num>
  <w:num w:numId="44">
    <w:abstractNumId w:val="15"/>
  </w:num>
  <w:num w:numId="45">
    <w:abstractNumId w:val="1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60"/>
    <w:rsid w:val="00001B07"/>
    <w:rsid w:val="00002640"/>
    <w:rsid w:val="000046D0"/>
    <w:rsid w:val="000051C0"/>
    <w:rsid w:val="00013882"/>
    <w:rsid w:val="00013C09"/>
    <w:rsid w:val="00025A31"/>
    <w:rsid w:val="00027B53"/>
    <w:rsid w:val="000404D6"/>
    <w:rsid w:val="00041B3E"/>
    <w:rsid w:val="00042614"/>
    <w:rsid w:val="00045D11"/>
    <w:rsid w:val="000507D4"/>
    <w:rsid w:val="00053DF3"/>
    <w:rsid w:val="00055EF6"/>
    <w:rsid w:val="000621A5"/>
    <w:rsid w:val="00062316"/>
    <w:rsid w:val="000718BB"/>
    <w:rsid w:val="00071A18"/>
    <w:rsid w:val="00071F28"/>
    <w:rsid w:val="000739C3"/>
    <w:rsid w:val="00074D7F"/>
    <w:rsid w:val="000773F6"/>
    <w:rsid w:val="00077A36"/>
    <w:rsid w:val="00085FED"/>
    <w:rsid w:val="000903ED"/>
    <w:rsid w:val="00090787"/>
    <w:rsid w:val="000922EB"/>
    <w:rsid w:val="000A0AF0"/>
    <w:rsid w:val="000A1711"/>
    <w:rsid w:val="000A19E6"/>
    <w:rsid w:val="000A2235"/>
    <w:rsid w:val="000A7E54"/>
    <w:rsid w:val="000B3E97"/>
    <w:rsid w:val="000B6453"/>
    <w:rsid w:val="000C344C"/>
    <w:rsid w:val="000C3CFF"/>
    <w:rsid w:val="000C4516"/>
    <w:rsid w:val="000C466B"/>
    <w:rsid w:val="000C5C30"/>
    <w:rsid w:val="000C721E"/>
    <w:rsid w:val="000D0846"/>
    <w:rsid w:val="000D14DF"/>
    <w:rsid w:val="000D378B"/>
    <w:rsid w:val="000D6A6C"/>
    <w:rsid w:val="000D71C4"/>
    <w:rsid w:val="000D7C6B"/>
    <w:rsid w:val="000D7CF4"/>
    <w:rsid w:val="000E0493"/>
    <w:rsid w:val="000E2F9A"/>
    <w:rsid w:val="000E3E5A"/>
    <w:rsid w:val="000E6CA4"/>
    <w:rsid w:val="000F2D87"/>
    <w:rsid w:val="000F618D"/>
    <w:rsid w:val="001000A8"/>
    <w:rsid w:val="00100D8E"/>
    <w:rsid w:val="00117867"/>
    <w:rsid w:val="0012105B"/>
    <w:rsid w:val="001228E0"/>
    <w:rsid w:val="00125D57"/>
    <w:rsid w:val="00130949"/>
    <w:rsid w:val="001339F7"/>
    <w:rsid w:val="00140B02"/>
    <w:rsid w:val="00141CAA"/>
    <w:rsid w:val="00142A4D"/>
    <w:rsid w:val="001441F2"/>
    <w:rsid w:val="00144435"/>
    <w:rsid w:val="0014511C"/>
    <w:rsid w:val="00146665"/>
    <w:rsid w:val="00157892"/>
    <w:rsid w:val="0016234E"/>
    <w:rsid w:val="00167018"/>
    <w:rsid w:val="001771E7"/>
    <w:rsid w:val="0018059C"/>
    <w:rsid w:val="00186D1D"/>
    <w:rsid w:val="001877EA"/>
    <w:rsid w:val="001A1AFC"/>
    <w:rsid w:val="001A2AD0"/>
    <w:rsid w:val="001A2F82"/>
    <w:rsid w:val="001A6E39"/>
    <w:rsid w:val="001B711C"/>
    <w:rsid w:val="001C1FF2"/>
    <w:rsid w:val="001D0880"/>
    <w:rsid w:val="001D1FA9"/>
    <w:rsid w:val="001D7825"/>
    <w:rsid w:val="001E6684"/>
    <w:rsid w:val="001E786F"/>
    <w:rsid w:val="001F0602"/>
    <w:rsid w:val="001F086E"/>
    <w:rsid w:val="001F11DA"/>
    <w:rsid w:val="001F3C3E"/>
    <w:rsid w:val="00205DC1"/>
    <w:rsid w:val="0021524E"/>
    <w:rsid w:val="00215862"/>
    <w:rsid w:val="00226FCA"/>
    <w:rsid w:val="00230EE4"/>
    <w:rsid w:val="002328F2"/>
    <w:rsid w:val="00234671"/>
    <w:rsid w:val="00240C63"/>
    <w:rsid w:val="00240F36"/>
    <w:rsid w:val="00246F20"/>
    <w:rsid w:val="002563A8"/>
    <w:rsid w:val="002626CD"/>
    <w:rsid w:val="00263617"/>
    <w:rsid w:val="002705C2"/>
    <w:rsid w:val="00285106"/>
    <w:rsid w:val="00293857"/>
    <w:rsid w:val="00295C08"/>
    <w:rsid w:val="002A2774"/>
    <w:rsid w:val="002B1DC8"/>
    <w:rsid w:val="002B3673"/>
    <w:rsid w:val="002B7983"/>
    <w:rsid w:val="002C1806"/>
    <w:rsid w:val="002C3E2F"/>
    <w:rsid w:val="002D563D"/>
    <w:rsid w:val="002D7DB7"/>
    <w:rsid w:val="002E02EC"/>
    <w:rsid w:val="002E5E44"/>
    <w:rsid w:val="002F33AF"/>
    <w:rsid w:val="002F4600"/>
    <w:rsid w:val="002F4827"/>
    <w:rsid w:val="003025BF"/>
    <w:rsid w:val="00311986"/>
    <w:rsid w:val="00314300"/>
    <w:rsid w:val="00314975"/>
    <w:rsid w:val="00314FE7"/>
    <w:rsid w:val="00316DAE"/>
    <w:rsid w:val="00320E74"/>
    <w:rsid w:val="0032518E"/>
    <w:rsid w:val="00326CAB"/>
    <w:rsid w:val="00331E68"/>
    <w:rsid w:val="003346A4"/>
    <w:rsid w:val="003437D8"/>
    <w:rsid w:val="00347749"/>
    <w:rsid w:val="00364637"/>
    <w:rsid w:val="003649A5"/>
    <w:rsid w:val="00365BD6"/>
    <w:rsid w:val="00370C52"/>
    <w:rsid w:val="00371A88"/>
    <w:rsid w:val="00377FBC"/>
    <w:rsid w:val="00382F44"/>
    <w:rsid w:val="0038657B"/>
    <w:rsid w:val="0038713F"/>
    <w:rsid w:val="00387970"/>
    <w:rsid w:val="0039141C"/>
    <w:rsid w:val="0039174B"/>
    <w:rsid w:val="00391EBC"/>
    <w:rsid w:val="00397FE0"/>
    <w:rsid w:val="003B3DDA"/>
    <w:rsid w:val="003B62A9"/>
    <w:rsid w:val="003C06A4"/>
    <w:rsid w:val="003C1160"/>
    <w:rsid w:val="003C3CAF"/>
    <w:rsid w:val="003D251E"/>
    <w:rsid w:val="003D6D74"/>
    <w:rsid w:val="003E30BE"/>
    <w:rsid w:val="003E4B87"/>
    <w:rsid w:val="003F0491"/>
    <w:rsid w:val="003F525C"/>
    <w:rsid w:val="004001A2"/>
    <w:rsid w:val="00400389"/>
    <w:rsid w:val="00404ACF"/>
    <w:rsid w:val="004106BE"/>
    <w:rsid w:val="00412A4E"/>
    <w:rsid w:val="0041314A"/>
    <w:rsid w:val="004137DB"/>
    <w:rsid w:val="004144BC"/>
    <w:rsid w:val="00416BAA"/>
    <w:rsid w:val="004263F4"/>
    <w:rsid w:val="0042758E"/>
    <w:rsid w:val="00441A4F"/>
    <w:rsid w:val="00441F0F"/>
    <w:rsid w:val="00447BFD"/>
    <w:rsid w:val="00447D82"/>
    <w:rsid w:val="00450356"/>
    <w:rsid w:val="004552F8"/>
    <w:rsid w:val="00455A29"/>
    <w:rsid w:val="0045696C"/>
    <w:rsid w:val="00460157"/>
    <w:rsid w:val="004645E1"/>
    <w:rsid w:val="004739C7"/>
    <w:rsid w:val="00474073"/>
    <w:rsid w:val="004772B6"/>
    <w:rsid w:val="00485222"/>
    <w:rsid w:val="004863DE"/>
    <w:rsid w:val="004A17F0"/>
    <w:rsid w:val="004A2B9C"/>
    <w:rsid w:val="004A56F9"/>
    <w:rsid w:val="004B078E"/>
    <w:rsid w:val="004B3C82"/>
    <w:rsid w:val="004B72A1"/>
    <w:rsid w:val="004D2A7E"/>
    <w:rsid w:val="004D33BB"/>
    <w:rsid w:val="004D4753"/>
    <w:rsid w:val="004E0162"/>
    <w:rsid w:val="004E5252"/>
    <w:rsid w:val="004E7D85"/>
    <w:rsid w:val="004F31D1"/>
    <w:rsid w:val="004F4AD7"/>
    <w:rsid w:val="00501BE2"/>
    <w:rsid w:val="005027A6"/>
    <w:rsid w:val="005060F6"/>
    <w:rsid w:val="00513747"/>
    <w:rsid w:val="00523ADD"/>
    <w:rsid w:val="00523E11"/>
    <w:rsid w:val="00524F3A"/>
    <w:rsid w:val="005319A5"/>
    <w:rsid w:val="00533BDF"/>
    <w:rsid w:val="00536720"/>
    <w:rsid w:val="00542BCB"/>
    <w:rsid w:val="00543827"/>
    <w:rsid w:val="005540AA"/>
    <w:rsid w:val="00555CBD"/>
    <w:rsid w:val="0055719C"/>
    <w:rsid w:val="005604C2"/>
    <w:rsid w:val="00570172"/>
    <w:rsid w:val="00570E53"/>
    <w:rsid w:val="0057268E"/>
    <w:rsid w:val="005759B8"/>
    <w:rsid w:val="00576AC3"/>
    <w:rsid w:val="00580ED1"/>
    <w:rsid w:val="00581283"/>
    <w:rsid w:val="00582AA6"/>
    <w:rsid w:val="00584637"/>
    <w:rsid w:val="0059087C"/>
    <w:rsid w:val="0059191C"/>
    <w:rsid w:val="005A2AF2"/>
    <w:rsid w:val="005A3CBF"/>
    <w:rsid w:val="005A5F4E"/>
    <w:rsid w:val="005A7740"/>
    <w:rsid w:val="005B15E0"/>
    <w:rsid w:val="005B341E"/>
    <w:rsid w:val="005B35A2"/>
    <w:rsid w:val="005B6DB5"/>
    <w:rsid w:val="005C078F"/>
    <w:rsid w:val="005C08C0"/>
    <w:rsid w:val="005C7F66"/>
    <w:rsid w:val="005D13C5"/>
    <w:rsid w:val="005D18E5"/>
    <w:rsid w:val="005D5B85"/>
    <w:rsid w:val="005D72F4"/>
    <w:rsid w:val="005D7D72"/>
    <w:rsid w:val="005E148A"/>
    <w:rsid w:val="005E71D8"/>
    <w:rsid w:val="005F2C1C"/>
    <w:rsid w:val="005F32E5"/>
    <w:rsid w:val="005F4E78"/>
    <w:rsid w:val="00603025"/>
    <w:rsid w:val="006040E8"/>
    <w:rsid w:val="006075BF"/>
    <w:rsid w:val="00607F1A"/>
    <w:rsid w:val="00615480"/>
    <w:rsid w:val="00623DA7"/>
    <w:rsid w:val="00624022"/>
    <w:rsid w:val="00627BA4"/>
    <w:rsid w:val="00631607"/>
    <w:rsid w:val="00631BAE"/>
    <w:rsid w:val="00635FC0"/>
    <w:rsid w:val="00640685"/>
    <w:rsid w:val="00641FCA"/>
    <w:rsid w:val="00642E7E"/>
    <w:rsid w:val="00644352"/>
    <w:rsid w:val="00646F69"/>
    <w:rsid w:val="006506ED"/>
    <w:rsid w:val="00650DDF"/>
    <w:rsid w:val="0065325F"/>
    <w:rsid w:val="0065527E"/>
    <w:rsid w:val="0065556B"/>
    <w:rsid w:val="00662324"/>
    <w:rsid w:val="00663901"/>
    <w:rsid w:val="00663F21"/>
    <w:rsid w:val="00672A31"/>
    <w:rsid w:val="0067737F"/>
    <w:rsid w:val="006835B4"/>
    <w:rsid w:val="0068387A"/>
    <w:rsid w:val="00685CCF"/>
    <w:rsid w:val="00692AA0"/>
    <w:rsid w:val="00695608"/>
    <w:rsid w:val="006A075F"/>
    <w:rsid w:val="006A11D9"/>
    <w:rsid w:val="006A2A01"/>
    <w:rsid w:val="006B6A91"/>
    <w:rsid w:val="006C0122"/>
    <w:rsid w:val="006C2A1E"/>
    <w:rsid w:val="006C36CA"/>
    <w:rsid w:val="006C3AD4"/>
    <w:rsid w:val="006C4CF1"/>
    <w:rsid w:val="006D038F"/>
    <w:rsid w:val="006D37A8"/>
    <w:rsid w:val="006D6E85"/>
    <w:rsid w:val="006E0FB4"/>
    <w:rsid w:val="006F0FFE"/>
    <w:rsid w:val="006F2B32"/>
    <w:rsid w:val="006F52EE"/>
    <w:rsid w:val="007001F0"/>
    <w:rsid w:val="00714055"/>
    <w:rsid w:val="00715320"/>
    <w:rsid w:val="0071588A"/>
    <w:rsid w:val="00715EE3"/>
    <w:rsid w:val="00731D6D"/>
    <w:rsid w:val="00732FFC"/>
    <w:rsid w:val="00734A38"/>
    <w:rsid w:val="00735BF7"/>
    <w:rsid w:val="00736CD7"/>
    <w:rsid w:val="00742FB6"/>
    <w:rsid w:val="0074363D"/>
    <w:rsid w:val="00744459"/>
    <w:rsid w:val="007464BD"/>
    <w:rsid w:val="00746B0F"/>
    <w:rsid w:val="00754ACF"/>
    <w:rsid w:val="00755046"/>
    <w:rsid w:val="007616AE"/>
    <w:rsid w:val="007620E4"/>
    <w:rsid w:val="007636C2"/>
    <w:rsid w:val="00775128"/>
    <w:rsid w:val="00775B7D"/>
    <w:rsid w:val="00781E82"/>
    <w:rsid w:val="00786037"/>
    <w:rsid w:val="00790672"/>
    <w:rsid w:val="007921A9"/>
    <w:rsid w:val="0079259F"/>
    <w:rsid w:val="007933BB"/>
    <w:rsid w:val="00795C74"/>
    <w:rsid w:val="00795F5C"/>
    <w:rsid w:val="0079770D"/>
    <w:rsid w:val="007B2B24"/>
    <w:rsid w:val="007B3F5F"/>
    <w:rsid w:val="007B4205"/>
    <w:rsid w:val="007B486C"/>
    <w:rsid w:val="007C18D7"/>
    <w:rsid w:val="007C70F8"/>
    <w:rsid w:val="007D3B43"/>
    <w:rsid w:val="007D457E"/>
    <w:rsid w:val="007D73AD"/>
    <w:rsid w:val="007E0F23"/>
    <w:rsid w:val="007E3005"/>
    <w:rsid w:val="007E313D"/>
    <w:rsid w:val="007E593C"/>
    <w:rsid w:val="007F3BD3"/>
    <w:rsid w:val="007F57E2"/>
    <w:rsid w:val="007F6416"/>
    <w:rsid w:val="007F6449"/>
    <w:rsid w:val="007F7008"/>
    <w:rsid w:val="008005D6"/>
    <w:rsid w:val="008059ED"/>
    <w:rsid w:val="00811378"/>
    <w:rsid w:val="008113F2"/>
    <w:rsid w:val="00811576"/>
    <w:rsid w:val="00816358"/>
    <w:rsid w:val="00822DFD"/>
    <w:rsid w:val="00827AD8"/>
    <w:rsid w:val="0083042C"/>
    <w:rsid w:val="00831443"/>
    <w:rsid w:val="008316FE"/>
    <w:rsid w:val="00833EB9"/>
    <w:rsid w:val="008437A4"/>
    <w:rsid w:val="00847AFB"/>
    <w:rsid w:val="00847CDB"/>
    <w:rsid w:val="00863FBB"/>
    <w:rsid w:val="00867E7D"/>
    <w:rsid w:val="00874E57"/>
    <w:rsid w:val="00877FB5"/>
    <w:rsid w:val="00885AB7"/>
    <w:rsid w:val="00892FB6"/>
    <w:rsid w:val="0089366E"/>
    <w:rsid w:val="008A006C"/>
    <w:rsid w:val="008A114E"/>
    <w:rsid w:val="008A2BC8"/>
    <w:rsid w:val="008B075F"/>
    <w:rsid w:val="008B0877"/>
    <w:rsid w:val="008B0B19"/>
    <w:rsid w:val="008B1492"/>
    <w:rsid w:val="008B4A5E"/>
    <w:rsid w:val="008C1222"/>
    <w:rsid w:val="008C2C81"/>
    <w:rsid w:val="008C5060"/>
    <w:rsid w:val="008D349E"/>
    <w:rsid w:val="008D3E50"/>
    <w:rsid w:val="008D6C5B"/>
    <w:rsid w:val="008E517A"/>
    <w:rsid w:val="008F1C66"/>
    <w:rsid w:val="008F3E77"/>
    <w:rsid w:val="008F488C"/>
    <w:rsid w:val="00901CB7"/>
    <w:rsid w:val="00913672"/>
    <w:rsid w:val="0091423F"/>
    <w:rsid w:val="009158DF"/>
    <w:rsid w:val="00917BA2"/>
    <w:rsid w:val="0092000C"/>
    <w:rsid w:val="00921621"/>
    <w:rsid w:val="0092226F"/>
    <w:rsid w:val="009225A2"/>
    <w:rsid w:val="00922CCC"/>
    <w:rsid w:val="00923F8E"/>
    <w:rsid w:val="00926F04"/>
    <w:rsid w:val="009302B3"/>
    <w:rsid w:val="0093034A"/>
    <w:rsid w:val="00930851"/>
    <w:rsid w:val="00931A25"/>
    <w:rsid w:val="00937F0A"/>
    <w:rsid w:val="00952F9A"/>
    <w:rsid w:val="0095612C"/>
    <w:rsid w:val="009572E5"/>
    <w:rsid w:val="00962F21"/>
    <w:rsid w:val="00964846"/>
    <w:rsid w:val="00970933"/>
    <w:rsid w:val="00973341"/>
    <w:rsid w:val="00975586"/>
    <w:rsid w:val="00976DA4"/>
    <w:rsid w:val="00977F89"/>
    <w:rsid w:val="00980CAF"/>
    <w:rsid w:val="00981E49"/>
    <w:rsid w:val="009832A7"/>
    <w:rsid w:val="009918A1"/>
    <w:rsid w:val="00992636"/>
    <w:rsid w:val="00992C69"/>
    <w:rsid w:val="009A4FE2"/>
    <w:rsid w:val="009A5A42"/>
    <w:rsid w:val="009A7B9A"/>
    <w:rsid w:val="009B1BD2"/>
    <w:rsid w:val="009B5A8A"/>
    <w:rsid w:val="009C1B39"/>
    <w:rsid w:val="009C367E"/>
    <w:rsid w:val="009C7BB5"/>
    <w:rsid w:val="009D0145"/>
    <w:rsid w:val="009D0E7C"/>
    <w:rsid w:val="009D475F"/>
    <w:rsid w:val="009D5B77"/>
    <w:rsid w:val="009D6416"/>
    <w:rsid w:val="009D7C5D"/>
    <w:rsid w:val="009E436D"/>
    <w:rsid w:val="009F5AA4"/>
    <w:rsid w:val="009F5E81"/>
    <w:rsid w:val="00A003FD"/>
    <w:rsid w:val="00A03428"/>
    <w:rsid w:val="00A04105"/>
    <w:rsid w:val="00A0466F"/>
    <w:rsid w:val="00A07CEA"/>
    <w:rsid w:val="00A13F66"/>
    <w:rsid w:val="00A153A3"/>
    <w:rsid w:val="00A16131"/>
    <w:rsid w:val="00A16CF4"/>
    <w:rsid w:val="00A22285"/>
    <w:rsid w:val="00A24F0A"/>
    <w:rsid w:val="00A27F91"/>
    <w:rsid w:val="00A32F94"/>
    <w:rsid w:val="00A34A5F"/>
    <w:rsid w:val="00A35777"/>
    <w:rsid w:val="00A36D35"/>
    <w:rsid w:val="00A45D29"/>
    <w:rsid w:val="00A46589"/>
    <w:rsid w:val="00A47540"/>
    <w:rsid w:val="00A5071D"/>
    <w:rsid w:val="00A50A48"/>
    <w:rsid w:val="00A53A74"/>
    <w:rsid w:val="00A53DC0"/>
    <w:rsid w:val="00A5551A"/>
    <w:rsid w:val="00A60D3F"/>
    <w:rsid w:val="00A72AB5"/>
    <w:rsid w:val="00A740D7"/>
    <w:rsid w:val="00A755CA"/>
    <w:rsid w:val="00A84AD9"/>
    <w:rsid w:val="00A86C96"/>
    <w:rsid w:val="00A94518"/>
    <w:rsid w:val="00A95E50"/>
    <w:rsid w:val="00AA04A5"/>
    <w:rsid w:val="00AB3FE7"/>
    <w:rsid w:val="00AB4DDE"/>
    <w:rsid w:val="00AC60E2"/>
    <w:rsid w:val="00AD6B6F"/>
    <w:rsid w:val="00AE3B6A"/>
    <w:rsid w:val="00AE4FC0"/>
    <w:rsid w:val="00AE54EE"/>
    <w:rsid w:val="00AE710F"/>
    <w:rsid w:val="00AF1C1A"/>
    <w:rsid w:val="00B0673B"/>
    <w:rsid w:val="00B142F6"/>
    <w:rsid w:val="00B216C6"/>
    <w:rsid w:val="00B242E0"/>
    <w:rsid w:val="00B25559"/>
    <w:rsid w:val="00B25965"/>
    <w:rsid w:val="00B2729C"/>
    <w:rsid w:val="00B27438"/>
    <w:rsid w:val="00B342C8"/>
    <w:rsid w:val="00B43630"/>
    <w:rsid w:val="00B4537C"/>
    <w:rsid w:val="00B47C53"/>
    <w:rsid w:val="00B47D11"/>
    <w:rsid w:val="00B51668"/>
    <w:rsid w:val="00B52564"/>
    <w:rsid w:val="00B52F6A"/>
    <w:rsid w:val="00B53BB1"/>
    <w:rsid w:val="00B6313A"/>
    <w:rsid w:val="00B6566C"/>
    <w:rsid w:val="00B701E4"/>
    <w:rsid w:val="00B70D9B"/>
    <w:rsid w:val="00B72942"/>
    <w:rsid w:val="00B90636"/>
    <w:rsid w:val="00B93227"/>
    <w:rsid w:val="00B94C10"/>
    <w:rsid w:val="00B966AF"/>
    <w:rsid w:val="00B96CBD"/>
    <w:rsid w:val="00BA044B"/>
    <w:rsid w:val="00BA1059"/>
    <w:rsid w:val="00BA33F4"/>
    <w:rsid w:val="00BA436C"/>
    <w:rsid w:val="00BA4AB5"/>
    <w:rsid w:val="00BA781B"/>
    <w:rsid w:val="00BB162E"/>
    <w:rsid w:val="00BB1B31"/>
    <w:rsid w:val="00BB2EF0"/>
    <w:rsid w:val="00BB4978"/>
    <w:rsid w:val="00BB57BE"/>
    <w:rsid w:val="00BB5AB4"/>
    <w:rsid w:val="00BB7064"/>
    <w:rsid w:val="00BC1688"/>
    <w:rsid w:val="00BC1A0E"/>
    <w:rsid w:val="00BC582F"/>
    <w:rsid w:val="00BC6727"/>
    <w:rsid w:val="00BC77FF"/>
    <w:rsid w:val="00BD0CD6"/>
    <w:rsid w:val="00BD41F7"/>
    <w:rsid w:val="00BD4A1D"/>
    <w:rsid w:val="00BD6A11"/>
    <w:rsid w:val="00BD6C23"/>
    <w:rsid w:val="00BE27AC"/>
    <w:rsid w:val="00BE43E8"/>
    <w:rsid w:val="00BE694D"/>
    <w:rsid w:val="00BE69F1"/>
    <w:rsid w:val="00BF1180"/>
    <w:rsid w:val="00BF353C"/>
    <w:rsid w:val="00BF3F22"/>
    <w:rsid w:val="00BF6270"/>
    <w:rsid w:val="00BF7B38"/>
    <w:rsid w:val="00C05B2A"/>
    <w:rsid w:val="00C06C68"/>
    <w:rsid w:val="00C07F77"/>
    <w:rsid w:val="00C11371"/>
    <w:rsid w:val="00C14AB3"/>
    <w:rsid w:val="00C20630"/>
    <w:rsid w:val="00C226E1"/>
    <w:rsid w:val="00C232D0"/>
    <w:rsid w:val="00C24661"/>
    <w:rsid w:val="00C25179"/>
    <w:rsid w:val="00C2554E"/>
    <w:rsid w:val="00C302B7"/>
    <w:rsid w:val="00C336CC"/>
    <w:rsid w:val="00C33E13"/>
    <w:rsid w:val="00C369B0"/>
    <w:rsid w:val="00C42924"/>
    <w:rsid w:val="00C44B2B"/>
    <w:rsid w:val="00C44F2D"/>
    <w:rsid w:val="00C61057"/>
    <w:rsid w:val="00C64773"/>
    <w:rsid w:val="00C70133"/>
    <w:rsid w:val="00C743A3"/>
    <w:rsid w:val="00C74814"/>
    <w:rsid w:val="00C7568D"/>
    <w:rsid w:val="00C77AF4"/>
    <w:rsid w:val="00C83A53"/>
    <w:rsid w:val="00C92754"/>
    <w:rsid w:val="00C9282F"/>
    <w:rsid w:val="00CA0088"/>
    <w:rsid w:val="00CA0B59"/>
    <w:rsid w:val="00CA0B6C"/>
    <w:rsid w:val="00CA3EC0"/>
    <w:rsid w:val="00CA552F"/>
    <w:rsid w:val="00CA701B"/>
    <w:rsid w:val="00CB27A8"/>
    <w:rsid w:val="00CB2EF0"/>
    <w:rsid w:val="00CC0CCE"/>
    <w:rsid w:val="00CC6767"/>
    <w:rsid w:val="00CC7082"/>
    <w:rsid w:val="00CD4662"/>
    <w:rsid w:val="00CD5166"/>
    <w:rsid w:val="00CD7AD6"/>
    <w:rsid w:val="00CE078C"/>
    <w:rsid w:val="00CE2AFB"/>
    <w:rsid w:val="00CE619B"/>
    <w:rsid w:val="00CE6B87"/>
    <w:rsid w:val="00CF154B"/>
    <w:rsid w:val="00CF4B2E"/>
    <w:rsid w:val="00D007C6"/>
    <w:rsid w:val="00D022FE"/>
    <w:rsid w:val="00D14C23"/>
    <w:rsid w:val="00D15D60"/>
    <w:rsid w:val="00D212D3"/>
    <w:rsid w:val="00D308B4"/>
    <w:rsid w:val="00D32830"/>
    <w:rsid w:val="00D32CEF"/>
    <w:rsid w:val="00D35AF6"/>
    <w:rsid w:val="00D41537"/>
    <w:rsid w:val="00D45265"/>
    <w:rsid w:val="00D5035B"/>
    <w:rsid w:val="00D55181"/>
    <w:rsid w:val="00D565F1"/>
    <w:rsid w:val="00D613F6"/>
    <w:rsid w:val="00D67743"/>
    <w:rsid w:val="00D73030"/>
    <w:rsid w:val="00D7647B"/>
    <w:rsid w:val="00D76BCF"/>
    <w:rsid w:val="00D81935"/>
    <w:rsid w:val="00D94221"/>
    <w:rsid w:val="00D94F6A"/>
    <w:rsid w:val="00D96772"/>
    <w:rsid w:val="00DA0A66"/>
    <w:rsid w:val="00DA6EF1"/>
    <w:rsid w:val="00DA7FD4"/>
    <w:rsid w:val="00DC1F07"/>
    <w:rsid w:val="00DC3DF1"/>
    <w:rsid w:val="00DC5BDD"/>
    <w:rsid w:val="00DC5F53"/>
    <w:rsid w:val="00DC729D"/>
    <w:rsid w:val="00DD573D"/>
    <w:rsid w:val="00DE15A0"/>
    <w:rsid w:val="00DE1AD9"/>
    <w:rsid w:val="00DE268F"/>
    <w:rsid w:val="00DE2986"/>
    <w:rsid w:val="00DE7A99"/>
    <w:rsid w:val="00E04678"/>
    <w:rsid w:val="00E05BAF"/>
    <w:rsid w:val="00E10234"/>
    <w:rsid w:val="00E15D99"/>
    <w:rsid w:val="00E257F5"/>
    <w:rsid w:val="00E27E2D"/>
    <w:rsid w:val="00E30F30"/>
    <w:rsid w:val="00E418DC"/>
    <w:rsid w:val="00E47807"/>
    <w:rsid w:val="00E50C42"/>
    <w:rsid w:val="00E51F07"/>
    <w:rsid w:val="00E55A34"/>
    <w:rsid w:val="00E578FA"/>
    <w:rsid w:val="00E62592"/>
    <w:rsid w:val="00E638E5"/>
    <w:rsid w:val="00E66269"/>
    <w:rsid w:val="00E7221F"/>
    <w:rsid w:val="00E739E9"/>
    <w:rsid w:val="00E76602"/>
    <w:rsid w:val="00E76D65"/>
    <w:rsid w:val="00E81C27"/>
    <w:rsid w:val="00E83BC7"/>
    <w:rsid w:val="00E868FD"/>
    <w:rsid w:val="00E905BD"/>
    <w:rsid w:val="00E91189"/>
    <w:rsid w:val="00E96681"/>
    <w:rsid w:val="00EA0FED"/>
    <w:rsid w:val="00EC36CD"/>
    <w:rsid w:val="00EC53A1"/>
    <w:rsid w:val="00ED0A74"/>
    <w:rsid w:val="00ED27C2"/>
    <w:rsid w:val="00ED5A35"/>
    <w:rsid w:val="00EE228E"/>
    <w:rsid w:val="00EE28AD"/>
    <w:rsid w:val="00EE35C2"/>
    <w:rsid w:val="00EE4B2B"/>
    <w:rsid w:val="00EF3774"/>
    <w:rsid w:val="00EF47CA"/>
    <w:rsid w:val="00F0061D"/>
    <w:rsid w:val="00F02316"/>
    <w:rsid w:val="00F14844"/>
    <w:rsid w:val="00F151C5"/>
    <w:rsid w:val="00F20191"/>
    <w:rsid w:val="00F20BF0"/>
    <w:rsid w:val="00F27A4C"/>
    <w:rsid w:val="00F36900"/>
    <w:rsid w:val="00F37FD3"/>
    <w:rsid w:val="00F40D20"/>
    <w:rsid w:val="00F44539"/>
    <w:rsid w:val="00F45840"/>
    <w:rsid w:val="00F53781"/>
    <w:rsid w:val="00F54282"/>
    <w:rsid w:val="00F55516"/>
    <w:rsid w:val="00F55ACC"/>
    <w:rsid w:val="00F57880"/>
    <w:rsid w:val="00F60744"/>
    <w:rsid w:val="00F715D8"/>
    <w:rsid w:val="00F72528"/>
    <w:rsid w:val="00F7371F"/>
    <w:rsid w:val="00F773E5"/>
    <w:rsid w:val="00F91B9B"/>
    <w:rsid w:val="00FA1357"/>
    <w:rsid w:val="00FA7DA4"/>
    <w:rsid w:val="00FB3EF5"/>
    <w:rsid w:val="00FB5655"/>
    <w:rsid w:val="00FB6458"/>
    <w:rsid w:val="00FC2097"/>
    <w:rsid w:val="00FC23DA"/>
    <w:rsid w:val="00FC60C0"/>
    <w:rsid w:val="00FE4F72"/>
    <w:rsid w:val="00FE5437"/>
    <w:rsid w:val="00FF2B8C"/>
    <w:rsid w:val="00FF55A7"/>
    <w:rsid w:val="00FF5908"/>
    <w:rsid w:val="00FF6FFC"/>
    <w:rsid w:val="5894F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CDA1"/>
  <w15:docId w15:val="{840FAAD2-72CB-8B45-9DB3-C22CAADC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85"/>
    <w:pPr>
      <w:spacing w:line="360" w:lineRule="auto"/>
      <w:ind w:firstLine="576"/>
      <w:jc w:val="both"/>
    </w:pPr>
    <w:rPr>
      <w:rFonts w:ascii="GHEA Grapalat" w:hAnsi="GHEA Grapalat" w:cs="Arial"/>
      <w:sz w:val="24"/>
      <w:szCs w:val="24"/>
      <w:lang w:val="hy-AM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B90636"/>
    <w:pPr>
      <w:numPr>
        <w:numId w:val="40"/>
      </w:numPr>
      <w:spacing w:before="0" w:beforeAutospacing="0" w:after="200" w:afterAutospacing="0"/>
      <w:contextualSpacing/>
      <w:outlineLvl w:val="0"/>
    </w:pPr>
    <w:rPr>
      <w:rFonts w:ascii="GHEA Grapalat" w:eastAsiaTheme="minorEastAsia" w:hAnsi="GHEA Grapalat" w:cstheme="minorBidi"/>
      <w:b/>
      <w:bCs/>
      <w:color w:val="A64D79"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B341E"/>
    <w:pPr>
      <w:numPr>
        <w:ilvl w:val="1"/>
      </w:numPr>
      <w:spacing w:after="200"/>
      <w:outlineLvl w:val="1"/>
    </w:pPr>
    <w:rPr>
      <w:rFonts w:ascii="GHEA Grapalat" w:eastAsiaTheme="minorEastAsia" w:hAnsi="GHEA Grapalat" w:cstheme="minorBidi"/>
      <w:color w:val="A64D7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56B"/>
    <w:pPr>
      <w:keepNext/>
      <w:keepLines/>
      <w:numPr>
        <w:ilvl w:val="2"/>
        <w:numId w:val="4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5BD"/>
    <w:pPr>
      <w:keepNext/>
      <w:keepLines/>
      <w:numPr>
        <w:ilvl w:val="3"/>
        <w:numId w:val="40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color w:val="758085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5BD"/>
    <w:pPr>
      <w:keepNext/>
      <w:keepLines/>
      <w:numPr>
        <w:ilvl w:val="4"/>
        <w:numId w:val="40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i/>
      <w:iCs/>
      <w:color w:val="758085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BD"/>
    <w:pPr>
      <w:keepNext/>
      <w:keepLines/>
      <w:numPr>
        <w:ilvl w:val="5"/>
        <w:numId w:val="40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BD"/>
    <w:pPr>
      <w:keepNext/>
      <w:keepLines/>
      <w:numPr>
        <w:ilvl w:val="6"/>
        <w:numId w:val="40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BD"/>
    <w:pPr>
      <w:keepNext/>
      <w:keepLines/>
      <w:numPr>
        <w:ilvl w:val="7"/>
        <w:numId w:val="40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BD"/>
    <w:pPr>
      <w:keepNext/>
      <w:keepLines/>
      <w:numPr>
        <w:ilvl w:val="8"/>
        <w:numId w:val="40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3C1160"/>
    <w:pPr>
      <w:spacing w:after="0" w:line="240" w:lineRule="auto"/>
    </w:pPr>
    <w:rPr>
      <w:rFonts w:ascii="Calibri" w:eastAsia="Calibri" w:hAnsi="Calibri" w:cs="Calibri"/>
      <w:sz w:val="21"/>
      <w:szCs w:val="21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C1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16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16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0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3C1160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8" w:space="0" w:color="758085" w:themeColor="accent6"/>
        <w:left w:val="single" w:sz="8" w:space="0" w:color="758085" w:themeColor="accent6"/>
        <w:bottom w:val="single" w:sz="8" w:space="0" w:color="758085" w:themeColor="accent6"/>
        <w:right w:val="single" w:sz="8" w:space="0" w:color="758085" w:themeColor="accent6"/>
        <w:insideH w:val="single" w:sz="8" w:space="0" w:color="758085" w:themeColor="accent6"/>
        <w:insideV w:val="single" w:sz="8" w:space="0" w:color="75808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1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</w:tcPr>
    </w:tblStylePr>
    <w:tblStylePr w:type="band1Vert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  <w:shd w:val="clear" w:color="auto" w:fill="DCDFE1" w:themeFill="accent6" w:themeFillTint="3F"/>
      </w:tcPr>
    </w:tblStylePr>
    <w:tblStylePr w:type="band1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  <w:shd w:val="clear" w:color="auto" w:fill="DCDFE1" w:themeFill="accent6" w:themeFillTint="3F"/>
      </w:tcPr>
    </w:tblStylePr>
    <w:tblStylePr w:type="band2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</w:tcPr>
    </w:tblStyle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867E7D"/>
    <w:pPr>
      <w:spacing w:after="0" w:line="24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867E7D"/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59"/>
    <w:rsid w:val="002B798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0636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unhideWhenUsed/>
    <w:rsid w:val="006F52E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rsid w:val="006F52E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F52EE"/>
    <w:rPr>
      <w:vertAlign w:val="superscript"/>
    </w:rPr>
  </w:style>
  <w:style w:type="paragraph" w:customStyle="1" w:styleId="paragraph">
    <w:name w:val="paragraph"/>
    <w:basedOn w:val="Normal"/>
    <w:rsid w:val="0023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A17F0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7E2D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556B"/>
    <w:rPr>
      <w:rFonts w:asciiTheme="majorHAnsi" w:eastAsiaTheme="majorEastAsia" w:hAnsiTheme="majorHAnsi" w:cstheme="majorBidi"/>
      <w:b/>
      <w:bCs/>
      <w:color w:val="6076B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341E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6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5556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5556B"/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65556B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6555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56B"/>
    <w:rPr>
      <w:color w:val="B2B2B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568D"/>
    <w:pPr>
      <w:keepNext/>
      <w:spacing w:line="240" w:lineRule="auto"/>
    </w:pPr>
    <w:rPr>
      <w:rFonts w:eastAsiaTheme="minorEastAsia" w:cstheme="minorBidi"/>
      <w:i/>
      <w:iCs/>
      <w:sz w:val="20"/>
      <w:szCs w:val="18"/>
    </w:rPr>
  </w:style>
  <w:style w:type="table" w:styleId="MediumList2-Accent1">
    <w:name w:val="Medium List 2 Accent 1"/>
    <w:basedOn w:val="TableNormal"/>
    <w:uiPriority w:val="66"/>
    <w:rsid w:val="006E0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6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76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6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6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C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6E0FB4"/>
    <w:pPr>
      <w:spacing w:after="0" w:line="240" w:lineRule="auto"/>
    </w:pPr>
    <w:tblPr>
      <w:tblStyleRowBandSize w:val="1"/>
      <w:tblStyleColBandSize w:val="1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  <w:insideH w:val="single" w:sz="8" w:space="0" w:color="6076B4" w:themeColor="accent1"/>
        <w:insideV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1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  <w:shd w:val="clear" w:color="auto" w:fill="D7DCEC" w:themeFill="accent1" w:themeFillTint="3F"/>
      </w:tcPr>
    </w:tblStylePr>
    <w:tblStylePr w:type="band2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0A7E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6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342C8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Borders>
        <w:top w:val="single" w:sz="8" w:space="0" w:color="6076B4" w:themeColor="accent1"/>
        <w:bottom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05BD"/>
    <w:rPr>
      <w:rFonts w:asciiTheme="majorHAnsi" w:eastAsiaTheme="majorEastAsia" w:hAnsiTheme="majorHAnsi" w:cstheme="majorBidi"/>
      <w:color w:val="758085" w:themeColor="accent6"/>
    </w:rPr>
  </w:style>
  <w:style w:type="character" w:customStyle="1" w:styleId="Heading5Char">
    <w:name w:val="Heading 5 Char"/>
    <w:basedOn w:val="DefaultParagraphFont"/>
    <w:link w:val="Heading5"/>
    <w:uiPriority w:val="9"/>
    <w:rsid w:val="00E905BD"/>
    <w:rPr>
      <w:rFonts w:asciiTheme="majorHAnsi" w:eastAsiaTheme="majorEastAsia" w:hAnsiTheme="majorHAnsi" w:cstheme="majorBidi"/>
      <w:i/>
      <w:iCs/>
      <w:color w:val="758085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BD"/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BD"/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BD"/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BD"/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table" w:customStyle="1" w:styleId="PlainTable31">
    <w:name w:val="Plain Table 31"/>
    <w:basedOn w:val="TableNormal"/>
    <w:uiPriority w:val="43"/>
    <w:rsid w:val="00E905BD"/>
    <w:pPr>
      <w:spacing w:after="0" w:line="240" w:lineRule="auto"/>
      <w:jc w:val="both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E905BD"/>
    <w:rPr>
      <w:i/>
      <w:iCs/>
      <w:color w:val="758085" w:themeColor="accent6"/>
    </w:rPr>
  </w:style>
  <w:style w:type="character" w:styleId="Strong">
    <w:name w:val="Strong"/>
    <w:basedOn w:val="DefaultParagraphFont"/>
    <w:uiPriority w:val="22"/>
    <w:qFormat/>
    <w:rsid w:val="00E905BD"/>
    <w:rPr>
      <w:b/>
      <w:bCs/>
    </w:rPr>
  </w:style>
  <w:style w:type="table" w:styleId="LightShading-Accent2">
    <w:name w:val="Light Shading Accent 2"/>
    <w:basedOn w:val="TableNormal"/>
    <w:uiPriority w:val="60"/>
    <w:rsid w:val="00E905BD"/>
    <w:pPr>
      <w:spacing w:after="0" w:line="240" w:lineRule="auto"/>
    </w:pPr>
    <w:rPr>
      <w:rFonts w:eastAsiaTheme="minorEastAsia"/>
      <w:color w:val="743D3D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9C5252" w:themeColor="accent2"/>
        <w:bottom w:val="single" w:sz="8" w:space="0" w:color="9C525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E905B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8" w:space="0" w:color="9C5252" w:themeColor="accent2"/>
        <w:left w:val="single" w:sz="8" w:space="0" w:color="9C5252" w:themeColor="accent2"/>
        <w:bottom w:val="single" w:sz="8" w:space="0" w:color="9C5252" w:themeColor="accent2"/>
        <w:right w:val="single" w:sz="8" w:space="0" w:color="9C525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band1Horz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6076B4" w:themeColor="accent1"/>
        <w:bottom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E905BD"/>
    <w:pPr>
      <w:spacing w:after="0" w:line="240" w:lineRule="auto"/>
    </w:pPr>
    <w:rPr>
      <w:rFonts w:eastAsiaTheme="minorEastAsia"/>
      <w:sz w:val="21"/>
      <w:szCs w:val="21"/>
    </w:rPr>
  </w:style>
  <w:style w:type="table" w:customStyle="1" w:styleId="LightShading-Accent12">
    <w:name w:val="Light Shading - Accent 12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6076B4" w:themeColor="accent1"/>
        <w:bottom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905BD"/>
    <w:pPr>
      <w:keepNext/>
      <w:keepLines/>
      <w:spacing w:before="360" w:after="4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575F63" w:themeColor="accent6" w:themeShade="BF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4A17F0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C729D"/>
    <w:pPr>
      <w:tabs>
        <w:tab w:val="left" w:pos="1440"/>
        <w:tab w:val="right" w:leader="dot" w:pos="10457"/>
      </w:tabs>
      <w:spacing w:after="0"/>
      <w:ind w:left="240"/>
      <w:jc w:val="left"/>
    </w:pPr>
    <w:rPr>
      <w:rFonts w:cstheme="minorHAnsi"/>
      <w:smallCaps/>
      <w:noProof/>
      <w:spacing w:val="-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B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BD"/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E905BD"/>
    <w:pPr>
      <w:spacing w:after="0" w:line="240" w:lineRule="auto"/>
      <w:ind w:firstLine="567"/>
    </w:pPr>
    <w:rPr>
      <w:rFonts w:ascii="Sylfaen" w:eastAsiaTheme="minorEastAsia" w:hAnsi="Sylfaen" w:cs="Sylfaen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905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05B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BD"/>
    <w:pPr>
      <w:numPr>
        <w:ilvl w:val="1"/>
      </w:numPr>
      <w:spacing w:after="0" w:line="240" w:lineRule="auto"/>
      <w:ind w:firstLine="576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05BD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905BD"/>
    <w:pPr>
      <w:spacing w:before="160" w:after="0" w:line="240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E905BD"/>
    <w:rPr>
      <w:rFonts w:eastAsiaTheme="minorEastAsia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E905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05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05B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05BD"/>
    <w:rPr>
      <w:b/>
      <w:bCs/>
      <w:smallCaps/>
      <w:color w:val="758085" w:themeColor="accent6"/>
    </w:rPr>
  </w:style>
  <w:style w:type="character" w:styleId="BookTitle">
    <w:name w:val="Book Title"/>
    <w:basedOn w:val="DefaultParagraphFont"/>
    <w:uiPriority w:val="33"/>
    <w:qFormat/>
    <w:rsid w:val="00E905BD"/>
    <w:rPr>
      <w:b/>
      <w:bCs/>
      <w:caps w:val="0"/>
      <w:smallCaps/>
      <w:spacing w:val="7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4A17F0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A17F0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A17F0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A17F0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A17F0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A17F0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paragraph" w:customStyle="1" w:styleId="Text2">
    <w:name w:val="Text 2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E905BD"/>
  </w:style>
  <w:style w:type="character" w:customStyle="1" w:styleId="eop">
    <w:name w:val="eop"/>
    <w:basedOn w:val="DefaultParagraphFont"/>
    <w:rsid w:val="00E905BD"/>
  </w:style>
  <w:style w:type="numbering" w:customStyle="1" w:styleId="NoList1">
    <w:name w:val="No List1"/>
    <w:next w:val="NoList"/>
    <w:uiPriority w:val="99"/>
    <w:semiHidden/>
    <w:unhideWhenUsed/>
    <w:rsid w:val="00E905BD"/>
  </w:style>
  <w:style w:type="table" w:customStyle="1" w:styleId="PlainTable311">
    <w:name w:val="Plain Table 311"/>
    <w:basedOn w:val="TableNormal"/>
    <w:uiPriority w:val="43"/>
    <w:rsid w:val="00E905BD"/>
    <w:pPr>
      <w:spacing w:after="0" w:line="240" w:lineRule="auto"/>
      <w:jc w:val="both"/>
    </w:pPr>
    <w:rPr>
      <w:rFonts w:eastAsia="MS PMinch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905BD"/>
    <w:pPr>
      <w:spacing w:after="0" w:line="240" w:lineRule="auto"/>
    </w:pPr>
    <w:rPr>
      <w:rFonts w:eastAsia="MS P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E905BD"/>
    <w:pPr>
      <w:spacing w:after="0" w:line="240" w:lineRule="auto"/>
    </w:pPr>
    <w:rPr>
      <w:rFonts w:eastAsia="MS PMincho"/>
      <w:color w:val="743D3D"/>
      <w:sz w:val="21"/>
      <w:szCs w:val="21"/>
    </w:rPr>
    <w:tblPr>
      <w:tblStyleRowBandSize w:val="1"/>
      <w:tblStyleColBandSize w:val="1"/>
      <w:tblBorders>
        <w:top w:val="single" w:sz="8" w:space="0" w:color="9C5252"/>
        <w:bottom w:val="single" w:sz="8" w:space="0" w:color="9C525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Borders>
        <w:top w:val="single" w:sz="8" w:space="0" w:color="9C5252"/>
        <w:left w:val="single" w:sz="8" w:space="0" w:color="9C5252"/>
        <w:bottom w:val="single" w:sz="8" w:space="0" w:color="9C5252"/>
        <w:right w:val="single" w:sz="8" w:space="0" w:color="9C525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525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band1Horz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Borders>
        <w:top w:val="single" w:sz="8" w:space="0" w:color="6076B4"/>
        <w:bottom w:val="single" w:sz="8" w:space="0" w:color="6076B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Shading-Accent121">
    <w:name w:val="Light Shading - Accent 12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Borders>
        <w:top w:val="single" w:sz="8" w:space="0" w:color="6076B4"/>
        <w:bottom w:val="single" w:sz="8" w:space="0" w:color="6076B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Borders>
        <w:top w:val="single" w:sz="8" w:space="0" w:color="758085"/>
        <w:left w:val="single" w:sz="8" w:space="0" w:color="758085"/>
        <w:bottom w:val="single" w:sz="8" w:space="0" w:color="758085"/>
        <w:right w:val="single" w:sz="8" w:space="0" w:color="758085"/>
        <w:insideH w:val="single" w:sz="8" w:space="0" w:color="758085"/>
        <w:insideV w:val="single" w:sz="8" w:space="0" w:color="758085"/>
      </w:tblBorders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1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758085"/>
          <w:left w:val="single" w:sz="8" w:space="0" w:color="758085"/>
          <w:bottom w:val="single" w:sz="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band1Vert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  <w:shd w:val="clear" w:color="auto" w:fill="DCDFE1"/>
      </w:tcPr>
    </w:tblStylePr>
    <w:tblStylePr w:type="band1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  <w:shd w:val="clear" w:color="auto" w:fill="DCDFE1"/>
      </w:tcPr>
    </w:tblStylePr>
    <w:tblStylePr w:type="band2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Borders>
        <w:top w:val="single" w:sz="8" w:space="0" w:color="6076B4"/>
        <w:left w:val="single" w:sz="8" w:space="0" w:color="6076B4"/>
        <w:bottom w:val="single" w:sz="8" w:space="0" w:color="6076B4"/>
        <w:right w:val="single" w:sz="8" w:space="0" w:color="6076B4"/>
        <w:insideH w:val="single" w:sz="8" w:space="0" w:color="6076B4"/>
        <w:insideV w:val="single" w:sz="8" w:space="0" w:color="6076B4"/>
      </w:tblBorders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1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6076B4"/>
          <w:left w:val="single" w:sz="8" w:space="0" w:color="6076B4"/>
          <w:bottom w:val="single" w:sz="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</w:tcPr>
    </w:tblStylePr>
    <w:tblStylePr w:type="band1Vert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  <w:shd w:val="clear" w:color="auto" w:fill="D7DCEC"/>
      </w:tcPr>
    </w:tblStylePr>
    <w:tblStylePr w:type="band1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  <w:shd w:val="clear" w:color="auto" w:fill="D7DCEC"/>
      </w:tcPr>
    </w:tblStylePr>
    <w:tblStylePr w:type="band2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</w:tcPr>
    </w:tblStylePr>
  </w:style>
  <w:style w:type="table" w:styleId="ColorfulGrid-Accent1">
    <w:name w:val="Colorful Grid Accent 1"/>
    <w:basedOn w:val="TableNormal"/>
    <w:uiPriority w:val="73"/>
    <w:rsid w:val="003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</w:rPr>
      <w:tblPr/>
      <w:tcPr>
        <w:shd w:val="clear" w:color="auto" w:fill="BFC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band1Vert">
      <w:tblPr/>
      <w:tcPr>
        <w:shd w:val="clear" w:color="auto" w:fill="AFBAD9" w:themeFill="accent1" w:themeFillTint="7F"/>
      </w:tcPr>
    </w:tblStylePr>
    <w:tblStylePr w:type="band1Horz">
      <w:tblPr/>
      <w:tcPr>
        <w:shd w:val="clear" w:color="auto" w:fill="AFBAD9" w:themeFill="accent1" w:themeFillTint="7F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F715D8"/>
    <w:pPr>
      <w:spacing w:after="0" w:line="240" w:lineRule="auto"/>
    </w:pPr>
    <w:rPr>
      <w:color w:val="575F63" w:themeColor="accent6" w:themeShade="BF"/>
    </w:rPr>
    <w:tblPr>
      <w:tblStyleRowBandSize w:val="1"/>
      <w:tblStyleColBandSize w:val="1"/>
      <w:tblBorders>
        <w:top w:val="single" w:sz="4" w:space="0" w:color="ACB2B6" w:themeColor="accent6" w:themeTint="99"/>
        <w:left w:val="single" w:sz="4" w:space="0" w:color="ACB2B6" w:themeColor="accent6" w:themeTint="99"/>
        <w:bottom w:val="single" w:sz="4" w:space="0" w:color="ACB2B6" w:themeColor="accent6" w:themeTint="99"/>
        <w:right w:val="single" w:sz="4" w:space="0" w:color="ACB2B6" w:themeColor="accent6" w:themeTint="99"/>
        <w:insideH w:val="single" w:sz="4" w:space="0" w:color="ACB2B6" w:themeColor="accent6" w:themeTint="99"/>
        <w:insideV w:val="single" w:sz="4" w:space="0" w:color="ACB2B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CB2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2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F715D8"/>
    <w:pPr>
      <w:spacing w:after="0" w:line="240" w:lineRule="auto"/>
    </w:pPr>
    <w:tblPr>
      <w:tblStyleRowBandSize w:val="1"/>
      <w:tblStyleColBandSize w:val="1"/>
      <w:tblBorders>
        <w:top w:val="single" w:sz="4" w:space="0" w:color="758085" w:themeColor="accent6"/>
        <w:left w:val="single" w:sz="4" w:space="0" w:color="758085" w:themeColor="accent6"/>
        <w:bottom w:val="single" w:sz="4" w:space="0" w:color="758085" w:themeColor="accent6"/>
        <w:right w:val="single" w:sz="4" w:space="0" w:color="75808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8085" w:themeFill="accent6"/>
      </w:tcPr>
    </w:tblStylePr>
    <w:tblStylePr w:type="lastRow">
      <w:rPr>
        <w:b/>
        <w:bCs/>
      </w:rPr>
      <w:tblPr/>
      <w:tcPr>
        <w:tcBorders>
          <w:top w:val="double" w:sz="4" w:space="0" w:color="75808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085" w:themeColor="accent6"/>
          <w:right w:val="single" w:sz="4" w:space="0" w:color="758085" w:themeColor="accent6"/>
        </w:tcBorders>
      </w:tcPr>
    </w:tblStylePr>
    <w:tblStylePr w:type="band1Horz">
      <w:tblPr/>
      <w:tcPr>
        <w:tcBorders>
          <w:top w:val="single" w:sz="4" w:space="0" w:color="758085" w:themeColor="accent6"/>
          <w:bottom w:val="single" w:sz="4" w:space="0" w:color="75808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085" w:themeColor="accent6"/>
          <w:left w:val="nil"/>
        </w:tcBorders>
      </w:tcPr>
    </w:tblStylePr>
    <w:tblStylePr w:type="swCell">
      <w:tblPr/>
      <w:tcPr>
        <w:tcBorders>
          <w:top w:val="double" w:sz="4" w:space="0" w:color="758085" w:themeColor="accent6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D72F4"/>
    <w:rPr>
      <w:rFonts w:eastAsiaTheme="minorEastAsia"/>
      <w:sz w:val="21"/>
      <w:szCs w:val="21"/>
    </w:rPr>
  </w:style>
  <w:style w:type="table" w:styleId="MediumShading1-Accent2">
    <w:name w:val="Medium Shading 1 Accent 2"/>
    <w:basedOn w:val="TableNormal"/>
    <w:uiPriority w:val="63"/>
    <w:rsid w:val="008C2C81"/>
    <w:pPr>
      <w:spacing w:after="0" w:line="240" w:lineRule="auto"/>
    </w:pPr>
    <w:tblPr>
      <w:tblStyleRowBandSize w:val="1"/>
      <w:tblStyleColBandSize w:val="1"/>
      <w:tblBorders>
        <w:top w:val="single" w:sz="8" w:space="0" w:color="B87979" w:themeColor="accent2" w:themeTint="BF"/>
        <w:left w:val="single" w:sz="8" w:space="0" w:color="B87979" w:themeColor="accent2" w:themeTint="BF"/>
        <w:bottom w:val="single" w:sz="8" w:space="0" w:color="B87979" w:themeColor="accent2" w:themeTint="BF"/>
        <w:right w:val="single" w:sz="8" w:space="0" w:color="B87979" w:themeColor="accent2" w:themeTint="BF"/>
        <w:insideH w:val="single" w:sz="8" w:space="0" w:color="B879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chtexChar">
    <w:name w:val="mechtex Char"/>
    <w:link w:val="mechtex"/>
    <w:rsid w:val="000B3E9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3E97"/>
    <w:pPr>
      <w:spacing w:after="0" w:line="240" w:lineRule="auto"/>
      <w:ind w:firstLine="0"/>
      <w:jc w:val="center"/>
    </w:pPr>
    <w:rPr>
      <w:rFonts w:ascii="Arial Armenian" w:hAnsi="Arial Armenian" w:cstheme="minorBidi"/>
      <w:sz w:val="22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Relationship Id="rId22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8_2019publication\ForSME_2018_calculati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8_2019publication\ForSME_2018_calculati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8_2019publication\ForSME_2018_calcul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62435446514897"/>
          <c:y val="6.1972516797737132E-2"/>
          <c:w val="0.50817727121600853"/>
          <c:h val="0.808466646765487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Armenian!$F$78</c:f>
              <c:strCache>
                <c:ptCount val="1"/>
                <c:pt idx="0">
                  <c:v>Գերփոքր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Armenian!$D$80:$D$92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Armenian!$F$80:$F$92</c:f>
              <c:numCache>
                <c:formatCode>_(* #\ ##0_);_(* \(#\ ##0\);_(* "-"??_);_(@_)</c:formatCode>
                <c:ptCount val="13"/>
                <c:pt idx="0">
                  <c:v>726.1</c:v>
                </c:pt>
                <c:pt idx="1">
                  <c:v>13356.130000000001</c:v>
                </c:pt>
                <c:pt idx="2">
                  <c:v>617.70000000000005</c:v>
                </c:pt>
                <c:pt idx="3">
                  <c:v>147</c:v>
                </c:pt>
                <c:pt idx="4">
                  <c:v>3710.7399999999993</c:v>
                </c:pt>
                <c:pt idx="5">
                  <c:v>36336.882999999994</c:v>
                </c:pt>
                <c:pt idx="6">
                  <c:v>2699.83</c:v>
                </c:pt>
                <c:pt idx="7">
                  <c:v>8181.416666666667</c:v>
                </c:pt>
                <c:pt idx="8">
                  <c:v>3974.0670000000005</c:v>
                </c:pt>
                <c:pt idx="9">
                  <c:v>2962.835</c:v>
                </c:pt>
                <c:pt idx="10">
                  <c:v>5962.9440000000004</c:v>
                </c:pt>
                <c:pt idx="11">
                  <c:v>3342.9332999999997</c:v>
                </c:pt>
                <c:pt idx="12">
                  <c:v>566.5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45-B840-B569-4F3483A3576E}"/>
            </c:ext>
          </c:extLst>
        </c:ser>
        <c:ser>
          <c:idx val="1"/>
          <c:order val="1"/>
          <c:tx>
            <c:strRef>
              <c:f>Armenian!$G$78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Armenian!$D$80:$D$92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Armenian!$G$80:$G$92</c:f>
              <c:numCache>
                <c:formatCode>_(* #\ ##0_);_(* \(#\ ##0\);_(* "-"??_);_(@_)</c:formatCode>
                <c:ptCount val="13"/>
                <c:pt idx="0">
                  <c:v>725</c:v>
                </c:pt>
                <c:pt idx="1">
                  <c:v>13885.419999999998</c:v>
                </c:pt>
                <c:pt idx="2">
                  <c:v>1722.2</c:v>
                </c:pt>
                <c:pt idx="3">
                  <c:v>356.4</c:v>
                </c:pt>
                <c:pt idx="4">
                  <c:v>6303.6</c:v>
                </c:pt>
                <c:pt idx="5">
                  <c:v>17757.660000000003</c:v>
                </c:pt>
                <c:pt idx="6">
                  <c:v>3930.6</c:v>
                </c:pt>
                <c:pt idx="7">
                  <c:v>9986.52</c:v>
                </c:pt>
                <c:pt idx="8">
                  <c:v>5329.0700000000006</c:v>
                </c:pt>
                <c:pt idx="9">
                  <c:v>2000.8600000000001</c:v>
                </c:pt>
                <c:pt idx="10">
                  <c:v>3692.1266666666661</c:v>
                </c:pt>
                <c:pt idx="11">
                  <c:v>3380</c:v>
                </c:pt>
                <c:pt idx="12">
                  <c:v>258.2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45-B840-B569-4F3483A3576E}"/>
            </c:ext>
          </c:extLst>
        </c:ser>
        <c:ser>
          <c:idx val="2"/>
          <c:order val="2"/>
          <c:tx>
            <c:strRef>
              <c:f>Armenian!$H$78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Armenian!$D$80:$D$92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Armenian!$H$80:$H$92</c:f>
              <c:numCache>
                <c:formatCode>_(* #\ ##0_);_(* \(#\ ##0\);_(* "-"??_);_(@_)</c:formatCode>
                <c:ptCount val="13"/>
                <c:pt idx="0">
                  <c:v>673</c:v>
                </c:pt>
                <c:pt idx="1">
                  <c:v>16768.45</c:v>
                </c:pt>
                <c:pt idx="2">
                  <c:v>655.29999999999995</c:v>
                </c:pt>
                <c:pt idx="4">
                  <c:v>7204.4</c:v>
                </c:pt>
                <c:pt idx="5">
                  <c:v>13284.199999999999</c:v>
                </c:pt>
                <c:pt idx="6">
                  <c:v>2668.7000000000003</c:v>
                </c:pt>
                <c:pt idx="7">
                  <c:v>6857.37</c:v>
                </c:pt>
                <c:pt idx="8">
                  <c:v>4481.8700000000008</c:v>
                </c:pt>
                <c:pt idx="9">
                  <c:v>1043</c:v>
                </c:pt>
                <c:pt idx="10">
                  <c:v>2448.6</c:v>
                </c:pt>
                <c:pt idx="11">
                  <c:v>4771.1000000000004</c:v>
                </c:pt>
                <c:pt idx="12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45-B840-B569-4F3483A3576E}"/>
            </c:ext>
          </c:extLst>
        </c:ser>
        <c:ser>
          <c:idx val="3"/>
          <c:order val="3"/>
          <c:tx>
            <c:strRef>
              <c:f>Armenian!$I$78</c:f>
              <c:strCache>
                <c:ptCount val="1"/>
                <c:pt idx="0">
                  <c:v>Խոշոր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Armenian!$D$80:$D$92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Armenian!$I$80:$I$92</c:f>
              <c:numCache>
                <c:formatCode>_(* #\ ##0_);_(* \(#\ ##0\);_(* "-"??_);_(@_)</c:formatCode>
                <c:ptCount val="13"/>
                <c:pt idx="0">
                  <c:v>8680</c:v>
                </c:pt>
                <c:pt idx="1">
                  <c:v>26359</c:v>
                </c:pt>
                <c:pt idx="2">
                  <c:v>17195</c:v>
                </c:pt>
                <c:pt idx="3">
                  <c:v>3403</c:v>
                </c:pt>
                <c:pt idx="4">
                  <c:v>2911</c:v>
                </c:pt>
                <c:pt idx="5">
                  <c:v>14466.9</c:v>
                </c:pt>
                <c:pt idx="6">
                  <c:v>12434.6</c:v>
                </c:pt>
                <c:pt idx="7">
                  <c:v>1824.7</c:v>
                </c:pt>
                <c:pt idx="8">
                  <c:v>8623</c:v>
                </c:pt>
                <c:pt idx="10">
                  <c:v>359</c:v>
                </c:pt>
                <c:pt idx="11">
                  <c:v>2785.8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45-B840-B569-4F3483A357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8454400"/>
        <c:axId val="493772800"/>
      </c:barChart>
      <c:catAx>
        <c:axId val="488454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493772800"/>
        <c:crosses val="autoZero"/>
        <c:auto val="1"/>
        <c:lblAlgn val="l"/>
        <c:lblOffset val="100"/>
        <c:noMultiLvlLbl val="0"/>
      </c:catAx>
      <c:valAx>
        <c:axId val="493772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845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81720294753421"/>
          <c:y val="0.16788876064321581"/>
          <c:w val="0.87043290969855192"/>
          <c:h val="0.4999123766474701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'Գրաֆիկ 3'!$M$8</c:f>
              <c:strCache>
                <c:ptCount val="1"/>
                <c:pt idx="0">
                  <c:v>Գերփոքր
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3'!$M$9:$M$20</c:f>
              <c:numCache>
                <c:formatCode>#\ ##0</c:formatCode>
                <c:ptCount val="12"/>
                <c:pt idx="0">
                  <c:v>96057</c:v>
                </c:pt>
                <c:pt idx="1">
                  <c:v>105150</c:v>
                </c:pt>
                <c:pt idx="2">
                  <c:v>83825</c:v>
                </c:pt>
                <c:pt idx="3">
                  <c:v>83837</c:v>
                </c:pt>
                <c:pt idx="4">
                  <c:v>83270</c:v>
                </c:pt>
                <c:pt idx="5">
                  <c:v>78970</c:v>
                </c:pt>
                <c:pt idx="6">
                  <c:v>74507</c:v>
                </c:pt>
                <c:pt idx="7">
                  <c:v>83429</c:v>
                </c:pt>
                <c:pt idx="8">
                  <c:v>70526</c:v>
                </c:pt>
                <c:pt idx="9">
                  <c:v>83553</c:v>
                </c:pt>
                <c:pt idx="10">
                  <c:v>81214</c:v>
                </c:pt>
                <c:pt idx="11">
                  <c:v>82274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2D-4681-AE2B-FFC176B73600}"/>
            </c:ext>
          </c:extLst>
        </c:ser>
        <c:ser>
          <c:idx val="2"/>
          <c:order val="2"/>
          <c:tx>
            <c:strRef>
              <c:f>'Գրաֆիկ 3'!$N$8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3'!$N$9:$N$20</c:f>
              <c:numCache>
                <c:formatCode>#\ ##0</c:formatCode>
                <c:ptCount val="12"/>
                <c:pt idx="0">
                  <c:v>152147</c:v>
                </c:pt>
                <c:pt idx="1">
                  <c:v>172168</c:v>
                </c:pt>
                <c:pt idx="2">
                  <c:v>120887</c:v>
                </c:pt>
                <c:pt idx="3">
                  <c:v>106930</c:v>
                </c:pt>
                <c:pt idx="4">
                  <c:v>104028</c:v>
                </c:pt>
                <c:pt idx="5">
                  <c:v>104816</c:v>
                </c:pt>
                <c:pt idx="6">
                  <c:v>98833</c:v>
                </c:pt>
                <c:pt idx="7">
                  <c:v>115900</c:v>
                </c:pt>
                <c:pt idx="8">
                  <c:v>101185</c:v>
                </c:pt>
                <c:pt idx="9">
                  <c:v>126842</c:v>
                </c:pt>
                <c:pt idx="10">
                  <c:v>108481</c:v>
                </c:pt>
                <c:pt idx="11">
                  <c:v>97815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2D-4681-AE2B-FFC176B73600}"/>
            </c:ext>
          </c:extLst>
        </c:ser>
        <c:ser>
          <c:idx val="3"/>
          <c:order val="3"/>
          <c:tx>
            <c:strRef>
              <c:f>'Գրաֆիկ 3'!$O$8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3'!$O$9:$O$20</c:f>
              <c:numCache>
                <c:formatCode>#\ ##0</c:formatCode>
                <c:ptCount val="12"/>
                <c:pt idx="0">
                  <c:v>196007</c:v>
                </c:pt>
                <c:pt idx="1">
                  <c:v>208749</c:v>
                </c:pt>
                <c:pt idx="2">
                  <c:v>132490</c:v>
                </c:pt>
                <c:pt idx="3">
                  <c:v>145601</c:v>
                </c:pt>
                <c:pt idx="4">
                  <c:v>135011</c:v>
                </c:pt>
                <c:pt idx="5">
                  <c:v>143334</c:v>
                </c:pt>
                <c:pt idx="6">
                  <c:v>127881</c:v>
                </c:pt>
                <c:pt idx="7">
                  <c:v>159182</c:v>
                </c:pt>
                <c:pt idx="8">
                  <c:v>118938</c:v>
                </c:pt>
                <c:pt idx="9">
                  <c:v>267789</c:v>
                </c:pt>
                <c:pt idx="10">
                  <c:v>130350</c:v>
                </c:pt>
                <c:pt idx="11">
                  <c:v>139907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2D-4681-AE2B-FFC176B73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overlap val="-24"/>
        <c:axId val="176981504"/>
        <c:axId val="176983424"/>
      </c:barChart>
      <c:lineChart>
        <c:grouping val="stacked"/>
        <c:varyColors val="0"/>
        <c:ser>
          <c:idx val="0"/>
          <c:order val="0"/>
          <c:tx>
            <c:strRef>
              <c:f>'Գրաֆիկ 3'!$L$8</c:f>
              <c:strCache>
                <c:ptCount val="1"/>
                <c:pt idx="0">
                  <c:v>ՓՄՁ
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bg1"/>
              </a:solidFill>
              <a:ln w="15875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marker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3'!$L$9:$L$20</c:f>
              <c:numCache>
                <c:formatCode>#\ ##0</c:formatCode>
                <c:ptCount val="12"/>
                <c:pt idx="0">
                  <c:v>147911</c:v>
                </c:pt>
                <c:pt idx="1">
                  <c:v>164676</c:v>
                </c:pt>
                <c:pt idx="2">
                  <c:v>110146</c:v>
                </c:pt>
                <c:pt idx="3">
                  <c:v>105908</c:v>
                </c:pt>
                <c:pt idx="4">
                  <c:v>103445</c:v>
                </c:pt>
                <c:pt idx="5">
                  <c:v>95707</c:v>
                </c:pt>
                <c:pt idx="6">
                  <c:v>92441</c:v>
                </c:pt>
                <c:pt idx="7">
                  <c:v>122818</c:v>
                </c:pt>
                <c:pt idx="8">
                  <c:v>91085</c:v>
                </c:pt>
                <c:pt idx="9">
                  <c:v>153587</c:v>
                </c:pt>
                <c:pt idx="10">
                  <c:v>102947</c:v>
                </c:pt>
                <c:pt idx="11">
                  <c:v>104557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2D-4681-AE2B-FFC176B73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981504"/>
        <c:axId val="176983424"/>
      </c:lineChart>
      <c:catAx>
        <c:axId val="176981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176983424"/>
        <c:crosses val="autoZero"/>
        <c:auto val="1"/>
        <c:lblAlgn val="ctr"/>
        <c:lblOffset val="100"/>
        <c:noMultiLvlLbl val="0"/>
      </c:catAx>
      <c:valAx>
        <c:axId val="176983424"/>
        <c:scaling>
          <c:orientation val="minMax"/>
          <c:max val="270000"/>
          <c:min val="500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r>
                  <a:rPr lang="en-US">
                    <a:latin typeface="GHEA Grapalat" panose="02000506050000020003" pitchFamily="50" charset="0"/>
                  </a:rPr>
                  <a:t>դրամ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9815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641269571001691"/>
          <c:y val="7.9128025663458681E-2"/>
          <c:w val="0.56125217753739487"/>
          <c:h val="0.13846456692913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61921966736702"/>
          <c:y val="7.2214315986705621E-2"/>
          <c:w val="0.83649954939843041"/>
          <c:h val="0.7316817975656725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Armenian!$G$140</c:f>
              <c:strCache>
                <c:ptCount val="1"/>
                <c:pt idx="0">
                  <c:v>Վարձու աշխատող չունեցող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Armenian!$D$141:$D$151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Armenian!$G$141:$G$151</c:f>
              <c:numCache>
                <c:formatCode>_(* #\ ##0_);_(* \(#\ ##0\);_(* "-"??_);_(@_)</c:formatCode>
                <c:ptCount val="11"/>
                <c:pt idx="0">
                  <c:v>2472</c:v>
                </c:pt>
                <c:pt idx="1">
                  <c:v>167</c:v>
                </c:pt>
                <c:pt idx="2">
                  <c:v>479</c:v>
                </c:pt>
                <c:pt idx="3">
                  <c:v>380</c:v>
                </c:pt>
                <c:pt idx="4">
                  <c:v>305</c:v>
                </c:pt>
                <c:pt idx="5">
                  <c:v>366</c:v>
                </c:pt>
                <c:pt idx="6">
                  <c:v>611</c:v>
                </c:pt>
                <c:pt idx="7">
                  <c:v>271</c:v>
                </c:pt>
                <c:pt idx="8">
                  <c:v>285</c:v>
                </c:pt>
                <c:pt idx="9">
                  <c:v>131</c:v>
                </c:pt>
                <c:pt idx="10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A-E14D-A87C-79D51CAD7BA7}"/>
            </c:ext>
          </c:extLst>
        </c:ser>
        <c:ser>
          <c:idx val="1"/>
          <c:order val="1"/>
          <c:tx>
            <c:strRef>
              <c:f>Armenian!$H$140</c:f>
              <c:strCache>
                <c:ptCount val="1"/>
                <c:pt idx="0">
                  <c:v>1-4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Armenian!$D$141:$D$151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Armenian!$H$141:$H$151</c:f>
              <c:numCache>
                <c:formatCode>_(* #\ ##0_);_(* \(#\ ##0\);_(* "-"??_);_(@_)</c:formatCode>
                <c:ptCount val="11"/>
                <c:pt idx="0">
                  <c:v>2899</c:v>
                </c:pt>
                <c:pt idx="1">
                  <c:v>93</c:v>
                </c:pt>
                <c:pt idx="2">
                  <c:v>254</c:v>
                </c:pt>
                <c:pt idx="3">
                  <c:v>196</c:v>
                </c:pt>
                <c:pt idx="4">
                  <c:v>119</c:v>
                </c:pt>
                <c:pt idx="5">
                  <c:v>178</c:v>
                </c:pt>
                <c:pt idx="6">
                  <c:v>293</c:v>
                </c:pt>
                <c:pt idx="7">
                  <c:v>139</c:v>
                </c:pt>
                <c:pt idx="8">
                  <c:v>116</c:v>
                </c:pt>
                <c:pt idx="9">
                  <c:v>38</c:v>
                </c:pt>
                <c:pt idx="10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0A-E14D-A87C-79D51CAD7BA7}"/>
            </c:ext>
          </c:extLst>
        </c:ser>
        <c:ser>
          <c:idx val="2"/>
          <c:order val="2"/>
          <c:tx>
            <c:strRef>
              <c:f>Armenian!$I$140</c:f>
              <c:strCache>
                <c:ptCount val="1"/>
                <c:pt idx="0">
                  <c:v>5-9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Armenian!$D$141:$D$151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Armenian!$I$141:$I$151</c:f>
              <c:numCache>
                <c:formatCode>_(* #\ ##0_);_(* \(#\ ##0\);_(* "-"??_);_(@_)</c:formatCode>
                <c:ptCount val="11"/>
                <c:pt idx="0">
                  <c:v>303</c:v>
                </c:pt>
                <c:pt idx="1">
                  <c:v>4</c:v>
                </c:pt>
                <c:pt idx="2">
                  <c:v>21</c:v>
                </c:pt>
                <c:pt idx="3">
                  <c:v>29</c:v>
                </c:pt>
                <c:pt idx="4">
                  <c:v>13</c:v>
                </c:pt>
                <c:pt idx="5">
                  <c:v>19</c:v>
                </c:pt>
                <c:pt idx="6">
                  <c:v>22</c:v>
                </c:pt>
                <c:pt idx="7">
                  <c:v>10</c:v>
                </c:pt>
                <c:pt idx="8">
                  <c:v>5</c:v>
                </c:pt>
                <c:pt idx="9">
                  <c:v>4</c:v>
                </c:pt>
                <c:pt idx="1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0A-E14D-A87C-79D51CAD7BA7}"/>
            </c:ext>
          </c:extLst>
        </c:ser>
        <c:ser>
          <c:idx val="3"/>
          <c:order val="3"/>
          <c:tx>
            <c:strRef>
              <c:f>Armenian!$J$140</c:f>
              <c:strCache>
                <c:ptCount val="1"/>
                <c:pt idx="0">
                  <c:v>10-19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Armenian!$D$141:$D$151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Armenian!$J$141:$J$151</c:f>
              <c:numCache>
                <c:formatCode>_(* #\ ##0_);_(* \(#\ ##0\);_(* "-"??_);_(@_)</c:formatCode>
                <c:ptCount val="11"/>
                <c:pt idx="0">
                  <c:v>103</c:v>
                </c:pt>
                <c:pt idx="1">
                  <c:v>3</c:v>
                </c:pt>
                <c:pt idx="2">
                  <c:v>9</c:v>
                </c:pt>
                <c:pt idx="3">
                  <c:v>9</c:v>
                </c:pt>
                <c:pt idx="4">
                  <c:v>3</c:v>
                </c:pt>
                <c:pt idx="5">
                  <c:v>2</c:v>
                </c:pt>
                <c:pt idx="6">
                  <c:v>11</c:v>
                </c:pt>
                <c:pt idx="7">
                  <c:v>5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0A-E14D-A87C-79D51CAD7BA7}"/>
            </c:ext>
          </c:extLst>
        </c:ser>
        <c:ser>
          <c:idx val="4"/>
          <c:order val="4"/>
          <c:tx>
            <c:strRef>
              <c:f>Armenian!$K$140</c:f>
              <c:strCache>
                <c:ptCount val="1"/>
                <c:pt idx="0">
                  <c:v>20 և ավելի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Armenian!$D$141:$D$151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Armenian!$K$141:$K$151</c:f>
              <c:numCache>
                <c:formatCode>_(* #\ ##0_);_(* \(#\ ##0\);_(* "-"??_);_(@_)</c:formatCode>
                <c:ptCount val="11"/>
                <c:pt idx="0">
                  <c:v>56</c:v>
                </c:pt>
                <c:pt idx="1">
                  <c:v>1</c:v>
                </c:pt>
                <c:pt idx="2">
                  <c:v>3</c:v>
                </c:pt>
                <c:pt idx="3">
                  <c:v>8</c:v>
                </c:pt>
                <c:pt idx="5">
                  <c:v>3</c:v>
                </c:pt>
                <c:pt idx="6">
                  <c:v>11</c:v>
                </c:pt>
                <c:pt idx="7">
                  <c:v>2</c:v>
                </c:pt>
                <c:pt idx="8">
                  <c:v>1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0A-E14D-A87C-79D51CAD7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030400"/>
        <c:axId val="191031936"/>
        <c:axId val="0"/>
      </c:bar3DChart>
      <c:catAx>
        <c:axId val="19103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191031936"/>
        <c:crosses val="autoZero"/>
        <c:auto val="1"/>
        <c:lblAlgn val="ctr"/>
        <c:lblOffset val="100"/>
        <c:noMultiLvlLbl val="0"/>
      </c:catAx>
      <c:valAx>
        <c:axId val="191031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03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44210340291004"/>
          <c:y val="0.88783139426743973"/>
          <c:w val="0.56111563610658388"/>
          <c:h val="9.0194608296193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baseline="0">
                <a:effectLst/>
                <a:latin typeface="GHEA Grapalat" panose="02000506050000020003" pitchFamily="50" charset="0"/>
              </a:rPr>
              <a:t>.</a:t>
            </a:r>
            <a:endParaRPr lang="en-US" sz="1100">
              <a:effectLst/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103333333333333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0906861140430863E-2"/>
          <c:y val="4.7298931383577054E-2"/>
          <c:w val="0.90678529055293766"/>
          <c:h val="0.6017402512185976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Armenian!$F$100</c:f>
              <c:strCache>
                <c:ptCount val="1"/>
                <c:pt idx="0">
                  <c:v>Գերփոքր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Armenian!$D$102:$D$112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Armenian!$F$102:$F$112</c:f>
              <c:numCache>
                <c:formatCode>_(* #\ ##0_);_(* \(#\ ##0\);_(* "-"??_);_(@_)</c:formatCode>
                <c:ptCount val="11"/>
                <c:pt idx="0">
                  <c:v>49848.86296666666</c:v>
                </c:pt>
                <c:pt idx="1">
                  <c:v>1811.9499999999998</c:v>
                </c:pt>
                <c:pt idx="2">
                  <c:v>4003.2960000000003</c:v>
                </c:pt>
                <c:pt idx="3">
                  <c:v>4080.04</c:v>
                </c:pt>
                <c:pt idx="4">
                  <c:v>2501.75</c:v>
                </c:pt>
                <c:pt idx="5">
                  <c:v>4489.7000000000007</c:v>
                </c:pt>
                <c:pt idx="6">
                  <c:v>5942.7499999999991</c:v>
                </c:pt>
                <c:pt idx="7">
                  <c:v>3561.93</c:v>
                </c:pt>
                <c:pt idx="8">
                  <c:v>3075.3</c:v>
                </c:pt>
                <c:pt idx="9">
                  <c:v>1127.0999999999999</c:v>
                </c:pt>
                <c:pt idx="10">
                  <c:v>2142.4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5-2148-9B7E-EC9D06CC016E}"/>
            </c:ext>
          </c:extLst>
        </c:ser>
        <c:ser>
          <c:idx val="1"/>
          <c:order val="1"/>
          <c:tx>
            <c:strRef>
              <c:f>Armenian!$G$100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Armenian!$D$102:$D$112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Armenian!$G$102:$G$112</c:f>
              <c:numCache>
                <c:formatCode>_(* #\ ##0_);_(* \(#\ ##0\);_(* "-"??_);_(@_)</c:formatCode>
                <c:ptCount val="11"/>
                <c:pt idx="0">
                  <c:v>46211.236666666642</c:v>
                </c:pt>
                <c:pt idx="1">
                  <c:v>1131.2</c:v>
                </c:pt>
                <c:pt idx="2">
                  <c:v>3055.4</c:v>
                </c:pt>
                <c:pt idx="3">
                  <c:v>2580.12</c:v>
                </c:pt>
                <c:pt idx="4">
                  <c:v>1554.3</c:v>
                </c:pt>
                <c:pt idx="5">
                  <c:v>2640.2000000000003</c:v>
                </c:pt>
                <c:pt idx="6">
                  <c:v>5788.0999999999995</c:v>
                </c:pt>
                <c:pt idx="7">
                  <c:v>1985</c:v>
                </c:pt>
                <c:pt idx="8">
                  <c:v>2414</c:v>
                </c:pt>
                <c:pt idx="9">
                  <c:v>717.2</c:v>
                </c:pt>
                <c:pt idx="10">
                  <c:v>1250.9000000000001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5-2148-9B7E-EC9D06CC016E}"/>
            </c:ext>
          </c:extLst>
        </c:ser>
        <c:ser>
          <c:idx val="2"/>
          <c:order val="2"/>
          <c:tx>
            <c:strRef>
              <c:f>Armenian!$H$100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Armenian!$D$102:$D$112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Armenian!$H$102:$H$112</c:f>
              <c:numCache>
                <c:formatCode>_(* #\ ##0_);_(* \(#\ ##0\);_(* "-"??_);_(@_)</c:formatCode>
                <c:ptCount val="11"/>
                <c:pt idx="0">
                  <c:v>45091.069999999992</c:v>
                </c:pt>
                <c:pt idx="1">
                  <c:v>667.8</c:v>
                </c:pt>
                <c:pt idx="2">
                  <c:v>1387</c:v>
                </c:pt>
                <c:pt idx="3">
                  <c:v>1534</c:v>
                </c:pt>
                <c:pt idx="4">
                  <c:v>252</c:v>
                </c:pt>
                <c:pt idx="5">
                  <c:v>1717.8</c:v>
                </c:pt>
                <c:pt idx="6">
                  <c:v>6263.8</c:v>
                </c:pt>
                <c:pt idx="7">
                  <c:v>1348.67</c:v>
                </c:pt>
                <c:pt idx="8">
                  <c:v>1512.1</c:v>
                </c:pt>
                <c:pt idx="9">
                  <c:v>447.75</c:v>
                </c:pt>
                <c:pt idx="10">
                  <c:v>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75-2148-9B7E-EC9D06CC016E}"/>
            </c:ext>
          </c:extLst>
        </c:ser>
        <c:ser>
          <c:idx val="3"/>
          <c:order val="3"/>
          <c:tx>
            <c:strRef>
              <c:f>Armenian!$I$100</c:f>
              <c:strCache>
                <c:ptCount val="1"/>
                <c:pt idx="0">
                  <c:v>Խոշոր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Armenian!$D$102:$D$112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Armenian!$I$102:$I$112</c:f>
              <c:numCache>
                <c:formatCode>General</c:formatCode>
                <c:ptCount val="11"/>
                <c:pt idx="0" formatCode="_(* #\ ##0_);_(* \(#\ ##0\);_(* &quot;-&quot;??_);_(@_)">
                  <c:v>73585</c:v>
                </c:pt>
                <c:pt idx="2" formatCode="_(* #\ ##0_);_(* \(#\ ##0\);_(* &quot;-&quot;??_);_(@_)">
                  <c:v>5139</c:v>
                </c:pt>
                <c:pt idx="3" formatCode="_(* #\ ##0_);_(* \(#\ ##0\);_(* &quot;-&quot;??_);_(@_)">
                  <c:v>2402</c:v>
                </c:pt>
                <c:pt idx="4" formatCode="_(* #\ ##0_);_(* \(#\ ##0\);_(* &quot;-&quot;??_);_(@_)">
                  <c:v>651</c:v>
                </c:pt>
                <c:pt idx="5" formatCode="_(* #\ ##0_);_(* \(#\ ##0\);_(* &quot;-&quot;??_);_(@_)">
                  <c:v>4371</c:v>
                </c:pt>
                <c:pt idx="6" formatCode="_(* #\ ##0_);_(* \(#\ ##0\);_(* &quot;-&quot;??_);_(@_)">
                  <c:v>5200</c:v>
                </c:pt>
                <c:pt idx="7" formatCode="_(* #\ ##0_);_(* \(#\ ##0\);_(* &quot;-&quot;??_);_(@_)">
                  <c:v>644</c:v>
                </c:pt>
                <c:pt idx="8" formatCode="_(* #\ ##0_);_(* \(#\ ##0\);_(* &quot;-&quot;??_);_(@_)">
                  <c:v>6110</c:v>
                </c:pt>
                <c:pt idx="9" formatCode="_(* #\ ##0_);_(* \(#\ ##0\);_(* &quot;-&quot;??_);_(@_)">
                  <c:v>385.00000000000006</c:v>
                </c:pt>
                <c:pt idx="10" formatCode="_(* #\ ##0_);_(* \(#\ ##0\);_(* &quot;-&quot;??_);_(@_)">
                  <c:v>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75-2148-9B7E-EC9D06CC0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  <c:axId val="191134336"/>
        <c:axId val="191136128"/>
      </c:barChart>
      <c:catAx>
        <c:axId val="19113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191136128"/>
        <c:crosses val="autoZero"/>
        <c:auto val="1"/>
        <c:lblAlgn val="ctr"/>
        <c:lblOffset val="100"/>
        <c:noMultiLvlLbl val="0"/>
      </c:catAx>
      <c:valAx>
        <c:axId val="19113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13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3C0C-02E9-43BA-96FE-225CA24B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10016</Words>
  <Characters>57096</Characters>
  <Application>Microsoft Office Word</Application>
  <DocSecurity>0</DocSecurity>
  <Lines>475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ՌԱԶՄԱՎԱՐՈՒԹՅՈՒՆ</vt:lpstr>
      <vt:lpstr>ՌԱԶՄԱՎԱՐՈՒԹՅՈՒՆ</vt:lpstr>
    </vt:vector>
  </TitlesOfParts>
  <Company/>
  <LinksUpToDate>false</LinksUpToDate>
  <CharactersWithSpaces>66979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ՌԱԶՄԱՎԱՐՈՒԹՅՈՒՆ</dc:title>
  <dc:subject>ՓՈՔՐ ԵՎ ՄԻՋԻՆ ՁԵՌՆԱՐԿԱՏԻՐՈՒԹՅԱՆ ԶԱՐԳԱՑՄԱՆ 2020-2024 ԹՎԱԿԱՆՆԵՐԻ</dc:subject>
  <dc:creator>հհ Էկոնոմիկայի Նախարարություն</dc:creator>
  <cp:keywords>https:/mul2.gov.am/tasks/313184/oneclick/voroshumKK287.1.docx?token=3c47758eaa6bf492de9b6e1b6b1715ac</cp:keywords>
  <cp:lastModifiedBy>Tigran Ghandiljyan</cp:lastModifiedBy>
  <cp:revision>5</cp:revision>
  <cp:lastPrinted>2020-09-02T08:07:00Z</cp:lastPrinted>
  <dcterms:created xsi:type="dcterms:W3CDTF">2020-09-03T08:13:00Z</dcterms:created>
  <dcterms:modified xsi:type="dcterms:W3CDTF">2020-09-03T11:25:00Z</dcterms:modified>
</cp:coreProperties>
</file>