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99" w:rsidRPr="00FF3DDF" w:rsidRDefault="002368AB" w:rsidP="00214A16">
      <w:pPr>
        <w:pStyle w:val="Bodytext100"/>
        <w:shd w:val="clear" w:color="auto" w:fill="auto"/>
        <w:tabs>
          <w:tab w:val="left" w:pos="11057"/>
          <w:tab w:val="left" w:pos="12191"/>
        </w:tabs>
        <w:spacing w:before="0" w:after="160" w:line="360" w:lineRule="auto"/>
        <w:ind w:left="8505"/>
        <w:jc w:val="center"/>
        <w:rPr>
          <w:sz w:val="24"/>
          <w:szCs w:val="24"/>
        </w:rPr>
      </w:pPr>
      <w:r w:rsidRPr="00FF3DDF">
        <w:rPr>
          <w:sz w:val="24"/>
        </w:rPr>
        <w:t>ՀԱՍՏԱՏՎԱԾ Է</w:t>
      </w:r>
    </w:p>
    <w:p w:rsidR="002368AB" w:rsidRPr="00FF3DDF" w:rsidRDefault="002368AB" w:rsidP="00214A16">
      <w:pPr>
        <w:pStyle w:val="Bodytext100"/>
        <w:shd w:val="clear" w:color="auto" w:fill="auto"/>
        <w:tabs>
          <w:tab w:val="left" w:pos="11057"/>
          <w:tab w:val="left" w:pos="12191"/>
        </w:tabs>
        <w:spacing w:before="0" w:after="160" w:line="360" w:lineRule="auto"/>
        <w:ind w:left="8505"/>
        <w:jc w:val="center"/>
        <w:rPr>
          <w:sz w:val="24"/>
          <w:szCs w:val="24"/>
        </w:rPr>
      </w:pPr>
      <w:r w:rsidRPr="00FF3DDF">
        <w:rPr>
          <w:sz w:val="24"/>
        </w:rPr>
        <w:t>Եվրասիական միջկառավարական խորհրդի</w:t>
      </w:r>
    </w:p>
    <w:p w:rsidR="002368AB" w:rsidRPr="00FF3DDF" w:rsidRDefault="002368AB" w:rsidP="00214A16">
      <w:pPr>
        <w:pStyle w:val="Bodytext100"/>
        <w:shd w:val="clear" w:color="auto" w:fill="auto"/>
        <w:tabs>
          <w:tab w:val="left" w:pos="11057"/>
          <w:tab w:val="left" w:pos="12191"/>
        </w:tabs>
        <w:spacing w:before="0" w:after="160" w:line="360" w:lineRule="auto"/>
        <w:ind w:left="8505"/>
        <w:jc w:val="center"/>
        <w:rPr>
          <w:sz w:val="24"/>
          <w:szCs w:val="24"/>
        </w:rPr>
      </w:pPr>
      <w:r w:rsidRPr="00FF3DDF">
        <w:rPr>
          <w:sz w:val="24"/>
        </w:rPr>
        <w:t>2017 թվականի</w:t>
      </w:r>
      <w:r w:rsidR="00214A16">
        <w:rPr>
          <w:sz w:val="24"/>
        </w:rPr>
        <w:tab/>
      </w:r>
      <w:r w:rsidRPr="00FF3DDF">
        <w:rPr>
          <w:sz w:val="24"/>
        </w:rPr>
        <w:t>ի թիվ</w:t>
      </w:r>
      <w:r w:rsidR="00214A16">
        <w:rPr>
          <w:sz w:val="24"/>
        </w:rPr>
        <w:tab/>
      </w:r>
      <w:r w:rsidRPr="00FF3DDF">
        <w:rPr>
          <w:sz w:val="24"/>
        </w:rPr>
        <w:t>որոշմամբ</w:t>
      </w:r>
      <w:bookmarkStart w:id="0" w:name="bookmark8"/>
    </w:p>
    <w:p w:rsidR="00FA6AA6" w:rsidRDefault="00FA6AA6" w:rsidP="00FF3DDF">
      <w:pPr>
        <w:pStyle w:val="Bodytext100"/>
        <w:shd w:val="clear" w:color="auto" w:fill="auto"/>
        <w:spacing w:before="0" w:after="160" w:line="360" w:lineRule="auto"/>
        <w:jc w:val="center"/>
        <w:rPr>
          <w:rStyle w:val="Heading3Spacing2pt"/>
          <w:spacing w:val="0"/>
          <w:sz w:val="24"/>
        </w:rPr>
      </w:pPr>
    </w:p>
    <w:p w:rsidR="002368AB" w:rsidRPr="00FF3DDF" w:rsidRDefault="002368AB" w:rsidP="00FF3DDF">
      <w:pPr>
        <w:pStyle w:val="Bodytext100"/>
        <w:shd w:val="clear" w:color="auto" w:fill="auto"/>
        <w:spacing w:before="0" w:after="160" w:line="360" w:lineRule="auto"/>
        <w:jc w:val="center"/>
        <w:rPr>
          <w:rStyle w:val="Heading3Spacing2pt"/>
          <w:spacing w:val="0"/>
          <w:sz w:val="24"/>
          <w:szCs w:val="24"/>
        </w:rPr>
      </w:pPr>
      <w:r w:rsidRPr="00FF3DDF">
        <w:rPr>
          <w:rStyle w:val="Heading3Spacing2pt"/>
          <w:spacing w:val="0"/>
          <w:sz w:val="24"/>
        </w:rPr>
        <w:t>ՊԼԱՆ</w:t>
      </w:r>
      <w:bookmarkStart w:id="1" w:name="bookmark9"/>
      <w:bookmarkEnd w:id="0"/>
    </w:p>
    <w:p w:rsidR="00A36A99" w:rsidRPr="00FF3DDF" w:rsidRDefault="002368AB" w:rsidP="00FF3DDF">
      <w:pPr>
        <w:pStyle w:val="Bodytext100"/>
        <w:shd w:val="clear" w:color="auto" w:fill="auto"/>
        <w:spacing w:before="0" w:after="160" w:line="360" w:lineRule="auto"/>
        <w:jc w:val="center"/>
        <w:rPr>
          <w:b/>
          <w:sz w:val="24"/>
          <w:szCs w:val="24"/>
        </w:rPr>
      </w:pPr>
      <w:r w:rsidRPr="00FF3DDF">
        <w:rPr>
          <w:b/>
          <w:sz w:val="24"/>
        </w:rPr>
        <w:t xml:space="preserve">Օդային տրանսպորտի մասով համակարգված (համաձայնեցված) </w:t>
      </w:r>
      <w:r w:rsidR="00214A16">
        <w:rPr>
          <w:b/>
          <w:sz w:val="24"/>
        </w:rPr>
        <w:br/>
      </w:r>
      <w:r w:rsidRPr="00FF3DDF">
        <w:rPr>
          <w:b/>
          <w:sz w:val="24"/>
        </w:rPr>
        <w:t xml:space="preserve">տրանսպորտային քաղաքականության իրականացման հիմնական ուղղությունների </w:t>
      </w:r>
      <w:r w:rsidR="00214A16">
        <w:rPr>
          <w:b/>
          <w:sz w:val="24"/>
        </w:rPr>
        <w:br/>
      </w:r>
      <w:r w:rsidR="000F1A5D">
        <w:rPr>
          <w:b/>
          <w:sz w:val="24"/>
        </w:rPr>
        <w:t>և</w:t>
      </w:r>
      <w:r w:rsidRPr="00FF3DDF">
        <w:rPr>
          <w:b/>
          <w:sz w:val="24"/>
        </w:rPr>
        <w:t xml:space="preserve"> փուլերի իրագործմանն ուղղված՝ 2018-2020 թվականների միջոցառումների</w:t>
      </w:r>
      <w:bookmarkStart w:id="2" w:name="bookmark10"/>
      <w:bookmarkEnd w:id="1"/>
      <w:r w:rsidRPr="00FF3DDF">
        <w:rPr>
          <w:b/>
          <w:sz w:val="24"/>
        </w:rPr>
        <w:t xml:space="preserve"> («ճանապարհային քարտեզ»)</w:t>
      </w:r>
      <w:bookmarkEnd w:id="2"/>
    </w:p>
    <w:tbl>
      <w:tblPr>
        <w:tblOverlap w:val="never"/>
        <w:tblW w:w="158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51"/>
        <w:gridCol w:w="15"/>
        <w:gridCol w:w="2099"/>
        <w:gridCol w:w="2101"/>
        <w:gridCol w:w="2552"/>
      </w:tblGrid>
      <w:tr w:rsidR="00A96E9A" w:rsidRPr="00FA6AA6" w:rsidTr="00CE578F">
        <w:trPr>
          <w:tblHeader/>
          <w:jc w:val="center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Միջոցառման անվանումը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282" w:right="300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Իրագործման ժամկետը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Պատասխանատու կատարողը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Պլանավորվող արդյունքը</w:t>
            </w: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Ուղղություն I. Եվրասիական տնտեսական միության անդամ պետությունների (այսուհետ՝ անդամ պետություններ) օրենսդրության ներդաշնակեցումը՝ քաղաքացիական ավիացիայի բնագավառում միջազգային իրավունքի նորմերին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սկզբունքներին համապատասխան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20"/>
              <w:shd w:val="clear" w:color="auto" w:fill="auto"/>
              <w:tabs>
                <w:tab w:val="left" w:pos="539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1.</w:t>
            </w:r>
            <w:r w:rsidR="00214A1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 xml:space="preserve">Քաղաքացիական ավիացիայի միջազգային կազմակերպության (ԻԿԱՕ) ստանդարտներին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առաջարկվող գործելակերպին համապատասխանության մասով՝ քաղաքացիական ավիացիայի բնագավառում անդամ պետությունների օրենսդրության համեմատական վերլուծության անցկացում: ԻԿԱՕ-ի ստանդարտներին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առաջարկվող գործելակերպին անդամ պետությունների օրենսդրության համապատասխանության ապահովմանն ուղղված առաջարկների ու առաջարկությունների մշակում՝ գիտական հետազոտություններ անցկացնելու շրջանակներում*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2018-2019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Եվրասիական տնտեսական հանձնաժողով (այսուհետ՝ Հանձնաժողով)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զեկույց՝ գիտահետազոտական աշխատանքի արդյունքներով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20"/>
              <w:shd w:val="clear" w:color="auto" w:fill="auto"/>
              <w:tabs>
                <w:tab w:val="left" w:pos="539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lastRenderedPageBreak/>
              <w:t>2.</w:t>
            </w:r>
            <w:r w:rsidR="00214A1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>Քաղաքացիական ավիացիայի բնագավառում անդամ պետությունների օրենսդրության մեջ փոփոխություններ կատարելու համաձայնեցված մոտեցման մշակում.</w:t>
            </w:r>
          </w:p>
          <w:p w:rsidR="00A36A99" w:rsidRPr="00FA6AA6" w:rsidRDefault="00997DB8" w:rsidP="00FA6AA6">
            <w:pPr>
              <w:pStyle w:val="Bodytext20"/>
              <w:shd w:val="clear" w:color="auto" w:fill="auto"/>
              <w:tabs>
                <w:tab w:val="left" w:pos="1066"/>
              </w:tabs>
              <w:spacing w:after="120" w:line="240" w:lineRule="auto"/>
              <w:ind w:left="572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1</w:t>
            </w:r>
            <w:r w:rsidR="00FA6AA6" w:rsidRPr="00FA6AA6">
              <w:rPr>
                <w:rStyle w:val="Bodytext1012pt"/>
                <w:szCs w:val="22"/>
              </w:rPr>
              <w:t>)</w:t>
            </w:r>
            <w:r w:rsidR="00214A16" w:rsidRPr="00FA6AA6">
              <w:rPr>
                <w:rStyle w:val="Bodytext2Sylfaen1"/>
                <w:szCs w:val="22"/>
              </w:rPr>
              <w:tab/>
            </w:r>
            <w:r w:rsidR="002368AB" w:rsidRPr="00FA6AA6">
              <w:rPr>
                <w:rStyle w:val="Bodytext2Sylfaen1"/>
                <w:szCs w:val="22"/>
              </w:rPr>
              <w:t xml:space="preserve">այն ոլորտների սահմանումը </w:t>
            </w:r>
            <w:r w:rsidR="000F1A5D">
              <w:rPr>
                <w:rStyle w:val="Bodytext2Sylfaen1"/>
                <w:szCs w:val="22"/>
              </w:rPr>
              <w:t>և</w:t>
            </w:r>
            <w:r w:rsidR="002368AB" w:rsidRPr="00FA6AA6">
              <w:rPr>
                <w:rStyle w:val="Bodytext2Sylfaen1"/>
                <w:szCs w:val="22"/>
              </w:rPr>
              <w:t xml:space="preserve"> համաձայնեցումը, որոնք կարգավորվում են ներդաշնակեցման ենթակա՝ անդամ պետությունների օրենսդրությամբ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թվականի III եռամսյակ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կարգավորման ոլորտների ցանկ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066"/>
              </w:tabs>
              <w:spacing w:before="0" w:after="120" w:line="240" w:lineRule="auto"/>
              <w:ind w:left="572"/>
              <w:jc w:val="left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2)</w:t>
            </w:r>
            <w:r w:rsidRPr="00FA6AA6">
              <w:rPr>
                <w:sz w:val="24"/>
                <w:szCs w:val="22"/>
              </w:rPr>
              <w:tab/>
            </w:r>
            <w:r w:rsidRPr="00FA6AA6">
              <w:rPr>
                <w:rStyle w:val="Bodytext1012pt"/>
                <w:szCs w:val="22"/>
              </w:rPr>
              <w:t>անդամ պետությունների օրենսդրության ներդաշնակեցման վերաբերյալ առաջարկությունների նախապատրաստում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2019 թվականի I եռամսյակ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Հանձնաժողովի ակտ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3.</w:t>
            </w:r>
            <w:r w:rsidR="00FA6AA6">
              <w:rPr>
                <w:rStyle w:val="Bodytext1012pt"/>
                <w:szCs w:val="22"/>
              </w:rPr>
              <w:tab/>
            </w:r>
            <w:r w:rsidRPr="00FA6AA6">
              <w:rPr>
                <w:rStyle w:val="Bodytext1012pt"/>
                <w:szCs w:val="22"/>
              </w:rPr>
              <w:t>Անդամ պետությունների նորմատիվ իրավական ակտերում փոփոխությունների կատարում.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066"/>
              </w:tabs>
              <w:spacing w:before="0" w:after="120" w:line="240" w:lineRule="auto"/>
              <w:ind w:left="572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1)</w:t>
            </w:r>
            <w:r w:rsidRPr="00FA6AA6">
              <w:rPr>
                <w:rStyle w:val="Bodytext1012pt0"/>
                <w:spacing w:val="0"/>
                <w:szCs w:val="22"/>
              </w:rPr>
              <w:tab/>
              <w:t>նորմատիվ իրավական ակտերում սահմանված կարգով փոփոխություններ կատարելը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2019-2020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նորմատիվ իրավական ակտեր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066"/>
              </w:tabs>
              <w:spacing w:before="0" w:after="120" w:line="240" w:lineRule="auto"/>
              <w:ind w:left="572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2)</w:t>
            </w:r>
            <w:r w:rsidRPr="00FA6AA6">
              <w:rPr>
                <w:rStyle w:val="Bodytext1012pt0"/>
                <w:spacing w:val="0"/>
                <w:szCs w:val="22"/>
              </w:rPr>
              <w:tab/>
              <w:t>նորմատիվ իրավական ակտերում կատարված փոփոխությունների մասին տեղեկատվությունը անդամ պետությունների կողմից Հանձնաժողով ներկայացնելը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2020 թվական</w:t>
            </w:r>
          </w:p>
        </w:tc>
        <w:tc>
          <w:tcPr>
            <w:tcW w:w="2101" w:type="dxa"/>
            <w:shd w:val="clear" w:color="auto" w:fill="FFFFFF"/>
            <w:vAlign w:val="bottom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տեղեկատվություն</w:t>
            </w: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ind w:left="-104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Ուղղություն II. Շրջակա միջավայրի վրա քաղաքացիական ավիացիայի բացասական ազդեցության նվազեցում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4.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Կանոնավոր միջազգային օդային հաղորդակցություններ իրականացնելիս ավիափոխադրողների կողմից շահագործվող օդանավերի մասին տեղեկատվությունը (ավիացիոն աղմուկի մասով ԻԿԱՕ պահանջներին համապատասխանության գնահատականով) անդամ պետությունների կողմից Հանձնաժողով ներկայացնելը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տեղեկատվություն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lastRenderedPageBreak/>
              <w:t>5.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պետությունների կողմից ներկայացված տեղեկատվության վերլուծության անցկացում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անդամ պետությունների ավիացիոն ընկերությունների այն օդանավերի ցանկի կազմում, որոնք չեն համապատասխանում ավիացիոն աղմուկի մասով ԻԿԱՕ պահանջներին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օդանավերի ցանկ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6.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կանոնավոր միջազգային օդային հաղորդակցությունների ընթացքում օդանավերի շահագործման համաձայնեցված մոտեցումների մշակում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ընդունում՝ հաշվի առնելով ավիացիոն աղմուկի մասով ԻԿԱՕ պահանջները: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2019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լիազորված մարմինների որոշումներ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Ավիացիոն աղմուկի մասով ԻԿԱՕ-ի պահանջներին չհամապատասխանող օդանավերով անդամ պետությունների միջ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միջազգային թռիչքների սահմանափակման մասին համաձայնեցված որոշումների ընդունում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rPr>
                <w:rFonts w:ascii="Sylfaen" w:hAnsi="Sylfaen"/>
                <w:szCs w:val="22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rPr>
                <w:rFonts w:ascii="Sylfaen" w:hAnsi="Sylfaen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rPr>
                <w:rFonts w:ascii="Sylfaen" w:hAnsi="Sylfaen"/>
                <w:szCs w:val="22"/>
              </w:rPr>
            </w:pP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Ուղղություն III. Արդար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բարեխիղճ մրցակցության ապահովում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sz w:val="24"/>
                <w:szCs w:val="22"/>
              </w:rPr>
            </w:pPr>
            <w:r w:rsidRPr="00FA6AA6">
              <w:rPr>
                <w:rStyle w:val="Bodytext2Sylfaen1"/>
                <w:szCs w:val="22"/>
              </w:rPr>
              <w:t>7.</w:t>
            </w:r>
            <w:r w:rsidR="00214A1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>Քաղաքացիական ավիացիայի բնագավառում այնպիսի խոչընդոտների (արգելքների, բացառումների, սահմանափակումների) հայտնաբերում, որոնք ազդում են անդամ պետությունների միջ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օդային տրանսպորտով փոխադրումների շուկայում մրցակցության զարգացման վրա, այդ թվում՝ գիտական </w:t>
            </w:r>
            <w:r w:rsidRPr="00FA6AA6">
              <w:rPr>
                <w:rStyle w:val="Bodytext1012pt0"/>
                <w:spacing w:val="0"/>
                <w:szCs w:val="22"/>
              </w:rPr>
              <w:t>հետազոտություններ</w:t>
            </w:r>
            <w:r w:rsidRPr="00FA6AA6">
              <w:rPr>
                <w:rStyle w:val="Bodytext2Sylfaen1"/>
                <w:szCs w:val="22"/>
              </w:rPr>
              <w:t xml:space="preserve"> անցկացնելու շրջանակներում*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մշտական հիմունքներով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տեղեկատվություն՝ Եվրասիական տնտեսական բարձրագույն խորհրդի կողմից քննարկման նպատակով ամենամյա զեկույցում ներառելու </w:t>
            </w:r>
            <w:r w:rsidR="00646E73" w:rsidRPr="00FA6AA6">
              <w:rPr>
                <w:rStyle w:val="Bodytext2Sylfaen1"/>
                <w:szCs w:val="22"/>
              </w:rPr>
              <w:t>համար</w:t>
            </w:r>
          </w:p>
        </w:tc>
      </w:tr>
      <w:tr w:rsidR="00A96E9A" w:rsidRPr="00FA6AA6" w:rsidTr="00CE578F">
        <w:trPr>
          <w:trHeight w:val="926"/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8.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Խոչընդոտների (արգելքների, բացառումների, սահմանափակումների) վերլուծություն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դասակարգում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թվականի III եռամսյակ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ամփոփիչ հաշվետվություն</w:t>
            </w:r>
          </w:p>
        </w:tc>
      </w:tr>
      <w:tr w:rsidR="00A96E9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lastRenderedPageBreak/>
              <w:t>9.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Խոչընդոտների (արգելքների, բացառումների, սահմանափակումների) վերացմանն ուղղված առաջարկությունների մշակում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թվականի IV եռամսյակ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</w:t>
            </w:r>
          </w:p>
        </w:tc>
      </w:tr>
      <w:tr w:rsidR="00A96E9A" w:rsidRPr="00FA6AA6" w:rsidTr="00CE578F">
        <w:trPr>
          <w:trHeight w:val="1790"/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10.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օդային տարածք մուտքի/ելքի այլընտրանքային կետերի տրամադրում, որոնք թույլ են տալիս անդամ պետությունների ավիաընկերություններին ընտրել օպտիմալ երթուղիներ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թվականից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A96E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պետությունների լիազորված մարմինների որոշումներ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11.</w:t>
            </w:r>
            <w:r w:rsidR="00214A1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պետությունների օրենսդրության համեմատական վերլուծության անցկացում՝ իրագործվող սակագնային քաղաքականության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աերոնավիգացիոն ու օդանավակայանային սպասարկման համար կիրառվող սակագների, ինչպես նա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անդամ պետությունների օդանավակայանների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աերոնավիգացիայի ծառայությունների հասանելիության պայմանների մասով:*</w:t>
            </w:r>
          </w:p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 xml:space="preserve">Սակագնային քաղաքականության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աերոնավիգացիոն ու օդանավակայանային սպասարկման համար կիրառվող սակագների, անդամ պետություններում օդանավակայանների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աերոնավիգացիայի ծառայությունների հասանելիության պայմանների կատարելագործման վերաբերյալ վերլուծական զեկույցի նախապատրաստում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2018-2019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զեկույց՝ գիտահետազոտական աշխատանքի արդյունքներով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CE578F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4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12.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Բոլոր անդամ պետությունների շահագործողների նկատմամբ անդամ պետություններում օդանավակայանների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աերոնավիգացիայի ծառայություններ մատուցելիս հավասար (ոչ խտրական) սակագնային պայմանների ապահովման համաձայնեցված մոտեցումների վերաբերյալ առաջարկությունների մշակում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2018-2019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lastRenderedPageBreak/>
              <w:t>13.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կանոնավոր օդային փոխադրումներ կատարելիս անդամ պետությունների ավիաընկերությունների համար ոչ հավասար (խտրական) պայմանների ստեղծումը, ինչպես նա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այլ անդամ պետության օդային տարածքի օգտագործման դիմաց անդամ պետությունների ավիաընկերություններից լրացուցիչ վճարների գանձումը թույլ չտալու համաձայնեցված մոտեցումների վերաբերյալ առաջարկությունների մշակում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2018-2019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14.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միջազգային օդանավակայաններում ոչ առ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>տրային նպատակներով՝ այլ անդամ պետության ավիաընկերություններին տեխնիկական վայրէջքի իրավունք տրամադրելու մասով օդային հաղորդակցության մասին երկկողմ համաձայնագրերի կատարման մոնիթորինգ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մշտական հիմունքներով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CE578F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pacing w:val="-6"/>
                <w:szCs w:val="22"/>
              </w:rPr>
            </w:pPr>
            <w:r w:rsidRPr="00CE578F">
              <w:rPr>
                <w:rStyle w:val="Bodytext2Sylfaen1"/>
                <w:spacing w:val="-6"/>
                <w:szCs w:val="22"/>
              </w:rPr>
              <w:t>վերլուծական զեկույց, անդամ պետությունների լիազորված մարմինների խորհրդակցությունների արձանագրություններ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15.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Оդանավակայանների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աերոնավիգացիայի ծառայությունների հասանելիության հավասար (ոչ խտրական) պայմանների ապահովման համաձայնեցված մոտեցումների վերաբերյալ առաջարկությունների մշակում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2019-2020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</w:t>
            </w: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Ուղղություն IV. Օդանավերի համակազմի նորացման, օդանավակայանների վերգետնյա ենթակառուցվածքի օբյեկտների արդիականացման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զարգացման համար պայմանների ստեղծում՝ ԻԿԱՕ ստանդարտներին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առաջարկվող գործելակերպին համապատասխան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16.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Օդանավերի նորացման, համալրման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արդիականացման հետ կապված խնդիրները որոշելու նպատակով օդանավերի համակազմի վիճակի, դրա նորացման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համալրման պլանների մասին տեղեկատվությունը անդամ պետությունների կողմից</w:t>
            </w:r>
            <w:r w:rsidR="00FF3DDF" w:rsidRPr="00FA6AA6">
              <w:rPr>
                <w:rStyle w:val="Bodytext1012pt0"/>
                <w:spacing w:val="0"/>
                <w:szCs w:val="22"/>
              </w:rPr>
              <w:t xml:space="preserve"> </w:t>
            </w:r>
            <w:r w:rsidRPr="00FA6AA6">
              <w:rPr>
                <w:rStyle w:val="Bodytext1012pt0"/>
                <w:spacing w:val="0"/>
                <w:szCs w:val="22"/>
              </w:rPr>
              <w:t>Հանձնաժողով ներկայացնելը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յուրաքանչյուր տարի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պետությունների տեղեկատվություն</w:t>
            </w:r>
          </w:p>
        </w:tc>
      </w:tr>
      <w:tr w:rsidR="0039554A" w:rsidRPr="00FA6AA6" w:rsidTr="00CE578F">
        <w:trPr>
          <w:trHeight w:val="2202"/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FA6AA6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lastRenderedPageBreak/>
              <w:t>17.</w:t>
            </w:r>
            <w:r w:rsidRPr="00FA6AA6">
              <w:rPr>
                <w:rStyle w:val="Bodytext1012pt0"/>
                <w:spacing w:val="0"/>
                <w:szCs w:val="22"/>
              </w:rPr>
              <w:tab/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Այնպիսի բարենպաստ պայմանների ստեղծում (այդ թվում՝ մաքսասակագնային կարգավորման, մաքսային վարչարարության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 այլ ոլորտներում), որոնք նպաստում են օդանավերի համակազմի նորացմանը, ինչպես նա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 օդանավերի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 (կամ) դրանց ավիացիոն շարժիչների վերանորոգման, արդիականացման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 (կամ) տեխնիկական սպասարկման համար անհրաժեշտ ավիացիոն շարժիչների, պահեստամասերի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="002368AB" w:rsidRPr="00FA6AA6">
              <w:rPr>
                <w:rStyle w:val="Bodytext1012pt0"/>
                <w:spacing w:val="0"/>
                <w:szCs w:val="22"/>
              </w:rPr>
              <w:t xml:space="preserve"> սարքավորումների ներմուծմանը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ակտեր</w:t>
            </w:r>
          </w:p>
        </w:tc>
      </w:tr>
      <w:tr w:rsidR="0039554A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18.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պետություններում ավիաընկերությունների, օդանավակայանների ենթակառուցվածքի, աերոդրոմային սարքավորումների, օդանավերի թռիչքների աերոնավիգացիոն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ռադիոտեխնիկական ապահովման զարգացմանն ու արդիականացմանն ուղղված ներդրումների ներգրավման մեխանիզմների կատարելագործում, այդ թվում՝ Եվրասիական զարգացման բանկի մասնակցությամբ</w:t>
            </w:r>
            <w:r w:rsidR="00843C82" w:rsidRPr="00FA6AA6">
              <w:rPr>
                <w:rStyle w:val="Bodytext1012pt0"/>
                <w:spacing w:val="0"/>
                <w:szCs w:val="22"/>
              </w:rPr>
              <w:t xml:space="preserve"> 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AC419A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պետությունների նորմատիվ իրավական ակտեր, ներդրումային ծրագրեր</w:t>
            </w: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19.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պետություններում օդանավակայանների ենթակառուցվածքի, աերոդրոմային սարքավորումների, օդանավերի թռիչքների աերոնավիգացիոն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ռադիոտեխնիկական ապահովման զարգացմանն ու արդիականացմանն ուղղված առաջարկների ու առաջարկությունների մշակում.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2101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A36A99" w:rsidRPr="00FA6AA6" w:rsidRDefault="00A36A99" w:rsidP="00214A16">
            <w:pPr>
              <w:spacing w:after="120"/>
              <w:jc w:val="center"/>
              <w:rPr>
                <w:rFonts w:ascii="Sylfaen" w:hAnsi="Sylfaen"/>
                <w:szCs w:val="22"/>
              </w:rPr>
            </w:pP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156"/>
              </w:tabs>
              <w:spacing w:before="0" w:after="120" w:line="240" w:lineRule="auto"/>
              <w:ind w:left="544"/>
              <w:jc w:val="left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1)</w:t>
            </w:r>
            <w:r w:rsidR="00FA6AA6" w:rsidRPr="00FA6AA6">
              <w:rPr>
                <w:rStyle w:val="Bodytext1012pt"/>
                <w:szCs w:val="22"/>
              </w:rPr>
              <w:tab/>
            </w:r>
            <w:r w:rsidRPr="00FA6AA6">
              <w:rPr>
                <w:rStyle w:val="Bodytext1012pt"/>
                <w:szCs w:val="22"/>
              </w:rPr>
              <w:t xml:space="preserve">oդանավակայանների ենթակառուցվածքի, աերոդրոմային սարքավորումների, օդանավերի թռիչքների աերոնավիգացիոն </w:t>
            </w:r>
            <w:r w:rsidR="000F1A5D">
              <w:rPr>
                <w:rStyle w:val="Bodytext1012pt"/>
                <w:szCs w:val="22"/>
              </w:rPr>
              <w:t>և</w:t>
            </w:r>
            <w:r w:rsidRPr="00FA6AA6">
              <w:rPr>
                <w:rStyle w:val="Bodytext1012pt"/>
                <w:szCs w:val="22"/>
              </w:rPr>
              <w:t xml:space="preserve"> ռադիոտեխնիկական ապահովման վիճակի մասին տեղեկատվությունը անդամ պետությունների կողմից Հանձնաժողով ներկայացնելը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տեղեկատվություն</w:t>
            </w: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156"/>
              </w:tabs>
              <w:spacing w:before="0" w:after="120" w:line="240" w:lineRule="auto"/>
              <w:ind w:left="544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2)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ներկայացված տեղեկատվության վերլուծություն անցկացնելը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2019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վերլուծական զեկույց</w:t>
            </w: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bottom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1156"/>
              </w:tabs>
              <w:spacing w:before="0" w:after="120" w:line="240" w:lineRule="auto"/>
              <w:ind w:left="544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3)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oդանավակայանների ենթակառուցվածքի օբյեկտների, աերոդրոմային սարքավորումների, օդանավերի թռիչքների աերոնավիգացիոն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</w:t>
            </w:r>
            <w:r w:rsidRPr="00FA6AA6">
              <w:rPr>
                <w:rStyle w:val="Bodytext1012pt0"/>
                <w:spacing w:val="0"/>
                <w:szCs w:val="22"/>
              </w:rPr>
              <w:lastRenderedPageBreak/>
              <w:t>ռադիոտեխնիկական ապահովման արդիականացման գերակա ուղղությունները սահմանելը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lastRenderedPageBreak/>
              <w:t>2020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 xml:space="preserve">անդամ պետությունների </w:t>
            </w:r>
            <w:r w:rsidRPr="00FA6AA6">
              <w:rPr>
                <w:rStyle w:val="Bodytext1012pt"/>
                <w:szCs w:val="22"/>
              </w:rPr>
              <w:lastRenderedPageBreak/>
              <w:t>նորմատիվ իրավական ակտեր</w:t>
            </w: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lastRenderedPageBreak/>
              <w:t xml:space="preserve">Ուղղություն V. Թռիչքների անվտանգության </w:t>
            </w:r>
            <w:r w:rsidR="000F1A5D">
              <w:rPr>
                <w:rStyle w:val="Bodytext1012pt"/>
                <w:szCs w:val="22"/>
              </w:rPr>
              <w:t>և</w:t>
            </w:r>
            <w:r w:rsidRPr="00FA6AA6">
              <w:rPr>
                <w:rStyle w:val="Bodytext1012pt"/>
                <w:szCs w:val="22"/>
              </w:rPr>
              <w:t xml:space="preserve"> ավիացիոն անվտանգության ապահովում</w:t>
            </w: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20.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Ավիացիոն անվտանգության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թռիչքների անվտանգության ապահովման վերահսկողության պետական (ազգային, կառավարական) համակարգերի վերլուծություն՝ «Միջազգային քաղաքացիական ավիացիայի մասին» 1944 թվականի դեկտեմբերի 7-ի կոնվենցիայի 17-րդ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19-րդ հավելվածների համաձայն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2020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վերլուծական զեկույց</w:t>
            </w:r>
          </w:p>
        </w:tc>
      </w:tr>
      <w:tr w:rsidR="00A36A99" w:rsidRPr="00FA6AA6" w:rsidTr="00CE578F">
        <w:trPr>
          <w:jc w:val="center"/>
        </w:trPr>
        <w:tc>
          <w:tcPr>
            <w:tcW w:w="9066" w:type="dxa"/>
            <w:gridSpan w:val="2"/>
            <w:shd w:val="clear" w:color="auto" w:fill="FFFFFF"/>
            <w:vAlign w:val="center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21.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պետություններում ավիացիոն անվտանգության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թռիչքների անվտանգության ապահովման վերահսկողության պետական (ազգային, կառավարական) համակարգերի ընդունում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կատարելագործում</w:t>
            </w:r>
          </w:p>
        </w:tc>
        <w:tc>
          <w:tcPr>
            <w:tcW w:w="2099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 թվականից՝ մշտական հիմունքներով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նորմատիվ իրավական ակտեր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22.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Անդամ պետություններում ավիացիոն անվտանգության ապահովման վերահսկողություն անցկացնելու </w:t>
            </w:r>
            <w:r w:rsidR="00881336" w:rsidRPr="00FA6AA6">
              <w:rPr>
                <w:rStyle w:val="Bodytext1012pt0"/>
                <w:spacing w:val="0"/>
                <w:szCs w:val="22"/>
              </w:rPr>
              <w:t>գծ</w:t>
            </w:r>
            <w:r w:rsidRPr="00FA6AA6">
              <w:rPr>
                <w:rStyle w:val="Bodytext1012pt0"/>
                <w:spacing w:val="0"/>
                <w:szCs w:val="22"/>
              </w:rPr>
              <w:t>ով ավիացիոն իշխանությունների տեսչական կազմի (քաղաքացիական ավիացիայի գերատեսչությունների) ուսուցման դասընթացների կազմակերպում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 թվականից՝ մշտական հիմունքներով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AC419A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</w:t>
            </w:r>
            <w:r w:rsidR="001947CF" w:rsidRPr="00FA6AA6">
              <w:rPr>
                <w:rStyle w:val="Bodytext1012pt"/>
                <w:szCs w:val="22"/>
              </w:rPr>
              <w:t xml:space="preserve"> </w:t>
            </w:r>
            <w:r w:rsidRPr="00FA6AA6">
              <w:rPr>
                <w:rStyle w:val="Bodytext1012pt"/>
                <w:szCs w:val="22"/>
              </w:rPr>
              <w:t>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վերահսկողության համակարգի վերաբերյալ դասընթացներ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23.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պետությունների՝ քաղաքացիական ավիացիայի ոլորտում լիազորված մարմինների փոխգործակցության կազմակերպում՝ զննման օպերատորների պատրաստման (ուսուցման) մասով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AC419A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2018-2023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լիազորված մարմինների որոշումներ</w:t>
            </w:r>
          </w:p>
        </w:tc>
      </w:tr>
      <w:tr w:rsidR="00A36A99" w:rsidRPr="00FA6AA6" w:rsidTr="00CE578F">
        <w:trPr>
          <w:trHeight w:val="1210"/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24.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օդանավերի թռիչքներ կատարելիս ավիափոխադրողների կողմից շահագործվող օդանավերի համակազմի՝ «Միջազգային քաղաքացիական ավիացիայի մասին» 1944 թվականի դեկտեմբերի </w:t>
            </w:r>
            <w:r w:rsidRPr="00FA6AA6">
              <w:rPr>
                <w:rStyle w:val="Bodytext1012pt0"/>
                <w:spacing w:val="0"/>
                <w:szCs w:val="22"/>
              </w:rPr>
              <w:lastRenderedPageBreak/>
              <w:t>7-ի կոնվենցիայի 6-րդ հավելվածի պահանջներին համապատասխանության մասով վերլուծություն՝ անդամ պետությունների կողմից ներկայացված տեղեկատվության հիման վրա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AC419A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lastRenderedPageBreak/>
              <w:t>2019-2020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վերլուծական զեկույց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25.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պետություններում ավիացիոն պատահարների դասակարգումների միասնականացում՝ ԻԿԱՕ (ADREP 2000/ECCAIRS) դասակարգմանը համապատասխան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sz w:val="24"/>
                <w:szCs w:val="22"/>
              </w:rPr>
              <w:t>2018 – 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անդամ պետությունների նորմատիվ իրավական ակտեր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26.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Օդային տարածքի օգտագործման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օդային երթ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եկության կազմակերպման պլանավորման համաձայնեցված մոտեցումների վերաբերյալ առաջարկության նախապատրաստում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AC419A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2019-2020 թվականներ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10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2"/>
              </w:rPr>
            </w:pPr>
            <w:r w:rsidRPr="00FA6AA6">
              <w:rPr>
                <w:rStyle w:val="Bodytext1012pt"/>
                <w:szCs w:val="22"/>
              </w:rPr>
              <w:t>Հանձնաժողովի ակտ</w:t>
            </w:r>
          </w:p>
        </w:tc>
      </w:tr>
      <w:tr w:rsidR="00A36A99" w:rsidRPr="00FA6AA6" w:rsidTr="00CE578F">
        <w:trPr>
          <w:jc w:val="center"/>
        </w:trPr>
        <w:tc>
          <w:tcPr>
            <w:tcW w:w="15818" w:type="dxa"/>
            <w:gridSpan w:val="5"/>
            <w:shd w:val="clear" w:color="auto" w:fill="FFFFFF"/>
            <w:vAlign w:val="center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Ուղղություն VI. Օդային հաղորդակցության ընդլայնում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27.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օդային հաղորդակցության առկա սահմանափակումների վերացմանն ուղղված առաջարկների մշակում*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զեկույց՝ գիտահետազոտական աշխատանքի արդյունքներով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28.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 xml:space="preserve">Օդային հաղորդակցության ազատականացման հարցում ինտեգրացիոն միավորումների փորձի վերլուծություն՝ Եվրասիական տնտեսական միության շրջանակներում միջազգային պայմանագրի առարկան, բովանդակությունը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կառուցվածքը որոշելու նպատակով*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2019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զեկույց՝ գիտահետազոտական աշխատանքի արդյունքներով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29.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Օդային հաղորդակցության վերաբերյալ միջազգային պայմանագրերին համապատասխան նշանակված կամ լիազորված՝ անդամ պետությունների ավիաընկերությունների հետ Codeshare համաձայնագիր կնքելու՝ մարքեթինգային փոխադրողի իրավունքի տրամադրում՝ 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</w:t>
            </w:r>
            <w:r w:rsidRPr="00FA6AA6">
              <w:rPr>
                <w:rStyle w:val="Bodytext1012pt0"/>
                <w:spacing w:val="0"/>
                <w:szCs w:val="22"/>
              </w:rPr>
              <w:lastRenderedPageBreak/>
              <w:t>կանոնավոր օդային փոխադրումներ իրականացնելիս, այդ թվում՝ երրորդ երկրներ երթուղիներով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lastRenderedPageBreak/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օդային հաղորդակցության վերաբերյալ համաձայնագրերի </w:t>
            </w:r>
            <w:r w:rsidRPr="00FA6AA6">
              <w:rPr>
                <w:rStyle w:val="Bodytext2Sylfaen1"/>
                <w:szCs w:val="22"/>
              </w:rPr>
              <w:lastRenderedPageBreak/>
              <w:t>հավելվածներում փոփոխություններ կատարելու մասին անդամ պետությունների լիազորված մարմինների որոշումներ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lastRenderedPageBreak/>
              <w:t>30.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միջազգային օդային կանոնավոր հաղորդակցություններ իրականացնելիս առկա սահմանափակումների փուլային վերացման վերաբերյալ առաջարկությ</w:t>
            </w:r>
            <w:r w:rsidR="00902230" w:rsidRPr="00FA6AA6">
              <w:rPr>
                <w:rStyle w:val="Bodytext1012pt0"/>
                <w:spacing w:val="0"/>
                <w:szCs w:val="22"/>
              </w:rPr>
              <w:t>ան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նախապատրաստում 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ընդունում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2020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Հանձնաժողով, 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Հանձնաժողովի ակտ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FA6AA6" w:rsidRDefault="002368AB" w:rsidP="00FA6AA6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31.</w:t>
            </w:r>
            <w:r w:rsidR="00FA6AA6" w:rsidRPr="00FA6AA6">
              <w:rPr>
                <w:rStyle w:val="Bodytext1012pt0"/>
                <w:spacing w:val="0"/>
                <w:szCs w:val="22"/>
              </w:rPr>
              <w:tab/>
            </w:r>
            <w:r w:rsidRPr="00FA6AA6">
              <w:rPr>
                <w:rStyle w:val="Bodytext1012pt0"/>
                <w:spacing w:val="0"/>
                <w:szCs w:val="22"/>
              </w:rPr>
              <w:t>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միջազգային օդային կանոնավոր հաղորդակցություններ իրականացնելիս առկա սահմանափակումների վերացում՝ անդամ պետությունների միջ</w:t>
            </w:r>
            <w:r w:rsidR="000F1A5D">
              <w:rPr>
                <w:rStyle w:val="Bodytext1012pt0"/>
                <w:spacing w:val="0"/>
                <w:szCs w:val="22"/>
              </w:rPr>
              <w:t>և</w:t>
            </w:r>
            <w:r w:rsidRPr="00FA6AA6">
              <w:rPr>
                <w:rStyle w:val="Bodytext1012pt0"/>
                <w:spacing w:val="0"/>
                <w:szCs w:val="22"/>
              </w:rPr>
              <w:t xml:space="preserve"> նշանակման կետերի</w:t>
            </w:r>
            <w:r w:rsidR="004376EF" w:rsidRPr="00FA6AA6">
              <w:rPr>
                <w:rStyle w:val="Bodytext1012pt0"/>
                <w:spacing w:val="0"/>
                <w:szCs w:val="22"/>
              </w:rPr>
              <w:t>,</w:t>
            </w:r>
          </w:p>
          <w:p w:rsidR="00FA6AA6" w:rsidRDefault="002368AB" w:rsidP="006F753E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ind w:firstLine="640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նշանակված փոխադրողների թվի</w:t>
            </w:r>
            <w:r w:rsidR="004376EF" w:rsidRPr="00FA6AA6">
              <w:rPr>
                <w:rStyle w:val="Bodytext1012pt0"/>
                <w:spacing w:val="0"/>
                <w:szCs w:val="22"/>
              </w:rPr>
              <w:t>,</w:t>
            </w:r>
          </w:p>
          <w:p w:rsidR="00A36A99" w:rsidRPr="00FA6AA6" w:rsidRDefault="002368AB" w:rsidP="006F753E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ind w:firstLine="640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տարողության</w:t>
            </w:r>
            <w:r w:rsidR="004376EF" w:rsidRPr="00FA6AA6">
              <w:rPr>
                <w:rStyle w:val="Bodytext1012pt0"/>
                <w:spacing w:val="0"/>
                <w:szCs w:val="22"/>
              </w:rPr>
              <w:t>,</w:t>
            </w:r>
          </w:p>
          <w:p w:rsidR="00A36A99" w:rsidRPr="00FA6AA6" w:rsidRDefault="002368AB" w:rsidP="006F753E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ind w:firstLine="640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օդային հաղորդակցության վերաբերյալ</w:t>
            </w:r>
            <w:r w:rsidR="00FF3DDF" w:rsidRPr="00FA6AA6">
              <w:rPr>
                <w:rStyle w:val="Bodytext1012pt0"/>
                <w:spacing w:val="0"/>
                <w:szCs w:val="22"/>
              </w:rPr>
              <w:t xml:space="preserve"> </w:t>
            </w:r>
            <w:r w:rsidRPr="00FA6AA6">
              <w:rPr>
                <w:rStyle w:val="Bodytext1012pt0"/>
                <w:spacing w:val="0"/>
                <w:szCs w:val="22"/>
              </w:rPr>
              <w:t>միջկառավարական համաձայնագրերի շրջանակներում պայմանագրային ուղիներով իրականացվող թռիչքների հաճախականության</w:t>
            </w:r>
            <w:r w:rsidR="004376EF" w:rsidRPr="00FA6AA6">
              <w:rPr>
                <w:rStyle w:val="Bodytext1012pt0"/>
                <w:spacing w:val="0"/>
                <w:szCs w:val="22"/>
              </w:rPr>
              <w:t>,</w:t>
            </w:r>
          </w:p>
          <w:p w:rsidR="00A36A99" w:rsidRDefault="002368AB" w:rsidP="006F753E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ind w:firstLine="640"/>
              <w:jc w:val="left"/>
              <w:rPr>
                <w:rStyle w:val="Bodytext1012pt0"/>
                <w:spacing w:val="0"/>
                <w:szCs w:val="22"/>
              </w:rPr>
            </w:pPr>
            <w:r w:rsidRPr="00FA6AA6">
              <w:rPr>
                <w:rStyle w:val="Bodytext1012pt0"/>
                <w:spacing w:val="0"/>
                <w:szCs w:val="22"/>
              </w:rPr>
              <w:t>մեկ անդամ պետության՝ միջազգային չվերթներ իրականացնող փոխադրողների՝ մեկ այլ անդամ պետության օդային տարածքով տարանցիկ թռիչքի մասով</w:t>
            </w:r>
          </w:p>
          <w:p w:rsidR="00CE578F" w:rsidRPr="00FA6AA6" w:rsidRDefault="00CE578F" w:rsidP="006F753E">
            <w:pPr>
              <w:pStyle w:val="Bodytext100"/>
              <w:shd w:val="clear" w:color="auto" w:fill="auto"/>
              <w:tabs>
                <w:tab w:val="left" w:pos="558"/>
              </w:tabs>
              <w:spacing w:before="0" w:after="120" w:line="240" w:lineRule="auto"/>
              <w:ind w:firstLine="640"/>
              <w:jc w:val="left"/>
              <w:rPr>
                <w:rStyle w:val="Bodytext1012pt0"/>
                <w:spacing w:val="0"/>
                <w:szCs w:val="22"/>
              </w:rPr>
            </w:pP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մինչ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2025 թվականը (ըստ անդամ պետությունների պատրաստվածության)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օդային հաղորդակցության վերաբերյալ համաձայնագրերի հավելվածներում փոփոխություններ կատարելու մասին անդամ պետությունների լիազորված մարմինների որոշումներ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6F753E">
            <w:pPr>
              <w:pStyle w:val="Bodytext20"/>
              <w:shd w:val="clear" w:color="auto" w:fill="auto"/>
              <w:tabs>
                <w:tab w:val="left" w:pos="577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lastRenderedPageBreak/>
              <w:t>32.</w:t>
            </w:r>
            <w:r w:rsidR="00FA6AA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 xml:space="preserve">Անդամ պետությունների ավիաընկերությունների համար հավասար պայմանների ստեղծում պայմանագրային երթուղիների շահագործման ընթացքում՝ ավիացիոն ենթակառուցվածքի օգտագործման մասով հավասար (ոչ խտրական) սակագնային պայմաններ </w:t>
            </w:r>
            <w:r w:rsidR="00D9509C" w:rsidRPr="00FA6AA6">
              <w:rPr>
                <w:rStyle w:val="Bodytext2Sylfaen1"/>
                <w:szCs w:val="22"/>
              </w:rPr>
              <w:t>ապահովելու</w:t>
            </w:r>
            <w:r w:rsidRPr="00FA6AA6">
              <w:rPr>
                <w:rStyle w:val="Bodytext2Sylfaen1"/>
                <w:szCs w:val="22"/>
              </w:rPr>
              <w:t xml:space="preserve">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այլ անդամ պետությ</w:t>
            </w:r>
            <w:r w:rsidR="00BE7F25" w:rsidRPr="00FA6AA6">
              <w:rPr>
                <w:rStyle w:val="Bodytext2Sylfaen1"/>
                <w:szCs w:val="22"/>
              </w:rPr>
              <w:t>ան</w:t>
            </w:r>
            <w:r w:rsidRPr="00FA6AA6">
              <w:rPr>
                <w:rStyle w:val="Bodytext2Sylfaen1"/>
                <w:szCs w:val="22"/>
              </w:rPr>
              <w:t xml:space="preserve"> օդային տարածքի օգտագործման համար անդամ պետությունների ավիաընկերություններից լրացուցիչ վճարների գանձումը թույլ չտալու միջոցով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մինչ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2025 թվականը (ըստ անդամ պետությունների պատրաստվածության)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պետությունների նորմատիվ իրավական ակտեր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6F753E">
            <w:pPr>
              <w:pStyle w:val="Bodytext20"/>
              <w:shd w:val="clear" w:color="auto" w:fill="auto"/>
              <w:tabs>
                <w:tab w:val="left" w:pos="577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33.</w:t>
            </w:r>
            <w:r w:rsidR="00FA6AA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 xml:space="preserve">Անդամ պետություններում ավիացիոն մասնագետների ուսուցման, վերապատրաստման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որակավորման բարձրացման ծրագրերի համաձայնեցման (միասնականացման), ժամանակակից, մրցունակ գիտակրթական կենտրոնների ստեղծման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զարգացման վերաբերյալ առաջարկների նախապատրաստում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2018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</w:t>
            </w:r>
          </w:p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Հանձնաժողով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</w:t>
            </w:r>
          </w:p>
        </w:tc>
      </w:tr>
      <w:tr w:rsidR="00A36A99" w:rsidRPr="00FA6AA6" w:rsidTr="00CE578F">
        <w:trPr>
          <w:jc w:val="center"/>
        </w:trPr>
        <w:tc>
          <w:tcPr>
            <w:tcW w:w="9051" w:type="dxa"/>
            <w:shd w:val="clear" w:color="auto" w:fill="FFFFFF"/>
          </w:tcPr>
          <w:p w:rsidR="00A36A99" w:rsidRPr="00FA6AA6" w:rsidRDefault="002368AB" w:rsidP="006F753E">
            <w:pPr>
              <w:pStyle w:val="Bodytext20"/>
              <w:shd w:val="clear" w:color="auto" w:fill="auto"/>
              <w:tabs>
                <w:tab w:val="left" w:pos="577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34.</w:t>
            </w:r>
            <w:r w:rsidR="00FA6AA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 xml:space="preserve">Ավիացիոն մասնագետների ուսուցման, վերապատրաստման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որակավորման բարձրացման համաձայնեցված (միասնականացված) ծրագրերի ներդրում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2020 թվական</w:t>
            </w:r>
          </w:p>
        </w:tc>
        <w:tc>
          <w:tcPr>
            <w:tcW w:w="2101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</w:t>
            </w:r>
          </w:p>
        </w:tc>
        <w:tc>
          <w:tcPr>
            <w:tcW w:w="2552" w:type="dxa"/>
            <w:shd w:val="clear" w:color="auto" w:fill="FFFFFF"/>
          </w:tcPr>
          <w:p w:rsidR="00A36A99" w:rsidRPr="00FA6AA6" w:rsidRDefault="002368AB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պետությունների նորմատիվ իրավական ակտեր</w:t>
            </w:r>
          </w:p>
        </w:tc>
      </w:tr>
      <w:tr w:rsidR="0039554A" w:rsidRPr="00FA6AA6" w:rsidTr="00CE578F">
        <w:trPr>
          <w:trHeight w:val="1210"/>
          <w:jc w:val="center"/>
        </w:trPr>
        <w:tc>
          <w:tcPr>
            <w:tcW w:w="9051" w:type="dxa"/>
            <w:shd w:val="clear" w:color="auto" w:fill="FFFFFF"/>
          </w:tcPr>
          <w:p w:rsidR="0039554A" w:rsidRPr="00FA6AA6" w:rsidRDefault="0039554A" w:rsidP="006F753E">
            <w:pPr>
              <w:pStyle w:val="Bodytext20"/>
              <w:shd w:val="clear" w:color="auto" w:fill="auto"/>
              <w:tabs>
                <w:tab w:val="left" w:pos="558"/>
              </w:tabs>
              <w:spacing w:after="120" w:line="240" w:lineRule="auto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35.</w:t>
            </w:r>
            <w:r w:rsidR="00FA6AA6" w:rsidRPr="00FA6AA6">
              <w:rPr>
                <w:rStyle w:val="Bodytext2Sylfaen1"/>
                <w:szCs w:val="22"/>
              </w:rPr>
              <w:tab/>
            </w:r>
            <w:r w:rsidRPr="00FA6AA6">
              <w:rPr>
                <w:rStyle w:val="Bodytext2Sylfaen1"/>
                <w:szCs w:val="22"/>
              </w:rPr>
              <w:t xml:space="preserve">Գիտատեխնիկական համագործակցության ընդլայնման, առաջատար փորձի փոխանակման, համատեղ հետազոտությունների պլանավորման վերաբերյալ առաջարկների նախապատրաստում՝ քաղաքացիական ավիացիայի ոլորտում նորարարական տեխնոլոգիաների, տեխնիկական միջոցների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ընթացակարգերի մշակման ու ներդրման նպատակով, այդ թվում՝</w:t>
            </w:r>
          </w:p>
          <w:p w:rsidR="0039554A" w:rsidRDefault="0039554A" w:rsidP="006F753E">
            <w:pPr>
              <w:pStyle w:val="Bodytext20"/>
              <w:shd w:val="clear" w:color="auto" w:fill="auto"/>
              <w:spacing w:after="120" w:line="240" w:lineRule="auto"/>
              <w:ind w:firstLine="580"/>
              <w:rPr>
                <w:rStyle w:val="Bodytext2Sylfaen1"/>
                <w:szCs w:val="22"/>
              </w:rPr>
            </w:pPr>
            <w:r w:rsidRPr="00FA6AA6">
              <w:rPr>
                <w:rStyle w:val="Bodytext2Sylfaen1"/>
                <w:szCs w:val="22"/>
              </w:rPr>
              <w:t xml:space="preserve">համատեղ նախագծերի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գիտատեխնիկական մշակումների ֆինանսավորման աղբյուրների որոշում</w:t>
            </w:r>
          </w:p>
          <w:p w:rsidR="00CE578F" w:rsidRDefault="00CE578F" w:rsidP="006F753E">
            <w:pPr>
              <w:pStyle w:val="Bodytext20"/>
              <w:shd w:val="clear" w:color="auto" w:fill="auto"/>
              <w:spacing w:after="120" w:line="240" w:lineRule="auto"/>
              <w:ind w:firstLine="580"/>
              <w:rPr>
                <w:rStyle w:val="Bodytext2Sylfaen1"/>
                <w:szCs w:val="22"/>
              </w:rPr>
            </w:pPr>
          </w:p>
          <w:p w:rsidR="00CE578F" w:rsidRPr="00FA6AA6" w:rsidRDefault="00CE578F" w:rsidP="006F753E">
            <w:pPr>
              <w:pStyle w:val="Bodytext20"/>
              <w:shd w:val="clear" w:color="auto" w:fill="auto"/>
              <w:spacing w:after="120" w:line="240" w:lineRule="auto"/>
              <w:ind w:firstLine="580"/>
              <w:rPr>
                <w:rFonts w:ascii="Sylfaen" w:hAnsi="Sylfaen"/>
                <w:szCs w:val="22"/>
              </w:rPr>
            </w:pPr>
          </w:p>
          <w:p w:rsidR="0039554A" w:rsidRPr="00FA6AA6" w:rsidRDefault="0039554A" w:rsidP="006F753E">
            <w:pPr>
              <w:pStyle w:val="Bodytext20"/>
              <w:spacing w:after="120" w:line="240" w:lineRule="auto"/>
              <w:ind w:firstLine="580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lastRenderedPageBreak/>
              <w:t xml:space="preserve">գերակա գիտական հետազոտությունների միջնաժամկետ </w:t>
            </w:r>
            <w:r w:rsidR="000F1A5D">
              <w:rPr>
                <w:rStyle w:val="Bodytext2Sylfaen1"/>
                <w:szCs w:val="22"/>
              </w:rPr>
              <w:t>և</w:t>
            </w:r>
            <w:r w:rsidRPr="00FA6AA6">
              <w:rPr>
                <w:rStyle w:val="Bodytext2Sylfaen1"/>
                <w:szCs w:val="22"/>
              </w:rPr>
              <w:t xml:space="preserve"> երկարաժամկետ պլանավորում՝ հաշվի առնելով համաշխարհային լավագույն ձեռքբերումները</w:t>
            </w:r>
          </w:p>
        </w:tc>
        <w:tc>
          <w:tcPr>
            <w:tcW w:w="2114" w:type="dxa"/>
            <w:gridSpan w:val="2"/>
            <w:shd w:val="clear" w:color="auto" w:fill="FFFFFF"/>
          </w:tcPr>
          <w:p w:rsidR="0039554A" w:rsidRPr="00FA6AA6" w:rsidRDefault="0039554A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szCs w:val="22"/>
              </w:rPr>
            </w:pPr>
            <w:r w:rsidRPr="00FA6AA6">
              <w:rPr>
                <w:rStyle w:val="Bodytext2Sylfaen1"/>
                <w:szCs w:val="22"/>
              </w:rPr>
              <w:lastRenderedPageBreak/>
              <w:t>2020 թվական</w:t>
            </w:r>
          </w:p>
        </w:tc>
        <w:tc>
          <w:tcPr>
            <w:tcW w:w="2101" w:type="dxa"/>
            <w:shd w:val="clear" w:color="auto" w:fill="FFFFFF"/>
          </w:tcPr>
          <w:p w:rsidR="0039554A" w:rsidRPr="00FA6AA6" w:rsidRDefault="0039554A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անդամ պետություններ, Հանձնաժողով</w:t>
            </w:r>
          </w:p>
        </w:tc>
        <w:tc>
          <w:tcPr>
            <w:tcW w:w="2552" w:type="dxa"/>
            <w:shd w:val="clear" w:color="auto" w:fill="FFFFFF"/>
          </w:tcPr>
          <w:p w:rsidR="0039554A" w:rsidRPr="00FA6AA6" w:rsidRDefault="0039554A" w:rsidP="00214A16">
            <w:pPr>
              <w:pStyle w:val="Bodytext20"/>
              <w:shd w:val="clear" w:color="auto" w:fill="auto"/>
              <w:spacing w:after="120" w:line="240" w:lineRule="auto"/>
              <w:ind w:left="-3"/>
              <w:jc w:val="center"/>
              <w:rPr>
                <w:rFonts w:ascii="Sylfaen" w:hAnsi="Sylfaen"/>
                <w:szCs w:val="22"/>
              </w:rPr>
            </w:pPr>
            <w:r w:rsidRPr="00FA6AA6">
              <w:rPr>
                <w:rStyle w:val="Bodytext2Sylfaen1"/>
                <w:szCs w:val="22"/>
              </w:rPr>
              <w:t>վերլուծական զեկույց</w:t>
            </w:r>
          </w:p>
        </w:tc>
      </w:tr>
    </w:tbl>
    <w:p w:rsidR="00A36A99" w:rsidRPr="00FF3DDF" w:rsidRDefault="00A36A99" w:rsidP="00FF3DDF">
      <w:pPr>
        <w:spacing w:after="160" w:line="360" w:lineRule="auto"/>
        <w:rPr>
          <w:rFonts w:ascii="Sylfaen" w:hAnsi="Sylfaen"/>
        </w:rPr>
      </w:pPr>
    </w:p>
    <w:p w:rsidR="00A36A99" w:rsidRPr="00FA6AA6" w:rsidRDefault="002368AB" w:rsidP="00FA6AA6">
      <w:pPr>
        <w:pStyle w:val="Bodytext110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sz w:val="20"/>
        </w:rPr>
      </w:pPr>
      <w:r w:rsidRPr="00FA6AA6">
        <w:rPr>
          <w:sz w:val="20"/>
        </w:rPr>
        <w:t>Հետ</w:t>
      </w:r>
      <w:r w:rsidR="000F1A5D">
        <w:rPr>
          <w:sz w:val="20"/>
        </w:rPr>
        <w:t>և</w:t>
      </w:r>
      <w:r w:rsidRPr="00FA6AA6">
        <w:rPr>
          <w:sz w:val="20"/>
        </w:rPr>
        <w:t>յալ թեմայով համալիր գիտահետազոտական աշխատանք անցկացնելու շրջանակներում՝ «Եվրասիական տնտեսական միության օդային տրանսպորտի ծառայությունների ընդհանուր շուկայի փուլային ձ</w:t>
      </w:r>
      <w:r w:rsidR="000F1A5D">
        <w:rPr>
          <w:sz w:val="20"/>
        </w:rPr>
        <w:t>և</w:t>
      </w:r>
      <w:r w:rsidRPr="00FA6AA6">
        <w:rPr>
          <w:sz w:val="20"/>
        </w:rPr>
        <w:t>ավորման վերաբերյալ առաջարկների մշ</w:t>
      </w:r>
      <w:bookmarkStart w:id="3" w:name="_GoBack"/>
      <w:bookmarkEnd w:id="3"/>
      <w:r w:rsidRPr="00FA6AA6">
        <w:rPr>
          <w:sz w:val="20"/>
        </w:rPr>
        <w:t>ակում»:</w:t>
      </w:r>
    </w:p>
    <w:sectPr w:rsidR="00A36A99" w:rsidRPr="00FA6AA6" w:rsidSect="00CE5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418" w:right="1418" w:bottom="1418" w:left="1418" w:header="0" w:footer="5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A03" w:rsidRDefault="004A7A03" w:rsidP="00A36A99">
      <w:r>
        <w:separator/>
      </w:r>
    </w:p>
  </w:endnote>
  <w:endnote w:type="continuationSeparator" w:id="0">
    <w:p w:rsidR="004A7A03" w:rsidRDefault="004A7A03" w:rsidP="00A3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8F" w:rsidRDefault="00CE5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9757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E578F" w:rsidRPr="00CE578F" w:rsidRDefault="00CE578F">
        <w:pPr>
          <w:pStyle w:val="Footer"/>
          <w:jc w:val="center"/>
          <w:rPr>
            <w:rFonts w:ascii="Sylfaen" w:hAnsi="Sylfaen"/>
          </w:rPr>
        </w:pPr>
        <w:r w:rsidRPr="00CE578F">
          <w:rPr>
            <w:rFonts w:ascii="Sylfaen" w:hAnsi="Sylfaen"/>
          </w:rPr>
          <w:fldChar w:fldCharType="begin"/>
        </w:r>
        <w:r w:rsidRPr="00CE578F">
          <w:rPr>
            <w:rFonts w:ascii="Sylfaen" w:hAnsi="Sylfaen"/>
          </w:rPr>
          <w:instrText xml:space="preserve"> PAGE   \* MERGEFORMAT </w:instrText>
        </w:r>
        <w:r w:rsidRPr="00CE578F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11</w:t>
        </w:r>
        <w:r w:rsidRPr="00CE578F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8F" w:rsidRPr="00CE578F" w:rsidRDefault="00CE578F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A03" w:rsidRDefault="004A7A03"/>
  </w:footnote>
  <w:footnote w:type="continuationSeparator" w:id="0">
    <w:p w:rsidR="004A7A03" w:rsidRDefault="004A7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8F" w:rsidRDefault="00CE5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8F" w:rsidRDefault="00CE5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8F" w:rsidRDefault="00CE5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5A76"/>
    <w:multiLevelType w:val="multilevel"/>
    <w:tmpl w:val="6334319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35697"/>
    <w:multiLevelType w:val="hybridMultilevel"/>
    <w:tmpl w:val="09266ABE"/>
    <w:lvl w:ilvl="0" w:tplc="83C0E76E">
      <w:start w:val="35"/>
      <w:numFmt w:val="bullet"/>
      <w:lvlText w:val=""/>
      <w:lvlJc w:val="left"/>
      <w:pPr>
        <w:ind w:left="927" w:hanging="360"/>
      </w:pPr>
      <w:rPr>
        <w:rFonts w:ascii="Symbol" w:eastAsia="Sylfae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7E70077"/>
    <w:multiLevelType w:val="multilevel"/>
    <w:tmpl w:val="4CA8576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A0AC9"/>
    <w:multiLevelType w:val="multilevel"/>
    <w:tmpl w:val="CB2605C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A99"/>
    <w:rsid w:val="000F1A5D"/>
    <w:rsid w:val="001235DC"/>
    <w:rsid w:val="00152C1E"/>
    <w:rsid w:val="001947CF"/>
    <w:rsid w:val="00214A16"/>
    <w:rsid w:val="002368AB"/>
    <w:rsid w:val="002E60D7"/>
    <w:rsid w:val="003857AA"/>
    <w:rsid w:val="0039554A"/>
    <w:rsid w:val="004375EA"/>
    <w:rsid w:val="004376EF"/>
    <w:rsid w:val="0047505F"/>
    <w:rsid w:val="004A7A03"/>
    <w:rsid w:val="004D05A2"/>
    <w:rsid w:val="0055543D"/>
    <w:rsid w:val="005753BB"/>
    <w:rsid w:val="005A128D"/>
    <w:rsid w:val="005E349B"/>
    <w:rsid w:val="005E4684"/>
    <w:rsid w:val="005E622E"/>
    <w:rsid w:val="006107EB"/>
    <w:rsid w:val="0064285D"/>
    <w:rsid w:val="00646E73"/>
    <w:rsid w:val="0065495C"/>
    <w:rsid w:val="006645F5"/>
    <w:rsid w:val="006A091E"/>
    <w:rsid w:val="006F753E"/>
    <w:rsid w:val="00822918"/>
    <w:rsid w:val="00843C82"/>
    <w:rsid w:val="0086599F"/>
    <w:rsid w:val="00867E2B"/>
    <w:rsid w:val="008730A2"/>
    <w:rsid w:val="00881336"/>
    <w:rsid w:val="008936B8"/>
    <w:rsid w:val="00902230"/>
    <w:rsid w:val="00907FF7"/>
    <w:rsid w:val="00961DAB"/>
    <w:rsid w:val="00981330"/>
    <w:rsid w:val="00997DB8"/>
    <w:rsid w:val="009B1247"/>
    <w:rsid w:val="00A016F4"/>
    <w:rsid w:val="00A36A99"/>
    <w:rsid w:val="00A96E9A"/>
    <w:rsid w:val="00AC419A"/>
    <w:rsid w:val="00BE7F25"/>
    <w:rsid w:val="00C52305"/>
    <w:rsid w:val="00C67C9C"/>
    <w:rsid w:val="00CD08B4"/>
    <w:rsid w:val="00CE2331"/>
    <w:rsid w:val="00CE578F"/>
    <w:rsid w:val="00CE6D69"/>
    <w:rsid w:val="00D20E43"/>
    <w:rsid w:val="00D9509C"/>
    <w:rsid w:val="00E656A9"/>
    <w:rsid w:val="00EE453D"/>
    <w:rsid w:val="00FA6AA6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BEB5"/>
  <w15:docId w15:val="{BEEB74B0-ED17-4557-936F-E3D18845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36A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6A99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A36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Sylfaen">
    <w:name w:val="Heading #1 + Sylfaen"/>
    <w:aliases w:val="Not Bold"/>
    <w:basedOn w:val="Heading1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Spacing4pt">
    <w:name w:val="Heading #3 + Spacing 4 pt"/>
    <w:basedOn w:val="Heading3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Sylfaen">
    <w:name w:val="Body text (2) + Sylfaen"/>
    <w:aliases w:val="14 pt"/>
    <w:basedOn w:val="Bodytext2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36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ylfaen">
    <w:name w:val="Body text (4) + Sylfaen"/>
    <w:aliases w:val="14 pt,Bold"/>
    <w:basedOn w:val="Bodytext4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0Bold">
    <w:name w:val="Body text (10) + Bold"/>
    <w:aliases w:val="Spacing 2 pt"/>
    <w:basedOn w:val="Bodytext10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,Bold"/>
    <w:basedOn w:val="Bodytext2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3Spacing2pt">
    <w:name w:val="Heading #3 + Spacing 2 pt"/>
    <w:basedOn w:val="Heading3"/>
    <w:rsid w:val="00A36A9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1">
    <w:name w:val="Body text (2) + Sylfaen"/>
    <w:basedOn w:val="Bodytext2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012pt">
    <w:name w:val="Body text (10) + 12 pt"/>
    <w:basedOn w:val="Bodytext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012pt0">
    <w:name w:val="Body text (10) + 12 pt"/>
    <w:aliases w:val="Spacing 1 pt"/>
    <w:basedOn w:val="Bodytext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A36A99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paragraph" w:customStyle="1" w:styleId="Heading220">
    <w:name w:val="Heading #2 (2)"/>
    <w:basedOn w:val="Normal"/>
    <w:link w:val="Heading22"/>
    <w:rsid w:val="00A36A99"/>
    <w:pPr>
      <w:shd w:val="clear" w:color="auto" w:fill="FFFFFF"/>
      <w:spacing w:after="120" w:line="0" w:lineRule="atLeast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A36A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30">
    <w:name w:val="Heading #3"/>
    <w:basedOn w:val="Normal"/>
    <w:link w:val="Heading3"/>
    <w:rsid w:val="00A36A99"/>
    <w:pPr>
      <w:shd w:val="clear" w:color="auto" w:fill="FFFFFF"/>
      <w:spacing w:before="1020" w:line="0" w:lineRule="atLeast"/>
      <w:jc w:val="center"/>
      <w:outlineLvl w:val="2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36A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A36A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A36A99"/>
    <w:pPr>
      <w:shd w:val="clear" w:color="auto" w:fill="FFFFFF"/>
      <w:spacing w:before="480" w:line="518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A36A99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Bodytext110">
    <w:name w:val="Body text (11)"/>
    <w:basedOn w:val="Normal"/>
    <w:link w:val="Bodytext11"/>
    <w:rsid w:val="00A36A99"/>
    <w:pPr>
      <w:shd w:val="clear" w:color="auto" w:fill="FFFFFF"/>
      <w:spacing w:before="660" w:line="281" w:lineRule="exact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28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8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5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78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5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33</cp:revision>
  <dcterms:created xsi:type="dcterms:W3CDTF">2019-02-04T11:13:00Z</dcterms:created>
  <dcterms:modified xsi:type="dcterms:W3CDTF">2020-04-22T11:00:00Z</dcterms:modified>
</cp:coreProperties>
</file>