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E5C8A" w:rsidRPr="004A5F8F" w:rsidRDefault="006E5C8A" w:rsidP="00DC707A">
      <w:pPr>
        <w:pStyle w:val="Heading20"/>
        <w:shd w:val="clear" w:color="auto" w:fill="auto"/>
        <w:spacing w:before="0" w:after="160" w:line="360" w:lineRule="auto"/>
        <w:ind w:right="360"/>
        <w:jc w:val="right"/>
        <w:rPr>
          <w:rStyle w:val="Heading2Spacing2pt"/>
          <w:b/>
          <w:spacing w:val="0"/>
          <w:sz w:val="24"/>
        </w:rPr>
      </w:pPr>
      <w:bookmarkStart w:id="0" w:name="_GoBack"/>
      <w:bookmarkEnd w:id="0"/>
      <w:r w:rsidRPr="00AB4117">
        <w:rPr>
          <w:b w:val="0"/>
          <w:sz w:val="24"/>
        </w:rPr>
        <w:t>Նախագիծ</w:t>
      </w:r>
      <w:r w:rsidRPr="00AB4117">
        <w:rPr>
          <w:rStyle w:val="Heading2Spacing2pt"/>
          <w:b/>
          <w:spacing w:val="0"/>
          <w:sz w:val="24"/>
        </w:rPr>
        <w:t xml:space="preserve"> </w:t>
      </w:r>
    </w:p>
    <w:p w:rsidR="002F189C" w:rsidRPr="004A5F8F" w:rsidRDefault="002F189C" w:rsidP="00DC707A">
      <w:pPr>
        <w:pStyle w:val="Heading20"/>
        <w:shd w:val="clear" w:color="auto" w:fill="auto"/>
        <w:spacing w:before="0" w:after="160" w:line="360" w:lineRule="auto"/>
        <w:ind w:right="360"/>
        <w:jc w:val="right"/>
        <w:rPr>
          <w:rStyle w:val="Heading2Spacing2pt"/>
          <w:b/>
          <w:bCs/>
          <w:spacing w:val="0"/>
          <w:sz w:val="24"/>
          <w:szCs w:val="24"/>
        </w:rPr>
      </w:pPr>
    </w:p>
    <w:p w:rsidR="00F60535" w:rsidRPr="00AB4117" w:rsidRDefault="000B1747" w:rsidP="002F189C">
      <w:pPr>
        <w:pStyle w:val="Heading20"/>
        <w:shd w:val="clear" w:color="auto" w:fill="auto"/>
        <w:spacing w:before="0" w:after="160" w:line="360" w:lineRule="auto"/>
        <w:ind w:left="567" w:right="559"/>
        <w:rPr>
          <w:sz w:val="24"/>
          <w:szCs w:val="24"/>
        </w:rPr>
      </w:pPr>
      <w:r w:rsidRPr="00AB4117">
        <w:rPr>
          <w:rStyle w:val="Heading2Spacing2pt"/>
          <w:b/>
          <w:spacing w:val="0"/>
          <w:sz w:val="24"/>
        </w:rPr>
        <w:t>ՀԱՄԱՁԱՅՆԱԳԻՐ</w:t>
      </w:r>
    </w:p>
    <w:p w:rsidR="00F60535" w:rsidRPr="00E27D64" w:rsidRDefault="00CC55E2" w:rsidP="002F189C">
      <w:pPr>
        <w:pStyle w:val="Bodytext30"/>
        <w:shd w:val="clear" w:color="auto" w:fill="auto"/>
        <w:spacing w:before="0" w:after="160" w:line="360" w:lineRule="auto"/>
        <w:ind w:left="567" w:right="559"/>
        <w:rPr>
          <w:sz w:val="24"/>
        </w:rPr>
      </w:pPr>
      <w:r w:rsidRPr="00AB4117">
        <w:rPr>
          <w:sz w:val="24"/>
        </w:rPr>
        <w:t>ֆ</w:t>
      </w:r>
      <w:r w:rsidR="000B1747" w:rsidRPr="00AB4117">
        <w:rPr>
          <w:sz w:val="24"/>
        </w:rPr>
        <w:t>ինանսական շուկայի ոլորտում Եվրասիական տնտեսական միության անդամ պետությունների օրենսդրության ներդաշնակեցման մասին</w:t>
      </w:r>
    </w:p>
    <w:p w:rsidR="002F189C" w:rsidRPr="00E27D64" w:rsidRDefault="002F189C" w:rsidP="002F189C">
      <w:pPr>
        <w:pStyle w:val="Bodytext30"/>
        <w:shd w:val="clear" w:color="auto" w:fill="auto"/>
        <w:spacing w:before="0" w:after="160" w:line="360" w:lineRule="auto"/>
        <w:ind w:left="567" w:right="559"/>
        <w:rPr>
          <w:sz w:val="24"/>
          <w:szCs w:val="24"/>
        </w:rPr>
      </w:pPr>
    </w:p>
    <w:p w:rsidR="00F60535" w:rsidRPr="00AB4117" w:rsidRDefault="000B1747" w:rsidP="00DC707A">
      <w:pPr>
        <w:pStyle w:val="Bodytext20"/>
        <w:shd w:val="clear" w:color="auto" w:fill="auto"/>
        <w:spacing w:before="0" w:after="160" w:line="360" w:lineRule="auto"/>
        <w:ind w:right="-8" w:firstLine="567"/>
        <w:rPr>
          <w:sz w:val="24"/>
          <w:szCs w:val="24"/>
        </w:rPr>
      </w:pPr>
      <w:r w:rsidRPr="00AB4117">
        <w:rPr>
          <w:sz w:val="24"/>
        </w:rPr>
        <w:t xml:space="preserve">Եվրասիական տնտեսական միության անդամ պետությունները՝ ի դեմս Հայաստանի Հանրապետության </w:t>
      </w:r>
      <w:r w:rsidR="007F38E7" w:rsidRPr="00AB4117">
        <w:rPr>
          <w:sz w:val="24"/>
        </w:rPr>
        <w:t>կ</w:t>
      </w:r>
      <w:r w:rsidRPr="00AB4117">
        <w:rPr>
          <w:sz w:val="24"/>
        </w:rPr>
        <w:t xml:space="preserve">առավարության եւ Հայաստանի Հանրապետության կենտրոնական բանկի, Բելառուսի Հանրապետության </w:t>
      </w:r>
      <w:r w:rsidR="007F38E7" w:rsidRPr="00AB4117">
        <w:rPr>
          <w:sz w:val="24"/>
        </w:rPr>
        <w:t>կ</w:t>
      </w:r>
      <w:r w:rsidRPr="00AB4117">
        <w:rPr>
          <w:sz w:val="24"/>
        </w:rPr>
        <w:t xml:space="preserve">առավարության եւ Բելառուսի Հանրապետության ազգային բանկի, Ղազախստանի Հանրապետության </w:t>
      </w:r>
      <w:r w:rsidR="007F38E7" w:rsidRPr="00AB4117">
        <w:rPr>
          <w:sz w:val="24"/>
        </w:rPr>
        <w:t>կ</w:t>
      </w:r>
      <w:r w:rsidRPr="00AB4117">
        <w:rPr>
          <w:sz w:val="24"/>
        </w:rPr>
        <w:t xml:space="preserve">առավարության եւ Ղազախստանի Հանրապետության ազգային բանկի, Ղրղզստանի Հանրապետության </w:t>
      </w:r>
      <w:r w:rsidR="007F38E7" w:rsidRPr="00AB4117">
        <w:rPr>
          <w:sz w:val="24"/>
        </w:rPr>
        <w:t>կ</w:t>
      </w:r>
      <w:r w:rsidRPr="00AB4117">
        <w:rPr>
          <w:sz w:val="24"/>
        </w:rPr>
        <w:t xml:space="preserve">առավարության եւ Ղրղզստանի Հանրապետության ազգային բանկի, Ռուսաստանի Դաշնության </w:t>
      </w:r>
      <w:r w:rsidR="007F38E7" w:rsidRPr="00AB4117">
        <w:rPr>
          <w:sz w:val="24"/>
        </w:rPr>
        <w:t>կ</w:t>
      </w:r>
      <w:r w:rsidRPr="00AB4117">
        <w:rPr>
          <w:sz w:val="24"/>
        </w:rPr>
        <w:t>առավարության եւ Ռուսաստանի Դաշնության կենտրոնական բանկի,</w:t>
      </w:r>
    </w:p>
    <w:p w:rsidR="00F60535" w:rsidRPr="00AB4117" w:rsidRDefault="000B1747" w:rsidP="00DC707A">
      <w:pPr>
        <w:pStyle w:val="Bodytext20"/>
        <w:shd w:val="clear" w:color="auto" w:fill="auto"/>
        <w:spacing w:before="0" w:after="160" w:line="360" w:lineRule="auto"/>
        <w:ind w:right="-8" w:firstLine="567"/>
        <w:rPr>
          <w:sz w:val="24"/>
          <w:szCs w:val="24"/>
        </w:rPr>
      </w:pPr>
      <w:r w:rsidRPr="00AB4117">
        <w:rPr>
          <w:sz w:val="24"/>
        </w:rPr>
        <w:t>Եվրասիական տնտեսական միության շրջանակներում ընդհանուր ֆինանսական շուկա ստեղծելու, ծառայությունների ոլորտներում (բանկային ոլորտում, ապահովագր</w:t>
      </w:r>
      <w:r w:rsidR="00637866" w:rsidRPr="00AB4117">
        <w:rPr>
          <w:sz w:val="24"/>
        </w:rPr>
        <w:t>ակ</w:t>
      </w:r>
      <w:r w:rsidRPr="00AB4117">
        <w:rPr>
          <w:sz w:val="24"/>
        </w:rPr>
        <w:t>ան ոլորտում, արժեթղթերի շուկայի ծառայությունների ոլորտում) գործունեության տեսակների իրականացման լիցենզիաների փոխադարձ ճանաչումը եւ Եվրասիական տնտեսական միության անդամ պետությունների (այսուհետ՝ անդամ պետություններ) ֆինանսական շուկաների ոչ խտրական հասանելիությունն ապահովելու նպատակով,</w:t>
      </w:r>
    </w:p>
    <w:p w:rsidR="00F60535" w:rsidRPr="00AB4117" w:rsidRDefault="000B1747" w:rsidP="00DC707A">
      <w:pPr>
        <w:pStyle w:val="Bodytext20"/>
        <w:shd w:val="clear" w:color="auto" w:fill="auto"/>
        <w:spacing w:before="0" w:after="160" w:line="360" w:lineRule="auto"/>
        <w:ind w:right="-8" w:firstLine="567"/>
        <w:rPr>
          <w:sz w:val="24"/>
          <w:szCs w:val="24"/>
        </w:rPr>
      </w:pPr>
      <w:r w:rsidRPr="00AB4117">
        <w:rPr>
          <w:sz w:val="24"/>
        </w:rPr>
        <w:t>ելնելով պետական կարգավորումը կատարելագործելու և անդամ պետությունների ֆինանսական շուկաներում հսկողություն և վերահսկողություն իրականացնելու անհրաժեշտությունից,</w:t>
      </w:r>
    </w:p>
    <w:p w:rsidR="00F60535" w:rsidRPr="00AB4117" w:rsidRDefault="000B1747" w:rsidP="00DC707A">
      <w:pPr>
        <w:pStyle w:val="Bodytext20"/>
        <w:shd w:val="clear" w:color="auto" w:fill="auto"/>
        <w:spacing w:before="0" w:after="160" w:line="360" w:lineRule="auto"/>
        <w:ind w:right="-8" w:firstLine="567"/>
        <w:rPr>
          <w:sz w:val="24"/>
          <w:szCs w:val="24"/>
        </w:rPr>
      </w:pPr>
      <w:r w:rsidRPr="00AB4117">
        <w:rPr>
          <w:sz w:val="24"/>
        </w:rPr>
        <w:t xml:space="preserve">հաշվի առնելով «Եվրասիական տնտեսական միության մասին» 2014 թվականի մայիսի 29-ի պայմանագրի 70-րդ հոդվածի 3-րդ կետի դրույթները և </w:t>
      </w:r>
      <w:r w:rsidRPr="00AB4117">
        <w:rPr>
          <w:sz w:val="24"/>
        </w:rPr>
        <w:lastRenderedPageBreak/>
        <w:t xml:space="preserve">ֆինանսական շուկայի </w:t>
      </w:r>
      <w:r w:rsidR="00637866" w:rsidRPr="00AB4117">
        <w:rPr>
          <w:sz w:val="24"/>
        </w:rPr>
        <w:t>ոլորտ</w:t>
      </w:r>
      <w:r w:rsidRPr="00AB4117">
        <w:rPr>
          <w:sz w:val="24"/>
        </w:rPr>
        <w:t>ում անդամ պետությունների օրենսդրության ներդաշնակեցման նպատակով՝</w:t>
      </w:r>
    </w:p>
    <w:p w:rsidR="00F60535" w:rsidRPr="00AB4117" w:rsidRDefault="000B1747" w:rsidP="00DC707A">
      <w:pPr>
        <w:pStyle w:val="Bodytext20"/>
        <w:shd w:val="clear" w:color="auto" w:fill="auto"/>
        <w:spacing w:before="0" w:after="160" w:line="360" w:lineRule="auto"/>
        <w:ind w:right="-8" w:firstLine="567"/>
        <w:rPr>
          <w:sz w:val="24"/>
          <w:szCs w:val="24"/>
        </w:rPr>
      </w:pPr>
      <w:r w:rsidRPr="00AB4117">
        <w:rPr>
          <w:sz w:val="24"/>
        </w:rPr>
        <w:t>համաձայնեցին հետեւյալի մասին՝</w:t>
      </w:r>
    </w:p>
    <w:p w:rsidR="009535BE" w:rsidRPr="00AB4117" w:rsidRDefault="009535BE" w:rsidP="00DC707A">
      <w:pPr>
        <w:pStyle w:val="Bodytext20"/>
        <w:shd w:val="clear" w:color="auto" w:fill="auto"/>
        <w:spacing w:before="0" w:after="160" w:line="360" w:lineRule="auto"/>
        <w:ind w:right="-8" w:firstLine="567"/>
        <w:jc w:val="center"/>
        <w:rPr>
          <w:sz w:val="24"/>
          <w:szCs w:val="24"/>
        </w:rPr>
      </w:pPr>
    </w:p>
    <w:p w:rsidR="00F60535" w:rsidRPr="00AB4117" w:rsidRDefault="000B1747" w:rsidP="00DC707A">
      <w:pPr>
        <w:pStyle w:val="Bodytext20"/>
        <w:shd w:val="clear" w:color="auto" w:fill="auto"/>
        <w:spacing w:before="0" w:after="160" w:line="360" w:lineRule="auto"/>
        <w:ind w:right="-8" w:firstLine="567"/>
        <w:jc w:val="center"/>
        <w:rPr>
          <w:sz w:val="24"/>
          <w:szCs w:val="24"/>
        </w:rPr>
      </w:pPr>
      <w:r w:rsidRPr="00AB4117">
        <w:rPr>
          <w:sz w:val="24"/>
        </w:rPr>
        <w:t>Հոդված 1. Համաձայնագրի առարկան</w:t>
      </w:r>
    </w:p>
    <w:p w:rsidR="00F60535" w:rsidRPr="00AB4117" w:rsidRDefault="000B1747" w:rsidP="00DC707A">
      <w:pPr>
        <w:pStyle w:val="Bodytext20"/>
        <w:shd w:val="clear" w:color="auto" w:fill="auto"/>
        <w:spacing w:before="0" w:after="160" w:line="360" w:lineRule="auto"/>
        <w:ind w:right="-8" w:firstLine="567"/>
        <w:rPr>
          <w:sz w:val="24"/>
          <w:szCs w:val="24"/>
        </w:rPr>
      </w:pPr>
      <w:r w:rsidRPr="00AB4117">
        <w:rPr>
          <w:sz w:val="24"/>
        </w:rPr>
        <w:t>Սույն համաձայնագրով սահմանվում են ֆինանսական շուկայի ոլորտում (բանկային ոլորտում, ապահովագրական ոլորտում, արժեթղթերի շուկայի ծառայությունների ոլորտում) անդամ պետությունների օրենսդրության ներդաշնակեցման ուղղությունները և կարգը, այդ թվում՝</w:t>
      </w:r>
    </w:p>
    <w:p w:rsidR="00F60535" w:rsidRPr="00AB4117" w:rsidRDefault="000B1747" w:rsidP="00DC707A">
      <w:pPr>
        <w:pStyle w:val="Bodytext20"/>
        <w:shd w:val="clear" w:color="auto" w:fill="auto"/>
        <w:spacing w:before="0" w:after="160" w:line="360" w:lineRule="auto"/>
        <w:ind w:right="-8" w:firstLine="567"/>
        <w:rPr>
          <w:sz w:val="24"/>
          <w:szCs w:val="24"/>
        </w:rPr>
      </w:pPr>
      <w:r w:rsidRPr="00AB4117">
        <w:rPr>
          <w:sz w:val="24"/>
        </w:rPr>
        <w:t>ֆինանսական շուկաների մասնակիցներին ներկայացվող համաձայնեցված պահանջների ընդունման մասով՝ բանկային, ապահովագրական, արժեթղթերի շուկայի ծառայությունների ոլորտներում դրանց ստեղծման, հիմնադրման եւ գործունեության առնչությամբ,</w:t>
      </w:r>
    </w:p>
    <w:p w:rsidR="00F60535" w:rsidRPr="00AB4117" w:rsidRDefault="000B1747" w:rsidP="00DC707A">
      <w:pPr>
        <w:pStyle w:val="Bodytext20"/>
        <w:shd w:val="clear" w:color="auto" w:fill="auto"/>
        <w:spacing w:before="0" w:after="160" w:line="360" w:lineRule="auto"/>
        <w:ind w:right="-8" w:firstLine="567"/>
        <w:rPr>
          <w:sz w:val="24"/>
          <w:szCs w:val="24"/>
        </w:rPr>
      </w:pPr>
      <w:r w:rsidRPr="00AB4117">
        <w:rPr>
          <w:sz w:val="24"/>
        </w:rPr>
        <w:t>միջազգային ստանդարտներին համապատասխան` ֆինանսական շուկայի ոլորտում ռիսկերի կարգավորման մոտեցումների ներդաշնակեցման մասով,</w:t>
      </w:r>
    </w:p>
    <w:p w:rsidR="00F60535" w:rsidRPr="00AB4117" w:rsidRDefault="000B1747" w:rsidP="00DC707A">
      <w:pPr>
        <w:pStyle w:val="Bodytext20"/>
        <w:shd w:val="clear" w:color="auto" w:fill="auto"/>
        <w:spacing w:before="0" w:after="160" w:line="360" w:lineRule="auto"/>
        <w:ind w:right="-8" w:firstLine="567"/>
        <w:rPr>
          <w:sz w:val="24"/>
          <w:szCs w:val="24"/>
        </w:rPr>
      </w:pPr>
      <w:r w:rsidRPr="00AB4117">
        <w:rPr>
          <w:sz w:val="24"/>
        </w:rPr>
        <w:t>վերահսկողական պահանջների եւ ֆինանսական շուկայի մասնակիցների վերահսկողության իրականացման կարգի ներդաշնակեցման մասով,</w:t>
      </w:r>
    </w:p>
    <w:p w:rsidR="002F189C" w:rsidRPr="00AB4117" w:rsidRDefault="000B1747" w:rsidP="00DC707A">
      <w:pPr>
        <w:pStyle w:val="Bodytext20"/>
        <w:shd w:val="clear" w:color="auto" w:fill="auto"/>
        <w:spacing w:before="0" w:after="160" w:line="360" w:lineRule="auto"/>
        <w:ind w:right="-8" w:firstLine="567"/>
        <w:rPr>
          <w:sz w:val="24"/>
        </w:rPr>
      </w:pPr>
      <w:r w:rsidRPr="00AB4117">
        <w:rPr>
          <w:sz w:val="24"/>
        </w:rPr>
        <w:t>լիցենզիաների փոխադարձ ճանաչման համար պայմանների ապահովման մասով,</w:t>
      </w:r>
    </w:p>
    <w:p w:rsidR="00F60535" w:rsidRPr="00AB4117" w:rsidRDefault="000B1747" w:rsidP="00DC707A">
      <w:pPr>
        <w:pStyle w:val="Bodytext20"/>
        <w:shd w:val="clear" w:color="auto" w:fill="auto"/>
        <w:spacing w:before="0" w:after="160" w:line="360" w:lineRule="auto"/>
        <w:ind w:right="-8" w:firstLine="567"/>
        <w:rPr>
          <w:sz w:val="24"/>
          <w:szCs w:val="24"/>
        </w:rPr>
      </w:pPr>
      <w:r w:rsidRPr="00AB4117">
        <w:rPr>
          <w:sz w:val="24"/>
        </w:rPr>
        <w:t>ֆինանսական շուկայի ոլորտում տեղեկատվության բացահայտման պահանջների ներդաշնակեցման մասով,</w:t>
      </w:r>
    </w:p>
    <w:p w:rsidR="00F60535" w:rsidRPr="00AB4117" w:rsidRDefault="000B1747" w:rsidP="00DC707A">
      <w:pPr>
        <w:pStyle w:val="Bodytext20"/>
        <w:shd w:val="clear" w:color="auto" w:fill="auto"/>
        <w:spacing w:before="0" w:after="160" w:line="360" w:lineRule="auto"/>
        <w:ind w:right="-8" w:firstLine="567"/>
        <w:rPr>
          <w:sz w:val="24"/>
          <w:szCs w:val="24"/>
        </w:rPr>
      </w:pPr>
      <w:r w:rsidRPr="00AB4117">
        <w:rPr>
          <w:sz w:val="24"/>
        </w:rPr>
        <w:t>անդամ պետությունների ներդրողների կողմից ֆինանսական շուկայի մասնակիցների կանոնակարգային կապիտալում մասնաբաժինների (բաժնետոմսերի) ձեռքբերման հարցով,</w:t>
      </w:r>
    </w:p>
    <w:p w:rsidR="00F60535" w:rsidRPr="00AB4117" w:rsidRDefault="000B1747" w:rsidP="00DC707A">
      <w:pPr>
        <w:pStyle w:val="Bodytext20"/>
        <w:shd w:val="clear" w:color="auto" w:fill="auto"/>
        <w:spacing w:before="0" w:after="160" w:line="360" w:lineRule="auto"/>
        <w:ind w:right="-8" w:firstLine="567"/>
        <w:rPr>
          <w:sz w:val="24"/>
          <w:szCs w:val="24"/>
        </w:rPr>
      </w:pPr>
      <w:r w:rsidRPr="00AB4117">
        <w:rPr>
          <w:sz w:val="24"/>
        </w:rPr>
        <w:t>ֆինանսական ծառայությունների սպառողների իրավունքների եւ շահերի պաշտպանության պահանջների ներդաշնակեցման մասով։</w:t>
      </w:r>
    </w:p>
    <w:p w:rsidR="00F60535" w:rsidRPr="00AB4117" w:rsidRDefault="000B1747" w:rsidP="00DC707A">
      <w:pPr>
        <w:pStyle w:val="Bodytext20"/>
        <w:shd w:val="clear" w:color="auto" w:fill="auto"/>
        <w:spacing w:before="0" w:after="160" w:line="360" w:lineRule="auto"/>
        <w:ind w:right="-8" w:firstLine="567"/>
        <w:jc w:val="center"/>
        <w:rPr>
          <w:sz w:val="24"/>
          <w:szCs w:val="24"/>
        </w:rPr>
      </w:pPr>
      <w:r w:rsidRPr="00AB4117">
        <w:rPr>
          <w:sz w:val="24"/>
        </w:rPr>
        <w:lastRenderedPageBreak/>
        <w:t>Հոդված 2. Սահմանումները</w:t>
      </w:r>
    </w:p>
    <w:p w:rsidR="00F60535" w:rsidRPr="00AB4117" w:rsidRDefault="000B1747" w:rsidP="00DC707A">
      <w:pPr>
        <w:pStyle w:val="Bodytext20"/>
        <w:shd w:val="clear" w:color="auto" w:fill="auto"/>
        <w:spacing w:before="0" w:after="160" w:line="360" w:lineRule="auto"/>
        <w:ind w:right="-8" w:firstLine="567"/>
        <w:rPr>
          <w:sz w:val="24"/>
          <w:szCs w:val="24"/>
        </w:rPr>
      </w:pPr>
      <w:r w:rsidRPr="00AB4117">
        <w:rPr>
          <w:sz w:val="24"/>
        </w:rPr>
        <w:t>Սույն համաձայնագրում օգտագործվող հասկացությունները կիրառվում են «Եվրասիական տնտեսական միության մասին» 2014 թվականի մայիսի 29-ի պայմանագրով սահմանված իմաստներով:</w:t>
      </w:r>
    </w:p>
    <w:p w:rsidR="009535BE" w:rsidRPr="00AB4117" w:rsidRDefault="009535BE" w:rsidP="00DC707A">
      <w:pPr>
        <w:pStyle w:val="Bodytext20"/>
        <w:shd w:val="clear" w:color="auto" w:fill="auto"/>
        <w:spacing w:before="0" w:after="160" w:line="360" w:lineRule="auto"/>
        <w:ind w:right="-8" w:firstLine="567"/>
        <w:jc w:val="center"/>
        <w:rPr>
          <w:sz w:val="24"/>
          <w:szCs w:val="24"/>
        </w:rPr>
      </w:pPr>
    </w:p>
    <w:p w:rsidR="00F60535" w:rsidRPr="00AB4117" w:rsidRDefault="000B1747" w:rsidP="002F189C">
      <w:pPr>
        <w:pStyle w:val="Bodytext20"/>
        <w:shd w:val="clear" w:color="auto" w:fill="auto"/>
        <w:spacing w:before="0" w:after="160" w:line="360" w:lineRule="auto"/>
        <w:ind w:right="-8" w:firstLine="0"/>
        <w:jc w:val="center"/>
        <w:rPr>
          <w:sz w:val="24"/>
          <w:szCs w:val="24"/>
        </w:rPr>
      </w:pPr>
      <w:r w:rsidRPr="00AB4117">
        <w:rPr>
          <w:sz w:val="24"/>
        </w:rPr>
        <w:t xml:space="preserve">Հոդված 3. Անդամ պետությունների </w:t>
      </w:r>
      <w:r w:rsidR="002F189C" w:rsidRPr="00AB4117">
        <w:rPr>
          <w:sz w:val="24"/>
        </w:rPr>
        <w:br/>
      </w:r>
      <w:r w:rsidRPr="00AB4117">
        <w:rPr>
          <w:sz w:val="24"/>
        </w:rPr>
        <w:t>օրենսդրության ներդաշնակեցման միջոցները</w:t>
      </w:r>
    </w:p>
    <w:p w:rsidR="00F60535" w:rsidRPr="00AB4117" w:rsidRDefault="006E5C8A" w:rsidP="002F189C">
      <w:pPr>
        <w:pStyle w:val="Bodytext20"/>
        <w:shd w:val="clear" w:color="auto" w:fill="auto"/>
        <w:tabs>
          <w:tab w:val="left" w:pos="1134"/>
        </w:tabs>
        <w:spacing w:before="0" w:after="160" w:line="360" w:lineRule="auto"/>
        <w:ind w:right="-8" w:firstLine="567"/>
        <w:rPr>
          <w:sz w:val="24"/>
          <w:szCs w:val="24"/>
        </w:rPr>
      </w:pPr>
      <w:r w:rsidRPr="00AB4117">
        <w:rPr>
          <w:sz w:val="24"/>
        </w:rPr>
        <w:t>1.</w:t>
      </w:r>
      <w:r w:rsidR="002F189C" w:rsidRPr="00AB4117">
        <w:rPr>
          <w:sz w:val="24"/>
        </w:rPr>
        <w:tab/>
      </w:r>
      <w:r w:rsidRPr="00AB4117">
        <w:rPr>
          <w:sz w:val="24"/>
        </w:rPr>
        <w:t>Ֆինանսական շուկայի ոլորտում անդամ պետությունների օրենսդրության ներդաշնակեցման նպատակով սույն համաձայնագրի մասնակիցները կձեռնարկեն միջոցներ, որոնք ներառում են՝</w:t>
      </w:r>
    </w:p>
    <w:p w:rsidR="00F60535" w:rsidRPr="00AB4117" w:rsidRDefault="000B1747" w:rsidP="00DC707A">
      <w:pPr>
        <w:pStyle w:val="Bodytext20"/>
        <w:shd w:val="clear" w:color="auto" w:fill="auto"/>
        <w:spacing w:before="0" w:after="160" w:line="360" w:lineRule="auto"/>
        <w:ind w:right="-8" w:firstLine="567"/>
        <w:rPr>
          <w:sz w:val="24"/>
          <w:szCs w:val="24"/>
        </w:rPr>
      </w:pPr>
      <w:r w:rsidRPr="00AB4117">
        <w:rPr>
          <w:sz w:val="24"/>
        </w:rPr>
        <w:t>փոխգործակցություն՝ ֆինանսական շուկայի ոլորտում անդամ պետությունների օրենսդրության ներդաշնակեցմանն ուղղված նորմատիվ իրավական ակտերի նախագծեր նախապատրաստելու ժամանակ,</w:t>
      </w:r>
    </w:p>
    <w:p w:rsidR="00F60535" w:rsidRPr="00AB4117" w:rsidRDefault="000B1747" w:rsidP="00DC707A">
      <w:pPr>
        <w:pStyle w:val="Bodytext20"/>
        <w:shd w:val="clear" w:color="auto" w:fill="auto"/>
        <w:spacing w:before="0" w:after="160" w:line="360" w:lineRule="auto"/>
        <w:ind w:right="-8" w:firstLine="567"/>
        <w:rPr>
          <w:sz w:val="24"/>
          <w:szCs w:val="24"/>
        </w:rPr>
      </w:pPr>
      <w:r w:rsidRPr="00AB4117">
        <w:rPr>
          <w:sz w:val="24"/>
        </w:rPr>
        <w:t>այլ միջոցներ, որոնք սույն համաձայնագրի մասնակիցները նպատակահարմար եւ հնարավոր կհամարեն՝ ֆինանսական շուկայի ոլորտում անդամ պետությունների օրենսդրության ներդաշնակեցման միջոցներն իրագործելու համար։</w:t>
      </w:r>
    </w:p>
    <w:p w:rsidR="00F60535" w:rsidRPr="00AB4117" w:rsidRDefault="006E5C8A" w:rsidP="002F189C">
      <w:pPr>
        <w:pStyle w:val="Bodytext20"/>
        <w:shd w:val="clear" w:color="auto" w:fill="auto"/>
        <w:tabs>
          <w:tab w:val="left" w:pos="1134"/>
        </w:tabs>
        <w:spacing w:before="0" w:after="160" w:line="360" w:lineRule="auto"/>
        <w:ind w:right="-8" w:firstLine="567"/>
        <w:rPr>
          <w:sz w:val="24"/>
          <w:szCs w:val="24"/>
        </w:rPr>
      </w:pPr>
      <w:r w:rsidRPr="00AB4117">
        <w:rPr>
          <w:sz w:val="24"/>
        </w:rPr>
        <w:t>2.</w:t>
      </w:r>
      <w:r w:rsidR="002F189C" w:rsidRPr="00E27D64">
        <w:rPr>
          <w:sz w:val="24"/>
        </w:rPr>
        <w:tab/>
      </w:r>
      <w:r w:rsidRPr="00AB4117">
        <w:rPr>
          <w:sz w:val="24"/>
        </w:rPr>
        <w:t xml:space="preserve">Անդամ պետություններից յուրաքանչյուրը որոշում է ընդունում այն մասին, թե այդ անդամ պետության որ նորմատիվ իրավական ակտերն են ենթակա մերձեցման՝ հաշվի առնելով սույն համաձայնագրի դրույթները, ինչպես նաեւ </w:t>
      </w:r>
      <w:r w:rsidRPr="00AB4117">
        <w:rPr>
          <w:spacing w:val="-6"/>
          <w:sz w:val="24"/>
        </w:rPr>
        <w:t>որոշում է ընդունում սույն համաձայնագրի 6-րդ հոդվածով սահմանված կարգով ֆինանսական շուկայի ոլորտում անդամ պետությունների օրենսդրության ներդաշնակեցման միջոցների իրագործման հերթականությունը սահմանելու մասին։</w:t>
      </w:r>
    </w:p>
    <w:p w:rsidR="00F60535" w:rsidRPr="00AB4117" w:rsidRDefault="000B1747" w:rsidP="00DC707A">
      <w:pPr>
        <w:pStyle w:val="Bodytext20"/>
        <w:shd w:val="clear" w:color="auto" w:fill="auto"/>
        <w:spacing w:before="0" w:after="160" w:line="360" w:lineRule="auto"/>
        <w:ind w:right="-8" w:firstLine="567"/>
        <w:rPr>
          <w:sz w:val="24"/>
          <w:szCs w:val="24"/>
        </w:rPr>
      </w:pPr>
      <w:r w:rsidRPr="00AB4117">
        <w:rPr>
          <w:sz w:val="24"/>
        </w:rPr>
        <w:t>Այդ որոշումներ</w:t>
      </w:r>
      <w:r w:rsidR="00A31071" w:rsidRPr="00AB4117">
        <w:rPr>
          <w:sz w:val="24"/>
        </w:rPr>
        <w:t>ով</w:t>
      </w:r>
      <w:r w:rsidRPr="00AB4117">
        <w:rPr>
          <w:sz w:val="24"/>
        </w:rPr>
        <w:t xml:space="preserve"> կարող </w:t>
      </w:r>
      <w:r w:rsidR="00210A6B" w:rsidRPr="00AB4117">
        <w:rPr>
          <w:sz w:val="24"/>
        </w:rPr>
        <w:t>է</w:t>
      </w:r>
      <w:r w:rsidRPr="00AB4117">
        <w:rPr>
          <w:sz w:val="24"/>
        </w:rPr>
        <w:t xml:space="preserve"> նախատես</w:t>
      </w:r>
      <w:r w:rsidR="00A31071" w:rsidRPr="00AB4117">
        <w:rPr>
          <w:sz w:val="24"/>
        </w:rPr>
        <w:t>վ</w:t>
      </w:r>
      <w:r w:rsidRPr="00AB4117">
        <w:rPr>
          <w:sz w:val="24"/>
        </w:rPr>
        <w:t>ել օրենսդրության ներդաշնակեցման միջոցների ընդունում ինչպես առանձին ուղղություններով, այնպես էլ բանկային, ապահովագրական եւ արժեթղթերի շուկայի ծառայությունների ոլորտներում իրավական կարգավորման ընդհանուր մոտեցումների առնչությամբ:</w:t>
      </w:r>
    </w:p>
    <w:p w:rsidR="00F60535" w:rsidRPr="00AB4117" w:rsidRDefault="000B1747" w:rsidP="00DC707A">
      <w:pPr>
        <w:pStyle w:val="Bodytext20"/>
        <w:shd w:val="clear" w:color="auto" w:fill="auto"/>
        <w:spacing w:before="0" w:after="160" w:line="360" w:lineRule="auto"/>
        <w:ind w:right="-8" w:firstLine="567"/>
        <w:jc w:val="center"/>
        <w:rPr>
          <w:sz w:val="24"/>
          <w:szCs w:val="24"/>
        </w:rPr>
      </w:pPr>
      <w:r w:rsidRPr="00AB4117">
        <w:rPr>
          <w:sz w:val="24"/>
        </w:rPr>
        <w:lastRenderedPageBreak/>
        <w:t xml:space="preserve">Հոդված 4. Անդամ պետությունների </w:t>
      </w:r>
      <w:r w:rsidR="002F189C" w:rsidRPr="00AB4117">
        <w:rPr>
          <w:sz w:val="24"/>
        </w:rPr>
        <w:br/>
      </w:r>
      <w:r w:rsidRPr="00AB4117">
        <w:rPr>
          <w:sz w:val="24"/>
        </w:rPr>
        <w:t>օրենսդրության ներդաշնակեցման ուղղությունները</w:t>
      </w:r>
    </w:p>
    <w:p w:rsidR="00F60535" w:rsidRPr="00AB4117" w:rsidRDefault="006E5C8A" w:rsidP="002F189C">
      <w:pPr>
        <w:pStyle w:val="Bodytext20"/>
        <w:shd w:val="clear" w:color="auto" w:fill="auto"/>
        <w:tabs>
          <w:tab w:val="left" w:pos="1134"/>
        </w:tabs>
        <w:spacing w:before="0" w:after="160" w:line="360" w:lineRule="auto"/>
        <w:ind w:right="-8" w:firstLine="567"/>
        <w:rPr>
          <w:sz w:val="24"/>
          <w:szCs w:val="24"/>
        </w:rPr>
      </w:pPr>
      <w:r w:rsidRPr="00AB4117">
        <w:rPr>
          <w:sz w:val="24"/>
        </w:rPr>
        <w:t>1.</w:t>
      </w:r>
      <w:r w:rsidR="002F189C" w:rsidRPr="00E27D64">
        <w:rPr>
          <w:sz w:val="24"/>
        </w:rPr>
        <w:tab/>
      </w:r>
      <w:r w:rsidRPr="00AB4117">
        <w:rPr>
          <w:sz w:val="24"/>
        </w:rPr>
        <w:t>Ֆինանսական շուկայի ոլորտում անդամ պետությունների օրենսդրության ներդաշնակեցման միջոցների իրագործումը կատարվում է «Ֆինանսական ծառայությունների մասին» արձանագրության («Եվրասիական տնտեսական միության մասին» 2014 թվականի մայիսի 29-ի պայմանագրի թիվ 17 հավելված) 22-26-րդ եւ 30-րդ կետերով սահմանված ուղղություններով:</w:t>
      </w:r>
    </w:p>
    <w:p w:rsidR="00F60535" w:rsidRPr="00AB4117" w:rsidRDefault="006E5C8A" w:rsidP="002F189C">
      <w:pPr>
        <w:pStyle w:val="Bodytext20"/>
        <w:shd w:val="clear" w:color="auto" w:fill="auto"/>
        <w:tabs>
          <w:tab w:val="left" w:pos="1134"/>
        </w:tabs>
        <w:spacing w:before="0" w:after="160" w:line="360" w:lineRule="auto"/>
        <w:ind w:right="-8" w:firstLine="567"/>
        <w:rPr>
          <w:sz w:val="24"/>
          <w:szCs w:val="24"/>
        </w:rPr>
      </w:pPr>
      <w:r w:rsidRPr="00AB4117">
        <w:rPr>
          <w:sz w:val="24"/>
        </w:rPr>
        <w:t>2.</w:t>
      </w:r>
      <w:r w:rsidR="002F189C" w:rsidRPr="00E27D64">
        <w:rPr>
          <w:sz w:val="24"/>
        </w:rPr>
        <w:tab/>
      </w:r>
      <w:r w:rsidRPr="00AB4117">
        <w:rPr>
          <w:sz w:val="24"/>
        </w:rPr>
        <w:t xml:space="preserve">Սույն համաձայնագրի մասնակիցներն իրականացնում են ֆինանսական ծառայությունների սպառողների իրավունքների եւ շահերի պաշտպանության </w:t>
      </w:r>
      <w:r w:rsidR="003755F9" w:rsidRPr="00AB4117">
        <w:rPr>
          <w:sz w:val="24"/>
        </w:rPr>
        <w:t>պ</w:t>
      </w:r>
      <w:r w:rsidRPr="00AB4117">
        <w:rPr>
          <w:sz w:val="24"/>
        </w:rPr>
        <w:t>ահանջների ներդաշնակեցումը։</w:t>
      </w:r>
    </w:p>
    <w:p w:rsidR="00F60535" w:rsidRPr="00AB4117" w:rsidRDefault="006E5C8A" w:rsidP="002F189C">
      <w:pPr>
        <w:pStyle w:val="Bodytext20"/>
        <w:shd w:val="clear" w:color="auto" w:fill="auto"/>
        <w:tabs>
          <w:tab w:val="left" w:pos="1134"/>
        </w:tabs>
        <w:spacing w:before="0" w:after="160" w:line="360" w:lineRule="auto"/>
        <w:ind w:right="-8" w:firstLine="567"/>
        <w:rPr>
          <w:sz w:val="24"/>
          <w:szCs w:val="24"/>
        </w:rPr>
      </w:pPr>
      <w:r w:rsidRPr="00AB4117">
        <w:rPr>
          <w:sz w:val="24"/>
        </w:rPr>
        <w:t>3.</w:t>
      </w:r>
      <w:r w:rsidR="002F189C" w:rsidRPr="00E27D64">
        <w:rPr>
          <w:sz w:val="24"/>
        </w:rPr>
        <w:tab/>
      </w:r>
      <w:r w:rsidRPr="00AB4117">
        <w:rPr>
          <w:sz w:val="24"/>
        </w:rPr>
        <w:t xml:space="preserve">Անդամ պետությունների ֆինանսական շուկաներում գործունեության իրականացման կոնկրետ պահանջների ներդաշնակեցումը պետք է իրականացվի այն պայմանով, որ պահպանվող տարբերությունները </w:t>
      </w:r>
      <w:r w:rsidR="00B3709E" w:rsidRPr="00AB4117">
        <w:rPr>
          <w:sz w:val="24"/>
        </w:rPr>
        <w:t>չ</w:t>
      </w:r>
      <w:r w:rsidRPr="00AB4117">
        <w:rPr>
          <w:sz w:val="24"/>
        </w:rPr>
        <w:t>խոչընդոտ</w:t>
      </w:r>
      <w:r w:rsidR="00B3709E" w:rsidRPr="00AB4117">
        <w:rPr>
          <w:sz w:val="24"/>
        </w:rPr>
        <w:t>են</w:t>
      </w:r>
      <w:r w:rsidRPr="00AB4117">
        <w:rPr>
          <w:sz w:val="24"/>
        </w:rPr>
        <w:t xml:space="preserve"> Եվրասիական տնտեսական միության շրջանակներում ընդհանուր ֆինանսական շուկայի արդյունավետ գործունեությ</w:t>
      </w:r>
      <w:r w:rsidR="000E4E60" w:rsidRPr="00AB4117">
        <w:rPr>
          <w:sz w:val="24"/>
        </w:rPr>
        <w:t>ու</w:t>
      </w:r>
      <w:r w:rsidRPr="00AB4117">
        <w:rPr>
          <w:sz w:val="24"/>
        </w:rPr>
        <w:t>նը։</w:t>
      </w:r>
    </w:p>
    <w:p w:rsidR="00F60535" w:rsidRPr="00AB4117" w:rsidRDefault="006E5C8A" w:rsidP="002F189C">
      <w:pPr>
        <w:pStyle w:val="Bodytext20"/>
        <w:shd w:val="clear" w:color="auto" w:fill="auto"/>
        <w:tabs>
          <w:tab w:val="left" w:pos="1134"/>
        </w:tabs>
        <w:spacing w:before="0" w:after="160" w:line="360" w:lineRule="auto"/>
        <w:ind w:right="-8" w:firstLine="567"/>
        <w:rPr>
          <w:sz w:val="24"/>
          <w:szCs w:val="24"/>
        </w:rPr>
      </w:pPr>
      <w:r w:rsidRPr="00AB4117">
        <w:rPr>
          <w:sz w:val="24"/>
        </w:rPr>
        <w:t>4.</w:t>
      </w:r>
      <w:r w:rsidR="002F189C" w:rsidRPr="00E27D64">
        <w:rPr>
          <w:sz w:val="24"/>
        </w:rPr>
        <w:tab/>
      </w:r>
      <w:r w:rsidRPr="00AB4117">
        <w:rPr>
          <w:sz w:val="24"/>
        </w:rPr>
        <w:t>Անդամ պետությունները մինչեւ 2025 թվականի հունվարի 1-ը կավարտեն ֆինանսական ոլորտում իրենց օրենսդրության ներդաշնակեցման գործընթացը՝ սույն հոդվածի 1-ին եւ 2-րդ կետերով նախատեսված ուղղություններին համապատասխան:</w:t>
      </w:r>
    </w:p>
    <w:p w:rsidR="009535BE" w:rsidRPr="00AB4117" w:rsidRDefault="009535BE" w:rsidP="00DC707A">
      <w:pPr>
        <w:pStyle w:val="Bodytext20"/>
        <w:shd w:val="clear" w:color="auto" w:fill="auto"/>
        <w:spacing w:before="0" w:after="160" w:line="360" w:lineRule="auto"/>
        <w:ind w:right="-8" w:firstLine="567"/>
        <w:rPr>
          <w:sz w:val="24"/>
          <w:szCs w:val="24"/>
        </w:rPr>
      </w:pPr>
    </w:p>
    <w:p w:rsidR="00F60535" w:rsidRPr="00AB4117" w:rsidRDefault="000B1747" w:rsidP="00DC707A">
      <w:pPr>
        <w:pStyle w:val="Bodytext20"/>
        <w:shd w:val="clear" w:color="auto" w:fill="auto"/>
        <w:spacing w:before="0" w:after="160" w:line="360" w:lineRule="auto"/>
        <w:ind w:right="-8" w:firstLine="567"/>
        <w:jc w:val="center"/>
        <w:rPr>
          <w:sz w:val="24"/>
          <w:szCs w:val="24"/>
        </w:rPr>
      </w:pPr>
      <w:r w:rsidRPr="00AB4117">
        <w:rPr>
          <w:sz w:val="24"/>
        </w:rPr>
        <w:t xml:space="preserve">Հոդված 5. Անդամ պետությունների </w:t>
      </w:r>
      <w:r w:rsidR="002F189C" w:rsidRPr="00AB4117">
        <w:rPr>
          <w:sz w:val="24"/>
        </w:rPr>
        <w:br/>
      </w:r>
      <w:r w:rsidRPr="00AB4117">
        <w:rPr>
          <w:sz w:val="24"/>
        </w:rPr>
        <w:t>օրենսդրության ներդաշնակեցման սկզբունքները</w:t>
      </w:r>
    </w:p>
    <w:p w:rsidR="00F60535" w:rsidRPr="00AB4117" w:rsidRDefault="000B1747" w:rsidP="00DC707A">
      <w:pPr>
        <w:pStyle w:val="Bodytext20"/>
        <w:shd w:val="clear" w:color="auto" w:fill="auto"/>
        <w:spacing w:before="0" w:after="160" w:line="360" w:lineRule="auto"/>
        <w:ind w:right="-8" w:firstLine="567"/>
        <w:rPr>
          <w:sz w:val="24"/>
          <w:szCs w:val="24"/>
        </w:rPr>
      </w:pPr>
      <w:r w:rsidRPr="00AB4117">
        <w:rPr>
          <w:sz w:val="24"/>
        </w:rPr>
        <w:t xml:space="preserve">Սույն համաձայնագրի մասնակիցները ֆինանսական շուկայի ոլորտում իրենց պետությունների օրենսդրության ներդաշնակեցման ընթացքում առաջնորդվում են Բանկային վերահսկողության </w:t>
      </w:r>
      <w:r w:rsidR="00D601D3" w:rsidRPr="00AB4117">
        <w:rPr>
          <w:sz w:val="24"/>
        </w:rPr>
        <w:t>բ</w:t>
      </w:r>
      <w:r w:rsidRPr="00AB4117">
        <w:rPr>
          <w:sz w:val="24"/>
        </w:rPr>
        <w:t xml:space="preserve">ազելյան կոմիտեի՝ արդյունավետ բանկային վերահսկողության հիմնարար սկզբունքներով, Ապահովագրական վերահսկողների միջազգային ասոցիացիայի </w:t>
      </w:r>
      <w:r w:rsidRPr="00AB4117">
        <w:rPr>
          <w:sz w:val="24"/>
        </w:rPr>
        <w:lastRenderedPageBreak/>
        <w:t>ապահովագրական վերահսկողության հիմնարար սկզբունքներով, Արժեթղթերի հանձնաժողովների միջազգային կազմակերպության, Տնտեսական համագործակցության եւ զարգացման կազմակերպության սկզբունքներով եւ լավագույն միջազգային փորձով, Փողերի լվացման դեմ պայքարի ֆինանսական գործողությունների հանձնախմբի (ՖԱՏՖ)՝ փողերի լվացման, ահաբեկչության ֆինանսավորման եւ զանգվածային ոչնչացման զենքի տարածման ֆինանսավորման դեմ պայքարի միջազգային ստանդարտներով, ինչպես նաեւ ֆինանսական շուկայի կարգավորման ոլորտի այլ միջազգային սկզբունքներով եւ ստանդարտներով:</w:t>
      </w:r>
    </w:p>
    <w:p w:rsidR="009535BE" w:rsidRPr="00AB4117" w:rsidRDefault="009535BE" w:rsidP="00DC707A">
      <w:pPr>
        <w:pStyle w:val="Bodytext20"/>
        <w:shd w:val="clear" w:color="auto" w:fill="auto"/>
        <w:spacing w:before="0" w:after="160" w:line="360" w:lineRule="auto"/>
        <w:ind w:right="-8" w:firstLine="567"/>
        <w:jc w:val="center"/>
        <w:rPr>
          <w:sz w:val="24"/>
          <w:szCs w:val="24"/>
        </w:rPr>
      </w:pPr>
    </w:p>
    <w:p w:rsidR="00F60535" w:rsidRPr="00AB4117" w:rsidRDefault="000B1747" w:rsidP="002F189C">
      <w:pPr>
        <w:pStyle w:val="Bodytext20"/>
        <w:shd w:val="clear" w:color="auto" w:fill="auto"/>
        <w:spacing w:before="0" w:after="160" w:line="360" w:lineRule="auto"/>
        <w:ind w:right="-8" w:firstLine="0"/>
        <w:jc w:val="center"/>
        <w:rPr>
          <w:sz w:val="24"/>
          <w:szCs w:val="24"/>
        </w:rPr>
      </w:pPr>
      <w:r w:rsidRPr="00AB4117">
        <w:rPr>
          <w:sz w:val="24"/>
        </w:rPr>
        <w:t>Հոդված 6. Համաձայնագրի իրականացման մեխանիզմը</w:t>
      </w:r>
    </w:p>
    <w:p w:rsidR="00F60535" w:rsidRPr="00AB4117" w:rsidRDefault="006E5C8A" w:rsidP="002F189C">
      <w:pPr>
        <w:pStyle w:val="Bodytext20"/>
        <w:shd w:val="clear" w:color="auto" w:fill="auto"/>
        <w:tabs>
          <w:tab w:val="left" w:pos="1134"/>
        </w:tabs>
        <w:spacing w:before="0" w:after="160" w:line="360" w:lineRule="auto"/>
        <w:ind w:right="-8" w:firstLine="567"/>
        <w:rPr>
          <w:sz w:val="24"/>
          <w:szCs w:val="24"/>
        </w:rPr>
      </w:pPr>
      <w:r w:rsidRPr="00AB4117">
        <w:rPr>
          <w:sz w:val="24"/>
        </w:rPr>
        <w:t>1.</w:t>
      </w:r>
      <w:r w:rsidR="002F189C" w:rsidRPr="00E27D64">
        <w:rPr>
          <w:sz w:val="24"/>
        </w:rPr>
        <w:tab/>
      </w:r>
      <w:r w:rsidRPr="00AB4117">
        <w:rPr>
          <w:sz w:val="24"/>
        </w:rPr>
        <w:t>Սույն hամաձայնագրի մասնակիցները Եվրասիական տնտեսական հանձնաժողովի հետ համատեղ սույն համաձայնագիրն ուժի մեջ մտնելու օրվանից 9 ամսվա ընթացքում մշակում են անդամ պետությունների օրենսդրության ներդաշնակեցման պլանը՝ նշելով անդամ պետությունների օրենսդրության ներդաշնակեցման անցկացման փուլերն ու ժամկետները (այսուհետ՝ ներդաշնակեցման պլան), որը հաստատվում է Եվրասիական տնտեսական բարձրագույն խորհրդի կողմից:</w:t>
      </w:r>
    </w:p>
    <w:p w:rsidR="00F60535" w:rsidRPr="00AB4117" w:rsidRDefault="006E5C8A" w:rsidP="002F189C">
      <w:pPr>
        <w:pStyle w:val="Bodytext20"/>
        <w:shd w:val="clear" w:color="auto" w:fill="auto"/>
        <w:tabs>
          <w:tab w:val="left" w:pos="1134"/>
        </w:tabs>
        <w:spacing w:before="0" w:after="160" w:line="360" w:lineRule="auto"/>
        <w:ind w:right="-8" w:firstLine="567"/>
        <w:rPr>
          <w:sz w:val="24"/>
          <w:szCs w:val="24"/>
        </w:rPr>
      </w:pPr>
      <w:r w:rsidRPr="00AB4117">
        <w:rPr>
          <w:sz w:val="24"/>
        </w:rPr>
        <w:t>2.</w:t>
      </w:r>
      <w:r w:rsidR="002F189C" w:rsidRPr="00E27D64">
        <w:rPr>
          <w:sz w:val="24"/>
        </w:rPr>
        <w:tab/>
      </w:r>
      <w:r w:rsidRPr="00AB4117">
        <w:rPr>
          <w:sz w:val="24"/>
        </w:rPr>
        <w:t>Ֆինանսական շուկայի ոլորտում անդամ պետությունների օրենսդրության ներդաշնակեցման (այդ թվում՝ միջազգային համաձայնագրերի ընդունման միջոցով) վերաբերյալ սույն համաձայնագրի մասնակիցների կողմից համաձայնեցված առաջարկները, որոնք մշակվել են ներդաշնակեցման պլանին համապատասխան, եւ անդամ պետությունների օրենսդրության մեջ առաջարկների կիրարկման ժամկետները հաստատվում են Եվրասիական տնտեսական բարձրագույն խորհրդի կողմից:</w:t>
      </w:r>
    </w:p>
    <w:p w:rsidR="00F60535" w:rsidRPr="00AB4117" w:rsidRDefault="006E5C8A" w:rsidP="002F189C">
      <w:pPr>
        <w:pStyle w:val="Bodytext20"/>
        <w:shd w:val="clear" w:color="auto" w:fill="auto"/>
        <w:tabs>
          <w:tab w:val="left" w:pos="1134"/>
        </w:tabs>
        <w:spacing w:before="0" w:after="160" w:line="360" w:lineRule="auto"/>
        <w:ind w:right="-8" w:firstLine="567"/>
        <w:rPr>
          <w:sz w:val="24"/>
          <w:szCs w:val="24"/>
        </w:rPr>
      </w:pPr>
      <w:r w:rsidRPr="00AB4117">
        <w:rPr>
          <w:sz w:val="24"/>
        </w:rPr>
        <w:t>3.</w:t>
      </w:r>
      <w:r w:rsidR="002F189C" w:rsidRPr="00E27D64">
        <w:rPr>
          <w:sz w:val="24"/>
        </w:rPr>
        <w:tab/>
      </w:r>
      <w:r w:rsidRPr="00AB4117">
        <w:rPr>
          <w:sz w:val="24"/>
        </w:rPr>
        <w:t>Եվրասիական տնտեսական հանձնաժողովը համակարգում է անդամ պետությունների  օրենսդրության ներդաշնակեցման պլանի և ներդաշնակեցման վերաբերյալ առաջարկների մշակման գործունեություն</w:t>
      </w:r>
      <w:r w:rsidR="00343D4C" w:rsidRPr="00AB4117">
        <w:rPr>
          <w:sz w:val="24"/>
        </w:rPr>
        <w:t>ն</w:t>
      </w:r>
      <w:r w:rsidRPr="00AB4117">
        <w:rPr>
          <w:sz w:val="24"/>
        </w:rPr>
        <w:t xml:space="preserve"> այդ պլանի կետերին </w:t>
      </w:r>
      <w:r w:rsidRPr="00AB4117">
        <w:rPr>
          <w:sz w:val="24"/>
        </w:rPr>
        <w:lastRenderedPageBreak/>
        <w:t>համապատասխան, յուրաքանչյուր տարի նախապատրաստում է դրա կատարման վերաբերյալ հաշվետվություն և ներկայացնում այդ հաշվետվությունը Եվրասիական տնտեսական բարձրագույն խորհրդի հաստատմանը:</w:t>
      </w:r>
    </w:p>
    <w:p w:rsidR="009535BE" w:rsidRPr="00AB4117" w:rsidRDefault="009535BE" w:rsidP="00DC707A">
      <w:pPr>
        <w:pStyle w:val="Bodytext20"/>
        <w:shd w:val="clear" w:color="auto" w:fill="auto"/>
        <w:spacing w:before="0" w:after="160" w:line="360" w:lineRule="auto"/>
        <w:ind w:right="-8" w:firstLine="567"/>
        <w:jc w:val="center"/>
        <w:rPr>
          <w:sz w:val="24"/>
          <w:szCs w:val="24"/>
        </w:rPr>
      </w:pPr>
    </w:p>
    <w:p w:rsidR="00F60535" w:rsidRPr="00AB4117" w:rsidRDefault="000B1747" w:rsidP="002F189C">
      <w:pPr>
        <w:pStyle w:val="Bodytext20"/>
        <w:shd w:val="clear" w:color="auto" w:fill="auto"/>
        <w:spacing w:before="0" w:after="160" w:line="360" w:lineRule="auto"/>
        <w:ind w:right="-8" w:firstLine="0"/>
        <w:jc w:val="center"/>
        <w:rPr>
          <w:sz w:val="24"/>
          <w:szCs w:val="24"/>
        </w:rPr>
      </w:pPr>
      <w:r w:rsidRPr="00AB4117">
        <w:rPr>
          <w:sz w:val="24"/>
        </w:rPr>
        <w:t>Հոդված 7. Փոփոխություններ կատարելը</w:t>
      </w:r>
    </w:p>
    <w:p w:rsidR="00F60535" w:rsidRPr="00AB4117" w:rsidRDefault="000B1747" w:rsidP="00DC707A">
      <w:pPr>
        <w:pStyle w:val="Bodytext20"/>
        <w:shd w:val="clear" w:color="auto" w:fill="auto"/>
        <w:spacing w:before="0" w:after="160" w:line="360" w:lineRule="auto"/>
        <w:ind w:right="-8" w:firstLine="567"/>
        <w:rPr>
          <w:sz w:val="24"/>
          <w:szCs w:val="24"/>
        </w:rPr>
      </w:pPr>
      <w:r w:rsidRPr="00AB4117">
        <w:rPr>
          <w:sz w:val="24"/>
        </w:rPr>
        <w:t>Անդամ պետությունների փոխադարձ համաձայնությամբ սույն համաձայնագրում կարող են կատարվել փոփոխություններ, որոնք ձևակերպվում են առանձին արձանագրություններով։</w:t>
      </w:r>
    </w:p>
    <w:p w:rsidR="009535BE" w:rsidRPr="00AB4117" w:rsidRDefault="009535BE" w:rsidP="00DC707A">
      <w:pPr>
        <w:pStyle w:val="Bodytext20"/>
        <w:shd w:val="clear" w:color="auto" w:fill="auto"/>
        <w:spacing w:before="0" w:after="160" w:line="360" w:lineRule="auto"/>
        <w:ind w:right="-8" w:firstLine="567"/>
        <w:jc w:val="center"/>
        <w:rPr>
          <w:sz w:val="24"/>
          <w:szCs w:val="24"/>
        </w:rPr>
      </w:pPr>
    </w:p>
    <w:p w:rsidR="00F60535" w:rsidRPr="00AB4117" w:rsidRDefault="000B1747" w:rsidP="002F189C">
      <w:pPr>
        <w:pStyle w:val="Bodytext20"/>
        <w:shd w:val="clear" w:color="auto" w:fill="auto"/>
        <w:spacing w:before="0" w:after="160" w:line="360" w:lineRule="auto"/>
        <w:ind w:right="-8" w:firstLine="0"/>
        <w:jc w:val="center"/>
        <w:rPr>
          <w:sz w:val="24"/>
          <w:szCs w:val="24"/>
        </w:rPr>
      </w:pPr>
      <w:r w:rsidRPr="00AB4117">
        <w:rPr>
          <w:sz w:val="24"/>
        </w:rPr>
        <w:t>Հոդված 8. Վեճերի կարգավորումը</w:t>
      </w:r>
    </w:p>
    <w:p w:rsidR="00F60535" w:rsidRPr="00AB4117" w:rsidRDefault="000B1747" w:rsidP="00DC707A">
      <w:pPr>
        <w:pStyle w:val="Bodytext20"/>
        <w:shd w:val="clear" w:color="auto" w:fill="auto"/>
        <w:spacing w:before="0" w:after="160" w:line="360" w:lineRule="auto"/>
        <w:ind w:right="-8" w:firstLine="567"/>
        <w:rPr>
          <w:sz w:val="24"/>
          <w:szCs w:val="24"/>
        </w:rPr>
      </w:pPr>
      <w:r w:rsidRPr="00AB4117">
        <w:rPr>
          <w:sz w:val="24"/>
        </w:rPr>
        <w:t>Սույն համաձայնագրի մեկնաբանման և (կամ) կիրառման հետ կապված վեճերը կարգավորվում են «Եվրասիական տնտեսական միության մասին» 2014 թվականի մայիսի 29-ի պայմանագրով սահմանված կարգով։</w:t>
      </w:r>
    </w:p>
    <w:p w:rsidR="009535BE" w:rsidRPr="00AB4117" w:rsidRDefault="009535BE" w:rsidP="00DC707A">
      <w:pPr>
        <w:pStyle w:val="Bodytext20"/>
        <w:shd w:val="clear" w:color="auto" w:fill="auto"/>
        <w:spacing w:before="0" w:after="160" w:line="360" w:lineRule="auto"/>
        <w:ind w:right="-8" w:firstLine="567"/>
        <w:jc w:val="center"/>
        <w:rPr>
          <w:sz w:val="24"/>
          <w:szCs w:val="24"/>
        </w:rPr>
      </w:pPr>
    </w:p>
    <w:p w:rsidR="00F60535" w:rsidRPr="00AB4117" w:rsidRDefault="000B1747" w:rsidP="00DC707A">
      <w:pPr>
        <w:pStyle w:val="Bodytext20"/>
        <w:shd w:val="clear" w:color="auto" w:fill="auto"/>
        <w:spacing w:before="0" w:after="160" w:line="360" w:lineRule="auto"/>
        <w:ind w:right="-8" w:firstLine="567"/>
        <w:jc w:val="center"/>
        <w:rPr>
          <w:sz w:val="24"/>
          <w:szCs w:val="24"/>
        </w:rPr>
      </w:pPr>
      <w:r w:rsidRPr="00AB4117">
        <w:rPr>
          <w:sz w:val="24"/>
        </w:rPr>
        <w:t>Հոդված 9. Եզրափակիչ դրույթներ</w:t>
      </w:r>
    </w:p>
    <w:p w:rsidR="00F60535" w:rsidRPr="00AB4117" w:rsidRDefault="000B1747" w:rsidP="00DC707A">
      <w:pPr>
        <w:pStyle w:val="Bodytext20"/>
        <w:shd w:val="clear" w:color="auto" w:fill="auto"/>
        <w:spacing w:before="0" w:after="160" w:line="360" w:lineRule="auto"/>
        <w:ind w:right="-8" w:firstLine="567"/>
        <w:rPr>
          <w:sz w:val="24"/>
          <w:szCs w:val="24"/>
        </w:rPr>
      </w:pPr>
      <w:r w:rsidRPr="00AB4117">
        <w:rPr>
          <w:sz w:val="24"/>
        </w:rPr>
        <w:t>Սույն համաձայնագիրը Եվրասիական տնտեսական միության շրջանակներում կնքված միջազգային պայմանագիր է եւ Եվրասիական տնտեսական միության իրավունքի մասն է կազմում։</w:t>
      </w:r>
    </w:p>
    <w:p w:rsidR="00F60535" w:rsidRPr="00AB4117" w:rsidRDefault="000B1747" w:rsidP="00DC707A">
      <w:pPr>
        <w:pStyle w:val="Bodytext20"/>
        <w:shd w:val="clear" w:color="auto" w:fill="auto"/>
        <w:spacing w:before="0" w:after="160" w:line="360" w:lineRule="auto"/>
        <w:ind w:right="-8" w:firstLine="567"/>
        <w:rPr>
          <w:sz w:val="24"/>
          <w:szCs w:val="24"/>
        </w:rPr>
      </w:pPr>
      <w:r w:rsidRPr="00AB4117">
        <w:rPr>
          <w:sz w:val="24"/>
        </w:rPr>
        <w:t>Սույն համաձայնագիրն ուժի մեջ է մտնում սույն համաձայնագիրն ուժի մեջ մտնելու համար անհրաժեշտ ներպետական ընթացակարգերն անդամ պետությունների կողմից կատարված լինելու մասին վերջին գրավոր ծանուցումն ավանդապահի կողմից դիվանագիտական ուղիներով ստանալու օրվանից 30 օրացուցային օրը լրանալուց հետո։</w:t>
      </w:r>
    </w:p>
    <w:p w:rsidR="00F60535" w:rsidRPr="00AB4117" w:rsidRDefault="000B1747" w:rsidP="002F189C">
      <w:pPr>
        <w:pStyle w:val="Bodytext20"/>
        <w:shd w:val="clear" w:color="auto" w:fill="auto"/>
        <w:tabs>
          <w:tab w:val="left" w:pos="2977"/>
        </w:tabs>
        <w:spacing w:before="0" w:after="160" w:line="360" w:lineRule="auto"/>
        <w:ind w:right="-8" w:firstLine="567"/>
        <w:rPr>
          <w:sz w:val="24"/>
          <w:szCs w:val="24"/>
        </w:rPr>
      </w:pPr>
      <w:r w:rsidRPr="00AB4117">
        <w:rPr>
          <w:sz w:val="24"/>
        </w:rPr>
        <w:t xml:space="preserve">Կատարված է </w:t>
      </w:r>
      <w:r w:rsidR="002F189C" w:rsidRPr="00E27D64">
        <w:rPr>
          <w:sz w:val="24"/>
        </w:rPr>
        <w:tab/>
      </w:r>
      <w:r w:rsidRPr="00AB4117">
        <w:rPr>
          <w:sz w:val="24"/>
        </w:rPr>
        <w:t xml:space="preserve">քաղաքում 2016 թվականի </w:t>
      </w:r>
      <w:r w:rsidR="002F189C" w:rsidRPr="00E27D64">
        <w:rPr>
          <w:sz w:val="24"/>
        </w:rPr>
        <w:tab/>
      </w:r>
      <w:r w:rsidRPr="00AB4117">
        <w:rPr>
          <w:sz w:val="24"/>
        </w:rPr>
        <w:t xml:space="preserve"> «</w:t>
      </w:r>
      <w:r w:rsidR="002F189C" w:rsidRPr="00E27D64">
        <w:rPr>
          <w:sz w:val="24"/>
        </w:rPr>
        <w:tab/>
      </w:r>
      <w:r w:rsidRPr="00AB4117">
        <w:rPr>
          <w:sz w:val="24"/>
        </w:rPr>
        <w:t>»-ին, մեկ բնօրինակից՝ ռուսերենով։</w:t>
      </w:r>
    </w:p>
    <w:p w:rsidR="00F60535" w:rsidRPr="00AB4117" w:rsidRDefault="000B1747" w:rsidP="00DC707A">
      <w:pPr>
        <w:pStyle w:val="Bodytext20"/>
        <w:shd w:val="clear" w:color="auto" w:fill="auto"/>
        <w:spacing w:before="0" w:after="160" w:line="360" w:lineRule="auto"/>
        <w:ind w:right="-8" w:firstLine="567"/>
        <w:rPr>
          <w:sz w:val="24"/>
          <w:szCs w:val="24"/>
        </w:rPr>
      </w:pPr>
      <w:r w:rsidRPr="00AB4117">
        <w:rPr>
          <w:sz w:val="24"/>
        </w:rPr>
        <w:lastRenderedPageBreak/>
        <w:t>Սույն համաձայնագրի բնօրինակը պահվում է Եվրասիական տնտեսական հանձնաժողովում, որը՝ որպես սույն համաձայնագրի ավանդապահ, յուրաքանչյուր անդամ պետություն կուղարկի դրա հաստատված պատճենը։</w:t>
      </w:r>
    </w:p>
    <w:p w:rsidR="00CF7461" w:rsidRPr="00AB4117" w:rsidRDefault="00CF7461" w:rsidP="00DC707A">
      <w:pPr>
        <w:spacing w:after="160" w:line="360" w:lineRule="auto"/>
        <w:jc w:val="center"/>
        <w:rPr>
          <w:rFonts w:ascii="Sylfaen" w:hAnsi="Sylfaen"/>
        </w:rPr>
      </w:pPr>
    </w:p>
    <w:tbl>
      <w:tblPr>
        <w:tblW w:w="0" w:type="auto"/>
        <w:jc w:val="center"/>
        <w:tblLayout w:type="fixed"/>
        <w:tblCellMar>
          <w:left w:w="0" w:type="dxa"/>
          <w:right w:w="0" w:type="dxa"/>
        </w:tblCellMar>
        <w:tblLook w:val="0000" w:firstRow="0" w:lastRow="0" w:firstColumn="0" w:lastColumn="0" w:noHBand="0" w:noVBand="0"/>
      </w:tblPr>
      <w:tblGrid>
        <w:gridCol w:w="3820"/>
        <w:gridCol w:w="2074"/>
        <w:gridCol w:w="3794"/>
      </w:tblGrid>
      <w:tr w:rsidR="00CF7461" w:rsidRPr="00AB4117" w:rsidTr="002F189C">
        <w:trPr>
          <w:jc w:val="center"/>
        </w:trPr>
        <w:tc>
          <w:tcPr>
            <w:tcW w:w="3820" w:type="dxa"/>
            <w:tcBorders>
              <w:top w:val="nil"/>
              <w:left w:val="nil"/>
              <w:bottom w:val="nil"/>
              <w:right w:val="nil"/>
            </w:tcBorders>
            <w:shd w:val="clear" w:color="auto" w:fill="FFFFFF"/>
            <w:vAlign w:val="center"/>
          </w:tcPr>
          <w:p w:rsidR="00CF7461" w:rsidRPr="00AB4117" w:rsidRDefault="00CF7461" w:rsidP="00DC707A">
            <w:pPr>
              <w:spacing w:after="160" w:line="360" w:lineRule="auto"/>
              <w:jc w:val="center"/>
              <w:rPr>
                <w:rFonts w:ascii="Sylfaen" w:eastAsia="Times New Roman" w:hAnsi="Sylfaen" w:cs="Times New Roman"/>
                <w:b/>
                <w:color w:val="auto"/>
              </w:rPr>
            </w:pPr>
            <w:r w:rsidRPr="00AB4117">
              <w:rPr>
                <w:rFonts w:ascii="Sylfaen" w:hAnsi="Sylfaen"/>
                <w:b/>
              </w:rPr>
              <w:t xml:space="preserve">Հայաստանի Հանրապետության </w:t>
            </w:r>
            <w:r w:rsidR="002A3901" w:rsidRPr="00AB4117">
              <w:rPr>
                <w:rFonts w:ascii="Sylfaen" w:hAnsi="Sylfaen"/>
                <w:b/>
              </w:rPr>
              <w:t>կ</w:t>
            </w:r>
            <w:r w:rsidRPr="00AB4117">
              <w:rPr>
                <w:rFonts w:ascii="Sylfaen" w:hAnsi="Sylfaen"/>
                <w:b/>
              </w:rPr>
              <w:t>առավարության կողմից՝</w:t>
            </w:r>
          </w:p>
        </w:tc>
        <w:tc>
          <w:tcPr>
            <w:tcW w:w="2074" w:type="dxa"/>
            <w:tcBorders>
              <w:top w:val="nil"/>
              <w:left w:val="nil"/>
              <w:bottom w:val="nil"/>
              <w:right w:val="nil"/>
            </w:tcBorders>
            <w:shd w:val="clear" w:color="auto" w:fill="FFFFFF"/>
          </w:tcPr>
          <w:p w:rsidR="00CF7461" w:rsidRPr="00AB4117" w:rsidRDefault="00CF7461" w:rsidP="00DC707A">
            <w:pPr>
              <w:spacing w:after="160" w:line="360" w:lineRule="auto"/>
              <w:jc w:val="center"/>
              <w:rPr>
                <w:rFonts w:ascii="Sylfaen" w:eastAsia="Times New Roman" w:hAnsi="Sylfaen" w:cs="Times New Roman"/>
                <w:b/>
                <w:color w:val="auto"/>
              </w:rPr>
            </w:pPr>
          </w:p>
        </w:tc>
        <w:tc>
          <w:tcPr>
            <w:tcW w:w="3794" w:type="dxa"/>
            <w:tcBorders>
              <w:top w:val="nil"/>
              <w:left w:val="nil"/>
              <w:bottom w:val="nil"/>
              <w:right w:val="nil"/>
            </w:tcBorders>
            <w:shd w:val="clear" w:color="auto" w:fill="FFFFFF"/>
            <w:vAlign w:val="center"/>
          </w:tcPr>
          <w:p w:rsidR="00CF7461" w:rsidRPr="00AB4117" w:rsidRDefault="00CF7461" w:rsidP="00DC707A">
            <w:pPr>
              <w:spacing w:after="160" w:line="360" w:lineRule="auto"/>
              <w:jc w:val="center"/>
              <w:rPr>
                <w:rFonts w:ascii="Sylfaen" w:eastAsia="Times New Roman" w:hAnsi="Sylfaen" w:cs="Times New Roman"/>
                <w:b/>
                <w:color w:val="auto"/>
              </w:rPr>
            </w:pPr>
            <w:r w:rsidRPr="00AB4117">
              <w:rPr>
                <w:rFonts w:ascii="Sylfaen" w:hAnsi="Sylfaen"/>
                <w:b/>
              </w:rPr>
              <w:t>Հայաստանի Հանրապետության կենտրոնական բանկի կողմից՝</w:t>
            </w:r>
          </w:p>
        </w:tc>
      </w:tr>
      <w:tr w:rsidR="00CF7461" w:rsidRPr="00AB4117" w:rsidTr="002F189C">
        <w:trPr>
          <w:jc w:val="center"/>
        </w:trPr>
        <w:tc>
          <w:tcPr>
            <w:tcW w:w="3820" w:type="dxa"/>
            <w:tcBorders>
              <w:top w:val="nil"/>
              <w:left w:val="nil"/>
              <w:bottom w:val="nil"/>
              <w:right w:val="nil"/>
            </w:tcBorders>
            <w:shd w:val="clear" w:color="auto" w:fill="FFFFFF"/>
            <w:vAlign w:val="center"/>
          </w:tcPr>
          <w:p w:rsidR="00CF7461" w:rsidRPr="00AB4117" w:rsidRDefault="00CF7461" w:rsidP="00DC707A">
            <w:pPr>
              <w:spacing w:after="160" w:line="360" w:lineRule="auto"/>
              <w:jc w:val="center"/>
              <w:rPr>
                <w:rFonts w:ascii="Sylfaen" w:eastAsia="Times New Roman" w:hAnsi="Sylfaen" w:cs="Times New Roman"/>
                <w:b/>
                <w:color w:val="auto"/>
              </w:rPr>
            </w:pPr>
            <w:r w:rsidRPr="00AB4117">
              <w:rPr>
                <w:rFonts w:ascii="Sylfaen" w:hAnsi="Sylfaen"/>
                <w:b/>
              </w:rPr>
              <w:t xml:space="preserve">Բելառուսի Հանրապետության </w:t>
            </w:r>
            <w:r w:rsidR="002A3901" w:rsidRPr="00AB4117">
              <w:rPr>
                <w:rFonts w:ascii="Sylfaen" w:hAnsi="Sylfaen"/>
                <w:b/>
              </w:rPr>
              <w:t>կ</w:t>
            </w:r>
            <w:r w:rsidRPr="00AB4117">
              <w:rPr>
                <w:rFonts w:ascii="Sylfaen" w:hAnsi="Sylfaen"/>
                <w:b/>
              </w:rPr>
              <w:t>առավարության կողմից՝</w:t>
            </w:r>
          </w:p>
        </w:tc>
        <w:tc>
          <w:tcPr>
            <w:tcW w:w="2074" w:type="dxa"/>
            <w:tcBorders>
              <w:top w:val="nil"/>
              <w:left w:val="nil"/>
              <w:bottom w:val="nil"/>
              <w:right w:val="nil"/>
            </w:tcBorders>
            <w:shd w:val="clear" w:color="auto" w:fill="FFFFFF"/>
          </w:tcPr>
          <w:p w:rsidR="00CF7461" w:rsidRPr="00AB4117" w:rsidRDefault="00CF7461" w:rsidP="00DC707A">
            <w:pPr>
              <w:spacing w:after="160" w:line="360" w:lineRule="auto"/>
              <w:jc w:val="center"/>
              <w:rPr>
                <w:rFonts w:ascii="Sylfaen" w:eastAsia="Times New Roman" w:hAnsi="Sylfaen" w:cs="Times New Roman"/>
                <w:b/>
                <w:color w:val="auto"/>
              </w:rPr>
            </w:pPr>
          </w:p>
        </w:tc>
        <w:tc>
          <w:tcPr>
            <w:tcW w:w="3794" w:type="dxa"/>
            <w:tcBorders>
              <w:top w:val="nil"/>
              <w:left w:val="nil"/>
              <w:bottom w:val="nil"/>
              <w:right w:val="nil"/>
            </w:tcBorders>
            <w:shd w:val="clear" w:color="auto" w:fill="FFFFFF"/>
            <w:vAlign w:val="center"/>
          </w:tcPr>
          <w:p w:rsidR="00CF7461" w:rsidRPr="00AB4117" w:rsidRDefault="00CF7461" w:rsidP="00DC707A">
            <w:pPr>
              <w:spacing w:after="160" w:line="360" w:lineRule="auto"/>
              <w:jc w:val="center"/>
              <w:rPr>
                <w:rFonts w:ascii="Sylfaen" w:eastAsia="Times New Roman" w:hAnsi="Sylfaen" w:cs="Times New Roman"/>
                <w:b/>
                <w:color w:val="auto"/>
              </w:rPr>
            </w:pPr>
            <w:r w:rsidRPr="00AB4117">
              <w:rPr>
                <w:rFonts w:ascii="Sylfaen" w:hAnsi="Sylfaen"/>
                <w:b/>
              </w:rPr>
              <w:t>Բելառուսի Հանրապետության ազգային բանկի կողմից՝</w:t>
            </w:r>
          </w:p>
        </w:tc>
      </w:tr>
      <w:tr w:rsidR="00CF7461" w:rsidRPr="00AB4117" w:rsidTr="002F189C">
        <w:trPr>
          <w:jc w:val="center"/>
        </w:trPr>
        <w:tc>
          <w:tcPr>
            <w:tcW w:w="3820" w:type="dxa"/>
            <w:tcBorders>
              <w:top w:val="nil"/>
              <w:left w:val="nil"/>
              <w:bottom w:val="nil"/>
              <w:right w:val="nil"/>
            </w:tcBorders>
            <w:shd w:val="clear" w:color="auto" w:fill="FFFFFF"/>
            <w:vAlign w:val="center"/>
          </w:tcPr>
          <w:p w:rsidR="00CF7461" w:rsidRPr="00AB4117" w:rsidRDefault="00CF7461" w:rsidP="00DC707A">
            <w:pPr>
              <w:spacing w:after="160" w:line="360" w:lineRule="auto"/>
              <w:jc w:val="center"/>
              <w:rPr>
                <w:rFonts w:ascii="Sylfaen" w:eastAsia="Times New Roman" w:hAnsi="Sylfaen" w:cs="Times New Roman"/>
                <w:b/>
                <w:color w:val="auto"/>
              </w:rPr>
            </w:pPr>
            <w:r w:rsidRPr="00AB4117">
              <w:rPr>
                <w:rFonts w:ascii="Sylfaen" w:hAnsi="Sylfaen"/>
                <w:b/>
              </w:rPr>
              <w:t xml:space="preserve">Ղազախստանի Հանրապետության </w:t>
            </w:r>
            <w:r w:rsidR="002A3901" w:rsidRPr="00AB4117">
              <w:rPr>
                <w:rFonts w:ascii="Sylfaen" w:hAnsi="Sylfaen"/>
                <w:b/>
              </w:rPr>
              <w:t>կ</w:t>
            </w:r>
            <w:r w:rsidRPr="00AB4117">
              <w:rPr>
                <w:rFonts w:ascii="Sylfaen" w:hAnsi="Sylfaen"/>
                <w:b/>
              </w:rPr>
              <w:t>առավարության կողմից՝</w:t>
            </w:r>
          </w:p>
        </w:tc>
        <w:tc>
          <w:tcPr>
            <w:tcW w:w="2074" w:type="dxa"/>
            <w:tcBorders>
              <w:top w:val="nil"/>
              <w:left w:val="nil"/>
              <w:bottom w:val="nil"/>
              <w:right w:val="nil"/>
            </w:tcBorders>
            <w:shd w:val="clear" w:color="auto" w:fill="FFFFFF"/>
          </w:tcPr>
          <w:p w:rsidR="00CF7461" w:rsidRPr="00AB4117" w:rsidRDefault="00CF7461" w:rsidP="00DC707A">
            <w:pPr>
              <w:spacing w:after="160" w:line="360" w:lineRule="auto"/>
              <w:jc w:val="center"/>
              <w:rPr>
                <w:rFonts w:ascii="Sylfaen" w:eastAsia="Times New Roman" w:hAnsi="Sylfaen" w:cs="Times New Roman"/>
                <w:b/>
                <w:color w:val="auto"/>
              </w:rPr>
            </w:pPr>
          </w:p>
        </w:tc>
        <w:tc>
          <w:tcPr>
            <w:tcW w:w="3794" w:type="dxa"/>
            <w:tcBorders>
              <w:top w:val="nil"/>
              <w:left w:val="nil"/>
              <w:bottom w:val="nil"/>
              <w:right w:val="nil"/>
            </w:tcBorders>
            <w:shd w:val="clear" w:color="auto" w:fill="FFFFFF"/>
            <w:vAlign w:val="center"/>
          </w:tcPr>
          <w:p w:rsidR="00CF7461" w:rsidRPr="00AB4117" w:rsidRDefault="00CF7461" w:rsidP="00DC707A">
            <w:pPr>
              <w:spacing w:after="160" w:line="360" w:lineRule="auto"/>
              <w:jc w:val="center"/>
              <w:rPr>
                <w:rFonts w:ascii="Sylfaen" w:eastAsia="Times New Roman" w:hAnsi="Sylfaen" w:cs="Times New Roman"/>
                <w:b/>
                <w:color w:val="auto"/>
              </w:rPr>
            </w:pPr>
            <w:r w:rsidRPr="00AB4117">
              <w:rPr>
                <w:rFonts w:ascii="Sylfaen" w:hAnsi="Sylfaen"/>
                <w:b/>
              </w:rPr>
              <w:t>Ղազախստանի Հանրապետության ազգային բանկի կողմից՝</w:t>
            </w:r>
          </w:p>
        </w:tc>
      </w:tr>
      <w:tr w:rsidR="00CF7461" w:rsidRPr="00AB4117" w:rsidTr="002F189C">
        <w:trPr>
          <w:jc w:val="center"/>
        </w:trPr>
        <w:tc>
          <w:tcPr>
            <w:tcW w:w="3820" w:type="dxa"/>
            <w:tcBorders>
              <w:top w:val="nil"/>
              <w:left w:val="nil"/>
              <w:bottom w:val="nil"/>
              <w:right w:val="nil"/>
            </w:tcBorders>
            <w:shd w:val="clear" w:color="auto" w:fill="FFFFFF"/>
            <w:vAlign w:val="center"/>
          </w:tcPr>
          <w:p w:rsidR="00CF7461" w:rsidRPr="00AB4117" w:rsidRDefault="00CF7461" w:rsidP="00DC707A">
            <w:pPr>
              <w:spacing w:after="160" w:line="360" w:lineRule="auto"/>
              <w:jc w:val="center"/>
              <w:rPr>
                <w:rFonts w:ascii="Sylfaen" w:eastAsia="Times New Roman" w:hAnsi="Sylfaen" w:cs="Times New Roman"/>
                <w:b/>
                <w:color w:val="auto"/>
              </w:rPr>
            </w:pPr>
            <w:r w:rsidRPr="00AB4117">
              <w:rPr>
                <w:rFonts w:ascii="Sylfaen" w:hAnsi="Sylfaen"/>
                <w:b/>
              </w:rPr>
              <w:t>Ղրղզստանի Հանրապետության Կառավարության կողմից՝</w:t>
            </w:r>
          </w:p>
        </w:tc>
        <w:tc>
          <w:tcPr>
            <w:tcW w:w="2074" w:type="dxa"/>
            <w:tcBorders>
              <w:top w:val="nil"/>
              <w:left w:val="nil"/>
              <w:bottom w:val="nil"/>
              <w:right w:val="nil"/>
            </w:tcBorders>
            <w:shd w:val="clear" w:color="auto" w:fill="FFFFFF"/>
          </w:tcPr>
          <w:p w:rsidR="00CF7461" w:rsidRPr="00AB4117" w:rsidRDefault="00CF7461" w:rsidP="00DC707A">
            <w:pPr>
              <w:spacing w:after="160" w:line="360" w:lineRule="auto"/>
              <w:jc w:val="center"/>
              <w:rPr>
                <w:rFonts w:ascii="Sylfaen" w:eastAsia="Times New Roman" w:hAnsi="Sylfaen" w:cs="Times New Roman"/>
                <w:b/>
                <w:color w:val="auto"/>
              </w:rPr>
            </w:pPr>
          </w:p>
        </w:tc>
        <w:tc>
          <w:tcPr>
            <w:tcW w:w="3794" w:type="dxa"/>
            <w:tcBorders>
              <w:top w:val="nil"/>
              <w:left w:val="nil"/>
              <w:bottom w:val="nil"/>
              <w:right w:val="nil"/>
            </w:tcBorders>
            <w:shd w:val="clear" w:color="auto" w:fill="FFFFFF"/>
            <w:vAlign w:val="center"/>
          </w:tcPr>
          <w:p w:rsidR="00CF7461" w:rsidRPr="00AB4117" w:rsidRDefault="00CF7461" w:rsidP="00DC707A">
            <w:pPr>
              <w:spacing w:after="160" w:line="360" w:lineRule="auto"/>
              <w:jc w:val="center"/>
              <w:rPr>
                <w:rFonts w:ascii="Sylfaen" w:eastAsia="Times New Roman" w:hAnsi="Sylfaen" w:cs="Times New Roman"/>
                <w:b/>
                <w:color w:val="auto"/>
              </w:rPr>
            </w:pPr>
            <w:r w:rsidRPr="00AB4117">
              <w:rPr>
                <w:rFonts w:ascii="Sylfaen" w:hAnsi="Sylfaen"/>
                <w:b/>
              </w:rPr>
              <w:t>Ղրղզստանի Հանրապետության ազգային բանկի կողմից՝</w:t>
            </w:r>
          </w:p>
        </w:tc>
      </w:tr>
      <w:tr w:rsidR="00CF7461" w:rsidRPr="00DC707A" w:rsidTr="002F189C">
        <w:trPr>
          <w:jc w:val="center"/>
        </w:trPr>
        <w:tc>
          <w:tcPr>
            <w:tcW w:w="3820" w:type="dxa"/>
            <w:tcBorders>
              <w:top w:val="nil"/>
              <w:left w:val="nil"/>
              <w:bottom w:val="nil"/>
              <w:right w:val="nil"/>
            </w:tcBorders>
            <w:shd w:val="clear" w:color="auto" w:fill="FFFFFF"/>
            <w:vAlign w:val="center"/>
          </w:tcPr>
          <w:p w:rsidR="00CF7461" w:rsidRPr="00AB4117" w:rsidRDefault="00CF7461" w:rsidP="00DC707A">
            <w:pPr>
              <w:spacing w:after="160" w:line="360" w:lineRule="auto"/>
              <w:jc w:val="center"/>
              <w:rPr>
                <w:rFonts w:ascii="Sylfaen" w:eastAsia="Times New Roman" w:hAnsi="Sylfaen" w:cs="Times New Roman"/>
                <w:b/>
                <w:color w:val="auto"/>
              </w:rPr>
            </w:pPr>
            <w:r w:rsidRPr="00AB4117">
              <w:rPr>
                <w:rFonts w:ascii="Sylfaen" w:hAnsi="Sylfaen"/>
                <w:b/>
              </w:rPr>
              <w:t xml:space="preserve">Ռուսաստանի Դաշնության </w:t>
            </w:r>
            <w:r w:rsidR="002A3901" w:rsidRPr="00AB4117">
              <w:rPr>
                <w:rFonts w:ascii="Sylfaen" w:hAnsi="Sylfaen"/>
                <w:b/>
              </w:rPr>
              <w:t>կ</w:t>
            </w:r>
            <w:r w:rsidRPr="00AB4117">
              <w:rPr>
                <w:rFonts w:ascii="Sylfaen" w:hAnsi="Sylfaen"/>
                <w:b/>
              </w:rPr>
              <w:t>առավարության կողմից՝</w:t>
            </w:r>
          </w:p>
        </w:tc>
        <w:tc>
          <w:tcPr>
            <w:tcW w:w="2074" w:type="dxa"/>
            <w:tcBorders>
              <w:top w:val="nil"/>
              <w:left w:val="nil"/>
              <w:bottom w:val="nil"/>
              <w:right w:val="nil"/>
            </w:tcBorders>
            <w:shd w:val="clear" w:color="auto" w:fill="FFFFFF"/>
          </w:tcPr>
          <w:p w:rsidR="00CF7461" w:rsidRPr="00AB4117" w:rsidRDefault="00CF7461" w:rsidP="00DC707A">
            <w:pPr>
              <w:spacing w:after="160" w:line="360" w:lineRule="auto"/>
              <w:jc w:val="center"/>
              <w:rPr>
                <w:rFonts w:ascii="Sylfaen" w:eastAsia="Times New Roman" w:hAnsi="Sylfaen" w:cs="Times New Roman"/>
                <w:b/>
                <w:color w:val="auto"/>
              </w:rPr>
            </w:pPr>
          </w:p>
        </w:tc>
        <w:tc>
          <w:tcPr>
            <w:tcW w:w="3794" w:type="dxa"/>
            <w:tcBorders>
              <w:top w:val="nil"/>
              <w:left w:val="nil"/>
              <w:bottom w:val="nil"/>
              <w:right w:val="nil"/>
            </w:tcBorders>
            <w:shd w:val="clear" w:color="auto" w:fill="FFFFFF"/>
            <w:vAlign w:val="center"/>
          </w:tcPr>
          <w:p w:rsidR="00CF7461" w:rsidRPr="00DC707A" w:rsidRDefault="00CF7461" w:rsidP="00DC707A">
            <w:pPr>
              <w:spacing w:after="160" w:line="360" w:lineRule="auto"/>
              <w:jc w:val="center"/>
              <w:rPr>
                <w:rFonts w:ascii="Sylfaen" w:eastAsia="Times New Roman" w:hAnsi="Sylfaen" w:cs="Times New Roman"/>
                <w:b/>
                <w:color w:val="auto"/>
              </w:rPr>
            </w:pPr>
            <w:r w:rsidRPr="00AB4117">
              <w:rPr>
                <w:rFonts w:ascii="Sylfaen" w:hAnsi="Sylfaen"/>
                <w:b/>
              </w:rPr>
              <w:t>Ռուսաստանի Դաշնության կենտրոնական բանկի կողմից՝</w:t>
            </w:r>
          </w:p>
        </w:tc>
      </w:tr>
    </w:tbl>
    <w:p w:rsidR="00CF7461" w:rsidRPr="00DC707A" w:rsidRDefault="00CF7461" w:rsidP="00DC707A">
      <w:pPr>
        <w:spacing w:after="160" w:line="360" w:lineRule="auto"/>
        <w:rPr>
          <w:rFonts w:ascii="Sylfaen" w:hAnsi="Sylfaen"/>
        </w:rPr>
      </w:pPr>
    </w:p>
    <w:sectPr w:rsidR="00CF7461" w:rsidRPr="00DC707A" w:rsidSect="004449AA">
      <w:footerReference w:type="default" r:id="rId8"/>
      <w:pgSz w:w="11900" w:h="16840" w:code="9"/>
      <w:pgMar w:top="1418" w:right="1418" w:bottom="1418" w:left="1418" w:header="0" w:footer="681"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2504C" w:rsidRDefault="0092504C" w:rsidP="00F60535">
      <w:r>
        <w:separator/>
      </w:r>
    </w:p>
  </w:endnote>
  <w:endnote w:type="continuationSeparator" w:id="0">
    <w:p w:rsidR="0092504C" w:rsidRDefault="0092504C" w:rsidP="00F605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lfaen">
    <w:panose1 w:val="010A0502050306030303"/>
    <w:charset w:val="00"/>
    <w:family w:val="roman"/>
    <w:pitch w:val="variable"/>
    <w:sig w:usb0="04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913653"/>
      <w:docPartObj>
        <w:docPartGallery w:val="Page Numbers (Bottom of Page)"/>
        <w:docPartUnique/>
      </w:docPartObj>
    </w:sdtPr>
    <w:sdtEndPr/>
    <w:sdtContent>
      <w:p w:rsidR="004449AA" w:rsidRDefault="006A067A">
        <w:pPr>
          <w:pStyle w:val="Footer"/>
          <w:jc w:val="center"/>
        </w:pPr>
        <w:r>
          <w:fldChar w:fldCharType="begin"/>
        </w:r>
        <w:r>
          <w:instrText xml:space="preserve"> PAGE   \* MERGEFORMAT </w:instrText>
        </w:r>
        <w:r>
          <w:fldChar w:fldCharType="separate"/>
        </w:r>
        <w:r w:rsidR="00AB4117">
          <w:rPr>
            <w:noProof/>
          </w:rPr>
          <w:t>7</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2504C" w:rsidRDefault="0092504C"/>
  </w:footnote>
  <w:footnote w:type="continuationSeparator" w:id="0">
    <w:p w:rsidR="0092504C" w:rsidRDefault="0092504C"/>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0A04A8"/>
    <w:multiLevelType w:val="multilevel"/>
    <w:tmpl w:val="AFA03E5A"/>
    <w:lvl w:ilvl="0">
      <w:start w:val="1"/>
      <w:numFmt w:val="decimal"/>
      <w:lvlText w:val="%1."/>
      <w:lvlJc w:val="left"/>
      <w:rPr>
        <w:rFonts w:ascii="Sylfaen" w:eastAsia="Sylfaen" w:hAnsi="Sylfaen" w:cs="Sylfae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2614765C"/>
    <w:multiLevelType w:val="multilevel"/>
    <w:tmpl w:val="CEF07F94"/>
    <w:lvl w:ilvl="0">
      <w:start w:val="1"/>
      <w:numFmt w:val="decimal"/>
      <w:lvlText w:val="%1."/>
      <w:lvlJc w:val="left"/>
      <w:rPr>
        <w:rFonts w:ascii="Sylfaen" w:eastAsia="Sylfaen" w:hAnsi="Sylfaen" w:cs="Sylfae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42493DD5"/>
    <w:multiLevelType w:val="multilevel"/>
    <w:tmpl w:val="9AA67272"/>
    <w:lvl w:ilvl="0">
      <w:start w:val="1"/>
      <w:numFmt w:val="decimal"/>
      <w:lvlText w:val="%1."/>
      <w:lvlJc w:val="left"/>
      <w:rPr>
        <w:rFonts w:ascii="Sylfaen" w:eastAsia="Sylfaen" w:hAnsi="Sylfaen" w:cs="Sylfae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50A91EFE"/>
    <w:multiLevelType w:val="multilevel"/>
    <w:tmpl w:val="0AAA9DFE"/>
    <w:lvl w:ilvl="0">
      <w:start w:val="1"/>
      <w:numFmt w:val="decimal"/>
      <w:lvlText w:val="%1."/>
      <w:lvlJc w:val="left"/>
      <w:rPr>
        <w:rFonts w:ascii="Sylfaen" w:eastAsia="Sylfaen" w:hAnsi="Sylfaen" w:cs="Sylfae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7EA138C1"/>
    <w:multiLevelType w:val="multilevel"/>
    <w:tmpl w:val="FCBEA5CC"/>
    <w:lvl w:ilvl="0">
      <w:start w:val="1"/>
      <w:numFmt w:val="decimal"/>
      <w:lvlText w:val="%1."/>
      <w:lvlJc w:val="left"/>
      <w:rPr>
        <w:rFonts w:ascii="Sylfaen" w:eastAsia="Sylfaen" w:hAnsi="Sylfaen" w:cs="Sylfae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2"/>
  </w:num>
  <w:num w:numId="3">
    <w:abstractNumId w:val="4"/>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20"/>
  <w:drawingGridVerticalSpacing w:val="181"/>
  <w:displayHorizontalDrawingGridEvery w:val="2"/>
  <w:characterSpacingControl w:val="compressPunctuation"/>
  <w:footnotePr>
    <w:footnote w:id="-1"/>
    <w:footnote w:id="0"/>
  </w:footnotePr>
  <w:endnotePr>
    <w:endnote w:id="-1"/>
    <w:endnote w:id="0"/>
  </w:endnotePr>
  <w:compat>
    <w:doNotExpandShiftReturn/>
    <w:compatSetting w:name="compatibilityMode" w:uri="http://schemas.microsoft.com/office/word" w:val="12"/>
    <w:compatSetting w:name="useWord2013TrackBottomHyphenation" w:uri="http://schemas.microsoft.com/office/word" w:val="1"/>
  </w:compat>
  <w:rsids>
    <w:rsidRoot w:val="00F60535"/>
    <w:rsid w:val="00032BF4"/>
    <w:rsid w:val="0006373B"/>
    <w:rsid w:val="000B1747"/>
    <w:rsid w:val="000B425D"/>
    <w:rsid w:val="000E4E60"/>
    <w:rsid w:val="001328AA"/>
    <w:rsid w:val="001701D0"/>
    <w:rsid w:val="001707A1"/>
    <w:rsid w:val="001C6ED8"/>
    <w:rsid w:val="00210A6B"/>
    <w:rsid w:val="0024735E"/>
    <w:rsid w:val="00296AF1"/>
    <w:rsid w:val="002A3901"/>
    <w:rsid w:val="002F189C"/>
    <w:rsid w:val="00343D4C"/>
    <w:rsid w:val="003755F9"/>
    <w:rsid w:val="003928DA"/>
    <w:rsid w:val="003F3967"/>
    <w:rsid w:val="004449AA"/>
    <w:rsid w:val="004A5F8F"/>
    <w:rsid w:val="00571A56"/>
    <w:rsid w:val="005A149E"/>
    <w:rsid w:val="0062770F"/>
    <w:rsid w:val="00637866"/>
    <w:rsid w:val="006760E3"/>
    <w:rsid w:val="006A067A"/>
    <w:rsid w:val="006C7358"/>
    <w:rsid w:val="006E5C8A"/>
    <w:rsid w:val="007C0B98"/>
    <w:rsid w:val="007F38E7"/>
    <w:rsid w:val="00804D7D"/>
    <w:rsid w:val="00873609"/>
    <w:rsid w:val="008D4566"/>
    <w:rsid w:val="0092504C"/>
    <w:rsid w:val="009535BE"/>
    <w:rsid w:val="00A31071"/>
    <w:rsid w:val="00A80E32"/>
    <w:rsid w:val="00A9014B"/>
    <w:rsid w:val="00AB4117"/>
    <w:rsid w:val="00B3709E"/>
    <w:rsid w:val="00B779F8"/>
    <w:rsid w:val="00B84FA5"/>
    <w:rsid w:val="00C160E2"/>
    <w:rsid w:val="00CC55E2"/>
    <w:rsid w:val="00CE024E"/>
    <w:rsid w:val="00CF7461"/>
    <w:rsid w:val="00D601D3"/>
    <w:rsid w:val="00DC707A"/>
    <w:rsid w:val="00DE6488"/>
    <w:rsid w:val="00E27D64"/>
    <w:rsid w:val="00EE1B6F"/>
    <w:rsid w:val="00F605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0D8BFB9-7648-489A-BDC6-C30D85FA55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ahoma" w:eastAsia="Tahoma" w:hAnsi="Tahoma" w:cs="Tahoma"/>
        <w:sz w:val="24"/>
        <w:szCs w:val="24"/>
        <w:lang w:val="hy-AM" w:eastAsia="hy-AM" w:bidi="hy-AM"/>
      </w:rPr>
    </w:rPrDefault>
    <w:pPrDefault>
      <w:pPr>
        <w:widowControl w:val="0"/>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rsid w:val="00F60535"/>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F60535"/>
    <w:rPr>
      <w:color w:val="0066CC"/>
      <w:u w:val="single"/>
    </w:rPr>
  </w:style>
  <w:style w:type="character" w:customStyle="1" w:styleId="Bodytext3">
    <w:name w:val="Body text (3)_"/>
    <w:basedOn w:val="DefaultParagraphFont"/>
    <w:link w:val="Bodytext30"/>
    <w:rsid w:val="00F60535"/>
    <w:rPr>
      <w:rFonts w:ascii="Sylfaen" w:eastAsia="Sylfaen" w:hAnsi="Sylfaen" w:cs="Sylfaen"/>
      <w:b/>
      <w:bCs/>
      <w:i w:val="0"/>
      <w:iCs w:val="0"/>
      <w:smallCaps w:val="0"/>
      <w:strike w:val="0"/>
      <w:sz w:val="30"/>
      <w:szCs w:val="30"/>
      <w:u w:val="none"/>
    </w:rPr>
  </w:style>
  <w:style w:type="character" w:customStyle="1" w:styleId="Heading1">
    <w:name w:val="Heading #1_"/>
    <w:basedOn w:val="DefaultParagraphFont"/>
    <w:link w:val="Heading10"/>
    <w:rsid w:val="00F60535"/>
    <w:rPr>
      <w:rFonts w:ascii="Sylfaen" w:eastAsia="Sylfaen" w:hAnsi="Sylfaen" w:cs="Sylfaen"/>
      <w:b w:val="0"/>
      <w:bCs w:val="0"/>
      <w:i w:val="0"/>
      <w:iCs w:val="0"/>
      <w:smallCaps w:val="0"/>
      <w:strike w:val="0"/>
      <w:sz w:val="38"/>
      <w:szCs w:val="38"/>
      <w:u w:val="none"/>
    </w:rPr>
  </w:style>
  <w:style w:type="character" w:customStyle="1" w:styleId="Tablecaption">
    <w:name w:val="Table caption_"/>
    <w:basedOn w:val="DefaultParagraphFont"/>
    <w:link w:val="Tablecaption0"/>
    <w:rsid w:val="00F60535"/>
    <w:rPr>
      <w:rFonts w:ascii="Sylfaen" w:eastAsia="Sylfaen" w:hAnsi="Sylfaen" w:cs="Sylfaen"/>
      <w:b/>
      <w:bCs/>
      <w:i w:val="0"/>
      <w:iCs w:val="0"/>
      <w:smallCaps w:val="0"/>
      <w:strike w:val="0"/>
      <w:sz w:val="30"/>
      <w:szCs w:val="30"/>
      <w:u w:val="none"/>
    </w:rPr>
  </w:style>
  <w:style w:type="character" w:customStyle="1" w:styleId="TablecaptionSpacing4pt">
    <w:name w:val="Table caption + Spacing 4 pt"/>
    <w:basedOn w:val="Tablecaption"/>
    <w:rsid w:val="00F60535"/>
    <w:rPr>
      <w:rFonts w:ascii="Sylfaen" w:eastAsia="Sylfaen" w:hAnsi="Sylfaen" w:cs="Sylfaen"/>
      <w:b/>
      <w:bCs/>
      <w:i w:val="0"/>
      <w:iCs w:val="0"/>
      <w:smallCaps w:val="0"/>
      <w:strike w:val="0"/>
      <w:color w:val="000000"/>
      <w:spacing w:val="80"/>
      <w:w w:val="100"/>
      <w:position w:val="0"/>
      <w:sz w:val="30"/>
      <w:szCs w:val="30"/>
      <w:u w:val="none"/>
      <w:lang w:val="hy-AM" w:eastAsia="hy-AM" w:bidi="hy-AM"/>
    </w:rPr>
  </w:style>
  <w:style w:type="character" w:customStyle="1" w:styleId="Bodytext2">
    <w:name w:val="Body text (2)_"/>
    <w:basedOn w:val="DefaultParagraphFont"/>
    <w:link w:val="Bodytext20"/>
    <w:rsid w:val="00F60535"/>
    <w:rPr>
      <w:rFonts w:ascii="Sylfaen" w:eastAsia="Sylfaen" w:hAnsi="Sylfaen" w:cs="Sylfaen"/>
      <w:b w:val="0"/>
      <w:bCs w:val="0"/>
      <w:i w:val="0"/>
      <w:iCs w:val="0"/>
      <w:smallCaps w:val="0"/>
      <w:strike w:val="0"/>
      <w:sz w:val="28"/>
      <w:szCs w:val="28"/>
      <w:u w:val="none"/>
    </w:rPr>
  </w:style>
  <w:style w:type="character" w:customStyle="1" w:styleId="Bodytext21">
    <w:name w:val="Body text (2)"/>
    <w:basedOn w:val="Bodytext2"/>
    <w:rsid w:val="00F60535"/>
    <w:rPr>
      <w:rFonts w:ascii="Sylfaen" w:eastAsia="Sylfaen" w:hAnsi="Sylfaen" w:cs="Sylfaen"/>
      <w:b w:val="0"/>
      <w:bCs w:val="0"/>
      <w:i w:val="0"/>
      <w:iCs w:val="0"/>
      <w:smallCaps w:val="0"/>
      <w:strike w:val="0"/>
      <w:color w:val="000000"/>
      <w:spacing w:val="0"/>
      <w:w w:val="100"/>
      <w:position w:val="0"/>
      <w:sz w:val="28"/>
      <w:szCs w:val="28"/>
      <w:u w:val="none"/>
      <w:lang w:val="hy-AM" w:eastAsia="hy-AM" w:bidi="hy-AM"/>
    </w:rPr>
  </w:style>
  <w:style w:type="character" w:customStyle="1" w:styleId="Bodytext2Verdana">
    <w:name w:val="Body text (2) + Verdana"/>
    <w:aliases w:val="12 pt"/>
    <w:basedOn w:val="Bodytext2"/>
    <w:rsid w:val="00F60535"/>
    <w:rPr>
      <w:rFonts w:ascii="Verdana" w:eastAsia="Verdana" w:hAnsi="Verdana" w:cs="Verdana"/>
      <w:b w:val="0"/>
      <w:bCs w:val="0"/>
      <w:i w:val="0"/>
      <w:iCs w:val="0"/>
      <w:smallCaps w:val="0"/>
      <w:strike w:val="0"/>
      <w:color w:val="000000"/>
      <w:spacing w:val="0"/>
      <w:w w:val="100"/>
      <w:position w:val="0"/>
      <w:sz w:val="24"/>
      <w:szCs w:val="24"/>
      <w:u w:val="none"/>
      <w:lang w:val="hy-AM" w:eastAsia="hy-AM" w:bidi="hy-AM"/>
    </w:rPr>
  </w:style>
  <w:style w:type="character" w:customStyle="1" w:styleId="Bodytext213pt">
    <w:name w:val="Body text (2) + 13 pt"/>
    <w:basedOn w:val="Bodytext2"/>
    <w:rsid w:val="00F60535"/>
    <w:rPr>
      <w:rFonts w:ascii="Sylfaen" w:eastAsia="Sylfaen" w:hAnsi="Sylfaen" w:cs="Sylfaen"/>
      <w:b w:val="0"/>
      <w:bCs w:val="0"/>
      <w:i w:val="0"/>
      <w:iCs w:val="0"/>
      <w:smallCaps w:val="0"/>
      <w:strike w:val="0"/>
      <w:color w:val="000000"/>
      <w:spacing w:val="0"/>
      <w:w w:val="100"/>
      <w:position w:val="0"/>
      <w:sz w:val="26"/>
      <w:szCs w:val="26"/>
      <w:u w:val="none"/>
      <w:lang w:val="hy-AM" w:eastAsia="hy-AM" w:bidi="hy-AM"/>
    </w:rPr>
  </w:style>
  <w:style w:type="character" w:customStyle="1" w:styleId="Heading2">
    <w:name w:val="Heading #2_"/>
    <w:basedOn w:val="DefaultParagraphFont"/>
    <w:link w:val="Heading20"/>
    <w:rsid w:val="00F60535"/>
    <w:rPr>
      <w:rFonts w:ascii="Sylfaen" w:eastAsia="Sylfaen" w:hAnsi="Sylfaen" w:cs="Sylfaen"/>
      <w:b/>
      <w:bCs/>
      <w:i w:val="0"/>
      <w:iCs w:val="0"/>
      <w:smallCaps w:val="0"/>
      <w:strike w:val="0"/>
      <w:sz w:val="30"/>
      <w:szCs w:val="30"/>
      <w:u w:val="none"/>
    </w:rPr>
  </w:style>
  <w:style w:type="character" w:customStyle="1" w:styleId="Bodytext215pt">
    <w:name w:val="Body text (2) + 15 pt"/>
    <w:aliases w:val="Bold"/>
    <w:basedOn w:val="Bodytext2"/>
    <w:rsid w:val="00F60535"/>
    <w:rPr>
      <w:rFonts w:ascii="Sylfaen" w:eastAsia="Sylfaen" w:hAnsi="Sylfaen" w:cs="Sylfaen"/>
      <w:b/>
      <w:bCs/>
      <w:i w:val="0"/>
      <w:iCs w:val="0"/>
      <w:smallCaps w:val="0"/>
      <w:strike w:val="0"/>
      <w:color w:val="000000"/>
      <w:spacing w:val="0"/>
      <w:w w:val="100"/>
      <w:position w:val="0"/>
      <w:sz w:val="30"/>
      <w:szCs w:val="30"/>
      <w:u w:val="none"/>
      <w:lang w:val="hy-AM" w:eastAsia="hy-AM" w:bidi="hy-AM"/>
    </w:rPr>
  </w:style>
  <w:style w:type="character" w:customStyle="1" w:styleId="Heading2Spacing2pt">
    <w:name w:val="Heading #2 + Spacing 2 pt"/>
    <w:basedOn w:val="Heading2"/>
    <w:rsid w:val="00F60535"/>
    <w:rPr>
      <w:rFonts w:ascii="Sylfaen" w:eastAsia="Sylfaen" w:hAnsi="Sylfaen" w:cs="Sylfaen"/>
      <w:b/>
      <w:bCs/>
      <w:i w:val="0"/>
      <w:iCs w:val="0"/>
      <w:smallCaps w:val="0"/>
      <w:strike w:val="0"/>
      <w:color w:val="000000"/>
      <w:spacing w:val="40"/>
      <w:w w:val="100"/>
      <w:position w:val="0"/>
      <w:sz w:val="30"/>
      <w:szCs w:val="30"/>
      <w:u w:val="none"/>
      <w:lang w:val="hy-AM" w:eastAsia="hy-AM" w:bidi="hy-AM"/>
    </w:rPr>
  </w:style>
  <w:style w:type="paragraph" w:customStyle="1" w:styleId="Bodytext30">
    <w:name w:val="Body text (3)"/>
    <w:basedOn w:val="Normal"/>
    <w:link w:val="Bodytext3"/>
    <w:rsid w:val="00F60535"/>
    <w:pPr>
      <w:shd w:val="clear" w:color="auto" w:fill="FFFFFF"/>
      <w:spacing w:before="120" w:after="120" w:line="0" w:lineRule="atLeast"/>
      <w:jc w:val="center"/>
    </w:pPr>
    <w:rPr>
      <w:rFonts w:ascii="Sylfaen" w:eastAsia="Sylfaen" w:hAnsi="Sylfaen" w:cs="Sylfaen"/>
      <w:b/>
      <w:bCs/>
      <w:sz w:val="30"/>
      <w:szCs w:val="30"/>
    </w:rPr>
  </w:style>
  <w:style w:type="paragraph" w:customStyle="1" w:styleId="Heading10">
    <w:name w:val="Heading #1"/>
    <w:basedOn w:val="Normal"/>
    <w:link w:val="Heading1"/>
    <w:rsid w:val="00F60535"/>
    <w:pPr>
      <w:shd w:val="clear" w:color="auto" w:fill="FFFFFF"/>
      <w:spacing w:before="120" w:after="900" w:line="0" w:lineRule="atLeast"/>
      <w:jc w:val="center"/>
      <w:outlineLvl w:val="0"/>
    </w:pPr>
    <w:rPr>
      <w:rFonts w:ascii="Sylfaen" w:eastAsia="Sylfaen" w:hAnsi="Sylfaen" w:cs="Sylfaen"/>
      <w:sz w:val="38"/>
      <w:szCs w:val="38"/>
    </w:rPr>
  </w:style>
  <w:style w:type="paragraph" w:customStyle="1" w:styleId="Tablecaption0">
    <w:name w:val="Table caption"/>
    <w:basedOn w:val="Normal"/>
    <w:link w:val="Tablecaption"/>
    <w:rsid w:val="00F60535"/>
    <w:pPr>
      <w:shd w:val="clear" w:color="auto" w:fill="FFFFFF"/>
      <w:spacing w:line="0" w:lineRule="atLeast"/>
    </w:pPr>
    <w:rPr>
      <w:rFonts w:ascii="Sylfaen" w:eastAsia="Sylfaen" w:hAnsi="Sylfaen" w:cs="Sylfaen"/>
      <w:b/>
      <w:bCs/>
      <w:sz w:val="30"/>
      <w:szCs w:val="30"/>
    </w:rPr>
  </w:style>
  <w:style w:type="paragraph" w:customStyle="1" w:styleId="Bodytext20">
    <w:name w:val="Body text (2)"/>
    <w:basedOn w:val="Normal"/>
    <w:link w:val="Bodytext2"/>
    <w:rsid w:val="00F60535"/>
    <w:pPr>
      <w:shd w:val="clear" w:color="auto" w:fill="FFFFFF"/>
      <w:spacing w:before="480" w:line="518" w:lineRule="exact"/>
      <w:ind w:hanging="1280"/>
      <w:jc w:val="both"/>
    </w:pPr>
    <w:rPr>
      <w:rFonts w:ascii="Sylfaen" w:eastAsia="Sylfaen" w:hAnsi="Sylfaen" w:cs="Sylfaen"/>
      <w:sz w:val="28"/>
      <w:szCs w:val="28"/>
    </w:rPr>
  </w:style>
  <w:style w:type="paragraph" w:customStyle="1" w:styleId="Heading20">
    <w:name w:val="Heading #2"/>
    <w:basedOn w:val="Normal"/>
    <w:link w:val="Heading2"/>
    <w:rsid w:val="00F60535"/>
    <w:pPr>
      <w:shd w:val="clear" w:color="auto" w:fill="FFFFFF"/>
      <w:spacing w:before="120" w:after="120" w:line="0" w:lineRule="atLeast"/>
      <w:jc w:val="center"/>
      <w:outlineLvl w:val="1"/>
    </w:pPr>
    <w:rPr>
      <w:rFonts w:ascii="Sylfaen" w:eastAsia="Sylfaen" w:hAnsi="Sylfaen" w:cs="Sylfaen"/>
      <w:b/>
      <w:bCs/>
      <w:sz w:val="30"/>
      <w:szCs w:val="30"/>
    </w:rPr>
  </w:style>
  <w:style w:type="paragraph" w:styleId="BalloonText">
    <w:name w:val="Balloon Text"/>
    <w:basedOn w:val="Normal"/>
    <w:link w:val="BalloonTextChar"/>
    <w:uiPriority w:val="99"/>
    <w:semiHidden/>
    <w:unhideWhenUsed/>
    <w:rsid w:val="007F38E7"/>
    <w:rPr>
      <w:sz w:val="16"/>
      <w:szCs w:val="16"/>
    </w:rPr>
  </w:style>
  <w:style w:type="character" w:customStyle="1" w:styleId="BalloonTextChar">
    <w:name w:val="Balloon Text Char"/>
    <w:basedOn w:val="DefaultParagraphFont"/>
    <w:link w:val="BalloonText"/>
    <w:uiPriority w:val="99"/>
    <w:semiHidden/>
    <w:rsid w:val="007F38E7"/>
    <w:rPr>
      <w:color w:val="000000"/>
      <w:sz w:val="16"/>
      <w:szCs w:val="16"/>
    </w:rPr>
  </w:style>
  <w:style w:type="paragraph" w:styleId="Header">
    <w:name w:val="header"/>
    <w:basedOn w:val="Normal"/>
    <w:link w:val="HeaderChar"/>
    <w:uiPriority w:val="99"/>
    <w:semiHidden/>
    <w:unhideWhenUsed/>
    <w:rsid w:val="004449AA"/>
    <w:pPr>
      <w:tabs>
        <w:tab w:val="center" w:pos="4680"/>
        <w:tab w:val="right" w:pos="9360"/>
      </w:tabs>
    </w:pPr>
  </w:style>
  <w:style w:type="character" w:customStyle="1" w:styleId="HeaderChar">
    <w:name w:val="Header Char"/>
    <w:basedOn w:val="DefaultParagraphFont"/>
    <w:link w:val="Header"/>
    <w:uiPriority w:val="99"/>
    <w:semiHidden/>
    <w:rsid w:val="004449AA"/>
    <w:rPr>
      <w:color w:val="000000"/>
    </w:rPr>
  </w:style>
  <w:style w:type="paragraph" w:styleId="Footer">
    <w:name w:val="footer"/>
    <w:basedOn w:val="Normal"/>
    <w:link w:val="FooterChar"/>
    <w:uiPriority w:val="99"/>
    <w:unhideWhenUsed/>
    <w:rsid w:val="004449AA"/>
    <w:pPr>
      <w:tabs>
        <w:tab w:val="center" w:pos="4680"/>
        <w:tab w:val="right" w:pos="9360"/>
      </w:tabs>
    </w:pPr>
  </w:style>
  <w:style w:type="character" w:customStyle="1" w:styleId="FooterChar">
    <w:name w:val="Footer Char"/>
    <w:basedOn w:val="DefaultParagraphFont"/>
    <w:link w:val="Footer"/>
    <w:uiPriority w:val="99"/>
    <w:rsid w:val="004449AA"/>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8BEC7CC-3F39-4D53-9840-52B319C492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247</TotalTime>
  <Pages>7</Pages>
  <Words>1308</Words>
  <Characters>7461</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Tigran Ghandiljyan</cp:lastModifiedBy>
  <cp:revision>27</cp:revision>
  <dcterms:created xsi:type="dcterms:W3CDTF">2019-01-17T06:25:00Z</dcterms:created>
  <dcterms:modified xsi:type="dcterms:W3CDTF">2020-03-13T07:22:00Z</dcterms:modified>
</cp:coreProperties>
</file>