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C48DF">
        <w:rPr>
          <w:rFonts w:ascii="Sylfaen" w:hAnsi="Sylfaen"/>
          <w:sz w:val="24"/>
          <w:szCs w:val="24"/>
        </w:rPr>
        <w:t>ՀԱՍՏԱՏՎԱԾ Է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06239E" w:rsidRPr="003C48DF">
        <w:rPr>
          <w:rFonts w:ascii="Sylfaen" w:hAnsi="Sylfaen"/>
          <w:sz w:val="24"/>
          <w:szCs w:val="24"/>
        </w:rPr>
        <w:br/>
      </w:r>
      <w:r w:rsidR="00227AA8" w:rsidRPr="003C48DF">
        <w:rPr>
          <w:rFonts w:ascii="Sylfaen" w:hAnsi="Sylfaen"/>
          <w:sz w:val="24"/>
          <w:szCs w:val="24"/>
        </w:rPr>
        <w:t>201__ թվականի ________ ___</w:t>
      </w:r>
      <w:r w:rsidRPr="003C48DF">
        <w:rPr>
          <w:rFonts w:ascii="Sylfaen" w:hAnsi="Sylfaen"/>
          <w:sz w:val="24"/>
          <w:szCs w:val="24"/>
        </w:rPr>
        <w:t xml:space="preserve">ի </w:t>
      </w:r>
      <w:r w:rsidR="00227AA8" w:rsidRPr="003C48DF">
        <w:rPr>
          <w:rFonts w:ascii="Sylfaen" w:hAnsi="Sylfaen"/>
          <w:sz w:val="24"/>
          <w:szCs w:val="24"/>
        </w:rPr>
        <w:br/>
      </w:r>
      <w:r w:rsidRPr="003C48DF">
        <w:rPr>
          <w:rFonts w:ascii="Sylfaen" w:hAnsi="Sylfaen"/>
          <w:sz w:val="24"/>
          <w:szCs w:val="24"/>
        </w:rPr>
        <w:t>թիվ ___ որոշմամբ</w:t>
      </w:r>
    </w:p>
    <w:p w:rsidR="00904061" w:rsidRPr="003C48DF" w:rsidRDefault="00904061" w:rsidP="00F92029">
      <w:pPr>
        <w:pStyle w:val="20"/>
        <w:shd w:val="clear" w:color="auto" w:fill="auto"/>
        <w:spacing w:before="0" w:after="160" w:line="360" w:lineRule="auto"/>
        <w:ind w:right="20"/>
        <w:rPr>
          <w:rStyle w:val="22pt0"/>
          <w:rFonts w:ascii="Sylfaen" w:hAnsi="Sylfaen"/>
          <w:b/>
          <w:bCs/>
          <w:spacing w:val="0"/>
          <w:sz w:val="24"/>
          <w:szCs w:val="24"/>
        </w:rPr>
      </w:pPr>
      <w:bookmarkStart w:id="1" w:name="bookmark5"/>
    </w:p>
    <w:p w:rsidR="00A85E9E" w:rsidRPr="003C48DF" w:rsidRDefault="005F69AA" w:rsidP="00227AA8">
      <w:pPr>
        <w:pStyle w:val="2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C48DF">
        <w:rPr>
          <w:rStyle w:val="22pt0"/>
          <w:rFonts w:ascii="Sylfaen" w:hAnsi="Sylfaen"/>
          <w:b/>
          <w:spacing w:val="0"/>
          <w:sz w:val="24"/>
          <w:szCs w:val="24"/>
        </w:rPr>
        <w:t>ՀԻՄՆԱԴՐՈՒՅԹ</w:t>
      </w:r>
      <w:bookmarkEnd w:id="1"/>
    </w:p>
    <w:p w:rsidR="00A85E9E" w:rsidRPr="003C48DF" w:rsidRDefault="005F69AA" w:rsidP="00227AA8">
      <w:pPr>
        <w:pStyle w:val="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227AA8" w:rsidRPr="003C48DF">
        <w:rPr>
          <w:rFonts w:ascii="Sylfaen" w:hAnsi="Sylfaen"/>
          <w:sz w:val="24"/>
          <w:szCs w:val="24"/>
        </w:rPr>
        <w:br/>
      </w:r>
      <w:r w:rsidRPr="003C48DF">
        <w:rPr>
          <w:rFonts w:ascii="Sylfaen" w:hAnsi="Sylfaen"/>
          <w:sz w:val="24"/>
          <w:szCs w:val="24"/>
        </w:rPr>
        <w:t>անդամ պետությունների</w:t>
      </w:r>
      <w:r w:rsidRPr="003C48DF">
        <w:rPr>
          <w:rStyle w:val="21"/>
          <w:rFonts w:ascii="Sylfaen" w:hAnsi="Sylfaen"/>
          <w:b w:val="0"/>
          <w:sz w:val="24"/>
          <w:szCs w:val="24"/>
        </w:rPr>
        <w:t xml:space="preserve"> </w:t>
      </w:r>
      <w:r w:rsidR="004D6661" w:rsidRPr="003C48DF">
        <w:rPr>
          <w:rStyle w:val="21"/>
          <w:rFonts w:ascii="Sylfaen" w:hAnsi="Sylfaen"/>
          <w:sz w:val="24"/>
          <w:szCs w:val="24"/>
        </w:rPr>
        <w:t>հավատարմագրման մարմինների</w:t>
      </w:r>
      <w:r w:rsidRPr="003C48DF">
        <w:rPr>
          <w:rFonts w:ascii="Sylfaen" w:hAnsi="Sylfaen"/>
          <w:sz w:val="24"/>
          <w:szCs w:val="24"/>
        </w:rPr>
        <w:t xml:space="preserve"> ղեկավարների խորհրդի մասին</w:t>
      </w:r>
    </w:p>
    <w:p w:rsidR="00904061" w:rsidRPr="003C48DF" w:rsidRDefault="00904061" w:rsidP="00227AA8">
      <w:pPr>
        <w:pStyle w:val="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A85E9E" w:rsidRPr="003C48DF" w:rsidRDefault="00904061" w:rsidP="00227AA8">
      <w:pPr>
        <w:pStyle w:val="22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1. Ընդհանուր դրույթներ</w:t>
      </w:r>
    </w:p>
    <w:p w:rsidR="00A85E9E" w:rsidRPr="003C48DF" w:rsidRDefault="009B216D" w:rsidP="00227AA8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1.</w:t>
      </w:r>
      <w:r w:rsidR="00227AA8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Եվրասիական տնտեսական միության անդամ պետությունների հավատարմագրման մարմինների ղեկավարների խորհուրդը (այսուհետ համապատասխանաբար՝ Միություն, անդամ պետություններ, Ղեկավարների խորհուրդ) ստեղծվում է որպես Միության օժանդակ մարմին՝ նպատակ ունենալով «Եվրասիական տնտեսական միության մասին» 2014 թվականի մայիսի 29-ի պայմանագրի իրագործման շրջանակներում զարգացնել</w:t>
      </w:r>
      <w:r w:rsidR="00F231E2" w:rsidRPr="003C48DF">
        <w:rPr>
          <w:rFonts w:ascii="Sylfaen" w:hAnsi="Sylfaen"/>
          <w:sz w:val="24"/>
          <w:szCs w:val="24"/>
        </w:rPr>
        <w:t>ու</w:t>
      </w:r>
      <w:r w:rsidRPr="003C48DF">
        <w:rPr>
          <w:rFonts w:ascii="Sylfaen" w:hAnsi="Sylfaen"/>
          <w:sz w:val="24"/>
          <w:szCs w:val="24"/>
        </w:rPr>
        <w:t xml:space="preserve"> հավատարմագրումը Միության տեխնիկական կարգավորման ոլորտում։</w:t>
      </w:r>
    </w:p>
    <w:p w:rsidR="00A85E9E" w:rsidRPr="003C48DF" w:rsidRDefault="009B216D" w:rsidP="00227AA8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2.</w:t>
      </w:r>
      <w:r w:rsidR="00227AA8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Ղեկավարների խորհուրդն իր գործունեության մեջ առաջնորդվում է «Եվրասիական տնտեսական միության մասին» 2014 թվականի մայիսի 29-ի պայմանագրով, Միության իրավունքի մաս կազմող այլ միջազգային պայմանագրերով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ակտերով, այդ թվում՝ սույն հիմնադրույթով։</w:t>
      </w:r>
    </w:p>
    <w:p w:rsidR="00227AA8" w:rsidRPr="003C48DF" w:rsidRDefault="00227AA8">
      <w:pPr>
        <w:rPr>
          <w:rFonts w:eastAsia="Times New Roman" w:cs="Times New Roman"/>
        </w:rPr>
      </w:pPr>
      <w:r w:rsidRPr="003C48DF">
        <w:br w:type="page"/>
      </w:r>
    </w:p>
    <w:p w:rsidR="00A85E9E" w:rsidRPr="003C48DF" w:rsidRDefault="009B216D" w:rsidP="00F92029">
      <w:pPr>
        <w:pStyle w:val="22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lastRenderedPageBreak/>
        <w:t>II. Ղեկավարների խորհրդի հիմնական գործառույթները</w:t>
      </w:r>
    </w:p>
    <w:p w:rsidR="00A85E9E" w:rsidRPr="003C48DF" w:rsidRDefault="009B216D" w:rsidP="00227AA8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3.</w:t>
      </w:r>
      <w:r w:rsidR="00227AA8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խորհուրդն իրականացնում է հետ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>յալ գործառույթները՝</w:t>
      </w:r>
    </w:p>
    <w:p w:rsidR="00A85E9E" w:rsidRPr="003C48DF" w:rsidRDefault="005F69AA" w:rsidP="00227AA8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ա)</w:t>
      </w:r>
      <w:r w:rsidR="00227AA8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որոշումներ է կայացնում անդամ պետությունների հավատարմագրման մարմինների փոխադարձ համեմատական գնահատումներ կատարելու արդյունքների հիման վրա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ձեռնարկված շտկող գործողությունների արդյունավետության մասին.</w:t>
      </w:r>
    </w:p>
    <w:p w:rsidR="00A85E9E" w:rsidRPr="003C48DF" w:rsidRDefault="005F69AA" w:rsidP="00227AA8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բ)</w:t>
      </w:r>
      <w:r w:rsidR="00227AA8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աջակցություն է </w:t>
      </w:r>
      <w:r w:rsidR="00D31814" w:rsidRPr="003C48DF">
        <w:rPr>
          <w:rFonts w:ascii="Sylfaen" w:hAnsi="Sylfaen"/>
          <w:sz w:val="24"/>
          <w:szCs w:val="24"/>
        </w:rPr>
        <w:t>ցուցաբերում</w:t>
      </w:r>
      <w:r w:rsidRPr="003C48DF">
        <w:rPr>
          <w:rFonts w:ascii="Sylfaen" w:hAnsi="Sylfaen"/>
          <w:sz w:val="24"/>
          <w:szCs w:val="24"/>
        </w:rPr>
        <w:t xml:space="preserve"> անդամ պետությունների հավատարմագրման մարմինների կողմից հետ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>յալ ուղղություններն իրագործելիս՝</w:t>
      </w:r>
    </w:p>
    <w:p w:rsidR="00904061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Միության շրջանակներում հավատարմագրման զարգացման կատարելագործում.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հավատարմագրման հարցերով միջազգային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տարածաշրջանային կազմակերպությունների հետ փոխգործակցություն.</w:t>
      </w:r>
    </w:p>
    <w:p w:rsidR="00904061" w:rsidRPr="003C48DF" w:rsidRDefault="005F69AA" w:rsidP="00227AA8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գ)</w:t>
      </w:r>
      <w:r w:rsidR="00227AA8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առաջարկություններ է պատրաստում հետ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>յալ հարցերի վերաբերյալ՝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Միության շրջանակներում տեխնիկական կարգավորման ոլորտում հավատարմագրման զարգացման ռազմավարության, ուղղությունների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հեռանկարների սահմանում.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հավատարմագրման ոլորտում զարգացման ուղղությունների իրագործման արդյունավետ մեխանիզմների ձ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>ավորում.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հավատարմագրման ոլորտում անդամ պետությունների օրենսդրության կատարելագործում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ներդաշնակեցում.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անդամ պետությունների հավատարմագրման մարմինների փոխադարձ համեմատական գնահատումներ կատարելու ընթացակարգերի կատարելագործում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դրանց գործնական իրագործում.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անդամ պետությունների հավատարմագրման մարմինների փոխգործակցության կատարելագործում.</w:t>
      </w:r>
    </w:p>
    <w:p w:rsidR="00A85E9E" w:rsidRPr="003C48DF" w:rsidRDefault="005F69AA" w:rsidP="00F63E66">
      <w:pPr>
        <w:pStyle w:val="22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lastRenderedPageBreak/>
        <w:t>անդամ պետությունների հավատարմագրման մարմինների տեղեկատվական փոխգործակցության ապահովում.</w:t>
      </w:r>
    </w:p>
    <w:p w:rsidR="00904061" w:rsidRPr="003C48DF" w:rsidRDefault="005F69AA" w:rsidP="00F63E66">
      <w:pPr>
        <w:pStyle w:val="22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հավատարմագրման ոլորտում գործընթացների թվայնացման ապահովում.</w:t>
      </w:r>
    </w:p>
    <w:p w:rsidR="00A85E9E" w:rsidRPr="003C48DF" w:rsidRDefault="005F69AA" w:rsidP="00F63E66">
      <w:pPr>
        <w:pStyle w:val="22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հավատարմագրման հարցերով տարածաշրջանային կազմակերպություն ստեղծելու նպատակահարմարություն.</w:t>
      </w:r>
    </w:p>
    <w:p w:rsidR="00A85E9E" w:rsidRPr="003C48DF" w:rsidRDefault="005F69AA" w:rsidP="00F63E66">
      <w:pPr>
        <w:pStyle w:val="22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դ)</w:t>
      </w:r>
      <w:r w:rsidR="00F63E66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կատարում է միջազգային գործելակերպի վերլուծություն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հավատարմագրման ոլորտում </w:t>
      </w:r>
      <w:r w:rsidR="005A10F1" w:rsidRPr="003C48DF">
        <w:rPr>
          <w:rFonts w:ascii="Sylfaen" w:hAnsi="Sylfaen"/>
          <w:sz w:val="24"/>
          <w:szCs w:val="24"/>
        </w:rPr>
        <w:t xml:space="preserve">ապահովում </w:t>
      </w:r>
      <w:r w:rsidRPr="003C48DF">
        <w:rPr>
          <w:rFonts w:ascii="Sylfaen" w:hAnsi="Sylfaen"/>
          <w:sz w:val="24"/>
          <w:szCs w:val="24"/>
        </w:rPr>
        <w:t>անդամ պետությունների փորձի փոխանակում.</w:t>
      </w:r>
    </w:p>
    <w:p w:rsidR="00A85E9E" w:rsidRPr="003C48DF" w:rsidRDefault="005F69AA" w:rsidP="00F63E66">
      <w:pPr>
        <w:pStyle w:val="22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ե)</w:t>
      </w:r>
      <w:r w:rsidR="00F63E66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հավատարմագրման ոլորտում անդամ պետությունների համաձայնեցված գործողությունների իրագործման շրջանակներում իրականացնում է այլ գործառույթներ։</w:t>
      </w:r>
    </w:p>
    <w:p w:rsidR="00904061" w:rsidRPr="003C48DF" w:rsidRDefault="00904061" w:rsidP="00F63E66">
      <w:pPr>
        <w:pStyle w:val="22"/>
        <w:shd w:val="clear" w:color="auto" w:fill="auto"/>
        <w:spacing w:before="0" w:after="160" w:line="348" w:lineRule="auto"/>
        <w:jc w:val="center"/>
        <w:rPr>
          <w:rFonts w:ascii="Sylfaen" w:hAnsi="Sylfaen"/>
          <w:sz w:val="24"/>
          <w:szCs w:val="24"/>
        </w:rPr>
      </w:pPr>
    </w:p>
    <w:p w:rsidR="00A85E9E" w:rsidRPr="003C48DF" w:rsidRDefault="009B216D" w:rsidP="00F63E66">
      <w:pPr>
        <w:pStyle w:val="22"/>
        <w:shd w:val="clear" w:color="auto" w:fill="auto"/>
        <w:spacing w:before="0" w:after="160" w:line="348" w:lineRule="auto"/>
        <w:jc w:val="center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III. Ղեկավարների խորհրդի իրավունքները</w:t>
      </w:r>
    </w:p>
    <w:p w:rsidR="00A85E9E" w:rsidRPr="003C48DF" w:rsidRDefault="009B216D" w:rsidP="00F63E66">
      <w:pPr>
        <w:pStyle w:val="22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4.</w:t>
      </w:r>
      <w:r w:rsidR="00F63E66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խորհուրդն իրավունք ունի՝</w:t>
      </w:r>
    </w:p>
    <w:p w:rsidR="00A85E9E" w:rsidRPr="003C48DF" w:rsidRDefault="005F69AA" w:rsidP="00F63E66">
      <w:pPr>
        <w:pStyle w:val="22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ա)</w:t>
      </w:r>
      <w:r w:rsidR="00F63E66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իրականացնել</w:t>
      </w:r>
      <w:r w:rsidR="00BF4504" w:rsidRPr="003C48DF">
        <w:rPr>
          <w:rFonts w:ascii="Sylfaen" w:hAnsi="Sylfaen"/>
          <w:sz w:val="24"/>
          <w:szCs w:val="24"/>
        </w:rPr>
        <w:t>ու</w:t>
      </w:r>
      <w:r w:rsidRPr="003C48DF">
        <w:rPr>
          <w:rFonts w:ascii="Sylfaen" w:hAnsi="Sylfaen"/>
          <w:sz w:val="24"/>
          <w:szCs w:val="24"/>
        </w:rPr>
        <w:t xml:space="preserve"> հավատարմագրման հարցերով առաջարկությունների նախապատրաստում՝ Եվրասիական տնտեսական հանձնաժողովի (այսուհետ՝ Հանձնաժողով) կողմից քննարկ</w:t>
      </w:r>
      <w:r w:rsidR="00CA2CFF" w:rsidRPr="003C48DF">
        <w:rPr>
          <w:rFonts w:ascii="Sylfaen" w:hAnsi="Sylfaen"/>
          <w:sz w:val="24"/>
          <w:szCs w:val="24"/>
        </w:rPr>
        <w:t>վ</w:t>
      </w:r>
      <w:r w:rsidRPr="003C48DF">
        <w:rPr>
          <w:rFonts w:ascii="Sylfaen" w:hAnsi="Sylfaen"/>
          <w:sz w:val="24"/>
          <w:szCs w:val="24"/>
        </w:rPr>
        <w:t>ելու համար.</w:t>
      </w:r>
    </w:p>
    <w:p w:rsidR="00A85E9E" w:rsidRPr="003C48DF" w:rsidRDefault="005F69AA" w:rsidP="00F63E66">
      <w:pPr>
        <w:pStyle w:val="22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բ)</w:t>
      </w:r>
      <w:r w:rsidR="00F63E66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փոխգործակցել</w:t>
      </w:r>
      <w:r w:rsidR="00BF4504" w:rsidRPr="003C48DF">
        <w:rPr>
          <w:rFonts w:ascii="Sylfaen" w:hAnsi="Sylfaen"/>
          <w:sz w:val="24"/>
          <w:szCs w:val="24"/>
        </w:rPr>
        <w:t>ու</w:t>
      </w:r>
      <w:r w:rsidRPr="003C48DF">
        <w:rPr>
          <w:rFonts w:ascii="Sylfaen" w:hAnsi="Sylfaen"/>
          <w:sz w:val="24"/>
          <w:szCs w:val="24"/>
        </w:rPr>
        <w:t xml:space="preserve"> անդամ պետությունների հավատարմագրման հարցերով պետական մարմինների, այլ պետական կառույցների, գիտական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համայնքների, միջազգային կազմակերպությունների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անկախ փորձագետների հետ.</w:t>
      </w:r>
    </w:p>
    <w:p w:rsidR="00A85E9E" w:rsidRPr="003C48DF" w:rsidRDefault="005F69AA" w:rsidP="00F63E66">
      <w:pPr>
        <w:pStyle w:val="22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գ)</w:t>
      </w:r>
      <w:r w:rsidR="00F63E66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Հանձնաժողով ներկայացնել</w:t>
      </w:r>
      <w:r w:rsidR="00BF4504" w:rsidRPr="003C48DF">
        <w:rPr>
          <w:rFonts w:ascii="Sylfaen" w:hAnsi="Sylfaen"/>
          <w:sz w:val="24"/>
          <w:szCs w:val="24"/>
        </w:rPr>
        <w:t>ու</w:t>
      </w:r>
      <w:r w:rsidRPr="003C48DF">
        <w:rPr>
          <w:rFonts w:ascii="Sylfaen" w:hAnsi="Sylfaen"/>
          <w:sz w:val="24"/>
          <w:szCs w:val="24"/>
        </w:rPr>
        <w:t xml:space="preserve"> գիտահետազոտական աշխատանքների թեմաներով առաջարկություններ՝ Հանձնաժողովի գիտահետազոտական աշխատանքների ծրագրում ներառելու համար.</w:t>
      </w:r>
    </w:p>
    <w:p w:rsidR="00A85E9E" w:rsidRPr="003C48DF" w:rsidRDefault="005F69AA" w:rsidP="00F63E66">
      <w:pPr>
        <w:pStyle w:val="22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դ)</w:t>
      </w:r>
      <w:r w:rsidR="00F63E66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Հանձնաժողով ներկայացնել</w:t>
      </w:r>
      <w:r w:rsidR="00BF4504" w:rsidRPr="003C48DF">
        <w:rPr>
          <w:rFonts w:ascii="Sylfaen" w:hAnsi="Sylfaen"/>
          <w:sz w:val="24"/>
          <w:szCs w:val="24"/>
        </w:rPr>
        <w:t>ու</w:t>
      </w:r>
      <w:r w:rsidRPr="003C48DF">
        <w:rPr>
          <w:rFonts w:ascii="Sylfaen" w:hAnsi="Sylfaen"/>
          <w:sz w:val="24"/>
          <w:szCs w:val="24"/>
        </w:rPr>
        <w:t xml:space="preserve"> անդամ պետությունների հավատարմագրման մարմինների համաձայնեցված դիրքորոշումը։</w:t>
      </w:r>
    </w:p>
    <w:p w:rsidR="00A85E9E" w:rsidRPr="003C48DF" w:rsidRDefault="009B216D" w:rsidP="00F92029">
      <w:pPr>
        <w:pStyle w:val="22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lastRenderedPageBreak/>
        <w:t>IV. Ղեկավարների խորհրդի կազմը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5.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կազմը ձ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>ավորվում է անդամ պետությունների հավատարմագրման մարմինների ղեկավարներից։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Խորհրդակցական ձայնի իրավունքով Ղեկավարների խորհրդի կազմում ընդգրկվում է Հանձնաժողովի կոլեգիայի անդամը, որի լիազորությանն են վերապահվում տեխնիկական կարգավորման հարցերը։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Անդամ պետությունների հավատարմագրման մարմինները իրենց ղեկավարների կազմում կատարված փոփոխությունների մասին ժամանակին տեղեկացնում են Ղեկավարների խորհրդին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Հանձնաժողովին։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6.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նախագահը նախագահում է Ղեկավարների խորհրդի նիստեր</w:t>
      </w:r>
      <w:r w:rsidR="000129E1" w:rsidRPr="003C48DF">
        <w:rPr>
          <w:rFonts w:ascii="Sylfaen" w:hAnsi="Sylfaen"/>
          <w:sz w:val="24"/>
          <w:szCs w:val="24"/>
        </w:rPr>
        <w:t>ին</w:t>
      </w:r>
      <w:r w:rsidRPr="003C48DF">
        <w:rPr>
          <w:rFonts w:ascii="Sylfaen" w:hAnsi="Sylfaen"/>
          <w:sz w:val="24"/>
          <w:szCs w:val="24"/>
        </w:rPr>
        <w:t xml:space="preserve">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իրականացնում է Ղեկավարների խորհրդի գործունեության ընդհանուր ղեկավարումը։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խորհրդում նախագահությունն իրականացվում է ռոտացիոն սկզբունքով՝ ռուսերեն այբբենական կարգով մեկ օրացուցային տարվա ընթացքում՝ առանց երկարաձգման իրավունքի։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7.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նախագահը՝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ա)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իրականացնում է Ղեկավարների խորհրդի գործունեության ընդհանուր ղեկավարում.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բ)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համաձայնեցնում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հաստատում է Ղեկավարների խորհրդի նիստի օրակարգը, որոշում է դրա անցկացման ամսաթիվը, ժամը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վայրը.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գ)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վարում է Ղեկավարների խորհրդի նիստերը.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դ)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ստորագրում է Ղեկավարների խորհրդի նիստերի արձանագրությունները.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ե)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իրականացնում է Ղեկավարների խորհրդի գործունեությունն ապահովելու համար անհրաժեշտ այլ գործողություններ: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lastRenderedPageBreak/>
        <w:t>8.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Ղեկավարների խորհրդի նախագահի հրավերով, Ղեկավարների խորհրդի անդամների առաջարկությունների հիման վրա Ղեկավարների խորհրդի նիստին մասնակցում են Հանձնաժողովի այն պաշտոնատար անձինք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աշխատակիցները, որոնց իրավասությանն են վերապահվում Ղեկավարների խորհրդի նիստում քննարկվող հարցերը, </w:t>
      </w:r>
      <w:r w:rsidR="00CA2CFF" w:rsidRPr="003C48DF">
        <w:rPr>
          <w:rFonts w:ascii="Sylfaen" w:hAnsi="Sylfaen"/>
          <w:sz w:val="24"/>
          <w:szCs w:val="24"/>
        </w:rPr>
        <w:t>ինչպես նա</w:t>
      </w:r>
      <w:r w:rsidR="00F92029" w:rsidRPr="003C48DF">
        <w:rPr>
          <w:rFonts w:ascii="Sylfaen" w:hAnsi="Sylfaen"/>
          <w:sz w:val="24"/>
          <w:szCs w:val="24"/>
        </w:rPr>
        <w:t>եւ</w:t>
      </w:r>
      <w:r w:rsidR="00CA2CFF" w:rsidRPr="003C48DF">
        <w:rPr>
          <w:rFonts w:ascii="Sylfaen" w:hAnsi="Sylfaen"/>
          <w:sz w:val="24"/>
          <w:szCs w:val="24"/>
        </w:rPr>
        <w:t xml:space="preserve"> </w:t>
      </w:r>
      <w:r w:rsidRPr="003C48DF">
        <w:rPr>
          <w:rFonts w:ascii="Sylfaen" w:hAnsi="Sylfaen"/>
          <w:sz w:val="24"/>
          <w:szCs w:val="24"/>
        </w:rPr>
        <w:t xml:space="preserve">պետական մարմինների, անդամ պետությունների այլ պետական կառույցների, գիտական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համայնքների, միջազգային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տարածաշրջանային կազմակերպությունների ներկայացուցիչներ</w:t>
      </w:r>
      <w:r w:rsidR="002A7DD3" w:rsidRPr="003C48DF">
        <w:rPr>
          <w:rFonts w:ascii="Sylfaen" w:hAnsi="Sylfaen"/>
          <w:sz w:val="24"/>
          <w:szCs w:val="24"/>
        </w:rPr>
        <w:t>ն ու</w:t>
      </w:r>
      <w:r w:rsidRPr="003C48DF">
        <w:rPr>
          <w:rFonts w:ascii="Sylfaen" w:hAnsi="Sylfaen"/>
          <w:sz w:val="24"/>
          <w:szCs w:val="24"/>
        </w:rPr>
        <w:t xml:space="preserve"> անկախ փորձագետներ (այսուհետ՝ Ղեկավարների խորհրդի նիստի մասնակիցներ)։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9.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նախագահն անդամ պետության այն հավատարմագրման մարմնի պաշտոնատար անձանցից կամ աշխատակիցներից, որ</w:t>
      </w:r>
      <w:r w:rsidR="00656E39" w:rsidRPr="003C48DF">
        <w:rPr>
          <w:rFonts w:ascii="Sylfaen" w:hAnsi="Sylfaen"/>
          <w:sz w:val="24"/>
          <w:szCs w:val="24"/>
        </w:rPr>
        <w:t>ո</w:t>
      </w:r>
      <w:r w:rsidR="00CA2CFF" w:rsidRPr="003C48DF">
        <w:rPr>
          <w:rFonts w:ascii="Sylfaen" w:hAnsi="Sylfaen"/>
          <w:sz w:val="24"/>
          <w:szCs w:val="24"/>
        </w:rPr>
        <w:t>նց</w:t>
      </w:r>
      <w:r w:rsidRPr="003C48DF">
        <w:rPr>
          <w:rFonts w:ascii="Sylfaen" w:hAnsi="Sylfaen"/>
          <w:sz w:val="24"/>
          <w:szCs w:val="24"/>
        </w:rPr>
        <w:t>ից ընտրվում է Ղեկավարների խորհրդի նախագահ</w:t>
      </w:r>
      <w:r w:rsidR="00CA2CFF" w:rsidRPr="003C48DF">
        <w:rPr>
          <w:rFonts w:ascii="Sylfaen" w:hAnsi="Sylfaen"/>
          <w:sz w:val="24"/>
          <w:szCs w:val="24"/>
        </w:rPr>
        <w:t>ը</w:t>
      </w:r>
      <w:r w:rsidRPr="003C48DF">
        <w:rPr>
          <w:rFonts w:ascii="Sylfaen" w:hAnsi="Sylfaen"/>
          <w:sz w:val="24"/>
          <w:szCs w:val="24"/>
        </w:rPr>
        <w:t>, կամ Հանձնաժողովի այն աշխատակիցներից, որոնց իրավասությանն են վերապահվում գործունեության ուղղությունների վերաբերյալ հարցերը, նշանակում է Ղեկավարների խորհրդի պատասխանատու քարտուղար</w:t>
      </w:r>
      <w:r w:rsidR="002A7DD3" w:rsidRPr="003C48DF">
        <w:rPr>
          <w:rFonts w:ascii="Sylfaen" w:hAnsi="Sylfaen"/>
          <w:sz w:val="24"/>
          <w:szCs w:val="24"/>
        </w:rPr>
        <w:t>՝</w:t>
      </w:r>
      <w:r w:rsidRPr="003C48DF">
        <w:rPr>
          <w:rFonts w:ascii="Sylfaen" w:hAnsi="Sylfaen"/>
          <w:sz w:val="24"/>
          <w:szCs w:val="24"/>
        </w:rPr>
        <w:t xml:space="preserve"> 1 տարի ժամկետով։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10.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պատասխանատու քարտուղարը՝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ա)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պատրաստում է Ղեկավարների խորհրդի նիստի օրակարգի նախագիծը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այն ներկայացնում է Ղեկավարների խորհրդի նախագահի հաստատմանը.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բ)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Ղեկավարների խորհրդի անդամներին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Ղեկավարների խորհրդի նիստի մասնակիցներին ուղարկում է Ղեկավարների խորհրդի նիստի հաստատված օրակարգը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դրան կից նյութերը.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գ)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Ղեկավարների խորհրդի անդամներին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Ղեկավարների խորհրդի նիստի մասնակիցներին տեղեկացնում է Ղեկավարների խորհրդի հերթական նիստի անցկացման ամսաթվի, ժամի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վայրի մասին.</w:t>
      </w:r>
    </w:p>
    <w:p w:rsidR="00954BE5" w:rsidRPr="003C48DF" w:rsidRDefault="00954BE5">
      <w:pPr>
        <w:rPr>
          <w:rFonts w:eastAsia="Times New Roman" w:cs="Times New Roman"/>
        </w:rPr>
      </w:pPr>
      <w:r w:rsidRPr="003C48DF">
        <w:br w:type="page"/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lastRenderedPageBreak/>
        <w:t>դ)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վարում է Ղեկավարների խորհրդի նիստի արձանագրությունը, համաձայնեցնում է այն Ղեկավարների խորհրդի անդամների հետ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ներկայացնում Ղեկավարների խորհրդի նախագահի ստորագրմանը.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ե)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անդամներին ուղարկում է Ղեկավարների խորհրդի նիստերի արձանագրությունների պատճենները.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զ)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իրականացնում է Ղեկավարների խորհրդի նիստի արձանագրությամբ նախատեսված միջոցառումների իրագործման աշխատանքների կատարման վերահսկողություն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Ղեկավարների խորհրդի նախագահին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անդամներին տեղեկացնում է արդյունքների մասին։</w:t>
      </w:r>
    </w:p>
    <w:p w:rsidR="00904061" w:rsidRPr="003C48DF" w:rsidRDefault="00904061" w:rsidP="00F92029">
      <w:pPr>
        <w:pStyle w:val="22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A85E9E" w:rsidRPr="003C48DF" w:rsidRDefault="009B216D" w:rsidP="00F92029">
      <w:pPr>
        <w:pStyle w:val="22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V. Ղեկավարների խորհրդի աշխատակարգը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11.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Ղեկավարների խորհրդի նիստերն անցկացվում են ըստ անհրաժեշտության, սակայն </w:t>
      </w:r>
      <w:r w:rsidR="007941AE" w:rsidRPr="003C48DF">
        <w:rPr>
          <w:rFonts w:ascii="Sylfaen" w:hAnsi="Sylfaen"/>
          <w:sz w:val="24"/>
          <w:szCs w:val="24"/>
        </w:rPr>
        <w:t>առնվազն</w:t>
      </w:r>
      <w:r w:rsidRPr="003C48DF">
        <w:rPr>
          <w:rFonts w:ascii="Sylfaen" w:hAnsi="Sylfaen"/>
          <w:sz w:val="24"/>
          <w:szCs w:val="24"/>
        </w:rPr>
        <w:t xml:space="preserve"> տարին 2 անգամ։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նիստերի անցկացման ժամանակացույցը հաստատվում է Ղեկավարների խորհրդի նիստի ժամանակ։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12.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անդամներն ապահովում են Ղեկավարների խորհրդի նիստի օրակարգի նախագծի ձ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ավորման վերաբերյալ առաջարկությունների պատրաստումը՝ հաշվի առնելով անդամ պետությունների շահագրգիռ կողմերի ներկայացրած առաջարկությունները,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դրանք ուղարկում</w:t>
      </w:r>
      <w:r w:rsidR="006B091A" w:rsidRPr="003C48DF">
        <w:rPr>
          <w:rFonts w:ascii="Sylfaen" w:hAnsi="Sylfaen"/>
          <w:sz w:val="24"/>
          <w:szCs w:val="24"/>
        </w:rPr>
        <w:t> </w:t>
      </w:r>
      <w:r w:rsidRPr="003C48DF">
        <w:rPr>
          <w:rFonts w:ascii="Sylfaen" w:hAnsi="Sylfaen"/>
          <w:sz w:val="24"/>
          <w:szCs w:val="24"/>
        </w:rPr>
        <w:t>են Ղեկավարների խորհրդի պատասխանատու քարտուղարին։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13.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նիստի օրակարգի վերաբերյալ նյութերը ներառում են`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ա)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անհրաժեշտ տեղեկատվական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վերլուծական նյութեր.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բ)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քննարկման համար առաջարկվող փաստաթղթերի նախագծեր (անհրաժեշտության դեպքում).</w:t>
      </w:r>
    </w:p>
    <w:p w:rsidR="00A85E9E" w:rsidRPr="003C48DF" w:rsidRDefault="005F69AA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գ)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արձանագրային որոշումների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գրությունների նախագծեր։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lastRenderedPageBreak/>
        <w:t>14.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Ղեկավարների խորհրդի պատասխանատու քարտուղարը Ղեկավարների խորհրդի անդամներին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Ղեկավարների խորհրդի նիստի մասնակիցներին ուղարկում է Ղեկավարների խորհրդի նիստի հաստատված օրակարգը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դրան կից նյութերը, այդ թվում՝ էլեկտրոնային տարբերակով, ոչ ուշ, քան Ղեկավարների խորհրդի նիստի անցկացման ամսաթվից 20 օրացուցային օր առաջ, իսկ բացառիկ դեպքերում՝ Ղեկավարների խորհրդի նիստի անցկացման ամսաթվից ոչ ուշ, քան 5 աշխատանքային օր առաջ։</w:t>
      </w:r>
    </w:p>
    <w:p w:rsidR="00C24699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15.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նիստերը, որպես կանոն, անցկացվում են Հանձնաժողովի շինություններում։</w:t>
      </w:r>
    </w:p>
    <w:p w:rsidR="00A85E9E" w:rsidRPr="003C48DF" w:rsidRDefault="00D66821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Անդամ պետությունների </w:t>
      </w:r>
      <w:r w:rsidR="005F69AA" w:rsidRPr="003C48DF">
        <w:rPr>
          <w:rFonts w:ascii="Sylfaen" w:hAnsi="Sylfaen"/>
          <w:sz w:val="24"/>
          <w:szCs w:val="24"/>
        </w:rPr>
        <w:t>հավատարմագրման մարմինների առաջարկությունների հիման վրա</w:t>
      </w:r>
      <w:r w:rsidR="007941AE" w:rsidRPr="003C48DF">
        <w:rPr>
          <w:rFonts w:ascii="Sylfaen" w:hAnsi="Sylfaen"/>
          <w:sz w:val="24"/>
          <w:szCs w:val="24"/>
        </w:rPr>
        <w:t xml:space="preserve"> Ղեկավարների խորհրդի նախագահի </w:t>
      </w:r>
      <w:r w:rsidR="005F69AA" w:rsidRPr="003C48DF">
        <w:rPr>
          <w:rFonts w:ascii="Sylfaen" w:hAnsi="Sylfaen"/>
          <w:sz w:val="24"/>
          <w:szCs w:val="24"/>
        </w:rPr>
        <w:t>կայաց</w:t>
      </w:r>
      <w:r w:rsidR="007941AE" w:rsidRPr="003C48DF">
        <w:rPr>
          <w:rFonts w:ascii="Sylfaen" w:hAnsi="Sylfaen"/>
          <w:sz w:val="24"/>
          <w:szCs w:val="24"/>
        </w:rPr>
        <w:t>րած</w:t>
      </w:r>
      <w:r w:rsidR="005F69AA" w:rsidRPr="003C48DF">
        <w:rPr>
          <w:rFonts w:ascii="Sylfaen" w:hAnsi="Sylfaen"/>
          <w:sz w:val="24"/>
          <w:szCs w:val="24"/>
        </w:rPr>
        <w:t xml:space="preserve"> որոշմամբ </w:t>
      </w:r>
      <w:r w:rsidRPr="003C48DF">
        <w:rPr>
          <w:rFonts w:ascii="Sylfaen" w:hAnsi="Sylfaen"/>
          <w:sz w:val="24"/>
          <w:szCs w:val="24"/>
        </w:rPr>
        <w:t xml:space="preserve">Ղեկավարների խորհրդի նիստը </w:t>
      </w:r>
      <w:r w:rsidR="005F69AA" w:rsidRPr="003C48DF">
        <w:rPr>
          <w:rFonts w:ascii="Sylfaen" w:hAnsi="Sylfaen"/>
          <w:sz w:val="24"/>
          <w:szCs w:val="24"/>
        </w:rPr>
        <w:t xml:space="preserve">կարող է անցկացվել անդամ պետություններից յուրաքանչյուրում։ Այս դեպքում հյուրընկալող անդամ պետության հավատարմագրման մարմինը աջակցություն է </w:t>
      </w:r>
      <w:r w:rsidR="00147928" w:rsidRPr="003C48DF">
        <w:rPr>
          <w:rFonts w:ascii="Sylfaen" w:hAnsi="Sylfaen"/>
          <w:sz w:val="24"/>
          <w:szCs w:val="24"/>
        </w:rPr>
        <w:t xml:space="preserve">ցուցաբերում </w:t>
      </w:r>
      <w:r w:rsidR="005F69AA" w:rsidRPr="003C48DF">
        <w:rPr>
          <w:rFonts w:ascii="Sylfaen" w:hAnsi="Sylfaen"/>
          <w:sz w:val="24"/>
          <w:szCs w:val="24"/>
        </w:rPr>
        <w:t xml:space="preserve">Ղեկավարների խորհրդի նիստի կազմակերպման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="005F69AA" w:rsidRPr="003C48DF">
        <w:rPr>
          <w:rFonts w:ascii="Sylfaen" w:hAnsi="Sylfaen"/>
          <w:sz w:val="24"/>
          <w:szCs w:val="24"/>
        </w:rPr>
        <w:t xml:space="preserve"> անցկացման հարցում։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նիստը կարող է անցկացվել տեսաժողովի ռեժիմով։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նիստը տեսաժողովի ռեժիմով անցկացնելու մասին որոշումն ընդունվում է Ղեկավարների խորհրդի նախագահի կողմից՝ Ղեկավարների խորհրդի անդամների հետ համաձայնեց</w:t>
      </w:r>
      <w:r w:rsidR="007941AE" w:rsidRPr="003C48DF">
        <w:rPr>
          <w:rFonts w:ascii="Sylfaen" w:hAnsi="Sylfaen"/>
          <w:sz w:val="24"/>
          <w:szCs w:val="24"/>
        </w:rPr>
        <w:t>մամբ</w:t>
      </w:r>
      <w:r w:rsidRPr="003C48DF">
        <w:rPr>
          <w:rFonts w:ascii="Sylfaen" w:hAnsi="Sylfaen"/>
          <w:sz w:val="24"/>
          <w:szCs w:val="24"/>
        </w:rPr>
        <w:t>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16.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նիստը համարվում է իրավազոր, եթե դրան ներկա են Ղեկավարների խորհրդի անդամների ընդհանուր թվի առնվազն երկու երրորդը։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անդամները Ղեկավարների խորհրդի նիստերին մասնակցում են անձամբ կամ իրենց լիազորված ներկայացուցիչների միջոցով։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Ղեկավարների խորհրդի նիստում Ղեկավարների խորհրդի անդամի լիազորված ներկայացուցչի մասնակցության դեպքում Ղեկավարների խորհրդի անդամն այդ մասին նախապես տեղեկացնում է Ղեկավարների խորհրդի </w:t>
      </w:r>
      <w:r w:rsidRPr="003C48DF">
        <w:rPr>
          <w:rFonts w:ascii="Sylfaen" w:hAnsi="Sylfaen"/>
          <w:sz w:val="24"/>
          <w:szCs w:val="24"/>
        </w:rPr>
        <w:lastRenderedPageBreak/>
        <w:t>նախագահին՝ Ղեկավարների խորհրդի նախագահի անունով պաշտոնական նամակ ուղարկելու միջոցով։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անդամի կամ նրա լիազորված ներկայացուցչի՝ Ղեկավարների խորհրդի նիստին ներկայանալու անհնարինության դեպքում Ղեկավարների խորհրդի անդամ</w:t>
      </w:r>
      <w:r w:rsidR="00FE2BA4" w:rsidRPr="003C48DF">
        <w:rPr>
          <w:rFonts w:ascii="Sylfaen" w:hAnsi="Sylfaen"/>
          <w:sz w:val="24"/>
          <w:szCs w:val="24"/>
        </w:rPr>
        <w:t>ը</w:t>
      </w:r>
      <w:r w:rsidRPr="003C48DF">
        <w:rPr>
          <w:rFonts w:ascii="Sylfaen" w:hAnsi="Sylfaen"/>
          <w:sz w:val="24"/>
          <w:szCs w:val="24"/>
        </w:rPr>
        <w:t xml:space="preserve"> նախապես Ղեկավարների խորհրդի նախագահին գրավոր ներկայացնում է քննարկվող հարցերի վերաբերյալ իր կարծիքը։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17.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անդամները Ղեկավարների խորհրդի նիստին քննարկման համար կարող են առաջարկել լրացուցիչ հարցեր, որոնք ներառված չեն Ղեկավարների խորհրդի նիստի հաստատված օրակարգում։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նիստի օրակարգում լրացուցիչ հարցեր ներառելու մասին որոշումն ընդունում է Ղեկավարների խորհրդի նախագահը՝ Ղեկավարների խորհրդի անդամների հետ համաձայնեց</w:t>
      </w:r>
      <w:r w:rsidR="00592908" w:rsidRPr="003C48DF">
        <w:rPr>
          <w:rFonts w:ascii="Sylfaen" w:hAnsi="Sylfaen"/>
          <w:sz w:val="24"/>
          <w:szCs w:val="24"/>
        </w:rPr>
        <w:t>մամբ</w:t>
      </w:r>
      <w:r w:rsidRPr="003C48DF">
        <w:rPr>
          <w:rFonts w:ascii="Sylfaen" w:hAnsi="Sylfaen"/>
          <w:sz w:val="24"/>
          <w:szCs w:val="24"/>
        </w:rPr>
        <w:t>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նիստի օրակարգում ներառված հարցը քննարկումից կարող է հանվել Ղեկավարների խորհրդի նախագահի կողմից՝ Ղեկավարների խորհրդի անդամի առաջարկությամբ։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18.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 xml:space="preserve">Ղեկավարների խորհրդի նիստի օրակարգում ներառելու համար հարցեր առաջարկած՝ Ղեկավարների խորհրդի անդամներն ապահովում են համապատասխան նյութերի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տեղեկությունների տրամադրումը Ղեկավարների խորհրդի պատասխանատու քարտուղարին։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Ղեկավարների խորհրդի նախագահն իրավունք ունի անդամ պետությունների հավատարմագրման մարմիններից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Ղեկավարների խորհրդի անդամներից սահմանված կարգով պահանջել</w:t>
      </w:r>
      <w:r w:rsidR="009F08AF" w:rsidRPr="003C48DF">
        <w:rPr>
          <w:rFonts w:ascii="Sylfaen" w:hAnsi="Sylfaen"/>
          <w:sz w:val="24"/>
          <w:szCs w:val="24"/>
        </w:rPr>
        <w:t>ու</w:t>
      </w:r>
      <w:r w:rsidRPr="003C48DF">
        <w:rPr>
          <w:rFonts w:ascii="Sylfaen" w:hAnsi="Sylfaen"/>
          <w:sz w:val="24"/>
          <w:szCs w:val="24"/>
        </w:rPr>
        <w:t xml:space="preserve"> Ղեկավարների խորհրդի իրավասությանը վերապահված հարցերի վերաբերյալ նյութեր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տեղեկություններ։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19.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նիստի ընթացքում հարցերի քննարկման ժամանակ Ղեկավարների խորհրդի անդամներն ունեն հավասար իրավունքներ։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lastRenderedPageBreak/>
        <w:t>Ղեկավարների խորհուրդը որոշումներ է ընդունում ընդհանուր համաձայնությամբ (կոնսենսուսով)։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նիստի արդյունքները ձ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>ակերպվում են արձանագրությամբ, որում նշվում են Ղեկավարների խորհրդի անդամների դիրքորոշումները։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նիստերին Ղեկավարների խորհրդի անդամների կողմից ներկայացված դիրքորոշումները չեն կարող դիտարկվել որպես անդամ պետությունների վերջնական դիրքորոշում: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Ղեկավարների խորհրդի նիստի արձանագրությունը ստորագրվում է Ղեկավարների խորհրդի նախագահի կողմից, որպես կանոն, Ղեկավարների խորհրդի նիստի անցկացման օրը, իսկ բացառիկ դեպքերում՝ Ղեկավարների խորհրդի նիստի անցկացման ամսաթվից ոչ ուշ, քան 3 աշխատանքային </w:t>
      </w:r>
      <w:r w:rsidR="00592908" w:rsidRPr="003C48DF">
        <w:rPr>
          <w:rFonts w:ascii="Sylfaen" w:hAnsi="Sylfaen"/>
          <w:sz w:val="24"/>
          <w:szCs w:val="24"/>
        </w:rPr>
        <w:t xml:space="preserve">օր </w:t>
      </w:r>
      <w:r w:rsidR="00FE2BA4" w:rsidRPr="003C48DF">
        <w:rPr>
          <w:rFonts w:ascii="Sylfaen" w:hAnsi="Sylfaen"/>
          <w:sz w:val="24"/>
          <w:szCs w:val="24"/>
        </w:rPr>
        <w:t>հետո</w:t>
      </w:r>
      <w:r w:rsidRPr="003C48DF">
        <w:rPr>
          <w:rFonts w:ascii="Sylfaen" w:hAnsi="Sylfaen"/>
          <w:sz w:val="24"/>
          <w:szCs w:val="24"/>
        </w:rPr>
        <w:t>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պատասխանատու քարտուղարը Ղեկավարների խորհրդի նիստի արձանագրության պատճենն ուղարկում է Ղեկավարների խորհրդի բոլոր անդամներին՝ Ղեկավարների խորհրդի նախագահի կողմից ստորագրման ամսաթվից ոչ ուշ, քան 5 աշխատանքային օր</w:t>
      </w:r>
      <w:r w:rsidR="00FE2BA4" w:rsidRPr="003C48DF">
        <w:rPr>
          <w:rFonts w:ascii="Sylfaen" w:hAnsi="Sylfaen"/>
          <w:sz w:val="24"/>
          <w:szCs w:val="24"/>
        </w:rPr>
        <w:t xml:space="preserve"> հետո</w:t>
      </w:r>
      <w:r w:rsidRPr="003C48DF">
        <w:rPr>
          <w:rFonts w:ascii="Sylfaen" w:hAnsi="Sylfaen"/>
          <w:sz w:val="24"/>
          <w:szCs w:val="24"/>
        </w:rPr>
        <w:t>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նախագահի որոշմամբ՝ Ղեկավարների խորհրդի նիստի արձանագրության պատճենը կամ դրա քաղվածքը կարող է ուղարկվել Ղեկավարների խորհրդի նիստի մասնակիցներին։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Ղեկավարների խորհրդի նիստերի արձանագրությունները պահվում են Ղեկավարների խորհրդի պատասխանատու քարտուղարի մոտ, իսկ այդ արձանագրությունների պատճենները՝ Հանձնաժողովում։</w:t>
      </w:r>
    </w:p>
    <w:p w:rsidR="00A85E9E" w:rsidRPr="003C48DF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20.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գործունեության</w:t>
      </w:r>
      <w:r w:rsidR="00592908" w:rsidRPr="003C48DF">
        <w:rPr>
          <w:rFonts w:ascii="Sylfaen" w:hAnsi="Sylfaen"/>
          <w:sz w:val="24"/>
          <w:szCs w:val="24"/>
        </w:rPr>
        <w:t>ն</w:t>
      </w:r>
      <w:r w:rsidRPr="003C48DF">
        <w:rPr>
          <w:rFonts w:ascii="Sylfaen" w:hAnsi="Sylfaen"/>
          <w:sz w:val="24"/>
          <w:szCs w:val="24"/>
        </w:rPr>
        <w:t xml:space="preserve"> անդամ պետությունների հավատարմագրման մարմինների Ղեկավարների խորհրդի անդամների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լիազորված ներկայացուցիչների մասնակցության հետ կապված ծախսերը հոգում են անդամ պետությունների հավատարմագրման մարմինները։</w:t>
      </w:r>
    </w:p>
    <w:p w:rsidR="00954BE5" w:rsidRPr="003C48DF" w:rsidRDefault="00954BE5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lastRenderedPageBreak/>
        <w:t xml:space="preserve">Ղեկավարների խորհրդի </w:t>
      </w:r>
      <w:r w:rsidR="00531AAA" w:rsidRPr="003C48DF">
        <w:rPr>
          <w:rFonts w:ascii="Sylfaen" w:hAnsi="Sylfaen"/>
          <w:sz w:val="24"/>
          <w:szCs w:val="24"/>
        </w:rPr>
        <w:t xml:space="preserve">գործունեությանն անդամ պետությունների գիտական </w:t>
      </w:r>
      <w:r w:rsidR="00F92029" w:rsidRPr="003C48DF">
        <w:rPr>
          <w:rFonts w:ascii="Sylfaen" w:hAnsi="Sylfaen"/>
          <w:sz w:val="24"/>
          <w:szCs w:val="24"/>
        </w:rPr>
        <w:t>եւ</w:t>
      </w:r>
      <w:r w:rsidR="00531AAA" w:rsidRPr="003C48DF">
        <w:rPr>
          <w:rFonts w:ascii="Sylfaen" w:hAnsi="Sylfaen"/>
          <w:sz w:val="24"/>
          <w:szCs w:val="24"/>
        </w:rPr>
        <w:t xml:space="preserve"> կրթական հաստատությունների, հասարակական կազմակերպությունների, գործարար համայնքների, միջազգային կազմակերպությունների ներկայացուցիչների </w:t>
      </w:r>
      <w:r w:rsidR="00F92029" w:rsidRPr="003C48DF">
        <w:rPr>
          <w:rFonts w:ascii="Sylfaen" w:hAnsi="Sylfaen"/>
          <w:sz w:val="24"/>
          <w:szCs w:val="24"/>
        </w:rPr>
        <w:t>եւ</w:t>
      </w:r>
      <w:r w:rsidR="00531AAA" w:rsidRPr="003C48DF">
        <w:rPr>
          <w:rFonts w:ascii="Sylfaen" w:hAnsi="Sylfaen"/>
          <w:sz w:val="24"/>
          <w:szCs w:val="24"/>
        </w:rPr>
        <w:t xml:space="preserve"> անկախ փորձագետների մասնակցության հետ կապված ծախսեր</w:t>
      </w:r>
      <w:r w:rsidR="008472C3" w:rsidRPr="003C48DF">
        <w:rPr>
          <w:rFonts w:ascii="Sylfaen" w:hAnsi="Sylfaen"/>
          <w:sz w:val="24"/>
          <w:szCs w:val="24"/>
        </w:rPr>
        <w:t>ն</w:t>
      </w:r>
      <w:r w:rsidR="00531AAA" w:rsidRPr="003C48DF">
        <w:rPr>
          <w:rFonts w:ascii="Sylfaen" w:hAnsi="Sylfaen"/>
          <w:sz w:val="24"/>
          <w:szCs w:val="24"/>
        </w:rPr>
        <w:t xml:space="preserve"> </w:t>
      </w:r>
      <w:r w:rsidR="008472C3" w:rsidRPr="003C48DF">
        <w:rPr>
          <w:rFonts w:ascii="Sylfaen" w:hAnsi="Sylfaen"/>
          <w:sz w:val="24"/>
          <w:szCs w:val="24"/>
        </w:rPr>
        <w:t xml:space="preserve">ինքնուրույն հոգում են </w:t>
      </w:r>
      <w:r w:rsidR="00531AAA" w:rsidRPr="003C48DF">
        <w:rPr>
          <w:rFonts w:ascii="Sylfaen" w:hAnsi="Sylfaen"/>
          <w:sz w:val="24"/>
          <w:szCs w:val="24"/>
        </w:rPr>
        <w:t>նշված</w:t>
      </w:r>
      <w:r w:rsidRPr="003C48DF">
        <w:rPr>
          <w:rFonts w:ascii="Sylfaen" w:hAnsi="Sylfaen"/>
          <w:sz w:val="24"/>
          <w:szCs w:val="24"/>
        </w:rPr>
        <w:t xml:space="preserve"> անձինք։</w:t>
      </w:r>
    </w:p>
    <w:p w:rsidR="00A85E9E" w:rsidRPr="003C48DF" w:rsidRDefault="005F69AA" w:rsidP="00F92029">
      <w:pPr>
        <w:pStyle w:val="22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 xml:space="preserve">Ղեկավարների խորհրդի գործունեությանը Հանձնաժողովի կոլեգիայի անդամի, Հանձնաժողովի պաշտոնատար անձանց </w:t>
      </w:r>
      <w:r w:rsidR="00F92029" w:rsidRPr="003C48DF">
        <w:rPr>
          <w:rFonts w:ascii="Sylfaen" w:hAnsi="Sylfaen"/>
          <w:sz w:val="24"/>
          <w:szCs w:val="24"/>
        </w:rPr>
        <w:t>եւ</w:t>
      </w:r>
      <w:r w:rsidRPr="003C48DF">
        <w:rPr>
          <w:rFonts w:ascii="Sylfaen" w:hAnsi="Sylfaen"/>
          <w:sz w:val="24"/>
          <w:szCs w:val="24"/>
        </w:rPr>
        <w:t xml:space="preserve"> աշխատակիցների մասնակցության հետ կապված ծախսերը հոգում է Հանձնաժողովը։</w:t>
      </w:r>
    </w:p>
    <w:p w:rsidR="00A85E9E" w:rsidRPr="00F92029" w:rsidRDefault="009B216D" w:rsidP="00954BE5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C48DF">
        <w:rPr>
          <w:rFonts w:ascii="Sylfaen" w:hAnsi="Sylfaen"/>
          <w:sz w:val="24"/>
          <w:szCs w:val="24"/>
        </w:rPr>
        <w:t>21.</w:t>
      </w:r>
      <w:r w:rsidR="00954BE5" w:rsidRPr="003C48DF">
        <w:rPr>
          <w:rFonts w:ascii="Sylfaen" w:hAnsi="Sylfaen"/>
          <w:sz w:val="24"/>
          <w:szCs w:val="24"/>
        </w:rPr>
        <w:tab/>
      </w:r>
      <w:r w:rsidRPr="003C48DF">
        <w:rPr>
          <w:rFonts w:ascii="Sylfaen" w:hAnsi="Sylfaen"/>
          <w:sz w:val="24"/>
          <w:szCs w:val="24"/>
        </w:rPr>
        <w:t>Ղեկավարների խորհրդի գործունեության կազմակերպատեխնիկական ապահովումն իրականացվում է Հանձնաժողովի կողմից։</w:t>
      </w:r>
    </w:p>
    <w:p w:rsidR="00A85E9E" w:rsidRPr="00F92029" w:rsidRDefault="00A85E9E" w:rsidP="00F92029">
      <w:pPr>
        <w:spacing w:after="160" w:line="360" w:lineRule="auto"/>
        <w:ind w:firstLine="567"/>
        <w:jc w:val="both"/>
      </w:pPr>
    </w:p>
    <w:sectPr w:rsidR="00A85E9E" w:rsidRPr="00F92029" w:rsidSect="006B091A">
      <w:footerReference w:type="default" r:id="rId8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EA9" w:rsidRDefault="00D90EA9" w:rsidP="00A85E9E">
      <w:r>
        <w:separator/>
      </w:r>
    </w:p>
  </w:endnote>
  <w:endnote w:type="continuationSeparator" w:id="0">
    <w:p w:rsidR="00D90EA9" w:rsidRDefault="00D90EA9" w:rsidP="00A8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8759"/>
      <w:docPartObj>
        <w:docPartGallery w:val="Page Numbers (Bottom of Page)"/>
        <w:docPartUnique/>
      </w:docPartObj>
    </w:sdtPr>
    <w:sdtEndPr/>
    <w:sdtContent>
      <w:p w:rsidR="006B091A" w:rsidRDefault="00201F4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48D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EA9" w:rsidRDefault="00D90EA9"/>
  </w:footnote>
  <w:footnote w:type="continuationSeparator" w:id="0">
    <w:p w:rsidR="00D90EA9" w:rsidRDefault="00D90E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06D6"/>
    <w:multiLevelType w:val="multilevel"/>
    <w:tmpl w:val="EB8AA07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378F2"/>
    <w:multiLevelType w:val="multilevel"/>
    <w:tmpl w:val="08E8E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01339E"/>
    <w:multiLevelType w:val="multilevel"/>
    <w:tmpl w:val="CFDA5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E5F50"/>
    <w:multiLevelType w:val="multilevel"/>
    <w:tmpl w:val="8432D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E9E"/>
    <w:rsid w:val="000129E1"/>
    <w:rsid w:val="0006239E"/>
    <w:rsid w:val="00097B6C"/>
    <w:rsid w:val="00134998"/>
    <w:rsid w:val="00144814"/>
    <w:rsid w:val="00147928"/>
    <w:rsid w:val="00201F4B"/>
    <w:rsid w:val="00227AA8"/>
    <w:rsid w:val="002454ED"/>
    <w:rsid w:val="002A7DD3"/>
    <w:rsid w:val="002C4C9B"/>
    <w:rsid w:val="003C48DF"/>
    <w:rsid w:val="003C65FD"/>
    <w:rsid w:val="003F20C7"/>
    <w:rsid w:val="00434B20"/>
    <w:rsid w:val="00475F5A"/>
    <w:rsid w:val="004919A1"/>
    <w:rsid w:val="004B4F76"/>
    <w:rsid w:val="004D6661"/>
    <w:rsid w:val="00521F9A"/>
    <w:rsid w:val="00531AAA"/>
    <w:rsid w:val="00556A64"/>
    <w:rsid w:val="00581CC0"/>
    <w:rsid w:val="00592908"/>
    <w:rsid w:val="005A10F1"/>
    <w:rsid w:val="005F69AA"/>
    <w:rsid w:val="00656E39"/>
    <w:rsid w:val="006B091A"/>
    <w:rsid w:val="006B2F05"/>
    <w:rsid w:val="006C0F64"/>
    <w:rsid w:val="00726D31"/>
    <w:rsid w:val="007941AE"/>
    <w:rsid w:val="007C1846"/>
    <w:rsid w:val="008472C3"/>
    <w:rsid w:val="008E72AA"/>
    <w:rsid w:val="00902C22"/>
    <w:rsid w:val="00904061"/>
    <w:rsid w:val="00907A42"/>
    <w:rsid w:val="00916C7C"/>
    <w:rsid w:val="00954BE5"/>
    <w:rsid w:val="00961EA0"/>
    <w:rsid w:val="009B216D"/>
    <w:rsid w:val="009C258A"/>
    <w:rsid w:val="009D2659"/>
    <w:rsid w:val="009F08AF"/>
    <w:rsid w:val="00A35CC4"/>
    <w:rsid w:val="00A378D3"/>
    <w:rsid w:val="00A707E9"/>
    <w:rsid w:val="00A71297"/>
    <w:rsid w:val="00A85E9E"/>
    <w:rsid w:val="00AB431D"/>
    <w:rsid w:val="00BF025F"/>
    <w:rsid w:val="00BF4504"/>
    <w:rsid w:val="00C24699"/>
    <w:rsid w:val="00C46F12"/>
    <w:rsid w:val="00CA2CFF"/>
    <w:rsid w:val="00D31814"/>
    <w:rsid w:val="00D54174"/>
    <w:rsid w:val="00D66821"/>
    <w:rsid w:val="00D87439"/>
    <w:rsid w:val="00D90EA9"/>
    <w:rsid w:val="00E61570"/>
    <w:rsid w:val="00E70752"/>
    <w:rsid w:val="00E83FFB"/>
    <w:rsid w:val="00F02FD5"/>
    <w:rsid w:val="00F231E2"/>
    <w:rsid w:val="00F63E66"/>
    <w:rsid w:val="00F67662"/>
    <w:rsid w:val="00F92029"/>
    <w:rsid w:val="00FC197F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81F13-3D60-4BE6-B9E3-AAAC3CF2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85E9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E9E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A8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Заголовок №2_"/>
    <w:basedOn w:val="DefaultParagraphFont"/>
    <w:link w:val="20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Заголовок №2 + Интервал 4 pt"/>
    <w:basedOn w:val="2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">
    <w:name w:val="Основной текст (2)_"/>
    <w:basedOn w:val="DefaultParagraphFont"/>
    <w:link w:val="22"/>
    <w:rsid w:val="00A8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"/>
    <w:basedOn w:val="21"/>
    <w:rsid w:val="00A8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a">
    <w:name w:val="Подпись к таблице_"/>
    <w:basedOn w:val="DefaultParagraphFont"/>
    <w:link w:val="a0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Интервал 2 pt"/>
    <w:basedOn w:val="21"/>
    <w:rsid w:val="00A8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4">
    <w:name w:val="Основной текст (2) + Полужирный"/>
    <w:basedOn w:val="21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2pt0">
    <w:name w:val="Заголовок №2 + Интервал 2 pt"/>
    <w:basedOn w:val="2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A85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Normal"/>
    <w:link w:val="3"/>
    <w:rsid w:val="00A85E9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A85E9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Заголовок №2"/>
    <w:basedOn w:val="Normal"/>
    <w:link w:val="2"/>
    <w:rsid w:val="00A85E9E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Normal"/>
    <w:link w:val="21"/>
    <w:rsid w:val="00A85E9E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0">
    <w:name w:val="Подпись к таблице"/>
    <w:basedOn w:val="Normal"/>
    <w:link w:val="a"/>
    <w:rsid w:val="00A85E9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Normal"/>
    <w:link w:val="4"/>
    <w:rsid w:val="00A85E9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6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9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91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09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9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F7B76-5B69-48DF-8E13-69AA9B41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24</cp:revision>
  <dcterms:created xsi:type="dcterms:W3CDTF">2018-08-08T13:30:00Z</dcterms:created>
  <dcterms:modified xsi:type="dcterms:W3CDTF">2020-03-05T08:09:00Z</dcterms:modified>
</cp:coreProperties>
</file>