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500"/>
      </w:tblGrid>
      <w:tr w:rsidR="008241A3" w:rsidRPr="00BC2E29" w:rsidTr="00FE10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41A3" w:rsidRPr="00BC2E29" w:rsidRDefault="008241A3" w:rsidP="00BC2E29">
            <w:pPr>
              <w:widowControl w:val="0"/>
              <w:spacing w:after="16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Arial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8241A3" w:rsidRPr="00BC2E29" w:rsidRDefault="008241A3" w:rsidP="0033707C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Приложение № 2</w:t>
            </w:r>
          </w:p>
          <w:p w:rsidR="008241A3" w:rsidRPr="00BC2E29" w:rsidRDefault="008241A3" w:rsidP="0033707C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к Постановлению Правительства Республики Армения № 702-N </w:t>
            </w:r>
            <w:r w:rsidR="00541EFB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от 12 мая 2011 года</w:t>
            </w:r>
          </w:p>
        </w:tc>
      </w:tr>
    </w:tbl>
    <w:p w:rsidR="0086556F" w:rsidRPr="00BC2E29" w:rsidRDefault="0086556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ПРАВИЛА</w:t>
      </w: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СОДЕРЖАНИЯ ГОСУДАРСТВЕННОЙ ГРАНИЦЫ РЕСПУБЛИКИ АРМЕНИЯ</w:t>
      </w: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I. ОБЩИЕ ПОЛОЖЕНИЯ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Настоящие Правила регулируют сохранение пограничных знаков государственной границы Республики Армения (далее </w:t>
      </w:r>
      <w:r w:rsidR="008B18B0" w:rsidRPr="00BC2E29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="008B18B0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государственная граница), их контрольные осмотры, создание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вдоль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границы прозрачной, санитарной полосы и ее содержание.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Пограничные войска Службы национальной безопасности при Правительстве Республики Армения (далее </w:t>
      </w:r>
      <w:r w:rsidR="008B18B0" w:rsidRPr="00BC2E29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="008B18B0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пограничные войска) обязаны осуществлять контроль пограничных знаков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 и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создание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вдоль границы прозрачной санитарной полосы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и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ее </w:t>
      </w:r>
      <w:r w:rsidRPr="00BC2E29">
        <w:rPr>
          <w:rFonts w:ascii="GHEA Grapalat" w:hAnsi="GHEA Grapalat"/>
          <w:color w:val="000000"/>
          <w:sz w:val="24"/>
          <w:szCs w:val="24"/>
        </w:rPr>
        <w:t>содержание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41EFB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II. СОХРАНЕНИЕ И КОНТРОЛЬНЫЕ ОСМОТРЫ ПОГРАНИЧНЫХ ЗНАКОВ ГОСУДАРСТВЕННОЙ ГРАНИЦЫ</w:t>
      </w:r>
    </w:p>
    <w:p w:rsidR="008241A3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3.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Установка пограничных знаков государственной границы осуществляется в порядке, предусмотренном международными договорами Республики Армения.</w:t>
      </w:r>
    </w:p>
    <w:p w:rsidR="00541EFB" w:rsidRPr="00BC2E29" w:rsidRDefault="00541EFB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4.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Контрольный осмотр пограничных знаков государственной границы осуществляется пограничным нарядом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под руководством офицера. Исходя из особенностей ситуации на охраняемом участке, начальник пограничного отряда определяет частоту осмотров.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5.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Органы, имеющие полномочия на осуществление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проверок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 государственной границе, на основании взаимной договоренности с пограничниками сопредельных государств проводят совместные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проверки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, предварительно в письменной форме уведомив об этом сопредельные государства. Относительно результатов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проверки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составляется протокол в двух экземплярах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на армянском языке, на языке сопредельного государства и (или), по обоюдному согласию, на </w:t>
      </w:r>
      <w:r w:rsidR="00972C1A" w:rsidRPr="00BC2E29">
        <w:rPr>
          <w:rFonts w:ascii="GHEA Grapalat" w:hAnsi="GHEA Grapalat"/>
          <w:color w:val="000000"/>
          <w:sz w:val="24"/>
          <w:szCs w:val="24"/>
        </w:rPr>
        <w:t>ином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приемлемом для сторон языке.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6.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Содержание основных, промежуточных и центр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овых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пограничных знаков государственной границы осуществляется согласно принадлежности, определенной международными договорами.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7.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Пограничные войска ремонтируют закрепленные за ними пограничные знаки, информируя об этом соответствующих пограничников сопредельного государства, без присутствия </w:t>
      </w:r>
      <w:r w:rsidR="000C532E" w:rsidRPr="00BC2E29">
        <w:rPr>
          <w:rFonts w:ascii="GHEA Grapalat" w:hAnsi="GHEA Grapalat"/>
          <w:color w:val="000000"/>
          <w:sz w:val="24"/>
          <w:szCs w:val="24"/>
        </w:rPr>
        <w:t xml:space="preserve">их </w:t>
      </w:r>
      <w:r w:rsidRPr="00BC2E29">
        <w:rPr>
          <w:rFonts w:ascii="GHEA Grapalat" w:hAnsi="GHEA Grapalat"/>
          <w:color w:val="000000"/>
          <w:sz w:val="24"/>
          <w:szCs w:val="24"/>
        </w:rPr>
        <w:t>представителей. В иных случаях восстановление пограничных знаков производится в соответствии с международными договорами.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8.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 случае исчезновения или повреждения пограничных знаков, восстановление осуществляет то сопредельное государство, за которым они закреплены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в соответствии с международными договорами Республики Армения.</w:t>
      </w:r>
    </w:p>
    <w:p w:rsidR="008241A3" w:rsidRPr="00BC2E29" w:rsidRDefault="008241A3" w:rsidP="00541EFB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9.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В случае чрезвычайных ситуаций (стихийных бедствий и т.</w:t>
      </w:r>
      <w:r w:rsidR="008B18B0" w:rsidRPr="00BC2E2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д.) разрешается осуществлять перемещение пограничных знаков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без изменения границы. Указанные перемещения осуществляются в соответствии с настоящим </w:t>
      </w:r>
      <w:r w:rsidR="00795832" w:rsidRPr="00BC2E29">
        <w:rPr>
          <w:rFonts w:ascii="GHEA Grapalat" w:hAnsi="GHEA Grapalat"/>
          <w:color w:val="000000"/>
          <w:sz w:val="24"/>
          <w:szCs w:val="24"/>
        </w:rPr>
        <w:t>П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орядком и международными договорами. 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10.</w:t>
      </w:r>
      <w:r w:rsidR="00541EFB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Относительно работ по установке пограничных знаков на новом месте составляется протокол в двух экземплярах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на армянском языке, на языке сопредельного государства и (или), по обоюдному согласию, на </w:t>
      </w:r>
      <w:r w:rsidR="000C532E" w:rsidRPr="00BC2E29">
        <w:rPr>
          <w:rFonts w:ascii="GHEA Grapalat" w:hAnsi="GHEA Grapalat"/>
          <w:color w:val="000000"/>
          <w:sz w:val="24"/>
          <w:szCs w:val="24"/>
        </w:rPr>
        <w:t>ином</w:t>
      </w:r>
      <w:r w:rsidR="00795832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приемлемом для сторон языке. Для каждого знака, установленного на новом месте, составляется протокол и описание установки.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11.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 соответствии с международными договорами Республики Армения, пограничные войска обязаны предпринимать необходимые меры для обеспечения сохранности пограничных знаков, а также для привлечения к ответственности лиц, виновных в перемещении, повреждении и уничтожении пограничных знаков. </w:t>
      </w:r>
    </w:p>
    <w:p w:rsidR="008241A3" w:rsidRPr="00BC2E29" w:rsidRDefault="008241A3" w:rsidP="005329F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12.</w:t>
      </w:r>
      <w:r w:rsidR="005329F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Пограничные войска обязаны предпринимать меры для предотвращения преднамеренного разрушения (уничтожения) берегов пограничных водоемов. </w:t>
      </w:r>
    </w:p>
    <w:p w:rsidR="0086556F" w:rsidRPr="00BC2E29" w:rsidRDefault="0086556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5329F9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III. СОЗДАНИЕ И СОДЕРЖАНИЕ ПРОЗРАЧНОЙ САНИТАРНОЙ ПОЛОСЫ </w:t>
      </w:r>
      <w:r w:rsidR="006F1D2A" w:rsidRPr="00BC2E29">
        <w:rPr>
          <w:rFonts w:ascii="GHEA Grapalat" w:hAnsi="GHEA Grapalat"/>
          <w:b/>
          <w:color w:val="000000"/>
          <w:sz w:val="24"/>
          <w:szCs w:val="24"/>
        </w:rPr>
        <w:t>ВДОЛЬ</w:t>
      </w:r>
      <w:r w:rsidRPr="00BC2E29">
        <w:rPr>
          <w:rFonts w:ascii="GHEA Grapalat" w:hAnsi="GHEA Grapalat"/>
          <w:b/>
          <w:color w:val="000000"/>
          <w:sz w:val="24"/>
          <w:szCs w:val="24"/>
        </w:rPr>
        <w:t xml:space="preserve"> ГОСУДАРСТВЕННОЙ ГРАНИЦЫ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13.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>Вдоль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сухопутной государственной границы, от линии границы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>вглубь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пограничной полосы, по расположению пограничных знаков, пограничными войсками создается прозрачная санитарная полоса шириной до 50 метров, где могут возводиться инженерные заграждения, пограничные дороги, мосты, смотровые вышки и иные инженерно-технические сооружения. 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 xml:space="preserve">14. Содержание прозрачной санитарной полосы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>вдоль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государственной границы осуществляется пограничным нарядом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под руководством офицера, посредством удаления деревьев, растительности, крупных камней, ограничивающих </w:t>
      </w:r>
      <w:r w:rsidR="006F1D2A" w:rsidRPr="00BC2E29">
        <w:rPr>
          <w:rFonts w:ascii="GHEA Grapalat" w:hAnsi="GHEA Grapalat"/>
          <w:color w:val="000000"/>
          <w:sz w:val="24"/>
          <w:szCs w:val="24"/>
        </w:rPr>
        <w:t xml:space="preserve">видимость </w:t>
      </w:r>
      <w:r w:rsidRPr="00BC2E29">
        <w:rPr>
          <w:rFonts w:ascii="GHEA Grapalat" w:hAnsi="GHEA Grapalat"/>
          <w:color w:val="000000"/>
          <w:sz w:val="24"/>
          <w:szCs w:val="24"/>
        </w:rPr>
        <w:t>пограничных знаков.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8"/>
      </w:tblGrid>
      <w:tr w:rsidR="008241A3" w:rsidRPr="00BC2E29" w:rsidTr="005329F9">
        <w:trPr>
          <w:tblCellSpacing w:w="0" w:type="dxa"/>
          <w:jc w:val="center"/>
        </w:trPr>
        <w:tc>
          <w:tcPr>
            <w:tcW w:w="4253" w:type="dxa"/>
            <w:shd w:val="clear" w:color="auto" w:fill="FFFFFF"/>
            <w:vAlign w:val="center"/>
            <w:hideMark/>
          </w:tcPr>
          <w:p w:rsidR="008241A3" w:rsidRPr="00BC2E29" w:rsidRDefault="008241A3" w:rsidP="005329F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Руководитель</w:t>
            </w:r>
            <w:r w:rsidR="005329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Аппарата Правительства</w:t>
            </w:r>
            <w:r w:rsidR="005329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Республики Армения</w:t>
            </w:r>
          </w:p>
        </w:tc>
        <w:tc>
          <w:tcPr>
            <w:tcW w:w="4818" w:type="dxa"/>
            <w:shd w:val="clear" w:color="auto" w:fill="FFFFFF"/>
            <w:vAlign w:val="bottom"/>
            <w:hideMark/>
          </w:tcPr>
          <w:p w:rsidR="008241A3" w:rsidRPr="00BC2E29" w:rsidRDefault="008241A3" w:rsidP="005329F9">
            <w:pPr>
              <w:widowControl w:val="0"/>
              <w:spacing w:after="160" w:line="360" w:lineRule="auto"/>
              <w:ind w:right="566"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Д. Саргсян</w:t>
            </w:r>
          </w:p>
        </w:tc>
      </w:tr>
    </w:tbl>
    <w:p w:rsidR="00A921EF" w:rsidRPr="00BC2E29" w:rsidRDefault="00A921EF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</w:p>
    <w:sectPr w:rsidR="00A921EF" w:rsidRPr="00BC2E29" w:rsidSect="000D6F12">
      <w:footerReference w:type="default" r:id="rId7"/>
      <w:pgSz w:w="11907" w:h="16839" w:code="9"/>
      <w:pgMar w:top="1418" w:right="1418" w:bottom="1418" w:left="1418" w:header="0" w:footer="78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596" w:rsidRDefault="00CF5596" w:rsidP="000D6F12">
      <w:pPr>
        <w:spacing w:after="0" w:line="240" w:lineRule="auto"/>
      </w:pPr>
      <w:r>
        <w:separator/>
      </w:r>
    </w:p>
  </w:endnote>
  <w:endnote w:type="continuationSeparator" w:id="0">
    <w:p w:rsidR="00CF5596" w:rsidRDefault="00CF5596" w:rsidP="000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5218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0D6F12" w:rsidRPr="000D6F12" w:rsidRDefault="00A95AA3" w:rsidP="000D6F12">
        <w:pPr>
          <w:pStyle w:val="Footer"/>
          <w:jc w:val="center"/>
          <w:rPr>
            <w:rFonts w:ascii="GHEA Grapalat" w:hAnsi="GHEA Grapalat"/>
            <w:sz w:val="24"/>
          </w:rPr>
        </w:pPr>
        <w:r w:rsidRPr="000D6F12">
          <w:rPr>
            <w:rFonts w:ascii="GHEA Grapalat" w:hAnsi="GHEA Grapalat"/>
            <w:sz w:val="24"/>
          </w:rPr>
          <w:fldChar w:fldCharType="begin"/>
        </w:r>
        <w:r w:rsidR="000D6F12" w:rsidRPr="000D6F12">
          <w:rPr>
            <w:rFonts w:ascii="GHEA Grapalat" w:hAnsi="GHEA Grapalat"/>
            <w:sz w:val="24"/>
          </w:rPr>
          <w:instrText xml:space="preserve"> PAGE   \* MERGEFORMAT </w:instrText>
        </w:r>
        <w:r w:rsidRPr="000D6F12">
          <w:rPr>
            <w:rFonts w:ascii="GHEA Grapalat" w:hAnsi="GHEA Grapalat"/>
            <w:sz w:val="24"/>
          </w:rPr>
          <w:fldChar w:fldCharType="separate"/>
        </w:r>
        <w:r w:rsidR="00D06006">
          <w:rPr>
            <w:rFonts w:ascii="GHEA Grapalat" w:hAnsi="GHEA Grapalat"/>
            <w:noProof/>
            <w:sz w:val="24"/>
          </w:rPr>
          <w:t>22</w:t>
        </w:r>
        <w:r w:rsidRPr="000D6F12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596" w:rsidRDefault="00CF5596" w:rsidP="000D6F12">
      <w:pPr>
        <w:spacing w:after="0" w:line="240" w:lineRule="auto"/>
      </w:pPr>
      <w:r>
        <w:separator/>
      </w:r>
    </w:p>
  </w:footnote>
  <w:footnote w:type="continuationSeparator" w:id="0">
    <w:p w:rsidR="00CF5596" w:rsidRDefault="00CF5596" w:rsidP="000D6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ABB"/>
    <w:rsid w:val="00002941"/>
    <w:rsid w:val="0001378F"/>
    <w:rsid w:val="00013A54"/>
    <w:rsid w:val="00016492"/>
    <w:rsid w:val="00024470"/>
    <w:rsid w:val="00030360"/>
    <w:rsid w:val="0005047B"/>
    <w:rsid w:val="00050C6A"/>
    <w:rsid w:val="00051DF4"/>
    <w:rsid w:val="00075639"/>
    <w:rsid w:val="0008493D"/>
    <w:rsid w:val="00090AF6"/>
    <w:rsid w:val="000A6E0E"/>
    <w:rsid w:val="000C532E"/>
    <w:rsid w:val="000C6B26"/>
    <w:rsid w:val="000D6F12"/>
    <w:rsid w:val="000E080F"/>
    <w:rsid w:val="000E6040"/>
    <w:rsid w:val="000F2D55"/>
    <w:rsid w:val="0010187C"/>
    <w:rsid w:val="0013546A"/>
    <w:rsid w:val="00152C66"/>
    <w:rsid w:val="00177B99"/>
    <w:rsid w:val="001865DC"/>
    <w:rsid w:val="00186680"/>
    <w:rsid w:val="001A053A"/>
    <w:rsid w:val="001A7954"/>
    <w:rsid w:val="001B31BF"/>
    <w:rsid w:val="001F01AB"/>
    <w:rsid w:val="001F58EE"/>
    <w:rsid w:val="002014B2"/>
    <w:rsid w:val="002043B7"/>
    <w:rsid w:val="002211C3"/>
    <w:rsid w:val="00235C4E"/>
    <w:rsid w:val="002407E2"/>
    <w:rsid w:val="002604C2"/>
    <w:rsid w:val="002636C4"/>
    <w:rsid w:val="00297CC7"/>
    <w:rsid w:val="002C5AB6"/>
    <w:rsid w:val="002D5A8F"/>
    <w:rsid w:val="002F4034"/>
    <w:rsid w:val="002F55B7"/>
    <w:rsid w:val="00303F6E"/>
    <w:rsid w:val="0033707C"/>
    <w:rsid w:val="00347E20"/>
    <w:rsid w:val="00366D99"/>
    <w:rsid w:val="00372C63"/>
    <w:rsid w:val="00377FD1"/>
    <w:rsid w:val="003928DB"/>
    <w:rsid w:val="003D0B35"/>
    <w:rsid w:val="003D3F9E"/>
    <w:rsid w:val="003D5465"/>
    <w:rsid w:val="003D7C2B"/>
    <w:rsid w:val="003E1D14"/>
    <w:rsid w:val="003F419C"/>
    <w:rsid w:val="00401C8D"/>
    <w:rsid w:val="00421145"/>
    <w:rsid w:val="00433C60"/>
    <w:rsid w:val="00461CC5"/>
    <w:rsid w:val="00467523"/>
    <w:rsid w:val="004701E5"/>
    <w:rsid w:val="004C4C97"/>
    <w:rsid w:val="004E60B8"/>
    <w:rsid w:val="004F3DFB"/>
    <w:rsid w:val="004F7294"/>
    <w:rsid w:val="0051687F"/>
    <w:rsid w:val="00522183"/>
    <w:rsid w:val="005329F9"/>
    <w:rsid w:val="00541EFB"/>
    <w:rsid w:val="00550326"/>
    <w:rsid w:val="00560A8D"/>
    <w:rsid w:val="005A57EB"/>
    <w:rsid w:val="005D2352"/>
    <w:rsid w:val="00602438"/>
    <w:rsid w:val="00604D48"/>
    <w:rsid w:val="006105D4"/>
    <w:rsid w:val="006153DC"/>
    <w:rsid w:val="00616B81"/>
    <w:rsid w:val="00616F1A"/>
    <w:rsid w:val="00634F57"/>
    <w:rsid w:val="00643CBD"/>
    <w:rsid w:val="006523B0"/>
    <w:rsid w:val="0067187B"/>
    <w:rsid w:val="00684342"/>
    <w:rsid w:val="006A2861"/>
    <w:rsid w:val="006B1A44"/>
    <w:rsid w:val="006B4A94"/>
    <w:rsid w:val="006C4661"/>
    <w:rsid w:val="006F1D2A"/>
    <w:rsid w:val="006F2E63"/>
    <w:rsid w:val="00703168"/>
    <w:rsid w:val="0071763B"/>
    <w:rsid w:val="00743C5B"/>
    <w:rsid w:val="007518C9"/>
    <w:rsid w:val="00751E77"/>
    <w:rsid w:val="0075375E"/>
    <w:rsid w:val="00757743"/>
    <w:rsid w:val="00762269"/>
    <w:rsid w:val="007735B9"/>
    <w:rsid w:val="007767FA"/>
    <w:rsid w:val="0078438A"/>
    <w:rsid w:val="00795832"/>
    <w:rsid w:val="00795F0E"/>
    <w:rsid w:val="007A014A"/>
    <w:rsid w:val="007E1E85"/>
    <w:rsid w:val="007F7CDD"/>
    <w:rsid w:val="00804979"/>
    <w:rsid w:val="0082370E"/>
    <w:rsid w:val="008241A3"/>
    <w:rsid w:val="0082469F"/>
    <w:rsid w:val="00836FED"/>
    <w:rsid w:val="0086556F"/>
    <w:rsid w:val="008677EC"/>
    <w:rsid w:val="0088390C"/>
    <w:rsid w:val="0089370E"/>
    <w:rsid w:val="008A672F"/>
    <w:rsid w:val="008A79AA"/>
    <w:rsid w:val="008B18B0"/>
    <w:rsid w:val="008B3C09"/>
    <w:rsid w:val="008B448B"/>
    <w:rsid w:val="008C2A9C"/>
    <w:rsid w:val="008D2951"/>
    <w:rsid w:val="008E7575"/>
    <w:rsid w:val="008F7928"/>
    <w:rsid w:val="009063CB"/>
    <w:rsid w:val="00937FCD"/>
    <w:rsid w:val="009463F1"/>
    <w:rsid w:val="00964A24"/>
    <w:rsid w:val="009669EF"/>
    <w:rsid w:val="00972C1A"/>
    <w:rsid w:val="00991E0F"/>
    <w:rsid w:val="00994B21"/>
    <w:rsid w:val="009B46D4"/>
    <w:rsid w:val="009C31DE"/>
    <w:rsid w:val="00A3018C"/>
    <w:rsid w:val="00A32B28"/>
    <w:rsid w:val="00A50345"/>
    <w:rsid w:val="00A83B0B"/>
    <w:rsid w:val="00A84EF4"/>
    <w:rsid w:val="00A87585"/>
    <w:rsid w:val="00A921EF"/>
    <w:rsid w:val="00A95AA3"/>
    <w:rsid w:val="00A973F4"/>
    <w:rsid w:val="00AB367D"/>
    <w:rsid w:val="00AB3F01"/>
    <w:rsid w:val="00AD7F3E"/>
    <w:rsid w:val="00AE1ADC"/>
    <w:rsid w:val="00AE3415"/>
    <w:rsid w:val="00AE5184"/>
    <w:rsid w:val="00B15D3D"/>
    <w:rsid w:val="00B2344E"/>
    <w:rsid w:val="00B244C8"/>
    <w:rsid w:val="00B72E1C"/>
    <w:rsid w:val="00B744C6"/>
    <w:rsid w:val="00B8085F"/>
    <w:rsid w:val="00BC2E29"/>
    <w:rsid w:val="00BD7F46"/>
    <w:rsid w:val="00C05C03"/>
    <w:rsid w:val="00C15014"/>
    <w:rsid w:val="00C201C7"/>
    <w:rsid w:val="00C2575F"/>
    <w:rsid w:val="00C406C5"/>
    <w:rsid w:val="00C83C95"/>
    <w:rsid w:val="00CA34C1"/>
    <w:rsid w:val="00CA34E5"/>
    <w:rsid w:val="00CD1622"/>
    <w:rsid w:val="00CE6236"/>
    <w:rsid w:val="00CE779F"/>
    <w:rsid w:val="00CF5596"/>
    <w:rsid w:val="00D03C9D"/>
    <w:rsid w:val="00D06006"/>
    <w:rsid w:val="00D07EDF"/>
    <w:rsid w:val="00D32EE0"/>
    <w:rsid w:val="00D409E3"/>
    <w:rsid w:val="00D45121"/>
    <w:rsid w:val="00D80CB7"/>
    <w:rsid w:val="00D9483F"/>
    <w:rsid w:val="00DA3E70"/>
    <w:rsid w:val="00DA3EFD"/>
    <w:rsid w:val="00DB6704"/>
    <w:rsid w:val="00DD0ECB"/>
    <w:rsid w:val="00E70115"/>
    <w:rsid w:val="00E72ACE"/>
    <w:rsid w:val="00EB6225"/>
    <w:rsid w:val="00EC07C7"/>
    <w:rsid w:val="00EC17CB"/>
    <w:rsid w:val="00EC49F4"/>
    <w:rsid w:val="00EF4ABB"/>
    <w:rsid w:val="00F117C5"/>
    <w:rsid w:val="00F16D3C"/>
    <w:rsid w:val="00F26054"/>
    <w:rsid w:val="00F379B9"/>
    <w:rsid w:val="00F63148"/>
    <w:rsid w:val="00FD5F5C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66EEB-44A6-4D06-B355-303C921D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ABB"/>
    <w:rPr>
      <w:b/>
      <w:bCs/>
    </w:rPr>
  </w:style>
  <w:style w:type="character" w:styleId="Emphasis">
    <w:name w:val="Emphasis"/>
    <w:basedOn w:val="DefaultParagraphFont"/>
    <w:uiPriority w:val="20"/>
    <w:qFormat/>
    <w:rsid w:val="00EF4A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B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43B7"/>
    <w:rPr>
      <w:sz w:val="16"/>
      <w:szCs w:val="16"/>
    </w:rPr>
  </w:style>
  <w:style w:type="table" w:styleId="TableGrid">
    <w:name w:val="Table Grid"/>
    <w:basedOn w:val="TableNormal"/>
    <w:uiPriority w:val="59"/>
    <w:rsid w:val="00A3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F12"/>
  </w:style>
  <w:style w:type="paragraph" w:styleId="Footer">
    <w:name w:val="footer"/>
    <w:basedOn w:val="Normal"/>
    <w:link w:val="FooterChar"/>
    <w:uiPriority w:val="99"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517BC-2BDE-4138-9EDE-D9287C7E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Tigran Ghandiljyan</cp:lastModifiedBy>
  <cp:revision>21</cp:revision>
  <dcterms:created xsi:type="dcterms:W3CDTF">2019-05-20T11:59:00Z</dcterms:created>
  <dcterms:modified xsi:type="dcterms:W3CDTF">2020-01-09T10:52:00Z</dcterms:modified>
</cp:coreProperties>
</file>