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6BB5D" w14:textId="77777777" w:rsidR="00AD2BFD" w:rsidRPr="00695313" w:rsidRDefault="00AD2BFD" w:rsidP="00AD2BFD">
      <w:pPr>
        <w:pStyle w:val="Bodytext20"/>
        <w:shd w:val="clear" w:color="auto" w:fill="auto"/>
        <w:spacing w:before="0" w:after="160" w:line="372" w:lineRule="auto"/>
        <w:ind w:left="5103"/>
        <w:jc w:val="center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>ՀԱՍՏԱՏՎԱԾ ԵՆ</w:t>
      </w:r>
    </w:p>
    <w:p w14:paraId="48BEADC2" w14:textId="77777777" w:rsidR="00AD2BFD" w:rsidRPr="00695313" w:rsidRDefault="00AD2BFD" w:rsidP="00AD2BFD">
      <w:pPr>
        <w:pStyle w:val="Bodytext20"/>
        <w:shd w:val="clear" w:color="auto" w:fill="auto"/>
        <w:spacing w:before="0" w:after="160" w:line="372" w:lineRule="auto"/>
        <w:ind w:left="5103"/>
        <w:jc w:val="center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>Եվրասիական տնտեսական բարձրագույն խորհրդի</w:t>
      </w:r>
      <w:r w:rsidRPr="00D944CE">
        <w:rPr>
          <w:rFonts w:ascii="Sylfaen" w:hAnsi="Sylfaen" w:cs="Sylfaen"/>
          <w:sz w:val="24"/>
          <w:szCs w:val="24"/>
        </w:rPr>
        <w:br/>
      </w:r>
      <w:r w:rsidRPr="00695313">
        <w:rPr>
          <w:rFonts w:ascii="Sylfaen" w:hAnsi="Sylfaen"/>
          <w:sz w:val="24"/>
          <w:szCs w:val="24"/>
        </w:rPr>
        <w:t xml:space="preserve">2018 թվականի մայիսի 14-ի </w:t>
      </w:r>
      <w:r w:rsidRPr="00D944CE">
        <w:rPr>
          <w:rFonts w:ascii="Sylfaen" w:hAnsi="Sylfaen"/>
          <w:sz w:val="24"/>
          <w:szCs w:val="24"/>
        </w:rPr>
        <w:br/>
      </w:r>
      <w:r w:rsidRPr="00695313">
        <w:rPr>
          <w:rFonts w:ascii="Sylfaen" w:hAnsi="Sylfaen"/>
          <w:sz w:val="24"/>
          <w:szCs w:val="24"/>
        </w:rPr>
        <w:t>թիվ 11 որոշմամբ</w:t>
      </w:r>
    </w:p>
    <w:p w14:paraId="561CD68C" w14:textId="77777777" w:rsidR="00AD2BFD" w:rsidRPr="00695313" w:rsidRDefault="00AD2BFD" w:rsidP="00AD2BFD">
      <w:pPr>
        <w:pStyle w:val="Bodytext20"/>
        <w:shd w:val="clear" w:color="auto" w:fill="auto"/>
        <w:spacing w:before="0" w:after="160" w:line="372" w:lineRule="auto"/>
        <w:ind w:left="5103"/>
        <w:jc w:val="center"/>
        <w:rPr>
          <w:rFonts w:ascii="Sylfaen" w:hAnsi="Sylfaen" w:cs="Sylfaen"/>
          <w:sz w:val="24"/>
          <w:szCs w:val="24"/>
        </w:rPr>
      </w:pPr>
    </w:p>
    <w:p w14:paraId="2B5FA85B" w14:textId="77777777" w:rsidR="00AD2BFD" w:rsidRPr="00695313" w:rsidRDefault="00AD2BFD" w:rsidP="00AD2BFD">
      <w:pPr>
        <w:pStyle w:val="Heading20"/>
        <w:shd w:val="clear" w:color="auto" w:fill="auto"/>
        <w:spacing w:after="160" w:line="372" w:lineRule="auto"/>
        <w:ind w:left="1134" w:right="1135"/>
        <w:rPr>
          <w:rFonts w:ascii="Sylfaen" w:hAnsi="Sylfaen" w:cs="Sylfaen"/>
          <w:sz w:val="24"/>
          <w:szCs w:val="24"/>
        </w:rPr>
      </w:pPr>
      <w:r w:rsidRPr="00695313">
        <w:rPr>
          <w:rStyle w:val="Heading2Spacing2pt"/>
          <w:rFonts w:eastAsia="Sylfaen"/>
          <w:sz w:val="24"/>
          <w:szCs w:val="24"/>
        </w:rPr>
        <w:t>ՀԻՄՆԱԿԱՆ ԿՈՂՄՆՈՐՈՇԻՉՆԵՐ</w:t>
      </w:r>
    </w:p>
    <w:p w14:paraId="0FCA6954" w14:textId="77777777" w:rsidR="00AD2BFD" w:rsidRDefault="00AD2BFD" w:rsidP="00AD2BFD">
      <w:pPr>
        <w:pStyle w:val="Bodytext30"/>
        <w:shd w:val="clear" w:color="auto" w:fill="auto"/>
        <w:spacing w:before="0" w:after="160" w:line="372" w:lineRule="auto"/>
        <w:ind w:left="1134" w:right="1135"/>
        <w:rPr>
          <w:rFonts w:ascii="Sylfaen" w:hAnsi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>Եվրասիական տնտեսական միության անդամ պետությունների 2018-2019 թվականների մակրոտնտեսական քաղաքականության</w:t>
      </w:r>
    </w:p>
    <w:p w14:paraId="63376CD1" w14:textId="77777777" w:rsidR="00AD2BFD" w:rsidRPr="00D944CE" w:rsidRDefault="00AD2BFD" w:rsidP="00AD2BFD">
      <w:pPr>
        <w:pStyle w:val="Bodytext30"/>
        <w:shd w:val="clear" w:color="auto" w:fill="auto"/>
        <w:spacing w:before="0" w:after="160" w:line="372" w:lineRule="auto"/>
        <w:ind w:left="1134" w:right="1135"/>
        <w:rPr>
          <w:rFonts w:ascii="Sylfaen" w:hAnsi="Sylfaen" w:cs="Sylfaen"/>
          <w:sz w:val="24"/>
          <w:szCs w:val="24"/>
        </w:rPr>
      </w:pPr>
    </w:p>
    <w:p w14:paraId="60567BB2" w14:textId="77777777" w:rsidR="00AD2BFD" w:rsidRPr="00695313" w:rsidRDefault="00AD2BFD" w:rsidP="00AD2BFD">
      <w:pPr>
        <w:pStyle w:val="Bodytext20"/>
        <w:shd w:val="clear" w:color="auto" w:fill="auto"/>
        <w:spacing w:before="0" w:after="160" w:line="372" w:lineRule="auto"/>
        <w:ind w:right="1"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 xml:space="preserve">Սույն փաստաթուղթը մշակվել է «Եվրասիական տնտեսական միության մասին» 2014 թվականի մայիսի 29–ի պայմանագրին (այսուհետ՝ Պայմանագիր) համապատասխան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ուղղված է Եվրասիական տնտեսական բարձրագույն խորհրդի 2015 թվականի հոկտեմբերի 16–ի թիվ 28 որոշմամբ հաստատված՝ Եվրասիական տնտեսական միության տնտեսական աճի հիմնական ուղղություններով սահմանված նպատակներին հասնելուն, ինչպես նա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Եվրասիական տնտեսական միության անդամ պետությունների (այսուհետ</w:t>
      </w:r>
      <w:r>
        <w:rPr>
          <w:rFonts w:ascii="Sylfaen" w:hAnsi="Sylfaen"/>
          <w:sz w:val="24"/>
          <w:szCs w:val="24"/>
        </w:rPr>
        <w:t> </w:t>
      </w:r>
      <w:r w:rsidRPr="00695313">
        <w:rPr>
          <w:rFonts w:ascii="Sylfaen" w:hAnsi="Sylfaen"/>
          <w:sz w:val="24"/>
          <w:szCs w:val="24"/>
        </w:rPr>
        <w:t xml:space="preserve">համապատասխանաբար՝ Միություն, անդամ պետություններ) ռազմավարական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ծրագրային փաստաթղթերով սահմանված խնդիրների լուծմանը:</w:t>
      </w:r>
    </w:p>
    <w:p w14:paraId="70D43979" w14:textId="77777777" w:rsidR="00AD2BFD" w:rsidRPr="00695313" w:rsidRDefault="00AD2BFD" w:rsidP="00AD2BFD">
      <w:pPr>
        <w:pStyle w:val="Bodytext20"/>
        <w:shd w:val="clear" w:color="auto" w:fill="auto"/>
        <w:spacing w:before="0" w:after="160" w:line="372" w:lineRule="auto"/>
        <w:ind w:right="1"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 xml:space="preserve">Եվրասիական տնտեսական բարձրագույն խորհրդի 2017 թվականի ապրիլի 14–ի թիվ 7 որոշմամբ հաստատված՝ Եվրասիական տնտեսական միության անդամ պետությունների 2017-2018 թվականների մակրոտնտեսական քաղաքականության հիմնական կողմնորոշիչները հաշվի էին առնվում անդամ պետությունների կողմից՝ մակրոտնտեսական քաղաքականություն իրականացնելիս, ինչը նպաստեց </w:t>
      </w:r>
      <w:r w:rsidRPr="00695313">
        <w:rPr>
          <w:rFonts w:ascii="Sylfaen" w:hAnsi="Sylfaen"/>
          <w:sz w:val="24"/>
          <w:szCs w:val="24"/>
        </w:rPr>
        <w:lastRenderedPageBreak/>
        <w:t>նախորդ տարիների արտաքին բացասական գործոնների ազդեցության հետ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անքները հաղթահարելուն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իրավիճակի բարելավմանը ազգային տնտեսություններում: </w:t>
      </w:r>
    </w:p>
    <w:p w14:paraId="18ADC0AF" w14:textId="77777777" w:rsidR="00AD2BFD" w:rsidRPr="00695313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 xml:space="preserve">Միությունում 2015-2016 թվականներին տնտեսական ակտիվության նվազումից հետո 2017 թվականին նկատվեց դրա աստիճանական վերականգնումը: Ընդհանուր առմամբ Միությունում անդամ պետությունների հիմնական արտահանվող ապրանքների նկատմամբ սպառողական պահանջարկի աճի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գների չափավոր բարձրացման ֆոնին նկատվում էին արդյունաբերական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ագրոարդյունաբերական արտադրությունում արտադրանքի թողարկման աճ, բեռնափոխադրումների ծավալների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մանրածախ առ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>տրի շրջանառության ավելացում:</w:t>
      </w:r>
    </w:p>
    <w:p w14:paraId="5CC5B870" w14:textId="77777777" w:rsidR="00AD2BFD" w:rsidRPr="00695313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 xml:space="preserve">Անդամ պետությունների կառավարությունների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ազգային (կենտրոնական) բանկերի կողմից ակտիվ տնտեսական քաղաքականություն վարելու արդյունքում արտաքին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ներքին պայմանների որոշակի բարելավման ֆոնին բոլոր անդամ պետություններն էլ հասել են տնտեսական աճի դրական տեմպերի: Ընդ որում, Հայաստանի Հանրապետության, Ղազախստանի Հանրապետության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Ղրղզստանի Հանրապետության տնտեսությունների աճի տեմպերը միջին համաշխարհային մեծություններից բարձր էին:</w:t>
      </w:r>
    </w:p>
    <w:p w14:paraId="284189BD" w14:textId="77777777" w:rsidR="00AD2BFD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 xml:space="preserve">Ազգային արժույթների փոխարժեքների ճկունության պահպանումն ապահովեց անդամ պետությունների արտաքին հավասարակշռվածությունը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նպաստեց դրանց արտահանման մրցունակության բարձրացմանը: Էապես աճեց ապրանքների արտաքին առ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տրի ծավալը, ընդ որում, արտահանման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ներմուծման բաղադրիչներն աճում են համադրելի տեմպերով: Առավել</w:t>
      </w:r>
      <w:r>
        <w:rPr>
          <w:rFonts w:ascii="Sylfaen" w:hAnsi="Sylfaen"/>
          <w:sz w:val="24"/>
          <w:szCs w:val="24"/>
        </w:rPr>
        <w:t> </w:t>
      </w:r>
      <w:r w:rsidRPr="00695313">
        <w:rPr>
          <w:rFonts w:ascii="Sylfaen" w:hAnsi="Sylfaen"/>
          <w:sz w:val="24"/>
          <w:szCs w:val="24"/>
        </w:rPr>
        <w:t>նշանակալից եղավ ապրանքների փոխադարձ առ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տրի ծավալի ավելացումը Միության շրջանակներում, որտեղ առավել բարձր տեմպերով էր աճում միջին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բարձր տեխնոլոգիական արտադրությունների արտադրանքի արտահանումը:</w:t>
      </w:r>
    </w:p>
    <w:p w14:paraId="754DE475" w14:textId="77777777" w:rsidR="00AD2BFD" w:rsidRPr="00695313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</w:p>
    <w:p w14:paraId="484263AD" w14:textId="77777777" w:rsidR="00AD2BFD" w:rsidRPr="00695313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lastRenderedPageBreak/>
        <w:t>Դրական տնտեսական արդյունքների ձ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ավորմանն էապես նպաստեց մակրոտնտեսական իրավիճակի բարելավումը Միությունում: Ազգային հակագնաճային արդյունավետ միջոցներ իրականացնելու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Բելառուսի Հանրապետությունում, Ղազախստանի Հանրապետությունում եւ Ռուսաստանի Դաշնությունում գնաճի մակարդակի նվազեցմանն ուղղված՝ Եվրասիական տնտեսական հանձնաժողովի (այսուհետ՝ Հանձնաժողով) առաջարկությունները հաշվի առնելու արդյունքում սպառողական գների աճի տեմպերը նշված երկրներում նվազեցին: Մի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նույն ժամանակ Հայաստանի Հանրապետությունը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Ղրղզստանի Հանրապետությունը հաղթահարեցին գնանկումը՝ խթանող դրամավարկային քաղաքականության իրականացման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սպառողական պահանջարկի վերականգնման հետ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անքով: Ազգային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ինտեգրացիոն մակարդակներում համալիր միջոցների իրականացման արդյունքում Միության գոյության ընթացքում առաջին անգամ արձանագրվեց Պայմանագրով սահմանված՝ գնաճի ցուցանիշի հաշվարկային սահմանային քանակական արժեքի (սպառողական գների ինդեքսի) պահպանումը բոլոր անդամ պետությունների կողմից: Հետագայում անդամ պետությունները կշարունակեն իրենց ջանքերն ուղղել գնաճի պահպանմանը կայուն ցածր մակարդակի վրա՝ տնտեսական աճի համար բարենպաստ պայմաններ ստեղծելու նպատակով:</w:t>
      </w:r>
    </w:p>
    <w:p w14:paraId="35F6B166" w14:textId="77777777" w:rsidR="00AD2BFD" w:rsidRPr="00695313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 xml:space="preserve">2017 թվականին բյուջետային բնագավառում նկատվեց ցուցանիշների բարելավում անդամ պետությունների մեծամասնությունում: Հայաստանի Հանրապետությունում, Ղրղզստանի Հանրապետությունում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Ռուսաստանի Դաշնությունում արձանագրվել է պետական կառավարման հատվածի համախմբված բյուջեի դեֆիցիտի (պակասուրդի) կրճատում, Բելառուսի Հանրապետությունում համախմբված բյուջեն կատարվել է հավելուրդով: Դրա հետ մեկտեղ, Հանձնաժողովի գնահատմամբ, 2017 թվականի արդյունքներով առկա է Հայաստանի Հանրապետության, Ղազախստանի Հանրապետության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Ղրղզստանի Հանրապետության կողմից Պայմանագրով սահմանված՝ պետական կառավարման հատվածի համախմբված բյուջեի դեֆիցիտի քանակական արժեքի գերազանցման ռիսկը: Բացի այդ, Հայաստանի Հանրապետությունը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Ղրղզստանի </w:t>
      </w:r>
      <w:r w:rsidRPr="00695313">
        <w:rPr>
          <w:rFonts w:ascii="Sylfaen" w:hAnsi="Sylfaen"/>
          <w:sz w:val="24"/>
          <w:szCs w:val="24"/>
        </w:rPr>
        <w:lastRenderedPageBreak/>
        <w:t xml:space="preserve">Հանրապետությունը կարող են գերազանցել Պայմանագրով սահմանված՝ պետական կառավարման հատվածի պարտքի ցուցանիշի արժեքը, որի աճը պայմանավորված էր պետական կառավարման հատվածի համախմբված բյուջեի դեֆիցիտի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ներդրումային նախագծերի ֆինանսավորման անհրաժեշտությամբ:</w:t>
      </w:r>
    </w:p>
    <w:p w14:paraId="54006FD1" w14:textId="77777777" w:rsidR="00AD2BFD" w:rsidRPr="00695313" w:rsidRDefault="00AD2BFD" w:rsidP="00AD2BFD">
      <w:pPr>
        <w:pStyle w:val="Bodytext20"/>
        <w:shd w:val="clear" w:color="auto" w:fill="auto"/>
        <w:spacing w:before="0" w:after="160" w:line="353" w:lineRule="auto"/>
        <w:ind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 xml:space="preserve">Անդամ պետությունների կողմից պետական ֆինանսների ընթացիկ բյուջետային հավասարակշռվածության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երկարաժամկետ կայունության ապահովումն անհրաժեշտ պայման է տնտեսական զարգացմանն ուղղված՝ հետ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>ողական տնտեսական քաղաքականություն իրականացնելու համար:</w:t>
      </w:r>
    </w:p>
    <w:p w14:paraId="2FCE95FE" w14:textId="77777777" w:rsidR="00AD2BFD" w:rsidRPr="00695313" w:rsidRDefault="00AD2BFD" w:rsidP="00AD2BFD">
      <w:pPr>
        <w:pStyle w:val="Bodytext20"/>
        <w:shd w:val="clear" w:color="auto" w:fill="auto"/>
        <w:spacing w:before="0" w:after="160" w:line="353" w:lineRule="auto"/>
        <w:ind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>Ներդրումային ակտիվության խթանումը դառնում է դրական տնտեսական դինամիկայի պահպանման կար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որագույն գործոն, որը թույլ է տալիս լրացուցիչ ռեսուրսներ ներգրավել տնտեսության մեջ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ավելացնել պետական բյուջեի եկամտային բաղադրիչը: 2017 թվականին անդամ պետություններում ներդրման աճ նշմարվեց հիմնական կապիտալում, սակայն ներդրումային նախագծերի պետական ֆինանսավորումն իրական հատվածում մնում էր բարձր մակարդակի վրա, ինչն ավելացնում էր ծանրաբեռնվածությունը պետական բյուջեների վրա: Անհրաժեշտ է իրականացնել անդամ պետությունների տնտեսություններում մասնավոր ներդրումներ ներգրավելու խթանմանն ուղղված ակտիվ քաղաքականություն՝ առաջին հերթին Միությունում գործարար միջավայրը բարելավելու հաշվին:</w:t>
      </w:r>
    </w:p>
    <w:p w14:paraId="235D0EC9" w14:textId="77777777" w:rsidR="00AD2BFD" w:rsidRPr="00695313" w:rsidRDefault="00AD2BFD" w:rsidP="00AD2BFD">
      <w:pPr>
        <w:pStyle w:val="Bodytext20"/>
        <w:shd w:val="clear" w:color="auto" w:fill="auto"/>
        <w:spacing w:before="0" w:after="160" w:line="353" w:lineRule="auto"/>
        <w:ind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 xml:space="preserve">Անդամ պետություններում մակրոտնտեսական իրավիճակի կայունացման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առ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>տրի պայմանների բարելավման ֆոնին հատկապես կար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որ է դառնում «հնարավորությունների պատուհանի» օգտագործումը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տնտեսության արդիականացմանն ու արտադրողականության բարձրացմանն ուղղված ջանքերի գործադրումն իրական հատվածում: Տնտեսության թվային փոխակերպումը, նոր տեխնոլոգիաների մշակումը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ներդրումը, մարդկային կապիտալի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ենթակառուցվածքի զարգացումը կնպաստեն անդամ պետությունների արտադրական ներուժի ավելացմանը, իրական հատվածի շահութաբերության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պետական բյուջեի եկամուտների բարձրացմանը, բնակչության բարեկեցության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անդամ պետությունների մրցունակության աճին միջազգային մակարդակով:</w:t>
      </w:r>
    </w:p>
    <w:p w14:paraId="440D02DF" w14:textId="77777777" w:rsidR="00AD2BFD" w:rsidRPr="00695313" w:rsidRDefault="00AD2BFD" w:rsidP="00AD2BFD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lastRenderedPageBreak/>
        <w:t xml:space="preserve">Արտադրական ներուժը զարգացնելիս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արտադրության արդյունավետությունը բարձրացնելիս անհրաժեշտ է հաշվի առնել, որ ներքին պահանջարկի հնարավորությունները յուրաքանչյուր անդամ պետությունում սահմանափակ են,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արտադրողականության ավելացումն անհրաժեշտ է պահպանել արտաքին առ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տրային կապերի ամրապնդման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Միության ներքին շուկայի զարգացման միջոցով, ինչը թույլ կտա նոր հնարավորություններ ապահովել ոչ հումքային արտահանումը զարգացնելու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անդամ պետությունների՝ արտահանման մասնագիտացումն ընդլայնելու համար:</w:t>
      </w:r>
    </w:p>
    <w:p w14:paraId="4233F449" w14:textId="77777777" w:rsidR="00AD2BFD" w:rsidRPr="00695313" w:rsidRDefault="00AD2BFD" w:rsidP="00AD2BFD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 xml:space="preserve">2018-2019 թվականներին անդամ պետությունների տնտեսությունների զարգացման վրա արտաքին պայմանների ազդեցությունը հիմնականում պայմանավորված կլինի համաշխարհային տնտեսության աճի տեմպերի հավանական արագացմամբ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տնտեսական իրավիճակի վրա հումքային շուկաներում գների դինամիկայի ներգործությամբ: Այդ ժամանակահատվածում Արժույթի միջազգային հիմնադրամը կանխատեսում է համաշխարհային տնտեսության ամենամյա աճ՝ 3,9 տոկոս մակարդակով: Համաշխարհային բանկի կանխատեսումային գնահատականներին համապատասխան՝ ենթադրվում է նա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>, որ համաշխարհային տնտեսությունը կաճի ավելի բարձր տեմպերով, քան 2017 թվականին: Անդամ պետությունների տնտեսություններում կառուցվածքային սահմնափակումների պահպանման հետ կապված՝ հումքային գների փոփոխության ապակայունացնող ազդեցության ռիսկերը կպահպանվեն:</w:t>
      </w:r>
    </w:p>
    <w:p w14:paraId="5E2F751A" w14:textId="77777777" w:rsidR="00AD2BFD" w:rsidRPr="00695313" w:rsidRDefault="00AD2BFD" w:rsidP="00AD2BFD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 xml:space="preserve">Այս պայմաններում միջնաժամկետ ժամանակահատվածի համար տնտեսական քաղաքականության գերակա նպատակներն են դառնում տնտեսական աճի վերականգնման գործընթացի ակտիվացումը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անդամ պետությունների կայուն տնտեսական զարգացման համար հիմքի ստեղծումը:</w:t>
      </w:r>
    </w:p>
    <w:p w14:paraId="5DAC4574" w14:textId="77777777" w:rsidR="00AD2BFD" w:rsidRPr="00695313" w:rsidRDefault="00AD2BFD" w:rsidP="00AD2BFD">
      <w:pPr>
        <w:pStyle w:val="Bodytext20"/>
        <w:shd w:val="clear" w:color="auto" w:fill="auto"/>
        <w:spacing w:before="0" w:after="160" w:line="372" w:lineRule="auto"/>
        <w:ind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 xml:space="preserve">Այս առնչությամբ անդամ պետությունների 2018-2019 թվականների մակրոտնտեսական քաղաքականության հիմնական կողմնորոշիչները կլինեն Միությունում միջնաժամկետ ժամանակահատվածում տնտեսական աճի՝ </w:t>
      </w:r>
      <w:r w:rsidRPr="00695313">
        <w:rPr>
          <w:rFonts w:ascii="Sylfaen" w:hAnsi="Sylfaen"/>
          <w:sz w:val="24"/>
          <w:szCs w:val="24"/>
        </w:rPr>
        <w:lastRenderedPageBreak/>
        <w:t>2</w:t>
      </w:r>
      <w:r>
        <w:rPr>
          <w:rFonts w:ascii="Sylfaen" w:hAnsi="Sylfaen"/>
          <w:sz w:val="24"/>
          <w:szCs w:val="24"/>
        </w:rPr>
        <w:t> </w:t>
      </w:r>
      <w:r w:rsidRPr="00695313">
        <w:rPr>
          <w:rFonts w:ascii="Sylfaen" w:hAnsi="Sylfaen"/>
          <w:sz w:val="24"/>
          <w:szCs w:val="24"/>
        </w:rPr>
        <w:t xml:space="preserve">տոկոսից ոչ ցածր տեմպերին հասնելու ձգտումը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գնաճի ցուցանիշների պահպանումը ազգային կողմնորոշիչներին մոտ կամ դրանց սահմաններում:</w:t>
      </w:r>
    </w:p>
    <w:p w14:paraId="34F15945" w14:textId="77777777" w:rsidR="00AD2BFD" w:rsidRPr="00695313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>Նախանշված մակրոտնտեսական կողմնորոշիչներին հասնելը նախատեսում</w:t>
      </w:r>
      <w:r>
        <w:rPr>
          <w:rFonts w:ascii="Sylfaen" w:hAnsi="Sylfaen"/>
          <w:sz w:val="24"/>
          <w:szCs w:val="24"/>
        </w:rPr>
        <w:t> </w:t>
      </w:r>
      <w:r w:rsidRPr="00695313">
        <w:rPr>
          <w:rFonts w:ascii="Sylfaen" w:hAnsi="Sylfaen"/>
          <w:sz w:val="24"/>
          <w:szCs w:val="24"/>
        </w:rPr>
        <w:t xml:space="preserve">է ազգային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ինտեգրացիոն միջոցների իրականացումը հետ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>յալ ուղղություններով:</w:t>
      </w:r>
    </w:p>
    <w:p w14:paraId="29FA75A6" w14:textId="77777777" w:rsidR="00AD2BFD" w:rsidRPr="00695313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>Բարենպաստ մակրոտնտեսական պայմանների ստեղծում, այդ թվում՝</w:t>
      </w:r>
    </w:p>
    <w:p w14:paraId="08802305" w14:textId="77777777" w:rsidR="00AD2BFD" w:rsidRPr="00695313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>գնային կայունության ապահովում.</w:t>
      </w:r>
    </w:p>
    <w:p w14:paraId="36CC35C2" w14:textId="77777777" w:rsidR="00AD2BFD" w:rsidRPr="00695313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>անդամ պետությունների ազգային (կենտրոնական) բանկերի քաղաքականության նկատմամբ վստահության բարձրացում՝ գնաճային սպասումները նվազեցնելու նպատակով.</w:t>
      </w:r>
    </w:p>
    <w:p w14:paraId="53371D21" w14:textId="77777777" w:rsidR="00AD2BFD" w:rsidRPr="00695313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 xml:space="preserve">Հանձնաժողովի կողմից առաջարկությունների նախապատրաստում, որոնք ուղղված են համախմբված բյուջեի դեֆիցիտի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պետական կառավարման հատվածի պարտքի նվազեցմանը՝ անդամ պետությունների կողմից նշված մակրոտնտեսական ցուցանիշների քանակական արժեքները գերազանցելու դեպքում.</w:t>
      </w:r>
    </w:p>
    <w:p w14:paraId="04656A09" w14:textId="77777777" w:rsidR="00AD2BFD" w:rsidRPr="00695313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 xml:space="preserve">տնտեսության ցիկլային տատանումներից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արտաքին տնտեսական կոնյունկտուրայից պետական ֆինանսների կախվածությունը նվազեցնելու մոտեցումների մշակում, այդ թվում՝ անդամ պետությունների բյուջետային կանոնները կատարելագործելու միջոցով.</w:t>
      </w:r>
    </w:p>
    <w:p w14:paraId="41A19617" w14:textId="77777777" w:rsidR="00AD2BFD" w:rsidRPr="00695313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>միջնաժամկետ հեռանկարում աստիճանական բյուջետային համախմբվածության ապահովում.</w:t>
      </w:r>
    </w:p>
    <w:p w14:paraId="6F07BA62" w14:textId="77777777" w:rsidR="00AD2BFD" w:rsidRPr="00695313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>անդամ պետությունների կողմից պետական ֆինանսների պարտքային կայունության ապահովմանն ուղղված միջոցների ձեռնարկում:</w:t>
      </w:r>
    </w:p>
    <w:p w14:paraId="16862D20" w14:textId="77777777" w:rsidR="00AD2BFD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 xml:space="preserve">Ներդրումային ակտիվության խթանում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գործարար միջավայրի բարելավում, այդ թվում՝</w:t>
      </w:r>
    </w:p>
    <w:p w14:paraId="347DF147" w14:textId="77777777" w:rsidR="00AD2BFD" w:rsidRPr="00695313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</w:p>
    <w:p w14:paraId="5E9E03AA" w14:textId="77777777" w:rsidR="00AD2BFD" w:rsidRPr="00695313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lastRenderedPageBreak/>
        <w:t xml:space="preserve">միջնաժամկետ ժամանակահատվածում անդամ պետությունների տնտեսավարող սուբյեկտների վրա հարկային ծանրաբեռնվածության պահպանում կայուն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տնտեսապես հիմնավորված մակարդակի վրա.</w:t>
      </w:r>
    </w:p>
    <w:p w14:paraId="6EFF668C" w14:textId="77777777" w:rsidR="00AD2BFD" w:rsidRPr="00695313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 xml:space="preserve">արդյունավետ հարկային արտոնությունների, նվազեցումների համակարգի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այլ մեխանիզմների ստեղծում, որոնք ուղղված են ներդրումային ակտիվության խթանմանը.</w:t>
      </w:r>
    </w:p>
    <w:p w14:paraId="570E083D" w14:textId="77777777" w:rsidR="00AD2BFD" w:rsidRPr="00695313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 xml:space="preserve">իրավական կանոնակարգման կատարելագործում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պետական նախագծերի իրագործման առնչությամբ մասնավոր կապիտալի ներգրավման արդյունավետ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փոխշահավետ մեխանիզմների ներդրում պրակտիկայում, այդ թվում՝ պետական-մասնավոր գործընկերության սկզբունքների հիման վրա.</w:t>
      </w:r>
    </w:p>
    <w:p w14:paraId="505EDDE8" w14:textId="77777777" w:rsidR="00AD2BFD" w:rsidRPr="00695313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 xml:space="preserve">կոլեկտիվ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վենչուրային ներդրումների մեխանիզմների զարգացում՝ փոքր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միջին բիզնեսի ֆինանսական հնարավորությունները բարելավելու նպատակով.</w:t>
      </w:r>
    </w:p>
    <w:p w14:paraId="6273EDA3" w14:textId="77777777" w:rsidR="00AD2BFD" w:rsidRPr="00695313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 xml:space="preserve">երկարաժամկետ վարկային ռեսուրսների հասանելիությունը բարձրացնելու հնարավորությունների ընդլայնում, այդ թվում՝ զարգացման՝ ազգային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տարածաշրջանային ինստիտուտների ներդրումների ներգրավմամբ.</w:t>
      </w:r>
    </w:p>
    <w:p w14:paraId="147076AF" w14:textId="77777777" w:rsidR="00AD2BFD" w:rsidRPr="00695313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>ինստիտուցիոնալ միջավայրի բարելավում՝ բիզնես վարելու համար:</w:t>
      </w:r>
    </w:p>
    <w:p w14:paraId="3985E3B4" w14:textId="77777777" w:rsidR="00AD2BFD" w:rsidRPr="00695313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>Տնտեսության իրական հատվածում արտադրողականության բարձրացման համար պայմանների ստեղծում, այդ թվում՝</w:t>
      </w:r>
    </w:p>
    <w:p w14:paraId="607D38D8" w14:textId="77777777" w:rsidR="00AD2BFD" w:rsidRPr="00695313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 xml:space="preserve">անդամ պետությունների կողմից արտադրողականության բարձրացմանն ուղղված՝ ռազմավարական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ծրագրային փաստաթղթերի ընդունում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իրագործում.</w:t>
      </w:r>
    </w:p>
    <w:p w14:paraId="3EFAA91C" w14:textId="77777777" w:rsidR="00AD2BFD" w:rsidRPr="00695313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>մշակող արդյունաբերության բարձր տեխնոլոգիական ճյուղերի առաջանցիկ զարգացման խթանում.</w:t>
      </w:r>
    </w:p>
    <w:p w14:paraId="31366D91" w14:textId="77777777" w:rsidR="00AD2BFD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>անդամ պետությունների տնտեսություններում կառուցվածքային վերափոխումների իրականացման շարունակում.</w:t>
      </w:r>
    </w:p>
    <w:p w14:paraId="101617B7" w14:textId="77777777" w:rsidR="00AD2BFD" w:rsidRPr="00695313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</w:p>
    <w:p w14:paraId="3A987842" w14:textId="77777777" w:rsidR="00AD2BFD" w:rsidRPr="00695313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lastRenderedPageBreak/>
        <w:t xml:space="preserve">իրական հատվածում արդիականացման գործընթացների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նորարարական ապրանքների ու տեխնոլոգիաների ներդրման խթանում.</w:t>
      </w:r>
    </w:p>
    <w:p w14:paraId="064A5F56" w14:textId="77777777" w:rsidR="00AD2BFD" w:rsidRPr="00695313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>արդյունաբերական ենթակառուցվածքի զարգացում.</w:t>
      </w:r>
    </w:p>
    <w:p w14:paraId="6E38142C" w14:textId="77777777" w:rsidR="00AD2BFD" w:rsidRPr="00695313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 xml:space="preserve">Միության թվային օրակարգի իրագործում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թվային տեխնոլոգիաների ներդրում անդամ պետությունների տնտեսությունների տարբեր բնագավառներում.</w:t>
      </w:r>
    </w:p>
    <w:p w14:paraId="786AC315" w14:textId="77777777" w:rsidR="00AD2BFD" w:rsidRPr="00695313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 xml:space="preserve">միջպետական ծրագրերի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նախագծերի իրագործում արդյունաբերական ոլորտում՝ անդամ պետությունների մասնակցությամբ.</w:t>
      </w:r>
    </w:p>
    <w:p w14:paraId="32CAFA6F" w14:textId="77777777" w:rsidR="00AD2BFD" w:rsidRPr="00695313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 xml:space="preserve">մասնագիտական ուսուցման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վերապատրաստման հնարավորությունների զարգացում, աշխատավորների որակավորման բարձրացում՝ աշխատանքային ռեսուրսների որակի բարելավման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արդյունավետ զբաղվածության աճի նպատակով.</w:t>
      </w:r>
    </w:p>
    <w:p w14:paraId="2FF64D44" w14:textId="77777777" w:rsidR="00AD2BFD" w:rsidRPr="00695313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 xml:space="preserve">Միության շրջանակներում աշխատանքային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ակադեմիական շարժունության ոլորտում հնարավորությունների ընդլայնում:</w:t>
      </w:r>
    </w:p>
    <w:p w14:paraId="16FEF47C" w14:textId="77777777" w:rsidR="00AD2BFD" w:rsidRPr="00695313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>Արտաքին առ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տրային կապերի ամրապնդում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Միության ներքին շուկայի զարգացում, այդ թվում՝</w:t>
      </w:r>
    </w:p>
    <w:p w14:paraId="4DF5F729" w14:textId="77777777" w:rsidR="00AD2BFD" w:rsidRPr="00695313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 xml:space="preserve">Միության ներքին շուկայում խոչընդոտների հայտնաբերման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դրանց փուլ առ փուլ վերացման, ինչպես նա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գանձումների եւ սահմանափակումների կրճատման աշխատանքների շարունակում.</w:t>
      </w:r>
    </w:p>
    <w:p w14:paraId="7017CFFC" w14:textId="77777777" w:rsidR="00AD2BFD" w:rsidRPr="00695313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 xml:space="preserve">արտաքին տնտեսական գործունեության մասնակիցների կողմից տեղափոխվող ապրանքների նկատմամբ Միության մաքսային սահմանին իրականացվող գործառնությունների օպտիմալացում՝ արդյունավետ մաքսային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այլ տեսակի հսկողություն ապահովելու միջոցով.</w:t>
      </w:r>
    </w:p>
    <w:p w14:paraId="5C92EC8F" w14:textId="77777777" w:rsidR="00AD2BFD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>Միության շրջանակներում ծառայությունների միասնական շուկաների ձ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ավորում այն հատվածներում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ժամկետներում, որոնք սահմանվել են Եվրասիական տնտեսական բարձրագույն խորհրդի որոշումներով.</w:t>
      </w:r>
    </w:p>
    <w:p w14:paraId="0B8A0717" w14:textId="77777777" w:rsidR="00AD2BFD" w:rsidRPr="00695313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</w:p>
    <w:p w14:paraId="493EA85D" w14:textId="77777777" w:rsidR="00AD2BFD" w:rsidRPr="00695313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lastRenderedPageBreak/>
        <w:t xml:space="preserve">Միության տրանսպորտալոգիստիկ ներուժի զարգացում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դրա տարանցիկ հնարավորությունների օգտագործում.</w:t>
      </w:r>
    </w:p>
    <w:p w14:paraId="03CDDBAB" w14:textId="77777777" w:rsidR="00AD2BFD" w:rsidRPr="00695313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 w:cs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>առ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>տրատնտեսական համագործակցության ինտենսիվացման աշխատանքների շարունակում՝ արտահանման հնարավորություններն ընդլայնելու նպատակով.</w:t>
      </w:r>
    </w:p>
    <w:p w14:paraId="0B70E779" w14:textId="77777777" w:rsidR="00AD2BFD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  <w:r w:rsidRPr="00695313">
        <w:rPr>
          <w:rFonts w:ascii="Sylfaen" w:hAnsi="Sylfaen"/>
          <w:sz w:val="24"/>
          <w:szCs w:val="24"/>
        </w:rPr>
        <w:t xml:space="preserve">փոխգործակցության խորացում միջազգային կազմակերպությունների </w:t>
      </w:r>
      <w:r>
        <w:rPr>
          <w:rFonts w:ascii="Sylfaen" w:hAnsi="Sylfaen"/>
          <w:sz w:val="24"/>
          <w:szCs w:val="24"/>
        </w:rPr>
        <w:t>եւ</w:t>
      </w:r>
      <w:r w:rsidRPr="00695313">
        <w:rPr>
          <w:rFonts w:ascii="Sylfaen" w:hAnsi="Sylfaen"/>
          <w:sz w:val="24"/>
          <w:szCs w:val="24"/>
        </w:rPr>
        <w:t xml:space="preserve"> ինտեգրացիոն այլ միավորումների հետ տնտեսական բնագավառում:</w:t>
      </w:r>
    </w:p>
    <w:p w14:paraId="056CB0DA" w14:textId="77777777" w:rsidR="00AD2BFD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</w:rPr>
      </w:pPr>
    </w:p>
    <w:p w14:paraId="35C94EE6" w14:textId="77777777" w:rsidR="00AD2BFD" w:rsidRPr="00695313" w:rsidRDefault="00AD2BFD" w:rsidP="00AD2BFD">
      <w:pPr>
        <w:pStyle w:val="Bodytext20"/>
        <w:shd w:val="clear" w:color="auto" w:fill="auto"/>
        <w:spacing w:before="0" w:after="160" w:line="360" w:lineRule="auto"/>
        <w:ind w:right="1" w:firstLine="567"/>
        <w:jc w:val="center"/>
        <w:rPr>
          <w:rFonts w:ascii="Sylfaen" w:hAnsi="Sylfaen" w:cs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————————</w:t>
      </w:r>
    </w:p>
    <w:p w14:paraId="6B9A50EA" w14:textId="77777777" w:rsidR="00A45F8E" w:rsidRPr="00AD2BFD" w:rsidRDefault="00A45F8E" w:rsidP="00AD2BFD">
      <w:bookmarkStart w:id="0" w:name="_GoBack"/>
      <w:bookmarkEnd w:id="0"/>
    </w:p>
    <w:sectPr w:rsidR="00A45F8E" w:rsidRPr="00AD2BFD" w:rsidSect="00F8718A">
      <w:pgSz w:w="11909" w:h="16840" w:code="9"/>
      <w:pgMar w:top="1418" w:right="1418" w:bottom="1418" w:left="1418" w:header="0" w:footer="362" w:gutter="0"/>
      <w:pgNumType w:start="1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E8"/>
    <w:rsid w:val="001133E8"/>
    <w:rsid w:val="002240E7"/>
    <w:rsid w:val="002B2A7D"/>
    <w:rsid w:val="005C1635"/>
    <w:rsid w:val="007E1119"/>
    <w:rsid w:val="008B2A70"/>
    <w:rsid w:val="00A45F8E"/>
    <w:rsid w:val="00A624BB"/>
    <w:rsid w:val="00AD2BFD"/>
    <w:rsid w:val="00D03225"/>
    <w:rsid w:val="00D14362"/>
    <w:rsid w:val="00D52833"/>
    <w:rsid w:val="00DC1F33"/>
    <w:rsid w:val="00E74B5C"/>
    <w:rsid w:val="00F3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C6ABFB"/>
  <w15:chartTrackingRefBased/>
  <w15:docId w15:val="{D4689A81-B2C9-497E-A3D3-B5F79678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624B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A624B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A624B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314pt">
    <w:name w:val="Body text (3) + 14 pt"/>
    <w:basedOn w:val="Bodytext3"/>
    <w:rsid w:val="00A624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213pt">
    <w:name w:val="Body text (2) + 13 pt"/>
    <w:aliases w:val="Bold,Body text (2) + 15 pt,Body text (2) + Bold,Body text (2) + 19 pt,Body text (2) + Tahoma,9 pt,Spacing 0 pt,Italic,Body text (2) + 12 pt,Spacing -1 pt"/>
    <w:basedOn w:val="Bodytext2"/>
    <w:rsid w:val="00A624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Normal"/>
    <w:link w:val="Bodytext2"/>
    <w:rsid w:val="00A624BB"/>
    <w:pPr>
      <w:shd w:val="clear" w:color="auto" w:fill="FFFFFF"/>
      <w:spacing w:before="300" w:after="780" w:line="0" w:lineRule="atLeast"/>
      <w:jc w:val="both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  <w:style w:type="paragraph" w:customStyle="1" w:styleId="Bodytext30">
    <w:name w:val="Body text (3)"/>
    <w:basedOn w:val="Normal"/>
    <w:link w:val="Bodytext3"/>
    <w:rsid w:val="00A624BB"/>
    <w:pPr>
      <w:shd w:val="clear" w:color="auto" w:fill="FFFFFF"/>
      <w:spacing w:before="780" w:after="300"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character" w:customStyle="1" w:styleId="Bodytext2TimesNewRoman">
    <w:name w:val="Body text (2) + Times New Roman"/>
    <w:aliases w:val="15 pt,Body text (3) + Times New Roman,13 pt,Not Bold"/>
    <w:basedOn w:val="Bodytext2"/>
    <w:rsid w:val="005C1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5C16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C1635"/>
    <w:pPr>
      <w:shd w:val="clear" w:color="auto" w:fill="FFFFFF"/>
      <w:spacing w:before="10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character" w:customStyle="1" w:styleId="Bodytext6">
    <w:name w:val="Body text (6)_"/>
    <w:basedOn w:val="DefaultParagraphFont"/>
    <w:link w:val="Bodytext60"/>
    <w:rsid w:val="005C1635"/>
    <w:rPr>
      <w:rFonts w:ascii="Sylfaen" w:eastAsia="Sylfaen" w:hAnsi="Sylfaen" w:cs="Sylfaen"/>
      <w:sz w:val="28"/>
      <w:szCs w:val="28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5C1635"/>
    <w:pPr>
      <w:shd w:val="clear" w:color="auto" w:fill="FFFFFF"/>
      <w:spacing w:before="660" w:line="518" w:lineRule="exact"/>
      <w:ind w:firstLine="720"/>
      <w:jc w:val="both"/>
    </w:pPr>
    <w:rPr>
      <w:rFonts w:ascii="Sylfaen" w:eastAsia="Sylfaen" w:hAnsi="Sylfaen" w:cs="Sylfaen"/>
      <w:color w:val="auto"/>
      <w:sz w:val="28"/>
      <w:szCs w:val="28"/>
      <w:lang w:val="en-US" w:eastAsia="en-US" w:bidi="ar-SA"/>
    </w:rPr>
  </w:style>
  <w:style w:type="character" w:customStyle="1" w:styleId="Heading1">
    <w:name w:val="Heading #1_"/>
    <w:basedOn w:val="DefaultParagraphFont"/>
    <w:link w:val="Heading10"/>
    <w:rsid w:val="00A45F8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Heading10">
    <w:name w:val="Heading #1"/>
    <w:basedOn w:val="Normal"/>
    <w:link w:val="Heading1"/>
    <w:rsid w:val="00A45F8E"/>
    <w:pPr>
      <w:shd w:val="clear" w:color="auto" w:fill="FFFFFF"/>
      <w:spacing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character" w:customStyle="1" w:styleId="Bodytext315pt">
    <w:name w:val="Body text (3) + 15 pt"/>
    <w:basedOn w:val="Bodytext3"/>
    <w:rsid w:val="00A45F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Heading1Spacing2pt">
    <w:name w:val="Heading #1 + Spacing 2 pt"/>
    <w:basedOn w:val="Heading1"/>
    <w:rsid w:val="002240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8B2A7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2Spacing2pt">
    <w:name w:val="Body text (2) + Spacing 2 pt"/>
    <w:basedOn w:val="Bodytext2"/>
    <w:rsid w:val="008B2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Heading2Spacing2pt">
    <w:name w:val="Heading #2 + Spacing 2 pt"/>
    <w:basedOn w:val="Heading2"/>
    <w:rsid w:val="008B2A70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paragraph" w:customStyle="1" w:styleId="Heading20">
    <w:name w:val="Heading #2"/>
    <w:basedOn w:val="Normal"/>
    <w:link w:val="Heading2"/>
    <w:rsid w:val="008B2A70"/>
    <w:pPr>
      <w:shd w:val="clear" w:color="auto" w:fill="FFFFFF"/>
      <w:spacing w:after="7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val="en-US" w:eastAsia="en-US" w:bidi="ar-SA"/>
    </w:rPr>
  </w:style>
  <w:style w:type="character" w:customStyle="1" w:styleId="Bodytext216pt">
    <w:name w:val="Body text (2) + 16 pt"/>
    <w:basedOn w:val="Bodytext2"/>
    <w:rsid w:val="00D143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hy-AM" w:eastAsia="hy-AM" w:bidi="hy-AM"/>
    </w:rPr>
  </w:style>
  <w:style w:type="character" w:customStyle="1" w:styleId="Bodytext3Spacing4pt">
    <w:name w:val="Body text (3) + Spacing 4 pt"/>
    <w:basedOn w:val="Bodytext3"/>
    <w:rsid w:val="00D143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1803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 Davtyan</dc:creator>
  <cp:keywords/>
  <dc:description/>
  <cp:lastModifiedBy>Edmond Davtyan</cp:lastModifiedBy>
  <cp:revision>11</cp:revision>
  <dcterms:created xsi:type="dcterms:W3CDTF">2019-09-18T10:38:00Z</dcterms:created>
  <dcterms:modified xsi:type="dcterms:W3CDTF">2019-09-19T10:21:00Z</dcterms:modified>
</cp:coreProperties>
</file>