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58DEB" w14:textId="77777777" w:rsidR="00FE7730" w:rsidRPr="00A86918" w:rsidRDefault="00FE7730" w:rsidP="00FE7730">
      <w:pPr>
        <w:pStyle w:val="Bodytext20"/>
        <w:shd w:val="clear" w:color="auto" w:fill="auto"/>
        <w:spacing w:before="0" w:after="160" w:line="360" w:lineRule="auto"/>
        <w:ind w:left="5103"/>
        <w:jc w:val="center"/>
        <w:rPr>
          <w:rFonts w:ascii="Sylfaen" w:hAnsi="Sylfaen" w:cs="Sylfaen"/>
          <w:sz w:val="24"/>
          <w:szCs w:val="24"/>
        </w:rPr>
      </w:pPr>
      <w:r w:rsidRPr="00A86918">
        <w:rPr>
          <w:rFonts w:ascii="Sylfaen" w:hAnsi="Sylfaen"/>
          <w:sz w:val="24"/>
          <w:szCs w:val="24"/>
        </w:rPr>
        <w:t>ՀԱՍՏԱՏՎԱԾ ԵՆ</w:t>
      </w:r>
    </w:p>
    <w:p w14:paraId="189258C0" w14:textId="77777777" w:rsidR="00FE7730" w:rsidRPr="00A86918" w:rsidRDefault="00FE7730" w:rsidP="00FE7730">
      <w:pPr>
        <w:pStyle w:val="Bodytext20"/>
        <w:shd w:val="clear" w:color="auto" w:fill="auto"/>
        <w:spacing w:before="0" w:after="160" w:line="360" w:lineRule="auto"/>
        <w:ind w:left="5103"/>
        <w:jc w:val="center"/>
        <w:rPr>
          <w:rFonts w:ascii="Sylfaen" w:hAnsi="Sylfaen" w:cs="Sylfaen"/>
          <w:sz w:val="24"/>
          <w:szCs w:val="24"/>
        </w:rPr>
      </w:pPr>
      <w:r w:rsidRPr="00A86918">
        <w:rPr>
          <w:rFonts w:ascii="Sylfaen" w:hAnsi="Sylfaen"/>
          <w:sz w:val="24"/>
          <w:szCs w:val="24"/>
        </w:rPr>
        <w:t>Եվրասիական տնտեսական բարձրագույն խորհրդի</w:t>
      </w:r>
      <w:r>
        <w:rPr>
          <w:rFonts w:ascii="Sylfaen" w:hAnsi="Sylfaen" w:cs="Sylfaen"/>
          <w:sz w:val="24"/>
          <w:szCs w:val="24"/>
        </w:rPr>
        <w:br/>
      </w:r>
      <w:r w:rsidRPr="00A86918">
        <w:rPr>
          <w:rFonts w:ascii="Sylfaen" w:hAnsi="Sylfaen"/>
          <w:sz w:val="24"/>
          <w:szCs w:val="24"/>
        </w:rPr>
        <w:t xml:space="preserve">2018 թվականի հունիսի 18-ի </w:t>
      </w:r>
      <w:r>
        <w:rPr>
          <w:rFonts w:ascii="Sylfaen" w:hAnsi="Sylfaen"/>
          <w:sz w:val="24"/>
          <w:szCs w:val="24"/>
        </w:rPr>
        <w:br/>
      </w:r>
      <w:r w:rsidRPr="00A86918">
        <w:rPr>
          <w:rFonts w:ascii="Sylfaen" w:hAnsi="Sylfaen"/>
          <w:sz w:val="24"/>
          <w:szCs w:val="24"/>
        </w:rPr>
        <w:t>թիվ 15 որոշմամբ</w:t>
      </w:r>
    </w:p>
    <w:p w14:paraId="41637233" w14:textId="77777777" w:rsidR="00FE7730" w:rsidRPr="00A86918" w:rsidRDefault="00FE7730" w:rsidP="00FE7730">
      <w:pPr>
        <w:pStyle w:val="Bodytext20"/>
        <w:shd w:val="clear" w:color="auto" w:fill="auto"/>
        <w:spacing w:before="0" w:after="160" w:line="360" w:lineRule="auto"/>
        <w:jc w:val="center"/>
        <w:rPr>
          <w:rFonts w:ascii="Sylfaen" w:hAnsi="Sylfaen" w:cs="Sylfaen"/>
          <w:sz w:val="24"/>
          <w:szCs w:val="24"/>
        </w:rPr>
      </w:pPr>
    </w:p>
    <w:p w14:paraId="1F20EE10" w14:textId="77777777" w:rsidR="00FE7730" w:rsidRPr="00A86918" w:rsidRDefault="00FE7730" w:rsidP="00FE7730">
      <w:pPr>
        <w:pStyle w:val="Bodytext30"/>
        <w:shd w:val="clear" w:color="auto" w:fill="auto"/>
        <w:spacing w:before="0" w:after="160" w:line="360" w:lineRule="auto"/>
        <w:rPr>
          <w:rStyle w:val="Bodytext3Spacing2pt"/>
          <w:rFonts w:ascii="Sylfaen" w:hAnsi="Sylfaen" w:cs="Sylfaen"/>
          <w:b/>
          <w:bCs/>
          <w:spacing w:val="0"/>
          <w:sz w:val="24"/>
          <w:szCs w:val="24"/>
        </w:rPr>
      </w:pPr>
      <w:r w:rsidRPr="00A86918">
        <w:rPr>
          <w:rStyle w:val="Bodytext3Spacing2pt"/>
          <w:rFonts w:ascii="Sylfaen" w:hAnsi="Sylfaen"/>
          <w:b/>
          <w:spacing w:val="0"/>
          <w:sz w:val="24"/>
          <w:szCs w:val="24"/>
        </w:rPr>
        <w:t>ՀԻՄՆԱԿԱՆ ՈՒՂՂՈՒԹՅՈՒՆՆԵՐԸ</w:t>
      </w:r>
    </w:p>
    <w:p w14:paraId="4D59A5FE" w14:textId="77777777" w:rsidR="00FE7730" w:rsidRPr="00A86918" w:rsidRDefault="00FE7730" w:rsidP="00FE7730">
      <w:pPr>
        <w:pStyle w:val="Bodytext30"/>
        <w:shd w:val="clear" w:color="auto" w:fill="auto"/>
        <w:spacing w:before="0" w:after="160" w:line="360" w:lineRule="auto"/>
        <w:rPr>
          <w:rFonts w:ascii="Sylfaen" w:hAnsi="Sylfaen" w:cs="Sylfaen"/>
          <w:sz w:val="24"/>
          <w:szCs w:val="24"/>
        </w:rPr>
      </w:pPr>
      <w:r w:rsidRPr="00A86918">
        <w:rPr>
          <w:rFonts w:ascii="Sylfaen" w:hAnsi="Sylfaen"/>
          <w:sz w:val="24"/>
          <w:szCs w:val="24"/>
        </w:rPr>
        <w:t xml:space="preserve">2018 թվականի համար Եվրասիական տնտեսական միության </w:t>
      </w:r>
      <w:r>
        <w:rPr>
          <w:rFonts w:ascii="Sylfaen" w:hAnsi="Sylfaen"/>
          <w:sz w:val="24"/>
          <w:szCs w:val="24"/>
        </w:rPr>
        <w:br/>
      </w:r>
      <w:r w:rsidRPr="00A86918">
        <w:rPr>
          <w:rFonts w:ascii="Sylfaen" w:hAnsi="Sylfaen"/>
          <w:sz w:val="24"/>
          <w:szCs w:val="24"/>
        </w:rPr>
        <w:t>միջազգային գործունեության</w:t>
      </w:r>
    </w:p>
    <w:p w14:paraId="0341D45F" w14:textId="77777777" w:rsidR="00FE7730" w:rsidRPr="00A86918" w:rsidRDefault="00FE7730" w:rsidP="00FE7730">
      <w:pPr>
        <w:pStyle w:val="Bodytext30"/>
        <w:shd w:val="clear" w:color="auto" w:fill="auto"/>
        <w:spacing w:before="0" w:after="160" w:line="360" w:lineRule="auto"/>
        <w:rPr>
          <w:rFonts w:ascii="Sylfaen" w:hAnsi="Sylfaen" w:cs="Sylfaen"/>
          <w:sz w:val="24"/>
          <w:szCs w:val="24"/>
        </w:rPr>
      </w:pPr>
    </w:p>
    <w:p w14:paraId="0F7D04DA" w14:textId="77777777" w:rsidR="00FE7730" w:rsidRPr="00A86918" w:rsidRDefault="00FE7730" w:rsidP="00FE7730">
      <w:pPr>
        <w:pStyle w:val="Bodytext20"/>
        <w:shd w:val="clear" w:color="auto" w:fill="auto"/>
        <w:spacing w:before="0" w:after="160" w:line="360" w:lineRule="auto"/>
        <w:ind w:right="1"/>
        <w:jc w:val="center"/>
        <w:rPr>
          <w:rFonts w:ascii="Sylfaen" w:hAnsi="Sylfaen" w:cs="Sylfaen"/>
          <w:sz w:val="24"/>
          <w:szCs w:val="24"/>
        </w:rPr>
      </w:pPr>
      <w:r w:rsidRPr="00A86918">
        <w:rPr>
          <w:rFonts w:ascii="Sylfaen" w:hAnsi="Sylfaen"/>
          <w:sz w:val="24"/>
          <w:szCs w:val="24"/>
        </w:rPr>
        <w:t>I. Եվրասիական տնտեսական միության միջազգային գործունեության վերաբերյալ հիմնական դրույթները</w:t>
      </w:r>
    </w:p>
    <w:p w14:paraId="4A2FC57C"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Սույն հիմնական ուղղությունները մշակված են Եվրասիական տնտեսական բարձրագույն խորհրդի 2014 թվականի դեկտեմբերի 23-ի թիվ 99 որոշմամբ հաստատված՝ Եվրասիական տնտեսական միության կողմից միջազգային համագործակցություն իրականացնելու կարգի 5-րդ կետին համապատասխան՝ հաշվի առնելով «Եվրասիական տնտեսական միության մասին» 2014 թվականի մայիսի 29-ի պայմանագրի 4-րդ հոդվածում նշված՝ Եվրասիական տնտեսական միության (այսուհետ՝ Միություն) նպատակները, եւ կոչված են նպաստելու Միության անդամ պետությունների (այսուհետ՝ անդամ պետություններ) տնտեսական աճին, արտահանման ներուժի ավելացմանն ու իրագործմանը, Միության՝ որպես միջազգային ասպարեզում վստահելի, կանխատեսելի գործընկերոջ դիրքավորմանը:</w:t>
      </w:r>
    </w:p>
    <w:p w14:paraId="25B80FEC"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Միության միջազգային գործունեությունն իրականացվում է նշված Պայմանագրով եւ Միության շրջանակներում միջազգային պայմանագրերով սահմանված իրավասությունների սահմաններում ու ոլորտներում:</w:t>
      </w:r>
    </w:p>
    <w:p w14:paraId="21479D77" w14:textId="77777777" w:rsidR="00FE7730" w:rsidRPr="00A86918" w:rsidRDefault="00FE7730" w:rsidP="00FE7730">
      <w:pPr>
        <w:pStyle w:val="Bodytext20"/>
        <w:shd w:val="clear" w:color="auto" w:fill="auto"/>
        <w:spacing w:before="0" w:after="160" w:line="360" w:lineRule="auto"/>
        <w:ind w:right="1"/>
        <w:jc w:val="center"/>
        <w:rPr>
          <w:rFonts w:ascii="Sylfaen" w:hAnsi="Sylfaen" w:cs="Sylfaen"/>
          <w:sz w:val="24"/>
          <w:szCs w:val="24"/>
        </w:rPr>
      </w:pPr>
      <w:r w:rsidRPr="00A86918">
        <w:rPr>
          <w:rFonts w:ascii="Sylfaen" w:hAnsi="Sylfaen"/>
          <w:sz w:val="24"/>
          <w:szCs w:val="24"/>
        </w:rPr>
        <w:lastRenderedPageBreak/>
        <w:t>II. 2018 թվականի համար միջազգային գործունեության ուղղությունները</w:t>
      </w:r>
    </w:p>
    <w:p w14:paraId="537091B5"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Միության կողմից միջազգային գործունեություն իրականացնելիս 2018</w:t>
      </w:r>
      <w:r>
        <w:rPr>
          <w:rFonts w:ascii="Sylfaen" w:hAnsi="Sylfaen"/>
          <w:sz w:val="24"/>
          <w:szCs w:val="24"/>
        </w:rPr>
        <w:t> </w:t>
      </w:r>
      <w:r w:rsidRPr="00A86918">
        <w:rPr>
          <w:rFonts w:ascii="Sylfaen" w:hAnsi="Sylfaen"/>
          <w:sz w:val="24"/>
          <w:szCs w:val="24"/>
        </w:rPr>
        <w:t>թվականին առաջնահերթ են համարվում հետեւյալ ուղղությունները`</w:t>
      </w:r>
    </w:p>
    <w:p w14:paraId="20929E6E"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փոխգործակցություն երրորդ երկրների կառավարությունների, երրորդ երկրների տարածաշրջանային միավորումների, միջազգային կազմակերպությունների եւ գործարար համայնքների հետ` համագործակցության արդեն ստեղծված մեխանիզմները զարգացնելու նպատակներով, այդ թվում՝ կնքված միջազգային բնույթի ակտերի, առանձնաշնորհային եւ ոչ առանձնաշնորհային առեւտրային համաձայնագրերի կնքման շուրջ անցկացվող բանակցային գործընթացների շրջանակներում, ինչպես նաեւ Միության միջազգային գործունեության այլ ձեւաչափերով.</w:t>
      </w:r>
    </w:p>
    <w:p w14:paraId="33D494FD"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փոխգործակցություն երրորդ երկրների կառավարությունների, Միության հետ համագործակցությամբ հետաքրքրված՝ երրորդ երկրների տարածաշրջանային միավորումների, միջազգային կազմակերպությունների եւ գործարար համայնքների հետ՝ փոխգործակցության հնարավոր ձեւերը բացահայտելու, մասնավորապես` հուշագրեր ու միջազգային բնույթի այլ ակտեր նախապատրաստելու եւ ստորագրելու, Եվրասիական տնտեսական հանձնաժողովի (այսուհետ՝ Հանձնաժողով) եւ անդամ պետությունների ներկայացուցիչների միջեւ առանձնաշնորհային եւ ոչ առանձնաշնորհային առեւտրային համաձայնագրեր կնքելու վերաբերյալ բանակցություններ վարելու (եթե բանակցությունները վարում է բանակցային պատվիրակությունը՝ համատեղ) նպատակով.</w:t>
      </w:r>
    </w:p>
    <w:p w14:paraId="7D647C22"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փոխգործակցություն երրորդ երկրների կառավարությունների, երրորդ երկրների տարածաշրջանային միավորումների, միջազգային կազմակերպությունների, գործարար համայնքների ու փորձագիտական շրջանակների հետ՝ եվրասիական տնտեսական ինտեգրման մասին արդիական տեղեկատվության լայնակի տարածման եւ Միության՝ որպես տարածաշրջանային տնտեսական ինտեգրման ոլորտում արդյունավետ ու մրցունակ միջազգային կազմակերպության մասին դրական պատկերացում ձեւավորելու նպատակով, </w:t>
      </w:r>
      <w:r w:rsidRPr="00A86918">
        <w:rPr>
          <w:rFonts w:ascii="Sylfaen" w:hAnsi="Sylfaen"/>
          <w:sz w:val="24"/>
          <w:szCs w:val="24"/>
        </w:rPr>
        <w:lastRenderedPageBreak/>
        <w:t>մասնավորապես` միջազգային տարբեր հարթակներում Միության շնորհանդեսներ եւ համատեղ մասնագիտական միջոցառումներ անցկացնելու միջոցով։</w:t>
      </w:r>
    </w:p>
    <w:p w14:paraId="12FB1678"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2018 թվականին Միության եւ դրա անդամ պետությունների միջազգային գործունեության բնագավառում հիմնական ջանքերը կենտրոնացված կլինեն փոխգործակցության զարգացման վրա`</w:t>
      </w:r>
    </w:p>
    <w:p w14:paraId="4599C5A5"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t>Միության անդամ չհանդիսացող՝ Անկախ պետությունների համագործակցության (ԱՊՀ) մասնակից պետությունների հետ եւ ԱՊՀ-ի տարածքում տար</w:t>
      </w:r>
      <w:r>
        <w:rPr>
          <w:rFonts w:ascii="Sylfaen" w:hAnsi="Sylfaen"/>
          <w:sz w:val="24"/>
          <w:szCs w:val="24"/>
        </w:rPr>
        <w:t>ածաշրջանային միավորումների հետ։</w:t>
      </w:r>
    </w:p>
    <w:p w14:paraId="374032CB"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Կշարունակվի եվրասիական տնտեսական ինտեգրման գաղափարը նշված երկրներում (առաջին հերթին` Կենտրոնական Ասիայի պետություններում) մասսայականացնելուն նպատակաուղղված աշխատանքը, այդ թվում՝ այն լրացուցիչ հնարավորությունների համատեքստում, որոնք ի հայտ են գալիս այդ պետությունների տնտեսությունների համար՝ շնորհիվ Միության միասնական շուկայի։</w:t>
      </w:r>
    </w:p>
    <w:p w14:paraId="34E96625"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Մոլդովայի Հանրապետության հետ փոխգործակցությունը կշարունակվի «Եվրասիական տնտեսական հանձնաժողովի եւ Մոլդովայի Հանրապետության միջեւ համագործակցության մասին» 2017 թվականի ապրիլի 3-ի հուշագրի իրագործման շրջանակներում, ինչպես նաեւ հաշվի առնելով Մոլդովայի Հանրապետությանը Միությանն առընթեր դիտորդ պետության կարգավիճակ տալու հարցի վերաբերյալ որոշման ընդունումը։</w:t>
      </w:r>
    </w:p>
    <w:p w14:paraId="79006F75"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Նշված կազմակերպությունների իրավասության շրջանակներում գտնվող հարցերի մասով փոխգործակցության արդյունավետության բարձրացմանն ուղղված աշխատանքը կշարունակվի տարածաշրջանային միավորումների մշտապես գործող գործադիր մարմինների, այդ թվում՝ ԱՊՀ գործադիր կոմիտեի եւ Միութենական պետության մշտական հանձնաժողովի հետ.</w:t>
      </w:r>
    </w:p>
    <w:p w14:paraId="20C0C96D"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lastRenderedPageBreak/>
        <w:t xml:space="preserve">եվրոպական պետությունների, Եվրոպական միության, Եվրոպայում այլ տարածաշրջանային միավորումների </w:t>
      </w:r>
      <w:r>
        <w:rPr>
          <w:rFonts w:ascii="Sylfaen" w:hAnsi="Sylfaen"/>
          <w:sz w:val="24"/>
          <w:szCs w:val="24"/>
        </w:rPr>
        <w:t>եւ</w:t>
      </w:r>
      <w:r w:rsidRPr="00A86918">
        <w:rPr>
          <w:rFonts w:ascii="Sylfaen" w:hAnsi="Sylfaen"/>
          <w:sz w:val="24"/>
          <w:szCs w:val="24"/>
        </w:rPr>
        <w:t xml:space="preserve"> եվրոպական տարածաշրջանում գործող այլ կազմակերպությունների հետ։</w:t>
      </w:r>
    </w:p>
    <w:p w14:paraId="1EFC200F"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Միջազգային գործունեության կառուցումը եվրոպական ուղղությամբ կիրականացվի՝ հաշվի առնելով կառավարությունների, գործարար համայնքների ու փորձագիտական շրջանակների հետաքրքրությունը Միության հետ համագործակցության նկատմամբ, ինչպես նաեւ դրանց՝ Միության եւ Եվրոպական միության փոխգործակցությանը նվիրված միջոցառումների կազմակերպմանն ուղղված նախաձեռնությունները, եւ ուղղված կլինի փոխադարձ առեւտրի զարգացման աջակցությանն ու անդամ պետությունների տնտեսավարող սուբյեկտների արտաքին տնտեսական գործունեության ազատականացմանը, այդ գործունեության ընթացքում ծագող հարցերի կարգավորման համար երկխոսության մեխանիզմների ստեղծմանը, ինչպես նաեւ պաշտոնական շրջանակների ներկայացուցիչների հետ կապերի հաստատմանն ու եվրոպական տարածաշրջանի պետությունների կառավարությունների հետ համագործակցության ինստիտուցիոնալացմանը:</w:t>
      </w:r>
    </w:p>
    <w:p w14:paraId="4966A189"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Հունաստանի Հանրապետության հետ փոխգործակցությունը կիրականացվի «Եվրասիական տնտեսական հանձնաժողովի ու Հունաստանի Հանրապետության կառավարության համագործակցության մասին» 2017 թվականի հունիսի 24-ի համատեղ հայտարարագրի շրջանակներում, Սերբիայի Հանրապետության հետ՝ անդամ պետությունների եւ Սերբիայի Հանրապետության միջեւ առեւտրային ռեժիմի միասնականացման վերաբերյալ համաձայնագրի նախապատրաստման մասով բանակցային գործընթացի շրջանակներում, Հունգարիայի հետ՝ «Ագրոարդյունաբերական համալիրի ոլորտում համագործակցության վերաբերյալ Եվրասիական տնտեսական հանձնաժողովի եւ Հունգարիայի գյուղատնտեսության նախարարության միջեւ փոխըմբռնման մասին» 2016 թվականի սեպտեմբերի 26-ի հուշագրի շրջանակներում, տարածաշրջանի մյուս պետությունների հետ,, ներառյալ՝ Իտալիայի Հանրապետությունը, Սլովակիայի Հանրապետությունը, Չեխիայի Հանրապետությունը եւ այլն՝ եվրասիական տնտեսական ինտեգրմանը </w:t>
      </w:r>
      <w:r w:rsidRPr="00A86918">
        <w:rPr>
          <w:rFonts w:ascii="Sylfaen" w:hAnsi="Sylfaen"/>
          <w:sz w:val="24"/>
          <w:szCs w:val="24"/>
        </w:rPr>
        <w:lastRenderedPageBreak/>
        <w:t>նվիրված ավանդական միջոցառումների շրջանակներում՝ փոխգործակցության հնարավոր ձեւաչափերի բացահայտման եւ համագործակցության հետագա ինստիտուցիոնալացման նպատակով։</w:t>
      </w:r>
    </w:p>
    <w:p w14:paraId="014FE68E"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«Ինտեգրումների ինտեգրում» նախաձեռնության խթանման շրջանակներում կշարունակվի Հանձնաժողովի՝ Եվրոպական հանձնաժողովի հետ ուղիղ կապերի հաստատման, «Եվրասիական տնտեսական միություն՝ Եվրոպական միություն. համագործակցության ուրվագծերը» 2015 թվականի սեպտեմբերի 17-ի հուշանամակում ներկայացված առաջարկությունների իրագործման մասով նպատակաուղղված աշխատանքը, ինչպես նաեւ Միության եւ Եվրոպական միության համագործակցության հարցերի շուրջ բարձր մակարդակով համաժողով անցկացնելու վերաբերյալ Ղազախստանի Հանրապետության նախագահ Ն.Ա.</w:t>
      </w:r>
      <w:r>
        <w:rPr>
          <w:rFonts w:ascii="Sylfaen" w:hAnsi="Sylfaen"/>
          <w:sz w:val="24"/>
          <w:szCs w:val="24"/>
        </w:rPr>
        <w:t> Նազարբաեւի նախաձեռնությունները։</w:t>
      </w:r>
    </w:p>
    <w:p w14:paraId="714C8AA2"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 xml:space="preserve">Միության եւ Եվրոպական միության համագործակցության հարցերին ուղղված գործունեության հեռանկարային ուղղություններից մեկը կարող է դառնալ իրավական կարգավորման հարցերով փոխգործակցության զարգացումը (ստանդարտացման ու տեխնիկական կարգավորման </w:t>
      </w:r>
      <w:proofErr w:type="gramStart"/>
      <w:r w:rsidRPr="00A86918">
        <w:rPr>
          <w:rFonts w:ascii="Sylfaen" w:hAnsi="Sylfaen"/>
          <w:sz w:val="24"/>
          <w:szCs w:val="24"/>
        </w:rPr>
        <w:t>հարցերը)՝</w:t>
      </w:r>
      <w:proofErr w:type="gramEnd"/>
      <w:r w:rsidRPr="00A86918">
        <w:rPr>
          <w:rFonts w:ascii="Sylfaen" w:hAnsi="Sylfaen"/>
          <w:sz w:val="24"/>
          <w:szCs w:val="24"/>
        </w:rPr>
        <w:t xml:space="preserve"> փորձագիտական մակարդակով։</w:t>
      </w:r>
    </w:p>
    <w:p w14:paraId="206F59C6"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Հանձնաժողովը կշարունակի տարածաշրջանային տնտեսական ինտեգրման գործընթացների զարգացմանն աջակցություն ցուցաբերող՝ տարածաշրջանի միջազգային կազմակերպությունների, այդ թվում՝ Եվրոպայում անվտանգության ու համագործակցության կազմակերպության (տնտեսական զամբյուղի ու տարածաշրջանում տնտեսական փոխկապակցվածության հարցերի մասով), Կենտրոնաեվրոպական նախաձեռնության, Ազատ առեւտրի եվրոպական ասոցիացիայի, Սեւծովյան տնտեսական համագործակցության կազմակերպության եւ այլ կազմակերպությունների հետ համագործակցության ամրապնդման գործընթացը.</w:t>
      </w:r>
    </w:p>
    <w:p w14:paraId="6AD3B5C0"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i/>
          <w:sz w:val="24"/>
          <w:szCs w:val="24"/>
        </w:rPr>
        <w:t>Հյուսիսային Ամերիկայի պետությունների, տարածաշրջանային միավորումների եւ գործարար համայնքների հետ,</w:t>
      </w:r>
      <w:r w:rsidRPr="00A86918">
        <w:rPr>
          <w:rFonts w:ascii="Sylfaen" w:hAnsi="Sylfaen"/>
          <w:sz w:val="24"/>
          <w:szCs w:val="24"/>
        </w:rPr>
        <w:t xml:space="preserve"> առաջին հերթին՝ Ամերիկայի Միացյալ Նահանգների, Կանադայի, Մեքսիկայի Միացյալ Նահանգների հետ.</w:t>
      </w:r>
    </w:p>
    <w:p w14:paraId="56F08920"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lastRenderedPageBreak/>
        <w:t>Ասիայի եւ Ասիական-խաղաղօվկիանոսյան տարածաշրջանի պետությունների, տարածաշրջանային միավորումների եւ միջազգային կազմակերպությունների հետ։</w:t>
      </w:r>
      <w:r>
        <w:rPr>
          <w:rStyle w:val="Bodytext2"/>
          <w:rFonts w:ascii="Sylfaen" w:hAnsi="Sylfaen"/>
          <w:sz w:val="24"/>
          <w:szCs w:val="24"/>
        </w:rPr>
        <w:t xml:space="preserve"> </w:t>
      </w:r>
      <w:r w:rsidRPr="00A86918">
        <w:rPr>
          <w:rStyle w:val="Bodytext2"/>
          <w:rFonts w:ascii="Sylfaen" w:hAnsi="Sylfaen"/>
          <w:sz w:val="24"/>
          <w:szCs w:val="24"/>
        </w:rPr>
        <w:t>Հանձնաժողովի ջանքերն ուղղված կլինեն հետ</w:t>
      </w:r>
      <w:r>
        <w:rPr>
          <w:rStyle w:val="Bodytext2"/>
          <w:rFonts w:ascii="Sylfaen" w:hAnsi="Sylfaen"/>
          <w:sz w:val="24"/>
          <w:szCs w:val="24"/>
        </w:rPr>
        <w:t>եւ</w:t>
      </w:r>
      <w:r w:rsidRPr="00A86918">
        <w:rPr>
          <w:rStyle w:val="Bodytext2"/>
          <w:rFonts w:ascii="Sylfaen" w:hAnsi="Sylfaen"/>
          <w:sz w:val="24"/>
          <w:szCs w:val="24"/>
        </w:rPr>
        <w:t>յալ առանցքային գործընկերների հետ փոխգործակցությանը՝</w:t>
      </w:r>
    </w:p>
    <w:p w14:paraId="64C96C8F"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Չինաստանի Ժողովրդական Հանրապետության հետ, այդ թվում՝ առեւտրատնտեսական համագործակցության մասին համաձայնագիր կնքելու, Միության եւ ՉԺՀ-ի մաքսային սահմաններով տեղափոխվող ապրանքների եւ միջազգային փոխադրում իրականացնող տրանսպորտային միջոցների վերաբերյալ տեղեկատվություն փոխանակելու մասին համաձայնագիր կնքելու մասով, ինչպես նաեւ Միության եւ Մետաքսե ճանապարհի տնտեսական գոտու փոխկապակցման հարցերով բանակցային գործընթացի շրջանակներում.</w:t>
      </w:r>
    </w:p>
    <w:p w14:paraId="1E56A549"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Վիետնամի Սոցիալիստական Հանրապետության հետ, այդ թվում՝ «Եվրասիական տնտեսական միության եւ դրա անդամ պետությունների՝ մի</w:t>
      </w:r>
      <w:r>
        <w:rPr>
          <w:rFonts w:ascii="Sylfaen" w:hAnsi="Sylfaen"/>
          <w:sz w:val="24"/>
          <w:szCs w:val="24"/>
        </w:rPr>
        <w:t> </w:t>
      </w:r>
      <w:r w:rsidRPr="00A86918">
        <w:rPr>
          <w:rFonts w:ascii="Sylfaen" w:hAnsi="Sylfaen"/>
          <w:sz w:val="24"/>
          <w:szCs w:val="24"/>
        </w:rPr>
        <w:t>կողմից, եւ Վիետնամի Սոցիալիստական Հանրապետության ՝ մյուս կողմից, միջեւ ազատ առեւտրի մասին» 2015 թվականի մայիսի 29-ի համաձայնագրի իրագործման շրջանակներում.</w:t>
      </w:r>
    </w:p>
    <w:p w14:paraId="7D0F943E"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Հնդկաստանի Հանրապետության, Սինգապուրի Հանրապետության հետ՝ ազատ առեւտրի մասին համաձայնագրեր կնքելու վերաբերյալ բանակցությունների շրջանակներում.</w:t>
      </w:r>
    </w:p>
    <w:p w14:paraId="59B70D9A"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Մոնղոլիայի, Սինգապուրի Հանրապետության, Կամբոջայի Թագավորության կառավարությունների հետ՝ կնքված հուշագրերի իրագործման շրջանակներում.</w:t>
      </w:r>
    </w:p>
    <w:p w14:paraId="5E91A92E"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Կորեայի Հանրապետության առ</w:t>
      </w:r>
      <w:r>
        <w:rPr>
          <w:rFonts w:ascii="Sylfaen" w:hAnsi="Sylfaen"/>
          <w:sz w:val="24"/>
          <w:szCs w:val="24"/>
        </w:rPr>
        <w:t>եւ</w:t>
      </w:r>
      <w:r w:rsidRPr="00A86918">
        <w:rPr>
          <w:rFonts w:ascii="Sylfaen" w:hAnsi="Sylfaen"/>
          <w:sz w:val="24"/>
          <w:szCs w:val="24"/>
        </w:rPr>
        <w:t xml:space="preserve">տրի, արդյունաբերության </w:t>
      </w:r>
      <w:r>
        <w:rPr>
          <w:rFonts w:ascii="Sylfaen" w:hAnsi="Sylfaen"/>
          <w:sz w:val="24"/>
          <w:szCs w:val="24"/>
        </w:rPr>
        <w:t>եւ</w:t>
      </w:r>
      <w:r w:rsidRPr="00A86918">
        <w:rPr>
          <w:rFonts w:ascii="Sylfaen" w:hAnsi="Sylfaen"/>
          <w:sz w:val="24"/>
          <w:szCs w:val="24"/>
        </w:rPr>
        <w:t xml:space="preserve"> էներգետիկայի նախարարության հետ՝ կնքված Փոխըմբռնման հուշագրի իրագործման շրջանակներում</w:t>
      </w:r>
      <w:r>
        <w:rPr>
          <w:rFonts w:ascii="Sylfaen" w:hAnsi="Sylfaen"/>
          <w:sz w:val="24"/>
          <w:szCs w:val="24"/>
        </w:rPr>
        <w:t>.</w:t>
      </w:r>
    </w:p>
    <w:p w14:paraId="15143A8E" w14:textId="77777777" w:rsidR="00FE7730" w:rsidRPr="00A86918" w:rsidRDefault="00FE7730" w:rsidP="00FE7730">
      <w:pPr>
        <w:pStyle w:val="Bodytext20"/>
        <w:shd w:val="clear" w:color="auto" w:fill="auto"/>
        <w:spacing w:before="0" w:after="160" w:line="336" w:lineRule="auto"/>
        <w:ind w:firstLine="567"/>
        <w:rPr>
          <w:rFonts w:ascii="Sylfaen" w:hAnsi="Sylfaen" w:cs="Sylfaen"/>
          <w:sz w:val="24"/>
          <w:szCs w:val="24"/>
        </w:rPr>
      </w:pPr>
      <w:r w:rsidRPr="00A86918">
        <w:rPr>
          <w:rFonts w:ascii="Sylfaen" w:hAnsi="Sylfaen"/>
          <w:sz w:val="24"/>
          <w:szCs w:val="24"/>
        </w:rPr>
        <w:t xml:space="preserve">տարածաշրջանի մյուս պետությունների հետ, ներառյալ՝ Ինդոնեզիայի Հանրապետությունը, Մալայզիան, Թաիլանդի Թագավորությունը, Ճապոնիան </w:t>
      </w:r>
      <w:r>
        <w:rPr>
          <w:rFonts w:ascii="Sylfaen" w:hAnsi="Sylfaen"/>
          <w:sz w:val="24"/>
          <w:szCs w:val="24"/>
        </w:rPr>
        <w:t>եւ</w:t>
      </w:r>
      <w:r w:rsidRPr="00A86918">
        <w:rPr>
          <w:rFonts w:ascii="Sylfaen" w:hAnsi="Sylfaen"/>
          <w:sz w:val="24"/>
          <w:szCs w:val="24"/>
        </w:rPr>
        <w:t xml:space="preserve"> այլն՝ համագործակցության հաստատման կամ ինստիտուցիոնալացման նպատակով.</w:t>
      </w:r>
    </w:p>
    <w:p w14:paraId="44172231"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lastRenderedPageBreak/>
        <w:t>Հարավարեւելյան Ասիայի պետությունների ասոցիացիայի (ՀԱԱՊԱ), Շանհայի համագործակցության կազմակերպության (ՇՀԿ) եւ «Ասիական-խաղաղօվկիանոսյան տնտեսական համագործ</w:t>
      </w:r>
      <w:r>
        <w:rPr>
          <w:rFonts w:ascii="Sylfaen" w:hAnsi="Sylfaen"/>
          <w:sz w:val="24"/>
          <w:szCs w:val="24"/>
        </w:rPr>
        <w:t>ակցություն» (ԱԽՏՀ) ֆորումի հետ.</w:t>
      </w:r>
    </w:p>
    <w:p w14:paraId="46878C04"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t xml:space="preserve">Լատինական Ամերիկայի պետությունների եւ տարածաշրջանային միավորումների </w:t>
      </w:r>
      <w:r w:rsidRPr="00A86918">
        <w:rPr>
          <w:rStyle w:val="Bodytext515pt"/>
          <w:rFonts w:ascii="Sylfaen" w:hAnsi="Sylfaen"/>
          <w:sz w:val="24"/>
          <w:szCs w:val="24"/>
        </w:rPr>
        <w:t>հետ</w:t>
      </w:r>
      <w:r w:rsidRPr="00A86918">
        <w:rPr>
          <w:rFonts w:ascii="Sylfaen" w:hAnsi="Sylfaen"/>
          <w:sz w:val="24"/>
          <w:szCs w:val="24"/>
        </w:rPr>
        <w:t>, այդ թվում՝</w:t>
      </w:r>
    </w:p>
    <w:p w14:paraId="5913439A" w14:textId="77777777" w:rsidR="00FE7730" w:rsidRPr="005414F3"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Չիլիի Հանրապետության </w:t>
      </w:r>
      <w:r>
        <w:rPr>
          <w:rFonts w:ascii="Sylfaen" w:hAnsi="Sylfaen"/>
          <w:sz w:val="24"/>
          <w:szCs w:val="24"/>
        </w:rPr>
        <w:t>եւ</w:t>
      </w:r>
      <w:r w:rsidRPr="00A86918">
        <w:rPr>
          <w:rFonts w:ascii="Sylfaen" w:hAnsi="Sylfaen"/>
          <w:sz w:val="24"/>
          <w:szCs w:val="24"/>
        </w:rPr>
        <w:t xml:space="preserve"> Պերուի Հանրապետության կառավարությունների հետ՝ կնքված փոխըմբռնման հուշագրերի իրագործման շրջանակներում</w:t>
      </w:r>
      <w:r w:rsidRPr="005414F3">
        <w:rPr>
          <w:rFonts w:ascii="Sylfaen" w:hAnsi="Sylfaen"/>
          <w:sz w:val="24"/>
          <w:szCs w:val="24"/>
        </w:rPr>
        <w:t>.</w:t>
      </w:r>
    </w:p>
    <w:p w14:paraId="53155618"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տարածաշրջանի մյուս պետությունների հետ, ներառյալ՝ Արգենտինայի Հանրապետությունը, Բրազիլիայի Դաշնային Հանրապետությունը, Կոլումբիայի Հանրապետությունը, Կուբայի Հանրապետությունը, Էկվադորի Հանրապետությունը եւ այլն՝ փոխըմբռնման հուշագրեր ստորագրելու միջոցով համագործակցության ֆորմալացման հեռանկարները քննարկելու մասով.</w:t>
      </w:r>
    </w:p>
    <w:p w14:paraId="7494A6D0"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Անդյան համայնքի գլխավոր քարտուղարության հետ՝ համապատասխան հուշագրի իրագործման շրջանակներում, ինչպես նաեւ Հարավամերիկյան ընդհանուր շուկայի (ՄԵՐԿՈՍՈՒՐ), Կարիբյան համայնքի (ԿԱՐԻԿՈՄ), Կարիբյան պետությունների ասոցիացիայի, Ինտեգրման լատինաամերիկյան ասոցիացիայի (ԻԼԱ) հետ, այդ թվում՝ փոխըմբռնման հուշագրեր նախապատրաստելու եւ ստորագրելու մասով։ Կշարունակվի աշխատանքը Խաղաղօվկիանոսյան դաշինքի, Կենտրոնական Ամերիկայի ինտեգրացիոն համակարգի (ԿԱԻՀ), Լատինական Ամերիկայի եւ Կարիբյան ավազանի երկրների համայնքի (ՍԵԼԱԿ) հետ փոխգործակցության կարգավորման մասով.</w:t>
      </w:r>
    </w:p>
    <w:p w14:paraId="05D08070"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t>Մերձավոր Ար</w:t>
      </w:r>
      <w:r>
        <w:rPr>
          <w:rFonts w:ascii="Sylfaen" w:hAnsi="Sylfaen"/>
          <w:sz w:val="24"/>
          <w:szCs w:val="24"/>
        </w:rPr>
        <w:t>եւ</w:t>
      </w:r>
      <w:r w:rsidRPr="00A86918">
        <w:rPr>
          <w:rFonts w:ascii="Sylfaen" w:hAnsi="Sylfaen"/>
          <w:sz w:val="24"/>
          <w:szCs w:val="24"/>
        </w:rPr>
        <w:t xml:space="preserve">ելքի </w:t>
      </w:r>
      <w:r>
        <w:rPr>
          <w:rFonts w:ascii="Sylfaen" w:hAnsi="Sylfaen"/>
          <w:sz w:val="24"/>
          <w:szCs w:val="24"/>
        </w:rPr>
        <w:t>եւ</w:t>
      </w:r>
      <w:r w:rsidRPr="00A86918">
        <w:rPr>
          <w:rFonts w:ascii="Sylfaen" w:hAnsi="Sylfaen"/>
          <w:sz w:val="24"/>
          <w:szCs w:val="24"/>
        </w:rPr>
        <w:t xml:space="preserve"> Աֆրիկայի պետությունների եւ տարածաշրջանային միավորումների հետ, այդ թվում՝</w:t>
      </w:r>
    </w:p>
    <w:p w14:paraId="2ADBFA5E"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Եգիպտոսի Արաբական Հանրապետության եւ Իսրայելի Պետության հետ՝ </w:t>
      </w:r>
      <w:r w:rsidRPr="00A86918">
        <w:rPr>
          <w:rFonts w:ascii="Sylfaen" w:hAnsi="Sylfaen"/>
          <w:sz w:val="24"/>
          <w:szCs w:val="24"/>
        </w:rPr>
        <w:lastRenderedPageBreak/>
        <w:t>ազատ առեւտրի գոտիների մասին համաձայնագրեր կնքելու վերաբերյալ բանակցությունների շրջանակներում.</w:t>
      </w:r>
    </w:p>
    <w:p w14:paraId="5420AC08"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Իրանի Իսլամական Հանրապետության հետ՝ ազատ առեւտրի գոտու ձեւավորմանը հանգեցնող ժամանակավոր համաձայնագրի նախապատրաստմանն ուղղված բանակցային գործընթացի շրջանակներում.</w:t>
      </w:r>
    </w:p>
    <w:p w14:paraId="04749E7A"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կշարունակվի Միության հետ համագործակցության հանդեպ հետաքրքրություն ցուցաբերող՝ տարածաշրջանի պետությունների եւ ինտեգրացիոն միավորումների հետ փոխգործակցության կարգավորման եւ ինստիտուցիոնալացման հարցի ուսումնասիրումը։</w:t>
      </w:r>
    </w:p>
    <w:p w14:paraId="08F0738F"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Հաշվի առնելով Բրազիլիայի Դաշնային Հանրապետության, Հնդկաստանի Հանրապետության, Չինաստանի Ժողովրդական Հանրապետության եւ Հարավաֆրիկյան Հանրապետության հետ փոխգործակցության առկա մակարդակը եւ համագործակցության զարգացման վերաբերյալ պլանները՝ Հանձնաժողովն այդ երկրների հրավերով կօգտագործի ԲՐԻԿՍ-ի ձեւաչափն ու հարթակը՝ այդ երկրների պաշտոնական ներկայացուցիչների հետ տնտեսական համագործակցության հարցերը քննարկելու համար։</w:t>
      </w:r>
    </w:p>
    <w:p w14:paraId="0B8DE222"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Հանձնաժողովը դիտարկում է երրորդ երկրների ու միջազգային կազմակերպությունների հետ համագործակցության հուշագիրը որպես օպտիմալ ձեւաչափ, որը թույլ է տալիս Միությունում Հանձնաժողովի իրավասությանը փոխանցված հարցերի մասով տնտեսական օրակարգի շուրջ</w:t>
      </w:r>
      <w:r>
        <w:rPr>
          <w:rFonts w:ascii="Sylfaen" w:hAnsi="Sylfaen"/>
          <w:sz w:val="24"/>
          <w:szCs w:val="24"/>
        </w:rPr>
        <w:t xml:space="preserve"> երկխոսություն ձեւավորել։</w:t>
      </w:r>
    </w:p>
    <w:p w14:paraId="5D28FA22"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Համագործակցության հուշագրերին համապատասխան ձեւավորվող եւ գործող աշխատանքային խմբերի գործունեությունը կիրականացվի անդամ պետությունների գործադիր իշխանության մարմինների, Եվրասիական տնտեսական միության գործարար խորհրդի, ինչպես նաեւ անդամ պետությունների գործարար շրջանակների ներկայացուցիչների ակտիվ մասնակցությամբ։</w:t>
      </w:r>
    </w:p>
    <w:p w14:paraId="0810C4A5"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Անդամ պետություններն օժանդակություն կցուցաբերեն կնքված հուշագրերի </w:t>
      </w:r>
      <w:r w:rsidRPr="00A86918">
        <w:rPr>
          <w:rFonts w:ascii="Sylfaen" w:hAnsi="Sylfaen"/>
          <w:sz w:val="24"/>
          <w:szCs w:val="24"/>
        </w:rPr>
        <w:lastRenderedPageBreak/>
        <w:t>շրջանակներում անցկացվող ֆորումներին, համաժողովներին, կլոր սեղաններին եւ այլ միջոցառումների՝ անդամ պետությունների գործարար շրջանակների եւ գործադիր իշխանության մարմինների ներկայացուցիչների պատվիրակությունների ձեւավորման գործում տեղեկատվական ուղեկցության եւ աջակցության միջոցով։</w:t>
      </w:r>
    </w:p>
    <w:p w14:paraId="06549CB3"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Կշարունակվի փոխգործակցությունը երրորդ երկրների կառավարությունների ներկայացուցիչների հետ երրորդ երկրների նկատմամբ հատուկ պաշտպանական, հակագնագցման եւ փոխհատուցման միջոցների կիրառման հարցերով, ներառյալ՝ հանդիպումները եւ խորհրդակցությունները, այդ</w:t>
      </w:r>
      <w:r>
        <w:rPr>
          <w:rFonts w:ascii="Sylfaen" w:hAnsi="Sylfaen"/>
          <w:sz w:val="24"/>
          <w:szCs w:val="24"/>
        </w:rPr>
        <w:t> </w:t>
      </w:r>
      <w:r w:rsidRPr="00A86918">
        <w:rPr>
          <w:rFonts w:ascii="Sylfaen" w:hAnsi="Sylfaen"/>
          <w:sz w:val="24"/>
          <w:szCs w:val="24"/>
        </w:rPr>
        <w:t>թվում՝ երրորդ երկրների տարածքներում, ինչպես նաեւ երրորդ երկրների, տարածաշրջանային ինտեգրացիոն միավորումների եւ միջազգային կազմակերպությունների հետ փոխգործակցությունը՝ ներքին շուկայի պաշտպանության միջոցների կիրառման հարցերով:</w:t>
      </w:r>
    </w:p>
    <w:p w14:paraId="770C3FB0"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Կզարգանա բազմակողմ համագործակցությունը </w:t>
      </w:r>
      <w:r w:rsidRPr="00A86918">
        <w:rPr>
          <w:rStyle w:val="Bodytext216pt"/>
          <w:rFonts w:ascii="Sylfaen" w:hAnsi="Sylfaen"/>
          <w:sz w:val="24"/>
          <w:szCs w:val="24"/>
        </w:rPr>
        <w:t>միջազգային կազմակերպությունների</w:t>
      </w:r>
      <w:r w:rsidRPr="00A86918">
        <w:rPr>
          <w:rFonts w:ascii="Sylfaen" w:hAnsi="Sylfaen"/>
          <w:sz w:val="24"/>
          <w:szCs w:val="24"/>
        </w:rPr>
        <w:t xml:space="preserve"> հետ, այդ թվում`</w:t>
      </w:r>
    </w:p>
    <w:p w14:paraId="2BF439C6"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1E10E0">
        <w:rPr>
          <w:rFonts w:ascii="Sylfaen" w:hAnsi="Sylfaen"/>
          <w:i/>
          <w:sz w:val="24"/>
          <w:szCs w:val="24"/>
        </w:rPr>
        <w:t>Միավորված ազգերի կազմակերպության</w:t>
      </w:r>
      <w:r w:rsidRPr="00A86918">
        <w:rPr>
          <w:rFonts w:ascii="Sylfaen" w:hAnsi="Sylfaen"/>
          <w:sz w:val="24"/>
          <w:szCs w:val="24"/>
        </w:rPr>
        <w:t xml:space="preserve"> (ՄԱԿ) </w:t>
      </w:r>
      <w:r w:rsidRPr="001E10E0">
        <w:rPr>
          <w:rFonts w:ascii="Sylfaen" w:hAnsi="Sylfaen"/>
          <w:i/>
          <w:sz w:val="24"/>
          <w:szCs w:val="24"/>
        </w:rPr>
        <w:t>համակարգի կազմակերպությունների հետ՝</w:t>
      </w:r>
      <w:r w:rsidRPr="00A86918">
        <w:rPr>
          <w:rFonts w:ascii="Sylfaen" w:hAnsi="Sylfaen"/>
          <w:sz w:val="24"/>
          <w:szCs w:val="24"/>
        </w:rPr>
        <w:t xml:space="preserve"> Միության իրավասությունների շրջանակներում (այդ թվում՝ ՄԱԿ-ի տնտեսական եւ սոցիալական խորհրդի տարածաշրջանային հանձնաժողովների (ՏՆՏՍՈՑԽՈՐՀ), ՄԱԿ-ի եվրոպական տնտեսական հանձնաժողովի (ՄԱԿ ԵՏՀ), Ասիայի եւ Խաղաղօվկիանոսյան տարածաշրջանի համար ՄԱԿ-ի տնտեսական եւ սոցիալական հարցերի հանձնաժողովի (ԱԽՏՍՀ) հետ՝ կնքված փոխըմբռնման հուշագրերի շրջանակներում, Լատինական Ամերիկայի եւ Կարիբյան ավազանի (ԼԱԿՏՀ) համար ՄԱԿ-ի տնտեսական հանձնաժողովի հետ՝ համագործակցության վերաբերյալ շրջանակային փաստաթղթի ստորագրման հարցերով, եւ ՏՆՏՍՈՑԽՈՐՀ ֆունկցիոնալ հանձնաժողովի՝ Վիճակագրական հանձնաժողովի հետ), ՄԱԿ-ի մասնագիտացված հաստատությունների հետ (ՄԱԱԶՀ մրցակցության բնագավառում օրենսդրության եւ քաղաքականության հարցերով փորձագետների միջկառավարական խմբի, </w:t>
      </w:r>
      <w:r w:rsidRPr="00A86918">
        <w:rPr>
          <w:rFonts w:ascii="Sylfaen" w:hAnsi="Sylfaen"/>
          <w:sz w:val="24"/>
          <w:szCs w:val="24"/>
        </w:rPr>
        <w:lastRenderedPageBreak/>
        <w:t>ՄԱԱԶՀ սպառողների իրավունքների պաշտպանության ոլորտում օրենսդրության եւ քաղաքականության հարցերով փորձագետների միջկառավարական խմբի, Միավորված ազգերի կազմակերպության առեւտրի ընթացակարգերի եւ էլեկտրոնային բիզնես գործառնությունների պարզեցման կենտրոնի (ՄԱԿ ԱԷՊԿ), Միավորված ազգերի կազմակերպության արդյունաբերական զարգացման կազմակերպության (ՄԱԱԶԿ), Արժույթի միջազգային հիմնադրամի, Համաշխարհային բանկի խմբի (բացի Ներդրումային վեճերի կարգավորման միջազգային կենտրոնից (ՆՎԿՄԿ) եւ Ներդրումների երաշխավորման միջազգային գործակալությունից (ՆԵՄԳ)), Միավորված ազգերի կազմակերպության պարենի եւ գյուղատնտեսության կազմակերպության (ՖԱՕ), Առողջապահության Համաշխարհային Կազմակերպության (ԱՀԿ), Մտավոր սեփականության համաշխարհային կազմակերպության (ՄՍՀԿ), Աշխատանքի միջազգային կազմակերպության (ԱՄԿ), Համաշխարհային փոստային միության հետ), ՄԱԿ-ի ղեկավարների համակարգման խորհրդի անդամների (ՄԱԿ-ի զարգացման ծրագրի (ՄԱԿԶԾ) հետ), Միջազգային առեւտրային իրավունքի հանձնաժողովի (ՅՈՒՆՍԻՏՐԱԼ) հետ (ներառյալ՝ մասնակցությունն էլեկտրոնային առեւտրի եւ միկրո, փոքր եւ միջին ձեռնարկությունների գծով աշխատանքային խմբերի նիստերին)՝ որպես ՄԱԿ-ի համակարգի հիմնական իրավաբանական մարմին, ինչպես նաեւ Առեւտրի եւ զարգացման հարցերով ՄԱԿ-ի համաժողովի (ՄԱԱԶՀ) հետ՝ որպես ՄԱԿ-ի գլխավոր վեհաժողովի մարմին։</w:t>
      </w:r>
    </w:p>
    <w:p w14:paraId="53593E11"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Անդամ պետությունների ու Հանձնաժողովի ջանքերը կենտրոնացված կլինեն Միությանը ՄԱԿ-ի գլխավոր վեհաժողովին առընթեր դիտորդի կարգավիճակ շնորհելու հարցի մշակման, ՄԱԿ-ի համակարգի կազմակերպությունների հետ համագործակցության հաստատված ծրագրերի իրականացման եւ նոր ծրագրերի մշակման, ՄԱԿ-ի համակարգի կազմակերպությունների հարթակներում կազմակերպվող բարձր մակարդակի միջոցառումներին մասնակցության, այդ թվում՝ կայուն զարգացման հիմնահարցերի վրա.</w:t>
      </w:r>
    </w:p>
    <w:p w14:paraId="21AEE38D" w14:textId="77777777" w:rsidR="00FE7730" w:rsidRPr="00A86918" w:rsidRDefault="00FE7730" w:rsidP="00FE7730">
      <w:pPr>
        <w:pStyle w:val="Bodytext50"/>
        <w:shd w:val="clear" w:color="auto" w:fill="auto"/>
        <w:spacing w:after="160" w:line="360" w:lineRule="auto"/>
        <w:ind w:right="1" w:firstLine="567"/>
        <w:rPr>
          <w:rFonts w:ascii="Sylfaen" w:hAnsi="Sylfaen" w:cs="Sylfaen"/>
          <w:sz w:val="24"/>
          <w:szCs w:val="24"/>
        </w:rPr>
      </w:pPr>
      <w:r w:rsidRPr="00A86918">
        <w:rPr>
          <w:rFonts w:ascii="Sylfaen" w:hAnsi="Sylfaen"/>
          <w:sz w:val="24"/>
          <w:szCs w:val="24"/>
        </w:rPr>
        <w:lastRenderedPageBreak/>
        <w:t>Միության իրավասությունների շրջանակներում՝ մասնագիտացված միջազգային կազմակերպությունների (այդ թվում՝ տարածաշրջանային), միությունների եւ այլնի, դրանց ճյուղային մարմինների ու հիմնարկների հետ՝</w:t>
      </w:r>
    </w:p>
    <w:p w14:paraId="4D5C55BD"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Համաշխարհային մաքսային կազմակերպության, Կենդանիների առողջապահության համաշխարհային կազմակերպության, Միգրացիայի միջազգային կազմակերպության, Ավտոմոբիլային տրանսպորտի միջազգային միության, Երկաթուղիների համագործակցության կազմակերպության, Երկաթուղիների միջազգային միության, Քաղաքացիական ավիացիայի միջազգային կազմակերպության, Միջազգային տրանսպորտային ֆորումի, Օդային տրանսպորտի միջազգային ասոցիացիայի, Ստանդարտացման հարցերով միջազգային կազմակերպության, Էլեկտրակապի միջազգային միության, Միջազգային էլեկտրատեխնիկական հանձնաժողովի, Արժեթղթերի հարցերով հանձնաժողովների միջազգային կազմակերպության, Ապահովագրական վերահսկողության միջազգային ասոցիացիայի մարմինների, Ֆինանսական հաշվետվությունների միջազգային ստանդարտների կոմիտեի, Աուդիտի եւ տեղեկատվության արժանահավատության հաստատման միջազգային ստանդարտների կոմիտեի, Անհետացման եզրին գտնվող վայրի կենդանական եւ բուսական աշխարհի տեսակների միջազգային առեւտրի մասին կոնվենցիայի, Հավատագրման միջազգային ֆորումի, Կիրառական համակարգային վերլուծության միջազգային ինստիտուտի, Լաբորատորիաների հավատարմագրման միջազգային կազմակերպության, Օրենսդրական չափագիտության միջազգային կազմակերպության, Բժշկական արտադրատեսակների հարցերով զբաղվող՝ կարգավորող մարմինների միջազգային ֆորումի, Ցուլերի տոհմային արժեքի գնահատման միջազգային կազմակերպության, Կենդանիների գենետիկայի հարցերով զբաղվող միջազգային ընկերության, Մարդկանց համար դեղամիջոցների գրանցման տեխնիկական պահանջների ներդաշնակեցման միջազգային համաժողովի, Գյուղատնտեսական կենդանիների հատկանիշների հաշվառման եւ գրանցման միջազգային կոմիտեի, Ցորենի հարցերով միջազգային խորհրդի, Բույսերի նոր սորտերի պաշտպանության </w:t>
      </w:r>
      <w:r w:rsidRPr="00A86918">
        <w:rPr>
          <w:rFonts w:ascii="Sylfaen" w:hAnsi="Sylfaen"/>
          <w:sz w:val="24"/>
          <w:szCs w:val="24"/>
        </w:rPr>
        <w:lastRenderedPageBreak/>
        <w:t xml:space="preserve">միջազգային միության, Էներգետիկայի հարցերով համաշխարհային խորհրդի, Գազ արտահանող երկրների ֆորումի, Նավթ արտահանող երկրների կազմակերպության, Գազի համաշխարհային միության եւ Եվրոպայի ու Ասիայի էներգետիկ բորսաների, Էներգետիկայի ոլորտը կարգավորողների փոխգործակցության գործակալության, Մրցակցության միջազգային ցանցի, Կոդեքս Ալիմենտարիուս հանձնաժողովի, Բույսերի կարանտինի եւ պաշտպանության միջազգային կոնվենցիայի քարտուղարության, Հարկերի եւ ներդրումների հարցերով միջազգային կենտրոնի, Եվրասիական զարգացման բանկի, Միջպետական բանկի, Եվրասիական համագործակցության ֆինանսաբանկային ասոցիացիայի, Եվրասիական արտոնագրային կազմակերպության, Եվրոպական միության՝ մտավոր սեփականության գերատեսչության, Բանկային վերահսկողության գծով Բազելի կոմիտեի, Կենտրոնական եւ Արեւելյան Եվրոպայի երկրների բանկային ասոցիացիայի, Եվրոպական կենտրոնական բանկի, Ստանդարտացման եվրոպական կոմիտեի, Էլեկտրատեխնիկայի ստանդարտացման եվրոպական կոմիտեի, Հավատարմագրման հարցերով եվրոպական համագործակցության, Եվրոպական դեղագրքի հանձնաժողովի, Դեղամիջոցների եվրոպական գործակալության, Ցուլերի տոհմային արժեքի գնահատման կազմակերպությունների եվրոպական ասոցիացիայի, Էներգետիկական համայնքի, Էլեկտրահաղորդիչ ցանցերի օպերատորների եվրոպական համայնքի, Գազատրանսպորտային ցանցերի օպերատորների եվրոպական համայնքի, Էներգետիկայի կարգավորիչների եվրոպական գործակալության, Գերմանիայի էներգետիկ գործակալության, Ավստրիայի էներգետիկ գործակալության, Իսպանիայի էներգետիկ ընկերության, Համակարգային օպերատորների համակարգողի (CORESO), ԱՊՀ էլեկտրաէներգետիկ խորհրդի, Կենտրոնական Ամերիկայի ընդհանուր շուկայի էլեկտրաէներգիայի ոլորտում միջտարածաշրջանային համագործակցության հարցերով hանձնաժողովի, Շրջակա միջավայրի եւ էներգետիկայի կարգավորման հարցերով գործակալության, Հարկային վարչակազմերի եվրոպական կազմակերպության, Հարկային խորհրդատուների եվրոպական կոնֆեդերացիայի, </w:t>
      </w:r>
      <w:r w:rsidRPr="00A86918">
        <w:rPr>
          <w:rFonts w:ascii="Sylfaen" w:hAnsi="Sylfaen"/>
          <w:sz w:val="24"/>
          <w:szCs w:val="24"/>
        </w:rPr>
        <w:lastRenderedPageBreak/>
        <w:t>Եվրոստատի, Եվրոպական միության՝ բույսերի առողջության հարցերով մշտական կոմիտեի, Բույսերի կարանտինի եւ պաշտպանության եվրոպական ու միջերկրածովային կազմակերպության, Պետական չափագիտական հիմնարկների եվրասիական համագործակցության, Որակի ասիական կազմակերպության, Իսլամական երկրների ստանդարտների եւ չափագիտության ինստիտուտի, Բույսերի կարանտինի եւ պաշտպանության հարցերով ասիական ու խաղաղօվկիանոսյան հանձնաժողովի, Լաբորատորիաների հավատարմագրման ասիական ու խաղաղօվկիանոսյան կազմակերպության, Նյութերի փորձարկման ամերիկյան ընկերության, Նյութերի փորձարկման ամերիկյան ընկերության, Մեքենագետ ինժեներների ամերիկյան ընկերության, Նավթի ամերիկյան ինստիտուտի, Կապի տարածաշրջանային համագործակցության, ԱՊՀ մասնակից պետությունների միգրացիայի մարմինների ղեկավարների խորհրդի, Արհմիությունների համընդհանուր կոնֆեդերացիայի հասարակական կազմակերպության՝ արհմիությունների միջազգային միավորման, Սոցիալական ապահովության միջազգային ասոցիացիայի, Կենսաթոշակային եւ սոցիալական ֆոնդերի միջազգային ասոցիացիայի, Հակամենաշնորհային քաղաքականության հարցերով միջպետական խորհրդի, Ստանդարտացման, չափագիտության եւ սերտիֆիկացման միջպետական խորհրդի, ԱՊՀ մասնակից պետությունների սպառողների իրավունքների պաշտպանության հարցերով խորհրդատվական խորհրդի, ԱՊՀ միջպետական վիճակագրական կոմիտեի, ԱՊՀ մասնակից պետությունների միջխորհրդարանական վեհաժողովի, Կապի տարածաշրջանային համագործակցությանն առընթեր՝ ԱՊՀ մասնակից պետությունների տեղեկատվայնացման հարցերով համակարգող խորհրդի, ԱՊՀ մասնակից պետությունների բույսերի կարանտինի հարցերով համակարգող խորհրդի, Միջպետական ավիացիոն կոմիտեի, Հանցավոր եկամուտների օրինականացման եւ ահաբեկչության ֆինանսավորման դեմ պայքարի եվրասիական խմբի, Էներգետիկայի կարգավորման մարմինների տարածաշրջանային ասոցիացիայի հետ եւ այլն.</w:t>
      </w:r>
    </w:p>
    <w:p w14:paraId="6A52125E"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Առեւտրի համաշխարհային կազմակերպության (ԱՀԿ) հետ, ներառյալ՝ </w:t>
      </w:r>
      <w:r w:rsidRPr="00A86918">
        <w:rPr>
          <w:rFonts w:ascii="Sylfaen" w:hAnsi="Sylfaen"/>
          <w:sz w:val="24"/>
          <w:szCs w:val="24"/>
        </w:rPr>
        <w:lastRenderedPageBreak/>
        <w:t>աշխատանքն ինչպես ԱՀԿ-ի մշտական կոմիտեներում, այնպես էլ ԱՀԿ-ի մշտական կոմիտեների բազմակողմ առեւտրային մասնագիտացված աշխատանքային խմբերի եւ հատուկ նստաշրջանների շրջանակներում ստեղծվող կոմիտեներում, ինչպես նաեւ աշխատանքը Միության իրավասության շրջանակներում գտնվող միջոցների, առաջին հերթին՝ Միության ներքին շուկայի պաշտպանության միջոցների վերաբերյալ ԱՀԿ-ի վեճերի կարգավորման ընթացակարգի շրջանակներում.</w:t>
      </w:r>
    </w:p>
    <w:p w14:paraId="699790C3"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Տնտեսական համագործակցության եւ զարգացման կազմակերպության (ՏՀԶԿ) հետ, այդ թվում՝ ՏՀԶԿ-ի դեպարտամենտների ու աշխատանքային մարմինների աշխատանքի շրջանակներում.</w:t>
      </w:r>
    </w:p>
    <w:p w14:paraId="76998944"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Քիմբերլյան գործընթացի շրջանակներում ղեկավար եւ աշխատանքային մարմինների հետ:</w:t>
      </w:r>
    </w:p>
    <w:p w14:paraId="7B33DC47"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Կշարունակվի փոխգործակցությունը</w:t>
      </w:r>
      <w:r w:rsidRPr="00A86918">
        <w:rPr>
          <w:rFonts w:ascii="Sylfaen" w:hAnsi="Sylfaen"/>
          <w:i/>
          <w:sz w:val="24"/>
          <w:szCs w:val="24"/>
        </w:rPr>
        <w:t xml:space="preserve"> միջազգային գործարար </w:t>
      </w:r>
      <w:r>
        <w:rPr>
          <w:rFonts w:ascii="Sylfaen" w:hAnsi="Sylfaen"/>
          <w:i/>
          <w:sz w:val="24"/>
          <w:szCs w:val="24"/>
        </w:rPr>
        <w:t>եւ</w:t>
      </w:r>
      <w:r w:rsidRPr="00A86918">
        <w:rPr>
          <w:rFonts w:ascii="Sylfaen" w:hAnsi="Sylfaen"/>
          <w:i/>
          <w:sz w:val="24"/>
          <w:szCs w:val="24"/>
        </w:rPr>
        <w:t xml:space="preserve"> փորձագիտական համայնքի հետ</w:t>
      </w:r>
      <w:r w:rsidRPr="00A86918">
        <w:rPr>
          <w:rFonts w:ascii="Sylfaen" w:hAnsi="Sylfaen"/>
          <w:sz w:val="24"/>
          <w:szCs w:val="24"/>
        </w:rPr>
        <w:t>, այդ թվում՝ առ</w:t>
      </w:r>
      <w:r>
        <w:rPr>
          <w:rFonts w:ascii="Sylfaen" w:hAnsi="Sylfaen"/>
          <w:sz w:val="24"/>
          <w:szCs w:val="24"/>
        </w:rPr>
        <w:t>եւ</w:t>
      </w:r>
      <w:r w:rsidRPr="00A86918">
        <w:rPr>
          <w:rFonts w:ascii="Sylfaen" w:hAnsi="Sylfaen"/>
          <w:sz w:val="24"/>
          <w:szCs w:val="24"/>
        </w:rPr>
        <w:t xml:space="preserve">տրաարդյունաբերական պալատների, գործարար համագործակցության խորհուրդների, զարգացման տարածաշրջանային բանկերի </w:t>
      </w:r>
      <w:r>
        <w:rPr>
          <w:rFonts w:ascii="Sylfaen" w:hAnsi="Sylfaen"/>
          <w:sz w:val="24"/>
          <w:szCs w:val="24"/>
        </w:rPr>
        <w:t>եւ</w:t>
      </w:r>
      <w:r w:rsidRPr="00A86918">
        <w:rPr>
          <w:rFonts w:ascii="Sylfaen" w:hAnsi="Sylfaen"/>
          <w:sz w:val="24"/>
          <w:szCs w:val="24"/>
        </w:rPr>
        <w:t xml:space="preserve"> առանցքային միջազգային դիսկուսիոն հարթակների հետ, ներառյալ՝ Համաշխարհային տնտեսական ֆորումը, «Զարգացող երկրներում տնտեսական ինտեգրումը.</w:t>
      </w:r>
      <w:r>
        <w:rPr>
          <w:rFonts w:ascii="Sylfaen" w:hAnsi="Sylfaen"/>
          <w:sz w:val="24"/>
          <w:szCs w:val="24"/>
        </w:rPr>
        <w:t xml:space="preserve"> </w:t>
      </w:r>
      <w:r w:rsidRPr="00A86918">
        <w:rPr>
          <w:rFonts w:ascii="Sylfaen" w:hAnsi="Sylfaen"/>
          <w:sz w:val="24"/>
          <w:szCs w:val="24"/>
        </w:rPr>
        <w:t>մարտահրավերներն ու հնարավորությունները» համաժողովը, Ցորենի հարցերով միջազգային խորհրդի համաժողովը, Գյուղատնտեսական եւ սննդի արդյունաբերության միջազգային ցուցահանդեսը,</w:t>
      </w:r>
      <w:r>
        <w:rPr>
          <w:rFonts w:ascii="Sylfaen" w:hAnsi="Sylfaen"/>
          <w:sz w:val="24"/>
          <w:szCs w:val="24"/>
        </w:rPr>
        <w:t xml:space="preserve"> </w:t>
      </w:r>
      <w:r w:rsidRPr="00A86918">
        <w:rPr>
          <w:rFonts w:ascii="Sylfaen" w:hAnsi="Sylfaen"/>
          <w:sz w:val="24"/>
          <w:szCs w:val="24"/>
        </w:rPr>
        <w:t>Համաշխարհային արտադրողների ֆորումը,</w:t>
      </w:r>
      <w:r>
        <w:rPr>
          <w:rFonts w:ascii="Sylfaen" w:hAnsi="Sylfaen"/>
          <w:sz w:val="24"/>
          <w:szCs w:val="24"/>
        </w:rPr>
        <w:t xml:space="preserve"> </w:t>
      </w:r>
      <w:r w:rsidRPr="00A86918">
        <w:rPr>
          <w:rFonts w:ascii="Sylfaen" w:hAnsi="Sylfaen"/>
          <w:sz w:val="24"/>
          <w:szCs w:val="24"/>
        </w:rPr>
        <w:t>«Մրցակցության վերաբերյալ համաշխարհային ակնարկ» հրատարակությունը, Հարկերի եւ ներդրումների հարցերով միջազգային կենտրոնը։</w:t>
      </w:r>
    </w:p>
    <w:p w14:paraId="0F968343"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«Եվրասիական տնտեսական միության մասին» 2014 թվականի մայիսի 29-ի պայմանագրով սահմանված իրավասությունների շրջանակներում Հանձնաժողովը կշարունակի այլ ճյուղային ցուցահանդեսներին, ֆորումներին, համաժողովներին իր մասնակցության հետ կապված գործունեությունը, այդ թվում՝ տրանսպորտի, ավիացիայի, մետաղամշակման, հաստոցաշինության, գյուղատնտեսության եւ </w:t>
      </w:r>
      <w:r w:rsidRPr="00A86918">
        <w:rPr>
          <w:rFonts w:ascii="Sylfaen" w:hAnsi="Sylfaen"/>
          <w:sz w:val="24"/>
          <w:szCs w:val="24"/>
        </w:rPr>
        <w:lastRenderedPageBreak/>
        <w:t>գյուղատնտեսական մեքենաշինության, տեխնիկական կանոնակարգման, մետալուրգիայի, տեղեկատվական անվտանգության, պետական գնումների, մրցակցության եւ հակամենաշնորհային կարգավորման ոլորտներում՝ տնտեսության առանձին հատվածների զարգացման համաշխարհային առաջատար փորձն ուսումնասիրելու նպատակով։</w:t>
      </w:r>
    </w:p>
    <w:p w14:paraId="1C36515F"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Գլոբալ համատեքստում եվրասիական տնտեսական ինտեգրման զարգացման արդիական հարցերը, ինչպես նաեւ Միության միջազգային գործունեության հարցերը 2018 թվականին կգտնվեն Պետերբուրգի միջազգային տնտեսական ֆորումի, Աստանայի տնտեսական ֆորումի, Ար</w:t>
      </w:r>
      <w:r>
        <w:rPr>
          <w:rFonts w:ascii="Sylfaen" w:hAnsi="Sylfaen"/>
          <w:sz w:val="24"/>
          <w:szCs w:val="24"/>
        </w:rPr>
        <w:t>եւ</w:t>
      </w:r>
      <w:r w:rsidRPr="00A86918">
        <w:rPr>
          <w:rFonts w:ascii="Sylfaen" w:hAnsi="Sylfaen"/>
          <w:sz w:val="24"/>
          <w:szCs w:val="24"/>
        </w:rPr>
        <w:t>ելյան տնտեսական ֆորումի, «Եվրասիական շաբաթ» ցուցահանդեսային ֆորումի, «Անտիկոնտրաֆակտ» միջազգային ֆորումի, ինչպես նաեւ անդամ պետությունների տարածքներում անցկացվող միջազգային մակարդակի նմանատիպ այլ միջոցառումների ուշադրության կիզակետում:</w:t>
      </w:r>
    </w:p>
    <w:p w14:paraId="6ADC6D8B"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Միության միջազգային կապերի հաջող զարգացմանը հիմնականում կնպաստի անդամ պետությունների տնտեսությունների բազմազանեցմանը, առ</w:t>
      </w:r>
      <w:r>
        <w:rPr>
          <w:rFonts w:ascii="Sylfaen" w:hAnsi="Sylfaen"/>
          <w:sz w:val="24"/>
          <w:szCs w:val="24"/>
        </w:rPr>
        <w:t>եւ</w:t>
      </w:r>
      <w:r w:rsidRPr="00A86918">
        <w:rPr>
          <w:rFonts w:ascii="Sylfaen" w:hAnsi="Sylfaen"/>
          <w:sz w:val="24"/>
          <w:szCs w:val="24"/>
        </w:rPr>
        <w:t>տրի ու ներդրումների ծավալների ավելացմանը եւ կառուցվածքի բարելավմանն ուղղված միջոցների իրագործումը, ինչպես նա</w:t>
      </w:r>
      <w:r>
        <w:rPr>
          <w:rFonts w:ascii="Sylfaen" w:hAnsi="Sylfaen"/>
          <w:sz w:val="24"/>
          <w:szCs w:val="24"/>
        </w:rPr>
        <w:t>եւ</w:t>
      </w:r>
      <w:r w:rsidRPr="00A86918">
        <w:rPr>
          <w:rFonts w:ascii="Sylfaen" w:hAnsi="Sylfaen"/>
          <w:sz w:val="24"/>
          <w:szCs w:val="24"/>
        </w:rPr>
        <w:t xml:space="preserve"> Միության ներքին շուկայում</w:t>
      </w:r>
      <w:r>
        <w:rPr>
          <w:rFonts w:ascii="Sylfaen" w:hAnsi="Sylfaen"/>
          <w:sz w:val="24"/>
          <w:szCs w:val="24"/>
        </w:rPr>
        <w:t xml:space="preserve"> </w:t>
      </w:r>
      <w:r w:rsidRPr="00A86918">
        <w:rPr>
          <w:rFonts w:ascii="Sylfaen" w:hAnsi="Sylfaen"/>
          <w:sz w:val="24"/>
          <w:szCs w:val="24"/>
        </w:rPr>
        <w:t>խոչընդոտների, առգրավումների եւ սահմանափակումների վերացումը։</w:t>
      </w:r>
    </w:p>
    <w:p w14:paraId="25636B01" w14:textId="77777777" w:rsidR="00FE7730" w:rsidRPr="00A86918" w:rsidRDefault="00FE7730" w:rsidP="00FE7730">
      <w:pPr>
        <w:pStyle w:val="Bodytext20"/>
        <w:shd w:val="clear" w:color="auto" w:fill="auto"/>
        <w:spacing w:before="0" w:after="160" w:line="360" w:lineRule="auto"/>
        <w:ind w:right="1" w:firstLine="567"/>
        <w:rPr>
          <w:rFonts w:ascii="Sylfaen" w:hAnsi="Sylfaen" w:cs="Sylfaen"/>
          <w:sz w:val="24"/>
          <w:szCs w:val="24"/>
        </w:rPr>
      </w:pPr>
      <w:r w:rsidRPr="00A86918">
        <w:rPr>
          <w:rFonts w:ascii="Sylfaen" w:hAnsi="Sylfaen"/>
          <w:sz w:val="24"/>
          <w:szCs w:val="24"/>
        </w:rPr>
        <w:t xml:space="preserve">Սույն հիմնական ուղղությունների իրագործումը կապահովի Միության միջազգային գործունեության իրականացումը համակարգային հիմքով </w:t>
      </w:r>
      <w:r>
        <w:rPr>
          <w:rFonts w:ascii="Sylfaen" w:hAnsi="Sylfaen"/>
          <w:sz w:val="24"/>
          <w:szCs w:val="24"/>
        </w:rPr>
        <w:t>եւ</w:t>
      </w:r>
      <w:r w:rsidRPr="00A86918">
        <w:rPr>
          <w:rFonts w:ascii="Sylfaen" w:hAnsi="Sylfaen"/>
          <w:sz w:val="24"/>
          <w:szCs w:val="24"/>
        </w:rPr>
        <w:t xml:space="preserve"> կնպաստի Եվրասիայի տարածքում լայն ինտեգրացիոն ուրվագծով տնտեսական գործընկերության ձ</w:t>
      </w:r>
      <w:r>
        <w:rPr>
          <w:rFonts w:ascii="Sylfaen" w:hAnsi="Sylfaen"/>
          <w:sz w:val="24"/>
          <w:szCs w:val="24"/>
        </w:rPr>
        <w:t>եւ</w:t>
      </w:r>
      <w:r w:rsidRPr="00A86918">
        <w:rPr>
          <w:rFonts w:ascii="Sylfaen" w:hAnsi="Sylfaen"/>
          <w:sz w:val="24"/>
          <w:szCs w:val="24"/>
        </w:rPr>
        <w:t>ավորման համար նախադրյալների ստեղծմանը։</w:t>
      </w:r>
    </w:p>
    <w:p w14:paraId="720CC26D" w14:textId="77777777" w:rsidR="00FE7730" w:rsidRDefault="00FE7730" w:rsidP="00FE7730">
      <w:pPr>
        <w:pStyle w:val="Bodytext20"/>
        <w:shd w:val="clear" w:color="auto" w:fill="auto"/>
        <w:spacing w:before="0" w:after="160" w:line="360" w:lineRule="auto"/>
        <w:ind w:right="1"/>
        <w:jc w:val="center"/>
        <w:rPr>
          <w:rFonts w:ascii="Sylfaen" w:hAnsi="Sylfaen" w:cs="Sylfaen"/>
          <w:sz w:val="24"/>
          <w:szCs w:val="24"/>
        </w:rPr>
      </w:pPr>
    </w:p>
    <w:p w14:paraId="6E8BD139" w14:textId="77777777" w:rsidR="00FE7730" w:rsidRPr="00A86918" w:rsidRDefault="00FE7730" w:rsidP="00FE7730">
      <w:pPr>
        <w:pStyle w:val="Bodytext20"/>
        <w:shd w:val="clear" w:color="auto" w:fill="auto"/>
        <w:spacing w:before="0" w:after="160" w:line="360" w:lineRule="auto"/>
        <w:ind w:right="1"/>
        <w:jc w:val="center"/>
        <w:rPr>
          <w:rFonts w:ascii="Sylfaen" w:hAnsi="Sylfaen" w:cs="Sylfaen"/>
          <w:sz w:val="24"/>
          <w:szCs w:val="24"/>
        </w:rPr>
      </w:pPr>
      <w:r>
        <w:rPr>
          <w:rFonts w:ascii="Sylfaen" w:hAnsi="Sylfaen" w:cs="Sylfaen"/>
          <w:sz w:val="24"/>
          <w:szCs w:val="24"/>
        </w:rPr>
        <w:t>——————————</w:t>
      </w:r>
    </w:p>
    <w:p w14:paraId="6B9A50EA" w14:textId="77777777" w:rsidR="00A45F8E" w:rsidRPr="00FE7730" w:rsidRDefault="00A45F8E" w:rsidP="00FE7730">
      <w:bookmarkStart w:id="0" w:name="_GoBack"/>
      <w:bookmarkEnd w:id="0"/>
    </w:p>
    <w:sectPr w:rsidR="00A45F8E" w:rsidRPr="00FE7730" w:rsidSect="00DB6B3D">
      <w:pgSz w:w="11909" w:h="16840" w:code="9"/>
      <w:pgMar w:top="1418" w:right="1418" w:bottom="1418" w:left="1418" w:header="0" w:footer="793"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8"/>
    <w:rsid w:val="000C3220"/>
    <w:rsid w:val="001133E8"/>
    <w:rsid w:val="002240E7"/>
    <w:rsid w:val="002B2A7D"/>
    <w:rsid w:val="005C1635"/>
    <w:rsid w:val="007E1119"/>
    <w:rsid w:val="008B2A70"/>
    <w:rsid w:val="00A03A44"/>
    <w:rsid w:val="00A45F8E"/>
    <w:rsid w:val="00A624BB"/>
    <w:rsid w:val="00AD2BFD"/>
    <w:rsid w:val="00D03225"/>
    <w:rsid w:val="00D14362"/>
    <w:rsid w:val="00D52833"/>
    <w:rsid w:val="00DC1F33"/>
    <w:rsid w:val="00E74B5C"/>
    <w:rsid w:val="00F31E5E"/>
    <w:rsid w:val="00FE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6ABFB"/>
  <w15:chartTrackingRefBased/>
  <w15:docId w15:val="{D4689A81-B2C9-497E-A3D3-B5F79678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24BB"/>
    <w:pPr>
      <w:widowControl w:val="0"/>
      <w:spacing w:after="0" w:line="240" w:lineRule="auto"/>
    </w:pPr>
    <w:rPr>
      <w:rFonts w:ascii="Tahoma" w:eastAsia="Tahoma" w:hAnsi="Tahoma" w:cs="Tahoma"/>
      <w:color w:val="000000"/>
      <w:sz w:val="24"/>
      <w:szCs w:val="24"/>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624BB"/>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A624BB"/>
    <w:rPr>
      <w:rFonts w:ascii="Times New Roman" w:eastAsia="Times New Roman" w:hAnsi="Times New Roman" w:cs="Times New Roman"/>
      <w:b/>
      <w:bCs/>
      <w:sz w:val="26"/>
      <w:szCs w:val="26"/>
      <w:shd w:val="clear" w:color="auto" w:fill="FFFFFF"/>
    </w:rPr>
  </w:style>
  <w:style w:type="character" w:customStyle="1" w:styleId="Bodytext314pt">
    <w:name w:val="Body text (3) + 14 pt"/>
    <w:basedOn w:val="Bodytext3"/>
    <w:rsid w:val="00A624B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Bodytext213pt">
    <w:name w:val="Body text (2) + 13 pt"/>
    <w:aliases w:val="Bold,Body text (2) + 15 pt,Body text (2) + Bold,Body text (2) + 19 pt,Body text (2) + Tahoma,9 pt,Spacing 0 pt,Italic,Body text (2) + 12 pt,Spacing -1 pt"/>
    <w:basedOn w:val="Bodytext2"/>
    <w:rsid w:val="00A624B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Bodytext20">
    <w:name w:val="Body text (2)"/>
    <w:basedOn w:val="Normal"/>
    <w:link w:val="Bodytext2"/>
    <w:rsid w:val="00A624BB"/>
    <w:pPr>
      <w:shd w:val="clear" w:color="auto" w:fill="FFFFFF"/>
      <w:spacing w:before="300" w:after="780" w:line="0" w:lineRule="atLeast"/>
      <w:jc w:val="both"/>
    </w:pPr>
    <w:rPr>
      <w:rFonts w:ascii="Times New Roman" w:eastAsia="Times New Roman" w:hAnsi="Times New Roman" w:cs="Times New Roman"/>
      <w:color w:val="auto"/>
      <w:sz w:val="30"/>
      <w:szCs w:val="30"/>
      <w:lang w:val="en-US" w:eastAsia="en-US" w:bidi="ar-SA"/>
    </w:rPr>
  </w:style>
  <w:style w:type="paragraph" w:customStyle="1" w:styleId="Bodytext30">
    <w:name w:val="Body text (3)"/>
    <w:basedOn w:val="Normal"/>
    <w:link w:val="Bodytext3"/>
    <w:rsid w:val="00A624BB"/>
    <w:pPr>
      <w:shd w:val="clear" w:color="auto" w:fill="FFFFFF"/>
      <w:spacing w:before="780" w:after="300" w:line="346"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2TimesNewRoman">
    <w:name w:val="Body text (2) + Times New Roman"/>
    <w:aliases w:val="15 pt,Body text (3) + Times New Roman,13 pt,Not Bold"/>
    <w:basedOn w:val="Bodytext2"/>
    <w:rsid w:val="005C1635"/>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5">
    <w:name w:val="Body text (5)_"/>
    <w:basedOn w:val="DefaultParagraphFont"/>
    <w:link w:val="Bodytext50"/>
    <w:rsid w:val="005C1635"/>
    <w:rPr>
      <w:rFonts w:ascii="Times New Roman" w:eastAsia="Times New Roman" w:hAnsi="Times New Roman" w:cs="Times New Roman"/>
      <w:b/>
      <w:bCs/>
      <w:sz w:val="28"/>
      <w:szCs w:val="28"/>
      <w:shd w:val="clear" w:color="auto" w:fill="FFFFFF"/>
    </w:rPr>
  </w:style>
  <w:style w:type="paragraph" w:customStyle="1" w:styleId="Bodytext50">
    <w:name w:val="Body text (5)"/>
    <w:basedOn w:val="Normal"/>
    <w:link w:val="Bodytext5"/>
    <w:rsid w:val="005C1635"/>
    <w:pPr>
      <w:shd w:val="clear" w:color="auto" w:fill="FFFFFF"/>
      <w:spacing w:before="1020" w:line="0" w:lineRule="atLeast"/>
      <w:jc w:val="center"/>
    </w:pPr>
    <w:rPr>
      <w:rFonts w:ascii="Times New Roman" w:eastAsia="Times New Roman" w:hAnsi="Times New Roman" w:cs="Times New Roman"/>
      <w:b/>
      <w:bCs/>
      <w:color w:val="auto"/>
      <w:sz w:val="28"/>
      <w:szCs w:val="28"/>
      <w:lang w:val="en-US" w:eastAsia="en-US" w:bidi="ar-SA"/>
    </w:rPr>
  </w:style>
  <w:style w:type="character" w:customStyle="1" w:styleId="Bodytext6">
    <w:name w:val="Body text (6)_"/>
    <w:basedOn w:val="DefaultParagraphFont"/>
    <w:link w:val="Bodytext60"/>
    <w:rsid w:val="005C1635"/>
    <w:rPr>
      <w:rFonts w:ascii="Sylfaen" w:eastAsia="Sylfaen" w:hAnsi="Sylfaen" w:cs="Sylfaen"/>
      <w:sz w:val="28"/>
      <w:szCs w:val="28"/>
      <w:shd w:val="clear" w:color="auto" w:fill="FFFFFF"/>
    </w:rPr>
  </w:style>
  <w:style w:type="paragraph" w:customStyle="1" w:styleId="Bodytext60">
    <w:name w:val="Body text (6)"/>
    <w:basedOn w:val="Normal"/>
    <w:link w:val="Bodytext6"/>
    <w:rsid w:val="005C1635"/>
    <w:pPr>
      <w:shd w:val="clear" w:color="auto" w:fill="FFFFFF"/>
      <w:spacing w:before="660" w:line="518" w:lineRule="exact"/>
      <w:ind w:firstLine="720"/>
      <w:jc w:val="both"/>
    </w:pPr>
    <w:rPr>
      <w:rFonts w:ascii="Sylfaen" w:eastAsia="Sylfaen" w:hAnsi="Sylfaen" w:cs="Sylfaen"/>
      <w:color w:val="auto"/>
      <w:sz w:val="28"/>
      <w:szCs w:val="28"/>
      <w:lang w:val="en-US" w:eastAsia="en-US" w:bidi="ar-SA"/>
    </w:rPr>
  </w:style>
  <w:style w:type="character" w:customStyle="1" w:styleId="Heading1">
    <w:name w:val="Heading #1_"/>
    <w:basedOn w:val="DefaultParagraphFont"/>
    <w:link w:val="Heading10"/>
    <w:rsid w:val="00A45F8E"/>
    <w:rPr>
      <w:rFonts w:ascii="Times New Roman" w:eastAsia="Times New Roman" w:hAnsi="Times New Roman" w:cs="Times New Roman"/>
      <w:b/>
      <w:bCs/>
      <w:sz w:val="30"/>
      <w:szCs w:val="30"/>
      <w:shd w:val="clear" w:color="auto" w:fill="FFFFFF"/>
    </w:rPr>
  </w:style>
  <w:style w:type="paragraph" w:customStyle="1" w:styleId="Heading10">
    <w:name w:val="Heading #1"/>
    <w:basedOn w:val="Normal"/>
    <w:link w:val="Heading1"/>
    <w:rsid w:val="00A45F8E"/>
    <w:pPr>
      <w:shd w:val="clear" w:color="auto" w:fill="FFFFFF"/>
      <w:spacing w:after="840" w:line="0" w:lineRule="atLeast"/>
      <w:jc w:val="center"/>
      <w:outlineLvl w:val="0"/>
    </w:pPr>
    <w:rPr>
      <w:rFonts w:ascii="Times New Roman" w:eastAsia="Times New Roman" w:hAnsi="Times New Roman" w:cs="Times New Roman"/>
      <w:b/>
      <w:bCs/>
      <w:color w:val="auto"/>
      <w:sz w:val="30"/>
      <w:szCs w:val="30"/>
      <w:lang w:val="en-US" w:eastAsia="en-US" w:bidi="ar-SA"/>
    </w:rPr>
  </w:style>
  <w:style w:type="character" w:customStyle="1" w:styleId="Bodytext315pt">
    <w:name w:val="Body text (3) + 15 pt"/>
    <w:basedOn w:val="Bodytext3"/>
    <w:rsid w:val="00A45F8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Heading1Spacing2pt">
    <w:name w:val="Heading #1 + Spacing 2 pt"/>
    <w:basedOn w:val="Heading1"/>
    <w:rsid w:val="002240E7"/>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ru-RU" w:eastAsia="ru-RU" w:bidi="ru-RU"/>
    </w:rPr>
  </w:style>
  <w:style w:type="character" w:customStyle="1" w:styleId="Heading2">
    <w:name w:val="Heading #2_"/>
    <w:basedOn w:val="DefaultParagraphFont"/>
    <w:link w:val="Heading20"/>
    <w:rsid w:val="008B2A70"/>
    <w:rPr>
      <w:rFonts w:ascii="Times New Roman" w:eastAsia="Times New Roman" w:hAnsi="Times New Roman" w:cs="Times New Roman"/>
      <w:b/>
      <w:bCs/>
      <w:sz w:val="30"/>
      <w:szCs w:val="30"/>
      <w:shd w:val="clear" w:color="auto" w:fill="FFFFFF"/>
    </w:rPr>
  </w:style>
  <w:style w:type="character" w:customStyle="1" w:styleId="Bodytext2Spacing2pt">
    <w:name w:val="Body text (2) + Spacing 2 pt"/>
    <w:basedOn w:val="Bodytext2"/>
    <w:rsid w:val="008B2A70"/>
    <w:rPr>
      <w:rFonts w:ascii="Times New Roman" w:eastAsia="Times New Roman" w:hAnsi="Times New Roman" w:cs="Times New Roman"/>
      <w:b w:val="0"/>
      <w:bCs w:val="0"/>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Heading2Spacing2pt">
    <w:name w:val="Heading #2 + Spacing 2 pt"/>
    <w:basedOn w:val="Heading2"/>
    <w:rsid w:val="008B2A70"/>
    <w:rPr>
      <w:rFonts w:ascii="Times New Roman" w:eastAsia="Times New Roman" w:hAnsi="Times New Roman" w:cs="Times New Roman"/>
      <w:b/>
      <w:bCs/>
      <w:color w:val="000000"/>
      <w:spacing w:val="40"/>
      <w:w w:val="100"/>
      <w:position w:val="0"/>
      <w:sz w:val="30"/>
      <w:szCs w:val="30"/>
      <w:shd w:val="clear" w:color="auto" w:fill="FFFFFF"/>
      <w:lang w:val="hy-AM" w:eastAsia="hy-AM" w:bidi="hy-AM"/>
    </w:rPr>
  </w:style>
  <w:style w:type="paragraph" w:customStyle="1" w:styleId="Heading20">
    <w:name w:val="Heading #2"/>
    <w:basedOn w:val="Normal"/>
    <w:link w:val="Heading2"/>
    <w:rsid w:val="008B2A70"/>
    <w:pPr>
      <w:shd w:val="clear" w:color="auto" w:fill="FFFFFF"/>
      <w:spacing w:after="780" w:line="0" w:lineRule="atLeast"/>
      <w:jc w:val="center"/>
      <w:outlineLvl w:val="1"/>
    </w:pPr>
    <w:rPr>
      <w:rFonts w:ascii="Times New Roman" w:eastAsia="Times New Roman" w:hAnsi="Times New Roman" w:cs="Times New Roman"/>
      <w:b/>
      <w:bCs/>
      <w:color w:val="auto"/>
      <w:sz w:val="30"/>
      <w:szCs w:val="30"/>
      <w:lang w:val="en-US" w:eastAsia="en-US" w:bidi="ar-SA"/>
    </w:rPr>
  </w:style>
  <w:style w:type="character" w:customStyle="1" w:styleId="Bodytext216pt">
    <w:name w:val="Body text (2) + 16 pt"/>
    <w:basedOn w:val="Bodytext2"/>
    <w:rsid w:val="00D14362"/>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hy-AM" w:eastAsia="hy-AM" w:bidi="hy-AM"/>
    </w:rPr>
  </w:style>
  <w:style w:type="character" w:customStyle="1" w:styleId="Bodytext3Spacing4pt">
    <w:name w:val="Body text (3) + Spacing 4 pt"/>
    <w:basedOn w:val="Bodytext3"/>
    <w:rsid w:val="00D14362"/>
    <w:rPr>
      <w:rFonts w:ascii="Times New Roman" w:eastAsia="Times New Roman" w:hAnsi="Times New Roman" w:cs="Times New Roman"/>
      <w:b/>
      <w:bCs/>
      <w:i w:val="0"/>
      <w:iCs w:val="0"/>
      <w:smallCaps w:val="0"/>
      <w:strike w:val="0"/>
      <w:color w:val="000000"/>
      <w:spacing w:val="90"/>
      <w:w w:val="100"/>
      <w:position w:val="0"/>
      <w:sz w:val="30"/>
      <w:szCs w:val="30"/>
      <w:u w:val="none"/>
      <w:shd w:val="clear" w:color="auto" w:fill="FFFFFF"/>
      <w:lang w:val="hy-AM" w:eastAsia="hy-AM" w:bidi="hy-AM"/>
    </w:rPr>
  </w:style>
  <w:style w:type="character" w:customStyle="1" w:styleId="Bodytext3Spacing2pt">
    <w:name w:val="Body text (3) + Spacing 2 pt"/>
    <w:basedOn w:val="Bodytext3"/>
    <w:rsid w:val="000C3220"/>
    <w:rPr>
      <w:rFonts w:ascii="Times New Roman" w:eastAsia="Times New Roman" w:hAnsi="Times New Roman" w:cs="Times New Roman"/>
      <w:b/>
      <w:bCs/>
      <w:i w:val="0"/>
      <w:iCs w:val="0"/>
      <w:smallCaps w:val="0"/>
      <w:strike w:val="0"/>
      <w:color w:val="000000"/>
      <w:spacing w:val="40"/>
      <w:w w:val="100"/>
      <w:position w:val="0"/>
      <w:sz w:val="30"/>
      <w:szCs w:val="30"/>
      <w:u w:val="none"/>
      <w:shd w:val="clear" w:color="auto" w:fill="FFFFFF"/>
      <w:lang w:val="hy-AM" w:eastAsia="hy-AM" w:bidi="hy-AM"/>
    </w:rPr>
  </w:style>
  <w:style w:type="character" w:customStyle="1" w:styleId="Bodytext515pt">
    <w:name w:val="Body text (5) + 15 pt"/>
    <w:aliases w:val="Not Italic"/>
    <w:basedOn w:val="Bodytext5"/>
    <w:rsid w:val="00FE7730"/>
    <w:rPr>
      <w:rFonts w:ascii="Times New Roman" w:eastAsia="Times New Roman" w:hAnsi="Times New Roman" w:cs="Times New Roman"/>
      <w:b w:val="0"/>
      <w:bCs w:val="0"/>
      <w:i/>
      <w:iCs/>
      <w:smallCaps w:val="0"/>
      <w:strike w:val="0"/>
      <w:color w:val="000000"/>
      <w:spacing w:val="0"/>
      <w:w w:val="100"/>
      <w:position w:val="0"/>
      <w:sz w:val="30"/>
      <w:szCs w:val="30"/>
      <w:u w:val="none"/>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3536</Words>
  <Characters>20160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Edmond Davtyan</dc:creator>
  <cp:keywords/>
  <dc:description/>
  <cp:lastModifiedBy>Edmond Davtyan</cp:lastModifiedBy>
  <cp:revision>14</cp:revision>
  <dcterms:created xsi:type="dcterms:W3CDTF">2019-09-18T10:38:00Z</dcterms:created>
  <dcterms:modified xsi:type="dcterms:W3CDTF">2019-09-19T10:30:00Z</dcterms:modified>
</cp:coreProperties>
</file>