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ook w:val="04A0" w:firstRow="1" w:lastRow="0" w:firstColumn="1" w:lastColumn="0" w:noHBand="0" w:noVBand="1"/>
      </w:tblPr>
      <w:tblGrid>
        <w:gridCol w:w="990"/>
        <w:gridCol w:w="1366"/>
        <w:gridCol w:w="3734"/>
        <w:gridCol w:w="4480"/>
        <w:gridCol w:w="2390"/>
      </w:tblGrid>
      <w:tr w:rsidR="004D297A" w:rsidRPr="004D297A" w14:paraId="2AC86C72" w14:textId="77777777" w:rsidTr="004D297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D97F37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F238A5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73FFB6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425C6EE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4D5BD2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Հավելված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</w:p>
        </w:tc>
      </w:tr>
      <w:tr w:rsidR="004D297A" w:rsidRPr="004D297A" w14:paraId="627EEA5B" w14:textId="77777777" w:rsidTr="004D297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F50D21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505A247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2F37DD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ՀՀ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կառավարության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 2019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թվականի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</w:tr>
      <w:tr w:rsidR="004D297A" w:rsidRPr="004D297A" w14:paraId="0A483DA7" w14:textId="77777777" w:rsidTr="004D297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9F1936E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ABCC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2185380" w14:textId="145CF65C" w:rsidR="004D297A" w:rsidRPr="004D297A" w:rsidRDefault="00B26778" w:rsidP="004D2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օգոստոսի</w:t>
            </w:r>
            <w:r w:rsidR="004D297A"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>8-</w:t>
            </w:r>
            <w:r w:rsidR="004D297A" w:rsidRPr="004D297A">
              <w:rPr>
                <w:rFonts w:eastAsia="Times New Roman" w:cs="Calibri"/>
                <w:color w:val="000000"/>
                <w:sz w:val="20"/>
                <w:szCs w:val="20"/>
              </w:rPr>
              <w:t>ի</w:t>
            </w:r>
            <w:r>
              <w:rPr>
                <w:rFonts w:eastAsia="Times New Roman" w:cs="Calibri"/>
                <w:color w:val="000000"/>
                <w:sz w:val="20"/>
                <w:szCs w:val="20"/>
                <w:lang w:val="hy-AM"/>
              </w:rPr>
              <w:t xml:space="preserve"> 997-</w:t>
            </w:r>
            <w:r w:rsidR="004D297A"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Ն </w:t>
            </w:r>
            <w:proofErr w:type="spellStart"/>
            <w:r w:rsidR="004D297A" w:rsidRPr="004D297A">
              <w:rPr>
                <w:rFonts w:eastAsia="Times New Roman" w:cs="Calibri"/>
                <w:color w:val="000000"/>
                <w:sz w:val="20"/>
                <w:szCs w:val="20"/>
              </w:rPr>
              <w:t>որոշման</w:t>
            </w:r>
            <w:proofErr w:type="spellEnd"/>
          </w:p>
        </w:tc>
      </w:tr>
      <w:tr w:rsidR="004D297A" w:rsidRPr="004D297A" w14:paraId="024DFF02" w14:textId="77777777" w:rsidTr="004D297A">
        <w:trPr>
          <w:trHeight w:val="27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71F594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6F44C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36F706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AFA547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6477A0" w14:textId="77777777" w:rsidR="004D297A" w:rsidRPr="004D297A" w:rsidRDefault="004D297A" w:rsidP="004D297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4D297A" w:rsidRPr="004D297A" w14:paraId="02DD8D1A" w14:textId="77777777" w:rsidTr="004D297A">
        <w:trPr>
          <w:trHeight w:val="990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53CA6F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4"/>
                <w:szCs w:val="24"/>
              </w:rPr>
            </w:pPr>
            <w:r w:rsidRPr="004D297A">
              <w:rPr>
                <w:rFonts w:eastAsia="Times New Roman" w:cs="Calibri"/>
                <w:b/>
                <w:bCs/>
                <w:sz w:val="24"/>
                <w:szCs w:val="24"/>
              </w:rPr>
              <w:t>ՀԱՅԱՍՏԱՆԻ ՀԱՆՐԱՊԵՏՈՒԹՅԱՆ ԿԱՌԱՎԱՐՈՒԹՅԱՆ 2018 ԹՎԱԿԱՆԻ ԴԵԿՏԵՄԲԵՐԻ 27-Ի ԹԻՎ 1515-Ն ՈՐՈՇՄԱՆ</w:t>
            </w:r>
            <w:r w:rsidRPr="004D297A">
              <w:rPr>
                <w:rFonts w:eastAsia="Times New Roman" w:cs="Calibri"/>
                <w:b/>
                <w:bCs/>
                <w:sz w:val="24"/>
                <w:szCs w:val="24"/>
              </w:rPr>
              <w:br/>
              <w:t xml:space="preserve"> N 5  ՀԱՎԵԼՎԱԾԻ  N 8  ԱՂՅՈՒՍԱԿՈՒՄ ԿԱՏԱՐՎՈՂ ՓՈՓՈԽՈՒԹՅՈՒՆՆԵՐԸ </w:t>
            </w:r>
          </w:p>
        </w:tc>
      </w:tr>
      <w:tr w:rsidR="004D297A" w:rsidRPr="004D297A" w14:paraId="2B370E1A" w14:textId="77777777" w:rsidTr="004D297A">
        <w:trPr>
          <w:trHeight w:val="27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14:paraId="087ADA3C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12D211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11CECB" w14:textId="77777777" w:rsidR="004D297A" w:rsidRPr="004D297A" w:rsidRDefault="004D297A" w:rsidP="004D297A">
            <w:pPr>
              <w:spacing w:after="0" w:line="240" w:lineRule="auto"/>
              <w:jc w:val="right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/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հազար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դրամներով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>/</w:t>
            </w:r>
          </w:p>
        </w:tc>
      </w:tr>
      <w:tr w:rsidR="004D297A" w:rsidRPr="004D297A" w14:paraId="33F8E57A" w14:textId="77777777" w:rsidTr="004D297A">
        <w:trPr>
          <w:trHeight w:val="300"/>
        </w:trPr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24B27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Ծրագրային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դասիչը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DE7F5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Բյուջետային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հատկացումների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գլխավոր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կարգադրիչների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միջոցառումների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ծախսային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ուղղությունների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C7911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Միջոցառումը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կատարող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մարմինների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դրամաշնորհ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ստացող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տնտեսվարող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սուբյեկտների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անվանումները</w:t>
            </w:r>
            <w:proofErr w:type="spellEnd"/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169FB0" w14:textId="4D63D49A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Ցուցանիշների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փոփոխությունը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(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ավելացումները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նշված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են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դրակ</w:t>
            </w:r>
            <w:bookmarkStart w:id="0" w:name="_GoBack"/>
            <w:bookmarkEnd w:id="0"/>
            <w:r w:rsidRPr="004D297A">
              <w:rPr>
                <w:rFonts w:eastAsia="Times New Roman" w:cs="Calibri"/>
                <w:sz w:val="20"/>
                <w:szCs w:val="20"/>
              </w:rPr>
              <w:t>ան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նշանով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նվազեցումները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՝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փակագծերում</w:t>
            </w:r>
            <w:proofErr w:type="spellEnd"/>
            <w:r w:rsidRPr="004D297A">
              <w:rPr>
                <w:rFonts w:eastAsia="Times New Roman" w:cs="Calibri"/>
                <w:sz w:val="20"/>
                <w:szCs w:val="20"/>
              </w:rPr>
              <w:t xml:space="preserve">) </w:t>
            </w:r>
          </w:p>
        </w:tc>
      </w:tr>
      <w:tr w:rsidR="004D297A" w:rsidRPr="004D297A" w14:paraId="629201F0" w14:textId="77777777" w:rsidTr="004D297A">
        <w:trPr>
          <w:trHeight w:val="81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88382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E04C1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sz w:val="20"/>
                <w:szCs w:val="20"/>
              </w:rPr>
              <w:t>Միջոցառում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D53494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4EDA38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688F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</w:tr>
      <w:tr w:rsidR="004D297A" w:rsidRPr="004D297A" w14:paraId="2BAAD7A3" w14:textId="77777777" w:rsidTr="004D297A">
        <w:trPr>
          <w:trHeight w:val="28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6613E9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ՀՀ 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նախարարություն</w:t>
            </w:r>
            <w:proofErr w:type="spellEnd"/>
          </w:p>
        </w:tc>
      </w:tr>
      <w:tr w:rsidR="004D297A" w:rsidRPr="004D297A" w14:paraId="0F431911" w14:textId="77777777" w:rsidTr="004D297A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F453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1056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EAED68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Կինեմատոգրաֆիայի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99FF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2A77D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D297A" w:rsidRPr="004D297A" w14:paraId="608F377F" w14:textId="77777777" w:rsidTr="004D297A">
        <w:trPr>
          <w:trHeight w:val="46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1C2564F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0172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5A4F37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կինոարվեստին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1CA38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ՀՀ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9B930B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0.0</w:t>
            </w:r>
          </w:p>
        </w:tc>
      </w:tr>
      <w:tr w:rsidR="004D297A" w:rsidRPr="004D297A" w14:paraId="0189D0BF" w14:textId="77777777" w:rsidTr="004D297A">
        <w:trPr>
          <w:trHeight w:val="193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150DA8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5DB58C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AE8F8D9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կինոփառատոներին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կինոշուկաներին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ուսումնակրթական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իրականացում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եվրոպական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աուդիովիզուալ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օբսերվատորիային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անդամակցություն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9F65A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0BF38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(30000,0)</w:t>
            </w:r>
          </w:p>
        </w:tc>
      </w:tr>
      <w:tr w:rsidR="004D297A" w:rsidRPr="004D297A" w14:paraId="25E9D8D0" w14:textId="77777777" w:rsidTr="004D297A">
        <w:trPr>
          <w:trHeight w:val="8190"/>
        </w:trPr>
        <w:tc>
          <w:tcPr>
            <w:tcW w:w="0" w:type="auto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F19CEE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C246C5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5DD9FA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կինոփառատոներին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կինոշուկաներին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կինոնախագծերին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ուսումնակրթական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իրականացում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եվրոպական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աուդիովիզուալ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օբսերվատորիային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անդամակցություն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780382B" w14:textId="77777777" w:rsid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  <w:p w14:paraId="2CF79620" w14:textId="77777777" w:rsid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  <w:p w14:paraId="31470E8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0E0661F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lastRenderedPageBreak/>
              <w:t>30000,0</w:t>
            </w:r>
          </w:p>
        </w:tc>
      </w:tr>
      <w:tr w:rsidR="004D297A" w:rsidRPr="004D297A" w14:paraId="5522599F" w14:textId="77777777" w:rsidTr="004D2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F7C5B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1075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3C26BE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B2434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CBC3C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D297A" w:rsidRPr="004D297A" w14:paraId="647FAF62" w14:textId="77777777" w:rsidTr="004D297A">
        <w:trPr>
          <w:trHeight w:val="85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1D508A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BA752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02CCAF0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ոչ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նյութական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պահպանմանը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71F90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ՀՀ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6B895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0.0</w:t>
            </w:r>
          </w:p>
        </w:tc>
      </w:tr>
      <w:tr w:rsidR="004D297A" w:rsidRPr="004D297A" w14:paraId="3F0B19F7" w14:textId="77777777" w:rsidTr="004D297A">
        <w:trPr>
          <w:trHeight w:val="8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11781CF8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FC0BD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B5E33D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Ոչ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նյութական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հանրահռչակում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7433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E189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(10800,0)</w:t>
            </w:r>
          </w:p>
        </w:tc>
      </w:tr>
      <w:tr w:rsidR="004D297A" w:rsidRPr="004D297A" w14:paraId="44D01BC6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27EFE05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7F1C23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14:paraId="7F674812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Ոչ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նյութական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հանրահռչակում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3844E72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665A74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10800.0</w:t>
            </w:r>
          </w:p>
        </w:tc>
      </w:tr>
      <w:tr w:rsidR="004D297A" w:rsidRPr="004D297A" w14:paraId="07E2762B" w14:textId="77777777" w:rsidTr="004D2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C65CD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1124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AE54D4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Գրքի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գրչության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238E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D611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</w:tr>
      <w:tr w:rsidR="004D297A" w:rsidRPr="004D297A" w14:paraId="00CE66E7" w14:textId="77777777" w:rsidTr="004D297A">
        <w:trPr>
          <w:trHeight w:val="1425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5DBF5B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lastRenderedPageBreak/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6D1EE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476614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հանրահռչակմանը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գրական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ծրագրերին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գրքերի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ցուցահանդեսներին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մասնակցությանը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23BEC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ՀՀ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5B4E0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0.0</w:t>
            </w:r>
          </w:p>
        </w:tc>
      </w:tr>
      <w:tr w:rsidR="004D297A" w:rsidRPr="004D297A" w14:paraId="25097C3C" w14:textId="77777777" w:rsidTr="004D297A">
        <w:trPr>
          <w:trHeight w:val="112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094E4A0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14:paraId="1B7B3C3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1C22CD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Գրքերի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ցուցահանդեսներին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3EF2E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FA8D4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(42000,0)</w:t>
            </w:r>
          </w:p>
        </w:tc>
      </w:tr>
      <w:tr w:rsidR="004D297A" w:rsidRPr="004D297A" w14:paraId="1B9B462B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7EFD52C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  <w:hideMark/>
          </w:tcPr>
          <w:p w14:paraId="46D1EED9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EC4CA07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Գրքերի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ցուցահանդեսներին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5E876E8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CA7C77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42000.0</w:t>
            </w:r>
          </w:p>
        </w:tc>
      </w:tr>
      <w:tr w:rsidR="004D297A" w:rsidRPr="004D297A" w14:paraId="7B8A2D4D" w14:textId="77777777" w:rsidTr="004D297A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FACB9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1168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5F20B8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Արվեստների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B0F71C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D04C86F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D297A" w:rsidRPr="004D297A" w14:paraId="66B49364" w14:textId="77777777" w:rsidTr="004D297A">
        <w:trPr>
          <w:trHeight w:val="570"/>
        </w:trPr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EF8E12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E26A8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11005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51CF93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>իրականացում</w:t>
            </w:r>
            <w:proofErr w:type="spellEnd"/>
            <w:r w:rsidRPr="004D297A">
              <w:rPr>
                <w:rFonts w:eastAsia="Times New Roman" w:cs="Calibri"/>
                <w:b/>
                <w:bCs/>
                <w:i/>
                <w:iCs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23DE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ՀՀ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նախարարություն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5C945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sz w:val="20"/>
                <w:szCs w:val="20"/>
              </w:rPr>
              <w:t>0.0</w:t>
            </w:r>
          </w:p>
        </w:tc>
      </w:tr>
      <w:tr w:rsidR="004D297A" w:rsidRPr="004D297A" w14:paraId="7FE4A8C3" w14:textId="77777777" w:rsidTr="004D297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8875AD7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B4B91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F2D1F5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թատերարվեստին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815B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B1E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D297A" w:rsidRPr="004D297A" w14:paraId="5672C901" w14:textId="77777777" w:rsidTr="004D297A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2B2E9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7F48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F5DDC48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թատերական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թատերախմբերի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D887D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Գ.Սունդուկյանի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 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«Հ.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Պարոնյանի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DFA96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(24000,0)</w:t>
            </w:r>
          </w:p>
        </w:tc>
      </w:tr>
      <w:tr w:rsidR="004D297A" w:rsidRPr="004D297A" w14:paraId="7D1EED97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961D7C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5C3A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0600B4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թատերական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թատերախմբերի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2F9D776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F9EDA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24000.0</w:t>
            </w:r>
          </w:p>
        </w:tc>
      </w:tr>
      <w:tr w:rsidR="004D297A" w:rsidRPr="004D297A" w14:paraId="5BDA84C0" w14:textId="77777777" w:rsidTr="004D297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68DB677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DA96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C78BAC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երաժշտարվեստին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1F60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692C7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D297A" w:rsidRPr="004D297A" w14:paraId="513DDE2A" w14:textId="77777777" w:rsidTr="004D297A">
        <w:trPr>
          <w:trHeight w:val="108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39F33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9F657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C05067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կոլեկտիվների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D6A4F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«Ա.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83F43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(24000,0)</w:t>
            </w:r>
          </w:p>
        </w:tc>
      </w:tr>
      <w:tr w:rsidR="004D297A" w:rsidRPr="004D297A" w14:paraId="6A945604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D80E3D3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0E51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150F86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կոլեկտիվների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A571E0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26CD0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24000.0</w:t>
            </w:r>
          </w:p>
        </w:tc>
      </w:tr>
      <w:tr w:rsidR="004D297A" w:rsidRPr="004D297A" w14:paraId="2E9DE540" w14:textId="77777777" w:rsidTr="004D297A">
        <w:trPr>
          <w:trHeight w:val="28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7B4B470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B167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F1A7F2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պարարվեստին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8D729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718F9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D297A" w:rsidRPr="004D297A" w14:paraId="454B855D" w14:textId="77777777" w:rsidTr="004D297A">
        <w:trPr>
          <w:trHeight w:val="81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A70A2D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23DCB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0D7EED7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պարի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կոլեկտիվների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F2801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284E2B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(18000,0)</w:t>
            </w:r>
          </w:p>
        </w:tc>
      </w:tr>
      <w:tr w:rsidR="004D297A" w:rsidRPr="004D297A" w14:paraId="08E6D342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D480E08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4F538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44170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Պարի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նախագծերին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անհատ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կատարողների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կոլեկտիվների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533DE6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E7E91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18000.0</w:t>
            </w:r>
          </w:p>
        </w:tc>
      </w:tr>
      <w:tr w:rsidR="004D297A" w:rsidRPr="004D297A" w14:paraId="0CC6C834" w14:textId="77777777" w:rsidTr="004D297A">
        <w:trPr>
          <w:trHeight w:val="6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A4336AA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4C74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9AD355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կերպարվեստին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37EC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837906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</w:tr>
      <w:tr w:rsidR="004D297A" w:rsidRPr="004D297A" w14:paraId="7AA7ED46" w14:textId="77777777" w:rsidTr="004D297A">
        <w:trPr>
          <w:trHeight w:val="5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0FB3162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A242CE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EE9E09C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ցուցահանդեսներին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A793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EA1EA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(12000,0)</w:t>
            </w:r>
          </w:p>
        </w:tc>
      </w:tr>
      <w:tr w:rsidR="004D297A" w:rsidRPr="004D297A" w14:paraId="49D0EA93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7467E22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61A0D1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A6329D2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ցուցահանդեսներին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մասնակցություն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79484A7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5D5D4B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12000.0</w:t>
            </w:r>
          </w:p>
        </w:tc>
      </w:tr>
      <w:tr w:rsidR="004D297A" w:rsidRPr="004D297A" w14:paraId="4BA779FB" w14:textId="77777777" w:rsidTr="004D297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EC3EB8E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30A4D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E30A87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մանկապատանեկան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միջոցառումներին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CC24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ascii="Calibri" w:eastAsia="Times New Roman" w:hAnsi="Calibri" w:cs="Calibri"/>
                <w:i/>
                <w:iCs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75721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i/>
                <w:iCs/>
                <w:sz w:val="20"/>
                <w:szCs w:val="20"/>
              </w:rPr>
              <w:t> </w:t>
            </w:r>
          </w:p>
        </w:tc>
      </w:tr>
      <w:tr w:rsidR="004D297A" w:rsidRPr="004D297A" w14:paraId="54836721" w14:textId="77777777" w:rsidTr="004D297A">
        <w:trPr>
          <w:trHeight w:val="27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2FF7BE8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41586F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EA7C8E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Աբոնեմենտային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B93272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D1179B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(400000,0)</w:t>
            </w:r>
          </w:p>
        </w:tc>
      </w:tr>
      <w:tr w:rsidR="004D297A" w:rsidRPr="004D297A" w14:paraId="4C09726E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50184450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E019D69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F0091A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Աբոնեմենտային</w:t>
            </w:r>
            <w:proofErr w:type="spellEnd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color w:val="000000"/>
                <w:sz w:val="20"/>
                <w:szCs w:val="20"/>
              </w:rPr>
              <w:t>ծրագիր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43E0523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BFCC3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400000.0</w:t>
            </w:r>
          </w:p>
        </w:tc>
      </w:tr>
      <w:tr w:rsidR="004D297A" w:rsidRPr="004D297A" w14:paraId="3ED1691A" w14:textId="77777777" w:rsidTr="004D297A">
        <w:trPr>
          <w:trHeight w:val="127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177BEC1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DDAEF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88DB35D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հոբելյանական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26BFC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798E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(60000,0)</w:t>
            </w:r>
          </w:p>
        </w:tc>
      </w:tr>
      <w:tr w:rsidR="004D297A" w:rsidRPr="004D297A" w14:paraId="71E5FCF8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2B9D11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7B74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05FCB2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հոբելյանական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66029C1E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2C2722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60000.0</w:t>
            </w:r>
          </w:p>
        </w:tc>
      </w:tr>
      <w:tr w:rsidR="004D297A" w:rsidRPr="004D297A" w14:paraId="3C9DEF9D" w14:textId="77777777" w:rsidTr="004D297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F26AA16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57C85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7AE5E5F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տոներին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նվիրված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671A0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5E959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(38000,0)</w:t>
            </w:r>
          </w:p>
        </w:tc>
      </w:tr>
      <w:tr w:rsidR="004D297A" w:rsidRPr="004D297A" w14:paraId="2460CC87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1FE3C92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665B0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EBFA31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տոներին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նվիրված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08DF9680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9D5F6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38000.0</w:t>
            </w:r>
          </w:p>
        </w:tc>
      </w:tr>
      <w:tr w:rsidR="004D297A" w:rsidRPr="004D297A" w14:paraId="5B8EB60C" w14:textId="77777777" w:rsidTr="004D297A">
        <w:trPr>
          <w:trHeight w:val="204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932B0A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8E6E9D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DA684D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համագործակցության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իրականացում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սփյուռքի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հետ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համագործակցություն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հայ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435033" w14:textId="77777777" w:rsid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«Հ.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Պարոնյանի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  <w:p w14:paraId="3968869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FF8B44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(310190,5)</w:t>
            </w:r>
          </w:p>
        </w:tc>
      </w:tr>
      <w:tr w:rsidR="004D297A" w:rsidRPr="004D297A" w14:paraId="04484538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CEADE6D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63BCF0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25405A5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Միջազգային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համագործակցության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իրականացում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սփյուռքի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հետ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համագործակցություն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, </w:t>
            </w: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br/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հայ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պահպանում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14:paraId="1C698F91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574A3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310190.5</w:t>
            </w:r>
          </w:p>
        </w:tc>
      </w:tr>
      <w:tr w:rsidR="004D297A" w:rsidRPr="004D297A" w14:paraId="3FFE2964" w14:textId="77777777" w:rsidTr="004D297A">
        <w:trPr>
          <w:trHeight w:val="855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942B11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6450E1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623A0C7A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այլ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FD7DC8" w14:textId="77777777" w:rsid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«Ա.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  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  <w:p w14:paraId="02CF5D38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37CE9C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t>(78000,0)</w:t>
            </w:r>
          </w:p>
        </w:tc>
      </w:tr>
      <w:tr w:rsidR="004D297A" w:rsidRPr="004D297A" w14:paraId="42A78499" w14:textId="77777777" w:rsidTr="004D297A">
        <w:trPr>
          <w:trHeight w:val="8190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486AF55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b/>
                <w:bCs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0106BB" w14:textId="77777777" w:rsidR="004D297A" w:rsidRPr="004D297A" w:rsidRDefault="004D297A" w:rsidP="004D297A">
            <w:pPr>
              <w:spacing w:after="0" w:line="240" w:lineRule="auto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ascii="Calibri" w:eastAsia="Times New Roman" w:hAnsi="Calibri" w:cs="Calibri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86BE5E9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</w:pPr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Աջակցություն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այլ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միջոցառումների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ծրագրերի</w:t>
            </w:r>
            <w:proofErr w:type="spellEnd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b/>
                <w:bCs/>
                <w:color w:val="000000"/>
                <w:sz w:val="20"/>
                <w:szCs w:val="20"/>
              </w:rPr>
              <w:t>իրականացմանը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5FFB67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i/>
                <w:iCs/>
                <w:sz w:val="16"/>
                <w:szCs w:val="16"/>
              </w:rPr>
            </w:pP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 ՊՈԱԿ, 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Խնկո-Ապոր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մանկական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</w:t>
            </w:r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br/>
              <w:t>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Արագածոտնի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Օ.Չուբարյանի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Արարատի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Արմավիրի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Վ.Պետրոսյանի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Գեղարքունիքի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Կոտայքի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Շիրակի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Սյունիքի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Տավուշի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Լոռու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Վայոց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մարզային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գրադարան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պատկերասրահ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գրականության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Հովհաննես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Շարամբեյանի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/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պրոֆ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Ա.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Աբրահամյանի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հավաքածու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/»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Մ.Սարյանի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Ե.Չարենցի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Ա.Իսահակյանի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Ա.Խաչատրյանի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Երվանդ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Քոչարի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Ս.Փարաջանովի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Փայտարվեստի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Հրազդանի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երկրագիտական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Օրբելի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եղբայրների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Ն.Ադոնցի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Սիսիանի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արգելոց-թանգարանների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միջավայրի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պահպանության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ծառայություն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թանգարան-ինստիտուտ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«Խ.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Աբովյանի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տուն-թանգարան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Ստեփանավանի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մշակույթի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ժամանցի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արժեքների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Սպենդիարյանի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օպերայի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և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բալետի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«Գ.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Սունդուկյանի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proofErr w:type="gram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Հ.Պարոնյանի</w:t>
            </w:r>
            <w:proofErr w:type="spellEnd"/>
            <w:proofErr w:type="gram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կոմեդիայի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ՊՈԱԿ, «Կ.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Ստանիսլավսկու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ռուսական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Գյումրու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lastRenderedPageBreak/>
              <w:t>Վ.Աճեմյանի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Վանաձորի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Հ.Աբելյանի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Հ.Թումանյանի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տիկնիկային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խամաճիկների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Արմեն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Մազմանյանի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բեմարվեստի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փորձարարական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մնջախաղի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Խորեոգրաֆիայի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Արտաշատի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Ա.Խարազյանի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Սոս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Սարգսյանի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Գորիսի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Վ.Վաղարշյանի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անվ.պետական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դրամատիկական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սիմֆոնիկ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Կամերային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ֆիլհարմոնիա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Թ.Ալթունյանի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երգի-պարի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Ժողովրդական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անսամբլ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Բարեկամություն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համույթ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էստրադային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ջազ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նվագախումբ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թատրոն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հոգևոր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Կոմիտասի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քառյակ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ակադեմիական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երգչախումբ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Հայաստանի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ազգային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կինոկենտրոն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Փաստավավերագրական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ֆիլմերի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Հայկ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»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կինաստուդիա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Պատմամշակութային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ժառանգության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գիտահետազոտական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Պ.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Չայկովսկու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անվան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միջնակարգ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երաժշտական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մասնագիտական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դպրոց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Երևանի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պարարվեստի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պետական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քոլեջ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ՊՈԱԿ, «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Երեխաների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հատուկ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ստեղծագործական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 xml:space="preserve"> </w:t>
            </w:r>
            <w:proofErr w:type="spellStart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կենտրոն</w:t>
            </w:r>
            <w:proofErr w:type="spellEnd"/>
            <w:r w:rsidRPr="004D297A">
              <w:rPr>
                <w:rFonts w:eastAsia="Times New Roman" w:cs="Calibri"/>
                <w:i/>
                <w:iCs/>
                <w:sz w:val="16"/>
                <w:szCs w:val="16"/>
              </w:rPr>
              <w:t>» ՊՈԱԿ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C7D82" w14:textId="77777777" w:rsidR="004D297A" w:rsidRPr="004D297A" w:rsidRDefault="004D297A" w:rsidP="004D297A">
            <w:pPr>
              <w:spacing w:after="0" w:line="240" w:lineRule="auto"/>
              <w:jc w:val="center"/>
              <w:rPr>
                <w:rFonts w:eastAsia="Times New Roman" w:cs="Calibri"/>
                <w:sz w:val="20"/>
                <w:szCs w:val="20"/>
              </w:rPr>
            </w:pPr>
            <w:r w:rsidRPr="004D297A">
              <w:rPr>
                <w:rFonts w:eastAsia="Times New Roman" w:cs="Calibri"/>
                <w:sz w:val="20"/>
                <w:szCs w:val="20"/>
              </w:rPr>
              <w:lastRenderedPageBreak/>
              <w:t>78000.0</w:t>
            </w:r>
          </w:p>
        </w:tc>
      </w:tr>
    </w:tbl>
    <w:p w14:paraId="34BF4383" w14:textId="77777777" w:rsidR="00B26778" w:rsidRDefault="00B26778" w:rsidP="00B26778">
      <w:pPr>
        <w:rPr>
          <w:rFonts w:ascii="GHEA Mariam" w:hAnsi="GHEA Mariam" w:cs="Sylfaen"/>
        </w:rPr>
      </w:pPr>
    </w:p>
    <w:p w14:paraId="78E82BF4" w14:textId="17AB17B7" w:rsidR="00B26778" w:rsidRPr="00B26778" w:rsidRDefault="00B26778" w:rsidP="00B26778">
      <w:pPr>
        <w:ind w:left="1440" w:firstLine="720"/>
        <w:rPr>
          <w:rFonts w:ascii="GHEA Mariam" w:hAnsi="GHEA Mariam" w:cs="Arial Armenian"/>
          <w:lang w:val="af-ZA"/>
        </w:rPr>
      </w:pPr>
      <w:proofErr w:type="gramStart"/>
      <w:r w:rsidRPr="008F39F9">
        <w:rPr>
          <w:rFonts w:ascii="GHEA Mariam" w:hAnsi="GHEA Mariam" w:cs="Sylfaen"/>
        </w:rPr>
        <w:lastRenderedPageBreak/>
        <w:t>ՀԱՅԱՍՏԱՆԻ</w:t>
      </w:r>
      <w:r w:rsidRPr="009E7E42">
        <w:rPr>
          <w:rFonts w:ascii="GHEA Mariam" w:hAnsi="GHEA Mariam" w:cs="Arial Armenian"/>
          <w:lang w:val="af-ZA"/>
        </w:rPr>
        <w:t xml:space="preserve">  </w:t>
      </w:r>
      <w:r w:rsidRPr="008F39F9">
        <w:rPr>
          <w:rFonts w:ascii="GHEA Mariam" w:hAnsi="GHEA Mariam" w:cs="Sylfaen"/>
        </w:rPr>
        <w:t>ՀԱՆՐԱՊԵՏՈՒԹՅԱՆ</w:t>
      </w:r>
      <w:proofErr w:type="gramEnd"/>
      <w:r>
        <w:rPr>
          <w:rFonts w:ascii="GHEA Mariam" w:hAnsi="GHEA Mariam" w:cs="Arial Armenian"/>
          <w:lang w:val="af-ZA"/>
        </w:rPr>
        <w:br/>
        <w:t xml:space="preserve">                </w:t>
      </w:r>
      <w:r>
        <w:rPr>
          <w:rFonts w:ascii="GHEA Mariam" w:hAnsi="GHEA Mariam" w:cs="Sylfaen"/>
        </w:rPr>
        <w:t>ՎԱՐՉԱՊԵՏԻ</w:t>
      </w:r>
      <w:r w:rsidRPr="009E7E42">
        <w:rPr>
          <w:rFonts w:ascii="GHEA Mariam" w:hAnsi="GHEA Mariam" w:cs="Arial Armenian"/>
          <w:lang w:val="af-ZA"/>
        </w:rPr>
        <w:t xml:space="preserve">  </w:t>
      </w:r>
      <w:r w:rsidRPr="008F39F9">
        <w:rPr>
          <w:rFonts w:ascii="GHEA Mariam" w:hAnsi="GHEA Mariam" w:cs="Sylfaen"/>
        </w:rPr>
        <w:t>ԱՇԽԱՏԱԿԱԶՄԻ</w:t>
      </w:r>
      <w:r>
        <w:rPr>
          <w:rFonts w:ascii="GHEA Mariam" w:hAnsi="GHEA Mariam" w:cs="Sylfaen"/>
        </w:rPr>
        <w:br/>
        <w:t xml:space="preserve">                       </w:t>
      </w:r>
      <w:r w:rsidRPr="00735204">
        <w:rPr>
          <w:rFonts w:ascii="GHEA Mariam" w:hAnsi="GHEA Mariam" w:cs="Sylfaen"/>
          <w:spacing w:val="-8"/>
        </w:rPr>
        <w:t>ՂԵԿԱՎԱՐ</w:t>
      </w:r>
      <w:r w:rsidRPr="00735204">
        <w:rPr>
          <w:rFonts w:ascii="GHEA Mariam" w:hAnsi="GHEA Mariam" w:cs="Sylfaen"/>
          <w:lang w:val="af-ZA"/>
        </w:rPr>
        <w:t>Ի ՏԵՂԱԿԱԼ</w:t>
      </w:r>
      <w:r w:rsidRPr="00735204">
        <w:rPr>
          <w:rFonts w:ascii="GHEA Mariam" w:hAnsi="GHEA Mariam" w:cs="Sylfaen"/>
          <w:lang w:val="af-ZA"/>
        </w:rPr>
        <w:tab/>
      </w:r>
      <w:r w:rsidRPr="00735204">
        <w:rPr>
          <w:rFonts w:ascii="GHEA Mariam" w:hAnsi="GHEA Mariam" w:cs="Sylfaen"/>
          <w:lang w:val="af-ZA"/>
        </w:rPr>
        <w:tab/>
      </w:r>
      <w:r w:rsidRPr="00735204">
        <w:rPr>
          <w:rFonts w:ascii="GHEA Mariam" w:hAnsi="GHEA Mariam" w:cs="Arial Armenian"/>
          <w:lang w:val="af-ZA"/>
        </w:rPr>
        <w:t xml:space="preserve"> </w:t>
      </w:r>
      <w:r w:rsidRPr="00735204">
        <w:rPr>
          <w:rFonts w:ascii="GHEA Mariam" w:hAnsi="GHEA Mariam" w:cs="Arial Armenian"/>
          <w:lang w:val="af-ZA"/>
        </w:rPr>
        <w:tab/>
        <w:t xml:space="preserve">                  </w:t>
      </w:r>
      <w:r>
        <w:rPr>
          <w:rFonts w:ascii="GHEA Mariam" w:hAnsi="GHEA Mariam" w:cs="Arial Armenian"/>
          <w:lang w:val="af-ZA"/>
        </w:rPr>
        <w:tab/>
      </w:r>
      <w:r w:rsidRPr="00735204">
        <w:rPr>
          <w:rFonts w:ascii="GHEA Mariam" w:hAnsi="GHEA Mariam" w:cs="Arial Armenian"/>
          <w:lang w:val="af-ZA"/>
        </w:rPr>
        <w:t xml:space="preserve">    </w:t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>
        <w:rPr>
          <w:rFonts w:ascii="GHEA Mariam" w:hAnsi="GHEA Mariam" w:cs="Arial Armenian"/>
          <w:lang w:val="af-ZA"/>
        </w:rPr>
        <w:tab/>
      </w:r>
      <w:r w:rsidRPr="00735204">
        <w:rPr>
          <w:rFonts w:ascii="GHEA Mariam" w:hAnsi="GHEA Mariam" w:cs="Arial Armenian"/>
          <w:spacing w:val="-8"/>
        </w:rPr>
        <w:t>Ծ</w:t>
      </w:r>
      <w:r w:rsidRPr="00735204">
        <w:rPr>
          <w:rFonts w:ascii="GHEA Mariam" w:hAnsi="GHEA Mariam" w:cs="Arial Armenian"/>
          <w:spacing w:val="-8"/>
          <w:lang w:val="af-ZA"/>
        </w:rPr>
        <w:t>. ՍՈՂՈՄՈ</w:t>
      </w:r>
      <w:r w:rsidRPr="00735204">
        <w:rPr>
          <w:rFonts w:ascii="GHEA Mariam" w:hAnsi="GHEA Mariam" w:cs="Arial Armenian"/>
          <w:spacing w:val="-8"/>
        </w:rPr>
        <w:t>Ն</w:t>
      </w:r>
      <w:r w:rsidRPr="00735204">
        <w:rPr>
          <w:rFonts w:ascii="GHEA Mariam" w:hAnsi="GHEA Mariam" w:cs="Sylfaen"/>
          <w:spacing w:val="-8"/>
        </w:rPr>
        <w:t>ՅԱՆ</w:t>
      </w:r>
    </w:p>
    <w:p w14:paraId="2F96A70B" w14:textId="77777777" w:rsidR="002A0119" w:rsidRDefault="002A0119"/>
    <w:sectPr w:rsidR="002A0119" w:rsidSect="004D297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9BF"/>
    <w:rsid w:val="002A0119"/>
    <w:rsid w:val="003C43C1"/>
    <w:rsid w:val="004D297A"/>
    <w:rsid w:val="00B26778"/>
    <w:rsid w:val="00F17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266B5"/>
  <w15:chartTrackingRefBased/>
  <w15:docId w15:val="{7244A0CA-64E2-4503-8E12-89865456F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43C1"/>
    <w:rPr>
      <w:rFonts w:ascii="GHEA Grapalat" w:hAnsi="GHEA Grapala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">
    <w:name w:val="norm"/>
    <w:basedOn w:val="Normal"/>
    <w:link w:val="normChar"/>
    <w:rsid w:val="00B26778"/>
    <w:pPr>
      <w:spacing w:after="0" w:line="480" w:lineRule="auto"/>
      <w:ind w:firstLine="709"/>
      <w:jc w:val="both"/>
    </w:pPr>
    <w:rPr>
      <w:rFonts w:ascii="Arial Armenian" w:eastAsia="Times New Roman" w:hAnsi="Arial Armenian" w:cs="Times New Roman"/>
      <w:szCs w:val="20"/>
      <w:lang w:eastAsia="ru-RU"/>
    </w:rPr>
  </w:style>
  <w:style w:type="character" w:customStyle="1" w:styleId="normChar">
    <w:name w:val="norm Char"/>
    <w:link w:val="norm"/>
    <w:locked/>
    <w:rsid w:val="00B26778"/>
    <w:rPr>
      <w:rFonts w:ascii="Arial Armenian" w:eastAsia="Times New Roman" w:hAnsi="Arial Armeni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63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8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33</Pages>
  <Words>6742</Words>
  <Characters>38433</Characters>
  <Application>Microsoft Office Word</Application>
  <DocSecurity>0</DocSecurity>
  <Lines>320</Lines>
  <Paragraphs>90</Paragraphs>
  <ScaleCrop>false</ScaleCrop>
  <Company/>
  <LinksUpToDate>false</LinksUpToDate>
  <CharactersWithSpaces>45085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Knarik Sayadyan</dc:creator>
  <cp:keywords/>
  <dc:description/>
  <cp:lastModifiedBy>Vahagn Karamyan</cp:lastModifiedBy>
  <cp:revision>3</cp:revision>
  <dcterms:created xsi:type="dcterms:W3CDTF">2019-08-19T08:30:00Z</dcterms:created>
  <dcterms:modified xsi:type="dcterms:W3CDTF">2019-08-19T11:34:00Z</dcterms:modified>
</cp:coreProperties>
</file>