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ED1B0" w14:textId="77777777" w:rsidR="00570273" w:rsidRPr="00ED721E" w:rsidRDefault="00570273" w:rsidP="00570273">
      <w:pPr>
        <w:jc w:val="center"/>
        <w:rPr>
          <w:rFonts w:ascii="GHEA Mariam" w:hAnsi="GHEA Mariam"/>
          <w:sz w:val="22"/>
          <w:szCs w:val="22"/>
        </w:rPr>
      </w:pPr>
    </w:p>
    <w:p w14:paraId="5C3F29B3" w14:textId="77777777" w:rsidR="00570273" w:rsidRPr="00D63DF6" w:rsidRDefault="00570273" w:rsidP="0057027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7E2F8CEB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3E0BDC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հուլիս</w:t>
      </w:r>
      <w:r w:rsidRPr="00A97B20">
        <w:rPr>
          <w:rFonts w:ascii="GHEA Mariam" w:hAnsi="GHEA Mariam" w:cs="Sylfaen"/>
          <w:spacing w:val="-4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59AD65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3F5DD78E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0E233C0E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tbl>
      <w:tblPr>
        <w:tblW w:w="8905" w:type="dxa"/>
        <w:tblInd w:w="113" w:type="dxa"/>
        <w:tblLook w:val="04A0" w:firstRow="1" w:lastRow="0" w:firstColumn="1" w:lastColumn="0" w:noHBand="0" w:noVBand="1"/>
      </w:tblPr>
      <w:tblGrid>
        <w:gridCol w:w="4315"/>
        <w:gridCol w:w="4590"/>
      </w:tblGrid>
      <w:tr w:rsidR="00570273" w:rsidRPr="000B7597" w14:paraId="020E6602" w14:textId="77777777" w:rsidTr="00813CA7">
        <w:trPr>
          <w:trHeight w:val="1470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93EA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ՕՐԵՆՔԻ 2-ՐԴ ՀՈԴՎԱԾԻ ԱՂՅՈՒՍԱԿՈՒՄ ԿԱՏԱՐՎՈՂ ՓՈՓՈԽՈՒԹՅՈՒՆՆԵՐԸ </w:t>
            </w:r>
          </w:p>
        </w:tc>
      </w:tr>
      <w:tr w:rsidR="00570273" w:rsidRPr="000B7597" w14:paraId="2971BA76" w14:textId="77777777" w:rsidTr="00813CA7">
        <w:trPr>
          <w:trHeight w:val="270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C00B6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49D8" w14:textId="77777777" w:rsidR="00570273" w:rsidRPr="000B7597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0B7597" w14:paraId="4014BE70" w14:textId="77777777" w:rsidTr="00813CA7">
        <w:trPr>
          <w:trHeight w:val="16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B164A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CB0E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570273" w:rsidRPr="000B7597" w14:paraId="2AB52F18" w14:textId="77777777" w:rsidTr="00813CA7">
        <w:trPr>
          <w:trHeight w:val="330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AD2B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E324CB2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0B7597" w14:paraId="5513522F" w14:textId="77777777" w:rsidTr="00813CA7">
        <w:trPr>
          <w:trHeight w:val="330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C6AD0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9FA5ECB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0B7597" w14:paraId="022F50CC" w14:textId="77777777" w:rsidTr="00813CA7">
        <w:trPr>
          <w:trHeight w:val="270"/>
        </w:trPr>
        <w:tc>
          <w:tcPr>
            <w:tcW w:w="4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4B701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D8AB7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-   </w:t>
            </w:r>
          </w:p>
        </w:tc>
      </w:tr>
    </w:tbl>
    <w:p w14:paraId="6C3B4C11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39E21D97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32960C8A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416BC613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E9AACBA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E15600" w14:textId="77777777" w:rsidR="00570273" w:rsidRPr="006815A4" w:rsidRDefault="00570273" w:rsidP="00D247FA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5AD368F" w14:textId="77777777" w:rsidR="00BA6A4D" w:rsidRDefault="00BA6A4D"/>
    <w:sectPr w:rsidR="00BA6A4D" w:rsidSect="00D247FA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D7ED2" w14:textId="77777777" w:rsidR="00554361" w:rsidRDefault="00554361">
      <w:r>
        <w:separator/>
      </w:r>
    </w:p>
  </w:endnote>
  <w:endnote w:type="continuationSeparator" w:id="0">
    <w:p w14:paraId="15445BA6" w14:textId="77777777" w:rsidR="00554361" w:rsidRDefault="0055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DDC7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6CC5" w14:textId="77777777" w:rsidR="00554361" w:rsidRDefault="00554361">
      <w:r>
        <w:separator/>
      </w:r>
    </w:p>
  </w:footnote>
  <w:footnote w:type="continuationSeparator" w:id="0">
    <w:p w14:paraId="140EA198" w14:textId="77777777" w:rsidR="00554361" w:rsidRDefault="0055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3B1D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29B88" w14:textId="77777777" w:rsidR="004E2F24" w:rsidRDefault="00554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554361"/>
    <w:rsid w:val="00570273"/>
    <w:rsid w:val="006545B0"/>
    <w:rsid w:val="00BA6A4D"/>
    <w:rsid w:val="00D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3B00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2019-08-05T07:07:00Z</dcterms:modified>
</cp:coreProperties>
</file>