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508A1">
        <w:rPr>
          <w:rFonts w:ascii="Sylfaen" w:hAnsi="Sylfaen"/>
          <w:sz w:val="24"/>
          <w:szCs w:val="24"/>
        </w:rPr>
        <w:t>ՀԱՍՏԱՏՎԱԾ Է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902CAB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20</w:t>
      </w:r>
      <w:r w:rsidR="00902CAB">
        <w:rPr>
          <w:rFonts w:ascii="Sylfaen" w:hAnsi="Sylfaen"/>
          <w:sz w:val="24"/>
          <w:szCs w:val="24"/>
        </w:rPr>
        <w:t xml:space="preserve">   </w:t>
      </w:r>
      <w:r w:rsidR="00397F42">
        <w:rPr>
          <w:rFonts w:ascii="Sylfaen" w:hAnsi="Sylfaen"/>
          <w:sz w:val="24"/>
          <w:szCs w:val="24"/>
        </w:rPr>
        <w:t xml:space="preserve"> 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902CAB">
        <w:rPr>
          <w:rFonts w:ascii="Sylfaen" w:hAnsi="Sylfaen"/>
          <w:sz w:val="24"/>
          <w:szCs w:val="24"/>
        </w:rPr>
        <w:t xml:space="preserve">  </w:t>
      </w:r>
      <w:r w:rsidRPr="00B508A1">
        <w:rPr>
          <w:rFonts w:ascii="Sylfaen" w:hAnsi="Sylfaen"/>
          <w:sz w:val="24"/>
          <w:szCs w:val="24"/>
        </w:rPr>
        <w:t>թվականի թիվ</w:t>
      </w:r>
      <w:r w:rsidR="00397F42">
        <w:rPr>
          <w:rFonts w:ascii="Sylfaen" w:hAnsi="Sylfaen"/>
          <w:sz w:val="24"/>
          <w:szCs w:val="24"/>
        </w:rPr>
        <w:t xml:space="preserve"> </w:t>
      </w:r>
      <w:r w:rsidR="00902CAB">
        <w:rPr>
          <w:rFonts w:ascii="Sylfaen" w:hAnsi="Sylfaen"/>
          <w:sz w:val="24"/>
          <w:szCs w:val="24"/>
        </w:rPr>
        <w:t xml:space="preserve">    </w:t>
      </w:r>
      <w:r w:rsidR="00397F42">
        <w:rPr>
          <w:rFonts w:ascii="Sylfaen" w:hAnsi="Sylfaen"/>
          <w:sz w:val="24"/>
          <w:szCs w:val="24"/>
        </w:rPr>
        <w:t xml:space="preserve">  </w:t>
      </w:r>
      <w:r w:rsidRPr="00B508A1">
        <w:rPr>
          <w:rFonts w:ascii="Sylfaen" w:hAnsi="Sylfaen"/>
          <w:sz w:val="24"/>
          <w:szCs w:val="24"/>
        </w:rPr>
        <w:t>որոշմամբ</w:t>
      </w:r>
    </w:p>
    <w:p w:rsidR="004B4CBD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</w:p>
    <w:p w:rsidR="002128EA" w:rsidRPr="00B508A1" w:rsidRDefault="004B4CBD" w:rsidP="00902CAB">
      <w:pPr>
        <w:pStyle w:val="Heading22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B508A1">
        <w:rPr>
          <w:rStyle w:val="Heading22Spacing2pt"/>
          <w:rFonts w:ascii="Sylfaen" w:hAnsi="Sylfaen"/>
          <w:b/>
          <w:spacing w:val="0"/>
          <w:sz w:val="24"/>
          <w:szCs w:val="24"/>
        </w:rPr>
        <w:t>ԾՐԱԳԻՐ</w:t>
      </w:r>
    </w:p>
    <w:p w:rsidR="002128EA" w:rsidRPr="00B508A1" w:rsidRDefault="004B4CBD" w:rsidP="00902CAB">
      <w:pPr>
        <w:pStyle w:val="Bodytext4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Եվրասիական տնտեսական միության</w:t>
      </w:r>
      <w:r w:rsidR="00C5776C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902CAB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</w:t>
      </w:r>
    </w:p>
    <w:p w:rsidR="002128EA" w:rsidRPr="00B508A1" w:rsidRDefault="002128EA" w:rsidP="00902CAB">
      <w:pPr>
        <w:spacing w:after="160" w:line="360" w:lineRule="auto"/>
        <w:jc w:val="center"/>
        <w:rPr>
          <w:rFonts w:ascii="Sylfaen" w:hAnsi="Sylfaen"/>
        </w:rPr>
      </w:pPr>
    </w:p>
    <w:p w:rsidR="002128EA" w:rsidRDefault="004B4CBD" w:rsidP="00167D8A">
      <w:pPr>
        <w:pStyle w:val="Bodytext21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I. Ընդհանուր դրույթներ</w:t>
      </w:r>
    </w:p>
    <w:p w:rsidR="00000915" w:rsidRPr="00B508A1" w:rsidRDefault="00000915" w:rsidP="00167D8A">
      <w:pPr>
        <w:pStyle w:val="Bodytext21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24"/>
        </w:rPr>
      </w:pPr>
    </w:p>
    <w:p w:rsidR="002128EA" w:rsidRPr="00B508A1" w:rsidRDefault="004B4CBD" w:rsidP="00167D8A">
      <w:pPr>
        <w:pStyle w:val="Bodytext21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1. Ծրագրի մշակման հիմքը</w:t>
      </w:r>
    </w:p>
    <w:p w:rsidR="002128EA" w:rsidRPr="00B508A1" w:rsidRDefault="00397F42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 xml:space="preserve">Սույն </w:t>
      </w:r>
      <w:r w:rsidR="00C5776C" w:rsidRPr="00B508A1">
        <w:rPr>
          <w:rFonts w:ascii="Sylfaen" w:hAnsi="Sylfaen"/>
          <w:sz w:val="24"/>
          <w:szCs w:val="24"/>
        </w:rPr>
        <w:t xml:space="preserve">ծրագիրը </w:t>
      </w:r>
      <w:r w:rsidR="004B4CBD" w:rsidRPr="00B508A1">
        <w:rPr>
          <w:rFonts w:ascii="Sylfaen" w:hAnsi="Sylfaen"/>
          <w:sz w:val="24"/>
          <w:szCs w:val="24"/>
        </w:rPr>
        <w:t xml:space="preserve">մշակվել է «Եվրասիական տնտեսական միության մասին» 2014 թվականի մայիսի 29-ի պայմանագրի (այսուհետ՝ Պայմանագիր) 84-րդ հոդվածին համապատասխան՝ հաշվի առնելով Պայմանագրի 79-րդ հոդվածի դրույթները, «Նավթի եւ նավթամթերքի ընդհանուր շուկաների կազմակերպման, կառավարման, գործունեության եւ զարգացման կարգի մասին» արձանագրությունը (Պայմանագրի </w:t>
      </w:r>
      <w:r w:rsidR="009F385E" w:rsidRPr="00B508A1">
        <w:rPr>
          <w:rFonts w:ascii="Sylfaen" w:hAnsi="Sylfaen"/>
          <w:sz w:val="24"/>
          <w:szCs w:val="24"/>
        </w:rPr>
        <w:t xml:space="preserve">թիվ </w:t>
      </w:r>
      <w:r w:rsidR="004B4CBD" w:rsidRPr="00B508A1">
        <w:rPr>
          <w:rFonts w:ascii="Sylfaen" w:hAnsi="Sylfaen"/>
          <w:sz w:val="24"/>
          <w:szCs w:val="24"/>
        </w:rPr>
        <w:t xml:space="preserve">23 հավելված)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Եվրասիական տնտեսական բարձրագույն խորհրդի 2016 թվականի մայիսի 31-ի թիվ 8 որոշմամբ հաստատված՝ Եվրասիական տնտեսական միության</w:t>
      </w:r>
      <w:r w:rsidR="009F385E" w:rsidRPr="00B508A1">
        <w:rPr>
          <w:rFonts w:ascii="Sylfaen" w:hAnsi="Sylfaen"/>
          <w:sz w:val="24"/>
          <w:szCs w:val="24"/>
        </w:rPr>
        <w:t>՝</w:t>
      </w:r>
      <w:r w:rsidR="004B4CBD"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>ավորման հայեցակարգը (այսուհետ՝ Հայեցակարգ):</w:t>
      </w:r>
    </w:p>
    <w:p w:rsidR="004B4CBD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4020"/>
        <w:jc w:val="center"/>
        <w:rPr>
          <w:rFonts w:ascii="Sylfaen" w:hAnsi="Sylfaen"/>
          <w:sz w:val="24"/>
          <w:szCs w:val="24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2. Սահմանումները</w:t>
      </w:r>
    </w:p>
    <w:p w:rsidR="002128EA" w:rsidRPr="00B508A1" w:rsidRDefault="00397F42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 xml:space="preserve">Սույն </w:t>
      </w:r>
      <w:r w:rsidR="009F385E" w:rsidRPr="00B508A1">
        <w:rPr>
          <w:rFonts w:ascii="Sylfaen" w:hAnsi="Sylfaen"/>
          <w:sz w:val="24"/>
          <w:szCs w:val="24"/>
        </w:rPr>
        <w:t xml:space="preserve">ծրագրի </w:t>
      </w:r>
      <w:r w:rsidR="004B4CBD" w:rsidRPr="00B508A1">
        <w:rPr>
          <w:rFonts w:ascii="Sylfaen" w:hAnsi="Sylfaen"/>
          <w:sz w:val="24"/>
          <w:szCs w:val="24"/>
        </w:rPr>
        <w:t>նպատակներով օգտագործվում են հասկացություններ, որոնք ունեն հետեւյալ իմաստը`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 xml:space="preserve">«նավթի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սակարկություններ»՝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սակարկություններ, որոնք անցկացվում են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 անցկացնելու կանոններին համապատասխան</w:t>
      </w:r>
      <w:r w:rsidR="00AF2151" w:rsidRPr="00B508A1">
        <w:rPr>
          <w:rFonts w:ascii="Sylfaen" w:hAnsi="Sylfaen"/>
          <w:sz w:val="24"/>
          <w:szCs w:val="24"/>
        </w:rPr>
        <w:t>,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ուղղված են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հետ կապված գործարքների կատարմանը՝ միասնական բորսային տարածքի շրջանակներում բորսային սակարկությունների օպերատորի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տրային համակարգ ներկայացրած հայտերի հիման վրա.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«նավթի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հասանելիություն»՝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օպերատորների կողմից կառավարվող՝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համակարգերն օգտագործելու իրավունքի տրամադրում՝ Եվրասիական տնտեսական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համար.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«միասնական բորսային տարածք»՝ բորսային սակարկությունների օպերատորների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Եվրասիական տնտեսական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մասնակիցների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հետ կապված բորսային գործարքների կատարմանն առնչվող տեղեկատվական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տեխնոլոգիական հարաբերությունների ամբողջություն.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«նավթի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միջպետական տրանսպորտային փոխադրում»՝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տեղափոխում ցանկացած եղանակով՝ Եվրասիական տնտեսական միության </w:t>
      </w:r>
      <w:r w:rsidR="00FC2B04" w:rsidRPr="00B508A1">
        <w:rPr>
          <w:rFonts w:ascii="Sylfaen" w:hAnsi="Sylfaen"/>
          <w:sz w:val="24"/>
          <w:szCs w:val="24"/>
        </w:rPr>
        <w:t xml:space="preserve">մեկ </w:t>
      </w:r>
      <w:r w:rsidRPr="00B508A1">
        <w:rPr>
          <w:rFonts w:ascii="Sylfaen" w:hAnsi="Sylfaen"/>
          <w:sz w:val="24"/>
          <w:szCs w:val="24"/>
        </w:rPr>
        <w:t>անդամ պետության իրավասության տակ գտնվող ընդունման կետից մինչ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Եվրասիական տնտեսական միության </w:t>
      </w:r>
      <w:r w:rsidR="001E65E2" w:rsidRPr="00B508A1">
        <w:rPr>
          <w:rFonts w:ascii="Sylfaen" w:hAnsi="Sylfaen"/>
          <w:sz w:val="24"/>
          <w:szCs w:val="24"/>
        </w:rPr>
        <w:t xml:space="preserve">մյուս </w:t>
      </w:r>
      <w:r w:rsidRPr="00B508A1">
        <w:rPr>
          <w:rFonts w:ascii="Sylfaen" w:hAnsi="Sylfaen"/>
          <w:sz w:val="24"/>
          <w:szCs w:val="24"/>
        </w:rPr>
        <w:t>անդամ պետության իրավասության տակ գտնվող հանձնման կետը (կամ դրա միջով) կամ մինչ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Եվրասիական տնտեսական միության անդամ պետության իրավասության տակ չգտնվող հանձնման կետը (կամ դրա միջով)՝ պայմանով, որ այդ տեղափոխումն իրականացվում է Եվրասիական տնտեսական միության առնվազն 2 անդամ պետությունների տարածքներով.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 xml:space="preserve">«թողունակություն»՝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հնարավոր առավելագույն քանակություն, որը կարելի է փոխադրել խողովակաշարերի համակարգով կամ դրա հատվածամասով ժամանակի մեկ միավորում՝ հաշվի առնելով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(կամ) նավթամթերքի ֆիզիկական հատկությունները, համապատասխան տեխնիկական նորմերը, այդ համակարգի կամ դրա հատվածամասի տեխնոլոգիական սարքավորումների </w:t>
      </w:r>
      <w:r w:rsidR="00077A85" w:rsidRPr="00B508A1">
        <w:rPr>
          <w:rFonts w:ascii="Sylfaen" w:hAnsi="Sylfaen"/>
          <w:sz w:val="24"/>
          <w:szCs w:val="24"/>
        </w:rPr>
        <w:t xml:space="preserve">հատկանիշները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վիճակը.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«նավթի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իրացում»՝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նկատմամբ սեփականության իրավունքի փոխանցում վճարովի հիմունքով (այդ թվում՝ ապրանքների փոխանակում).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«նավթի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</w:t>
      </w:r>
      <w:r w:rsidR="00077A85" w:rsidRPr="00B508A1">
        <w:rPr>
          <w:rFonts w:ascii="Sylfaen" w:hAnsi="Sylfaen"/>
          <w:sz w:val="24"/>
          <w:szCs w:val="24"/>
        </w:rPr>
        <w:t xml:space="preserve">փոխադրման </w:t>
      </w:r>
      <w:r w:rsidRPr="00B508A1">
        <w:rPr>
          <w:rFonts w:ascii="Sylfaen" w:hAnsi="Sylfaen"/>
          <w:sz w:val="24"/>
          <w:szCs w:val="24"/>
        </w:rPr>
        <w:t xml:space="preserve">տեխնիկական հնարավորություններ»՝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հնարավոր առավելագույն քանակություն, որը կարելի է փոխադրել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համակարգով ընդունման կետից մինչ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հանձնման կետ որոշակի ժամանակահատվածում՝ տեխնոլոգիական ռեժիմների պահպանման </w:t>
      </w:r>
      <w:r w:rsidR="00835A40" w:rsidRPr="00B508A1">
        <w:rPr>
          <w:rFonts w:ascii="Sylfaen" w:hAnsi="Sylfaen"/>
          <w:sz w:val="24"/>
          <w:szCs w:val="24"/>
        </w:rPr>
        <w:t>պայմանով</w:t>
      </w:r>
      <w:r w:rsidRPr="00B508A1">
        <w:rPr>
          <w:rFonts w:ascii="Sylfaen" w:hAnsi="Sylfaen"/>
          <w:sz w:val="24"/>
          <w:szCs w:val="24"/>
        </w:rPr>
        <w:t xml:space="preserve">՝ հաշվի առնելով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համակարգի յուրաքանչյուր տեխնոլոգիական հատվածամասի թողունակությունը մեկ օրում,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(կամ) նավթամթերքի ֆիզիկական հատկությունները,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այդ համակարգի կամ դրա հատվածամասի տեխնոլոգիական սարքավորումների վիճակը.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«նավթի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տուր»՝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իրացմանն առնչվող ձեռնարկատիրական գործունեություն.</w:t>
      </w:r>
    </w:p>
    <w:p w:rsidR="002128EA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«գնային ցուցիչներ»՝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գները, որոնք հաշվարկվել են միասնական բորսային տարածքի շրջանակներում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(կամ)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</w:t>
      </w:r>
      <w:r w:rsidR="00377F84" w:rsidRPr="00B508A1">
        <w:rPr>
          <w:rFonts w:ascii="Sylfaen" w:hAnsi="Sylfaen"/>
          <w:sz w:val="24"/>
          <w:szCs w:val="24"/>
        </w:rPr>
        <w:t xml:space="preserve">արտաբորսային </w:t>
      </w:r>
      <w:r w:rsidRPr="00B508A1">
        <w:rPr>
          <w:rFonts w:ascii="Sylfaen" w:hAnsi="Sylfaen"/>
          <w:sz w:val="24"/>
          <w:szCs w:val="24"/>
        </w:rPr>
        <w:t>շուկաներում որոշակի ժամանակահատվածում կատարված գործարքների գների հիման վրա՝ Եվրասիական տնտեսական միության անդամ պետությունների կողմից հաստատվող մեթոդիկաների օգտագործմամբ:</w:t>
      </w:r>
    </w:p>
    <w:p w:rsidR="00000915" w:rsidRPr="00B508A1" w:rsidRDefault="00000915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 xml:space="preserve">Սույն </w:t>
      </w:r>
      <w:r w:rsidR="00DD5AE6" w:rsidRPr="00B508A1">
        <w:rPr>
          <w:rFonts w:ascii="Sylfaen" w:hAnsi="Sylfaen"/>
          <w:sz w:val="24"/>
          <w:szCs w:val="24"/>
        </w:rPr>
        <w:t xml:space="preserve">ծրագրում </w:t>
      </w:r>
      <w:r w:rsidRPr="00B508A1">
        <w:rPr>
          <w:rFonts w:ascii="Sylfaen" w:hAnsi="Sylfaen"/>
          <w:sz w:val="24"/>
          <w:szCs w:val="24"/>
        </w:rPr>
        <w:t xml:space="preserve">օգտագործվող </w:t>
      </w:r>
      <w:r w:rsidR="00B56C34" w:rsidRPr="00B508A1">
        <w:rPr>
          <w:rFonts w:ascii="Sylfaen" w:hAnsi="Sylfaen"/>
          <w:sz w:val="24"/>
          <w:szCs w:val="24"/>
        </w:rPr>
        <w:t>մյուս</w:t>
      </w:r>
      <w:r w:rsidR="00DD5AE6" w:rsidRPr="00B508A1">
        <w:rPr>
          <w:rFonts w:ascii="Sylfaen" w:hAnsi="Sylfaen"/>
          <w:sz w:val="24"/>
          <w:szCs w:val="24"/>
        </w:rPr>
        <w:t xml:space="preserve"> </w:t>
      </w:r>
      <w:r w:rsidRPr="00B508A1">
        <w:rPr>
          <w:rFonts w:ascii="Sylfaen" w:hAnsi="Sylfaen"/>
          <w:sz w:val="24"/>
          <w:szCs w:val="24"/>
        </w:rPr>
        <w:t xml:space="preserve">հասկացությունները կիրառվում են Պայմանագրով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Հայեցակարգով սահմանված իմաստներով:</w:t>
      </w:r>
    </w:p>
    <w:p w:rsidR="002128EA" w:rsidRPr="00B508A1" w:rsidRDefault="002128EA" w:rsidP="00B508A1">
      <w:pPr>
        <w:spacing w:after="160" w:line="360" w:lineRule="auto"/>
        <w:rPr>
          <w:rFonts w:ascii="Sylfaen" w:hAnsi="Sylfaen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3. Ծրագրի նպատակները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խնդիրները</w:t>
      </w:r>
    </w:p>
    <w:p w:rsidR="002128EA" w:rsidRPr="00B508A1" w:rsidRDefault="003D566C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 xml:space="preserve">Սույն </w:t>
      </w:r>
      <w:r w:rsidR="00DD5AE6" w:rsidRPr="00B508A1">
        <w:rPr>
          <w:rFonts w:ascii="Sylfaen" w:hAnsi="Sylfaen"/>
          <w:sz w:val="24"/>
          <w:szCs w:val="24"/>
        </w:rPr>
        <w:t xml:space="preserve">ծրագրի </w:t>
      </w:r>
      <w:r w:rsidR="004B4CBD" w:rsidRPr="00B508A1">
        <w:rPr>
          <w:rFonts w:ascii="Sylfaen" w:hAnsi="Sylfaen"/>
          <w:sz w:val="24"/>
          <w:szCs w:val="24"/>
        </w:rPr>
        <w:t>նպատակներն են՝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00091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Եվրասիական տնտեսական միության անդամ պետությունների (այսուհետ համապատասխանաբար՝ Միություն, անդամ պետություններ) պատրաստականության ապահովումը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անդամ պետությունների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շուկաների սուբյեկտների մասնակցությանը, այդ թվում՝ իրավական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տնտեսական պայմանների ստեղծումը՝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գործունեության համար</w:t>
      </w:r>
      <w:r w:rsidR="001E65E2" w:rsidRPr="00B508A1">
        <w:rPr>
          <w:rFonts w:ascii="Sylfaen" w:hAnsi="Sylfaen"/>
          <w:sz w:val="24"/>
          <w:szCs w:val="24"/>
        </w:rPr>
        <w:t>.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00091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պետություններում այնպիսի պայմանների ստեղծման ապահովումը, որոնք անհրաժեշտ են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պայմանագրի իրագործման համար, որն ուժի մեջ է մտնում ոչ ուշ, քան 2025 թվականի հունվարի</w:t>
      </w:r>
      <w:r w:rsidR="00000915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>1-ը։</w:t>
      </w:r>
    </w:p>
    <w:p w:rsidR="002128EA" w:rsidRPr="00B508A1" w:rsidRDefault="003D566C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 xml:space="preserve">Սույն </w:t>
      </w:r>
      <w:r w:rsidR="00DD5AE6" w:rsidRPr="00B508A1">
        <w:rPr>
          <w:rFonts w:ascii="Sylfaen" w:hAnsi="Sylfaen"/>
          <w:sz w:val="24"/>
          <w:szCs w:val="24"/>
        </w:rPr>
        <w:t xml:space="preserve">ծրագրի </w:t>
      </w:r>
      <w:r w:rsidR="004B4CBD" w:rsidRPr="00B508A1">
        <w:rPr>
          <w:rFonts w:ascii="Sylfaen" w:hAnsi="Sylfaen"/>
          <w:sz w:val="24"/>
          <w:szCs w:val="24"/>
        </w:rPr>
        <w:t>խնդիրներն են`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00091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մասնակիցների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տրի շուկայական մեխանիզմների ստեղծումը, զարգացումը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արդյունավետության բարձրացումը, այդ թվում՝ շուկայական գնագոյացման գործիքների, բորսային սակարկությունների օգտագործմամբ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բարեխիղճ մրցակցության ապահովմամբ.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00091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մասնակիցների՝ անդամ պետությունների շուկաների</w:t>
      </w:r>
      <w:r w:rsidR="0093412C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ոչ խտրական հասանելիության ապահովման համար պայմանների ստեղծումը (հաշվի առնելով անդամ պետությունների տնտեսությունների շահերը), անդամ պետությունների </w:t>
      </w:r>
      <w:r w:rsidRPr="00B508A1">
        <w:rPr>
          <w:rFonts w:ascii="Sylfaen" w:hAnsi="Sylfaen"/>
          <w:sz w:val="24"/>
          <w:szCs w:val="24"/>
        </w:rPr>
        <w:lastRenderedPageBreak/>
        <w:t>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տրում քանակական սահմանափակումների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արտահանման մաքսատուրքերի (համարժեք այլ տուրքերի, հարկերի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1E65E2" w:rsidRPr="00B508A1">
        <w:rPr>
          <w:rFonts w:ascii="Sylfaen" w:hAnsi="Sylfaen"/>
          <w:sz w:val="24"/>
          <w:szCs w:val="24"/>
        </w:rPr>
        <w:t>վճար</w:t>
      </w:r>
      <w:r w:rsidR="0093412C" w:rsidRPr="00B508A1">
        <w:rPr>
          <w:rFonts w:ascii="Sylfaen" w:hAnsi="Sylfaen"/>
          <w:sz w:val="24"/>
          <w:szCs w:val="24"/>
        </w:rPr>
        <w:t>ների</w:t>
      </w:r>
      <w:r w:rsidRPr="00B508A1">
        <w:rPr>
          <w:rFonts w:ascii="Sylfaen" w:hAnsi="Sylfaen"/>
          <w:sz w:val="24"/>
          <w:szCs w:val="24"/>
        </w:rPr>
        <w:t>) վերացումը.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00091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համար անդամ պետությունների օրենսդրության ներդաշնակեցման ապահովումը նավթային ոլորտում՝ հաշվի առնելով </w:t>
      </w:r>
      <w:r w:rsidR="001C28A7" w:rsidRPr="00B508A1">
        <w:rPr>
          <w:rFonts w:ascii="Sylfaen" w:hAnsi="Sylfaen"/>
          <w:sz w:val="24"/>
          <w:szCs w:val="24"/>
        </w:rPr>
        <w:t>անդամ պետությունների միջ</w:t>
      </w:r>
      <w:r w:rsidR="00A6388E">
        <w:rPr>
          <w:rFonts w:ascii="Sylfaen" w:hAnsi="Sylfaen"/>
          <w:sz w:val="24"/>
          <w:szCs w:val="24"/>
        </w:rPr>
        <w:t>եւ</w:t>
      </w:r>
      <w:r w:rsidR="001C28A7" w:rsidRPr="00B508A1">
        <w:rPr>
          <w:rFonts w:ascii="Sylfaen" w:hAnsi="Sylfaen"/>
          <w:sz w:val="24"/>
          <w:szCs w:val="24"/>
        </w:rPr>
        <w:t xml:space="preserve"> </w:t>
      </w:r>
      <w:r w:rsidRPr="00B508A1">
        <w:rPr>
          <w:rFonts w:ascii="Sylfaen" w:hAnsi="Sylfaen"/>
          <w:sz w:val="24"/>
          <w:szCs w:val="24"/>
        </w:rPr>
        <w:t>միջազգային պայմանագրերը.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4)</w:t>
      </w:r>
      <w:r w:rsidR="0000091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ծառայությունների նկատմամբ սակագնի գոյացման (գնագոյացման) ընդհանուր սկզբունքների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մեթոդների կիրառումը.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5)</w:t>
      </w:r>
      <w:r w:rsidR="0000091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գործունեության կանոնների մշակումը.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6)</w:t>
      </w:r>
      <w:r w:rsidR="00000915">
        <w:rPr>
          <w:rFonts w:ascii="Sylfaen" w:hAnsi="Sylfaen"/>
          <w:sz w:val="24"/>
          <w:szCs w:val="24"/>
        </w:rPr>
        <w:tab/>
      </w:r>
      <w:r w:rsidR="0093412C" w:rsidRPr="00B508A1">
        <w:rPr>
          <w:rFonts w:ascii="Sylfaen" w:hAnsi="Sylfaen"/>
          <w:sz w:val="24"/>
          <w:szCs w:val="24"/>
        </w:rPr>
        <w:t xml:space="preserve">մրցակցության պաշտպանության բնագավառում </w:t>
      </w:r>
      <w:r w:rsidRPr="00B508A1">
        <w:rPr>
          <w:rFonts w:ascii="Sylfaen" w:hAnsi="Sylfaen"/>
          <w:sz w:val="24"/>
          <w:szCs w:val="24"/>
        </w:rPr>
        <w:t>անդամ պետությունների օրենսդրության պահանջների պահպանման հսկողության ապահովումը</w:t>
      </w:r>
      <w:r w:rsidR="001C28A7" w:rsidRPr="00B508A1">
        <w:rPr>
          <w:rFonts w:ascii="Sylfaen" w:hAnsi="Sylfaen"/>
          <w:sz w:val="24"/>
          <w:szCs w:val="24"/>
        </w:rPr>
        <w:t>,</w:t>
      </w:r>
      <w:r w:rsidRPr="00B508A1">
        <w:rPr>
          <w:rFonts w:ascii="Sylfaen" w:hAnsi="Sylfaen"/>
          <w:sz w:val="24"/>
          <w:szCs w:val="24"/>
        </w:rPr>
        <w:t xml:space="preserve"> ներառյալ</w:t>
      </w:r>
      <w:r w:rsidR="001C28A7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մասնակիցների կողմից արգելքների պահպանման հսկողությունը՝ ոչ խտրական պայմանների ստեղծման մասով,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 մատուցող տնտեսավարող սուբյեկտների կողմից սակագների (գների) կիրառման հսկողությունը.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7)</w:t>
      </w:r>
      <w:r w:rsidR="0000091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առկա տեխնիկական հնարավորությունների սահմաններում անդամ պետությունների տարածքներում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համակարգով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երկարաժամկետ տրանսպորտային փոխադրման երաշխավորված իրականացման ապահովումը.</w:t>
      </w:r>
    </w:p>
    <w:p w:rsidR="002128EA" w:rsidRPr="00B508A1" w:rsidRDefault="004B4CBD" w:rsidP="0000091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8)</w:t>
      </w:r>
      <w:r w:rsidR="00000915">
        <w:rPr>
          <w:rFonts w:ascii="Sylfaen" w:hAnsi="Sylfaen"/>
          <w:sz w:val="24"/>
          <w:szCs w:val="24"/>
        </w:rPr>
        <w:tab/>
      </w:r>
      <w:r w:rsidR="00D277DE" w:rsidRPr="00B508A1">
        <w:rPr>
          <w:rFonts w:ascii="Sylfaen" w:hAnsi="Sylfaen"/>
          <w:sz w:val="24"/>
          <w:szCs w:val="24"/>
        </w:rPr>
        <w:t xml:space="preserve">անդամ պետությունների տարածքներում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="00D277DE" w:rsidRPr="00B508A1">
        <w:rPr>
          <w:rFonts w:ascii="Sylfaen" w:hAnsi="Sylfaen"/>
          <w:sz w:val="24"/>
          <w:szCs w:val="24"/>
        </w:rPr>
        <w:t xml:space="preserve"> նավթամթերքի արդյունահանման, տրանսպորտային փոխադրման, մատակարարման, </w:t>
      </w:r>
      <w:r w:rsidR="00D277DE" w:rsidRPr="00B508A1">
        <w:rPr>
          <w:rFonts w:ascii="Sylfaen" w:hAnsi="Sylfaen"/>
          <w:sz w:val="24"/>
          <w:szCs w:val="24"/>
        </w:rPr>
        <w:lastRenderedPageBreak/>
        <w:t xml:space="preserve">վերամշակման, իրացման </w:t>
      </w:r>
      <w:r w:rsidR="00A6388E">
        <w:rPr>
          <w:rFonts w:ascii="Sylfaen" w:hAnsi="Sylfaen"/>
          <w:sz w:val="24"/>
          <w:szCs w:val="24"/>
        </w:rPr>
        <w:t>եւ</w:t>
      </w:r>
      <w:r w:rsidR="00D277DE" w:rsidRPr="00B508A1">
        <w:rPr>
          <w:rFonts w:ascii="Sylfaen" w:hAnsi="Sylfaen"/>
          <w:sz w:val="24"/>
          <w:szCs w:val="24"/>
        </w:rPr>
        <w:t xml:space="preserve"> սպառման մասին վիճակագրական տեղեկատվությամբ՝ </w:t>
      </w:r>
      <w:r w:rsidRPr="00B508A1">
        <w:rPr>
          <w:rFonts w:ascii="Sylfaen" w:hAnsi="Sylfaen"/>
          <w:sz w:val="24"/>
          <w:szCs w:val="24"/>
        </w:rPr>
        <w:t>անդամ պետությունների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տեղեկատվական փոխանակման ապահովումը.</w:t>
      </w:r>
    </w:p>
    <w:p w:rsidR="002128EA" w:rsidRPr="00B508A1" w:rsidRDefault="004B4CBD" w:rsidP="00FB32A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9)</w:t>
      </w:r>
      <w:r w:rsidR="00FB32A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պետությունների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արդյունահանման, տրանսպորտային փոխադրման, մատակարարման, վերամշակման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իրացման ոլորտներում ներդրումներ ներգրավելու համար բարենպաստ պայմանների ստեղծումը.</w:t>
      </w:r>
    </w:p>
    <w:p w:rsidR="002128EA" w:rsidRPr="00B508A1" w:rsidRDefault="004B4CBD" w:rsidP="00FB32A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10)</w:t>
      </w:r>
      <w:r w:rsidR="00FB32A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բնապահպանական անվտանգության նորմերի պահպանման ապահովումը:</w:t>
      </w:r>
    </w:p>
    <w:p w:rsidR="004B4CBD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1720"/>
        <w:rPr>
          <w:rFonts w:ascii="Sylfaen" w:hAnsi="Sylfaen"/>
          <w:sz w:val="24"/>
          <w:szCs w:val="24"/>
        </w:rPr>
      </w:pPr>
    </w:p>
    <w:p w:rsidR="002128EA" w:rsidRPr="00B508A1" w:rsidRDefault="004B4CBD" w:rsidP="00B40816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4. Ծրագրի իրագործումից </w:t>
      </w:r>
      <w:r w:rsidR="00B40816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ակնկալվող արդյունքները</w:t>
      </w:r>
    </w:p>
    <w:p w:rsidR="002128EA" w:rsidRPr="00B508A1" w:rsidRDefault="00E20642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 xml:space="preserve">Սույն </w:t>
      </w:r>
      <w:r w:rsidR="00D277DE" w:rsidRPr="00B508A1">
        <w:rPr>
          <w:rFonts w:ascii="Sylfaen" w:hAnsi="Sylfaen"/>
          <w:sz w:val="24"/>
          <w:szCs w:val="24"/>
        </w:rPr>
        <w:t xml:space="preserve">ծրագրի </w:t>
      </w:r>
      <w:r w:rsidR="004B4CBD" w:rsidRPr="00B508A1">
        <w:rPr>
          <w:rFonts w:ascii="Sylfaen" w:hAnsi="Sylfaen"/>
          <w:sz w:val="24"/>
          <w:szCs w:val="24"/>
        </w:rPr>
        <w:t>իրագործման արդյունքում կձ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>ավորվեն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="004B4CBD"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նավթամթերքի ընդհանուր շուկաները, կապահովվի անդամ պետությունների տնտեսավարող սուբյեկտների՝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="004B4CBD"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նավթամթերքի ընդհանուր շուկաների</w:t>
      </w:r>
      <w:r w:rsidR="00CF3B49" w:rsidRPr="00B508A1">
        <w:rPr>
          <w:rFonts w:ascii="Sylfaen" w:hAnsi="Sylfaen"/>
          <w:sz w:val="24"/>
          <w:szCs w:val="24"/>
        </w:rPr>
        <w:t>ն</w:t>
      </w:r>
      <w:r w:rsidR="004B4CBD" w:rsidRPr="00B508A1">
        <w:rPr>
          <w:rFonts w:ascii="Sylfaen" w:hAnsi="Sylfaen"/>
          <w:sz w:val="24"/>
          <w:szCs w:val="24"/>
        </w:rPr>
        <w:t xml:space="preserve"> ոչ խտրական հասանելիությունը:</w:t>
      </w:r>
    </w:p>
    <w:p w:rsidR="002128EA" w:rsidRPr="00B508A1" w:rsidRDefault="00E20642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>Միության</w:t>
      </w:r>
      <w:r w:rsidR="001C28A7" w:rsidRPr="00B508A1">
        <w:rPr>
          <w:rFonts w:ascii="Sylfaen" w:hAnsi="Sylfaen"/>
          <w:sz w:val="24"/>
          <w:szCs w:val="24"/>
        </w:rPr>
        <w:t>՝</w:t>
      </w:r>
      <w:r w:rsidR="004B4CBD"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կձ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>ավորվեն միասնական բորսային տարածք</w:t>
      </w:r>
      <w:r w:rsidR="00CF3B49" w:rsidRPr="00B508A1">
        <w:rPr>
          <w:rFonts w:ascii="Sylfaen" w:hAnsi="Sylfaen"/>
          <w:sz w:val="24"/>
          <w:szCs w:val="24"/>
        </w:rPr>
        <w:t>ը</w:t>
      </w:r>
      <w:r w:rsidR="004B4CBD" w:rsidRPr="00B508A1">
        <w:rPr>
          <w:rFonts w:ascii="Sylfaen" w:hAnsi="Sylfaen"/>
          <w:sz w:val="24"/>
          <w:szCs w:val="24"/>
        </w:rPr>
        <w:t xml:space="preserve">, բորսային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արտաբորսային թափանցիկ գնային ցուցիչներ</w:t>
      </w:r>
      <w:r w:rsidR="00CF3B49" w:rsidRPr="00B508A1">
        <w:rPr>
          <w:rFonts w:ascii="Sylfaen" w:hAnsi="Sylfaen"/>
          <w:sz w:val="24"/>
          <w:szCs w:val="24"/>
        </w:rPr>
        <w:t>ը</w:t>
      </w:r>
      <w:r w:rsidR="004B4CBD" w:rsidRPr="00B508A1">
        <w:rPr>
          <w:rFonts w:ascii="Sylfaen" w:hAnsi="Sylfaen"/>
          <w:sz w:val="24"/>
          <w:szCs w:val="24"/>
        </w:rPr>
        <w:t xml:space="preserve">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="004B4CBD"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նավթամթերքի ընդհանուր շուկաներում, կապահովվի անդամ պետությունների տնտեսավարող սուբյեկտների՝ նավթի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սակարկությունների</w:t>
      </w:r>
      <w:r w:rsidR="00CF3B49" w:rsidRPr="00B508A1">
        <w:rPr>
          <w:rFonts w:ascii="Sylfaen" w:hAnsi="Sylfaen"/>
          <w:sz w:val="24"/>
          <w:szCs w:val="24"/>
        </w:rPr>
        <w:t>ն</w:t>
      </w:r>
      <w:r w:rsidR="004B4CBD" w:rsidRPr="00B508A1">
        <w:rPr>
          <w:rFonts w:ascii="Sylfaen" w:hAnsi="Sylfaen"/>
          <w:sz w:val="24"/>
          <w:szCs w:val="24"/>
        </w:rPr>
        <w:t xml:space="preserve"> ոչ խտրական հասանելիությունը, ինչպես նա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կսահմանվի միասնական բորսային տարածքի շրջանակներում կատարված գործարքների (պայմանագրերի) կատարման մեխանիզմը:</w:t>
      </w:r>
    </w:p>
    <w:p w:rsidR="002128EA" w:rsidRPr="00B508A1" w:rsidRDefault="00E20642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="004B4CBD"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նավթամթերքի ընդհանուր շուկաների զարգացումը կնպաստի </w:t>
      </w:r>
      <w:r w:rsidR="00CF3B49" w:rsidRPr="00B508A1">
        <w:rPr>
          <w:rFonts w:ascii="Sylfaen" w:hAnsi="Sylfaen"/>
          <w:sz w:val="24"/>
          <w:szCs w:val="24"/>
        </w:rPr>
        <w:t xml:space="preserve">էներգետիկ ռեսուրսների համաշխարհային շուկայի մասնակիցների հետ </w:t>
      </w:r>
      <w:r w:rsidR="004B4CBD" w:rsidRPr="00B508A1">
        <w:rPr>
          <w:rFonts w:ascii="Sylfaen" w:hAnsi="Sylfaen"/>
          <w:sz w:val="24"/>
          <w:szCs w:val="24"/>
        </w:rPr>
        <w:t xml:space="preserve">Միության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անդամ պետությունների</w:t>
      </w:r>
      <w:r w:rsidR="00CF3B49" w:rsidRPr="00B508A1">
        <w:rPr>
          <w:rFonts w:ascii="Sylfaen" w:hAnsi="Sylfaen"/>
          <w:sz w:val="24"/>
          <w:szCs w:val="24"/>
        </w:rPr>
        <w:t xml:space="preserve"> </w:t>
      </w:r>
      <w:r w:rsidR="004B4CBD" w:rsidRPr="00B508A1">
        <w:rPr>
          <w:rFonts w:ascii="Sylfaen" w:hAnsi="Sylfaen"/>
          <w:sz w:val="24"/>
          <w:szCs w:val="24"/>
        </w:rPr>
        <w:t xml:space="preserve">միջազգային </w:t>
      </w:r>
      <w:r w:rsidR="004B4CBD" w:rsidRPr="00B508A1">
        <w:rPr>
          <w:rFonts w:ascii="Sylfaen" w:hAnsi="Sylfaen"/>
          <w:sz w:val="24"/>
          <w:szCs w:val="24"/>
        </w:rPr>
        <w:lastRenderedPageBreak/>
        <w:t>համագործակցության հետագա ամրապնդմանը, այդ թվում՝ առ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տրային շրջանառության աճի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օտարերկրյա ներդրումների ներգրավման հաշվին:</w:t>
      </w:r>
    </w:p>
    <w:p w:rsidR="002128EA" w:rsidRPr="00B508A1" w:rsidRDefault="00E20642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="004B4CBD"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ավորումը կհանգեցնի անդամ պետությունների հետագա տնտեսական զարգացմանը, Էներգետիկ անվտանգության ամրապնդմանը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անդամ պետությունների ապրանքների մրցունակության աճին էներգետիկ ռեսուրսների համաշխարհային շուկայում:</w:t>
      </w:r>
    </w:p>
    <w:p w:rsidR="004B4CBD" w:rsidRPr="00B508A1" w:rsidRDefault="004B4CBD" w:rsidP="00B508A1">
      <w:pPr>
        <w:pStyle w:val="Bodytext21"/>
        <w:shd w:val="clear" w:color="auto" w:fill="auto"/>
        <w:spacing w:before="0" w:after="160" w:line="36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4B4CBD" w:rsidRDefault="004B4CBD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II. Ծրագրի միջոցառումների համակարգը</w:t>
      </w:r>
    </w:p>
    <w:p w:rsidR="00B40816" w:rsidRPr="00B508A1" w:rsidRDefault="00B40816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1. Ծրագրի իրագործման ժամկետները եւ փուլերը</w:t>
      </w:r>
    </w:p>
    <w:p w:rsidR="002128EA" w:rsidRPr="00B508A1" w:rsidRDefault="00E20642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4B4CBD" w:rsidRPr="00B508A1">
        <w:rPr>
          <w:rFonts w:ascii="Sylfaen" w:hAnsi="Sylfaen"/>
          <w:sz w:val="24"/>
          <w:szCs w:val="24"/>
        </w:rPr>
        <w:t xml:space="preserve">Սույն </w:t>
      </w:r>
      <w:r w:rsidR="00CF3B49" w:rsidRPr="00B508A1">
        <w:rPr>
          <w:rFonts w:ascii="Sylfaen" w:hAnsi="Sylfaen"/>
          <w:sz w:val="24"/>
          <w:szCs w:val="24"/>
        </w:rPr>
        <w:t xml:space="preserve">ծրագրի </w:t>
      </w:r>
      <w:r w:rsidR="004B4CBD" w:rsidRPr="00B508A1">
        <w:rPr>
          <w:rFonts w:ascii="Sylfaen" w:hAnsi="Sylfaen"/>
          <w:sz w:val="24"/>
          <w:szCs w:val="24"/>
        </w:rPr>
        <w:t>միջոցառումների իրագործումն իրականացվում է հետ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յալ փուլերին </w:t>
      </w:r>
      <w:r w:rsidR="00A6388E">
        <w:rPr>
          <w:rFonts w:ascii="Sylfaen" w:hAnsi="Sylfaen"/>
          <w:sz w:val="24"/>
          <w:szCs w:val="24"/>
        </w:rPr>
        <w:t>եւ</w:t>
      </w:r>
      <w:r w:rsidR="004B4CBD" w:rsidRPr="00B508A1">
        <w:rPr>
          <w:rFonts w:ascii="Sylfaen" w:hAnsi="Sylfaen"/>
          <w:sz w:val="24"/>
          <w:szCs w:val="24"/>
        </w:rPr>
        <w:t xml:space="preserve"> ժամկետներին համապատասխան՝</w:t>
      </w:r>
    </w:p>
    <w:p w:rsidR="002128EA" w:rsidRPr="00B508A1" w:rsidRDefault="004B4CBD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B40816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փուլ I (2018 - 2021 թթ</w:t>
      </w:r>
      <w:r w:rsidR="001E65E2" w:rsidRPr="00B508A1">
        <w:rPr>
          <w:rFonts w:ascii="Sylfaen" w:hAnsi="Sylfaen"/>
          <w:sz w:val="24"/>
          <w:szCs w:val="24"/>
        </w:rPr>
        <w:t>.</w:t>
      </w:r>
      <w:r w:rsidRPr="00B508A1">
        <w:rPr>
          <w:rFonts w:ascii="Sylfaen" w:hAnsi="Sylfaen"/>
          <w:sz w:val="24"/>
          <w:szCs w:val="24"/>
        </w:rPr>
        <w:t>)՝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կազմակերպական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մեթոդական հիմքի ստեղծում, անդամ պետությունների օրենսդրության ներդաշնակեցում՝ նավթային ոլորտում անդամ պետությունների օրենսդրության ներդաշնակեցմանն ուղղված միջոցառումների պլանին («ճանապարհային քարտեզին») համապատասխան.</w:t>
      </w:r>
    </w:p>
    <w:p w:rsidR="002128EA" w:rsidRPr="00B508A1" w:rsidRDefault="004B4CBD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B40816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փուլ II (2021 - 2024 թթ</w:t>
      </w:r>
      <w:r w:rsidR="001E65E2" w:rsidRPr="00B508A1">
        <w:rPr>
          <w:rFonts w:ascii="Sylfaen" w:hAnsi="Sylfaen"/>
          <w:sz w:val="24"/>
          <w:szCs w:val="24"/>
        </w:rPr>
        <w:t>.</w:t>
      </w:r>
      <w:r w:rsidRPr="00B508A1">
        <w:rPr>
          <w:rFonts w:ascii="Sylfaen" w:hAnsi="Sylfaen"/>
          <w:sz w:val="24"/>
          <w:szCs w:val="24"/>
        </w:rPr>
        <w:t>)՝ անդամ պետությունների լիազորված մարմինների կողմից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մասին միջազգային պայմանագրի նախագծի նախապատրաստում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համաձայնեցում.</w:t>
      </w:r>
    </w:p>
    <w:p w:rsidR="002128EA" w:rsidRDefault="004B4CBD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B40816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փուլ III (մինչ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2025 թվականի հունվարի 1-ը)՝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պայմանագրի ուժի մեջ մտնելը:</w:t>
      </w:r>
    </w:p>
    <w:p w:rsidR="00B40816" w:rsidRPr="00B508A1" w:rsidRDefault="00B40816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B40816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1</w:t>
      </w:r>
      <w:r w:rsidR="00E20642">
        <w:rPr>
          <w:rFonts w:ascii="Sylfaen" w:hAnsi="Sylfaen"/>
          <w:sz w:val="24"/>
          <w:szCs w:val="24"/>
        </w:rPr>
        <w:t>0.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Եվրասիական տնտեսական հանձնաժողովը (այսուհետ՝ Հանձնաժողով) անցկացնում է սույն </w:t>
      </w:r>
      <w:r w:rsidR="00ED5C3B" w:rsidRPr="00B508A1">
        <w:rPr>
          <w:rFonts w:ascii="Sylfaen" w:hAnsi="Sylfaen"/>
          <w:sz w:val="24"/>
          <w:szCs w:val="24"/>
        </w:rPr>
        <w:t xml:space="preserve">ծրագրի </w:t>
      </w:r>
      <w:r w:rsidRPr="00B508A1">
        <w:rPr>
          <w:rFonts w:ascii="Sylfaen" w:hAnsi="Sylfaen"/>
          <w:sz w:val="24"/>
          <w:szCs w:val="24"/>
        </w:rPr>
        <w:t>կատարման մոնիթորինգ, որի արդյունքներով յուրաքանչյուր տարի պատրաստում է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ընթացքի մասին զեկույց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հերթական փուլին անցում կատարելու մասին առաջարկություններ, այդ թվում՝ սույն </w:t>
      </w:r>
      <w:r w:rsidR="00ED5C3B" w:rsidRPr="00B508A1">
        <w:rPr>
          <w:rFonts w:ascii="Sylfaen" w:hAnsi="Sylfaen"/>
          <w:sz w:val="24"/>
          <w:szCs w:val="24"/>
        </w:rPr>
        <w:t xml:space="preserve">ծրագրով </w:t>
      </w:r>
      <w:r w:rsidRPr="00B508A1">
        <w:rPr>
          <w:rFonts w:ascii="Sylfaen" w:hAnsi="Sylfaen"/>
          <w:sz w:val="24"/>
          <w:szCs w:val="24"/>
        </w:rPr>
        <w:t>չնախատեսված միջոցառումների իրագործման մասին առաջարկություններ (ներառյալ</w:t>
      </w:r>
      <w:r w:rsidR="00E77E9C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Միության մարմինների ակտերի մշակումը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ընդունումը): Նշված</w:t>
      </w:r>
      <w:r w:rsidR="00B40816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>առաջարկություններն ուղարկվում են անդամ պետություններ՝ համաձայնեցման համար: Հաշվի առնելով համաձայնեցված առաջարկությունները՝ Եվրասիական տնտեսական բարձրագույն խորհուրդը որոշում է ընդունում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հերթական փուլին անցում կատարելու մասին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սահմանում է այդ փուլի բովանդակությունը: Հանձնաժողովը յուրաքանչյուր տարի տեղեկացնում է Եվրասիական միջկառավարական խորհրդին մոնիթորինգի արդյունքների մասին:</w:t>
      </w:r>
    </w:p>
    <w:p w:rsidR="004B4CBD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360" w:right="140" w:firstLine="700"/>
        <w:rPr>
          <w:rFonts w:ascii="Sylfaen" w:hAnsi="Sylfaen"/>
          <w:sz w:val="24"/>
          <w:szCs w:val="24"/>
        </w:rPr>
      </w:pPr>
    </w:p>
    <w:p w:rsidR="002128EA" w:rsidRPr="00B508A1" w:rsidRDefault="004B4CBD" w:rsidP="00B40816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2.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շուկաները կանոնակարգող ակտերի մշակում</w:t>
      </w:r>
    </w:p>
    <w:p w:rsidR="002128EA" w:rsidRPr="00B508A1" w:rsidRDefault="004B4CBD" w:rsidP="00E52E8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</w:t>
      </w:r>
      <w:r w:rsidR="00397F42">
        <w:rPr>
          <w:rFonts w:ascii="Sylfaen" w:hAnsi="Sylfaen"/>
          <w:sz w:val="24"/>
          <w:szCs w:val="24"/>
        </w:rPr>
        <w:t>1.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Հանձնաժողովը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պետությունները մշակում են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գործունեության հարցերով ակտեր: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 մատուցող տնտեսավարող սուբյեկտների նկատմամբ կիրառվում են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շուկաները կանոնակարգող ակտեր,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օրենսդրության պահանջներ՝ բնական մենաշնորհ</w:t>
      </w:r>
      <w:r w:rsidR="004740FF" w:rsidRPr="00B508A1">
        <w:rPr>
          <w:rFonts w:ascii="Sylfaen" w:hAnsi="Sylfaen"/>
          <w:sz w:val="24"/>
          <w:szCs w:val="24"/>
        </w:rPr>
        <w:t>ներ</w:t>
      </w:r>
      <w:r w:rsidRPr="00B508A1">
        <w:rPr>
          <w:rFonts w:ascii="Sylfaen" w:hAnsi="Sylfaen"/>
          <w:sz w:val="24"/>
          <w:szCs w:val="24"/>
        </w:rPr>
        <w:t xml:space="preserve">ի սուբյեկտների գործունեության կարգավորման հարցերով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այն անդամ պետության մրցակցության պաշտպանության բնագավառում հարցերով, որի տարածքում </w:t>
      </w:r>
      <w:r w:rsidRPr="00B508A1">
        <w:rPr>
          <w:rFonts w:ascii="Sylfaen" w:hAnsi="Sylfaen"/>
          <w:sz w:val="24"/>
          <w:szCs w:val="24"/>
        </w:rPr>
        <w:lastRenderedPageBreak/>
        <w:t>իրականացվում է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 մատուցող տնտեսավարող սուբյեկտների գործունեությունը:</w:t>
      </w:r>
    </w:p>
    <w:p w:rsidR="004B4CBD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300" w:right="200" w:firstLine="740"/>
        <w:rPr>
          <w:rFonts w:ascii="Sylfaen" w:hAnsi="Sylfaen"/>
          <w:sz w:val="24"/>
          <w:szCs w:val="24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տրի կանոնների մշակումը</w:t>
      </w:r>
      <w:r w:rsidR="0099075E" w:rsidRPr="00B508A1">
        <w:rPr>
          <w:rFonts w:ascii="Sylfaen" w:hAnsi="Sylfaen"/>
          <w:sz w:val="24"/>
          <w:szCs w:val="24"/>
        </w:rPr>
        <w:t>,</w:t>
      </w:r>
      <w:r w:rsidRPr="00B508A1">
        <w:rPr>
          <w:rFonts w:ascii="Sylfaen" w:hAnsi="Sylfaen"/>
          <w:sz w:val="24"/>
          <w:szCs w:val="24"/>
        </w:rPr>
        <w:t xml:space="preserve"> ներառյալ</w:t>
      </w:r>
      <w:r w:rsidR="0099075E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սակագների անցկացման կանոնները</w:t>
      </w:r>
    </w:p>
    <w:p w:rsidR="002128EA" w:rsidRPr="00B508A1" w:rsidRDefault="004B4CBD" w:rsidP="00E52E8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</w:t>
      </w:r>
      <w:r w:rsidR="00397F42">
        <w:rPr>
          <w:rFonts w:ascii="Sylfaen" w:hAnsi="Sylfaen"/>
          <w:sz w:val="24"/>
          <w:szCs w:val="24"/>
        </w:rPr>
        <w:t>2.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նավթի</w:t>
      </w:r>
      <w:r w:rsidR="00FF6CE8">
        <w:rPr>
          <w:rFonts w:ascii="Sylfaen" w:hAnsi="Sylfaen"/>
          <w:sz w:val="24"/>
          <w:szCs w:val="24"/>
        </w:rPr>
        <w:t> </w:t>
      </w:r>
      <w:r w:rsidR="00A6388E">
        <w:rPr>
          <w:rFonts w:ascii="Sylfaen" w:hAnsi="Sylfaen"/>
          <w:sz w:val="24"/>
          <w:szCs w:val="24"/>
        </w:rPr>
        <w:t>եւ</w:t>
      </w:r>
      <w:r w:rsidR="00FF6CE8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>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տրի կանոնները պետք է կանոնակարգեն 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առք</w:t>
      </w:r>
      <w:r w:rsidR="00FF6CE8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>ու վաճառքին (մատակարարմանը) առնչվող հարաբերությունները, այդ թվում՝</w:t>
      </w:r>
    </w:p>
    <w:p w:rsidR="002128EA" w:rsidRPr="00B508A1" w:rsidRDefault="004B4CBD" w:rsidP="00E52E8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E52E8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տուր իրականացնելիս պետական իշխանության մարմինների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սուբյեկտների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առաջացող հարաբերությունները,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սուբյեկտների կողմից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տրային գործունեություն իրականացնելիս դրանց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առաջացող հարաբերությունները.</w:t>
      </w:r>
    </w:p>
    <w:p w:rsidR="002128EA" w:rsidRPr="00B508A1" w:rsidRDefault="004B4CBD" w:rsidP="00E52E8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E52E8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նկատմամբ շուկայական գնագոյացման սկզբունքները.</w:t>
      </w:r>
    </w:p>
    <w:p w:rsidR="002128EA" w:rsidRPr="00B508A1" w:rsidRDefault="004B4CBD" w:rsidP="00E52E8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E52E8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շուկայի վիճակի մոնիթորինգի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4E25A5" w:rsidRPr="00B508A1">
        <w:rPr>
          <w:rFonts w:ascii="Sylfaen" w:hAnsi="Sylfaen"/>
          <w:sz w:val="24"/>
          <w:szCs w:val="24"/>
        </w:rPr>
        <w:t xml:space="preserve">ու </w:t>
      </w:r>
      <w:r w:rsidRPr="00B508A1">
        <w:rPr>
          <w:rFonts w:ascii="Sylfaen" w:hAnsi="Sylfaen"/>
          <w:sz w:val="24"/>
          <w:szCs w:val="24"/>
        </w:rPr>
        <w:t>նավթամթերքի բորսային սակարկությունների իրականացման մեխանիզմները.</w:t>
      </w:r>
    </w:p>
    <w:p w:rsidR="002128EA" w:rsidRPr="00B508A1" w:rsidRDefault="004B4CBD" w:rsidP="00E52E8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4)</w:t>
      </w:r>
      <w:r w:rsidR="00E52E8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սակարկությունների անցկացման կանոնները.</w:t>
      </w:r>
    </w:p>
    <w:p w:rsidR="002128EA" w:rsidRPr="00B508A1" w:rsidRDefault="004B4CBD" w:rsidP="00E52E8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5)</w:t>
      </w:r>
      <w:r w:rsidR="00E52E8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ձեռք բերված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նավթամթերքի՝ երրորդ երկրներ վերավաճառքի իրականացման կարգը, որը նախատեսում է անդամ </w:t>
      </w:r>
      <w:r w:rsidRPr="00B508A1">
        <w:rPr>
          <w:rFonts w:ascii="Sylfaen" w:hAnsi="Sylfaen"/>
          <w:sz w:val="24"/>
          <w:szCs w:val="24"/>
        </w:rPr>
        <w:lastRenderedPageBreak/>
        <w:t>պետությունների արտահանման մաքսատուրքերի դրույքաչափերի տարբերության հետ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անքով առաջացող առավելությունների թույլ չտալը:</w:t>
      </w:r>
    </w:p>
    <w:p w:rsidR="002128EA" w:rsidRPr="00B508A1" w:rsidRDefault="004B4CBD" w:rsidP="00FF6CE8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</w:t>
      </w:r>
      <w:r w:rsidR="003D566C">
        <w:rPr>
          <w:rFonts w:ascii="Sylfaen" w:hAnsi="Sylfaen"/>
          <w:sz w:val="24"/>
          <w:szCs w:val="24"/>
        </w:rPr>
        <w:t>3.</w:t>
      </w:r>
      <w:r w:rsidR="003D566C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4E25A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տրի կանոնների բաղկացուցիչ մաս են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սակարկությունների անցկացման կանոնները, որոնցո</w:t>
      </w:r>
      <w:r w:rsidR="0099075E" w:rsidRPr="00B508A1">
        <w:rPr>
          <w:rFonts w:ascii="Sylfaen" w:hAnsi="Sylfaen"/>
          <w:sz w:val="24"/>
          <w:szCs w:val="24"/>
        </w:rPr>
        <w:t>վ</w:t>
      </w:r>
      <w:r w:rsidRPr="00B508A1">
        <w:rPr>
          <w:rFonts w:ascii="Sylfaen" w:hAnsi="Sylfaen"/>
          <w:sz w:val="24"/>
          <w:szCs w:val="24"/>
        </w:rPr>
        <w:t xml:space="preserve"> այդ թվում սահմանվում են՝</w:t>
      </w:r>
    </w:p>
    <w:p w:rsidR="002128EA" w:rsidRPr="00B508A1" w:rsidRDefault="004B4CBD" w:rsidP="00FF6CE8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FF6CE8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բորսային սակարկությունների օպերատորի լիցենզիա ստանալու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միասնական բորսային տարածքի կազմի մեջ ներառելու համար պահանջները.</w:t>
      </w:r>
    </w:p>
    <w:p w:rsidR="002128EA" w:rsidRPr="00B508A1" w:rsidRDefault="004B4CBD" w:rsidP="00FF6CE8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FF6CE8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հաշվարկների համակարգերի անվտանգության, հուսալիության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բորսային սակարկությունների օպերատորների ֆունկցիոնալ համատեղելիության սկզբունքները.</w:t>
      </w:r>
    </w:p>
    <w:p w:rsidR="002128EA" w:rsidRPr="00B508A1" w:rsidRDefault="004B4CBD" w:rsidP="00FF6CE8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FF6CE8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միասնական բորսային տարածքի շրջանակներում փոխադարձ հաշվարկների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քլիրինգի մեխանիզմները.</w:t>
      </w:r>
    </w:p>
    <w:p w:rsidR="002128EA" w:rsidRPr="00B508A1" w:rsidRDefault="004B4CBD" w:rsidP="00FF6CE8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4)</w:t>
      </w:r>
      <w:r w:rsidR="00FF6CE8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արտաբորսային շուկայում պայմանագրերի գրանցման անհրաժեշտությունը.</w:t>
      </w:r>
    </w:p>
    <w:p w:rsidR="002128EA" w:rsidRPr="00B508A1" w:rsidRDefault="004B4CBD" w:rsidP="00FF6CE8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5)</w:t>
      </w:r>
      <w:r w:rsidR="00FF6CE8">
        <w:rPr>
          <w:rFonts w:ascii="Sylfaen" w:hAnsi="Sylfaen"/>
          <w:sz w:val="24"/>
          <w:szCs w:val="24"/>
        </w:rPr>
        <w:tab/>
      </w:r>
      <w:r w:rsidR="00A51CE1" w:rsidRPr="00B508A1">
        <w:rPr>
          <w:rFonts w:ascii="Sylfaen" w:hAnsi="Sylfaen"/>
          <w:sz w:val="24"/>
          <w:szCs w:val="24"/>
        </w:rPr>
        <w:t xml:space="preserve">որոշ </w:t>
      </w:r>
      <w:r w:rsidRPr="00B508A1">
        <w:rPr>
          <w:rFonts w:ascii="Sylfaen" w:hAnsi="Sylfaen"/>
          <w:sz w:val="24"/>
          <w:szCs w:val="24"/>
        </w:rPr>
        <w:t>անդամ պետությունների տնտեսավարող սուբյեկտների՝ մյուս անդամ պետությունների բորսային հարթակներում մասնակցելու սկզբունքները.</w:t>
      </w:r>
    </w:p>
    <w:p w:rsidR="002128EA" w:rsidRPr="00B508A1" w:rsidRDefault="004B4CBD" w:rsidP="00FF6CE8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6)</w:t>
      </w:r>
      <w:r w:rsidR="00FF6CE8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A51CE1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գնային ցուցիչների (բորսային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արտաբորսային)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A51CE1" w:rsidRPr="00B508A1">
        <w:rPr>
          <w:rFonts w:ascii="Sylfaen" w:hAnsi="Sylfaen"/>
          <w:sz w:val="24"/>
          <w:szCs w:val="24"/>
        </w:rPr>
        <w:t xml:space="preserve">միասնական բորսային տարածքի շրջանակներում </w:t>
      </w:r>
      <w:r w:rsidRPr="00B508A1">
        <w:rPr>
          <w:rFonts w:ascii="Sylfaen" w:hAnsi="Sylfaen"/>
          <w:sz w:val="24"/>
          <w:szCs w:val="24"/>
        </w:rPr>
        <w:t>դրանց փոխադարձ հաշվառման սկզբունքները:</w:t>
      </w:r>
    </w:p>
    <w:p w:rsidR="002128EA" w:rsidRPr="00B508A1" w:rsidRDefault="004B4CBD" w:rsidP="00FF6CE8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</w:t>
      </w:r>
      <w:r w:rsidR="003D566C">
        <w:rPr>
          <w:rFonts w:ascii="Sylfaen" w:hAnsi="Sylfaen"/>
          <w:sz w:val="24"/>
          <w:szCs w:val="24"/>
        </w:rPr>
        <w:t>4.</w:t>
      </w:r>
      <w:r w:rsidR="003D566C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A51CE1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տրի կանոնների ընդունման կարգը սահմանվում է Միության</w:t>
      </w:r>
      <w:r w:rsidR="00A51CE1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պայմանագրով:</w:t>
      </w:r>
    </w:p>
    <w:p w:rsidR="00B55483" w:rsidRDefault="00B55483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2128EA" w:rsidRPr="00B508A1" w:rsidRDefault="004B4CBD" w:rsidP="00B55483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 xml:space="preserve">Նավթին, նավթամթերքին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դրանց տրանսպորտային փոխադրման</w:t>
      </w:r>
      <w:r w:rsidR="00B55483">
        <w:rPr>
          <w:rFonts w:ascii="Sylfaen" w:hAnsi="Sylfaen"/>
        </w:rPr>
        <w:t> </w:t>
      </w:r>
      <w:r w:rsidRPr="00B508A1">
        <w:rPr>
          <w:rFonts w:ascii="Sylfaen" w:hAnsi="Sylfaen"/>
          <w:sz w:val="24"/>
          <w:szCs w:val="24"/>
        </w:rPr>
        <w:t xml:space="preserve">համակարգերին առնչվող նորմերի ու </w:t>
      </w:r>
      <w:r w:rsidR="00A51CE1" w:rsidRPr="00B508A1">
        <w:rPr>
          <w:rFonts w:ascii="Sylfaen" w:hAnsi="Sylfaen"/>
          <w:sz w:val="24"/>
          <w:szCs w:val="24"/>
        </w:rPr>
        <w:t>ստանդարտների</w:t>
      </w:r>
      <w:r w:rsidR="00B55483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>միասնականացումը</w:t>
      </w:r>
    </w:p>
    <w:p w:rsidR="002128EA" w:rsidRPr="00B508A1" w:rsidRDefault="004B4CBD" w:rsidP="00B55483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</w:t>
      </w:r>
      <w:r w:rsidR="00E20642">
        <w:rPr>
          <w:rFonts w:ascii="Sylfaen" w:hAnsi="Sylfaen"/>
          <w:sz w:val="24"/>
          <w:szCs w:val="24"/>
        </w:rPr>
        <w:t>5.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նավթամթերքին առնչվող նորմերի, </w:t>
      </w:r>
      <w:r w:rsidR="00A51CE1" w:rsidRPr="00B508A1">
        <w:rPr>
          <w:rFonts w:ascii="Sylfaen" w:hAnsi="Sylfaen"/>
          <w:sz w:val="24"/>
          <w:szCs w:val="24"/>
        </w:rPr>
        <w:t xml:space="preserve">ստանդարտների </w:t>
      </w:r>
      <w:r w:rsidRPr="00B508A1">
        <w:rPr>
          <w:rFonts w:ascii="Sylfaen" w:hAnsi="Sylfaen"/>
          <w:sz w:val="24"/>
          <w:szCs w:val="24"/>
        </w:rPr>
        <w:t xml:space="preserve">ու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գործունեությունը կանոնակարգող՝ նորմատիվ-տեխնիկական փաստաթղթերի միասնականացումը,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, հաշվի առնելով համաշխարհային գործելակերպերը,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քանակության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որակի </w:t>
      </w:r>
      <w:r w:rsidR="00A51CE1" w:rsidRPr="00B508A1">
        <w:rPr>
          <w:rFonts w:ascii="Sylfaen" w:hAnsi="Sylfaen"/>
          <w:sz w:val="24"/>
          <w:szCs w:val="24"/>
        </w:rPr>
        <w:t xml:space="preserve">հարաչափերի </w:t>
      </w:r>
      <w:r w:rsidRPr="00B508A1">
        <w:rPr>
          <w:rFonts w:ascii="Sylfaen" w:hAnsi="Sylfaen"/>
          <w:sz w:val="24"/>
          <w:szCs w:val="24"/>
        </w:rPr>
        <w:t xml:space="preserve">չափումների ճշգրտությունն ապահովելու, անդամ պետությունների ստանդարտացման ազգային համակարգերի շրջանակներում չափումների </w:t>
      </w:r>
      <w:r w:rsidR="00A51CE1" w:rsidRPr="00B508A1">
        <w:rPr>
          <w:rFonts w:ascii="Sylfaen" w:hAnsi="Sylfaen"/>
          <w:sz w:val="24"/>
          <w:szCs w:val="24"/>
        </w:rPr>
        <w:t xml:space="preserve">չափագիտական </w:t>
      </w:r>
      <w:r w:rsidRPr="00B508A1">
        <w:rPr>
          <w:rFonts w:ascii="Sylfaen" w:hAnsi="Sylfaen"/>
          <w:sz w:val="24"/>
          <w:szCs w:val="24"/>
        </w:rPr>
        <w:t xml:space="preserve">ապահովումն իրագործելու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քանակության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որակի </w:t>
      </w:r>
      <w:r w:rsidR="00A51CE1" w:rsidRPr="00B508A1">
        <w:rPr>
          <w:rFonts w:ascii="Sylfaen" w:hAnsi="Sylfaen"/>
          <w:sz w:val="24"/>
          <w:szCs w:val="24"/>
        </w:rPr>
        <w:t xml:space="preserve">հարաչափերի </w:t>
      </w:r>
      <w:r w:rsidRPr="00B508A1">
        <w:rPr>
          <w:rFonts w:ascii="Sylfaen" w:hAnsi="Sylfaen"/>
          <w:sz w:val="24"/>
          <w:szCs w:val="24"/>
        </w:rPr>
        <w:t xml:space="preserve">չափումներին ներկայացվող </w:t>
      </w:r>
      <w:r w:rsidR="00A51CE1" w:rsidRPr="00B508A1">
        <w:rPr>
          <w:rFonts w:ascii="Sylfaen" w:hAnsi="Sylfaen"/>
          <w:sz w:val="24"/>
          <w:szCs w:val="24"/>
        </w:rPr>
        <w:t xml:space="preserve">չափագիտական </w:t>
      </w:r>
      <w:r w:rsidRPr="00B508A1">
        <w:rPr>
          <w:rFonts w:ascii="Sylfaen" w:hAnsi="Sylfaen"/>
          <w:sz w:val="24"/>
          <w:szCs w:val="24"/>
        </w:rPr>
        <w:t>պահանջները ներդաշնակեցնելու մասով առաջարկությունների մշակումն իրականացվում են Պայմանագրի X բաժնին համապատասխան:</w:t>
      </w:r>
    </w:p>
    <w:p w:rsidR="004B4CBD" w:rsidRPr="00B508A1" w:rsidRDefault="004B4CBD" w:rsidP="00B508A1">
      <w:pPr>
        <w:pStyle w:val="Bodytext21"/>
        <w:shd w:val="clear" w:color="auto" w:fill="auto"/>
        <w:spacing w:before="0" w:after="160" w:line="360" w:lineRule="auto"/>
        <w:ind w:right="120"/>
        <w:jc w:val="center"/>
        <w:rPr>
          <w:rFonts w:ascii="Sylfaen" w:hAnsi="Sylfaen"/>
          <w:sz w:val="24"/>
          <w:szCs w:val="24"/>
        </w:rPr>
      </w:pPr>
    </w:p>
    <w:p w:rsidR="002128EA" w:rsidRPr="00B508A1" w:rsidRDefault="004B4CBD" w:rsidP="00B55483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</w:t>
      </w:r>
      <w:r w:rsidR="00B55483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տրանսպորտային փոխադրման համակարգերի</w:t>
      </w:r>
      <w:r w:rsidR="00A67C97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B55483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հասանելիության միասնական կանոնների մշակումը</w:t>
      </w:r>
    </w:p>
    <w:p w:rsidR="002128EA" w:rsidRPr="00B508A1" w:rsidRDefault="004B4CBD" w:rsidP="00B55483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</w:t>
      </w:r>
      <w:r w:rsidR="00E20642">
        <w:rPr>
          <w:rFonts w:ascii="Sylfaen" w:hAnsi="Sylfaen"/>
          <w:sz w:val="24"/>
          <w:szCs w:val="24"/>
        </w:rPr>
        <w:t>6.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</w:t>
      </w:r>
      <w:r w:rsidR="00A67C97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հասանելիության միասնական կանոնների (այսուհետ՝ միասնական կանոններ) մշակումն իրականացվում է Պայմանագրի 84-րդ հոդվածում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Հայեցակարգի III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IV բաժիններում նշված սկզբունքներին համապատասխան:</w:t>
      </w:r>
    </w:p>
    <w:p w:rsidR="002128EA" w:rsidRDefault="004B4CBD" w:rsidP="00B55483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</w:t>
      </w:r>
      <w:r w:rsidR="00E20642">
        <w:rPr>
          <w:rFonts w:ascii="Sylfaen" w:hAnsi="Sylfaen"/>
          <w:sz w:val="24"/>
          <w:szCs w:val="24"/>
        </w:rPr>
        <w:t>7.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Միասնական կանոնները ներառվում են Միության</w:t>
      </w:r>
      <w:r w:rsidR="00A67C97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պայմանագրում որպես հավելված:</w:t>
      </w:r>
    </w:p>
    <w:p w:rsidR="00B55483" w:rsidRPr="00B508A1" w:rsidRDefault="00B55483" w:rsidP="00B55483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1</w:t>
      </w:r>
      <w:r w:rsidR="00E20642">
        <w:rPr>
          <w:rFonts w:ascii="Sylfaen" w:hAnsi="Sylfaen"/>
          <w:sz w:val="24"/>
          <w:szCs w:val="24"/>
        </w:rPr>
        <w:t>8.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փոխադրման համար երկաթուղային տրանսպորտի ծառայությունների</w:t>
      </w:r>
      <w:r w:rsidR="00A67C97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հասանելիության հարցերի կարգավորումն իրականացվում է Պայմանագրի XIX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XXI բաժիններին համապատասխան,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«Բնական մենաշնորհ</w:t>
      </w:r>
      <w:r w:rsidR="00A67C97" w:rsidRPr="00B508A1">
        <w:rPr>
          <w:rFonts w:ascii="Sylfaen" w:hAnsi="Sylfaen"/>
          <w:sz w:val="24"/>
          <w:szCs w:val="24"/>
        </w:rPr>
        <w:t>ներ</w:t>
      </w:r>
      <w:r w:rsidRPr="00B508A1">
        <w:rPr>
          <w:rFonts w:ascii="Sylfaen" w:hAnsi="Sylfaen"/>
          <w:sz w:val="24"/>
          <w:szCs w:val="24"/>
        </w:rPr>
        <w:t xml:space="preserve">ի սուբյեկտների գործունեության կարգավորման միասնական սկզբունքների եւ կանոնների մասին» արձանագրությանը (Պայմանագրի թիվ 20 հավելված)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«Համակարգված (համաձայնեցված) տրանսպորտային քաղաքականության մասին» արձանագրությանը (Պայմանագրի թիվ 24 հավելված) համապատասխան: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</w:t>
      </w:r>
      <w:r w:rsidR="00E20642">
        <w:rPr>
          <w:rFonts w:ascii="Sylfaen" w:hAnsi="Sylfaen"/>
          <w:sz w:val="24"/>
          <w:szCs w:val="24"/>
        </w:rPr>
        <w:t>9.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Միասնական կանոնները կարգավորում են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համակարգերով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հարցերը, այդ թվում՝ անդամ պետությունների</w:t>
      </w:r>
      <w:r w:rsidR="00265091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օպերատորների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Միության</w:t>
      </w:r>
      <w:r w:rsidR="007A74D6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մասնակիցների փոխհարաբերությունները, սահմանում են Միության</w:t>
      </w:r>
      <w:r w:rsidR="007A74D6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ոլորտում ծառայությունների</w:t>
      </w:r>
      <w:r w:rsidR="007A74D6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հասանելիության սկզբունքները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պայմանները՝ հաշվի առնելով անդամ պետությունների՝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պահանջների առաջնահերթ ապահովման սկզբունքը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այն առանձնահատկությունները, որոնք սահմանված են Պայմանագրի XIX բաժնով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«Բնական մենաշնորհ</w:t>
      </w:r>
      <w:r w:rsidR="007A74D6" w:rsidRPr="00B508A1">
        <w:rPr>
          <w:rFonts w:ascii="Sylfaen" w:hAnsi="Sylfaen"/>
          <w:sz w:val="24"/>
          <w:szCs w:val="24"/>
        </w:rPr>
        <w:t>ներ</w:t>
      </w:r>
      <w:r w:rsidRPr="00B508A1">
        <w:rPr>
          <w:rFonts w:ascii="Sylfaen" w:hAnsi="Sylfaen"/>
          <w:sz w:val="24"/>
          <w:szCs w:val="24"/>
        </w:rPr>
        <w:t xml:space="preserve">ի սուբյեկտների գործունեության կարգավորման միասնական սկզբունքների եւ կանոնների մասին» արձանագրությամբ (Պայմանագրի թիվ 20 հավելված)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ներառում են՝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177994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7A74D6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ծառայությունների</w:t>
      </w:r>
      <w:r w:rsidR="007A74D6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հասանելիության տրամադրման կարգը, այդ թվում՝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փոխադրման՝ բոլոր ընդունված հայտերը բավարարելու համար հզորությունների անհրաժեշտ ծավալի բացակայության դեպքում,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հաշվի առնելով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տեխնիկական հնարավորությունները.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2)</w:t>
      </w:r>
      <w:r w:rsidR="00177994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հայտերը ներկայացնելու (քննարկելու) կարգն ու ժամկետները.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177994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C16825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 մատուցելու պայմանագրեր կնքելու կարգն ու ժամկետները, էական պայմանները.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4)</w:t>
      </w:r>
      <w:r w:rsidR="00177994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պետությունների տնտեսավարող սուբյեկտների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տեխնիկական հնարավորությունները սահմանելու կարգն ու սկզբունքները՝ </w:t>
      </w:r>
      <w:r w:rsidR="00C16825" w:rsidRPr="00B508A1">
        <w:rPr>
          <w:rFonts w:ascii="Sylfaen" w:hAnsi="Sylfaen"/>
          <w:sz w:val="24"/>
          <w:szCs w:val="24"/>
        </w:rPr>
        <w:t xml:space="preserve">հաշվի առնելով </w:t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փոխադրում իրականացնելու հայտերը.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5)</w:t>
      </w:r>
      <w:r w:rsidR="00177994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պետությունների տարածքներով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փոխադրում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տարանցում իրականացնելու կարգը.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6)</w:t>
      </w:r>
      <w:r w:rsidR="00177994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EA000F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ծառայությունների սպառողների իրավունքները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պարտականությունները.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7)</w:t>
      </w:r>
      <w:r w:rsidR="00177994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պետությունների</w:t>
      </w:r>
      <w:r w:rsidR="00EA000F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օպերատորների իրավունքները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պարտականությունները.</w:t>
      </w:r>
    </w:p>
    <w:p w:rsidR="002128EA" w:rsidRPr="00B508A1" w:rsidRDefault="004B4CBD" w:rsidP="00177994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8)</w:t>
      </w:r>
      <w:r w:rsidR="00177994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EA000F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ծառայությունների սակագների (գների) մասին տեղեկատվություն (տեղեկատվության բացահայտման ստանդարտներ), նշված ծառայությունների նկատմամբ սակագնի գոյացման (գնագոյացման) մեթոդիկաներ հրապարակելու կարգը.</w:t>
      </w:r>
    </w:p>
    <w:p w:rsidR="002128EA" w:rsidRPr="00B508A1" w:rsidRDefault="004B4CBD" w:rsidP="00122D2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9)</w:t>
      </w:r>
      <w:r w:rsidR="00122D2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EA000F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</w:t>
      </w:r>
      <w:r w:rsidRPr="00B508A1">
        <w:rPr>
          <w:rFonts w:ascii="Sylfaen" w:hAnsi="Sylfaen"/>
          <w:sz w:val="24"/>
          <w:szCs w:val="24"/>
        </w:rPr>
        <w:lastRenderedPageBreak/>
        <w:t>համակարգերի</w:t>
      </w:r>
      <w:r w:rsidR="00EA000F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հասանելիություն տրամադրելու ու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 մատուցելու հարցերով վեճերի կարգավորման կարգը.</w:t>
      </w:r>
    </w:p>
    <w:p w:rsidR="002128EA" w:rsidRPr="00B508A1" w:rsidRDefault="004B4CBD" w:rsidP="00122D2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10)</w:t>
      </w:r>
      <w:r w:rsidR="00122D2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EA000F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ծառայությունների նկատմամբ սակագնի գոյացման ընդհանուր սկզբունքները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մեթոդները,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գնագոյացման ընդհանուր սկզբունքները.</w:t>
      </w:r>
    </w:p>
    <w:p w:rsidR="002128EA" w:rsidRPr="00B508A1" w:rsidRDefault="004B4CBD" w:rsidP="00122D2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11)</w:t>
      </w:r>
      <w:r w:rsidR="00122D2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9331F7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ստեղծումը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գործունեությունն ապահովելու համար անհրաժեշտ այլ դրույթներ:</w:t>
      </w:r>
    </w:p>
    <w:p w:rsidR="002128EA" w:rsidRPr="00B508A1" w:rsidRDefault="004B4CBD" w:rsidP="00122D2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E20642">
        <w:rPr>
          <w:rFonts w:ascii="Sylfaen" w:hAnsi="Sylfaen"/>
          <w:sz w:val="24"/>
          <w:szCs w:val="24"/>
        </w:rPr>
        <w:t>0.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ծավալները սահմանվում են անդամ պետությունների տնտեսավարող սուբյեկտների քաղաքացիաիրավական պայմանագրերով՝ այդ պետությունների օրենսդրությանը համապատասխան:</w:t>
      </w:r>
    </w:p>
    <w:p w:rsidR="002128EA" w:rsidRPr="00B508A1" w:rsidRDefault="004B4CBD" w:rsidP="00122D2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397F42">
        <w:rPr>
          <w:rFonts w:ascii="Sylfaen" w:hAnsi="Sylfaen"/>
          <w:sz w:val="24"/>
          <w:szCs w:val="24"/>
        </w:rPr>
        <w:t>1.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պետություններն ապահովում են՝</w:t>
      </w:r>
    </w:p>
    <w:p w:rsidR="002128EA" w:rsidRPr="00B508A1" w:rsidRDefault="004B4CBD" w:rsidP="00122D2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122D2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9331F7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ծառայությունների սակագների (գների) մասին տեղեկատվության (տեղեկատվության բացահայտման ստանդարտների), նշված ծառայությունների նկատմամբ սակագնի գոյացման (գնագոյացման) մեթոդիկաների հրապարակումը.</w:t>
      </w:r>
    </w:p>
    <w:p w:rsidR="002128EA" w:rsidRPr="00B508A1" w:rsidRDefault="004B4CBD" w:rsidP="00122D2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122D2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պետությունների օրենսդրության ներդաշնակեցումը նավթային ոլորտում՝ հաշվի առնելով անդամ պետությունների միջազգային պայմանագրերը.</w:t>
      </w:r>
    </w:p>
    <w:p w:rsidR="00626ADC" w:rsidRPr="00B508A1" w:rsidRDefault="004B4CBD" w:rsidP="00122D2B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B508A1">
        <w:rPr>
          <w:rFonts w:ascii="Sylfaen" w:hAnsi="Sylfaen"/>
        </w:rPr>
        <w:t>3)</w:t>
      </w:r>
      <w:r w:rsidR="00122D2B">
        <w:rPr>
          <w:rFonts w:ascii="Sylfaen" w:hAnsi="Sylfaen"/>
        </w:rPr>
        <w:tab/>
      </w:r>
      <w:r w:rsidRPr="00B508A1">
        <w:rPr>
          <w:rFonts w:ascii="Sylfaen" w:hAnsi="Sylfaen"/>
        </w:rPr>
        <w:t>Միության</w:t>
      </w:r>
      <w:r w:rsidR="001E65E2" w:rsidRPr="00B508A1">
        <w:rPr>
          <w:rFonts w:ascii="Sylfaen" w:hAnsi="Sylfaen"/>
        </w:rPr>
        <w:t>`</w:t>
      </w:r>
      <w:r w:rsidRPr="00B508A1">
        <w:rPr>
          <w:rFonts w:ascii="Sylfaen" w:hAnsi="Sylfaen"/>
        </w:rPr>
        <w:t xml:space="preserve"> նավթի </w:t>
      </w:r>
      <w:r w:rsidR="00A6388E">
        <w:rPr>
          <w:rFonts w:ascii="Sylfaen" w:hAnsi="Sylfaen"/>
        </w:rPr>
        <w:t>եւ</w:t>
      </w:r>
      <w:r w:rsidRPr="00B508A1">
        <w:rPr>
          <w:rFonts w:ascii="Sylfaen" w:hAnsi="Sylfaen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</w:rPr>
        <w:t>եւ</w:t>
      </w:r>
      <w:r w:rsidRPr="00B508A1">
        <w:rPr>
          <w:rFonts w:ascii="Sylfaen" w:hAnsi="Sylfaen"/>
        </w:rPr>
        <w:t xml:space="preserve"> նավթամթերքի տրանսպորտային փոխադրման ծառայությունների նկատմամբ սակագնի գոյացման (գնագոյացման) ընդհանուր սկզբունքների </w:t>
      </w:r>
      <w:r w:rsidR="00A6388E">
        <w:rPr>
          <w:rFonts w:ascii="Sylfaen" w:hAnsi="Sylfaen"/>
        </w:rPr>
        <w:t>եւ</w:t>
      </w:r>
      <w:r w:rsidRPr="00B508A1">
        <w:rPr>
          <w:rFonts w:ascii="Sylfaen" w:hAnsi="Sylfaen"/>
        </w:rPr>
        <w:t xml:space="preserve"> մեթոդների կիրառումը.</w:t>
      </w:r>
      <w:r w:rsidR="001C2DD6" w:rsidRPr="00B508A1">
        <w:rPr>
          <w:rFonts w:ascii="Sylfaen" w:hAnsi="Sylfaen"/>
        </w:rPr>
        <w:t xml:space="preserve"> </w:t>
      </w:r>
    </w:p>
    <w:p w:rsidR="00626ADC" w:rsidRPr="00B508A1" w:rsidRDefault="001C2DD6" w:rsidP="00122D2B">
      <w:pPr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B508A1">
        <w:rPr>
          <w:rFonts w:ascii="Sylfaen" w:hAnsi="Sylfaen"/>
        </w:rPr>
        <w:t>4)</w:t>
      </w:r>
      <w:r w:rsidR="00122D2B">
        <w:rPr>
          <w:rFonts w:ascii="Sylfaen" w:hAnsi="Sylfaen"/>
        </w:rPr>
        <w:tab/>
      </w:r>
      <w:r w:rsidRPr="00B508A1">
        <w:rPr>
          <w:rFonts w:ascii="Sylfaen" w:hAnsi="Sylfaen"/>
        </w:rPr>
        <w:t xml:space="preserve">մրցակցության պաշտպանության բնագավառում անդամ պետությունների օրենսդրության պահանջների պահպանման </w:t>
      </w:r>
      <w:r w:rsidR="00626ADC" w:rsidRPr="00B508A1">
        <w:rPr>
          <w:rFonts w:ascii="Sylfaen" w:hAnsi="Sylfaen"/>
        </w:rPr>
        <w:t>հսկողությունը,</w:t>
      </w:r>
      <w:r w:rsidRPr="00B508A1">
        <w:rPr>
          <w:rFonts w:ascii="Sylfaen" w:hAnsi="Sylfaen"/>
        </w:rPr>
        <w:t xml:space="preserve"> </w:t>
      </w:r>
      <w:r w:rsidR="00626ADC" w:rsidRPr="00B508A1">
        <w:rPr>
          <w:rFonts w:ascii="Sylfaen" w:hAnsi="Sylfaen"/>
        </w:rPr>
        <w:lastRenderedPageBreak/>
        <w:t xml:space="preserve">ներառյալ` </w:t>
      </w:r>
      <w:r w:rsidRPr="00B508A1">
        <w:rPr>
          <w:rFonts w:ascii="Sylfaen" w:hAnsi="Sylfaen"/>
        </w:rPr>
        <w:t>Միության</w:t>
      </w:r>
      <w:r w:rsidR="00626ADC" w:rsidRPr="00B508A1">
        <w:rPr>
          <w:rFonts w:ascii="Sylfaen" w:hAnsi="Sylfaen"/>
        </w:rPr>
        <w:t xml:space="preserve">` </w:t>
      </w:r>
      <w:r w:rsidRPr="00B508A1">
        <w:rPr>
          <w:rFonts w:ascii="Sylfaen" w:hAnsi="Sylfaen"/>
        </w:rPr>
        <w:t xml:space="preserve">նավթի </w:t>
      </w:r>
      <w:r w:rsidR="00A6388E">
        <w:rPr>
          <w:rFonts w:ascii="Sylfaen" w:hAnsi="Sylfaen"/>
        </w:rPr>
        <w:t>եւ</w:t>
      </w:r>
      <w:r w:rsidRPr="00B508A1">
        <w:rPr>
          <w:rFonts w:ascii="Sylfaen" w:hAnsi="Sylfaen"/>
        </w:rPr>
        <w:t xml:space="preserve"> նավթամթերքի ընդհանուր շուկաների շրջանակներում նավթի </w:t>
      </w:r>
      <w:r w:rsidR="00A6388E">
        <w:rPr>
          <w:rFonts w:ascii="Sylfaen" w:hAnsi="Sylfaen"/>
        </w:rPr>
        <w:t>եւ</w:t>
      </w:r>
      <w:r w:rsidRPr="00B508A1">
        <w:rPr>
          <w:rFonts w:ascii="Sylfaen" w:hAnsi="Sylfaen"/>
        </w:rPr>
        <w:t xml:space="preserve"> նավթամթերքի տրանսպորտային փոխադրման ծառայություններ մատուցող տնտեսավարող սուբյեկտների կողմից սակագների (գների) կիրառման հսկողությունը:</w:t>
      </w:r>
    </w:p>
    <w:p w:rsidR="002128EA" w:rsidRPr="00B508A1" w:rsidRDefault="002128EA" w:rsidP="00871FFB">
      <w:pPr>
        <w:pStyle w:val="Bodytext21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2128EA" w:rsidRPr="00B508A1" w:rsidRDefault="004B4CBD" w:rsidP="00871FFB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Միության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</w:t>
      </w:r>
      <w:r w:rsidR="00871FFB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մասին </w:t>
      </w:r>
      <w:r w:rsidR="00871FFB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միջազգային պայմանագրի կնքումը</w:t>
      </w:r>
    </w:p>
    <w:p w:rsidR="002128EA" w:rsidRPr="00B508A1" w:rsidRDefault="004B4CBD" w:rsidP="00871FF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397F42">
        <w:rPr>
          <w:rFonts w:ascii="Sylfaen" w:hAnsi="Sylfaen"/>
          <w:sz w:val="24"/>
          <w:szCs w:val="24"/>
        </w:rPr>
        <w:t>2.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պայմանագրի կնքումն իրականացվում է ի</w:t>
      </w:r>
      <w:r w:rsidR="00871FFB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 xml:space="preserve">կատարումն Պայմանագրի 84-րդ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104-րդ հոդվածների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Հայեցակարգի XIV</w:t>
      </w:r>
      <w:r w:rsidR="00871FFB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>բաժնի դրույթների:</w:t>
      </w:r>
    </w:p>
    <w:p w:rsidR="002128EA" w:rsidRPr="00B508A1" w:rsidRDefault="004B4CBD" w:rsidP="00871FF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3D566C">
        <w:rPr>
          <w:rFonts w:ascii="Sylfaen" w:hAnsi="Sylfaen"/>
          <w:sz w:val="24"/>
          <w:szCs w:val="24"/>
        </w:rPr>
        <w:t>3.</w:t>
      </w:r>
      <w:r w:rsidR="003D566C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պայմանագիրը պետք է ներառի՝</w:t>
      </w:r>
    </w:p>
    <w:p w:rsidR="002128EA" w:rsidRPr="00B508A1" w:rsidRDefault="004B4CBD" w:rsidP="00871FF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871FF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սկզբունքները.</w:t>
      </w:r>
    </w:p>
    <w:p w:rsidR="002128EA" w:rsidRPr="00B508A1" w:rsidRDefault="004B4CBD" w:rsidP="00871FF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871FF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տրի կանոնները.</w:t>
      </w:r>
    </w:p>
    <w:p w:rsidR="002128EA" w:rsidRPr="00B508A1" w:rsidRDefault="004B4CBD" w:rsidP="00871FF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871FF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միասնական կանոնները.</w:t>
      </w:r>
    </w:p>
    <w:p w:rsidR="002128EA" w:rsidRPr="00B508A1" w:rsidRDefault="004B4CBD" w:rsidP="00871FF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4)</w:t>
      </w:r>
      <w:r w:rsidR="00871FF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տեխնիկական</w:t>
      </w:r>
      <w:r w:rsidR="00A568C2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>հնարավորությունների մասին տեղեկատվության բացահայտման կարգը.</w:t>
      </w:r>
    </w:p>
    <w:p w:rsidR="002128EA" w:rsidRPr="00B508A1" w:rsidRDefault="004B4CBD" w:rsidP="00871FF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5)</w:t>
      </w:r>
      <w:r w:rsidR="00871FF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մասնակիցների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տեխնիկական հնարավորությունների ոչ խտրական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թափանցիկ բաշխման,</w:t>
      </w:r>
      <w:r w:rsidR="001B79CC" w:rsidRPr="00B508A1">
        <w:rPr>
          <w:rFonts w:ascii="Sylfaen" w:hAnsi="Sylfaen"/>
          <w:sz w:val="24"/>
          <w:szCs w:val="24"/>
        </w:rPr>
        <w:t xml:space="preserve"> </w:t>
      </w:r>
      <w:r w:rsidRPr="00B508A1">
        <w:rPr>
          <w:rFonts w:ascii="Sylfaen" w:hAnsi="Sylfaen"/>
          <w:sz w:val="24"/>
          <w:szCs w:val="24"/>
        </w:rPr>
        <w:t>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</w:t>
      </w:r>
      <w:r w:rsidRPr="00B508A1">
        <w:rPr>
          <w:rFonts w:ascii="Sylfaen" w:hAnsi="Sylfaen"/>
          <w:sz w:val="24"/>
          <w:szCs w:val="24"/>
        </w:rPr>
        <w:lastRenderedPageBreak/>
        <w:t>համակար</w:t>
      </w:r>
      <w:r w:rsidR="001E65E2" w:rsidRPr="00B508A1">
        <w:rPr>
          <w:rFonts w:ascii="Sylfaen" w:hAnsi="Sylfaen"/>
          <w:sz w:val="24"/>
          <w:szCs w:val="24"/>
        </w:rPr>
        <w:t>գերին</w:t>
      </w:r>
      <w:r w:rsidRPr="00B508A1">
        <w:rPr>
          <w:rFonts w:ascii="Sylfaen" w:hAnsi="Sylfaen"/>
          <w:sz w:val="24"/>
          <w:szCs w:val="24"/>
        </w:rPr>
        <w:t xml:space="preserve"> տեխնոլոգիական հասանելիության մասով վարչական խոչընդոտների վերացման սկզբունքները.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6)</w:t>
      </w:r>
      <w:r w:rsidR="00A568C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սպառման, անդամ պետությունների տարածքներում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արդյունահանման, տրանսպորտային փոխադրման, մատակարարման, վերամշակման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իրացման մասին տվյալների տեղեկատվական փոխանակման կարգը.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7)</w:t>
      </w:r>
      <w:r w:rsidR="00A568C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պետությունների կողմից ներքին սպառման համար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(կամ) անդամ պետությունների տարածքներից արտահանման համար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տարանցումը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(կամ) միջպետական տրանսպորտային փոխադրումն ապահովելու մասին դրույթները.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8)</w:t>
      </w:r>
      <w:r w:rsidR="00A568C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1B79CC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մասով Միության մարմինների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լիազորված մարմինների իրավասության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լիազորությունների մասին դրույթները.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9)</w:t>
      </w:r>
      <w:r w:rsidR="00A568C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89337A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շուկաներում էկոլոգիական անվտանգության ապահովմանը ներկայացվող ընդհանուր պահանջները.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10)</w:t>
      </w:r>
      <w:r w:rsidR="00A568C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89337A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ստեղծումը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գործունեությունն ապահովելու համար անհրաժեշտ այլ դրույթներ:</w:t>
      </w:r>
    </w:p>
    <w:p w:rsidR="002128EA" w:rsidRPr="00B508A1" w:rsidRDefault="002128EA" w:rsidP="00B508A1">
      <w:pPr>
        <w:spacing w:after="160" w:line="360" w:lineRule="auto"/>
        <w:rPr>
          <w:rFonts w:ascii="Sylfaen" w:hAnsi="Sylfaen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Միության</w:t>
      </w:r>
      <w:r w:rsidR="0089337A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գործունեության մոնիթորինգի մեխանիզմների մշակումը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3D566C">
        <w:rPr>
          <w:rFonts w:ascii="Sylfaen" w:hAnsi="Sylfaen"/>
          <w:sz w:val="24"/>
          <w:szCs w:val="24"/>
        </w:rPr>
        <w:t>4.</w:t>
      </w:r>
      <w:r w:rsidR="003D566C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89337A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գործունեության մոնիթորինգի մեխանիզմները ներառում են այդ թվում՝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1)</w:t>
      </w:r>
      <w:r w:rsidR="00A568C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89337A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ինդիկատիվ (կանխատեսումային)</w:t>
      </w:r>
      <w:r w:rsidR="001C2DD6" w:rsidRPr="00B508A1">
        <w:rPr>
          <w:rFonts w:ascii="Sylfaen" w:hAnsi="Sylfaen"/>
          <w:sz w:val="24"/>
          <w:szCs w:val="24"/>
        </w:rPr>
        <w:t xml:space="preserve"> </w:t>
      </w:r>
      <w:r w:rsidRPr="00B508A1">
        <w:rPr>
          <w:rFonts w:ascii="Sylfaen" w:hAnsi="Sylfaen"/>
          <w:sz w:val="24"/>
          <w:szCs w:val="24"/>
        </w:rPr>
        <w:t>հաշվեկշիռների մշակումն ու համաձայնեցումը.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A568C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89337A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գործունեության մոնիթորինգի իրականացման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կարգի մշակումը: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Էկոլոգիական անվտանգության ապահովումը նավթային ոլորտում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E20642">
        <w:rPr>
          <w:rFonts w:ascii="Sylfaen" w:hAnsi="Sylfaen"/>
          <w:sz w:val="24"/>
          <w:szCs w:val="24"/>
        </w:rPr>
        <w:t>5.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պետությունները թիրախավորում են նավթային ոլորտի էկոլոգիական անվտանգության, բնական միջավայրի, քաղաքացիների կյանքի ու առողջության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սպառողների իրավունքների պաշտպանության ոլորտում լավագույն համաշխարհային գործելակերպի կիրառումը: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E20642">
        <w:rPr>
          <w:rFonts w:ascii="Sylfaen" w:hAnsi="Sylfaen"/>
          <w:sz w:val="24"/>
          <w:szCs w:val="24"/>
        </w:rPr>
        <w:t>6.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պետությունները ձգտում են նավթային ոլորտի էկոլոգիական անվտանգության, բնական միջավայրի, քաղաքացիների կյանքի ու առողջության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սպառողների իրավունքների պաշտպանության ոլորտում իրենց օրենսդրության պահանջների միասնականացմանը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E26FC9" w:rsidRPr="00B508A1">
        <w:rPr>
          <w:rFonts w:ascii="Sylfaen" w:hAnsi="Sylfaen"/>
          <w:sz w:val="24"/>
          <w:szCs w:val="24"/>
        </w:rPr>
        <w:t xml:space="preserve">իրենց օրենսդրության </w:t>
      </w:r>
      <w:r w:rsidRPr="00B508A1">
        <w:rPr>
          <w:rFonts w:ascii="Sylfaen" w:hAnsi="Sylfaen"/>
          <w:sz w:val="24"/>
          <w:szCs w:val="24"/>
        </w:rPr>
        <w:t>ներդաշնակեցմանը:</w:t>
      </w:r>
    </w:p>
    <w:p w:rsidR="002128EA" w:rsidRPr="00B508A1" w:rsidRDefault="004B4CBD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E20642">
        <w:rPr>
          <w:rFonts w:ascii="Sylfaen" w:hAnsi="Sylfaen"/>
          <w:sz w:val="24"/>
          <w:szCs w:val="24"/>
        </w:rPr>
        <w:t>7.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Էկոլոգիական անվտանգության ապահովմանն առնչվող դրույթները ներառվում են Միության</w:t>
      </w:r>
      <w:r w:rsidR="00E26FC9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պայմանագրի մեջ:</w:t>
      </w:r>
    </w:p>
    <w:p w:rsidR="00D94B9A" w:rsidRPr="00B508A1" w:rsidRDefault="00D94B9A" w:rsidP="00A568C2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right="160"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Տեղեկատվական փոխանակման համակարգի կազմակերպումը</w:t>
      </w: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E20642">
        <w:rPr>
          <w:rFonts w:ascii="Sylfaen" w:hAnsi="Sylfaen"/>
          <w:sz w:val="24"/>
          <w:szCs w:val="24"/>
        </w:rPr>
        <w:t>8.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Տեղեկատվական փոխանակման </w:t>
      </w:r>
      <w:r w:rsidR="00E26FC9" w:rsidRPr="00B508A1">
        <w:rPr>
          <w:rFonts w:ascii="Sylfaen" w:hAnsi="Sylfaen"/>
          <w:sz w:val="24"/>
          <w:szCs w:val="24"/>
        </w:rPr>
        <w:t xml:space="preserve">համակարգի գործունեությունն </w:t>
      </w:r>
      <w:r w:rsidRPr="00B508A1">
        <w:rPr>
          <w:rFonts w:ascii="Sylfaen" w:hAnsi="Sylfaen"/>
          <w:sz w:val="24"/>
          <w:szCs w:val="24"/>
        </w:rPr>
        <w:t xml:space="preserve">իրականացվում է Միության ինտեգրված տեղեկատվական համակարգի շրջանակներում՝ Պայմանագրի 23-րդ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24-րդ հոդվածներին, «Եվրասիական տնտեսական միության շրջանակներում տեղեկատվական հաղորդակցական տեխնոլոգիաների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տեղեկատվական փոխգործակցության մասին» </w:t>
      </w:r>
      <w:r w:rsidRPr="00B508A1">
        <w:rPr>
          <w:rFonts w:ascii="Sylfaen" w:hAnsi="Sylfaen"/>
          <w:sz w:val="24"/>
          <w:szCs w:val="24"/>
        </w:rPr>
        <w:lastRenderedPageBreak/>
        <w:t xml:space="preserve">արձանագրությանը (Պայմանագրի </w:t>
      </w:r>
      <w:r w:rsidR="00A46E56" w:rsidRPr="00B508A1">
        <w:rPr>
          <w:rFonts w:ascii="Sylfaen" w:hAnsi="Sylfaen"/>
          <w:sz w:val="24"/>
          <w:szCs w:val="24"/>
        </w:rPr>
        <w:t xml:space="preserve">թիվ 3 </w:t>
      </w:r>
      <w:r w:rsidRPr="00B508A1">
        <w:rPr>
          <w:rFonts w:ascii="Sylfaen" w:hAnsi="Sylfaen"/>
          <w:sz w:val="24"/>
          <w:szCs w:val="24"/>
        </w:rPr>
        <w:t>հավելված), «Եվրասիական տնտեսական միության պաշտոնական վիճակագրական տեղեկատվության ձեւավորման եւ տարածման կարգի մասին» արձանագրությանը (Պայմանագրի թիվ 4 հավելված) համապատասխան,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Հայեցակարգի VIII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X բաժիններին համապատասխան:</w:t>
      </w: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</w:t>
      </w:r>
      <w:r w:rsidR="00E20642">
        <w:rPr>
          <w:rFonts w:ascii="Sylfaen" w:hAnsi="Sylfaen"/>
          <w:sz w:val="24"/>
          <w:szCs w:val="24"/>
        </w:rPr>
        <w:t>9.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Տեղեկատվական փոխանակման համակարգն ապահովում է անդամ պետությունների լիազորված մարմինների, Հանձնաժողովի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սուբյեկտների փոխգործակցությունը՝ տեղեկատվական փոխանակման համակարգի շրջանակներում տեղեկատվական փոխգործակցությունը կանոնակարգող փաստաթղթերով նախատեսված ծավալով տեղեկատվություն տրամադրելու մասով,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Միության</w:t>
      </w:r>
      <w:r w:rsidR="004535F3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պայմանագրի դրույթներին համապատասխան: Անդամ պետության տնտեսավարող սուբյեկտներից ստացվող տեղեկատվության ներառումը Միության ինտեգրված տեղեկատվական համակարգի ազգային հատված</w:t>
      </w:r>
      <w:r w:rsidR="004535F3" w:rsidRPr="00B508A1">
        <w:rPr>
          <w:rFonts w:ascii="Sylfaen" w:hAnsi="Sylfaen"/>
          <w:sz w:val="24"/>
          <w:szCs w:val="24"/>
        </w:rPr>
        <w:t>ում</w:t>
      </w:r>
      <w:r w:rsidRPr="00B508A1">
        <w:rPr>
          <w:rFonts w:ascii="Sylfaen" w:hAnsi="Sylfaen"/>
          <w:sz w:val="24"/>
          <w:szCs w:val="24"/>
        </w:rPr>
        <w:t xml:space="preserve"> ապահովվում է այդ անդամ պետության լիազորված մարմնի կողմից:</w:t>
      </w: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E20642">
        <w:rPr>
          <w:rFonts w:ascii="Sylfaen" w:hAnsi="Sylfaen"/>
          <w:sz w:val="24"/>
          <w:szCs w:val="24"/>
        </w:rPr>
        <w:t>0.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Տեղեկատվական փոխանակման համակարգում ներառված տեղեկատվության հասանելիությունը տրամադրվում է անդամ պետությունների լիազորված մարմիններին, Հանձնաժողովին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պետությունների՝ նախնական </w:t>
      </w:r>
      <w:r w:rsidR="001E65E2" w:rsidRPr="00B508A1">
        <w:rPr>
          <w:rFonts w:ascii="Sylfaen" w:hAnsi="Sylfaen"/>
          <w:sz w:val="24"/>
          <w:szCs w:val="24"/>
        </w:rPr>
        <w:t>ավտորիզացում</w:t>
      </w:r>
      <w:r w:rsidRPr="00B508A1">
        <w:rPr>
          <w:rFonts w:ascii="Sylfaen" w:hAnsi="Sylfaen"/>
          <w:sz w:val="24"/>
          <w:szCs w:val="24"/>
        </w:rPr>
        <w:t xml:space="preserve"> անցած տնտեսավարող սուբյեկտներին:</w:t>
      </w: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397F42">
        <w:rPr>
          <w:rFonts w:ascii="Sylfaen" w:hAnsi="Sylfaen"/>
          <w:sz w:val="24"/>
          <w:szCs w:val="24"/>
        </w:rPr>
        <w:t>1.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Մինչ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Միության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 մասին միջազգային պայմանագի</w:t>
      </w:r>
      <w:r w:rsidR="0035654F" w:rsidRPr="00B508A1">
        <w:rPr>
          <w:rFonts w:ascii="Sylfaen" w:hAnsi="Sylfaen"/>
          <w:sz w:val="24"/>
          <w:szCs w:val="24"/>
        </w:rPr>
        <w:t>րն</w:t>
      </w:r>
      <w:r w:rsidRPr="00B508A1">
        <w:rPr>
          <w:rFonts w:ascii="Sylfaen" w:hAnsi="Sylfaen"/>
          <w:sz w:val="24"/>
          <w:szCs w:val="24"/>
        </w:rPr>
        <w:t xml:space="preserve"> ուժի մեջ մտնել</w:t>
      </w:r>
      <w:r w:rsidR="0035654F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լիազորված մարմինների, Հանձնաժողովի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սուբյեկտների փոխգործակցության ընթացքում էլեկտրոնային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ով տրամադրվող տեղեկատվության ցանկը սահմանվում է Պայմանագրին համապատասխան:</w:t>
      </w:r>
    </w:p>
    <w:p w:rsidR="005D4F9B" w:rsidRDefault="005D4F9B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2128EA" w:rsidRPr="00B508A1" w:rsidRDefault="004B4CBD" w:rsidP="005D4F9B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Անդամ պետությունների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օպերատորների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տեխնոլոգիական տեղեկատվության փոխանակումը</w:t>
      </w: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397F42">
        <w:rPr>
          <w:rFonts w:ascii="Sylfaen" w:hAnsi="Sylfaen"/>
          <w:sz w:val="24"/>
          <w:szCs w:val="24"/>
        </w:rPr>
        <w:t>2.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պետությունների</w:t>
      </w:r>
      <w:r w:rsidR="001E65E2" w:rsidRPr="00B508A1">
        <w:rPr>
          <w:rFonts w:ascii="Sylfaen" w:hAnsi="Sylfaen"/>
          <w:sz w:val="24"/>
          <w:szCs w:val="24"/>
        </w:rPr>
        <w:t>`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օպերատորների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տեխնոլոգիական տեղեկատվության փոխանակումն այն ծավալով, որն անհրաժեշտ է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անխափան միջպետական տրանսպորտային փոխադրումն ապահովելու համար, իրականացվում է անդամ պետությունների</w:t>
      </w:r>
      <w:r w:rsidR="00265091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օպերատորների փոխադարձ պայմանավորվածությամբ՝ միասնական կանոններին համապատասխան: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left="360" w:right="160" w:firstLine="700"/>
        <w:rPr>
          <w:rFonts w:ascii="Sylfaen" w:hAnsi="Sylfaen"/>
          <w:sz w:val="24"/>
          <w:szCs w:val="24"/>
        </w:rPr>
      </w:pPr>
    </w:p>
    <w:p w:rsidR="002128EA" w:rsidRPr="00B508A1" w:rsidRDefault="004B4CBD" w:rsidP="005D4F9B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սակարկություններն իրականացնելու համար անհրաժեշտ՝ բորսային սակարկությունների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քլիրինգային կազմակերպությունների օպերատորների ծրագրաապարատային համալիրների մշակումը (լրամշակումը)</w:t>
      </w: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3D566C">
        <w:rPr>
          <w:rFonts w:ascii="Sylfaen" w:hAnsi="Sylfaen"/>
          <w:sz w:val="24"/>
          <w:szCs w:val="24"/>
        </w:rPr>
        <w:t>3.</w:t>
      </w:r>
      <w:r w:rsidR="003D566C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սակարկությունների օպերատորների ծրագրաապարատային համալիրների մշակում</w:t>
      </w:r>
      <w:r w:rsidR="0035654F" w:rsidRPr="00B508A1">
        <w:rPr>
          <w:rFonts w:ascii="Sylfaen" w:hAnsi="Sylfaen"/>
          <w:sz w:val="24"/>
          <w:szCs w:val="24"/>
        </w:rPr>
        <w:t>ը</w:t>
      </w:r>
      <w:r w:rsidRPr="00B508A1">
        <w:rPr>
          <w:rFonts w:ascii="Sylfaen" w:hAnsi="Sylfaen"/>
          <w:sz w:val="24"/>
          <w:szCs w:val="24"/>
        </w:rPr>
        <w:t xml:space="preserve"> (լրամշակումը) իրականացվում է Հայեցակարգի VIII բաժնին համապատասխան:</w:t>
      </w: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3D566C">
        <w:rPr>
          <w:rFonts w:ascii="Sylfaen" w:hAnsi="Sylfaen"/>
          <w:sz w:val="24"/>
          <w:szCs w:val="24"/>
        </w:rPr>
        <w:t>4.</w:t>
      </w:r>
      <w:r w:rsidR="003D566C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Ծրագրաապարատային համալիրների մշակման (լրամշակման) նպատակով՝</w:t>
      </w: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5D4F9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սահմանվում են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քլիրինգային կազմակերպությունների օպերատորների ծրագրաապարատային համալիրների </w:t>
      </w:r>
      <w:r w:rsidR="00F13D85" w:rsidRPr="00B508A1">
        <w:rPr>
          <w:rFonts w:ascii="Sylfaen" w:hAnsi="Sylfaen"/>
          <w:sz w:val="24"/>
          <w:szCs w:val="24"/>
        </w:rPr>
        <w:t xml:space="preserve">փոխգործողության </w:t>
      </w:r>
      <w:r w:rsidRPr="00B508A1">
        <w:rPr>
          <w:rFonts w:ascii="Sylfaen" w:hAnsi="Sylfaen"/>
          <w:sz w:val="24"/>
          <w:szCs w:val="24"/>
        </w:rPr>
        <w:t>սկզբունքները.</w:t>
      </w:r>
    </w:p>
    <w:p w:rsidR="002128EA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5D4F9B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իրականացվում է ծրագրաապարատային համալիրների աուդիտ, սահմանվում են դրանց մշակման (լրամշակման) ուղղությունները.</w:t>
      </w:r>
    </w:p>
    <w:p w:rsidR="005D4F9B" w:rsidRPr="00B508A1" w:rsidRDefault="005D4F9B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5D4F9B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3)</w:t>
      </w:r>
      <w:r w:rsidR="00B308B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ավորվում են տեխնիկական </w:t>
      </w:r>
      <w:r w:rsidR="00932FA0" w:rsidRPr="00B508A1">
        <w:rPr>
          <w:rFonts w:ascii="Sylfaen" w:hAnsi="Sylfaen"/>
          <w:sz w:val="24"/>
          <w:szCs w:val="24"/>
        </w:rPr>
        <w:t xml:space="preserve">լուծման </w:t>
      </w:r>
      <w:r w:rsidRPr="00B508A1">
        <w:rPr>
          <w:rFonts w:ascii="Sylfaen" w:hAnsi="Sylfaen"/>
          <w:sz w:val="24"/>
          <w:szCs w:val="24"/>
        </w:rPr>
        <w:t xml:space="preserve">սկզբունքները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ճարտարապետությունը,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ծրագրաապարատային համալիրների մշակման (լրամշակման) գործողությունների պլանը: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B308B7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</w:t>
      </w:r>
      <w:r w:rsidR="00B308B7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սակարկություններ իրականացնելուն ուղղված</w:t>
      </w:r>
      <w:r w:rsidR="00B308B7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 xml:space="preserve">պիլոտային </w:t>
      </w:r>
      <w:r w:rsidR="00DE3B1A" w:rsidRPr="00B508A1">
        <w:rPr>
          <w:rFonts w:ascii="Sylfaen" w:hAnsi="Sylfaen"/>
          <w:sz w:val="24"/>
          <w:szCs w:val="24"/>
        </w:rPr>
        <w:t xml:space="preserve">ծրագրերի </w:t>
      </w:r>
      <w:r w:rsidRPr="00B508A1">
        <w:rPr>
          <w:rFonts w:ascii="Sylfaen" w:hAnsi="Sylfaen"/>
          <w:sz w:val="24"/>
          <w:szCs w:val="24"/>
        </w:rPr>
        <w:t>իրագործումը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E20642">
        <w:rPr>
          <w:rFonts w:ascii="Sylfaen" w:hAnsi="Sylfaen"/>
          <w:sz w:val="24"/>
          <w:szCs w:val="24"/>
        </w:rPr>
        <w:t>5.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DE3B1A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շրջանակներում անդամ պետությունների լիազորված </w:t>
      </w:r>
      <w:r w:rsidR="00DE3B1A" w:rsidRPr="00B508A1">
        <w:rPr>
          <w:rFonts w:ascii="Sylfaen" w:hAnsi="Sylfaen"/>
          <w:sz w:val="24"/>
          <w:szCs w:val="24"/>
        </w:rPr>
        <w:t xml:space="preserve">մարմինները </w:t>
      </w:r>
      <w:r w:rsidRPr="00B508A1">
        <w:rPr>
          <w:rFonts w:ascii="Sylfaen" w:hAnsi="Sylfaen"/>
          <w:sz w:val="24"/>
          <w:szCs w:val="24"/>
        </w:rPr>
        <w:t xml:space="preserve">Հանձնաժողովի հետ համատեղ գնահատում են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սակարկությունների իրականացմանն ուղղված պիլոտային </w:t>
      </w:r>
      <w:r w:rsidR="00DE3B1A" w:rsidRPr="00B508A1">
        <w:rPr>
          <w:rFonts w:ascii="Sylfaen" w:hAnsi="Sylfaen"/>
          <w:sz w:val="24"/>
          <w:szCs w:val="24"/>
        </w:rPr>
        <w:t xml:space="preserve">ծրագրերի </w:t>
      </w:r>
      <w:r w:rsidRPr="00B508A1">
        <w:rPr>
          <w:rFonts w:ascii="Sylfaen" w:hAnsi="Sylfaen"/>
          <w:sz w:val="24"/>
          <w:szCs w:val="24"/>
        </w:rPr>
        <w:t xml:space="preserve">իրագործման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Հանձնաժողովի, անդամ պետությունների լիազորված մարմինների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սուբյեկտների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տեղեկատվական փոխանակման համակարգի կազմակերպման անհրաժեշտությունը: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left="340" w:firstLine="680"/>
        <w:rPr>
          <w:rFonts w:ascii="Sylfaen" w:hAnsi="Sylfaen"/>
          <w:sz w:val="24"/>
          <w:szCs w:val="24"/>
        </w:rPr>
      </w:pPr>
    </w:p>
    <w:p w:rsidR="002128EA" w:rsidRPr="00B508A1" w:rsidRDefault="004B4CBD" w:rsidP="00B308B7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Նավթային ոլորտում անդամ պետությունների</w:t>
      </w:r>
      <w:r w:rsidR="00B308B7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օրենսդրության ներդաշնակեցումը</w:t>
      </w:r>
    </w:p>
    <w:p w:rsidR="002128EA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E20642">
        <w:rPr>
          <w:rFonts w:ascii="Sylfaen" w:hAnsi="Sylfaen"/>
          <w:sz w:val="24"/>
          <w:szCs w:val="24"/>
        </w:rPr>
        <w:t>6.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Հանձնաժողով</w:t>
      </w:r>
      <w:r w:rsidR="005D06A7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լիազորված մարմինների հետ համաձայնեցմամբ սահմանում է նավթային ոլորտում անդամ պետությունների օրենսդրության (ներառյալ</w:t>
      </w:r>
      <w:r w:rsidR="005D06A7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տեխնոլոգիական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տրային ենթակառուցվածքի գործունեության նորմերն ու կանոնները, որոնք ապահովում են Միության</w:t>
      </w:r>
      <w:r w:rsidR="00AC587E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ավորումը)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նավթային ոլորտում անդամ պետությունների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միջազգային պայմանագրերի համեմատական վերլուծություն անցկացնելու համար տեղեկատվություն ներկայացնելու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ը:</w:t>
      </w:r>
    </w:p>
    <w:p w:rsidR="00B308B7" w:rsidRPr="00B508A1" w:rsidRDefault="00B308B7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3</w:t>
      </w:r>
      <w:r w:rsidR="00E20642">
        <w:rPr>
          <w:rFonts w:ascii="Sylfaen" w:hAnsi="Sylfaen"/>
          <w:sz w:val="24"/>
          <w:szCs w:val="24"/>
        </w:rPr>
        <w:t>7.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Նավթային ոլորտում անդամ պետությունների օրենսդրության համեմատական վերլուծության արդյունքներով Հանձնաժողովը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ավորում է ամփոփ հաշվետվություն, որի հիման վրա անդամ պետությունների լիազորված մարմինները Հանձնաժողովի հետ համատեղ իրականացնում են նավթային ոլորտում անդամ պետությունների օրենսդրության ներդաշնակեցմանն ուղղված միջոցառումների պլանի («ճանապարհային քարտեզի») նախապատրաստումը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սահմանում են Միության</w:t>
      </w:r>
      <w:r w:rsidR="00AC587E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բազային մոտեցումները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սկզբունքները, որոնց պետք է համապատասխանեն անդամ պետությունների՝ ներդաշնակեցման ենթակա նորմատիվ իրավական ակտերը: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E20642">
        <w:rPr>
          <w:rFonts w:ascii="Sylfaen" w:hAnsi="Sylfaen"/>
          <w:sz w:val="24"/>
          <w:szCs w:val="24"/>
        </w:rPr>
        <w:t>8.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պետությունները կազմակերպում են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մատակարարման, արտահանման մաքսատուրքերի (համարժեք այլ տուրքերի, հարկերի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E829AC" w:rsidRPr="00B508A1">
        <w:rPr>
          <w:rFonts w:ascii="Sylfaen" w:hAnsi="Sylfaen"/>
          <w:sz w:val="24"/>
          <w:szCs w:val="24"/>
        </w:rPr>
        <w:t>վճարների</w:t>
      </w:r>
      <w:r w:rsidRPr="00B508A1">
        <w:rPr>
          <w:rFonts w:ascii="Sylfaen" w:hAnsi="Sylfaen"/>
          <w:sz w:val="24"/>
          <w:szCs w:val="24"/>
        </w:rPr>
        <w:t xml:space="preserve">) սահմանման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E829AC" w:rsidRPr="00B508A1">
        <w:rPr>
          <w:rFonts w:ascii="Sylfaen" w:hAnsi="Sylfaen"/>
          <w:sz w:val="24"/>
          <w:szCs w:val="24"/>
        </w:rPr>
        <w:t xml:space="preserve">վճարման </w:t>
      </w:r>
      <w:r w:rsidRPr="00B508A1">
        <w:rPr>
          <w:rFonts w:ascii="Sylfaen" w:hAnsi="Sylfaen"/>
          <w:sz w:val="24"/>
          <w:szCs w:val="24"/>
        </w:rPr>
        <w:t>կարգի ոլորտում միմյանց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կնքված միջազգային պայմանագրերը Միության</w:t>
      </w:r>
      <w:r w:rsidR="00E829AC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բազային մոտեցումներին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սկզբունքներին համապատասխանեցնելուն ուղղված աշխատանքը: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</w:t>
      </w:r>
      <w:r w:rsidR="00E20642">
        <w:rPr>
          <w:rFonts w:ascii="Sylfaen" w:hAnsi="Sylfaen"/>
          <w:sz w:val="24"/>
          <w:szCs w:val="24"/>
        </w:rPr>
        <w:t>9.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Մոնիթորինգի իրականացման շրջանակներում Հանձնաժողովն անցկացնում է անդամ պետությունների նորմատիվ իրավական ակտերում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նավթային ոլորտում անդամ պետությունների միջազգային պայմանագրերում կատարված փոփոխությունների վերլուծություն՝ Միության</w:t>
      </w:r>
      <w:r w:rsidR="00E829AC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բազային մոտեցումներին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սկզբունքներին դրանց համապատասխանության մասով: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left="360" w:firstLine="720"/>
        <w:rPr>
          <w:rFonts w:ascii="Sylfaen" w:hAnsi="Sylfaen"/>
          <w:sz w:val="24"/>
          <w:szCs w:val="24"/>
        </w:rPr>
      </w:pPr>
    </w:p>
    <w:p w:rsidR="00E24E66" w:rsidRPr="00B508A1" w:rsidRDefault="004B4CBD" w:rsidP="00B308B7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Նավթային ոլորտում անդամ պետությունների միջազգային համագործակցության զարգացումը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E20642">
        <w:rPr>
          <w:rFonts w:ascii="Sylfaen" w:hAnsi="Sylfaen"/>
          <w:sz w:val="24"/>
          <w:szCs w:val="24"/>
        </w:rPr>
        <w:t>0.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Նավթային ոլորտում անդամ պետությունների միջազգային համագործակցության զարգացումն իրագործվում է Հայեցակարգի VII բաժնին համապատասխան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իրականացվում է անդամ պետությունների էներգետիկ </w:t>
      </w:r>
      <w:r w:rsidRPr="00B508A1">
        <w:rPr>
          <w:rFonts w:ascii="Sylfaen" w:hAnsi="Sylfaen"/>
          <w:sz w:val="24"/>
          <w:szCs w:val="24"/>
        </w:rPr>
        <w:lastRenderedPageBreak/>
        <w:t>անվտանգությունն ապահովելու,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էներգետիկ ռեսուրսների համաշխարհային շուկայում դրանց դիրքերն ամրապնդելու նպատակով: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397F42">
        <w:rPr>
          <w:rFonts w:ascii="Sylfaen" w:hAnsi="Sylfaen"/>
          <w:sz w:val="24"/>
          <w:szCs w:val="24"/>
        </w:rPr>
        <w:t>1.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Նավթային ոլորտում անդամ պետությունների միջազգային համագործակցության զարգացմանն ուղղված միջոցառումներն իրագործվում են </w:t>
      </w:r>
      <w:r w:rsidR="00304C1E" w:rsidRPr="00B508A1">
        <w:rPr>
          <w:rFonts w:ascii="Sylfaen" w:hAnsi="Sylfaen"/>
          <w:sz w:val="24"/>
          <w:szCs w:val="24"/>
        </w:rPr>
        <w:t xml:space="preserve">Հանձնաժողովի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փոխգործակցությամբ՝ անդամ պետությունների տնտեսավարող սուբյեկտների մասնակցությամբ: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left="360" w:firstLine="720"/>
        <w:rPr>
          <w:rFonts w:ascii="Sylfaen" w:hAnsi="Sylfaen"/>
          <w:sz w:val="24"/>
          <w:szCs w:val="24"/>
        </w:rPr>
      </w:pPr>
    </w:p>
    <w:p w:rsidR="002128EA" w:rsidRPr="00B508A1" w:rsidRDefault="004B4CBD" w:rsidP="00B308B7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Համաշխարհային շուկայում բորսային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B308B7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 xml:space="preserve">արտաբորսային գնային ցուցիչների </w:t>
      </w:r>
      <w:r w:rsidR="00A9324D" w:rsidRPr="00B508A1">
        <w:rPr>
          <w:rFonts w:ascii="Sylfaen" w:hAnsi="Sylfaen"/>
          <w:sz w:val="24"/>
          <w:szCs w:val="24"/>
        </w:rPr>
        <w:t>մոնիթորինգը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397F42">
        <w:rPr>
          <w:rFonts w:ascii="Sylfaen" w:hAnsi="Sylfaen"/>
          <w:sz w:val="24"/>
          <w:szCs w:val="24"/>
        </w:rPr>
        <w:t>2.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Համաշխարհային շուկայում բորսային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արտաբորսային գնային ցուցիչների մոնիթորինգն ապահովելու համար՝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B308B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հաստատվում է համաշխարհային շուկայում բորսային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արտաբորսային գնային ցուցիչների մոնիթորինգի համար բորսային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արտաբորսային հարթակների ցանկը.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B308B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հաստատվում է մոնիթորինգի ենթակա ապրանքների (նավթ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նավթամթերք) ցանկը.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B308B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հաստատվում է գնային ցուցիչների վերլուծության կարգը.</w:t>
      </w:r>
    </w:p>
    <w:p w:rsidR="002128EA" w:rsidRPr="00B508A1" w:rsidRDefault="004B4CBD" w:rsidP="00B308B7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4)</w:t>
      </w:r>
      <w:r w:rsidR="00B308B7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ավորվում է գնային ցուցիչների մասին տեղեկատվություն</w:t>
      </w:r>
      <w:r w:rsidR="004B2807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սուբյեկտների</w:t>
      </w:r>
      <w:r w:rsidR="00D152CD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304C1E" w:rsidRPr="00B508A1">
        <w:rPr>
          <w:rFonts w:ascii="Sylfaen" w:hAnsi="Sylfaen"/>
          <w:sz w:val="24"/>
          <w:szCs w:val="24"/>
        </w:rPr>
        <w:t xml:space="preserve">ի գիտություն </w:t>
      </w:r>
      <w:r w:rsidRPr="00B508A1">
        <w:rPr>
          <w:rFonts w:ascii="Sylfaen" w:hAnsi="Sylfaen"/>
          <w:sz w:val="24"/>
          <w:szCs w:val="24"/>
        </w:rPr>
        <w:t>հասցնելու մեխանիզմը: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left="340" w:right="160" w:firstLine="700"/>
        <w:rPr>
          <w:rFonts w:ascii="Sylfaen" w:hAnsi="Sylfaen"/>
          <w:sz w:val="24"/>
          <w:szCs w:val="24"/>
        </w:rPr>
      </w:pPr>
    </w:p>
    <w:p w:rsidR="002128EA" w:rsidRPr="00B508A1" w:rsidRDefault="004B4CBD" w:rsidP="003C290F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Ներդրումների ներգրավում</w:t>
      </w:r>
      <w:r w:rsidR="004B2807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</w:t>
      </w:r>
      <w:r w:rsidR="003C290F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անդամ պետությունների նավթային ոլորտ</w:t>
      </w:r>
    </w:p>
    <w:p w:rsidR="002128EA" w:rsidRPr="00B508A1" w:rsidRDefault="004B4CBD" w:rsidP="003C290F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3D566C">
        <w:rPr>
          <w:rFonts w:ascii="Sylfaen" w:hAnsi="Sylfaen"/>
          <w:sz w:val="24"/>
          <w:szCs w:val="24"/>
        </w:rPr>
        <w:t>3.</w:t>
      </w:r>
      <w:r w:rsidR="003D566C">
        <w:rPr>
          <w:rFonts w:ascii="Sylfaen" w:hAnsi="Sylfaen"/>
          <w:sz w:val="24"/>
          <w:szCs w:val="24"/>
        </w:rPr>
        <w:tab/>
      </w:r>
      <w:r w:rsidRPr="003C290F">
        <w:rPr>
          <w:rFonts w:ascii="Sylfaen" w:hAnsi="Sylfaen"/>
          <w:spacing w:val="-6"/>
          <w:sz w:val="24"/>
          <w:szCs w:val="24"/>
        </w:rPr>
        <w:t>Անդամ պետությունների նավթային ոլորտ ներդրումների ներգրավման միջոցառումների ցանկը ձ</w:t>
      </w:r>
      <w:r w:rsidR="00A6388E" w:rsidRPr="003C290F">
        <w:rPr>
          <w:rFonts w:ascii="Sylfaen" w:hAnsi="Sylfaen"/>
          <w:spacing w:val="-6"/>
          <w:sz w:val="24"/>
          <w:szCs w:val="24"/>
        </w:rPr>
        <w:t>եւ</w:t>
      </w:r>
      <w:r w:rsidRPr="003C290F">
        <w:rPr>
          <w:rFonts w:ascii="Sylfaen" w:hAnsi="Sylfaen"/>
          <w:spacing w:val="-6"/>
          <w:sz w:val="24"/>
          <w:szCs w:val="24"/>
        </w:rPr>
        <w:t xml:space="preserve">ավորվում է Պայմանագրի XV բաժնին համապատասխան </w:t>
      </w:r>
      <w:r w:rsidR="00A6388E" w:rsidRPr="003C290F">
        <w:rPr>
          <w:rFonts w:ascii="Sylfaen" w:hAnsi="Sylfaen"/>
          <w:spacing w:val="-6"/>
          <w:sz w:val="24"/>
          <w:szCs w:val="24"/>
        </w:rPr>
        <w:t>եւ</w:t>
      </w:r>
      <w:r w:rsidRPr="003C290F">
        <w:rPr>
          <w:rFonts w:ascii="Sylfaen" w:hAnsi="Sylfaen"/>
          <w:spacing w:val="-6"/>
          <w:sz w:val="24"/>
          <w:szCs w:val="24"/>
        </w:rPr>
        <w:t xml:space="preserve"> հաշվի առնելով Հայեցակարգի XI բաժնով նախատեսված դրույթները:</w:t>
      </w:r>
    </w:p>
    <w:p w:rsidR="002128EA" w:rsidRPr="00B508A1" w:rsidRDefault="004B4CBD" w:rsidP="003C290F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4</w:t>
      </w:r>
      <w:r w:rsidR="003D566C">
        <w:rPr>
          <w:rFonts w:ascii="Sylfaen" w:hAnsi="Sylfaen"/>
          <w:sz w:val="24"/>
          <w:szCs w:val="24"/>
        </w:rPr>
        <w:t>4.</w:t>
      </w:r>
      <w:r w:rsidR="003D566C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պետությունների նավթային ոլորտ ներդրումների ներգրավման միջոցառումները ներառում են բարենպաստ ներդրումային կլիմա ապահովելու միջոցներ,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ենթակառուցվածքային </w:t>
      </w:r>
      <w:r w:rsidR="007A65C6" w:rsidRPr="00B508A1">
        <w:rPr>
          <w:rFonts w:ascii="Sylfaen" w:hAnsi="Sylfaen"/>
          <w:sz w:val="24"/>
          <w:szCs w:val="24"/>
        </w:rPr>
        <w:t xml:space="preserve">ծրագրերի </w:t>
      </w:r>
      <w:r w:rsidRPr="00B508A1">
        <w:rPr>
          <w:rFonts w:ascii="Sylfaen" w:hAnsi="Sylfaen"/>
          <w:sz w:val="24"/>
          <w:szCs w:val="24"/>
        </w:rPr>
        <w:t>իրագործմանն աջակցելու միջոցներ:</w:t>
      </w:r>
    </w:p>
    <w:p w:rsidR="002128EA" w:rsidRDefault="004B4CBD" w:rsidP="003C290F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E20642">
        <w:rPr>
          <w:rFonts w:ascii="Sylfaen" w:hAnsi="Sylfaen"/>
          <w:sz w:val="24"/>
          <w:szCs w:val="24"/>
        </w:rPr>
        <w:t>5.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Բարենպաստ ներդրումային կլիմայի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ավորումը նախատեսում է անդամ </w:t>
      </w:r>
      <w:r w:rsidR="007A65C6" w:rsidRPr="00B508A1">
        <w:rPr>
          <w:rFonts w:ascii="Sylfaen" w:hAnsi="Sylfaen"/>
          <w:sz w:val="24"/>
          <w:szCs w:val="24"/>
        </w:rPr>
        <w:t xml:space="preserve">պետություններում </w:t>
      </w:r>
      <w:r w:rsidRPr="00B508A1">
        <w:rPr>
          <w:rFonts w:ascii="Sylfaen" w:hAnsi="Sylfaen"/>
          <w:sz w:val="24"/>
          <w:szCs w:val="24"/>
        </w:rPr>
        <w:t xml:space="preserve">ֆինանսատնտեսական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իրավական պայմանների փոփոխություն՝ ներդրման արդյունավետությունը բարձրացնելու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ներդրումային ռիսկերը նվազեցնելու նպատակով:</w:t>
      </w:r>
    </w:p>
    <w:p w:rsidR="002128EA" w:rsidRPr="00B508A1" w:rsidRDefault="004B4CBD" w:rsidP="003C290F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Ենթակառուցվածքային </w:t>
      </w:r>
      <w:r w:rsidR="007A65C6" w:rsidRPr="00B508A1">
        <w:rPr>
          <w:rFonts w:ascii="Sylfaen" w:hAnsi="Sylfaen"/>
          <w:sz w:val="24"/>
          <w:szCs w:val="24"/>
        </w:rPr>
        <w:t xml:space="preserve">ծրագրերի </w:t>
      </w:r>
      <w:r w:rsidRPr="00B508A1">
        <w:rPr>
          <w:rFonts w:ascii="Sylfaen" w:hAnsi="Sylfaen"/>
          <w:sz w:val="24"/>
          <w:szCs w:val="24"/>
        </w:rPr>
        <w:t>իրագործումը նավթային ոլորտում</w:t>
      </w:r>
    </w:p>
    <w:p w:rsidR="002128EA" w:rsidRPr="00B508A1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E20642">
        <w:rPr>
          <w:rFonts w:ascii="Sylfaen" w:hAnsi="Sylfaen"/>
          <w:sz w:val="24"/>
          <w:szCs w:val="24"/>
        </w:rPr>
        <w:t>6.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Ենթակառուցվածքային </w:t>
      </w:r>
      <w:r w:rsidR="007A65C6" w:rsidRPr="00B508A1">
        <w:rPr>
          <w:rFonts w:ascii="Sylfaen" w:hAnsi="Sylfaen"/>
          <w:sz w:val="24"/>
          <w:szCs w:val="24"/>
        </w:rPr>
        <w:t xml:space="preserve">ծրագրերը </w:t>
      </w:r>
      <w:r w:rsidRPr="00B508A1">
        <w:rPr>
          <w:rFonts w:ascii="Sylfaen" w:hAnsi="Sylfaen"/>
          <w:sz w:val="24"/>
          <w:szCs w:val="24"/>
        </w:rPr>
        <w:t>նավթային ոլորտում իրագործվում</w:t>
      </w:r>
      <w:r w:rsidR="002835C5">
        <w:rPr>
          <w:rFonts w:ascii="Sylfaen" w:hAnsi="Sylfaen"/>
          <w:sz w:val="24"/>
          <w:szCs w:val="24"/>
        </w:rPr>
        <w:t> </w:t>
      </w:r>
      <w:r w:rsidRPr="00B508A1">
        <w:rPr>
          <w:rFonts w:ascii="Sylfaen" w:hAnsi="Sylfaen"/>
          <w:sz w:val="24"/>
          <w:szCs w:val="24"/>
        </w:rPr>
        <w:t>են</w:t>
      </w:r>
      <w:r w:rsidR="004B2807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հաշվի առնելով կնքված միջազգային պայմանագրերը,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</w:t>
      </w:r>
      <w:r w:rsidR="00A6388E">
        <w:rPr>
          <w:rFonts w:ascii="Sylfaen" w:hAnsi="Sylfaen"/>
          <w:sz w:val="24"/>
          <w:szCs w:val="24"/>
        </w:rPr>
        <w:t>եւ</w:t>
      </w:r>
      <w:r w:rsidR="007A65C6" w:rsidRPr="00B508A1">
        <w:rPr>
          <w:rFonts w:ascii="Sylfaen" w:hAnsi="Sylfaen"/>
          <w:sz w:val="24"/>
          <w:szCs w:val="24"/>
        </w:rPr>
        <w:t xml:space="preserve"> </w:t>
      </w:r>
      <w:r w:rsidRPr="00B508A1">
        <w:rPr>
          <w:rFonts w:ascii="Sylfaen" w:hAnsi="Sylfaen"/>
          <w:sz w:val="24"/>
          <w:szCs w:val="24"/>
        </w:rPr>
        <w:t>(կամ) դրանց տնտեսավարող սուբյեկտների՝ զարգացման ընդունված ծրագրերը:</w:t>
      </w:r>
    </w:p>
    <w:p w:rsidR="002128EA" w:rsidRPr="00B508A1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E20642">
        <w:rPr>
          <w:rFonts w:ascii="Sylfaen" w:hAnsi="Sylfaen"/>
          <w:sz w:val="24"/>
          <w:szCs w:val="24"/>
        </w:rPr>
        <w:t>7.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Նավթային ոլորտում ենթակառուցվածքային </w:t>
      </w:r>
      <w:r w:rsidR="007A65C6" w:rsidRPr="00B508A1">
        <w:rPr>
          <w:rFonts w:ascii="Sylfaen" w:hAnsi="Sylfaen"/>
          <w:sz w:val="24"/>
          <w:szCs w:val="24"/>
        </w:rPr>
        <w:t xml:space="preserve">ծրագրերի </w:t>
      </w:r>
      <w:r w:rsidRPr="00B508A1">
        <w:rPr>
          <w:rFonts w:ascii="Sylfaen" w:hAnsi="Sylfaen"/>
          <w:sz w:val="24"/>
          <w:szCs w:val="24"/>
        </w:rPr>
        <w:t>իրագործմանն աջակցելու նպատակներով՝</w:t>
      </w:r>
    </w:p>
    <w:p w:rsidR="002128EA" w:rsidRPr="00B508A1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2835C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պետություններն իրենց տարածքներում ստեղծում են բարենպաստ պայմաններ այն ենթակառուցվածքային </w:t>
      </w:r>
      <w:r w:rsidR="007A65C6" w:rsidRPr="00B508A1">
        <w:rPr>
          <w:rFonts w:ascii="Sylfaen" w:hAnsi="Sylfaen"/>
          <w:sz w:val="24"/>
          <w:szCs w:val="24"/>
        </w:rPr>
        <w:t xml:space="preserve">ծրագրերի </w:t>
      </w:r>
      <w:r w:rsidRPr="00B508A1">
        <w:rPr>
          <w:rFonts w:ascii="Sylfaen" w:hAnsi="Sylfaen"/>
          <w:sz w:val="24"/>
          <w:szCs w:val="24"/>
        </w:rPr>
        <w:t>իրականացման համար, որոնց իրագործումը հնարավոր է Միության</w:t>
      </w:r>
      <w:r w:rsidR="007A65C6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շրջանակներում.</w:t>
      </w:r>
    </w:p>
    <w:p w:rsidR="002128EA" w:rsidRPr="00B508A1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2835C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պետությունները համատեղ սահմանում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իրագործում են ենթակառուցվածքային </w:t>
      </w:r>
      <w:r w:rsidR="007A65C6" w:rsidRPr="00B508A1">
        <w:rPr>
          <w:rFonts w:ascii="Sylfaen" w:hAnsi="Sylfaen"/>
          <w:sz w:val="24"/>
          <w:szCs w:val="24"/>
        </w:rPr>
        <w:t xml:space="preserve">ծրագրեր </w:t>
      </w:r>
      <w:r w:rsidRPr="00B508A1">
        <w:rPr>
          <w:rFonts w:ascii="Sylfaen" w:hAnsi="Sylfaen"/>
          <w:sz w:val="24"/>
          <w:szCs w:val="24"/>
        </w:rPr>
        <w:t xml:space="preserve">նավթային ոլորտում, որոնք իրենց համար փոխադարձ հետաքրքրություն են ներկայացնում, այդ թվում՝ </w:t>
      </w:r>
      <w:r w:rsidR="007A65C6" w:rsidRPr="00B508A1">
        <w:rPr>
          <w:rFonts w:ascii="Sylfaen" w:hAnsi="Sylfaen"/>
          <w:sz w:val="24"/>
          <w:szCs w:val="24"/>
        </w:rPr>
        <w:t xml:space="preserve">որոնք </w:t>
      </w:r>
      <w:r w:rsidRPr="00B508A1">
        <w:rPr>
          <w:rFonts w:ascii="Sylfaen" w:hAnsi="Sylfaen"/>
          <w:sz w:val="24"/>
          <w:szCs w:val="24"/>
        </w:rPr>
        <w:t xml:space="preserve">ապահովում են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զարգացումը.</w:t>
      </w:r>
    </w:p>
    <w:p w:rsidR="002128EA" w:rsidRPr="00B508A1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2835C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պետությունների</w:t>
      </w:r>
      <w:r w:rsidR="00265091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 օպերատորներն իրականացնում են Միության</w:t>
      </w:r>
      <w:r w:rsidR="00D772E7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մասնակիցների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</w:t>
      </w:r>
      <w:r w:rsidRPr="00B508A1">
        <w:rPr>
          <w:rFonts w:ascii="Sylfaen" w:hAnsi="Sylfaen"/>
          <w:sz w:val="24"/>
          <w:szCs w:val="24"/>
        </w:rPr>
        <w:lastRenderedPageBreak/>
        <w:t>նավթամթերքի փոխադարձ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տրի վրա ազդող՝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</w:t>
      </w:r>
      <w:r w:rsidR="00D772E7" w:rsidRPr="00B508A1">
        <w:rPr>
          <w:rFonts w:ascii="Sylfaen" w:hAnsi="Sylfaen"/>
          <w:sz w:val="24"/>
          <w:szCs w:val="24"/>
        </w:rPr>
        <w:t xml:space="preserve">փոխադրման </w:t>
      </w:r>
      <w:r w:rsidRPr="00B508A1">
        <w:rPr>
          <w:rFonts w:ascii="Sylfaen" w:hAnsi="Sylfaen"/>
          <w:sz w:val="24"/>
          <w:szCs w:val="24"/>
        </w:rPr>
        <w:t>համակարգերի զարգացման պլանների մասին փոխադարձ տեղեկացում:</w:t>
      </w:r>
    </w:p>
    <w:p w:rsidR="002128EA" w:rsidRPr="00B508A1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E20642">
        <w:rPr>
          <w:rFonts w:ascii="Sylfaen" w:hAnsi="Sylfaen"/>
          <w:sz w:val="24"/>
          <w:szCs w:val="24"/>
        </w:rPr>
        <w:t>8.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Ենթակառուցվածքային </w:t>
      </w:r>
      <w:r w:rsidR="00D772E7" w:rsidRPr="00B508A1">
        <w:rPr>
          <w:rFonts w:ascii="Sylfaen" w:hAnsi="Sylfaen"/>
          <w:sz w:val="24"/>
          <w:szCs w:val="24"/>
        </w:rPr>
        <w:t xml:space="preserve">ծրագրերը </w:t>
      </w:r>
      <w:r w:rsidRPr="00B508A1">
        <w:rPr>
          <w:rFonts w:ascii="Sylfaen" w:hAnsi="Sylfaen"/>
          <w:sz w:val="24"/>
          <w:szCs w:val="24"/>
        </w:rPr>
        <w:t>նավթային ոլորտում իրագործվում են «Ծառայությունների առ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տրի, հիմնադրման, գործունեության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ներդրումների իրականացման մասին» արձանագրության դրույթներին համապատասխան (Պայմանագրի</w:t>
      </w:r>
      <w:r w:rsidR="00905461" w:rsidRPr="00B508A1">
        <w:rPr>
          <w:rFonts w:ascii="Sylfaen" w:hAnsi="Sylfaen"/>
          <w:sz w:val="24"/>
          <w:szCs w:val="24"/>
        </w:rPr>
        <w:t xml:space="preserve"> թիվ</w:t>
      </w:r>
      <w:r w:rsidRPr="00B508A1">
        <w:rPr>
          <w:rFonts w:ascii="Sylfaen" w:hAnsi="Sylfaen"/>
          <w:sz w:val="24"/>
          <w:szCs w:val="24"/>
        </w:rPr>
        <w:t xml:space="preserve"> 16 հավելված)։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2835C5">
      <w:pPr>
        <w:pStyle w:val="Bodytext21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III. Ծրագրի իրագործման ապահովումը</w:t>
      </w:r>
      <w:r w:rsidRPr="00B508A1">
        <w:rPr>
          <w:rFonts w:ascii="Sylfaen" w:hAnsi="Sylfaen"/>
          <w:sz w:val="24"/>
          <w:szCs w:val="24"/>
        </w:rPr>
        <w:br/>
        <w:t>Ծրագրի իրագործման շրջանակներում անդամ պետությունների լիազորված մարմինների փոխգործակցությունը</w:t>
      </w:r>
    </w:p>
    <w:p w:rsidR="002128EA" w:rsidRPr="00B508A1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</w:t>
      </w:r>
      <w:r w:rsidR="00E20642">
        <w:rPr>
          <w:rFonts w:ascii="Sylfaen" w:hAnsi="Sylfaen"/>
          <w:sz w:val="24"/>
          <w:szCs w:val="24"/>
        </w:rPr>
        <w:t>9.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պետությունների լիազորված մարմինների՝ սույն </w:t>
      </w:r>
      <w:r w:rsidR="00905461" w:rsidRPr="00B508A1">
        <w:rPr>
          <w:rFonts w:ascii="Sylfaen" w:hAnsi="Sylfaen"/>
          <w:sz w:val="24"/>
          <w:szCs w:val="24"/>
        </w:rPr>
        <w:t xml:space="preserve">ծրագրի </w:t>
      </w:r>
      <w:r w:rsidRPr="00B508A1">
        <w:rPr>
          <w:rFonts w:ascii="Sylfaen" w:hAnsi="Sylfaen"/>
          <w:sz w:val="24"/>
          <w:szCs w:val="24"/>
        </w:rPr>
        <w:t>իրագործման մասով փոխգործակցության իրականացման նպատակներով Հանձնաժողովի կողմից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ավորվում է աշխատանքային խումբ՝ պետական մարմինների ներկայացուցիչների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սուբյեկտների, ինչպես նա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տարածքներում տեղակայված՝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համակարգերի, նավթապահեստների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պահեստային ենթակառուցվածքի օպերատորներ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(կամ) սեփականատերեր հանդիսացող իրավաբանական անձանց, բորսային սակարկությունների օպերատորների կազմով:</w:t>
      </w:r>
    </w:p>
    <w:p w:rsidR="002128EA" w:rsidRPr="00B508A1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</w:t>
      </w:r>
      <w:r w:rsidR="00E20642">
        <w:rPr>
          <w:rFonts w:ascii="Sylfaen" w:hAnsi="Sylfaen"/>
          <w:sz w:val="24"/>
          <w:szCs w:val="24"/>
        </w:rPr>
        <w:t>0.</w:t>
      </w:r>
      <w:r w:rsidR="00E206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Սույն </w:t>
      </w:r>
      <w:r w:rsidR="00905461" w:rsidRPr="00B508A1">
        <w:rPr>
          <w:rFonts w:ascii="Sylfaen" w:hAnsi="Sylfaen"/>
          <w:sz w:val="24"/>
          <w:szCs w:val="24"/>
        </w:rPr>
        <w:t xml:space="preserve">ծրագրի </w:t>
      </w:r>
      <w:r w:rsidRPr="00B508A1">
        <w:rPr>
          <w:rFonts w:ascii="Sylfaen" w:hAnsi="Sylfaen"/>
          <w:sz w:val="24"/>
          <w:szCs w:val="24"/>
        </w:rPr>
        <w:t>49-րդ կետում նշված աշխատանքային խումբն իրականացնում է Միության</w:t>
      </w:r>
      <w:r w:rsidR="00905461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գործունեության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կարգավորման մոնիթորինգ, այդ թվում՝</w:t>
      </w:r>
    </w:p>
    <w:p w:rsidR="002128EA" w:rsidRDefault="004B4CBD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2835C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տրանսպորտային փոխադրման համակարգերի</w:t>
      </w:r>
      <w:r w:rsidR="00905461" w:rsidRPr="00B508A1">
        <w:rPr>
          <w:rFonts w:ascii="Sylfaen" w:hAnsi="Sylfaen"/>
          <w:sz w:val="24"/>
          <w:szCs w:val="24"/>
        </w:rPr>
        <w:t>ն</w:t>
      </w:r>
      <w:r w:rsidRPr="00B508A1">
        <w:rPr>
          <w:rFonts w:ascii="Sylfaen" w:hAnsi="Sylfaen"/>
          <w:sz w:val="24"/>
          <w:szCs w:val="24"/>
        </w:rPr>
        <w:t xml:space="preserve"> հասանելիության տրամադրման ու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տարանցման ապահովման մոնիթորինգ.</w:t>
      </w:r>
    </w:p>
    <w:p w:rsidR="002835C5" w:rsidRPr="00B508A1" w:rsidRDefault="002835C5" w:rsidP="002835C5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2)</w:t>
      </w:r>
      <w:r w:rsidR="002835C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շուկայական գնագոյացման մեխանիզմների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ու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բորսային սակարկությունների զարգացման մոնիթորինգ.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2835C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905461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տեխնոլոգիական հիմքի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տեղեկատվական փոխանակման իրագործման մոնիթորինգ.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4)</w:t>
      </w:r>
      <w:r w:rsidR="002835C5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միջազգային համագործակցության զարգացման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նավթային ոլորտ ներդրումների ներգրավման մոնիթորինգ:</w:t>
      </w:r>
    </w:p>
    <w:p w:rsidR="00D94B9A" w:rsidRPr="00B508A1" w:rsidRDefault="00D94B9A" w:rsidP="00AE1941">
      <w:pPr>
        <w:pStyle w:val="Bodytext21"/>
        <w:shd w:val="clear" w:color="auto" w:fill="auto"/>
        <w:spacing w:before="0" w:after="160" w:line="372" w:lineRule="auto"/>
        <w:ind w:firstLine="567"/>
        <w:jc w:val="center"/>
        <w:rPr>
          <w:rFonts w:ascii="Sylfaen" w:hAnsi="Sylfaen"/>
          <w:sz w:val="24"/>
          <w:szCs w:val="24"/>
        </w:rPr>
      </w:pPr>
    </w:p>
    <w:p w:rsidR="00D94B9A" w:rsidRDefault="004B4CBD" w:rsidP="00AE1941">
      <w:pPr>
        <w:pStyle w:val="Bodytext21"/>
        <w:shd w:val="clear" w:color="auto" w:fill="auto"/>
        <w:spacing w:before="0" w:after="160" w:line="372" w:lineRule="auto"/>
        <w:ind w:left="1134" w:right="1135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IV. Ծրագրի ռեսուրսային ապահովումը</w:t>
      </w:r>
    </w:p>
    <w:p w:rsidR="002835C5" w:rsidRPr="00B508A1" w:rsidRDefault="002835C5" w:rsidP="00AE1941">
      <w:pPr>
        <w:pStyle w:val="Bodytext21"/>
        <w:shd w:val="clear" w:color="auto" w:fill="auto"/>
        <w:spacing w:before="0" w:after="160" w:line="372" w:lineRule="auto"/>
        <w:ind w:left="1134" w:right="1135"/>
        <w:jc w:val="center"/>
        <w:rPr>
          <w:rFonts w:ascii="Sylfaen" w:hAnsi="Sylfaen"/>
          <w:sz w:val="24"/>
          <w:szCs w:val="24"/>
        </w:rPr>
      </w:pPr>
    </w:p>
    <w:p w:rsidR="002128EA" w:rsidRPr="00B508A1" w:rsidRDefault="004B4CBD" w:rsidP="00AE1941">
      <w:pPr>
        <w:pStyle w:val="Bodytext21"/>
        <w:shd w:val="clear" w:color="auto" w:fill="auto"/>
        <w:spacing w:before="0" w:after="160" w:line="372" w:lineRule="auto"/>
        <w:ind w:left="1134" w:right="1135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 xml:space="preserve">1. Ծրագրի իրագործման ֆինանսավորման </w:t>
      </w:r>
      <w:r w:rsidR="00AE1941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 xml:space="preserve">կարգը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մեխանիզմները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</w:t>
      </w:r>
      <w:r w:rsidR="00397F42">
        <w:rPr>
          <w:rFonts w:ascii="Sylfaen" w:hAnsi="Sylfaen"/>
          <w:sz w:val="24"/>
          <w:szCs w:val="24"/>
        </w:rPr>
        <w:t>1.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Սույն </w:t>
      </w:r>
      <w:r w:rsidR="00905461" w:rsidRPr="00B508A1">
        <w:rPr>
          <w:rFonts w:ascii="Sylfaen" w:hAnsi="Sylfaen"/>
          <w:sz w:val="24"/>
          <w:szCs w:val="24"/>
        </w:rPr>
        <w:t xml:space="preserve">ծրագրի </w:t>
      </w:r>
      <w:r w:rsidRPr="00B508A1">
        <w:rPr>
          <w:rFonts w:ascii="Sylfaen" w:hAnsi="Sylfaen"/>
          <w:sz w:val="24"/>
          <w:szCs w:val="24"/>
        </w:rPr>
        <w:t xml:space="preserve">իրագործման ֆինանսական ապահովումն իրականացվում է Հանձնաժողովի կողմից՝ իր լիազորություններին համապատասխան՝ Միության բյուջեի միջոցների հաշվին, անդամ պետությունների լիազորված մարմինների կողմից՝ անդամ պետությունների բյուջեների միջոցների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(կամ) արտաբյուջետային աղբյուրների հաշվին՝ այդ պետությունների օրենսդրությանը համապատասխան։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</w:t>
      </w:r>
      <w:r w:rsidR="00397F42">
        <w:rPr>
          <w:rFonts w:ascii="Sylfaen" w:hAnsi="Sylfaen"/>
          <w:sz w:val="24"/>
          <w:szCs w:val="24"/>
        </w:rPr>
        <w:t>2.</w:t>
      </w:r>
      <w:r w:rsidR="00397F42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Սույն </w:t>
      </w:r>
      <w:r w:rsidR="00905461" w:rsidRPr="00B508A1">
        <w:rPr>
          <w:rFonts w:ascii="Sylfaen" w:hAnsi="Sylfaen"/>
          <w:sz w:val="24"/>
          <w:szCs w:val="24"/>
        </w:rPr>
        <w:t xml:space="preserve">ծրագիրն </w:t>
      </w:r>
      <w:r w:rsidRPr="00B508A1">
        <w:rPr>
          <w:rFonts w:ascii="Sylfaen" w:hAnsi="Sylfaen"/>
          <w:sz w:val="24"/>
          <w:szCs w:val="24"/>
        </w:rPr>
        <w:t>իրագործելիս՝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1)</w:t>
      </w:r>
      <w:r w:rsidR="002835C5">
        <w:rPr>
          <w:rFonts w:ascii="Sylfaen" w:hAnsi="Sylfaen"/>
          <w:sz w:val="24"/>
          <w:szCs w:val="24"/>
        </w:rPr>
        <w:tab/>
      </w:r>
      <w:r w:rsidR="001E65E2" w:rsidRPr="00B508A1">
        <w:rPr>
          <w:rFonts w:ascii="Sylfaen" w:hAnsi="Sylfaen"/>
          <w:sz w:val="24"/>
          <w:szCs w:val="24"/>
        </w:rPr>
        <w:t>Միության բյուջեի միջոցների (Հանձնաժողովի բյուջետային նախահաշվի միջոցների) հաշվին</w:t>
      </w:r>
      <w:r w:rsidRPr="00B508A1">
        <w:rPr>
          <w:rFonts w:ascii="Sylfaen" w:hAnsi="Sylfaen"/>
          <w:sz w:val="24"/>
          <w:szCs w:val="24"/>
        </w:rPr>
        <w:t xml:space="preserve"> ֆինանսավորվում են Հանձնաժողովի կողմից կատարվող՝ Միության մարմինների ակտերի մշակմանն ուղղված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Միության ինտեգրված տեղեկատվական համակարգի ինտեգրացիոն հատվածի զարգացմանն ուղղված միջոցառումները՝ անդամ պետությունների լիազորված մարմինների, Հանձնաժողովի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</w:t>
      </w:r>
      <w:r w:rsidRPr="00B508A1">
        <w:rPr>
          <w:rFonts w:ascii="Sylfaen" w:hAnsi="Sylfaen"/>
          <w:sz w:val="24"/>
          <w:szCs w:val="24"/>
        </w:rPr>
        <w:lastRenderedPageBreak/>
        <w:t>սուբյեկտների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տեղեկատվական փոխանակման համակարգի գործունեության իրագործման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ապահովման նպատակներով.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AE1941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անդամ պետությունների բյուջեների միջոցների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(կամ) արտաբյուջետային աղբյուրների հաշվին (անդամ պետությունների լիազորված մարմինների գործունեության ապահովման միջոցների սահմաններում) ֆինանսավորվում են անդամ պետությունների լիազորված մարմինների մասնակցությամբ իրականացվող՝ Միության մարմինների ակտերի մշակմանը, անդամ պետությունների նորմատիվ իրավական ակտերի ներդաշնակեցմանը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Միության ինտեգրված տեղեկատվական համակարգի ազգային հատվածների զարգացմանն ուղղված միջոցառումները՝ անդամ պետությունների լիազորված մարմինների, Հանձնաժողովի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անդամ պետությունների տնտեսավարող սուբյեկտների միջ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տեղեկատվական փոխանակման համակարգի գործունեության իրագործման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ապահովման նպատակներով.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3)</w:t>
      </w:r>
      <w:r w:rsidR="00AE1941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արտաբյուջետային աղբյուրների միջոցների ներգրավմամբ ֆինանսավորվում են Միության</w:t>
      </w:r>
      <w:r w:rsidR="001E7DEC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գործունեության համար անհրաժեշտ ենթակառուցվածքի ստեղծումն ու զարգացումը:</w:t>
      </w:r>
    </w:p>
    <w:p w:rsidR="00D94B9A" w:rsidRPr="00B508A1" w:rsidRDefault="00D94B9A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1701" w:right="1702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2. Գիտական ապահովումը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5</w:t>
      </w:r>
      <w:r w:rsidR="003D566C">
        <w:rPr>
          <w:rFonts w:ascii="Sylfaen" w:hAnsi="Sylfaen"/>
          <w:sz w:val="24"/>
          <w:szCs w:val="24"/>
        </w:rPr>
        <w:t>3.</w:t>
      </w:r>
      <w:r w:rsidR="003D566C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 xml:space="preserve">Սույն </w:t>
      </w:r>
      <w:r w:rsidR="001E7DEC" w:rsidRPr="00B508A1">
        <w:rPr>
          <w:rFonts w:ascii="Sylfaen" w:hAnsi="Sylfaen"/>
          <w:sz w:val="24"/>
          <w:szCs w:val="24"/>
        </w:rPr>
        <w:t xml:space="preserve">ծրագրի </w:t>
      </w:r>
      <w:r w:rsidRPr="00B508A1">
        <w:rPr>
          <w:rFonts w:ascii="Sylfaen" w:hAnsi="Sylfaen"/>
          <w:sz w:val="24"/>
          <w:szCs w:val="24"/>
        </w:rPr>
        <w:t>իրագործման շրջանակներում պահանջվում է դրա գիտական ապահովումը՝ Միության</w:t>
      </w:r>
      <w:r w:rsidR="001E7DEC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կանոններ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մեխանիզմներ մշակելիս </w:t>
      </w:r>
      <w:r w:rsidR="001E7DEC" w:rsidRPr="00B508A1">
        <w:rPr>
          <w:rFonts w:ascii="Sylfaen" w:hAnsi="Sylfaen"/>
          <w:sz w:val="24"/>
          <w:szCs w:val="24"/>
        </w:rPr>
        <w:t xml:space="preserve">վերլուծական </w:t>
      </w:r>
      <w:r w:rsidRPr="00B508A1">
        <w:rPr>
          <w:rFonts w:ascii="Sylfaen" w:hAnsi="Sylfaen"/>
          <w:sz w:val="24"/>
          <w:szCs w:val="24"/>
        </w:rPr>
        <w:t xml:space="preserve">հետազոտություններ անցկացնելու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գիտականորեն հիմնավորված առաջարկություններ ներկայացնելու տեսքով</w:t>
      </w:r>
      <w:r w:rsidR="00D152CD" w:rsidRPr="00B508A1">
        <w:rPr>
          <w:rFonts w:ascii="Sylfaen" w:hAnsi="Sylfaen"/>
          <w:sz w:val="24"/>
          <w:szCs w:val="24"/>
        </w:rPr>
        <w:t>,</w:t>
      </w:r>
      <w:r w:rsidRPr="00B508A1">
        <w:rPr>
          <w:rFonts w:ascii="Sylfaen" w:hAnsi="Sylfaen"/>
          <w:sz w:val="24"/>
          <w:szCs w:val="24"/>
        </w:rPr>
        <w:t xml:space="preserve"> ներառյալ</w:t>
      </w:r>
      <w:r w:rsidR="00D152CD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Միության</w:t>
      </w:r>
      <w:r w:rsidR="001E7DEC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ավորման ինստիտուցիոնալ, տեխնոլոգիական, իրավաբանական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տնտեսական մեխանիզմները, այդ թվում հետ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յալ ուղղություններով՝</w:t>
      </w:r>
    </w:p>
    <w:p w:rsidR="002128EA" w:rsidRPr="00B508A1" w:rsidRDefault="004B4CBD" w:rsidP="00AE1941">
      <w:pPr>
        <w:pStyle w:val="Bodytext21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1)</w:t>
      </w:r>
      <w:r w:rsidR="00AE1941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անդամ պետությունների համար մեթոդական առաջարկությունների նախապատրաստում՝ Միության</w:t>
      </w:r>
      <w:r w:rsidR="005E6EA8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կարգավորման բնագավառում նորմատիվ իրավական ակտերի մշակման մասով.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2)</w:t>
      </w:r>
      <w:r w:rsidR="00AE1941">
        <w:rPr>
          <w:rFonts w:ascii="Sylfaen" w:hAnsi="Sylfaen"/>
          <w:sz w:val="24"/>
          <w:szCs w:val="24"/>
        </w:rPr>
        <w:tab/>
      </w:r>
      <w:r w:rsidRPr="00B508A1">
        <w:rPr>
          <w:rFonts w:ascii="Sylfaen" w:hAnsi="Sylfaen"/>
          <w:sz w:val="24"/>
          <w:szCs w:val="24"/>
        </w:rPr>
        <w:t>Միության</w:t>
      </w:r>
      <w:r w:rsidR="005E6EA8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մոնիթորինգի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վերլուծության իրականացման մեթոդիկաների մշակում:</w:t>
      </w:r>
    </w:p>
    <w:p w:rsidR="002128EA" w:rsidRPr="00A6388E" w:rsidRDefault="002128EA" w:rsidP="00B508A1">
      <w:pPr>
        <w:spacing w:after="160" w:line="360" w:lineRule="auto"/>
        <w:rPr>
          <w:rFonts w:ascii="Sylfaen" w:hAnsi="Sylfaen"/>
        </w:rPr>
      </w:pPr>
    </w:p>
    <w:p w:rsidR="00B508A1" w:rsidRDefault="00AE1941" w:rsidP="00AE1941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——————————</w:t>
      </w:r>
    </w:p>
    <w:p w:rsidR="00AE1941" w:rsidRDefault="00AE1941" w:rsidP="00B508A1">
      <w:pPr>
        <w:spacing w:after="160" w:line="360" w:lineRule="auto"/>
        <w:rPr>
          <w:rFonts w:ascii="Sylfaen" w:hAnsi="Sylfaen"/>
        </w:rPr>
      </w:pPr>
    </w:p>
    <w:p w:rsidR="00AE1941" w:rsidRPr="00A6388E" w:rsidRDefault="00AE1941" w:rsidP="00B508A1">
      <w:pPr>
        <w:spacing w:after="160" w:line="360" w:lineRule="auto"/>
        <w:rPr>
          <w:rFonts w:ascii="Sylfaen" w:hAnsi="Sylfaen"/>
        </w:rPr>
        <w:sectPr w:rsidR="00AE1941" w:rsidRPr="00A6388E" w:rsidSect="00167D8A">
          <w:footerReference w:type="default" r:id="rId7"/>
          <w:pgSz w:w="11907" w:h="16839" w:code="9"/>
          <w:pgMar w:top="1418" w:right="1418" w:bottom="1418" w:left="1418" w:header="0" w:footer="498" w:gutter="0"/>
          <w:pgNumType w:start="1"/>
          <w:cols w:space="720"/>
          <w:noEndnote/>
          <w:titlePg/>
          <w:docGrid w:linePitch="360"/>
        </w:sectPr>
      </w:pP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9639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lastRenderedPageBreak/>
        <w:t>ՀԱՍՏԱՏՎԱԾ Է</w:t>
      </w:r>
    </w:p>
    <w:p w:rsidR="002128EA" w:rsidRPr="00B508A1" w:rsidRDefault="004B4CBD" w:rsidP="00B508A1">
      <w:pPr>
        <w:pStyle w:val="Bodytext21"/>
        <w:shd w:val="clear" w:color="auto" w:fill="auto"/>
        <w:spacing w:before="0" w:after="160" w:line="360" w:lineRule="auto"/>
        <w:ind w:left="9639"/>
        <w:jc w:val="center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AE1941">
        <w:rPr>
          <w:rFonts w:ascii="Sylfaen" w:hAnsi="Sylfaen"/>
          <w:sz w:val="24"/>
          <w:szCs w:val="24"/>
        </w:rPr>
        <w:br/>
      </w:r>
      <w:r w:rsidRPr="00B508A1">
        <w:rPr>
          <w:rFonts w:ascii="Sylfaen" w:hAnsi="Sylfaen"/>
          <w:sz w:val="24"/>
          <w:szCs w:val="24"/>
        </w:rPr>
        <w:t>20</w:t>
      </w:r>
      <w:r w:rsidR="00397F42">
        <w:rPr>
          <w:rFonts w:ascii="Sylfaen" w:hAnsi="Sylfaen"/>
          <w:sz w:val="24"/>
          <w:szCs w:val="24"/>
        </w:rPr>
        <w:t xml:space="preserve"> </w:t>
      </w:r>
      <w:r w:rsidR="00AE1941">
        <w:rPr>
          <w:rFonts w:ascii="Sylfaen" w:hAnsi="Sylfaen"/>
          <w:sz w:val="24"/>
          <w:szCs w:val="24"/>
        </w:rPr>
        <w:t xml:space="preserve">  </w:t>
      </w:r>
      <w:r w:rsidRPr="00B508A1">
        <w:rPr>
          <w:rFonts w:ascii="Sylfaen" w:hAnsi="Sylfaen"/>
          <w:sz w:val="24"/>
          <w:szCs w:val="24"/>
        </w:rPr>
        <w:t xml:space="preserve"> թվականի թիվ</w:t>
      </w:r>
      <w:r w:rsidR="00AE1941">
        <w:rPr>
          <w:rFonts w:ascii="Sylfaen" w:hAnsi="Sylfaen"/>
          <w:sz w:val="24"/>
          <w:szCs w:val="24"/>
        </w:rPr>
        <w:t xml:space="preserve">       </w:t>
      </w:r>
      <w:r w:rsidRPr="00B508A1">
        <w:rPr>
          <w:rFonts w:ascii="Sylfaen" w:hAnsi="Sylfaen"/>
          <w:sz w:val="24"/>
          <w:szCs w:val="24"/>
        </w:rPr>
        <w:t>որոշմամբ</w:t>
      </w:r>
    </w:p>
    <w:p w:rsidR="002128EA" w:rsidRPr="00B508A1" w:rsidRDefault="004B4CBD" w:rsidP="00B508A1">
      <w:pPr>
        <w:pStyle w:val="Heading220"/>
        <w:shd w:val="clear" w:color="auto" w:fill="auto"/>
        <w:spacing w:before="0" w:after="160" w:line="360" w:lineRule="auto"/>
        <w:ind w:left="2268" w:right="2238"/>
        <w:rPr>
          <w:rFonts w:ascii="Sylfaen" w:hAnsi="Sylfaen"/>
          <w:sz w:val="24"/>
          <w:szCs w:val="24"/>
        </w:rPr>
      </w:pPr>
      <w:r w:rsidRPr="00B508A1">
        <w:rPr>
          <w:rStyle w:val="Heading22Spacing2pt"/>
          <w:rFonts w:ascii="Sylfaen" w:hAnsi="Sylfaen"/>
          <w:b/>
          <w:spacing w:val="0"/>
          <w:sz w:val="24"/>
          <w:szCs w:val="24"/>
        </w:rPr>
        <w:t>ՊԼԱՆ</w:t>
      </w:r>
    </w:p>
    <w:p w:rsidR="002128EA" w:rsidRPr="00B508A1" w:rsidRDefault="004B4CBD" w:rsidP="00B508A1">
      <w:pPr>
        <w:pStyle w:val="Bodytext40"/>
        <w:shd w:val="clear" w:color="auto" w:fill="auto"/>
        <w:spacing w:after="160" w:line="360" w:lineRule="auto"/>
        <w:ind w:left="2268" w:right="2238"/>
        <w:rPr>
          <w:rFonts w:ascii="Sylfaen" w:hAnsi="Sylfaen"/>
          <w:sz w:val="24"/>
          <w:szCs w:val="24"/>
        </w:rPr>
      </w:pPr>
      <w:r w:rsidRPr="00B508A1">
        <w:rPr>
          <w:rFonts w:ascii="Sylfaen" w:hAnsi="Sylfaen"/>
          <w:sz w:val="24"/>
          <w:szCs w:val="24"/>
        </w:rPr>
        <w:t>Եվրասիական տնտեսական միության</w:t>
      </w:r>
      <w:r w:rsidR="005E6EA8" w:rsidRPr="00B508A1">
        <w:rPr>
          <w:rFonts w:ascii="Sylfaen" w:hAnsi="Sylfaen"/>
          <w:sz w:val="24"/>
          <w:szCs w:val="24"/>
        </w:rPr>
        <w:t>՝</w:t>
      </w:r>
      <w:r w:rsidRPr="00B508A1">
        <w:rPr>
          <w:rFonts w:ascii="Sylfaen" w:hAnsi="Sylfaen"/>
          <w:sz w:val="24"/>
          <w:szCs w:val="24"/>
        </w:rPr>
        <w:t xml:space="preserve"> նավթի 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 xml:space="preserve"> նավթամթերքի ընդհանուր շուկաների ձ</w:t>
      </w:r>
      <w:r w:rsidR="00A6388E">
        <w:rPr>
          <w:rFonts w:ascii="Sylfaen" w:hAnsi="Sylfaen"/>
          <w:sz w:val="24"/>
          <w:szCs w:val="24"/>
        </w:rPr>
        <w:t>եւ</w:t>
      </w:r>
      <w:r w:rsidRPr="00B508A1">
        <w:rPr>
          <w:rFonts w:ascii="Sylfaen" w:hAnsi="Sylfaen"/>
          <w:sz w:val="24"/>
          <w:szCs w:val="24"/>
        </w:rPr>
        <w:t>ավորմանն ուղղված միջոցառումների</w:t>
      </w:r>
    </w:p>
    <w:tbl>
      <w:tblPr>
        <w:tblOverlap w:val="never"/>
        <w:tblW w:w="152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2"/>
        <w:gridCol w:w="8"/>
        <w:gridCol w:w="2097"/>
        <w:gridCol w:w="2310"/>
        <w:gridCol w:w="2339"/>
        <w:gridCol w:w="2935"/>
        <w:gridCol w:w="15"/>
      </w:tblGrid>
      <w:tr w:rsidR="002128EA" w:rsidRPr="00B508A1" w:rsidTr="00167D8A">
        <w:trPr>
          <w:gridAfter w:val="1"/>
          <w:wAfter w:w="13" w:type="dxa"/>
          <w:trHeight w:val="146"/>
          <w:jc w:val="center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Միջոցառման անվանումը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Իրագործման ժամկետը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Ակնկալվող արդյունքը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ind w:left="300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Պատասխանատու կատարողը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Համակատարողները</w:t>
            </w:r>
          </w:p>
        </w:tc>
      </w:tr>
      <w:tr w:rsidR="002128EA" w:rsidRPr="00B508A1" w:rsidTr="00167D8A">
        <w:trPr>
          <w:gridAfter w:val="1"/>
          <w:wAfter w:w="15" w:type="dxa"/>
          <w:trHeight w:val="146"/>
          <w:jc w:val="center"/>
        </w:trPr>
        <w:tc>
          <w:tcPr>
            <w:tcW w:w="15211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I. Եվրասիական տնտեսական միության (այսուհետ՝ Միություն)</w:t>
            </w:r>
            <w:r w:rsidR="005E6EA8" w:rsidRPr="00B508A1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ընդհանուր շուկաները կանոնակարգող ակտերի մշակում</w:t>
            </w:r>
          </w:p>
        </w:tc>
      </w:tr>
      <w:tr w:rsidR="002128EA" w:rsidRPr="00B508A1" w:rsidTr="00167D8A">
        <w:trPr>
          <w:gridAfter w:val="1"/>
          <w:wAfter w:w="13" w:type="dxa"/>
          <w:trHeight w:val="146"/>
          <w:jc w:val="center"/>
        </w:trPr>
        <w:tc>
          <w:tcPr>
            <w:tcW w:w="5532" w:type="dxa"/>
            <w:gridSpan w:val="2"/>
            <w:shd w:val="clear" w:color="auto" w:fill="FFFFFF"/>
            <w:vAlign w:val="center"/>
          </w:tcPr>
          <w:p w:rsidR="002128EA" w:rsidRPr="00B508A1" w:rsidRDefault="00397F42" w:rsidP="00AE1941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Տեղեկատվական փոխանակման շրջանակներում տեղեկատվական փոխգործակցությունը կանոնակարգող փաստաթղթերի ընդունում՝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310" w:type="dxa"/>
            <w:shd w:val="clear" w:color="auto" w:fill="FFFFFF"/>
            <w:vAlign w:val="bottom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Եվրասիական տնտեսական հանձնաժողովի (այսուհետ՝ Հանձնաժողով) 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ակտեր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Հանձնաժողով</w:t>
            </w:r>
          </w:p>
        </w:tc>
        <w:tc>
          <w:tcPr>
            <w:tcW w:w="2935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Միության անդամ պետություններ (այսուհետ՝ անդամ պետություններ)</w:t>
            </w:r>
          </w:p>
        </w:tc>
      </w:tr>
      <w:tr w:rsidR="002128EA" w:rsidRPr="00B508A1" w:rsidTr="00167D8A">
        <w:trPr>
          <w:gridAfter w:val="1"/>
          <w:wAfter w:w="13" w:type="dxa"/>
          <w:trHeight w:val="146"/>
          <w:jc w:val="center"/>
        </w:trPr>
        <w:tc>
          <w:tcPr>
            <w:tcW w:w="5532" w:type="dxa"/>
            <w:gridSpan w:val="2"/>
            <w:shd w:val="clear" w:color="auto" w:fill="FFFFFF"/>
            <w:vAlign w:val="bottom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ind w:left="720"/>
              <w:jc w:val="left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անդամ պետությունների լիազորված մարմինների, Հանձնաժողովի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անդամ պետությունների տնտեսավարող սուբյեկտների փոխգործակցության ընթացքում </w:t>
            </w:r>
            <w:r w:rsidR="005E6EA8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էլեկտրոնային 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ձ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ով տրամադրվող տեղեկատվության՝ «Եվրասիական տնտեսական միության մասին» 2014 թվականի մայիսի 29-ի պայմանագրին (այսուհետ՝ Պայմանագիր)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Միության շրջանակներում միջազգային պայմանագրերին համապատասխան սահմանված ցանկով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2019 թվական</w:t>
            </w:r>
          </w:p>
        </w:tc>
        <w:tc>
          <w:tcPr>
            <w:tcW w:w="2310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339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935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</w:tr>
      <w:tr w:rsidR="002128EA" w:rsidRPr="00B508A1" w:rsidTr="00167D8A">
        <w:trPr>
          <w:gridAfter w:val="1"/>
          <w:wAfter w:w="14" w:type="dxa"/>
          <w:trHeight w:val="146"/>
          <w:jc w:val="center"/>
        </w:trPr>
        <w:tc>
          <w:tcPr>
            <w:tcW w:w="5524" w:type="dxa"/>
            <w:shd w:val="clear" w:color="auto" w:fill="FFFFFF"/>
          </w:tcPr>
          <w:p w:rsidR="002128EA" w:rsidRPr="00B508A1" w:rsidRDefault="002128EA" w:rsidP="00B508A1">
            <w:pPr>
              <w:pStyle w:val="Bodytext21"/>
              <w:shd w:val="clear" w:color="auto" w:fill="auto"/>
              <w:spacing w:before="0" w:after="160" w:line="360" w:lineRule="auto"/>
              <w:ind w:left="72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310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339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935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</w:tr>
      <w:tr w:rsidR="002128EA" w:rsidRPr="00B508A1" w:rsidTr="00167D8A">
        <w:trPr>
          <w:gridAfter w:val="1"/>
          <w:wAfter w:w="14" w:type="dxa"/>
          <w:trHeight w:val="146"/>
          <w:jc w:val="center"/>
        </w:trPr>
        <w:tc>
          <w:tcPr>
            <w:tcW w:w="5524" w:type="dxa"/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ind w:left="720"/>
              <w:jc w:val="left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անդամ պետությունների լիազորված մարմինների, Հանձնաժողովի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անդամ պետությունների տնտեսավարող սուբյեկտների փոխգործակցության 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ընթացքում </w:t>
            </w:r>
            <w:r w:rsidR="005E6EA8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էլեկտրոնային 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ձ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ով տրամադրվող տեղեկատվության՝ Միության</w:t>
            </w:r>
            <w:r w:rsidR="005E6EA8" w:rsidRPr="00B508A1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ընդհանուր շուկաների ձ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ավորման մասին միջազգային պայմանագրին համապատասխան սահմանվող ցանկով</w:t>
            </w:r>
          </w:p>
        </w:tc>
        <w:tc>
          <w:tcPr>
            <w:tcW w:w="2104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2024 թվական</w:t>
            </w:r>
          </w:p>
        </w:tc>
        <w:tc>
          <w:tcPr>
            <w:tcW w:w="2310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339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935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</w:tr>
      <w:tr w:rsidR="002128EA" w:rsidRPr="00B508A1" w:rsidTr="00167D8A">
        <w:trPr>
          <w:gridAfter w:val="1"/>
          <w:wAfter w:w="14" w:type="dxa"/>
          <w:trHeight w:val="146"/>
          <w:jc w:val="center"/>
        </w:trPr>
        <w:tc>
          <w:tcPr>
            <w:tcW w:w="5524" w:type="dxa"/>
            <w:shd w:val="clear" w:color="auto" w:fill="FFFFFF"/>
            <w:vAlign w:val="center"/>
          </w:tcPr>
          <w:p w:rsidR="002128EA" w:rsidRPr="00B508A1" w:rsidRDefault="00397F42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Միության</w:t>
            </w:r>
            <w:r w:rsidR="005E6EA8" w:rsidRPr="00B508A1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ընդհանուր շուկաների ձ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ավորման մասին միջազգային պայմանագրի մշակումը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 ուղարկումը ներպետական համաձայնեցման</w:t>
            </w:r>
          </w:p>
        </w:tc>
        <w:tc>
          <w:tcPr>
            <w:tcW w:w="2104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2021 թվական</w:t>
            </w:r>
          </w:p>
        </w:tc>
        <w:tc>
          <w:tcPr>
            <w:tcW w:w="2310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Հանձնաժողովի ակտ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Հանձնաժողով</w:t>
            </w:r>
          </w:p>
        </w:tc>
        <w:tc>
          <w:tcPr>
            <w:tcW w:w="2935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2128EA" w:rsidRPr="00B508A1" w:rsidTr="00167D8A">
        <w:trPr>
          <w:gridAfter w:val="1"/>
          <w:wAfter w:w="14" w:type="dxa"/>
          <w:trHeight w:val="146"/>
          <w:jc w:val="center"/>
        </w:trPr>
        <w:tc>
          <w:tcPr>
            <w:tcW w:w="5524" w:type="dxa"/>
            <w:shd w:val="clear" w:color="auto" w:fill="FFFFFF"/>
            <w:vAlign w:val="center"/>
          </w:tcPr>
          <w:p w:rsidR="002128EA" w:rsidRPr="00B508A1" w:rsidRDefault="003D566C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Միության</w:t>
            </w:r>
            <w:r w:rsidR="005E6EA8" w:rsidRPr="00B508A1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ընդհանուր շուկաների ձ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ավորման երկրորդ փուլին անցում կատարելու մասին որոշում ընդունելը</w:t>
            </w:r>
          </w:p>
        </w:tc>
        <w:tc>
          <w:tcPr>
            <w:tcW w:w="2104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2021 թվական</w:t>
            </w:r>
          </w:p>
        </w:tc>
        <w:tc>
          <w:tcPr>
            <w:tcW w:w="2310" w:type="dxa"/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բարձրագույն խորհրդի ակտ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Հանձնաժողով</w:t>
            </w:r>
          </w:p>
        </w:tc>
        <w:tc>
          <w:tcPr>
            <w:tcW w:w="2935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2128EA" w:rsidRPr="00B508A1" w:rsidTr="00167D8A">
        <w:trPr>
          <w:gridAfter w:val="1"/>
          <w:wAfter w:w="14" w:type="dxa"/>
          <w:trHeight w:val="146"/>
          <w:jc w:val="center"/>
        </w:trPr>
        <w:tc>
          <w:tcPr>
            <w:tcW w:w="5524" w:type="dxa"/>
            <w:shd w:val="clear" w:color="auto" w:fill="FFFFFF"/>
          </w:tcPr>
          <w:p w:rsidR="002128EA" w:rsidRPr="00B508A1" w:rsidRDefault="00E20642" w:rsidP="00A21FA9">
            <w:pPr>
              <w:pStyle w:val="Bodytext21"/>
              <w:shd w:val="clear" w:color="auto" w:fill="auto"/>
              <w:tabs>
                <w:tab w:val="left" w:pos="553"/>
              </w:tabs>
              <w:spacing w:before="0" w:after="160" w:line="36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տրանսպորտային փոխադրման համակարգերի</w:t>
            </w:r>
            <w:r w:rsidR="0045446C" w:rsidRPr="00B508A1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հասանելիության միասնական կանոնների մշակումը</w:t>
            </w:r>
          </w:p>
        </w:tc>
        <w:tc>
          <w:tcPr>
            <w:tcW w:w="2104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2021 թվական</w:t>
            </w:r>
          </w:p>
        </w:tc>
        <w:tc>
          <w:tcPr>
            <w:tcW w:w="2310" w:type="dxa"/>
            <w:shd w:val="clear" w:color="auto" w:fill="FFFFFF"/>
            <w:vAlign w:val="bottom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ind w:left="200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նավթի </w:t>
            </w:r>
            <w:r w:rsidR="00A6388E">
              <w:rPr>
                <w:rStyle w:val="Bodytext211pt1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նավթամթերքի տրանսպորտային փոխադրման 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lastRenderedPageBreak/>
              <w:t>համակարգերի</w:t>
            </w:r>
            <w:r w:rsidR="0045446C" w:rsidRPr="00B508A1">
              <w:rPr>
                <w:rStyle w:val="Bodytext211pt1"/>
                <w:rFonts w:ascii="Sylfaen" w:hAnsi="Sylfaen"/>
                <w:sz w:val="24"/>
                <w:szCs w:val="24"/>
              </w:rPr>
              <w:t>ն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հասանելիության միասնական կանոններ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Հանձնաժողով</w:t>
            </w:r>
          </w:p>
        </w:tc>
        <w:tc>
          <w:tcPr>
            <w:tcW w:w="2935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2128EA" w:rsidRPr="00B508A1" w:rsidTr="00167D8A">
        <w:trPr>
          <w:trHeight w:val="146"/>
          <w:jc w:val="center"/>
        </w:trPr>
        <w:tc>
          <w:tcPr>
            <w:tcW w:w="5532" w:type="dxa"/>
            <w:gridSpan w:val="2"/>
            <w:shd w:val="clear" w:color="auto" w:fill="FFFFFF"/>
          </w:tcPr>
          <w:p w:rsidR="002128EA" w:rsidRPr="00B508A1" w:rsidRDefault="00E20642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Միության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ընդհանուր շուկաներում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առ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տրի կանոնների մշակումը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2023 թվական</w:t>
            </w:r>
          </w:p>
        </w:tc>
        <w:tc>
          <w:tcPr>
            <w:tcW w:w="2310" w:type="dxa"/>
            <w:shd w:val="clear" w:color="auto" w:fill="FFFFFF"/>
            <w:vAlign w:val="bottom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Միության</w:t>
            </w:r>
            <w:r w:rsidR="0045446C" w:rsidRPr="00B508A1">
              <w:rPr>
                <w:rStyle w:val="Bodytext211pt1"/>
                <w:rFonts w:ascii="Sylfaen" w:hAnsi="Sylfaen"/>
                <w:sz w:val="24"/>
                <w:szCs w:val="24"/>
              </w:rPr>
              <w:t>՝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1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նավթամթերքի ընդհանուր շուկաներում նավթի </w:t>
            </w:r>
            <w:r w:rsidR="00A6388E">
              <w:rPr>
                <w:rStyle w:val="Bodytext211pt1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նավթամթերքի առ</w:t>
            </w:r>
            <w:r w:rsidR="00A6388E">
              <w:rPr>
                <w:rStyle w:val="Bodytext211pt1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տրի կանոններ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</w:tr>
      <w:tr w:rsidR="002128EA" w:rsidRPr="00B508A1" w:rsidTr="00167D8A">
        <w:trPr>
          <w:trHeight w:val="146"/>
          <w:jc w:val="center"/>
        </w:trPr>
        <w:tc>
          <w:tcPr>
            <w:tcW w:w="5532" w:type="dxa"/>
            <w:gridSpan w:val="2"/>
            <w:shd w:val="clear" w:color="auto" w:fill="FFFFFF"/>
          </w:tcPr>
          <w:p w:rsidR="002128EA" w:rsidRPr="00B508A1" w:rsidRDefault="00E20642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բորսային սակարկությունների անցկացման կանոնների մշակումը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2023 թվական</w:t>
            </w:r>
          </w:p>
        </w:tc>
        <w:tc>
          <w:tcPr>
            <w:tcW w:w="2310" w:type="dxa"/>
            <w:shd w:val="clear" w:color="auto" w:fill="FFFFFF"/>
            <w:vAlign w:val="center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նավթի </w:t>
            </w:r>
            <w:r w:rsidR="00A6388E">
              <w:rPr>
                <w:rStyle w:val="Bodytext211pt1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նավթամթերքի բորսային սակարկությունների անցկացման կանոններ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</w:tr>
      <w:tr w:rsidR="002128EA" w:rsidRPr="00B508A1" w:rsidTr="00167D8A">
        <w:trPr>
          <w:trHeight w:val="146"/>
          <w:jc w:val="center"/>
        </w:trPr>
        <w:tc>
          <w:tcPr>
            <w:tcW w:w="5532" w:type="dxa"/>
            <w:gridSpan w:val="2"/>
            <w:shd w:val="clear" w:color="auto" w:fill="FFFFFF"/>
            <w:vAlign w:val="center"/>
          </w:tcPr>
          <w:p w:rsidR="002128EA" w:rsidRPr="00A21FA9" w:rsidRDefault="00E20642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Միության</w:t>
            </w:r>
            <w:r w:rsidR="0045446C" w:rsidRPr="00B508A1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ընդհանուր շուկաների ձ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ավորման երրորդ 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փուլին անցում կատարելու մասին որոշում ընդունելը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2024 թվական</w:t>
            </w:r>
          </w:p>
        </w:tc>
        <w:tc>
          <w:tcPr>
            <w:tcW w:w="2310" w:type="dxa"/>
            <w:shd w:val="clear" w:color="auto" w:fill="FFFFFF"/>
            <w:vAlign w:val="center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Եվրասիական տնտեսական 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lastRenderedPageBreak/>
              <w:t>բարձրագույն խորհրդի ակտ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lastRenderedPageBreak/>
              <w:t>Հանձնաժողով</w:t>
            </w: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2128EA" w:rsidRPr="00B508A1" w:rsidTr="00167D8A">
        <w:trPr>
          <w:trHeight w:val="146"/>
          <w:jc w:val="center"/>
        </w:trPr>
        <w:tc>
          <w:tcPr>
            <w:tcW w:w="5532" w:type="dxa"/>
            <w:gridSpan w:val="2"/>
            <w:shd w:val="clear" w:color="auto" w:fill="FFFFFF"/>
          </w:tcPr>
          <w:p w:rsidR="002128EA" w:rsidRPr="00A21FA9" w:rsidRDefault="00E20642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Միության</w:t>
            </w:r>
            <w:r w:rsidR="0045446C" w:rsidRPr="00B508A1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ընդհանուր շուկաների ձ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ավորման մասին միջազգային պայմանագրի ընդունումր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2024 թվական</w:t>
            </w:r>
          </w:p>
        </w:tc>
        <w:tc>
          <w:tcPr>
            <w:tcW w:w="2310" w:type="dxa"/>
            <w:shd w:val="clear" w:color="auto" w:fill="FFFFFF"/>
            <w:vAlign w:val="bottom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Միության</w:t>
            </w:r>
            <w:r w:rsidR="0045446C" w:rsidRPr="00B508A1">
              <w:rPr>
                <w:rStyle w:val="Bodytext211pt1"/>
                <w:rFonts w:ascii="Sylfaen" w:hAnsi="Sylfaen"/>
                <w:sz w:val="24"/>
                <w:szCs w:val="24"/>
              </w:rPr>
              <w:t>՝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1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նավթամթերքի ընդհանուր շուկաների ձ</w:t>
            </w:r>
            <w:r w:rsidR="00A6388E">
              <w:rPr>
                <w:rStyle w:val="Bodytext211pt1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ավորման մասին միջազգային պայմանագիր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Style w:val="Bodytext211pt1"/>
                <w:rFonts w:ascii="Sylfaen" w:eastAsia="Segoe UI" w:hAnsi="Sylfae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անդամ պետություններ, Հանձնաժողով</w:t>
            </w:r>
          </w:p>
        </w:tc>
      </w:tr>
      <w:tr w:rsidR="002128EA" w:rsidRPr="00B508A1" w:rsidTr="00167D8A">
        <w:trPr>
          <w:trHeight w:val="146"/>
          <w:jc w:val="center"/>
        </w:trPr>
        <w:tc>
          <w:tcPr>
            <w:tcW w:w="15224" w:type="dxa"/>
            <w:gridSpan w:val="7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II. Տեղեկատվական փոխանակման համակարգի կազմակերպումը</w:t>
            </w:r>
          </w:p>
        </w:tc>
      </w:tr>
      <w:tr w:rsidR="002128EA" w:rsidRPr="00B508A1" w:rsidTr="00167D8A">
        <w:trPr>
          <w:trHeight w:val="146"/>
          <w:jc w:val="center"/>
        </w:trPr>
        <w:tc>
          <w:tcPr>
            <w:tcW w:w="5532" w:type="dxa"/>
            <w:gridSpan w:val="2"/>
            <w:shd w:val="clear" w:color="auto" w:fill="FFFFFF"/>
            <w:vAlign w:val="center"/>
          </w:tcPr>
          <w:p w:rsidR="002128EA" w:rsidRPr="00B508A1" w:rsidRDefault="00E20642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>Տեխնոլոգիական տեղեկատվության փոխանակման կազմակերպում անդամ պետությունների</w:t>
            </w:r>
            <w:r w:rsidR="00FD6FA4" w:rsidRPr="00B508A1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տրանսպորտային փոխադրման համակարգերի օպերատորների միջ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՝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անխափան միջպետական տրանսպորտային փոխադրումն ապահովելու </w:t>
            </w:r>
            <w:r w:rsidR="004B4CBD"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2019 թվական</w:t>
            </w:r>
          </w:p>
        </w:tc>
        <w:tc>
          <w:tcPr>
            <w:tcW w:w="2310" w:type="dxa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տեխնոլոգիական տեղեկատվության փոխանակում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2128EA" w:rsidRPr="00B508A1" w:rsidTr="00167D8A">
        <w:trPr>
          <w:trHeight w:val="146"/>
          <w:jc w:val="center"/>
        </w:trPr>
        <w:tc>
          <w:tcPr>
            <w:tcW w:w="5532" w:type="dxa"/>
            <w:gridSpan w:val="2"/>
            <w:shd w:val="clear" w:color="auto" w:fill="FFFFFF"/>
            <w:vAlign w:val="center"/>
          </w:tcPr>
          <w:p w:rsidR="002128EA" w:rsidRPr="00B508A1" w:rsidRDefault="004B4CBD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E20642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E20642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Տեղեկատվական փոխանակման համակարգի կազմակերպում՝ Միության ինտեգրված տեղեկատվական համակարգի միջոցներով ընդհանուր գործընթացներն իրագործելու միջոցով՝ Միության</w:t>
            </w:r>
            <w:r w:rsidR="00FD6FA4" w:rsidRPr="00B508A1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 ընդհանուր շուկաների շրջանակներում տեղեկատվական փոխգործակցությունն ապահովելու համար՝ անդամ պետությունների լիազորված մարմինների, Հանձնաժողովի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անդամ պետությունների տնտեսավարող սուբյեկտների փոխգործակցության ընթացքում </w:t>
            </w:r>
            <w:r w:rsidR="00FF6336"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էլեկտրոնային 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ձ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ով տրամադրվող տեղեկատվության՝ Պայմանագրին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Միության շրջանակներում միջազգային պայմանագրերին համապատասխան սահմանվող ցանկին համապատասխան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2024 թվական</w:t>
            </w:r>
          </w:p>
        </w:tc>
        <w:tc>
          <w:tcPr>
            <w:tcW w:w="2310" w:type="dxa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տեղեկատվական փոխանակման համակարգ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1E65E2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Style w:val="Bodytext211pt1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Հանձնաժողով</w:t>
            </w: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2128EA" w:rsidRPr="00B508A1" w:rsidTr="00167D8A">
        <w:trPr>
          <w:trHeight w:val="645"/>
          <w:jc w:val="center"/>
        </w:trPr>
        <w:tc>
          <w:tcPr>
            <w:tcW w:w="15224" w:type="dxa"/>
            <w:gridSpan w:val="7"/>
            <w:shd w:val="clear" w:color="auto" w:fill="FFFFFF"/>
            <w:vAlign w:val="center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III. Նավթային ոլորտում անդամ պետությունների օրենսդրության ներդաշնակեցումը</w:t>
            </w:r>
          </w:p>
        </w:tc>
      </w:tr>
      <w:tr w:rsidR="002128EA" w:rsidRPr="00B508A1" w:rsidTr="00167D8A">
        <w:trPr>
          <w:trHeight w:val="2563"/>
          <w:jc w:val="center"/>
        </w:trPr>
        <w:tc>
          <w:tcPr>
            <w:tcW w:w="5532" w:type="dxa"/>
            <w:gridSpan w:val="2"/>
            <w:shd w:val="clear" w:color="auto" w:fill="FFFFFF"/>
            <w:vAlign w:val="bottom"/>
          </w:tcPr>
          <w:p w:rsidR="002128EA" w:rsidRPr="00A21FA9" w:rsidRDefault="004B4CBD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397F42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397F42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Նավթային ոլորտում անդամ պետությունների օրենսդրության 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անդամ պետությունների միջ</w:t>
            </w:r>
            <w:r w:rsidR="00A6388E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 xml:space="preserve"> միջազգային պայմանագրերի համեմատական վերլուծության անցկացումը</w:t>
            </w:r>
          </w:p>
        </w:tc>
        <w:tc>
          <w:tcPr>
            <w:tcW w:w="2097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2019 թվական</w:t>
            </w:r>
          </w:p>
        </w:tc>
        <w:tc>
          <w:tcPr>
            <w:tcW w:w="2310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ամփոփ հաշվետվություն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Հանձնաժողով</w:t>
            </w: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2128EA" w:rsidRPr="00B508A1" w:rsidTr="00167D8A">
        <w:trPr>
          <w:trHeight w:val="2563"/>
          <w:jc w:val="center"/>
        </w:trPr>
        <w:tc>
          <w:tcPr>
            <w:tcW w:w="5524" w:type="dxa"/>
            <w:shd w:val="clear" w:color="auto" w:fill="FFFFFF"/>
          </w:tcPr>
          <w:p w:rsidR="002128EA" w:rsidRPr="00A21FA9" w:rsidRDefault="004B4CBD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A21FA9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397F42" w:rsidRPr="00A21FA9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397F42" w:rsidRPr="00A21FA9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A21FA9">
              <w:rPr>
                <w:rStyle w:val="Bodytext211pt"/>
                <w:rFonts w:ascii="Sylfaen" w:hAnsi="Sylfaen"/>
                <w:sz w:val="24"/>
                <w:szCs w:val="24"/>
              </w:rPr>
              <w:t xml:space="preserve">Նավթային ոլորտում անդամ պետությունների օրենսդրության ներդաշնակեցմանն ուղղված միջոցառումների պլանի («ճանապարհային քարտեզի») մշակումը </w:t>
            </w:r>
            <w:r w:rsidR="00A6388E" w:rsidRPr="00A21FA9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A21FA9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հաստատումը</w:t>
            </w:r>
          </w:p>
        </w:tc>
        <w:tc>
          <w:tcPr>
            <w:tcW w:w="2104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2020 թվական</w:t>
            </w:r>
          </w:p>
        </w:tc>
        <w:tc>
          <w:tcPr>
            <w:tcW w:w="2310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Եվրասիական տնտեսական բարձրագույն խորհրդի ակտ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Հանձնաժողով</w:t>
            </w: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  <w:tr w:rsidR="002128EA" w:rsidRPr="00B508A1" w:rsidTr="00167D8A">
        <w:trPr>
          <w:trHeight w:val="3056"/>
          <w:jc w:val="center"/>
        </w:trPr>
        <w:tc>
          <w:tcPr>
            <w:tcW w:w="5524" w:type="dxa"/>
            <w:shd w:val="clear" w:color="auto" w:fill="FFFFFF"/>
          </w:tcPr>
          <w:p w:rsidR="002128EA" w:rsidRPr="00B508A1" w:rsidRDefault="004B4CBD" w:rsidP="00A21FA9">
            <w:pPr>
              <w:pStyle w:val="Bodytext21"/>
              <w:shd w:val="clear" w:color="auto" w:fill="auto"/>
              <w:tabs>
                <w:tab w:val="left" w:pos="536"/>
              </w:tabs>
              <w:spacing w:before="0" w:after="160" w:line="360" w:lineRule="auto"/>
              <w:ind w:left="142" w:right="153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1</w:t>
            </w:r>
            <w:r w:rsidR="003D566C">
              <w:rPr>
                <w:rStyle w:val="Bodytext211pt1"/>
                <w:rFonts w:ascii="Sylfaen" w:hAnsi="Sylfaen"/>
                <w:sz w:val="24"/>
                <w:szCs w:val="24"/>
              </w:rPr>
              <w:t>3.</w:t>
            </w:r>
            <w:r w:rsidR="003D566C">
              <w:rPr>
                <w:rStyle w:val="Bodytext211pt1"/>
                <w:rFonts w:ascii="Sylfaen" w:hAnsi="Sylfaen"/>
                <w:sz w:val="24"/>
                <w:szCs w:val="24"/>
              </w:rPr>
              <w:tab/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Նավթային ոլորտում անդամ </w:t>
            </w:r>
            <w:r w:rsidRPr="00A21FA9">
              <w:rPr>
                <w:rStyle w:val="Bodytext211pt"/>
                <w:rFonts w:ascii="Sylfaen" w:hAnsi="Sylfaen"/>
                <w:sz w:val="24"/>
                <w:szCs w:val="24"/>
              </w:rPr>
              <w:t>պետությունների</w:t>
            </w: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 xml:space="preserve"> օրենսդրության ներդաշնակեցումը</w:t>
            </w:r>
          </w:p>
        </w:tc>
        <w:tc>
          <w:tcPr>
            <w:tcW w:w="2104" w:type="dxa"/>
            <w:gridSpan w:val="2"/>
            <w:shd w:val="clear" w:color="auto" w:fill="FFFFFF"/>
            <w:vAlign w:val="bottom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Եվրասիական տնտեսական բարձրագույն խորհրդի ակտին համապատասխան</w:t>
            </w:r>
          </w:p>
        </w:tc>
        <w:tc>
          <w:tcPr>
            <w:tcW w:w="2310" w:type="dxa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անդամ պետությունների նորմատիվ իրավական ակտեր</w:t>
            </w:r>
          </w:p>
        </w:tc>
        <w:tc>
          <w:tcPr>
            <w:tcW w:w="2339" w:type="dxa"/>
            <w:shd w:val="clear" w:color="auto" w:fill="FFFFFF"/>
          </w:tcPr>
          <w:p w:rsidR="002128EA" w:rsidRPr="00B508A1" w:rsidRDefault="002128EA" w:rsidP="00B508A1">
            <w:pPr>
              <w:spacing w:after="160" w:line="360" w:lineRule="auto"/>
              <w:rPr>
                <w:rFonts w:ascii="Sylfaen" w:hAnsi="Sylfaen"/>
              </w:rPr>
            </w:pPr>
          </w:p>
        </w:tc>
        <w:tc>
          <w:tcPr>
            <w:tcW w:w="2948" w:type="dxa"/>
            <w:gridSpan w:val="2"/>
            <w:shd w:val="clear" w:color="auto" w:fill="FFFFFF"/>
          </w:tcPr>
          <w:p w:rsidR="002128EA" w:rsidRPr="00B508A1" w:rsidRDefault="004B4CBD" w:rsidP="00B508A1">
            <w:pPr>
              <w:pStyle w:val="Bodytext21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508A1">
              <w:rPr>
                <w:rStyle w:val="Bodytext211pt1"/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</w:tr>
    </w:tbl>
    <w:p w:rsidR="002128EA" w:rsidRPr="00167D8A" w:rsidRDefault="002128EA" w:rsidP="00B508A1">
      <w:pPr>
        <w:spacing w:after="160" w:line="360" w:lineRule="auto"/>
        <w:rPr>
          <w:rFonts w:ascii="Sylfaen" w:hAnsi="Sylfaen"/>
          <w:sz w:val="2"/>
          <w:szCs w:val="2"/>
        </w:rPr>
      </w:pPr>
    </w:p>
    <w:sectPr w:rsidR="002128EA" w:rsidRPr="00167D8A" w:rsidSect="00167D8A">
      <w:pgSz w:w="16840" w:h="11907" w:orient="landscape" w:code="9"/>
      <w:pgMar w:top="1418" w:right="1418" w:bottom="1418" w:left="1418" w:header="0" w:footer="39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1ED" w:rsidRDefault="008301ED" w:rsidP="002128EA">
      <w:r>
        <w:separator/>
      </w:r>
    </w:p>
  </w:endnote>
  <w:endnote w:type="continuationSeparator" w:id="0">
    <w:p w:rsidR="008301ED" w:rsidRDefault="008301ED" w:rsidP="0021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</w:rPr>
      <w:id w:val="16649847"/>
      <w:docPartObj>
        <w:docPartGallery w:val="Page Numbers (Bottom of Page)"/>
        <w:docPartUnique/>
      </w:docPartObj>
    </w:sdtPr>
    <w:sdtEndPr/>
    <w:sdtContent>
      <w:p w:rsidR="00167D8A" w:rsidRPr="00167D8A" w:rsidRDefault="006B187B">
        <w:pPr>
          <w:pStyle w:val="Footer"/>
          <w:jc w:val="center"/>
          <w:rPr>
            <w:rFonts w:ascii="Sylfaen" w:hAnsi="Sylfaen"/>
          </w:rPr>
        </w:pPr>
        <w:r w:rsidRPr="00167D8A">
          <w:rPr>
            <w:rFonts w:ascii="Sylfaen" w:hAnsi="Sylfaen"/>
          </w:rPr>
          <w:fldChar w:fldCharType="begin"/>
        </w:r>
        <w:r w:rsidR="00167D8A" w:rsidRPr="00167D8A">
          <w:rPr>
            <w:rFonts w:ascii="Sylfaen" w:hAnsi="Sylfaen"/>
          </w:rPr>
          <w:instrText xml:space="preserve"> PAGE   \* MERGEFORMAT </w:instrText>
        </w:r>
        <w:r w:rsidRPr="00167D8A">
          <w:rPr>
            <w:rFonts w:ascii="Sylfaen" w:hAnsi="Sylfaen"/>
          </w:rPr>
          <w:fldChar w:fldCharType="separate"/>
        </w:r>
        <w:r w:rsidR="00E34141">
          <w:rPr>
            <w:rFonts w:ascii="Sylfaen" w:hAnsi="Sylfaen"/>
            <w:noProof/>
          </w:rPr>
          <w:t>2</w:t>
        </w:r>
        <w:r w:rsidRPr="00167D8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1ED" w:rsidRDefault="008301ED"/>
  </w:footnote>
  <w:footnote w:type="continuationSeparator" w:id="0">
    <w:p w:rsidR="008301ED" w:rsidRDefault="008301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29C"/>
    <w:multiLevelType w:val="multilevel"/>
    <w:tmpl w:val="358E1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4681D"/>
    <w:multiLevelType w:val="multilevel"/>
    <w:tmpl w:val="CEDC70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3A3A"/>
    <w:multiLevelType w:val="multilevel"/>
    <w:tmpl w:val="E414922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32159"/>
    <w:multiLevelType w:val="multilevel"/>
    <w:tmpl w:val="1B200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8749C6"/>
    <w:multiLevelType w:val="multilevel"/>
    <w:tmpl w:val="DC5062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A52F16"/>
    <w:multiLevelType w:val="multilevel"/>
    <w:tmpl w:val="439E7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894BF2"/>
    <w:multiLevelType w:val="multilevel"/>
    <w:tmpl w:val="6AE2D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6063F8"/>
    <w:multiLevelType w:val="multilevel"/>
    <w:tmpl w:val="C09CC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897914"/>
    <w:multiLevelType w:val="multilevel"/>
    <w:tmpl w:val="D26AA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5E6F76"/>
    <w:multiLevelType w:val="multilevel"/>
    <w:tmpl w:val="C0CCC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124409"/>
    <w:multiLevelType w:val="multilevel"/>
    <w:tmpl w:val="90081F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BA7156"/>
    <w:multiLevelType w:val="multilevel"/>
    <w:tmpl w:val="7F429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4B2422"/>
    <w:multiLevelType w:val="multilevel"/>
    <w:tmpl w:val="DA00B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1439A3"/>
    <w:multiLevelType w:val="multilevel"/>
    <w:tmpl w:val="BA805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661CF4"/>
    <w:multiLevelType w:val="multilevel"/>
    <w:tmpl w:val="046E43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082C76"/>
    <w:multiLevelType w:val="multilevel"/>
    <w:tmpl w:val="D9AE8A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64625E"/>
    <w:multiLevelType w:val="multilevel"/>
    <w:tmpl w:val="1AFC7B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D3396"/>
    <w:multiLevelType w:val="multilevel"/>
    <w:tmpl w:val="A3A21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151E9B"/>
    <w:multiLevelType w:val="multilevel"/>
    <w:tmpl w:val="A83CA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7"/>
  </w:num>
  <w:num w:numId="5">
    <w:abstractNumId w:val="6"/>
  </w:num>
  <w:num w:numId="6">
    <w:abstractNumId w:val="12"/>
  </w:num>
  <w:num w:numId="7">
    <w:abstractNumId w:val="9"/>
  </w:num>
  <w:num w:numId="8">
    <w:abstractNumId w:val="14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5"/>
  </w:num>
  <w:num w:numId="14">
    <w:abstractNumId w:val="18"/>
  </w:num>
  <w:num w:numId="15">
    <w:abstractNumId w:val="1"/>
  </w:num>
  <w:num w:numId="16">
    <w:abstractNumId w:val="17"/>
  </w:num>
  <w:num w:numId="17">
    <w:abstractNumId w:val="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8EA"/>
    <w:rsid w:val="00000915"/>
    <w:rsid w:val="00015CAA"/>
    <w:rsid w:val="00076B00"/>
    <w:rsid w:val="00077A85"/>
    <w:rsid w:val="000E34C1"/>
    <w:rsid w:val="00122D2B"/>
    <w:rsid w:val="00126581"/>
    <w:rsid w:val="00147654"/>
    <w:rsid w:val="00167D8A"/>
    <w:rsid w:val="00177994"/>
    <w:rsid w:val="00184821"/>
    <w:rsid w:val="001B79CC"/>
    <w:rsid w:val="001C28A7"/>
    <w:rsid w:val="001C2DD6"/>
    <w:rsid w:val="001E65E2"/>
    <w:rsid w:val="001E7DEC"/>
    <w:rsid w:val="002128EA"/>
    <w:rsid w:val="002248D5"/>
    <w:rsid w:val="00265091"/>
    <w:rsid w:val="002835C5"/>
    <w:rsid w:val="00297177"/>
    <w:rsid w:val="002E1771"/>
    <w:rsid w:val="003027D6"/>
    <w:rsid w:val="00304C1E"/>
    <w:rsid w:val="00326F09"/>
    <w:rsid w:val="00334C3A"/>
    <w:rsid w:val="003438A6"/>
    <w:rsid w:val="0035654F"/>
    <w:rsid w:val="003773D8"/>
    <w:rsid w:val="00377F84"/>
    <w:rsid w:val="00397F42"/>
    <w:rsid w:val="003C290F"/>
    <w:rsid w:val="003D566C"/>
    <w:rsid w:val="00403C16"/>
    <w:rsid w:val="004535F3"/>
    <w:rsid w:val="0045446C"/>
    <w:rsid w:val="004740FF"/>
    <w:rsid w:val="0048100B"/>
    <w:rsid w:val="00482C72"/>
    <w:rsid w:val="004B12EF"/>
    <w:rsid w:val="004B2807"/>
    <w:rsid w:val="004B4CBD"/>
    <w:rsid w:val="004E25A5"/>
    <w:rsid w:val="004F20DA"/>
    <w:rsid w:val="0053435B"/>
    <w:rsid w:val="005754E0"/>
    <w:rsid w:val="005A0C94"/>
    <w:rsid w:val="005D06A7"/>
    <w:rsid w:val="005D4F9B"/>
    <w:rsid w:val="005E379A"/>
    <w:rsid w:val="005E6EA8"/>
    <w:rsid w:val="00626ADC"/>
    <w:rsid w:val="006B187B"/>
    <w:rsid w:val="006D68C6"/>
    <w:rsid w:val="00733214"/>
    <w:rsid w:val="00742942"/>
    <w:rsid w:val="007758E1"/>
    <w:rsid w:val="00793640"/>
    <w:rsid w:val="007A65C6"/>
    <w:rsid w:val="007A74D6"/>
    <w:rsid w:val="007E34C5"/>
    <w:rsid w:val="00823279"/>
    <w:rsid w:val="008301ED"/>
    <w:rsid w:val="00835A40"/>
    <w:rsid w:val="00855F17"/>
    <w:rsid w:val="00871FFB"/>
    <w:rsid w:val="0089337A"/>
    <w:rsid w:val="008C42A1"/>
    <w:rsid w:val="008C5E5D"/>
    <w:rsid w:val="008C7759"/>
    <w:rsid w:val="00902CAB"/>
    <w:rsid w:val="00905461"/>
    <w:rsid w:val="00932FA0"/>
    <w:rsid w:val="009331F7"/>
    <w:rsid w:val="0093412C"/>
    <w:rsid w:val="00955CE7"/>
    <w:rsid w:val="0099075E"/>
    <w:rsid w:val="009A19E9"/>
    <w:rsid w:val="009A3D93"/>
    <w:rsid w:val="009D298B"/>
    <w:rsid w:val="009E1856"/>
    <w:rsid w:val="009F385E"/>
    <w:rsid w:val="00A21FA9"/>
    <w:rsid w:val="00A334F0"/>
    <w:rsid w:val="00A43EC8"/>
    <w:rsid w:val="00A46E56"/>
    <w:rsid w:val="00A51CE1"/>
    <w:rsid w:val="00A568C2"/>
    <w:rsid w:val="00A6388E"/>
    <w:rsid w:val="00A67C97"/>
    <w:rsid w:val="00A9324D"/>
    <w:rsid w:val="00AC587E"/>
    <w:rsid w:val="00AD002E"/>
    <w:rsid w:val="00AE1941"/>
    <w:rsid w:val="00AF2151"/>
    <w:rsid w:val="00B04E84"/>
    <w:rsid w:val="00B14C9F"/>
    <w:rsid w:val="00B308B7"/>
    <w:rsid w:val="00B40816"/>
    <w:rsid w:val="00B508A1"/>
    <w:rsid w:val="00B55483"/>
    <w:rsid w:val="00B56C34"/>
    <w:rsid w:val="00BA2F60"/>
    <w:rsid w:val="00BC09A2"/>
    <w:rsid w:val="00BC1530"/>
    <w:rsid w:val="00BC2AF1"/>
    <w:rsid w:val="00C16825"/>
    <w:rsid w:val="00C31D01"/>
    <w:rsid w:val="00C5776C"/>
    <w:rsid w:val="00C82616"/>
    <w:rsid w:val="00CE01EC"/>
    <w:rsid w:val="00CF3B49"/>
    <w:rsid w:val="00D025CA"/>
    <w:rsid w:val="00D133B9"/>
    <w:rsid w:val="00D152CD"/>
    <w:rsid w:val="00D277DE"/>
    <w:rsid w:val="00D772E7"/>
    <w:rsid w:val="00D94B9A"/>
    <w:rsid w:val="00DD5AE6"/>
    <w:rsid w:val="00DE3B1A"/>
    <w:rsid w:val="00E20642"/>
    <w:rsid w:val="00E24E66"/>
    <w:rsid w:val="00E26FC9"/>
    <w:rsid w:val="00E34141"/>
    <w:rsid w:val="00E52E87"/>
    <w:rsid w:val="00E77E9C"/>
    <w:rsid w:val="00E829AC"/>
    <w:rsid w:val="00EA000F"/>
    <w:rsid w:val="00ED5C3B"/>
    <w:rsid w:val="00EF216C"/>
    <w:rsid w:val="00F13D85"/>
    <w:rsid w:val="00F74CD9"/>
    <w:rsid w:val="00F85820"/>
    <w:rsid w:val="00F90579"/>
    <w:rsid w:val="00FB32A7"/>
    <w:rsid w:val="00FC2B04"/>
    <w:rsid w:val="00FD6FA4"/>
    <w:rsid w:val="00FF6336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A961"/>
  <w15:docId w15:val="{412EC0AA-D532-4FF5-B795-7C25E9C3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28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28E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12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1"/>
    <w:rsid w:val="00212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212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212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212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">
    <w:name w:val="Body text (2) + 11 pt"/>
    <w:basedOn w:val="Bodytext2"/>
    <w:rsid w:val="00212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1">
    <w:name w:val="Body text (2) + 11 pt1"/>
    <w:basedOn w:val="Bodytext2"/>
    <w:rsid w:val="00212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128E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128EA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2128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1">
    <w:name w:val="Body text (2)1"/>
    <w:basedOn w:val="Normal"/>
    <w:link w:val="Bodytext2"/>
    <w:rsid w:val="002128EA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128EA"/>
    <w:pPr>
      <w:shd w:val="clear" w:color="auto" w:fill="FFFFFF"/>
      <w:spacing w:before="60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2128EA"/>
    <w:pPr>
      <w:shd w:val="clear" w:color="auto" w:fill="FFFFFF"/>
      <w:spacing w:before="66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2128EA"/>
    <w:pPr>
      <w:shd w:val="clear" w:color="auto" w:fill="FFFFFF"/>
      <w:spacing w:after="300" w:line="34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1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7D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D8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7D8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34</Pages>
  <Words>6113</Words>
  <Characters>34849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Hayk Engoyan</cp:lastModifiedBy>
  <cp:revision>3</cp:revision>
  <cp:lastPrinted>2018-08-09T07:58:00Z</cp:lastPrinted>
  <dcterms:created xsi:type="dcterms:W3CDTF">2018-08-13T11:39:00Z</dcterms:created>
  <dcterms:modified xsi:type="dcterms:W3CDTF">2019-07-04T10:52:00Z</dcterms:modified>
</cp:coreProperties>
</file>