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22B90" w14:textId="77777777" w:rsidR="00400E6A" w:rsidRPr="00D30272" w:rsidRDefault="00400E6A" w:rsidP="00400E6A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6110C6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 xml:space="preserve">  </w:t>
      </w:r>
      <w:r>
        <w:rPr>
          <w:rFonts w:ascii="Courier New" w:hAnsi="Courier New" w:cs="Courier New"/>
          <w:spacing w:val="-8"/>
          <w:lang w:val="af-ZA"/>
        </w:rPr>
        <w:t xml:space="preserve">                                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1</w:t>
      </w:r>
    </w:p>
    <w:p w14:paraId="480E0309" w14:textId="77777777" w:rsidR="00400E6A" w:rsidRPr="00D30272" w:rsidRDefault="00400E6A" w:rsidP="00400E6A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5C97544C" w14:textId="77777777" w:rsidR="00400E6A" w:rsidRPr="00CB33E3" w:rsidRDefault="00400E6A" w:rsidP="00400E6A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 xml:space="preserve">           </w:t>
      </w:r>
      <w:r>
        <w:rPr>
          <w:rFonts w:ascii="Courier New" w:hAnsi="Courier New" w:cs="Courier New"/>
          <w:spacing w:val="-2"/>
          <w:lang w:val="af-ZA"/>
        </w:rPr>
        <w:t xml:space="preserve">                                </w:t>
      </w:r>
      <w:r>
        <w:rPr>
          <w:rFonts w:ascii="GHEA Mariam" w:hAnsi="GHEA Mariam"/>
          <w:spacing w:val="-2"/>
          <w:lang w:val="af-ZA"/>
        </w:rPr>
        <w:t xml:space="preserve">   հունիսի 6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712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3489D442" w14:textId="77777777" w:rsidR="00400E6A" w:rsidRPr="00CB33E3" w:rsidRDefault="00400E6A" w:rsidP="00400E6A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26A0A9FE" w14:textId="77777777" w:rsidR="00400E6A" w:rsidRDefault="00400E6A" w:rsidP="00400E6A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7CA629B8" w14:textId="77777777" w:rsidR="00400E6A" w:rsidRDefault="00400E6A" w:rsidP="00400E6A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0D9B7DBE" w14:textId="77777777" w:rsidR="00400E6A" w:rsidRPr="00CB33E3" w:rsidRDefault="00400E6A" w:rsidP="00400E6A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2133AC48" w14:textId="77777777" w:rsidR="00400E6A" w:rsidRDefault="00400E6A" w:rsidP="00400E6A">
      <w:pPr>
        <w:jc w:val="center"/>
        <w:rPr>
          <w:rFonts w:ascii="GHEA Mariam" w:hAnsi="GHEA Mariam"/>
          <w:bCs/>
          <w:color w:val="000000"/>
          <w:sz w:val="22"/>
          <w:szCs w:val="22"/>
          <w:lang w:val="af-ZA" w:eastAsia="en-US"/>
        </w:rPr>
      </w:pP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>«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ՀԱՅԱ</w:t>
      </w:r>
      <w:r>
        <w:rPr>
          <w:rFonts w:ascii="GHEA Mariam" w:hAnsi="GHEA Mariam"/>
          <w:bCs/>
          <w:color w:val="000000"/>
          <w:sz w:val="22"/>
          <w:szCs w:val="22"/>
          <w:lang w:eastAsia="en-US"/>
        </w:rPr>
        <w:t>Ս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ՏԱՆԻ</w:t>
      </w: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ՀԱՆՐԱՊԵՏՈՒԹՅԱՆ</w:t>
      </w: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2019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ԹՎԱԿԱՆԻ</w:t>
      </w: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ՊԵՏԱԿԱՆ</w:t>
      </w: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ԲՅՈՒՋԵԻ</w:t>
      </w: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ՄԱ</w:t>
      </w:r>
      <w:r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>Ս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ԻՆ</w:t>
      </w: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»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ՀԱՅԱ</w:t>
      </w:r>
      <w:r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>Ս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ՏԱՆԻ</w:t>
      </w: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ՀԱՆՐԱՊԵՏՈՒԹՅԱՆ</w:t>
      </w: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</w:p>
    <w:p w14:paraId="5664F9DB" w14:textId="77777777" w:rsidR="00400E6A" w:rsidRPr="00046C52" w:rsidRDefault="00400E6A" w:rsidP="00400E6A">
      <w:pPr>
        <w:jc w:val="center"/>
        <w:rPr>
          <w:rFonts w:ascii="GHEA Mariam" w:hAnsi="GHEA Mariam"/>
          <w:bCs/>
          <w:color w:val="000000"/>
          <w:sz w:val="22"/>
          <w:szCs w:val="22"/>
          <w:lang w:val="af-ZA" w:eastAsia="en-US"/>
        </w:rPr>
      </w:pP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>O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ՐԵՆՔԻ</w:t>
      </w: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N 1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ՀԱՎԵԼՎԱԾԻ</w:t>
      </w: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N 2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ԱՂՅՈՒՍԱԿՈՒՄ</w:t>
      </w: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ԿԱՏԱՐՎՈՂ</w:t>
      </w: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ՎԵՐԱԲԱՇԽՈՒՄԸ</w:t>
      </w: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ԵՎ</w:t>
      </w: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ՀԱՅԱՍՏԱՆԻ</w:t>
      </w: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ՀԱՆՐԱՊԵՏՈՒԹՅԱՆ</w:t>
      </w: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ԿԱՌԱՎԱՐՈՒԹՅԱՆ</w:t>
      </w: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2018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ԹՎԱԿԱՆԻ</w:t>
      </w: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ԴԵԿՏԵՄԲԵՐԻ</w:t>
      </w: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27-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Ի</w:t>
      </w: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N 1515-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Ն</w:t>
      </w: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ՈՐՈՇՄԱՆ</w:t>
      </w: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N</w:t>
      </w:r>
      <w:r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5 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ՀԱՎԵԼՎԱԾԻ</w:t>
      </w: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 N 1 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ԱՂՅՈՒՍԱԿՈՒՄ</w:t>
      </w:r>
    </w:p>
    <w:p w14:paraId="7AD22D22" w14:textId="77777777" w:rsidR="00400E6A" w:rsidRPr="00CB33E3" w:rsidRDefault="00400E6A" w:rsidP="00400E6A">
      <w:pPr>
        <w:jc w:val="center"/>
        <w:rPr>
          <w:rFonts w:ascii="GHEA Mariam" w:hAnsi="GHEA Mariam"/>
          <w:bCs/>
          <w:color w:val="000000"/>
          <w:sz w:val="22"/>
          <w:szCs w:val="22"/>
          <w:lang w:val="af-ZA" w:eastAsia="en-US"/>
        </w:rPr>
      </w:pP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ԿԱՏԱՐՎՈՂ</w:t>
      </w: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ՓՈՓՈԽՈՒԹՅՈՒՆՆԵՐԸ</w:t>
      </w: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ԵՎ</w:t>
      </w:r>
      <w:r w:rsidRPr="00CB33E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ԼՐԱՑՈՒՄՆԵՐԸ</w:t>
      </w:r>
    </w:p>
    <w:p w14:paraId="6C1A64BD" w14:textId="77777777" w:rsidR="00400E6A" w:rsidRPr="00CB33E3" w:rsidRDefault="00400E6A" w:rsidP="00400E6A">
      <w:pPr>
        <w:rPr>
          <w:rFonts w:ascii="GHEA Mariam" w:hAnsi="GHEA Mariam"/>
          <w:color w:val="000000"/>
          <w:sz w:val="22"/>
          <w:szCs w:val="22"/>
          <w:lang w:val="af-ZA" w:eastAsia="en-US"/>
        </w:rPr>
      </w:pPr>
    </w:p>
    <w:p w14:paraId="4B979C5F" w14:textId="77777777" w:rsidR="00400E6A" w:rsidRPr="00CB33E3" w:rsidRDefault="00400E6A" w:rsidP="00400E6A">
      <w:pPr>
        <w:rPr>
          <w:rFonts w:ascii="GHEA Mariam" w:hAnsi="GHEA Mariam"/>
          <w:color w:val="000000"/>
          <w:sz w:val="22"/>
          <w:szCs w:val="22"/>
          <w:lang w:val="af-ZA" w:eastAsia="en-US"/>
        </w:rPr>
      </w:pPr>
    </w:p>
    <w:p w14:paraId="1256D024" w14:textId="77777777" w:rsidR="00400E6A" w:rsidRPr="00CB33E3" w:rsidRDefault="00400E6A" w:rsidP="00400E6A">
      <w:pPr>
        <w:rPr>
          <w:lang w:val="af-ZA"/>
        </w:rPr>
      </w:pPr>
    </w:p>
    <w:tbl>
      <w:tblPr>
        <w:tblW w:w="15067" w:type="dxa"/>
        <w:tblInd w:w="95" w:type="dxa"/>
        <w:tblLook w:val="0000" w:firstRow="0" w:lastRow="0" w:firstColumn="0" w:lastColumn="0" w:noHBand="0" w:noVBand="0"/>
      </w:tblPr>
      <w:tblGrid>
        <w:gridCol w:w="2041"/>
        <w:gridCol w:w="2080"/>
        <w:gridCol w:w="6520"/>
        <w:gridCol w:w="2086"/>
        <w:gridCol w:w="2340"/>
      </w:tblGrid>
      <w:tr w:rsidR="00400E6A" w:rsidRPr="00CB33E3" w14:paraId="0B14111D" w14:textId="77777777" w:rsidTr="0032595C">
        <w:trPr>
          <w:trHeight w:val="27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BB093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1B36B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CFCAB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4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35FC12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00E6A" w:rsidRPr="00CB33E3" w14:paraId="1339A21A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4121" w:type="dxa"/>
            <w:gridSpan w:val="2"/>
            <w:shd w:val="clear" w:color="auto" w:fill="auto"/>
          </w:tcPr>
          <w:p w14:paraId="1BE13F75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vMerge w:val="restart"/>
            <w:shd w:val="clear" w:color="auto" w:fill="auto"/>
          </w:tcPr>
          <w:p w14:paraId="2B4C2EA4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426" w:type="dxa"/>
            <w:gridSpan w:val="2"/>
            <w:shd w:val="clear" w:color="auto" w:fill="auto"/>
            <w:vAlign w:val="center"/>
          </w:tcPr>
          <w:p w14:paraId="24A619D4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00E6A" w:rsidRPr="00CB33E3" w14:paraId="7128A406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2041" w:type="dxa"/>
            <w:shd w:val="clear" w:color="auto" w:fill="auto"/>
          </w:tcPr>
          <w:p w14:paraId="250C68E2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2080" w:type="dxa"/>
            <w:shd w:val="clear" w:color="auto" w:fill="auto"/>
          </w:tcPr>
          <w:p w14:paraId="68206ABC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520" w:type="dxa"/>
            <w:vMerge/>
          </w:tcPr>
          <w:p w14:paraId="3EAB96D2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6" w:type="dxa"/>
            <w:shd w:val="clear" w:color="auto" w:fill="auto"/>
          </w:tcPr>
          <w:p w14:paraId="57C5DF0A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5D0A59EC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00E6A" w:rsidRPr="00CB33E3" w14:paraId="4E602B04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2041" w:type="dxa"/>
            <w:shd w:val="clear" w:color="auto" w:fill="auto"/>
          </w:tcPr>
          <w:p w14:paraId="3F296C98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0" w:type="dxa"/>
            <w:gridSpan w:val="2"/>
            <w:shd w:val="clear" w:color="auto" w:fill="auto"/>
          </w:tcPr>
          <w:p w14:paraId="3337EB25" w14:textId="77777777" w:rsidR="00400E6A" w:rsidRPr="00CB33E3" w:rsidRDefault="00400E6A" w:rsidP="0032595C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B33E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B33E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086" w:type="dxa"/>
            <w:shd w:val="clear" w:color="auto" w:fill="auto"/>
          </w:tcPr>
          <w:p w14:paraId="0344C1D0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shd w:val="clear" w:color="auto" w:fill="auto"/>
          </w:tcPr>
          <w:p w14:paraId="7FCBF418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0E6A" w:rsidRPr="00CB33E3" w14:paraId="6DFDD58F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2041" w:type="dxa"/>
            <w:vMerge w:val="restart"/>
            <w:shd w:val="clear" w:color="auto" w:fill="auto"/>
          </w:tcPr>
          <w:p w14:paraId="5A5F1164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2080" w:type="dxa"/>
            <w:vMerge w:val="restart"/>
            <w:shd w:val="clear" w:color="auto" w:fill="auto"/>
          </w:tcPr>
          <w:p w14:paraId="0C2B1A79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shd w:val="clear" w:color="auto" w:fill="auto"/>
          </w:tcPr>
          <w:p w14:paraId="6CA35212" w14:textId="77777777" w:rsidR="00400E6A" w:rsidRPr="00CB33E3" w:rsidRDefault="00400E6A" w:rsidP="0032595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86" w:type="dxa"/>
            <w:shd w:val="clear" w:color="auto" w:fill="auto"/>
          </w:tcPr>
          <w:p w14:paraId="50906CA2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shd w:val="clear" w:color="auto" w:fill="auto"/>
          </w:tcPr>
          <w:p w14:paraId="4FA45280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0E6A" w:rsidRPr="00CB33E3" w14:paraId="72D360C0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2041" w:type="dxa"/>
            <w:vMerge/>
            <w:vAlign w:val="center"/>
          </w:tcPr>
          <w:p w14:paraId="3DF6BFB7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vAlign w:val="center"/>
          </w:tcPr>
          <w:p w14:paraId="3E25B78E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47FFA7E4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086" w:type="dxa"/>
            <w:shd w:val="clear" w:color="000000" w:fill="FFFFFF"/>
          </w:tcPr>
          <w:p w14:paraId="35D89F7C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(4400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40" w:type="dxa"/>
            <w:shd w:val="clear" w:color="000000" w:fill="FFFFFF"/>
          </w:tcPr>
          <w:p w14:paraId="526B20BA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(4400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400E6A" w:rsidRPr="00CB33E3" w14:paraId="5AA6830C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2041" w:type="dxa"/>
            <w:vMerge/>
            <w:vAlign w:val="center"/>
          </w:tcPr>
          <w:p w14:paraId="32339625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vAlign w:val="center"/>
          </w:tcPr>
          <w:p w14:paraId="0013CE9B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12E9B686" w14:textId="77777777" w:rsidR="00400E6A" w:rsidRPr="00CB33E3" w:rsidRDefault="00400E6A" w:rsidP="0032595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086" w:type="dxa"/>
            <w:shd w:val="clear" w:color="auto" w:fill="auto"/>
          </w:tcPr>
          <w:p w14:paraId="2B0BFE96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shd w:val="clear" w:color="auto" w:fill="auto"/>
          </w:tcPr>
          <w:p w14:paraId="063281B4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0E6A" w:rsidRPr="00CB33E3" w14:paraId="0C56FAC4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2041" w:type="dxa"/>
            <w:vMerge/>
            <w:vAlign w:val="center"/>
          </w:tcPr>
          <w:p w14:paraId="40FE4717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vAlign w:val="center"/>
          </w:tcPr>
          <w:p w14:paraId="75FA0E20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14FCDA7D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և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տային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86" w:type="dxa"/>
            <w:shd w:val="clear" w:color="auto" w:fill="auto"/>
          </w:tcPr>
          <w:p w14:paraId="4356A070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shd w:val="clear" w:color="auto" w:fill="auto"/>
          </w:tcPr>
          <w:p w14:paraId="6D55B6E9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0E6A" w:rsidRPr="00CB33E3" w14:paraId="0801FBB7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2041" w:type="dxa"/>
            <w:vMerge/>
            <w:vAlign w:val="center"/>
          </w:tcPr>
          <w:p w14:paraId="7FDED6E3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vAlign w:val="center"/>
          </w:tcPr>
          <w:p w14:paraId="22E6D0AE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0BE073C3" w14:textId="77777777" w:rsidR="00400E6A" w:rsidRPr="00CB33E3" w:rsidRDefault="00400E6A" w:rsidP="0032595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B33E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86" w:type="dxa"/>
            <w:shd w:val="clear" w:color="auto" w:fill="auto"/>
          </w:tcPr>
          <w:p w14:paraId="3CC5BD6E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shd w:val="clear" w:color="auto" w:fill="auto"/>
          </w:tcPr>
          <w:p w14:paraId="09010AA4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0E6A" w:rsidRPr="00CB33E3" w14:paraId="631C5AD5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2041" w:type="dxa"/>
            <w:vMerge/>
            <w:vAlign w:val="center"/>
          </w:tcPr>
          <w:p w14:paraId="4F224F8E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vAlign w:val="center"/>
          </w:tcPr>
          <w:p w14:paraId="7252DDA3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700DBB5C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թափանցիկության</w:t>
            </w:r>
            <w:proofErr w:type="spellEnd"/>
          </w:p>
        </w:tc>
        <w:tc>
          <w:tcPr>
            <w:tcW w:w="2086" w:type="dxa"/>
            <w:shd w:val="clear" w:color="auto" w:fill="auto"/>
          </w:tcPr>
          <w:p w14:paraId="59D9B015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shd w:val="clear" w:color="auto" w:fill="auto"/>
          </w:tcPr>
          <w:p w14:paraId="0F44F29E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0E6A" w:rsidRPr="00CB33E3" w14:paraId="55586D2A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4121" w:type="dxa"/>
            <w:gridSpan w:val="2"/>
            <w:shd w:val="clear" w:color="auto" w:fill="auto"/>
            <w:noWrap/>
            <w:vAlign w:val="bottom"/>
          </w:tcPr>
          <w:p w14:paraId="51D58980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6" w:type="dxa"/>
            <w:gridSpan w:val="3"/>
            <w:shd w:val="clear" w:color="auto" w:fill="auto"/>
            <w:noWrap/>
            <w:vAlign w:val="bottom"/>
          </w:tcPr>
          <w:p w14:paraId="0808D177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400E6A" w:rsidRPr="00CB33E3" w14:paraId="74E5054F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2041" w:type="dxa"/>
            <w:vMerge w:val="restart"/>
            <w:shd w:val="clear" w:color="auto" w:fill="auto"/>
          </w:tcPr>
          <w:p w14:paraId="3C60C12B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vMerge w:val="restart"/>
            <w:shd w:val="clear" w:color="auto" w:fill="auto"/>
          </w:tcPr>
          <w:p w14:paraId="66DF7173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520" w:type="dxa"/>
            <w:shd w:val="clear" w:color="auto" w:fill="auto"/>
          </w:tcPr>
          <w:p w14:paraId="25103906" w14:textId="77777777" w:rsidR="00400E6A" w:rsidRPr="00CB33E3" w:rsidRDefault="00400E6A" w:rsidP="0032595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86" w:type="dxa"/>
            <w:shd w:val="clear" w:color="auto" w:fill="auto"/>
          </w:tcPr>
          <w:p w14:paraId="7A685266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shd w:val="clear" w:color="auto" w:fill="auto"/>
          </w:tcPr>
          <w:p w14:paraId="0F2E0E3D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0E6A" w:rsidRPr="00CB33E3" w14:paraId="6BD08CB5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2041" w:type="dxa"/>
            <w:vMerge/>
            <w:vAlign w:val="center"/>
          </w:tcPr>
          <w:p w14:paraId="1109AF06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vAlign w:val="center"/>
          </w:tcPr>
          <w:p w14:paraId="3B8C2E74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0BDEF79A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086" w:type="dxa"/>
            <w:shd w:val="clear" w:color="000000" w:fill="FFFFFF"/>
          </w:tcPr>
          <w:p w14:paraId="03CD9229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(4400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40" w:type="dxa"/>
            <w:shd w:val="clear" w:color="000000" w:fill="FFFFFF"/>
          </w:tcPr>
          <w:p w14:paraId="006CDFC1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(4400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00E6A" w:rsidRPr="00CB33E3" w14:paraId="7963CE7E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2041" w:type="dxa"/>
            <w:vMerge/>
            <w:vAlign w:val="center"/>
          </w:tcPr>
          <w:p w14:paraId="3AB2F24B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vAlign w:val="center"/>
          </w:tcPr>
          <w:p w14:paraId="7E05F3E5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456A916D" w14:textId="77777777" w:rsidR="00400E6A" w:rsidRPr="00CB33E3" w:rsidRDefault="00400E6A" w:rsidP="0032595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86" w:type="dxa"/>
            <w:shd w:val="clear" w:color="auto" w:fill="auto"/>
          </w:tcPr>
          <w:p w14:paraId="2459D88B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shd w:val="clear" w:color="auto" w:fill="auto"/>
          </w:tcPr>
          <w:p w14:paraId="25D50D16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0E6A" w:rsidRPr="00CB33E3" w14:paraId="5C9E3960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0"/>
        </w:trPr>
        <w:tc>
          <w:tcPr>
            <w:tcW w:w="2041" w:type="dxa"/>
            <w:vMerge/>
            <w:vAlign w:val="center"/>
          </w:tcPr>
          <w:p w14:paraId="04F5BF3F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vAlign w:val="center"/>
          </w:tcPr>
          <w:p w14:paraId="62B696F2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11C9B18F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86" w:type="dxa"/>
            <w:shd w:val="clear" w:color="auto" w:fill="auto"/>
          </w:tcPr>
          <w:p w14:paraId="01AD8728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shd w:val="clear" w:color="auto" w:fill="auto"/>
          </w:tcPr>
          <w:p w14:paraId="7926B297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0E6A" w:rsidRPr="00CB33E3" w14:paraId="2290A48A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2041" w:type="dxa"/>
            <w:vMerge/>
            <w:vAlign w:val="center"/>
          </w:tcPr>
          <w:p w14:paraId="3D0C05A5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vAlign w:val="center"/>
          </w:tcPr>
          <w:p w14:paraId="114168C1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155C777A" w14:textId="77777777" w:rsidR="00400E6A" w:rsidRPr="00CB33E3" w:rsidRDefault="00400E6A" w:rsidP="0032595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B33E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B33E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086" w:type="dxa"/>
            <w:shd w:val="clear" w:color="auto" w:fill="auto"/>
          </w:tcPr>
          <w:p w14:paraId="1760421D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shd w:val="clear" w:color="auto" w:fill="auto"/>
          </w:tcPr>
          <w:p w14:paraId="62D50E40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0E6A" w:rsidRPr="00CB33E3" w14:paraId="6F80E631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2041" w:type="dxa"/>
            <w:vMerge/>
            <w:vAlign w:val="center"/>
          </w:tcPr>
          <w:p w14:paraId="2204FC34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vAlign w:val="center"/>
          </w:tcPr>
          <w:p w14:paraId="344C27F7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68A5F6BC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086" w:type="dxa"/>
            <w:shd w:val="clear" w:color="auto" w:fill="auto"/>
          </w:tcPr>
          <w:p w14:paraId="41F7797E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shd w:val="clear" w:color="auto" w:fill="auto"/>
          </w:tcPr>
          <w:p w14:paraId="4DFC9F87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0E6A" w:rsidRPr="00CB33E3" w14:paraId="2992B99D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2041" w:type="dxa"/>
            <w:shd w:val="clear" w:color="auto" w:fill="auto"/>
            <w:noWrap/>
            <w:vAlign w:val="bottom"/>
          </w:tcPr>
          <w:p w14:paraId="3F0BD213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26" w:type="dxa"/>
            <w:gridSpan w:val="4"/>
            <w:shd w:val="clear" w:color="auto" w:fill="auto"/>
            <w:noWrap/>
            <w:vAlign w:val="bottom"/>
          </w:tcPr>
          <w:p w14:paraId="4386E883" w14:textId="77777777" w:rsidR="00400E6A" w:rsidRPr="00CB33E3" w:rsidRDefault="00400E6A" w:rsidP="0032595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CB33E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CB33E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CB33E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CB33E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00E6A" w:rsidRPr="00CB33E3" w14:paraId="3511CA29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041" w:type="dxa"/>
            <w:vMerge w:val="restart"/>
            <w:shd w:val="clear" w:color="auto" w:fill="auto"/>
            <w:noWrap/>
          </w:tcPr>
          <w:p w14:paraId="7CE79592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2080" w:type="dxa"/>
            <w:vMerge w:val="restart"/>
            <w:shd w:val="clear" w:color="auto" w:fill="auto"/>
            <w:noWrap/>
            <w:vAlign w:val="bottom"/>
          </w:tcPr>
          <w:p w14:paraId="5B620490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5A55F256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14:paraId="2E3EA7E8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34BC40E1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0E6A" w:rsidRPr="00CB33E3" w14:paraId="0DB6707C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2041" w:type="dxa"/>
            <w:vMerge/>
            <w:vAlign w:val="center"/>
          </w:tcPr>
          <w:p w14:paraId="0685593F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vAlign w:val="center"/>
          </w:tcPr>
          <w:p w14:paraId="44BD6AE7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31BAEF6B" w14:textId="77777777" w:rsidR="00400E6A" w:rsidRPr="00CB33E3" w:rsidRDefault="00400E6A" w:rsidP="0032595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B33E3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CB33E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B33E3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CB33E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086" w:type="dxa"/>
            <w:shd w:val="clear" w:color="000000" w:fill="FFFFFF"/>
          </w:tcPr>
          <w:p w14:paraId="6B7FAAFE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340" w:type="dxa"/>
            <w:shd w:val="clear" w:color="000000" w:fill="FFFFFF"/>
          </w:tcPr>
          <w:p w14:paraId="1BCFCB49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400E6A" w:rsidRPr="00CB33E3" w14:paraId="6026DED2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041" w:type="dxa"/>
            <w:vMerge/>
            <w:vAlign w:val="center"/>
          </w:tcPr>
          <w:p w14:paraId="2B060B08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vAlign w:val="center"/>
          </w:tcPr>
          <w:p w14:paraId="21E1FE69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75E9C713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086" w:type="dxa"/>
            <w:shd w:val="clear" w:color="auto" w:fill="auto"/>
            <w:noWrap/>
            <w:vAlign w:val="bottom"/>
          </w:tcPr>
          <w:p w14:paraId="2487284D" w14:textId="77777777" w:rsidR="00400E6A" w:rsidRPr="00CB33E3" w:rsidRDefault="00400E6A" w:rsidP="0032595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7021EA4F" w14:textId="77777777" w:rsidR="00400E6A" w:rsidRPr="00CB33E3" w:rsidRDefault="00400E6A" w:rsidP="0032595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0E6A" w:rsidRPr="00CB33E3" w14:paraId="7010B8D1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2041" w:type="dxa"/>
            <w:vMerge/>
            <w:vAlign w:val="center"/>
          </w:tcPr>
          <w:p w14:paraId="4E3EFD86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vAlign w:val="center"/>
          </w:tcPr>
          <w:p w14:paraId="6190D259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0BE283EA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օբյեկտիվության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86" w:type="dxa"/>
            <w:shd w:val="clear" w:color="auto" w:fill="auto"/>
            <w:noWrap/>
            <w:vAlign w:val="bottom"/>
          </w:tcPr>
          <w:p w14:paraId="0BEB6AD9" w14:textId="77777777" w:rsidR="00400E6A" w:rsidRPr="00CB33E3" w:rsidRDefault="00400E6A" w:rsidP="0032595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616EBB35" w14:textId="77777777" w:rsidR="00400E6A" w:rsidRPr="00CB33E3" w:rsidRDefault="00400E6A" w:rsidP="0032595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0E6A" w:rsidRPr="00CB33E3" w14:paraId="5D60C955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041" w:type="dxa"/>
            <w:vMerge/>
            <w:vAlign w:val="center"/>
          </w:tcPr>
          <w:p w14:paraId="4C8F1E97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vAlign w:val="center"/>
          </w:tcPr>
          <w:p w14:paraId="299559A7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619D2A7E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86" w:type="dxa"/>
            <w:shd w:val="clear" w:color="auto" w:fill="auto"/>
            <w:noWrap/>
            <w:vAlign w:val="bottom"/>
          </w:tcPr>
          <w:p w14:paraId="657400E8" w14:textId="77777777" w:rsidR="00400E6A" w:rsidRPr="00CB33E3" w:rsidRDefault="00400E6A" w:rsidP="0032595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2E53BC05" w14:textId="77777777" w:rsidR="00400E6A" w:rsidRPr="00CB33E3" w:rsidRDefault="00400E6A" w:rsidP="0032595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0E6A" w:rsidRPr="00CB33E3" w14:paraId="55130F0C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2041" w:type="dxa"/>
            <w:vMerge/>
            <w:vAlign w:val="center"/>
          </w:tcPr>
          <w:p w14:paraId="6518A096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vAlign w:val="center"/>
          </w:tcPr>
          <w:p w14:paraId="7CD58B1B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27468B3D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պաշտպանի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հասցեականու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թյան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proofErr w:type="gram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գործընթացներին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86" w:type="dxa"/>
            <w:shd w:val="clear" w:color="auto" w:fill="auto"/>
            <w:noWrap/>
            <w:vAlign w:val="bottom"/>
          </w:tcPr>
          <w:p w14:paraId="58586386" w14:textId="77777777" w:rsidR="00400E6A" w:rsidRPr="00CB33E3" w:rsidRDefault="00400E6A" w:rsidP="0032595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51EEE6A4" w14:textId="77777777" w:rsidR="00400E6A" w:rsidRPr="00CB33E3" w:rsidRDefault="00400E6A" w:rsidP="0032595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0E6A" w:rsidRPr="00CB33E3" w14:paraId="7142D1D0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412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3527A9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D3F523E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400E6A" w:rsidRPr="00CB33E3" w14:paraId="6817BBD9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808BB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3C4A0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CB0E09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635ED" w14:textId="77777777" w:rsidR="00400E6A" w:rsidRPr="00CB33E3" w:rsidRDefault="00400E6A" w:rsidP="0032595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FA9F4" w14:textId="77777777" w:rsidR="00400E6A" w:rsidRPr="00CB33E3" w:rsidRDefault="00400E6A" w:rsidP="0032595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0E6A" w:rsidRPr="00CB33E3" w14:paraId="77F74CE1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"/>
        </w:trPr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553C" w14:textId="77777777" w:rsidR="00400E6A" w:rsidRPr="00CB33E3" w:rsidRDefault="00400E6A" w:rsidP="0032595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E417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034BF3" w14:textId="77777777" w:rsidR="00400E6A" w:rsidRPr="00CB33E3" w:rsidRDefault="00400E6A" w:rsidP="0032595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վճիռներին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որոշումներին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85A463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02E26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400E6A" w:rsidRPr="00CB33E3" w14:paraId="7D301886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041" w:type="dxa"/>
            <w:vMerge/>
            <w:tcBorders>
              <w:top w:val="single" w:sz="4" w:space="0" w:color="auto"/>
            </w:tcBorders>
            <w:vAlign w:val="center"/>
          </w:tcPr>
          <w:p w14:paraId="654D5536" w14:textId="77777777" w:rsidR="00400E6A" w:rsidRPr="00CB33E3" w:rsidRDefault="00400E6A" w:rsidP="0032595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</w:tcBorders>
            <w:vAlign w:val="center"/>
          </w:tcPr>
          <w:p w14:paraId="62CAF406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000000" w:fill="FFFFFF"/>
            <w:vAlign w:val="bottom"/>
          </w:tcPr>
          <w:p w14:paraId="1F006A3D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000000" w:fill="FFFFFF"/>
          </w:tcPr>
          <w:p w14:paraId="6DF87AC0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000000" w:fill="FFFFFF"/>
          </w:tcPr>
          <w:p w14:paraId="708A1AB9" w14:textId="77777777" w:rsidR="00400E6A" w:rsidRPr="00CB33E3" w:rsidRDefault="00400E6A" w:rsidP="0032595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0E6A" w:rsidRPr="00CB33E3" w14:paraId="68F388D9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0"/>
        </w:trPr>
        <w:tc>
          <w:tcPr>
            <w:tcW w:w="2041" w:type="dxa"/>
            <w:vMerge/>
            <w:vAlign w:val="center"/>
          </w:tcPr>
          <w:p w14:paraId="3929CD7B" w14:textId="77777777" w:rsidR="00400E6A" w:rsidRPr="00CB33E3" w:rsidRDefault="00400E6A" w:rsidP="0032595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vAlign w:val="center"/>
          </w:tcPr>
          <w:p w14:paraId="13BCCAD1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shd w:val="clear" w:color="000000" w:fill="FFFFFF"/>
            <w:vAlign w:val="center"/>
          </w:tcPr>
          <w:p w14:paraId="4CBD7351" w14:textId="77777777" w:rsidR="00400E6A" w:rsidRPr="00CB33E3" w:rsidRDefault="00400E6A" w:rsidP="0032595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Դիմումատուի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խախտված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հատուցման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գումարի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վճարում</w:t>
            </w:r>
            <w:proofErr w:type="spellEnd"/>
          </w:p>
        </w:tc>
        <w:tc>
          <w:tcPr>
            <w:tcW w:w="2086" w:type="dxa"/>
            <w:shd w:val="clear" w:color="000000" w:fill="FFFFFF"/>
          </w:tcPr>
          <w:p w14:paraId="1AFDB788" w14:textId="77777777" w:rsidR="00400E6A" w:rsidRPr="00CB33E3" w:rsidRDefault="00400E6A" w:rsidP="0032595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shd w:val="clear" w:color="000000" w:fill="FFFFFF"/>
          </w:tcPr>
          <w:p w14:paraId="12768C5D" w14:textId="77777777" w:rsidR="00400E6A" w:rsidRPr="00CB33E3" w:rsidRDefault="00400E6A" w:rsidP="0032595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0E6A" w:rsidRPr="00CB33E3" w14:paraId="4F2FF98F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041" w:type="dxa"/>
            <w:vMerge/>
            <w:vAlign w:val="center"/>
          </w:tcPr>
          <w:p w14:paraId="61D5EE75" w14:textId="77777777" w:rsidR="00400E6A" w:rsidRPr="00CB33E3" w:rsidRDefault="00400E6A" w:rsidP="0032595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vAlign w:val="center"/>
          </w:tcPr>
          <w:p w14:paraId="6729E17B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shd w:val="clear" w:color="000000" w:fill="FFFFFF"/>
            <w:vAlign w:val="bottom"/>
          </w:tcPr>
          <w:p w14:paraId="4CBC29DD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086" w:type="dxa"/>
            <w:shd w:val="clear" w:color="000000" w:fill="FFFFFF"/>
          </w:tcPr>
          <w:p w14:paraId="699ED8A0" w14:textId="77777777" w:rsidR="00400E6A" w:rsidRPr="00CB33E3" w:rsidRDefault="00400E6A" w:rsidP="0032595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shd w:val="clear" w:color="000000" w:fill="FFFFFF"/>
          </w:tcPr>
          <w:p w14:paraId="0DE96E0F" w14:textId="77777777" w:rsidR="00400E6A" w:rsidRPr="00CB33E3" w:rsidRDefault="00400E6A" w:rsidP="0032595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0E6A" w:rsidRPr="00CB33E3" w14:paraId="6173B3C5" w14:textId="77777777" w:rsidTr="0032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041" w:type="dxa"/>
            <w:vMerge/>
            <w:vAlign w:val="center"/>
          </w:tcPr>
          <w:p w14:paraId="7E85C10E" w14:textId="77777777" w:rsidR="00400E6A" w:rsidRPr="00CB33E3" w:rsidRDefault="00400E6A" w:rsidP="0032595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vAlign w:val="center"/>
          </w:tcPr>
          <w:p w14:paraId="6C4C3BAE" w14:textId="77777777" w:rsidR="00400E6A" w:rsidRPr="00CB33E3" w:rsidRDefault="00400E6A" w:rsidP="003259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439A7D51" w14:textId="77777777" w:rsidR="00400E6A" w:rsidRPr="00CB33E3" w:rsidRDefault="00400E6A" w:rsidP="0032595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B33E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CB33E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CB33E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CB33E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86" w:type="dxa"/>
            <w:shd w:val="clear" w:color="000000" w:fill="FFFFFF"/>
          </w:tcPr>
          <w:p w14:paraId="18C6770D" w14:textId="77777777" w:rsidR="00400E6A" w:rsidRPr="00CB33E3" w:rsidRDefault="00400E6A" w:rsidP="0032595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shd w:val="clear" w:color="000000" w:fill="FFFFFF"/>
          </w:tcPr>
          <w:p w14:paraId="10D1F369" w14:textId="77777777" w:rsidR="00400E6A" w:rsidRPr="00CB33E3" w:rsidRDefault="00400E6A" w:rsidP="0032595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2EC48859" w14:textId="77777777" w:rsidR="00400E6A" w:rsidRDefault="00400E6A" w:rsidP="00400E6A">
      <w:pPr>
        <w:pStyle w:val="mechtex"/>
        <w:jc w:val="left"/>
        <w:rPr>
          <w:rFonts w:ascii="GHEA Mariam" w:hAnsi="GHEA Mariam" w:cs="Sylfaen"/>
          <w:szCs w:val="22"/>
        </w:rPr>
      </w:pPr>
    </w:p>
    <w:p w14:paraId="44AF9ADE" w14:textId="77777777" w:rsidR="00400E6A" w:rsidRPr="00CB33E3" w:rsidRDefault="00400E6A" w:rsidP="00400E6A">
      <w:pPr>
        <w:pStyle w:val="mechtex"/>
        <w:jc w:val="left"/>
        <w:rPr>
          <w:rFonts w:ascii="GHEA Mariam" w:hAnsi="GHEA Mariam" w:cs="Sylfaen"/>
          <w:szCs w:val="22"/>
        </w:rPr>
      </w:pPr>
    </w:p>
    <w:p w14:paraId="1FD51D01" w14:textId="77777777" w:rsidR="00400E6A" w:rsidRDefault="00400E6A" w:rsidP="00400E6A">
      <w:pPr>
        <w:pStyle w:val="mechtex"/>
        <w:rPr>
          <w:rFonts w:ascii="GHEA Mariam" w:hAnsi="GHEA Mariam" w:cs="Arial"/>
          <w:szCs w:val="22"/>
          <w:lang w:val="af-ZA"/>
        </w:rPr>
      </w:pPr>
    </w:p>
    <w:p w14:paraId="4DC6677C" w14:textId="77777777" w:rsidR="00400E6A" w:rsidRDefault="00400E6A" w:rsidP="00400E6A">
      <w:pPr>
        <w:pStyle w:val="mechtex"/>
        <w:rPr>
          <w:rFonts w:ascii="GHEA Mariam" w:hAnsi="GHEA Mariam" w:cs="Arial"/>
          <w:szCs w:val="22"/>
          <w:lang w:val="af-ZA"/>
        </w:rPr>
      </w:pPr>
    </w:p>
    <w:p w14:paraId="4F7CDBC2" w14:textId="77777777" w:rsidR="00400E6A" w:rsidRDefault="00400E6A" w:rsidP="00400E6A">
      <w:pPr>
        <w:pStyle w:val="mechtex"/>
        <w:rPr>
          <w:rFonts w:ascii="GHEA Mariam" w:hAnsi="GHEA Mariam" w:cs="Arial"/>
          <w:szCs w:val="22"/>
          <w:lang w:val="af-ZA"/>
        </w:rPr>
      </w:pPr>
    </w:p>
    <w:p w14:paraId="040787E8" w14:textId="77777777" w:rsidR="00400E6A" w:rsidRDefault="00400E6A" w:rsidP="00400E6A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 w:rsidRPr="00CB33E3">
        <w:rPr>
          <w:rFonts w:ascii="GHEA Mariam" w:hAnsi="GHEA Mariam" w:cs="Sylfaen"/>
          <w:lang w:val="af-ZA"/>
        </w:rPr>
        <w:t xml:space="preserve">                       </w:t>
      </w: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2FF58E5F" w14:textId="77777777" w:rsidR="00400E6A" w:rsidRPr="00DF161F" w:rsidRDefault="00400E6A" w:rsidP="00400E6A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                 </w:t>
      </w:r>
      <w:r w:rsidRPr="005248DF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</w:t>
      </w:r>
      <w:r w:rsidRPr="00CB33E3"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</w:rPr>
        <w:t>ԱՇԽԱՏԱԿԱԶՄԻ</w:t>
      </w:r>
    </w:p>
    <w:p w14:paraId="7A63AA1A" w14:textId="77777777" w:rsidR="00400E6A" w:rsidRPr="00503086" w:rsidRDefault="00400E6A" w:rsidP="00400E6A">
      <w:pPr>
        <w:pStyle w:val="mechtex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  <w:lang w:val="af-ZA"/>
        </w:rPr>
        <w:t xml:space="preserve">                                                  </w:t>
      </w:r>
      <w:r w:rsidRPr="00CB33E3"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</w:rPr>
        <w:t>ՂԵԿԱՎԱՐ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                                     </w:t>
      </w:r>
      <w:r>
        <w:rPr>
          <w:rFonts w:ascii="GHEA Mariam" w:hAnsi="GHEA Mariam" w:cs="Sylfaen"/>
        </w:rPr>
        <w:t>Է</w:t>
      </w:r>
      <w:r w:rsidRPr="00CB33E3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ԱՂԱՋԱՆ</w:t>
      </w:r>
      <w:r w:rsidRPr="005248DF">
        <w:rPr>
          <w:rFonts w:ascii="GHEA Mariam" w:hAnsi="GHEA Mariam" w:cs="Sylfaen"/>
        </w:rPr>
        <w:t>ՅԱՆ</w:t>
      </w:r>
    </w:p>
    <w:p w14:paraId="5C818E3F" w14:textId="77777777" w:rsidR="00BA6A4D" w:rsidRDefault="00BA6A4D">
      <w:bookmarkStart w:id="0" w:name="_GoBack"/>
      <w:bookmarkEnd w:id="0"/>
    </w:p>
    <w:sectPr w:rsidR="00BA6A4D" w:rsidSect="00F401D9">
      <w:headerReference w:type="even" r:id="rId4"/>
      <w:footerReference w:type="even" r:id="rId5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4EE2F" w14:textId="77777777" w:rsidR="006C79DA" w:rsidRDefault="00400E6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voroshumNrk129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E059D" w14:textId="77777777" w:rsidR="006C79DA" w:rsidRDefault="00400E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59FD20" w14:textId="77777777" w:rsidR="006C79DA" w:rsidRDefault="00400E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6A"/>
    <w:rsid w:val="00400E6A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E9BBB"/>
  <w15:chartTrackingRefBased/>
  <w15:docId w15:val="{60142D64-EB40-4BD0-B6C9-72B7D3FF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0E6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0E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00E6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400E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00E6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00E6A"/>
  </w:style>
  <w:style w:type="paragraph" w:customStyle="1" w:styleId="mechtex">
    <w:name w:val="mechtex"/>
    <w:basedOn w:val="Normal"/>
    <w:link w:val="mechtexChar"/>
    <w:rsid w:val="00400E6A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400E6A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2019-06-17T11:19:00Z</dcterms:created>
  <dcterms:modified xsi:type="dcterms:W3CDTF">2019-06-17T11:19:00Z</dcterms:modified>
</cp:coreProperties>
</file>