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FB" w:rsidRPr="00D63DF6" w:rsidRDefault="00BD4F3F" w:rsidP="00DC5DF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          </w:t>
      </w:r>
      <w:proofErr w:type="spellStart"/>
      <w:r w:rsidR="00DC5DFB" w:rsidRPr="00D63DF6">
        <w:rPr>
          <w:rFonts w:ascii="GHEA Mariam" w:hAnsi="GHEA Mariam"/>
          <w:spacing w:val="-8"/>
        </w:rPr>
        <w:t>Հավելված</w:t>
      </w:r>
      <w:proofErr w:type="spellEnd"/>
      <w:r w:rsidR="00DC5DFB" w:rsidRPr="00D63DF6">
        <w:rPr>
          <w:rFonts w:ascii="GHEA Mariam" w:hAnsi="GHEA Mariam"/>
          <w:spacing w:val="-8"/>
        </w:rPr>
        <w:t xml:space="preserve"> </w:t>
      </w:r>
      <w:r w:rsidR="00DC5DFB">
        <w:rPr>
          <w:rFonts w:ascii="GHEA Mariam" w:hAnsi="GHEA Mariam"/>
          <w:spacing w:val="-8"/>
        </w:rPr>
        <w:t>N 2</w:t>
      </w:r>
    </w:p>
    <w:p w:rsidR="00DC5DFB" w:rsidRPr="006B7192" w:rsidRDefault="00DC5DFB" w:rsidP="00DC5DF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DC5DFB" w:rsidRDefault="00DC5DFB" w:rsidP="00DC5DF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BD4F3F">
        <w:rPr>
          <w:rFonts w:ascii="GHEA Mariam" w:hAnsi="GHEA Mariam"/>
          <w:spacing w:val="-2"/>
          <w:lang w:val="hy-AM"/>
        </w:rPr>
        <w:t xml:space="preserve">   </w:t>
      </w:r>
      <w:r w:rsidRPr="00255C31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B383B">
        <w:rPr>
          <w:rFonts w:ascii="GHEA Mariam" w:hAnsi="GHEA Mariam"/>
          <w:spacing w:val="-2"/>
          <w:lang w:val="hy-AM"/>
        </w:rPr>
        <w:t>433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D86789" w:rsidRDefault="00D86789" w:rsidP="00DC5DFB">
      <w:pPr>
        <w:pStyle w:val="mechtex"/>
        <w:rPr>
          <w:rFonts w:ascii="Arial" w:hAnsi="Arial" w:cs="Arial"/>
          <w:sz w:val="6"/>
        </w:rPr>
      </w:pPr>
    </w:p>
    <w:p w:rsidR="00D86789" w:rsidRPr="00750D79" w:rsidRDefault="00D86789" w:rsidP="00DC5DFB">
      <w:pPr>
        <w:pStyle w:val="mechtex"/>
        <w:rPr>
          <w:rFonts w:ascii="Arial" w:hAnsi="Arial" w:cs="Arial"/>
          <w:sz w:val="6"/>
        </w:rPr>
      </w:pPr>
    </w:p>
    <w:p w:rsidR="00DC5DFB" w:rsidRDefault="00DC5DFB" w:rsidP="00DC5DFB">
      <w:pPr>
        <w:pStyle w:val="mechtex"/>
        <w:rPr>
          <w:rFonts w:ascii="Arial" w:hAnsi="Arial" w:cs="Arial"/>
        </w:rPr>
      </w:pPr>
    </w:p>
    <w:tbl>
      <w:tblPr>
        <w:tblW w:w="1512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92"/>
        <w:gridCol w:w="493"/>
        <w:gridCol w:w="540"/>
        <w:gridCol w:w="1100"/>
        <w:gridCol w:w="1383"/>
        <w:gridCol w:w="5712"/>
        <w:gridCol w:w="1800"/>
        <w:gridCol w:w="1800"/>
        <w:gridCol w:w="1800"/>
      </w:tblGrid>
      <w:tr w:rsidR="00DC5DFB" w:rsidRPr="00255C31" w:rsidTr="00AA48F0">
        <w:trPr>
          <w:trHeight w:val="900"/>
        </w:trPr>
        <w:tc>
          <w:tcPr>
            <w:tcW w:w="15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5DFB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bCs/>
                <w:color w:val="000000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DC5DFB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bCs/>
                <w:color w:val="000000"/>
                <w:lang w:eastAsia="en-US"/>
              </w:rPr>
              <w:t xml:space="preserve">NN 3 ԵՎ </w:t>
            </w:r>
            <w:proofErr w:type="gramStart"/>
            <w:r w:rsidRPr="00255C31">
              <w:rPr>
                <w:rFonts w:ascii="GHEA Mariam" w:hAnsi="GHEA Mariam"/>
                <w:bCs/>
                <w:color w:val="000000"/>
                <w:lang w:eastAsia="en-US"/>
              </w:rPr>
              <w:t>4  ՀԱՎԵԼՎԱԾՆԵՐՈՒՄ</w:t>
            </w:r>
            <w:proofErr w:type="gramEnd"/>
            <w:r w:rsidRPr="00255C31">
              <w:rPr>
                <w:rFonts w:ascii="GHEA Mariam" w:hAnsi="GHEA Mariam"/>
                <w:bCs/>
                <w:color w:val="000000"/>
                <w:lang w:eastAsia="en-US"/>
              </w:rPr>
              <w:t xml:space="preserve"> ԿԱՏԱՐՎՈՂ ՓՈՓՈԽՈՒԹՅՈՒՆՆԵՐԸ ԵՎ  ԼՐԱՑՈՒՄՆԵՐԸ</w:t>
            </w:r>
          </w:p>
          <w:p w:rsidR="00DC5DFB" w:rsidRPr="00255C31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DC5DFB" w:rsidRPr="00255C31" w:rsidTr="00AA48F0">
        <w:trPr>
          <w:trHeight w:val="8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750D79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</w:tr>
      <w:tr w:rsidR="00DC5DFB" w:rsidRPr="00255C31" w:rsidTr="00AA48F0">
        <w:trPr>
          <w:trHeight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                            </w:t>
            </w:r>
            <w:r w:rsidRPr="004D3B65">
              <w:rPr>
                <w:rFonts w:ascii="GHEA Mariam" w:hAnsi="GHEA Mariam"/>
                <w:color w:val="000000"/>
                <w:szCs w:val="22"/>
                <w:lang w:eastAsia="en-US"/>
              </w:rPr>
              <w:t>(</w:t>
            </w:r>
            <w:proofErr w:type="spellStart"/>
            <w:r w:rsidRPr="004D3B65">
              <w:rPr>
                <w:rFonts w:ascii="GHEA Mariam" w:hAnsi="GHEA Mariam"/>
                <w:color w:val="000000"/>
                <w:szCs w:val="22"/>
                <w:lang w:eastAsia="en-US"/>
              </w:rPr>
              <w:t>հազ</w:t>
            </w:r>
            <w:proofErr w:type="spellEnd"/>
            <w:r w:rsidRPr="004D3B65"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. </w:t>
            </w:r>
            <w:proofErr w:type="spellStart"/>
            <w:r w:rsidRPr="004D3B65">
              <w:rPr>
                <w:rFonts w:ascii="GHEA Mariam" w:hAnsi="GHEA Mariam"/>
                <w:color w:val="000000"/>
                <w:szCs w:val="22"/>
                <w:lang w:eastAsia="en-US"/>
              </w:rPr>
              <w:t>դրամ</w:t>
            </w:r>
            <w:proofErr w:type="spellEnd"/>
            <w:r w:rsidRPr="004D3B65">
              <w:rPr>
                <w:rFonts w:ascii="GHEA Mariam" w:hAnsi="GHEA Mariam"/>
                <w:color w:val="000000"/>
                <w:szCs w:val="22"/>
                <w:lang w:eastAsia="en-US"/>
              </w:rPr>
              <w:t>)</w:t>
            </w:r>
          </w:p>
        </w:tc>
      </w:tr>
      <w:tr w:rsidR="00DC5DFB" w:rsidRPr="00255C31" w:rsidTr="00AA48F0">
        <w:trPr>
          <w:trHeight w:val="737"/>
        </w:trPr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Գո</w:t>
            </w:r>
            <w:r w:rsidRPr="00255C31">
              <w:rPr>
                <w:rFonts w:ascii="GHEA Mariam" w:hAnsi="GHEA Mariam"/>
                <w:color w:val="000000"/>
                <w:spacing w:val="-8"/>
                <w:lang w:eastAsia="en-US"/>
              </w:rPr>
              <w:t>րծառական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lang w:eastAsia="en-US"/>
              </w:rPr>
              <w:br/>
            </w: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C5DFB" w:rsidRPr="00255C31" w:rsidTr="00AA48F0">
        <w:trPr>
          <w:cantSplit/>
          <w:trHeight w:val="1016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5DFB" w:rsidRPr="00255C31" w:rsidRDefault="00DC5DFB" w:rsidP="00AA48F0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բաժինը</w:t>
            </w:r>
            <w:proofErr w:type="spellEnd"/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5DFB" w:rsidRPr="00255C31" w:rsidRDefault="00DC5DFB" w:rsidP="00AA48F0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խումբը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5DFB" w:rsidRPr="00255C31" w:rsidRDefault="00DC5DFB" w:rsidP="00AA48F0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դասը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255C31">
              <w:rPr>
                <w:rFonts w:ascii="GHEA Mariam" w:hAnsi="GHEA Mariam"/>
                <w:color w:val="000000"/>
                <w:spacing w:val="-8"/>
                <w:lang w:eastAsia="en-US"/>
              </w:rPr>
              <w:t>ծրագիրը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255C31"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միջոցառումը</w:t>
            </w:r>
            <w:proofErr w:type="spellEnd"/>
          </w:p>
        </w:tc>
        <w:tc>
          <w:tcPr>
            <w:tcW w:w="5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255C31">
              <w:rPr>
                <w:rFonts w:ascii="GHEA Mariam" w:hAnsi="GHEA Mariam"/>
                <w:color w:val="000000"/>
                <w:lang w:eastAsia="en-US"/>
              </w:rPr>
              <w:t>ռաջին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255C31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255C31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DC5DFB" w:rsidRPr="00255C31" w:rsidTr="00AA48F0">
        <w:trPr>
          <w:trHeight w:val="3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C5DFB" w:rsidRPr="00255C31" w:rsidTr="00AA48F0">
        <w:trPr>
          <w:trHeight w:val="7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4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</w:t>
            </w:r>
            <w:r>
              <w:rPr>
                <w:rFonts w:ascii="GHEA Mariam" w:hAnsi="GHEA Mariam"/>
                <w:b/>
                <w:bCs/>
                <w:lang w:eastAsia="en-US"/>
              </w:rPr>
              <w:softHyphen/>
            </w:r>
            <w:r w:rsidRPr="00255C31">
              <w:rPr>
                <w:rFonts w:ascii="GHEA Mariam" w:hAnsi="GHEA Mariam"/>
                <w:b/>
                <w:bCs/>
                <w:lang w:eastAsia="en-US"/>
              </w:rPr>
              <w:t>ՏԱ</w:t>
            </w:r>
            <w:r>
              <w:rPr>
                <w:rFonts w:ascii="GHEA Mariam" w:hAnsi="GHEA Mariam"/>
                <w:b/>
                <w:bCs/>
                <w:lang w:eastAsia="en-US"/>
              </w:rPr>
              <w:softHyphen/>
            </w:r>
            <w:r w:rsidRPr="00255C31">
              <w:rPr>
                <w:rFonts w:ascii="GHEA Mariam" w:hAnsi="GHEA Mariam"/>
                <w:b/>
                <w:bCs/>
                <w:lang w:eastAsia="en-US"/>
              </w:rPr>
              <w:t>ՅԻՆ ՖՈՆԴԵՐ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</w:tr>
      <w:tr w:rsidR="00DC5DFB" w:rsidRPr="00255C31" w:rsidTr="00AA48F0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DC5DFB" w:rsidRPr="00255C31" w:rsidTr="00AA48F0">
        <w:trPr>
          <w:trHeight w:val="7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255C31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255C31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255C31">
              <w:rPr>
                <w:rFonts w:ascii="GHEA Mariam" w:hAnsi="GHEA Mariam"/>
                <w:b/>
                <w:bCs/>
                <w:lang w:eastAsia="en-US"/>
              </w:rPr>
              <w:t>համայնքների</w:t>
            </w:r>
            <w:proofErr w:type="spellEnd"/>
            <w:r w:rsidRPr="00255C3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b/>
                <w:bCs/>
                <w:lang w:eastAsia="en-US"/>
              </w:rPr>
              <w:t>պահուստային</w:t>
            </w:r>
            <w:proofErr w:type="spellEnd"/>
            <w:r w:rsidRPr="00255C3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</w:tr>
      <w:tr w:rsidR="00DC5DFB" w:rsidRPr="00255C31" w:rsidTr="00AA48F0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DC5DFB" w:rsidRPr="00255C31" w:rsidTr="00AA48F0">
        <w:trPr>
          <w:trHeight w:val="7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255C31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կառավարության</w:t>
            </w:r>
            <w:proofErr w:type="spellEnd"/>
            <w:r w:rsidRPr="00255C31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b/>
                <w:bCs/>
                <w:color w:val="000000"/>
                <w:lang w:eastAsia="en-US"/>
              </w:rPr>
              <w:t>պահուստային</w:t>
            </w:r>
            <w:proofErr w:type="spellEnd"/>
            <w:r w:rsidRPr="00255C31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b/>
                <w:bCs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</w:tr>
      <w:tr w:rsidR="00DC5DFB" w:rsidRPr="00255C31" w:rsidTr="00AA48F0">
        <w:trPr>
          <w:trHeight w:val="35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C5DFB" w:rsidRPr="00255C31" w:rsidTr="00AA48F0">
        <w:trPr>
          <w:trHeight w:val="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255C31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C5DFB" w:rsidRPr="00255C31" w:rsidTr="00AA48F0">
        <w:trPr>
          <w:trHeight w:val="6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5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</w:tr>
      <w:tr w:rsidR="00DC5DFB" w:rsidRPr="00255C31" w:rsidTr="00AA48F0">
        <w:trPr>
          <w:trHeight w:val="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DC5DFB" w:rsidRPr="00255C31" w:rsidTr="00AA48F0">
        <w:trPr>
          <w:trHeight w:val="6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iCs/>
                <w:lang w:eastAsia="en-US"/>
              </w:rPr>
            </w:pPr>
            <w:r w:rsidRPr="00255C31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255C31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</w:tr>
      <w:tr w:rsidR="00DC5DFB" w:rsidRPr="00255C31" w:rsidTr="00AA48F0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C5DFB" w:rsidRPr="00255C31" w:rsidRDefault="00DC5DFB" w:rsidP="00AA48F0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5DFB" w:rsidRPr="00255C31" w:rsidRDefault="00DC5DFB" w:rsidP="00AA48F0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C5DFB" w:rsidRPr="00255C31" w:rsidRDefault="00DC5DFB" w:rsidP="00AA48F0">
            <w:pPr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FB" w:rsidRPr="00255C31" w:rsidRDefault="00DC5DFB" w:rsidP="00AA48F0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</w:p>
        </w:tc>
      </w:tr>
      <w:tr w:rsidR="00DC5DFB" w:rsidRPr="00255C31" w:rsidTr="00AA48F0">
        <w:trPr>
          <w:trHeight w:val="5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</w:p>
        </w:tc>
      </w:tr>
      <w:tr w:rsidR="00DC5DFB" w:rsidRPr="00255C31" w:rsidTr="00AA48F0">
        <w:trPr>
          <w:trHeight w:val="647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 w:rsidR="008A2388"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</w:tr>
      <w:tr w:rsidR="00DC5DFB" w:rsidRPr="00255C31" w:rsidTr="00AA48F0">
        <w:trPr>
          <w:trHeight w:val="66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</w:tr>
      <w:tr w:rsidR="00DC5DFB" w:rsidRPr="00255C31" w:rsidTr="00AA48F0">
        <w:trPr>
          <w:trHeight w:val="584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ԱՅԼ 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</w:tr>
      <w:tr w:rsidR="00DC5DFB" w:rsidRPr="00255C31" w:rsidTr="00AA48F0">
        <w:trPr>
          <w:trHeight w:val="61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(14000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)</w:t>
            </w:r>
          </w:p>
        </w:tc>
      </w:tr>
      <w:tr w:rsidR="00DC5DFB" w:rsidRPr="00255C31" w:rsidTr="00AA48F0">
        <w:trPr>
          <w:trHeight w:val="62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Pr="00255C31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lang w:eastAsia="en-US"/>
              </w:rPr>
              <w:t xml:space="preserve"> ՀԱՍԱՐԱԿԱԿԱՆ ԿԱՐԳ,  ԱՆՎՏԱՆԳՈՒԹՅՈՒՆ ԵՎ ԴԱՏԱԿԱՆ ԳՈՐԾՈՒՆԵՈՒԹՅՈՒՆ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</w:tr>
      <w:tr w:rsidR="00DC5DFB" w:rsidRPr="00255C31" w:rsidTr="00AA48F0">
        <w:trPr>
          <w:trHeight w:val="404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DC5DFB" w:rsidRPr="00255C31" w:rsidTr="00AA48F0">
        <w:trPr>
          <w:trHeight w:val="62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:rsidR="00DC5DFB" w:rsidRPr="00255C31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DA361D" w:rsidRDefault="00DC5DFB" w:rsidP="00AA48F0">
            <w:pPr>
              <w:rPr>
                <w:rFonts w:ascii="GHEA Mariam" w:hAnsi="GHEA Mariam"/>
                <w:b/>
                <w:bCs/>
                <w:spacing w:val="-2"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b/>
                <w:bCs/>
                <w:spacing w:val="-2"/>
                <w:lang w:eastAsia="en-US"/>
              </w:rPr>
              <w:t>Դատական</w:t>
            </w:r>
            <w:proofErr w:type="spellEnd"/>
            <w:r w:rsidRPr="00DA361D">
              <w:rPr>
                <w:rFonts w:ascii="GHEA Mariam" w:hAnsi="GHEA Mariam"/>
                <w:b/>
                <w:bCs/>
                <w:spacing w:val="-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b/>
                <w:bCs/>
                <w:spacing w:val="-2"/>
                <w:lang w:eastAsia="en-US"/>
              </w:rPr>
              <w:t>գործունեություն</w:t>
            </w:r>
            <w:proofErr w:type="spellEnd"/>
            <w:r w:rsidRPr="00DA361D">
              <w:rPr>
                <w:rFonts w:ascii="GHEA Mariam" w:hAnsi="GHEA Mariam"/>
                <w:b/>
                <w:bCs/>
                <w:spacing w:val="-2"/>
                <w:lang w:eastAsia="en-US"/>
              </w:rPr>
              <w:t xml:space="preserve"> և </w:t>
            </w:r>
            <w:proofErr w:type="spellStart"/>
            <w:r w:rsidRPr="00DA361D">
              <w:rPr>
                <w:rFonts w:ascii="GHEA Mariam" w:hAnsi="GHEA Mariam"/>
                <w:b/>
                <w:bCs/>
                <w:spacing w:val="-2"/>
                <w:lang w:eastAsia="en-US"/>
              </w:rPr>
              <w:t>իրավական</w:t>
            </w:r>
            <w:proofErr w:type="spellEnd"/>
            <w:r w:rsidRPr="00DA361D">
              <w:rPr>
                <w:rFonts w:ascii="GHEA Mariam" w:hAnsi="GHEA Mariam"/>
                <w:b/>
                <w:bCs/>
                <w:spacing w:val="-2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b/>
                <w:bCs/>
                <w:spacing w:val="-2"/>
                <w:lang w:eastAsia="en-US"/>
              </w:rPr>
              <w:t>պաշտպա</w:t>
            </w:r>
            <w:r>
              <w:rPr>
                <w:rFonts w:ascii="GHEA Mariam" w:hAnsi="GHEA Mariam"/>
                <w:b/>
                <w:bCs/>
                <w:spacing w:val="-2"/>
                <w:lang w:eastAsia="en-US"/>
              </w:rPr>
              <w:softHyphen/>
            </w:r>
            <w:r w:rsidRPr="00DA361D">
              <w:rPr>
                <w:rFonts w:ascii="GHEA Mariam" w:hAnsi="GHEA Mariam"/>
                <w:b/>
                <w:bCs/>
                <w:spacing w:val="-2"/>
                <w:lang w:eastAsia="en-US"/>
              </w:rPr>
              <w:t>նու</w:t>
            </w:r>
            <w:r>
              <w:rPr>
                <w:rFonts w:ascii="GHEA Mariam" w:hAnsi="GHEA Mariam"/>
                <w:b/>
                <w:bCs/>
                <w:spacing w:val="-2"/>
                <w:lang w:eastAsia="en-US"/>
              </w:rPr>
              <w:softHyphen/>
            </w:r>
            <w:r w:rsidRPr="00DA361D">
              <w:rPr>
                <w:rFonts w:ascii="GHEA Mariam" w:hAnsi="GHEA Mariam"/>
                <w:b/>
                <w:bCs/>
                <w:spacing w:val="-2"/>
                <w:lang w:eastAsia="en-US"/>
              </w:rPr>
              <w:t>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</w:tr>
      <w:tr w:rsidR="00DC5DFB" w:rsidRPr="00255C31" w:rsidTr="00AA48F0">
        <w:trPr>
          <w:trHeight w:val="44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DC5DFB" w:rsidRPr="00255C31" w:rsidTr="00AA48F0">
        <w:trPr>
          <w:trHeight w:val="62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lang w:eastAsia="en-US"/>
              </w:rPr>
              <w:t>02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b/>
                <w:bCs/>
                <w:lang w:eastAsia="en-US"/>
              </w:rPr>
              <w:t>Իրավական</w:t>
            </w:r>
            <w:proofErr w:type="spellEnd"/>
            <w:r w:rsidRPr="00255C3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b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DA361D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</w:tr>
      <w:tr w:rsidR="00DC5DFB" w:rsidRPr="00255C31" w:rsidTr="00AA48F0">
        <w:trPr>
          <w:trHeight w:val="35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Default="00DC5DFB" w:rsidP="00AA48F0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DC5DFB" w:rsidRDefault="00DC5DFB" w:rsidP="00AA48F0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  <w:p w:rsidR="00DC5DFB" w:rsidRPr="00255C31" w:rsidRDefault="00DC5DFB" w:rsidP="00AA48F0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55C3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DC5DFB" w:rsidRPr="00255C31" w:rsidTr="00AA48F0">
        <w:trPr>
          <w:trHeight w:val="36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255C31">
              <w:rPr>
                <w:rFonts w:ascii="GHEA Mariam" w:hAnsi="GHEA Mariam"/>
                <w:b/>
                <w:bCs/>
                <w:color w:val="000000"/>
                <w:lang w:eastAsia="en-US"/>
              </w:rPr>
              <w:t>արդարադատության</w:t>
            </w:r>
            <w:proofErr w:type="spellEnd"/>
            <w:r w:rsidRPr="00255C31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255C31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DC5DFB" w:rsidRPr="00255C31" w:rsidTr="008A2388">
        <w:trPr>
          <w:trHeight w:val="6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DFB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>1093</w:t>
            </w:r>
          </w:p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DFB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>12014</w:t>
            </w:r>
          </w:p>
          <w:p w:rsidR="00DC5DFB" w:rsidRPr="00255C31" w:rsidRDefault="00DC5DFB" w:rsidP="00AA48F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DFB" w:rsidRPr="00255C31" w:rsidRDefault="00DC5DFB" w:rsidP="008A238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255C31">
              <w:rPr>
                <w:rFonts w:ascii="GHEA Mariam" w:hAnsi="GHEA Mariam"/>
                <w:lang w:eastAsia="en-US"/>
              </w:rPr>
              <w:t>Դատական</w:t>
            </w:r>
            <w:proofErr w:type="spellEnd"/>
            <w:r w:rsidRPr="00255C3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255C31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255C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</w:tr>
      <w:tr w:rsidR="00DC5DFB" w:rsidRPr="00255C31" w:rsidTr="00AA48F0">
        <w:trPr>
          <w:trHeight w:val="27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</w:p>
        </w:tc>
      </w:tr>
      <w:tr w:rsidR="00DC5DFB" w:rsidRPr="00255C31" w:rsidTr="00AA48F0">
        <w:trPr>
          <w:trHeight w:val="6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Մարդու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իրավունքների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եվրոպական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դատարանի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վճիռ</w:t>
            </w:r>
            <w:r>
              <w:rPr>
                <w:rFonts w:ascii="GHEA Mariam" w:hAnsi="GHEA Mariam"/>
                <w:iCs/>
                <w:color w:val="000000"/>
                <w:lang w:eastAsia="en-US"/>
              </w:rPr>
              <w:softHyphen/>
            </w:r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նե</w:t>
            </w:r>
            <w:r>
              <w:rPr>
                <w:rFonts w:ascii="GHEA Mariam" w:hAnsi="GHEA Mariam"/>
                <w:iCs/>
                <w:color w:val="000000"/>
                <w:lang w:eastAsia="en-US"/>
              </w:rPr>
              <w:softHyphen/>
            </w:r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րին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 xml:space="preserve">  և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որոշումներին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համապատասխան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դրամական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հատու</w:t>
            </w:r>
            <w:r>
              <w:rPr>
                <w:rFonts w:ascii="GHEA Mariam" w:hAnsi="GHEA Mariam"/>
                <w:iCs/>
                <w:color w:val="000000"/>
                <w:lang w:eastAsia="en-US"/>
              </w:rPr>
              <w:softHyphen/>
            </w:r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ցումների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</w:tr>
      <w:tr w:rsidR="00DC5DFB" w:rsidRPr="00255C31" w:rsidTr="00AA48F0">
        <w:trPr>
          <w:trHeight w:val="285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</w:tr>
      <w:tr w:rsidR="00DC5DFB" w:rsidRPr="00255C31" w:rsidTr="00AA48F0">
        <w:trPr>
          <w:trHeight w:val="6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արդարադատության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</w:tr>
      <w:tr w:rsidR="00DC5DFB" w:rsidRPr="00255C31" w:rsidTr="00AA48F0">
        <w:trPr>
          <w:trHeight w:val="6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</w:tr>
      <w:tr w:rsidR="00DC5DFB" w:rsidRPr="00255C31" w:rsidTr="00AA48F0">
        <w:trPr>
          <w:trHeight w:val="6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 w:rsidR="008A2388"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</w:tr>
      <w:tr w:rsidR="00DC5DFB" w:rsidRPr="00255C31" w:rsidTr="00AA48F0">
        <w:trPr>
          <w:trHeight w:val="6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</w:tr>
      <w:tr w:rsidR="00DC5DFB" w:rsidRPr="00255C31" w:rsidTr="00AA48F0">
        <w:trPr>
          <w:trHeight w:val="6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ԱՅԼ 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</w:tr>
      <w:tr w:rsidR="00DC5DFB" w:rsidRPr="00255C31" w:rsidTr="00AA48F0">
        <w:trPr>
          <w:trHeight w:val="6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color w:val="000000"/>
                <w:lang w:eastAsia="en-US"/>
              </w:rPr>
              <w:t>հետևանքով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A2388">
              <w:rPr>
                <w:rFonts w:ascii="GHEA Mariam" w:hAnsi="GHEA Mariam"/>
                <w:color w:val="000000"/>
                <w:spacing w:val="-4"/>
                <w:lang w:eastAsia="en-US"/>
              </w:rPr>
              <w:t>առաջացած</w:t>
            </w:r>
            <w:proofErr w:type="spellEnd"/>
            <w:r w:rsidRPr="008A2388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8A2388">
              <w:rPr>
                <w:rFonts w:ascii="GHEA Mariam" w:hAnsi="GHEA Mariam"/>
                <w:color w:val="000000"/>
                <w:spacing w:val="-4"/>
                <w:lang w:eastAsia="en-US"/>
              </w:rPr>
              <w:t>վնասվածքների</w:t>
            </w:r>
            <w:proofErr w:type="spellEnd"/>
            <w:r w:rsidRPr="008A2388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 </w:t>
            </w:r>
            <w:proofErr w:type="spellStart"/>
            <w:r w:rsidRPr="008A2388">
              <w:rPr>
                <w:rFonts w:ascii="GHEA Mariam" w:hAnsi="GHEA Mariam"/>
                <w:color w:val="000000"/>
                <w:spacing w:val="-4"/>
                <w:lang w:eastAsia="en-US"/>
              </w:rPr>
              <w:t>կամ</w:t>
            </w:r>
            <w:proofErr w:type="spellEnd"/>
            <w:r w:rsidRPr="008A2388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8A2388">
              <w:rPr>
                <w:rFonts w:ascii="GHEA Mariam" w:hAnsi="GHEA Mariam"/>
                <w:color w:val="000000"/>
                <w:spacing w:val="-4"/>
                <w:lang w:eastAsia="en-US"/>
              </w:rPr>
              <w:t>վնասների</w:t>
            </w:r>
            <w:proofErr w:type="spellEnd"/>
            <w:r w:rsidRPr="008A2388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8A2388">
              <w:rPr>
                <w:rFonts w:ascii="GHEA Mariam" w:hAnsi="GHEA Mariam"/>
                <w:color w:val="000000"/>
                <w:spacing w:val="-4"/>
                <w:lang w:eastAsia="en-US"/>
              </w:rPr>
              <w:t>վերա</w:t>
            </w:r>
            <w:r w:rsidR="008A2388" w:rsidRPr="008A2388">
              <w:rPr>
                <w:rFonts w:ascii="GHEA Mariam" w:hAnsi="GHEA Mariam"/>
                <w:color w:val="000000"/>
                <w:spacing w:val="-4"/>
                <w:lang w:eastAsia="en-US"/>
              </w:rPr>
              <w:softHyphen/>
            </w:r>
            <w:r w:rsidRPr="008A2388">
              <w:rPr>
                <w:rFonts w:ascii="GHEA Mariam" w:hAnsi="GHEA Mariam"/>
                <w:color w:val="000000"/>
                <w:spacing w:val="-4"/>
                <w:lang w:eastAsia="en-US"/>
              </w:rPr>
              <w:t>կանգ</w:t>
            </w:r>
            <w:r w:rsidR="008A2388" w:rsidRPr="008A2388">
              <w:rPr>
                <w:rFonts w:ascii="GHEA Mariam" w:hAnsi="GHEA Mariam"/>
                <w:color w:val="000000"/>
                <w:spacing w:val="-4"/>
                <w:lang w:eastAsia="en-US"/>
              </w:rPr>
              <w:softHyphen/>
            </w:r>
            <w:r w:rsidRPr="008A2388">
              <w:rPr>
                <w:rFonts w:ascii="GHEA Mariam" w:hAnsi="GHEA Mariam"/>
                <w:color w:val="000000"/>
                <w:spacing w:val="-4"/>
                <w:lang w:eastAsia="en-US"/>
              </w:rPr>
              <w:t>նում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</w:tr>
      <w:tr w:rsidR="00DC5DFB" w:rsidRPr="00255C31" w:rsidTr="00AA48F0">
        <w:trPr>
          <w:trHeight w:val="6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255C31" w:rsidRDefault="00DC5DFB" w:rsidP="00AA48F0">
            <w:pPr>
              <w:rPr>
                <w:rFonts w:ascii="GHEA Mariam" w:hAnsi="GHEA Mariam"/>
                <w:color w:val="000000"/>
                <w:lang w:eastAsia="en-US"/>
              </w:rPr>
            </w:pPr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>Կառավարման</w:t>
            </w:r>
            <w:proofErr w:type="spellEnd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>մարմինների</w:t>
            </w:r>
            <w:proofErr w:type="spellEnd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>գործունեության</w:t>
            </w:r>
            <w:proofErr w:type="spellEnd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>հետևանքով</w:t>
            </w:r>
            <w:proofErr w:type="spellEnd"/>
            <w:r w:rsidRPr="00255C3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>առաջացած</w:t>
            </w:r>
            <w:proofErr w:type="spellEnd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>վնասվածքների</w:t>
            </w:r>
            <w:proofErr w:type="spellEnd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>կամ</w:t>
            </w:r>
            <w:proofErr w:type="spellEnd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>վնասների</w:t>
            </w:r>
            <w:proofErr w:type="spellEnd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A361D">
              <w:rPr>
                <w:rFonts w:ascii="GHEA Mariam" w:hAnsi="GHEA Mariam"/>
                <w:color w:val="000000"/>
                <w:spacing w:val="-8"/>
                <w:lang w:eastAsia="en-US"/>
              </w:rPr>
              <w:t>վերականգնում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255C31" w:rsidRDefault="00DC5DFB" w:rsidP="00AA48F0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14000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եվրոյին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համարժեք</w:t>
            </w:r>
            <w:proofErr w:type="spellEnd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255C31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</w:p>
        </w:tc>
      </w:tr>
    </w:tbl>
    <w:p w:rsidR="00DC5DFB" w:rsidRDefault="00DC5DFB" w:rsidP="00DC5DFB">
      <w:pPr>
        <w:pStyle w:val="mechtex"/>
        <w:rPr>
          <w:rFonts w:ascii="Arial" w:hAnsi="Arial" w:cs="Arial"/>
        </w:rPr>
      </w:pPr>
    </w:p>
    <w:p w:rsidR="00DC5DFB" w:rsidRDefault="00DC5DFB" w:rsidP="00DC5DFB">
      <w:pPr>
        <w:pStyle w:val="mechtex"/>
        <w:rPr>
          <w:rFonts w:ascii="Arial" w:hAnsi="Arial" w:cs="Arial"/>
        </w:rPr>
      </w:pPr>
      <w:bookmarkStart w:id="0" w:name="_GoBack"/>
      <w:bookmarkEnd w:id="0"/>
    </w:p>
    <w:p w:rsidR="00DC5DFB" w:rsidRPr="00B16FF5" w:rsidRDefault="00DC5DFB" w:rsidP="00DC5DF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F225D" w:rsidRDefault="00DC5DFB" w:rsidP="00BD4F3F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sectPr w:rsidR="001F225D" w:rsidSect="00BD4F3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686" w:rsidRDefault="00A02686">
      <w:r>
        <w:separator/>
      </w:r>
    </w:p>
  </w:endnote>
  <w:endnote w:type="continuationSeparator" w:id="0">
    <w:p w:rsidR="00A02686" w:rsidRDefault="00A0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D4F3F">
      <w:rPr>
        <w:noProof/>
        <w:sz w:val="18"/>
      </w:rPr>
      <w:t>PT28_2019N433hav.2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86789" w:rsidRDefault="003D4BA2" w:rsidP="00D867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86789" w:rsidRDefault="003D4BA2" w:rsidP="00D86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686" w:rsidRDefault="00A02686">
      <w:r>
        <w:separator/>
      </w:r>
    </w:p>
  </w:footnote>
  <w:footnote w:type="continuationSeparator" w:id="0">
    <w:p w:rsidR="00A02686" w:rsidRDefault="00A0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F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4E2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3B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C64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388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5EF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0D83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405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686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2B2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F3F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0F8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789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5DF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E5D62"/>
  <w15:chartTrackingRefBased/>
  <w15:docId w15:val="{C2217F78-9451-4E2F-8287-87AD848D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DF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C5DF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867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678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http://mul-moj.gov.am/tasks/docs/attachment.php?id=223593&amp;fn=433k.voroshum.docx&amp;out=0&amp;token=</cp:keywords>
  <cp:lastModifiedBy>Hayk Engoyan</cp:lastModifiedBy>
  <cp:revision>3</cp:revision>
  <cp:lastPrinted>2019-04-23T12:12:00Z</cp:lastPrinted>
  <dcterms:created xsi:type="dcterms:W3CDTF">2019-04-23T12:08:00Z</dcterms:created>
  <dcterms:modified xsi:type="dcterms:W3CDTF">2019-04-29T06:58:00Z</dcterms:modified>
</cp:coreProperties>
</file>